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CF42D">
      <w:pPr>
        <w:widowControl/>
        <w:adjustRightInd w:val="0"/>
        <w:snapToGrid w:val="0"/>
        <w:ind w:left="-141" w:leftChars="-67" w:right="-59" w:rightChars="-28"/>
        <w:jc w:val="center"/>
        <w:rPr>
          <w:kern w:val="0"/>
          <w:sz w:val="56"/>
          <w:szCs w:val="44"/>
        </w:rPr>
      </w:pPr>
      <w:bookmarkStart w:id="0" w:name="_Toc220170963"/>
    </w:p>
    <w:p w14:paraId="1A90354C">
      <w:pPr>
        <w:widowControl/>
        <w:adjustRightInd w:val="0"/>
        <w:snapToGrid w:val="0"/>
        <w:ind w:left="-141" w:leftChars="-67" w:right="-59" w:rightChars="-28"/>
        <w:jc w:val="center"/>
        <w:rPr>
          <w:kern w:val="0"/>
          <w:sz w:val="56"/>
          <w:szCs w:val="44"/>
        </w:rPr>
      </w:pPr>
    </w:p>
    <w:p w14:paraId="29595B02">
      <w:pPr>
        <w:widowControl/>
        <w:adjustRightInd w:val="0"/>
        <w:snapToGrid w:val="0"/>
        <w:spacing w:line="360" w:lineRule="auto"/>
        <w:jc w:val="center"/>
        <w:rPr>
          <w:b/>
          <w:kern w:val="0"/>
          <w:sz w:val="52"/>
          <w:szCs w:val="38"/>
        </w:rPr>
      </w:pPr>
      <w:r>
        <w:rPr>
          <w:rFonts w:hint="eastAsia"/>
          <w:b/>
          <w:kern w:val="0"/>
          <w:sz w:val="52"/>
          <w:szCs w:val="38"/>
        </w:rPr>
        <w:t>中国石油化工股份有限公司</w:t>
      </w:r>
    </w:p>
    <w:p w14:paraId="6405309E">
      <w:pPr>
        <w:widowControl/>
        <w:adjustRightInd w:val="0"/>
        <w:snapToGrid w:val="0"/>
        <w:spacing w:line="360" w:lineRule="auto"/>
        <w:jc w:val="center"/>
        <w:rPr>
          <w:b/>
          <w:kern w:val="0"/>
          <w:sz w:val="52"/>
          <w:szCs w:val="38"/>
        </w:rPr>
      </w:pPr>
      <w:r>
        <w:rPr>
          <w:rFonts w:hint="eastAsia"/>
          <w:b/>
          <w:kern w:val="0"/>
          <w:sz w:val="52"/>
          <w:szCs w:val="38"/>
        </w:rPr>
        <w:t>西南油气分公司采气二厂</w:t>
      </w:r>
    </w:p>
    <w:p w14:paraId="362715E2">
      <w:pPr>
        <w:widowControl/>
        <w:adjustRightInd w:val="0"/>
        <w:snapToGrid w:val="0"/>
        <w:spacing w:line="360" w:lineRule="auto"/>
        <w:jc w:val="center"/>
        <w:rPr>
          <w:b/>
          <w:kern w:val="0"/>
          <w:sz w:val="52"/>
          <w:szCs w:val="38"/>
        </w:rPr>
      </w:pPr>
      <w:r>
        <w:rPr>
          <w:rFonts w:hint="eastAsia"/>
          <w:b/>
          <w:kern w:val="0"/>
          <w:sz w:val="52"/>
          <w:szCs w:val="38"/>
        </w:rPr>
        <w:t>巴中2HF井地面工程</w:t>
      </w:r>
    </w:p>
    <w:p w14:paraId="147F5BF1">
      <w:pPr>
        <w:widowControl/>
        <w:adjustRightInd w:val="0"/>
        <w:snapToGrid w:val="0"/>
        <w:jc w:val="center"/>
        <w:rPr>
          <w:b/>
          <w:spacing w:val="24"/>
          <w:sz w:val="72"/>
          <w:szCs w:val="48"/>
        </w:rPr>
      </w:pPr>
      <w:r>
        <w:rPr>
          <w:b/>
          <w:spacing w:val="24"/>
          <w:sz w:val="72"/>
          <w:szCs w:val="48"/>
        </w:rPr>
        <w:t>环境影响报告书</w:t>
      </w:r>
    </w:p>
    <w:p w14:paraId="74F6E20C">
      <w:pPr>
        <w:widowControl/>
        <w:adjustRightInd w:val="0"/>
        <w:snapToGrid w:val="0"/>
        <w:jc w:val="center"/>
        <w:rPr>
          <w:b/>
          <w:spacing w:val="24"/>
          <w:sz w:val="44"/>
          <w:szCs w:val="48"/>
        </w:rPr>
      </w:pPr>
      <w:r>
        <w:rPr>
          <w:b/>
          <w:spacing w:val="24"/>
          <w:sz w:val="44"/>
          <w:szCs w:val="48"/>
        </w:rPr>
        <w:t>（</w:t>
      </w:r>
      <w:r>
        <w:rPr>
          <w:rFonts w:hint="eastAsia"/>
          <w:b/>
          <w:spacing w:val="24"/>
          <w:sz w:val="44"/>
          <w:szCs w:val="48"/>
        </w:rPr>
        <w:t>公示本</w:t>
      </w:r>
      <w:r>
        <w:rPr>
          <w:b/>
          <w:spacing w:val="24"/>
          <w:sz w:val="44"/>
          <w:szCs w:val="48"/>
        </w:rPr>
        <w:t>）</w:t>
      </w:r>
    </w:p>
    <w:p w14:paraId="3E4ADAB9">
      <w:pPr>
        <w:widowControl/>
        <w:adjustRightInd w:val="0"/>
        <w:snapToGrid w:val="0"/>
        <w:spacing w:line="360" w:lineRule="auto"/>
        <w:jc w:val="center"/>
        <w:rPr>
          <w:b/>
          <w:kern w:val="0"/>
          <w:sz w:val="52"/>
          <w:szCs w:val="52"/>
        </w:rPr>
      </w:pPr>
    </w:p>
    <w:p w14:paraId="58B5C87E">
      <w:pPr>
        <w:widowControl/>
        <w:spacing w:line="360" w:lineRule="auto"/>
        <w:jc w:val="center"/>
        <w:rPr>
          <w:kern w:val="0"/>
          <w:sz w:val="24"/>
        </w:rPr>
      </w:pPr>
    </w:p>
    <w:p w14:paraId="50D96915">
      <w:pPr>
        <w:spacing w:line="360" w:lineRule="auto"/>
        <w:ind w:firstLine="420" w:firstLineChars="200"/>
        <w:jc w:val="center"/>
      </w:pPr>
    </w:p>
    <w:p w14:paraId="3FA12644">
      <w:pPr>
        <w:spacing w:line="360" w:lineRule="auto"/>
        <w:ind w:firstLine="420" w:firstLineChars="200"/>
        <w:jc w:val="center"/>
      </w:pPr>
    </w:p>
    <w:p w14:paraId="2445DE2A">
      <w:pPr>
        <w:spacing w:line="360" w:lineRule="auto"/>
        <w:ind w:firstLine="420" w:firstLineChars="200"/>
        <w:jc w:val="center"/>
      </w:pPr>
    </w:p>
    <w:p w14:paraId="2768B478">
      <w:pPr>
        <w:spacing w:line="360" w:lineRule="auto"/>
        <w:ind w:firstLine="420" w:firstLineChars="200"/>
        <w:jc w:val="center"/>
      </w:pPr>
    </w:p>
    <w:p w14:paraId="76E036CF">
      <w:pPr>
        <w:spacing w:line="360" w:lineRule="auto"/>
        <w:ind w:firstLine="420" w:firstLineChars="200"/>
        <w:jc w:val="center"/>
      </w:pPr>
    </w:p>
    <w:p w14:paraId="12A38D87">
      <w:pPr>
        <w:spacing w:line="360" w:lineRule="auto"/>
        <w:ind w:firstLine="420" w:firstLineChars="200"/>
        <w:jc w:val="center"/>
      </w:pPr>
    </w:p>
    <w:p w14:paraId="27791DEE">
      <w:pPr>
        <w:spacing w:line="360" w:lineRule="auto"/>
        <w:ind w:firstLine="420" w:firstLineChars="200"/>
        <w:jc w:val="center"/>
      </w:pPr>
    </w:p>
    <w:p w14:paraId="6C7DFB8A">
      <w:pPr>
        <w:spacing w:line="360" w:lineRule="auto"/>
        <w:ind w:firstLine="420" w:firstLineChars="200"/>
        <w:jc w:val="center"/>
      </w:pPr>
    </w:p>
    <w:p w14:paraId="3827D34C">
      <w:pPr>
        <w:spacing w:line="360" w:lineRule="auto"/>
        <w:ind w:firstLine="420" w:firstLineChars="200"/>
        <w:jc w:val="center"/>
      </w:pPr>
    </w:p>
    <w:tbl>
      <w:tblPr>
        <w:tblStyle w:val="88"/>
        <w:tblW w:w="8426" w:type="dxa"/>
        <w:jc w:val="center"/>
        <w:tblLayout w:type="fixed"/>
        <w:tblCellMar>
          <w:top w:w="0" w:type="dxa"/>
          <w:left w:w="108" w:type="dxa"/>
          <w:bottom w:w="0" w:type="dxa"/>
          <w:right w:w="108" w:type="dxa"/>
        </w:tblCellMar>
      </w:tblPr>
      <w:tblGrid>
        <w:gridCol w:w="2034"/>
        <w:gridCol w:w="6392"/>
      </w:tblGrid>
      <w:tr w14:paraId="3E162D00">
        <w:tblPrEx>
          <w:tblCellMar>
            <w:top w:w="0" w:type="dxa"/>
            <w:left w:w="108" w:type="dxa"/>
            <w:bottom w:w="0" w:type="dxa"/>
            <w:right w:w="108" w:type="dxa"/>
          </w:tblCellMar>
        </w:tblPrEx>
        <w:trPr>
          <w:trHeight w:val="1152" w:hRule="atLeast"/>
          <w:jc w:val="center"/>
        </w:trPr>
        <w:tc>
          <w:tcPr>
            <w:tcW w:w="2034" w:type="dxa"/>
          </w:tcPr>
          <w:p w14:paraId="6AE1CF51">
            <w:pPr>
              <w:adjustRightInd w:val="0"/>
              <w:snapToGrid w:val="0"/>
              <w:spacing w:line="460" w:lineRule="exact"/>
              <w:rPr>
                <w:b/>
                <w:sz w:val="36"/>
                <w:szCs w:val="30"/>
              </w:rPr>
            </w:pPr>
            <w:r>
              <w:rPr>
                <w:b/>
                <w:sz w:val="36"/>
                <w:szCs w:val="30"/>
              </w:rPr>
              <w:t>建设单位：</w:t>
            </w:r>
          </w:p>
        </w:tc>
        <w:tc>
          <w:tcPr>
            <w:tcW w:w="6392" w:type="dxa"/>
          </w:tcPr>
          <w:p w14:paraId="63C4E02D">
            <w:pPr>
              <w:adjustRightInd w:val="0"/>
              <w:snapToGrid w:val="0"/>
              <w:spacing w:line="460" w:lineRule="exact"/>
              <w:rPr>
                <w:b/>
                <w:sz w:val="36"/>
                <w:szCs w:val="30"/>
              </w:rPr>
            </w:pPr>
            <w:r>
              <w:rPr>
                <w:b/>
                <w:sz w:val="36"/>
                <w:szCs w:val="30"/>
              </w:rPr>
              <w:t>中国石油化工股份有限公司西南油气</w:t>
            </w:r>
          </w:p>
          <w:p w14:paraId="73DB45EB">
            <w:pPr>
              <w:adjustRightInd w:val="0"/>
              <w:snapToGrid w:val="0"/>
              <w:spacing w:line="460" w:lineRule="exact"/>
              <w:rPr>
                <w:b/>
                <w:sz w:val="36"/>
                <w:szCs w:val="30"/>
              </w:rPr>
            </w:pPr>
            <w:r>
              <w:rPr>
                <w:b/>
                <w:sz w:val="36"/>
                <w:szCs w:val="30"/>
              </w:rPr>
              <w:t>分公司采气</w:t>
            </w:r>
            <w:r>
              <w:rPr>
                <w:rFonts w:hint="eastAsia"/>
                <w:b/>
                <w:sz w:val="36"/>
                <w:szCs w:val="30"/>
              </w:rPr>
              <w:t>二</w:t>
            </w:r>
            <w:r>
              <w:rPr>
                <w:b/>
                <w:sz w:val="36"/>
                <w:szCs w:val="30"/>
              </w:rPr>
              <w:t>厂</w:t>
            </w:r>
          </w:p>
        </w:tc>
      </w:tr>
      <w:tr w14:paraId="5B0B9DE4">
        <w:tblPrEx>
          <w:tblCellMar>
            <w:top w:w="0" w:type="dxa"/>
            <w:left w:w="108" w:type="dxa"/>
            <w:bottom w:w="0" w:type="dxa"/>
            <w:right w:w="108" w:type="dxa"/>
          </w:tblCellMar>
        </w:tblPrEx>
        <w:trPr>
          <w:trHeight w:val="402" w:hRule="atLeast"/>
          <w:jc w:val="center"/>
        </w:trPr>
        <w:tc>
          <w:tcPr>
            <w:tcW w:w="2034" w:type="dxa"/>
          </w:tcPr>
          <w:p w14:paraId="73C930BD">
            <w:pPr>
              <w:adjustRightInd w:val="0"/>
              <w:snapToGrid w:val="0"/>
              <w:spacing w:line="460" w:lineRule="exact"/>
              <w:rPr>
                <w:b/>
                <w:sz w:val="36"/>
                <w:szCs w:val="30"/>
              </w:rPr>
            </w:pPr>
            <w:r>
              <w:rPr>
                <w:b/>
                <w:sz w:val="36"/>
                <w:szCs w:val="30"/>
              </w:rPr>
              <w:t>编制单位：</w:t>
            </w:r>
          </w:p>
        </w:tc>
        <w:tc>
          <w:tcPr>
            <w:tcW w:w="6392" w:type="dxa"/>
          </w:tcPr>
          <w:p w14:paraId="085FB767">
            <w:pPr>
              <w:adjustRightInd w:val="0"/>
              <w:snapToGrid w:val="0"/>
              <w:spacing w:line="460" w:lineRule="exact"/>
              <w:rPr>
                <w:b/>
                <w:sz w:val="36"/>
                <w:szCs w:val="30"/>
              </w:rPr>
            </w:pPr>
            <w:r>
              <w:rPr>
                <w:b/>
                <w:sz w:val="36"/>
                <w:szCs w:val="30"/>
              </w:rPr>
              <w:t>中材地质工程勘查研究院有限公司</w:t>
            </w:r>
          </w:p>
        </w:tc>
      </w:tr>
    </w:tbl>
    <w:p w14:paraId="67B52BDC">
      <w:pPr>
        <w:spacing w:line="460" w:lineRule="exact"/>
        <w:jc w:val="center"/>
        <w:rPr>
          <w:b/>
          <w:bCs/>
          <w:sz w:val="36"/>
          <w:szCs w:val="32"/>
        </w:rPr>
      </w:pPr>
    </w:p>
    <w:p w14:paraId="2C6096AD">
      <w:pPr>
        <w:spacing w:line="460" w:lineRule="exact"/>
        <w:jc w:val="center"/>
        <w:rPr>
          <w:b/>
          <w:bCs/>
          <w:sz w:val="36"/>
          <w:szCs w:val="32"/>
        </w:rPr>
      </w:pPr>
      <w:r>
        <w:rPr>
          <w:b/>
          <w:bCs/>
          <w:sz w:val="36"/>
          <w:szCs w:val="32"/>
        </w:rPr>
        <w:t>二〇二</w:t>
      </w:r>
      <w:r>
        <w:rPr>
          <w:rFonts w:hint="eastAsia"/>
          <w:b/>
          <w:bCs/>
          <w:sz w:val="36"/>
          <w:szCs w:val="32"/>
        </w:rPr>
        <w:t>六</w:t>
      </w:r>
      <w:r>
        <w:rPr>
          <w:b/>
          <w:bCs/>
          <w:sz w:val="36"/>
          <w:szCs w:val="32"/>
        </w:rPr>
        <w:t>年</w:t>
      </w:r>
      <w:r>
        <w:rPr>
          <w:rFonts w:hint="eastAsia"/>
          <w:b/>
          <w:bCs/>
          <w:sz w:val="36"/>
          <w:szCs w:val="32"/>
        </w:rPr>
        <w:t>五</w:t>
      </w:r>
      <w:r>
        <w:rPr>
          <w:b/>
          <w:bCs/>
          <w:sz w:val="36"/>
          <w:szCs w:val="32"/>
        </w:rPr>
        <w:t>月</w:t>
      </w:r>
    </w:p>
    <w:p w14:paraId="10813913">
      <w:pPr>
        <w:spacing w:line="460" w:lineRule="exact"/>
        <w:jc w:val="center"/>
        <w:rPr>
          <w:b/>
          <w:bCs/>
          <w:sz w:val="36"/>
          <w:szCs w:val="32"/>
        </w:rPr>
      </w:pPr>
    </w:p>
    <w:p w14:paraId="487759A8">
      <w:pPr>
        <w:spacing w:line="460" w:lineRule="exact"/>
        <w:jc w:val="center"/>
        <w:rPr>
          <w:b/>
          <w:bCs/>
          <w:sz w:val="36"/>
          <w:szCs w:val="32"/>
        </w:rPr>
        <w:sectPr>
          <w:headerReference r:id="rId3" w:type="even"/>
          <w:footerReference r:id="rId4" w:type="even"/>
          <w:pgSz w:w="11906" w:h="16838"/>
          <w:pgMar w:top="1418" w:right="1474" w:bottom="1418" w:left="1701" w:header="1304" w:footer="1247" w:gutter="0"/>
          <w:pgNumType w:start="1"/>
          <w:cols w:space="720" w:num="1"/>
          <w:docGrid w:linePitch="312" w:charSpace="0"/>
        </w:sectPr>
      </w:pPr>
    </w:p>
    <w:bookmarkEnd w:id="0"/>
    <w:p w14:paraId="1FBF155A">
      <w:pPr>
        <w:adjustRightInd w:val="0"/>
        <w:snapToGrid w:val="0"/>
        <w:spacing w:before="240" w:beforeLines="100" w:after="240" w:afterLines="100"/>
        <w:jc w:val="center"/>
        <w:outlineLvl w:val="0"/>
        <w:rPr>
          <w:b/>
          <w:sz w:val="32"/>
          <w:szCs w:val="32"/>
        </w:rPr>
      </w:pPr>
      <w:bookmarkStart w:id="1" w:name="_Toc165810442"/>
      <w:bookmarkStart w:id="2" w:name="_Toc165809669"/>
      <w:bookmarkStart w:id="3" w:name="_Toc219907619"/>
      <w:r>
        <w:rPr>
          <w:b/>
          <w:sz w:val="32"/>
          <w:szCs w:val="32"/>
        </w:rPr>
        <w:t>概  述</w:t>
      </w:r>
      <w:bookmarkEnd w:id="1"/>
      <w:bookmarkEnd w:id="2"/>
      <w:bookmarkEnd w:id="3"/>
    </w:p>
    <w:p w14:paraId="00A2EA20">
      <w:pPr>
        <w:adjustRightInd w:val="0"/>
        <w:snapToGrid w:val="0"/>
        <w:spacing w:line="460" w:lineRule="exact"/>
        <w:ind w:firstLine="522" w:firstLineChars="200"/>
        <w:rPr>
          <w:b/>
          <w:sz w:val="26"/>
          <w:szCs w:val="26"/>
        </w:rPr>
      </w:pPr>
      <w:r>
        <w:rPr>
          <w:rFonts w:hint="eastAsia"/>
          <w:b/>
          <w:sz w:val="26"/>
          <w:szCs w:val="26"/>
        </w:rPr>
        <w:t>一、项目由来</w:t>
      </w:r>
    </w:p>
    <w:p w14:paraId="71E923A4">
      <w:pPr>
        <w:adjustRightInd w:val="0"/>
        <w:snapToGrid w:val="0"/>
        <w:spacing w:line="460" w:lineRule="exact"/>
        <w:ind w:firstLine="520" w:firstLineChars="200"/>
        <w:rPr>
          <w:sz w:val="26"/>
          <w:szCs w:val="26"/>
        </w:rPr>
      </w:pPr>
      <w:r>
        <w:rPr>
          <w:rFonts w:hint="eastAsia"/>
          <w:bCs/>
          <w:sz w:val="26"/>
          <w:szCs w:val="26"/>
        </w:rPr>
        <w:t>为进一步探明四川盆地巴中地区***天然气储量，对该区域后续资源的规模化、有效化开发奠定基础，中国石油化工股份有限公司勘探分公司在</w:t>
      </w:r>
      <w:r>
        <w:rPr>
          <w:rFonts w:hint="eastAsia"/>
          <w:sz w:val="26"/>
          <w:szCs w:val="26"/>
        </w:rPr>
        <w:t>四川省巴中市恩阳区渔溪镇实施了“</w:t>
      </w:r>
      <w:r>
        <w:rPr>
          <w:rFonts w:hint="eastAsia" w:ascii="宋体" w:cs="宋体"/>
          <w:kern w:val="0"/>
          <w:sz w:val="26"/>
          <w:szCs w:val="26"/>
        </w:rPr>
        <w:t>巴中2HF井钻探工程</w:t>
      </w:r>
      <w:r>
        <w:rPr>
          <w:rFonts w:hint="eastAsia"/>
          <w:sz w:val="26"/>
          <w:szCs w:val="26"/>
        </w:rPr>
        <w:t>”和“</w:t>
      </w:r>
      <w:r>
        <w:rPr>
          <w:rFonts w:hint="eastAsia" w:ascii="宋体" w:cs="宋体"/>
          <w:kern w:val="0"/>
          <w:sz w:val="26"/>
          <w:szCs w:val="26"/>
        </w:rPr>
        <w:t>巴页2HF井钻探工程</w:t>
      </w:r>
      <w:r>
        <w:rPr>
          <w:rFonts w:hint="eastAsia"/>
          <w:sz w:val="26"/>
          <w:szCs w:val="26"/>
        </w:rPr>
        <w:t>”。</w:t>
      </w:r>
      <w:r>
        <w:rPr>
          <w:rFonts w:hint="eastAsia" w:ascii="宋体" w:cs="宋体"/>
          <w:kern w:val="0"/>
          <w:sz w:val="26"/>
          <w:szCs w:val="26"/>
        </w:rPr>
        <w:t>巴中2HF井和巴页2HF井位于同一钻井井场，目前均已完钻撤场，正在进行竣工环保验收工作。</w:t>
      </w:r>
    </w:p>
    <w:p w14:paraId="67840203">
      <w:pPr>
        <w:adjustRightInd w:val="0"/>
        <w:snapToGrid w:val="0"/>
        <w:spacing w:line="460" w:lineRule="exact"/>
        <w:ind w:firstLine="520" w:firstLineChars="200"/>
        <w:rPr>
          <w:bCs/>
          <w:sz w:val="26"/>
          <w:szCs w:val="26"/>
        </w:rPr>
      </w:pPr>
      <w:r>
        <w:rPr>
          <w:rFonts w:hint="eastAsia"/>
          <w:bCs/>
          <w:sz w:val="26"/>
          <w:szCs w:val="26"/>
        </w:rPr>
        <w:t>根据巴中2HF井和巴页2</w:t>
      </w:r>
      <w:r>
        <w:rPr>
          <w:bCs/>
          <w:sz w:val="26"/>
          <w:szCs w:val="26"/>
        </w:rPr>
        <w:t>HF</w:t>
      </w:r>
      <w:r>
        <w:rPr>
          <w:rFonts w:hint="eastAsia"/>
          <w:bCs/>
          <w:sz w:val="26"/>
          <w:szCs w:val="26"/>
        </w:rPr>
        <w:t>井测试放喷结论，巴中2HF井和巴页2</w:t>
      </w:r>
      <w:r>
        <w:rPr>
          <w:bCs/>
          <w:sz w:val="26"/>
          <w:szCs w:val="26"/>
        </w:rPr>
        <w:t>HF</w:t>
      </w:r>
      <w:r>
        <w:rPr>
          <w:rFonts w:hint="eastAsia"/>
          <w:bCs/>
          <w:sz w:val="26"/>
          <w:szCs w:val="26"/>
        </w:rPr>
        <w:t>井均属于中产气层，为了获取各项工业开采参数，为后续的正式开采提供设计依据，</w:t>
      </w:r>
      <w:bookmarkStart w:id="4" w:name="OLE_LINK4"/>
      <w:bookmarkStart w:id="5" w:name="OLE_LINK3"/>
      <w:r>
        <w:rPr>
          <w:rFonts w:hint="eastAsia"/>
          <w:bCs/>
          <w:sz w:val="26"/>
          <w:szCs w:val="26"/>
        </w:rPr>
        <w:t>中国石油化工股份有限公司西南油气分公司采气二厂</w:t>
      </w:r>
      <w:bookmarkEnd w:id="4"/>
      <w:bookmarkEnd w:id="5"/>
      <w:r>
        <w:rPr>
          <w:rFonts w:hint="eastAsia"/>
          <w:bCs/>
          <w:sz w:val="26"/>
          <w:szCs w:val="26"/>
        </w:rPr>
        <w:t>（以下简称“建设单位”）拟实施“巴中2HF井地面工程”，对巴中2HF井和巴页2</w:t>
      </w:r>
      <w:r>
        <w:rPr>
          <w:bCs/>
          <w:sz w:val="26"/>
          <w:szCs w:val="26"/>
        </w:rPr>
        <w:t>HF</w:t>
      </w:r>
      <w:r>
        <w:rPr>
          <w:rFonts w:hint="eastAsia"/>
          <w:bCs/>
          <w:sz w:val="26"/>
          <w:szCs w:val="26"/>
        </w:rPr>
        <w:t>井开展试采工作。</w:t>
      </w:r>
    </w:p>
    <w:p w14:paraId="550861E1">
      <w:pPr>
        <w:adjustRightInd w:val="0"/>
        <w:snapToGrid w:val="0"/>
        <w:spacing w:line="460" w:lineRule="exact"/>
        <w:ind w:firstLine="520" w:firstLineChars="200"/>
        <w:rPr>
          <w:bCs/>
          <w:sz w:val="26"/>
          <w:szCs w:val="26"/>
        </w:rPr>
      </w:pPr>
      <w:r>
        <w:rPr>
          <w:rFonts w:hint="eastAsia"/>
          <w:bCs/>
          <w:sz w:val="26"/>
          <w:szCs w:val="26"/>
        </w:rPr>
        <w:t>根据设计资料，本项目在现有巴中2HF井场内建设1座试采站场，对巴中2HF井和巴页2</w:t>
      </w:r>
      <w:r>
        <w:rPr>
          <w:bCs/>
          <w:sz w:val="26"/>
          <w:szCs w:val="26"/>
        </w:rPr>
        <w:t>HF</w:t>
      </w:r>
      <w:r>
        <w:rPr>
          <w:rFonts w:hint="eastAsia"/>
          <w:bCs/>
          <w:sz w:val="26"/>
          <w:szCs w:val="26"/>
        </w:rPr>
        <w:t>井进行试采，</w:t>
      </w:r>
      <w:r>
        <w:rPr>
          <w:rFonts w:hint="eastAsia"/>
          <w:sz w:val="26"/>
          <w:szCs w:val="26"/>
        </w:rPr>
        <w:t>巴中2HF井设计采气规模</w:t>
      </w:r>
      <w:r>
        <w:rPr>
          <w:sz w:val="26"/>
          <w:szCs w:val="26"/>
        </w:rPr>
        <w:t>0.5</w:t>
      </w:r>
      <w:r>
        <w:rPr>
          <w:rFonts w:hint="eastAsia"/>
          <w:sz w:val="26"/>
          <w:szCs w:val="26"/>
        </w:rPr>
        <w:t>万m</w:t>
      </w:r>
      <w:r>
        <w:rPr>
          <w:rFonts w:hint="eastAsia"/>
          <w:sz w:val="26"/>
          <w:szCs w:val="26"/>
          <w:vertAlign w:val="superscript"/>
        </w:rPr>
        <w:t>3</w:t>
      </w:r>
      <w:r>
        <w:rPr>
          <w:rFonts w:hint="eastAsia"/>
          <w:sz w:val="26"/>
          <w:szCs w:val="26"/>
        </w:rPr>
        <w:t>/d，产凝析油规模</w:t>
      </w:r>
      <w:r>
        <w:rPr>
          <w:sz w:val="26"/>
          <w:szCs w:val="26"/>
        </w:rPr>
        <w:t>6</w:t>
      </w:r>
      <w:r>
        <w:rPr>
          <w:rFonts w:hint="eastAsia"/>
          <w:sz w:val="26"/>
          <w:szCs w:val="26"/>
        </w:rPr>
        <w:t>m</w:t>
      </w:r>
      <w:r>
        <w:rPr>
          <w:rFonts w:hint="eastAsia"/>
          <w:sz w:val="26"/>
          <w:szCs w:val="26"/>
          <w:vertAlign w:val="superscript"/>
        </w:rPr>
        <w:t>3</w:t>
      </w:r>
      <w:r>
        <w:rPr>
          <w:rFonts w:hint="eastAsia"/>
          <w:sz w:val="26"/>
          <w:szCs w:val="26"/>
        </w:rPr>
        <w:t>/d；巴页2HF井设计采气规模</w:t>
      </w:r>
      <w:r>
        <w:rPr>
          <w:sz w:val="26"/>
          <w:szCs w:val="26"/>
        </w:rPr>
        <w:t>1.5</w:t>
      </w:r>
      <w:r>
        <w:rPr>
          <w:rFonts w:hint="eastAsia"/>
          <w:sz w:val="26"/>
          <w:szCs w:val="26"/>
        </w:rPr>
        <w:t>万m</w:t>
      </w:r>
      <w:r>
        <w:rPr>
          <w:rFonts w:hint="eastAsia"/>
          <w:sz w:val="26"/>
          <w:szCs w:val="26"/>
          <w:vertAlign w:val="superscript"/>
        </w:rPr>
        <w:t>3</w:t>
      </w:r>
      <w:r>
        <w:rPr>
          <w:rFonts w:hint="eastAsia"/>
          <w:sz w:val="26"/>
          <w:szCs w:val="26"/>
        </w:rPr>
        <w:t>/d，产凝析油规模</w:t>
      </w:r>
      <w:r>
        <w:rPr>
          <w:sz w:val="26"/>
          <w:szCs w:val="26"/>
        </w:rPr>
        <w:t>6</w:t>
      </w:r>
      <w:r>
        <w:rPr>
          <w:rFonts w:hint="eastAsia"/>
          <w:sz w:val="26"/>
          <w:szCs w:val="26"/>
        </w:rPr>
        <w:t>m</w:t>
      </w:r>
      <w:r>
        <w:rPr>
          <w:rFonts w:hint="eastAsia"/>
          <w:sz w:val="26"/>
          <w:szCs w:val="26"/>
          <w:vertAlign w:val="superscript"/>
        </w:rPr>
        <w:t>3</w:t>
      </w:r>
      <w:r>
        <w:rPr>
          <w:rFonts w:hint="eastAsia"/>
          <w:sz w:val="26"/>
          <w:szCs w:val="26"/>
        </w:rPr>
        <w:t>/d</w:t>
      </w:r>
      <w:r>
        <w:rPr>
          <w:rFonts w:hint="eastAsia"/>
          <w:bCs/>
          <w:sz w:val="26"/>
          <w:szCs w:val="26"/>
        </w:rPr>
        <w:t>；</w:t>
      </w:r>
      <w:r>
        <w:rPr>
          <w:sz w:val="26"/>
          <w:szCs w:val="26"/>
        </w:rPr>
        <w:t>站场天然气采用加热节流、分离过滤、计量的工艺，处理后的天然气经脱水、增压后采用CNG方式就地销售</w:t>
      </w:r>
      <w:r>
        <w:rPr>
          <w:rFonts w:hint="eastAsia"/>
          <w:sz w:val="26"/>
          <w:szCs w:val="26"/>
        </w:rPr>
        <w:t>；站场混烃采用加热微正压闪蒸的工艺，稳定后的凝析油作为副产品通过罐车拉运外销。</w:t>
      </w:r>
      <w:r>
        <w:rPr>
          <w:rFonts w:hint="eastAsia"/>
          <w:bCs/>
          <w:sz w:val="26"/>
          <w:szCs w:val="26"/>
        </w:rPr>
        <w:t>本次巴中2HF井和巴页2</w:t>
      </w:r>
      <w:r>
        <w:rPr>
          <w:bCs/>
          <w:sz w:val="26"/>
          <w:szCs w:val="26"/>
        </w:rPr>
        <w:t>HF</w:t>
      </w:r>
      <w:r>
        <w:rPr>
          <w:rFonts w:hint="eastAsia"/>
          <w:bCs/>
          <w:sz w:val="26"/>
          <w:szCs w:val="26"/>
        </w:rPr>
        <w:t>井试采结束后，若产能达到预期，则转为生产井，后期天然气的正式开采纳入区块环评中一并进行评价；若产能不达预期，试采结束后则拆除相关设备，将井站井口用水泥封固，井口之外区域恢复土地原有性质。项目总投资</w:t>
      </w:r>
      <w:r>
        <w:rPr>
          <w:bCs/>
          <w:sz w:val="26"/>
          <w:szCs w:val="26"/>
        </w:rPr>
        <w:t>***</w:t>
      </w:r>
      <w:r>
        <w:rPr>
          <w:rFonts w:hint="eastAsia"/>
          <w:bCs/>
          <w:sz w:val="26"/>
          <w:szCs w:val="26"/>
        </w:rPr>
        <w:t>万元，其中环保投资</w:t>
      </w:r>
      <w:r>
        <w:rPr>
          <w:bCs/>
          <w:sz w:val="26"/>
          <w:szCs w:val="26"/>
        </w:rPr>
        <w:t>***</w:t>
      </w:r>
      <w:r>
        <w:rPr>
          <w:rFonts w:hint="eastAsia"/>
          <w:bCs/>
          <w:sz w:val="26"/>
          <w:szCs w:val="26"/>
        </w:rPr>
        <w:t>万元，约占总投资的</w:t>
      </w:r>
      <w:r>
        <w:rPr>
          <w:bCs/>
          <w:sz w:val="26"/>
          <w:szCs w:val="26"/>
        </w:rPr>
        <w:t>***</w:t>
      </w:r>
      <w:r>
        <w:rPr>
          <w:rFonts w:hint="eastAsia"/>
          <w:bCs/>
          <w:sz w:val="26"/>
          <w:szCs w:val="26"/>
        </w:rPr>
        <w:t>。</w:t>
      </w:r>
    </w:p>
    <w:p w14:paraId="23DAFBAD">
      <w:pPr>
        <w:adjustRightInd w:val="0"/>
        <w:snapToGrid w:val="0"/>
        <w:spacing w:line="460" w:lineRule="exact"/>
        <w:ind w:firstLine="520" w:firstLineChars="200"/>
        <w:rPr>
          <w:bCs/>
          <w:sz w:val="26"/>
          <w:szCs w:val="26"/>
        </w:rPr>
      </w:pPr>
      <w:r>
        <w:rPr>
          <w:rFonts w:hint="eastAsia"/>
          <w:bCs/>
          <w:sz w:val="26"/>
          <w:szCs w:val="26"/>
        </w:rPr>
        <w:t>根据《中华人民共和国环境保护法》、《中华人民共和国环境影响评价法》、《建设项目环境保护管理条例》（国务院第682号令）的有关规定，本项目需进行环境影响评价。根据现场调查，本项目试采站占用永久基本农田，且位于嘉陵江及沱江中下游国家级水土流失重点治理区（</w:t>
      </w:r>
      <w:r>
        <w:rPr>
          <w:rFonts w:hint="eastAsia"/>
          <w:sz w:val="26"/>
          <w:szCs w:val="26"/>
        </w:rPr>
        <w:t>详见</w:t>
      </w:r>
      <w:r>
        <w:rPr>
          <w:rFonts w:hint="eastAsia"/>
          <w:sz w:val="26"/>
          <w:szCs w:val="26"/>
          <w:u w:val="single"/>
        </w:rPr>
        <w:t>附图</w:t>
      </w:r>
      <w:r>
        <w:rPr>
          <w:sz w:val="26"/>
          <w:szCs w:val="26"/>
          <w:u w:val="single"/>
        </w:rPr>
        <w:t>21</w:t>
      </w:r>
      <w:r>
        <w:rPr>
          <w:rFonts w:hint="eastAsia"/>
          <w:sz w:val="26"/>
          <w:szCs w:val="26"/>
        </w:rPr>
        <w:t>）</w:t>
      </w:r>
      <w:r>
        <w:rPr>
          <w:rFonts w:hint="eastAsia"/>
          <w:bCs/>
          <w:sz w:val="26"/>
          <w:szCs w:val="26"/>
        </w:rPr>
        <w:t>，对照《建设项目环境影响评价分类管理名录》（2021年版），本工程属于“五、陆地天然气开采0721”中的“新区块开发，年生产能力1亿立方米及以上的煤层气开采；涉及环境敏感区的（含内部集输管线建设）”，应当编制环境影响报告书。</w:t>
      </w:r>
    </w:p>
    <w:p w14:paraId="22F5F025">
      <w:pPr>
        <w:adjustRightInd w:val="0"/>
        <w:snapToGrid w:val="0"/>
        <w:spacing w:line="460" w:lineRule="exact"/>
        <w:ind w:firstLine="520" w:firstLineChars="200"/>
        <w:rPr>
          <w:bCs/>
          <w:sz w:val="26"/>
          <w:szCs w:val="26"/>
        </w:rPr>
      </w:pPr>
      <w:r>
        <w:rPr>
          <w:rFonts w:hint="eastAsia"/>
          <w:bCs/>
          <w:sz w:val="26"/>
          <w:szCs w:val="26"/>
        </w:rPr>
        <w:t>接受委托后，我公司随即成立了项目组，组织技术人员对工程所在区域的自然生态环境、环境保护目标等进行了现场踏勘，并收集区域土地利用现状、自然保护区、风景名胜区、永久基本农田分布情况等相关资料。通过现场调查、相关部门咨询及资料收集和分析，结合项目特征和周边环境特征，以及区域相关规划情况，根据环境影响评价导则确定各环境要素评价工作等级，在此基础上制定了环境质量现状监测方案开展环境质量现状监测，对各环境要素进行环境影响预测和评价，并提出针对性的污染防治和生态保护措施，在此基础上编制完成了《巴中2HF井地面工程环境影响报告书》，特此呈报。</w:t>
      </w:r>
    </w:p>
    <w:p w14:paraId="500A7C2E">
      <w:pPr>
        <w:adjustRightInd w:val="0"/>
        <w:snapToGrid w:val="0"/>
        <w:spacing w:line="460" w:lineRule="exact"/>
        <w:ind w:firstLine="522" w:firstLineChars="200"/>
        <w:rPr>
          <w:b/>
          <w:sz w:val="26"/>
          <w:szCs w:val="26"/>
        </w:rPr>
      </w:pPr>
      <w:r>
        <w:rPr>
          <w:rFonts w:hint="eastAsia"/>
          <w:b/>
          <w:sz w:val="26"/>
          <w:szCs w:val="26"/>
        </w:rPr>
        <w:t>二、评价内容和时段</w:t>
      </w:r>
    </w:p>
    <w:p w14:paraId="3D4AC827">
      <w:pPr>
        <w:adjustRightInd w:val="0"/>
        <w:snapToGrid w:val="0"/>
        <w:spacing w:line="460" w:lineRule="exact"/>
        <w:ind w:firstLine="520" w:firstLineChars="200"/>
        <w:rPr>
          <w:bCs/>
          <w:sz w:val="26"/>
          <w:szCs w:val="26"/>
        </w:rPr>
      </w:pPr>
      <w:r>
        <w:rPr>
          <w:rFonts w:hint="eastAsia"/>
          <w:bCs/>
          <w:sz w:val="26"/>
          <w:szCs w:val="26"/>
        </w:rPr>
        <w:t>（1）评价内容</w:t>
      </w:r>
    </w:p>
    <w:p w14:paraId="78ED5908">
      <w:pPr>
        <w:adjustRightInd w:val="0"/>
        <w:snapToGrid w:val="0"/>
        <w:spacing w:line="460" w:lineRule="exact"/>
        <w:ind w:firstLine="520" w:firstLineChars="200"/>
        <w:rPr>
          <w:bCs/>
          <w:sz w:val="26"/>
          <w:szCs w:val="26"/>
        </w:rPr>
      </w:pPr>
      <w:r>
        <w:rPr>
          <w:rFonts w:hint="eastAsia"/>
          <w:bCs/>
          <w:sz w:val="26"/>
          <w:szCs w:val="26"/>
        </w:rPr>
        <w:t>①从环境保护的角度论证本项目建设选址合理性。</w:t>
      </w:r>
    </w:p>
    <w:p w14:paraId="447D7214">
      <w:pPr>
        <w:adjustRightInd w:val="0"/>
        <w:snapToGrid w:val="0"/>
        <w:spacing w:line="460" w:lineRule="exact"/>
        <w:ind w:firstLine="520" w:firstLineChars="200"/>
        <w:rPr>
          <w:bCs/>
          <w:sz w:val="26"/>
          <w:szCs w:val="26"/>
        </w:rPr>
      </w:pPr>
      <w:r>
        <w:rPr>
          <w:rFonts w:hint="eastAsia"/>
          <w:bCs/>
          <w:sz w:val="26"/>
          <w:szCs w:val="26"/>
        </w:rPr>
        <w:t>②对本项目拟建试采站可能会对区域内的生态环境、环境空气、地表水环境、地下水环境、土壤环境以及声环境等带来的生态破坏、环境污染影响和环境风险影响进行全面分析评价，提出可行环境保护措施。</w:t>
      </w:r>
    </w:p>
    <w:p w14:paraId="1B8E51F1">
      <w:pPr>
        <w:adjustRightInd w:val="0"/>
        <w:snapToGrid w:val="0"/>
        <w:spacing w:line="460" w:lineRule="exact"/>
        <w:ind w:firstLine="520" w:firstLineChars="200"/>
        <w:rPr>
          <w:bCs/>
          <w:sz w:val="26"/>
          <w:szCs w:val="26"/>
        </w:rPr>
      </w:pPr>
      <w:r>
        <w:rPr>
          <w:rFonts w:hint="eastAsia"/>
          <w:bCs/>
          <w:sz w:val="26"/>
          <w:szCs w:val="26"/>
        </w:rPr>
        <w:t>③对已建钻井工程的建设情况、环评批复执行情况、实际环境影响进行回顾性调查，对存在的环境问题提出整改措施建议。</w:t>
      </w:r>
    </w:p>
    <w:p w14:paraId="3DEA5AE0">
      <w:pPr>
        <w:adjustRightInd w:val="0"/>
        <w:snapToGrid w:val="0"/>
        <w:spacing w:line="460" w:lineRule="exact"/>
        <w:ind w:firstLine="520" w:firstLineChars="200"/>
        <w:rPr>
          <w:bCs/>
          <w:sz w:val="26"/>
          <w:szCs w:val="26"/>
        </w:rPr>
      </w:pPr>
      <w:r>
        <w:rPr>
          <w:rFonts w:hint="eastAsia"/>
          <w:bCs/>
          <w:sz w:val="26"/>
          <w:szCs w:val="26"/>
        </w:rPr>
        <w:t>（2）评价时段</w:t>
      </w:r>
    </w:p>
    <w:p w14:paraId="62AD126C">
      <w:pPr>
        <w:adjustRightInd w:val="0"/>
        <w:snapToGrid w:val="0"/>
        <w:spacing w:line="460" w:lineRule="exact"/>
        <w:ind w:firstLine="520" w:firstLineChars="200"/>
        <w:rPr>
          <w:bCs/>
          <w:sz w:val="26"/>
          <w:szCs w:val="26"/>
        </w:rPr>
      </w:pPr>
      <w:r>
        <w:rPr>
          <w:rFonts w:hint="eastAsia"/>
          <w:bCs/>
          <w:sz w:val="26"/>
          <w:szCs w:val="26"/>
        </w:rPr>
        <w:t>根据《环境影响评价技术导则 陆地石油天然气开发建设项目》（HJ349-2023）中的有关规定，本次评价时段分施工期、试采期和退役期三个时段来开展环境影响评价。</w:t>
      </w:r>
    </w:p>
    <w:p w14:paraId="24A8AB47">
      <w:pPr>
        <w:adjustRightInd w:val="0"/>
        <w:snapToGrid w:val="0"/>
        <w:spacing w:line="460" w:lineRule="exact"/>
        <w:ind w:firstLine="522" w:firstLineChars="200"/>
        <w:rPr>
          <w:b/>
          <w:sz w:val="26"/>
          <w:szCs w:val="26"/>
        </w:rPr>
      </w:pPr>
      <w:r>
        <w:rPr>
          <w:rFonts w:hint="eastAsia"/>
          <w:b/>
          <w:sz w:val="26"/>
          <w:szCs w:val="26"/>
        </w:rPr>
        <w:t>三、建设项目特点</w:t>
      </w:r>
    </w:p>
    <w:p w14:paraId="75BF87CD">
      <w:pPr>
        <w:adjustRightInd w:val="0"/>
        <w:snapToGrid w:val="0"/>
        <w:spacing w:line="460" w:lineRule="exact"/>
        <w:ind w:firstLine="520" w:firstLineChars="200"/>
        <w:rPr>
          <w:bCs/>
          <w:sz w:val="26"/>
          <w:szCs w:val="26"/>
        </w:rPr>
      </w:pPr>
      <w:r>
        <w:rPr>
          <w:rFonts w:hint="eastAsia"/>
          <w:bCs/>
          <w:sz w:val="26"/>
          <w:szCs w:val="26"/>
        </w:rPr>
        <w:t>（1）本项目在原巴中2HF井钻井井场内建设，</w:t>
      </w:r>
      <w:r>
        <w:rPr>
          <w:rFonts w:hint="eastAsia"/>
          <w:b/>
          <w:bCs/>
          <w:sz w:val="26"/>
          <w:szCs w:val="26"/>
        </w:rPr>
        <w:t>不新增占地</w:t>
      </w:r>
      <w:r>
        <w:rPr>
          <w:rFonts w:hint="eastAsia"/>
          <w:bCs/>
          <w:sz w:val="26"/>
          <w:szCs w:val="26"/>
        </w:rPr>
        <w:t>。</w:t>
      </w:r>
    </w:p>
    <w:p w14:paraId="4FC9A87A">
      <w:pPr>
        <w:adjustRightInd w:val="0"/>
        <w:snapToGrid w:val="0"/>
        <w:spacing w:line="460" w:lineRule="exact"/>
        <w:ind w:firstLine="520" w:firstLineChars="200"/>
        <w:rPr>
          <w:bCs/>
          <w:sz w:val="26"/>
          <w:szCs w:val="26"/>
        </w:rPr>
      </w:pPr>
      <w:r>
        <w:rPr>
          <w:rFonts w:hint="eastAsia"/>
          <w:bCs/>
          <w:sz w:val="26"/>
          <w:szCs w:val="26"/>
        </w:rPr>
        <w:t>（2）根据区域***天然气井气质报告，本项目天然气不含硫化氢，为不含硫气井。</w:t>
      </w:r>
    </w:p>
    <w:p w14:paraId="06512478">
      <w:pPr>
        <w:adjustRightInd w:val="0"/>
        <w:snapToGrid w:val="0"/>
        <w:spacing w:line="460" w:lineRule="exact"/>
        <w:ind w:firstLine="520" w:firstLineChars="200"/>
        <w:rPr>
          <w:bCs/>
          <w:sz w:val="26"/>
          <w:szCs w:val="26"/>
        </w:rPr>
      </w:pPr>
      <w:r>
        <w:rPr>
          <w:rFonts w:hint="eastAsia"/>
          <w:bCs/>
          <w:sz w:val="26"/>
          <w:szCs w:val="26"/>
        </w:rPr>
        <w:t>（3）本项目天然气含有凝析油，关注凝析油的环境风险。</w:t>
      </w:r>
    </w:p>
    <w:p w14:paraId="71F0C264">
      <w:pPr>
        <w:adjustRightInd w:val="0"/>
        <w:snapToGrid w:val="0"/>
        <w:spacing w:line="460" w:lineRule="exact"/>
        <w:ind w:firstLine="520" w:firstLineChars="200"/>
        <w:rPr>
          <w:bCs/>
          <w:sz w:val="26"/>
          <w:szCs w:val="26"/>
        </w:rPr>
      </w:pPr>
      <w:r>
        <w:rPr>
          <w:rFonts w:hint="eastAsia"/>
          <w:bCs/>
          <w:sz w:val="26"/>
          <w:szCs w:val="26"/>
        </w:rPr>
        <w:t>（4）本项目位于国家级水土流失重点治理区，关注项目建设对区域水土保持的影响。</w:t>
      </w:r>
    </w:p>
    <w:p w14:paraId="3C5E7C60">
      <w:pPr>
        <w:adjustRightInd w:val="0"/>
        <w:snapToGrid w:val="0"/>
        <w:spacing w:line="460" w:lineRule="exact"/>
        <w:ind w:firstLine="522" w:firstLineChars="200"/>
        <w:rPr>
          <w:b/>
          <w:sz w:val="26"/>
          <w:szCs w:val="26"/>
        </w:rPr>
      </w:pPr>
      <w:r>
        <w:rPr>
          <w:rFonts w:hint="eastAsia"/>
          <w:b/>
          <w:sz w:val="26"/>
          <w:szCs w:val="26"/>
        </w:rPr>
        <w:t>四、环境影响评价工作过程</w:t>
      </w:r>
    </w:p>
    <w:p w14:paraId="0FD64712">
      <w:pPr>
        <w:adjustRightInd w:val="0"/>
        <w:snapToGrid w:val="0"/>
        <w:spacing w:line="460" w:lineRule="exact"/>
        <w:ind w:firstLine="520" w:firstLineChars="200"/>
        <w:rPr>
          <w:bCs/>
          <w:sz w:val="26"/>
          <w:szCs w:val="26"/>
        </w:rPr>
      </w:pPr>
      <w:r>
        <w:rPr>
          <w:rFonts w:hint="eastAsia"/>
          <w:bCs/>
          <w:sz w:val="26"/>
          <w:szCs w:val="26"/>
        </w:rPr>
        <w:t>（1）准备阶段</w:t>
      </w:r>
    </w:p>
    <w:p w14:paraId="2A712900">
      <w:pPr>
        <w:adjustRightInd w:val="0"/>
        <w:snapToGrid w:val="0"/>
        <w:spacing w:line="460" w:lineRule="exact"/>
        <w:ind w:firstLine="520" w:firstLineChars="200"/>
        <w:rPr>
          <w:bCs/>
          <w:sz w:val="26"/>
          <w:szCs w:val="26"/>
        </w:rPr>
      </w:pPr>
      <w:r>
        <w:rPr>
          <w:rFonts w:hint="eastAsia"/>
          <w:bCs/>
          <w:sz w:val="26"/>
          <w:szCs w:val="26"/>
        </w:rPr>
        <w:t>我司承担“巴中2HF井地面工程”环评工作后，根据建设单位提供的项目资料，确立了如下环评工作思路：</w:t>
      </w:r>
    </w:p>
    <w:p w14:paraId="523EA5F6">
      <w:pPr>
        <w:adjustRightInd w:val="0"/>
        <w:snapToGrid w:val="0"/>
        <w:spacing w:line="460" w:lineRule="exact"/>
        <w:ind w:firstLine="520" w:firstLineChars="200"/>
        <w:rPr>
          <w:bCs/>
          <w:sz w:val="26"/>
          <w:szCs w:val="26"/>
        </w:rPr>
      </w:pPr>
      <w:r>
        <w:rPr>
          <w:rFonts w:hint="eastAsia"/>
          <w:bCs/>
          <w:sz w:val="26"/>
          <w:szCs w:val="26"/>
        </w:rPr>
        <w:t>①编制环境影响评价工作方案；</w:t>
      </w:r>
    </w:p>
    <w:p w14:paraId="4871BAB7">
      <w:pPr>
        <w:adjustRightInd w:val="0"/>
        <w:snapToGrid w:val="0"/>
        <w:spacing w:line="460" w:lineRule="exact"/>
        <w:ind w:firstLine="520" w:firstLineChars="200"/>
        <w:rPr>
          <w:bCs/>
          <w:sz w:val="26"/>
          <w:szCs w:val="26"/>
        </w:rPr>
      </w:pPr>
      <w:r>
        <w:rPr>
          <w:rFonts w:hint="eastAsia"/>
          <w:bCs/>
          <w:sz w:val="26"/>
          <w:szCs w:val="26"/>
        </w:rPr>
        <w:t>②根据项目设计资料，针对天然气开采特点，进行了环境影响识别；</w:t>
      </w:r>
    </w:p>
    <w:p w14:paraId="4E14CAFB">
      <w:pPr>
        <w:adjustRightInd w:val="0"/>
        <w:snapToGrid w:val="0"/>
        <w:spacing w:line="460" w:lineRule="exact"/>
        <w:ind w:firstLine="520" w:firstLineChars="200"/>
        <w:rPr>
          <w:bCs/>
          <w:sz w:val="26"/>
          <w:szCs w:val="26"/>
        </w:rPr>
      </w:pPr>
      <w:r>
        <w:rPr>
          <w:rFonts w:hint="eastAsia"/>
          <w:bCs/>
          <w:sz w:val="26"/>
          <w:szCs w:val="26"/>
        </w:rPr>
        <w:t>③在影响识别的基础上，对项目可能产生的生态环境、环境空气、地表水、地下水、声环境、土壤等影响和环境风险进行深入分析及预测，并论证本项目的环境可行性；</w:t>
      </w:r>
    </w:p>
    <w:p w14:paraId="0EBBEA7C">
      <w:pPr>
        <w:adjustRightInd w:val="0"/>
        <w:snapToGrid w:val="0"/>
        <w:spacing w:line="460" w:lineRule="exact"/>
        <w:ind w:firstLine="520" w:firstLineChars="200"/>
        <w:rPr>
          <w:bCs/>
          <w:sz w:val="26"/>
          <w:szCs w:val="26"/>
        </w:rPr>
      </w:pPr>
      <w:r>
        <w:rPr>
          <w:rFonts w:hint="eastAsia"/>
          <w:bCs/>
          <w:sz w:val="26"/>
          <w:szCs w:val="26"/>
        </w:rPr>
        <w:t>④对本项目可能带来的环境影响，提出有针对性的环境保护措施和环境风险防控措施。</w:t>
      </w:r>
    </w:p>
    <w:p w14:paraId="5A1F4EB8">
      <w:pPr>
        <w:adjustRightInd w:val="0"/>
        <w:snapToGrid w:val="0"/>
        <w:spacing w:line="460" w:lineRule="exact"/>
        <w:ind w:firstLine="520" w:firstLineChars="200"/>
        <w:rPr>
          <w:bCs/>
          <w:sz w:val="26"/>
          <w:szCs w:val="26"/>
        </w:rPr>
      </w:pPr>
      <w:r>
        <w:rPr>
          <w:rFonts w:hint="eastAsia"/>
          <w:bCs/>
          <w:sz w:val="26"/>
          <w:szCs w:val="26"/>
        </w:rPr>
        <w:t>（2）环境影响评价工作阶段</w:t>
      </w:r>
    </w:p>
    <w:p w14:paraId="7E1BC11B">
      <w:pPr>
        <w:adjustRightInd w:val="0"/>
        <w:snapToGrid w:val="0"/>
        <w:spacing w:line="460" w:lineRule="exact"/>
        <w:ind w:firstLine="520" w:firstLineChars="200"/>
        <w:rPr>
          <w:bCs/>
          <w:sz w:val="26"/>
          <w:szCs w:val="26"/>
        </w:rPr>
      </w:pPr>
      <w:r>
        <w:rPr>
          <w:rFonts w:hint="eastAsia"/>
          <w:bCs/>
          <w:sz w:val="26"/>
          <w:szCs w:val="26"/>
        </w:rPr>
        <w:t>①环境敏感区筛查</w:t>
      </w:r>
    </w:p>
    <w:p w14:paraId="09CC27F7">
      <w:pPr>
        <w:adjustRightInd w:val="0"/>
        <w:snapToGrid w:val="0"/>
        <w:spacing w:line="460" w:lineRule="exact"/>
        <w:ind w:firstLine="520" w:firstLineChars="200"/>
        <w:rPr>
          <w:bCs/>
          <w:sz w:val="26"/>
          <w:szCs w:val="26"/>
        </w:rPr>
      </w:pPr>
      <w:r>
        <w:rPr>
          <w:rFonts w:hint="eastAsia"/>
          <w:bCs/>
          <w:sz w:val="26"/>
          <w:szCs w:val="26"/>
        </w:rPr>
        <w:t>接受委托后，我单位多次对区域环境进行了详查，查明区域自然保护区、饮用水源保护区、基本农田保护区、风景名胜区、森林公园等各类环境敏感区的分布情况。</w:t>
      </w:r>
    </w:p>
    <w:p w14:paraId="7825EBA5">
      <w:pPr>
        <w:adjustRightInd w:val="0"/>
        <w:snapToGrid w:val="0"/>
        <w:spacing w:line="460" w:lineRule="exact"/>
        <w:ind w:firstLine="520" w:firstLineChars="200"/>
        <w:rPr>
          <w:bCs/>
          <w:sz w:val="26"/>
          <w:szCs w:val="26"/>
        </w:rPr>
      </w:pPr>
      <w:r>
        <w:rPr>
          <w:rFonts w:hint="eastAsia"/>
          <w:bCs/>
          <w:sz w:val="26"/>
          <w:szCs w:val="26"/>
        </w:rPr>
        <w:t>②环境现状调查</w:t>
      </w:r>
    </w:p>
    <w:p w14:paraId="61CE0CA1">
      <w:pPr>
        <w:adjustRightInd w:val="0"/>
        <w:snapToGrid w:val="0"/>
        <w:spacing w:line="460" w:lineRule="exact"/>
        <w:ind w:firstLine="520" w:firstLineChars="200"/>
        <w:rPr>
          <w:bCs/>
          <w:sz w:val="26"/>
          <w:szCs w:val="26"/>
        </w:rPr>
      </w:pPr>
      <w:r>
        <w:rPr>
          <w:rFonts w:hint="eastAsia"/>
          <w:bCs/>
          <w:sz w:val="26"/>
          <w:szCs w:val="26"/>
        </w:rPr>
        <w:t>结合项目所在区域已有现状监测资料，同时进行了项目区域其他要素的现状补充监测工作。</w:t>
      </w:r>
    </w:p>
    <w:p w14:paraId="38C767B6">
      <w:pPr>
        <w:adjustRightInd w:val="0"/>
        <w:snapToGrid w:val="0"/>
        <w:spacing w:line="460" w:lineRule="exact"/>
        <w:ind w:firstLine="520" w:firstLineChars="200"/>
        <w:rPr>
          <w:bCs/>
          <w:sz w:val="26"/>
          <w:szCs w:val="26"/>
        </w:rPr>
      </w:pPr>
      <w:r>
        <w:rPr>
          <w:rFonts w:hint="eastAsia"/>
          <w:bCs/>
          <w:sz w:val="26"/>
          <w:szCs w:val="26"/>
        </w:rPr>
        <w:t>③环境影响评价工作</w:t>
      </w:r>
    </w:p>
    <w:p w14:paraId="54E2882F">
      <w:pPr>
        <w:adjustRightInd w:val="0"/>
        <w:snapToGrid w:val="0"/>
        <w:spacing w:line="460" w:lineRule="exact"/>
        <w:ind w:firstLine="520" w:firstLineChars="200"/>
        <w:rPr>
          <w:bCs/>
          <w:sz w:val="26"/>
          <w:szCs w:val="26"/>
        </w:rPr>
      </w:pPr>
      <w:r>
        <w:rPr>
          <w:rFonts w:hint="eastAsia"/>
          <w:bCs/>
          <w:sz w:val="26"/>
          <w:szCs w:val="26"/>
        </w:rPr>
        <w:t>根据调查、收集到的有关文件、资料，在环境现状调查结果的基础上，对本项目各环境要素的环境影响和环境风险进行了分析、预测及评价，提出环境保护措施。</w:t>
      </w:r>
    </w:p>
    <w:p w14:paraId="118F4F77">
      <w:pPr>
        <w:adjustRightInd w:val="0"/>
        <w:snapToGrid w:val="0"/>
        <w:spacing w:line="460" w:lineRule="exact"/>
        <w:ind w:firstLine="520" w:firstLineChars="200"/>
        <w:rPr>
          <w:bCs/>
          <w:sz w:val="26"/>
          <w:szCs w:val="26"/>
        </w:rPr>
      </w:pPr>
      <w:r>
        <w:rPr>
          <w:rFonts w:hint="eastAsia"/>
          <w:bCs/>
          <w:sz w:val="26"/>
          <w:szCs w:val="26"/>
        </w:rPr>
        <w:t>（3）编制环境影响报告书</w:t>
      </w:r>
    </w:p>
    <w:p w14:paraId="41E83A48">
      <w:pPr>
        <w:adjustRightInd w:val="0"/>
        <w:snapToGrid w:val="0"/>
        <w:spacing w:line="460" w:lineRule="exact"/>
        <w:ind w:firstLine="520" w:firstLineChars="200"/>
        <w:rPr>
          <w:bCs/>
          <w:sz w:val="26"/>
          <w:szCs w:val="26"/>
        </w:rPr>
      </w:pPr>
      <w:r>
        <w:rPr>
          <w:rFonts w:hint="eastAsia"/>
          <w:bCs/>
          <w:sz w:val="26"/>
          <w:szCs w:val="26"/>
        </w:rPr>
        <w:t>整理各环境要素的分析、预测成果，评价工程建设对各环境要素的影响，编制环境影响报告书，论证本项目建设的环境可行性。</w:t>
      </w:r>
    </w:p>
    <w:p w14:paraId="0510C2E3">
      <w:pPr>
        <w:adjustRightInd w:val="0"/>
        <w:snapToGrid w:val="0"/>
        <w:spacing w:line="460" w:lineRule="exact"/>
        <w:ind w:firstLine="520" w:firstLineChars="200"/>
        <w:rPr>
          <w:bCs/>
          <w:sz w:val="26"/>
          <w:szCs w:val="26"/>
        </w:rPr>
      </w:pPr>
      <w:r>
        <w:rPr>
          <w:rFonts w:hint="eastAsia"/>
          <w:bCs/>
          <w:sz w:val="26"/>
          <w:szCs w:val="26"/>
        </w:rPr>
        <w:t>（4）公众参与</w:t>
      </w:r>
    </w:p>
    <w:p w14:paraId="6F113310">
      <w:pPr>
        <w:adjustRightInd w:val="0"/>
        <w:snapToGrid w:val="0"/>
        <w:spacing w:line="460" w:lineRule="exact"/>
        <w:ind w:firstLine="520" w:firstLineChars="200"/>
        <w:rPr>
          <w:bCs/>
          <w:sz w:val="26"/>
          <w:szCs w:val="26"/>
        </w:rPr>
      </w:pPr>
      <w:r>
        <w:rPr>
          <w:rFonts w:hint="eastAsia"/>
          <w:bCs/>
          <w:sz w:val="26"/>
          <w:szCs w:val="26"/>
        </w:rPr>
        <w:t>评价过程中建设单位按照《环境影响评价公众参与办法》（生态环境部令第4号）规定开展了公众参与调查相关工作，并将公众参与结论纳入环评结论形成环评报告。</w:t>
      </w:r>
    </w:p>
    <w:p w14:paraId="01E0DA49">
      <w:pPr>
        <w:adjustRightInd w:val="0"/>
        <w:snapToGrid w:val="0"/>
        <w:spacing w:line="460" w:lineRule="exact"/>
        <w:ind w:firstLine="522" w:firstLineChars="200"/>
        <w:rPr>
          <w:b/>
          <w:sz w:val="26"/>
          <w:szCs w:val="26"/>
        </w:rPr>
      </w:pPr>
      <w:r>
        <w:rPr>
          <w:rFonts w:hint="eastAsia"/>
          <w:b/>
          <w:sz w:val="26"/>
          <w:szCs w:val="26"/>
        </w:rPr>
        <w:t>五、分析判定相关情况</w:t>
      </w:r>
    </w:p>
    <w:p w14:paraId="2A22E488">
      <w:pPr>
        <w:adjustRightInd w:val="0"/>
        <w:snapToGrid w:val="0"/>
        <w:spacing w:line="460" w:lineRule="exact"/>
        <w:ind w:firstLine="520" w:firstLineChars="200"/>
        <w:rPr>
          <w:bCs/>
          <w:sz w:val="26"/>
          <w:szCs w:val="26"/>
        </w:rPr>
      </w:pPr>
      <w:r>
        <w:rPr>
          <w:rFonts w:hint="eastAsia"/>
          <w:bCs/>
          <w:sz w:val="26"/>
          <w:szCs w:val="26"/>
        </w:rPr>
        <w:t>（1）评价等级判定</w:t>
      </w:r>
    </w:p>
    <w:p w14:paraId="17A61039">
      <w:pPr>
        <w:adjustRightInd w:val="0"/>
        <w:snapToGrid w:val="0"/>
        <w:spacing w:line="460" w:lineRule="exact"/>
        <w:ind w:firstLine="520" w:firstLineChars="200"/>
        <w:rPr>
          <w:bCs/>
          <w:sz w:val="26"/>
          <w:szCs w:val="26"/>
        </w:rPr>
      </w:pPr>
      <w:r>
        <w:rPr>
          <w:rFonts w:hint="eastAsia"/>
          <w:bCs/>
          <w:sz w:val="26"/>
          <w:szCs w:val="26"/>
        </w:rPr>
        <w:t>根据各要素环境影响评价技术导则的具体要求，并结合本项目工程分析成果，判定项目环境空气评价工作等级为二级、地表水评价工作等级为三级B、声环境评价工作等级为二级、地下水影响评价等级为二级、生态环境影响评价等级为三级、环境风险评价等级为简单分析、土壤环境影响评价等级为二级。</w:t>
      </w:r>
    </w:p>
    <w:p w14:paraId="58C92AE1">
      <w:pPr>
        <w:adjustRightInd w:val="0"/>
        <w:snapToGrid w:val="0"/>
        <w:spacing w:line="460" w:lineRule="exact"/>
        <w:ind w:firstLine="520" w:firstLineChars="200"/>
        <w:rPr>
          <w:bCs/>
          <w:sz w:val="26"/>
          <w:szCs w:val="26"/>
        </w:rPr>
      </w:pPr>
      <w:r>
        <w:rPr>
          <w:rFonts w:hint="eastAsia"/>
          <w:bCs/>
          <w:sz w:val="26"/>
          <w:szCs w:val="26"/>
        </w:rPr>
        <w:t>（2）产业政策符合性判定</w:t>
      </w:r>
    </w:p>
    <w:p w14:paraId="387EE137">
      <w:pPr>
        <w:adjustRightInd w:val="0"/>
        <w:snapToGrid w:val="0"/>
        <w:spacing w:line="460" w:lineRule="exact"/>
        <w:ind w:firstLine="520" w:firstLineChars="200"/>
        <w:rPr>
          <w:bCs/>
          <w:sz w:val="26"/>
          <w:szCs w:val="26"/>
        </w:rPr>
      </w:pPr>
      <w:r>
        <w:rPr>
          <w:rFonts w:hint="eastAsia"/>
          <w:bCs/>
          <w:sz w:val="26"/>
          <w:szCs w:val="26"/>
        </w:rPr>
        <w:t>本项目为天然气试采工程，根据《产业结构调整指导目录（2024年本）》，本项目属于第一类“鼓励类”第七条“石油天然气”第一款“常规石油、天然气勘探与开采，页岩气、页岩油、致密油（气）、油砂、天然气水合物等非常规资源勘探开发”项目。因此，本项目的建设符合国家有关产业政策。</w:t>
      </w:r>
    </w:p>
    <w:p w14:paraId="7692CEE6">
      <w:pPr>
        <w:adjustRightInd w:val="0"/>
        <w:snapToGrid w:val="0"/>
        <w:spacing w:line="460" w:lineRule="exact"/>
        <w:ind w:firstLine="520" w:firstLineChars="200"/>
        <w:rPr>
          <w:bCs/>
          <w:sz w:val="26"/>
          <w:szCs w:val="26"/>
        </w:rPr>
      </w:pPr>
      <w:r>
        <w:rPr>
          <w:rFonts w:hint="eastAsia"/>
          <w:bCs/>
          <w:sz w:val="26"/>
          <w:szCs w:val="26"/>
        </w:rPr>
        <w:t>（3）相关政策、规划符合性判定</w:t>
      </w:r>
    </w:p>
    <w:p w14:paraId="7918382D">
      <w:pPr>
        <w:adjustRightInd w:val="0"/>
        <w:snapToGrid w:val="0"/>
        <w:spacing w:line="460" w:lineRule="exact"/>
        <w:ind w:firstLine="520" w:firstLineChars="200"/>
        <w:rPr>
          <w:bCs/>
          <w:sz w:val="26"/>
          <w:szCs w:val="26"/>
        </w:rPr>
      </w:pPr>
      <w:r>
        <w:rPr>
          <w:rFonts w:hint="eastAsia"/>
          <w:bCs/>
          <w:sz w:val="26"/>
          <w:szCs w:val="26"/>
        </w:rPr>
        <w:t>根据分析，本项目的建设符合《关于进一步加强石油天然气行业环境影响评价管理的通知》（环办环评函〔2019〕910 号）、《石油天然气开采业污染防治技术政策》（国家环保部公告2012年第18号）、《长江经济带发展负面清单指南（试行，2022年版本）》、《四川省、重庆市长江经济带发展负面清单实施细则（试行，2022年版）》（川长江办〔2022〕17号）、《关于进一步明确临时用地管理有关事项的通知》（川自然资规（2022）3号）、《四川省“十四五”规划和2035年远景目标纲要》、《长江经济带生态环境保护规划》（环规财〔2017〕88号）等相关文件符合性。</w:t>
      </w:r>
    </w:p>
    <w:p w14:paraId="31300278">
      <w:pPr>
        <w:adjustRightInd w:val="0"/>
        <w:snapToGrid w:val="0"/>
        <w:spacing w:line="460" w:lineRule="exact"/>
        <w:ind w:firstLine="520" w:firstLineChars="200"/>
        <w:rPr>
          <w:bCs/>
          <w:sz w:val="26"/>
          <w:szCs w:val="26"/>
        </w:rPr>
      </w:pPr>
      <w:r>
        <w:rPr>
          <w:rFonts w:hint="eastAsia"/>
          <w:bCs/>
          <w:sz w:val="26"/>
          <w:szCs w:val="26"/>
        </w:rPr>
        <w:t>同时，本项目不在四川省和巴中市生态保护红线范围之内，符合《四川省生态环境厅关于公布四川省生态环境分区管控动态更新成果（2023年版）的通知》（川环函〔2024〕409号）的相关要求，符合《巴中市生态环境保护委员会办公室关于加强生态环境分区管控的通知》（巴环委办〔2024〕3号）的相关要求，整体满足生态环境分区管控的相关要求。</w:t>
      </w:r>
    </w:p>
    <w:p w14:paraId="19DB93A2">
      <w:pPr>
        <w:adjustRightInd w:val="0"/>
        <w:snapToGrid w:val="0"/>
        <w:spacing w:line="460" w:lineRule="exact"/>
        <w:ind w:firstLine="522" w:firstLineChars="200"/>
        <w:rPr>
          <w:b/>
          <w:sz w:val="26"/>
          <w:szCs w:val="26"/>
        </w:rPr>
      </w:pPr>
      <w:r>
        <w:rPr>
          <w:rFonts w:hint="eastAsia"/>
          <w:b/>
          <w:sz w:val="26"/>
          <w:szCs w:val="26"/>
        </w:rPr>
        <w:t>六、关注的主要环境问题</w:t>
      </w:r>
    </w:p>
    <w:p w14:paraId="17BB5FC2">
      <w:pPr>
        <w:adjustRightInd w:val="0"/>
        <w:snapToGrid w:val="0"/>
        <w:spacing w:line="460" w:lineRule="exact"/>
        <w:ind w:firstLine="520" w:firstLineChars="200"/>
        <w:rPr>
          <w:bCs/>
          <w:sz w:val="26"/>
          <w:szCs w:val="26"/>
        </w:rPr>
      </w:pPr>
      <w:r>
        <w:rPr>
          <w:rFonts w:hint="eastAsia"/>
          <w:bCs/>
          <w:sz w:val="26"/>
          <w:szCs w:val="26"/>
        </w:rPr>
        <w:t>根据项目特点，环评过程关注的主要环境问题如下：</w:t>
      </w:r>
    </w:p>
    <w:p w14:paraId="0A5547E8">
      <w:pPr>
        <w:adjustRightInd w:val="0"/>
        <w:snapToGrid w:val="0"/>
        <w:spacing w:line="460" w:lineRule="exact"/>
        <w:ind w:firstLine="520" w:firstLineChars="200"/>
        <w:rPr>
          <w:bCs/>
          <w:sz w:val="26"/>
          <w:szCs w:val="26"/>
        </w:rPr>
      </w:pPr>
      <w:r>
        <w:rPr>
          <w:rFonts w:hint="eastAsia"/>
          <w:bCs/>
          <w:sz w:val="26"/>
          <w:szCs w:val="26"/>
        </w:rPr>
        <w:t>（1）试采期大气环境保护措施的可行性和对大气环境影响，试采期废水处置措施的可行性和非正常情况下对地下水和土壤环境的影响，试采期噪声防治措施可行性，试采期固废处置措施可行性；</w:t>
      </w:r>
    </w:p>
    <w:p w14:paraId="04B44C21">
      <w:pPr>
        <w:adjustRightInd w:val="0"/>
        <w:snapToGrid w:val="0"/>
        <w:spacing w:line="460" w:lineRule="exact"/>
        <w:ind w:firstLine="520" w:firstLineChars="200"/>
        <w:rPr>
          <w:bCs/>
          <w:sz w:val="26"/>
          <w:szCs w:val="26"/>
        </w:rPr>
      </w:pPr>
      <w:r>
        <w:rPr>
          <w:rFonts w:hint="eastAsia"/>
          <w:bCs/>
          <w:sz w:val="26"/>
          <w:szCs w:val="26"/>
        </w:rPr>
        <w:t>（</w:t>
      </w:r>
      <w:r>
        <w:rPr>
          <w:bCs/>
          <w:sz w:val="26"/>
          <w:szCs w:val="26"/>
        </w:rPr>
        <w:t>2</w:t>
      </w:r>
      <w:r>
        <w:rPr>
          <w:rFonts w:hint="eastAsia"/>
          <w:bCs/>
          <w:sz w:val="26"/>
          <w:szCs w:val="26"/>
        </w:rPr>
        <w:t>）试采期的环境风险；</w:t>
      </w:r>
    </w:p>
    <w:p w14:paraId="13D92DFC">
      <w:pPr>
        <w:adjustRightInd w:val="0"/>
        <w:snapToGrid w:val="0"/>
        <w:spacing w:line="460" w:lineRule="exact"/>
        <w:ind w:firstLine="520" w:firstLineChars="200"/>
        <w:rPr>
          <w:bCs/>
          <w:sz w:val="26"/>
          <w:szCs w:val="26"/>
        </w:rPr>
      </w:pPr>
      <w:r>
        <w:rPr>
          <w:rFonts w:hint="eastAsia"/>
          <w:bCs/>
          <w:sz w:val="26"/>
          <w:szCs w:val="26"/>
        </w:rPr>
        <w:t>（</w:t>
      </w:r>
      <w:r>
        <w:rPr>
          <w:bCs/>
          <w:sz w:val="26"/>
          <w:szCs w:val="26"/>
        </w:rPr>
        <w:t>3</w:t>
      </w:r>
      <w:r>
        <w:rPr>
          <w:rFonts w:hint="eastAsia"/>
          <w:bCs/>
          <w:sz w:val="26"/>
          <w:szCs w:val="26"/>
        </w:rPr>
        <w:t>）项目对区域水土保持的影响；</w:t>
      </w:r>
    </w:p>
    <w:p w14:paraId="0DC5E588">
      <w:pPr>
        <w:adjustRightInd w:val="0"/>
        <w:snapToGrid w:val="0"/>
        <w:spacing w:line="460" w:lineRule="exact"/>
        <w:ind w:firstLine="522" w:firstLineChars="200"/>
        <w:rPr>
          <w:b/>
          <w:sz w:val="26"/>
          <w:szCs w:val="26"/>
        </w:rPr>
      </w:pPr>
      <w:r>
        <w:rPr>
          <w:rFonts w:hint="eastAsia"/>
          <w:b/>
          <w:sz w:val="26"/>
          <w:szCs w:val="26"/>
        </w:rPr>
        <w:t>七</w:t>
      </w:r>
      <w:r>
        <w:rPr>
          <w:b/>
          <w:sz w:val="26"/>
          <w:szCs w:val="26"/>
        </w:rPr>
        <w:t>、环境影响报告的主要结论</w:t>
      </w:r>
    </w:p>
    <w:p w14:paraId="7C0342BB">
      <w:pPr>
        <w:adjustRightInd w:val="0"/>
        <w:snapToGrid w:val="0"/>
        <w:spacing w:line="460" w:lineRule="exact"/>
        <w:ind w:firstLine="520" w:firstLineChars="200"/>
        <w:rPr>
          <w:bCs/>
          <w:sz w:val="26"/>
          <w:szCs w:val="26"/>
        </w:rPr>
      </w:pPr>
      <w:r>
        <w:rPr>
          <w:rFonts w:hint="eastAsia"/>
          <w:bCs/>
          <w:sz w:val="26"/>
          <w:szCs w:val="26"/>
        </w:rPr>
        <w:t>“巴中2HF井地面工程”符合国家产业政策及相关规划，工程的选址满足相关法律法规要求。</w:t>
      </w:r>
      <w:r>
        <w:rPr>
          <w:bCs/>
          <w:sz w:val="26"/>
          <w:szCs w:val="26"/>
        </w:rPr>
        <w:t>工程的实施</w:t>
      </w:r>
      <w:r>
        <w:rPr>
          <w:rFonts w:hint="eastAsia"/>
          <w:bCs/>
          <w:sz w:val="26"/>
          <w:szCs w:val="26"/>
        </w:rPr>
        <w:t>将</w:t>
      </w:r>
      <w:r>
        <w:rPr>
          <w:bCs/>
          <w:sz w:val="26"/>
          <w:szCs w:val="26"/>
        </w:rPr>
        <w:t>对环境造成一定的影响，</w:t>
      </w:r>
      <w:r>
        <w:rPr>
          <w:rFonts w:hint="eastAsia"/>
          <w:bCs/>
          <w:sz w:val="26"/>
          <w:szCs w:val="26"/>
        </w:rPr>
        <w:t>但</w:t>
      </w:r>
      <w:r>
        <w:rPr>
          <w:bCs/>
          <w:sz w:val="26"/>
          <w:szCs w:val="26"/>
        </w:rPr>
        <w:t>在采取</w:t>
      </w:r>
      <w:r>
        <w:rPr>
          <w:rFonts w:hint="eastAsia"/>
          <w:bCs/>
          <w:sz w:val="26"/>
          <w:szCs w:val="26"/>
        </w:rPr>
        <w:t>严格</w:t>
      </w:r>
      <w:r>
        <w:rPr>
          <w:bCs/>
          <w:sz w:val="26"/>
          <w:szCs w:val="26"/>
        </w:rPr>
        <w:t>的生态环境保护措施及污染防治措施后</w:t>
      </w:r>
      <w:r>
        <w:rPr>
          <w:rFonts w:hint="eastAsia"/>
          <w:bCs/>
          <w:sz w:val="26"/>
          <w:szCs w:val="26"/>
        </w:rPr>
        <w:t>，</w:t>
      </w:r>
      <w:r>
        <w:rPr>
          <w:bCs/>
          <w:sz w:val="26"/>
          <w:szCs w:val="26"/>
        </w:rPr>
        <w:t>对环境的不利影响可得到有效控制和缓解，</w:t>
      </w:r>
      <w:r>
        <w:rPr>
          <w:rFonts w:hint="eastAsia"/>
          <w:bCs/>
          <w:sz w:val="26"/>
          <w:szCs w:val="26"/>
        </w:rPr>
        <w:t>环境影响有限，环境风险可接受。</w:t>
      </w:r>
      <w:r>
        <w:rPr>
          <w:bCs/>
          <w:sz w:val="26"/>
          <w:szCs w:val="26"/>
        </w:rPr>
        <w:t>因此，从环境保护的角度看，该项目建设是可行的。</w:t>
      </w:r>
    </w:p>
    <w:p w14:paraId="24240635">
      <w:pPr>
        <w:adjustRightInd w:val="0"/>
        <w:snapToGrid w:val="0"/>
        <w:spacing w:line="460" w:lineRule="exact"/>
        <w:ind w:firstLine="520" w:firstLineChars="200"/>
        <w:rPr>
          <w:sz w:val="26"/>
          <w:szCs w:val="26"/>
        </w:rPr>
      </w:pPr>
      <w:r>
        <w:rPr>
          <w:rFonts w:hint="eastAsia"/>
          <w:bCs/>
          <w:sz w:val="26"/>
          <w:szCs w:val="26"/>
        </w:rPr>
        <w:t>本次</w:t>
      </w:r>
      <w:r>
        <w:rPr>
          <w:bCs/>
          <w:sz w:val="26"/>
          <w:szCs w:val="26"/>
        </w:rPr>
        <w:t>环评报告在编制中得到了</w:t>
      </w:r>
      <w:r>
        <w:rPr>
          <w:rFonts w:hint="eastAsia"/>
          <w:bCs/>
          <w:sz w:val="26"/>
          <w:szCs w:val="26"/>
        </w:rPr>
        <w:t>巴中市生态环境局、恩阳生态环境局、四川力博检测有限公司</w:t>
      </w:r>
      <w:r>
        <w:rPr>
          <w:bCs/>
          <w:sz w:val="26"/>
          <w:szCs w:val="26"/>
        </w:rPr>
        <w:t>的大力支持和帮助，在此一并表示感谢。</w:t>
      </w:r>
    </w:p>
    <w:p w14:paraId="150EE5EA">
      <w:pPr>
        <w:adjustRightInd w:val="0"/>
        <w:snapToGrid w:val="0"/>
        <w:spacing w:line="460" w:lineRule="exact"/>
        <w:ind w:firstLine="520" w:firstLineChars="200"/>
        <w:rPr>
          <w:bCs/>
          <w:sz w:val="26"/>
          <w:szCs w:val="26"/>
        </w:rPr>
      </w:pPr>
    </w:p>
    <w:p w14:paraId="7797007F">
      <w:pPr>
        <w:adjustRightInd w:val="0"/>
        <w:snapToGrid w:val="0"/>
        <w:spacing w:line="460" w:lineRule="exact"/>
        <w:ind w:firstLine="520" w:firstLineChars="200"/>
        <w:rPr>
          <w:bCs/>
          <w:sz w:val="26"/>
          <w:szCs w:val="26"/>
        </w:rPr>
      </w:pPr>
    </w:p>
    <w:p w14:paraId="76FAF4B4">
      <w:pPr>
        <w:snapToGrid w:val="0"/>
        <w:spacing w:line="460" w:lineRule="exact"/>
        <w:ind w:firstLine="520" w:firstLineChars="200"/>
        <w:rPr>
          <w:sz w:val="26"/>
          <w:szCs w:val="26"/>
        </w:rPr>
      </w:pPr>
    </w:p>
    <w:p w14:paraId="148AA53D">
      <w:pPr>
        <w:adjustRightInd w:val="0"/>
        <w:snapToGrid w:val="0"/>
        <w:spacing w:line="500" w:lineRule="exact"/>
        <w:ind w:firstLine="520" w:firstLineChars="200"/>
        <w:rPr>
          <w:sz w:val="26"/>
          <w:szCs w:val="26"/>
        </w:rPr>
        <w:sectPr>
          <w:headerReference r:id="rId5" w:type="default"/>
          <w:footerReference r:id="rId6" w:type="default"/>
          <w:pgSz w:w="11906" w:h="16838"/>
          <w:pgMar w:top="1701" w:right="1588" w:bottom="1588" w:left="1588" w:header="1304" w:footer="1247" w:gutter="0"/>
          <w:pgNumType w:start="1"/>
          <w:cols w:space="720" w:num="1"/>
          <w:docGrid w:linePitch="312" w:charSpace="0"/>
        </w:sectPr>
      </w:pPr>
    </w:p>
    <w:p w14:paraId="25F1D4C7">
      <w:pPr>
        <w:adjustRightInd w:val="0"/>
        <w:snapToGrid w:val="0"/>
        <w:spacing w:before="240" w:beforeLines="100" w:after="240" w:afterLines="100"/>
        <w:jc w:val="center"/>
        <w:outlineLvl w:val="0"/>
        <w:rPr>
          <w:b/>
          <w:sz w:val="32"/>
          <w:szCs w:val="32"/>
        </w:rPr>
      </w:pPr>
      <w:bookmarkStart w:id="6" w:name="_Toc158006769"/>
      <w:bookmarkStart w:id="7" w:name="_Toc165810443"/>
      <w:bookmarkStart w:id="8" w:name="_Toc165809670"/>
      <w:bookmarkStart w:id="9" w:name="_Toc219907620"/>
      <w:bookmarkStart w:id="10" w:name="_Toc164084298"/>
      <w:bookmarkStart w:id="11" w:name="_Toc220170964"/>
      <w:r>
        <w:rPr>
          <w:b/>
          <w:sz w:val="32"/>
          <w:szCs w:val="32"/>
        </w:rPr>
        <w:t>1 总  则</w:t>
      </w:r>
      <w:bookmarkEnd w:id="6"/>
      <w:bookmarkEnd w:id="7"/>
      <w:bookmarkEnd w:id="8"/>
      <w:bookmarkEnd w:id="9"/>
      <w:bookmarkEnd w:id="10"/>
      <w:bookmarkEnd w:id="11"/>
    </w:p>
    <w:p w14:paraId="497C91F0">
      <w:pPr>
        <w:adjustRightInd w:val="0"/>
        <w:snapToGrid w:val="0"/>
        <w:spacing w:line="460" w:lineRule="exact"/>
        <w:ind w:firstLine="522" w:firstLineChars="200"/>
        <w:outlineLvl w:val="1"/>
        <w:rPr>
          <w:b/>
          <w:sz w:val="26"/>
          <w:szCs w:val="26"/>
        </w:rPr>
      </w:pPr>
      <w:bookmarkStart w:id="12" w:name="_Toc165809671"/>
      <w:bookmarkStart w:id="13" w:name="_Toc219907621"/>
      <w:bookmarkStart w:id="14" w:name="_Toc165810444"/>
      <w:bookmarkStart w:id="15" w:name="_Toc220170966"/>
      <w:bookmarkStart w:id="16" w:name="_Toc164084300"/>
      <w:bookmarkStart w:id="17" w:name="_Toc158006771"/>
      <w:r>
        <w:rPr>
          <w:b/>
          <w:sz w:val="26"/>
          <w:szCs w:val="26"/>
        </w:rPr>
        <w:t>1.1 评价目的及评价原则</w:t>
      </w:r>
      <w:bookmarkEnd w:id="12"/>
      <w:bookmarkEnd w:id="13"/>
      <w:bookmarkEnd w:id="14"/>
    </w:p>
    <w:p w14:paraId="4AF76E24">
      <w:pPr>
        <w:pStyle w:val="702"/>
        <w:ind w:firstLine="522"/>
        <w:outlineLvl w:val="2"/>
        <w:rPr>
          <w:rFonts w:cs="Times New Roman"/>
          <w:b/>
        </w:rPr>
      </w:pPr>
      <w:bookmarkStart w:id="18" w:name="_Toc165810445"/>
      <w:r>
        <w:rPr>
          <w:rFonts w:cs="Times New Roman"/>
          <w:b/>
        </w:rPr>
        <w:t>1.1.1 评价目的</w:t>
      </w:r>
      <w:bookmarkEnd w:id="18"/>
    </w:p>
    <w:p w14:paraId="11493FA3">
      <w:pPr>
        <w:pStyle w:val="702"/>
        <w:ind w:firstLine="520"/>
        <w:rPr>
          <w:rFonts w:cs="Times New Roman"/>
        </w:rPr>
      </w:pPr>
      <w:r>
        <w:rPr>
          <w:rFonts w:hint="eastAsia" w:cs="Times New Roman"/>
        </w:rPr>
        <w:t>（1）通过对项目所在区域生态环境、环境质量现状调查，结合区域发展规划、工程建设内容，从环境保护角度为工程建设的环境可行性提供依据。</w:t>
      </w:r>
    </w:p>
    <w:p w14:paraId="421AFA8D">
      <w:pPr>
        <w:pStyle w:val="702"/>
        <w:ind w:firstLine="520"/>
        <w:rPr>
          <w:rFonts w:cs="Times New Roman"/>
        </w:rPr>
      </w:pPr>
      <w:r>
        <w:rPr>
          <w:rFonts w:hint="eastAsia" w:cs="Times New Roman"/>
        </w:rPr>
        <w:t>（2）通过工程建设对环境的影响预测分析，结合项目附近区域的环境保护目标，明确工程建设对工程区域自然生态环境、社会环境及环境质量的影响程度和范围；提出生态环境不利影响减缓措施和恢复措施、污染防治方案，反馈于工程建设之中，将工程建设带来的负面影响减小到最低程度，最大限度发挥工程建设的经济效益、社会效益和环境效益，使经济发展与环境保护协调统一。</w:t>
      </w:r>
    </w:p>
    <w:p w14:paraId="200ABEC1">
      <w:pPr>
        <w:pStyle w:val="702"/>
        <w:ind w:firstLine="520"/>
        <w:rPr>
          <w:rFonts w:cs="Times New Roman"/>
        </w:rPr>
      </w:pPr>
      <w:r>
        <w:rPr>
          <w:rFonts w:hint="eastAsia" w:cs="Times New Roman"/>
        </w:rPr>
        <w:t>（3）通过本项目的环境影响评价，使所编制的环境影响报告书能成为本工程环境保护设计和环境管理的依据，并作为环境主管部门管理本项目的科学依据。</w:t>
      </w:r>
    </w:p>
    <w:p w14:paraId="5744A92F">
      <w:pPr>
        <w:pStyle w:val="702"/>
        <w:ind w:firstLine="522"/>
        <w:outlineLvl w:val="2"/>
        <w:rPr>
          <w:rFonts w:cs="Times New Roman"/>
          <w:b/>
        </w:rPr>
      </w:pPr>
      <w:bookmarkStart w:id="19" w:name="_Toc165810446"/>
      <w:r>
        <w:rPr>
          <w:rFonts w:cs="Times New Roman"/>
          <w:b/>
        </w:rPr>
        <w:t>1.1.2 评价原则</w:t>
      </w:r>
      <w:bookmarkEnd w:id="19"/>
    </w:p>
    <w:p w14:paraId="001B5D53">
      <w:pPr>
        <w:pStyle w:val="702"/>
        <w:ind w:firstLine="520"/>
        <w:rPr>
          <w:rFonts w:cs="Times New Roman"/>
        </w:rPr>
      </w:pPr>
      <w:r>
        <w:rPr>
          <w:rFonts w:hint="eastAsia" w:cs="Times New Roman"/>
        </w:rPr>
        <w:t>本次评价过程遵循以下原则：</w:t>
      </w:r>
    </w:p>
    <w:p w14:paraId="34D7E62F">
      <w:pPr>
        <w:pStyle w:val="702"/>
        <w:ind w:firstLine="520"/>
        <w:rPr>
          <w:rFonts w:cs="Times New Roman"/>
        </w:rPr>
      </w:pPr>
      <w:r>
        <w:rPr>
          <w:rFonts w:hint="eastAsia" w:cs="Times New Roman"/>
        </w:rPr>
        <w:t>（1）依据国家及四川省有关规定及行业规范，环境影响评价技术导则以及环评执行标准，以预防为主，防治结合，清洁生产为指导，切实加强天然气资源开发环境保护，结合天然气开发建设特征和区域环境特点，力求客观、公正地进行环境影响评价工作。</w:t>
      </w:r>
    </w:p>
    <w:p w14:paraId="59A67948">
      <w:pPr>
        <w:pStyle w:val="702"/>
        <w:ind w:firstLine="520"/>
        <w:rPr>
          <w:rFonts w:cs="Times New Roman"/>
        </w:rPr>
      </w:pPr>
      <w:r>
        <w:rPr>
          <w:rFonts w:hint="eastAsia" w:cs="Times New Roman"/>
        </w:rPr>
        <w:t>（2）根据本项目产排污特点，本次评价以减缓施工期对生态的扰动、控制试采期污染物排放为目标。选用可行合理的预测模型，重点对施工期、试采期污染物产生情况及其对各环境要素的影响进行分析、预测、评价，力求评价结果真实、可信。</w:t>
      </w:r>
    </w:p>
    <w:p w14:paraId="6287B012">
      <w:pPr>
        <w:pStyle w:val="702"/>
        <w:ind w:firstLine="520"/>
        <w:rPr>
          <w:rFonts w:cs="Times New Roman"/>
        </w:rPr>
      </w:pPr>
      <w:r>
        <w:rPr>
          <w:rFonts w:hint="eastAsia" w:cs="Times New Roman"/>
        </w:rPr>
        <w:t>（3）环境影响评价的目标是生态环境的保护和污染的防治，所以，评价中除了加强工程分析，做好环境影响的预测和分析外，更要注重生态环境保护污染防治措施的分析，提出切实可行的综合防治措施，为下步工程设计和环境管理提供科学的依据，便于今后项目的事中事后环境管理。</w:t>
      </w:r>
    </w:p>
    <w:p w14:paraId="0A7A987B">
      <w:pPr>
        <w:adjustRightInd w:val="0"/>
        <w:snapToGrid w:val="0"/>
        <w:spacing w:line="460" w:lineRule="exact"/>
        <w:ind w:firstLine="522" w:firstLineChars="200"/>
        <w:outlineLvl w:val="1"/>
        <w:rPr>
          <w:b/>
          <w:sz w:val="26"/>
          <w:szCs w:val="26"/>
        </w:rPr>
      </w:pPr>
      <w:bookmarkStart w:id="20" w:name="_Toc165809672"/>
      <w:bookmarkStart w:id="21" w:name="_Toc219907622"/>
      <w:bookmarkStart w:id="22" w:name="_Toc165810447"/>
      <w:r>
        <w:rPr>
          <w:b/>
          <w:sz w:val="26"/>
          <w:szCs w:val="26"/>
        </w:rPr>
        <w:t xml:space="preserve">1.2 </w:t>
      </w:r>
      <w:bookmarkEnd w:id="15"/>
      <w:bookmarkEnd w:id="16"/>
      <w:bookmarkEnd w:id="17"/>
      <w:r>
        <w:rPr>
          <w:b/>
          <w:sz w:val="26"/>
          <w:szCs w:val="26"/>
        </w:rPr>
        <w:t>编制依据</w:t>
      </w:r>
      <w:bookmarkEnd w:id="20"/>
      <w:bookmarkEnd w:id="21"/>
      <w:bookmarkEnd w:id="22"/>
    </w:p>
    <w:p w14:paraId="1C38566A">
      <w:pPr>
        <w:adjustRightInd w:val="0"/>
        <w:snapToGrid w:val="0"/>
        <w:spacing w:line="460" w:lineRule="exact"/>
        <w:ind w:firstLine="522" w:firstLineChars="200"/>
        <w:outlineLvl w:val="2"/>
        <w:rPr>
          <w:b/>
          <w:sz w:val="26"/>
          <w:szCs w:val="26"/>
        </w:rPr>
      </w:pPr>
      <w:bookmarkStart w:id="23" w:name="_Toc165810448"/>
      <w:r>
        <w:rPr>
          <w:b/>
          <w:sz w:val="26"/>
          <w:szCs w:val="26"/>
        </w:rPr>
        <w:t>1.2.1 国家法律</w:t>
      </w:r>
      <w:bookmarkEnd w:id="23"/>
    </w:p>
    <w:p w14:paraId="6CD386CA">
      <w:pPr>
        <w:pStyle w:val="1381"/>
        <w:ind w:firstLine="520"/>
      </w:pPr>
      <w:r>
        <w:t>（1）</w:t>
      </w:r>
      <w:r>
        <w:rPr>
          <w:rFonts w:hint="eastAsia"/>
        </w:rPr>
        <w:t>《中华人民共和国生态环境法典》（2026年3月12日通过，2026年8月15日起施行）；</w:t>
      </w:r>
    </w:p>
    <w:p w14:paraId="3857EF09">
      <w:pPr>
        <w:pStyle w:val="1381"/>
        <w:ind w:firstLine="520"/>
      </w:pPr>
      <w:r>
        <w:rPr>
          <w:rFonts w:hint="eastAsia"/>
        </w:rPr>
        <w:t>（2）</w:t>
      </w:r>
      <w:r>
        <w:t>《</w:t>
      </w:r>
      <w:bookmarkStart w:id="24" w:name="OLE_LINK22"/>
      <w:r>
        <w:t>中华人民共和国环境保护法</w:t>
      </w:r>
      <w:bookmarkEnd w:id="24"/>
      <w:r>
        <w:t>》（2014年修订）；</w:t>
      </w:r>
    </w:p>
    <w:p w14:paraId="2079ED89">
      <w:pPr>
        <w:pStyle w:val="1381"/>
        <w:ind w:firstLine="520"/>
      </w:pPr>
      <w:r>
        <w:t>（3）《</w:t>
      </w:r>
      <w:bookmarkStart w:id="25" w:name="OLE_LINK17"/>
      <w:bookmarkStart w:id="26" w:name="OLE_LINK19"/>
      <w:bookmarkStart w:id="27" w:name="OLE_LINK18"/>
      <w:r>
        <w:t>中华人民共和国环境影响评价法</w:t>
      </w:r>
      <w:bookmarkEnd w:id="25"/>
      <w:bookmarkEnd w:id="26"/>
      <w:bookmarkEnd w:id="27"/>
      <w:r>
        <w:t>》（2018年修</w:t>
      </w:r>
      <w:r>
        <w:rPr>
          <w:rFonts w:hint="eastAsia"/>
        </w:rPr>
        <w:t>正</w:t>
      </w:r>
      <w:r>
        <w:t>）；</w:t>
      </w:r>
    </w:p>
    <w:p w14:paraId="009A5C44">
      <w:pPr>
        <w:pStyle w:val="1381"/>
        <w:ind w:firstLine="520"/>
      </w:pPr>
      <w:r>
        <w:t>（4</w:t>
      </w:r>
      <w:r>
        <w:rPr>
          <w:rFonts w:hint="eastAsia"/>
        </w:rPr>
        <w:t>）</w:t>
      </w:r>
      <w:r>
        <w:t>《</w:t>
      </w:r>
      <w:bookmarkStart w:id="28" w:name="OLE_LINK20"/>
      <w:bookmarkStart w:id="29" w:name="OLE_LINK21"/>
      <w:r>
        <w:t>中华人民共和国大气污染防治法</w:t>
      </w:r>
      <w:bookmarkEnd w:id="28"/>
      <w:bookmarkEnd w:id="29"/>
      <w:r>
        <w:t>》（2018年修</w:t>
      </w:r>
      <w:r>
        <w:rPr>
          <w:rFonts w:hint="eastAsia"/>
        </w:rPr>
        <w:t>正</w:t>
      </w:r>
      <w:r>
        <w:t>）；</w:t>
      </w:r>
    </w:p>
    <w:p w14:paraId="3CD258B9">
      <w:pPr>
        <w:pStyle w:val="1381"/>
        <w:ind w:firstLine="520"/>
      </w:pPr>
      <w:r>
        <w:t>（5）《中华人民共和国水污染防治法》（2017年修</w:t>
      </w:r>
      <w:r>
        <w:rPr>
          <w:rFonts w:hint="eastAsia"/>
        </w:rPr>
        <w:t>正</w:t>
      </w:r>
      <w:r>
        <w:t>）；</w:t>
      </w:r>
    </w:p>
    <w:p w14:paraId="6CA277A3">
      <w:pPr>
        <w:pStyle w:val="1381"/>
        <w:ind w:firstLine="520"/>
      </w:pPr>
      <w:r>
        <w:t>（6）《</w:t>
      </w:r>
      <w:bookmarkStart w:id="30" w:name="OLE_LINK39"/>
      <w:bookmarkStart w:id="31" w:name="OLE_LINK38"/>
      <w:r>
        <w:t>中华人民共和国噪声污染防治法</w:t>
      </w:r>
      <w:bookmarkEnd w:id="30"/>
      <w:bookmarkEnd w:id="31"/>
      <w:r>
        <w:t>》（</w:t>
      </w:r>
      <w:r>
        <w:rPr>
          <w:rFonts w:hint="eastAsia"/>
        </w:rPr>
        <w:t>2021年12月24日通过</w:t>
      </w:r>
      <w:r>
        <w:t>）；</w:t>
      </w:r>
    </w:p>
    <w:p w14:paraId="2FD4A9FE">
      <w:pPr>
        <w:pStyle w:val="1381"/>
        <w:ind w:firstLine="520"/>
      </w:pPr>
      <w:r>
        <w:t>（7）《中华人民共和国固体废物污染环境防治法》（2020年修订）；</w:t>
      </w:r>
    </w:p>
    <w:p w14:paraId="0C8A3FD5">
      <w:pPr>
        <w:pStyle w:val="1381"/>
        <w:ind w:firstLine="520"/>
      </w:pPr>
      <w:r>
        <w:t>（8）《</w:t>
      </w:r>
      <w:bookmarkStart w:id="32" w:name="OLE_LINK37"/>
      <w:bookmarkStart w:id="33" w:name="OLE_LINK36"/>
      <w:r>
        <w:t>中华人民共和国土壤污染防治法</w:t>
      </w:r>
      <w:bookmarkEnd w:id="32"/>
      <w:bookmarkEnd w:id="33"/>
      <w:r>
        <w:t>》（</w:t>
      </w:r>
      <w:r>
        <w:rPr>
          <w:rFonts w:hint="eastAsia"/>
        </w:rPr>
        <w:t>2018年8月31日通过</w:t>
      </w:r>
      <w:r>
        <w:t>）；</w:t>
      </w:r>
    </w:p>
    <w:p w14:paraId="2EBF7797">
      <w:pPr>
        <w:pStyle w:val="1381"/>
        <w:ind w:firstLine="520"/>
      </w:pPr>
      <w:r>
        <w:t>（9）《</w:t>
      </w:r>
      <w:bookmarkStart w:id="34" w:name="OLE_LINK29"/>
      <w:bookmarkStart w:id="35" w:name="OLE_LINK27"/>
      <w:r>
        <w:t>中华人民共和国清洁生产促进法</w:t>
      </w:r>
      <w:bookmarkEnd w:id="34"/>
      <w:bookmarkEnd w:id="35"/>
      <w:r>
        <w:t>》（2012年修</w:t>
      </w:r>
      <w:r>
        <w:rPr>
          <w:rFonts w:hint="eastAsia"/>
        </w:rPr>
        <w:t>正</w:t>
      </w:r>
      <w:r>
        <w:t>）；</w:t>
      </w:r>
    </w:p>
    <w:p w14:paraId="025BB1F4">
      <w:pPr>
        <w:pStyle w:val="1381"/>
        <w:ind w:firstLine="520"/>
      </w:pPr>
      <w:r>
        <w:t>（10）《中华人民共和国水法》（2016年修</w:t>
      </w:r>
      <w:r>
        <w:rPr>
          <w:rFonts w:hint="eastAsia"/>
        </w:rPr>
        <w:t>正</w:t>
      </w:r>
      <w:r>
        <w:t>）；</w:t>
      </w:r>
    </w:p>
    <w:p w14:paraId="12C685CE">
      <w:pPr>
        <w:pStyle w:val="1381"/>
        <w:ind w:firstLine="520"/>
      </w:pPr>
      <w:r>
        <w:t>（11）《</w:t>
      </w:r>
      <w:bookmarkStart w:id="36" w:name="OLE_LINK24"/>
      <w:bookmarkStart w:id="37" w:name="OLE_LINK23"/>
      <w:r>
        <w:t>中华人民共和国土地管理法</w:t>
      </w:r>
      <w:bookmarkEnd w:id="36"/>
      <w:bookmarkEnd w:id="37"/>
      <w:r>
        <w:t>》（2019年修</w:t>
      </w:r>
      <w:r>
        <w:rPr>
          <w:rFonts w:hint="eastAsia"/>
        </w:rPr>
        <w:t>正</w:t>
      </w:r>
      <w:r>
        <w:t>）；</w:t>
      </w:r>
    </w:p>
    <w:p w14:paraId="6507F119">
      <w:pPr>
        <w:pStyle w:val="1381"/>
        <w:ind w:firstLine="520"/>
      </w:pPr>
      <w:r>
        <w:t>（12）《</w:t>
      </w:r>
      <w:bookmarkStart w:id="38" w:name="OLE_LINK25"/>
      <w:bookmarkStart w:id="39" w:name="OLE_LINK26"/>
      <w:r>
        <w:t>中华人民共和国节约能源法</w:t>
      </w:r>
      <w:bookmarkEnd w:id="38"/>
      <w:bookmarkEnd w:id="39"/>
      <w:r>
        <w:t>》（2018年修</w:t>
      </w:r>
      <w:r>
        <w:rPr>
          <w:rFonts w:hint="eastAsia"/>
        </w:rPr>
        <w:t>正</w:t>
      </w:r>
      <w:r>
        <w:t>）；</w:t>
      </w:r>
    </w:p>
    <w:p w14:paraId="7CB944F0">
      <w:pPr>
        <w:pStyle w:val="1381"/>
        <w:ind w:firstLine="520"/>
      </w:pPr>
      <w:r>
        <w:t>（13）《</w:t>
      </w:r>
      <w:bookmarkStart w:id="40" w:name="OLE_LINK31"/>
      <w:bookmarkStart w:id="41" w:name="OLE_LINK30"/>
      <w:r>
        <w:t>中华人民共和国野生动物保护法</w:t>
      </w:r>
      <w:bookmarkEnd w:id="40"/>
      <w:bookmarkEnd w:id="41"/>
      <w:r>
        <w:t>》（2018年修</w:t>
      </w:r>
      <w:r>
        <w:rPr>
          <w:rFonts w:hint="eastAsia"/>
        </w:rPr>
        <w:t>正</w:t>
      </w:r>
      <w:r>
        <w:t>）；</w:t>
      </w:r>
    </w:p>
    <w:p w14:paraId="6A96AADD">
      <w:pPr>
        <w:pStyle w:val="1381"/>
        <w:ind w:firstLine="520"/>
      </w:pPr>
      <w:r>
        <w:t>（14）《</w:t>
      </w:r>
      <w:bookmarkStart w:id="42" w:name="OLE_LINK32"/>
      <w:r>
        <w:t>中华人民共和国森林法</w:t>
      </w:r>
      <w:bookmarkEnd w:id="42"/>
      <w:r>
        <w:t>》（2019年修订）</w:t>
      </w:r>
      <w:r>
        <w:rPr>
          <w:rFonts w:hint="eastAsia"/>
        </w:rPr>
        <w:t>；</w:t>
      </w:r>
    </w:p>
    <w:p w14:paraId="3125CDE8">
      <w:pPr>
        <w:pStyle w:val="1381"/>
        <w:ind w:firstLine="520"/>
      </w:pPr>
      <w:r>
        <w:rPr>
          <w:rFonts w:hint="eastAsia"/>
        </w:rPr>
        <w:t>（1</w:t>
      </w:r>
      <w:r>
        <w:t>5</w:t>
      </w:r>
      <w:r>
        <w:rPr>
          <w:rFonts w:hint="eastAsia"/>
        </w:rPr>
        <w:t>）《</w:t>
      </w:r>
      <w:bookmarkStart w:id="43" w:name="OLE_LINK33"/>
      <w:r>
        <w:rPr>
          <w:rFonts w:hint="eastAsia"/>
        </w:rPr>
        <w:t>中华人民共和国长江保护法</w:t>
      </w:r>
      <w:bookmarkEnd w:id="43"/>
      <w:r>
        <w:rPr>
          <w:rFonts w:hint="eastAsia"/>
        </w:rPr>
        <w:t>》（</w:t>
      </w:r>
      <w:r>
        <w:t>2020年12月26日</w:t>
      </w:r>
      <w:r>
        <w:rPr>
          <w:rFonts w:hint="eastAsia"/>
        </w:rPr>
        <w:t>）。</w:t>
      </w:r>
    </w:p>
    <w:p w14:paraId="12590D28">
      <w:pPr>
        <w:pStyle w:val="1068"/>
        <w:rPr>
          <w:rFonts w:cs="Times New Roman"/>
        </w:rPr>
      </w:pPr>
      <w:bookmarkStart w:id="44" w:name="_Toc165810449"/>
      <w:r>
        <w:rPr>
          <w:rFonts w:cs="Times New Roman"/>
        </w:rPr>
        <w:t xml:space="preserve">1.2.2 </w:t>
      </w:r>
      <w:r>
        <w:rPr>
          <w:rFonts w:hint="eastAsia" w:cs="Times New Roman"/>
        </w:rPr>
        <w:t>规章和规范性文件</w:t>
      </w:r>
      <w:bookmarkEnd w:id="44"/>
    </w:p>
    <w:p w14:paraId="7D5A8321">
      <w:pPr>
        <w:adjustRightInd w:val="0"/>
        <w:snapToGrid w:val="0"/>
        <w:spacing w:line="460" w:lineRule="exact"/>
        <w:ind w:firstLine="520" w:firstLineChars="200"/>
        <w:rPr>
          <w:sz w:val="26"/>
          <w:szCs w:val="26"/>
        </w:rPr>
      </w:pPr>
      <w:bookmarkStart w:id="45" w:name="_Toc165810450"/>
      <w:r>
        <w:rPr>
          <w:sz w:val="26"/>
          <w:szCs w:val="26"/>
        </w:rPr>
        <w:t>（1）《建设项目环境保护管理条例》（国令第682号）；</w:t>
      </w:r>
    </w:p>
    <w:p w14:paraId="146593C2">
      <w:pPr>
        <w:adjustRightInd w:val="0"/>
        <w:snapToGrid w:val="0"/>
        <w:spacing w:line="460" w:lineRule="exact"/>
        <w:ind w:firstLine="520" w:firstLineChars="200"/>
        <w:rPr>
          <w:sz w:val="26"/>
          <w:szCs w:val="26"/>
        </w:rPr>
      </w:pPr>
      <w:r>
        <w:rPr>
          <w:sz w:val="26"/>
          <w:szCs w:val="26"/>
        </w:rPr>
        <w:t>（2）《建设项目环境影响评价分类管理名录（2021年版）》（生态环境部 部令第16号）；</w:t>
      </w:r>
    </w:p>
    <w:p w14:paraId="17E23C3E">
      <w:pPr>
        <w:adjustRightInd w:val="0"/>
        <w:snapToGrid w:val="0"/>
        <w:spacing w:line="460" w:lineRule="exact"/>
        <w:ind w:firstLine="520" w:firstLineChars="200"/>
        <w:rPr>
          <w:sz w:val="26"/>
          <w:szCs w:val="26"/>
        </w:rPr>
      </w:pPr>
      <w:r>
        <w:rPr>
          <w:sz w:val="26"/>
          <w:szCs w:val="26"/>
        </w:rPr>
        <w:t>（3）</w:t>
      </w:r>
      <w:r>
        <w:rPr>
          <w:rFonts w:hint="eastAsia"/>
          <w:sz w:val="26"/>
          <w:szCs w:val="26"/>
        </w:rPr>
        <w:t>《环境影响评价公众参与办法》（生态环境部令第4号）</w:t>
      </w:r>
      <w:r>
        <w:rPr>
          <w:sz w:val="26"/>
          <w:szCs w:val="26"/>
        </w:rPr>
        <w:t>；</w:t>
      </w:r>
    </w:p>
    <w:p w14:paraId="5D2DC3EE">
      <w:pPr>
        <w:adjustRightInd w:val="0"/>
        <w:snapToGrid w:val="0"/>
        <w:spacing w:line="460" w:lineRule="exact"/>
        <w:ind w:firstLine="520" w:firstLineChars="200"/>
        <w:rPr>
          <w:sz w:val="26"/>
          <w:szCs w:val="26"/>
        </w:rPr>
      </w:pPr>
      <w:r>
        <w:rPr>
          <w:sz w:val="26"/>
          <w:szCs w:val="26"/>
        </w:rPr>
        <w:t>（4）《产业结构调整指导目录（2024年本）》（中华人民共和国国家发展和改革委员会令 第7号）；</w:t>
      </w:r>
    </w:p>
    <w:p w14:paraId="3FC25E26">
      <w:pPr>
        <w:adjustRightInd w:val="0"/>
        <w:snapToGrid w:val="0"/>
        <w:spacing w:line="460" w:lineRule="exact"/>
        <w:ind w:firstLine="520" w:firstLineChars="200"/>
        <w:rPr>
          <w:sz w:val="26"/>
          <w:szCs w:val="26"/>
        </w:rPr>
      </w:pPr>
      <w:r>
        <w:rPr>
          <w:sz w:val="26"/>
          <w:szCs w:val="26"/>
        </w:rPr>
        <w:t>（5）《基本农田保护条例》（国务院令第588号）；</w:t>
      </w:r>
    </w:p>
    <w:p w14:paraId="1EA2A5BC">
      <w:pPr>
        <w:adjustRightInd w:val="0"/>
        <w:snapToGrid w:val="0"/>
        <w:spacing w:line="460" w:lineRule="exact"/>
        <w:ind w:firstLine="520" w:firstLineChars="200"/>
        <w:rPr>
          <w:sz w:val="26"/>
          <w:szCs w:val="26"/>
        </w:rPr>
      </w:pPr>
      <w:r>
        <w:rPr>
          <w:sz w:val="26"/>
          <w:szCs w:val="26"/>
        </w:rPr>
        <w:t>（6）《地下水管理条例》（国务院令第748号）；</w:t>
      </w:r>
    </w:p>
    <w:p w14:paraId="60BCCD2D">
      <w:pPr>
        <w:adjustRightInd w:val="0"/>
        <w:snapToGrid w:val="0"/>
        <w:spacing w:line="460" w:lineRule="exact"/>
        <w:ind w:firstLine="520" w:firstLineChars="200"/>
        <w:rPr>
          <w:sz w:val="26"/>
          <w:szCs w:val="26"/>
        </w:rPr>
      </w:pPr>
      <w:r>
        <w:rPr>
          <w:sz w:val="26"/>
          <w:szCs w:val="26"/>
        </w:rPr>
        <w:t>（7）《中华人民共和国野生植物保护条例》（国务院令第687号）；</w:t>
      </w:r>
    </w:p>
    <w:p w14:paraId="461813CF">
      <w:pPr>
        <w:adjustRightInd w:val="0"/>
        <w:snapToGrid w:val="0"/>
        <w:spacing w:line="460" w:lineRule="exact"/>
        <w:ind w:firstLine="520" w:firstLineChars="200"/>
        <w:rPr>
          <w:sz w:val="26"/>
          <w:szCs w:val="26"/>
        </w:rPr>
      </w:pPr>
      <w:r>
        <w:rPr>
          <w:sz w:val="26"/>
          <w:szCs w:val="26"/>
        </w:rPr>
        <w:t>（8）《中华人民共和国陆生野生动物保护实施条例》（国务院令第666号）；</w:t>
      </w:r>
    </w:p>
    <w:p w14:paraId="24BCCB96">
      <w:pPr>
        <w:adjustRightInd w:val="0"/>
        <w:snapToGrid w:val="0"/>
        <w:spacing w:line="460" w:lineRule="exact"/>
        <w:ind w:firstLine="520" w:firstLineChars="200"/>
        <w:rPr>
          <w:sz w:val="26"/>
          <w:szCs w:val="26"/>
        </w:rPr>
      </w:pPr>
      <w:r>
        <w:rPr>
          <w:sz w:val="26"/>
          <w:szCs w:val="26"/>
        </w:rPr>
        <w:t>（9）《土地复垦条例》（国令第592号）；</w:t>
      </w:r>
    </w:p>
    <w:p w14:paraId="79DAF5BB">
      <w:pPr>
        <w:adjustRightInd w:val="0"/>
        <w:snapToGrid w:val="0"/>
        <w:spacing w:line="460" w:lineRule="exact"/>
        <w:ind w:firstLine="520" w:firstLineChars="200"/>
        <w:rPr>
          <w:sz w:val="26"/>
          <w:szCs w:val="26"/>
        </w:rPr>
      </w:pPr>
      <w:r>
        <w:rPr>
          <w:sz w:val="26"/>
          <w:szCs w:val="26"/>
        </w:rPr>
        <w:t>（10）《水污染防治行动计划》（国发〔2015〕17号）；</w:t>
      </w:r>
    </w:p>
    <w:p w14:paraId="601208A2">
      <w:pPr>
        <w:adjustRightInd w:val="0"/>
        <w:snapToGrid w:val="0"/>
        <w:spacing w:line="460" w:lineRule="exact"/>
        <w:ind w:firstLine="520" w:firstLineChars="200"/>
        <w:rPr>
          <w:sz w:val="26"/>
          <w:szCs w:val="26"/>
        </w:rPr>
      </w:pPr>
      <w:r>
        <w:rPr>
          <w:sz w:val="26"/>
          <w:szCs w:val="26"/>
        </w:rPr>
        <w:t>（11）</w:t>
      </w:r>
      <w:r>
        <w:rPr>
          <w:rFonts w:hint="eastAsia"/>
          <w:sz w:val="26"/>
          <w:szCs w:val="26"/>
        </w:rPr>
        <w:t>《</w:t>
      </w:r>
      <w:bookmarkStart w:id="46" w:name="OLE_LINK15"/>
      <w:bookmarkStart w:id="47" w:name="OLE_LINK16"/>
      <w:r>
        <w:rPr>
          <w:rFonts w:hint="eastAsia"/>
          <w:sz w:val="26"/>
          <w:szCs w:val="26"/>
        </w:rPr>
        <w:t>土壤污染源头防控行动计划</w:t>
      </w:r>
      <w:bookmarkEnd w:id="46"/>
      <w:bookmarkEnd w:id="47"/>
      <w:r>
        <w:rPr>
          <w:rFonts w:hint="eastAsia"/>
          <w:sz w:val="26"/>
          <w:szCs w:val="26"/>
        </w:rPr>
        <w:t>》（环土壤〔2024〕80号）</w:t>
      </w:r>
      <w:r>
        <w:rPr>
          <w:sz w:val="26"/>
          <w:szCs w:val="26"/>
        </w:rPr>
        <w:t>；</w:t>
      </w:r>
    </w:p>
    <w:p w14:paraId="2EE218E0">
      <w:pPr>
        <w:adjustRightInd w:val="0"/>
        <w:snapToGrid w:val="0"/>
        <w:spacing w:line="460" w:lineRule="exact"/>
        <w:ind w:firstLine="520" w:firstLineChars="200"/>
        <w:rPr>
          <w:sz w:val="26"/>
          <w:szCs w:val="26"/>
        </w:rPr>
      </w:pPr>
      <w:r>
        <w:rPr>
          <w:sz w:val="26"/>
          <w:szCs w:val="26"/>
        </w:rPr>
        <w:t>（12）《自然资源部 农业农村部关于加强和改进永久基本农田保护工作的通知》（自然资规〔2019〕1号）；</w:t>
      </w:r>
    </w:p>
    <w:p w14:paraId="32E1240A">
      <w:pPr>
        <w:adjustRightInd w:val="0"/>
        <w:snapToGrid w:val="0"/>
        <w:spacing w:line="460" w:lineRule="exact"/>
        <w:ind w:firstLine="520" w:firstLineChars="200"/>
        <w:rPr>
          <w:sz w:val="26"/>
          <w:szCs w:val="26"/>
        </w:rPr>
      </w:pPr>
      <w:r>
        <w:rPr>
          <w:sz w:val="26"/>
          <w:szCs w:val="26"/>
        </w:rPr>
        <w:t>（13）《全国生态功能区划（修编版）》（公告2015年第61号）；</w:t>
      </w:r>
    </w:p>
    <w:p w14:paraId="0230653C">
      <w:pPr>
        <w:adjustRightInd w:val="0"/>
        <w:snapToGrid w:val="0"/>
        <w:spacing w:line="460" w:lineRule="exact"/>
        <w:ind w:firstLine="520" w:firstLineChars="200"/>
        <w:rPr>
          <w:sz w:val="26"/>
          <w:szCs w:val="26"/>
        </w:rPr>
      </w:pPr>
      <w:r>
        <w:rPr>
          <w:sz w:val="26"/>
          <w:szCs w:val="26"/>
        </w:rPr>
        <w:t>（14）《企业突发环境事件隐患排查和治理工作指南（试行）》（公告2016年 第74号）；</w:t>
      </w:r>
    </w:p>
    <w:p w14:paraId="15A85ADC">
      <w:pPr>
        <w:adjustRightInd w:val="0"/>
        <w:snapToGrid w:val="0"/>
        <w:spacing w:line="460" w:lineRule="exact"/>
        <w:ind w:firstLine="520" w:firstLineChars="200"/>
        <w:rPr>
          <w:sz w:val="26"/>
          <w:szCs w:val="26"/>
        </w:rPr>
      </w:pPr>
      <w:r>
        <w:rPr>
          <w:sz w:val="26"/>
          <w:szCs w:val="26"/>
        </w:rPr>
        <w:t>（15）《工矿用地土壤环境管理办法（试行）》（令部令第3号）；</w:t>
      </w:r>
    </w:p>
    <w:p w14:paraId="76B255E7">
      <w:pPr>
        <w:adjustRightInd w:val="0"/>
        <w:snapToGrid w:val="0"/>
        <w:spacing w:line="460" w:lineRule="exact"/>
        <w:ind w:firstLine="520" w:firstLineChars="200"/>
        <w:rPr>
          <w:sz w:val="26"/>
          <w:szCs w:val="26"/>
        </w:rPr>
      </w:pPr>
      <w:r>
        <w:rPr>
          <w:sz w:val="26"/>
          <w:szCs w:val="26"/>
        </w:rPr>
        <w:t>（16）《关于全面实行永久基本农田特殊保护的通知》（国土资规〔2018〕1号）。</w:t>
      </w:r>
    </w:p>
    <w:p w14:paraId="329687AA">
      <w:pPr>
        <w:adjustRightInd w:val="0"/>
        <w:snapToGrid w:val="0"/>
        <w:spacing w:line="460" w:lineRule="exact"/>
        <w:ind w:firstLine="520" w:firstLineChars="200"/>
        <w:rPr>
          <w:sz w:val="26"/>
          <w:szCs w:val="26"/>
        </w:rPr>
      </w:pPr>
      <w:r>
        <w:rPr>
          <w:sz w:val="26"/>
          <w:szCs w:val="26"/>
        </w:rPr>
        <w:t>（17）《石油天然气开采业污染防治技术政策》（公告2012年第18号）；</w:t>
      </w:r>
    </w:p>
    <w:p w14:paraId="53DF4B44">
      <w:pPr>
        <w:adjustRightInd w:val="0"/>
        <w:snapToGrid w:val="0"/>
        <w:spacing w:line="460" w:lineRule="exact"/>
        <w:ind w:firstLine="520" w:firstLineChars="200"/>
        <w:rPr>
          <w:sz w:val="26"/>
          <w:szCs w:val="26"/>
        </w:rPr>
      </w:pPr>
      <w:r>
        <w:rPr>
          <w:sz w:val="26"/>
          <w:szCs w:val="26"/>
        </w:rPr>
        <w:t>（18）《国务院关于印发大气污染防治行动计划的通知》(国发〔2013〕37号)；</w:t>
      </w:r>
    </w:p>
    <w:p w14:paraId="3857469F">
      <w:pPr>
        <w:adjustRightInd w:val="0"/>
        <w:snapToGrid w:val="0"/>
        <w:spacing w:line="460" w:lineRule="exact"/>
        <w:ind w:firstLine="520" w:firstLineChars="200"/>
        <w:rPr>
          <w:sz w:val="26"/>
          <w:szCs w:val="26"/>
        </w:rPr>
      </w:pPr>
      <w:r>
        <w:rPr>
          <w:sz w:val="26"/>
          <w:szCs w:val="26"/>
        </w:rPr>
        <w:t>（19）《关于印发能源行业加强大气污染防治工作方案的通知》（发改能源〔2014〕506号）；</w:t>
      </w:r>
    </w:p>
    <w:p w14:paraId="073D1037">
      <w:pPr>
        <w:adjustRightInd w:val="0"/>
        <w:snapToGrid w:val="0"/>
        <w:spacing w:line="460" w:lineRule="exact"/>
        <w:ind w:firstLine="520" w:firstLineChars="200"/>
        <w:rPr>
          <w:sz w:val="26"/>
          <w:szCs w:val="26"/>
        </w:rPr>
      </w:pPr>
      <w:r>
        <w:rPr>
          <w:sz w:val="26"/>
          <w:szCs w:val="26"/>
        </w:rPr>
        <w:t>（20）《关于进一步加强石油天然气行业环境影响评价管理的通知》（环办环评函〔2019〕910号）；</w:t>
      </w:r>
    </w:p>
    <w:p w14:paraId="4CA3C846">
      <w:pPr>
        <w:adjustRightInd w:val="0"/>
        <w:snapToGrid w:val="0"/>
        <w:spacing w:line="460" w:lineRule="exact"/>
        <w:ind w:firstLine="520" w:firstLineChars="200"/>
        <w:rPr>
          <w:sz w:val="26"/>
          <w:szCs w:val="26"/>
        </w:rPr>
      </w:pPr>
      <w:r>
        <w:rPr>
          <w:sz w:val="26"/>
          <w:szCs w:val="26"/>
        </w:rPr>
        <w:t>（21）《关于做好环境影响评价制度与排污许可制衔接相关工作的通知》（环办环评〔2017〕84号）；</w:t>
      </w:r>
    </w:p>
    <w:p w14:paraId="42470B68">
      <w:pPr>
        <w:adjustRightInd w:val="0"/>
        <w:snapToGrid w:val="0"/>
        <w:spacing w:line="460" w:lineRule="exact"/>
        <w:ind w:firstLine="520" w:firstLineChars="200"/>
        <w:rPr>
          <w:sz w:val="26"/>
          <w:szCs w:val="26"/>
        </w:rPr>
      </w:pPr>
      <w:r>
        <w:rPr>
          <w:sz w:val="26"/>
          <w:szCs w:val="26"/>
        </w:rPr>
        <w:t>（22）《关于加强资源环境生态红线管控的指导意见的通知》（发改环资〔2016〕1162号）；</w:t>
      </w:r>
    </w:p>
    <w:p w14:paraId="3A8D76CA">
      <w:pPr>
        <w:adjustRightInd w:val="0"/>
        <w:snapToGrid w:val="0"/>
        <w:spacing w:line="460" w:lineRule="exact"/>
        <w:ind w:firstLine="520" w:firstLineChars="200"/>
        <w:rPr>
          <w:sz w:val="26"/>
          <w:szCs w:val="26"/>
        </w:rPr>
      </w:pPr>
      <w:r>
        <w:rPr>
          <w:sz w:val="26"/>
          <w:szCs w:val="26"/>
        </w:rPr>
        <w:t>（23）《关于以改善环境质量为核心加强环境影响评价管理的通知》（环环评〔2016〕150号）；</w:t>
      </w:r>
    </w:p>
    <w:p w14:paraId="6012ED56">
      <w:pPr>
        <w:adjustRightInd w:val="0"/>
        <w:snapToGrid w:val="0"/>
        <w:spacing w:line="460" w:lineRule="exact"/>
        <w:ind w:firstLine="520" w:firstLineChars="200"/>
        <w:rPr>
          <w:sz w:val="26"/>
          <w:szCs w:val="26"/>
        </w:rPr>
      </w:pPr>
      <w:r>
        <w:rPr>
          <w:sz w:val="26"/>
          <w:szCs w:val="26"/>
        </w:rPr>
        <w:t>（24）《关于进一步加强环境影响评价管理防范环境风险的通知》（环发〔2012〕77号)；</w:t>
      </w:r>
    </w:p>
    <w:p w14:paraId="5127E0CC">
      <w:pPr>
        <w:adjustRightInd w:val="0"/>
        <w:snapToGrid w:val="0"/>
        <w:spacing w:line="460" w:lineRule="exact"/>
        <w:ind w:firstLine="520" w:firstLineChars="200"/>
        <w:rPr>
          <w:sz w:val="26"/>
          <w:szCs w:val="26"/>
        </w:rPr>
      </w:pPr>
      <w:r>
        <w:rPr>
          <w:sz w:val="26"/>
          <w:szCs w:val="26"/>
        </w:rPr>
        <w:t>（25）《关于切实加强风险防范严格环境影响评价管理的通知》（环发〔2012〕98号）；</w:t>
      </w:r>
    </w:p>
    <w:p w14:paraId="01E7C2D0">
      <w:pPr>
        <w:adjustRightInd w:val="0"/>
        <w:snapToGrid w:val="0"/>
        <w:spacing w:line="460" w:lineRule="exact"/>
        <w:ind w:firstLine="520" w:firstLineChars="200"/>
        <w:rPr>
          <w:sz w:val="26"/>
          <w:szCs w:val="26"/>
        </w:rPr>
      </w:pPr>
      <w:r>
        <w:rPr>
          <w:sz w:val="26"/>
          <w:szCs w:val="26"/>
        </w:rPr>
        <w:t>（26）《关于印发企业事业单位突发环境事件应急预案备案管理办法（试行）的通知》（环发〔2015〕4号）；</w:t>
      </w:r>
    </w:p>
    <w:p w14:paraId="33294ABA">
      <w:pPr>
        <w:adjustRightInd w:val="0"/>
        <w:snapToGrid w:val="0"/>
        <w:spacing w:line="460" w:lineRule="exact"/>
        <w:ind w:firstLine="520" w:firstLineChars="200"/>
        <w:rPr>
          <w:sz w:val="26"/>
          <w:szCs w:val="26"/>
        </w:rPr>
      </w:pPr>
      <w:r>
        <w:rPr>
          <w:sz w:val="26"/>
          <w:szCs w:val="26"/>
        </w:rPr>
        <w:t>（27）《关于贯彻实施国家主体功能区环境政策的若干意见》（环发〔2015〕92号）；</w:t>
      </w:r>
    </w:p>
    <w:p w14:paraId="52249F02">
      <w:pPr>
        <w:adjustRightInd w:val="0"/>
        <w:snapToGrid w:val="0"/>
        <w:spacing w:line="460" w:lineRule="exact"/>
        <w:ind w:firstLine="520" w:firstLineChars="200"/>
        <w:rPr>
          <w:sz w:val="26"/>
          <w:szCs w:val="26"/>
        </w:rPr>
      </w:pPr>
      <w:r>
        <w:rPr>
          <w:sz w:val="26"/>
          <w:szCs w:val="26"/>
        </w:rPr>
        <w:t>（28）《关于加强资源开发生态环境保护监管工作的意见》（环发〔2004〕24号）；</w:t>
      </w:r>
    </w:p>
    <w:p w14:paraId="61F4ED9C">
      <w:pPr>
        <w:adjustRightInd w:val="0"/>
        <w:snapToGrid w:val="0"/>
        <w:spacing w:line="460" w:lineRule="exact"/>
        <w:ind w:firstLine="520" w:firstLineChars="200"/>
        <w:rPr>
          <w:sz w:val="26"/>
          <w:szCs w:val="26"/>
        </w:rPr>
      </w:pPr>
      <w:r>
        <w:rPr>
          <w:sz w:val="26"/>
          <w:szCs w:val="26"/>
        </w:rPr>
        <w:t>（29）《关于划定并严守生态保护红线的若干意见》（中共中央办公厅、国务院办公厅，2017.2.7）；</w:t>
      </w:r>
    </w:p>
    <w:p w14:paraId="0C4C6A5E">
      <w:pPr>
        <w:adjustRightInd w:val="0"/>
        <w:snapToGrid w:val="0"/>
        <w:spacing w:line="460" w:lineRule="exact"/>
        <w:ind w:firstLine="520" w:firstLineChars="200"/>
        <w:rPr>
          <w:sz w:val="26"/>
          <w:szCs w:val="26"/>
        </w:rPr>
      </w:pPr>
      <w:r>
        <w:rPr>
          <w:sz w:val="26"/>
          <w:szCs w:val="26"/>
        </w:rPr>
        <w:t>（30）《危险化学品安全管理条例》，国务院令第344号，2013年12月7日修订；</w:t>
      </w:r>
    </w:p>
    <w:p w14:paraId="6A9952D1">
      <w:pPr>
        <w:adjustRightInd w:val="0"/>
        <w:snapToGrid w:val="0"/>
        <w:spacing w:line="460" w:lineRule="exact"/>
        <w:ind w:firstLine="520" w:firstLineChars="200"/>
        <w:rPr>
          <w:sz w:val="26"/>
          <w:szCs w:val="26"/>
        </w:rPr>
      </w:pPr>
      <w:r>
        <w:rPr>
          <w:sz w:val="26"/>
          <w:szCs w:val="26"/>
        </w:rPr>
        <w:t>（31）</w:t>
      </w:r>
      <w:r>
        <w:rPr>
          <w:rFonts w:hint="eastAsia"/>
          <w:sz w:val="26"/>
          <w:szCs w:val="26"/>
        </w:rPr>
        <w:t>《水利部办公厅</w:t>
      </w:r>
      <w:r>
        <w:rPr>
          <w:sz w:val="26"/>
          <w:szCs w:val="26"/>
        </w:rPr>
        <w:t>&lt;</w:t>
      </w:r>
      <w:r>
        <w:rPr>
          <w:rFonts w:hint="eastAsia"/>
          <w:sz w:val="26"/>
          <w:szCs w:val="26"/>
        </w:rPr>
        <w:t>全国水土保持规划国家级水土流失重点预防区和重点治理区复核划分成果</w:t>
      </w:r>
      <w:r>
        <w:rPr>
          <w:sz w:val="26"/>
          <w:szCs w:val="26"/>
        </w:rPr>
        <w:t>&gt;</w:t>
      </w:r>
      <w:r>
        <w:rPr>
          <w:rFonts w:hint="eastAsia"/>
          <w:sz w:val="26"/>
          <w:szCs w:val="26"/>
        </w:rPr>
        <w:t>的通知》（办水保〔</w:t>
      </w:r>
      <w:r>
        <w:rPr>
          <w:sz w:val="26"/>
          <w:szCs w:val="26"/>
        </w:rPr>
        <w:t>2013</w:t>
      </w:r>
      <w:r>
        <w:rPr>
          <w:rFonts w:hint="eastAsia"/>
          <w:sz w:val="26"/>
          <w:szCs w:val="26"/>
        </w:rPr>
        <w:t>〕</w:t>
      </w:r>
      <w:r>
        <w:rPr>
          <w:sz w:val="26"/>
          <w:szCs w:val="26"/>
        </w:rPr>
        <w:t>188</w:t>
      </w:r>
      <w:r>
        <w:rPr>
          <w:rFonts w:hint="eastAsia"/>
          <w:sz w:val="26"/>
          <w:szCs w:val="26"/>
        </w:rPr>
        <w:t>号）；</w:t>
      </w:r>
    </w:p>
    <w:p w14:paraId="170AFE62">
      <w:pPr>
        <w:adjustRightInd w:val="0"/>
        <w:snapToGrid w:val="0"/>
        <w:spacing w:line="460" w:lineRule="exact"/>
        <w:ind w:firstLine="520" w:firstLineChars="200"/>
        <w:rPr>
          <w:sz w:val="26"/>
          <w:szCs w:val="26"/>
        </w:rPr>
      </w:pPr>
      <w:r>
        <w:rPr>
          <w:sz w:val="26"/>
          <w:szCs w:val="26"/>
        </w:rPr>
        <w:t>（32）《国家重点保护野生动物名录》（2021.2.5）；</w:t>
      </w:r>
    </w:p>
    <w:p w14:paraId="1BCDC301">
      <w:pPr>
        <w:adjustRightInd w:val="0"/>
        <w:snapToGrid w:val="0"/>
        <w:spacing w:line="460" w:lineRule="exact"/>
        <w:ind w:firstLine="520" w:firstLineChars="200"/>
        <w:rPr>
          <w:sz w:val="26"/>
          <w:szCs w:val="26"/>
        </w:rPr>
      </w:pPr>
      <w:r>
        <w:rPr>
          <w:sz w:val="26"/>
          <w:szCs w:val="26"/>
        </w:rPr>
        <w:t>（33）《国家重点保护野生植物名录》（国家林业和草原局 农业农村部公告2021年第15号，2021.9.7）；</w:t>
      </w:r>
    </w:p>
    <w:p w14:paraId="3FBEC931">
      <w:pPr>
        <w:adjustRightInd w:val="0"/>
        <w:snapToGrid w:val="0"/>
        <w:spacing w:line="460" w:lineRule="exact"/>
        <w:ind w:firstLine="520" w:firstLineChars="200"/>
        <w:rPr>
          <w:sz w:val="26"/>
          <w:szCs w:val="26"/>
        </w:rPr>
      </w:pPr>
      <w:r>
        <w:rPr>
          <w:sz w:val="26"/>
          <w:szCs w:val="26"/>
        </w:rPr>
        <w:t>（34）《国家危险废物名录》（2025年版）；</w:t>
      </w:r>
    </w:p>
    <w:p w14:paraId="15392FC0">
      <w:pPr>
        <w:adjustRightInd w:val="0"/>
        <w:snapToGrid w:val="0"/>
        <w:spacing w:line="460" w:lineRule="exact"/>
        <w:ind w:firstLine="520" w:firstLineChars="200"/>
        <w:rPr>
          <w:sz w:val="26"/>
          <w:szCs w:val="26"/>
        </w:rPr>
      </w:pPr>
      <w:r>
        <w:rPr>
          <w:sz w:val="26"/>
          <w:szCs w:val="26"/>
        </w:rPr>
        <w:t>（35）《危险废物排除管理清单（2026年版）》（生态环境部 公告2026年第2号）；</w:t>
      </w:r>
    </w:p>
    <w:p w14:paraId="4DE98F26">
      <w:pPr>
        <w:adjustRightInd w:val="0"/>
        <w:snapToGrid w:val="0"/>
        <w:spacing w:line="460" w:lineRule="exact"/>
        <w:ind w:firstLine="520" w:firstLineChars="200"/>
        <w:rPr>
          <w:sz w:val="26"/>
          <w:szCs w:val="26"/>
        </w:rPr>
      </w:pPr>
      <w:r>
        <w:rPr>
          <w:sz w:val="26"/>
          <w:szCs w:val="26"/>
        </w:rPr>
        <w:t>（36）《危险废物环境管理指南 陆上石油天然气开采》（生态环境部 公告2021年第74号）；</w:t>
      </w:r>
    </w:p>
    <w:p w14:paraId="142579B4">
      <w:pPr>
        <w:adjustRightInd w:val="0"/>
        <w:snapToGrid w:val="0"/>
        <w:spacing w:line="460" w:lineRule="exact"/>
        <w:ind w:firstLine="520" w:firstLineChars="200"/>
        <w:rPr>
          <w:sz w:val="26"/>
          <w:szCs w:val="26"/>
        </w:rPr>
      </w:pPr>
      <w:r>
        <w:rPr>
          <w:sz w:val="26"/>
          <w:szCs w:val="26"/>
        </w:rPr>
        <w:t>（37）《危险废物转移管理办法》（生态环境部 公安部 交通运输部 部令 第23号 2022.1.1施行）；</w:t>
      </w:r>
    </w:p>
    <w:p w14:paraId="7CBA9A25">
      <w:pPr>
        <w:adjustRightInd w:val="0"/>
        <w:snapToGrid w:val="0"/>
        <w:spacing w:line="460" w:lineRule="exact"/>
        <w:ind w:firstLine="520" w:firstLineChars="200"/>
        <w:rPr>
          <w:sz w:val="26"/>
          <w:szCs w:val="26"/>
        </w:rPr>
      </w:pPr>
      <w:r>
        <w:rPr>
          <w:sz w:val="26"/>
          <w:szCs w:val="26"/>
        </w:rPr>
        <w:t>（38）《关于严格耕地用途管制有关问题的通知》（自然资发〔2021〕166号）；</w:t>
      </w:r>
    </w:p>
    <w:p w14:paraId="1DB880A5">
      <w:pPr>
        <w:adjustRightInd w:val="0"/>
        <w:snapToGrid w:val="0"/>
        <w:spacing w:line="460" w:lineRule="exact"/>
        <w:ind w:firstLine="520" w:firstLineChars="200"/>
        <w:rPr>
          <w:sz w:val="26"/>
          <w:szCs w:val="26"/>
        </w:rPr>
      </w:pPr>
      <w:r>
        <w:rPr>
          <w:sz w:val="26"/>
          <w:szCs w:val="26"/>
        </w:rPr>
        <w:t>（39）《关于积极做好用地用海要素保障的通知》（自然资发〔2022〕129号）；</w:t>
      </w:r>
    </w:p>
    <w:p w14:paraId="4A2BEF84">
      <w:pPr>
        <w:adjustRightInd w:val="0"/>
        <w:snapToGrid w:val="0"/>
        <w:spacing w:line="460" w:lineRule="exact"/>
        <w:ind w:firstLine="520" w:firstLineChars="200"/>
        <w:rPr>
          <w:sz w:val="26"/>
          <w:szCs w:val="26"/>
        </w:rPr>
      </w:pPr>
      <w:r>
        <w:rPr>
          <w:sz w:val="26"/>
          <w:szCs w:val="26"/>
        </w:rPr>
        <w:t>（40）《自然资源部 生态环境部 国家林业和草原局关于加强生态保护红线管理的通知（试行）》（自然资发〔2022〕142号）</w:t>
      </w:r>
      <w:r>
        <w:rPr>
          <w:rFonts w:hint="eastAsia"/>
          <w:sz w:val="26"/>
          <w:szCs w:val="26"/>
        </w:rPr>
        <w:t>；</w:t>
      </w:r>
    </w:p>
    <w:p w14:paraId="12906FED">
      <w:pPr>
        <w:adjustRightInd w:val="0"/>
        <w:snapToGrid w:val="0"/>
        <w:spacing w:line="460" w:lineRule="exact"/>
        <w:ind w:firstLine="520" w:firstLineChars="200"/>
        <w:rPr>
          <w:sz w:val="26"/>
          <w:szCs w:val="26"/>
        </w:rPr>
      </w:pPr>
      <w:r>
        <w:rPr>
          <w:rFonts w:hint="eastAsia"/>
          <w:sz w:val="26"/>
          <w:szCs w:val="26"/>
        </w:rPr>
        <w:t>（4</w:t>
      </w:r>
      <w:r>
        <w:rPr>
          <w:sz w:val="26"/>
          <w:szCs w:val="26"/>
        </w:rPr>
        <w:t>1</w:t>
      </w:r>
      <w:r>
        <w:rPr>
          <w:rFonts w:hint="eastAsia"/>
          <w:sz w:val="26"/>
          <w:szCs w:val="26"/>
        </w:rPr>
        <w:t>）《永久基本农田保护红线管理办法》（2</w:t>
      </w:r>
      <w:r>
        <w:rPr>
          <w:sz w:val="26"/>
          <w:szCs w:val="26"/>
        </w:rPr>
        <w:t>025</w:t>
      </w:r>
      <w:r>
        <w:rPr>
          <w:rFonts w:hint="eastAsia"/>
          <w:sz w:val="26"/>
          <w:szCs w:val="26"/>
        </w:rPr>
        <w:t>年1</w:t>
      </w:r>
      <w:r>
        <w:rPr>
          <w:sz w:val="26"/>
          <w:szCs w:val="26"/>
        </w:rPr>
        <w:t>0</w:t>
      </w:r>
      <w:r>
        <w:rPr>
          <w:rFonts w:hint="eastAsia"/>
          <w:sz w:val="26"/>
          <w:szCs w:val="26"/>
        </w:rPr>
        <w:t>月1日实施）。</w:t>
      </w:r>
    </w:p>
    <w:p w14:paraId="4A2289D3">
      <w:pPr>
        <w:adjustRightInd w:val="0"/>
        <w:snapToGrid w:val="0"/>
        <w:spacing w:line="460" w:lineRule="exact"/>
        <w:ind w:firstLine="522"/>
        <w:outlineLvl w:val="2"/>
        <w:rPr>
          <w:b/>
          <w:sz w:val="26"/>
          <w:szCs w:val="26"/>
        </w:rPr>
      </w:pPr>
      <w:r>
        <w:rPr>
          <w:b/>
          <w:sz w:val="26"/>
          <w:szCs w:val="26"/>
        </w:rPr>
        <w:t>1.2.3 地方行政规章及规范性文件</w:t>
      </w:r>
      <w:bookmarkEnd w:id="45"/>
    </w:p>
    <w:p w14:paraId="2A0E3C5E">
      <w:pPr>
        <w:spacing w:line="460" w:lineRule="exact"/>
        <w:ind w:firstLine="520" w:firstLineChars="200"/>
        <w:rPr>
          <w:sz w:val="26"/>
          <w:szCs w:val="26"/>
        </w:rPr>
      </w:pPr>
      <w:bookmarkStart w:id="48" w:name="_Hlk164169480"/>
      <w:r>
        <w:rPr>
          <w:rFonts w:hint="eastAsia"/>
          <w:sz w:val="26"/>
          <w:szCs w:val="26"/>
        </w:rPr>
        <w:t>（1）《四川省环境保护条例》（修订，</w:t>
      </w:r>
      <w:r>
        <w:rPr>
          <w:sz w:val="26"/>
          <w:szCs w:val="26"/>
        </w:rPr>
        <w:t>2018.1.1</w:t>
      </w:r>
      <w:r>
        <w:rPr>
          <w:rFonts w:hint="eastAsia"/>
          <w:sz w:val="26"/>
          <w:szCs w:val="26"/>
        </w:rPr>
        <w:t>）；</w:t>
      </w:r>
    </w:p>
    <w:p w14:paraId="7F2EBE62">
      <w:pPr>
        <w:spacing w:line="460" w:lineRule="exact"/>
        <w:ind w:firstLine="520" w:firstLineChars="200"/>
        <w:rPr>
          <w:sz w:val="26"/>
          <w:szCs w:val="26"/>
        </w:rPr>
      </w:pPr>
      <w:r>
        <w:rPr>
          <w:rFonts w:hint="eastAsia"/>
          <w:sz w:val="26"/>
          <w:szCs w:val="26"/>
        </w:rPr>
        <w:t>（2）《四川省固体废物污染环境防治条例》（</w:t>
      </w:r>
      <w:r>
        <w:rPr>
          <w:sz w:val="26"/>
          <w:szCs w:val="26"/>
        </w:rPr>
        <w:t>2022.9.1</w:t>
      </w:r>
      <w:r>
        <w:rPr>
          <w:rFonts w:hint="eastAsia"/>
          <w:sz w:val="26"/>
          <w:szCs w:val="26"/>
        </w:rPr>
        <w:t>）；</w:t>
      </w:r>
    </w:p>
    <w:p w14:paraId="3F4AA672">
      <w:pPr>
        <w:spacing w:line="460" w:lineRule="exact"/>
        <w:ind w:firstLine="520" w:firstLineChars="200"/>
        <w:rPr>
          <w:sz w:val="26"/>
          <w:szCs w:val="26"/>
        </w:rPr>
      </w:pPr>
      <w:r>
        <w:rPr>
          <w:rFonts w:hint="eastAsia"/>
          <w:sz w:val="26"/>
          <w:szCs w:val="26"/>
        </w:rPr>
        <w:t>（3）《四川省基本农田保护实施细则》（</w:t>
      </w:r>
      <w:r>
        <w:rPr>
          <w:sz w:val="26"/>
          <w:szCs w:val="26"/>
        </w:rPr>
        <w:t>1996.2.29</w:t>
      </w:r>
      <w:r>
        <w:rPr>
          <w:rFonts w:hint="eastAsia"/>
          <w:sz w:val="26"/>
          <w:szCs w:val="26"/>
        </w:rPr>
        <w:t>）；</w:t>
      </w:r>
    </w:p>
    <w:p w14:paraId="2DE02C2C">
      <w:pPr>
        <w:spacing w:line="460" w:lineRule="exact"/>
        <w:ind w:firstLine="520" w:firstLineChars="200"/>
        <w:rPr>
          <w:sz w:val="26"/>
          <w:szCs w:val="26"/>
        </w:rPr>
      </w:pPr>
      <w:r>
        <w:rPr>
          <w:rFonts w:hint="eastAsia"/>
          <w:sz w:val="26"/>
          <w:szCs w:val="26"/>
        </w:rPr>
        <w:t>（4）《四川省〈中华人民共和国土地管理法〉实施办法》（</w:t>
      </w:r>
      <w:r>
        <w:rPr>
          <w:sz w:val="26"/>
          <w:szCs w:val="26"/>
        </w:rPr>
        <w:t>2022.12.2</w:t>
      </w:r>
      <w:r>
        <w:rPr>
          <w:rFonts w:hint="eastAsia"/>
          <w:sz w:val="26"/>
          <w:szCs w:val="26"/>
        </w:rPr>
        <w:t>）；</w:t>
      </w:r>
    </w:p>
    <w:p w14:paraId="0C0B55C6">
      <w:pPr>
        <w:spacing w:line="460" w:lineRule="exact"/>
        <w:ind w:firstLine="520" w:firstLineChars="200"/>
        <w:rPr>
          <w:sz w:val="26"/>
          <w:szCs w:val="26"/>
        </w:rPr>
      </w:pPr>
      <w:r>
        <w:rPr>
          <w:rFonts w:hint="eastAsia"/>
          <w:sz w:val="26"/>
          <w:szCs w:val="26"/>
        </w:rPr>
        <w:t>（5）《四川省〈中华人民共和国水土保持法〉实施办法》（</w:t>
      </w:r>
      <w:r>
        <w:rPr>
          <w:sz w:val="26"/>
          <w:szCs w:val="26"/>
        </w:rPr>
        <w:t>2012.12.1</w:t>
      </w:r>
      <w:r>
        <w:rPr>
          <w:rFonts w:hint="eastAsia"/>
          <w:sz w:val="26"/>
          <w:szCs w:val="26"/>
        </w:rPr>
        <w:t>）；</w:t>
      </w:r>
    </w:p>
    <w:p w14:paraId="29E652D7">
      <w:pPr>
        <w:spacing w:line="460" w:lineRule="exact"/>
        <w:ind w:firstLine="520" w:firstLineChars="200"/>
        <w:rPr>
          <w:sz w:val="26"/>
          <w:szCs w:val="26"/>
        </w:rPr>
      </w:pPr>
      <w:r>
        <w:rPr>
          <w:sz w:val="26"/>
          <w:szCs w:val="26"/>
        </w:rPr>
        <w:t>（6）《四川省生态功能区划》（2010年8月出版）</w:t>
      </w:r>
      <w:r>
        <w:rPr>
          <w:rFonts w:hint="eastAsia"/>
          <w:sz w:val="26"/>
          <w:szCs w:val="26"/>
        </w:rPr>
        <w:t>；</w:t>
      </w:r>
    </w:p>
    <w:p w14:paraId="0404C7A5">
      <w:pPr>
        <w:spacing w:line="460" w:lineRule="exact"/>
        <w:ind w:firstLine="520" w:firstLineChars="200"/>
        <w:rPr>
          <w:sz w:val="26"/>
          <w:szCs w:val="26"/>
        </w:rPr>
      </w:pPr>
      <w:r>
        <w:rPr>
          <w:rFonts w:hint="eastAsia"/>
          <w:sz w:val="26"/>
          <w:szCs w:val="26"/>
        </w:rPr>
        <w:t>（7）《四川省国土空间规划》（</w:t>
      </w:r>
      <w:r>
        <w:rPr>
          <w:sz w:val="26"/>
          <w:szCs w:val="26"/>
        </w:rPr>
        <w:t>2024.4.11</w:t>
      </w:r>
      <w:r>
        <w:rPr>
          <w:rFonts w:hint="eastAsia"/>
          <w:sz w:val="26"/>
          <w:szCs w:val="26"/>
        </w:rPr>
        <w:t>）；</w:t>
      </w:r>
    </w:p>
    <w:p w14:paraId="466BA7A2">
      <w:pPr>
        <w:spacing w:line="460" w:lineRule="exact"/>
        <w:ind w:firstLine="520" w:firstLineChars="200"/>
        <w:rPr>
          <w:sz w:val="26"/>
          <w:szCs w:val="26"/>
        </w:rPr>
      </w:pPr>
      <w:r>
        <w:rPr>
          <w:rFonts w:hint="eastAsia"/>
          <w:sz w:val="26"/>
          <w:szCs w:val="26"/>
        </w:rPr>
        <w:t>（8）《四川省人民政府关于〈全国生态环境保护纲要〉的实施意见》（川府发〔</w:t>
      </w:r>
      <w:r>
        <w:rPr>
          <w:sz w:val="26"/>
          <w:szCs w:val="26"/>
        </w:rPr>
        <w:t>2002</w:t>
      </w:r>
      <w:r>
        <w:rPr>
          <w:rFonts w:hint="eastAsia"/>
          <w:sz w:val="26"/>
          <w:szCs w:val="26"/>
        </w:rPr>
        <w:t>〕</w:t>
      </w:r>
      <w:r>
        <w:rPr>
          <w:sz w:val="26"/>
          <w:szCs w:val="26"/>
        </w:rPr>
        <w:t>7</w:t>
      </w:r>
      <w:r>
        <w:rPr>
          <w:rFonts w:hint="eastAsia"/>
          <w:sz w:val="26"/>
          <w:szCs w:val="26"/>
        </w:rPr>
        <w:t>号）；</w:t>
      </w:r>
    </w:p>
    <w:p w14:paraId="2B0ACF83">
      <w:pPr>
        <w:spacing w:line="460" w:lineRule="exact"/>
        <w:ind w:firstLine="520" w:firstLineChars="200"/>
        <w:rPr>
          <w:sz w:val="26"/>
          <w:szCs w:val="26"/>
        </w:rPr>
      </w:pPr>
      <w:r>
        <w:rPr>
          <w:rFonts w:hint="eastAsia"/>
          <w:sz w:val="26"/>
          <w:szCs w:val="26"/>
        </w:rPr>
        <w:t>（9）《四川省环境保护厅办公室关于贯彻落实〈建设项目主要污染物排放总量控制指标审核及管理暂行办法〉的通知》（川环办发〔</w:t>
      </w:r>
      <w:r>
        <w:rPr>
          <w:sz w:val="26"/>
          <w:szCs w:val="26"/>
        </w:rPr>
        <w:t>2015</w:t>
      </w:r>
      <w:r>
        <w:rPr>
          <w:rFonts w:hint="eastAsia"/>
          <w:sz w:val="26"/>
          <w:szCs w:val="26"/>
        </w:rPr>
        <w:t>〕</w:t>
      </w:r>
      <w:r>
        <w:rPr>
          <w:sz w:val="26"/>
          <w:szCs w:val="26"/>
        </w:rPr>
        <w:t xml:space="preserve">333 </w:t>
      </w:r>
      <w:r>
        <w:rPr>
          <w:rFonts w:hint="eastAsia"/>
          <w:sz w:val="26"/>
          <w:szCs w:val="26"/>
        </w:rPr>
        <w:t>号）；</w:t>
      </w:r>
    </w:p>
    <w:p w14:paraId="58C7B060">
      <w:pPr>
        <w:spacing w:line="460" w:lineRule="exact"/>
        <w:ind w:firstLine="520" w:firstLineChars="200"/>
        <w:rPr>
          <w:sz w:val="26"/>
          <w:szCs w:val="26"/>
        </w:rPr>
      </w:pPr>
      <w:r>
        <w:rPr>
          <w:rFonts w:hint="eastAsia"/>
          <w:sz w:val="26"/>
          <w:szCs w:val="26"/>
        </w:rPr>
        <w:t>（10）《四川省人民政府〈四川省重点保护野生动物名录〉〈四川省重点保护野生动植物名录〉的通知》（川府发〔</w:t>
      </w:r>
      <w:r>
        <w:rPr>
          <w:sz w:val="26"/>
          <w:szCs w:val="26"/>
        </w:rPr>
        <w:t>2024</w:t>
      </w:r>
      <w:r>
        <w:rPr>
          <w:rFonts w:hint="eastAsia"/>
          <w:sz w:val="26"/>
          <w:szCs w:val="26"/>
        </w:rPr>
        <w:t>〕</w:t>
      </w:r>
      <w:r>
        <w:rPr>
          <w:sz w:val="26"/>
          <w:szCs w:val="26"/>
        </w:rPr>
        <w:t>14</w:t>
      </w:r>
      <w:r>
        <w:rPr>
          <w:rFonts w:hint="eastAsia"/>
          <w:sz w:val="26"/>
          <w:szCs w:val="26"/>
        </w:rPr>
        <w:t>号）；</w:t>
      </w:r>
    </w:p>
    <w:p w14:paraId="7FC64044">
      <w:pPr>
        <w:spacing w:line="460" w:lineRule="exact"/>
        <w:ind w:firstLine="520" w:firstLineChars="200"/>
        <w:rPr>
          <w:sz w:val="26"/>
          <w:szCs w:val="26"/>
        </w:rPr>
      </w:pPr>
      <w:r>
        <w:rPr>
          <w:rFonts w:hint="eastAsia"/>
          <w:sz w:val="26"/>
          <w:szCs w:val="26"/>
        </w:rPr>
        <w:t>（11）《四川省人民政府关于印发〈四川省“十四五”能源发展规划〉的通知》（川府发〔</w:t>
      </w:r>
      <w:r>
        <w:rPr>
          <w:sz w:val="26"/>
          <w:szCs w:val="26"/>
        </w:rPr>
        <w:t>2022</w:t>
      </w:r>
      <w:r>
        <w:rPr>
          <w:rFonts w:hint="eastAsia"/>
          <w:sz w:val="26"/>
          <w:szCs w:val="26"/>
        </w:rPr>
        <w:t>〕</w:t>
      </w:r>
      <w:r>
        <w:rPr>
          <w:sz w:val="26"/>
          <w:szCs w:val="26"/>
        </w:rPr>
        <w:t>8</w:t>
      </w:r>
      <w:r>
        <w:rPr>
          <w:rFonts w:hint="eastAsia"/>
          <w:sz w:val="26"/>
          <w:szCs w:val="26"/>
        </w:rPr>
        <w:t>号）；</w:t>
      </w:r>
    </w:p>
    <w:p w14:paraId="739C7865">
      <w:pPr>
        <w:spacing w:line="460" w:lineRule="exact"/>
        <w:ind w:firstLine="520" w:firstLineChars="200"/>
        <w:rPr>
          <w:sz w:val="26"/>
          <w:szCs w:val="26"/>
        </w:rPr>
      </w:pPr>
      <w:r>
        <w:rPr>
          <w:rFonts w:hint="eastAsia"/>
          <w:sz w:val="26"/>
          <w:szCs w:val="26"/>
        </w:rPr>
        <w:t>（12）《四川省“十四五”生态环境保护规划》（川府发〔</w:t>
      </w:r>
      <w:r>
        <w:rPr>
          <w:sz w:val="26"/>
          <w:szCs w:val="26"/>
        </w:rPr>
        <w:t>2022</w:t>
      </w:r>
      <w:r>
        <w:rPr>
          <w:rFonts w:hint="eastAsia"/>
          <w:sz w:val="26"/>
          <w:szCs w:val="26"/>
        </w:rPr>
        <w:t>〕</w:t>
      </w:r>
      <w:r>
        <w:rPr>
          <w:sz w:val="26"/>
          <w:szCs w:val="26"/>
        </w:rPr>
        <w:t xml:space="preserve">2 </w:t>
      </w:r>
      <w:r>
        <w:rPr>
          <w:rFonts w:hint="eastAsia"/>
          <w:sz w:val="26"/>
          <w:szCs w:val="26"/>
        </w:rPr>
        <w:t>号）；</w:t>
      </w:r>
    </w:p>
    <w:p w14:paraId="54C3B918">
      <w:pPr>
        <w:spacing w:line="460" w:lineRule="exact"/>
        <w:ind w:firstLine="520" w:firstLineChars="200"/>
        <w:rPr>
          <w:sz w:val="26"/>
          <w:szCs w:val="26"/>
        </w:rPr>
      </w:pPr>
      <w:r>
        <w:rPr>
          <w:rFonts w:hint="eastAsia"/>
          <w:sz w:val="26"/>
          <w:szCs w:val="26"/>
        </w:rPr>
        <w:t>（1</w:t>
      </w:r>
      <w:r>
        <w:rPr>
          <w:sz w:val="26"/>
          <w:szCs w:val="26"/>
        </w:rPr>
        <w:t>3</w:t>
      </w:r>
      <w:r>
        <w:rPr>
          <w:rFonts w:hint="eastAsia"/>
          <w:sz w:val="26"/>
          <w:szCs w:val="26"/>
        </w:rPr>
        <w:t>）《四川省水土保持规划（</w:t>
      </w:r>
      <w:r>
        <w:rPr>
          <w:sz w:val="26"/>
          <w:szCs w:val="26"/>
        </w:rPr>
        <w:t>2015-2030</w:t>
      </w:r>
      <w:r>
        <w:rPr>
          <w:rFonts w:hint="eastAsia"/>
          <w:sz w:val="26"/>
          <w:szCs w:val="26"/>
        </w:rPr>
        <w:t>）》（川府函〔</w:t>
      </w:r>
      <w:r>
        <w:rPr>
          <w:sz w:val="26"/>
          <w:szCs w:val="26"/>
        </w:rPr>
        <w:t>2016</w:t>
      </w:r>
      <w:r>
        <w:rPr>
          <w:rFonts w:hint="eastAsia"/>
          <w:sz w:val="26"/>
          <w:szCs w:val="26"/>
        </w:rPr>
        <w:t>〕</w:t>
      </w:r>
      <w:r>
        <w:rPr>
          <w:sz w:val="26"/>
          <w:szCs w:val="26"/>
        </w:rPr>
        <w:t>250</w:t>
      </w:r>
      <w:r>
        <w:rPr>
          <w:rFonts w:hint="eastAsia"/>
          <w:sz w:val="26"/>
          <w:szCs w:val="26"/>
        </w:rPr>
        <w:t>号）；</w:t>
      </w:r>
    </w:p>
    <w:p w14:paraId="73A0B80A">
      <w:pPr>
        <w:spacing w:line="460" w:lineRule="exact"/>
        <w:ind w:firstLine="520" w:firstLineChars="200"/>
        <w:rPr>
          <w:sz w:val="26"/>
          <w:szCs w:val="26"/>
        </w:rPr>
      </w:pPr>
      <w:r>
        <w:rPr>
          <w:rFonts w:hint="eastAsia"/>
          <w:sz w:val="26"/>
          <w:szCs w:val="26"/>
        </w:rPr>
        <w:t>（1</w:t>
      </w:r>
      <w:r>
        <w:rPr>
          <w:sz w:val="26"/>
          <w:szCs w:val="26"/>
        </w:rPr>
        <w:t>4</w:t>
      </w:r>
      <w:r>
        <w:rPr>
          <w:rFonts w:hint="eastAsia"/>
          <w:sz w:val="26"/>
          <w:szCs w:val="26"/>
        </w:rPr>
        <w:t>）《四川省自然资源厅关于进一步明确临时用地管理有关事项的通知》（川自然资规〔</w:t>
      </w:r>
      <w:r>
        <w:rPr>
          <w:sz w:val="26"/>
          <w:szCs w:val="26"/>
        </w:rPr>
        <w:t>2022</w:t>
      </w:r>
      <w:r>
        <w:rPr>
          <w:rFonts w:hint="eastAsia"/>
          <w:sz w:val="26"/>
          <w:szCs w:val="26"/>
        </w:rPr>
        <w:t>〕</w:t>
      </w:r>
      <w:r>
        <w:rPr>
          <w:sz w:val="26"/>
          <w:szCs w:val="26"/>
        </w:rPr>
        <w:t>3</w:t>
      </w:r>
      <w:r>
        <w:rPr>
          <w:rFonts w:hint="eastAsia"/>
          <w:sz w:val="26"/>
          <w:szCs w:val="26"/>
        </w:rPr>
        <w:t>号）；</w:t>
      </w:r>
    </w:p>
    <w:p w14:paraId="77C14E2B">
      <w:pPr>
        <w:spacing w:line="460" w:lineRule="exact"/>
        <w:ind w:firstLine="520" w:firstLineChars="200"/>
        <w:rPr>
          <w:sz w:val="26"/>
          <w:szCs w:val="26"/>
        </w:rPr>
      </w:pPr>
      <w:r>
        <w:rPr>
          <w:rFonts w:hint="eastAsia"/>
          <w:sz w:val="26"/>
          <w:szCs w:val="26"/>
        </w:rPr>
        <w:t>（1</w:t>
      </w:r>
      <w:r>
        <w:rPr>
          <w:sz w:val="26"/>
          <w:szCs w:val="26"/>
        </w:rPr>
        <w:t>5</w:t>
      </w:r>
      <w:r>
        <w:rPr>
          <w:rFonts w:hint="eastAsia"/>
          <w:sz w:val="26"/>
          <w:szCs w:val="26"/>
        </w:rPr>
        <w:t>）《四川省人民政府关于印发四川省碳达峰实施方案的通知》（川府发〔</w:t>
      </w:r>
      <w:r>
        <w:rPr>
          <w:sz w:val="26"/>
          <w:szCs w:val="26"/>
        </w:rPr>
        <w:t>2022</w:t>
      </w:r>
      <w:r>
        <w:rPr>
          <w:rFonts w:hint="eastAsia"/>
          <w:sz w:val="26"/>
          <w:szCs w:val="26"/>
        </w:rPr>
        <w:t>〕</w:t>
      </w:r>
      <w:r>
        <w:rPr>
          <w:sz w:val="26"/>
          <w:szCs w:val="26"/>
        </w:rPr>
        <w:t>37</w:t>
      </w:r>
      <w:r>
        <w:rPr>
          <w:rFonts w:hint="eastAsia"/>
          <w:sz w:val="26"/>
          <w:szCs w:val="26"/>
        </w:rPr>
        <w:t>号）；</w:t>
      </w:r>
    </w:p>
    <w:p w14:paraId="4DE0AF3F">
      <w:pPr>
        <w:spacing w:line="460" w:lineRule="exact"/>
        <w:ind w:firstLine="520" w:firstLineChars="200"/>
        <w:rPr>
          <w:sz w:val="26"/>
          <w:szCs w:val="26"/>
        </w:rPr>
      </w:pPr>
      <w:r>
        <w:rPr>
          <w:rFonts w:hint="eastAsia"/>
          <w:sz w:val="26"/>
          <w:szCs w:val="26"/>
        </w:rPr>
        <w:t>（1</w:t>
      </w:r>
      <w:r>
        <w:rPr>
          <w:sz w:val="26"/>
          <w:szCs w:val="26"/>
        </w:rPr>
        <w:t>6</w:t>
      </w:r>
      <w:r>
        <w:rPr>
          <w:rFonts w:hint="eastAsia"/>
          <w:sz w:val="26"/>
          <w:szCs w:val="26"/>
        </w:rPr>
        <w:t>）《四川省生态环境厅办公室关于印发〈产业园区规划环评“三线一单”符合性分析技术要点（试行）〉和〈项目环评“三线一单”符合性分析技术要点（试行）〉的通知》（川环办函〔</w:t>
      </w:r>
      <w:r>
        <w:rPr>
          <w:sz w:val="26"/>
          <w:szCs w:val="26"/>
        </w:rPr>
        <w:t>2021</w:t>
      </w:r>
      <w:r>
        <w:rPr>
          <w:rFonts w:hint="eastAsia"/>
          <w:sz w:val="26"/>
          <w:szCs w:val="26"/>
        </w:rPr>
        <w:t>〕</w:t>
      </w:r>
      <w:r>
        <w:rPr>
          <w:sz w:val="26"/>
          <w:szCs w:val="26"/>
        </w:rPr>
        <w:t xml:space="preserve">469 </w:t>
      </w:r>
      <w:r>
        <w:rPr>
          <w:rFonts w:hint="eastAsia"/>
          <w:sz w:val="26"/>
          <w:szCs w:val="26"/>
        </w:rPr>
        <w:t>号）；</w:t>
      </w:r>
    </w:p>
    <w:p w14:paraId="3FAFE5D1">
      <w:pPr>
        <w:spacing w:line="460" w:lineRule="exact"/>
        <w:ind w:firstLine="520" w:firstLineChars="200"/>
        <w:rPr>
          <w:sz w:val="26"/>
          <w:szCs w:val="26"/>
        </w:rPr>
      </w:pPr>
      <w:r>
        <w:rPr>
          <w:rFonts w:hint="eastAsia"/>
          <w:sz w:val="26"/>
          <w:szCs w:val="26"/>
        </w:rPr>
        <w:t>（1</w:t>
      </w:r>
      <w:r>
        <w:rPr>
          <w:sz w:val="26"/>
          <w:szCs w:val="26"/>
        </w:rPr>
        <w:t>7</w:t>
      </w:r>
      <w:r>
        <w:rPr>
          <w:rFonts w:hint="eastAsia"/>
          <w:sz w:val="26"/>
          <w:szCs w:val="26"/>
        </w:rPr>
        <w:t>）《四川省地下水生态环境保护规划（</w:t>
      </w:r>
      <w:r>
        <w:rPr>
          <w:sz w:val="26"/>
          <w:szCs w:val="26"/>
        </w:rPr>
        <w:t>2023-2025</w:t>
      </w:r>
      <w:r>
        <w:rPr>
          <w:rFonts w:hint="eastAsia"/>
          <w:sz w:val="26"/>
          <w:szCs w:val="26"/>
        </w:rPr>
        <w:t>年）》（川环发〔</w:t>
      </w:r>
      <w:r>
        <w:rPr>
          <w:sz w:val="26"/>
          <w:szCs w:val="26"/>
        </w:rPr>
        <w:t>2023</w:t>
      </w:r>
      <w:r>
        <w:rPr>
          <w:rFonts w:hint="eastAsia"/>
          <w:sz w:val="26"/>
          <w:szCs w:val="26"/>
        </w:rPr>
        <w:t>〕</w:t>
      </w:r>
      <w:r>
        <w:rPr>
          <w:sz w:val="26"/>
          <w:szCs w:val="26"/>
        </w:rPr>
        <w:t>16</w:t>
      </w:r>
      <w:r>
        <w:rPr>
          <w:rFonts w:hint="eastAsia"/>
          <w:sz w:val="26"/>
          <w:szCs w:val="26"/>
        </w:rPr>
        <w:t>号）；</w:t>
      </w:r>
    </w:p>
    <w:p w14:paraId="5A106C46">
      <w:pPr>
        <w:spacing w:line="460" w:lineRule="exact"/>
        <w:ind w:firstLine="520" w:firstLineChars="200"/>
        <w:rPr>
          <w:sz w:val="26"/>
          <w:szCs w:val="26"/>
        </w:rPr>
      </w:pPr>
      <w:r>
        <w:rPr>
          <w:rFonts w:hint="eastAsia"/>
          <w:sz w:val="26"/>
          <w:szCs w:val="26"/>
        </w:rPr>
        <w:t>（</w:t>
      </w:r>
      <w:r>
        <w:rPr>
          <w:sz w:val="26"/>
          <w:szCs w:val="26"/>
        </w:rPr>
        <w:t>18</w:t>
      </w:r>
      <w:r>
        <w:rPr>
          <w:rFonts w:hint="eastAsia"/>
          <w:sz w:val="26"/>
          <w:szCs w:val="26"/>
        </w:rPr>
        <w:t>）《四川省、重庆市长江经济带发展负面清单实施细则（试行，</w:t>
      </w:r>
      <w:r>
        <w:rPr>
          <w:sz w:val="26"/>
          <w:szCs w:val="26"/>
        </w:rPr>
        <w:t>2022</w:t>
      </w:r>
      <w:r>
        <w:rPr>
          <w:rFonts w:hint="eastAsia"/>
          <w:sz w:val="26"/>
          <w:szCs w:val="26"/>
        </w:rPr>
        <w:t>年版）》（川长江办〔</w:t>
      </w:r>
      <w:r>
        <w:rPr>
          <w:sz w:val="26"/>
          <w:szCs w:val="26"/>
        </w:rPr>
        <w:t>2022</w:t>
      </w:r>
      <w:r>
        <w:rPr>
          <w:rFonts w:hint="eastAsia"/>
          <w:sz w:val="26"/>
          <w:szCs w:val="26"/>
        </w:rPr>
        <w:t>〕</w:t>
      </w:r>
      <w:r>
        <w:rPr>
          <w:sz w:val="26"/>
          <w:szCs w:val="26"/>
        </w:rPr>
        <w:t>17</w:t>
      </w:r>
      <w:r>
        <w:rPr>
          <w:rFonts w:hint="eastAsia"/>
          <w:sz w:val="26"/>
          <w:szCs w:val="26"/>
        </w:rPr>
        <w:t>号）；</w:t>
      </w:r>
    </w:p>
    <w:p w14:paraId="4316A21B">
      <w:pPr>
        <w:spacing w:line="460" w:lineRule="exact"/>
        <w:ind w:firstLine="520" w:firstLineChars="200"/>
        <w:rPr>
          <w:sz w:val="26"/>
          <w:szCs w:val="26"/>
        </w:rPr>
      </w:pPr>
      <w:r>
        <w:rPr>
          <w:rFonts w:hint="eastAsia"/>
          <w:sz w:val="26"/>
          <w:szCs w:val="26"/>
        </w:rPr>
        <w:t>（</w:t>
      </w:r>
      <w:r>
        <w:rPr>
          <w:sz w:val="26"/>
          <w:szCs w:val="26"/>
        </w:rPr>
        <w:t>19</w:t>
      </w:r>
      <w:r>
        <w:rPr>
          <w:rFonts w:hint="eastAsia"/>
          <w:sz w:val="26"/>
          <w:szCs w:val="26"/>
        </w:rPr>
        <w:t>）《关于印发土壤污染防治行动计划四川省工作方案的通知》（川府发〔</w:t>
      </w:r>
      <w:r>
        <w:rPr>
          <w:sz w:val="26"/>
          <w:szCs w:val="26"/>
        </w:rPr>
        <w:t>2016</w:t>
      </w:r>
      <w:r>
        <w:rPr>
          <w:rFonts w:hint="eastAsia"/>
          <w:sz w:val="26"/>
          <w:szCs w:val="26"/>
        </w:rPr>
        <w:t>〕</w:t>
      </w:r>
      <w:r>
        <w:rPr>
          <w:sz w:val="26"/>
          <w:szCs w:val="26"/>
        </w:rPr>
        <w:t>63</w:t>
      </w:r>
      <w:r>
        <w:rPr>
          <w:rFonts w:hint="eastAsia"/>
          <w:sz w:val="26"/>
          <w:szCs w:val="26"/>
        </w:rPr>
        <w:t>号）；</w:t>
      </w:r>
    </w:p>
    <w:p w14:paraId="5655B621">
      <w:pPr>
        <w:spacing w:line="460" w:lineRule="exact"/>
        <w:ind w:firstLine="520" w:firstLineChars="200"/>
        <w:rPr>
          <w:sz w:val="26"/>
          <w:szCs w:val="26"/>
        </w:rPr>
      </w:pPr>
      <w:r>
        <w:rPr>
          <w:rFonts w:hint="eastAsia"/>
          <w:sz w:val="26"/>
          <w:szCs w:val="26"/>
        </w:rPr>
        <w:t>（2</w:t>
      </w:r>
      <w:r>
        <w:rPr>
          <w:sz w:val="26"/>
          <w:szCs w:val="26"/>
        </w:rPr>
        <w:t>0</w:t>
      </w:r>
      <w:r>
        <w:rPr>
          <w:rFonts w:hint="eastAsia"/>
          <w:sz w:val="26"/>
          <w:szCs w:val="26"/>
        </w:rPr>
        <w:t>）《关于印发四川省打赢蓝天保卫战等九个实施方案的通知》（川府发〔</w:t>
      </w:r>
      <w:r>
        <w:rPr>
          <w:sz w:val="26"/>
          <w:szCs w:val="26"/>
        </w:rPr>
        <w:t>2019</w:t>
      </w:r>
      <w:r>
        <w:rPr>
          <w:rFonts w:hint="eastAsia"/>
          <w:sz w:val="26"/>
          <w:szCs w:val="26"/>
        </w:rPr>
        <w:t>〕</w:t>
      </w:r>
      <w:r>
        <w:rPr>
          <w:sz w:val="26"/>
          <w:szCs w:val="26"/>
        </w:rPr>
        <w:t>4</w:t>
      </w:r>
      <w:r>
        <w:rPr>
          <w:rFonts w:hint="eastAsia"/>
          <w:sz w:val="26"/>
          <w:szCs w:val="26"/>
        </w:rPr>
        <w:t>号）；</w:t>
      </w:r>
    </w:p>
    <w:p w14:paraId="31390567">
      <w:pPr>
        <w:spacing w:line="460" w:lineRule="exact"/>
        <w:ind w:firstLine="520" w:firstLineChars="200"/>
        <w:rPr>
          <w:sz w:val="26"/>
          <w:szCs w:val="26"/>
        </w:rPr>
      </w:pPr>
      <w:r>
        <w:rPr>
          <w:rFonts w:hint="eastAsia"/>
          <w:sz w:val="26"/>
          <w:szCs w:val="26"/>
        </w:rPr>
        <w:t>（2</w:t>
      </w:r>
      <w:r>
        <w:rPr>
          <w:sz w:val="26"/>
          <w:szCs w:val="26"/>
        </w:rPr>
        <w:t>1</w:t>
      </w:r>
      <w:r>
        <w:rPr>
          <w:rFonts w:hint="eastAsia"/>
          <w:sz w:val="26"/>
          <w:szCs w:val="26"/>
        </w:rPr>
        <w:t>）《四川省环境污染防治“三大战役”实施方案》（川委厅〔</w:t>
      </w:r>
      <w:r>
        <w:rPr>
          <w:sz w:val="26"/>
          <w:szCs w:val="26"/>
        </w:rPr>
        <w:t>2016</w:t>
      </w:r>
      <w:r>
        <w:rPr>
          <w:rFonts w:hint="eastAsia"/>
          <w:sz w:val="26"/>
          <w:szCs w:val="26"/>
        </w:rPr>
        <w:t>〕</w:t>
      </w:r>
      <w:r>
        <w:rPr>
          <w:sz w:val="26"/>
          <w:szCs w:val="26"/>
        </w:rPr>
        <w:t>92</w:t>
      </w:r>
      <w:r>
        <w:rPr>
          <w:rFonts w:hint="eastAsia"/>
          <w:sz w:val="26"/>
          <w:szCs w:val="26"/>
        </w:rPr>
        <w:t>号）；</w:t>
      </w:r>
    </w:p>
    <w:p w14:paraId="73910C18">
      <w:pPr>
        <w:spacing w:line="460" w:lineRule="exact"/>
        <w:ind w:firstLine="520" w:firstLineChars="200"/>
        <w:rPr>
          <w:sz w:val="26"/>
          <w:szCs w:val="26"/>
        </w:rPr>
      </w:pPr>
      <w:r>
        <w:rPr>
          <w:rFonts w:hint="eastAsia"/>
          <w:sz w:val="26"/>
          <w:szCs w:val="26"/>
        </w:rPr>
        <w:t>（2</w:t>
      </w:r>
      <w:r>
        <w:rPr>
          <w:sz w:val="26"/>
          <w:szCs w:val="26"/>
        </w:rPr>
        <w:t>2</w:t>
      </w:r>
      <w:r>
        <w:rPr>
          <w:rFonts w:hint="eastAsia"/>
          <w:sz w:val="26"/>
          <w:szCs w:val="26"/>
        </w:rPr>
        <w:t>）《四川省噪声污染防治行动计划实施方案（</w:t>
      </w:r>
      <w:r>
        <w:rPr>
          <w:sz w:val="26"/>
          <w:szCs w:val="26"/>
        </w:rPr>
        <w:t>2023-2025</w:t>
      </w:r>
      <w:r>
        <w:rPr>
          <w:rFonts w:hint="eastAsia"/>
          <w:sz w:val="26"/>
          <w:szCs w:val="26"/>
        </w:rPr>
        <w:t>年）》（川环发〔</w:t>
      </w:r>
      <w:r>
        <w:rPr>
          <w:sz w:val="26"/>
          <w:szCs w:val="26"/>
        </w:rPr>
        <w:t>2023</w:t>
      </w:r>
      <w:r>
        <w:rPr>
          <w:rFonts w:hint="eastAsia"/>
          <w:sz w:val="26"/>
          <w:szCs w:val="26"/>
        </w:rPr>
        <w:t>〕</w:t>
      </w:r>
      <w:r>
        <w:rPr>
          <w:sz w:val="26"/>
          <w:szCs w:val="26"/>
        </w:rPr>
        <w:t>9</w:t>
      </w:r>
      <w:r>
        <w:rPr>
          <w:rFonts w:hint="eastAsia"/>
          <w:sz w:val="26"/>
          <w:szCs w:val="26"/>
        </w:rPr>
        <w:t>号）；</w:t>
      </w:r>
    </w:p>
    <w:p w14:paraId="1E89E018">
      <w:pPr>
        <w:spacing w:line="460" w:lineRule="exact"/>
        <w:ind w:firstLine="520" w:firstLineChars="200"/>
        <w:rPr>
          <w:sz w:val="26"/>
          <w:szCs w:val="26"/>
        </w:rPr>
      </w:pPr>
      <w:r>
        <w:rPr>
          <w:rFonts w:hint="eastAsia"/>
          <w:sz w:val="26"/>
          <w:szCs w:val="26"/>
        </w:rPr>
        <w:t>（2</w:t>
      </w:r>
      <w:r>
        <w:rPr>
          <w:sz w:val="26"/>
          <w:szCs w:val="26"/>
        </w:rPr>
        <w:t>3</w:t>
      </w:r>
      <w:r>
        <w:rPr>
          <w:rFonts w:hint="eastAsia"/>
          <w:sz w:val="26"/>
          <w:szCs w:val="26"/>
        </w:rPr>
        <w:t>）《四川省“十四五”土壤污染防治规划》（川环发〔</w:t>
      </w:r>
      <w:r>
        <w:rPr>
          <w:sz w:val="26"/>
          <w:szCs w:val="26"/>
        </w:rPr>
        <w:t>2022</w:t>
      </w:r>
      <w:r>
        <w:rPr>
          <w:rFonts w:hint="eastAsia"/>
          <w:sz w:val="26"/>
          <w:szCs w:val="26"/>
        </w:rPr>
        <w:t>〕</w:t>
      </w:r>
      <w:r>
        <w:rPr>
          <w:sz w:val="26"/>
          <w:szCs w:val="26"/>
        </w:rPr>
        <w:t>5</w:t>
      </w:r>
      <w:r>
        <w:rPr>
          <w:rFonts w:hint="eastAsia"/>
          <w:sz w:val="26"/>
          <w:szCs w:val="26"/>
        </w:rPr>
        <w:t>号）；</w:t>
      </w:r>
    </w:p>
    <w:p w14:paraId="2A66B76F">
      <w:pPr>
        <w:spacing w:line="460" w:lineRule="exact"/>
        <w:ind w:firstLine="520" w:firstLineChars="200"/>
        <w:rPr>
          <w:sz w:val="26"/>
          <w:szCs w:val="26"/>
        </w:rPr>
      </w:pPr>
      <w:r>
        <w:rPr>
          <w:sz w:val="26"/>
          <w:szCs w:val="26"/>
        </w:rPr>
        <w:t>（</w:t>
      </w:r>
      <w:r>
        <w:rPr>
          <w:rFonts w:hint="eastAsia"/>
          <w:sz w:val="26"/>
          <w:szCs w:val="26"/>
        </w:rPr>
        <w:t>2</w:t>
      </w:r>
      <w:r>
        <w:rPr>
          <w:sz w:val="26"/>
          <w:szCs w:val="26"/>
        </w:rPr>
        <w:t>4）《关于石油天然气钻井及配套设施用地有关问题的通知》（川国土资发〔2012〕105号）；</w:t>
      </w:r>
    </w:p>
    <w:p w14:paraId="4197F870">
      <w:pPr>
        <w:spacing w:line="460" w:lineRule="exact"/>
        <w:ind w:firstLine="520" w:firstLineChars="200"/>
        <w:rPr>
          <w:sz w:val="26"/>
          <w:szCs w:val="26"/>
        </w:rPr>
      </w:pPr>
      <w:r>
        <w:rPr>
          <w:rFonts w:hint="eastAsia"/>
          <w:sz w:val="26"/>
          <w:szCs w:val="26"/>
        </w:rPr>
        <w:t>（2</w:t>
      </w:r>
      <w:r>
        <w:rPr>
          <w:sz w:val="26"/>
          <w:szCs w:val="26"/>
        </w:rPr>
        <w:t>5</w:t>
      </w:r>
      <w:r>
        <w:rPr>
          <w:rFonts w:hint="eastAsia"/>
          <w:sz w:val="26"/>
          <w:szCs w:val="26"/>
        </w:rPr>
        <w:t>）《四川省水利厅关于印发四川省省级水土流失重点预防区和重点治理区划分成果的通知》（川水函〔2017〕482号）；</w:t>
      </w:r>
    </w:p>
    <w:p w14:paraId="7E22B5BA">
      <w:pPr>
        <w:spacing w:line="460" w:lineRule="exact"/>
        <w:ind w:firstLine="520" w:firstLineChars="200"/>
        <w:rPr>
          <w:sz w:val="26"/>
          <w:szCs w:val="26"/>
        </w:rPr>
      </w:pPr>
      <w:r>
        <w:rPr>
          <w:rFonts w:hint="eastAsia"/>
          <w:sz w:val="26"/>
          <w:szCs w:val="26"/>
        </w:rPr>
        <w:t>（2</w:t>
      </w:r>
      <w:r>
        <w:rPr>
          <w:sz w:val="26"/>
          <w:szCs w:val="26"/>
        </w:rPr>
        <w:t>6</w:t>
      </w:r>
      <w:r>
        <w:rPr>
          <w:rFonts w:hint="eastAsia"/>
          <w:sz w:val="26"/>
          <w:szCs w:val="26"/>
        </w:rPr>
        <w:t>）四川省生态环境厅 四川省自然资源厅 四川省住房和城乡建设厅关于印发《四川省建设用地土壤环境管理办法》的通知（川环规〔2023〕5号）；</w:t>
      </w:r>
    </w:p>
    <w:p w14:paraId="14A2A6FF">
      <w:pPr>
        <w:spacing w:line="460" w:lineRule="exact"/>
        <w:ind w:firstLine="520" w:firstLineChars="200"/>
        <w:rPr>
          <w:sz w:val="26"/>
          <w:szCs w:val="26"/>
        </w:rPr>
      </w:pPr>
      <w:r>
        <w:rPr>
          <w:rFonts w:hint="eastAsia"/>
          <w:sz w:val="26"/>
          <w:szCs w:val="26"/>
        </w:rPr>
        <w:t>（</w:t>
      </w:r>
      <w:r>
        <w:rPr>
          <w:sz w:val="26"/>
          <w:szCs w:val="26"/>
        </w:rPr>
        <w:t>27</w:t>
      </w:r>
      <w:r>
        <w:rPr>
          <w:rFonts w:hint="eastAsia"/>
          <w:sz w:val="26"/>
          <w:szCs w:val="26"/>
        </w:rPr>
        <w:t>）四川省生态环境厅 四川省自然资源厅 四川省农业农村厅 四川省林业和草原局关于印发《四川省农用地土壤环境管理办法》的通知（川环规〔2023〕6号）；</w:t>
      </w:r>
    </w:p>
    <w:p w14:paraId="3EED3305">
      <w:pPr>
        <w:spacing w:line="460" w:lineRule="exact"/>
        <w:ind w:firstLine="520" w:firstLineChars="200"/>
        <w:rPr>
          <w:sz w:val="26"/>
          <w:szCs w:val="26"/>
        </w:rPr>
      </w:pPr>
      <w:r>
        <w:rPr>
          <w:rFonts w:hint="eastAsia"/>
          <w:sz w:val="26"/>
          <w:szCs w:val="26"/>
        </w:rPr>
        <w:t>（</w:t>
      </w:r>
      <w:r>
        <w:rPr>
          <w:sz w:val="26"/>
          <w:szCs w:val="26"/>
        </w:rPr>
        <w:t>28</w:t>
      </w:r>
      <w:r>
        <w:rPr>
          <w:rFonts w:hint="eastAsia"/>
          <w:sz w:val="26"/>
          <w:szCs w:val="26"/>
        </w:rPr>
        <w:t>）</w:t>
      </w:r>
      <w:bookmarkStart w:id="49" w:name="OLE_LINK40"/>
      <w:bookmarkStart w:id="50" w:name="OLE_LINK41"/>
      <w:r>
        <w:rPr>
          <w:rFonts w:hint="eastAsia"/>
          <w:sz w:val="26"/>
          <w:szCs w:val="26"/>
        </w:rPr>
        <w:t>生态环境部 国家发展和改革委员会 重庆市人民政府 四川省人民政府 关于印发《成渝地区双城经济圈生态环境保护规划》的通知（环综合〔</w:t>
      </w:r>
      <w:r>
        <w:rPr>
          <w:sz w:val="26"/>
          <w:szCs w:val="26"/>
        </w:rPr>
        <w:t>2022</w:t>
      </w:r>
      <w:r>
        <w:rPr>
          <w:rFonts w:hint="eastAsia"/>
          <w:sz w:val="26"/>
          <w:szCs w:val="26"/>
        </w:rPr>
        <w:t>〕</w:t>
      </w:r>
      <w:r>
        <w:rPr>
          <w:sz w:val="26"/>
          <w:szCs w:val="26"/>
        </w:rPr>
        <w:t>12</w:t>
      </w:r>
      <w:r>
        <w:rPr>
          <w:rFonts w:hint="eastAsia"/>
          <w:sz w:val="26"/>
          <w:szCs w:val="26"/>
        </w:rPr>
        <w:t>号，</w:t>
      </w:r>
      <w:r>
        <w:rPr>
          <w:sz w:val="26"/>
          <w:szCs w:val="26"/>
        </w:rPr>
        <w:t>2022</w:t>
      </w:r>
      <w:r>
        <w:rPr>
          <w:rFonts w:hint="eastAsia"/>
          <w:sz w:val="26"/>
          <w:szCs w:val="26"/>
        </w:rPr>
        <w:t>年</w:t>
      </w:r>
      <w:r>
        <w:rPr>
          <w:sz w:val="26"/>
          <w:szCs w:val="26"/>
        </w:rPr>
        <w:t>2</w:t>
      </w:r>
      <w:r>
        <w:rPr>
          <w:rFonts w:hint="eastAsia"/>
          <w:sz w:val="26"/>
          <w:szCs w:val="26"/>
        </w:rPr>
        <w:t>月</w:t>
      </w:r>
      <w:r>
        <w:rPr>
          <w:sz w:val="26"/>
          <w:szCs w:val="26"/>
        </w:rPr>
        <w:t>14</w:t>
      </w:r>
      <w:r>
        <w:rPr>
          <w:rFonts w:hint="eastAsia"/>
          <w:sz w:val="26"/>
          <w:szCs w:val="26"/>
        </w:rPr>
        <w:t>日）</w:t>
      </w:r>
      <w:bookmarkEnd w:id="49"/>
      <w:bookmarkEnd w:id="50"/>
      <w:r>
        <w:rPr>
          <w:rFonts w:hint="eastAsia"/>
          <w:sz w:val="26"/>
          <w:szCs w:val="26"/>
        </w:rPr>
        <w:t>；</w:t>
      </w:r>
    </w:p>
    <w:p w14:paraId="2CCB0B01">
      <w:pPr>
        <w:spacing w:line="460" w:lineRule="exact"/>
        <w:ind w:firstLine="520" w:firstLineChars="200"/>
        <w:rPr>
          <w:sz w:val="26"/>
          <w:szCs w:val="26"/>
        </w:rPr>
      </w:pPr>
      <w:r>
        <w:rPr>
          <w:rFonts w:hint="eastAsia"/>
          <w:sz w:val="26"/>
          <w:szCs w:val="26"/>
        </w:rPr>
        <w:t>（</w:t>
      </w:r>
      <w:r>
        <w:rPr>
          <w:sz w:val="26"/>
          <w:szCs w:val="26"/>
        </w:rPr>
        <w:t>29</w:t>
      </w:r>
      <w:r>
        <w:rPr>
          <w:rFonts w:hint="eastAsia"/>
          <w:sz w:val="26"/>
          <w:szCs w:val="26"/>
        </w:rPr>
        <w:t>）</w:t>
      </w:r>
      <w:r>
        <w:rPr>
          <w:rFonts w:hint="eastAsia"/>
          <w:bCs/>
          <w:sz w:val="26"/>
          <w:szCs w:val="26"/>
        </w:rPr>
        <w:t>《巴中市生态环境保护委员会办公室关于加强生态环境分区管控的通知》（巴环委办〔2024〕3号）</w:t>
      </w:r>
      <w:r>
        <w:rPr>
          <w:rFonts w:hint="eastAsia"/>
          <w:sz w:val="26"/>
          <w:szCs w:val="26"/>
        </w:rPr>
        <w:t>；</w:t>
      </w:r>
    </w:p>
    <w:p w14:paraId="0471E415">
      <w:pPr>
        <w:spacing w:line="460" w:lineRule="exact"/>
        <w:ind w:firstLine="520" w:firstLineChars="200"/>
        <w:rPr>
          <w:bCs/>
          <w:sz w:val="26"/>
          <w:szCs w:val="26"/>
        </w:rPr>
      </w:pPr>
      <w:r>
        <w:rPr>
          <w:rFonts w:hint="eastAsia"/>
          <w:bCs/>
          <w:sz w:val="26"/>
          <w:szCs w:val="26"/>
        </w:rPr>
        <w:t>（</w:t>
      </w:r>
      <w:r>
        <w:rPr>
          <w:bCs/>
          <w:sz w:val="26"/>
          <w:szCs w:val="26"/>
        </w:rPr>
        <w:t>30</w:t>
      </w:r>
      <w:r>
        <w:rPr>
          <w:rFonts w:hint="eastAsia"/>
          <w:bCs/>
          <w:sz w:val="26"/>
          <w:szCs w:val="26"/>
        </w:rPr>
        <w:t>）四川省生态环境厅《关于公布四川省生态环境分区管控动态更新成果（2023年版）的通知》（川环函〔2024〕409号）；</w:t>
      </w:r>
    </w:p>
    <w:p w14:paraId="2047AE61">
      <w:pPr>
        <w:spacing w:line="460" w:lineRule="exact"/>
        <w:ind w:firstLine="520" w:firstLineChars="200"/>
        <w:rPr>
          <w:sz w:val="26"/>
          <w:szCs w:val="26"/>
        </w:rPr>
      </w:pPr>
      <w:r>
        <w:rPr>
          <w:rFonts w:hint="eastAsia"/>
          <w:sz w:val="26"/>
          <w:szCs w:val="26"/>
        </w:rPr>
        <w:t>（3</w:t>
      </w:r>
      <w:r>
        <w:rPr>
          <w:sz w:val="26"/>
          <w:szCs w:val="26"/>
        </w:rPr>
        <w:t>1</w:t>
      </w:r>
      <w:r>
        <w:rPr>
          <w:rFonts w:hint="eastAsia"/>
          <w:sz w:val="26"/>
          <w:szCs w:val="26"/>
        </w:rPr>
        <w:t>）《四川省人民政府关于印发〈四川省空气质量持续改善行动计划实施方案〉的通知》（川府发〔</w:t>
      </w:r>
      <w:r>
        <w:rPr>
          <w:sz w:val="26"/>
          <w:szCs w:val="26"/>
        </w:rPr>
        <w:t>2024</w:t>
      </w:r>
      <w:r>
        <w:rPr>
          <w:rFonts w:hint="eastAsia"/>
          <w:sz w:val="26"/>
          <w:szCs w:val="26"/>
        </w:rPr>
        <w:t>〕</w:t>
      </w:r>
      <w:r>
        <w:rPr>
          <w:sz w:val="26"/>
          <w:szCs w:val="26"/>
        </w:rPr>
        <w:t xml:space="preserve">15 </w:t>
      </w:r>
      <w:r>
        <w:rPr>
          <w:rFonts w:hint="eastAsia"/>
          <w:sz w:val="26"/>
          <w:szCs w:val="26"/>
        </w:rPr>
        <w:t>号）；</w:t>
      </w:r>
    </w:p>
    <w:p w14:paraId="78F99447">
      <w:pPr>
        <w:spacing w:line="460" w:lineRule="exact"/>
        <w:ind w:firstLine="520" w:firstLineChars="200"/>
        <w:rPr>
          <w:sz w:val="26"/>
          <w:szCs w:val="26"/>
        </w:rPr>
      </w:pPr>
      <w:r>
        <w:rPr>
          <w:rFonts w:hint="eastAsia"/>
          <w:sz w:val="26"/>
          <w:szCs w:val="26"/>
        </w:rPr>
        <w:t>（3</w:t>
      </w:r>
      <w:r>
        <w:rPr>
          <w:sz w:val="26"/>
          <w:szCs w:val="26"/>
        </w:rPr>
        <w:t>2</w:t>
      </w:r>
      <w:r>
        <w:rPr>
          <w:rFonts w:hint="eastAsia"/>
          <w:sz w:val="26"/>
          <w:szCs w:val="26"/>
        </w:rPr>
        <w:t>）《四川省人民政府办公厅〈关于建设占用耕地耕作层土壤再利用的通知〉》（川办函〔</w:t>
      </w:r>
      <w:r>
        <w:rPr>
          <w:sz w:val="26"/>
          <w:szCs w:val="26"/>
        </w:rPr>
        <w:t>2024</w:t>
      </w:r>
      <w:r>
        <w:rPr>
          <w:rFonts w:hint="eastAsia"/>
          <w:sz w:val="26"/>
          <w:szCs w:val="26"/>
        </w:rPr>
        <w:t>〕</w:t>
      </w:r>
      <w:r>
        <w:rPr>
          <w:sz w:val="26"/>
          <w:szCs w:val="26"/>
        </w:rPr>
        <w:t xml:space="preserve">100 </w:t>
      </w:r>
      <w:r>
        <w:rPr>
          <w:rFonts w:hint="eastAsia"/>
          <w:sz w:val="26"/>
          <w:szCs w:val="26"/>
        </w:rPr>
        <w:t xml:space="preserve">号）。 </w:t>
      </w:r>
    </w:p>
    <w:bookmarkEnd w:id="48"/>
    <w:p w14:paraId="19BA6E38">
      <w:pPr>
        <w:adjustRightInd w:val="0"/>
        <w:snapToGrid w:val="0"/>
        <w:spacing w:line="460" w:lineRule="exact"/>
        <w:ind w:firstLine="522"/>
        <w:outlineLvl w:val="2"/>
        <w:rPr>
          <w:b/>
          <w:sz w:val="26"/>
          <w:szCs w:val="26"/>
        </w:rPr>
      </w:pPr>
      <w:bookmarkStart w:id="51" w:name="_Toc165810451"/>
      <w:r>
        <w:rPr>
          <w:b/>
          <w:sz w:val="26"/>
          <w:szCs w:val="26"/>
        </w:rPr>
        <w:t>1.2.4 环评技术规范</w:t>
      </w:r>
      <w:bookmarkEnd w:id="51"/>
    </w:p>
    <w:p w14:paraId="202308BA">
      <w:pPr>
        <w:spacing w:line="460" w:lineRule="exact"/>
        <w:ind w:firstLine="390" w:firstLineChars="150"/>
        <w:rPr>
          <w:sz w:val="26"/>
          <w:szCs w:val="26"/>
        </w:rPr>
      </w:pPr>
      <w:r>
        <w:rPr>
          <w:sz w:val="26"/>
          <w:szCs w:val="26"/>
        </w:rPr>
        <w:t>（1）《建设项目环境影响评价技术导则 总纲》（HJ 2.1-2016）；</w:t>
      </w:r>
    </w:p>
    <w:p w14:paraId="7B128BC0">
      <w:pPr>
        <w:spacing w:line="460" w:lineRule="exact"/>
        <w:ind w:firstLine="390" w:firstLineChars="150"/>
        <w:rPr>
          <w:sz w:val="26"/>
          <w:szCs w:val="26"/>
        </w:rPr>
      </w:pPr>
      <w:r>
        <w:rPr>
          <w:sz w:val="26"/>
          <w:szCs w:val="26"/>
        </w:rPr>
        <w:t>（2）《环境影响评价技术导则 大气环境》（HJ 2.2-2018）；</w:t>
      </w:r>
    </w:p>
    <w:p w14:paraId="11885032">
      <w:pPr>
        <w:spacing w:line="460" w:lineRule="exact"/>
        <w:ind w:firstLine="390" w:firstLineChars="150"/>
        <w:rPr>
          <w:sz w:val="26"/>
          <w:szCs w:val="26"/>
        </w:rPr>
      </w:pPr>
      <w:r>
        <w:rPr>
          <w:sz w:val="26"/>
          <w:szCs w:val="26"/>
        </w:rPr>
        <w:t>（3）《环境影响评价技术导则 地表水环境》（H J2.3-2018）；</w:t>
      </w:r>
    </w:p>
    <w:p w14:paraId="357942FD">
      <w:pPr>
        <w:spacing w:line="460" w:lineRule="exact"/>
        <w:ind w:firstLine="390" w:firstLineChars="150"/>
        <w:rPr>
          <w:sz w:val="26"/>
          <w:szCs w:val="26"/>
        </w:rPr>
      </w:pPr>
      <w:r>
        <w:rPr>
          <w:sz w:val="26"/>
          <w:szCs w:val="26"/>
        </w:rPr>
        <w:t>（4）《环境影响评价技术导则 声环境》（HJ 2.4-2021）；</w:t>
      </w:r>
    </w:p>
    <w:p w14:paraId="080BBFED">
      <w:pPr>
        <w:spacing w:line="460" w:lineRule="exact"/>
        <w:ind w:firstLine="390" w:firstLineChars="150"/>
        <w:rPr>
          <w:sz w:val="26"/>
          <w:szCs w:val="26"/>
        </w:rPr>
      </w:pPr>
      <w:r>
        <w:rPr>
          <w:sz w:val="26"/>
          <w:szCs w:val="26"/>
        </w:rPr>
        <w:t>（5）《环境影响评价技术导则 生态影响》（HJ 19-2022）；</w:t>
      </w:r>
    </w:p>
    <w:p w14:paraId="45CE9CAC">
      <w:pPr>
        <w:spacing w:line="460" w:lineRule="exact"/>
        <w:ind w:firstLine="390" w:firstLineChars="150"/>
        <w:rPr>
          <w:sz w:val="26"/>
          <w:szCs w:val="26"/>
        </w:rPr>
      </w:pPr>
      <w:r>
        <w:rPr>
          <w:sz w:val="26"/>
          <w:szCs w:val="26"/>
        </w:rPr>
        <w:t>（6）《环境影响评价技术导则 地下水环境》（HJ 610-2016）；</w:t>
      </w:r>
    </w:p>
    <w:p w14:paraId="225D4775">
      <w:pPr>
        <w:spacing w:line="460" w:lineRule="exact"/>
        <w:ind w:firstLine="390" w:firstLineChars="150"/>
        <w:rPr>
          <w:sz w:val="26"/>
          <w:szCs w:val="26"/>
        </w:rPr>
      </w:pPr>
      <w:r>
        <w:rPr>
          <w:sz w:val="26"/>
          <w:szCs w:val="26"/>
        </w:rPr>
        <w:t>（7）《环境影响评价技术导则 土壤环境（试行）》（HJ 964-2018）；</w:t>
      </w:r>
    </w:p>
    <w:p w14:paraId="6F8B063A">
      <w:pPr>
        <w:spacing w:line="460" w:lineRule="exact"/>
        <w:ind w:firstLine="390" w:firstLineChars="150"/>
        <w:rPr>
          <w:sz w:val="26"/>
          <w:szCs w:val="26"/>
        </w:rPr>
      </w:pPr>
      <w:r>
        <w:rPr>
          <w:sz w:val="26"/>
          <w:szCs w:val="26"/>
        </w:rPr>
        <w:t>（8）《建设项目环境风险评价技术导则》（HJ 169-2018）；</w:t>
      </w:r>
    </w:p>
    <w:p w14:paraId="437ADE26">
      <w:pPr>
        <w:spacing w:line="460" w:lineRule="exact"/>
        <w:ind w:firstLine="390" w:firstLineChars="150"/>
        <w:rPr>
          <w:sz w:val="26"/>
          <w:szCs w:val="26"/>
        </w:rPr>
      </w:pPr>
      <w:r>
        <w:rPr>
          <w:sz w:val="26"/>
          <w:szCs w:val="26"/>
        </w:rPr>
        <w:t>（9）《环境影响评价技术导则 陆地石油天然气开发建设项目》（HJ 349-2023）；</w:t>
      </w:r>
    </w:p>
    <w:p w14:paraId="5BA9340A">
      <w:pPr>
        <w:spacing w:line="460" w:lineRule="exact"/>
        <w:ind w:firstLine="390" w:firstLineChars="150"/>
        <w:rPr>
          <w:sz w:val="26"/>
          <w:szCs w:val="26"/>
        </w:rPr>
      </w:pPr>
      <w:r>
        <w:rPr>
          <w:sz w:val="26"/>
          <w:szCs w:val="26"/>
        </w:rPr>
        <w:t>（10）《陆上石油天然气开采行业危险废物环境管理指南》，生态环境部公告2021年第74号；</w:t>
      </w:r>
    </w:p>
    <w:p w14:paraId="053E547B">
      <w:pPr>
        <w:spacing w:line="460" w:lineRule="exact"/>
        <w:ind w:firstLine="390" w:firstLineChars="150"/>
        <w:rPr>
          <w:sz w:val="26"/>
          <w:szCs w:val="26"/>
        </w:rPr>
      </w:pPr>
      <w:r>
        <w:rPr>
          <w:sz w:val="26"/>
          <w:szCs w:val="26"/>
        </w:rPr>
        <w:t>（11）《突发环境事件应急监测技术规范》（HJ589-2021）；</w:t>
      </w:r>
    </w:p>
    <w:p w14:paraId="433B94ED">
      <w:pPr>
        <w:spacing w:line="460" w:lineRule="exact"/>
        <w:ind w:firstLine="390" w:firstLineChars="150"/>
        <w:rPr>
          <w:sz w:val="26"/>
          <w:szCs w:val="26"/>
        </w:rPr>
      </w:pPr>
      <w:r>
        <w:rPr>
          <w:sz w:val="26"/>
          <w:szCs w:val="26"/>
        </w:rPr>
        <w:t>（12）《工业企业土壤和地下水自行监测技术指南（试行）》（HJ1209</w:t>
      </w:r>
      <w:r>
        <w:rPr>
          <w:rFonts w:hint="eastAsia"/>
          <w:sz w:val="26"/>
          <w:szCs w:val="26"/>
        </w:rPr>
        <w:t>-</w:t>
      </w:r>
      <w:r>
        <w:rPr>
          <w:sz w:val="26"/>
          <w:szCs w:val="26"/>
        </w:rPr>
        <w:t>2021）；</w:t>
      </w:r>
    </w:p>
    <w:p w14:paraId="5FCD224F">
      <w:pPr>
        <w:spacing w:line="460" w:lineRule="exact"/>
        <w:ind w:firstLine="390" w:firstLineChars="150"/>
        <w:rPr>
          <w:sz w:val="26"/>
          <w:szCs w:val="26"/>
        </w:rPr>
      </w:pPr>
      <w:r>
        <w:rPr>
          <w:sz w:val="26"/>
          <w:szCs w:val="26"/>
        </w:rPr>
        <w:t>（13）《一般工业固体废物管理台账制定指南（试行）》（公告2021年第82号）；</w:t>
      </w:r>
    </w:p>
    <w:p w14:paraId="5BAA2536">
      <w:pPr>
        <w:spacing w:line="460" w:lineRule="exact"/>
        <w:ind w:firstLine="390" w:firstLineChars="150"/>
        <w:rPr>
          <w:sz w:val="26"/>
          <w:szCs w:val="26"/>
        </w:rPr>
      </w:pPr>
      <w:r>
        <w:rPr>
          <w:sz w:val="26"/>
          <w:szCs w:val="26"/>
        </w:rPr>
        <w:t>（14）《危险废物管理计划和管理台账制定技术导则》（HJ1259</w:t>
      </w:r>
      <w:r>
        <w:rPr>
          <w:rFonts w:hint="eastAsia"/>
          <w:sz w:val="26"/>
          <w:szCs w:val="26"/>
        </w:rPr>
        <w:t>-</w:t>
      </w:r>
      <w:r>
        <w:rPr>
          <w:sz w:val="26"/>
          <w:szCs w:val="26"/>
        </w:rPr>
        <w:t>2022）；</w:t>
      </w:r>
    </w:p>
    <w:p w14:paraId="296273C4">
      <w:pPr>
        <w:spacing w:line="460" w:lineRule="exact"/>
        <w:ind w:firstLine="390" w:firstLineChars="150"/>
        <w:rPr>
          <w:sz w:val="26"/>
          <w:szCs w:val="26"/>
        </w:rPr>
      </w:pPr>
      <w:r>
        <w:rPr>
          <w:sz w:val="26"/>
          <w:szCs w:val="26"/>
        </w:rPr>
        <w:t>（15）《排污许可证申请与核发技术规范总则》（HJ942-2018）</w:t>
      </w:r>
      <w:r>
        <w:rPr>
          <w:rFonts w:hint="eastAsia"/>
          <w:sz w:val="26"/>
          <w:szCs w:val="26"/>
        </w:rPr>
        <w:t>。</w:t>
      </w:r>
    </w:p>
    <w:p w14:paraId="40FFF64D">
      <w:pPr>
        <w:spacing w:line="460" w:lineRule="exact"/>
        <w:ind w:firstLine="522" w:firstLineChars="200"/>
        <w:outlineLvl w:val="2"/>
        <w:rPr>
          <w:b/>
          <w:sz w:val="26"/>
          <w:szCs w:val="26"/>
        </w:rPr>
      </w:pPr>
      <w:bookmarkStart w:id="52" w:name="_Toc165810452"/>
      <w:r>
        <w:rPr>
          <w:b/>
          <w:sz w:val="26"/>
          <w:szCs w:val="26"/>
        </w:rPr>
        <w:t>1.2.5 设计技术规范</w:t>
      </w:r>
      <w:bookmarkEnd w:id="52"/>
    </w:p>
    <w:p w14:paraId="3698C87B">
      <w:pPr>
        <w:spacing w:line="460" w:lineRule="exact"/>
        <w:ind w:firstLine="390" w:firstLineChars="150"/>
        <w:rPr>
          <w:sz w:val="26"/>
          <w:szCs w:val="26"/>
        </w:rPr>
      </w:pPr>
      <w:r>
        <w:rPr>
          <w:rFonts w:hint="eastAsia"/>
          <w:sz w:val="26"/>
          <w:szCs w:val="26"/>
        </w:rPr>
        <w:t>（1）《气田集输设计规范》（GB50349-2015）；</w:t>
      </w:r>
    </w:p>
    <w:p w14:paraId="1E4FEEBA">
      <w:pPr>
        <w:spacing w:line="460" w:lineRule="exact"/>
        <w:ind w:firstLine="390" w:firstLineChars="150"/>
        <w:rPr>
          <w:sz w:val="26"/>
          <w:szCs w:val="26"/>
        </w:rPr>
      </w:pPr>
      <w:r>
        <w:rPr>
          <w:rFonts w:hint="eastAsia"/>
          <w:sz w:val="26"/>
          <w:szCs w:val="26"/>
        </w:rPr>
        <w:t>（2）</w:t>
      </w:r>
      <w:r>
        <w:rPr>
          <w:sz w:val="26"/>
          <w:szCs w:val="26"/>
        </w:rPr>
        <w:t>《</w:t>
      </w:r>
      <w:r>
        <w:rPr>
          <w:rFonts w:hint="eastAsia"/>
          <w:sz w:val="26"/>
          <w:szCs w:val="26"/>
        </w:rPr>
        <w:t>石油天然气工业管线输送系统用钢管</w:t>
      </w:r>
      <w:r>
        <w:rPr>
          <w:sz w:val="26"/>
          <w:szCs w:val="26"/>
        </w:rPr>
        <w:t>》（</w:t>
      </w:r>
      <w:r>
        <w:rPr>
          <w:rFonts w:hint="eastAsia"/>
          <w:sz w:val="26"/>
          <w:szCs w:val="26"/>
        </w:rPr>
        <w:t>GB/T 9711-2023</w:t>
      </w:r>
      <w:r>
        <w:rPr>
          <w:sz w:val="26"/>
          <w:szCs w:val="26"/>
        </w:rPr>
        <w:t>）</w:t>
      </w:r>
      <w:r>
        <w:rPr>
          <w:rFonts w:hint="eastAsia"/>
          <w:sz w:val="26"/>
          <w:szCs w:val="26"/>
        </w:rPr>
        <w:t>；</w:t>
      </w:r>
    </w:p>
    <w:p w14:paraId="7B861974">
      <w:pPr>
        <w:spacing w:line="460" w:lineRule="exact"/>
        <w:ind w:firstLine="390" w:firstLineChars="150"/>
        <w:rPr>
          <w:sz w:val="26"/>
          <w:szCs w:val="26"/>
        </w:rPr>
      </w:pPr>
      <w:r>
        <w:rPr>
          <w:rFonts w:hint="eastAsia"/>
          <w:sz w:val="26"/>
          <w:szCs w:val="26"/>
        </w:rPr>
        <w:t>（3）《油气管道动火规范》（Q/SY 05064-2018）；</w:t>
      </w:r>
    </w:p>
    <w:p w14:paraId="628B66B5">
      <w:pPr>
        <w:spacing w:line="460" w:lineRule="exact"/>
        <w:ind w:firstLine="390" w:firstLineChars="150"/>
        <w:rPr>
          <w:sz w:val="26"/>
          <w:szCs w:val="26"/>
        </w:rPr>
      </w:pPr>
      <w:r>
        <w:rPr>
          <w:rFonts w:hint="eastAsia"/>
          <w:sz w:val="26"/>
          <w:szCs w:val="26"/>
        </w:rPr>
        <w:t>（4）《油气输送用钢制感应加热弯管》（SY/T 5257-2012）；</w:t>
      </w:r>
    </w:p>
    <w:p w14:paraId="18F0196E">
      <w:pPr>
        <w:spacing w:line="460" w:lineRule="exact"/>
        <w:ind w:firstLine="390" w:firstLineChars="150"/>
        <w:rPr>
          <w:sz w:val="26"/>
          <w:szCs w:val="26"/>
        </w:rPr>
      </w:pPr>
      <w:r>
        <w:rPr>
          <w:rFonts w:hint="eastAsia"/>
          <w:sz w:val="26"/>
          <w:szCs w:val="26"/>
        </w:rPr>
        <w:t>（5）《石油天然气钢质管道无损检测》（SY/T 4109-2020）；</w:t>
      </w:r>
    </w:p>
    <w:p w14:paraId="4E0C451C">
      <w:pPr>
        <w:spacing w:line="460" w:lineRule="exact"/>
        <w:ind w:firstLine="390" w:firstLineChars="150"/>
        <w:rPr>
          <w:sz w:val="26"/>
          <w:szCs w:val="26"/>
        </w:rPr>
      </w:pPr>
      <w:r>
        <w:rPr>
          <w:rFonts w:hint="eastAsia"/>
          <w:sz w:val="26"/>
          <w:szCs w:val="26"/>
        </w:rPr>
        <w:t>（6）《油气输送管道线路工程抗震技术规范》（GB /T 50470-2017）；</w:t>
      </w:r>
    </w:p>
    <w:p w14:paraId="47C42D32">
      <w:pPr>
        <w:spacing w:line="460" w:lineRule="exact"/>
        <w:ind w:firstLine="390" w:firstLineChars="150"/>
        <w:rPr>
          <w:sz w:val="26"/>
          <w:szCs w:val="26"/>
        </w:rPr>
      </w:pPr>
      <w:r>
        <w:rPr>
          <w:rFonts w:hint="eastAsia"/>
          <w:sz w:val="26"/>
          <w:szCs w:val="26"/>
        </w:rPr>
        <w:t>（7）《钢质管道焊接及验收》（GB/T 31032-2023）；</w:t>
      </w:r>
    </w:p>
    <w:p w14:paraId="4C06B1D4">
      <w:pPr>
        <w:spacing w:line="460" w:lineRule="exact"/>
        <w:ind w:firstLine="390" w:firstLineChars="150"/>
        <w:rPr>
          <w:sz w:val="26"/>
          <w:szCs w:val="26"/>
        </w:rPr>
      </w:pPr>
      <w:r>
        <w:rPr>
          <w:rFonts w:hint="eastAsia"/>
          <w:sz w:val="26"/>
          <w:szCs w:val="26"/>
        </w:rPr>
        <w:t>（8）《排污单位自行监测技术指南  陆上石油天然气开采工业》（HJ1248-2022）；</w:t>
      </w:r>
    </w:p>
    <w:p w14:paraId="37E0E39D">
      <w:pPr>
        <w:spacing w:line="460" w:lineRule="exact"/>
        <w:ind w:firstLine="390" w:firstLineChars="150"/>
        <w:rPr>
          <w:sz w:val="26"/>
          <w:szCs w:val="26"/>
        </w:rPr>
      </w:pPr>
      <w:r>
        <w:rPr>
          <w:rFonts w:hint="eastAsia"/>
          <w:sz w:val="26"/>
          <w:szCs w:val="26"/>
        </w:rPr>
        <w:t>（9）《石油天然气工业健康、安全与环境管理体系》（SY/T6276-2014）。</w:t>
      </w:r>
    </w:p>
    <w:p w14:paraId="4988D075">
      <w:pPr>
        <w:adjustRightInd w:val="0"/>
        <w:snapToGrid w:val="0"/>
        <w:spacing w:line="460" w:lineRule="exact"/>
        <w:ind w:firstLine="522" w:firstLineChars="200"/>
        <w:outlineLvl w:val="2"/>
        <w:rPr>
          <w:b/>
          <w:sz w:val="26"/>
          <w:szCs w:val="26"/>
        </w:rPr>
      </w:pPr>
      <w:bookmarkStart w:id="53" w:name="_Toc79768988"/>
      <w:bookmarkStart w:id="54" w:name="_Toc46166097"/>
      <w:bookmarkStart w:id="55" w:name="_Toc165810453"/>
      <w:r>
        <w:rPr>
          <w:b/>
          <w:sz w:val="26"/>
          <w:szCs w:val="26"/>
        </w:rPr>
        <w:t>1.2.6 建设项目的有关资料</w:t>
      </w:r>
      <w:bookmarkEnd w:id="53"/>
      <w:bookmarkEnd w:id="54"/>
      <w:bookmarkEnd w:id="55"/>
    </w:p>
    <w:p w14:paraId="20B1EADA">
      <w:pPr>
        <w:spacing w:line="460" w:lineRule="exact"/>
        <w:ind w:firstLine="390" w:firstLineChars="150"/>
        <w:rPr>
          <w:sz w:val="26"/>
          <w:szCs w:val="26"/>
        </w:rPr>
      </w:pPr>
      <w:r>
        <w:rPr>
          <w:rFonts w:hint="eastAsia"/>
          <w:sz w:val="26"/>
          <w:szCs w:val="26"/>
        </w:rPr>
        <w:t>（</w:t>
      </w:r>
      <w:r>
        <w:rPr>
          <w:sz w:val="26"/>
          <w:szCs w:val="26"/>
        </w:rPr>
        <w:t>1</w:t>
      </w:r>
      <w:r>
        <w:rPr>
          <w:rFonts w:hint="eastAsia"/>
          <w:sz w:val="26"/>
          <w:szCs w:val="26"/>
        </w:rPr>
        <w:t>）</w:t>
      </w:r>
      <w:r>
        <w:rPr>
          <w:sz w:val="26"/>
          <w:szCs w:val="26"/>
        </w:rPr>
        <w:t>《</w:t>
      </w:r>
      <w:r>
        <w:rPr>
          <w:rFonts w:hint="eastAsia"/>
          <w:sz w:val="26"/>
          <w:szCs w:val="26"/>
        </w:rPr>
        <w:t>巴中2HF井地面工程</w:t>
      </w:r>
      <w:r>
        <w:rPr>
          <w:sz w:val="26"/>
          <w:szCs w:val="26"/>
        </w:rPr>
        <w:t>初步设计》；</w:t>
      </w:r>
    </w:p>
    <w:p w14:paraId="648B7892">
      <w:pPr>
        <w:spacing w:line="460" w:lineRule="exact"/>
        <w:ind w:firstLine="390" w:firstLineChars="150"/>
        <w:rPr>
          <w:sz w:val="26"/>
          <w:szCs w:val="26"/>
        </w:rPr>
      </w:pPr>
      <w:r>
        <w:rPr>
          <w:rFonts w:hint="eastAsia"/>
          <w:sz w:val="26"/>
          <w:szCs w:val="26"/>
        </w:rPr>
        <w:t>（2）《巴中2HF井钻探工程环境影响报告表》及其批复；</w:t>
      </w:r>
    </w:p>
    <w:p w14:paraId="5040082F">
      <w:pPr>
        <w:spacing w:line="460" w:lineRule="exact"/>
        <w:ind w:firstLine="390" w:firstLineChars="150"/>
        <w:rPr>
          <w:sz w:val="26"/>
          <w:szCs w:val="26"/>
        </w:rPr>
      </w:pPr>
      <w:r>
        <w:rPr>
          <w:rFonts w:hint="eastAsia"/>
          <w:sz w:val="26"/>
          <w:szCs w:val="26"/>
        </w:rPr>
        <w:t>（3）《巴页2HF井钻探工程环境影响报告表》及其批复；</w:t>
      </w:r>
    </w:p>
    <w:p w14:paraId="13B4630C">
      <w:pPr>
        <w:spacing w:line="460" w:lineRule="exact"/>
        <w:ind w:firstLine="390" w:firstLineChars="150"/>
        <w:rPr>
          <w:sz w:val="26"/>
          <w:szCs w:val="26"/>
        </w:rPr>
      </w:pPr>
      <w:r>
        <w:rPr>
          <w:sz w:val="26"/>
          <w:szCs w:val="26"/>
        </w:rPr>
        <w:t>（4）环境质量现状监测报告；</w:t>
      </w:r>
    </w:p>
    <w:p w14:paraId="0A486FA5">
      <w:pPr>
        <w:spacing w:line="460" w:lineRule="exact"/>
        <w:ind w:firstLine="390" w:firstLineChars="150"/>
        <w:rPr>
          <w:sz w:val="26"/>
          <w:szCs w:val="26"/>
        </w:rPr>
      </w:pPr>
      <w:r>
        <w:rPr>
          <w:sz w:val="26"/>
          <w:szCs w:val="26"/>
        </w:rPr>
        <w:t>（5）建设单位提供的其他工程资料</w:t>
      </w:r>
      <w:r>
        <w:rPr>
          <w:rFonts w:hint="eastAsia"/>
          <w:sz w:val="26"/>
          <w:szCs w:val="26"/>
        </w:rPr>
        <w:t>；</w:t>
      </w:r>
    </w:p>
    <w:p w14:paraId="17EFCDD5">
      <w:pPr>
        <w:spacing w:line="460" w:lineRule="exact"/>
        <w:ind w:firstLine="522"/>
        <w:outlineLvl w:val="1"/>
        <w:rPr>
          <w:b/>
          <w:sz w:val="26"/>
          <w:szCs w:val="26"/>
        </w:rPr>
      </w:pPr>
      <w:bookmarkStart w:id="56" w:name="_Toc165810454"/>
      <w:bookmarkStart w:id="57" w:name="_Toc219907623"/>
      <w:bookmarkStart w:id="58" w:name="_Toc536297604"/>
      <w:bookmarkStart w:id="59" w:name="_Toc165809673"/>
      <w:r>
        <w:rPr>
          <w:b/>
          <w:sz w:val="26"/>
          <w:szCs w:val="26"/>
        </w:rPr>
        <w:t>1.3 环境影响识别和评价因子筛选</w:t>
      </w:r>
      <w:bookmarkEnd w:id="56"/>
      <w:bookmarkEnd w:id="57"/>
      <w:bookmarkEnd w:id="58"/>
      <w:bookmarkEnd w:id="59"/>
    </w:p>
    <w:p w14:paraId="65B82364">
      <w:pPr>
        <w:spacing w:line="460" w:lineRule="exact"/>
        <w:ind w:firstLine="512" w:firstLineChars="196"/>
        <w:outlineLvl w:val="2"/>
        <w:rPr>
          <w:b/>
          <w:sz w:val="26"/>
          <w:szCs w:val="26"/>
        </w:rPr>
      </w:pPr>
      <w:bookmarkStart w:id="60" w:name="_Toc165810455"/>
      <w:r>
        <w:rPr>
          <w:b/>
          <w:sz w:val="26"/>
          <w:szCs w:val="26"/>
        </w:rPr>
        <w:t>1.3.1 环境影响要素识别</w:t>
      </w:r>
      <w:bookmarkEnd w:id="60"/>
    </w:p>
    <w:p w14:paraId="6432AA50">
      <w:pPr>
        <w:adjustRightInd w:val="0"/>
        <w:snapToGrid w:val="0"/>
        <w:spacing w:line="460" w:lineRule="exact"/>
        <w:ind w:firstLine="520" w:firstLineChars="200"/>
        <w:rPr>
          <w:sz w:val="26"/>
          <w:szCs w:val="26"/>
        </w:rPr>
      </w:pPr>
      <w:r>
        <w:rPr>
          <w:sz w:val="26"/>
          <w:szCs w:val="26"/>
        </w:rPr>
        <w:t>本项目</w:t>
      </w:r>
      <w:r>
        <w:rPr>
          <w:rFonts w:hint="eastAsia"/>
          <w:sz w:val="26"/>
          <w:szCs w:val="26"/>
        </w:rPr>
        <w:t>为天然气试采地面工程</w:t>
      </w:r>
      <w:r>
        <w:rPr>
          <w:sz w:val="26"/>
          <w:szCs w:val="26"/>
        </w:rPr>
        <w:t>，对环境的影响主要体现在</w:t>
      </w:r>
      <w:r>
        <w:rPr>
          <w:rFonts w:hint="eastAsia"/>
          <w:sz w:val="26"/>
          <w:szCs w:val="26"/>
        </w:rPr>
        <w:t>施工期、试采期和退役期</w:t>
      </w:r>
      <w:r>
        <w:rPr>
          <w:sz w:val="26"/>
          <w:szCs w:val="26"/>
        </w:rPr>
        <w:t>。</w:t>
      </w:r>
    </w:p>
    <w:p w14:paraId="06BCA9FD">
      <w:pPr>
        <w:adjustRightInd w:val="0"/>
        <w:spacing w:line="460" w:lineRule="exact"/>
        <w:ind w:firstLine="520" w:firstLineChars="200"/>
        <w:rPr>
          <w:sz w:val="26"/>
          <w:szCs w:val="26"/>
        </w:rPr>
      </w:pPr>
      <w:r>
        <w:rPr>
          <w:rFonts w:hint="eastAsia"/>
          <w:sz w:val="26"/>
          <w:szCs w:val="26"/>
        </w:rPr>
        <w:t>（1）施工期</w:t>
      </w:r>
    </w:p>
    <w:p w14:paraId="0ED20A1B">
      <w:pPr>
        <w:adjustRightInd w:val="0"/>
        <w:spacing w:line="460" w:lineRule="exact"/>
        <w:ind w:firstLine="520" w:firstLineChars="200"/>
        <w:rPr>
          <w:sz w:val="26"/>
          <w:szCs w:val="26"/>
        </w:rPr>
      </w:pPr>
      <w:r>
        <w:rPr>
          <w:rFonts w:hint="eastAsia"/>
          <w:sz w:val="26"/>
          <w:szCs w:val="26"/>
        </w:rPr>
        <w:t>①生态影响：根据本项目建设特点，施工期生态影响主要体现为试采站场建设过程施工扬尘、施工噪声等对周边动植物的影响。</w:t>
      </w:r>
    </w:p>
    <w:p w14:paraId="2ADA7451">
      <w:pPr>
        <w:adjustRightInd w:val="0"/>
        <w:spacing w:line="460" w:lineRule="exact"/>
        <w:ind w:firstLine="520" w:firstLineChars="200"/>
        <w:rPr>
          <w:sz w:val="26"/>
          <w:szCs w:val="26"/>
        </w:rPr>
      </w:pPr>
      <w:r>
        <w:rPr>
          <w:rFonts w:hint="eastAsia"/>
          <w:sz w:val="26"/>
          <w:szCs w:val="26"/>
        </w:rPr>
        <w:t>②污染影响：施工期产生的污废水主要有施工机械冲洗等产生的施工废水、站内管道试压产生的试压废水、施工人员产生的生活污水；施工期废气主要为设备基础开挖、车辆运输产生的扬尘，站内管道焊接过程产生的焊接烟尘；施工期噪声源主要来自施工作业机械，如吊机、电焊机、运输车辆等设备噪声；施工期产生的固体废物主要是施工人员产生的生活垃圾、废包装材料、废焊条和废金属等施工废料。</w:t>
      </w:r>
    </w:p>
    <w:p w14:paraId="19AD1E58">
      <w:pPr>
        <w:adjustRightInd w:val="0"/>
        <w:spacing w:line="460" w:lineRule="exact"/>
        <w:ind w:firstLine="520" w:firstLineChars="200"/>
        <w:rPr>
          <w:sz w:val="26"/>
          <w:szCs w:val="26"/>
        </w:rPr>
      </w:pPr>
      <w:r>
        <w:rPr>
          <w:rFonts w:hint="eastAsia"/>
          <w:sz w:val="26"/>
          <w:szCs w:val="26"/>
        </w:rPr>
        <w:t>（2）试采期</w:t>
      </w:r>
    </w:p>
    <w:p w14:paraId="2171E46C">
      <w:pPr>
        <w:adjustRightInd w:val="0"/>
        <w:snapToGrid w:val="0"/>
        <w:spacing w:line="460" w:lineRule="exact"/>
        <w:ind w:firstLine="520" w:firstLineChars="200"/>
        <w:rPr>
          <w:sz w:val="26"/>
          <w:szCs w:val="26"/>
        </w:rPr>
      </w:pPr>
      <w:r>
        <w:rPr>
          <w:rFonts w:hint="eastAsia"/>
          <w:sz w:val="26"/>
          <w:szCs w:val="26"/>
        </w:rPr>
        <w:t>①</w:t>
      </w:r>
      <w:r>
        <w:rPr>
          <w:sz w:val="26"/>
          <w:szCs w:val="26"/>
        </w:rPr>
        <w:t>正常工况</w:t>
      </w:r>
    </w:p>
    <w:p w14:paraId="2954BD88">
      <w:pPr>
        <w:adjustRightInd w:val="0"/>
        <w:snapToGrid w:val="0"/>
        <w:spacing w:line="460" w:lineRule="exact"/>
        <w:ind w:firstLine="520" w:firstLineChars="200"/>
        <w:rPr>
          <w:sz w:val="26"/>
          <w:szCs w:val="26"/>
        </w:rPr>
      </w:pPr>
      <w:r>
        <w:rPr>
          <w:sz w:val="26"/>
          <w:szCs w:val="26"/>
        </w:rPr>
        <w:t>试采期主要废气污染源为</w:t>
      </w:r>
      <w:r>
        <w:rPr>
          <w:rFonts w:hint="eastAsia"/>
          <w:sz w:val="26"/>
          <w:szCs w:val="26"/>
        </w:rPr>
        <w:t>试采站</w:t>
      </w:r>
      <w:r>
        <w:rPr>
          <w:sz w:val="26"/>
          <w:szCs w:val="26"/>
        </w:rPr>
        <w:t>内水套加热炉燃烧废气、</w:t>
      </w:r>
      <w:r>
        <w:rPr>
          <w:rFonts w:hint="eastAsia"/>
          <w:sz w:val="26"/>
          <w:szCs w:val="26"/>
        </w:rPr>
        <w:t>凝析油储罐呼吸废气、站场设备无组织</w:t>
      </w:r>
      <w:r>
        <w:rPr>
          <w:sz w:val="26"/>
          <w:szCs w:val="26"/>
        </w:rPr>
        <w:t>逸散废气；试采期主要废水为</w:t>
      </w:r>
      <w:r>
        <w:rPr>
          <w:rFonts w:hint="eastAsia"/>
          <w:sz w:val="26"/>
          <w:szCs w:val="26"/>
        </w:rPr>
        <w:t>分离气田水、放空分离液、分子筛冷凝水、分子筛冷凝水、</w:t>
      </w:r>
      <w:r>
        <w:rPr>
          <w:sz w:val="26"/>
          <w:szCs w:val="26"/>
        </w:rPr>
        <w:t>检修废水</w:t>
      </w:r>
      <w:r>
        <w:rPr>
          <w:rFonts w:hint="eastAsia"/>
          <w:sz w:val="26"/>
          <w:szCs w:val="26"/>
        </w:rPr>
        <w:t>、生活污水</w:t>
      </w:r>
      <w:r>
        <w:rPr>
          <w:sz w:val="26"/>
          <w:szCs w:val="26"/>
        </w:rPr>
        <w:t>；试采期噪声主要为</w:t>
      </w:r>
      <w:r>
        <w:rPr>
          <w:rFonts w:hint="eastAsia"/>
          <w:sz w:val="26"/>
          <w:szCs w:val="26"/>
        </w:rPr>
        <w:t>试采站</w:t>
      </w:r>
      <w:r>
        <w:rPr>
          <w:sz w:val="26"/>
          <w:szCs w:val="26"/>
        </w:rPr>
        <w:t>设备运行噪声；试采期主要固废为</w:t>
      </w:r>
      <w:r>
        <w:rPr>
          <w:rFonts w:hint="eastAsia"/>
          <w:sz w:val="26"/>
          <w:szCs w:val="26"/>
        </w:rPr>
        <w:t>废滤芯、废分子筛、检修废渣、储罐清掏沉渣、废油、废油桶、含油抹布及手套、生活垃圾等</w:t>
      </w:r>
      <w:r>
        <w:rPr>
          <w:sz w:val="26"/>
          <w:szCs w:val="26"/>
        </w:rPr>
        <w:t>。</w:t>
      </w:r>
    </w:p>
    <w:p w14:paraId="32F7CA06">
      <w:pPr>
        <w:adjustRightInd w:val="0"/>
        <w:snapToGrid w:val="0"/>
        <w:spacing w:line="460" w:lineRule="exact"/>
        <w:ind w:firstLine="520" w:firstLineChars="200"/>
        <w:rPr>
          <w:sz w:val="26"/>
          <w:szCs w:val="26"/>
        </w:rPr>
      </w:pPr>
      <w:r>
        <w:rPr>
          <w:rFonts w:hint="eastAsia"/>
          <w:sz w:val="26"/>
          <w:szCs w:val="26"/>
        </w:rPr>
        <w:t>②</w:t>
      </w:r>
      <w:r>
        <w:rPr>
          <w:sz w:val="26"/>
          <w:szCs w:val="26"/>
        </w:rPr>
        <w:t>事故状态</w:t>
      </w:r>
    </w:p>
    <w:p w14:paraId="670E03D2">
      <w:pPr>
        <w:adjustRightInd w:val="0"/>
        <w:snapToGrid w:val="0"/>
        <w:spacing w:line="460" w:lineRule="exact"/>
        <w:ind w:firstLine="520" w:firstLineChars="200"/>
        <w:rPr>
          <w:sz w:val="26"/>
          <w:szCs w:val="26"/>
        </w:rPr>
      </w:pPr>
      <w:r>
        <w:rPr>
          <w:sz w:val="26"/>
          <w:szCs w:val="26"/>
        </w:rPr>
        <w:t>事故状态下，</w:t>
      </w:r>
      <w:r>
        <w:rPr>
          <w:rFonts w:hint="eastAsia"/>
          <w:sz w:val="26"/>
          <w:szCs w:val="26"/>
        </w:rPr>
        <w:t>试采站</w:t>
      </w:r>
      <w:r>
        <w:rPr>
          <w:sz w:val="26"/>
          <w:szCs w:val="26"/>
        </w:rPr>
        <w:t>管道发生泄漏，将会对环境空气造成影响，若发生火灾爆炸还对周围的土壤、动植物、人群等造成</w:t>
      </w:r>
      <w:r>
        <w:rPr>
          <w:rFonts w:hint="eastAsia"/>
          <w:sz w:val="26"/>
          <w:szCs w:val="26"/>
        </w:rPr>
        <w:t>损害</w:t>
      </w:r>
      <w:r>
        <w:rPr>
          <w:sz w:val="26"/>
          <w:szCs w:val="26"/>
        </w:rPr>
        <w:t>；</w:t>
      </w:r>
      <w:r>
        <w:rPr>
          <w:rFonts w:hint="eastAsia"/>
          <w:sz w:val="26"/>
          <w:szCs w:val="26"/>
        </w:rPr>
        <w:t>凝析油储罐、气田水储罐</w:t>
      </w:r>
      <w:r>
        <w:rPr>
          <w:sz w:val="26"/>
          <w:szCs w:val="26"/>
        </w:rPr>
        <w:t>发生泄漏会污染地下水、土壤等。</w:t>
      </w:r>
    </w:p>
    <w:p w14:paraId="1FB57F9C">
      <w:pPr>
        <w:adjustRightInd w:val="0"/>
        <w:snapToGrid w:val="0"/>
        <w:spacing w:line="460" w:lineRule="exact"/>
        <w:ind w:firstLine="520" w:firstLineChars="200"/>
        <w:rPr>
          <w:sz w:val="26"/>
          <w:szCs w:val="26"/>
        </w:rPr>
      </w:pPr>
      <w:r>
        <w:rPr>
          <w:sz w:val="26"/>
          <w:szCs w:val="26"/>
        </w:rPr>
        <w:t>（</w:t>
      </w:r>
      <w:r>
        <w:rPr>
          <w:rFonts w:hint="eastAsia"/>
          <w:sz w:val="26"/>
          <w:szCs w:val="26"/>
        </w:rPr>
        <w:t>3</w:t>
      </w:r>
      <w:r>
        <w:rPr>
          <w:sz w:val="26"/>
          <w:szCs w:val="26"/>
        </w:rPr>
        <w:t>）</w:t>
      </w:r>
      <w:r>
        <w:rPr>
          <w:rFonts w:hint="eastAsia"/>
          <w:sz w:val="26"/>
          <w:szCs w:val="26"/>
        </w:rPr>
        <w:t>退役</w:t>
      </w:r>
      <w:r>
        <w:rPr>
          <w:sz w:val="26"/>
          <w:szCs w:val="26"/>
        </w:rPr>
        <w:t>期</w:t>
      </w:r>
    </w:p>
    <w:p w14:paraId="10ED41DE">
      <w:pPr>
        <w:adjustRightInd w:val="0"/>
        <w:snapToGrid w:val="0"/>
        <w:spacing w:line="460" w:lineRule="exact"/>
        <w:ind w:firstLine="520" w:firstLineChars="200"/>
        <w:rPr>
          <w:sz w:val="26"/>
          <w:szCs w:val="26"/>
        </w:rPr>
      </w:pPr>
      <w:r>
        <w:rPr>
          <w:rFonts w:hint="eastAsia"/>
          <w:sz w:val="26"/>
          <w:szCs w:val="26"/>
        </w:rPr>
        <w:t>气井报废或退役后应按照《陆上石油天然气生产环境保护推荐作法》（</w:t>
      </w:r>
      <w:r>
        <w:rPr>
          <w:sz w:val="26"/>
          <w:szCs w:val="26"/>
        </w:rPr>
        <w:t>SY/T6628-2005</w:t>
      </w:r>
      <w:r>
        <w:rPr>
          <w:rFonts w:hint="eastAsia"/>
          <w:sz w:val="26"/>
          <w:szCs w:val="26"/>
        </w:rPr>
        <w:t>）、《废弃井及长停井处置指南》（</w:t>
      </w:r>
      <w:r>
        <w:rPr>
          <w:sz w:val="26"/>
          <w:szCs w:val="26"/>
        </w:rPr>
        <w:t>SY/T6646-2017</w:t>
      </w:r>
      <w:r>
        <w:rPr>
          <w:rFonts w:hint="eastAsia"/>
          <w:sz w:val="26"/>
          <w:szCs w:val="26"/>
        </w:rPr>
        <w:t>）、《废弃井封井回填技术指南》的相关要求执行。</w:t>
      </w:r>
    </w:p>
    <w:p w14:paraId="79048BFB">
      <w:pPr>
        <w:adjustRightInd w:val="0"/>
        <w:snapToGrid w:val="0"/>
        <w:spacing w:line="460" w:lineRule="exact"/>
        <w:ind w:firstLine="520" w:firstLineChars="200"/>
        <w:rPr>
          <w:sz w:val="26"/>
          <w:szCs w:val="26"/>
        </w:rPr>
      </w:pPr>
      <w:r>
        <w:rPr>
          <w:rFonts w:hint="eastAsia"/>
          <w:sz w:val="26"/>
          <w:szCs w:val="26"/>
        </w:rPr>
        <w:t>封井、清理站场后，站场占地范围内水泥平台或砂砾石铺垫将被清理，随后进行复垦、复植，使站场占地恢复成耕地或林地。对环境的影响主要来自于拆除站场设备、设施时产生的扬尘、机械废气；施工废水及生活污水；废弃设备零件及管线、建筑垃圾及施工垃圾；施工设备及车辆等产生的噪声。</w:t>
      </w:r>
    </w:p>
    <w:p w14:paraId="3E7B0E13">
      <w:pPr>
        <w:autoSpaceDE w:val="0"/>
        <w:autoSpaceDN w:val="0"/>
        <w:adjustRightInd w:val="0"/>
        <w:spacing w:line="460" w:lineRule="exact"/>
        <w:ind w:firstLine="520"/>
        <w:rPr>
          <w:sz w:val="26"/>
          <w:szCs w:val="26"/>
        </w:rPr>
      </w:pPr>
    </w:p>
    <w:p w14:paraId="11D7CC57">
      <w:pPr>
        <w:autoSpaceDE w:val="0"/>
        <w:autoSpaceDN w:val="0"/>
        <w:adjustRightInd w:val="0"/>
        <w:spacing w:line="460" w:lineRule="exact"/>
        <w:ind w:firstLine="520"/>
        <w:rPr>
          <w:sz w:val="26"/>
          <w:szCs w:val="26"/>
        </w:rPr>
        <w:sectPr>
          <w:pgSz w:w="11906" w:h="16838"/>
          <w:pgMar w:top="1701" w:right="1588" w:bottom="1588" w:left="1588" w:header="1304" w:footer="1247" w:gutter="0"/>
          <w:cols w:space="720" w:num="1"/>
          <w:docGrid w:linePitch="312" w:charSpace="0"/>
        </w:sectPr>
      </w:pPr>
    </w:p>
    <w:p w14:paraId="1EC6EC7D">
      <w:pPr>
        <w:pStyle w:val="1065"/>
      </w:pPr>
      <w:r>
        <w:t>表1.3-1  环境影响因子识别结果统计表</w:t>
      </w:r>
    </w:p>
    <w:tbl>
      <w:tblPr>
        <w:tblStyle w:val="88"/>
        <w:tblW w:w="134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8"/>
        <w:gridCol w:w="736"/>
        <w:gridCol w:w="2400"/>
        <w:gridCol w:w="2298"/>
        <w:gridCol w:w="996"/>
        <w:gridCol w:w="1143"/>
        <w:gridCol w:w="857"/>
        <w:gridCol w:w="858"/>
        <w:gridCol w:w="857"/>
        <w:gridCol w:w="633"/>
        <w:gridCol w:w="633"/>
        <w:gridCol w:w="633"/>
        <w:gridCol w:w="634"/>
      </w:tblGrid>
      <w:tr w14:paraId="5401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Align w:val="center"/>
          </w:tcPr>
          <w:p w14:paraId="506B4ACE">
            <w:pPr>
              <w:adjustRightInd w:val="0"/>
              <w:snapToGrid w:val="0"/>
              <w:jc w:val="center"/>
              <w:rPr>
                <w:sz w:val="22"/>
                <w:szCs w:val="22"/>
              </w:rPr>
            </w:pPr>
            <w:r>
              <w:rPr>
                <w:sz w:val="22"/>
                <w:szCs w:val="22"/>
              </w:rPr>
              <w:t>时段</w:t>
            </w:r>
          </w:p>
        </w:tc>
        <w:tc>
          <w:tcPr>
            <w:tcW w:w="3136" w:type="dxa"/>
            <w:gridSpan w:val="2"/>
            <w:vAlign w:val="center"/>
          </w:tcPr>
          <w:p w14:paraId="3F21A10B">
            <w:pPr>
              <w:adjustRightInd w:val="0"/>
              <w:snapToGrid w:val="0"/>
              <w:jc w:val="center"/>
              <w:rPr>
                <w:sz w:val="22"/>
                <w:szCs w:val="22"/>
              </w:rPr>
            </w:pPr>
            <w:r>
              <w:rPr>
                <w:sz w:val="22"/>
                <w:szCs w:val="22"/>
              </w:rPr>
              <w:t>环境影响因素</w:t>
            </w:r>
          </w:p>
        </w:tc>
        <w:tc>
          <w:tcPr>
            <w:tcW w:w="2298" w:type="dxa"/>
            <w:vAlign w:val="center"/>
          </w:tcPr>
          <w:p w14:paraId="082C0588">
            <w:pPr>
              <w:adjustRightInd w:val="0"/>
              <w:snapToGrid w:val="0"/>
              <w:jc w:val="center"/>
              <w:rPr>
                <w:sz w:val="22"/>
                <w:szCs w:val="22"/>
              </w:rPr>
            </w:pPr>
            <w:r>
              <w:rPr>
                <w:sz w:val="22"/>
                <w:szCs w:val="22"/>
              </w:rPr>
              <w:t>主要影响因子</w:t>
            </w:r>
          </w:p>
        </w:tc>
        <w:tc>
          <w:tcPr>
            <w:tcW w:w="996" w:type="dxa"/>
            <w:vAlign w:val="center"/>
          </w:tcPr>
          <w:p w14:paraId="1BDCE06A">
            <w:pPr>
              <w:adjustRightInd w:val="0"/>
              <w:snapToGrid w:val="0"/>
              <w:jc w:val="center"/>
              <w:rPr>
                <w:sz w:val="22"/>
                <w:szCs w:val="22"/>
              </w:rPr>
            </w:pPr>
            <w:r>
              <w:rPr>
                <w:sz w:val="22"/>
                <w:szCs w:val="22"/>
              </w:rPr>
              <w:t>统计结果</w:t>
            </w:r>
          </w:p>
        </w:tc>
        <w:tc>
          <w:tcPr>
            <w:tcW w:w="1143" w:type="dxa"/>
            <w:vAlign w:val="center"/>
          </w:tcPr>
          <w:p w14:paraId="039A0A38">
            <w:pPr>
              <w:adjustRightInd w:val="0"/>
              <w:snapToGrid w:val="0"/>
              <w:jc w:val="center"/>
              <w:rPr>
                <w:sz w:val="22"/>
                <w:szCs w:val="22"/>
              </w:rPr>
            </w:pPr>
            <w:r>
              <w:rPr>
                <w:sz w:val="22"/>
                <w:szCs w:val="22"/>
              </w:rPr>
              <w:t>环境空气</w:t>
            </w:r>
          </w:p>
        </w:tc>
        <w:tc>
          <w:tcPr>
            <w:tcW w:w="857" w:type="dxa"/>
            <w:vAlign w:val="center"/>
          </w:tcPr>
          <w:p w14:paraId="4786B34D">
            <w:pPr>
              <w:adjustRightInd w:val="0"/>
              <w:snapToGrid w:val="0"/>
              <w:jc w:val="center"/>
              <w:rPr>
                <w:sz w:val="22"/>
                <w:szCs w:val="22"/>
              </w:rPr>
            </w:pPr>
            <w:r>
              <w:rPr>
                <w:sz w:val="22"/>
                <w:szCs w:val="22"/>
              </w:rPr>
              <w:t>地表水</w:t>
            </w:r>
          </w:p>
        </w:tc>
        <w:tc>
          <w:tcPr>
            <w:tcW w:w="858" w:type="dxa"/>
            <w:vAlign w:val="center"/>
          </w:tcPr>
          <w:p w14:paraId="15996A37">
            <w:pPr>
              <w:adjustRightInd w:val="0"/>
              <w:snapToGrid w:val="0"/>
              <w:jc w:val="center"/>
              <w:rPr>
                <w:sz w:val="22"/>
                <w:szCs w:val="22"/>
              </w:rPr>
            </w:pPr>
            <w:r>
              <w:rPr>
                <w:sz w:val="22"/>
                <w:szCs w:val="22"/>
              </w:rPr>
              <w:t>地下水</w:t>
            </w:r>
          </w:p>
        </w:tc>
        <w:tc>
          <w:tcPr>
            <w:tcW w:w="857" w:type="dxa"/>
            <w:vAlign w:val="center"/>
          </w:tcPr>
          <w:p w14:paraId="398C8045">
            <w:pPr>
              <w:adjustRightInd w:val="0"/>
              <w:snapToGrid w:val="0"/>
              <w:jc w:val="center"/>
              <w:rPr>
                <w:sz w:val="22"/>
                <w:szCs w:val="22"/>
              </w:rPr>
            </w:pPr>
            <w:r>
              <w:rPr>
                <w:sz w:val="22"/>
                <w:szCs w:val="22"/>
              </w:rPr>
              <w:t>声环境</w:t>
            </w:r>
          </w:p>
        </w:tc>
        <w:tc>
          <w:tcPr>
            <w:tcW w:w="633" w:type="dxa"/>
            <w:vAlign w:val="center"/>
          </w:tcPr>
          <w:p w14:paraId="5E21AB0F">
            <w:pPr>
              <w:adjustRightInd w:val="0"/>
              <w:snapToGrid w:val="0"/>
              <w:jc w:val="center"/>
              <w:rPr>
                <w:sz w:val="22"/>
                <w:szCs w:val="22"/>
              </w:rPr>
            </w:pPr>
            <w:r>
              <w:rPr>
                <w:sz w:val="22"/>
                <w:szCs w:val="22"/>
              </w:rPr>
              <w:t>植被</w:t>
            </w:r>
          </w:p>
        </w:tc>
        <w:tc>
          <w:tcPr>
            <w:tcW w:w="633" w:type="dxa"/>
            <w:vAlign w:val="center"/>
          </w:tcPr>
          <w:p w14:paraId="4CAC500A">
            <w:pPr>
              <w:adjustRightInd w:val="0"/>
              <w:snapToGrid w:val="0"/>
              <w:jc w:val="center"/>
              <w:rPr>
                <w:sz w:val="22"/>
                <w:szCs w:val="22"/>
              </w:rPr>
            </w:pPr>
            <w:r>
              <w:rPr>
                <w:sz w:val="22"/>
                <w:szCs w:val="22"/>
              </w:rPr>
              <w:t>动物</w:t>
            </w:r>
          </w:p>
        </w:tc>
        <w:tc>
          <w:tcPr>
            <w:tcW w:w="633" w:type="dxa"/>
            <w:vAlign w:val="center"/>
          </w:tcPr>
          <w:p w14:paraId="09877790">
            <w:pPr>
              <w:adjustRightInd w:val="0"/>
              <w:snapToGrid w:val="0"/>
              <w:jc w:val="center"/>
              <w:rPr>
                <w:sz w:val="22"/>
                <w:szCs w:val="22"/>
              </w:rPr>
            </w:pPr>
            <w:r>
              <w:rPr>
                <w:sz w:val="22"/>
                <w:szCs w:val="22"/>
              </w:rPr>
              <w:t>景观</w:t>
            </w:r>
          </w:p>
        </w:tc>
        <w:tc>
          <w:tcPr>
            <w:tcW w:w="634" w:type="dxa"/>
            <w:vAlign w:val="center"/>
          </w:tcPr>
          <w:p w14:paraId="2D028051">
            <w:pPr>
              <w:adjustRightInd w:val="0"/>
              <w:snapToGrid w:val="0"/>
              <w:jc w:val="center"/>
              <w:rPr>
                <w:sz w:val="22"/>
                <w:szCs w:val="22"/>
              </w:rPr>
            </w:pPr>
            <w:r>
              <w:rPr>
                <w:sz w:val="22"/>
                <w:szCs w:val="22"/>
              </w:rPr>
              <w:t>土壤</w:t>
            </w:r>
          </w:p>
        </w:tc>
      </w:tr>
      <w:tr w14:paraId="360E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restart"/>
            <w:vAlign w:val="center"/>
          </w:tcPr>
          <w:p w14:paraId="56FEB915">
            <w:pPr>
              <w:adjustRightInd w:val="0"/>
              <w:snapToGrid w:val="0"/>
              <w:jc w:val="center"/>
              <w:rPr>
                <w:sz w:val="22"/>
                <w:szCs w:val="22"/>
              </w:rPr>
            </w:pPr>
            <w:r>
              <w:rPr>
                <w:sz w:val="22"/>
                <w:szCs w:val="22"/>
              </w:rPr>
              <w:t>施</w:t>
            </w:r>
          </w:p>
          <w:p w14:paraId="050F42DC">
            <w:pPr>
              <w:adjustRightInd w:val="0"/>
              <w:snapToGrid w:val="0"/>
              <w:jc w:val="center"/>
              <w:rPr>
                <w:sz w:val="22"/>
                <w:szCs w:val="22"/>
              </w:rPr>
            </w:pPr>
            <w:r>
              <w:rPr>
                <w:sz w:val="22"/>
                <w:szCs w:val="22"/>
              </w:rPr>
              <w:t>工</w:t>
            </w:r>
          </w:p>
          <w:p w14:paraId="35849870">
            <w:pPr>
              <w:adjustRightInd w:val="0"/>
              <w:snapToGrid w:val="0"/>
              <w:jc w:val="center"/>
              <w:rPr>
                <w:sz w:val="22"/>
                <w:szCs w:val="22"/>
              </w:rPr>
            </w:pPr>
            <w:r>
              <w:rPr>
                <w:sz w:val="22"/>
                <w:szCs w:val="22"/>
              </w:rPr>
              <w:t>期</w:t>
            </w:r>
          </w:p>
        </w:tc>
        <w:tc>
          <w:tcPr>
            <w:tcW w:w="736" w:type="dxa"/>
            <w:vAlign w:val="center"/>
          </w:tcPr>
          <w:p w14:paraId="3AD8C21A">
            <w:pPr>
              <w:pStyle w:val="687"/>
              <w:rPr>
                <w:szCs w:val="22"/>
              </w:rPr>
            </w:pPr>
            <w:r>
              <w:rPr>
                <w:szCs w:val="22"/>
              </w:rPr>
              <w:t>废气</w:t>
            </w:r>
          </w:p>
        </w:tc>
        <w:tc>
          <w:tcPr>
            <w:tcW w:w="2400" w:type="dxa"/>
            <w:vAlign w:val="center"/>
          </w:tcPr>
          <w:p w14:paraId="289B28E0">
            <w:pPr>
              <w:pStyle w:val="687"/>
              <w:rPr>
                <w:szCs w:val="22"/>
              </w:rPr>
            </w:pPr>
            <w:r>
              <w:rPr>
                <w:szCs w:val="22"/>
              </w:rPr>
              <w:t>施工机械和车辆尾气、焊接烟尘</w:t>
            </w:r>
          </w:p>
        </w:tc>
        <w:tc>
          <w:tcPr>
            <w:tcW w:w="2298" w:type="dxa"/>
            <w:vAlign w:val="center"/>
          </w:tcPr>
          <w:p w14:paraId="637BF383">
            <w:pPr>
              <w:pStyle w:val="687"/>
              <w:rPr>
                <w:szCs w:val="22"/>
              </w:rPr>
            </w:pPr>
            <w:r>
              <w:rPr>
                <w:szCs w:val="22"/>
              </w:rPr>
              <w:t>NO</w:t>
            </w:r>
            <w:r>
              <w:rPr>
                <w:szCs w:val="22"/>
                <w:vertAlign w:val="subscript"/>
              </w:rPr>
              <w:t>x</w:t>
            </w:r>
            <w:r>
              <w:rPr>
                <w:szCs w:val="22"/>
              </w:rPr>
              <w:t>、CO、烃类</w:t>
            </w:r>
          </w:p>
        </w:tc>
        <w:tc>
          <w:tcPr>
            <w:tcW w:w="996" w:type="dxa"/>
            <w:vAlign w:val="center"/>
          </w:tcPr>
          <w:p w14:paraId="2539D623">
            <w:pPr>
              <w:adjustRightInd w:val="0"/>
              <w:snapToGrid w:val="0"/>
              <w:jc w:val="center"/>
              <w:rPr>
                <w:sz w:val="22"/>
                <w:szCs w:val="22"/>
              </w:rPr>
            </w:pPr>
            <w:r>
              <w:rPr>
                <w:sz w:val="22"/>
                <w:szCs w:val="22"/>
              </w:rPr>
              <w:t>——</w:t>
            </w:r>
          </w:p>
        </w:tc>
        <w:tc>
          <w:tcPr>
            <w:tcW w:w="1143" w:type="dxa"/>
            <w:vAlign w:val="center"/>
          </w:tcPr>
          <w:p w14:paraId="36D8C59F">
            <w:pPr>
              <w:adjustRightInd w:val="0"/>
              <w:snapToGrid w:val="0"/>
              <w:jc w:val="center"/>
              <w:rPr>
                <w:sz w:val="22"/>
                <w:szCs w:val="22"/>
              </w:rPr>
            </w:pPr>
            <w:r>
              <w:rPr>
                <w:sz w:val="22"/>
                <w:szCs w:val="22"/>
              </w:rPr>
              <w:t>√</w:t>
            </w:r>
          </w:p>
        </w:tc>
        <w:tc>
          <w:tcPr>
            <w:tcW w:w="857" w:type="dxa"/>
            <w:vAlign w:val="center"/>
          </w:tcPr>
          <w:p w14:paraId="3522347D">
            <w:pPr>
              <w:adjustRightInd w:val="0"/>
              <w:snapToGrid w:val="0"/>
              <w:jc w:val="center"/>
              <w:rPr>
                <w:sz w:val="22"/>
                <w:szCs w:val="22"/>
              </w:rPr>
            </w:pPr>
          </w:p>
        </w:tc>
        <w:tc>
          <w:tcPr>
            <w:tcW w:w="858" w:type="dxa"/>
            <w:vAlign w:val="center"/>
          </w:tcPr>
          <w:p w14:paraId="7C445D13">
            <w:pPr>
              <w:adjustRightInd w:val="0"/>
              <w:snapToGrid w:val="0"/>
              <w:jc w:val="center"/>
              <w:rPr>
                <w:sz w:val="22"/>
                <w:szCs w:val="22"/>
              </w:rPr>
            </w:pPr>
          </w:p>
        </w:tc>
        <w:tc>
          <w:tcPr>
            <w:tcW w:w="857" w:type="dxa"/>
            <w:vAlign w:val="center"/>
          </w:tcPr>
          <w:p w14:paraId="65B38E8C">
            <w:pPr>
              <w:adjustRightInd w:val="0"/>
              <w:snapToGrid w:val="0"/>
              <w:jc w:val="center"/>
              <w:rPr>
                <w:sz w:val="22"/>
                <w:szCs w:val="22"/>
              </w:rPr>
            </w:pPr>
          </w:p>
        </w:tc>
        <w:tc>
          <w:tcPr>
            <w:tcW w:w="633" w:type="dxa"/>
            <w:vAlign w:val="center"/>
          </w:tcPr>
          <w:p w14:paraId="34707963">
            <w:pPr>
              <w:adjustRightInd w:val="0"/>
              <w:snapToGrid w:val="0"/>
              <w:jc w:val="center"/>
              <w:rPr>
                <w:sz w:val="22"/>
                <w:szCs w:val="22"/>
              </w:rPr>
            </w:pPr>
            <w:r>
              <w:rPr>
                <w:sz w:val="22"/>
                <w:szCs w:val="22"/>
              </w:rPr>
              <w:t>√</w:t>
            </w:r>
          </w:p>
        </w:tc>
        <w:tc>
          <w:tcPr>
            <w:tcW w:w="633" w:type="dxa"/>
            <w:vAlign w:val="center"/>
          </w:tcPr>
          <w:p w14:paraId="59ED8D5A">
            <w:pPr>
              <w:adjustRightInd w:val="0"/>
              <w:snapToGrid w:val="0"/>
              <w:jc w:val="center"/>
              <w:rPr>
                <w:sz w:val="22"/>
                <w:szCs w:val="22"/>
              </w:rPr>
            </w:pPr>
          </w:p>
        </w:tc>
        <w:tc>
          <w:tcPr>
            <w:tcW w:w="633" w:type="dxa"/>
            <w:vAlign w:val="center"/>
          </w:tcPr>
          <w:p w14:paraId="09548CFE">
            <w:pPr>
              <w:adjustRightInd w:val="0"/>
              <w:snapToGrid w:val="0"/>
              <w:jc w:val="center"/>
              <w:rPr>
                <w:sz w:val="22"/>
                <w:szCs w:val="22"/>
              </w:rPr>
            </w:pPr>
          </w:p>
        </w:tc>
        <w:tc>
          <w:tcPr>
            <w:tcW w:w="634" w:type="dxa"/>
            <w:vAlign w:val="center"/>
          </w:tcPr>
          <w:p w14:paraId="0BB190D8">
            <w:pPr>
              <w:adjustRightInd w:val="0"/>
              <w:snapToGrid w:val="0"/>
              <w:jc w:val="center"/>
              <w:rPr>
                <w:sz w:val="22"/>
                <w:szCs w:val="22"/>
              </w:rPr>
            </w:pPr>
          </w:p>
        </w:tc>
      </w:tr>
      <w:tr w14:paraId="3384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5EBF6A61">
            <w:pPr>
              <w:adjustRightInd w:val="0"/>
              <w:snapToGrid w:val="0"/>
              <w:jc w:val="center"/>
              <w:rPr>
                <w:sz w:val="22"/>
                <w:szCs w:val="22"/>
              </w:rPr>
            </w:pPr>
          </w:p>
        </w:tc>
        <w:tc>
          <w:tcPr>
            <w:tcW w:w="736" w:type="dxa"/>
            <w:vMerge w:val="restart"/>
            <w:vAlign w:val="center"/>
          </w:tcPr>
          <w:p w14:paraId="706101FF">
            <w:pPr>
              <w:pStyle w:val="687"/>
              <w:rPr>
                <w:szCs w:val="22"/>
              </w:rPr>
            </w:pPr>
            <w:r>
              <w:rPr>
                <w:szCs w:val="22"/>
              </w:rPr>
              <w:t>废水</w:t>
            </w:r>
          </w:p>
        </w:tc>
        <w:tc>
          <w:tcPr>
            <w:tcW w:w="2400" w:type="dxa"/>
            <w:vAlign w:val="center"/>
          </w:tcPr>
          <w:p w14:paraId="54969004">
            <w:pPr>
              <w:pStyle w:val="687"/>
              <w:rPr>
                <w:szCs w:val="22"/>
              </w:rPr>
            </w:pPr>
            <w:r>
              <w:rPr>
                <w:szCs w:val="22"/>
              </w:rPr>
              <w:t>生活污水</w:t>
            </w:r>
          </w:p>
        </w:tc>
        <w:tc>
          <w:tcPr>
            <w:tcW w:w="2298" w:type="dxa"/>
            <w:vAlign w:val="center"/>
          </w:tcPr>
          <w:p w14:paraId="2F1FD760">
            <w:pPr>
              <w:pStyle w:val="687"/>
              <w:rPr>
                <w:szCs w:val="22"/>
              </w:rPr>
            </w:pPr>
            <w:r>
              <w:rPr>
                <w:szCs w:val="22"/>
              </w:rPr>
              <w:t>COD、BOD</w:t>
            </w:r>
            <w:r>
              <w:rPr>
                <w:szCs w:val="22"/>
                <w:vertAlign w:val="subscript"/>
              </w:rPr>
              <w:t>5</w:t>
            </w:r>
            <w:r>
              <w:rPr>
                <w:szCs w:val="22"/>
              </w:rPr>
              <w:t>、NH</w:t>
            </w:r>
            <w:r>
              <w:rPr>
                <w:szCs w:val="22"/>
                <w:vertAlign w:val="subscript"/>
              </w:rPr>
              <w:t>3</w:t>
            </w:r>
            <w:r>
              <w:rPr>
                <w:szCs w:val="22"/>
              </w:rPr>
              <w:t>-N</w:t>
            </w:r>
          </w:p>
        </w:tc>
        <w:tc>
          <w:tcPr>
            <w:tcW w:w="996" w:type="dxa"/>
            <w:vAlign w:val="center"/>
          </w:tcPr>
          <w:p w14:paraId="73964341">
            <w:pPr>
              <w:jc w:val="center"/>
              <w:rPr>
                <w:sz w:val="22"/>
                <w:szCs w:val="22"/>
              </w:rPr>
            </w:pPr>
            <w:r>
              <w:rPr>
                <w:sz w:val="22"/>
                <w:szCs w:val="22"/>
              </w:rPr>
              <w:t>——</w:t>
            </w:r>
          </w:p>
        </w:tc>
        <w:tc>
          <w:tcPr>
            <w:tcW w:w="1143" w:type="dxa"/>
            <w:vAlign w:val="center"/>
          </w:tcPr>
          <w:p w14:paraId="669F1C75">
            <w:pPr>
              <w:adjustRightInd w:val="0"/>
              <w:snapToGrid w:val="0"/>
              <w:jc w:val="center"/>
              <w:rPr>
                <w:sz w:val="22"/>
                <w:szCs w:val="22"/>
              </w:rPr>
            </w:pPr>
          </w:p>
        </w:tc>
        <w:tc>
          <w:tcPr>
            <w:tcW w:w="857" w:type="dxa"/>
            <w:vAlign w:val="center"/>
          </w:tcPr>
          <w:p w14:paraId="01139A7C">
            <w:pPr>
              <w:adjustRightInd w:val="0"/>
              <w:snapToGrid w:val="0"/>
              <w:jc w:val="center"/>
              <w:rPr>
                <w:sz w:val="22"/>
                <w:szCs w:val="22"/>
              </w:rPr>
            </w:pPr>
            <w:r>
              <w:rPr>
                <w:sz w:val="22"/>
                <w:szCs w:val="22"/>
              </w:rPr>
              <w:t>√</w:t>
            </w:r>
          </w:p>
        </w:tc>
        <w:tc>
          <w:tcPr>
            <w:tcW w:w="858" w:type="dxa"/>
            <w:vAlign w:val="center"/>
          </w:tcPr>
          <w:p w14:paraId="681A42B0">
            <w:pPr>
              <w:adjustRightInd w:val="0"/>
              <w:snapToGrid w:val="0"/>
              <w:jc w:val="center"/>
              <w:rPr>
                <w:sz w:val="22"/>
                <w:szCs w:val="22"/>
              </w:rPr>
            </w:pPr>
            <w:r>
              <w:rPr>
                <w:sz w:val="22"/>
                <w:szCs w:val="22"/>
              </w:rPr>
              <w:t>√</w:t>
            </w:r>
          </w:p>
        </w:tc>
        <w:tc>
          <w:tcPr>
            <w:tcW w:w="857" w:type="dxa"/>
            <w:vAlign w:val="center"/>
          </w:tcPr>
          <w:p w14:paraId="527D4A41">
            <w:pPr>
              <w:adjustRightInd w:val="0"/>
              <w:snapToGrid w:val="0"/>
              <w:jc w:val="center"/>
              <w:rPr>
                <w:sz w:val="22"/>
                <w:szCs w:val="22"/>
              </w:rPr>
            </w:pPr>
          </w:p>
        </w:tc>
        <w:tc>
          <w:tcPr>
            <w:tcW w:w="633" w:type="dxa"/>
            <w:vAlign w:val="center"/>
          </w:tcPr>
          <w:p w14:paraId="2B968FA2">
            <w:pPr>
              <w:adjustRightInd w:val="0"/>
              <w:snapToGrid w:val="0"/>
              <w:jc w:val="center"/>
              <w:rPr>
                <w:sz w:val="22"/>
                <w:szCs w:val="22"/>
              </w:rPr>
            </w:pPr>
            <w:r>
              <w:rPr>
                <w:sz w:val="22"/>
                <w:szCs w:val="22"/>
              </w:rPr>
              <w:t>√</w:t>
            </w:r>
          </w:p>
        </w:tc>
        <w:tc>
          <w:tcPr>
            <w:tcW w:w="633" w:type="dxa"/>
            <w:vAlign w:val="center"/>
          </w:tcPr>
          <w:p w14:paraId="4A110288">
            <w:pPr>
              <w:adjustRightInd w:val="0"/>
              <w:snapToGrid w:val="0"/>
              <w:jc w:val="center"/>
              <w:rPr>
                <w:sz w:val="22"/>
                <w:szCs w:val="22"/>
              </w:rPr>
            </w:pPr>
          </w:p>
        </w:tc>
        <w:tc>
          <w:tcPr>
            <w:tcW w:w="633" w:type="dxa"/>
            <w:vAlign w:val="center"/>
          </w:tcPr>
          <w:p w14:paraId="099AFC98">
            <w:pPr>
              <w:adjustRightInd w:val="0"/>
              <w:snapToGrid w:val="0"/>
              <w:jc w:val="center"/>
              <w:rPr>
                <w:sz w:val="22"/>
                <w:szCs w:val="22"/>
              </w:rPr>
            </w:pPr>
          </w:p>
        </w:tc>
        <w:tc>
          <w:tcPr>
            <w:tcW w:w="634" w:type="dxa"/>
            <w:vAlign w:val="center"/>
          </w:tcPr>
          <w:p w14:paraId="19D8F6E3">
            <w:pPr>
              <w:adjustRightInd w:val="0"/>
              <w:snapToGrid w:val="0"/>
              <w:jc w:val="center"/>
              <w:rPr>
                <w:sz w:val="22"/>
                <w:szCs w:val="22"/>
              </w:rPr>
            </w:pPr>
            <w:r>
              <w:rPr>
                <w:sz w:val="22"/>
                <w:szCs w:val="22"/>
              </w:rPr>
              <w:t>√</w:t>
            </w:r>
          </w:p>
        </w:tc>
      </w:tr>
      <w:tr w14:paraId="0707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6FF0F1B3">
            <w:pPr>
              <w:adjustRightInd w:val="0"/>
              <w:snapToGrid w:val="0"/>
              <w:jc w:val="center"/>
              <w:rPr>
                <w:sz w:val="22"/>
                <w:szCs w:val="22"/>
              </w:rPr>
            </w:pPr>
          </w:p>
        </w:tc>
        <w:tc>
          <w:tcPr>
            <w:tcW w:w="736" w:type="dxa"/>
            <w:vMerge w:val="continue"/>
            <w:vAlign w:val="center"/>
          </w:tcPr>
          <w:p w14:paraId="0975524C">
            <w:pPr>
              <w:pStyle w:val="687"/>
              <w:rPr>
                <w:szCs w:val="22"/>
              </w:rPr>
            </w:pPr>
          </w:p>
        </w:tc>
        <w:tc>
          <w:tcPr>
            <w:tcW w:w="2400" w:type="dxa"/>
            <w:vAlign w:val="center"/>
          </w:tcPr>
          <w:p w14:paraId="74E2E13B">
            <w:pPr>
              <w:pStyle w:val="687"/>
              <w:rPr>
                <w:szCs w:val="22"/>
              </w:rPr>
            </w:pPr>
            <w:r>
              <w:rPr>
                <w:szCs w:val="22"/>
              </w:rPr>
              <w:t>管道试压排水</w:t>
            </w:r>
          </w:p>
        </w:tc>
        <w:tc>
          <w:tcPr>
            <w:tcW w:w="2298" w:type="dxa"/>
            <w:vAlign w:val="center"/>
          </w:tcPr>
          <w:p w14:paraId="3EE79A68">
            <w:pPr>
              <w:pStyle w:val="687"/>
              <w:rPr>
                <w:szCs w:val="22"/>
              </w:rPr>
            </w:pPr>
            <w:r>
              <w:rPr>
                <w:szCs w:val="22"/>
              </w:rPr>
              <w:t>SS</w:t>
            </w:r>
          </w:p>
        </w:tc>
        <w:tc>
          <w:tcPr>
            <w:tcW w:w="996" w:type="dxa"/>
            <w:vAlign w:val="center"/>
          </w:tcPr>
          <w:p w14:paraId="561B58ED">
            <w:pPr>
              <w:jc w:val="center"/>
              <w:rPr>
                <w:sz w:val="22"/>
                <w:szCs w:val="22"/>
              </w:rPr>
            </w:pPr>
            <w:r>
              <w:rPr>
                <w:sz w:val="22"/>
                <w:szCs w:val="22"/>
              </w:rPr>
              <w:t>—</w:t>
            </w:r>
          </w:p>
        </w:tc>
        <w:tc>
          <w:tcPr>
            <w:tcW w:w="1143" w:type="dxa"/>
            <w:vAlign w:val="center"/>
          </w:tcPr>
          <w:p w14:paraId="722F716F">
            <w:pPr>
              <w:adjustRightInd w:val="0"/>
              <w:snapToGrid w:val="0"/>
              <w:jc w:val="center"/>
              <w:rPr>
                <w:sz w:val="22"/>
                <w:szCs w:val="22"/>
              </w:rPr>
            </w:pPr>
          </w:p>
        </w:tc>
        <w:tc>
          <w:tcPr>
            <w:tcW w:w="857" w:type="dxa"/>
            <w:vAlign w:val="center"/>
          </w:tcPr>
          <w:p w14:paraId="211F9A66">
            <w:pPr>
              <w:adjustRightInd w:val="0"/>
              <w:snapToGrid w:val="0"/>
              <w:jc w:val="center"/>
              <w:rPr>
                <w:sz w:val="22"/>
                <w:szCs w:val="22"/>
              </w:rPr>
            </w:pPr>
            <w:r>
              <w:rPr>
                <w:sz w:val="22"/>
                <w:szCs w:val="22"/>
              </w:rPr>
              <w:t>√</w:t>
            </w:r>
          </w:p>
        </w:tc>
        <w:tc>
          <w:tcPr>
            <w:tcW w:w="858" w:type="dxa"/>
            <w:vAlign w:val="center"/>
          </w:tcPr>
          <w:p w14:paraId="54730442">
            <w:pPr>
              <w:adjustRightInd w:val="0"/>
              <w:snapToGrid w:val="0"/>
              <w:jc w:val="center"/>
              <w:rPr>
                <w:sz w:val="22"/>
                <w:szCs w:val="22"/>
              </w:rPr>
            </w:pPr>
          </w:p>
        </w:tc>
        <w:tc>
          <w:tcPr>
            <w:tcW w:w="857" w:type="dxa"/>
            <w:vAlign w:val="center"/>
          </w:tcPr>
          <w:p w14:paraId="5B774392">
            <w:pPr>
              <w:adjustRightInd w:val="0"/>
              <w:snapToGrid w:val="0"/>
              <w:jc w:val="center"/>
              <w:rPr>
                <w:sz w:val="22"/>
                <w:szCs w:val="22"/>
              </w:rPr>
            </w:pPr>
          </w:p>
        </w:tc>
        <w:tc>
          <w:tcPr>
            <w:tcW w:w="633" w:type="dxa"/>
            <w:vAlign w:val="center"/>
          </w:tcPr>
          <w:p w14:paraId="096831F3">
            <w:pPr>
              <w:adjustRightInd w:val="0"/>
              <w:snapToGrid w:val="0"/>
              <w:jc w:val="center"/>
              <w:rPr>
                <w:sz w:val="22"/>
                <w:szCs w:val="22"/>
              </w:rPr>
            </w:pPr>
          </w:p>
        </w:tc>
        <w:tc>
          <w:tcPr>
            <w:tcW w:w="633" w:type="dxa"/>
            <w:vAlign w:val="center"/>
          </w:tcPr>
          <w:p w14:paraId="7D50FF0E">
            <w:pPr>
              <w:adjustRightInd w:val="0"/>
              <w:snapToGrid w:val="0"/>
              <w:jc w:val="center"/>
              <w:rPr>
                <w:sz w:val="22"/>
                <w:szCs w:val="22"/>
              </w:rPr>
            </w:pPr>
          </w:p>
        </w:tc>
        <w:tc>
          <w:tcPr>
            <w:tcW w:w="633" w:type="dxa"/>
            <w:vAlign w:val="center"/>
          </w:tcPr>
          <w:p w14:paraId="2755BCBD">
            <w:pPr>
              <w:adjustRightInd w:val="0"/>
              <w:snapToGrid w:val="0"/>
              <w:jc w:val="center"/>
              <w:rPr>
                <w:sz w:val="22"/>
                <w:szCs w:val="22"/>
              </w:rPr>
            </w:pPr>
          </w:p>
        </w:tc>
        <w:tc>
          <w:tcPr>
            <w:tcW w:w="634" w:type="dxa"/>
            <w:vAlign w:val="center"/>
          </w:tcPr>
          <w:p w14:paraId="1F3673DB">
            <w:pPr>
              <w:adjustRightInd w:val="0"/>
              <w:snapToGrid w:val="0"/>
              <w:jc w:val="center"/>
              <w:rPr>
                <w:sz w:val="22"/>
                <w:szCs w:val="22"/>
              </w:rPr>
            </w:pPr>
          </w:p>
        </w:tc>
      </w:tr>
      <w:tr w14:paraId="75D0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41020427">
            <w:pPr>
              <w:adjustRightInd w:val="0"/>
              <w:snapToGrid w:val="0"/>
              <w:jc w:val="center"/>
              <w:rPr>
                <w:sz w:val="22"/>
                <w:szCs w:val="22"/>
              </w:rPr>
            </w:pPr>
          </w:p>
        </w:tc>
        <w:tc>
          <w:tcPr>
            <w:tcW w:w="736" w:type="dxa"/>
            <w:vMerge w:val="continue"/>
            <w:vAlign w:val="center"/>
          </w:tcPr>
          <w:p w14:paraId="05662988">
            <w:pPr>
              <w:pStyle w:val="687"/>
              <w:rPr>
                <w:szCs w:val="22"/>
              </w:rPr>
            </w:pPr>
          </w:p>
        </w:tc>
        <w:tc>
          <w:tcPr>
            <w:tcW w:w="2400" w:type="dxa"/>
            <w:vAlign w:val="center"/>
          </w:tcPr>
          <w:p w14:paraId="3B540652">
            <w:pPr>
              <w:pStyle w:val="687"/>
              <w:rPr>
                <w:szCs w:val="22"/>
              </w:rPr>
            </w:pPr>
            <w:r>
              <w:rPr>
                <w:szCs w:val="22"/>
              </w:rPr>
              <w:t>施工废水</w:t>
            </w:r>
          </w:p>
        </w:tc>
        <w:tc>
          <w:tcPr>
            <w:tcW w:w="2298" w:type="dxa"/>
            <w:vAlign w:val="center"/>
          </w:tcPr>
          <w:p w14:paraId="21834F4F">
            <w:pPr>
              <w:pStyle w:val="687"/>
              <w:rPr>
                <w:szCs w:val="22"/>
              </w:rPr>
            </w:pPr>
            <w:r>
              <w:rPr>
                <w:szCs w:val="22"/>
              </w:rPr>
              <w:t xml:space="preserve">SS </w:t>
            </w:r>
          </w:p>
        </w:tc>
        <w:tc>
          <w:tcPr>
            <w:tcW w:w="996" w:type="dxa"/>
            <w:vAlign w:val="center"/>
          </w:tcPr>
          <w:p w14:paraId="4586432B">
            <w:pPr>
              <w:jc w:val="center"/>
              <w:rPr>
                <w:sz w:val="22"/>
                <w:szCs w:val="22"/>
              </w:rPr>
            </w:pPr>
            <w:r>
              <w:rPr>
                <w:sz w:val="22"/>
                <w:szCs w:val="22"/>
              </w:rPr>
              <w:t>—</w:t>
            </w:r>
          </w:p>
        </w:tc>
        <w:tc>
          <w:tcPr>
            <w:tcW w:w="1143" w:type="dxa"/>
            <w:vAlign w:val="center"/>
          </w:tcPr>
          <w:p w14:paraId="4ACBAEAC">
            <w:pPr>
              <w:adjustRightInd w:val="0"/>
              <w:snapToGrid w:val="0"/>
              <w:jc w:val="center"/>
              <w:rPr>
                <w:sz w:val="22"/>
                <w:szCs w:val="22"/>
              </w:rPr>
            </w:pPr>
          </w:p>
        </w:tc>
        <w:tc>
          <w:tcPr>
            <w:tcW w:w="857" w:type="dxa"/>
            <w:vAlign w:val="center"/>
          </w:tcPr>
          <w:p w14:paraId="02F8E577">
            <w:pPr>
              <w:adjustRightInd w:val="0"/>
              <w:snapToGrid w:val="0"/>
              <w:jc w:val="center"/>
              <w:rPr>
                <w:sz w:val="22"/>
                <w:szCs w:val="22"/>
              </w:rPr>
            </w:pPr>
            <w:r>
              <w:rPr>
                <w:sz w:val="22"/>
                <w:szCs w:val="22"/>
              </w:rPr>
              <w:t>√</w:t>
            </w:r>
          </w:p>
        </w:tc>
        <w:tc>
          <w:tcPr>
            <w:tcW w:w="858" w:type="dxa"/>
            <w:vAlign w:val="center"/>
          </w:tcPr>
          <w:p w14:paraId="2187A5B4">
            <w:pPr>
              <w:adjustRightInd w:val="0"/>
              <w:snapToGrid w:val="0"/>
              <w:jc w:val="center"/>
              <w:rPr>
                <w:sz w:val="22"/>
                <w:szCs w:val="22"/>
              </w:rPr>
            </w:pPr>
          </w:p>
        </w:tc>
        <w:tc>
          <w:tcPr>
            <w:tcW w:w="857" w:type="dxa"/>
            <w:vAlign w:val="center"/>
          </w:tcPr>
          <w:p w14:paraId="6BECA8F5">
            <w:pPr>
              <w:adjustRightInd w:val="0"/>
              <w:snapToGrid w:val="0"/>
              <w:jc w:val="center"/>
              <w:rPr>
                <w:sz w:val="22"/>
                <w:szCs w:val="22"/>
              </w:rPr>
            </w:pPr>
          </w:p>
        </w:tc>
        <w:tc>
          <w:tcPr>
            <w:tcW w:w="633" w:type="dxa"/>
            <w:vAlign w:val="center"/>
          </w:tcPr>
          <w:p w14:paraId="711AA32E">
            <w:pPr>
              <w:adjustRightInd w:val="0"/>
              <w:snapToGrid w:val="0"/>
              <w:jc w:val="center"/>
              <w:rPr>
                <w:sz w:val="22"/>
                <w:szCs w:val="22"/>
              </w:rPr>
            </w:pPr>
          </w:p>
        </w:tc>
        <w:tc>
          <w:tcPr>
            <w:tcW w:w="633" w:type="dxa"/>
            <w:vAlign w:val="center"/>
          </w:tcPr>
          <w:p w14:paraId="25F3165F">
            <w:pPr>
              <w:adjustRightInd w:val="0"/>
              <w:snapToGrid w:val="0"/>
              <w:jc w:val="center"/>
              <w:rPr>
                <w:sz w:val="22"/>
                <w:szCs w:val="22"/>
              </w:rPr>
            </w:pPr>
          </w:p>
        </w:tc>
        <w:tc>
          <w:tcPr>
            <w:tcW w:w="633" w:type="dxa"/>
            <w:vAlign w:val="center"/>
          </w:tcPr>
          <w:p w14:paraId="79ADFB52">
            <w:pPr>
              <w:adjustRightInd w:val="0"/>
              <w:snapToGrid w:val="0"/>
              <w:jc w:val="center"/>
              <w:rPr>
                <w:sz w:val="22"/>
                <w:szCs w:val="22"/>
              </w:rPr>
            </w:pPr>
          </w:p>
        </w:tc>
        <w:tc>
          <w:tcPr>
            <w:tcW w:w="634" w:type="dxa"/>
            <w:vAlign w:val="center"/>
          </w:tcPr>
          <w:p w14:paraId="228F7D90">
            <w:pPr>
              <w:adjustRightInd w:val="0"/>
              <w:snapToGrid w:val="0"/>
              <w:jc w:val="center"/>
              <w:rPr>
                <w:sz w:val="22"/>
                <w:szCs w:val="22"/>
              </w:rPr>
            </w:pPr>
            <w:r>
              <w:rPr>
                <w:sz w:val="22"/>
                <w:szCs w:val="22"/>
              </w:rPr>
              <w:t>√</w:t>
            </w:r>
          </w:p>
        </w:tc>
      </w:tr>
      <w:tr w14:paraId="10AD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67174DA2">
            <w:pPr>
              <w:adjustRightInd w:val="0"/>
              <w:snapToGrid w:val="0"/>
              <w:jc w:val="center"/>
              <w:rPr>
                <w:sz w:val="22"/>
                <w:szCs w:val="22"/>
              </w:rPr>
            </w:pPr>
          </w:p>
        </w:tc>
        <w:tc>
          <w:tcPr>
            <w:tcW w:w="736" w:type="dxa"/>
            <w:vAlign w:val="center"/>
          </w:tcPr>
          <w:p w14:paraId="040A2515">
            <w:pPr>
              <w:pStyle w:val="687"/>
              <w:rPr>
                <w:szCs w:val="22"/>
              </w:rPr>
            </w:pPr>
            <w:r>
              <w:rPr>
                <w:szCs w:val="22"/>
              </w:rPr>
              <w:t>固废</w:t>
            </w:r>
          </w:p>
        </w:tc>
        <w:tc>
          <w:tcPr>
            <w:tcW w:w="2400" w:type="dxa"/>
            <w:vAlign w:val="center"/>
          </w:tcPr>
          <w:p w14:paraId="143D5951">
            <w:pPr>
              <w:pStyle w:val="687"/>
              <w:rPr>
                <w:szCs w:val="22"/>
              </w:rPr>
            </w:pPr>
            <w:r>
              <w:rPr>
                <w:szCs w:val="22"/>
              </w:rPr>
              <w:t>施工废渣和生活垃圾</w:t>
            </w:r>
          </w:p>
        </w:tc>
        <w:tc>
          <w:tcPr>
            <w:tcW w:w="2298" w:type="dxa"/>
            <w:vAlign w:val="center"/>
          </w:tcPr>
          <w:p w14:paraId="1098453B">
            <w:pPr>
              <w:adjustRightInd w:val="0"/>
              <w:snapToGrid w:val="0"/>
              <w:jc w:val="center"/>
              <w:rPr>
                <w:sz w:val="22"/>
                <w:szCs w:val="22"/>
              </w:rPr>
            </w:pPr>
            <w:r>
              <w:rPr>
                <w:sz w:val="22"/>
                <w:szCs w:val="22"/>
              </w:rPr>
              <w:t>/</w:t>
            </w:r>
          </w:p>
        </w:tc>
        <w:tc>
          <w:tcPr>
            <w:tcW w:w="996" w:type="dxa"/>
            <w:vAlign w:val="center"/>
          </w:tcPr>
          <w:p w14:paraId="3CA4A2E1">
            <w:pPr>
              <w:jc w:val="center"/>
              <w:rPr>
                <w:sz w:val="22"/>
                <w:szCs w:val="22"/>
              </w:rPr>
            </w:pPr>
            <w:r>
              <w:rPr>
                <w:sz w:val="22"/>
                <w:szCs w:val="22"/>
              </w:rPr>
              <w:t>—</w:t>
            </w:r>
          </w:p>
        </w:tc>
        <w:tc>
          <w:tcPr>
            <w:tcW w:w="1143" w:type="dxa"/>
            <w:vAlign w:val="center"/>
          </w:tcPr>
          <w:p w14:paraId="13095F4B">
            <w:pPr>
              <w:adjustRightInd w:val="0"/>
              <w:snapToGrid w:val="0"/>
              <w:jc w:val="center"/>
              <w:rPr>
                <w:sz w:val="22"/>
                <w:szCs w:val="22"/>
              </w:rPr>
            </w:pPr>
          </w:p>
        </w:tc>
        <w:tc>
          <w:tcPr>
            <w:tcW w:w="857" w:type="dxa"/>
            <w:vAlign w:val="center"/>
          </w:tcPr>
          <w:p w14:paraId="699973A5">
            <w:pPr>
              <w:adjustRightInd w:val="0"/>
              <w:snapToGrid w:val="0"/>
              <w:jc w:val="center"/>
              <w:rPr>
                <w:sz w:val="22"/>
                <w:szCs w:val="22"/>
              </w:rPr>
            </w:pPr>
          </w:p>
        </w:tc>
        <w:tc>
          <w:tcPr>
            <w:tcW w:w="858" w:type="dxa"/>
            <w:vAlign w:val="center"/>
          </w:tcPr>
          <w:p w14:paraId="3EF67202">
            <w:pPr>
              <w:adjustRightInd w:val="0"/>
              <w:snapToGrid w:val="0"/>
              <w:jc w:val="center"/>
              <w:rPr>
                <w:sz w:val="22"/>
                <w:szCs w:val="22"/>
              </w:rPr>
            </w:pPr>
            <w:r>
              <w:rPr>
                <w:sz w:val="22"/>
                <w:szCs w:val="22"/>
              </w:rPr>
              <w:t>√</w:t>
            </w:r>
          </w:p>
        </w:tc>
        <w:tc>
          <w:tcPr>
            <w:tcW w:w="857" w:type="dxa"/>
            <w:vAlign w:val="center"/>
          </w:tcPr>
          <w:p w14:paraId="0F80943E">
            <w:pPr>
              <w:adjustRightInd w:val="0"/>
              <w:snapToGrid w:val="0"/>
              <w:jc w:val="center"/>
              <w:rPr>
                <w:sz w:val="22"/>
                <w:szCs w:val="22"/>
              </w:rPr>
            </w:pPr>
          </w:p>
        </w:tc>
        <w:tc>
          <w:tcPr>
            <w:tcW w:w="633" w:type="dxa"/>
            <w:vAlign w:val="center"/>
          </w:tcPr>
          <w:p w14:paraId="52C3B603">
            <w:pPr>
              <w:adjustRightInd w:val="0"/>
              <w:snapToGrid w:val="0"/>
              <w:jc w:val="center"/>
              <w:rPr>
                <w:sz w:val="22"/>
                <w:szCs w:val="22"/>
              </w:rPr>
            </w:pPr>
            <w:r>
              <w:rPr>
                <w:sz w:val="22"/>
                <w:szCs w:val="22"/>
              </w:rPr>
              <w:t>√</w:t>
            </w:r>
          </w:p>
        </w:tc>
        <w:tc>
          <w:tcPr>
            <w:tcW w:w="633" w:type="dxa"/>
            <w:vAlign w:val="center"/>
          </w:tcPr>
          <w:p w14:paraId="392A605D">
            <w:pPr>
              <w:adjustRightInd w:val="0"/>
              <w:snapToGrid w:val="0"/>
              <w:jc w:val="center"/>
              <w:rPr>
                <w:sz w:val="22"/>
                <w:szCs w:val="22"/>
              </w:rPr>
            </w:pPr>
          </w:p>
        </w:tc>
        <w:tc>
          <w:tcPr>
            <w:tcW w:w="633" w:type="dxa"/>
            <w:vAlign w:val="center"/>
          </w:tcPr>
          <w:p w14:paraId="29BFB05F">
            <w:pPr>
              <w:adjustRightInd w:val="0"/>
              <w:snapToGrid w:val="0"/>
              <w:jc w:val="center"/>
              <w:rPr>
                <w:sz w:val="22"/>
                <w:szCs w:val="22"/>
              </w:rPr>
            </w:pPr>
          </w:p>
        </w:tc>
        <w:tc>
          <w:tcPr>
            <w:tcW w:w="634" w:type="dxa"/>
            <w:vAlign w:val="center"/>
          </w:tcPr>
          <w:p w14:paraId="39DDE529">
            <w:pPr>
              <w:adjustRightInd w:val="0"/>
              <w:snapToGrid w:val="0"/>
              <w:jc w:val="center"/>
              <w:rPr>
                <w:sz w:val="22"/>
                <w:szCs w:val="22"/>
              </w:rPr>
            </w:pPr>
            <w:r>
              <w:rPr>
                <w:sz w:val="22"/>
                <w:szCs w:val="22"/>
              </w:rPr>
              <w:t>√</w:t>
            </w:r>
          </w:p>
        </w:tc>
      </w:tr>
      <w:tr w14:paraId="7A11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5B24BDF9">
            <w:pPr>
              <w:adjustRightInd w:val="0"/>
              <w:snapToGrid w:val="0"/>
              <w:jc w:val="center"/>
              <w:rPr>
                <w:sz w:val="22"/>
                <w:szCs w:val="22"/>
              </w:rPr>
            </w:pPr>
          </w:p>
        </w:tc>
        <w:tc>
          <w:tcPr>
            <w:tcW w:w="736" w:type="dxa"/>
            <w:vAlign w:val="center"/>
          </w:tcPr>
          <w:p w14:paraId="2B98E189">
            <w:pPr>
              <w:pStyle w:val="687"/>
              <w:rPr>
                <w:szCs w:val="22"/>
              </w:rPr>
            </w:pPr>
            <w:r>
              <w:rPr>
                <w:szCs w:val="22"/>
              </w:rPr>
              <w:t>噪声</w:t>
            </w:r>
          </w:p>
        </w:tc>
        <w:tc>
          <w:tcPr>
            <w:tcW w:w="2400" w:type="dxa"/>
            <w:vAlign w:val="center"/>
          </w:tcPr>
          <w:p w14:paraId="231103B6">
            <w:pPr>
              <w:pStyle w:val="687"/>
              <w:rPr>
                <w:szCs w:val="22"/>
              </w:rPr>
            </w:pPr>
            <w:r>
              <w:rPr>
                <w:szCs w:val="22"/>
              </w:rPr>
              <w:t>施工机械和车辆噪声</w:t>
            </w:r>
          </w:p>
        </w:tc>
        <w:tc>
          <w:tcPr>
            <w:tcW w:w="2298" w:type="dxa"/>
            <w:vAlign w:val="center"/>
          </w:tcPr>
          <w:p w14:paraId="5EC826C5">
            <w:pPr>
              <w:adjustRightInd w:val="0"/>
              <w:snapToGrid w:val="0"/>
              <w:jc w:val="center"/>
              <w:rPr>
                <w:sz w:val="22"/>
                <w:szCs w:val="22"/>
              </w:rPr>
            </w:pPr>
            <w:r>
              <w:rPr>
                <w:sz w:val="22"/>
                <w:szCs w:val="22"/>
              </w:rPr>
              <w:t>/</w:t>
            </w:r>
          </w:p>
        </w:tc>
        <w:tc>
          <w:tcPr>
            <w:tcW w:w="996" w:type="dxa"/>
            <w:vAlign w:val="center"/>
          </w:tcPr>
          <w:p w14:paraId="3F84429C">
            <w:pPr>
              <w:jc w:val="center"/>
              <w:rPr>
                <w:sz w:val="22"/>
                <w:szCs w:val="22"/>
              </w:rPr>
            </w:pPr>
            <w:r>
              <w:rPr>
                <w:sz w:val="22"/>
                <w:szCs w:val="22"/>
              </w:rPr>
              <w:t>——</w:t>
            </w:r>
          </w:p>
        </w:tc>
        <w:tc>
          <w:tcPr>
            <w:tcW w:w="1143" w:type="dxa"/>
            <w:vAlign w:val="center"/>
          </w:tcPr>
          <w:p w14:paraId="4FFC3BDA">
            <w:pPr>
              <w:adjustRightInd w:val="0"/>
              <w:snapToGrid w:val="0"/>
              <w:jc w:val="center"/>
              <w:rPr>
                <w:sz w:val="22"/>
                <w:szCs w:val="22"/>
              </w:rPr>
            </w:pPr>
          </w:p>
        </w:tc>
        <w:tc>
          <w:tcPr>
            <w:tcW w:w="857" w:type="dxa"/>
            <w:vAlign w:val="center"/>
          </w:tcPr>
          <w:p w14:paraId="1A910A97">
            <w:pPr>
              <w:adjustRightInd w:val="0"/>
              <w:snapToGrid w:val="0"/>
              <w:jc w:val="center"/>
              <w:rPr>
                <w:sz w:val="22"/>
                <w:szCs w:val="22"/>
              </w:rPr>
            </w:pPr>
          </w:p>
        </w:tc>
        <w:tc>
          <w:tcPr>
            <w:tcW w:w="858" w:type="dxa"/>
            <w:vAlign w:val="center"/>
          </w:tcPr>
          <w:p w14:paraId="49500804">
            <w:pPr>
              <w:adjustRightInd w:val="0"/>
              <w:snapToGrid w:val="0"/>
              <w:jc w:val="center"/>
              <w:rPr>
                <w:sz w:val="22"/>
                <w:szCs w:val="22"/>
              </w:rPr>
            </w:pPr>
          </w:p>
        </w:tc>
        <w:tc>
          <w:tcPr>
            <w:tcW w:w="857" w:type="dxa"/>
            <w:vAlign w:val="center"/>
          </w:tcPr>
          <w:p w14:paraId="1E504E08">
            <w:pPr>
              <w:adjustRightInd w:val="0"/>
              <w:snapToGrid w:val="0"/>
              <w:jc w:val="center"/>
              <w:rPr>
                <w:sz w:val="22"/>
                <w:szCs w:val="22"/>
              </w:rPr>
            </w:pPr>
            <w:r>
              <w:rPr>
                <w:sz w:val="22"/>
                <w:szCs w:val="22"/>
              </w:rPr>
              <w:t>√</w:t>
            </w:r>
          </w:p>
        </w:tc>
        <w:tc>
          <w:tcPr>
            <w:tcW w:w="633" w:type="dxa"/>
            <w:vAlign w:val="center"/>
          </w:tcPr>
          <w:p w14:paraId="09CE54D0">
            <w:pPr>
              <w:adjustRightInd w:val="0"/>
              <w:snapToGrid w:val="0"/>
              <w:jc w:val="center"/>
              <w:rPr>
                <w:sz w:val="22"/>
                <w:szCs w:val="22"/>
              </w:rPr>
            </w:pPr>
          </w:p>
        </w:tc>
        <w:tc>
          <w:tcPr>
            <w:tcW w:w="633" w:type="dxa"/>
            <w:vAlign w:val="center"/>
          </w:tcPr>
          <w:p w14:paraId="4B98631D">
            <w:pPr>
              <w:adjustRightInd w:val="0"/>
              <w:snapToGrid w:val="0"/>
              <w:jc w:val="center"/>
              <w:rPr>
                <w:sz w:val="22"/>
                <w:szCs w:val="22"/>
              </w:rPr>
            </w:pPr>
          </w:p>
        </w:tc>
        <w:tc>
          <w:tcPr>
            <w:tcW w:w="633" w:type="dxa"/>
            <w:vAlign w:val="center"/>
          </w:tcPr>
          <w:p w14:paraId="301F282D">
            <w:pPr>
              <w:adjustRightInd w:val="0"/>
              <w:snapToGrid w:val="0"/>
              <w:jc w:val="center"/>
              <w:rPr>
                <w:sz w:val="22"/>
                <w:szCs w:val="22"/>
              </w:rPr>
            </w:pPr>
          </w:p>
        </w:tc>
        <w:tc>
          <w:tcPr>
            <w:tcW w:w="634" w:type="dxa"/>
            <w:vAlign w:val="center"/>
          </w:tcPr>
          <w:p w14:paraId="36551B9E">
            <w:pPr>
              <w:adjustRightInd w:val="0"/>
              <w:snapToGrid w:val="0"/>
              <w:jc w:val="center"/>
              <w:rPr>
                <w:sz w:val="22"/>
                <w:szCs w:val="22"/>
              </w:rPr>
            </w:pPr>
          </w:p>
        </w:tc>
      </w:tr>
      <w:tr w14:paraId="0E46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0477073C">
            <w:pPr>
              <w:adjustRightInd w:val="0"/>
              <w:snapToGrid w:val="0"/>
              <w:jc w:val="center"/>
              <w:rPr>
                <w:sz w:val="22"/>
                <w:szCs w:val="22"/>
              </w:rPr>
            </w:pPr>
          </w:p>
        </w:tc>
        <w:tc>
          <w:tcPr>
            <w:tcW w:w="736" w:type="dxa"/>
            <w:vAlign w:val="center"/>
          </w:tcPr>
          <w:p w14:paraId="655D402B">
            <w:pPr>
              <w:pStyle w:val="687"/>
              <w:rPr>
                <w:szCs w:val="22"/>
              </w:rPr>
            </w:pPr>
            <w:r>
              <w:rPr>
                <w:szCs w:val="22"/>
              </w:rPr>
              <w:t>生态</w:t>
            </w:r>
          </w:p>
        </w:tc>
        <w:tc>
          <w:tcPr>
            <w:tcW w:w="2400" w:type="dxa"/>
            <w:vAlign w:val="center"/>
          </w:tcPr>
          <w:p w14:paraId="45739460">
            <w:pPr>
              <w:pStyle w:val="687"/>
              <w:rPr>
                <w:szCs w:val="22"/>
              </w:rPr>
            </w:pPr>
            <w:r>
              <w:rPr>
                <w:szCs w:val="22"/>
              </w:rPr>
              <w:t>站内基础开挖</w:t>
            </w:r>
            <w:r>
              <w:rPr>
                <w:rFonts w:hint="eastAsia"/>
                <w:szCs w:val="22"/>
              </w:rPr>
              <w:t>、设施安装</w:t>
            </w:r>
          </w:p>
        </w:tc>
        <w:tc>
          <w:tcPr>
            <w:tcW w:w="2298" w:type="dxa"/>
            <w:vAlign w:val="center"/>
          </w:tcPr>
          <w:p w14:paraId="7E101025">
            <w:pPr>
              <w:pStyle w:val="687"/>
              <w:rPr>
                <w:szCs w:val="22"/>
              </w:rPr>
            </w:pPr>
            <w:r>
              <w:rPr>
                <w:szCs w:val="22"/>
              </w:rPr>
              <w:t>破坏土壤、水土流失</w:t>
            </w:r>
          </w:p>
        </w:tc>
        <w:tc>
          <w:tcPr>
            <w:tcW w:w="996" w:type="dxa"/>
            <w:vAlign w:val="center"/>
          </w:tcPr>
          <w:p w14:paraId="49486383">
            <w:pPr>
              <w:jc w:val="center"/>
              <w:rPr>
                <w:sz w:val="22"/>
                <w:szCs w:val="22"/>
              </w:rPr>
            </w:pPr>
            <w:r>
              <w:rPr>
                <w:sz w:val="22"/>
                <w:szCs w:val="22"/>
              </w:rPr>
              <w:t>——</w:t>
            </w:r>
          </w:p>
        </w:tc>
        <w:tc>
          <w:tcPr>
            <w:tcW w:w="1143" w:type="dxa"/>
            <w:vAlign w:val="center"/>
          </w:tcPr>
          <w:p w14:paraId="791E6D08">
            <w:pPr>
              <w:adjustRightInd w:val="0"/>
              <w:snapToGrid w:val="0"/>
              <w:jc w:val="center"/>
              <w:rPr>
                <w:sz w:val="22"/>
                <w:szCs w:val="22"/>
              </w:rPr>
            </w:pPr>
          </w:p>
        </w:tc>
        <w:tc>
          <w:tcPr>
            <w:tcW w:w="857" w:type="dxa"/>
            <w:vAlign w:val="center"/>
          </w:tcPr>
          <w:p w14:paraId="1F49C0F2">
            <w:pPr>
              <w:adjustRightInd w:val="0"/>
              <w:snapToGrid w:val="0"/>
              <w:jc w:val="center"/>
              <w:rPr>
                <w:sz w:val="22"/>
                <w:szCs w:val="22"/>
              </w:rPr>
            </w:pPr>
          </w:p>
        </w:tc>
        <w:tc>
          <w:tcPr>
            <w:tcW w:w="858" w:type="dxa"/>
            <w:vAlign w:val="center"/>
          </w:tcPr>
          <w:p w14:paraId="6B7BD343">
            <w:pPr>
              <w:adjustRightInd w:val="0"/>
              <w:snapToGrid w:val="0"/>
              <w:jc w:val="center"/>
              <w:rPr>
                <w:sz w:val="22"/>
                <w:szCs w:val="22"/>
              </w:rPr>
            </w:pPr>
          </w:p>
        </w:tc>
        <w:tc>
          <w:tcPr>
            <w:tcW w:w="857" w:type="dxa"/>
            <w:vAlign w:val="center"/>
          </w:tcPr>
          <w:p w14:paraId="086498E5">
            <w:pPr>
              <w:adjustRightInd w:val="0"/>
              <w:snapToGrid w:val="0"/>
              <w:jc w:val="center"/>
              <w:rPr>
                <w:sz w:val="22"/>
                <w:szCs w:val="22"/>
              </w:rPr>
            </w:pPr>
          </w:p>
        </w:tc>
        <w:tc>
          <w:tcPr>
            <w:tcW w:w="633" w:type="dxa"/>
            <w:vAlign w:val="center"/>
          </w:tcPr>
          <w:p w14:paraId="164A3DDE">
            <w:pPr>
              <w:adjustRightInd w:val="0"/>
              <w:snapToGrid w:val="0"/>
              <w:jc w:val="center"/>
              <w:rPr>
                <w:sz w:val="22"/>
                <w:szCs w:val="22"/>
              </w:rPr>
            </w:pPr>
            <w:r>
              <w:rPr>
                <w:sz w:val="22"/>
                <w:szCs w:val="22"/>
              </w:rPr>
              <w:t>√</w:t>
            </w:r>
          </w:p>
        </w:tc>
        <w:tc>
          <w:tcPr>
            <w:tcW w:w="633" w:type="dxa"/>
            <w:vAlign w:val="center"/>
          </w:tcPr>
          <w:p w14:paraId="39343BB9">
            <w:pPr>
              <w:adjustRightInd w:val="0"/>
              <w:snapToGrid w:val="0"/>
              <w:jc w:val="center"/>
              <w:rPr>
                <w:sz w:val="22"/>
                <w:szCs w:val="22"/>
              </w:rPr>
            </w:pPr>
            <w:r>
              <w:rPr>
                <w:sz w:val="22"/>
                <w:szCs w:val="22"/>
              </w:rPr>
              <w:t>√</w:t>
            </w:r>
          </w:p>
        </w:tc>
        <w:tc>
          <w:tcPr>
            <w:tcW w:w="633" w:type="dxa"/>
            <w:vAlign w:val="center"/>
          </w:tcPr>
          <w:p w14:paraId="23E40C63">
            <w:pPr>
              <w:adjustRightInd w:val="0"/>
              <w:snapToGrid w:val="0"/>
              <w:jc w:val="center"/>
              <w:rPr>
                <w:sz w:val="22"/>
                <w:szCs w:val="22"/>
              </w:rPr>
            </w:pPr>
            <w:r>
              <w:rPr>
                <w:sz w:val="22"/>
                <w:szCs w:val="22"/>
              </w:rPr>
              <w:t>√</w:t>
            </w:r>
          </w:p>
        </w:tc>
        <w:tc>
          <w:tcPr>
            <w:tcW w:w="634" w:type="dxa"/>
            <w:vAlign w:val="center"/>
          </w:tcPr>
          <w:p w14:paraId="7EBC062E">
            <w:pPr>
              <w:adjustRightInd w:val="0"/>
              <w:snapToGrid w:val="0"/>
              <w:jc w:val="center"/>
              <w:rPr>
                <w:sz w:val="22"/>
                <w:szCs w:val="22"/>
              </w:rPr>
            </w:pPr>
          </w:p>
        </w:tc>
      </w:tr>
      <w:tr w14:paraId="3A28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restart"/>
            <w:vAlign w:val="center"/>
          </w:tcPr>
          <w:p w14:paraId="3241E1E4">
            <w:pPr>
              <w:adjustRightInd w:val="0"/>
              <w:snapToGrid w:val="0"/>
              <w:jc w:val="center"/>
              <w:rPr>
                <w:sz w:val="22"/>
                <w:szCs w:val="22"/>
              </w:rPr>
            </w:pPr>
            <w:r>
              <w:rPr>
                <w:sz w:val="22"/>
                <w:szCs w:val="22"/>
              </w:rPr>
              <w:t>试</w:t>
            </w:r>
          </w:p>
          <w:p w14:paraId="2483C74A">
            <w:pPr>
              <w:adjustRightInd w:val="0"/>
              <w:snapToGrid w:val="0"/>
              <w:jc w:val="center"/>
              <w:rPr>
                <w:sz w:val="22"/>
                <w:szCs w:val="22"/>
              </w:rPr>
            </w:pPr>
            <w:r>
              <w:rPr>
                <w:sz w:val="22"/>
                <w:szCs w:val="22"/>
              </w:rPr>
              <w:t>采</w:t>
            </w:r>
          </w:p>
          <w:p w14:paraId="6E812517">
            <w:pPr>
              <w:adjustRightInd w:val="0"/>
              <w:snapToGrid w:val="0"/>
              <w:jc w:val="center"/>
              <w:rPr>
                <w:sz w:val="22"/>
                <w:szCs w:val="22"/>
              </w:rPr>
            </w:pPr>
            <w:r>
              <w:rPr>
                <w:sz w:val="22"/>
                <w:szCs w:val="22"/>
              </w:rPr>
              <w:t>期</w:t>
            </w:r>
          </w:p>
        </w:tc>
        <w:tc>
          <w:tcPr>
            <w:tcW w:w="736" w:type="dxa"/>
            <w:vMerge w:val="restart"/>
            <w:vAlign w:val="center"/>
          </w:tcPr>
          <w:p w14:paraId="6B78E0EF">
            <w:pPr>
              <w:pStyle w:val="687"/>
              <w:rPr>
                <w:szCs w:val="22"/>
              </w:rPr>
            </w:pPr>
            <w:r>
              <w:rPr>
                <w:szCs w:val="22"/>
              </w:rPr>
              <w:t>废气</w:t>
            </w:r>
          </w:p>
        </w:tc>
        <w:tc>
          <w:tcPr>
            <w:tcW w:w="2400" w:type="dxa"/>
            <w:vAlign w:val="center"/>
          </w:tcPr>
          <w:p w14:paraId="175A1B26">
            <w:pPr>
              <w:pStyle w:val="687"/>
              <w:rPr>
                <w:szCs w:val="22"/>
              </w:rPr>
            </w:pPr>
            <w:r>
              <w:rPr>
                <w:szCs w:val="22"/>
              </w:rPr>
              <w:t>检修、事故放空</w:t>
            </w:r>
          </w:p>
        </w:tc>
        <w:tc>
          <w:tcPr>
            <w:tcW w:w="2298" w:type="dxa"/>
            <w:vAlign w:val="center"/>
          </w:tcPr>
          <w:p w14:paraId="76D0510D">
            <w:pPr>
              <w:pStyle w:val="687"/>
              <w:rPr>
                <w:szCs w:val="22"/>
              </w:rPr>
            </w:pPr>
            <w:r>
              <w:rPr>
                <w:rFonts w:hint="eastAsia"/>
                <w:szCs w:val="22"/>
              </w:rPr>
              <w:t>颗粒物、</w:t>
            </w:r>
            <w:r>
              <w:rPr>
                <w:szCs w:val="22"/>
              </w:rPr>
              <w:t>NOx</w:t>
            </w:r>
          </w:p>
        </w:tc>
        <w:tc>
          <w:tcPr>
            <w:tcW w:w="996" w:type="dxa"/>
            <w:vAlign w:val="center"/>
          </w:tcPr>
          <w:p w14:paraId="30C24E2B">
            <w:pPr>
              <w:jc w:val="center"/>
              <w:rPr>
                <w:sz w:val="22"/>
                <w:szCs w:val="22"/>
              </w:rPr>
            </w:pPr>
            <w:r>
              <w:rPr>
                <w:sz w:val="22"/>
                <w:szCs w:val="22"/>
              </w:rPr>
              <w:t>—</w:t>
            </w:r>
          </w:p>
        </w:tc>
        <w:tc>
          <w:tcPr>
            <w:tcW w:w="1143" w:type="dxa"/>
            <w:vAlign w:val="center"/>
          </w:tcPr>
          <w:p w14:paraId="293D9792">
            <w:pPr>
              <w:adjustRightInd w:val="0"/>
              <w:snapToGrid w:val="0"/>
              <w:jc w:val="center"/>
              <w:rPr>
                <w:sz w:val="22"/>
                <w:szCs w:val="22"/>
              </w:rPr>
            </w:pPr>
            <w:r>
              <w:rPr>
                <w:sz w:val="22"/>
                <w:szCs w:val="22"/>
              </w:rPr>
              <w:t>√</w:t>
            </w:r>
          </w:p>
        </w:tc>
        <w:tc>
          <w:tcPr>
            <w:tcW w:w="857" w:type="dxa"/>
            <w:vAlign w:val="center"/>
          </w:tcPr>
          <w:p w14:paraId="3AEC8E9C">
            <w:pPr>
              <w:adjustRightInd w:val="0"/>
              <w:snapToGrid w:val="0"/>
              <w:jc w:val="center"/>
              <w:rPr>
                <w:sz w:val="22"/>
                <w:szCs w:val="22"/>
              </w:rPr>
            </w:pPr>
          </w:p>
        </w:tc>
        <w:tc>
          <w:tcPr>
            <w:tcW w:w="858" w:type="dxa"/>
            <w:vAlign w:val="center"/>
          </w:tcPr>
          <w:p w14:paraId="2027D6F5">
            <w:pPr>
              <w:adjustRightInd w:val="0"/>
              <w:snapToGrid w:val="0"/>
              <w:jc w:val="center"/>
              <w:rPr>
                <w:sz w:val="22"/>
                <w:szCs w:val="22"/>
              </w:rPr>
            </w:pPr>
          </w:p>
        </w:tc>
        <w:tc>
          <w:tcPr>
            <w:tcW w:w="857" w:type="dxa"/>
            <w:vAlign w:val="center"/>
          </w:tcPr>
          <w:p w14:paraId="336E3824">
            <w:pPr>
              <w:adjustRightInd w:val="0"/>
              <w:snapToGrid w:val="0"/>
              <w:jc w:val="center"/>
              <w:rPr>
                <w:sz w:val="22"/>
                <w:szCs w:val="22"/>
              </w:rPr>
            </w:pPr>
          </w:p>
        </w:tc>
        <w:tc>
          <w:tcPr>
            <w:tcW w:w="633" w:type="dxa"/>
            <w:vAlign w:val="center"/>
          </w:tcPr>
          <w:p w14:paraId="266C8D54">
            <w:pPr>
              <w:adjustRightInd w:val="0"/>
              <w:snapToGrid w:val="0"/>
              <w:jc w:val="center"/>
              <w:rPr>
                <w:sz w:val="22"/>
                <w:szCs w:val="22"/>
              </w:rPr>
            </w:pPr>
          </w:p>
        </w:tc>
        <w:tc>
          <w:tcPr>
            <w:tcW w:w="633" w:type="dxa"/>
            <w:vAlign w:val="center"/>
          </w:tcPr>
          <w:p w14:paraId="2D769799">
            <w:pPr>
              <w:adjustRightInd w:val="0"/>
              <w:snapToGrid w:val="0"/>
              <w:jc w:val="center"/>
              <w:rPr>
                <w:sz w:val="22"/>
                <w:szCs w:val="22"/>
              </w:rPr>
            </w:pPr>
          </w:p>
        </w:tc>
        <w:tc>
          <w:tcPr>
            <w:tcW w:w="633" w:type="dxa"/>
            <w:vAlign w:val="center"/>
          </w:tcPr>
          <w:p w14:paraId="39A29862">
            <w:pPr>
              <w:adjustRightInd w:val="0"/>
              <w:snapToGrid w:val="0"/>
              <w:jc w:val="center"/>
              <w:rPr>
                <w:sz w:val="22"/>
                <w:szCs w:val="22"/>
              </w:rPr>
            </w:pPr>
          </w:p>
        </w:tc>
        <w:tc>
          <w:tcPr>
            <w:tcW w:w="634" w:type="dxa"/>
            <w:vAlign w:val="center"/>
          </w:tcPr>
          <w:p w14:paraId="2DBCAC3D">
            <w:pPr>
              <w:adjustRightInd w:val="0"/>
              <w:snapToGrid w:val="0"/>
              <w:jc w:val="center"/>
              <w:rPr>
                <w:sz w:val="22"/>
                <w:szCs w:val="22"/>
              </w:rPr>
            </w:pPr>
          </w:p>
        </w:tc>
      </w:tr>
      <w:tr w14:paraId="06B7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3A50CC8A">
            <w:pPr>
              <w:adjustRightInd w:val="0"/>
              <w:snapToGrid w:val="0"/>
              <w:jc w:val="center"/>
              <w:rPr>
                <w:sz w:val="22"/>
                <w:szCs w:val="22"/>
              </w:rPr>
            </w:pPr>
          </w:p>
        </w:tc>
        <w:tc>
          <w:tcPr>
            <w:tcW w:w="736" w:type="dxa"/>
            <w:vMerge w:val="continue"/>
            <w:vAlign w:val="center"/>
          </w:tcPr>
          <w:p w14:paraId="48C3A16D">
            <w:pPr>
              <w:pStyle w:val="687"/>
              <w:rPr>
                <w:szCs w:val="22"/>
              </w:rPr>
            </w:pPr>
          </w:p>
        </w:tc>
        <w:tc>
          <w:tcPr>
            <w:tcW w:w="2400" w:type="dxa"/>
            <w:vAlign w:val="center"/>
          </w:tcPr>
          <w:p w14:paraId="14149D87">
            <w:pPr>
              <w:pStyle w:val="687"/>
              <w:rPr>
                <w:szCs w:val="22"/>
              </w:rPr>
            </w:pPr>
            <w:r>
              <w:rPr>
                <w:rFonts w:hint="eastAsia"/>
                <w:szCs w:val="22"/>
              </w:rPr>
              <w:t>凝析油储罐呼吸废气</w:t>
            </w:r>
          </w:p>
        </w:tc>
        <w:tc>
          <w:tcPr>
            <w:tcW w:w="2298" w:type="dxa"/>
            <w:vAlign w:val="center"/>
          </w:tcPr>
          <w:p w14:paraId="75EC1018">
            <w:pPr>
              <w:adjustRightInd w:val="0"/>
              <w:snapToGrid w:val="0"/>
              <w:jc w:val="center"/>
              <w:rPr>
                <w:sz w:val="22"/>
                <w:szCs w:val="22"/>
              </w:rPr>
            </w:pPr>
            <w:r>
              <w:rPr>
                <w:sz w:val="22"/>
                <w:szCs w:val="22"/>
              </w:rPr>
              <w:t>NMHC</w:t>
            </w:r>
          </w:p>
        </w:tc>
        <w:tc>
          <w:tcPr>
            <w:tcW w:w="996" w:type="dxa"/>
            <w:vAlign w:val="center"/>
          </w:tcPr>
          <w:p w14:paraId="7C325091">
            <w:pPr>
              <w:jc w:val="center"/>
              <w:rPr>
                <w:sz w:val="22"/>
                <w:szCs w:val="22"/>
              </w:rPr>
            </w:pPr>
          </w:p>
        </w:tc>
        <w:tc>
          <w:tcPr>
            <w:tcW w:w="1143" w:type="dxa"/>
            <w:vAlign w:val="center"/>
          </w:tcPr>
          <w:p w14:paraId="3149C197">
            <w:pPr>
              <w:adjustRightInd w:val="0"/>
              <w:snapToGrid w:val="0"/>
              <w:jc w:val="center"/>
              <w:rPr>
                <w:sz w:val="22"/>
                <w:szCs w:val="22"/>
              </w:rPr>
            </w:pPr>
            <w:r>
              <w:rPr>
                <w:sz w:val="22"/>
                <w:szCs w:val="22"/>
              </w:rPr>
              <w:t>√</w:t>
            </w:r>
          </w:p>
        </w:tc>
        <w:tc>
          <w:tcPr>
            <w:tcW w:w="857" w:type="dxa"/>
            <w:vAlign w:val="center"/>
          </w:tcPr>
          <w:p w14:paraId="75947B85">
            <w:pPr>
              <w:adjustRightInd w:val="0"/>
              <w:snapToGrid w:val="0"/>
              <w:jc w:val="center"/>
              <w:rPr>
                <w:sz w:val="22"/>
                <w:szCs w:val="22"/>
              </w:rPr>
            </w:pPr>
          </w:p>
        </w:tc>
        <w:tc>
          <w:tcPr>
            <w:tcW w:w="858" w:type="dxa"/>
            <w:vAlign w:val="center"/>
          </w:tcPr>
          <w:p w14:paraId="5C5389F6">
            <w:pPr>
              <w:adjustRightInd w:val="0"/>
              <w:snapToGrid w:val="0"/>
              <w:jc w:val="center"/>
              <w:rPr>
                <w:sz w:val="22"/>
                <w:szCs w:val="22"/>
              </w:rPr>
            </w:pPr>
          </w:p>
        </w:tc>
        <w:tc>
          <w:tcPr>
            <w:tcW w:w="857" w:type="dxa"/>
            <w:vAlign w:val="center"/>
          </w:tcPr>
          <w:p w14:paraId="0BE08AE5">
            <w:pPr>
              <w:adjustRightInd w:val="0"/>
              <w:snapToGrid w:val="0"/>
              <w:jc w:val="center"/>
              <w:rPr>
                <w:sz w:val="22"/>
                <w:szCs w:val="22"/>
              </w:rPr>
            </w:pPr>
          </w:p>
        </w:tc>
        <w:tc>
          <w:tcPr>
            <w:tcW w:w="633" w:type="dxa"/>
            <w:vAlign w:val="center"/>
          </w:tcPr>
          <w:p w14:paraId="403D3594">
            <w:pPr>
              <w:adjustRightInd w:val="0"/>
              <w:snapToGrid w:val="0"/>
              <w:jc w:val="center"/>
              <w:rPr>
                <w:sz w:val="22"/>
                <w:szCs w:val="22"/>
              </w:rPr>
            </w:pPr>
          </w:p>
        </w:tc>
        <w:tc>
          <w:tcPr>
            <w:tcW w:w="633" w:type="dxa"/>
            <w:vAlign w:val="center"/>
          </w:tcPr>
          <w:p w14:paraId="073D4610">
            <w:pPr>
              <w:adjustRightInd w:val="0"/>
              <w:snapToGrid w:val="0"/>
              <w:jc w:val="center"/>
              <w:rPr>
                <w:sz w:val="22"/>
                <w:szCs w:val="22"/>
              </w:rPr>
            </w:pPr>
          </w:p>
        </w:tc>
        <w:tc>
          <w:tcPr>
            <w:tcW w:w="633" w:type="dxa"/>
            <w:vAlign w:val="center"/>
          </w:tcPr>
          <w:p w14:paraId="54B57860">
            <w:pPr>
              <w:adjustRightInd w:val="0"/>
              <w:snapToGrid w:val="0"/>
              <w:jc w:val="center"/>
              <w:rPr>
                <w:sz w:val="22"/>
                <w:szCs w:val="22"/>
              </w:rPr>
            </w:pPr>
          </w:p>
        </w:tc>
        <w:tc>
          <w:tcPr>
            <w:tcW w:w="634" w:type="dxa"/>
            <w:vAlign w:val="center"/>
          </w:tcPr>
          <w:p w14:paraId="50D7ED4A">
            <w:pPr>
              <w:adjustRightInd w:val="0"/>
              <w:snapToGrid w:val="0"/>
              <w:jc w:val="center"/>
              <w:rPr>
                <w:sz w:val="22"/>
                <w:szCs w:val="22"/>
              </w:rPr>
            </w:pPr>
          </w:p>
        </w:tc>
      </w:tr>
      <w:tr w14:paraId="6D1DC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391657B2">
            <w:pPr>
              <w:adjustRightInd w:val="0"/>
              <w:snapToGrid w:val="0"/>
              <w:jc w:val="center"/>
              <w:rPr>
                <w:sz w:val="22"/>
                <w:szCs w:val="22"/>
              </w:rPr>
            </w:pPr>
          </w:p>
        </w:tc>
        <w:tc>
          <w:tcPr>
            <w:tcW w:w="736" w:type="dxa"/>
            <w:vMerge w:val="continue"/>
            <w:vAlign w:val="center"/>
          </w:tcPr>
          <w:p w14:paraId="292F1DAF">
            <w:pPr>
              <w:pStyle w:val="687"/>
              <w:rPr>
                <w:szCs w:val="22"/>
              </w:rPr>
            </w:pPr>
          </w:p>
        </w:tc>
        <w:tc>
          <w:tcPr>
            <w:tcW w:w="2400" w:type="dxa"/>
            <w:vAlign w:val="center"/>
          </w:tcPr>
          <w:p w14:paraId="0F928A22">
            <w:pPr>
              <w:pStyle w:val="687"/>
              <w:rPr>
                <w:szCs w:val="22"/>
              </w:rPr>
            </w:pPr>
            <w:r>
              <w:rPr>
                <w:szCs w:val="22"/>
              </w:rPr>
              <w:t>站场无组织逸散废气</w:t>
            </w:r>
          </w:p>
        </w:tc>
        <w:tc>
          <w:tcPr>
            <w:tcW w:w="2298" w:type="dxa"/>
            <w:vAlign w:val="center"/>
          </w:tcPr>
          <w:p w14:paraId="03C9FFBD">
            <w:pPr>
              <w:adjustRightInd w:val="0"/>
              <w:snapToGrid w:val="0"/>
              <w:jc w:val="center"/>
              <w:rPr>
                <w:sz w:val="22"/>
                <w:szCs w:val="22"/>
              </w:rPr>
            </w:pPr>
            <w:r>
              <w:rPr>
                <w:sz w:val="22"/>
                <w:szCs w:val="22"/>
              </w:rPr>
              <w:t>NMHC</w:t>
            </w:r>
          </w:p>
        </w:tc>
        <w:tc>
          <w:tcPr>
            <w:tcW w:w="996" w:type="dxa"/>
            <w:vAlign w:val="center"/>
          </w:tcPr>
          <w:p w14:paraId="7764B0C7">
            <w:pPr>
              <w:jc w:val="center"/>
              <w:rPr>
                <w:sz w:val="22"/>
                <w:szCs w:val="22"/>
              </w:rPr>
            </w:pPr>
          </w:p>
        </w:tc>
        <w:tc>
          <w:tcPr>
            <w:tcW w:w="1143" w:type="dxa"/>
            <w:vAlign w:val="center"/>
          </w:tcPr>
          <w:p w14:paraId="6CDEA831">
            <w:pPr>
              <w:adjustRightInd w:val="0"/>
              <w:snapToGrid w:val="0"/>
              <w:jc w:val="center"/>
              <w:rPr>
                <w:sz w:val="22"/>
                <w:szCs w:val="22"/>
              </w:rPr>
            </w:pPr>
            <w:r>
              <w:rPr>
                <w:sz w:val="22"/>
                <w:szCs w:val="22"/>
              </w:rPr>
              <w:t>√</w:t>
            </w:r>
          </w:p>
        </w:tc>
        <w:tc>
          <w:tcPr>
            <w:tcW w:w="857" w:type="dxa"/>
            <w:vAlign w:val="center"/>
          </w:tcPr>
          <w:p w14:paraId="34E76134">
            <w:pPr>
              <w:adjustRightInd w:val="0"/>
              <w:snapToGrid w:val="0"/>
              <w:jc w:val="center"/>
              <w:rPr>
                <w:sz w:val="22"/>
                <w:szCs w:val="22"/>
              </w:rPr>
            </w:pPr>
          </w:p>
        </w:tc>
        <w:tc>
          <w:tcPr>
            <w:tcW w:w="858" w:type="dxa"/>
            <w:vAlign w:val="center"/>
          </w:tcPr>
          <w:p w14:paraId="2B88D60B">
            <w:pPr>
              <w:adjustRightInd w:val="0"/>
              <w:snapToGrid w:val="0"/>
              <w:jc w:val="center"/>
              <w:rPr>
                <w:sz w:val="22"/>
                <w:szCs w:val="22"/>
              </w:rPr>
            </w:pPr>
          </w:p>
        </w:tc>
        <w:tc>
          <w:tcPr>
            <w:tcW w:w="857" w:type="dxa"/>
            <w:vAlign w:val="center"/>
          </w:tcPr>
          <w:p w14:paraId="3B8828C8">
            <w:pPr>
              <w:adjustRightInd w:val="0"/>
              <w:snapToGrid w:val="0"/>
              <w:jc w:val="center"/>
              <w:rPr>
                <w:sz w:val="22"/>
                <w:szCs w:val="22"/>
              </w:rPr>
            </w:pPr>
          </w:p>
        </w:tc>
        <w:tc>
          <w:tcPr>
            <w:tcW w:w="633" w:type="dxa"/>
            <w:vAlign w:val="center"/>
          </w:tcPr>
          <w:p w14:paraId="719150C0">
            <w:pPr>
              <w:adjustRightInd w:val="0"/>
              <w:snapToGrid w:val="0"/>
              <w:jc w:val="center"/>
              <w:rPr>
                <w:sz w:val="22"/>
                <w:szCs w:val="22"/>
              </w:rPr>
            </w:pPr>
          </w:p>
        </w:tc>
        <w:tc>
          <w:tcPr>
            <w:tcW w:w="633" w:type="dxa"/>
            <w:vAlign w:val="center"/>
          </w:tcPr>
          <w:p w14:paraId="6ED3DC9E">
            <w:pPr>
              <w:adjustRightInd w:val="0"/>
              <w:snapToGrid w:val="0"/>
              <w:jc w:val="center"/>
              <w:rPr>
                <w:sz w:val="22"/>
                <w:szCs w:val="22"/>
              </w:rPr>
            </w:pPr>
          </w:p>
        </w:tc>
        <w:tc>
          <w:tcPr>
            <w:tcW w:w="633" w:type="dxa"/>
            <w:vAlign w:val="center"/>
          </w:tcPr>
          <w:p w14:paraId="50C397CD">
            <w:pPr>
              <w:adjustRightInd w:val="0"/>
              <w:snapToGrid w:val="0"/>
              <w:jc w:val="center"/>
              <w:rPr>
                <w:sz w:val="22"/>
                <w:szCs w:val="22"/>
              </w:rPr>
            </w:pPr>
          </w:p>
        </w:tc>
        <w:tc>
          <w:tcPr>
            <w:tcW w:w="634" w:type="dxa"/>
            <w:vAlign w:val="center"/>
          </w:tcPr>
          <w:p w14:paraId="7AA37DCB">
            <w:pPr>
              <w:adjustRightInd w:val="0"/>
              <w:snapToGrid w:val="0"/>
              <w:jc w:val="center"/>
              <w:rPr>
                <w:sz w:val="22"/>
                <w:szCs w:val="22"/>
              </w:rPr>
            </w:pPr>
          </w:p>
        </w:tc>
      </w:tr>
      <w:tr w14:paraId="6145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2B0C70C9">
            <w:pPr>
              <w:adjustRightInd w:val="0"/>
              <w:snapToGrid w:val="0"/>
              <w:jc w:val="center"/>
              <w:rPr>
                <w:sz w:val="22"/>
                <w:szCs w:val="22"/>
              </w:rPr>
            </w:pPr>
          </w:p>
        </w:tc>
        <w:tc>
          <w:tcPr>
            <w:tcW w:w="736" w:type="dxa"/>
            <w:vMerge w:val="continue"/>
            <w:vAlign w:val="center"/>
          </w:tcPr>
          <w:p w14:paraId="174F8A97">
            <w:pPr>
              <w:pStyle w:val="687"/>
              <w:rPr>
                <w:szCs w:val="22"/>
              </w:rPr>
            </w:pPr>
          </w:p>
        </w:tc>
        <w:tc>
          <w:tcPr>
            <w:tcW w:w="2400" w:type="dxa"/>
            <w:vAlign w:val="center"/>
          </w:tcPr>
          <w:p w14:paraId="618485D7">
            <w:pPr>
              <w:pStyle w:val="687"/>
              <w:rPr>
                <w:szCs w:val="22"/>
              </w:rPr>
            </w:pPr>
            <w:r>
              <w:rPr>
                <w:szCs w:val="22"/>
              </w:rPr>
              <w:t>水套加热炉燃烧废气</w:t>
            </w:r>
          </w:p>
        </w:tc>
        <w:tc>
          <w:tcPr>
            <w:tcW w:w="2298" w:type="dxa"/>
            <w:vAlign w:val="center"/>
          </w:tcPr>
          <w:p w14:paraId="340F71C8">
            <w:pPr>
              <w:pStyle w:val="687"/>
              <w:rPr>
                <w:szCs w:val="22"/>
              </w:rPr>
            </w:pPr>
            <w:r>
              <w:rPr>
                <w:rFonts w:hint="eastAsia"/>
                <w:szCs w:val="22"/>
              </w:rPr>
              <w:t>颗粒物、</w:t>
            </w:r>
            <w:r>
              <w:rPr>
                <w:szCs w:val="22"/>
              </w:rPr>
              <w:t>NOx</w:t>
            </w:r>
          </w:p>
        </w:tc>
        <w:tc>
          <w:tcPr>
            <w:tcW w:w="996" w:type="dxa"/>
            <w:vAlign w:val="center"/>
          </w:tcPr>
          <w:p w14:paraId="4F8CD5FB">
            <w:pPr>
              <w:jc w:val="center"/>
              <w:rPr>
                <w:sz w:val="22"/>
                <w:szCs w:val="22"/>
              </w:rPr>
            </w:pPr>
            <w:r>
              <w:rPr>
                <w:sz w:val="22"/>
                <w:szCs w:val="22"/>
              </w:rPr>
              <w:t>——</w:t>
            </w:r>
          </w:p>
        </w:tc>
        <w:tc>
          <w:tcPr>
            <w:tcW w:w="1143" w:type="dxa"/>
            <w:vAlign w:val="center"/>
          </w:tcPr>
          <w:p w14:paraId="68F9CD3B">
            <w:pPr>
              <w:adjustRightInd w:val="0"/>
              <w:snapToGrid w:val="0"/>
              <w:jc w:val="center"/>
              <w:rPr>
                <w:sz w:val="22"/>
                <w:szCs w:val="22"/>
              </w:rPr>
            </w:pPr>
            <w:r>
              <w:rPr>
                <w:sz w:val="22"/>
                <w:szCs w:val="22"/>
              </w:rPr>
              <w:t>√</w:t>
            </w:r>
          </w:p>
        </w:tc>
        <w:tc>
          <w:tcPr>
            <w:tcW w:w="857" w:type="dxa"/>
            <w:vAlign w:val="center"/>
          </w:tcPr>
          <w:p w14:paraId="52434279">
            <w:pPr>
              <w:adjustRightInd w:val="0"/>
              <w:snapToGrid w:val="0"/>
              <w:jc w:val="center"/>
              <w:rPr>
                <w:sz w:val="22"/>
                <w:szCs w:val="22"/>
              </w:rPr>
            </w:pPr>
          </w:p>
        </w:tc>
        <w:tc>
          <w:tcPr>
            <w:tcW w:w="858" w:type="dxa"/>
            <w:vAlign w:val="center"/>
          </w:tcPr>
          <w:p w14:paraId="795A0753">
            <w:pPr>
              <w:adjustRightInd w:val="0"/>
              <w:snapToGrid w:val="0"/>
              <w:jc w:val="center"/>
              <w:rPr>
                <w:sz w:val="22"/>
                <w:szCs w:val="22"/>
              </w:rPr>
            </w:pPr>
          </w:p>
        </w:tc>
        <w:tc>
          <w:tcPr>
            <w:tcW w:w="857" w:type="dxa"/>
            <w:vAlign w:val="center"/>
          </w:tcPr>
          <w:p w14:paraId="0DD80686">
            <w:pPr>
              <w:adjustRightInd w:val="0"/>
              <w:snapToGrid w:val="0"/>
              <w:jc w:val="center"/>
              <w:rPr>
                <w:sz w:val="22"/>
                <w:szCs w:val="22"/>
              </w:rPr>
            </w:pPr>
          </w:p>
        </w:tc>
        <w:tc>
          <w:tcPr>
            <w:tcW w:w="633" w:type="dxa"/>
            <w:vAlign w:val="center"/>
          </w:tcPr>
          <w:p w14:paraId="337EF076">
            <w:pPr>
              <w:adjustRightInd w:val="0"/>
              <w:snapToGrid w:val="0"/>
              <w:jc w:val="center"/>
              <w:rPr>
                <w:sz w:val="22"/>
                <w:szCs w:val="22"/>
              </w:rPr>
            </w:pPr>
          </w:p>
        </w:tc>
        <w:tc>
          <w:tcPr>
            <w:tcW w:w="633" w:type="dxa"/>
            <w:vAlign w:val="center"/>
          </w:tcPr>
          <w:p w14:paraId="27DBB809">
            <w:pPr>
              <w:adjustRightInd w:val="0"/>
              <w:snapToGrid w:val="0"/>
              <w:jc w:val="center"/>
              <w:rPr>
                <w:sz w:val="22"/>
                <w:szCs w:val="22"/>
              </w:rPr>
            </w:pPr>
          </w:p>
        </w:tc>
        <w:tc>
          <w:tcPr>
            <w:tcW w:w="633" w:type="dxa"/>
            <w:vAlign w:val="center"/>
          </w:tcPr>
          <w:p w14:paraId="332FEA97">
            <w:pPr>
              <w:adjustRightInd w:val="0"/>
              <w:snapToGrid w:val="0"/>
              <w:jc w:val="center"/>
              <w:rPr>
                <w:sz w:val="22"/>
                <w:szCs w:val="22"/>
              </w:rPr>
            </w:pPr>
          </w:p>
        </w:tc>
        <w:tc>
          <w:tcPr>
            <w:tcW w:w="634" w:type="dxa"/>
            <w:vAlign w:val="center"/>
          </w:tcPr>
          <w:p w14:paraId="50477AF8">
            <w:pPr>
              <w:adjustRightInd w:val="0"/>
              <w:snapToGrid w:val="0"/>
              <w:jc w:val="center"/>
              <w:rPr>
                <w:sz w:val="22"/>
                <w:szCs w:val="22"/>
              </w:rPr>
            </w:pPr>
          </w:p>
        </w:tc>
      </w:tr>
      <w:tr w14:paraId="66E4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3F7F5B26">
            <w:pPr>
              <w:adjustRightInd w:val="0"/>
              <w:snapToGrid w:val="0"/>
              <w:jc w:val="center"/>
              <w:rPr>
                <w:sz w:val="22"/>
                <w:szCs w:val="22"/>
              </w:rPr>
            </w:pPr>
          </w:p>
        </w:tc>
        <w:tc>
          <w:tcPr>
            <w:tcW w:w="736" w:type="dxa"/>
            <w:vMerge w:val="restart"/>
            <w:vAlign w:val="center"/>
          </w:tcPr>
          <w:p w14:paraId="13D8866B">
            <w:pPr>
              <w:pStyle w:val="687"/>
              <w:rPr>
                <w:szCs w:val="22"/>
              </w:rPr>
            </w:pPr>
            <w:r>
              <w:rPr>
                <w:szCs w:val="22"/>
              </w:rPr>
              <w:t>废水</w:t>
            </w:r>
          </w:p>
        </w:tc>
        <w:tc>
          <w:tcPr>
            <w:tcW w:w="2400" w:type="dxa"/>
            <w:vAlign w:val="center"/>
          </w:tcPr>
          <w:p w14:paraId="74A96087">
            <w:pPr>
              <w:pStyle w:val="687"/>
              <w:rPr>
                <w:szCs w:val="22"/>
              </w:rPr>
            </w:pPr>
            <w:r>
              <w:rPr>
                <w:rFonts w:hint="eastAsia"/>
                <w:szCs w:val="22"/>
              </w:rPr>
              <w:t>气田水</w:t>
            </w:r>
            <w:r>
              <w:rPr>
                <w:szCs w:val="22"/>
              </w:rPr>
              <w:t>、放空分离液、分子筛冷凝水</w:t>
            </w:r>
            <w:r>
              <w:rPr>
                <w:rFonts w:hint="eastAsia"/>
                <w:szCs w:val="22"/>
              </w:rPr>
              <w:t>、燃料气分离废水</w:t>
            </w:r>
            <w:r>
              <w:rPr>
                <w:szCs w:val="22"/>
              </w:rPr>
              <w:t>和检修废水</w:t>
            </w:r>
          </w:p>
        </w:tc>
        <w:tc>
          <w:tcPr>
            <w:tcW w:w="2298" w:type="dxa"/>
            <w:vAlign w:val="center"/>
          </w:tcPr>
          <w:p w14:paraId="20E91AF3">
            <w:pPr>
              <w:pStyle w:val="687"/>
              <w:rPr>
                <w:szCs w:val="22"/>
              </w:rPr>
            </w:pPr>
            <w:r>
              <w:rPr>
                <w:szCs w:val="22"/>
              </w:rPr>
              <w:t>COD、石油类、氯化物</w:t>
            </w:r>
            <w:r>
              <w:rPr>
                <w:rFonts w:hint="eastAsia"/>
                <w:szCs w:val="22"/>
              </w:rPr>
              <w:t>、钡</w:t>
            </w:r>
          </w:p>
        </w:tc>
        <w:tc>
          <w:tcPr>
            <w:tcW w:w="996" w:type="dxa"/>
            <w:vAlign w:val="center"/>
          </w:tcPr>
          <w:p w14:paraId="29BB9227">
            <w:pPr>
              <w:jc w:val="center"/>
              <w:rPr>
                <w:sz w:val="22"/>
                <w:szCs w:val="22"/>
              </w:rPr>
            </w:pPr>
            <w:r>
              <w:rPr>
                <w:sz w:val="22"/>
                <w:szCs w:val="22"/>
              </w:rPr>
              <w:t>—</w:t>
            </w:r>
          </w:p>
        </w:tc>
        <w:tc>
          <w:tcPr>
            <w:tcW w:w="1143" w:type="dxa"/>
            <w:vAlign w:val="center"/>
          </w:tcPr>
          <w:p w14:paraId="1BE2ACA6">
            <w:pPr>
              <w:adjustRightInd w:val="0"/>
              <w:snapToGrid w:val="0"/>
              <w:jc w:val="center"/>
              <w:rPr>
                <w:sz w:val="22"/>
                <w:szCs w:val="22"/>
              </w:rPr>
            </w:pPr>
          </w:p>
        </w:tc>
        <w:tc>
          <w:tcPr>
            <w:tcW w:w="857" w:type="dxa"/>
            <w:vAlign w:val="center"/>
          </w:tcPr>
          <w:p w14:paraId="620624E9">
            <w:pPr>
              <w:adjustRightInd w:val="0"/>
              <w:snapToGrid w:val="0"/>
              <w:jc w:val="center"/>
              <w:rPr>
                <w:sz w:val="22"/>
                <w:szCs w:val="22"/>
              </w:rPr>
            </w:pPr>
            <w:r>
              <w:rPr>
                <w:sz w:val="22"/>
                <w:szCs w:val="22"/>
              </w:rPr>
              <w:t>√</w:t>
            </w:r>
          </w:p>
        </w:tc>
        <w:tc>
          <w:tcPr>
            <w:tcW w:w="858" w:type="dxa"/>
            <w:vAlign w:val="center"/>
          </w:tcPr>
          <w:p w14:paraId="20C2D8DC">
            <w:pPr>
              <w:adjustRightInd w:val="0"/>
              <w:snapToGrid w:val="0"/>
              <w:jc w:val="center"/>
              <w:rPr>
                <w:sz w:val="22"/>
                <w:szCs w:val="22"/>
              </w:rPr>
            </w:pPr>
            <w:r>
              <w:rPr>
                <w:sz w:val="22"/>
                <w:szCs w:val="22"/>
              </w:rPr>
              <w:t>√</w:t>
            </w:r>
          </w:p>
        </w:tc>
        <w:tc>
          <w:tcPr>
            <w:tcW w:w="857" w:type="dxa"/>
            <w:vAlign w:val="center"/>
          </w:tcPr>
          <w:p w14:paraId="6E063E12">
            <w:pPr>
              <w:adjustRightInd w:val="0"/>
              <w:snapToGrid w:val="0"/>
              <w:jc w:val="center"/>
              <w:rPr>
                <w:sz w:val="22"/>
                <w:szCs w:val="22"/>
              </w:rPr>
            </w:pPr>
          </w:p>
        </w:tc>
        <w:tc>
          <w:tcPr>
            <w:tcW w:w="633" w:type="dxa"/>
            <w:vAlign w:val="center"/>
          </w:tcPr>
          <w:p w14:paraId="008823B1">
            <w:pPr>
              <w:adjustRightInd w:val="0"/>
              <w:snapToGrid w:val="0"/>
              <w:jc w:val="center"/>
              <w:rPr>
                <w:sz w:val="22"/>
                <w:szCs w:val="22"/>
              </w:rPr>
            </w:pPr>
            <w:r>
              <w:rPr>
                <w:sz w:val="22"/>
                <w:szCs w:val="22"/>
              </w:rPr>
              <w:t>√</w:t>
            </w:r>
          </w:p>
        </w:tc>
        <w:tc>
          <w:tcPr>
            <w:tcW w:w="633" w:type="dxa"/>
            <w:vAlign w:val="center"/>
          </w:tcPr>
          <w:p w14:paraId="01CDE731">
            <w:pPr>
              <w:adjustRightInd w:val="0"/>
              <w:snapToGrid w:val="0"/>
              <w:jc w:val="center"/>
              <w:rPr>
                <w:sz w:val="22"/>
                <w:szCs w:val="22"/>
              </w:rPr>
            </w:pPr>
          </w:p>
        </w:tc>
        <w:tc>
          <w:tcPr>
            <w:tcW w:w="633" w:type="dxa"/>
            <w:vAlign w:val="center"/>
          </w:tcPr>
          <w:p w14:paraId="532AE485">
            <w:pPr>
              <w:adjustRightInd w:val="0"/>
              <w:snapToGrid w:val="0"/>
              <w:jc w:val="center"/>
              <w:rPr>
                <w:sz w:val="22"/>
                <w:szCs w:val="22"/>
              </w:rPr>
            </w:pPr>
          </w:p>
        </w:tc>
        <w:tc>
          <w:tcPr>
            <w:tcW w:w="634" w:type="dxa"/>
            <w:vAlign w:val="center"/>
          </w:tcPr>
          <w:p w14:paraId="2F8D9D9E">
            <w:pPr>
              <w:adjustRightInd w:val="0"/>
              <w:snapToGrid w:val="0"/>
              <w:jc w:val="center"/>
              <w:rPr>
                <w:sz w:val="22"/>
                <w:szCs w:val="22"/>
              </w:rPr>
            </w:pPr>
            <w:r>
              <w:rPr>
                <w:sz w:val="22"/>
                <w:szCs w:val="22"/>
              </w:rPr>
              <w:t>√</w:t>
            </w:r>
          </w:p>
        </w:tc>
      </w:tr>
      <w:tr w14:paraId="35AE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6511B8C9">
            <w:pPr>
              <w:adjustRightInd w:val="0"/>
              <w:snapToGrid w:val="0"/>
              <w:jc w:val="center"/>
              <w:rPr>
                <w:sz w:val="22"/>
                <w:szCs w:val="22"/>
              </w:rPr>
            </w:pPr>
          </w:p>
        </w:tc>
        <w:tc>
          <w:tcPr>
            <w:tcW w:w="736" w:type="dxa"/>
            <w:vMerge w:val="continue"/>
            <w:vAlign w:val="center"/>
          </w:tcPr>
          <w:p w14:paraId="73EADCD8">
            <w:pPr>
              <w:pStyle w:val="687"/>
              <w:rPr>
                <w:szCs w:val="22"/>
              </w:rPr>
            </w:pPr>
          </w:p>
        </w:tc>
        <w:tc>
          <w:tcPr>
            <w:tcW w:w="2400" w:type="dxa"/>
            <w:vAlign w:val="center"/>
          </w:tcPr>
          <w:p w14:paraId="142744E8">
            <w:pPr>
              <w:pStyle w:val="687"/>
              <w:rPr>
                <w:szCs w:val="22"/>
              </w:rPr>
            </w:pPr>
            <w:r>
              <w:rPr>
                <w:szCs w:val="22"/>
              </w:rPr>
              <w:t>生活污水</w:t>
            </w:r>
          </w:p>
        </w:tc>
        <w:tc>
          <w:tcPr>
            <w:tcW w:w="2298" w:type="dxa"/>
            <w:vAlign w:val="center"/>
          </w:tcPr>
          <w:p w14:paraId="418B2444">
            <w:pPr>
              <w:adjustRightInd w:val="0"/>
              <w:snapToGrid w:val="0"/>
              <w:jc w:val="center"/>
              <w:rPr>
                <w:sz w:val="22"/>
                <w:szCs w:val="22"/>
              </w:rPr>
            </w:pPr>
            <w:r>
              <w:rPr>
                <w:sz w:val="22"/>
                <w:szCs w:val="22"/>
              </w:rPr>
              <w:t>COD、BOD</w:t>
            </w:r>
            <w:r>
              <w:rPr>
                <w:sz w:val="22"/>
                <w:szCs w:val="22"/>
                <w:vertAlign w:val="subscript"/>
              </w:rPr>
              <w:t>5</w:t>
            </w:r>
            <w:r>
              <w:rPr>
                <w:sz w:val="22"/>
                <w:szCs w:val="22"/>
              </w:rPr>
              <w:t>、NH</w:t>
            </w:r>
            <w:r>
              <w:rPr>
                <w:sz w:val="22"/>
                <w:szCs w:val="22"/>
                <w:vertAlign w:val="subscript"/>
              </w:rPr>
              <w:t>3</w:t>
            </w:r>
            <w:r>
              <w:rPr>
                <w:sz w:val="22"/>
                <w:szCs w:val="22"/>
              </w:rPr>
              <w:t>-N</w:t>
            </w:r>
          </w:p>
        </w:tc>
        <w:tc>
          <w:tcPr>
            <w:tcW w:w="996" w:type="dxa"/>
            <w:vAlign w:val="center"/>
          </w:tcPr>
          <w:p w14:paraId="11FB1016">
            <w:pPr>
              <w:jc w:val="center"/>
              <w:rPr>
                <w:sz w:val="22"/>
                <w:szCs w:val="22"/>
              </w:rPr>
            </w:pPr>
          </w:p>
        </w:tc>
        <w:tc>
          <w:tcPr>
            <w:tcW w:w="1143" w:type="dxa"/>
            <w:vAlign w:val="center"/>
          </w:tcPr>
          <w:p w14:paraId="67A4C520">
            <w:pPr>
              <w:adjustRightInd w:val="0"/>
              <w:snapToGrid w:val="0"/>
              <w:jc w:val="center"/>
              <w:rPr>
                <w:sz w:val="22"/>
                <w:szCs w:val="22"/>
              </w:rPr>
            </w:pPr>
          </w:p>
        </w:tc>
        <w:tc>
          <w:tcPr>
            <w:tcW w:w="857" w:type="dxa"/>
            <w:vAlign w:val="center"/>
          </w:tcPr>
          <w:p w14:paraId="372B521D">
            <w:pPr>
              <w:adjustRightInd w:val="0"/>
              <w:snapToGrid w:val="0"/>
              <w:jc w:val="center"/>
              <w:rPr>
                <w:sz w:val="22"/>
                <w:szCs w:val="22"/>
              </w:rPr>
            </w:pPr>
            <w:r>
              <w:rPr>
                <w:sz w:val="22"/>
                <w:szCs w:val="22"/>
              </w:rPr>
              <w:t>√</w:t>
            </w:r>
          </w:p>
        </w:tc>
        <w:tc>
          <w:tcPr>
            <w:tcW w:w="858" w:type="dxa"/>
            <w:vAlign w:val="center"/>
          </w:tcPr>
          <w:p w14:paraId="13F9F52F">
            <w:pPr>
              <w:adjustRightInd w:val="0"/>
              <w:snapToGrid w:val="0"/>
              <w:jc w:val="center"/>
              <w:rPr>
                <w:sz w:val="22"/>
                <w:szCs w:val="22"/>
              </w:rPr>
            </w:pPr>
            <w:r>
              <w:rPr>
                <w:sz w:val="22"/>
                <w:szCs w:val="22"/>
              </w:rPr>
              <w:t>√</w:t>
            </w:r>
          </w:p>
        </w:tc>
        <w:tc>
          <w:tcPr>
            <w:tcW w:w="857" w:type="dxa"/>
            <w:vAlign w:val="center"/>
          </w:tcPr>
          <w:p w14:paraId="773FCCF6">
            <w:pPr>
              <w:adjustRightInd w:val="0"/>
              <w:snapToGrid w:val="0"/>
              <w:jc w:val="center"/>
              <w:rPr>
                <w:sz w:val="22"/>
                <w:szCs w:val="22"/>
              </w:rPr>
            </w:pPr>
          </w:p>
        </w:tc>
        <w:tc>
          <w:tcPr>
            <w:tcW w:w="633" w:type="dxa"/>
            <w:vAlign w:val="center"/>
          </w:tcPr>
          <w:p w14:paraId="65A6DEBE">
            <w:pPr>
              <w:adjustRightInd w:val="0"/>
              <w:snapToGrid w:val="0"/>
              <w:jc w:val="center"/>
              <w:rPr>
                <w:sz w:val="22"/>
                <w:szCs w:val="22"/>
              </w:rPr>
            </w:pPr>
            <w:r>
              <w:rPr>
                <w:sz w:val="22"/>
                <w:szCs w:val="22"/>
              </w:rPr>
              <w:t>√</w:t>
            </w:r>
          </w:p>
        </w:tc>
        <w:tc>
          <w:tcPr>
            <w:tcW w:w="633" w:type="dxa"/>
            <w:vAlign w:val="center"/>
          </w:tcPr>
          <w:p w14:paraId="4DBC1615">
            <w:pPr>
              <w:adjustRightInd w:val="0"/>
              <w:snapToGrid w:val="0"/>
              <w:jc w:val="center"/>
              <w:rPr>
                <w:sz w:val="22"/>
                <w:szCs w:val="22"/>
              </w:rPr>
            </w:pPr>
          </w:p>
        </w:tc>
        <w:tc>
          <w:tcPr>
            <w:tcW w:w="633" w:type="dxa"/>
            <w:vAlign w:val="center"/>
          </w:tcPr>
          <w:p w14:paraId="43A81585">
            <w:pPr>
              <w:adjustRightInd w:val="0"/>
              <w:snapToGrid w:val="0"/>
              <w:jc w:val="center"/>
              <w:rPr>
                <w:sz w:val="22"/>
                <w:szCs w:val="22"/>
              </w:rPr>
            </w:pPr>
          </w:p>
        </w:tc>
        <w:tc>
          <w:tcPr>
            <w:tcW w:w="634" w:type="dxa"/>
            <w:vAlign w:val="center"/>
          </w:tcPr>
          <w:p w14:paraId="224E6CC1">
            <w:pPr>
              <w:adjustRightInd w:val="0"/>
              <w:snapToGrid w:val="0"/>
              <w:jc w:val="center"/>
              <w:rPr>
                <w:sz w:val="22"/>
                <w:szCs w:val="22"/>
              </w:rPr>
            </w:pPr>
            <w:r>
              <w:rPr>
                <w:sz w:val="22"/>
                <w:szCs w:val="22"/>
              </w:rPr>
              <w:t>√</w:t>
            </w:r>
          </w:p>
        </w:tc>
      </w:tr>
      <w:tr w14:paraId="45A15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6" w:hRule="atLeast"/>
          <w:jc w:val="center"/>
        </w:trPr>
        <w:tc>
          <w:tcPr>
            <w:tcW w:w="738" w:type="dxa"/>
            <w:vMerge w:val="continue"/>
            <w:vAlign w:val="center"/>
          </w:tcPr>
          <w:p w14:paraId="13138009">
            <w:pPr>
              <w:adjustRightInd w:val="0"/>
              <w:snapToGrid w:val="0"/>
              <w:jc w:val="center"/>
              <w:rPr>
                <w:sz w:val="22"/>
                <w:szCs w:val="22"/>
              </w:rPr>
            </w:pPr>
          </w:p>
        </w:tc>
        <w:tc>
          <w:tcPr>
            <w:tcW w:w="736" w:type="dxa"/>
            <w:vMerge w:val="restart"/>
            <w:vAlign w:val="center"/>
          </w:tcPr>
          <w:p w14:paraId="6E23931D">
            <w:pPr>
              <w:pStyle w:val="687"/>
              <w:rPr>
                <w:szCs w:val="22"/>
              </w:rPr>
            </w:pPr>
            <w:r>
              <w:rPr>
                <w:szCs w:val="22"/>
              </w:rPr>
              <w:t>固废</w:t>
            </w:r>
          </w:p>
        </w:tc>
        <w:tc>
          <w:tcPr>
            <w:tcW w:w="2400" w:type="dxa"/>
            <w:vAlign w:val="center"/>
          </w:tcPr>
          <w:p w14:paraId="65CFA210">
            <w:pPr>
              <w:pStyle w:val="687"/>
            </w:pPr>
            <w:r>
              <w:rPr>
                <w:rFonts w:hint="eastAsia"/>
              </w:rPr>
              <w:t>废滤芯、废分子筛</w:t>
            </w:r>
          </w:p>
        </w:tc>
        <w:tc>
          <w:tcPr>
            <w:tcW w:w="2298" w:type="dxa"/>
            <w:vAlign w:val="center"/>
          </w:tcPr>
          <w:p w14:paraId="69893A9E">
            <w:pPr>
              <w:adjustRightInd w:val="0"/>
              <w:snapToGrid w:val="0"/>
              <w:jc w:val="center"/>
              <w:rPr>
                <w:sz w:val="22"/>
                <w:szCs w:val="22"/>
              </w:rPr>
            </w:pPr>
            <w:r>
              <w:rPr>
                <w:sz w:val="22"/>
                <w:szCs w:val="22"/>
              </w:rPr>
              <w:t>/</w:t>
            </w:r>
          </w:p>
        </w:tc>
        <w:tc>
          <w:tcPr>
            <w:tcW w:w="996" w:type="dxa"/>
            <w:vAlign w:val="center"/>
          </w:tcPr>
          <w:p w14:paraId="509AB470">
            <w:pPr>
              <w:jc w:val="center"/>
              <w:rPr>
                <w:sz w:val="22"/>
                <w:szCs w:val="22"/>
              </w:rPr>
            </w:pPr>
            <w:r>
              <w:rPr>
                <w:sz w:val="22"/>
                <w:szCs w:val="22"/>
              </w:rPr>
              <w:t>—</w:t>
            </w:r>
          </w:p>
        </w:tc>
        <w:tc>
          <w:tcPr>
            <w:tcW w:w="1143" w:type="dxa"/>
            <w:vAlign w:val="center"/>
          </w:tcPr>
          <w:p w14:paraId="5A08FBE3">
            <w:pPr>
              <w:adjustRightInd w:val="0"/>
              <w:snapToGrid w:val="0"/>
              <w:jc w:val="center"/>
              <w:rPr>
                <w:sz w:val="22"/>
                <w:szCs w:val="22"/>
              </w:rPr>
            </w:pPr>
          </w:p>
        </w:tc>
        <w:tc>
          <w:tcPr>
            <w:tcW w:w="857" w:type="dxa"/>
            <w:vAlign w:val="center"/>
          </w:tcPr>
          <w:p w14:paraId="25B40D15">
            <w:pPr>
              <w:adjustRightInd w:val="0"/>
              <w:snapToGrid w:val="0"/>
              <w:jc w:val="center"/>
              <w:rPr>
                <w:sz w:val="22"/>
                <w:szCs w:val="22"/>
              </w:rPr>
            </w:pPr>
          </w:p>
        </w:tc>
        <w:tc>
          <w:tcPr>
            <w:tcW w:w="858" w:type="dxa"/>
            <w:vAlign w:val="center"/>
          </w:tcPr>
          <w:p w14:paraId="07669B66">
            <w:pPr>
              <w:adjustRightInd w:val="0"/>
              <w:snapToGrid w:val="0"/>
              <w:jc w:val="center"/>
              <w:rPr>
                <w:sz w:val="22"/>
                <w:szCs w:val="22"/>
              </w:rPr>
            </w:pPr>
          </w:p>
        </w:tc>
        <w:tc>
          <w:tcPr>
            <w:tcW w:w="857" w:type="dxa"/>
            <w:vAlign w:val="center"/>
          </w:tcPr>
          <w:p w14:paraId="06645773">
            <w:pPr>
              <w:adjustRightInd w:val="0"/>
              <w:snapToGrid w:val="0"/>
              <w:jc w:val="center"/>
              <w:rPr>
                <w:sz w:val="22"/>
                <w:szCs w:val="22"/>
              </w:rPr>
            </w:pPr>
          </w:p>
        </w:tc>
        <w:tc>
          <w:tcPr>
            <w:tcW w:w="633" w:type="dxa"/>
            <w:vAlign w:val="center"/>
          </w:tcPr>
          <w:p w14:paraId="527B7D84">
            <w:pPr>
              <w:adjustRightInd w:val="0"/>
              <w:snapToGrid w:val="0"/>
              <w:jc w:val="center"/>
              <w:rPr>
                <w:sz w:val="22"/>
                <w:szCs w:val="22"/>
              </w:rPr>
            </w:pPr>
            <w:r>
              <w:rPr>
                <w:sz w:val="22"/>
                <w:szCs w:val="22"/>
              </w:rPr>
              <w:t>√</w:t>
            </w:r>
          </w:p>
        </w:tc>
        <w:tc>
          <w:tcPr>
            <w:tcW w:w="633" w:type="dxa"/>
            <w:vAlign w:val="center"/>
          </w:tcPr>
          <w:p w14:paraId="668B0745">
            <w:pPr>
              <w:adjustRightInd w:val="0"/>
              <w:snapToGrid w:val="0"/>
              <w:jc w:val="center"/>
              <w:rPr>
                <w:sz w:val="22"/>
                <w:szCs w:val="22"/>
              </w:rPr>
            </w:pPr>
          </w:p>
        </w:tc>
        <w:tc>
          <w:tcPr>
            <w:tcW w:w="633" w:type="dxa"/>
            <w:vAlign w:val="center"/>
          </w:tcPr>
          <w:p w14:paraId="7EA2C57E">
            <w:pPr>
              <w:adjustRightInd w:val="0"/>
              <w:snapToGrid w:val="0"/>
              <w:jc w:val="center"/>
              <w:rPr>
                <w:sz w:val="22"/>
                <w:szCs w:val="22"/>
              </w:rPr>
            </w:pPr>
          </w:p>
        </w:tc>
        <w:tc>
          <w:tcPr>
            <w:tcW w:w="634" w:type="dxa"/>
            <w:vAlign w:val="center"/>
          </w:tcPr>
          <w:p w14:paraId="457F7466">
            <w:pPr>
              <w:adjustRightInd w:val="0"/>
              <w:snapToGrid w:val="0"/>
              <w:jc w:val="center"/>
              <w:rPr>
                <w:sz w:val="22"/>
                <w:szCs w:val="22"/>
              </w:rPr>
            </w:pPr>
            <w:r>
              <w:rPr>
                <w:sz w:val="22"/>
                <w:szCs w:val="22"/>
              </w:rPr>
              <w:t>√</w:t>
            </w:r>
          </w:p>
        </w:tc>
      </w:tr>
      <w:tr w14:paraId="1F95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4" w:hRule="atLeast"/>
          <w:jc w:val="center"/>
        </w:trPr>
        <w:tc>
          <w:tcPr>
            <w:tcW w:w="738" w:type="dxa"/>
            <w:vMerge w:val="continue"/>
            <w:vAlign w:val="center"/>
          </w:tcPr>
          <w:p w14:paraId="6BBD83F1">
            <w:pPr>
              <w:adjustRightInd w:val="0"/>
              <w:snapToGrid w:val="0"/>
              <w:jc w:val="center"/>
              <w:rPr>
                <w:sz w:val="22"/>
                <w:szCs w:val="22"/>
              </w:rPr>
            </w:pPr>
          </w:p>
        </w:tc>
        <w:tc>
          <w:tcPr>
            <w:tcW w:w="736" w:type="dxa"/>
            <w:vMerge w:val="continue"/>
            <w:vAlign w:val="center"/>
          </w:tcPr>
          <w:p w14:paraId="607BADC8">
            <w:pPr>
              <w:pStyle w:val="687"/>
              <w:rPr>
                <w:szCs w:val="22"/>
              </w:rPr>
            </w:pPr>
          </w:p>
        </w:tc>
        <w:tc>
          <w:tcPr>
            <w:tcW w:w="2400" w:type="dxa"/>
            <w:vAlign w:val="center"/>
          </w:tcPr>
          <w:p w14:paraId="03C6CDF7">
            <w:pPr>
              <w:pStyle w:val="687"/>
            </w:pPr>
            <w:r>
              <w:rPr>
                <w:rFonts w:hint="eastAsia"/>
              </w:rPr>
              <w:t>检修废渣、储罐清掏沉渣、废油、废油桶、含</w:t>
            </w:r>
            <w:r>
              <w:t>油抹布及手套</w:t>
            </w:r>
          </w:p>
        </w:tc>
        <w:tc>
          <w:tcPr>
            <w:tcW w:w="2298" w:type="dxa"/>
            <w:vAlign w:val="center"/>
          </w:tcPr>
          <w:p w14:paraId="7CD83D51">
            <w:pPr>
              <w:adjustRightInd w:val="0"/>
              <w:snapToGrid w:val="0"/>
              <w:jc w:val="center"/>
              <w:rPr>
                <w:sz w:val="22"/>
                <w:szCs w:val="22"/>
              </w:rPr>
            </w:pPr>
            <w:r>
              <w:rPr>
                <w:rFonts w:hint="eastAsia"/>
                <w:sz w:val="22"/>
                <w:szCs w:val="22"/>
              </w:rPr>
              <w:t>油类物质</w:t>
            </w:r>
          </w:p>
        </w:tc>
        <w:tc>
          <w:tcPr>
            <w:tcW w:w="996" w:type="dxa"/>
            <w:vAlign w:val="center"/>
          </w:tcPr>
          <w:p w14:paraId="0EB53C4C">
            <w:pPr>
              <w:jc w:val="center"/>
              <w:rPr>
                <w:sz w:val="22"/>
                <w:szCs w:val="22"/>
              </w:rPr>
            </w:pPr>
            <w:r>
              <w:rPr>
                <w:sz w:val="22"/>
                <w:szCs w:val="22"/>
              </w:rPr>
              <w:t>—</w:t>
            </w:r>
          </w:p>
        </w:tc>
        <w:tc>
          <w:tcPr>
            <w:tcW w:w="1143" w:type="dxa"/>
            <w:vAlign w:val="center"/>
          </w:tcPr>
          <w:p w14:paraId="59D6EA6D">
            <w:pPr>
              <w:adjustRightInd w:val="0"/>
              <w:snapToGrid w:val="0"/>
              <w:jc w:val="center"/>
              <w:rPr>
                <w:sz w:val="22"/>
                <w:szCs w:val="22"/>
              </w:rPr>
            </w:pPr>
          </w:p>
        </w:tc>
        <w:tc>
          <w:tcPr>
            <w:tcW w:w="857" w:type="dxa"/>
            <w:vAlign w:val="center"/>
          </w:tcPr>
          <w:p w14:paraId="24EC47FE">
            <w:pPr>
              <w:adjustRightInd w:val="0"/>
              <w:snapToGrid w:val="0"/>
              <w:jc w:val="center"/>
              <w:rPr>
                <w:sz w:val="22"/>
                <w:szCs w:val="22"/>
              </w:rPr>
            </w:pPr>
          </w:p>
        </w:tc>
        <w:tc>
          <w:tcPr>
            <w:tcW w:w="858" w:type="dxa"/>
            <w:vAlign w:val="center"/>
          </w:tcPr>
          <w:p w14:paraId="1792A06F">
            <w:pPr>
              <w:adjustRightInd w:val="0"/>
              <w:snapToGrid w:val="0"/>
              <w:jc w:val="center"/>
              <w:rPr>
                <w:sz w:val="22"/>
                <w:szCs w:val="22"/>
              </w:rPr>
            </w:pPr>
          </w:p>
        </w:tc>
        <w:tc>
          <w:tcPr>
            <w:tcW w:w="857" w:type="dxa"/>
            <w:vAlign w:val="center"/>
          </w:tcPr>
          <w:p w14:paraId="6F218EE6">
            <w:pPr>
              <w:adjustRightInd w:val="0"/>
              <w:snapToGrid w:val="0"/>
              <w:jc w:val="center"/>
              <w:rPr>
                <w:sz w:val="22"/>
                <w:szCs w:val="22"/>
              </w:rPr>
            </w:pPr>
          </w:p>
        </w:tc>
        <w:tc>
          <w:tcPr>
            <w:tcW w:w="633" w:type="dxa"/>
            <w:vAlign w:val="center"/>
          </w:tcPr>
          <w:p w14:paraId="7573FFD1">
            <w:pPr>
              <w:adjustRightInd w:val="0"/>
              <w:snapToGrid w:val="0"/>
              <w:jc w:val="center"/>
              <w:rPr>
                <w:sz w:val="22"/>
                <w:szCs w:val="22"/>
              </w:rPr>
            </w:pPr>
            <w:r>
              <w:rPr>
                <w:sz w:val="22"/>
                <w:szCs w:val="22"/>
              </w:rPr>
              <w:t>√</w:t>
            </w:r>
          </w:p>
        </w:tc>
        <w:tc>
          <w:tcPr>
            <w:tcW w:w="633" w:type="dxa"/>
            <w:vAlign w:val="center"/>
          </w:tcPr>
          <w:p w14:paraId="7E29F546">
            <w:pPr>
              <w:adjustRightInd w:val="0"/>
              <w:snapToGrid w:val="0"/>
              <w:jc w:val="center"/>
              <w:rPr>
                <w:sz w:val="22"/>
                <w:szCs w:val="22"/>
              </w:rPr>
            </w:pPr>
          </w:p>
        </w:tc>
        <w:tc>
          <w:tcPr>
            <w:tcW w:w="633" w:type="dxa"/>
            <w:vAlign w:val="center"/>
          </w:tcPr>
          <w:p w14:paraId="2AB3847A">
            <w:pPr>
              <w:adjustRightInd w:val="0"/>
              <w:snapToGrid w:val="0"/>
              <w:jc w:val="center"/>
              <w:rPr>
                <w:sz w:val="22"/>
                <w:szCs w:val="22"/>
              </w:rPr>
            </w:pPr>
          </w:p>
        </w:tc>
        <w:tc>
          <w:tcPr>
            <w:tcW w:w="634" w:type="dxa"/>
            <w:vAlign w:val="center"/>
          </w:tcPr>
          <w:p w14:paraId="43EE1483">
            <w:pPr>
              <w:adjustRightInd w:val="0"/>
              <w:snapToGrid w:val="0"/>
              <w:jc w:val="center"/>
              <w:rPr>
                <w:sz w:val="22"/>
                <w:szCs w:val="22"/>
              </w:rPr>
            </w:pPr>
            <w:r>
              <w:rPr>
                <w:sz w:val="22"/>
                <w:szCs w:val="22"/>
              </w:rPr>
              <w:t>√</w:t>
            </w:r>
          </w:p>
        </w:tc>
      </w:tr>
      <w:tr w14:paraId="6F59D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4" w:hRule="atLeast"/>
          <w:jc w:val="center"/>
        </w:trPr>
        <w:tc>
          <w:tcPr>
            <w:tcW w:w="738" w:type="dxa"/>
            <w:vMerge w:val="continue"/>
            <w:vAlign w:val="center"/>
          </w:tcPr>
          <w:p w14:paraId="64903B0C">
            <w:pPr>
              <w:adjustRightInd w:val="0"/>
              <w:snapToGrid w:val="0"/>
              <w:jc w:val="center"/>
              <w:rPr>
                <w:sz w:val="22"/>
                <w:szCs w:val="22"/>
              </w:rPr>
            </w:pPr>
          </w:p>
        </w:tc>
        <w:tc>
          <w:tcPr>
            <w:tcW w:w="736" w:type="dxa"/>
            <w:vMerge w:val="continue"/>
            <w:vAlign w:val="center"/>
          </w:tcPr>
          <w:p w14:paraId="0C3634F9">
            <w:pPr>
              <w:pStyle w:val="687"/>
              <w:rPr>
                <w:szCs w:val="22"/>
              </w:rPr>
            </w:pPr>
          </w:p>
        </w:tc>
        <w:tc>
          <w:tcPr>
            <w:tcW w:w="2400" w:type="dxa"/>
            <w:vAlign w:val="center"/>
          </w:tcPr>
          <w:p w14:paraId="169AE05E">
            <w:pPr>
              <w:pStyle w:val="687"/>
            </w:pPr>
            <w:r>
              <w:t>生活垃圾</w:t>
            </w:r>
          </w:p>
        </w:tc>
        <w:tc>
          <w:tcPr>
            <w:tcW w:w="2298" w:type="dxa"/>
            <w:vAlign w:val="center"/>
          </w:tcPr>
          <w:p w14:paraId="4E9E3A8F">
            <w:pPr>
              <w:adjustRightInd w:val="0"/>
              <w:snapToGrid w:val="0"/>
              <w:jc w:val="center"/>
              <w:rPr>
                <w:sz w:val="22"/>
                <w:szCs w:val="22"/>
              </w:rPr>
            </w:pPr>
            <w:r>
              <w:rPr>
                <w:sz w:val="22"/>
                <w:szCs w:val="22"/>
              </w:rPr>
              <w:t>/</w:t>
            </w:r>
          </w:p>
        </w:tc>
        <w:tc>
          <w:tcPr>
            <w:tcW w:w="996" w:type="dxa"/>
            <w:vAlign w:val="center"/>
          </w:tcPr>
          <w:p w14:paraId="27395392">
            <w:pPr>
              <w:jc w:val="center"/>
              <w:rPr>
                <w:sz w:val="22"/>
                <w:szCs w:val="22"/>
              </w:rPr>
            </w:pPr>
            <w:r>
              <w:rPr>
                <w:sz w:val="22"/>
                <w:szCs w:val="22"/>
              </w:rPr>
              <w:t>—</w:t>
            </w:r>
          </w:p>
        </w:tc>
        <w:tc>
          <w:tcPr>
            <w:tcW w:w="1143" w:type="dxa"/>
            <w:vAlign w:val="center"/>
          </w:tcPr>
          <w:p w14:paraId="5D47D6CA">
            <w:pPr>
              <w:adjustRightInd w:val="0"/>
              <w:snapToGrid w:val="0"/>
              <w:jc w:val="center"/>
              <w:rPr>
                <w:sz w:val="22"/>
                <w:szCs w:val="22"/>
              </w:rPr>
            </w:pPr>
          </w:p>
        </w:tc>
        <w:tc>
          <w:tcPr>
            <w:tcW w:w="857" w:type="dxa"/>
            <w:vAlign w:val="center"/>
          </w:tcPr>
          <w:p w14:paraId="2807D98D">
            <w:pPr>
              <w:adjustRightInd w:val="0"/>
              <w:snapToGrid w:val="0"/>
              <w:jc w:val="center"/>
              <w:rPr>
                <w:sz w:val="22"/>
                <w:szCs w:val="22"/>
              </w:rPr>
            </w:pPr>
          </w:p>
        </w:tc>
        <w:tc>
          <w:tcPr>
            <w:tcW w:w="858" w:type="dxa"/>
            <w:vAlign w:val="center"/>
          </w:tcPr>
          <w:p w14:paraId="5031CBB7">
            <w:pPr>
              <w:adjustRightInd w:val="0"/>
              <w:snapToGrid w:val="0"/>
              <w:jc w:val="center"/>
              <w:rPr>
                <w:sz w:val="22"/>
                <w:szCs w:val="22"/>
              </w:rPr>
            </w:pPr>
          </w:p>
        </w:tc>
        <w:tc>
          <w:tcPr>
            <w:tcW w:w="857" w:type="dxa"/>
            <w:vAlign w:val="center"/>
          </w:tcPr>
          <w:p w14:paraId="21610EFD">
            <w:pPr>
              <w:adjustRightInd w:val="0"/>
              <w:snapToGrid w:val="0"/>
              <w:jc w:val="center"/>
              <w:rPr>
                <w:sz w:val="22"/>
                <w:szCs w:val="22"/>
              </w:rPr>
            </w:pPr>
          </w:p>
        </w:tc>
        <w:tc>
          <w:tcPr>
            <w:tcW w:w="633" w:type="dxa"/>
            <w:vAlign w:val="center"/>
          </w:tcPr>
          <w:p w14:paraId="2388BBC8">
            <w:pPr>
              <w:adjustRightInd w:val="0"/>
              <w:snapToGrid w:val="0"/>
              <w:jc w:val="center"/>
              <w:rPr>
                <w:sz w:val="22"/>
                <w:szCs w:val="22"/>
              </w:rPr>
            </w:pPr>
            <w:r>
              <w:rPr>
                <w:sz w:val="22"/>
                <w:szCs w:val="22"/>
              </w:rPr>
              <w:t>√</w:t>
            </w:r>
          </w:p>
        </w:tc>
        <w:tc>
          <w:tcPr>
            <w:tcW w:w="633" w:type="dxa"/>
            <w:vAlign w:val="center"/>
          </w:tcPr>
          <w:p w14:paraId="4F98A027">
            <w:pPr>
              <w:adjustRightInd w:val="0"/>
              <w:snapToGrid w:val="0"/>
              <w:jc w:val="center"/>
              <w:rPr>
                <w:sz w:val="22"/>
                <w:szCs w:val="22"/>
              </w:rPr>
            </w:pPr>
          </w:p>
        </w:tc>
        <w:tc>
          <w:tcPr>
            <w:tcW w:w="633" w:type="dxa"/>
            <w:vAlign w:val="center"/>
          </w:tcPr>
          <w:p w14:paraId="2D44D05C">
            <w:pPr>
              <w:adjustRightInd w:val="0"/>
              <w:snapToGrid w:val="0"/>
              <w:jc w:val="center"/>
              <w:rPr>
                <w:sz w:val="22"/>
                <w:szCs w:val="22"/>
              </w:rPr>
            </w:pPr>
          </w:p>
        </w:tc>
        <w:tc>
          <w:tcPr>
            <w:tcW w:w="634" w:type="dxa"/>
            <w:vAlign w:val="center"/>
          </w:tcPr>
          <w:p w14:paraId="43FA2B3E">
            <w:pPr>
              <w:adjustRightInd w:val="0"/>
              <w:snapToGrid w:val="0"/>
              <w:jc w:val="center"/>
              <w:rPr>
                <w:sz w:val="22"/>
                <w:szCs w:val="22"/>
              </w:rPr>
            </w:pPr>
            <w:r>
              <w:rPr>
                <w:sz w:val="22"/>
                <w:szCs w:val="22"/>
              </w:rPr>
              <w:t>√</w:t>
            </w:r>
          </w:p>
        </w:tc>
      </w:tr>
      <w:tr w14:paraId="46B7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588E00D3">
            <w:pPr>
              <w:adjustRightInd w:val="0"/>
              <w:snapToGrid w:val="0"/>
              <w:jc w:val="center"/>
              <w:rPr>
                <w:sz w:val="22"/>
                <w:szCs w:val="22"/>
              </w:rPr>
            </w:pPr>
          </w:p>
        </w:tc>
        <w:tc>
          <w:tcPr>
            <w:tcW w:w="736" w:type="dxa"/>
            <w:vAlign w:val="center"/>
          </w:tcPr>
          <w:p w14:paraId="5AC2921E">
            <w:pPr>
              <w:pStyle w:val="687"/>
              <w:rPr>
                <w:szCs w:val="22"/>
              </w:rPr>
            </w:pPr>
            <w:r>
              <w:rPr>
                <w:szCs w:val="22"/>
              </w:rPr>
              <w:t>噪声</w:t>
            </w:r>
          </w:p>
        </w:tc>
        <w:tc>
          <w:tcPr>
            <w:tcW w:w="2400" w:type="dxa"/>
            <w:vAlign w:val="center"/>
          </w:tcPr>
          <w:p w14:paraId="756C5F37">
            <w:pPr>
              <w:pStyle w:val="687"/>
              <w:rPr>
                <w:szCs w:val="22"/>
              </w:rPr>
            </w:pPr>
            <w:r>
              <w:rPr>
                <w:szCs w:val="22"/>
              </w:rPr>
              <w:t>站场设备噪声和非正常工况放空噪声</w:t>
            </w:r>
          </w:p>
        </w:tc>
        <w:tc>
          <w:tcPr>
            <w:tcW w:w="2298" w:type="dxa"/>
            <w:vAlign w:val="center"/>
          </w:tcPr>
          <w:p w14:paraId="598DA469">
            <w:pPr>
              <w:adjustRightInd w:val="0"/>
              <w:snapToGrid w:val="0"/>
              <w:jc w:val="center"/>
              <w:rPr>
                <w:sz w:val="22"/>
                <w:szCs w:val="22"/>
              </w:rPr>
            </w:pPr>
            <w:r>
              <w:rPr>
                <w:sz w:val="22"/>
                <w:szCs w:val="22"/>
              </w:rPr>
              <w:t>/</w:t>
            </w:r>
          </w:p>
        </w:tc>
        <w:tc>
          <w:tcPr>
            <w:tcW w:w="996" w:type="dxa"/>
            <w:vAlign w:val="center"/>
          </w:tcPr>
          <w:p w14:paraId="29E92B7C">
            <w:pPr>
              <w:jc w:val="center"/>
              <w:rPr>
                <w:sz w:val="22"/>
                <w:szCs w:val="22"/>
              </w:rPr>
            </w:pPr>
            <w:r>
              <w:rPr>
                <w:sz w:val="22"/>
                <w:szCs w:val="22"/>
              </w:rPr>
              <w:t>—</w:t>
            </w:r>
          </w:p>
        </w:tc>
        <w:tc>
          <w:tcPr>
            <w:tcW w:w="1143" w:type="dxa"/>
            <w:vAlign w:val="center"/>
          </w:tcPr>
          <w:p w14:paraId="7135F7A1">
            <w:pPr>
              <w:adjustRightInd w:val="0"/>
              <w:snapToGrid w:val="0"/>
              <w:jc w:val="center"/>
              <w:rPr>
                <w:sz w:val="22"/>
                <w:szCs w:val="22"/>
              </w:rPr>
            </w:pPr>
          </w:p>
        </w:tc>
        <w:tc>
          <w:tcPr>
            <w:tcW w:w="857" w:type="dxa"/>
            <w:vAlign w:val="center"/>
          </w:tcPr>
          <w:p w14:paraId="3E69D58C">
            <w:pPr>
              <w:adjustRightInd w:val="0"/>
              <w:snapToGrid w:val="0"/>
              <w:jc w:val="center"/>
              <w:rPr>
                <w:sz w:val="22"/>
                <w:szCs w:val="22"/>
              </w:rPr>
            </w:pPr>
          </w:p>
        </w:tc>
        <w:tc>
          <w:tcPr>
            <w:tcW w:w="858" w:type="dxa"/>
            <w:vAlign w:val="center"/>
          </w:tcPr>
          <w:p w14:paraId="7D3231A6">
            <w:pPr>
              <w:adjustRightInd w:val="0"/>
              <w:snapToGrid w:val="0"/>
              <w:jc w:val="center"/>
              <w:rPr>
                <w:sz w:val="22"/>
                <w:szCs w:val="22"/>
              </w:rPr>
            </w:pPr>
          </w:p>
        </w:tc>
        <w:tc>
          <w:tcPr>
            <w:tcW w:w="857" w:type="dxa"/>
            <w:vAlign w:val="center"/>
          </w:tcPr>
          <w:p w14:paraId="09A7ACB0">
            <w:pPr>
              <w:adjustRightInd w:val="0"/>
              <w:snapToGrid w:val="0"/>
              <w:jc w:val="center"/>
              <w:rPr>
                <w:sz w:val="22"/>
                <w:szCs w:val="22"/>
              </w:rPr>
            </w:pPr>
            <w:r>
              <w:rPr>
                <w:sz w:val="22"/>
                <w:szCs w:val="22"/>
              </w:rPr>
              <w:t>√</w:t>
            </w:r>
          </w:p>
        </w:tc>
        <w:tc>
          <w:tcPr>
            <w:tcW w:w="633" w:type="dxa"/>
            <w:vAlign w:val="center"/>
          </w:tcPr>
          <w:p w14:paraId="00988753">
            <w:pPr>
              <w:adjustRightInd w:val="0"/>
              <w:snapToGrid w:val="0"/>
              <w:jc w:val="center"/>
              <w:rPr>
                <w:sz w:val="22"/>
                <w:szCs w:val="22"/>
              </w:rPr>
            </w:pPr>
          </w:p>
        </w:tc>
        <w:tc>
          <w:tcPr>
            <w:tcW w:w="633" w:type="dxa"/>
            <w:vAlign w:val="center"/>
          </w:tcPr>
          <w:p w14:paraId="768C3525">
            <w:pPr>
              <w:adjustRightInd w:val="0"/>
              <w:snapToGrid w:val="0"/>
              <w:jc w:val="center"/>
              <w:rPr>
                <w:sz w:val="22"/>
                <w:szCs w:val="22"/>
              </w:rPr>
            </w:pPr>
          </w:p>
        </w:tc>
        <w:tc>
          <w:tcPr>
            <w:tcW w:w="633" w:type="dxa"/>
            <w:vAlign w:val="center"/>
          </w:tcPr>
          <w:p w14:paraId="7BDFBCE8">
            <w:pPr>
              <w:adjustRightInd w:val="0"/>
              <w:snapToGrid w:val="0"/>
              <w:jc w:val="center"/>
              <w:rPr>
                <w:sz w:val="22"/>
                <w:szCs w:val="22"/>
              </w:rPr>
            </w:pPr>
          </w:p>
        </w:tc>
        <w:tc>
          <w:tcPr>
            <w:tcW w:w="634" w:type="dxa"/>
            <w:vAlign w:val="center"/>
          </w:tcPr>
          <w:p w14:paraId="515F0E63">
            <w:pPr>
              <w:adjustRightInd w:val="0"/>
              <w:snapToGrid w:val="0"/>
              <w:jc w:val="center"/>
              <w:rPr>
                <w:sz w:val="22"/>
                <w:szCs w:val="22"/>
              </w:rPr>
            </w:pPr>
          </w:p>
        </w:tc>
      </w:tr>
      <w:tr w14:paraId="0B1D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1177552B">
            <w:pPr>
              <w:adjustRightInd w:val="0"/>
              <w:snapToGrid w:val="0"/>
              <w:jc w:val="center"/>
              <w:rPr>
                <w:sz w:val="22"/>
                <w:szCs w:val="22"/>
              </w:rPr>
            </w:pPr>
          </w:p>
        </w:tc>
        <w:tc>
          <w:tcPr>
            <w:tcW w:w="736" w:type="dxa"/>
            <w:vMerge w:val="restart"/>
            <w:vAlign w:val="center"/>
          </w:tcPr>
          <w:p w14:paraId="2A0B123D">
            <w:pPr>
              <w:pStyle w:val="687"/>
              <w:rPr>
                <w:szCs w:val="22"/>
              </w:rPr>
            </w:pPr>
            <w:r>
              <w:rPr>
                <w:szCs w:val="22"/>
              </w:rPr>
              <w:t>环境风险</w:t>
            </w:r>
          </w:p>
        </w:tc>
        <w:tc>
          <w:tcPr>
            <w:tcW w:w="2400" w:type="dxa"/>
            <w:vAlign w:val="center"/>
          </w:tcPr>
          <w:p w14:paraId="05C769CF">
            <w:pPr>
              <w:pStyle w:val="687"/>
              <w:rPr>
                <w:szCs w:val="22"/>
              </w:rPr>
            </w:pPr>
            <w:r>
              <w:rPr>
                <w:szCs w:val="22"/>
              </w:rPr>
              <w:t>管道、设备破损天然气泄漏</w:t>
            </w:r>
          </w:p>
        </w:tc>
        <w:tc>
          <w:tcPr>
            <w:tcW w:w="2298" w:type="dxa"/>
            <w:vAlign w:val="center"/>
          </w:tcPr>
          <w:p w14:paraId="4E32CDCA">
            <w:pPr>
              <w:adjustRightInd w:val="0"/>
              <w:snapToGrid w:val="0"/>
              <w:jc w:val="center"/>
              <w:rPr>
                <w:sz w:val="22"/>
                <w:szCs w:val="22"/>
              </w:rPr>
            </w:pPr>
            <w:r>
              <w:rPr>
                <w:rFonts w:hint="eastAsia"/>
                <w:sz w:val="22"/>
                <w:szCs w:val="22"/>
              </w:rPr>
              <w:t>C</w:t>
            </w:r>
            <w:r>
              <w:rPr>
                <w:sz w:val="22"/>
                <w:szCs w:val="22"/>
              </w:rPr>
              <w:t>H</w:t>
            </w:r>
            <w:r>
              <w:rPr>
                <w:sz w:val="22"/>
                <w:szCs w:val="22"/>
                <w:vertAlign w:val="subscript"/>
              </w:rPr>
              <w:t>4</w:t>
            </w:r>
          </w:p>
        </w:tc>
        <w:tc>
          <w:tcPr>
            <w:tcW w:w="996" w:type="dxa"/>
            <w:vAlign w:val="center"/>
          </w:tcPr>
          <w:p w14:paraId="0E0DA2F1">
            <w:pPr>
              <w:jc w:val="center"/>
              <w:rPr>
                <w:sz w:val="22"/>
                <w:szCs w:val="22"/>
              </w:rPr>
            </w:pPr>
            <w:r>
              <w:rPr>
                <w:sz w:val="22"/>
                <w:szCs w:val="22"/>
              </w:rPr>
              <w:t>——</w:t>
            </w:r>
          </w:p>
        </w:tc>
        <w:tc>
          <w:tcPr>
            <w:tcW w:w="1143" w:type="dxa"/>
            <w:vAlign w:val="center"/>
          </w:tcPr>
          <w:p w14:paraId="3C30A1E3">
            <w:pPr>
              <w:adjustRightInd w:val="0"/>
              <w:snapToGrid w:val="0"/>
              <w:jc w:val="center"/>
              <w:rPr>
                <w:sz w:val="22"/>
                <w:szCs w:val="22"/>
              </w:rPr>
            </w:pPr>
            <w:r>
              <w:rPr>
                <w:sz w:val="22"/>
                <w:szCs w:val="22"/>
              </w:rPr>
              <w:t>√</w:t>
            </w:r>
          </w:p>
        </w:tc>
        <w:tc>
          <w:tcPr>
            <w:tcW w:w="857" w:type="dxa"/>
            <w:vAlign w:val="center"/>
          </w:tcPr>
          <w:p w14:paraId="30BF4CFE">
            <w:pPr>
              <w:adjustRightInd w:val="0"/>
              <w:snapToGrid w:val="0"/>
              <w:jc w:val="center"/>
              <w:rPr>
                <w:sz w:val="22"/>
                <w:szCs w:val="22"/>
              </w:rPr>
            </w:pPr>
          </w:p>
        </w:tc>
        <w:tc>
          <w:tcPr>
            <w:tcW w:w="858" w:type="dxa"/>
            <w:vAlign w:val="center"/>
          </w:tcPr>
          <w:p w14:paraId="35F989B6">
            <w:pPr>
              <w:adjustRightInd w:val="0"/>
              <w:snapToGrid w:val="0"/>
              <w:jc w:val="center"/>
              <w:rPr>
                <w:sz w:val="22"/>
                <w:szCs w:val="22"/>
              </w:rPr>
            </w:pPr>
          </w:p>
        </w:tc>
        <w:tc>
          <w:tcPr>
            <w:tcW w:w="857" w:type="dxa"/>
            <w:vAlign w:val="center"/>
          </w:tcPr>
          <w:p w14:paraId="4124D200">
            <w:pPr>
              <w:adjustRightInd w:val="0"/>
              <w:snapToGrid w:val="0"/>
              <w:jc w:val="center"/>
              <w:rPr>
                <w:sz w:val="22"/>
                <w:szCs w:val="22"/>
              </w:rPr>
            </w:pPr>
          </w:p>
        </w:tc>
        <w:tc>
          <w:tcPr>
            <w:tcW w:w="633" w:type="dxa"/>
            <w:vAlign w:val="center"/>
          </w:tcPr>
          <w:p w14:paraId="3C991D65">
            <w:pPr>
              <w:adjustRightInd w:val="0"/>
              <w:snapToGrid w:val="0"/>
              <w:jc w:val="center"/>
              <w:rPr>
                <w:sz w:val="22"/>
                <w:szCs w:val="22"/>
              </w:rPr>
            </w:pPr>
          </w:p>
        </w:tc>
        <w:tc>
          <w:tcPr>
            <w:tcW w:w="633" w:type="dxa"/>
            <w:vAlign w:val="center"/>
          </w:tcPr>
          <w:p w14:paraId="59098BE6">
            <w:pPr>
              <w:adjustRightInd w:val="0"/>
              <w:snapToGrid w:val="0"/>
              <w:jc w:val="center"/>
              <w:rPr>
                <w:sz w:val="22"/>
                <w:szCs w:val="22"/>
              </w:rPr>
            </w:pPr>
          </w:p>
        </w:tc>
        <w:tc>
          <w:tcPr>
            <w:tcW w:w="633" w:type="dxa"/>
            <w:vAlign w:val="center"/>
          </w:tcPr>
          <w:p w14:paraId="5E48D915">
            <w:pPr>
              <w:adjustRightInd w:val="0"/>
              <w:snapToGrid w:val="0"/>
              <w:jc w:val="center"/>
              <w:rPr>
                <w:sz w:val="22"/>
                <w:szCs w:val="22"/>
              </w:rPr>
            </w:pPr>
          </w:p>
        </w:tc>
        <w:tc>
          <w:tcPr>
            <w:tcW w:w="634" w:type="dxa"/>
            <w:vAlign w:val="center"/>
          </w:tcPr>
          <w:p w14:paraId="2BBCF55D">
            <w:pPr>
              <w:adjustRightInd w:val="0"/>
              <w:snapToGrid w:val="0"/>
              <w:jc w:val="center"/>
              <w:rPr>
                <w:sz w:val="22"/>
                <w:szCs w:val="22"/>
              </w:rPr>
            </w:pPr>
          </w:p>
        </w:tc>
      </w:tr>
      <w:tr w14:paraId="7FE2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0E3B8D19">
            <w:pPr>
              <w:adjustRightInd w:val="0"/>
              <w:snapToGrid w:val="0"/>
              <w:jc w:val="center"/>
              <w:rPr>
                <w:sz w:val="22"/>
                <w:szCs w:val="22"/>
              </w:rPr>
            </w:pPr>
          </w:p>
        </w:tc>
        <w:tc>
          <w:tcPr>
            <w:tcW w:w="736" w:type="dxa"/>
            <w:vMerge w:val="continue"/>
            <w:vAlign w:val="center"/>
          </w:tcPr>
          <w:p w14:paraId="1DA0AAF6">
            <w:pPr>
              <w:pStyle w:val="687"/>
              <w:rPr>
                <w:szCs w:val="22"/>
              </w:rPr>
            </w:pPr>
          </w:p>
        </w:tc>
        <w:tc>
          <w:tcPr>
            <w:tcW w:w="2400" w:type="dxa"/>
            <w:vAlign w:val="center"/>
          </w:tcPr>
          <w:p w14:paraId="37CB5FA8">
            <w:pPr>
              <w:pStyle w:val="687"/>
              <w:rPr>
                <w:szCs w:val="22"/>
              </w:rPr>
            </w:pPr>
            <w:r>
              <w:rPr>
                <w:szCs w:val="22"/>
              </w:rPr>
              <w:t>管道、设备天然气泄漏火灾</w:t>
            </w:r>
          </w:p>
        </w:tc>
        <w:tc>
          <w:tcPr>
            <w:tcW w:w="2298" w:type="dxa"/>
            <w:vAlign w:val="center"/>
          </w:tcPr>
          <w:p w14:paraId="10218407">
            <w:pPr>
              <w:adjustRightInd w:val="0"/>
              <w:snapToGrid w:val="0"/>
              <w:jc w:val="center"/>
              <w:rPr>
                <w:sz w:val="22"/>
                <w:szCs w:val="22"/>
              </w:rPr>
            </w:pPr>
            <w:r>
              <w:rPr>
                <w:sz w:val="22"/>
                <w:szCs w:val="22"/>
              </w:rPr>
              <w:t>CO</w:t>
            </w:r>
          </w:p>
        </w:tc>
        <w:tc>
          <w:tcPr>
            <w:tcW w:w="996" w:type="dxa"/>
            <w:vAlign w:val="center"/>
          </w:tcPr>
          <w:p w14:paraId="70D2CBC5">
            <w:pPr>
              <w:jc w:val="center"/>
              <w:rPr>
                <w:sz w:val="22"/>
                <w:szCs w:val="22"/>
              </w:rPr>
            </w:pPr>
            <w:r>
              <w:rPr>
                <w:sz w:val="22"/>
                <w:szCs w:val="22"/>
              </w:rPr>
              <w:t>——</w:t>
            </w:r>
          </w:p>
        </w:tc>
        <w:tc>
          <w:tcPr>
            <w:tcW w:w="1143" w:type="dxa"/>
            <w:vAlign w:val="center"/>
          </w:tcPr>
          <w:p w14:paraId="61E02C7D">
            <w:pPr>
              <w:adjustRightInd w:val="0"/>
              <w:snapToGrid w:val="0"/>
              <w:jc w:val="center"/>
              <w:rPr>
                <w:sz w:val="22"/>
                <w:szCs w:val="22"/>
              </w:rPr>
            </w:pPr>
            <w:r>
              <w:rPr>
                <w:sz w:val="22"/>
                <w:szCs w:val="22"/>
              </w:rPr>
              <w:t>√</w:t>
            </w:r>
          </w:p>
        </w:tc>
        <w:tc>
          <w:tcPr>
            <w:tcW w:w="857" w:type="dxa"/>
            <w:vAlign w:val="center"/>
          </w:tcPr>
          <w:p w14:paraId="7017B536">
            <w:pPr>
              <w:adjustRightInd w:val="0"/>
              <w:snapToGrid w:val="0"/>
              <w:jc w:val="center"/>
              <w:rPr>
                <w:sz w:val="22"/>
                <w:szCs w:val="22"/>
              </w:rPr>
            </w:pPr>
          </w:p>
        </w:tc>
        <w:tc>
          <w:tcPr>
            <w:tcW w:w="858" w:type="dxa"/>
            <w:vAlign w:val="center"/>
          </w:tcPr>
          <w:p w14:paraId="588FD7D8">
            <w:pPr>
              <w:adjustRightInd w:val="0"/>
              <w:snapToGrid w:val="0"/>
              <w:jc w:val="center"/>
              <w:rPr>
                <w:sz w:val="22"/>
                <w:szCs w:val="22"/>
              </w:rPr>
            </w:pPr>
          </w:p>
        </w:tc>
        <w:tc>
          <w:tcPr>
            <w:tcW w:w="857" w:type="dxa"/>
            <w:vAlign w:val="center"/>
          </w:tcPr>
          <w:p w14:paraId="215863CB">
            <w:pPr>
              <w:adjustRightInd w:val="0"/>
              <w:snapToGrid w:val="0"/>
              <w:jc w:val="center"/>
              <w:rPr>
                <w:sz w:val="22"/>
                <w:szCs w:val="22"/>
              </w:rPr>
            </w:pPr>
          </w:p>
        </w:tc>
        <w:tc>
          <w:tcPr>
            <w:tcW w:w="633" w:type="dxa"/>
            <w:vAlign w:val="center"/>
          </w:tcPr>
          <w:p w14:paraId="56F932EB">
            <w:pPr>
              <w:adjustRightInd w:val="0"/>
              <w:snapToGrid w:val="0"/>
              <w:jc w:val="center"/>
              <w:rPr>
                <w:sz w:val="22"/>
                <w:szCs w:val="22"/>
              </w:rPr>
            </w:pPr>
            <w:r>
              <w:rPr>
                <w:sz w:val="22"/>
                <w:szCs w:val="22"/>
              </w:rPr>
              <w:t>√</w:t>
            </w:r>
          </w:p>
        </w:tc>
        <w:tc>
          <w:tcPr>
            <w:tcW w:w="633" w:type="dxa"/>
            <w:vAlign w:val="center"/>
          </w:tcPr>
          <w:p w14:paraId="312348D9">
            <w:pPr>
              <w:adjustRightInd w:val="0"/>
              <w:snapToGrid w:val="0"/>
              <w:jc w:val="center"/>
              <w:rPr>
                <w:sz w:val="22"/>
                <w:szCs w:val="22"/>
              </w:rPr>
            </w:pPr>
          </w:p>
        </w:tc>
        <w:tc>
          <w:tcPr>
            <w:tcW w:w="633" w:type="dxa"/>
            <w:vAlign w:val="center"/>
          </w:tcPr>
          <w:p w14:paraId="31AE80C1">
            <w:pPr>
              <w:adjustRightInd w:val="0"/>
              <w:snapToGrid w:val="0"/>
              <w:jc w:val="center"/>
              <w:rPr>
                <w:sz w:val="22"/>
                <w:szCs w:val="22"/>
              </w:rPr>
            </w:pPr>
            <w:r>
              <w:rPr>
                <w:sz w:val="22"/>
                <w:szCs w:val="22"/>
              </w:rPr>
              <w:t>√</w:t>
            </w:r>
          </w:p>
        </w:tc>
        <w:tc>
          <w:tcPr>
            <w:tcW w:w="634" w:type="dxa"/>
            <w:vAlign w:val="center"/>
          </w:tcPr>
          <w:p w14:paraId="0E8E3060">
            <w:pPr>
              <w:adjustRightInd w:val="0"/>
              <w:snapToGrid w:val="0"/>
              <w:jc w:val="center"/>
              <w:rPr>
                <w:sz w:val="22"/>
                <w:szCs w:val="22"/>
              </w:rPr>
            </w:pPr>
          </w:p>
        </w:tc>
      </w:tr>
      <w:tr w14:paraId="566F9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33037CF1">
            <w:pPr>
              <w:adjustRightInd w:val="0"/>
              <w:snapToGrid w:val="0"/>
              <w:jc w:val="center"/>
              <w:rPr>
                <w:sz w:val="22"/>
                <w:szCs w:val="22"/>
              </w:rPr>
            </w:pPr>
          </w:p>
        </w:tc>
        <w:tc>
          <w:tcPr>
            <w:tcW w:w="736" w:type="dxa"/>
            <w:vMerge w:val="continue"/>
            <w:vAlign w:val="center"/>
          </w:tcPr>
          <w:p w14:paraId="27DCFF0C">
            <w:pPr>
              <w:adjustRightInd w:val="0"/>
              <w:snapToGrid w:val="0"/>
              <w:jc w:val="center"/>
              <w:rPr>
                <w:sz w:val="22"/>
                <w:szCs w:val="22"/>
              </w:rPr>
            </w:pPr>
          </w:p>
        </w:tc>
        <w:tc>
          <w:tcPr>
            <w:tcW w:w="2400" w:type="dxa"/>
            <w:vAlign w:val="center"/>
          </w:tcPr>
          <w:p w14:paraId="64312C80">
            <w:pPr>
              <w:adjustRightInd w:val="0"/>
              <w:snapToGrid w:val="0"/>
              <w:jc w:val="center"/>
              <w:rPr>
                <w:sz w:val="22"/>
                <w:szCs w:val="22"/>
              </w:rPr>
            </w:pPr>
            <w:r>
              <w:rPr>
                <w:rFonts w:hint="eastAsia"/>
                <w:sz w:val="22"/>
                <w:szCs w:val="22"/>
              </w:rPr>
              <w:t>凝析油/气田水储罐</w:t>
            </w:r>
            <w:r>
              <w:rPr>
                <w:sz w:val="22"/>
                <w:szCs w:val="22"/>
              </w:rPr>
              <w:t>泄漏</w:t>
            </w:r>
          </w:p>
        </w:tc>
        <w:tc>
          <w:tcPr>
            <w:tcW w:w="2298" w:type="dxa"/>
            <w:vAlign w:val="center"/>
          </w:tcPr>
          <w:p w14:paraId="4D850CBB">
            <w:pPr>
              <w:adjustRightInd w:val="0"/>
              <w:snapToGrid w:val="0"/>
              <w:jc w:val="center"/>
              <w:rPr>
                <w:sz w:val="22"/>
                <w:szCs w:val="22"/>
              </w:rPr>
            </w:pPr>
            <w:r>
              <w:rPr>
                <w:sz w:val="22"/>
                <w:szCs w:val="22"/>
              </w:rPr>
              <w:t>COD、石油类、氯化物</w:t>
            </w:r>
            <w:r>
              <w:rPr>
                <w:rFonts w:hint="eastAsia"/>
                <w:sz w:val="22"/>
                <w:szCs w:val="22"/>
              </w:rPr>
              <w:t>、钡</w:t>
            </w:r>
          </w:p>
        </w:tc>
        <w:tc>
          <w:tcPr>
            <w:tcW w:w="996" w:type="dxa"/>
            <w:vAlign w:val="center"/>
          </w:tcPr>
          <w:p w14:paraId="044640CC">
            <w:pPr>
              <w:jc w:val="center"/>
              <w:rPr>
                <w:sz w:val="22"/>
                <w:szCs w:val="22"/>
              </w:rPr>
            </w:pPr>
            <w:r>
              <w:rPr>
                <w:sz w:val="22"/>
                <w:szCs w:val="22"/>
              </w:rPr>
              <w:t>——</w:t>
            </w:r>
          </w:p>
        </w:tc>
        <w:tc>
          <w:tcPr>
            <w:tcW w:w="1143" w:type="dxa"/>
            <w:vAlign w:val="center"/>
          </w:tcPr>
          <w:p w14:paraId="163083F1">
            <w:pPr>
              <w:adjustRightInd w:val="0"/>
              <w:snapToGrid w:val="0"/>
              <w:jc w:val="center"/>
              <w:rPr>
                <w:sz w:val="22"/>
                <w:szCs w:val="22"/>
              </w:rPr>
            </w:pPr>
          </w:p>
        </w:tc>
        <w:tc>
          <w:tcPr>
            <w:tcW w:w="857" w:type="dxa"/>
            <w:vAlign w:val="center"/>
          </w:tcPr>
          <w:p w14:paraId="5E426002">
            <w:pPr>
              <w:adjustRightInd w:val="0"/>
              <w:snapToGrid w:val="0"/>
              <w:jc w:val="center"/>
              <w:rPr>
                <w:sz w:val="22"/>
                <w:szCs w:val="22"/>
              </w:rPr>
            </w:pPr>
          </w:p>
        </w:tc>
        <w:tc>
          <w:tcPr>
            <w:tcW w:w="858" w:type="dxa"/>
            <w:vAlign w:val="center"/>
          </w:tcPr>
          <w:p w14:paraId="336A140E">
            <w:pPr>
              <w:adjustRightInd w:val="0"/>
              <w:snapToGrid w:val="0"/>
              <w:jc w:val="center"/>
              <w:rPr>
                <w:sz w:val="22"/>
                <w:szCs w:val="22"/>
              </w:rPr>
            </w:pPr>
            <w:r>
              <w:rPr>
                <w:sz w:val="22"/>
                <w:szCs w:val="22"/>
              </w:rPr>
              <w:t>√</w:t>
            </w:r>
          </w:p>
        </w:tc>
        <w:tc>
          <w:tcPr>
            <w:tcW w:w="857" w:type="dxa"/>
            <w:vAlign w:val="center"/>
          </w:tcPr>
          <w:p w14:paraId="07902313">
            <w:pPr>
              <w:adjustRightInd w:val="0"/>
              <w:snapToGrid w:val="0"/>
              <w:jc w:val="center"/>
              <w:rPr>
                <w:sz w:val="22"/>
                <w:szCs w:val="22"/>
              </w:rPr>
            </w:pPr>
          </w:p>
        </w:tc>
        <w:tc>
          <w:tcPr>
            <w:tcW w:w="633" w:type="dxa"/>
            <w:vAlign w:val="center"/>
          </w:tcPr>
          <w:p w14:paraId="3F9E360B">
            <w:pPr>
              <w:adjustRightInd w:val="0"/>
              <w:snapToGrid w:val="0"/>
              <w:jc w:val="center"/>
              <w:rPr>
                <w:sz w:val="22"/>
                <w:szCs w:val="22"/>
              </w:rPr>
            </w:pPr>
          </w:p>
        </w:tc>
        <w:tc>
          <w:tcPr>
            <w:tcW w:w="633" w:type="dxa"/>
            <w:vAlign w:val="center"/>
          </w:tcPr>
          <w:p w14:paraId="338C08EE">
            <w:pPr>
              <w:adjustRightInd w:val="0"/>
              <w:snapToGrid w:val="0"/>
              <w:jc w:val="center"/>
              <w:rPr>
                <w:sz w:val="22"/>
                <w:szCs w:val="22"/>
              </w:rPr>
            </w:pPr>
          </w:p>
        </w:tc>
        <w:tc>
          <w:tcPr>
            <w:tcW w:w="633" w:type="dxa"/>
            <w:vAlign w:val="center"/>
          </w:tcPr>
          <w:p w14:paraId="1E3F7080">
            <w:pPr>
              <w:adjustRightInd w:val="0"/>
              <w:snapToGrid w:val="0"/>
              <w:jc w:val="center"/>
              <w:rPr>
                <w:sz w:val="22"/>
                <w:szCs w:val="22"/>
              </w:rPr>
            </w:pPr>
          </w:p>
        </w:tc>
        <w:tc>
          <w:tcPr>
            <w:tcW w:w="634" w:type="dxa"/>
            <w:vAlign w:val="center"/>
          </w:tcPr>
          <w:p w14:paraId="02CB9068">
            <w:pPr>
              <w:adjustRightInd w:val="0"/>
              <w:snapToGrid w:val="0"/>
              <w:jc w:val="center"/>
              <w:rPr>
                <w:sz w:val="22"/>
                <w:szCs w:val="22"/>
              </w:rPr>
            </w:pPr>
            <w:r>
              <w:rPr>
                <w:sz w:val="22"/>
                <w:szCs w:val="22"/>
              </w:rPr>
              <w:t>√</w:t>
            </w:r>
          </w:p>
        </w:tc>
      </w:tr>
      <w:tr w14:paraId="6498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restart"/>
            <w:vAlign w:val="center"/>
          </w:tcPr>
          <w:p w14:paraId="122F0C77">
            <w:pPr>
              <w:adjustRightInd w:val="0"/>
              <w:snapToGrid w:val="0"/>
              <w:jc w:val="center"/>
              <w:rPr>
                <w:sz w:val="22"/>
                <w:szCs w:val="22"/>
              </w:rPr>
            </w:pPr>
            <w:r>
              <w:rPr>
                <w:rFonts w:hint="eastAsia"/>
                <w:sz w:val="22"/>
                <w:szCs w:val="22"/>
              </w:rPr>
              <w:t>退</w:t>
            </w:r>
          </w:p>
          <w:p w14:paraId="31FDE83B">
            <w:pPr>
              <w:adjustRightInd w:val="0"/>
              <w:snapToGrid w:val="0"/>
              <w:jc w:val="center"/>
              <w:rPr>
                <w:sz w:val="22"/>
                <w:szCs w:val="22"/>
              </w:rPr>
            </w:pPr>
            <w:r>
              <w:rPr>
                <w:rFonts w:hint="eastAsia"/>
                <w:sz w:val="22"/>
                <w:szCs w:val="22"/>
              </w:rPr>
              <w:t>役</w:t>
            </w:r>
          </w:p>
          <w:p w14:paraId="74C2DF58">
            <w:pPr>
              <w:adjustRightInd w:val="0"/>
              <w:snapToGrid w:val="0"/>
              <w:jc w:val="center"/>
              <w:rPr>
                <w:sz w:val="22"/>
                <w:szCs w:val="22"/>
              </w:rPr>
            </w:pPr>
            <w:r>
              <w:rPr>
                <w:rFonts w:hint="eastAsia"/>
                <w:sz w:val="22"/>
                <w:szCs w:val="22"/>
              </w:rPr>
              <w:t>期</w:t>
            </w:r>
          </w:p>
        </w:tc>
        <w:tc>
          <w:tcPr>
            <w:tcW w:w="736" w:type="dxa"/>
            <w:vAlign w:val="center"/>
          </w:tcPr>
          <w:p w14:paraId="72FF30D8">
            <w:pPr>
              <w:pStyle w:val="687"/>
              <w:rPr>
                <w:szCs w:val="22"/>
              </w:rPr>
            </w:pPr>
            <w:r>
              <w:rPr>
                <w:rFonts w:hint="eastAsia"/>
                <w:szCs w:val="22"/>
              </w:rPr>
              <w:t>废气</w:t>
            </w:r>
          </w:p>
        </w:tc>
        <w:tc>
          <w:tcPr>
            <w:tcW w:w="2400" w:type="dxa"/>
            <w:vAlign w:val="center"/>
          </w:tcPr>
          <w:p w14:paraId="4301D4AA">
            <w:pPr>
              <w:pStyle w:val="687"/>
              <w:rPr>
                <w:szCs w:val="22"/>
              </w:rPr>
            </w:pPr>
            <w:r>
              <w:rPr>
                <w:rFonts w:hint="eastAsia"/>
                <w:szCs w:val="22"/>
              </w:rPr>
              <w:t>施工扬尘、道路扬尘</w:t>
            </w:r>
          </w:p>
        </w:tc>
        <w:tc>
          <w:tcPr>
            <w:tcW w:w="2298" w:type="dxa"/>
            <w:vAlign w:val="center"/>
          </w:tcPr>
          <w:p w14:paraId="384863E3">
            <w:pPr>
              <w:pStyle w:val="687"/>
              <w:rPr>
                <w:szCs w:val="22"/>
              </w:rPr>
            </w:pPr>
            <w:r>
              <w:rPr>
                <w:rFonts w:hint="eastAsia"/>
                <w:szCs w:val="22"/>
              </w:rPr>
              <w:t>TSP等</w:t>
            </w:r>
          </w:p>
        </w:tc>
        <w:tc>
          <w:tcPr>
            <w:tcW w:w="996" w:type="dxa"/>
            <w:vAlign w:val="center"/>
          </w:tcPr>
          <w:p w14:paraId="4C2CC50B">
            <w:pPr>
              <w:jc w:val="center"/>
              <w:rPr>
                <w:sz w:val="22"/>
                <w:szCs w:val="22"/>
              </w:rPr>
            </w:pPr>
            <w:r>
              <w:rPr>
                <w:sz w:val="22"/>
                <w:szCs w:val="22"/>
              </w:rPr>
              <w:t>—</w:t>
            </w:r>
          </w:p>
        </w:tc>
        <w:tc>
          <w:tcPr>
            <w:tcW w:w="1143" w:type="dxa"/>
            <w:vAlign w:val="center"/>
          </w:tcPr>
          <w:p w14:paraId="6C901F12">
            <w:pPr>
              <w:adjustRightInd w:val="0"/>
              <w:snapToGrid w:val="0"/>
              <w:jc w:val="center"/>
              <w:rPr>
                <w:sz w:val="22"/>
                <w:szCs w:val="22"/>
              </w:rPr>
            </w:pPr>
            <w:r>
              <w:rPr>
                <w:sz w:val="22"/>
                <w:szCs w:val="22"/>
              </w:rPr>
              <w:t>√</w:t>
            </w:r>
          </w:p>
        </w:tc>
        <w:tc>
          <w:tcPr>
            <w:tcW w:w="857" w:type="dxa"/>
            <w:vAlign w:val="center"/>
          </w:tcPr>
          <w:p w14:paraId="7004DAD7">
            <w:pPr>
              <w:adjustRightInd w:val="0"/>
              <w:snapToGrid w:val="0"/>
              <w:jc w:val="center"/>
              <w:rPr>
                <w:sz w:val="22"/>
                <w:szCs w:val="22"/>
              </w:rPr>
            </w:pPr>
          </w:p>
        </w:tc>
        <w:tc>
          <w:tcPr>
            <w:tcW w:w="858" w:type="dxa"/>
            <w:vAlign w:val="center"/>
          </w:tcPr>
          <w:p w14:paraId="054C5A21">
            <w:pPr>
              <w:adjustRightInd w:val="0"/>
              <w:snapToGrid w:val="0"/>
              <w:jc w:val="center"/>
              <w:rPr>
                <w:sz w:val="22"/>
                <w:szCs w:val="22"/>
              </w:rPr>
            </w:pPr>
          </w:p>
        </w:tc>
        <w:tc>
          <w:tcPr>
            <w:tcW w:w="857" w:type="dxa"/>
            <w:vAlign w:val="center"/>
          </w:tcPr>
          <w:p w14:paraId="5D2A4661">
            <w:pPr>
              <w:adjustRightInd w:val="0"/>
              <w:snapToGrid w:val="0"/>
              <w:jc w:val="center"/>
              <w:rPr>
                <w:sz w:val="22"/>
                <w:szCs w:val="22"/>
              </w:rPr>
            </w:pPr>
          </w:p>
        </w:tc>
        <w:tc>
          <w:tcPr>
            <w:tcW w:w="633" w:type="dxa"/>
            <w:vAlign w:val="center"/>
          </w:tcPr>
          <w:p w14:paraId="39DADF64">
            <w:pPr>
              <w:adjustRightInd w:val="0"/>
              <w:snapToGrid w:val="0"/>
              <w:jc w:val="center"/>
              <w:rPr>
                <w:sz w:val="22"/>
                <w:szCs w:val="22"/>
              </w:rPr>
            </w:pPr>
          </w:p>
        </w:tc>
        <w:tc>
          <w:tcPr>
            <w:tcW w:w="633" w:type="dxa"/>
            <w:vAlign w:val="center"/>
          </w:tcPr>
          <w:p w14:paraId="1CB8C53D">
            <w:pPr>
              <w:adjustRightInd w:val="0"/>
              <w:snapToGrid w:val="0"/>
              <w:jc w:val="center"/>
              <w:rPr>
                <w:sz w:val="22"/>
                <w:szCs w:val="22"/>
              </w:rPr>
            </w:pPr>
          </w:p>
        </w:tc>
        <w:tc>
          <w:tcPr>
            <w:tcW w:w="633" w:type="dxa"/>
            <w:vAlign w:val="center"/>
          </w:tcPr>
          <w:p w14:paraId="77737AB1">
            <w:pPr>
              <w:adjustRightInd w:val="0"/>
              <w:snapToGrid w:val="0"/>
              <w:jc w:val="center"/>
              <w:rPr>
                <w:sz w:val="22"/>
                <w:szCs w:val="22"/>
              </w:rPr>
            </w:pPr>
          </w:p>
        </w:tc>
        <w:tc>
          <w:tcPr>
            <w:tcW w:w="634" w:type="dxa"/>
            <w:vAlign w:val="center"/>
          </w:tcPr>
          <w:p w14:paraId="2436C7B9">
            <w:pPr>
              <w:adjustRightInd w:val="0"/>
              <w:snapToGrid w:val="0"/>
              <w:jc w:val="center"/>
              <w:rPr>
                <w:sz w:val="22"/>
                <w:szCs w:val="22"/>
              </w:rPr>
            </w:pPr>
          </w:p>
        </w:tc>
      </w:tr>
      <w:tr w14:paraId="1E61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5260FF85">
            <w:pPr>
              <w:adjustRightInd w:val="0"/>
              <w:snapToGrid w:val="0"/>
              <w:jc w:val="center"/>
              <w:rPr>
                <w:sz w:val="22"/>
                <w:szCs w:val="22"/>
              </w:rPr>
            </w:pPr>
          </w:p>
        </w:tc>
        <w:tc>
          <w:tcPr>
            <w:tcW w:w="736" w:type="dxa"/>
            <w:vAlign w:val="center"/>
          </w:tcPr>
          <w:p w14:paraId="6E377A97">
            <w:pPr>
              <w:pStyle w:val="687"/>
              <w:rPr>
                <w:szCs w:val="22"/>
              </w:rPr>
            </w:pPr>
            <w:r>
              <w:rPr>
                <w:rFonts w:hint="eastAsia"/>
                <w:szCs w:val="22"/>
              </w:rPr>
              <w:t>废水</w:t>
            </w:r>
          </w:p>
        </w:tc>
        <w:tc>
          <w:tcPr>
            <w:tcW w:w="2400" w:type="dxa"/>
            <w:vAlign w:val="center"/>
          </w:tcPr>
          <w:p w14:paraId="6166D48F">
            <w:pPr>
              <w:pStyle w:val="687"/>
              <w:rPr>
                <w:szCs w:val="22"/>
              </w:rPr>
            </w:pPr>
            <w:r>
              <w:rPr>
                <w:rFonts w:hint="eastAsia"/>
                <w:szCs w:val="22"/>
              </w:rPr>
              <w:t>施工废水</w:t>
            </w:r>
          </w:p>
        </w:tc>
        <w:tc>
          <w:tcPr>
            <w:tcW w:w="2298" w:type="dxa"/>
            <w:vAlign w:val="center"/>
          </w:tcPr>
          <w:p w14:paraId="40F56CC2">
            <w:pPr>
              <w:pStyle w:val="687"/>
              <w:rPr>
                <w:szCs w:val="22"/>
              </w:rPr>
            </w:pPr>
            <w:r>
              <w:rPr>
                <w:rFonts w:hint="eastAsia"/>
                <w:szCs w:val="22"/>
              </w:rPr>
              <w:t>SS等</w:t>
            </w:r>
          </w:p>
        </w:tc>
        <w:tc>
          <w:tcPr>
            <w:tcW w:w="996" w:type="dxa"/>
            <w:vAlign w:val="center"/>
          </w:tcPr>
          <w:p w14:paraId="225A1D27">
            <w:pPr>
              <w:jc w:val="center"/>
              <w:rPr>
                <w:sz w:val="22"/>
                <w:szCs w:val="22"/>
              </w:rPr>
            </w:pPr>
            <w:r>
              <w:rPr>
                <w:sz w:val="22"/>
                <w:szCs w:val="22"/>
              </w:rPr>
              <w:t>—</w:t>
            </w:r>
          </w:p>
        </w:tc>
        <w:tc>
          <w:tcPr>
            <w:tcW w:w="1143" w:type="dxa"/>
            <w:vAlign w:val="center"/>
          </w:tcPr>
          <w:p w14:paraId="761D305D">
            <w:pPr>
              <w:adjustRightInd w:val="0"/>
              <w:snapToGrid w:val="0"/>
              <w:jc w:val="center"/>
              <w:rPr>
                <w:sz w:val="22"/>
                <w:szCs w:val="22"/>
              </w:rPr>
            </w:pPr>
          </w:p>
        </w:tc>
        <w:tc>
          <w:tcPr>
            <w:tcW w:w="857" w:type="dxa"/>
            <w:vAlign w:val="center"/>
          </w:tcPr>
          <w:p w14:paraId="58D55FC3">
            <w:pPr>
              <w:adjustRightInd w:val="0"/>
              <w:snapToGrid w:val="0"/>
              <w:jc w:val="center"/>
              <w:rPr>
                <w:sz w:val="22"/>
                <w:szCs w:val="22"/>
              </w:rPr>
            </w:pPr>
            <w:r>
              <w:rPr>
                <w:sz w:val="22"/>
                <w:szCs w:val="22"/>
              </w:rPr>
              <w:t>√</w:t>
            </w:r>
          </w:p>
        </w:tc>
        <w:tc>
          <w:tcPr>
            <w:tcW w:w="858" w:type="dxa"/>
            <w:vAlign w:val="center"/>
          </w:tcPr>
          <w:p w14:paraId="0CC79EF9">
            <w:pPr>
              <w:adjustRightInd w:val="0"/>
              <w:snapToGrid w:val="0"/>
              <w:jc w:val="center"/>
              <w:rPr>
                <w:sz w:val="22"/>
                <w:szCs w:val="22"/>
              </w:rPr>
            </w:pPr>
            <w:r>
              <w:rPr>
                <w:sz w:val="22"/>
                <w:szCs w:val="22"/>
              </w:rPr>
              <w:t>√</w:t>
            </w:r>
          </w:p>
        </w:tc>
        <w:tc>
          <w:tcPr>
            <w:tcW w:w="857" w:type="dxa"/>
            <w:vAlign w:val="center"/>
          </w:tcPr>
          <w:p w14:paraId="612A75D8">
            <w:pPr>
              <w:adjustRightInd w:val="0"/>
              <w:snapToGrid w:val="0"/>
              <w:jc w:val="center"/>
              <w:rPr>
                <w:sz w:val="22"/>
                <w:szCs w:val="22"/>
              </w:rPr>
            </w:pPr>
          </w:p>
        </w:tc>
        <w:tc>
          <w:tcPr>
            <w:tcW w:w="633" w:type="dxa"/>
            <w:vAlign w:val="center"/>
          </w:tcPr>
          <w:p w14:paraId="34F7D2EF">
            <w:pPr>
              <w:adjustRightInd w:val="0"/>
              <w:snapToGrid w:val="0"/>
              <w:jc w:val="center"/>
              <w:rPr>
                <w:sz w:val="22"/>
                <w:szCs w:val="22"/>
              </w:rPr>
            </w:pPr>
          </w:p>
        </w:tc>
        <w:tc>
          <w:tcPr>
            <w:tcW w:w="633" w:type="dxa"/>
            <w:vAlign w:val="center"/>
          </w:tcPr>
          <w:p w14:paraId="2263F125">
            <w:pPr>
              <w:adjustRightInd w:val="0"/>
              <w:snapToGrid w:val="0"/>
              <w:jc w:val="center"/>
              <w:rPr>
                <w:sz w:val="22"/>
                <w:szCs w:val="22"/>
              </w:rPr>
            </w:pPr>
          </w:p>
        </w:tc>
        <w:tc>
          <w:tcPr>
            <w:tcW w:w="633" w:type="dxa"/>
            <w:vAlign w:val="center"/>
          </w:tcPr>
          <w:p w14:paraId="6F26D581">
            <w:pPr>
              <w:adjustRightInd w:val="0"/>
              <w:snapToGrid w:val="0"/>
              <w:jc w:val="center"/>
              <w:rPr>
                <w:sz w:val="22"/>
                <w:szCs w:val="22"/>
              </w:rPr>
            </w:pPr>
          </w:p>
        </w:tc>
        <w:tc>
          <w:tcPr>
            <w:tcW w:w="634" w:type="dxa"/>
            <w:vAlign w:val="center"/>
          </w:tcPr>
          <w:p w14:paraId="3FD9B77D">
            <w:pPr>
              <w:adjustRightInd w:val="0"/>
              <w:snapToGrid w:val="0"/>
              <w:jc w:val="center"/>
              <w:rPr>
                <w:sz w:val="22"/>
                <w:szCs w:val="22"/>
              </w:rPr>
            </w:pPr>
          </w:p>
        </w:tc>
      </w:tr>
      <w:tr w14:paraId="2CA7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0E1DA8E4">
            <w:pPr>
              <w:adjustRightInd w:val="0"/>
              <w:snapToGrid w:val="0"/>
              <w:jc w:val="center"/>
              <w:rPr>
                <w:sz w:val="22"/>
                <w:szCs w:val="22"/>
              </w:rPr>
            </w:pPr>
          </w:p>
        </w:tc>
        <w:tc>
          <w:tcPr>
            <w:tcW w:w="736" w:type="dxa"/>
            <w:vAlign w:val="center"/>
          </w:tcPr>
          <w:p w14:paraId="22E4D991">
            <w:pPr>
              <w:pStyle w:val="687"/>
              <w:rPr>
                <w:szCs w:val="22"/>
              </w:rPr>
            </w:pPr>
            <w:r>
              <w:rPr>
                <w:rFonts w:hint="eastAsia"/>
                <w:szCs w:val="22"/>
              </w:rPr>
              <w:t>固废</w:t>
            </w:r>
          </w:p>
        </w:tc>
        <w:tc>
          <w:tcPr>
            <w:tcW w:w="2400" w:type="dxa"/>
            <w:vAlign w:val="center"/>
          </w:tcPr>
          <w:p w14:paraId="407B65FE">
            <w:pPr>
              <w:pStyle w:val="687"/>
              <w:rPr>
                <w:szCs w:val="22"/>
              </w:rPr>
            </w:pPr>
            <w:r>
              <w:rPr>
                <w:rFonts w:hint="eastAsia"/>
                <w:szCs w:val="22"/>
              </w:rPr>
              <w:t>废弃管道设备、固废等</w:t>
            </w:r>
          </w:p>
        </w:tc>
        <w:tc>
          <w:tcPr>
            <w:tcW w:w="2298" w:type="dxa"/>
            <w:vAlign w:val="center"/>
          </w:tcPr>
          <w:p w14:paraId="5904A4B4">
            <w:pPr>
              <w:pStyle w:val="687"/>
              <w:rPr>
                <w:szCs w:val="22"/>
              </w:rPr>
            </w:pPr>
            <w:r>
              <w:rPr>
                <w:rFonts w:hint="eastAsia"/>
                <w:szCs w:val="22"/>
              </w:rPr>
              <w:t>/</w:t>
            </w:r>
          </w:p>
        </w:tc>
        <w:tc>
          <w:tcPr>
            <w:tcW w:w="996" w:type="dxa"/>
            <w:vAlign w:val="center"/>
          </w:tcPr>
          <w:p w14:paraId="222F68A8">
            <w:pPr>
              <w:jc w:val="center"/>
              <w:rPr>
                <w:sz w:val="22"/>
                <w:szCs w:val="22"/>
              </w:rPr>
            </w:pPr>
            <w:r>
              <w:rPr>
                <w:sz w:val="22"/>
                <w:szCs w:val="22"/>
              </w:rPr>
              <w:t>—</w:t>
            </w:r>
          </w:p>
        </w:tc>
        <w:tc>
          <w:tcPr>
            <w:tcW w:w="1143" w:type="dxa"/>
            <w:vAlign w:val="center"/>
          </w:tcPr>
          <w:p w14:paraId="0FCEB1A7">
            <w:pPr>
              <w:adjustRightInd w:val="0"/>
              <w:snapToGrid w:val="0"/>
              <w:jc w:val="center"/>
              <w:rPr>
                <w:sz w:val="22"/>
                <w:szCs w:val="22"/>
              </w:rPr>
            </w:pPr>
          </w:p>
        </w:tc>
        <w:tc>
          <w:tcPr>
            <w:tcW w:w="857" w:type="dxa"/>
            <w:vAlign w:val="center"/>
          </w:tcPr>
          <w:p w14:paraId="07820520">
            <w:pPr>
              <w:adjustRightInd w:val="0"/>
              <w:snapToGrid w:val="0"/>
              <w:jc w:val="center"/>
              <w:rPr>
                <w:sz w:val="22"/>
                <w:szCs w:val="22"/>
              </w:rPr>
            </w:pPr>
            <w:r>
              <w:rPr>
                <w:sz w:val="22"/>
                <w:szCs w:val="22"/>
              </w:rPr>
              <w:t>√</w:t>
            </w:r>
          </w:p>
        </w:tc>
        <w:tc>
          <w:tcPr>
            <w:tcW w:w="858" w:type="dxa"/>
            <w:vAlign w:val="center"/>
          </w:tcPr>
          <w:p w14:paraId="220B4B9B">
            <w:pPr>
              <w:adjustRightInd w:val="0"/>
              <w:snapToGrid w:val="0"/>
              <w:jc w:val="center"/>
              <w:rPr>
                <w:sz w:val="22"/>
                <w:szCs w:val="22"/>
              </w:rPr>
            </w:pPr>
            <w:r>
              <w:rPr>
                <w:sz w:val="22"/>
                <w:szCs w:val="22"/>
              </w:rPr>
              <w:t>√</w:t>
            </w:r>
          </w:p>
        </w:tc>
        <w:tc>
          <w:tcPr>
            <w:tcW w:w="857" w:type="dxa"/>
            <w:vAlign w:val="center"/>
          </w:tcPr>
          <w:p w14:paraId="26604EE1">
            <w:pPr>
              <w:adjustRightInd w:val="0"/>
              <w:snapToGrid w:val="0"/>
              <w:jc w:val="center"/>
              <w:rPr>
                <w:sz w:val="22"/>
                <w:szCs w:val="22"/>
              </w:rPr>
            </w:pPr>
          </w:p>
        </w:tc>
        <w:tc>
          <w:tcPr>
            <w:tcW w:w="633" w:type="dxa"/>
            <w:vAlign w:val="center"/>
          </w:tcPr>
          <w:p w14:paraId="57BED1D9">
            <w:pPr>
              <w:adjustRightInd w:val="0"/>
              <w:snapToGrid w:val="0"/>
              <w:jc w:val="center"/>
              <w:rPr>
                <w:sz w:val="22"/>
                <w:szCs w:val="22"/>
              </w:rPr>
            </w:pPr>
          </w:p>
        </w:tc>
        <w:tc>
          <w:tcPr>
            <w:tcW w:w="633" w:type="dxa"/>
            <w:vAlign w:val="center"/>
          </w:tcPr>
          <w:p w14:paraId="4E854FF1">
            <w:pPr>
              <w:adjustRightInd w:val="0"/>
              <w:snapToGrid w:val="0"/>
              <w:jc w:val="center"/>
              <w:rPr>
                <w:sz w:val="22"/>
                <w:szCs w:val="22"/>
              </w:rPr>
            </w:pPr>
          </w:p>
        </w:tc>
        <w:tc>
          <w:tcPr>
            <w:tcW w:w="633" w:type="dxa"/>
            <w:vAlign w:val="center"/>
          </w:tcPr>
          <w:p w14:paraId="6B58AFC8">
            <w:pPr>
              <w:adjustRightInd w:val="0"/>
              <w:snapToGrid w:val="0"/>
              <w:jc w:val="center"/>
              <w:rPr>
                <w:sz w:val="22"/>
                <w:szCs w:val="22"/>
              </w:rPr>
            </w:pPr>
          </w:p>
        </w:tc>
        <w:tc>
          <w:tcPr>
            <w:tcW w:w="634" w:type="dxa"/>
            <w:vAlign w:val="center"/>
          </w:tcPr>
          <w:p w14:paraId="445C86B0">
            <w:pPr>
              <w:adjustRightInd w:val="0"/>
              <w:snapToGrid w:val="0"/>
              <w:jc w:val="center"/>
              <w:rPr>
                <w:sz w:val="22"/>
                <w:szCs w:val="22"/>
              </w:rPr>
            </w:pPr>
            <w:r>
              <w:rPr>
                <w:sz w:val="22"/>
                <w:szCs w:val="22"/>
              </w:rPr>
              <w:t>√</w:t>
            </w:r>
          </w:p>
        </w:tc>
      </w:tr>
      <w:tr w14:paraId="39E8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41EEFDE5">
            <w:pPr>
              <w:adjustRightInd w:val="0"/>
              <w:snapToGrid w:val="0"/>
              <w:jc w:val="center"/>
              <w:rPr>
                <w:sz w:val="22"/>
                <w:szCs w:val="22"/>
              </w:rPr>
            </w:pPr>
          </w:p>
        </w:tc>
        <w:tc>
          <w:tcPr>
            <w:tcW w:w="736" w:type="dxa"/>
            <w:vAlign w:val="center"/>
          </w:tcPr>
          <w:p w14:paraId="088F0CB1">
            <w:pPr>
              <w:pStyle w:val="687"/>
              <w:rPr>
                <w:szCs w:val="22"/>
              </w:rPr>
            </w:pPr>
            <w:r>
              <w:rPr>
                <w:rFonts w:hint="eastAsia"/>
                <w:szCs w:val="22"/>
              </w:rPr>
              <w:t>噪声</w:t>
            </w:r>
          </w:p>
        </w:tc>
        <w:tc>
          <w:tcPr>
            <w:tcW w:w="2400" w:type="dxa"/>
            <w:vAlign w:val="center"/>
          </w:tcPr>
          <w:p w14:paraId="72E69540">
            <w:pPr>
              <w:pStyle w:val="687"/>
              <w:rPr>
                <w:szCs w:val="22"/>
              </w:rPr>
            </w:pPr>
            <w:r>
              <w:rPr>
                <w:rFonts w:hint="eastAsia"/>
                <w:szCs w:val="22"/>
              </w:rPr>
              <w:t>设施拆除噪声</w:t>
            </w:r>
          </w:p>
        </w:tc>
        <w:tc>
          <w:tcPr>
            <w:tcW w:w="2298" w:type="dxa"/>
            <w:vAlign w:val="center"/>
          </w:tcPr>
          <w:p w14:paraId="12F8A5E0">
            <w:pPr>
              <w:pStyle w:val="687"/>
              <w:rPr>
                <w:szCs w:val="22"/>
              </w:rPr>
            </w:pPr>
            <w:r>
              <w:rPr>
                <w:rFonts w:hint="eastAsia"/>
                <w:szCs w:val="22"/>
              </w:rPr>
              <w:t>等效声级</w:t>
            </w:r>
          </w:p>
        </w:tc>
        <w:tc>
          <w:tcPr>
            <w:tcW w:w="996" w:type="dxa"/>
            <w:vAlign w:val="center"/>
          </w:tcPr>
          <w:p w14:paraId="68002BF5">
            <w:pPr>
              <w:jc w:val="center"/>
              <w:rPr>
                <w:sz w:val="22"/>
                <w:szCs w:val="22"/>
              </w:rPr>
            </w:pPr>
            <w:r>
              <w:rPr>
                <w:sz w:val="22"/>
                <w:szCs w:val="22"/>
              </w:rPr>
              <w:t>—</w:t>
            </w:r>
          </w:p>
        </w:tc>
        <w:tc>
          <w:tcPr>
            <w:tcW w:w="1143" w:type="dxa"/>
            <w:vAlign w:val="center"/>
          </w:tcPr>
          <w:p w14:paraId="69A34EF0">
            <w:pPr>
              <w:adjustRightInd w:val="0"/>
              <w:snapToGrid w:val="0"/>
              <w:jc w:val="center"/>
              <w:rPr>
                <w:sz w:val="22"/>
                <w:szCs w:val="22"/>
              </w:rPr>
            </w:pPr>
          </w:p>
        </w:tc>
        <w:tc>
          <w:tcPr>
            <w:tcW w:w="857" w:type="dxa"/>
            <w:vAlign w:val="center"/>
          </w:tcPr>
          <w:p w14:paraId="39182D79">
            <w:pPr>
              <w:adjustRightInd w:val="0"/>
              <w:snapToGrid w:val="0"/>
              <w:jc w:val="center"/>
              <w:rPr>
                <w:sz w:val="22"/>
                <w:szCs w:val="22"/>
              </w:rPr>
            </w:pPr>
          </w:p>
        </w:tc>
        <w:tc>
          <w:tcPr>
            <w:tcW w:w="858" w:type="dxa"/>
            <w:vAlign w:val="center"/>
          </w:tcPr>
          <w:p w14:paraId="6F953E17">
            <w:pPr>
              <w:adjustRightInd w:val="0"/>
              <w:snapToGrid w:val="0"/>
              <w:jc w:val="center"/>
              <w:rPr>
                <w:sz w:val="22"/>
                <w:szCs w:val="22"/>
              </w:rPr>
            </w:pPr>
          </w:p>
        </w:tc>
        <w:tc>
          <w:tcPr>
            <w:tcW w:w="857" w:type="dxa"/>
            <w:vAlign w:val="center"/>
          </w:tcPr>
          <w:p w14:paraId="4B7BEEF7">
            <w:pPr>
              <w:adjustRightInd w:val="0"/>
              <w:snapToGrid w:val="0"/>
              <w:jc w:val="center"/>
              <w:rPr>
                <w:sz w:val="22"/>
                <w:szCs w:val="22"/>
              </w:rPr>
            </w:pPr>
            <w:r>
              <w:rPr>
                <w:sz w:val="22"/>
                <w:szCs w:val="22"/>
              </w:rPr>
              <w:t>√</w:t>
            </w:r>
          </w:p>
        </w:tc>
        <w:tc>
          <w:tcPr>
            <w:tcW w:w="633" w:type="dxa"/>
            <w:vAlign w:val="center"/>
          </w:tcPr>
          <w:p w14:paraId="6C8B683F">
            <w:pPr>
              <w:adjustRightInd w:val="0"/>
              <w:snapToGrid w:val="0"/>
              <w:jc w:val="center"/>
              <w:rPr>
                <w:sz w:val="22"/>
                <w:szCs w:val="22"/>
              </w:rPr>
            </w:pPr>
          </w:p>
        </w:tc>
        <w:tc>
          <w:tcPr>
            <w:tcW w:w="633" w:type="dxa"/>
            <w:vAlign w:val="center"/>
          </w:tcPr>
          <w:p w14:paraId="3B2B3605">
            <w:pPr>
              <w:adjustRightInd w:val="0"/>
              <w:snapToGrid w:val="0"/>
              <w:jc w:val="center"/>
              <w:rPr>
                <w:sz w:val="22"/>
                <w:szCs w:val="22"/>
              </w:rPr>
            </w:pPr>
          </w:p>
        </w:tc>
        <w:tc>
          <w:tcPr>
            <w:tcW w:w="633" w:type="dxa"/>
            <w:vAlign w:val="center"/>
          </w:tcPr>
          <w:p w14:paraId="03C41E7C">
            <w:pPr>
              <w:adjustRightInd w:val="0"/>
              <w:snapToGrid w:val="0"/>
              <w:jc w:val="center"/>
              <w:rPr>
                <w:sz w:val="22"/>
                <w:szCs w:val="22"/>
              </w:rPr>
            </w:pPr>
          </w:p>
        </w:tc>
        <w:tc>
          <w:tcPr>
            <w:tcW w:w="634" w:type="dxa"/>
            <w:vAlign w:val="center"/>
          </w:tcPr>
          <w:p w14:paraId="15D22529">
            <w:pPr>
              <w:adjustRightInd w:val="0"/>
              <w:snapToGrid w:val="0"/>
              <w:jc w:val="center"/>
              <w:rPr>
                <w:sz w:val="22"/>
                <w:szCs w:val="22"/>
              </w:rPr>
            </w:pPr>
          </w:p>
        </w:tc>
      </w:tr>
      <w:tr w14:paraId="5FF0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8" w:type="dxa"/>
            <w:vMerge w:val="continue"/>
            <w:vAlign w:val="center"/>
          </w:tcPr>
          <w:p w14:paraId="1FCC4DC1">
            <w:pPr>
              <w:adjustRightInd w:val="0"/>
              <w:snapToGrid w:val="0"/>
              <w:jc w:val="center"/>
              <w:rPr>
                <w:sz w:val="22"/>
                <w:szCs w:val="22"/>
              </w:rPr>
            </w:pPr>
          </w:p>
        </w:tc>
        <w:tc>
          <w:tcPr>
            <w:tcW w:w="736" w:type="dxa"/>
            <w:vAlign w:val="center"/>
          </w:tcPr>
          <w:p w14:paraId="7BCFAADE">
            <w:pPr>
              <w:pStyle w:val="687"/>
              <w:rPr>
                <w:szCs w:val="22"/>
              </w:rPr>
            </w:pPr>
            <w:r>
              <w:rPr>
                <w:rFonts w:hint="eastAsia"/>
                <w:szCs w:val="22"/>
              </w:rPr>
              <w:t>生态</w:t>
            </w:r>
          </w:p>
        </w:tc>
        <w:tc>
          <w:tcPr>
            <w:tcW w:w="2400" w:type="dxa"/>
            <w:vAlign w:val="center"/>
          </w:tcPr>
          <w:p w14:paraId="68DB0AF8">
            <w:pPr>
              <w:pStyle w:val="687"/>
              <w:rPr>
                <w:szCs w:val="22"/>
              </w:rPr>
            </w:pPr>
            <w:r>
              <w:rPr>
                <w:rFonts w:hint="eastAsia"/>
                <w:szCs w:val="22"/>
              </w:rPr>
              <w:t>土地复垦、植被恢复</w:t>
            </w:r>
          </w:p>
        </w:tc>
        <w:tc>
          <w:tcPr>
            <w:tcW w:w="2298" w:type="dxa"/>
            <w:vAlign w:val="center"/>
          </w:tcPr>
          <w:p w14:paraId="3640C3E8">
            <w:pPr>
              <w:pStyle w:val="687"/>
              <w:rPr>
                <w:szCs w:val="22"/>
              </w:rPr>
            </w:pPr>
            <w:r>
              <w:rPr>
                <w:rFonts w:hint="eastAsia"/>
                <w:szCs w:val="22"/>
              </w:rPr>
              <w:t>动植物影响</w:t>
            </w:r>
          </w:p>
        </w:tc>
        <w:tc>
          <w:tcPr>
            <w:tcW w:w="996" w:type="dxa"/>
            <w:vAlign w:val="center"/>
          </w:tcPr>
          <w:p w14:paraId="6DA85FC3">
            <w:pPr>
              <w:jc w:val="center"/>
              <w:rPr>
                <w:sz w:val="22"/>
                <w:szCs w:val="22"/>
              </w:rPr>
            </w:pPr>
            <w:r>
              <w:rPr>
                <w:rFonts w:hint="eastAsia"/>
                <w:sz w:val="22"/>
                <w:szCs w:val="22"/>
              </w:rPr>
              <w:t>+</w:t>
            </w:r>
          </w:p>
        </w:tc>
        <w:tc>
          <w:tcPr>
            <w:tcW w:w="1143" w:type="dxa"/>
            <w:vAlign w:val="center"/>
          </w:tcPr>
          <w:p w14:paraId="6F6EBCCA">
            <w:pPr>
              <w:adjustRightInd w:val="0"/>
              <w:snapToGrid w:val="0"/>
              <w:jc w:val="center"/>
              <w:rPr>
                <w:sz w:val="22"/>
                <w:szCs w:val="22"/>
              </w:rPr>
            </w:pPr>
          </w:p>
        </w:tc>
        <w:tc>
          <w:tcPr>
            <w:tcW w:w="857" w:type="dxa"/>
            <w:vAlign w:val="center"/>
          </w:tcPr>
          <w:p w14:paraId="064D8274">
            <w:pPr>
              <w:adjustRightInd w:val="0"/>
              <w:snapToGrid w:val="0"/>
              <w:jc w:val="center"/>
              <w:rPr>
                <w:sz w:val="22"/>
                <w:szCs w:val="22"/>
              </w:rPr>
            </w:pPr>
          </w:p>
        </w:tc>
        <w:tc>
          <w:tcPr>
            <w:tcW w:w="858" w:type="dxa"/>
            <w:vAlign w:val="center"/>
          </w:tcPr>
          <w:p w14:paraId="6692535C">
            <w:pPr>
              <w:adjustRightInd w:val="0"/>
              <w:snapToGrid w:val="0"/>
              <w:jc w:val="center"/>
              <w:rPr>
                <w:sz w:val="22"/>
                <w:szCs w:val="22"/>
              </w:rPr>
            </w:pPr>
          </w:p>
        </w:tc>
        <w:tc>
          <w:tcPr>
            <w:tcW w:w="857" w:type="dxa"/>
            <w:vAlign w:val="center"/>
          </w:tcPr>
          <w:p w14:paraId="1694EB9B">
            <w:pPr>
              <w:adjustRightInd w:val="0"/>
              <w:snapToGrid w:val="0"/>
              <w:jc w:val="center"/>
              <w:rPr>
                <w:sz w:val="22"/>
                <w:szCs w:val="22"/>
              </w:rPr>
            </w:pPr>
          </w:p>
        </w:tc>
        <w:tc>
          <w:tcPr>
            <w:tcW w:w="633" w:type="dxa"/>
            <w:vAlign w:val="center"/>
          </w:tcPr>
          <w:p w14:paraId="6A1F6476">
            <w:pPr>
              <w:adjustRightInd w:val="0"/>
              <w:snapToGrid w:val="0"/>
              <w:jc w:val="center"/>
              <w:rPr>
                <w:sz w:val="22"/>
                <w:szCs w:val="22"/>
              </w:rPr>
            </w:pPr>
            <w:r>
              <w:rPr>
                <w:sz w:val="22"/>
                <w:szCs w:val="22"/>
              </w:rPr>
              <w:t>√</w:t>
            </w:r>
          </w:p>
        </w:tc>
        <w:tc>
          <w:tcPr>
            <w:tcW w:w="633" w:type="dxa"/>
            <w:vAlign w:val="center"/>
          </w:tcPr>
          <w:p w14:paraId="515DE3D3">
            <w:pPr>
              <w:adjustRightInd w:val="0"/>
              <w:snapToGrid w:val="0"/>
              <w:jc w:val="center"/>
              <w:rPr>
                <w:sz w:val="22"/>
                <w:szCs w:val="22"/>
              </w:rPr>
            </w:pPr>
            <w:r>
              <w:rPr>
                <w:sz w:val="22"/>
                <w:szCs w:val="22"/>
              </w:rPr>
              <w:t>√</w:t>
            </w:r>
          </w:p>
        </w:tc>
        <w:tc>
          <w:tcPr>
            <w:tcW w:w="633" w:type="dxa"/>
            <w:vAlign w:val="center"/>
          </w:tcPr>
          <w:p w14:paraId="19F9F124">
            <w:pPr>
              <w:adjustRightInd w:val="0"/>
              <w:snapToGrid w:val="0"/>
              <w:jc w:val="center"/>
              <w:rPr>
                <w:sz w:val="22"/>
                <w:szCs w:val="22"/>
              </w:rPr>
            </w:pPr>
            <w:r>
              <w:rPr>
                <w:sz w:val="22"/>
                <w:szCs w:val="22"/>
              </w:rPr>
              <w:t>√</w:t>
            </w:r>
          </w:p>
        </w:tc>
        <w:tc>
          <w:tcPr>
            <w:tcW w:w="634" w:type="dxa"/>
            <w:vAlign w:val="center"/>
          </w:tcPr>
          <w:p w14:paraId="24A4C39A">
            <w:pPr>
              <w:adjustRightInd w:val="0"/>
              <w:snapToGrid w:val="0"/>
              <w:jc w:val="center"/>
              <w:rPr>
                <w:sz w:val="22"/>
                <w:szCs w:val="22"/>
              </w:rPr>
            </w:pPr>
            <w:r>
              <w:rPr>
                <w:sz w:val="22"/>
                <w:szCs w:val="22"/>
              </w:rPr>
              <w:t>√</w:t>
            </w:r>
          </w:p>
        </w:tc>
      </w:tr>
    </w:tbl>
    <w:p w14:paraId="30923D86">
      <w:pPr>
        <w:widowControl/>
        <w:snapToGrid w:val="0"/>
        <w:ind w:firstLine="400" w:firstLineChars="200"/>
        <w:rPr>
          <w:sz w:val="26"/>
          <w:szCs w:val="26"/>
        </w:rPr>
      </w:pPr>
      <w:r>
        <w:rPr>
          <w:sz w:val="20"/>
          <w:szCs w:val="20"/>
        </w:rPr>
        <w:t>备注：“——”为负影响较大；“－”为负影响较小；“＋＋”正影响较大；“＋”为正影响较小，“</w:t>
      </w:r>
      <w:r>
        <w:rPr>
          <w:szCs w:val="21"/>
        </w:rPr>
        <w:t>√</w:t>
      </w:r>
      <w:r>
        <w:rPr>
          <w:sz w:val="20"/>
          <w:szCs w:val="20"/>
        </w:rPr>
        <w:t>”为有影响。</w:t>
      </w:r>
    </w:p>
    <w:p w14:paraId="754F08AE">
      <w:pPr>
        <w:adjustRightInd w:val="0"/>
        <w:snapToGrid w:val="0"/>
        <w:ind w:firstLine="520" w:firstLineChars="200"/>
        <w:jc w:val="left"/>
        <w:rPr>
          <w:sz w:val="26"/>
          <w:szCs w:val="26"/>
        </w:rPr>
        <w:sectPr>
          <w:pgSz w:w="16838" w:h="11906" w:orient="landscape"/>
          <w:pgMar w:top="1701" w:right="1588" w:bottom="1588" w:left="1588" w:header="1304" w:footer="1247" w:gutter="0"/>
          <w:cols w:space="720" w:num="1"/>
          <w:docGrid w:linePitch="312" w:charSpace="0"/>
        </w:sectPr>
      </w:pPr>
    </w:p>
    <w:p w14:paraId="740CF498">
      <w:pPr>
        <w:spacing w:line="460" w:lineRule="exact"/>
        <w:ind w:firstLine="512" w:firstLineChars="196"/>
        <w:outlineLvl w:val="2"/>
        <w:rPr>
          <w:b/>
          <w:sz w:val="26"/>
          <w:szCs w:val="26"/>
        </w:rPr>
      </w:pPr>
      <w:bookmarkStart w:id="61" w:name="_Toc165810456"/>
      <w:r>
        <w:rPr>
          <w:b/>
          <w:sz w:val="26"/>
          <w:szCs w:val="26"/>
        </w:rPr>
        <w:t>1.3.2 评价因子筛选</w:t>
      </w:r>
      <w:bookmarkEnd w:id="61"/>
    </w:p>
    <w:p w14:paraId="30104EF3">
      <w:pPr>
        <w:adjustRightInd w:val="0"/>
        <w:spacing w:line="460" w:lineRule="exact"/>
        <w:ind w:firstLine="520" w:firstLineChars="200"/>
        <w:jc w:val="left"/>
        <w:rPr>
          <w:sz w:val="26"/>
          <w:szCs w:val="26"/>
        </w:rPr>
      </w:pPr>
      <w:r>
        <w:rPr>
          <w:sz w:val="26"/>
          <w:szCs w:val="26"/>
        </w:rPr>
        <w:t>根据本项目施工作业和生产过程的环境影响特点，结合当地环境功能和各类环境因子的重要性和可能受影响的程度，在环境影响识别的基础上，各环境影响评价因子的筛选见</w:t>
      </w:r>
      <w:r>
        <w:rPr>
          <w:rFonts w:hint="eastAsia"/>
          <w:sz w:val="26"/>
          <w:szCs w:val="26"/>
        </w:rPr>
        <w:t>下表</w:t>
      </w:r>
      <w:r>
        <w:rPr>
          <w:sz w:val="26"/>
          <w:szCs w:val="26"/>
        </w:rPr>
        <w:t>。</w:t>
      </w:r>
    </w:p>
    <w:p w14:paraId="7CB1911F">
      <w:pPr>
        <w:pStyle w:val="1379"/>
        <w:ind w:firstLine="440"/>
      </w:pPr>
    </w:p>
    <w:p w14:paraId="43195217">
      <w:pPr>
        <w:pStyle w:val="1065"/>
      </w:pPr>
      <w:r>
        <w:t>表1.3-2  环境影响评价因子</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4253"/>
        <w:gridCol w:w="3296"/>
      </w:tblGrid>
      <w:tr w14:paraId="3002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Align w:val="center"/>
          </w:tcPr>
          <w:p w14:paraId="3D6F11B3">
            <w:pPr>
              <w:adjustRightInd w:val="0"/>
              <w:snapToGrid w:val="0"/>
              <w:jc w:val="center"/>
              <w:rPr>
                <w:sz w:val="22"/>
                <w:szCs w:val="22"/>
              </w:rPr>
            </w:pPr>
            <w:r>
              <w:rPr>
                <w:sz w:val="22"/>
                <w:szCs w:val="22"/>
              </w:rPr>
              <w:t>评价内容</w:t>
            </w:r>
          </w:p>
        </w:tc>
        <w:tc>
          <w:tcPr>
            <w:tcW w:w="4253" w:type="dxa"/>
            <w:vAlign w:val="center"/>
          </w:tcPr>
          <w:p w14:paraId="6906D598">
            <w:pPr>
              <w:adjustRightInd w:val="0"/>
              <w:snapToGrid w:val="0"/>
              <w:jc w:val="center"/>
              <w:rPr>
                <w:sz w:val="22"/>
                <w:szCs w:val="22"/>
              </w:rPr>
            </w:pPr>
            <w:r>
              <w:rPr>
                <w:sz w:val="22"/>
                <w:szCs w:val="22"/>
              </w:rPr>
              <w:t>环境质量现状评价因子</w:t>
            </w:r>
          </w:p>
        </w:tc>
        <w:tc>
          <w:tcPr>
            <w:tcW w:w="3296" w:type="dxa"/>
            <w:vAlign w:val="center"/>
          </w:tcPr>
          <w:p w14:paraId="463D12B1">
            <w:pPr>
              <w:adjustRightInd w:val="0"/>
              <w:snapToGrid w:val="0"/>
              <w:jc w:val="center"/>
              <w:rPr>
                <w:sz w:val="22"/>
                <w:szCs w:val="22"/>
              </w:rPr>
            </w:pPr>
            <w:r>
              <w:rPr>
                <w:sz w:val="22"/>
                <w:szCs w:val="22"/>
              </w:rPr>
              <w:t>环境影响评价因子</w:t>
            </w:r>
          </w:p>
        </w:tc>
      </w:tr>
      <w:tr w14:paraId="2F3F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Align w:val="center"/>
          </w:tcPr>
          <w:p w14:paraId="7B811160">
            <w:pPr>
              <w:adjustRightInd w:val="0"/>
              <w:snapToGrid w:val="0"/>
              <w:jc w:val="center"/>
              <w:rPr>
                <w:sz w:val="22"/>
                <w:szCs w:val="22"/>
              </w:rPr>
            </w:pPr>
            <w:r>
              <w:rPr>
                <w:sz w:val="22"/>
                <w:szCs w:val="22"/>
              </w:rPr>
              <w:t>环境空气</w:t>
            </w:r>
          </w:p>
        </w:tc>
        <w:tc>
          <w:tcPr>
            <w:tcW w:w="4253" w:type="dxa"/>
            <w:vAlign w:val="center"/>
          </w:tcPr>
          <w:p w14:paraId="21848AE9">
            <w:pPr>
              <w:adjustRightInd w:val="0"/>
              <w:snapToGrid w:val="0"/>
              <w:jc w:val="center"/>
              <w:rPr>
                <w:sz w:val="22"/>
                <w:szCs w:val="22"/>
              </w:rPr>
            </w:pPr>
            <w:r>
              <w:rPr>
                <w:sz w:val="22"/>
                <w:szCs w:val="22"/>
              </w:rPr>
              <w:t>SO</w:t>
            </w:r>
            <w:r>
              <w:rPr>
                <w:sz w:val="22"/>
                <w:szCs w:val="22"/>
                <w:vertAlign w:val="subscript"/>
              </w:rPr>
              <w:t>2</w:t>
            </w:r>
            <w:r>
              <w:rPr>
                <w:sz w:val="22"/>
                <w:szCs w:val="22"/>
              </w:rPr>
              <w:t>、NO</w:t>
            </w:r>
            <w:r>
              <w:rPr>
                <w:sz w:val="22"/>
                <w:szCs w:val="22"/>
                <w:vertAlign w:val="subscript"/>
              </w:rPr>
              <w:t>2</w:t>
            </w:r>
            <w:r>
              <w:rPr>
                <w:sz w:val="22"/>
                <w:szCs w:val="22"/>
              </w:rPr>
              <w:t>、PM</w:t>
            </w:r>
            <w:r>
              <w:rPr>
                <w:sz w:val="22"/>
                <w:szCs w:val="22"/>
                <w:vertAlign w:val="subscript"/>
              </w:rPr>
              <w:t>10</w:t>
            </w:r>
            <w:r>
              <w:rPr>
                <w:sz w:val="22"/>
                <w:szCs w:val="22"/>
              </w:rPr>
              <w:t>、PM</w:t>
            </w:r>
            <w:r>
              <w:rPr>
                <w:sz w:val="22"/>
                <w:szCs w:val="22"/>
                <w:vertAlign w:val="subscript"/>
              </w:rPr>
              <w:t>2.5</w:t>
            </w:r>
            <w:r>
              <w:rPr>
                <w:sz w:val="22"/>
                <w:szCs w:val="22"/>
              </w:rPr>
              <w:t>、CO、O</w:t>
            </w:r>
            <w:r>
              <w:rPr>
                <w:sz w:val="22"/>
                <w:szCs w:val="22"/>
                <w:vertAlign w:val="subscript"/>
              </w:rPr>
              <w:t>3</w:t>
            </w:r>
            <w:r>
              <w:rPr>
                <w:sz w:val="22"/>
                <w:szCs w:val="22"/>
              </w:rPr>
              <w:t>、非甲烷总烃</w:t>
            </w:r>
            <w:r>
              <w:rPr>
                <w:rFonts w:hint="eastAsia"/>
                <w:sz w:val="22"/>
                <w:szCs w:val="22"/>
              </w:rPr>
              <w:t>、T</w:t>
            </w:r>
            <w:r>
              <w:rPr>
                <w:sz w:val="22"/>
                <w:szCs w:val="22"/>
              </w:rPr>
              <w:t>SP</w:t>
            </w:r>
            <w:r>
              <w:rPr>
                <w:rFonts w:hint="eastAsia"/>
                <w:sz w:val="22"/>
                <w:szCs w:val="22"/>
              </w:rPr>
              <w:t>、氮氧化物</w:t>
            </w:r>
          </w:p>
        </w:tc>
        <w:tc>
          <w:tcPr>
            <w:tcW w:w="3296" w:type="dxa"/>
            <w:vAlign w:val="center"/>
          </w:tcPr>
          <w:p w14:paraId="74D1CA02">
            <w:pPr>
              <w:adjustRightInd w:val="0"/>
              <w:snapToGrid w:val="0"/>
              <w:jc w:val="center"/>
              <w:rPr>
                <w:sz w:val="22"/>
                <w:szCs w:val="22"/>
              </w:rPr>
            </w:pPr>
            <w:r>
              <w:rPr>
                <w:sz w:val="22"/>
                <w:szCs w:val="22"/>
              </w:rPr>
              <w:t>非甲烷总烃</w:t>
            </w:r>
            <w:r>
              <w:rPr>
                <w:rFonts w:hint="eastAsia"/>
                <w:sz w:val="22"/>
                <w:szCs w:val="22"/>
              </w:rPr>
              <w:t>、氮氧化物、P</w:t>
            </w:r>
            <w:r>
              <w:rPr>
                <w:sz w:val="22"/>
                <w:szCs w:val="22"/>
              </w:rPr>
              <w:t>M</w:t>
            </w:r>
            <w:r>
              <w:rPr>
                <w:sz w:val="22"/>
                <w:szCs w:val="22"/>
                <w:vertAlign w:val="subscript"/>
              </w:rPr>
              <w:t>10</w:t>
            </w:r>
          </w:p>
        </w:tc>
      </w:tr>
      <w:tr w14:paraId="5C06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Align w:val="center"/>
          </w:tcPr>
          <w:p w14:paraId="37CAE1EF">
            <w:pPr>
              <w:adjustRightInd w:val="0"/>
              <w:snapToGrid w:val="0"/>
              <w:jc w:val="center"/>
              <w:rPr>
                <w:sz w:val="22"/>
                <w:szCs w:val="22"/>
              </w:rPr>
            </w:pPr>
            <w:r>
              <w:rPr>
                <w:sz w:val="22"/>
                <w:szCs w:val="22"/>
              </w:rPr>
              <w:t>地表水</w:t>
            </w:r>
          </w:p>
        </w:tc>
        <w:tc>
          <w:tcPr>
            <w:tcW w:w="4253" w:type="dxa"/>
            <w:vAlign w:val="center"/>
          </w:tcPr>
          <w:p w14:paraId="7D4A4EB5">
            <w:pPr>
              <w:adjustRightInd w:val="0"/>
              <w:snapToGrid w:val="0"/>
              <w:jc w:val="center"/>
              <w:rPr>
                <w:sz w:val="22"/>
                <w:szCs w:val="22"/>
              </w:rPr>
            </w:pPr>
            <w:r>
              <w:rPr>
                <w:sz w:val="22"/>
                <w:szCs w:val="22"/>
              </w:rPr>
              <w:t>pH、COD、BOD</w:t>
            </w:r>
            <w:r>
              <w:rPr>
                <w:sz w:val="22"/>
                <w:szCs w:val="22"/>
                <w:vertAlign w:val="subscript"/>
              </w:rPr>
              <w:t>5</w:t>
            </w:r>
            <w:r>
              <w:rPr>
                <w:sz w:val="22"/>
                <w:szCs w:val="22"/>
              </w:rPr>
              <w:t>、氨氮、总磷</w:t>
            </w:r>
            <w:r>
              <w:rPr>
                <w:rFonts w:hint="eastAsia"/>
                <w:sz w:val="22"/>
                <w:szCs w:val="22"/>
              </w:rPr>
              <w:t>、石油类</w:t>
            </w:r>
          </w:p>
        </w:tc>
        <w:tc>
          <w:tcPr>
            <w:tcW w:w="3296" w:type="dxa"/>
            <w:vAlign w:val="center"/>
          </w:tcPr>
          <w:p w14:paraId="26BA817F">
            <w:pPr>
              <w:adjustRightInd w:val="0"/>
              <w:snapToGrid w:val="0"/>
              <w:jc w:val="center"/>
              <w:rPr>
                <w:sz w:val="22"/>
                <w:szCs w:val="22"/>
              </w:rPr>
            </w:pPr>
            <w:r>
              <w:rPr>
                <w:sz w:val="22"/>
                <w:szCs w:val="22"/>
              </w:rPr>
              <w:t>定性分析废水处置的可行性。</w:t>
            </w:r>
          </w:p>
        </w:tc>
      </w:tr>
      <w:tr w14:paraId="1C46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Align w:val="center"/>
          </w:tcPr>
          <w:p w14:paraId="087A9E46">
            <w:pPr>
              <w:adjustRightInd w:val="0"/>
              <w:snapToGrid w:val="0"/>
              <w:jc w:val="center"/>
              <w:rPr>
                <w:sz w:val="22"/>
                <w:szCs w:val="22"/>
              </w:rPr>
            </w:pPr>
            <w:r>
              <w:rPr>
                <w:sz w:val="22"/>
                <w:szCs w:val="22"/>
              </w:rPr>
              <w:t>地下水</w:t>
            </w:r>
          </w:p>
        </w:tc>
        <w:tc>
          <w:tcPr>
            <w:tcW w:w="4253" w:type="dxa"/>
            <w:vAlign w:val="center"/>
          </w:tcPr>
          <w:p w14:paraId="63169A80">
            <w:pPr>
              <w:adjustRightInd w:val="0"/>
              <w:snapToGrid w:val="0"/>
              <w:jc w:val="center"/>
              <w:rPr>
                <w:sz w:val="22"/>
                <w:szCs w:val="22"/>
              </w:rPr>
            </w:pPr>
            <w:r>
              <w:rPr>
                <w:sz w:val="22"/>
                <w:szCs w:val="22"/>
              </w:rPr>
              <w:t>K</w:t>
            </w:r>
            <w:r>
              <w:rPr>
                <w:sz w:val="22"/>
                <w:szCs w:val="22"/>
                <w:vertAlign w:val="superscript"/>
              </w:rPr>
              <w:t>+</w:t>
            </w:r>
            <w:r>
              <w:rPr>
                <w:sz w:val="22"/>
                <w:szCs w:val="22"/>
              </w:rPr>
              <w:t>、Na</w:t>
            </w:r>
            <w:r>
              <w:rPr>
                <w:sz w:val="22"/>
                <w:szCs w:val="22"/>
                <w:vertAlign w:val="superscript"/>
              </w:rPr>
              <w:t>+</w:t>
            </w:r>
            <w:r>
              <w:rPr>
                <w:sz w:val="22"/>
                <w:szCs w:val="22"/>
              </w:rPr>
              <w:t>、Ca</w:t>
            </w:r>
            <w:r>
              <w:rPr>
                <w:sz w:val="22"/>
                <w:szCs w:val="22"/>
                <w:vertAlign w:val="superscript"/>
              </w:rPr>
              <w:t>2+</w:t>
            </w:r>
            <w:r>
              <w:rPr>
                <w:sz w:val="22"/>
                <w:szCs w:val="22"/>
              </w:rPr>
              <w:t>、Mg</w:t>
            </w:r>
            <w:r>
              <w:rPr>
                <w:sz w:val="22"/>
                <w:szCs w:val="22"/>
                <w:vertAlign w:val="superscript"/>
              </w:rPr>
              <w:t>2+</w:t>
            </w:r>
            <w:r>
              <w:rPr>
                <w:sz w:val="22"/>
                <w:szCs w:val="22"/>
              </w:rPr>
              <w:t>、CO</w:t>
            </w:r>
            <w:r>
              <w:rPr>
                <w:sz w:val="22"/>
                <w:szCs w:val="22"/>
                <w:vertAlign w:val="subscript"/>
              </w:rPr>
              <w:t>3</w:t>
            </w:r>
            <w:r>
              <w:rPr>
                <w:sz w:val="22"/>
                <w:szCs w:val="22"/>
                <w:vertAlign w:val="superscript"/>
              </w:rPr>
              <w:t>2-</w:t>
            </w:r>
            <w:r>
              <w:rPr>
                <w:sz w:val="22"/>
                <w:szCs w:val="22"/>
              </w:rPr>
              <w:t>、HCO</w:t>
            </w:r>
            <w:r>
              <w:rPr>
                <w:sz w:val="22"/>
                <w:szCs w:val="22"/>
                <w:vertAlign w:val="subscript"/>
              </w:rPr>
              <w:t>3</w:t>
            </w:r>
            <w:r>
              <w:rPr>
                <w:sz w:val="22"/>
                <w:szCs w:val="22"/>
                <w:vertAlign w:val="superscript"/>
              </w:rPr>
              <w:t>-</w:t>
            </w:r>
            <w:r>
              <w:rPr>
                <w:sz w:val="22"/>
                <w:szCs w:val="22"/>
              </w:rPr>
              <w:t>、Cl</w:t>
            </w:r>
            <w:r>
              <w:rPr>
                <w:sz w:val="22"/>
                <w:szCs w:val="22"/>
                <w:vertAlign w:val="superscript"/>
              </w:rPr>
              <w:t>-</w:t>
            </w:r>
            <w:r>
              <w:rPr>
                <w:sz w:val="22"/>
                <w:szCs w:val="22"/>
              </w:rPr>
              <w:t>、SO</w:t>
            </w:r>
            <w:r>
              <w:rPr>
                <w:sz w:val="22"/>
                <w:szCs w:val="22"/>
                <w:vertAlign w:val="subscript"/>
              </w:rPr>
              <w:t>4</w:t>
            </w:r>
            <w:r>
              <w:rPr>
                <w:sz w:val="22"/>
                <w:szCs w:val="22"/>
                <w:vertAlign w:val="superscript"/>
              </w:rPr>
              <w:t>2-</w:t>
            </w:r>
            <w:r>
              <w:rPr>
                <w:sz w:val="22"/>
                <w:szCs w:val="22"/>
              </w:rPr>
              <w:t>、</w:t>
            </w:r>
            <w:r>
              <w:rPr>
                <w:rFonts w:hint="eastAsia"/>
                <w:sz w:val="22"/>
                <w:szCs w:val="22"/>
              </w:rPr>
              <w:t>pH、氨氮、硝酸盐、亚硝酸盐、挥发性酚类、氰化物、砷、汞、铬（六价）、总硬度、铅、氟、镉、铁、锰、溶解性总固体、耗氧量、硫酸盐、硫化物、总大肠菌群、菌落总数、钡、氯化物、石油类、COD</w:t>
            </w:r>
          </w:p>
        </w:tc>
        <w:tc>
          <w:tcPr>
            <w:tcW w:w="3296" w:type="dxa"/>
            <w:vAlign w:val="center"/>
          </w:tcPr>
          <w:p w14:paraId="75320DBE">
            <w:pPr>
              <w:adjustRightInd w:val="0"/>
              <w:snapToGrid w:val="0"/>
              <w:jc w:val="center"/>
              <w:rPr>
                <w:sz w:val="22"/>
                <w:szCs w:val="22"/>
              </w:rPr>
            </w:pPr>
            <w:r>
              <w:rPr>
                <w:sz w:val="22"/>
                <w:szCs w:val="22"/>
              </w:rPr>
              <w:t>COD、石油类、氯化物、钡。</w:t>
            </w:r>
          </w:p>
        </w:tc>
      </w:tr>
      <w:tr w14:paraId="115C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Align w:val="center"/>
          </w:tcPr>
          <w:p w14:paraId="4B0A77F0">
            <w:pPr>
              <w:adjustRightInd w:val="0"/>
              <w:snapToGrid w:val="0"/>
              <w:jc w:val="center"/>
              <w:rPr>
                <w:sz w:val="22"/>
                <w:szCs w:val="22"/>
              </w:rPr>
            </w:pPr>
            <w:r>
              <w:rPr>
                <w:sz w:val="22"/>
                <w:szCs w:val="22"/>
              </w:rPr>
              <w:t>噪声</w:t>
            </w:r>
          </w:p>
        </w:tc>
        <w:tc>
          <w:tcPr>
            <w:tcW w:w="4253" w:type="dxa"/>
            <w:vAlign w:val="center"/>
          </w:tcPr>
          <w:p w14:paraId="6BA81BAF">
            <w:pPr>
              <w:adjustRightInd w:val="0"/>
              <w:snapToGrid w:val="0"/>
              <w:jc w:val="center"/>
              <w:rPr>
                <w:sz w:val="22"/>
                <w:szCs w:val="22"/>
              </w:rPr>
            </w:pPr>
            <w:r>
              <w:rPr>
                <w:rFonts w:hint="eastAsia"/>
                <w:sz w:val="22"/>
                <w:szCs w:val="22"/>
              </w:rPr>
              <w:t>昼间等效声级（L</w:t>
            </w:r>
            <w:r>
              <w:rPr>
                <w:rFonts w:hint="eastAsia"/>
                <w:sz w:val="22"/>
                <w:szCs w:val="22"/>
                <w:vertAlign w:val="subscript"/>
              </w:rPr>
              <w:t>d</w:t>
            </w:r>
            <w:r>
              <w:rPr>
                <w:rFonts w:hint="eastAsia"/>
                <w:sz w:val="22"/>
                <w:szCs w:val="22"/>
              </w:rPr>
              <w:t>）、夜间等效声级（L</w:t>
            </w:r>
            <w:r>
              <w:rPr>
                <w:rFonts w:hint="eastAsia"/>
                <w:sz w:val="22"/>
                <w:szCs w:val="22"/>
                <w:vertAlign w:val="subscript"/>
              </w:rPr>
              <w:t>n）</w:t>
            </w:r>
            <w:r>
              <w:rPr>
                <w:sz w:val="22"/>
                <w:szCs w:val="22"/>
              </w:rPr>
              <w:t>。</w:t>
            </w:r>
          </w:p>
        </w:tc>
        <w:tc>
          <w:tcPr>
            <w:tcW w:w="3296" w:type="dxa"/>
            <w:vAlign w:val="center"/>
          </w:tcPr>
          <w:p w14:paraId="2B3AFF30">
            <w:pPr>
              <w:adjustRightInd w:val="0"/>
              <w:snapToGrid w:val="0"/>
              <w:jc w:val="center"/>
              <w:rPr>
                <w:sz w:val="22"/>
                <w:szCs w:val="22"/>
              </w:rPr>
            </w:pPr>
            <w:r>
              <w:rPr>
                <w:rFonts w:hint="eastAsia"/>
                <w:sz w:val="22"/>
                <w:szCs w:val="22"/>
              </w:rPr>
              <w:t>昼间等效声级（L</w:t>
            </w:r>
            <w:r>
              <w:rPr>
                <w:rFonts w:hint="eastAsia"/>
                <w:sz w:val="22"/>
                <w:szCs w:val="22"/>
                <w:vertAlign w:val="subscript"/>
              </w:rPr>
              <w:t>d</w:t>
            </w:r>
            <w:r>
              <w:rPr>
                <w:rFonts w:hint="eastAsia"/>
                <w:sz w:val="22"/>
                <w:szCs w:val="22"/>
              </w:rPr>
              <w:t>）、夜间等效声级（L</w:t>
            </w:r>
            <w:r>
              <w:rPr>
                <w:rFonts w:hint="eastAsia"/>
                <w:sz w:val="22"/>
                <w:szCs w:val="22"/>
                <w:vertAlign w:val="subscript"/>
              </w:rPr>
              <w:t>n</w:t>
            </w:r>
            <w:r>
              <w:rPr>
                <w:rFonts w:hint="eastAsia"/>
                <w:sz w:val="22"/>
                <w:szCs w:val="22"/>
              </w:rPr>
              <w:t>）</w:t>
            </w:r>
            <w:r>
              <w:rPr>
                <w:sz w:val="22"/>
                <w:szCs w:val="22"/>
              </w:rPr>
              <w:t>。</w:t>
            </w:r>
          </w:p>
        </w:tc>
      </w:tr>
      <w:tr w14:paraId="0F36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Align w:val="center"/>
          </w:tcPr>
          <w:p w14:paraId="28F049FD">
            <w:pPr>
              <w:adjustRightInd w:val="0"/>
              <w:snapToGrid w:val="0"/>
              <w:jc w:val="center"/>
              <w:rPr>
                <w:sz w:val="22"/>
                <w:szCs w:val="22"/>
              </w:rPr>
            </w:pPr>
            <w:r>
              <w:rPr>
                <w:sz w:val="22"/>
                <w:szCs w:val="22"/>
              </w:rPr>
              <w:t>土壤</w:t>
            </w:r>
          </w:p>
        </w:tc>
        <w:tc>
          <w:tcPr>
            <w:tcW w:w="4253" w:type="dxa"/>
            <w:vAlign w:val="center"/>
          </w:tcPr>
          <w:p w14:paraId="25532F6D">
            <w:pPr>
              <w:adjustRightInd w:val="0"/>
              <w:snapToGrid w:val="0"/>
              <w:jc w:val="center"/>
              <w:rPr>
                <w:sz w:val="22"/>
                <w:szCs w:val="22"/>
              </w:rPr>
            </w:pPr>
            <w:r>
              <w:rPr>
                <w:rFonts w:hint="eastAsia"/>
                <w:sz w:val="22"/>
                <w:szCs w:val="22"/>
              </w:rPr>
              <w:t>镉、汞、砷、铅、铬、铜、镍、锌、pH、石油烃、氯化物、硫酸盐、钡、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w:t>
            </w:r>
            <w:r>
              <w:rPr>
                <w:sz w:val="22"/>
                <w:szCs w:val="22"/>
              </w:rPr>
              <w:t>k</w:t>
            </w:r>
            <w:r>
              <w:rPr>
                <w:rFonts w:hint="eastAsia"/>
                <w:sz w:val="22"/>
                <w:szCs w:val="22"/>
              </w:rPr>
              <w:t>〕荧蒽、䓛、二苯并〔</w:t>
            </w:r>
            <w:r>
              <w:rPr>
                <w:sz w:val="22"/>
                <w:szCs w:val="22"/>
              </w:rPr>
              <w:t>a</w:t>
            </w:r>
            <w:r>
              <w:rPr>
                <w:rFonts w:hint="eastAsia"/>
                <w:sz w:val="22"/>
                <w:szCs w:val="22"/>
              </w:rPr>
              <w:t>，</w:t>
            </w:r>
            <w:r>
              <w:rPr>
                <w:sz w:val="22"/>
                <w:szCs w:val="22"/>
              </w:rPr>
              <w:t>h</w:t>
            </w:r>
            <w:r>
              <w:rPr>
                <w:rFonts w:hint="eastAsia"/>
                <w:sz w:val="22"/>
                <w:szCs w:val="22"/>
              </w:rPr>
              <w:t>〕蒽、茚并〔</w:t>
            </w:r>
            <w:r>
              <w:rPr>
                <w:sz w:val="22"/>
                <w:szCs w:val="22"/>
              </w:rPr>
              <w:t>1</w:t>
            </w:r>
            <w:r>
              <w:rPr>
                <w:rFonts w:hint="eastAsia"/>
                <w:sz w:val="22"/>
                <w:szCs w:val="22"/>
              </w:rPr>
              <w:t>，</w:t>
            </w:r>
            <w:r>
              <w:rPr>
                <w:sz w:val="22"/>
                <w:szCs w:val="22"/>
              </w:rPr>
              <w:t>2</w:t>
            </w:r>
            <w:r>
              <w:rPr>
                <w:rFonts w:hint="eastAsia"/>
                <w:sz w:val="22"/>
                <w:szCs w:val="22"/>
              </w:rPr>
              <w:t>，</w:t>
            </w:r>
            <w:r>
              <w:rPr>
                <w:sz w:val="22"/>
                <w:szCs w:val="22"/>
              </w:rPr>
              <w:t>3-cd</w:t>
            </w:r>
            <w:r>
              <w:rPr>
                <w:rFonts w:hint="eastAsia"/>
                <w:sz w:val="22"/>
                <w:szCs w:val="22"/>
              </w:rPr>
              <w:t>〕芘、萘。</w:t>
            </w:r>
          </w:p>
        </w:tc>
        <w:tc>
          <w:tcPr>
            <w:tcW w:w="3296" w:type="dxa"/>
            <w:vAlign w:val="center"/>
          </w:tcPr>
          <w:p w14:paraId="034F2B23">
            <w:pPr>
              <w:adjustRightInd w:val="0"/>
              <w:snapToGrid w:val="0"/>
              <w:jc w:val="center"/>
              <w:rPr>
                <w:sz w:val="22"/>
                <w:szCs w:val="22"/>
              </w:rPr>
            </w:pPr>
            <w:r>
              <w:rPr>
                <w:sz w:val="22"/>
                <w:szCs w:val="22"/>
              </w:rPr>
              <w:t>pH、石油烃、氯化物</w:t>
            </w:r>
            <w:r>
              <w:rPr>
                <w:rFonts w:hint="eastAsia"/>
                <w:sz w:val="22"/>
                <w:szCs w:val="22"/>
              </w:rPr>
              <w:t>、钡。</w:t>
            </w:r>
          </w:p>
        </w:tc>
      </w:tr>
      <w:tr w14:paraId="04DC6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Align w:val="center"/>
          </w:tcPr>
          <w:p w14:paraId="3D21C2D1">
            <w:pPr>
              <w:adjustRightInd w:val="0"/>
              <w:snapToGrid w:val="0"/>
              <w:jc w:val="center"/>
              <w:rPr>
                <w:sz w:val="22"/>
                <w:szCs w:val="22"/>
              </w:rPr>
            </w:pPr>
            <w:r>
              <w:rPr>
                <w:sz w:val="22"/>
                <w:szCs w:val="22"/>
              </w:rPr>
              <w:t>生态环境</w:t>
            </w:r>
          </w:p>
        </w:tc>
        <w:tc>
          <w:tcPr>
            <w:tcW w:w="4253" w:type="dxa"/>
            <w:vAlign w:val="center"/>
          </w:tcPr>
          <w:p w14:paraId="533BAFBB">
            <w:pPr>
              <w:adjustRightInd w:val="0"/>
              <w:snapToGrid w:val="0"/>
              <w:jc w:val="center"/>
              <w:rPr>
                <w:sz w:val="22"/>
                <w:szCs w:val="22"/>
              </w:rPr>
            </w:pPr>
            <w:r>
              <w:rPr>
                <w:sz w:val="22"/>
                <w:szCs w:val="22"/>
              </w:rPr>
              <w:t>土地利用、水土流失、陆生生物、水生生物、基本农田、景观等</w:t>
            </w:r>
          </w:p>
        </w:tc>
        <w:tc>
          <w:tcPr>
            <w:tcW w:w="3296" w:type="dxa"/>
            <w:vAlign w:val="center"/>
          </w:tcPr>
          <w:p w14:paraId="33D170AD">
            <w:pPr>
              <w:adjustRightInd w:val="0"/>
              <w:snapToGrid w:val="0"/>
              <w:jc w:val="center"/>
              <w:rPr>
                <w:sz w:val="22"/>
                <w:szCs w:val="22"/>
              </w:rPr>
            </w:pPr>
            <w:r>
              <w:rPr>
                <w:sz w:val="22"/>
                <w:szCs w:val="22"/>
              </w:rPr>
              <w:t>土地利用、水土流失、陆生生物、基本农田、景观等。</w:t>
            </w:r>
          </w:p>
        </w:tc>
      </w:tr>
      <w:tr w14:paraId="03F1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Align w:val="center"/>
          </w:tcPr>
          <w:p w14:paraId="170A4366">
            <w:pPr>
              <w:adjustRightInd w:val="0"/>
              <w:snapToGrid w:val="0"/>
              <w:jc w:val="center"/>
              <w:rPr>
                <w:sz w:val="22"/>
                <w:szCs w:val="22"/>
              </w:rPr>
            </w:pPr>
            <w:r>
              <w:rPr>
                <w:sz w:val="22"/>
                <w:szCs w:val="22"/>
              </w:rPr>
              <w:t>环境风险</w:t>
            </w:r>
          </w:p>
        </w:tc>
        <w:tc>
          <w:tcPr>
            <w:tcW w:w="4253" w:type="dxa"/>
            <w:vAlign w:val="center"/>
          </w:tcPr>
          <w:p w14:paraId="7FC863C9">
            <w:pPr>
              <w:adjustRightInd w:val="0"/>
              <w:snapToGrid w:val="0"/>
              <w:jc w:val="center"/>
              <w:rPr>
                <w:sz w:val="22"/>
                <w:szCs w:val="22"/>
              </w:rPr>
            </w:pPr>
            <w:r>
              <w:rPr>
                <w:sz w:val="22"/>
                <w:szCs w:val="22"/>
              </w:rPr>
              <w:t>/</w:t>
            </w:r>
          </w:p>
        </w:tc>
        <w:tc>
          <w:tcPr>
            <w:tcW w:w="3296" w:type="dxa"/>
            <w:vAlign w:val="center"/>
          </w:tcPr>
          <w:p w14:paraId="45A91E04">
            <w:pPr>
              <w:adjustRightInd w:val="0"/>
              <w:snapToGrid w:val="0"/>
              <w:rPr>
                <w:sz w:val="22"/>
                <w:szCs w:val="22"/>
              </w:rPr>
            </w:pPr>
            <w:r>
              <w:rPr>
                <w:rFonts w:hint="eastAsia"/>
                <w:sz w:val="22"/>
                <w:szCs w:val="22"/>
              </w:rPr>
              <w:t>天然气、气田水、凝析油等物质泄漏，可能的影响后果作定性分析，并提出环境风险防控措施。</w:t>
            </w:r>
          </w:p>
        </w:tc>
      </w:tr>
      <w:tr w14:paraId="0B21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9" w:type="dxa"/>
            <w:vAlign w:val="center"/>
          </w:tcPr>
          <w:p w14:paraId="5B23F920">
            <w:pPr>
              <w:adjustRightInd w:val="0"/>
              <w:snapToGrid w:val="0"/>
              <w:jc w:val="center"/>
              <w:rPr>
                <w:sz w:val="22"/>
                <w:szCs w:val="22"/>
              </w:rPr>
            </w:pPr>
            <w:r>
              <w:rPr>
                <w:sz w:val="22"/>
                <w:szCs w:val="22"/>
              </w:rPr>
              <w:t>固体废物</w:t>
            </w:r>
          </w:p>
        </w:tc>
        <w:tc>
          <w:tcPr>
            <w:tcW w:w="4253" w:type="dxa"/>
            <w:vAlign w:val="center"/>
          </w:tcPr>
          <w:p w14:paraId="0E1931B2">
            <w:pPr>
              <w:adjustRightInd w:val="0"/>
              <w:snapToGrid w:val="0"/>
              <w:jc w:val="center"/>
              <w:rPr>
                <w:sz w:val="22"/>
                <w:szCs w:val="22"/>
              </w:rPr>
            </w:pPr>
            <w:r>
              <w:rPr>
                <w:sz w:val="22"/>
                <w:szCs w:val="22"/>
              </w:rPr>
              <w:t>/</w:t>
            </w:r>
          </w:p>
        </w:tc>
        <w:tc>
          <w:tcPr>
            <w:tcW w:w="3296" w:type="dxa"/>
            <w:vAlign w:val="center"/>
          </w:tcPr>
          <w:p w14:paraId="779430CF">
            <w:pPr>
              <w:adjustRightInd w:val="0"/>
              <w:snapToGrid w:val="0"/>
              <w:jc w:val="center"/>
              <w:rPr>
                <w:sz w:val="22"/>
                <w:szCs w:val="22"/>
              </w:rPr>
            </w:pPr>
            <w:r>
              <w:rPr>
                <w:sz w:val="22"/>
                <w:szCs w:val="22"/>
              </w:rPr>
              <w:t>固废处置合理性。</w:t>
            </w:r>
          </w:p>
        </w:tc>
      </w:tr>
    </w:tbl>
    <w:p w14:paraId="1BD5D6DC">
      <w:pPr>
        <w:pStyle w:val="1379"/>
        <w:ind w:firstLine="440"/>
      </w:pPr>
    </w:p>
    <w:p w14:paraId="75A0771B">
      <w:pPr>
        <w:spacing w:line="460" w:lineRule="exact"/>
        <w:ind w:firstLine="522"/>
        <w:outlineLvl w:val="1"/>
        <w:rPr>
          <w:b/>
          <w:sz w:val="26"/>
          <w:szCs w:val="26"/>
        </w:rPr>
      </w:pPr>
      <w:bookmarkStart w:id="62" w:name="_Toc536297605"/>
      <w:bookmarkStart w:id="63" w:name="_Toc165810457"/>
      <w:bookmarkStart w:id="64" w:name="_Toc219907624"/>
      <w:bookmarkStart w:id="65" w:name="_Toc165809674"/>
      <w:r>
        <w:rPr>
          <w:b/>
          <w:sz w:val="26"/>
          <w:szCs w:val="26"/>
        </w:rPr>
        <w:t>1.4 环境功能区划</w:t>
      </w:r>
      <w:bookmarkEnd w:id="62"/>
      <w:r>
        <w:rPr>
          <w:b/>
          <w:sz w:val="26"/>
          <w:szCs w:val="26"/>
        </w:rPr>
        <w:t>及评价标准</w:t>
      </w:r>
      <w:bookmarkEnd w:id="63"/>
      <w:bookmarkEnd w:id="64"/>
      <w:bookmarkEnd w:id="65"/>
    </w:p>
    <w:p w14:paraId="28064810">
      <w:pPr>
        <w:spacing w:line="460" w:lineRule="exact"/>
        <w:ind w:firstLine="522"/>
        <w:outlineLvl w:val="2"/>
        <w:rPr>
          <w:b/>
          <w:sz w:val="26"/>
          <w:szCs w:val="26"/>
        </w:rPr>
      </w:pPr>
      <w:bookmarkStart w:id="66" w:name="_Toc165810458"/>
      <w:r>
        <w:rPr>
          <w:b/>
          <w:sz w:val="26"/>
          <w:szCs w:val="26"/>
        </w:rPr>
        <w:t xml:space="preserve">1.4.1 </w:t>
      </w:r>
      <w:r>
        <w:rPr>
          <w:b/>
          <w:bCs/>
          <w:sz w:val="26"/>
          <w:szCs w:val="26"/>
        </w:rPr>
        <w:t>环境功能区划及环境质量标准</w:t>
      </w:r>
      <w:bookmarkEnd w:id="66"/>
    </w:p>
    <w:p w14:paraId="14074E07">
      <w:pPr>
        <w:spacing w:line="460" w:lineRule="exact"/>
        <w:ind w:firstLine="509" w:firstLineChars="196"/>
        <w:rPr>
          <w:sz w:val="26"/>
          <w:szCs w:val="26"/>
        </w:rPr>
      </w:pPr>
      <w:r>
        <w:rPr>
          <w:sz w:val="26"/>
          <w:szCs w:val="26"/>
        </w:rPr>
        <w:t>（1）环境空气</w:t>
      </w:r>
    </w:p>
    <w:p w14:paraId="77492F91">
      <w:pPr>
        <w:adjustRightInd w:val="0"/>
        <w:spacing w:line="460" w:lineRule="exact"/>
        <w:ind w:firstLine="520" w:firstLineChars="200"/>
        <w:rPr>
          <w:sz w:val="26"/>
          <w:szCs w:val="26"/>
        </w:rPr>
      </w:pPr>
      <w:r>
        <w:rPr>
          <w:rFonts w:hint="eastAsia"/>
          <w:sz w:val="26"/>
          <w:szCs w:val="26"/>
        </w:rPr>
        <w:t>本项目位于农村区域，属于环境空气二类区。非甲烷总烃参考《大气污染物综合排放标准详解》中制定非甲烷总烃排放标准时选用的环境质量标准，其他污染物执行《环境空气质量标准》（GB3095-20</w:t>
      </w:r>
      <w:r>
        <w:rPr>
          <w:sz w:val="26"/>
          <w:szCs w:val="26"/>
        </w:rPr>
        <w:t>26</w:t>
      </w:r>
      <w:r>
        <w:rPr>
          <w:rFonts w:hint="eastAsia"/>
          <w:sz w:val="26"/>
          <w:szCs w:val="26"/>
        </w:rPr>
        <w:t>）中相关限值。2026年3月1日至2030年12月31日，环境空气污染物基本项目实施过渡阶段浓度限值。详见</w:t>
      </w:r>
      <w:r>
        <w:rPr>
          <w:rFonts w:hint="eastAsia"/>
          <w:sz w:val="26"/>
          <w:szCs w:val="26"/>
          <w:u w:val="single"/>
        </w:rPr>
        <w:t>表1.4-1</w:t>
      </w:r>
      <w:r>
        <w:rPr>
          <w:rFonts w:hint="eastAsia"/>
          <w:sz w:val="26"/>
          <w:szCs w:val="26"/>
        </w:rPr>
        <w:t>。</w:t>
      </w:r>
    </w:p>
    <w:p w14:paraId="4DB2C363">
      <w:pPr>
        <w:pStyle w:val="1379"/>
        <w:ind w:firstLine="440"/>
      </w:pPr>
    </w:p>
    <w:p w14:paraId="5DFE9497">
      <w:pPr>
        <w:pStyle w:val="1065"/>
      </w:pPr>
      <w:r>
        <w:t>表1.4-1    环境空气质量标准    单位：ug/m</w:t>
      </w:r>
      <w:r>
        <w:rPr>
          <w:vertAlign w:val="superscript"/>
        </w:rPr>
        <w:t>3</w:t>
      </w:r>
    </w:p>
    <w:tbl>
      <w:tblPr>
        <w:tblStyle w:val="88"/>
        <w:tblW w:w="89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85" w:type="dxa"/>
          <w:bottom w:w="0" w:type="dxa"/>
          <w:right w:w="85" w:type="dxa"/>
        </w:tblCellMar>
      </w:tblPr>
      <w:tblGrid>
        <w:gridCol w:w="1299"/>
        <w:gridCol w:w="2024"/>
        <w:gridCol w:w="2170"/>
        <w:gridCol w:w="1301"/>
        <w:gridCol w:w="2106"/>
      </w:tblGrid>
      <w:tr w14:paraId="4F25AE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restart"/>
            <w:vAlign w:val="center"/>
          </w:tcPr>
          <w:p w14:paraId="0A9746B7">
            <w:pPr>
              <w:adjustRightInd w:val="0"/>
              <w:snapToGrid w:val="0"/>
              <w:jc w:val="center"/>
              <w:rPr>
                <w:sz w:val="22"/>
                <w:szCs w:val="22"/>
              </w:rPr>
            </w:pPr>
            <w:r>
              <w:rPr>
                <w:sz w:val="22"/>
                <w:szCs w:val="22"/>
              </w:rPr>
              <w:t>污染物</w:t>
            </w:r>
          </w:p>
          <w:p w14:paraId="6880967F">
            <w:pPr>
              <w:adjustRightInd w:val="0"/>
              <w:snapToGrid w:val="0"/>
              <w:jc w:val="center"/>
              <w:rPr>
                <w:sz w:val="22"/>
                <w:szCs w:val="22"/>
              </w:rPr>
            </w:pPr>
            <w:r>
              <w:rPr>
                <w:sz w:val="22"/>
                <w:szCs w:val="22"/>
              </w:rPr>
              <w:t>名称</w:t>
            </w:r>
          </w:p>
        </w:tc>
        <w:tc>
          <w:tcPr>
            <w:tcW w:w="2024" w:type="dxa"/>
            <w:vMerge w:val="restart"/>
            <w:vAlign w:val="center"/>
          </w:tcPr>
          <w:p w14:paraId="281A72EF">
            <w:pPr>
              <w:adjustRightInd w:val="0"/>
              <w:snapToGrid w:val="0"/>
              <w:jc w:val="center"/>
              <w:rPr>
                <w:sz w:val="22"/>
                <w:szCs w:val="22"/>
              </w:rPr>
            </w:pPr>
            <w:r>
              <w:rPr>
                <w:sz w:val="22"/>
                <w:szCs w:val="22"/>
              </w:rPr>
              <w:t>取值时间</w:t>
            </w:r>
          </w:p>
        </w:tc>
        <w:tc>
          <w:tcPr>
            <w:tcW w:w="3471" w:type="dxa"/>
            <w:gridSpan w:val="2"/>
            <w:vAlign w:val="center"/>
          </w:tcPr>
          <w:p w14:paraId="19B80AC6">
            <w:pPr>
              <w:adjustRightInd w:val="0"/>
              <w:snapToGrid w:val="0"/>
              <w:jc w:val="center"/>
              <w:rPr>
                <w:sz w:val="22"/>
                <w:szCs w:val="22"/>
              </w:rPr>
            </w:pPr>
            <w:r>
              <w:rPr>
                <w:rFonts w:hint="eastAsia"/>
                <w:sz w:val="22"/>
                <w:szCs w:val="22"/>
              </w:rPr>
              <w:t>二级</w:t>
            </w:r>
          </w:p>
        </w:tc>
        <w:tc>
          <w:tcPr>
            <w:tcW w:w="2106" w:type="dxa"/>
            <w:vMerge w:val="restart"/>
            <w:vAlign w:val="center"/>
          </w:tcPr>
          <w:p w14:paraId="44822080">
            <w:pPr>
              <w:adjustRightInd w:val="0"/>
              <w:snapToGrid w:val="0"/>
              <w:jc w:val="center"/>
              <w:rPr>
                <w:sz w:val="22"/>
                <w:szCs w:val="22"/>
              </w:rPr>
            </w:pPr>
            <w:r>
              <w:rPr>
                <w:sz w:val="22"/>
                <w:szCs w:val="22"/>
              </w:rPr>
              <w:t>来源</w:t>
            </w:r>
          </w:p>
        </w:tc>
      </w:tr>
      <w:tr w14:paraId="24BF06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continue"/>
            <w:vAlign w:val="center"/>
          </w:tcPr>
          <w:p w14:paraId="73AF1827">
            <w:pPr>
              <w:adjustRightInd w:val="0"/>
              <w:snapToGrid w:val="0"/>
              <w:jc w:val="center"/>
              <w:rPr>
                <w:sz w:val="22"/>
                <w:szCs w:val="22"/>
              </w:rPr>
            </w:pPr>
          </w:p>
        </w:tc>
        <w:tc>
          <w:tcPr>
            <w:tcW w:w="2024" w:type="dxa"/>
            <w:vMerge w:val="continue"/>
            <w:vAlign w:val="center"/>
          </w:tcPr>
          <w:p w14:paraId="1F3E86C8">
            <w:pPr>
              <w:adjustRightInd w:val="0"/>
              <w:snapToGrid w:val="0"/>
              <w:jc w:val="center"/>
              <w:rPr>
                <w:sz w:val="22"/>
                <w:szCs w:val="22"/>
              </w:rPr>
            </w:pPr>
          </w:p>
        </w:tc>
        <w:tc>
          <w:tcPr>
            <w:tcW w:w="2170" w:type="dxa"/>
            <w:vAlign w:val="center"/>
          </w:tcPr>
          <w:p w14:paraId="3CC56ED0">
            <w:pPr>
              <w:adjustRightInd w:val="0"/>
              <w:snapToGrid w:val="0"/>
              <w:jc w:val="center"/>
              <w:rPr>
                <w:sz w:val="22"/>
                <w:szCs w:val="22"/>
              </w:rPr>
            </w:pPr>
            <w:r>
              <w:rPr>
                <w:rFonts w:hint="eastAsia"/>
                <w:sz w:val="22"/>
                <w:szCs w:val="22"/>
              </w:rPr>
              <w:t>过渡阶段</w:t>
            </w:r>
            <w:r>
              <w:rPr>
                <w:sz w:val="22"/>
                <w:szCs w:val="22"/>
              </w:rPr>
              <w:t>浓度限值</w:t>
            </w:r>
          </w:p>
        </w:tc>
        <w:tc>
          <w:tcPr>
            <w:tcW w:w="1301" w:type="dxa"/>
            <w:vAlign w:val="center"/>
          </w:tcPr>
          <w:p w14:paraId="7D38F853">
            <w:pPr>
              <w:adjustRightInd w:val="0"/>
              <w:snapToGrid w:val="0"/>
              <w:jc w:val="center"/>
              <w:rPr>
                <w:sz w:val="22"/>
                <w:szCs w:val="22"/>
              </w:rPr>
            </w:pPr>
            <w:r>
              <w:rPr>
                <w:sz w:val="22"/>
                <w:szCs w:val="22"/>
              </w:rPr>
              <w:t>浓度限值</w:t>
            </w:r>
          </w:p>
        </w:tc>
        <w:tc>
          <w:tcPr>
            <w:tcW w:w="2106" w:type="dxa"/>
            <w:vMerge w:val="continue"/>
            <w:vAlign w:val="center"/>
          </w:tcPr>
          <w:p w14:paraId="0D9B9565">
            <w:pPr>
              <w:adjustRightInd w:val="0"/>
              <w:snapToGrid w:val="0"/>
              <w:jc w:val="center"/>
              <w:rPr>
                <w:sz w:val="22"/>
                <w:szCs w:val="22"/>
              </w:rPr>
            </w:pPr>
          </w:p>
        </w:tc>
      </w:tr>
      <w:tr w14:paraId="138F8E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restart"/>
            <w:vAlign w:val="center"/>
          </w:tcPr>
          <w:p w14:paraId="4F61A42B">
            <w:pPr>
              <w:adjustRightInd w:val="0"/>
              <w:snapToGrid w:val="0"/>
              <w:jc w:val="center"/>
              <w:rPr>
                <w:sz w:val="22"/>
                <w:szCs w:val="22"/>
              </w:rPr>
            </w:pPr>
            <w:r>
              <w:rPr>
                <w:sz w:val="22"/>
                <w:szCs w:val="22"/>
              </w:rPr>
              <w:t>SO</w:t>
            </w:r>
            <w:r>
              <w:rPr>
                <w:sz w:val="22"/>
                <w:szCs w:val="22"/>
                <w:vertAlign w:val="subscript"/>
              </w:rPr>
              <w:t>2</w:t>
            </w:r>
          </w:p>
        </w:tc>
        <w:tc>
          <w:tcPr>
            <w:tcW w:w="2024" w:type="dxa"/>
            <w:vAlign w:val="center"/>
          </w:tcPr>
          <w:p w14:paraId="6FE3EA8C">
            <w:pPr>
              <w:adjustRightInd w:val="0"/>
              <w:snapToGrid w:val="0"/>
              <w:jc w:val="center"/>
              <w:rPr>
                <w:sz w:val="22"/>
                <w:szCs w:val="22"/>
              </w:rPr>
            </w:pPr>
            <w:r>
              <w:rPr>
                <w:sz w:val="22"/>
                <w:szCs w:val="22"/>
              </w:rPr>
              <w:t>1小时平均</w:t>
            </w:r>
          </w:p>
        </w:tc>
        <w:tc>
          <w:tcPr>
            <w:tcW w:w="2170" w:type="dxa"/>
            <w:vAlign w:val="center"/>
          </w:tcPr>
          <w:p w14:paraId="15A9F067">
            <w:pPr>
              <w:adjustRightInd w:val="0"/>
              <w:snapToGrid w:val="0"/>
              <w:jc w:val="center"/>
              <w:rPr>
                <w:sz w:val="22"/>
                <w:szCs w:val="22"/>
              </w:rPr>
            </w:pPr>
            <w:r>
              <w:rPr>
                <w:rFonts w:hint="eastAsia"/>
                <w:sz w:val="22"/>
                <w:szCs w:val="22"/>
              </w:rPr>
              <w:t>5</w:t>
            </w:r>
            <w:r>
              <w:rPr>
                <w:sz w:val="22"/>
                <w:szCs w:val="22"/>
              </w:rPr>
              <w:t>00</w:t>
            </w:r>
          </w:p>
        </w:tc>
        <w:tc>
          <w:tcPr>
            <w:tcW w:w="1301" w:type="dxa"/>
            <w:vAlign w:val="center"/>
          </w:tcPr>
          <w:p w14:paraId="3378567E">
            <w:pPr>
              <w:adjustRightInd w:val="0"/>
              <w:snapToGrid w:val="0"/>
              <w:jc w:val="center"/>
              <w:rPr>
                <w:sz w:val="22"/>
                <w:szCs w:val="22"/>
              </w:rPr>
            </w:pPr>
            <w:r>
              <w:rPr>
                <w:rFonts w:hint="eastAsia"/>
                <w:sz w:val="22"/>
                <w:szCs w:val="22"/>
              </w:rPr>
              <w:t>1</w:t>
            </w:r>
            <w:r>
              <w:rPr>
                <w:sz w:val="22"/>
                <w:szCs w:val="22"/>
              </w:rPr>
              <w:t>50</w:t>
            </w:r>
          </w:p>
        </w:tc>
        <w:tc>
          <w:tcPr>
            <w:tcW w:w="2106" w:type="dxa"/>
            <w:vMerge w:val="restart"/>
            <w:vAlign w:val="center"/>
          </w:tcPr>
          <w:p w14:paraId="2A9AE6A8">
            <w:pPr>
              <w:adjustRightInd w:val="0"/>
              <w:snapToGrid w:val="0"/>
              <w:jc w:val="center"/>
              <w:rPr>
                <w:sz w:val="22"/>
                <w:szCs w:val="22"/>
              </w:rPr>
            </w:pPr>
            <w:r>
              <w:rPr>
                <w:rFonts w:hint="eastAsia"/>
                <w:sz w:val="22"/>
                <w:szCs w:val="22"/>
              </w:rPr>
              <w:t>《环境空气质量标准》（GB3095-2026）</w:t>
            </w:r>
          </w:p>
        </w:tc>
      </w:tr>
      <w:tr w14:paraId="70B314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continue"/>
            <w:vAlign w:val="center"/>
          </w:tcPr>
          <w:p w14:paraId="0557CBCF">
            <w:pPr>
              <w:adjustRightInd w:val="0"/>
              <w:snapToGrid w:val="0"/>
              <w:jc w:val="center"/>
              <w:rPr>
                <w:sz w:val="22"/>
                <w:szCs w:val="22"/>
              </w:rPr>
            </w:pPr>
          </w:p>
        </w:tc>
        <w:tc>
          <w:tcPr>
            <w:tcW w:w="2024" w:type="dxa"/>
            <w:vAlign w:val="center"/>
          </w:tcPr>
          <w:p w14:paraId="1432805F">
            <w:pPr>
              <w:adjustRightInd w:val="0"/>
              <w:snapToGrid w:val="0"/>
              <w:jc w:val="center"/>
              <w:rPr>
                <w:sz w:val="22"/>
                <w:szCs w:val="22"/>
              </w:rPr>
            </w:pPr>
            <w:r>
              <w:rPr>
                <w:sz w:val="22"/>
                <w:szCs w:val="22"/>
              </w:rPr>
              <w:t>日平均</w:t>
            </w:r>
          </w:p>
        </w:tc>
        <w:tc>
          <w:tcPr>
            <w:tcW w:w="2170" w:type="dxa"/>
            <w:vAlign w:val="center"/>
          </w:tcPr>
          <w:p w14:paraId="70736A84">
            <w:pPr>
              <w:adjustRightInd w:val="0"/>
              <w:snapToGrid w:val="0"/>
              <w:jc w:val="center"/>
              <w:rPr>
                <w:sz w:val="22"/>
                <w:szCs w:val="22"/>
              </w:rPr>
            </w:pPr>
            <w:r>
              <w:rPr>
                <w:rFonts w:hint="eastAsia"/>
                <w:sz w:val="22"/>
                <w:szCs w:val="22"/>
              </w:rPr>
              <w:t>1</w:t>
            </w:r>
            <w:r>
              <w:rPr>
                <w:sz w:val="22"/>
                <w:szCs w:val="22"/>
              </w:rPr>
              <w:t>50</w:t>
            </w:r>
          </w:p>
        </w:tc>
        <w:tc>
          <w:tcPr>
            <w:tcW w:w="1301" w:type="dxa"/>
            <w:vAlign w:val="center"/>
          </w:tcPr>
          <w:p w14:paraId="16CA3807">
            <w:pPr>
              <w:adjustRightInd w:val="0"/>
              <w:snapToGrid w:val="0"/>
              <w:jc w:val="center"/>
              <w:rPr>
                <w:sz w:val="22"/>
                <w:szCs w:val="22"/>
              </w:rPr>
            </w:pPr>
            <w:r>
              <w:rPr>
                <w:rFonts w:hint="eastAsia"/>
                <w:sz w:val="22"/>
                <w:szCs w:val="22"/>
              </w:rPr>
              <w:t>5</w:t>
            </w:r>
            <w:r>
              <w:rPr>
                <w:sz w:val="22"/>
                <w:szCs w:val="22"/>
              </w:rPr>
              <w:t>0</w:t>
            </w:r>
          </w:p>
        </w:tc>
        <w:tc>
          <w:tcPr>
            <w:tcW w:w="2106" w:type="dxa"/>
            <w:vMerge w:val="continue"/>
            <w:vAlign w:val="center"/>
          </w:tcPr>
          <w:p w14:paraId="66D41193">
            <w:pPr>
              <w:adjustRightInd w:val="0"/>
              <w:snapToGrid w:val="0"/>
              <w:jc w:val="center"/>
              <w:rPr>
                <w:sz w:val="22"/>
                <w:szCs w:val="22"/>
              </w:rPr>
            </w:pPr>
          </w:p>
        </w:tc>
      </w:tr>
      <w:tr w14:paraId="382944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continue"/>
            <w:vAlign w:val="center"/>
          </w:tcPr>
          <w:p w14:paraId="212A8734">
            <w:pPr>
              <w:adjustRightInd w:val="0"/>
              <w:snapToGrid w:val="0"/>
              <w:jc w:val="center"/>
              <w:rPr>
                <w:sz w:val="22"/>
                <w:szCs w:val="22"/>
              </w:rPr>
            </w:pPr>
          </w:p>
        </w:tc>
        <w:tc>
          <w:tcPr>
            <w:tcW w:w="2024" w:type="dxa"/>
            <w:vAlign w:val="center"/>
          </w:tcPr>
          <w:p w14:paraId="7791AA55">
            <w:pPr>
              <w:adjustRightInd w:val="0"/>
              <w:snapToGrid w:val="0"/>
              <w:jc w:val="center"/>
              <w:rPr>
                <w:sz w:val="22"/>
                <w:szCs w:val="22"/>
              </w:rPr>
            </w:pPr>
            <w:r>
              <w:rPr>
                <w:sz w:val="22"/>
                <w:szCs w:val="22"/>
              </w:rPr>
              <w:t>年平均</w:t>
            </w:r>
          </w:p>
        </w:tc>
        <w:tc>
          <w:tcPr>
            <w:tcW w:w="2170" w:type="dxa"/>
            <w:vAlign w:val="center"/>
          </w:tcPr>
          <w:p w14:paraId="2A4073EB">
            <w:pPr>
              <w:adjustRightInd w:val="0"/>
              <w:snapToGrid w:val="0"/>
              <w:jc w:val="center"/>
              <w:rPr>
                <w:sz w:val="22"/>
                <w:szCs w:val="22"/>
              </w:rPr>
            </w:pPr>
            <w:r>
              <w:rPr>
                <w:rFonts w:hint="eastAsia"/>
                <w:sz w:val="22"/>
                <w:szCs w:val="22"/>
              </w:rPr>
              <w:t>6</w:t>
            </w:r>
            <w:r>
              <w:rPr>
                <w:sz w:val="22"/>
                <w:szCs w:val="22"/>
              </w:rPr>
              <w:t>0</w:t>
            </w:r>
          </w:p>
        </w:tc>
        <w:tc>
          <w:tcPr>
            <w:tcW w:w="1301" w:type="dxa"/>
            <w:vAlign w:val="center"/>
          </w:tcPr>
          <w:p w14:paraId="05ABCDB9">
            <w:pPr>
              <w:adjustRightInd w:val="0"/>
              <w:snapToGrid w:val="0"/>
              <w:jc w:val="center"/>
              <w:rPr>
                <w:sz w:val="22"/>
                <w:szCs w:val="22"/>
              </w:rPr>
            </w:pPr>
            <w:r>
              <w:rPr>
                <w:rFonts w:hint="eastAsia"/>
                <w:sz w:val="22"/>
                <w:szCs w:val="22"/>
              </w:rPr>
              <w:t>2</w:t>
            </w:r>
            <w:r>
              <w:rPr>
                <w:sz w:val="22"/>
                <w:szCs w:val="22"/>
              </w:rPr>
              <w:t>0</w:t>
            </w:r>
          </w:p>
        </w:tc>
        <w:tc>
          <w:tcPr>
            <w:tcW w:w="2106" w:type="dxa"/>
            <w:vMerge w:val="continue"/>
            <w:vAlign w:val="center"/>
          </w:tcPr>
          <w:p w14:paraId="2AFFF365">
            <w:pPr>
              <w:adjustRightInd w:val="0"/>
              <w:snapToGrid w:val="0"/>
              <w:jc w:val="center"/>
              <w:rPr>
                <w:sz w:val="22"/>
                <w:szCs w:val="22"/>
              </w:rPr>
            </w:pPr>
          </w:p>
        </w:tc>
      </w:tr>
      <w:tr w14:paraId="3C1076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restart"/>
            <w:vAlign w:val="center"/>
          </w:tcPr>
          <w:p w14:paraId="2238C845">
            <w:pPr>
              <w:adjustRightInd w:val="0"/>
              <w:snapToGrid w:val="0"/>
              <w:jc w:val="center"/>
              <w:rPr>
                <w:sz w:val="22"/>
                <w:szCs w:val="22"/>
              </w:rPr>
            </w:pPr>
            <w:r>
              <w:rPr>
                <w:sz w:val="22"/>
                <w:szCs w:val="22"/>
              </w:rPr>
              <w:t>NO</w:t>
            </w:r>
            <w:r>
              <w:rPr>
                <w:sz w:val="22"/>
                <w:szCs w:val="22"/>
                <w:vertAlign w:val="subscript"/>
              </w:rPr>
              <w:t>2</w:t>
            </w:r>
          </w:p>
        </w:tc>
        <w:tc>
          <w:tcPr>
            <w:tcW w:w="2024" w:type="dxa"/>
            <w:vAlign w:val="center"/>
          </w:tcPr>
          <w:p w14:paraId="7767C51F">
            <w:pPr>
              <w:adjustRightInd w:val="0"/>
              <w:snapToGrid w:val="0"/>
              <w:jc w:val="center"/>
              <w:rPr>
                <w:sz w:val="22"/>
                <w:szCs w:val="22"/>
              </w:rPr>
            </w:pPr>
            <w:r>
              <w:rPr>
                <w:sz w:val="22"/>
                <w:szCs w:val="22"/>
              </w:rPr>
              <w:t>1小时平均</w:t>
            </w:r>
          </w:p>
        </w:tc>
        <w:tc>
          <w:tcPr>
            <w:tcW w:w="2170" w:type="dxa"/>
            <w:vAlign w:val="center"/>
          </w:tcPr>
          <w:p w14:paraId="63023018">
            <w:pPr>
              <w:adjustRightInd w:val="0"/>
              <w:snapToGrid w:val="0"/>
              <w:jc w:val="center"/>
              <w:rPr>
                <w:sz w:val="22"/>
                <w:szCs w:val="22"/>
              </w:rPr>
            </w:pPr>
            <w:r>
              <w:rPr>
                <w:rFonts w:hint="eastAsia"/>
                <w:sz w:val="22"/>
                <w:szCs w:val="22"/>
              </w:rPr>
              <w:t>2</w:t>
            </w:r>
            <w:r>
              <w:rPr>
                <w:sz w:val="22"/>
                <w:szCs w:val="22"/>
              </w:rPr>
              <w:t>00</w:t>
            </w:r>
          </w:p>
        </w:tc>
        <w:tc>
          <w:tcPr>
            <w:tcW w:w="1301" w:type="dxa"/>
            <w:vAlign w:val="center"/>
          </w:tcPr>
          <w:p w14:paraId="65FBF00B">
            <w:pPr>
              <w:adjustRightInd w:val="0"/>
              <w:snapToGrid w:val="0"/>
              <w:jc w:val="center"/>
              <w:rPr>
                <w:sz w:val="22"/>
                <w:szCs w:val="22"/>
              </w:rPr>
            </w:pPr>
            <w:r>
              <w:rPr>
                <w:rFonts w:hint="eastAsia"/>
                <w:sz w:val="22"/>
                <w:szCs w:val="22"/>
              </w:rPr>
              <w:t>2</w:t>
            </w:r>
            <w:r>
              <w:rPr>
                <w:sz w:val="22"/>
                <w:szCs w:val="22"/>
              </w:rPr>
              <w:t>00</w:t>
            </w:r>
          </w:p>
        </w:tc>
        <w:tc>
          <w:tcPr>
            <w:tcW w:w="2106" w:type="dxa"/>
            <w:vMerge w:val="continue"/>
            <w:vAlign w:val="center"/>
          </w:tcPr>
          <w:p w14:paraId="0D34C259">
            <w:pPr>
              <w:adjustRightInd w:val="0"/>
              <w:snapToGrid w:val="0"/>
              <w:jc w:val="center"/>
              <w:rPr>
                <w:sz w:val="22"/>
                <w:szCs w:val="22"/>
              </w:rPr>
            </w:pPr>
          </w:p>
        </w:tc>
      </w:tr>
      <w:tr w14:paraId="4EA85B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continue"/>
            <w:vAlign w:val="center"/>
          </w:tcPr>
          <w:p w14:paraId="5E9DC4E4">
            <w:pPr>
              <w:adjustRightInd w:val="0"/>
              <w:snapToGrid w:val="0"/>
              <w:jc w:val="center"/>
              <w:rPr>
                <w:sz w:val="22"/>
                <w:szCs w:val="22"/>
              </w:rPr>
            </w:pPr>
          </w:p>
        </w:tc>
        <w:tc>
          <w:tcPr>
            <w:tcW w:w="2024" w:type="dxa"/>
            <w:vAlign w:val="center"/>
          </w:tcPr>
          <w:p w14:paraId="65973CDC">
            <w:pPr>
              <w:adjustRightInd w:val="0"/>
              <w:snapToGrid w:val="0"/>
              <w:jc w:val="center"/>
              <w:rPr>
                <w:sz w:val="22"/>
                <w:szCs w:val="22"/>
              </w:rPr>
            </w:pPr>
            <w:r>
              <w:rPr>
                <w:sz w:val="22"/>
                <w:szCs w:val="22"/>
              </w:rPr>
              <w:t>日平均</w:t>
            </w:r>
          </w:p>
        </w:tc>
        <w:tc>
          <w:tcPr>
            <w:tcW w:w="2170" w:type="dxa"/>
            <w:vAlign w:val="center"/>
          </w:tcPr>
          <w:p w14:paraId="7606C28C">
            <w:pPr>
              <w:adjustRightInd w:val="0"/>
              <w:snapToGrid w:val="0"/>
              <w:jc w:val="center"/>
              <w:rPr>
                <w:sz w:val="22"/>
                <w:szCs w:val="22"/>
              </w:rPr>
            </w:pPr>
            <w:r>
              <w:rPr>
                <w:rFonts w:hint="eastAsia"/>
                <w:sz w:val="22"/>
                <w:szCs w:val="22"/>
              </w:rPr>
              <w:t>8</w:t>
            </w:r>
            <w:r>
              <w:rPr>
                <w:sz w:val="22"/>
                <w:szCs w:val="22"/>
              </w:rPr>
              <w:t>0</w:t>
            </w:r>
          </w:p>
        </w:tc>
        <w:tc>
          <w:tcPr>
            <w:tcW w:w="1301" w:type="dxa"/>
            <w:vAlign w:val="center"/>
          </w:tcPr>
          <w:p w14:paraId="7C627402">
            <w:pPr>
              <w:adjustRightInd w:val="0"/>
              <w:snapToGrid w:val="0"/>
              <w:jc w:val="center"/>
              <w:rPr>
                <w:sz w:val="22"/>
                <w:szCs w:val="22"/>
              </w:rPr>
            </w:pPr>
            <w:r>
              <w:rPr>
                <w:rFonts w:hint="eastAsia"/>
                <w:sz w:val="22"/>
                <w:szCs w:val="22"/>
              </w:rPr>
              <w:t>5</w:t>
            </w:r>
            <w:r>
              <w:rPr>
                <w:sz w:val="22"/>
                <w:szCs w:val="22"/>
              </w:rPr>
              <w:t>0</w:t>
            </w:r>
          </w:p>
        </w:tc>
        <w:tc>
          <w:tcPr>
            <w:tcW w:w="2106" w:type="dxa"/>
            <w:vMerge w:val="continue"/>
            <w:vAlign w:val="center"/>
          </w:tcPr>
          <w:p w14:paraId="68097A5E">
            <w:pPr>
              <w:adjustRightInd w:val="0"/>
              <w:snapToGrid w:val="0"/>
              <w:jc w:val="center"/>
              <w:rPr>
                <w:sz w:val="22"/>
                <w:szCs w:val="22"/>
              </w:rPr>
            </w:pPr>
          </w:p>
        </w:tc>
      </w:tr>
      <w:tr w14:paraId="4E5BBF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continue"/>
            <w:vAlign w:val="center"/>
          </w:tcPr>
          <w:p w14:paraId="2BDAEBD6">
            <w:pPr>
              <w:adjustRightInd w:val="0"/>
              <w:snapToGrid w:val="0"/>
              <w:jc w:val="center"/>
              <w:rPr>
                <w:sz w:val="22"/>
                <w:szCs w:val="22"/>
              </w:rPr>
            </w:pPr>
          </w:p>
        </w:tc>
        <w:tc>
          <w:tcPr>
            <w:tcW w:w="2024" w:type="dxa"/>
            <w:vAlign w:val="center"/>
          </w:tcPr>
          <w:p w14:paraId="089643B1">
            <w:pPr>
              <w:adjustRightInd w:val="0"/>
              <w:snapToGrid w:val="0"/>
              <w:jc w:val="center"/>
              <w:rPr>
                <w:sz w:val="22"/>
                <w:szCs w:val="22"/>
              </w:rPr>
            </w:pPr>
            <w:r>
              <w:rPr>
                <w:sz w:val="22"/>
                <w:szCs w:val="22"/>
              </w:rPr>
              <w:t>年平均</w:t>
            </w:r>
          </w:p>
        </w:tc>
        <w:tc>
          <w:tcPr>
            <w:tcW w:w="2170" w:type="dxa"/>
            <w:vAlign w:val="center"/>
          </w:tcPr>
          <w:p w14:paraId="07AF93B4">
            <w:pPr>
              <w:adjustRightInd w:val="0"/>
              <w:snapToGrid w:val="0"/>
              <w:jc w:val="center"/>
              <w:rPr>
                <w:sz w:val="22"/>
                <w:szCs w:val="22"/>
              </w:rPr>
            </w:pPr>
            <w:r>
              <w:rPr>
                <w:rFonts w:hint="eastAsia"/>
                <w:sz w:val="22"/>
                <w:szCs w:val="22"/>
              </w:rPr>
              <w:t>4</w:t>
            </w:r>
            <w:r>
              <w:rPr>
                <w:sz w:val="22"/>
                <w:szCs w:val="22"/>
              </w:rPr>
              <w:t>0</w:t>
            </w:r>
          </w:p>
        </w:tc>
        <w:tc>
          <w:tcPr>
            <w:tcW w:w="1301" w:type="dxa"/>
            <w:vAlign w:val="center"/>
          </w:tcPr>
          <w:p w14:paraId="75C20EEB">
            <w:pPr>
              <w:adjustRightInd w:val="0"/>
              <w:snapToGrid w:val="0"/>
              <w:jc w:val="center"/>
              <w:rPr>
                <w:sz w:val="22"/>
                <w:szCs w:val="22"/>
              </w:rPr>
            </w:pPr>
            <w:r>
              <w:rPr>
                <w:rFonts w:hint="eastAsia"/>
                <w:sz w:val="22"/>
                <w:szCs w:val="22"/>
              </w:rPr>
              <w:t>3</w:t>
            </w:r>
            <w:r>
              <w:rPr>
                <w:sz w:val="22"/>
                <w:szCs w:val="22"/>
              </w:rPr>
              <w:t>0</w:t>
            </w:r>
          </w:p>
        </w:tc>
        <w:tc>
          <w:tcPr>
            <w:tcW w:w="2106" w:type="dxa"/>
            <w:vMerge w:val="continue"/>
            <w:vAlign w:val="center"/>
          </w:tcPr>
          <w:p w14:paraId="30C345DB">
            <w:pPr>
              <w:adjustRightInd w:val="0"/>
              <w:snapToGrid w:val="0"/>
              <w:jc w:val="center"/>
              <w:rPr>
                <w:sz w:val="22"/>
                <w:szCs w:val="22"/>
              </w:rPr>
            </w:pPr>
          </w:p>
        </w:tc>
      </w:tr>
      <w:tr w14:paraId="401754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restart"/>
            <w:vAlign w:val="center"/>
          </w:tcPr>
          <w:p w14:paraId="30CA618E">
            <w:pPr>
              <w:adjustRightInd w:val="0"/>
              <w:snapToGrid w:val="0"/>
              <w:jc w:val="center"/>
              <w:rPr>
                <w:sz w:val="22"/>
                <w:szCs w:val="22"/>
              </w:rPr>
            </w:pPr>
            <w:r>
              <w:rPr>
                <w:sz w:val="22"/>
                <w:szCs w:val="22"/>
              </w:rPr>
              <w:t>PM</w:t>
            </w:r>
            <w:r>
              <w:rPr>
                <w:sz w:val="22"/>
                <w:szCs w:val="22"/>
                <w:vertAlign w:val="subscript"/>
              </w:rPr>
              <w:t>10</w:t>
            </w:r>
          </w:p>
        </w:tc>
        <w:tc>
          <w:tcPr>
            <w:tcW w:w="2024" w:type="dxa"/>
            <w:vAlign w:val="center"/>
          </w:tcPr>
          <w:p w14:paraId="5F0D5296">
            <w:pPr>
              <w:adjustRightInd w:val="0"/>
              <w:snapToGrid w:val="0"/>
              <w:jc w:val="center"/>
              <w:rPr>
                <w:sz w:val="22"/>
                <w:szCs w:val="22"/>
              </w:rPr>
            </w:pPr>
            <w:r>
              <w:rPr>
                <w:sz w:val="22"/>
                <w:szCs w:val="22"/>
              </w:rPr>
              <w:t>日平均</w:t>
            </w:r>
          </w:p>
        </w:tc>
        <w:tc>
          <w:tcPr>
            <w:tcW w:w="2170" w:type="dxa"/>
            <w:vAlign w:val="center"/>
          </w:tcPr>
          <w:p w14:paraId="1D2621B5">
            <w:pPr>
              <w:adjustRightInd w:val="0"/>
              <w:snapToGrid w:val="0"/>
              <w:jc w:val="center"/>
              <w:rPr>
                <w:sz w:val="22"/>
                <w:szCs w:val="22"/>
              </w:rPr>
            </w:pPr>
            <w:r>
              <w:rPr>
                <w:rFonts w:hint="eastAsia"/>
                <w:sz w:val="22"/>
                <w:szCs w:val="22"/>
              </w:rPr>
              <w:t>1</w:t>
            </w:r>
            <w:r>
              <w:rPr>
                <w:sz w:val="22"/>
                <w:szCs w:val="22"/>
              </w:rPr>
              <w:t>20</w:t>
            </w:r>
          </w:p>
        </w:tc>
        <w:tc>
          <w:tcPr>
            <w:tcW w:w="1301" w:type="dxa"/>
            <w:vAlign w:val="center"/>
          </w:tcPr>
          <w:p w14:paraId="5AE7CEBB">
            <w:pPr>
              <w:adjustRightInd w:val="0"/>
              <w:snapToGrid w:val="0"/>
              <w:jc w:val="center"/>
              <w:rPr>
                <w:sz w:val="22"/>
                <w:szCs w:val="22"/>
              </w:rPr>
            </w:pPr>
            <w:r>
              <w:rPr>
                <w:rFonts w:hint="eastAsia"/>
                <w:sz w:val="22"/>
                <w:szCs w:val="22"/>
              </w:rPr>
              <w:t>1</w:t>
            </w:r>
            <w:r>
              <w:rPr>
                <w:sz w:val="22"/>
                <w:szCs w:val="22"/>
              </w:rPr>
              <w:t>00</w:t>
            </w:r>
          </w:p>
        </w:tc>
        <w:tc>
          <w:tcPr>
            <w:tcW w:w="2106" w:type="dxa"/>
            <w:vMerge w:val="continue"/>
            <w:vAlign w:val="center"/>
          </w:tcPr>
          <w:p w14:paraId="09F2BBB2">
            <w:pPr>
              <w:adjustRightInd w:val="0"/>
              <w:snapToGrid w:val="0"/>
              <w:jc w:val="center"/>
              <w:rPr>
                <w:sz w:val="22"/>
                <w:szCs w:val="22"/>
              </w:rPr>
            </w:pPr>
          </w:p>
        </w:tc>
      </w:tr>
      <w:tr w14:paraId="53C78D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continue"/>
            <w:vAlign w:val="center"/>
          </w:tcPr>
          <w:p w14:paraId="5A0D20B2">
            <w:pPr>
              <w:adjustRightInd w:val="0"/>
              <w:snapToGrid w:val="0"/>
              <w:jc w:val="center"/>
              <w:rPr>
                <w:sz w:val="22"/>
                <w:szCs w:val="22"/>
              </w:rPr>
            </w:pPr>
          </w:p>
        </w:tc>
        <w:tc>
          <w:tcPr>
            <w:tcW w:w="2024" w:type="dxa"/>
            <w:vAlign w:val="center"/>
          </w:tcPr>
          <w:p w14:paraId="44AC387C">
            <w:pPr>
              <w:adjustRightInd w:val="0"/>
              <w:snapToGrid w:val="0"/>
              <w:jc w:val="center"/>
              <w:rPr>
                <w:sz w:val="22"/>
                <w:szCs w:val="22"/>
              </w:rPr>
            </w:pPr>
            <w:r>
              <w:rPr>
                <w:sz w:val="22"/>
                <w:szCs w:val="22"/>
              </w:rPr>
              <w:t>年平均</w:t>
            </w:r>
          </w:p>
        </w:tc>
        <w:tc>
          <w:tcPr>
            <w:tcW w:w="2170" w:type="dxa"/>
            <w:vAlign w:val="center"/>
          </w:tcPr>
          <w:p w14:paraId="1DFFD580">
            <w:pPr>
              <w:adjustRightInd w:val="0"/>
              <w:snapToGrid w:val="0"/>
              <w:jc w:val="center"/>
              <w:rPr>
                <w:sz w:val="22"/>
                <w:szCs w:val="22"/>
              </w:rPr>
            </w:pPr>
            <w:r>
              <w:rPr>
                <w:rFonts w:hint="eastAsia"/>
                <w:sz w:val="22"/>
                <w:szCs w:val="22"/>
              </w:rPr>
              <w:t>6</w:t>
            </w:r>
            <w:r>
              <w:rPr>
                <w:sz w:val="22"/>
                <w:szCs w:val="22"/>
              </w:rPr>
              <w:t>0</w:t>
            </w:r>
          </w:p>
        </w:tc>
        <w:tc>
          <w:tcPr>
            <w:tcW w:w="1301" w:type="dxa"/>
            <w:vAlign w:val="center"/>
          </w:tcPr>
          <w:p w14:paraId="7AAE4AEA">
            <w:pPr>
              <w:adjustRightInd w:val="0"/>
              <w:snapToGrid w:val="0"/>
              <w:jc w:val="center"/>
              <w:rPr>
                <w:sz w:val="22"/>
                <w:szCs w:val="22"/>
              </w:rPr>
            </w:pPr>
            <w:r>
              <w:rPr>
                <w:rFonts w:hint="eastAsia"/>
                <w:sz w:val="22"/>
                <w:szCs w:val="22"/>
              </w:rPr>
              <w:t>5</w:t>
            </w:r>
            <w:r>
              <w:rPr>
                <w:sz w:val="22"/>
                <w:szCs w:val="22"/>
              </w:rPr>
              <w:t>0</w:t>
            </w:r>
          </w:p>
        </w:tc>
        <w:tc>
          <w:tcPr>
            <w:tcW w:w="2106" w:type="dxa"/>
            <w:vMerge w:val="continue"/>
            <w:vAlign w:val="center"/>
          </w:tcPr>
          <w:p w14:paraId="0B7CF4CA">
            <w:pPr>
              <w:adjustRightInd w:val="0"/>
              <w:snapToGrid w:val="0"/>
              <w:jc w:val="center"/>
              <w:rPr>
                <w:sz w:val="22"/>
                <w:szCs w:val="22"/>
              </w:rPr>
            </w:pPr>
          </w:p>
        </w:tc>
      </w:tr>
      <w:tr w14:paraId="4386FA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restart"/>
            <w:vAlign w:val="center"/>
          </w:tcPr>
          <w:p w14:paraId="298F0FFA">
            <w:pPr>
              <w:widowControl/>
              <w:adjustRightInd w:val="0"/>
              <w:snapToGrid w:val="0"/>
              <w:jc w:val="center"/>
              <w:rPr>
                <w:sz w:val="22"/>
                <w:szCs w:val="22"/>
              </w:rPr>
            </w:pPr>
            <w:r>
              <w:rPr>
                <w:sz w:val="22"/>
                <w:szCs w:val="22"/>
              </w:rPr>
              <w:t>PM</w:t>
            </w:r>
            <w:r>
              <w:rPr>
                <w:sz w:val="22"/>
                <w:szCs w:val="22"/>
                <w:vertAlign w:val="subscript"/>
              </w:rPr>
              <w:t>2.5</w:t>
            </w:r>
          </w:p>
        </w:tc>
        <w:tc>
          <w:tcPr>
            <w:tcW w:w="2024" w:type="dxa"/>
            <w:vAlign w:val="center"/>
          </w:tcPr>
          <w:p w14:paraId="7064BFE9">
            <w:pPr>
              <w:widowControl/>
              <w:adjustRightInd w:val="0"/>
              <w:snapToGrid w:val="0"/>
              <w:jc w:val="center"/>
              <w:rPr>
                <w:sz w:val="22"/>
                <w:szCs w:val="22"/>
              </w:rPr>
            </w:pPr>
            <w:r>
              <w:rPr>
                <w:sz w:val="22"/>
                <w:szCs w:val="22"/>
              </w:rPr>
              <w:t>日平均</w:t>
            </w:r>
          </w:p>
        </w:tc>
        <w:tc>
          <w:tcPr>
            <w:tcW w:w="2170" w:type="dxa"/>
            <w:vAlign w:val="center"/>
          </w:tcPr>
          <w:p w14:paraId="64234288">
            <w:pPr>
              <w:widowControl/>
              <w:adjustRightInd w:val="0"/>
              <w:snapToGrid w:val="0"/>
              <w:jc w:val="center"/>
              <w:rPr>
                <w:sz w:val="22"/>
                <w:szCs w:val="22"/>
              </w:rPr>
            </w:pPr>
            <w:r>
              <w:rPr>
                <w:rFonts w:hint="eastAsia"/>
                <w:sz w:val="22"/>
                <w:szCs w:val="22"/>
              </w:rPr>
              <w:t>6</w:t>
            </w:r>
            <w:r>
              <w:rPr>
                <w:sz w:val="22"/>
                <w:szCs w:val="22"/>
              </w:rPr>
              <w:t>0</w:t>
            </w:r>
          </w:p>
        </w:tc>
        <w:tc>
          <w:tcPr>
            <w:tcW w:w="1301" w:type="dxa"/>
            <w:vAlign w:val="center"/>
          </w:tcPr>
          <w:p w14:paraId="37BC4308">
            <w:pPr>
              <w:widowControl/>
              <w:adjustRightInd w:val="0"/>
              <w:snapToGrid w:val="0"/>
              <w:jc w:val="center"/>
              <w:rPr>
                <w:sz w:val="22"/>
                <w:szCs w:val="22"/>
              </w:rPr>
            </w:pPr>
            <w:r>
              <w:rPr>
                <w:rFonts w:hint="eastAsia"/>
                <w:sz w:val="22"/>
                <w:szCs w:val="22"/>
              </w:rPr>
              <w:t>5</w:t>
            </w:r>
            <w:r>
              <w:rPr>
                <w:sz w:val="22"/>
                <w:szCs w:val="22"/>
              </w:rPr>
              <w:t>0</w:t>
            </w:r>
          </w:p>
        </w:tc>
        <w:tc>
          <w:tcPr>
            <w:tcW w:w="2106" w:type="dxa"/>
            <w:vMerge w:val="continue"/>
            <w:vAlign w:val="center"/>
          </w:tcPr>
          <w:p w14:paraId="4C646BC3">
            <w:pPr>
              <w:widowControl/>
              <w:adjustRightInd w:val="0"/>
              <w:snapToGrid w:val="0"/>
              <w:jc w:val="center"/>
              <w:rPr>
                <w:sz w:val="22"/>
                <w:szCs w:val="22"/>
              </w:rPr>
            </w:pPr>
          </w:p>
        </w:tc>
      </w:tr>
      <w:tr w14:paraId="6F0193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continue"/>
            <w:vAlign w:val="center"/>
          </w:tcPr>
          <w:p w14:paraId="2C3A2324">
            <w:pPr>
              <w:widowControl/>
              <w:adjustRightInd w:val="0"/>
              <w:snapToGrid w:val="0"/>
              <w:jc w:val="center"/>
              <w:rPr>
                <w:sz w:val="22"/>
                <w:szCs w:val="22"/>
              </w:rPr>
            </w:pPr>
          </w:p>
        </w:tc>
        <w:tc>
          <w:tcPr>
            <w:tcW w:w="2024" w:type="dxa"/>
            <w:vAlign w:val="center"/>
          </w:tcPr>
          <w:p w14:paraId="4D62EC07">
            <w:pPr>
              <w:widowControl/>
              <w:adjustRightInd w:val="0"/>
              <w:snapToGrid w:val="0"/>
              <w:jc w:val="center"/>
              <w:rPr>
                <w:sz w:val="22"/>
                <w:szCs w:val="22"/>
              </w:rPr>
            </w:pPr>
            <w:r>
              <w:rPr>
                <w:sz w:val="22"/>
                <w:szCs w:val="22"/>
              </w:rPr>
              <w:t>年平均</w:t>
            </w:r>
          </w:p>
        </w:tc>
        <w:tc>
          <w:tcPr>
            <w:tcW w:w="2170" w:type="dxa"/>
            <w:vAlign w:val="center"/>
          </w:tcPr>
          <w:p w14:paraId="67059B1D">
            <w:pPr>
              <w:widowControl/>
              <w:adjustRightInd w:val="0"/>
              <w:snapToGrid w:val="0"/>
              <w:jc w:val="center"/>
              <w:rPr>
                <w:sz w:val="22"/>
                <w:szCs w:val="22"/>
              </w:rPr>
            </w:pPr>
            <w:r>
              <w:rPr>
                <w:rFonts w:hint="eastAsia"/>
                <w:sz w:val="22"/>
                <w:szCs w:val="22"/>
              </w:rPr>
              <w:t>3</w:t>
            </w:r>
            <w:r>
              <w:rPr>
                <w:sz w:val="22"/>
                <w:szCs w:val="22"/>
              </w:rPr>
              <w:t>0</w:t>
            </w:r>
          </w:p>
        </w:tc>
        <w:tc>
          <w:tcPr>
            <w:tcW w:w="1301" w:type="dxa"/>
            <w:vAlign w:val="center"/>
          </w:tcPr>
          <w:p w14:paraId="5D1C87D1">
            <w:pPr>
              <w:widowControl/>
              <w:adjustRightInd w:val="0"/>
              <w:snapToGrid w:val="0"/>
              <w:jc w:val="center"/>
              <w:rPr>
                <w:sz w:val="22"/>
                <w:szCs w:val="22"/>
              </w:rPr>
            </w:pPr>
            <w:r>
              <w:rPr>
                <w:rFonts w:hint="eastAsia"/>
                <w:sz w:val="22"/>
                <w:szCs w:val="22"/>
              </w:rPr>
              <w:t>2</w:t>
            </w:r>
            <w:r>
              <w:rPr>
                <w:sz w:val="22"/>
                <w:szCs w:val="22"/>
              </w:rPr>
              <w:t>5</w:t>
            </w:r>
          </w:p>
        </w:tc>
        <w:tc>
          <w:tcPr>
            <w:tcW w:w="2106" w:type="dxa"/>
            <w:vMerge w:val="continue"/>
            <w:vAlign w:val="center"/>
          </w:tcPr>
          <w:p w14:paraId="2A93466D">
            <w:pPr>
              <w:widowControl/>
              <w:adjustRightInd w:val="0"/>
              <w:snapToGrid w:val="0"/>
              <w:jc w:val="center"/>
              <w:rPr>
                <w:sz w:val="22"/>
                <w:szCs w:val="22"/>
              </w:rPr>
            </w:pPr>
          </w:p>
        </w:tc>
      </w:tr>
      <w:tr w14:paraId="60F803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restart"/>
            <w:vAlign w:val="center"/>
          </w:tcPr>
          <w:p w14:paraId="2A91B3EA">
            <w:pPr>
              <w:widowControl/>
              <w:adjustRightInd w:val="0"/>
              <w:snapToGrid w:val="0"/>
              <w:jc w:val="center"/>
              <w:rPr>
                <w:sz w:val="22"/>
                <w:szCs w:val="22"/>
              </w:rPr>
            </w:pPr>
            <w:r>
              <w:rPr>
                <w:sz w:val="22"/>
                <w:szCs w:val="22"/>
              </w:rPr>
              <w:t>CO（mg/m</w:t>
            </w:r>
            <w:r>
              <w:rPr>
                <w:sz w:val="22"/>
                <w:szCs w:val="22"/>
                <w:vertAlign w:val="superscript"/>
              </w:rPr>
              <w:t>3</w:t>
            </w:r>
            <w:r>
              <w:rPr>
                <w:sz w:val="22"/>
                <w:szCs w:val="22"/>
              </w:rPr>
              <w:t>）</w:t>
            </w:r>
          </w:p>
        </w:tc>
        <w:tc>
          <w:tcPr>
            <w:tcW w:w="2024" w:type="dxa"/>
            <w:vAlign w:val="center"/>
          </w:tcPr>
          <w:p w14:paraId="32AFE7F5">
            <w:pPr>
              <w:adjustRightInd w:val="0"/>
              <w:snapToGrid w:val="0"/>
              <w:jc w:val="center"/>
              <w:rPr>
                <w:sz w:val="22"/>
                <w:szCs w:val="22"/>
              </w:rPr>
            </w:pPr>
            <w:r>
              <w:rPr>
                <w:sz w:val="22"/>
                <w:szCs w:val="22"/>
              </w:rPr>
              <w:t>1小时平均</w:t>
            </w:r>
          </w:p>
        </w:tc>
        <w:tc>
          <w:tcPr>
            <w:tcW w:w="2170" w:type="dxa"/>
            <w:vAlign w:val="center"/>
          </w:tcPr>
          <w:p w14:paraId="21627494">
            <w:pPr>
              <w:widowControl/>
              <w:adjustRightInd w:val="0"/>
              <w:snapToGrid w:val="0"/>
              <w:jc w:val="center"/>
              <w:rPr>
                <w:sz w:val="22"/>
                <w:szCs w:val="22"/>
              </w:rPr>
            </w:pPr>
            <w:r>
              <w:rPr>
                <w:rFonts w:hint="eastAsia"/>
                <w:sz w:val="22"/>
                <w:szCs w:val="22"/>
              </w:rPr>
              <w:t>1</w:t>
            </w:r>
            <w:r>
              <w:rPr>
                <w:sz w:val="22"/>
                <w:szCs w:val="22"/>
              </w:rPr>
              <w:t>0</w:t>
            </w:r>
          </w:p>
        </w:tc>
        <w:tc>
          <w:tcPr>
            <w:tcW w:w="1301" w:type="dxa"/>
            <w:vAlign w:val="center"/>
          </w:tcPr>
          <w:p w14:paraId="591F0BAF">
            <w:pPr>
              <w:widowControl/>
              <w:adjustRightInd w:val="0"/>
              <w:snapToGrid w:val="0"/>
              <w:jc w:val="center"/>
              <w:rPr>
                <w:sz w:val="22"/>
                <w:szCs w:val="22"/>
              </w:rPr>
            </w:pPr>
            <w:r>
              <w:rPr>
                <w:rFonts w:hint="eastAsia"/>
                <w:sz w:val="22"/>
                <w:szCs w:val="22"/>
              </w:rPr>
              <w:t>1</w:t>
            </w:r>
            <w:r>
              <w:rPr>
                <w:sz w:val="22"/>
                <w:szCs w:val="22"/>
              </w:rPr>
              <w:t>0</w:t>
            </w:r>
          </w:p>
        </w:tc>
        <w:tc>
          <w:tcPr>
            <w:tcW w:w="2106" w:type="dxa"/>
            <w:vMerge w:val="continue"/>
            <w:vAlign w:val="center"/>
          </w:tcPr>
          <w:p w14:paraId="17102213">
            <w:pPr>
              <w:widowControl/>
              <w:adjustRightInd w:val="0"/>
              <w:snapToGrid w:val="0"/>
              <w:jc w:val="center"/>
              <w:rPr>
                <w:sz w:val="22"/>
                <w:szCs w:val="22"/>
              </w:rPr>
            </w:pPr>
          </w:p>
        </w:tc>
      </w:tr>
      <w:tr w14:paraId="2ABC93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continue"/>
            <w:vAlign w:val="center"/>
          </w:tcPr>
          <w:p w14:paraId="259DB740">
            <w:pPr>
              <w:widowControl/>
              <w:adjustRightInd w:val="0"/>
              <w:snapToGrid w:val="0"/>
              <w:jc w:val="center"/>
              <w:rPr>
                <w:sz w:val="22"/>
                <w:szCs w:val="22"/>
              </w:rPr>
            </w:pPr>
          </w:p>
        </w:tc>
        <w:tc>
          <w:tcPr>
            <w:tcW w:w="2024" w:type="dxa"/>
            <w:vAlign w:val="center"/>
          </w:tcPr>
          <w:p w14:paraId="2E8BE20D">
            <w:pPr>
              <w:adjustRightInd w:val="0"/>
              <w:snapToGrid w:val="0"/>
              <w:jc w:val="center"/>
              <w:rPr>
                <w:sz w:val="22"/>
                <w:szCs w:val="22"/>
              </w:rPr>
            </w:pPr>
            <w:r>
              <w:rPr>
                <w:sz w:val="22"/>
                <w:szCs w:val="22"/>
              </w:rPr>
              <w:t>日平均</w:t>
            </w:r>
          </w:p>
        </w:tc>
        <w:tc>
          <w:tcPr>
            <w:tcW w:w="2170" w:type="dxa"/>
            <w:vAlign w:val="center"/>
          </w:tcPr>
          <w:p w14:paraId="476BD15B">
            <w:pPr>
              <w:widowControl/>
              <w:adjustRightInd w:val="0"/>
              <w:snapToGrid w:val="0"/>
              <w:jc w:val="center"/>
              <w:rPr>
                <w:sz w:val="22"/>
                <w:szCs w:val="22"/>
              </w:rPr>
            </w:pPr>
            <w:r>
              <w:rPr>
                <w:rFonts w:hint="eastAsia"/>
                <w:sz w:val="22"/>
                <w:szCs w:val="22"/>
              </w:rPr>
              <w:t>4</w:t>
            </w:r>
          </w:p>
        </w:tc>
        <w:tc>
          <w:tcPr>
            <w:tcW w:w="1301" w:type="dxa"/>
            <w:vAlign w:val="center"/>
          </w:tcPr>
          <w:p w14:paraId="0E4B7896">
            <w:pPr>
              <w:widowControl/>
              <w:adjustRightInd w:val="0"/>
              <w:snapToGrid w:val="0"/>
              <w:jc w:val="center"/>
              <w:rPr>
                <w:sz w:val="22"/>
                <w:szCs w:val="22"/>
              </w:rPr>
            </w:pPr>
            <w:r>
              <w:rPr>
                <w:rFonts w:hint="eastAsia"/>
                <w:sz w:val="22"/>
                <w:szCs w:val="22"/>
              </w:rPr>
              <w:t>4</w:t>
            </w:r>
          </w:p>
        </w:tc>
        <w:tc>
          <w:tcPr>
            <w:tcW w:w="2106" w:type="dxa"/>
            <w:vMerge w:val="continue"/>
            <w:vAlign w:val="center"/>
          </w:tcPr>
          <w:p w14:paraId="005DD4E2">
            <w:pPr>
              <w:widowControl/>
              <w:adjustRightInd w:val="0"/>
              <w:snapToGrid w:val="0"/>
              <w:jc w:val="center"/>
              <w:rPr>
                <w:sz w:val="22"/>
                <w:szCs w:val="22"/>
              </w:rPr>
            </w:pPr>
          </w:p>
        </w:tc>
      </w:tr>
      <w:tr w14:paraId="3416B9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restart"/>
            <w:vAlign w:val="center"/>
          </w:tcPr>
          <w:p w14:paraId="1F6164D7">
            <w:pPr>
              <w:widowControl/>
              <w:adjustRightInd w:val="0"/>
              <w:snapToGrid w:val="0"/>
              <w:jc w:val="center"/>
              <w:rPr>
                <w:sz w:val="22"/>
                <w:szCs w:val="22"/>
              </w:rPr>
            </w:pPr>
            <w:r>
              <w:rPr>
                <w:sz w:val="22"/>
                <w:szCs w:val="22"/>
              </w:rPr>
              <w:t>O</w:t>
            </w:r>
            <w:r>
              <w:rPr>
                <w:sz w:val="22"/>
                <w:szCs w:val="22"/>
                <w:vertAlign w:val="subscript"/>
              </w:rPr>
              <w:t>3</w:t>
            </w:r>
          </w:p>
        </w:tc>
        <w:tc>
          <w:tcPr>
            <w:tcW w:w="2024" w:type="dxa"/>
            <w:vAlign w:val="center"/>
          </w:tcPr>
          <w:p w14:paraId="7666402D">
            <w:pPr>
              <w:widowControl/>
              <w:adjustRightInd w:val="0"/>
              <w:snapToGrid w:val="0"/>
              <w:jc w:val="center"/>
              <w:rPr>
                <w:sz w:val="22"/>
                <w:szCs w:val="22"/>
              </w:rPr>
            </w:pPr>
            <w:r>
              <w:rPr>
                <w:sz w:val="22"/>
                <w:szCs w:val="22"/>
              </w:rPr>
              <w:t>1小时平均</w:t>
            </w:r>
          </w:p>
        </w:tc>
        <w:tc>
          <w:tcPr>
            <w:tcW w:w="2170" w:type="dxa"/>
            <w:vAlign w:val="center"/>
          </w:tcPr>
          <w:p w14:paraId="4BB907C4">
            <w:pPr>
              <w:widowControl/>
              <w:adjustRightInd w:val="0"/>
              <w:snapToGrid w:val="0"/>
              <w:jc w:val="center"/>
              <w:rPr>
                <w:sz w:val="22"/>
                <w:szCs w:val="22"/>
              </w:rPr>
            </w:pPr>
            <w:r>
              <w:rPr>
                <w:rFonts w:hint="eastAsia"/>
                <w:sz w:val="22"/>
                <w:szCs w:val="22"/>
              </w:rPr>
              <w:t>2</w:t>
            </w:r>
            <w:r>
              <w:rPr>
                <w:sz w:val="22"/>
                <w:szCs w:val="22"/>
              </w:rPr>
              <w:t>00</w:t>
            </w:r>
          </w:p>
        </w:tc>
        <w:tc>
          <w:tcPr>
            <w:tcW w:w="1301" w:type="dxa"/>
            <w:vAlign w:val="center"/>
          </w:tcPr>
          <w:p w14:paraId="146BC924">
            <w:pPr>
              <w:widowControl/>
              <w:adjustRightInd w:val="0"/>
              <w:snapToGrid w:val="0"/>
              <w:jc w:val="center"/>
              <w:rPr>
                <w:sz w:val="22"/>
                <w:szCs w:val="22"/>
              </w:rPr>
            </w:pPr>
            <w:r>
              <w:rPr>
                <w:rFonts w:hint="eastAsia"/>
                <w:sz w:val="22"/>
                <w:szCs w:val="22"/>
              </w:rPr>
              <w:t>2</w:t>
            </w:r>
            <w:r>
              <w:rPr>
                <w:sz w:val="22"/>
                <w:szCs w:val="22"/>
              </w:rPr>
              <w:t>00</w:t>
            </w:r>
          </w:p>
        </w:tc>
        <w:tc>
          <w:tcPr>
            <w:tcW w:w="2106" w:type="dxa"/>
            <w:vMerge w:val="continue"/>
            <w:vAlign w:val="center"/>
          </w:tcPr>
          <w:p w14:paraId="061022E1">
            <w:pPr>
              <w:widowControl/>
              <w:adjustRightInd w:val="0"/>
              <w:snapToGrid w:val="0"/>
              <w:jc w:val="center"/>
              <w:rPr>
                <w:sz w:val="22"/>
                <w:szCs w:val="22"/>
              </w:rPr>
            </w:pPr>
          </w:p>
        </w:tc>
      </w:tr>
      <w:tr w14:paraId="054735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continue"/>
            <w:vAlign w:val="center"/>
          </w:tcPr>
          <w:p w14:paraId="66C6F59A">
            <w:pPr>
              <w:widowControl/>
              <w:adjustRightInd w:val="0"/>
              <w:snapToGrid w:val="0"/>
              <w:jc w:val="center"/>
              <w:rPr>
                <w:sz w:val="22"/>
                <w:szCs w:val="22"/>
              </w:rPr>
            </w:pPr>
          </w:p>
        </w:tc>
        <w:tc>
          <w:tcPr>
            <w:tcW w:w="2024" w:type="dxa"/>
            <w:vAlign w:val="center"/>
          </w:tcPr>
          <w:p w14:paraId="79C8FDC4">
            <w:pPr>
              <w:widowControl/>
              <w:adjustRightInd w:val="0"/>
              <w:snapToGrid w:val="0"/>
              <w:jc w:val="center"/>
              <w:rPr>
                <w:sz w:val="22"/>
                <w:szCs w:val="22"/>
              </w:rPr>
            </w:pPr>
            <w:r>
              <w:rPr>
                <w:sz w:val="22"/>
                <w:szCs w:val="22"/>
              </w:rPr>
              <w:t>日最大8小时平均</w:t>
            </w:r>
          </w:p>
        </w:tc>
        <w:tc>
          <w:tcPr>
            <w:tcW w:w="2170" w:type="dxa"/>
            <w:vAlign w:val="center"/>
          </w:tcPr>
          <w:p w14:paraId="2EBC4CD4">
            <w:pPr>
              <w:widowControl/>
              <w:adjustRightInd w:val="0"/>
              <w:snapToGrid w:val="0"/>
              <w:jc w:val="center"/>
              <w:rPr>
                <w:sz w:val="22"/>
                <w:szCs w:val="22"/>
              </w:rPr>
            </w:pPr>
            <w:r>
              <w:rPr>
                <w:rFonts w:hint="eastAsia"/>
                <w:sz w:val="22"/>
                <w:szCs w:val="22"/>
              </w:rPr>
              <w:t>1</w:t>
            </w:r>
            <w:r>
              <w:rPr>
                <w:sz w:val="22"/>
                <w:szCs w:val="22"/>
              </w:rPr>
              <w:t>60</w:t>
            </w:r>
          </w:p>
        </w:tc>
        <w:tc>
          <w:tcPr>
            <w:tcW w:w="1301" w:type="dxa"/>
            <w:vAlign w:val="center"/>
          </w:tcPr>
          <w:p w14:paraId="08DC27FA">
            <w:pPr>
              <w:widowControl/>
              <w:adjustRightInd w:val="0"/>
              <w:snapToGrid w:val="0"/>
              <w:jc w:val="center"/>
              <w:rPr>
                <w:sz w:val="22"/>
                <w:szCs w:val="22"/>
              </w:rPr>
            </w:pPr>
            <w:r>
              <w:rPr>
                <w:rFonts w:hint="eastAsia"/>
                <w:sz w:val="22"/>
                <w:szCs w:val="22"/>
              </w:rPr>
              <w:t>1</w:t>
            </w:r>
            <w:r>
              <w:rPr>
                <w:sz w:val="22"/>
                <w:szCs w:val="22"/>
              </w:rPr>
              <w:t>60</w:t>
            </w:r>
          </w:p>
        </w:tc>
        <w:tc>
          <w:tcPr>
            <w:tcW w:w="2106" w:type="dxa"/>
            <w:vMerge w:val="continue"/>
            <w:vAlign w:val="center"/>
          </w:tcPr>
          <w:p w14:paraId="00F655D3">
            <w:pPr>
              <w:widowControl/>
              <w:adjustRightInd w:val="0"/>
              <w:snapToGrid w:val="0"/>
              <w:jc w:val="center"/>
              <w:rPr>
                <w:sz w:val="22"/>
                <w:szCs w:val="22"/>
              </w:rPr>
            </w:pPr>
          </w:p>
        </w:tc>
      </w:tr>
      <w:tr w14:paraId="1EB2D0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restart"/>
            <w:vAlign w:val="center"/>
          </w:tcPr>
          <w:p w14:paraId="17D786C9">
            <w:pPr>
              <w:widowControl/>
              <w:adjustRightInd w:val="0"/>
              <w:snapToGrid w:val="0"/>
              <w:jc w:val="center"/>
              <w:rPr>
                <w:sz w:val="22"/>
                <w:szCs w:val="22"/>
              </w:rPr>
            </w:pPr>
            <w:r>
              <w:rPr>
                <w:sz w:val="22"/>
                <w:szCs w:val="22"/>
              </w:rPr>
              <w:t>NO</w:t>
            </w:r>
            <w:r>
              <w:rPr>
                <w:sz w:val="22"/>
                <w:szCs w:val="22"/>
                <w:vertAlign w:val="subscript"/>
              </w:rPr>
              <w:t>X</w:t>
            </w:r>
          </w:p>
        </w:tc>
        <w:tc>
          <w:tcPr>
            <w:tcW w:w="2024" w:type="dxa"/>
            <w:vAlign w:val="center"/>
          </w:tcPr>
          <w:p w14:paraId="425A8300">
            <w:pPr>
              <w:widowControl/>
              <w:adjustRightInd w:val="0"/>
              <w:snapToGrid w:val="0"/>
              <w:jc w:val="center"/>
              <w:rPr>
                <w:sz w:val="22"/>
                <w:szCs w:val="22"/>
              </w:rPr>
            </w:pPr>
            <w:r>
              <w:rPr>
                <w:sz w:val="22"/>
                <w:szCs w:val="22"/>
              </w:rPr>
              <w:t>1小时平均</w:t>
            </w:r>
          </w:p>
        </w:tc>
        <w:tc>
          <w:tcPr>
            <w:tcW w:w="2170" w:type="dxa"/>
            <w:vAlign w:val="center"/>
          </w:tcPr>
          <w:p w14:paraId="2560777E">
            <w:pPr>
              <w:widowControl/>
              <w:adjustRightInd w:val="0"/>
              <w:snapToGrid w:val="0"/>
              <w:jc w:val="center"/>
              <w:rPr>
                <w:sz w:val="22"/>
                <w:szCs w:val="22"/>
              </w:rPr>
            </w:pPr>
            <w:r>
              <w:rPr>
                <w:rFonts w:hint="eastAsia"/>
                <w:sz w:val="22"/>
                <w:szCs w:val="22"/>
              </w:rPr>
              <w:t>2</w:t>
            </w:r>
            <w:r>
              <w:rPr>
                <w:sz w:val="22"/>
                <w:szCs w:val="22"/>
              </w:rPr>
              <w:t>50</w:t>
            </w:r>
          </w:p>
        </w:tc>
        <w:tc>
          <w:tcPr>
            <w:tcW w:w="1301" w:type="dxa"/>
            <w:vAlign w:val="center"/>
          </w:tcPr>
          <w:p w14:paraId="00D4D653">
            <w:pPr>
              <w:widowControl/>
              <w:adjustRightInd w:val="0"/>
              <w:snapToGrid w:val="0"/>
              <w:jc w:val="center"/>
              <w:rPr>
                <w:sz w:val="22"/>
                <w:szCs w:val="22"/>
              </w:rPr>
            </w:pPr>
            <w:r>
              <w:rPr>
                <w:rFonts w:hint="eastAsia"/>
                <w:sz w:val="22"/>
                <w:szCs w:val="22"/>
              </w:rPr>
              <w:t>2</w:t>
            </w:r>
            <w:r>
              <w:rPr>
                <w:sz w:val="22"/>
                <w:szCs w:val="22"/>
              </w:rPr>
              <w:t>50</w:t>
            </w:r>
          </w:p>
        </w:tc>
        <w:tc>
          <w:tcPr>
            <w:tcW w:w="2106" w:type="dxa"/>
            <w:vMerge w:val="continue"/>
            <w:vAlign w:val="center"/>
          </w:tcPr>
          <w:p w14:paraId="002ECE73">
            <w:pPr>
              <w:widowControl/>
              <w:adjustRightInd w:val="0"/>
              <w:snapToGrid w:val="0"/>
              <w:jc w:val="center"/>
              <w:rPr>
                <w:sz w:val="22"/>
                <w:szCs w:val="22"/>
              </w:rPr>
            </w:pPr>
          </w:p>
        </w:tc>
      </w:tr>
      <w:tr w14:paraId="54DBAD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continue"/>
            <w:vAlign w:val="center"/>
          </w:tcPr>
          <w:p w14:paraId="4CECB8C6">
            <w:pPr>
              <w:widowControl/>
              <w:adjustRightInd w:val="0"/>
              <w:snapToGrid w:val="0"/>
              <w:jc w:val="center"/>
              <w:rPr>
                <w:sz w:val="22"/>
                <w:szCs w:val="22"/>
              </w:rPr>
            </w:pPr>
          </w:p>
        </w:tc>
        <w:tc>
          <w:tcPr>
            <w:tcW w:w="2024" w:type="dxa"/>
            <w:vAlign w:val="center"/>
          </w:tcPr>
          <w:p w14:paraId="30795FDE">
            <w:pPr>
              <w:widowControl/>
              <w:adjustRightInd w:val="0"/>
              <w:snapToGrid w:val="0"/>
              <w:jc w:val="center"/>
              <w:rPr>
                <w:sz w:val="22"/>
                <w:szCs w:val="22"/>
              </w:rPr>
            </w:pPr>
            <w:r>
              <w:rPr>
                <w:sz w:val="22"/>
                <w:szCs w:val="22"/>
              </w:rPr>
              <w:t>日平均</w:t>
            </w:r>
          </w:p>
        </w:tc>
        <w:tc>
          <w:tcPr>
            <w:tcW w:w="2170" w:type="dxa"/>
            <w:vAlign w:val="center"/>
          </w:tcPr>
          <w:p w14:paraId="3B5F9C9E">
            <w:pPr>
              <w:widowControl/>
              <w:adjustRightInd w:val="0"/>
              <w:snapToGrid w:val="0"/>
              <w:jc w:val="center"/>
              <w:rPr>
                <w:sz w:val="22"/>
                <w:szCs w:val="22"/>
              </w:rPr>
            </w:pPr>
            <w:r>
              <w:rPr>
                <w:rFonts w:hint="eastAsia"/>
                <w:sz w:val="22"/>
                <w:szCs w:val="22"/>
              </w:rPr>
              <w:t>1</w:t>
            </w:r>
            <w:r>
              <w:rPr>
                <w:sz w:val="22"/>
                <w:szCs w:val="22"/>
              </w:rPr>
              <w:t>00</w:t>
            </w:r>
          </w:p>
        </w:tc>
        <w:tc>
          <w:tcPr>
            <w:tcW w:w="1301" w:type="dxa"/>
            <w:vAlign w:val="center"/>
          </w:tcPr>
          <w:p w14:paraId="5E08327D">
            <w:pPr>
              <w:widowControl/>
              <w:adjustRightInd w:val="0"/>
              <w:snapToGrid w:val="0"/>
              <w:jc w:val="center"/>
              <w:rPr>
                <w:sz w:val="22"/>
                <w:szCs w:val="22"/>
              </w:rPr>
            </w:pPr>
            <w:r>
              <w:rPr>
                <w:rFonts w:hint="eastAsia"/>
                <w:sz w:val="22"/>
                <w:szCs w:val="22"/>
              </w:rPr>
              <w:t>7</w:t>
            </w:r>
            <w:r>
              <w:rPr>
                <w:sz w:val="22"/>
                <w:szCs w:val="22"/>
              </w:rPr>
              <w:t>0</w:t>
            </w:r>
          </w:p>
        </w:tc>
        <w:tc>
          <w:tcPr>
            <w:tcW w:w="2106" w:type="dxa"/>
            <w:vMerge w:val="continue"/>
            <w:vAlign w:val="center"/>
          </w:tcPr>
          <w:p w14:paraId="7B85BE1F">
            <w:pPr>
              <w:widowControl/>
              <w:adjustRightInd w:val="0"/>
              <w:snapToGrid w:val="0"/>
              <w:jc w:val="center"/>
              <w:rPr>
                <w:sz w:val="22"/>
                <w:szCs w:val="22"/>
              </w:rPr>
            </w:pPr>
          </w:p>
        </w:tc>
      </w:tr>
      <w:tr w14:paraId="0468BE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continue"/>
            <w:vAlign w:val="center"/>
          </w:tcPr>
          <w:p w14:paraId="0AA9C1D8">
            <w:pPr>
              <w:widowControl/>
              <w:adjustRightInd w:val="0"/>
              <w:snapToGrid w:val="0"/>
              <w:jc w:val="center"/>
              <w:rPr>
                <w:sz w:val="22"/>
                <w:szCs w:val="22"/>
              </w:rPr>
            </w:pPr>
          </w:p>
        </w:tc>
        <w:tc>
          <w:tcPr>
            <w:tcW w:w="2024" w:type="dxa"/>
            <w:vAlign w:val="center"/>
          </w:tcPr>
          <w:p w14:paraId="2D7E24AE">
            <w:pPr>
              <w:widowControl/>
              <w:adjustRightInd w:val="0"/>
              <w:snapToGrid w:val="0"/>
              <w:jc w:val="center"/>
              <w:rPr>
                <w:sz w:val="22"/>
                <w:szCs w:val="22"/>
              </w:rPr>
            </w:pPr>
            <w:r>
              <w:rPr>
                <w:sz w:val="22"/>
                <w:szCs w:val="22"/>
              </w:rPr>
              <w:t>年平均</w:t>
            </w:r>
          </w:p>
        </w:tc>
        <w:tc>
          <w:tcPr>
            <w:tcW w:w="2170" w:type="dxa"/>
            <w:vAlign w:val="center"/>
          </w:tcPr>
          <w:p w14:paraId="5B51FD4D">
            <w:pPr>
              <w:widowControl/>
              <w:adjustRightInd w:val="0"/>
              <w:snapToGrid w:val="0"/>
              <w:jc w:val="center"/>
              <w:rPr>
                <w:sz w:val="22"/>
                <w:szCs w:val="22"/>
              </w:rPr>
            </w:pPr>
            <w:r>
              <w:rPr>
                <w:rFonts w:hint="eastAsia"/>
                <w:sz w:val="22"/>
                <w:szCs w:val="22"/>
              </w:rPr>
              <w:t>5</w:t>
            </w:r>
            <w:r>
              <w:rPr>
                <w:sz w:val="22"/>
                <w:szCs w:val="22"/>
              </w:rPr>
              <w:t>0</w:t>
            </w:r>
          </w:p>
        </w:tc>
        <w:tc>
          <w:tcPr>
            <w:tcW w:w="1301" w:type="dxa"/>
            <w:vAlign w:val="center"/>
          </w:tcPr>
          <w:p w14:paraId="736F67DC">
            <w:pPr>
              <w:widowControl/>
              <w:adjustRightInd w:val="0"/>
              <w:snapToGrid w:val="0"/>
              <w:jc w:val="center"/>
              <w:rPr>
                <w:sz w:val="22"/>
                <w:szCs w:val="22"/>
              </w:rPr>
            </w:pPr>
            <w:r>
              <w:rPr>
                <w:rFonts w:hint="eastAsia"/>
                <w:sz w:val="22"/>
                <w:szCs w:val="22"/>
              </w:rPr>
              <w:t>4</w:t>
            </w:r>
            <w:r>
              <w:rPr>
                <w:sz w:val="22"/>
                <w:szCs w:val="22"/>
              </w:rPr>
              <w:t>0</w:t>
            </w:r>
          </w:p>
        </w:tc>
        <w:tc>
          <w:tcPr>
            <w:tcW w:w="2106" w:type="dxa"/>
            <w:vMerge w:val="continue"/>
            <w:vAlign w:val="center"/>
          </w:tcPr>
          <w:p w14:paraId="13F04A8D">
            <w:pPr>
              <w:widowControl/>
              <w:adjustRightInd w:val="0"/>
              <w:snapToGrid w:val="0"/>
              <w:jc w:val="center"/>
              <w:rPr>
                <w:sz w:val="22"/>
                <w:szCs w:val="22"/>
              </w:rPr>
            </w:pPr>
          </w:p>
        </w:tc>
      </w:tr>
      <w:tr w14:paraId="2A3E60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restart"/>
            <w:vAlign w:val="center"/>
          </w:tcPr>
          <w:p w14:paraId="416C34BB">
            <w:pPr>
              <w:widowControl/>
              <w:adjustRightInd w:val="0"/>
              <w:snapToGrid w:val="0"/>
              <w:jc w:val="center"/>
              <w:rPr>
                <w:sz w:val="22"/>
                <w:szCs w:val="22"/>
              </w:rPr>
            </w:pPr>
            <w:r>
              <w:rPr>
                <w:rFonts w:hint="eastAsia"/>
                <w:sz w:val="22"/>
                <w:szCs w:val="22"/>
              </w:rPr>
              <w:t>T</w:t>
            </w:r>
            <w:r>
              <w:rPr>
                <w:sz w:val="22"/>
                <w:szCs w:val="22"/>
              </w:rPr>
              <w:t>SP</w:t>
            </w:r>
          </w:p>
        </w:tc>
        <w:tc>
          <w:tcPr>
            <w:tcW w:w="2024" w:type="dxa"/>
            <w:vAlign w:val="center"/>
          </w:tcPr>
          <w:p w14:paraId="6F2FD29B">
            <w:pPr>
              <w:widowControl/>
              <w:adjustRightInd w:val="0"/>
              <w:snapToGrid w:val="0"/>
              <w:jc w:val="center"/>
              <w:rPr>
                <w:sz w:val="22"/>
                <w:szCs w:val="22"/>
              </w:rPr>
            </w:pPr>
            <w:r>
              <w:rPr>
                <w:sz w:val="22"/>
                <w:szCs w:val="22"/>
              </w:rPr>
              <w:t>日平均</w:t>
            </w:r>
          </w:p>
        </w:tc>
        <w:tc>
          <w:tcPr>
            <w:tcW w:w="2170" w:type="dxa"/>
            <w:vAlign w:val="center"/>
          </w:tcPr>
          <w:p w14:paraId="18AF7AFF">
            <w:pPr>
              <w:widowControl/>
              <w:adjustRightInd w:val="0"/>
              <w:snapToGrid w:val="0"/>
              <w:jc w:val="center"/>
              <w:rPr>
                <w:sz w:val="22"/>
                <w:szCs w:val="22"/>
              </w:rPr>
            </w:pPr>
            <w:r>
              <w:rPr>
                <w:rFonts w:hint="eastAsia"/>
                <w:sz w:val="22"/>
                <w:szCs w:val="22"/>
              </w:rPr>
              <w:t>3</w:t>
            </w:r>
            <w:r>
              <w:rPr>
                <w:sz w:val="22"/>
                <w:szCs w:val="22"/>
              </w:rPr>
              <w:t>00</w:t>
            </w:r>
          </w:p>
        </w:tc>
        <w:tc>
          <w:tcPr>
            <w:tcW w:w="1301" w:type="dxa"/>
            <w:vAlign w:val="center"/>
          </w:tcPr>
          <w:p w14:paraId="1F0E57B0">
            <w:pPr>
              <w:widowControl/>
              <w:adjustRightInd w:val="0"/>
              <w:snapToGrid w:val="0"/>
              <w:jc w:val="center"/>
              <w:rPr>
                <w:sz w:val="22"/>
                <w:szCs w:val="22"/>
              </w:rPr>
            </w:pPr>
            <w:r>
              <w:rPr>
                <w:rFonts w:hint="eastAsia"/>
                <w:sz w:val="22"/>
                <w:szCs w:val="22"/>
              </w:rPr>
              <w:t>3</w:t>
            </w:r>
            <w:r>
              <w:rPr>
                <w:sz w:val="22"/>
                <w:szCs w:val="22"/>
              </w:rPr>
              <w:t>00</w:t>
            </w:r>
          </w:p>
        </w:tc>
        <w:tc>
          <w:tcPr>
            <w:tcW w:w="2106" w:type="dxa"/>
            <w:vMerge w:val="continue"/>
            <w:vAlign w:val="center"/>
          </w:tcPr>
          <w:p w14:paraId="0446C69E">
            <w:pPr>
              <w:widowControl/>
              <w:adjustRightInd w:val="0"/>
              <w:snapToGrid w:val="0"/>
              <w:jc w:val="center"/>
              <w:rPr>
                <w:sz w:val="22"/>
                <w:szCs w:val="22"/>
              </w:rPr>
            </w:pPr>
          </w:p>
        </w:tc>
      </w:tr>
      <w:tr w14:paraId="675660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vMerge w:val="continue"/>
            <w:vAlign w:val="center"/>
          </w:tcPr>
          <w:p w14:paraId="36055AC9">
            <w:pPr>
              <w:widowControl/>
              <w:adjustRightInd w:val="0"/>
              <w:snapToGrid w:val="0"/>
              <w:jc w:val="center"/>
              <w:rPr>
                <w:sz w:val="22"/>
                <w:szCs w:val="22"/>
              </w:rPr>
            </w:pPr>
          </w:p>
        </w:tc>
        <w:tc>
          <w:tcPr>
            <w:tcW w:w="2024" w:type="dxa"/>
            <w:vAlign w:val="center"/>
          </w:tcPr>
          <w:p w14:paraId="0678A52B">
            <w:pPr>
              <w:widowControl/>
              <w:adjustRightInd w:val="0"/>
              <w:snapToGrid w:val="0"/>
              <w:jc w:val="center"/>
              <w:rPr>
                <w:sz w:val="22"/>
                <w:szCs w:val="22"/>
              </w:rPr>
            </w:pPr>
            <w:r>
              <w:rPr>
                <w:sz w:val="22"/>
                <w:szCs w:val="22"/>
              </w:rPr>
              <w:t>年平均</w:t>
            </w:r>
          </w:p>
        </w:tc>
        <w:tc>
          <w:tcPr>
            <w:tcW w:w="2170" w:type="dxa"/>
            <w:vAlign w:val="center"/>
          </w:tcPr>
          <w:p w14:paraId="5D65156C">
            <w:pPr>
              <w:widowControl/>
              <w:adjustRightInd w:val="0"/>
              <w:snapToGrid w:val="0"/>
              <w:jc w:val="center"/>
              <w:rPr>
                <w:sz w:val="22"/>
                <w:szCs w:val="22"/>
              </w:rPr>
            </w:pPr>
            <w:r>
              <w:rPr>
                <w:rFonts w:hint="eastAsia"/>
                <w:sz w:val="22"/>
                <w:szCs w:val="22"/>
              </w:rPr>
              <w:t>2</w:t>
            </w:r>
            <w:r>
              <w:rPr>
                <w:sz w:val="22"/>
                <w:szCs w:val="22"/>
              </w:rPr>
              <w:t>00</w:t>
            </w:r>
          </w:p>
        </w:tc>
        <w:tc>
          <w:tcPr>
            <w:tcW w:w="1301" w:type="dxa"/>
            <w:vAlign w:val="center"/>
          </w:tcPr>
          <w:p w14:paraId="09F3AFEC">
            <w:pPr>
              <w:widowControl/>
              <w:adjustRightInd w:val="0"/>
              <w:snapToGrid w:val="0"/>
              <w:jc w:val="center"/>
              <w:rPr>
                <w:sz w:val="22"/>
                <w:szCs w:val="22"/>
              </w:rPr>
            </w:pPr>
            <w:r>
              <w:rPr>
                <w:rFonts w:hint="eastAsia"/>
                <w:sz w:val="22"/>
                <w:szCs w:val="22"/>
              </w:rPr>
              <w:t>2</w:t>
            </w:r>
            <w:r>
              <w:rPr>
                <w:sz w:val="22"/>
                <w:szCs w:val="22"/>
              </w:rPr>
              <w:t>00</w:t>
            </w:r>
          </w:p>
        </w:tc>
        <w:tc>
          <w:tcPr>
            <w:tcW w:w="2106" w:type="dxa"/>
            <w:vMerge w:val="continue"/>
            <w:vAlign w:val="center"/>
          </w:tcPr>
          <w:p w14:paraId="64B0A27C">
            <w:pPr>
              <w:widowControl/>
              <w:adjustRightInd w:val="0"/>
              <w:snapToGrid w:val="0"/>
              <w:jc w:val="center"/>
              <w:rPr>
                <w:sz w:val="22"/>
                <w:szCs w:val="22"/>
              </w:rPr>
            </w:pPr>
          </w:p>
        </w:tc>
      </w:tr>
      <w:tr w14:paraId="3DF617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5" w:type="dxa"/>
            <w:bottom w:w="0" w:type="dxa"/>
            <w:right w:w="85" w:type="dxa"/>
          </w:tblCellMar>
        </w:tblPrEx>
        <w:trPr>
          <w:cantSplit/>
          <w:trHeight w:val="367" w:hRule="atLeast"/>
          <w:jc w:val="center"/>
        </w:trPr>
        <w:tc>
          <w:tcPr>
            <w:tcW w:w="1299" w:type="dxa"/>
            <w:tcBorders>
              <w:bottom w:val="single" w:color="auto" w:sz="2" w:space="0"/>
            </w:tcBorders>
            <w:vAlign w:val="center"/>
          </w:tcPr>
          <w:p w14:paraId="77B7D5C9">
            <w:pPr>
              <w:widowControl/>
              <w:adjustRightInd w:val="0"/>
              <w:snapToGrid w:val="0"/>
              <w:jc w:val="center"/>
              <w:rPr>
                <w:sz w:val="22"/>
                <w:szCs w:val="22"/>
              </w:rPr>
            </w:pPr>
            <w:r>
              <w:rPr>
                <w:sz w:val="22"/>
                <w:szCs w:val="22"/>
              </w:rPr>
              <w:t>非甲烷总烃</w:t>
            </w:r>
          </w:p>
        </w:tc>
        <w:tc>
          <w:tcPr>
            <w:tcW w:w="2024" w:type="dxa"/>
            <w:tcBorders>
              <w:bottom w:val="single" w:color="auto" w:sz="2" w:space="0"/>
            </w:tcBorders>
            <w:vAlign w:val="center"/>
          </w:tcPr>
          <w:p w14:paraId="62916BFD">
            <w:pPr>
              <w:widowControl/>
              <w:adjustRightInd w:val="0"/>
              <w:snapToGrid w:val="0"/>
              <w:jc w:val="center"/>
              <w:rPr>
                <w:sz w:val="22"/>
                <w:szCs w:val="22"/>
              </w:rPr>
            </w:pPr>
            <w:r>
              <w:rPr>
                <w:sz w:val="22"/>
                <w:szCs w:val="22"/>
              </w:rPr>
              <w:t>一次值</w:t>
            </w:r>
          </w:p>
        </w:tc>
        <w:tc>
          <w:tcPr>
            <w:tcW w:w="3471" w:type="dxa"/>
            <w:gridSpan w:val="2"/>
            <w:tcBorders>
              <w:bottom w:val="single" w:color="auto" w:sz="2" w:space="0"/>
            </w:tcBorders>
            <w:vAlign w:val="center"/>
          </w:tcPr>
          <w:p w14:paraId="7FE8BF5E">
            <w:pPr>
              <w:widowControl/>
              <w:adjustRightInd w:val="0"/>
              <w:snapToGrid w:val="0"/>
              <w:jc w:val="center"/>
              <w:rPr>
                <w:sz w:val="22"/>
                <w:szCs w:val="22"/>
              </w:rPr>
            </w:pPr>
            <w:r>
              <w:rPr>
                <w:sz w:val="22"/>
                <w:szCs w:val="22"/>
              </w:rPr>
              <w:t>2000</w:t>
            </w:r>
          </w:p>
        </w:tc>
        <w:tc>
          <w:tcPr>
            <w:tcW w:w="2106" w:type="dxa"/>
            <w:tcBorders>
              <w:bottom w:val="single" w:color="auto" w:sz="2" w:space="0"/>
            </w:tcBorders>
            <w:vAlign w:val="center"/>
          </w:tcPr>
          <w:p w14:paraId="1F028006">
            <w:pPr>
              <w:widowControl/>
              <w:adjustRightInd w:val="0"/>
              <w:snapToGrid w:val="0"/>
              <w:jc w:val="center"/>
              <w:rPr>
                <w:sz w:val="22"/>
                <w:szCs w:val="22"/>
              </w:rPr>
            </w:pPr>
            <w:r>
              <w:rPr>
                <w:rFonts w:hint="eastAsia"/>
                <w:sz w:val="22"/>
                <w:szCs w:val="22"/>
              </w:rPr>
              <w:t>《大气污染物综合排放标准详解》</w:t>
            </w:r>
          </w:p>
        </w:tc>
      </w:tr>
    </w:tbl>
    <w:p w14:paraId="24FE16CF">
      <w:pPr>
        <w:pStyle w:val="1379"/>
        <w:ind w:firstLine="440"/>
      </w:pPr>
    </w:p>
    <w:p w14:paraId="42BDCC68">
      <w:pPr>
        <w:spacing w:line="460" w:lineRule="exact"/>
        <w:ind w:firstLine="509" w:firstLineChars="196"/>
        <w:rPr>
          <w:sz w:val="26"/>
          <w:szCs w:val="26"/>
        </w:rPr>
      </w:pPr>
      <w:r>
        <w:rPr>
          <w:sz w:val="26"/>
          <w:szCs w:val="26"/>
        </w:rPr>
        <w:t>（2）地表水环境</w:t>
      </w:r>
    </w:p>
    <w:p w14:paraId="06577705">
      <w:pPr>
        <w:adjustRightInd w:val="0"/>
        <w:spacing w:line="460" w:lineRule="exact"/>
        <w:ind w:firstLine="520" w:firstLineChars="200"/>
        <w:rPr>
          <w:sz w:val="26"/>
          <w:szCs w:val="26"/>
        </w:rPr>
      </w:pPr>
      <w:r>
        <w:rPr>
          <w:rFonts w:hint="eastAsia"/>
          <w:sz w:val="26"/>
          <w:szCs w:val="26"/>
        </w:rPr>
        <w:t>本项目附近最近地表水体为芝子河，本项目位于芝子河南侧约1</w:t>
      </w:r>
      <w:r>
        <w:rPr>
          <w:sz w:val="26"/>
          <w:szCs w:val="26"/>
        </w:rPr>
        <w:t>.75</w:t>
      </w:r>
      <w:r>
        <w:rPr>
          <w:rFonts w:hint="eastAsia"/>
          <w:sz w:val="26"/>
          <w:szCs w:val="26"/>
        </w:rPr>
        <w:t>km，位于其集雨范围内，芝子河未划分水域功能，河段主要功能为农灌及蓄水，参照执行《地表水环境质量标准》（GB 3838-2002）中Ⅲ类标准。具体标准值详见</w:t>
      </w:r>
      <w:r>
        <w:rPr>
          <w:rFonts w:hint="eastAsia"/>
          <w:sz w:val="26"/>
          <w:szCs w:val="26"/>
          <w:u w:val="single"/>
        </w:rPr>
        <w:t>表1.4-2</w:t>
      </w:r>
      <w:r>
        <w:rPr>
          <w:rFonts w:hint="eastAsia"/>
          <w:sz w:val="26"/>
          <w:szCs w:val="26"/>
        </w:rPr>
        <w:t>。</w:t>
      </w:r>
    </w:p>
    <w:p w14:paraId="647DA7FF">
      <w:pPr>
        <w:pStyle w:val="1379"/>
        <w:ind w:firstLine="440"/>
      </w:pPr>
    </w:p>
    <w:p w14:paraId="43A2CFC8">
      <w:pPr>
        <w:pStyle w:val="1065"/>
      </w:pPr>
      <w:r>
        <w:t xml:space="preserve">表1.4-2   地表水环境质量标准    单位：mg/L </w:t>
      </w:r>
    </w:p>
    <w:tbl>
      <w:tblPr>
        <w:tblStyle w:val="88"/>
        <w:tblW w:w="8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56"/>
        <w:gridCol w:w="1742"/>
        <w:gridCol w:w="1144"/>
        <w:gridCol w:w="1287"/>
        <w:gridCol w:w="1285"/>
        <w:gridCol w:w="1285"/>
        <w:gridCol w:w="1287"/>
      </w:tblGrid>
      <w:tr w14:paraId="209C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56" w:type="dxa"/>
            <w:vAlign w:val="center"/>
          </w:tcPr>
          <w:p w14:paraId="580A05F2">
            <w:pPr>
              <w:pStyle w:val="687"/>
            </w:pPr>
            <w:r>
              <w:t>项目</w:t>
            </w:r>
          </w:p>
        </w:tc>
        <w:tc>
          <w:tcPr>
            <w:tcW w:w="1742" w:type="dxa"/>
            <w:vAlign w:val="center"/>
          </w:tcPr>
          <w:p w14:paraId="1392EA09">
            <w:pPr>
              <w:pStyle w:val="687"/>
            </w:pPr>
            <w:r>
              <w:t>pH</w:t>
            </w:r>
          </w:p>
          <w:p w14:paraId="06291BF0">
            <w:pPr>
              <w:pStyle w:val="687"/>
            </w:pPr>
            <w:r>
              <w:t>（无量纲）</w:t>
            </w:r>
          </w:p>
        </w:tc>
        <w:tc>
          <w:tcPr>
            <w:tcW w:w="1144" w:type="dxa"/>
            <w:vAlign w:val="center"/>
          </w:tcPr>
          <w:p w14:paraId="7221704B">
            <w:pPr>
              <w:pStyle w:val="687"/>
            </w:pPr>
            <w:r>
              <w:t>COD</w:t>
            </w:r>
          </w:p>
        </w:tc>
        <w:tc>
          <w:tcPr>
            <w:tcW w:w="1287" w:type="dxa"/>
            <w:vAlign w:val="center"/>
          </w:tcPr>
          <w:p w14:paraId="07DDF099">
            <w:pPr>
              <w:pStyle w:val="687"/>
            </w:pPr>
            <w:r>
              <w:t>BOD</w:t>
            </w:r>
            <w:r>
              <w:rPr>
                <w:vertAlign w:val="subscript"/>
              </w:rPr>
              <w:t>5</w:t>
            </w:r>
          </w:p>
        </w:tc>
        <w:tc>
          <w:tcPr>
            <w:tcW w:w="1285" w:type="dxa"/>
            <w:vAlign w:val="center"/>
          </w:tcPr>
          <w:p w14:paraId="6863E117">
            <w:pPr>
              <w:pStyle w:val="687"/>
            </w:pPr>
            <w:r>
              <w:t>氨氮</w:t>
            </w:r>
          </w:p>
        </w:tc>
        <w:tc>
          <w:tcPr>
            <w:tcW w:w="1285" w:type="dxa"/>
            <w:vAlign w:val="center"/>
          </w:tcPr>
          <w:p w14:paraId="5ABF2272">
            <w:pPr>
              <w:pStyle w:val="687"/>
            </w:pPr>
            <w:r>
              <w:rPr>
                <w:rFonts w:hint="eastAsia"/>
              </w:rPr>
              <w:t>总磷</w:t>
            </w:r>
          </w:p>
        </w:tc>
        <w:tc>
          <w:tcPr>
            <w:tcW w:w="1287" w:type="dxa"/>
            <w:vAlign w:val="center"/>
          </w:tcPr>
          <w:p w14:paraId="71994940">
            <w:pPr>
              <w:pStyle w:val="687"/>
            </w:pPr>
            <w:r>
              <w:t>石油类</w:t>
            </w:r>
          </w:p>
        </w:tc>
      </w:tr>
      <w:tr w14:paraId="3D66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56" w:type="dxa"/>
            <w:vAlign w:val="center"/>
          </w:tcPr>
          <w:p w14:paraId="1EC30E10">
            <w:pPr>
              <w:pStyle w:val="687"/>
            </w:pPr>
            <w:r>
              <w:t>Ⅲ类</w:t>
            </w:r>
          </w:p>
        </w:tc>
        <w:tc>
          <w:tcPr>
            <w:tcW w:w="1742" w:type="dxa"/>
            <w:vAlign w:val="center"/>
          </w:tcPr>
          <w:p w14:paraId="3BFF319D">
            <w:pPr>
              <w:pStyle w:val="687"/>
            </w:pPr>
            <w:r>
              <w:t>6~9</w:t>
            </w:r>
          </w:p>
        </w:tc>
        <w:tc>
          <w:tcPr>
            <w:tcW w:w="1144" w:type="dxa"/>
            <w:vAlign w:val="center"/>
          </w:tcPr>
          <w:p w14:paraId="481F178C">
            <w:pPr>
              <w:pStyle w:val="687"/>
            </w:pPr>
            <w:r>
              <w:t>20</w:t>
            </w:r>
          </w:p>
        </w:tc>
        <w:tc>
          <w:tcPr>
            <w:tcW w:w="1287" w:type="dxa"/>
            <w:vAlign w:val="center"/>
          </w:tcPr>
          <w:p w14:paraId="6BD72295">
            <w:pPr>
              <w:pStyle w:val="687"/>
            </w:pPr>
            <w:r>
              <w:t>4</w:t>
            </w:r>
          </w:p>
        </w:tc>
        <w:tc>
          <w:tcPr>
            <w:tcW w:w="1285" w:type="dxa"/>
            <w:vAlign w:val="center"/>
          </w:tcPr>
          <w:p w14:paraId="3756AE55">
            <w:pPr>
              <w:pStyle w:val="687"/>
            </w:pPr>
            <w:r>
              <w:t>1.0</w:t>
            </w:r>
          </w:p>
        </w:tc>
        <w:tc>
          <w:tcPr>
            <w:tcW w:w="1285" w:type="dxa"/>
            <w:vAlign w:val="center"/>
          </w:tcPr>
          <w:p w14:paraId="136AC4A1">
            <w:pPr>
              <w:pStyle w:val="687"/>
            </w:pPr>
            <w:r>
              <w:t>0.2</w:t>
            </w:r>
          </w:p>
        </w:tc>
        <w:tc>
          <w:tcPr>
            <w:tcW w:w="1287" w:type="dxa"/>
            <w:vAlign w:val="center"/>
          </w:tcPr>
          <w:p w14:paraId="02060E7D">
            <w:pPr>
              <w:pStyle w:val="687"/>
            </w:pPr>
            <w:r>
              <w:t>0.05</w:t>
            </w:r>
          </w:p>
        </w:tc>
      </w:tr>
    </w:tbl>
    <w:p w14:paraId="1EA9254D">
      <w:pPr>
        <w:pStyle w:val="1379"/>
        <w:ind w:firstLine="440"/>
      </w:pPr>
    </w:p>
    <w:p w14:paraId="5A08B411">
      <w:pPr>
        <w:spacing w:line="460" w:lineRule="exact"/>
        <w:ind w:firstLine="509" w:firstLineChars="196"/>
        <w:rPr>
          <w:sz w:val="26"/>
          <w:szCs w:val="26"/>
        </w:rPr>
      </w:pPr>
      <w:r>
        <w:rPr>
          <w:sz w:val="26"/>
          <w:szCs w:val="26"/>
        </w:rPr>
        <w:t>（3）地下水环境</w:t>
      </w:r>
    </w:p>
    <w:p w14:paraId="1AF0D9C1">
      <w:pPr>
        <w:adjustRightInd w:val="0"/>
        <w:spacing w:line="460" w:lineRule="exact"/>
        <w:ind w:firstLine="520" w:firstLineChars="200"/>
        <w:rPr>
          <w:bCs/>
          <w:sz w:val="26"/>
          <w:szCs w:val="26"/>
        </w:rPr>
      </w:pPr>
      <w:r>
        <w:rPr>
          <w:bCs/>
          <w:sz w:val="26"/>
          <w:szCs w:val="26"/>
        </w:rPr>
        <w:t>本项目所在区域地下水未划分水域功能，</w:t>
      </w:r>
      <w:r>
        <w:rPr>
          <w:rFonts w:hint="eastAsia"/>
          <w:bCs/>
          <w:sz w:val="26"/>
          <w:szCs w:val="26"/>
        </w:rPr>
        <w:t>由于区域存在多处具有饮用功能的居民水井</w:t>
      </w:r>
      <w:r>
        <w:rPr>
          <w:bCs/>
          <w:sz w:val="26"/>
          <w:szCs w:val="26"/>
        </w:rPr>
        <w:t>，</w:t>
      </w:r>
      <w:r>
        <w:rPr>
          <w:rFonts w:hint="eastAsia"/>
          <w:bCs/>
          <w:sz w:val="26"/>
          <w:szCs w:val="26"/>
        </w:rPr>
        <w:t>故</w:t>
      </w:r>
      <w:r>
        <w:rPr>
          <w:bCs/>
          <w:sz w:val="26"/>
          <w:szCs w:val="26"/>
        </w:rPr>
        <w:t>执行《地下水质量标准》（GB/T14848-2017）Ⅲ类</w:t>
      </w:r>
      <w:r>
        <w:rPr>
          <w:rFonts w:hint="eastAsia"/>
          <w:bCs/>
          <w:sz w:val="26"/>
          <w:szCs w:val="26"/>
        </w:rPr>
        <w:t>水质</w:t>
      </w:r>
      <w:r>
        <w:rPr>
          <w:bCs/>
          <w:sz w:val="26"/>
          <w:szCs w:val="26"/>
        </w:rPr>
        <w:t>标准。其中</w:t>
      </w:r>
      <w:r>
        <w:rPr>
          <w:rFonts w:hint="eastAsia"/>
          <w:bCs/>
          <w:sz w:val="26"/>
          <w:szCs w:val="26"/>
        </w:rPr>
        <w:t>C</w:t>
      </w:r>
      <w:r>
        <w:rPr>
          <w:bCs/>
          <w:sz w:val="26"/>
          <w:szCs w:val="26"/>
        </w:rPr>
        <w:t>OD</w:t>
      </w:r>
      <w:r>
        <w:rPr>
          <w:rFonts w:hint="eastAsia"/>
          <w:bCs/>
          <w:sz w:val="26"/>
          <w:szCs w:val="26"/>
        </w:rPr>
        <w:t>、</w:t>
      </w:r>
      <w:r>
        <w:rPr>
          <w:bCs/>
          <w:sz w:val="26"/>
          <w:szCs w:val="26"/>
        </w:rPr>
        <w:t>石油类参照执行《地表水环境质量标准》（GB3838-2002）Ⅲ类</w:t>
      </w:r>
      <w:r>
        <w:rPr>
          <w:rFonts w:hint="eastAsia"/>
          <w:bCs/>
          <w:sz w:val="26"/>
          <w:szCs w:val="26"/>
        </w:rPr>
        <w:t>水质标准</w:t>
      </w:r>
      <w:r>
        <w:rPr>
          <w:bCs/>
          <w:sz w:val="26"/>
          <w:szCs w:val="26"/>
        </w:rPr>
        <w:t>，标准值见</w:t>
      </w:r>
      <w:r>
        <w:rPr>
          <w:bCs/>
          <w:sz w:val="26"/>
          <w:szCs w:val="26"/>
          <w:u w:val="single"/>
        </w:rPr>
        <w:t>表1.4-3</w:t>
      </w:r>
      <w:r>
        <w:rPr>
          <w:bCs/>
          <w:sz w:val="26"/>
          <w:szCs w:val="26"/>
        </w:rPr>
        <w:t>。</w:t>
      </w:r>
    </w:p>
    <w:p w14:paraId="24DE71F8">
      <w:pPr>
        <w:pStyle w:val="1379"/>
        <w:ind w:firstLine="440"/>
      </w:pPr>
    </w:p>
    <w:p w14:paraId="04C6FB0F">
      <w:pPr>
        <w:pStyle w:val="1065"/>
        <w:ind w:firstLine="480"/>
      </w:pPr>
      <w:r>
        <w:t>表1.4-3    地下水质量标准限值    单位：mg/L</w:t>
      </w:r>
    </w:p>
    <w:tbl>
      <w:tblPr>
        <w:tblStyle w:val="88"/>
        <w:tblW w:w="8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999"/>
        <w:gridCol w:w="1593"/>
        <w:gridCol w:w="1338"/>
        <w:gridCol w:w="1068"/>
        <w:gridCol w:w="1000"/>
        <w:gridCol w:w="1441"/>
      </w:tblGrid>
      <w:tr w14:paraId="6FA6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155" w:type="dxa"/>
            <w:vAlign w:val="center"/>
          </w:tcPr>
          <w:p w14:paraId="609A1842">
            <w:pPr>
              <w:pStyle w:val="1429"/>
              <w:rPr>
                <w:rFonts w:cs="Times New Roman"/>
              </w:rPr>
            </w:pPr>
            <w:r>
              <w:rPr>
                <w:rFonts w:cs="Times New Roman"/>
              </w:rPr>
              <w:t>项目</w:t>
            </w:r>
          </w:p>
        </w:tc>
        <w:tc>
          <w:tcPr>
            <w:tcW w:w="999" w:type="dxa"/>
            <w:vAlign w:val="center"/>
          </w:tcPr>
          <w:p w14:paraId="12A18375">
            <w:pPr>
              <w:pStyle w:val="1429"/>
              <w:rPr>
                <w:rFonts w:cs="Times New Roman"/>
              </w:rPr>
            </w:pPr>
            <w:r>
              <w:rPr>
                <w:rFonts w:cs="Times New Roman"/>
              </w:rPr>
              <w:t>pH</w:t>
            </w:r>
          </w:p>
        </w:tc>
        <w:tc>
          <w:tcPr>
            <w:tcW w:w="1593" w:type="dxa"/>
            <w:vAlign w:val="center"/>
          </w:tcPr>
          <w:p w14:paraId="593CCD0F">
            <w:pPr>
              <w:pStyle w:val="1429"/>
              <w:rPr>
                <w:rFonts w:cs="Times New Roman"/>
              </w:rPr>
            </w:pPr>
            <w:r>
              <w:rPr>
                <w:rFonts w:cs="Times New Roman"/>
              </w:rPr>
              <w:t>氨氮</w:t>
            </w:r>
          </w:p>
        </w:tc>
        <w:tc>
          <w:tcPr>
            <w:tcW w:w="1338" w:type="dxa"/>
            <w:vAlign w:val="center"/>
          </w:tcPr>
          <w:p w14:paraId="0C93A313">
            <w:pPr>
              <w:pStyle w:val="1429"/>
              <w:rPr>
                <w:rFonts w:cs="Times New Roman"/>
              </w:rPr>
            </w:pPr>
            <w:r>
              <w:rPr>
                <w:rFonts w:cs="Times New Roman"/>
              </w:rPr>
              <w:t>硝酸盐</w:t>
            </w:r>
          </w:p>
        </w:tc>
        <w:tc>
          <w:tcPr>
            <w:tcW w:w="1068" w:type="dxa"/>
            <w:vAlign w:val="center"/>
          </w:tcPr>
          <w:p w14:paraId="16E3D597">
            <w:pPr>
              <w:pStyle w:val="1429"/>
              <w:rPr>
                <w:rFonts w:cs="Times New Roman"/>
              </w:rPr>
            </w:pPr>
            <w:r>
              <w:rPr>
                <w:rFonts w:cs="Times New Roman"/>
              </w:rPr>
              <w:t>亚硝酸盐</w:t>
            </w:r>
          </w:p>
        </w:tc>
        <w:tc>
          <w:tcPr>
            <w:tcW w:w="1000" w:type="dxa"/>
            <w:vAlign w:val="center"/>
          </w:tcPr>
          <w:p w14:paraId="3D85B27C">
            <w:pPr>
              <w:pStyle w:val="1429"/>
              <w:rPr>
                <w:rFonts w:cs="Times New Roman"/>
              </w:rPr>
            </w:pPr>
            <w:r>
              <w:rPr>
                <w:rFonts w:cs="Times New Roman"/>
              </w:rPr>
              <w:t>挥发性酚类</w:t>
            </w:r>
          </w:p>
        </w:tc>
        <w:tc>
          <w:tcPr>
            <w:tcW w:w="1441" w:type="dxa"/>
            <w:vAlign w:val="center"/>
          </w:tcPr>
          <w:p w14:paraId="4D1D1477">
            <w:pPr>
              <w:pStyle w:val="1429"/>
              <w:rPr>
                <w:rFonts w:cs="Times New Roman"/>
              </w:rPr>
            </w:pPr>
            <w:r>
              <w:rPr>
                <w:rFonts w:hint="eastAsia" w:cs="Times New Roman"/>
              </w:rPr>
              <w:t>氰化物</w:t>
            </w:r>
          </w:p>
        </w:tc>
      </w:tr>
      <w:tr w14:paraId="64A3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155" w:type="dxa"/>
            <w:vAlign w:val="center"/>
          </w:tcPr>
          <w:p w14:paraId="732F468D">
            <w:pPr>
              <w:pStyle w:val="1429"/>
              <w:rPr>
                <w:rFonts w:cs="Times New Roman"/>
              </w:rPr>
            </w:pPr>
            <w:r>
              <w:rPr>
                <w:rFonts w:cs="Times New Roman"/>
              </w:rPr>
              <w:t>浓度限值</w:t>
            </w:r>
          </w:p>
        </w:tc>
        <w:tc>
          <w:tcPr>
            <w:tcW w:w="999" w:type="dxa"/>
            <w:vAlign w:val="center"/>
          </w:tcPr>
          <w:p w14:paraId="77B29438">
            <w:pPr>
              <w:pStyle w:val="1429"/>
              <w:rPr>
                <w:rFonts w:cs="Times New Roman"/>
              </w:rPr>
            </w:pPr>
            <w:r>
              <w:rPr>
                <w:rFonts w:cs="Times New Roman"/>
              </w:rPr>
              <w:t>6.5~8.5</w:t>
            </w:r>
          </w:p>
        </w:tc>
        <w:tc>
          <w:tcPr>
            <w:tcW w:w="1593" w:type="dxa"/>
            <w:vAlign w:val="center"/>
          </w:tcPr>
          <w:p w14:paraId="18ED1212">
            <w:pPr>
              <w:pStyle w:val="1429"/>
              <w:rPr>
                <w:rFonts w:cs="Times New Roman"/>
              </w:rPr>
            </w:pPr>
            <w:r>
              <w:rPr>
                <w:rFonts w:cs="Times New Roman"/>
              </w:rPr>
              <w:t>≤0.5</w:t>
            </w:r>
          </w:p>
        </w:tc>
        <w:tc>
          <w:tcPr>
            <w:tcW w:w="1338" w:type="dxa"/>
            <w:vAlign w:val="center"/>
          </w:tcPr>
          <w:p w14:paraId="59DAFB67">
            <w:pPr>
              <w:pStyle w:val="1429"/>
              <w:rPr>
                <w:rFonts w:cs="Times New Roman"/>
              </w:rPr>
            </w:pPr>
            <w:r>
              <w:rPr>
                <w:rFonts w:cs="Times New Roman"/>
              </w:rPr>
              <w:t>≤20.0</w:t>
            </w:r>
          </w:p>
        </w:tc>
        <w:tc>
          <w:tcPr>
            <w:tcW w:w="1068" w:type="dxa"/>
            <w:vAlign w:val="center"/>
          </w:tcPr>
          <w:p w14:paraId="40EB8778">
            <w:pPr>
              <w:pStyle w:val="1429"/>
              <w:rPr>
                <w:rFonts w:cs="Times New Roman"/>
              </w:rPr>
            </w:pPr>
            <w:r>
              <w:rPr>
                <w:rFonts w:cs="Times New Roman"/>
              </w:rPr>
              <w:t>≤1.00</w:t>
            </w:r>
          </w:p>
        </w:tc>
        <w:tc>
          <w:tcPr>
            <w:tcW w:w="1000" w:type="dxa"/>
            <w:vAlign w:val="center"/>
          </w:tcPr>
          <w:p w14:paraId="26B8D366">
            <w:pPr>
              <w:pStyle w:val="1429"/>
              <w:rPr>
                <w:rFonts w:cs="Times New Roman"/>
              </w:rPr>
            </w:pPr>
            <w:r>
              <w:rPr>
                <w:rFonts w:cs="Times New Roman"/>
              </w:rPr>
              <w:t>≤0.002</w:t>
            </w:r>
          </w:p>
        </w:tc>
        <w:tc>
          <w:tcPr>
            <w:tcW w:w="1441" w:type="dxa"/>
            <w:vAlign w:val="center"/>
          </w:tcPr>
          <w:p w14:paraId="1B92AA80">
            <w:pPr>
              <w:pStyle w:val="1429"/>
              <w:rPr>
                <w:rFonts w:cs="Times New Roman"/>
              </w:rPr>
            </w:pPr>
            <w:r>
              <w:rPr>
                <w:rFonts w:cs="Times New Roman"/>
              </w:rPr>
              <w:t>≤</w:t>
            </w:r>
            <w:r>
              <w:rPr>
                <w:rFonts w:hint="eastAsia" w:cs="Times New Roman"/>
              </w:rPr>
              <w:t>0</w:t>
            </w:r>
            <w:r>
              <w:rPr>
                <w:rFonts w:cs="Times New Roman"/>
              </w:rPr>
              <w:t>.05</w:t>
            </w:r>
          </w:p>
        </w:tc>
      </w:tr>
      <w:tr w14:paraId="1329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155" w:type="dxa"/>
            <w:vAlign w:val="center"/>
          </w:tcPr>
          <w:p w14:paraId="78BED27C">
            <w:pPr>
              <w:pStyle w:val="1429"/>
              <w:rPr>
                <w:rFonts w:cs="Times New Roman"/>
              </w:rPr>
            </w:pPr>
            <w:r>
              <w:rPr>
                <w:rFonts w:cs="Times New Roman"/>
              </w:rPr>
              <w:t>项目</w:t>
            </w:r>
          </w:p>
        </w:tc>
        <w:tc>
          <w:tcPr>
            <w:tcW w:w="999" w:type="dxa"/>
            <w:vAlign w:val="center"/>
          </w:tcPr>
          <w:p w14:paraId="4B9DD01D">
            <w:pPr>
              <w:pStyle w:val="1429"/>
              <w:rPr>
                <w:rFonts w:cs="Times New Roman"/>
              </w:rPr>
            </w:pPr>
            <w:r>
              <w:rPr>
                <w:rFonts w:cs="Times New Roman"/>
              </w:rPr>
              <w:t>砷</w:t>
            </w:r>
          </w:p>
        </w:tc>
        <w:tc>
          <w:tcPr>
            <w:tcW w:w="1593" w:type="dxa"/>
            <w:vAlign w:val="center"/>
          </w:tcPr>
          <w:p w14:paraId="0045C620">
            <w:pPr>
              <w:pStyle w:val="1429"/>
              <w:rPr>
                <w:rFonts w:cs="Times New Roman"/>
              </w:rPr>
            </w:pPr>
            <w:r>
              <w:rPr>
                <w:rFonts w:cs="Times New Roman"/>
              </w:rPr>
              <w:t>汞</w:t>
            </w:r>
          </w:p>
        </w:tc>
        <w:tc>
          <w:tcPr>
            <w:tcW w:w="1338" w:type="dxa"/>
            <w:vAlign w:val="center"/>
          </w:tcPr>
          <w:p w14:paraId="0FCE6815">
            <w:pPr>
              <w:pStyle w:val="1429"/>
              <w:rPr>
                <w:rFonts w:cs="Times New Roman"/>
              </w:rPr>
            </w:pPr>
            <w:r>
              <w:rPr>
                <w:rFonts w:cs="Times New Roman"/>
              </w:rPr>
              <w:t>铬（六价）</w:t>
            </w:r>
          </w:p>
        </w:tc>
        <w:tc>
          <w:tcPr>
            <w:tcW w:w="1068" w:type="dxa"/>
            <w:vAlign w:val="center"/>
          </w:tcPr>
          <w:p w14:paraId="7C7BB8C8">
            <w:pPr>
              <w:pStyle w:val="1429"/>
              <w:rPr>
                <w:rFonts w:cs="Times New Roman"/>
              </w:rPr>
            </w:pPr>
            <w:r>
              <w:rPr>
                <w:rFonts w:cs="Times New Roman"/>
              </w:rPr>
              <w:t>总硬度</w:t>
            </w:r>
          </w:p>
        </w:tc>
        <w:tc>
          <w:tcPr>
            <w:tcW w:w="1000" w:type="dxa"/>
            <w:vAlign w:val="center"/>
          </w:tcPr>
          <w:p w14:paraId="316CBFFB">
            <w:pPr>
              <w:pStyle w:val="1429"/>
              <w:rPr>
                <w:rFonts w:cs="Times New Roman"/>
              </w:rPr>
            </w:pPr>
            <w:r>
              <w:rPr>
                <w:rFonts w:cs="Times New Roman"/>
              </w:rPr>
              <w:t>铅</w:t>
            </w:r>
          </w:p>
        </w:tc>
        <w:tc>
          <w:tcPr>
            <w:tcW w:w="1441" w:type="dxa"/>
            <w:vAlign w:val="center"/>
          </w:tcPr>
          <w:p w14:paraId="340DDED2">
            <w:pPr>
              <w:pStyle w:val="1429"/>
              <w:rPr>
                <w:rFonts w:cs="Times New Roman"/>
              </w:rPr>
            </w:pPr>
            <w:r>
              <w:rPr>
                <w:rFonts w:cs="Times New Roman"/>
              </w:rPr>
              <w:t>氟</w:t>
            </w:r>
          </w:p>
        </w:tc>
      </w:tr>
      <w:tr w14:paraId="08AB4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155" w:type="dxa"/>
            <w:vAlign w:val="center"/>
          </w:tcPr>
          <w:p w14:paraId="48BFA296">
            <w:pPr>
              <w:pStyle w:val="1429"/>
              <w:rPr>
                <w:rFonts w:cs="Times New Roman"/>
              </w:rPr>
            </w:pPr>
            <w:r>
              <w:rPr>
                <w:rFonts w:cs="Times New Roman"/>
              </w:rPr>
              <w:t>浓度限值</w:t>
            </w:r>
          </w:p>
        </w:tc>
        <w:tc>
          <w:tcPr>
            <w:tcW w:w="999" w:type="dxa"/>
            <w:vAlign w:val="center"/>
          </w:tcPr>
          <w:p w14:paraId="7ACD3AB1">
            <w:pPr>
              <w:pStyle w:val="1429"/>
              <w:rPr>
                <w:rFonts w:cs="Times New Roman"/>
              </w:rPr>
            </w:pPr>
            <w:r>
              <w:rPr>
                <w:rFonts w:cs="Times New Roman"/>
              </w:rPr>
              <w:t>≤0.01</w:t>
            </w:r>
          </w:p>
        </w:tc>
        <w:tc>
          <w:tcPr>
            <w:tcW w:w="1593" w:type="dxa"/>
            <w:vAlign w:val="center"/>
          </w:tcPr>
          <w:p w14:paraId="2E518F37">
            <w:pPr>
              <w:pStyle w:val="1429"/>
              <w:rPr>
                <w:rFonts w:cs="Times New Roman"/>
              </w:rPr>
            </w:pPr>
            <w:r>
              <w:rPr>
                <w:rFonts w:cs="Times New Roman"/>
              </w:rPr>
              <w:t>≤0.001</w:t>
            </w:r>
          </w:p>
        </w:tc>
        <w:tc>
          <w:tcPr>
            <w:tcW w:w="1338" w:type="dxa"/>
            <w:vAlign w:val="center"/>
          </w:tcPr>
          <w:p w14:paraId="09EFEEA6">
            <w:pPr>
              <w:pStyle w:val="1429"/>
              <w:rPr>
                <w:rFonts w:cs="Times New Roman"/>
              </w:rPr>
            </w:pPr>
            <w:r>
              <w:rPr>
                <w:rFonts w:cs="Times New Roman"/>
              </w:rPr>
              <w:t>≤0.05</w:t>
            </w:r>
          </w:p>
        </w:tc>
        <w:tc>
          <w:tcPr>
            <w:tcW w:w="1068" w:type="dxa"/>
            <w:vAlign w:val="center"/>
          </w:tcPr>
          <w:p w14:paraId="54A31C96">
            <w:pPr>
              <w:pStyle w:val="1429"/>
              <w:rPr>
                <w:rFonts w:cs="Times New Roman"/>
              </w:rPr>
            </w:pPr>
            <w:r>
              <w:rPr>
                <w:rFonts w:cs="Times New Roman"/>
              </w:rPr>
              <w:t>≤450</w:t>
            </w:r>
          </w:p>
        </w:tc>
        <w:tc>
          <w:tcPr>
            <w:tcW w:w="1000" w:type="dxa"/>
            <w:vAlign w:val="center"/>
          </w:tcPr>
          <w:p w14:paraId="108C8EDF">
            <w:pPr>
              <w:pStyle w:val="1429"/>
              <w:rPr>
                <w:rFonts w:cs="Times New Roman"/>
              </w:rPr>
            </w:pPr>
            <w:r>
              <w:rPr>
                <w:rFonts w:cs="Times New Roman"/>
              </w:rPr>
              <w:t>≤0.05</w:t>
            </w:r>
          </w:p>
        </w:tc>
        <w:tc>
          <w:tcPr>
            <w:tcW w:w="1441" w:type="dxa"/>
            <w:vAlign w:val="center"/>
          </w:tcPr>
          <w:p w14:paraId="7B51B575">
            <w:pPr>
              <w:pStyle w:val="1429"/>
              <w:rPr>
                <w:rFonts w:cs="Times New Roman"/>
              </w:rPr>
            </w:pPr>
            <w:r>
              <w:rPr>
                <w:rFonts w:cs="Times New Roman"/>
              </w:rPr>
              <w:t>≤1.0</w:t>
            </w:r>
          </w:p>
        </w:tc>
      </w:tr>
      <w:tr w14:paraId="7985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155" w:type="dxa"/>
            <w:vAlign w:val="center"/>
          </w:tcPr>
          <w:p w14:paraId="2F11ECAC">
            <w:pPr>
              <w:pStyle w:val="1429"/>
              <w:rPr>
                <w:rFonts w:cs="Times New Roman"/>
              </w:rPr>
            </w:pPr>
            <w:r>
              <w:rPr>
                <w:rFonts w:cs="Times New Roman"/>
              </w:rPr>
              <w:t>项目</w:t>
            </w:r>
          </w:p>
        </w:tc>
        <w:tc>
          <w:tcPr>
            <w:tcW w:w="999" w:type="dxa"/>
            <w:vAlign w:val="center"/>
          </w:tcPr>
          <w:p w14:paraId="5DB15C8C">
            <w:pPr>
              <w:pStyle w:val="1429"/>
              <w:rPr>
                <w:rFonts w:cs="Times New Roman"/>
              </w:rPr>
            </w:pPr>
            <w:r>
              <w:rPr>
                <w:rFonts w:cs="Times New Roman"/>
              </w:rPr>
              <w:t>镉</w:t>
            </w:r>
          </w:p>
        </w:tc>
        <w:tc>
          <w:tcPr>
            <w:tcW w:w="1593" w:type="dxa"/>
            <w:vAlign w:val="center"/>
          </w:tcPr>
          <w:p w14:paraId="78384D6F">
            <w:pPr>
              <w:pStyle w:val="1429"/>
              <w:rPr>
                <w:rFonts w:cs="Times New Roman"/>
              </w:rPr>
            </w:pPr>
            <w:r>
              <w:rPr>
                <w:rFonts w:cs="Times New Roman"/>
              </w:rPr>
              <w:t>铁</w:t>
            </w:r>
          </w:p>
        </w:tc>
        <w:tc>
          <w:tcPr>
            <w:tcW w:w="1338" w:type="dxa"/>
            <w:vAlign w:val="center"/>
          </w:tcPr>
          <w:p w14:paraId="22FF8EB7">
            <w:pPr>
              <w:pStyle w:val="1429"/>
              <w:rPr>
                <w:rFonts w:cs="Times New Roman"/>
              </w:rPr>
            </w:pPr>
            <w:r>
              <w:rPr>
                <w:rFonts w:cs="Times New Roman"/>
              </w:rPr>
              <w:t>锰</w:t>
            </w:r>
          </w:p>
        </w:tc>
        <w:tc>
          <w:tcPr>
            <w:tcW w:w="1068" w:type="dxa"/>
            <w:vAlign w:val="center"/>
          </w:tcPr>
          <w:p w14:paraId="4112D1D4">
            <w:pPr>
              <w:pStyle w:val="1429"/>
              <w:rPr>
                <w:rFonts w:cs="Times New Roman"/>
              </w:rPr>
            </w:pPr>
            <w:r>
              <w:rPr>
                <w:rFonts w:cs="Times New Roman"/>
              </w:rPr>
              <w:t>溶解性总固体</w:t>
            </w:r>
          </w:p>
        </w:tc>
        <w:tc>
          <w:tcPr>
            <w:tcW w:w="1000" w:type="dxa"/>
            <w:vAlign w:val="center"/>
          </w:tcPr>
          <w:p w14:paraId="0A089992">
            <w:pPr>
              <w:pStyle w:val="1429"/>
              <w:rPr>
                <w:rFonts w:cs="Times New Roman"/>
              </w:rPr>
            </w:pPr>
            <w:r>
              <w:rPr>
                <w:rFonts w:cs="Times New Roman"/>
              </w:rPr>
              <w:t>耗氧量</w:t>
            </w:r>
          </w:p>
        </w:tc>
        <w:tc>
          <w:tcPr>
            <w:tcW w:w="1441" w:type="dxa"/>
            <w:vAlign w:val="center"/>
          </w:tcPr>
          <w:p w14:paraId="06F82A91">
            <w:pPr>
              <w:pStyle w:val="1429"/>
              <w:rPr>
                <w:rFonts w:cs="Times New Roman"/>
              </w:rPr>
            </w:pPr>
            <w:r>
              <w:rPr>
                <w:rFonts w:cs="Times New Roman"/>
              </w:rPr>
              <w:t>硫酸盐</w:t>
            </w:r>
          </w:p>
        </w:tc>
      </w:tr>
      <w:tr w14:paraId="3BFB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155" w:type="dxa"/>
            <w:vAlign w:val="center"/>
          </w:tcPr>
          <w:p w14:paraId="1AA963FD">
            <w:pPr>
              <w:pStyle w:val="1429"/>
              <w:rPr>
                <w:rFonts w:cs="Times New Roman"/>
              </w:rPr>
            </w:pPr>
            <w:r>
              <w:rPr>
                <w:rFonts w:cs="Times New Roman"/>
              </w:rPr>
              <w:t>浓度限值</w:t>
            </w:r>
          </w:p>
        </w:tc>
        <w:tc>
          <w:tcPr>
            <w:tcW w:w="999" w:type="dxa"/>
            <w:vAlign w:val="center"/>
          </w:tcPr>
          <w:p w14:paraId="6F6D8E17">
            <w:pPr>
              <w:pStyle w:val="1429"/>
              <w:rPr>
                <w:rFonts w:cs="Times New Roman"/>
              </w:rPr>
            </w:pPr>
            <w:r>
              <w:rPr>
                <w:rFonts w:cs="Times New Roman"/>
              </w:rPr>
              <w:t>≤0.005</w:t>
            </w:r>
          </w:p>
        </w:tc>
        <w:tc>
          <w:tcPr>
            <w:tcW w:w="1593" w:type="dxa"/>
            <w:vAlign w:val="center"/>
          </w:tcPr>
          <w:p w14:paraId="58F0F680">
            <w:pPr>
              <w:pStyle w:val="1429"/>
              <w:rPr>
                <w:rFonts w:cs="Times New Roman"/>
              </w:rPr>
            </w:pPr>
            <w:r>
              <w:rPr>
                <w:rFonts w:cs="Times New Roman"/>
              </w:rPr>
              <w:t>≤0.3</w:t>
            </w:r>
          </w:p>
        </w:tc>
        <w:tc>
          <w:tcPr>
            <w:tcW w:w="1338" w:type="dxa"/>
            <w:vAlign w:val="center"/>
          </w:tcPr>
          <w:p w14:paraId="2F2D66F1">
            <w:pPr>
              <w:pStyle w:val="1429"/>
              <w:rPr>
                <w:rFonts w:cs="Times New Roman"/>
              </w:rPr>
            </w:pPr>
            <w:r>
              <w:rPr>
                <w:rFonts w:cs="Times New Roman"/>
              </w:rPr>
              <w:t>≤0.1</w:t>
            </w:r>
          </w:p>
        </w:tc>
        <w:tc>
          <w:tcPr>
            <w:tcW w:w="1068" w:type="dxa"/>
            <w:vAlign w:val="center"/>
          </w:tcPr>
          <w:p w14:paraId="7BD2E83D">
            <w:pPr>
              <w:pStyle w:val="1429"/>
              <w:rPr>
                <w:rFonts w:cs="Times New Roman"/>
              </w:rPr>
            </w:pPr>
            <w:r>
              <w:rPr>
                <w:rFonts w:cs="Times New Roman"/>
              </w:rPr>
              <w:t>≤1000</w:t>
            </w:r>
          </w:p>
        </w:tc>
        <w:tc>
          <w:tcPr>
            <w:tcW w:w="1000" w:type="dxa"/>
            <w:vAlign w:val="center"/>
          </w:tcPr>
          <w:p w14:paraId="6524714E">
            <w:pPr>
              <w:pStyle w:val="1429"/>
              <w:rPr>
                <w:rFonts w:cs="Times New Roman"/>
              </w:rPr>
            </w:pPr>
            <w:r>
              <w:rPr>
                <w:rFonts w:cs="Times New Roman"/>
              </w:rPr>
              <w:t>≤3.0</w:t>
            </w:r>
          </w:p>
        </w:tc>
        <w:tc>
          <w:tcPr>
            <w:tcW w:w="1441" w:type="dxa"/>
            <w:vAlign w:val="center"/>
          </w:tcPr>
          <w:p w14:paraId="421BB4FF">
            <w:pPr>
              <w:pStyle w:val="1429"/>
              <w:rPr>
                <w:rFonts w:cs="Times New Roman"/>
              </w:rPr>
            </w:pPr>
            <w:r>
              <w:rPr>
                <w:rFonts w:cs="Times New Roman"/>
              </w:rPr>
              <w:t>≤250</w:t>
            </w:r>
          </w:p>
        </w:tc>
      </w:tr>
      <w:tr w14:paraId="7CC0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155" w:type="dxa"/>
            <w:vAlign w:val="center"/>
          </w:tcPr>
          <w:p w14:paraId="392618B1">
            <w:pPr>
              <w:pStyle w:val="1429"/>
              <w:rPr>
                <w:rFonts w:cs="Times New Roman"/>
              </w:rPr>
            </w:pPr>
            <w:r>
              <w:rPr>
                <w:rFonts w:cs="Times New Roman"/>
              </w:rPr>
              <w:t>项目</w:t>
            </w:r>
          </w:p>
        </w:tc>
        <w:tc>
          <w:tcPr>
            <w:tcW w:w="999" w:type="dxa"/>
            <w:vAlign w:val="center"/>
          </w:tcPr>
          <w:p w14:paraId="058E082F">
            <w:pPr>
              <w:pStyle w:val="1429"/>
              <w:rPr>
                <w:rFonts w:cs="Times New Roman"/>
              </w:rPr>
            </w:pPr>
            <w:r>
              <w:rPr>
                <w:rFonts w:cs="Times New Roman"/>
              </w:rPr>
              <w:t>硫化物</w:t>
            </w:r>
          </w:p>
        </w:tc>
        <w:tc>
          <w:tcPr>
            <w:tcW w:w="1593" w:type="dxa"/>
            <w:vAlign w:val="center"/>
          </w:tcPr>
          <w:p w14:paraId="34DCAA4C">
            <w:pPr>
              <w:pStyle w:val="1429"/>
              <w:rPr>
                <w:rFonts w:cs="Times New Roman"/>
              </w:rPr>
            </w:pPr>
            <w:r>
              <w:rPr>
                <w:rFonts w:cs="Times New Roman"/>
              </w:rPr>
              <w:t>总大肠菌群(MPN/100mL)</w:t>
            </w:r>
          </w:p>
        </w:tc>
        <w:tc>
          <w:tcPr>
            <w:tcW w:w="1338" w:type="dxa"/>
            <w:vAlign w:val="center"/>
          </w:tcPr>
          <w:p w14:paraId="107DFA6E">
            <w:pPr>
              <w:pStyle w:val="1429"/>
              <w:rPr>
                <w:rFonts w:cs="Times New Roman"/>
              </w:rPr>
            </w:pPr>
            <w:r>
              <w:rPr>
                <w:rFonts w:hint="eastAsia"/>
              </w:rPr>
              <w:t>菌落</w:t>
            </w:r>
            <w:r>
              <w:t>总数</w:t>
            </w:r>
            <w:r>
              <w:rPr>
                <w:rFonts w:hint="eastAsia"/>
              </w:rPr>
              <w:t>(</w:t>
            </w:r>
            <w:r>
              <w:t>CFU/mL</w:t>
            </w:r>
            <w:r>
              <w:rPr>
                <w:rFonts w:hint="eastAsia"/>
              </w:rPr>
              <w:t>)</w:t>
            </w:r>
          </w:p>
        </w:tc>
        <w:tc>
          <w:tcPr>
            <w:tcW w:w="1068" w:type="dxa"/>
            <w:vAlign w:val="center"/>
          </w:tcPr>
          <w:p w14:paraId="4BFD191D">
            <w:pPr>
              <w:pStyle w:val="1429"/>
              <w:rPr>
                <w:rFonts w:cs="Times New Roman"/>
              </w:rPr>
            </w:pPr>
            <w:r>
              <w:t>钡</w:t>
            </w:r>
          </w:p>
        </w:tc>
        <w:tc>
          <w:tcPr>
            <w:tcW w:w="1000" w:type="dxa"/>
            <w:vAlign w:val="center"/>
          </w:tcPr>
          <w:p w14:paraId="47B94E7E">
            <w:pPr>
              <w:pStyle w:val="1429"/>
              <w:rPr>
                <w:rFonts w:cs="Times New Roman"/>
              </w:rPr>
            </w:pPr>
            <w:r>
              <w:rPr>
                <w:rFonts w:cs="Times New Roman"/>
              </w:rPr>
              <w:t>氯化物</w:t>
            </w:r>
          </w:p>
        </w:tc>
        <w:tc>
          <w:tcPr>
            <w:tcW w:w="1441" w:type="dxa"/>
            <w:vAlign w:val="center"/>
          </w:tcPr>
          <w:p w14:paraId="2B051343">
            <w:pPr>
              <w:pStyle w:val="1429"/>
              <w:rPr>
                <w:rFonts w:cs="Times New Roman"/>
              </w:rPr>
            </w:pPr>
            <w:r>
              <w:rPr>
                <w:rFonts w:cs="Times New Roman"/>
              </w:rPr>
              <w:t>石油类</w:t>
            </w:r>
          </w:p>
        </w:tc>
      </w:tr>
      <w:tr w14:paraId="2E84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155" w:type="dxa"/>
            <w:vAlign w:val="center"/>
          </w:tcPr>
          <w:p w14:paraId="0A0063BE">
            <w:pPr>
              <w:pStyle w:val="1429"/>
              <w:rPr>
                <w:rFonts w:cs="Times New Roman"/>
              </w:rPr>
            </w:pPr>
            <w:r>
              <w:rPr>
                <w:rFonts w:cs="Times New Roman"/>
              </w:rPr>
              <w:t>浓度限值</w:t>
            </w:r>
          </w:p>
        </w:tc>
        <w:tc>
          <w:tcPr>
            <w:tcW w:w="999" w:type="dxa"/>
            <w:vAlign w:val="center"/>
          </w:tcPr>
          <w:p w14:paraId="4BFF2034">
            <w:pPr>
              <w:pStyle w:val="1429"/>
              <w:rPr>
                <w:rFonts w:cs="Times New Roman"/>
              </w:rPr>
            </w:pPr>
            <w:r>
              <w:rPr>
                <w:rFonts w:cs="Times New Roman"/>
              </w:rPr>
              <w:t>≤0.02</w:t>
            </w:r>
          </w:p>
        </w:tc>
        <w:tc>
          <w:tcPr>
            <w:tcW w:w="1593" w:type="dxa"/>
            <w:vAlign w:val="center"/>
          </w:tcPr>
          <w:p w14:paraId="15833CDD">
            <w:pPr>
              <w:pStyle w:val="1429"/>
              <w:rPr>
                <w:rFonts w:cs="Times New Roman"/>
              </w:rPr>
            </w:pPr>
            <w:r>
              <w:rPr>
                <w:rFonts w:cs="Times New Roman"/>
              </w:rPr>
              <w:t>≤3</w:t>
            </w:r>
          </w:p>
        </w:tc>
        <w:tc>
          <w:tcPr>
            <w:tcW w:w="1338" w:type="dxa"/>
            <w:vAlign w:val="center"/>
          </w:tcPr>
          <w:p w14:paraId="66C2B92F">
            <w:pPr>
              <w:pStyle w:val="1429"/>
              <w:rPr>
                <w:rFonts w:cs="Times New Roman"/>
              </w:rPr>
            </w:pPr>
            <w:r>
              <w:t>≤100</w:t>
            </w:r>
          </w:p>
        </w:tc>
        <w:tc>
          <w:tcPr>
            <w:tcW w:w="1068" w:type="dxa"/>
            <w:vAlign w:val="center"/>
          </w:tcPr>
          <w:p w14:paraId="5747242D">
            <w:pPr>
              <w:pStyle w:val="1429"/>
              <w:rPr>
                <w:rFonts w:cs="Times New Roman"/>
              </w:rPr>
            </w:pPr>
            <w:r>
              <w:t>≤0.7</w:t>
            </w:r>
          </w:p>
        </w:tc>
        <w:tc>
          <w:tcPr>
            <w:tcW w:w="1000" w:type="dxa"/>
            <w:vAlign w:val="center"/>
          </w:tcPr>
          <w:p w14:paraId="5F43C5F6">
            <w:pPr>
              <w:pStyle w:val="1429"/>
              <w:rPr>
                <w:rFonts w:cs="Times New Roman"/>
              </w:rPr>
            </w:pPr>
            <w:r>
              <w:rPr>
                <w:rFonts w:cs="Times New Roman"/>
              </w:rPr>
              <w:t>≤250</w:t>
            </w:r>
          </w:p>
        </w:tc>
        <w:tc>
          <w:tcPr>
            <w:tcW w:w="1441" w:type="dxa"/>
            <w:vAlign w:val="center"/>
          </w:tcPr>
          <w:p w14:paraId="460E529F">
            <w:pPr>
              <w:pStyle w:val="1429"/>
              <w:rPr>
                <w:rFonts w:cs="Times New Roman"/>
              </w:rPr>
            </w:pPr>
            <w:r>
              <w:rPr>
                <w:rFonts w:cs="Times New Roman"/>
              </w:rPr>
              <w:t>≤0.05</w:t>
            </w:r>
          </w:p>
        </w:tc>
      </w:tr>
      <w:tr w14:paraId="6556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155" w:type="dxa"/>
            <w:vAlign w:val="center"/>
          </w:tcPr>
          <w:p w14:paraId="2B20DE4A">
            <w:pPr>
              <w:pStyle w:val="1429"/>
              <w:rPr>
                <w:rFonts w:cs="Times New Roman"/>
              </w:rPr>
            </w:pPr>
            <w:r>
              <w:rPr>
                <w:rFonts w:cs="Times New Roman"/>
              </w:rPr>
              <w:t>项目</w:t>
            </w:r>
          </w:p>
        </w:tc>
        <w:tc>
          <w:tcPr>
            <w:tcW w:w="999" w:type="dxa"/>
            <w:vAlign w:val="center"/>
          </w:tcPr>
          <w:p w14:paraId="26FC98D2">
            <w:pPr>
              <w:pStyle w:val="1429"/>
              <w:rPr>
                <w:rFonts w:cs="Times New Roman"/>
              </w:rPr>
            </w:pPr>
            <w:r>
              <w:rPr>
                <w:rFonts w:cs="Times New Roman"/>
              </w:rPr>
              <w:t>COD</w:t>
            </w:r>
          </w:p>
        </w:tc>
        <w:tc>
          <w:tcPr>
            <w:tcW w:w="1593" w:type="dxa"/>
            <w:vAlign w:val="center"/>
          </w:tcPr>
          <w:p w14:paraId="437F8542">
            <w:pPr>
              <w:pStyle w:val="1429"/>
              <w:rPr>
                <w:rFonts w:cs="Times New Roman"/>
              </w:rPr>
            </w:pPr>
          </w:p>
        </w:tc>
        <w:tc>
          <w:tcPr>
            <w:tcW w:w="1338" w:type="dxa"/>
            <w:vAlign w:val="center"/>
          </w:tcPr>
          <w:p w14:paraId="0E280E12">
            <w:pPr>
              <w:pStyle w:val="1429"/>
            </w:pPr>
          </w:p>
        </w:tc>
        <w:tc>
          <w:tcPr>
            <w:tcW w:w="1068" w:type="dxa"/>
            <w:vAlign w:val="center"/>
          </w:tcPr>
          <w:p w14:paraId="31B07AE4">
            <w:pPr>
              <w:pStyle w:val="1429"/>
            </w:pPr>
          </w:p>
        </w:tc>
        <w:tc>
          <w:tcPr>
            <w:tcW w:w="1000" w:type="dxa"/>
            <w:vAlign w:val="center"/>
          </w:tcPr>
          <w:p w14:paraId="5A675910">
            <w:pPr>
              <w:pStyle w:val="1429"/>
              <w:rPr>
                <w:rFonts w:cs="Times New Roman"/>
              </w:rPr>
            </w:pPr>
          </w:p>
        </w:tc>
        <w:tc>
          <w:tcPr>
            <w:tcW w:w="1441" w:type="dxa"/>
            <w:vAlign w:val="center"/>
          </w:tcPr>
          <w:p w14:paraId="49D0ABA7">
            <w:pPr>
              <w:pStyle w:val="1429"/>
              <w:rPr>
                <w:rFonts w:cs="Times New Roman"/>
              </w:rPr>
            </w:pPr>
          </w:p>
        </w:tc>
      </w:tr>
      <w:tr w14:paraId="213D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155" w:type="dxa"/>
            <w:vAlign w:val="center"/>
          </w:tcPr>
          <w:p w14:paraId="32628B6E">
            <w:pPr>
              <w:pStyle w:val="1429"/>
              <w:rPr>
                <w:rFonts w:cs="Times New Roman"/>
              </w:rPr>
            </w:pPr>
            <w:r>
              <w:rPr>
                <w:rFonts w:cs="Times New Roman"/>
              </w:rPr>
              <w:t>浓度限值</w:t>
            </w:r>
          </w:p>
        </w:tc>
        <w:tc>
          <w:tcPr>
            <w:tcW w:w="999" w:type="dxa"/>
            <w:vAlign w:val="center"/>
          </w:tcPr>
          <w:p w14:paraId="098BC91D">
            <w:pPr>
              <w:pStyle w:val="1429"/>
              <w:rPr>
                <w:rFonts w:cs="Times New Roman"/>
              </w:rPr>
            </w:pPr>
            <w:r>
              <w:rPr>
                <w:rFonts w:cs="Times New Roman"/>
              </w:rPr>
              <w:t>≤20</w:t>
            </w:r>
          </w:p>
        </w:tc>
        <w:tc>
          <w:tcPr>
            <w:tcW w:w="1593" w:type="dxa"/>
            <w:vAlign w:val="center"/>
          </w:tcPr>
          <w:p w14:paraId="52AF2252">
            <w:pPr>
              <w:pStyle w:val="1429"/>
              <w:rPr>
                <w:rFonts w:cs="Times New Roman"/>
              </w:rPr>
            </w:pPr>
          </w:p>
        </w:tc>
        <w:tc>
          <w:tcPr>
            <w:tcW w:w="1338" w:type="dxa"/>
            <w:vAlign w:val="center"/>
          </w:tcPr>
          <w:p w14:paraId="23C473E4">
            <w:pPr>
              <w:pStyle w:val="1429"/>
            </w:pPr>
          </w:p>
        </w:tc>
        <w:tc>
          <w:tcPr>
            <w:tcW w:w="1068" w:type="dxa"/>
            <w:vAlign w:val="center"/>
          </w:tcPr>
          <w:p w14:paraId="429EABF9">
            <w:pPr>
              <w:pStyle w:val="1429"/>
            </w:pPr>
          </w:p>
        </w:tc>
        <w:tc>
          <w:tcPr>
            <w:tcW w:w="1000" w:type="dxa"/>
            <w:vAlign w:val="center"/>
          </w:tcPr>
          <w:p w14:paraId="5C38477F">
            <w:pPr>
              <w:pStyle w:val="1429"/>
              <w:rPr>
                <w:rFonts w:cs="Times New Roman"/>
              </w:rPr>
            </w:pPr>
          </w:p>
        </w:tc>
        <w:tc>
          <w:tcPr>
            <w:tcW w:w="1441" w:type="dxa"/>
            <w:vAlign w:val="center"/>
          </w:tcPr>
          <w:p w14:paraId="761BBD62">
            <w:pPr>
              <w:pStyle w:val="1429"/>
              <w:rPr>
                <w:rFonts w:cs="Times New Roman"/>
              </w:rPr>
            </w:pPr>
          </w:p>
        </w:tc>
      </w:tr>
      <w:tr w14:paraId="6034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594" w:type="dxa"/>
            <w:gridSpan w:val="7"/>
            <w:vAlign w:val="center"/>
          </w:tcPr>
          <w:p w14:paraId="4706854B">
            <w:pPr>
              <w:pStyle w:val="1429"/>
              <w:jc w:val="both"/>
              <w:rPr>
                <w:rFonts w:cs="Times New Roman"/>
              </w:rPr>
            </w:pPr>
            <w:r>
              <w:rPr>
                <w:rFonts w:cs="Times New Roman"/>
                <w:sz w:val="21"/>
              </w:rPr>
              <w:t>注：COD、石油类</w:t>
            </w:r>
            <w:r>
              <w:rPr>
                <w:rFonts w:hint="eastAsia" w:cs="Times New Roman"/>
                <w:sz w:val="21"/>
              </w:rPr>
              <w:t>参照</w:t>
            </w:r>
            <w:r>
              <w:rPr>
                <w:rFonts w:cs="Times New Roman"/>
                <w:sz w:val="21"/>
              </w:rPr>
              <w:t>执行《地表水</w:t>
            </w:r>
            <w:r>
              <w:rPr>
                <w:rFonts w:hint="eastAsia" w:cs="Times New Roman"/>
                <w:sz w:val="21"/>
              </w:rPr>
              <w:t>环境</w:t>
            </w:r>
            <w:r>
              <w:rPr>
                <w:rFonts w:cs="Times New Roman"/>
                <w:sz w:val="21"/>
              </w:rPr>
              <w:t>质量标准》（GB 3838-2002）</w:t>
            </w:r>
            <w:r>
              <w:rPr>
                <w:rFonts w:hint="eastAsia" w:cs="Times New Roman"/>
                <w:sz w:val="21"/>
              </w:rPr>
              <w:t>Ⅲ类水质标准</w:t>
            </w:r>
            <w:r>
              <w:rPr>
                <w:rFonts w:cs="Times New Roman"/>
                <w:sz w:val="21"/>
              </w:rPr>
              <w:t>。</w:t>
            </w:r>
          </w:p>
        </w:tc>
      </w:tr>
    </w:tbl>
    <w:p w14:paraId="55A3C480">
      <w:pPr>
        <w:pStyle w:val="1379"/>
        <w:ind w:firstLine="440"/>
      </w:pPr>
    </w:p>
    <w:p w14:paraId="06B63D2B">
      <w:pPr>
        <w:autoSpaceDE w:val="0"/>
        <w:autoSpaceDN w:val="0"/>
        <w:adjustRightInd w:val="0"/>
        <w:spacing w:line="460" w:lineRule="exact"/>
        <w:ind w:firstLine="520" w:firstLineChars="200"/>
        <w:rPr>
          <w:sz w:val="26"/>
          <w:szCs w:val="26"/>
        </w:rPr>
      </w:pPr>
      <w:r>
        <w:rPr>
          <w:sz w:val="26"/>
          <w:szCs w:val="26"/>
        </w:rPr>
        <w:t>（4）声环境</w:t>
      </w:r>
    </w:p>
    <w:p w14:paraId="185545DC">
      <w:pPr>
        <w:spacing w:line="460" w:lineRule="exact"/>
        <w:ind w:firstLine="520" w:firstLineChars="200"/>
        <w:rPr>
          <w:sz w:val="26"/>
          <w:szCs w:val="26"/>
        </w:rPr>
      </w:pPr>
      <w:r>
        <w:rPr>
          <w:sz w:val="26"/>
          <w:szCs w:val="26"/>
        </w:rPr>
        <w:t>项目位于农村地区，</w:t>
      </w:r>
      <w:r>
        <w:rPr>
          <w:rFonts w:hint="eastAsia"/>
          <w:sz w:val="26"/>
          <w:szCs w:val="26"/>
        </w:rPr>
        <w:t>区域内天然气开发活动较多，</w:t>
      </w:r>
      <w:r>
        <w:rPr>
          <w:sz w:val="26"/>
          <w:szCs w:val="26"/>
        </w:rPr>
        <w:t>执行《声环境质量标准》（GB3096-2008）中2类标准，详见</w:t>
      </w:r>
      <w:r>
        <w:rPr>
          <w:sz w:val="26"/>
          <w:szCs w:val="26"/>
          <w:u w:val="single"/>
        </w:rPr>
        <w:t>表1.4-4</w:t>
      </w:r>
      <w:r>
        <w:rPr>
          <w:sz w:val="26"/>
          <w:szCs w:val="26"/>
        </w:rPr>
        <w:t>。</w:t>
      </w:r>
    </w:p>
    <w:p w14:paraId="1A65B4FB">
      <w:pPr>
        <w:pStyle w:val="1379"/>
        <w:ind w:firstLine="440"/>
      </w:pPr>
    </w:p>
    <w:p w14:paraId="4ADCD388">
      <w:pPr>
        <w:pStyle w:val="1065"/>
      </w:pPr>
      <w:r>
        <w:t>表1.4-4  声环境质量标准    单位：dB（A）</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54"/>
        <w:gridCol w:w="2614"/>
        <w:gridCol w:w="2610"/>
      </w:tblGrid>
      <w:tr w14:paraId="77AE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454" w:type="dxa"/>
            <w:vAlign w:val="center"/>
          </w:tcPr>
          <w:p w14:paraId="14ABD3C9">
            <w:pPr>
              <w:adjustRightInd w:val="0"/>
              <w:snapToGrid w:val="0"/>
              <w:jc w:val="center"/>
              <w:rPr>
                <w:sz w:val="22"/>
                <w:szCs w:val="22"/>
              </w:rPr>
            </w:pPr>
            <w:r>
              <w:rPr>
                <w:sz w:val="22"/>
                <w:szCs w:val="22"/>
              </w:rPr>
              <w:t>类别</w:t>
            </w:r>
          </w:p>
        </w:tc>
        <w:tc>
          <w:tcPr>
            <w:tcW w:w="2614" w:type="dxa"/>
            <w:vAlign w:val="center"/>
          </w:tcPr>
          <w:p w14:paraId="1EE89585">
            <w:pPr>
              <w:adjustRightInd w:val="0"/>
              <w:snapToGrid w:val="0"/>
              <w:jc w:val="center"/>
              <w:rPr>
                <w:sz w:val="22"/>
                <w:szCs w:val="22"/>
              </w:rPr>
            </w:pPr>
            <w:r>
              <w:rPr>
                <w:sz w:val="22"/>
                <w:szCs w:val="22"/>
              </w:rPr>
              <w:t>昼间</w:t>
            </w:r>
          </w:p>
        </w:tc>
        <w:tc>
          <w:tcPr>
            <w:tcW w:w="2610" w:type="dxa"/>
            <w:vAlign w:val="center"/>
          </w:tcPr>
          <w:p w14:paraId="5BBCDE70">
            <w:pPr>
              <w:adjustRightInd w:val="0"/>
              <w:snapToGrid w:val="0"/>
              <w:jc w:val="center"/>
              <w:rPr>
                <w:sz w:val="22"/>
                <w:szCs w:val="22"/>
              </w:rPr>
            </w:pPr>
            <w:r>
              <w:rPr>
                <w:sz w:val="22"/>
                <w:szCs w:val="22"/>
              </w:rPr>
              <w:t>夜间</w:t>
            </w:r>
          </w:p>
        </w:tc>
      </w:tr>
      <w:tr w14:paraId="1319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454" w:type="dxa"/>
            <w:vAlign w:val="center"/>
          </w:tcPr>
          <w:p w14:paraId="78CCFEEA">
            <w:pPr>
              <w:adjustRightInd w:val="0"/>
              <w:snapToGrid w:val="0"/>
              <w:jc w:val="center"/>
              <w:rPr>
                <w:sz w:val="22"/>
                <w:szCs w:val="22"/>
              </w:rPr>
            </w:pPr>
            <w:r>
              <w:rPr>
                <w:sz w:val="22"/>
                <w:szCs w:val="22"/>
              </w:rPr>
              <w:t>2类声环境功能区标准</w:t>
            </w:r>
          </w:p>
        </w:tc>
        <w:tc>
          <w:tcPr>
            <w:tcW w:w="2614" w:type="dxa"/>
            <w:vAlign w:val="center"/>
          </w:tcPr>
          <w:p w14:paraId="6B5C3C89">
            <w:pPr>
              <w:adjustRightInd w:val="0"/>
              <w:snapToGrid w:val="0"/>
              <w:jc w:val="center"/>
              <w:rPr>
                <w:sz w:val="22"/>
                <w:szCs w:val="22"/>
              </w:rPr>
            </w:pPr>
            <w:r>
              <w:rPr>
                <w:sz w:val="22"/>
                <w:szCs w:val="22"/>
              </w:rPr>
              <w:t>60</w:t>
            </w:r>
          </w:p>
        </w:tc>
        <w:tc>
          <w:tcPr>
            <w:tcW w:w="2610" w:type="dxa"/>
            <w:vAlign w:val="center"/>
          </w:tcPr>
          <w:p w14:paraId="4C8B3267">
            <w:pPr>
              <w:adjustRightInd w:val="0"/>
              <w:snapToGrid w:val="0"/>
              <w:jc w:val="center"/>
              <w:rPr>
                <w:sz w:val="22"/>
                <w:szCs w:val="22"/>
              </w:rPr>
            </w:pPr>
            <w:r>
              <w:rPr>
                <w:sz w:val="22"/>
                <w:szCs w:val="22"/>
              </w:rPr>
              <w:t>50</w:t>
            </w:r>
          </w:p>
        </w:tc>
      </w:tr>
    </w:tbl>
    <w:p w14:paraId="54C8E13B">
      <w:pPr>
        <w:pStyle w:val="1379"/>
        <w:ind w:firstLine="440"/>
      </w:pPr>
    </w:p>
    <w:p w14:paraId="39757684">
      <w:pPr>
        <w:spacing w:line="460" w:lineRule="exact"/>
        <w:ind w:firstLine="509" w:firstLineChars="196"/>
        <w:rPr>
          <w:sz w:val="26"/>
          <w:szCs w:val="26"/>
        </w:rPr>
      </w:pPr>
      <w:r>
        <w:rPr>
          <w:sz w:val="26"/>
          <w:szCs w:val="26"/>
        </w:rPr>
        <w:t>（5）土壤环境</w:t>
      </w:r>
    </w:p>
    <w:p w14:paraId="6A5076E0">
      <w:pPr>
        <w:spacing w:line="460" w:lineRule="exact"/>
        <w:ind w:firstLine="520" w:firstLineChars="200"/>
        <w:rPr>
          <w:sz w:val="26"/>
          <w:szCs w:val="26"/>
        </w:rPr>
      </w:pPr>
      <w:r>
        <w:rPr>
          <w:rFonts w:hint="eastAsia"/>
          <w:sz w:val="26"/>
          <w:szCs w:val="26"/>
        </w:rPr>
        <w:t>本项目试采站占地范围内各因子执行《土壤环境质量 建设用地土壤污染风险管控标准（试行）》（GB 36600-2018）中第二类用地筛选值，钡执行</w:t>
      </w:r>
      <w:r>
        <w:rPr>
          <w:sz w:val="26"/>
          <w:szCs w:val="26"/>
        </w:rPr>
        <w:t>《四川省建设用地土壤污染风险管控标准》（DB51/2978-2023）</w:t>
      </w:r>
      <w:r>
        <w:rPr>
          <w:rFonts w:hint="eastAsia"/>
          <w:sz w:val="26"/>
          <w:szCs w:val="26"/>
        </w:rPr>
        <w:t>第二类用地筛选值；试采站占地范围外各因子执行《土壤环境质量 农用地土壤污染风险管控标准（试行）》（GB15618-2018）中风险筛选值，其中石油烃参照执行</w:t>
      </w:r>
      <w:r>
        <w:rPr>
          <w:sz w:val="26"/>
          <w:szCs w:val="26"/>
        </w:rPr>
        <w:t>《土壤环境质量 建设用地土壤污染风险管控标准（试行）》（GB36600-2018）</w:t>
      </w:r>
      <w:r>
        <w:rPr>
          <w:rFonts w:hint="eastAsia"/>
          <w:sz w:val="26"/>
          <w:szCs w:val="26"/>
        </w:rPr>
        <w:t>第二类用地筛选值，</w:t>
      </w:r>
      <w:bookmarkStart w:id="67" w:name="_Hlk164171895"/>
      <w:r>
        <w:rPr>
          <w:rFonts w:hint="eastAsia"/>
          <w:sz w:val="26"/>
          <w:szCs w:val="26"/>
        </w:rPr>
        <w:t>钡参照执行</w:t>
      </w:r>
      <w:r>
        <w:rPr>
          <w:sz w:val="26"/>
          <w:szCs w:val="26"/>
        </w:rPr>
        <w:t>《四川省建设用地土壤污染风险管控标准》（DB51/2978-2023）</w:t>
      </w:r>
      <w:r>
        <w:rPr>
          <w:rFonts w:hint="eastAsia"/>
          <w:sz w:val="26"/>
          <w:szCs w:val="26"/>
        </w:rPr>
        <w:t>第二类用地筛选值，</w:t>
      </w:r>
      <w:bookmarkEnd w:id="67"/>
      <w:r>
        <w:rPr>
          <w:sz w:val="26"/>
          <w:szCs w:val="26"/>
        </w:rPr>
        <w:t>详见下表。</w:t>
      </w:r>
    </w:p>
    <w:p w14:paraId="2BED4FCF">
      <w:pPr>
        <w:pStyle w:val="1379"/>
        <w:ind w:firstLine="440"/>
      </w:pPr>
    </w:p>
    <w:p w14:paraId="4A1B8945">
      <w:pPr>
        <w:jc w:val="center"/>
        <w:rPr>
          <w:sz w:val="26"/>
          <w:szCs w:val="26"/>
        </w:rPr>
      </w:pPr>
      <w:r>
        <w:rPr>
          <w:rFonts w:hint="eastAsia"/>
          <w:sz w:val="26"/>
          <w:szCs w:val="26"/>
        </w:rPr>
        <w:t>表1</w:t>
      </w:r>
      <w:r>
        <w:rPr>
          <w:sz w:val="26"/>
          <w:szCs w:val="26"/>
        </w:rPr>
        <w:t xml:space="preserve">.4-5   </w:t>
      </w:r>
      <w:r>
        <w:rPr>
          <w:rFonts w:hint="eastAsia"/>
          <w:sz w:val="26"/>
          <w:szCs w:val="26"/>
        </w:rPr>
        <w:t>土壤环境质量 农用地土壤污染风险管控标准 单位：m</w:t>
      </w:r>
      <w:r>
        <w:rPr>
          <w:sz w:val="26"/>
          <w:szCs w:val="26"/>
        </w:rPr>
        <w:t>g/kg</w:t>
      </w:r>
    </w:p>
    <w:tbl>
      <w:tblPr>
        <w:tblStyle w:val="88"/>
        <w:tblW w:w="8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752"/>
        <w:gridCol w:w="902"/>
        <w:gridCol w:w="903"/>
        <w:gridCol w:w="903"/>
        <w:gridCol w:w="904"/>
        <w:gridCol w:w="903"/>
        <w:gridCol w:w="904"/>
        <w:gridCol w:w="903"/>
        <w:gridCol w:w="968"/>
      </w:tblGrid>
      <w:tr w14:paraId="65E2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89" w:type="dxa"/>
            <w:gridSpan w:val="2"/>
            <w:vMerge w:val="restart"/>
            <w:vAlign w:val="center"/>
          </w:tcPr>
          <w:p w14:paraId="1D6E0A70">
            <w:pPr>
              <w:autoSpaceDE w:val="0"/>
              <w:autoSpaceDN w:val="0"/>
              <w:jc w:val="center"/>
              <w:rPr>
                <w:sz w:val="22"/>
                <w:szCs w:val="22"/>
              </w:rPr>
            </w:pPr>
            <w:r>
              <w:rPr>
                <w:sz w:val="22"/>
                <w:szCs w:val="22"/>
              </w:rPr>
              <w:t>污染物项目</w:t>
            </w:r>
          </w:p>
        </w:tc>
        <w:tc>
          <w:tcPr>
            <w:tcW w:w="1805" w:type="dxa"/>
            <w:gridSpan w:val="2"/>
            <w:vAlign w:val="center"/>
          </w:tcPr>
          <w:p w14:paraId="21933385">
            <w:pPr>
              <w:autoSpaceDE w:val="0"/>
              <w:autoSpaceDN w:val="0"/>
              <w:jc w:val="center"/>
              <w:rPr>
                <w:sz w:val="22"/>
                <w:szCs w:val="22"/>
              </w:rPr>
            </w:pPr>
            <w:r>
              <w:rPr>
                <w:sz w:val="22"/>
                <w:szCs w:val="22"/>
              </w:rPr>
              <w:t>pH≤5.5</w:t>
            </w:r>
          </w:p>
        </w:tc>
        <w:tc>
          <w:tcPr>
            <w:tcW w:w="1807" w:type="dxa"/>
            <w:gridSpan w:val="2"/>
            <w:vAlign w:val="center"/>
          </w:tcPr>
          <w:p w14:paraId="272C3E13">
            <w:pPr>
              <w:autoSpaceDE w:val="0"/>
              <w:autoSpaceDN w:val="0"/>
              <w:jc w:val="center"/>
              <w:rPr>
                <w:sz w:val="22"/>
                <w:szCs w:val="22"/>
              </w:rPr>
            </w:pPr>
            <w:r>
              <w:rPr>
                <w:sz w:val="22"/>
                <w:szCs w:val="22"/>
              </w:rPr>
              <w:t>5.5＜pH≤6.5</w:t>
            </w:r>
          </w:p>
        </w:tc>
        <w:tc>
          <w:tcPr>
            <w:tcW w:w="1807" w:type="dxa"/>
            <w:gridSpan w:val="2"/>
            <w:vAlign w:val="center"/>
          </w:tcPr>
          <w:p w14:paraId="675620B0">
            <w:pPr>
              <w:autoSpaceDE w:val="0"/>
              <w:autoSpaceDN w:val="0"/>
              <w:jc w:val="center"/>
              <w:rPr>
                <w:sz w:val="22"/>
                <w:szCs w:val="22"/>
              </w:rPr>
            </w:pPr>
            <w:r>
              <w:rPr>
                <w:sz w:val="22"/>
                <w:szCs w:val="22"/>
              </w:rPr>
              <w:t>6.5＜pH≤7.5</w:t>
            </w:r>
          </w:p>
        </w:tc>
        <w:tc>
          <w:tcPr>
            <w:tcW w:w="1871" w:type="dxa"/>
            <w:gridSpan w:val="2"/>
            <w:vAlign w:val="center"/>
          </w:tcPr>
          <w:p w14:paraId="6E30EC35">
            <w:pPr>
              <w:autoSpaceDE w:val="0"/>
              <w:autoSpaceDN w:val="0"/>
              <w:jc w:val="center"/>
              <w:rPr>
                <w:sz w:val="22"/>
                <w:szCs w:val="22"/>
              </w:rPr>
            </w:pPr>
            <w:r>
              <w:rPr>
                <w:sz w:val="22"/>
                <w:szCs w:val="22"/>
              </w:rPr>
              <w:t>pH＞7.5</w:t>
            </w:r>
          </w:p>
        </w:tc>
      </w:tr>
      <w:tr w14:paraId="725F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89" w:type="dxa"/>
            <w:gridSpan w:val="2"/>
            <w:vMerge w:val="continue"/>
            <w:vAlign w:val="center"/>
          </w:tcPr>
          <w:p w14:paraId="411A3639">
            <w:pPr>
              <w:autoSpaceDE w:val="0"/>
              <w:autoSpaceDN w:val="0"/>
              <w:jc w:val="center"/>
              <w:rPr>
                <w:sz w:val="22"/>
                <w:szCs w:val="22"/>
              </w:rPr>
            </w:pPr>
          </w:p>
        </w:tc>
        <w:tc>
          <w:tcPr>
            <w:tcW w:w="902" w:type="dxa"/>
            <w:vAlign w:val="center"/>
          </w:tcPr>
          <w:p w14:paraId="259F065F">
            <w:pPr>
              <w:autoSpaceDE w:val="0"/>
              <w:autoSpaceDN w:val="0"/>
              <w:jc w:val="center"/>
              <w:rPr>
                <w:sz w:val="22"/>
                <w:szCs w:val="22"/>
              </w:rPr>
            </w:pPr>
            <w:r>
              <w:rPr>
                <w:sz w:val="22"/>
                <w:szCs w:val="22"/>
              </w:rPr>
              <w:t>风险筛选值</w:t>
            </w:r>
          </w:p>
        </w:tc>
        <w:tc>
          <w:tcPr>
            <w:tcW w:w="903" w:type="dxa"/>
            <w:vAlign w:val="center"/>
          </w:tcPr>
          <w:p w14:paraId="60C41FEF">
            <w:pPr>
              <w:autoSpaceDE w:val="0"/>
              <w:autoSpaceDN w:val="0"/>
              <w:jc w:val="center"/>
              <w:rPr>
                <w:sz w:val="22"/>
                <w:szCs w:val="22"/>
              </w:rPr>
            </w:pPr>
            <w:r>
              <w:rPr>
                <w:sz w:val="22"/>
                <w:szCs w:val="22"/>
              </w:rPr>
              <w:t>风险</w:t>
            </w:r>
            <w:r>
              <w:rPr>
                <w:rFonts w:hint="eastAsia"/>
                <w:sz w:val="22"/>
                <w:szCs w:val="22"/>
              </w:rPr>
              <w:t>管制</w:t>
            </w:r>
            <w:r>
              <w:rPr>
                <w:sz w:val="22"/>
                <w:szCs w:val="22"/>
              </w:rPr>
              <w:t>值</w:t>
            </w:r>
          </w:p>
        </w:tc>
        <w:tc>
          <w:tcPr>
            <w:tcW w:w="903" w:type="dxa"/>
            <w:vAlign w:val="center"/>
          </w:tcPr>
          <w:p w14:paraId="5F0A0138">
            <w:pPr>
              <w:autoSpaceDE w:val="0"/>
              <w:autoSpaceDN w:val="0"/>
              <w:jc w:val="center"/>
              <w:rPr>
                <w:sz w:val="22"/>
                <w:szCs w:val="22"/>
              </w:rPr>
            </w:pPr>
            <w:r>
              <w:rPr>
                <w:sz w:val="22"/>
                <w:szCs w:val="22"/>
              </w:rPr>
              <w:t>风险筛选值</w:t>
            </w:r>
          </w:p>
        </w:tc>
        <w:tc>
          <w:tcPr>
            <w:tcW w:w="904" w:type="dxa"/>
            <w:vAlign w:val="center"/>
          </w:tcPr>
          <w:p w14:paraId="1DDDA2AE">
            <w:pPr>
              <w:autoSpaceDE w:val="0"/>
              <w:autoSpaceDN w:val="0"/>
              <w:jc w:val="center"/>
              <w:rPr>
                <w:sz w:val="22"/>
                <w:szCs w:val="22"/>
              </w:rPr>
            </w:pPr>
            <w:r>
              <w:rPr>
                <w:sz w:val="22"/>
                <w:szCs w:val="22"/>
              </w:rPr>
              <w:t>风险</w:t>
            </w:r>
            <w:r>
              <w:rPr>
                <w:rFonts w:hint="eastAsia"/>
                <w:sz w:val="22"/>
                <w:szCs w:val="22"/>
              </w:rPr>
              <w:t>管制</w:t>
            </w:r>
            <w:r>
              <w:rPr>
                <w:sz w:val="22"/>
                <w:szCs w:val="22"/>
              </w:rPr>
              <w:t>值</w:t>
            </w:r>
          </w:p>
        </w:tc>
        <w:tc>
          <w:tcPr>
            <w:tcW w:w="903" w:type="dxa"/>
            <w:vAlign w:val="center"/>
          </w:tcPr>
          <w:p w14:paraId="5AB69ED0">
            <w:pPr>
              <w:autoSpaceDE w:val="0"/>
              <w:autoSpaceDN w:val="0"/>
              <w:jc w:val="center"/>
              <w:rPr>
                <w:sz w:val="22"/>
                <w:szCs w:val="22"/>
              </w:rPr>
            </w:pPr>
            <w:r>
              <w:rPr>
                <w:sz w:val="22"/>
                <w:szCs w:val="22"/>
              </w:rPr>
              <w:t>风险筛选值</w:t>
            </w:r>
          </w:p>
        </w:tc>
        <w:tc>
          <w:tcPr>
            <w:tcW w:w="904" w:type="dxa"/>
            <w:vAlign w:val="center"/>
          </w:tcPr>
          <w:p w14:paraId="2AF774D8">
            <w:pPr>
              <w:autoSpaceDE w:val="0"/>
              <w:autoSpaceDN w:val="0"/>
              <w:jc w:val="center"/>
              <w:rPr>
                <w:sz w:val="22"/>
                <w:szCs w:val="22"/>
              </w:rPr>
            </w:pPr>
            <w:r>
              <w:rPr>
                <w:sz w:val="22"/>
                <w:szCs w:val="22"/>
              </w:rPr>
              <w:t>风险</w:t>
            </w:r>
            <w:r>
              <w:rPr>
                <w:rFonts w:hint="eastAsia"/>
                <w:sz w:val="22"/>
                <w:szCs w:val="22"/>
              </w:rPr>
              <w:t>管制</w:t>
            </w:r>
            <w:r>
              <w:rPr>
                <w:sz w:val="22"/>
                <w:szCs w:val="22"/>
              </w:rPr>
              <w:t>值</w:t>
            </w:r>
          </w:p>
        </w:tc>
        <w:tc>
          <w:tcPr>
            <w:tcW w:w="903" w:type="dxa"/>
            <w:vAlign w:val="center"/>
          </w:tcPr>
          <w:p w14:paraId="724A4FCB">
            <w:pPr>
              <w:autoSpaceDE w:val="0"/>
              <w:autoSpaceDN w:val="0"/>
              <w:jc w:val="center"/>
              <w:rPr>
                <w:sz w:val="22"/>
                <w:szCs w:val="22"/>
              </w:rPr>
            </w:pPr>
            <w:r>
              <w:rPr>
                <w:sz w:val="22"/>
                <w:szCs w:val="22"/>
              </w:rPr>
              <w:t>风险筛选值</w:t>
            </w:r>
          </w:p>
        </w:tc>
        <w:tc>
          <w:tcPr>
            <w:tcW w:w="968" w:type="dxa"/>
            <w:vAlign w:val="center"/>
          </w:tcPr>
          <w:p w14:paraId="27E409F8">
            <w:pPr>
              <w:autoSpaceDE w:val="0"/>
              <w:autoSpaceDN w:val="0"/>
              <w:jc w:val="center"/>
              <w:rPr>
                <w:sz w:val="22"/>
                <w:szCs w:val="22"/>
              </w:rPr>
            </w:pPr>
            <w:r>
              <w:rPr>
                <w:sz w:val="22"/>
                <w:szCs w:val="22"/>
              </w:rPr>
              <w:t>风险</w:t>
            </w:r>
            <w:r>
              <w:rPr>
                <w:rFonts w:hint="eastAsia"/>
                <w:sz w:val="22"/>
                <w:szCs w:val="22"/>
              </w:rPr>
              <w:t>管制</w:t>
            </w:r>
            <w:r>
              <w:rPr>
                <w:sz w:val="22"/>
                <w:szCs w:val="22"/>
              </w:rPr>
              <w:t>值</w:t>
            </w:r>
          </w:p>
        </w:tc>
      </w:tr>
      <w:tr w14:paraId="4DD8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37" w:type="dxa"/>
            <w:vMerge w:val="restart"/>
            <w:vAlign w:val="center"/>
          </w:tcPr>
          <w:p w14:paraId="4C164F27">
            <w:pPr>
              <w:autoSpaceDE w:val="0"/>
              <w:autoSpaceDN w:val="0"/>
              <w:jc w:val="center"/>
              <w:rPr>
                <w:sz w:val="22"/>
                <w:szCs w:val="22"/>
              </w:rPr>
            </w:pPr>
            <w:r>
              <w:rPr>
                <w:sz w:val="22"/>
                <w:szCs w:val="22"/>
              </w:rPr>
              <w:t>镉</w:t>
            </w:r>
          </w:p>
        </w:tc>
        <w:tc>
          <w:tcPr>
            <w:tcW w:w="752" w:type="dxa"/>
            <w:vAlign w:val="center"/>
          </w:tcPr>
          <w:p w14:paraId="0EE75F9E">
            <w:pPr>
              <w:autoSpaceDE w:val="0"/>
              <w:autoSpaceDN w:val="0"/>
              <w:jc w:val="center"/>
              <w:rPr>
                <w:sz w:val="22"/>
                <w:szCs w:val="22"/>
              </w:rPr>
            </w:pPr>
            <w:r>
              <w:rPr>
                <w:sz w:val="22"/>
                <w:szCs w:val="22"/>
              </w:rPr>
              <w:t>水田</w:t>
            </w:r>
          </w:p>
        </w:tc>
        <w:tc>
          <w:tcPr>
            <w:tcW w:w="902" w:type="dxa"/>
            <w:vAlign w:val="center"/>
          </w:tcPr>
          <w:p w14:paraId="5D4BD8B5">
            <w:pPr>
              <w:autoSpaceDE w:val="0"/>
              <w:autoSpaceDN w:val="0"/>
              <w:jc w:val="center"/>
              <w:rPr>
                <w:sz w:val="22"/>
                <w:szCs w:val="22"/>
              </w:rPr>
            </w:pPr>
            <w:r>
              <w:rPr>
                <w:sz w:val="22"/>
                <w:szCs w:val="22"/>
              </w:rPr>
              <w:t>0.3</w:t>
            </w:r>
          </w:p>
        </w:tc>
        <w:tc>
          <w:tcPr>
            <w:tcW w:w="903" w:type="dxa"/>
            <w:vMerge w:val="restart"/>
            <w:vAlign w:val="center"/>
          </w:tcPr>
          <w:p w14:paraId="41C58D51">
            <w:pPr>
              <w:autoSpaceDE w:val="0"/>
              <w:autoSpaceDN w:val="0"/>
              <w:jc w:val="center"/>
              <w:rPr>
                <w:sz w:val="22"/>
                <w:szCs w:val="22"/>
              </w:rPr>
            </w:pPr>
            <w:r>
              <w:rPr>
                <w:sz w:val="22"/>
                <w:szCs w:val="22"/>
              </w:rPr>
              <w:t>1.5</w:t>
            </w:r>
          </w:p>
        </w:tc>
        <w:tc>
          <w:tcPr>
            <w:tcW w:w="903" w:type="dxa"/>
            <w:vAlign w:val="center"/>
          </w:tcPr>
          <w:p w14:paraId="52CB360A">
            <w:pPr>
              <w:autoSpaceDE w:val="0"/>
              <w:autoSpaceDN w:val="0"/>
              <w:jc w:val="center"/>
              <w:rPr>
                <w:sz w:val="22"/>
                <w:szCs w:val="22"/>
              </w:rPr>
            </w:pPr>
            <w:r>
              <w:rPr>
                <w:sz w:val="22"/>
                <w:szCs w:val="22"/>
              </w:rPr>
              <w:t>0.4</w:t>
            </w:r>
          </w:p>
        </w:tc>
        <w:tc>
          <w:tcPr>
            <w:tcW w:w="904" w:type="dxa"/>
            <w:vMerge w:val="restart"/>
            <w:vAlign w:val="center"/>
          </w:tcPr>
          <w:p w14:paraId="58E500C3">
            <w:pPr>
              <w:autoSpaceDE w:val="0"/>
              <w:autoSpaceDN w:val="0"/>
              <w:jc w:val="center"/>
              <w:rPr>
                <w:sz w:val="22"/>
                <w:szCs w:val="22"/>
              </w:rPr>
            </w:pPr>
            <w:r>
              <w:rPr>
                <w:sz w:val="22"/>
                <w:szCs w:val="22"/>
              </w:rPr>
              <w:t>2.0</w:t>
            </w:r>
          </w:p>
        </w:tc>
        <w:tc>
          <w:tcPr>
            <w:tcW w:w="903" w:type="dxa"/>
            <w:vAlign w:val="center"/>
          </w:tcPr>
          <w:p w14:paraId="645B1E97">
            <w:pPr>
              <w:autoSpaceDE w:val="0"/>
              <w:autoSpaceDN w:val="0"/>
              <w:jc w:val="center"/>
              <w:rPr>
                <w:sz w:val="22"/>
                <w:szCs w:val="22"/>
              </w:rPr>
            </w:pPr>
            <w:r>
              <w:rPr>
                <w:sz w:val="22"/>
                <w:szCs w:val="22"/>
              </w:rPr>
              <w:t>0.6</w:t>
            </w:r>
          </w:p>
        </w:tc>
        <w:tc>
          <w:tcPr>
            <w:tcW w:w="904" w:type="dxa"/>
            <w:vMerge w:val="restart"/>
            <w:vAlign w:val="center"/>
          </w:tcPr>
          <w:p w14:paraId="16B17A53">
            <w:pPr>
              <w:autoSpaceDE w:val="0"/>
              <w:autoSpaceDN w:val="0"/>
              <w:jc w:val="center"/>
              <w:rPr>
                <w:sz w:val="22"/>
                <w:szCs w:val="22"/>
              </w:rPr>
            </w:pPr>
            <w:r>
              <w:rPr>
                <w:sz w:val="22"/>
                <w:szCs w:val="22"/>
              </w:rPr>
              <w:t>3.0</w:t>
            </w:r>
          </w:p>
        </w:tc>
        <w:tc>
          <w:tcPr>
            <w:tcW w:w="903" w:type="dxa"/>
            <w:vAlign w:val="center"/>
          </w:tcPr>
          <w:p w14:paraId="31AE721C">
            <w:pPr>
              <w:autoSpaceDE w:val="0"/>
              <w:autoSpaceDN w:val="0"/>
              <w:jc w:val="center"/>
              <w:rPr>
                <w:sz w:val="22"/>
                <w:szCs w:val="22"/>
              </w:rPr>
            </w:pPr>
            <w:r>
              <w:rPr>
                <w:sz w:val="22"/>
                <w:szCs w:val="22"/>
              </w:rPr>
              <w:t>0.8</w:t>
            </w:r>
          </w:p>
        </w:tc>
        <w:tc>
          <w:tcPr>
            <w:tcW w:w="968" w:type="dxa"/>
            <w:vMerge w:val="restart"/>
            <w:vAlign w:val="center"/>
          </w:tcPr>
          <w:p w14:paraId="0C5C593E">
            <w:pPr>
              <w:autoSpaceDE w:val="0"/>
              <w:autoSpaceDN w:val="0"/>
              <w:jc w:val="center"/>
              <w:rPr>
                <w:sz w:val="22"/>
                <w:szCs w:val="22"/>
              </w:rPr>
            </w:pPr>
            <w:r>
              <w:rPr>
                <w:sz w:val="22"/>
                <w:szCs w:val="22"/>
              </w:rPr>
              <w:t>4.0</w:t>
            </w:r>
          </w:p>
        </w:tc>
      </w:tr>
      <w:tr w14:paraId="6329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37" w:type="dxa"/>
            <w:vMerge w:val="continue"/>
            <w:vAlign w:val="center"/>
          </w:tcPr>
          <w:p w14:paraId="7F2B9636">
            <w:pPr>
              <w:autoSpaceDE w:val="0"/>
              <w:autoSpaceDN w:val="0"/>
              <w:jc w:val="center"/>
              <w:rPr>
                <w:sz w:val="22"/>
                <w:szCs w:val="22"/>
              </w:rPr>
            </w:pPr>
          </w:p>
        </w:tc>
        <w:tc>
          <w:tcPr>
            <w:tcW w:w="752" w:type="dxa"/>
            <w:vAlign w:val="center"/>
          </w:tcPr>
          <w:p w14:paraId="462E93CC">
            <w:pPr>
              <w:autoSpaceDE w:val="0"/>
              <w:autoSpaceDN w:val="0"/>
              <w:jc w:val="center"/>
              <w:rPr>
                <w:sz w:val="22"/>
                <w:szCs w:val="22"/>
              </w:rPr>
            </w:pPr>
            <w:r>
              <w:rPr>
                <w:sz w:val="22"/>
                <w:szCs w:val="22"/>
              </w:rPr>
              <w:t>其他</w:t>
            </w:r>
          </w:p>
        </w:tc>
        <w:tc>
          <w:tcPr>
            <w:tcW w:w="902" w:type="dxa"/>
            <w:vAlign w:val="center"/>
          </w:tcPr>
          <w:p w14:paraId="03E8CE75">
            <w:pPr>
              <w:autoSpaceDE w:val="0"/>
              <w:autoSpaceDN w:val="0"/>
              <w:jc w:val="center"/>
              <w:rPr>
                <w:sz w:val="22"/>
                <w:szCs w:val="22"/>
              </w:rPr>
            </w:pPr>
            <w:r>
              <w:rPr>
                <w:sz w:val="22"/>
                <w:szCs w:val="22"/>
              </w:rPr>
              <w:t>0.3</w:t>
            </w:r>
          </w:p>
        </w:tc>
        <w:tc>
          <w:tcPr>
            <w:tcW w:w="903" w:type="dxa"/>
            <w:vMerge w:val="continue"/>
            <w:vAlign w:val="center"/>
          </w:tcPr>
          <w:p w14:paraId="15450DB6">
            <w:pPr>
              <w:autoSpaceDE w:val="0"/>
              <w:autoSpaceDN w:val="0"/>
              <w:jc w:val="center"/>
              <w:rPr>
                <w:sz w:val="22"/>
                <w:szCs w:val="22"/>
              </w:rPr>
            </w:pPr>
          </w:p>
        </w:tc>
        <w:tc>
          <w:tcPr>
            <w:tcW w:w="903" w:type="dxa"/>
            <w:vAlign w:val="center"/>
          </w:tcPr>
          <w:p w14:paraId="152BC33B">
            <w:pPr>
              <w:autoSpaceDE w:val="0"/>
              <w:autoSpaceDN w:val="0"/>
              <w:jc w:val="center"/>
              <w:rPr>
                <w:sz w:val="22"/>
                <w:szCs w:val="22"/>
              </w:rPr>
            </w:pPr>
            <w:r>
              <w:rPr>
                <w:sz w:val="22"/>
                <w:szCs w:val="22"/>
              </w:rPr>
              <w:t>0.3</w:t>
            </w:r>
          </w:p>
        </w:tc>
        <w:tc>
          <w:tcPr>
            <w:tcW w:w="904" w:type="dxa"/>
            <w:vMerge w:val="continue"/>
            <w:vAlign w:val="center"/>
          </w:tcPr>
          <w:p w14:paraId="4AED662E">
            <w:pPr>
              <w:autoSpaceDE w:val="0"/>
              <w:autoSpaceDN w:val="0"/>
              <w:jc w:val="center"/>
              <w:rPr>
                <w:sz w:val="22"/>
                <w:szCs w:val="22"/>
              </w:rPr>
            </w:pPr>
          </w:p>
        </w:tc>
        <w:tc>
          <w:tcPr>
            <w:tcW w:w="903" w:type="dxa"/>
            <w:vAlign w:val="center"/>
          </w:tcPr>
          <w:p w14:paraId="1075D1F3">
            <w:pPr>
              <w:autoSpaceDE w:val="0"/>
              <w:autoSpaceDN w:val="0"/>
              <w:jc w:val="center"/>
              <w:rPr>
                <w:sz w:val="22"/>
                <w:szCs w:val="22"/>
              </w:rPr>
            </w:pPr>
            <w:r>
              <w:rPr>
                <w:sz w:val="22"/>
                <w:szCs w:val="22"/>
              </w:rPr>
              <w:t>0.3</w:t>
            </w:r>
          </w:p>
        </w:tc>
        <w:tc>
          <w:tcPr>
            <w:tcW w:w="904" w:type="dxa"/>
            <w:vMerge w:val="continue"/>
            <w:vAlign w:val="center"/>
          </w:tcPr>
          <w:p w14:paraId="13040596">
            <w:pPr>
              <w:autoSpaceDE w:val="0"/>
              <w:autoSpaceDN w:val="0"/>
              <w:jc w:val="center"/>
              <w:rPr>
                <w:sz w:val="22"/>
                <w:szCs w:val="22"/>
              </w:rPr>
            </w:pPr>
          </w:p>
        </w:tc>
        <w:tc>
          <w:tcPr>
            <w:tcW w:w="903" w:type="dxa"/>
            <w:vAlign w:val="center"/>
          </w:tcPr>
          <w:p w14:paraId="1C5708B6">
            <w:pPr>
              <w:autoSpaceDE w:val="0"/>
              <w:autoSpaceDN w:val="0"/>
              <w:jc w:val="center"/>
              <w:rPr>
                <w:sz w:val="22"/>
                <w:szCs w:val="22"/>
              </w:rPr>
            </w:pPr>
            <w:r>
              <w:rPr>
                <w:sz w:val="22"/>
                <w:szCs w:val="22"/>
              </w:rPr>
              <w:t>0.6</w:t>
            </w:r>
          </w:p>
        </w:tc>
        <w:tc>
          <w:tcPr>
            <w:tcW w:w="968" w:type="dxa"/>
            <w:vMerge w:val="continue"/>
            <w:vAlign w:val="center"/>
          </w:tcPr>
          <w:p w14:paraId="51F5F0F4">
            <w:pPr>
              <w:autoSpaceDE w:val="0"/>
              <w:autoSpaceDN w:val="0"/>
              <w:jc w:val="center"/>
              <w:rPr>
                <w:sz w:val="22"/>
                <w:szCs w:val="22"/>
              </w:rPr>
            </w:pPr>
          </w:p>
        </w:tc>
      </w:tr>
      <w:tr w14:paraId="1736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37" w:type="dxa"/>
            <w:vMerge w:val="restart"/>
            <w:vAlign w:val="center"/>
          </w:tcPr>
          <w:p w14:paraId="4E3AB0CE">
            <w:pPr>
              <w:autoSpaceDE w:val="0"/>
              <w:autoSpaceDN w:val="0"/>
              <w:jc w:val="center"/>
              <w:rPr>
                <w:sz w:val="22"/>
                <w:szCs w:val="22"/>
              </w:rPr>
            </w:pPr>
            <w:r>
              <w:rPr>
                <w:sz w:val="22"/>
                <w:szCs w:val="22"/>
              </w:rPr>
              <w:t>汞</w:t>
            </w:r>
          </w:p>
        </w:tc>
        <w:tc>
          <w:tcPr>
            <w:tcW w:w="752" w:type="dxa"/>
            <w:vAlign w:val="center"/>
          </w:tcPr>
          <w:p w14:paraId="3C9D9D23">
            <w:pPr>
              <w:autoSpaceDE w:val="0"/>
              <w:autoSpaceDN w:val="0"/>
              <w:jc w:val="center"/>
              <w:rPr>
                <w:sz w:val="22"/>
                <w:szCs w:val="22"/>
              </w:rPr>
            </w:pPr>
            <w:r>
              <w:rPr>
                <w:sz w:val="22"/>
                <w:szCs w:val="22"/>
              </w:rPr>
              <w:t>水田</w:t>
            </w:r>
          </w:p>
        </w:tc>
        <w:tc>
          <w:tcPr>
            <w:tcW w:w="902" w:type="dxa"/>
            <w:vAlign w:val="center"/>
          </w:tcPr>
          <w:p w14:paraId="05A21A71">
            <w:pPr>
              <w:autoSpaceDE w:val="0"/>
              <w:autoSpaceDN w:val="0"/>
              <w:jc w:val="center"/>
              <w:rPr>
                <w:sz w:val="22"/>
                <w:szCs w:val="22"/>
              </w:rPr>
            </w:pPr>
            <w:r>
              <w:rPr>
                <w:sz w:val="22"/>
                <w:szCs w:val="22"/>
              </w:rPr>
              <w:t>0.5</w:t>
            </w:r>
          </w:p>
        </w:tc>
        <w:tc>
          <w:tcPr>
            <w:tcW w:w="903" w:type="dxa"/>
            <w:vMerge w:val="restart"/>
            <w:vAlign w:val="center"/>
          </w:tcPr>
          <w:p w14:paraId="36DD028B">
            <w:pPr>
              <w:autoSpaceDE w:val="0"/>
              <w:autoSpaceDN w:val="0"/>
              <w:jc w:val="center"/>
              <w:rPr>
                <w:sz w:val="22"/>
                <w:szCs w:val="22"/>
              </w:rPr>
            </w:pPr>
            <w:r>
              <w:rPr>
                <w:sz w:val="22"/>
                <w:szCs w:val="22"/>
              </w:rPr>
              <w:t>2.0</w:t>
            </w:r>
          </w:p>
        </w:tc>
        <w:tc>
          <w:tcPr>
            <w:tcW w:w="903" w:type="dxa"/>
            <w:vAlign w:val="center"/>
          </w:tcPr>
          <w:p w14:paraId="57B76FC0">
            <w:pPr>
              <w:autoSpaceDE w:val="0"/>
              <w:autoSpaceDN w:val="0"/>
              <w:jc w:val="center"/>
              <w:rPr>
                <w:sz w:val="22"/>
                <w:szCs w:val="22"/>
              </w:rPr>
            </w:pPr>
            <w:r>
              <w:rPr>
                <w:sz w:val="22"/>
                <w:szCs w:val="22"/>
              </w:rPr>
              <w:t>0.5</w:t>
            </w:r>
          </w:p>
        </w:tc>
        <w:tc>
          <w:tcPr>
            <w:tcW w:w="904" w:type="dxa"/>
            <w:vMerge w:val="restart"/>
            <w:vAlign w:val="center"/>
          </w:tcPr>
          <w:p w14:paraId="3347101D">
            <w:pPr>
              <w:autoSpaceDE w:val="0"/>
              <w:autoSpaceDN w:val="0"/>
              <w:jc w:val="center"/>
              <w:rPr>
                <w:sz w:val="22"/>
                <w:szCs w:val="22"/>
              </w:rPr>
            </w:pPr>
            <w:r>
              <w:rPr>
                <w:sz w:val="22"/>
                <w:szCs w:val="22"/>
              </w:rPr>
              <w:t>2.5</w:t>
            </w:r>
          </w:p>
        </w:tc>
        <w:tc>
          <w:tcPr>
            <w:tcW w:w="903" w:type="dxa"/>
            <w:vAlign w:val="center"/>
          </w:tcPr>
          <w:p w14:paraId="4841E993">
            <w:pPr>
              <w:autoSpaceDE w:val="0"/>
              <w:autoSpaceDN w:val="0"/>
              <w:jc w:val="center"/>
              <w:rPr>
                <w:sz w:val="22"/>
                <w:szCs w:val="22"/>
              </w:rPr>
            </w:pPr>
            <w:r>
              <w:rPr>
                <w:sz w:val="22"/>
                <w:szCs w:val="22"/>
              </w:rPr>
              <w:t>0.6</w:t>
            </w:r>
          </w:p>
        </w:tc>
        <w:tc>
          <w:tcPr>
            <w:tcW w:w="904" w:type="dxa"/>
            <w:vMerge w:val="restart"/>
            <w:vAlign w:val="center"/>
          </w:tcPr>
          <w:p w14:paraId="23AA795B">
            <w:pPr>
              <w:autoSpaceDE w:val="0"/>
              <w:autoSpaceDN w:val="0"/>
              <w:jc w:val="center"/>
              <w:rPr>
                <w:sz w:val="22"/>
                <w:szCs w:val="22"/>
              </w:rPr>
            </w:pPr>
            <w:r>
              <w:rPr>
                <w:sz w:val="22"/>
                <w:szCs w:val="22"/>
              </w:rPr>
              <w:t>4.0</w:t>
            </w:r>
          </w:p>
        </w:tc>
        <w:tc>
          <w:tcPr>
            <w:tcW w:w="903" w:type="dxa"/>
            <w:vAlign w:val="center"/>
          </w:tcPr>
          <w:p w14:paraId="5DFE6070">
            <w:pPr>
              <w:autoSpaceDE w:val="0"/>
              <w:autoSpaceDN w:val="0"/>
              <w:jc w:val="center"/>
              <w:rPr>
                <w:sz w:val="22"/>
                <w:szCs w:val="22"/>
              </w:rPr>
            </w:pPr>
            <w:r>
              <w:rPr>
                <w:sz w:val="22"/>
                <w:szCs w:val="22"/>
              </w:rPr>
              <w:t>1.0</w:t>
            </w:r>
          </w:p>
        </w:tc>
        <w:tc>
          <w:tcPr>
            <w:tcW w:w="968" w:type="dxa"/>
            <w:vMerge w:val="restart"/>
            <w:vAlign w:val="center"/>
          </w:tcPr>
          <w:p w14:paraId="02C6945D">
            <w:pPr>
              <w:autoSpaceDE w:val="0"/>
              <w:autoSpaceDN w:val="0"/>
              <w:jc w:val="center"/>
              <w:rPr>
                <w:sz w:val="22"/>
                <w:szCs w:val="22"/>
              </w:rPr>
            </w:pPr>
            <w:r>
              <w:rPr>
                <w:sz w:val="22"/>
                <w:szCs w:val="22"/>
              </w:rPr>
              <w:t>6.0</w:t>
            </w:r>
          </w:p>
        </w:tc>
      </w:tr>
      <w:tr w14:paraId="3C6C1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37" w:type="dxa"/>
            <w:vMerge w:val="continue"/>
            <w:vAlign w:val="center"/>
          </w:tcPr>
          <w:p w14:paraId="1D3E25DA">
            <w:pPr>
              <w:autoSpaceDE w:val="0"/>
              <w:autoSpaceDN w:val="0"/>
              <w:jc w:val="center"/>
              <w:rPr>
                <w:sz w:val="22"/>
                <w:szCs w:val="22"/>
              </w:rPr>
            </w:pPr>
          </w:p>
        </w:tc>
        <w:tc>
          <w:tcPr>
            <w:tcW w:w="752" w:type="dxa"/>
            <w:vAlign w:val="center"/>
          </w:tcPr>
          <w:p w14:paraId="743EE77F">
            <w:pPr>
              <w:autoSpaceDE w:val="0"/>
              <w:autoSpaceDN w:val="0"/>
              <w:jc w:val="center"/>
              <w:rPr>
                <w:sz w:val="22"/>
                <w:szCs w:val="22"/>
              </w:rPr>
            </w:pPr>
            <w:r>
              <w:rPr>
                <w:sz w:val="22"/>
                <w:szCs w:val="22"/>
              </w:rPr>
              <w:t>其他</w:t>
            </w:r>
          </w:p>
        </w:tc>
        <w:tc>
          <w:tcPr>
            <w:tcW w:w="902" w:type="dxa"/>
            <w:vAlign w:val="center"/>
          </w:tcPr>
          <w:p w14:paraId="2C43E208">
            <w:pPr>
              <w:autoSpaceDE w:val="0"/>
              <w:autoSpaceDN w:val="0"/>
              <w:jc w:val="center"/>
              <w:rPr>
                <w:sz w:val="22"/>
                <w:szCs w:val="22"/>
              </w:rPr>
            </w:pPr>
            <w:r>
              <w:rPr>
                <w:sz w:val="22"/>
                <w:szCs w:val="22"/>
              </w:rPr>
              <w:t>1.3</w:t>
            </w:r>
          </w:p>
        </w:tc>
        <w:tc>
          <w:tcPr>
            <w:tcW w:w="903" w:type="dxa"/>
            <w:vMerge w:val="continue"/>
            <w:vAlign w:val="center"/>
          </w:tcPr>
          <w:p w14:paraId="43432027">
            <w:pPr>
              <w:autoSpaceDE w:val="0"/>
              <w:autoSpaceDN w:val="0"/>
              <w:jc w:val="center"/>
              <w:rPr>
                <w:sz w:val="22"/>
                <w:szCs w:val="22"/>
              </w:rPr>
            </w:pPr>
          </w:p>
        </w:tc>
        <w:tc>
          <w:tcPr>
            <w:tcW w:w="903" w:type="dxa"/>
            <w:vAlign w:val="center"/>
          </w:tcPr>
          <w:p w14:paraId="01354A72">
            <w:pPr>
              <w:autoSpaceDE w:val="0"/>
              <w:autoSpaceDN w:val="0"/>
              <w:jc w:val="center"/>
              <w:rPr>
                <w:sz w:val="22"/>
                <w:szCs w:val="22"/>
              </w:rPr>
            </w:pPr>
            <w:r>
              <w:rPr>
                <w:sz w:val="22"/>
                <w:szCs w:val="22"/>
              </w:rPr>
              <w:t>1.8</w:t>
            </w:r>
          </w:p>
        </w:tc>
        <w:tc>
          <w:tcPr>
            <w:tcW w:w="904" w:type="dxa"/>
            <w:vMerge w:val="continue"/>
            <w:vAlign w:val="center"/>
          </w:tcPr>
          <w:p w14:paraId="74759575">
            <w:pPr>
              <w:autoSpaceDE w:val="0"/>
              <w:autoSpaceDN w:val="0"/>
              <w:jc w:val="center"/>
              <w:rPr>
                <w:sz w:val="22"/>
                <w:szCs w:val="22"/>
              </w:rPr>
            </w:pPr>
          </w:p>
        </w:tc>
        <w:tc>
          <w:tcPr>
            <w:tcW w:w="903" w:type="dxa"/>
            <w:vAlign w:val="center"/>
          </w:tcPr>
          <w:p w14:paraId="5DF3A37D">
            <w:pPr>
              <w:autoSpaceDE w:val="0"/>
              <w:autoSpaceDN w:val="0"/>
              <w:jc w:val="center"/>
              <w:rPr>
                <w:sz w:val="22"/>
                <w:szCs w:val="22"/>
              </w:rPr>
            </w:pPr>
            <w:r>
              <w:rPr>
                <w:sz w:val="22"/>
                <w:szCs w:val="22"/>
              </w:rPr>
              <w:t>2.4</w:t>
            </w:r>
          </w:p>
        </w:tc>
        <w:tc>
          <w:tcPr>
            <w:tcW w:w="904" w:type="dxa"/>
            <w:vMerge w:val="continue"/>
            <w:vAlign w:val="center"/>
          </w:tcPr>
          <w:p w14:paraId="66D3CCB2">
            <w:pPr>
              <w:autoSpaceDE w:val="0"/>
              <w:autoSpaceDN w:val="0"/>
              <w:jc w:val="center"/>
              <w:rPr>
                <w:sz w:val="22"/>
                <w:szCs w:val="22"/>
              </w:rPr>
            </w:pPr>
          </w:p>
        </w:tc>
        <w:tc>
          <w:tcPr>
            <w:tcW w:w="903" w:type="dxa"/>
            <w:vAlign w:val="center"/>
          </w:tcPr>
          <w:p w14:paraId="6660C425">
            <w:pPr>
              <w:autoSpaceDE w:val="0"/>
              <w:autoSpaceDN w:val="0"/>
              <w:jc w:val="center"/>
              <w:rPr>
                <w:sz w:val="22"/>
                <w:szCs w:val="22"/>
              </w:rPr>
            </w:pPr>
            <w:r>
              <w:rPr>
                <w:sz w:val="22"/>
                <w:szCs w:val="22"/>
              </w:rPr>
              <w:t>3.4</w:t>
            </w:r>
          </w:p>
        </w:tc>
        <w:tc>
          <w:tcPr>
            <w:tcW w:w="968" w:type="dxa"/>
            <w:vMerge w:val="continue"/>
            <w:vAlign w:val="center"/>
          </w:tcPr>
          <w:p w14:paraId="2951A678">
            <w:pPr>
              <w:autoSpaceDE w:val="0"/>
              <w:autoSpaceDN w:val="0"/>
              <w:jc w:val="center"/>
              <w:rPr>
                <w:sz w:val="22"/>
                <w:szCs w:val="22"/>
              </w:rPr>
            </w:pPr>
          </w:p>
        </w:tc>
      </w:tr>
      <w:tr w14:paraId="0484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37" w:type="dxa"/>
            <w:vMerge w:val="restart"/>
            <w:vAlign w:val="center"/>
          </w:tcPr>
          <w:p w14:paraId="1A30DB2A">
            <w:pPr>
              <w:autoSpaceDE w:val="0"/>
              <w:autoSpaceDN w:val="0"/>
              <w:jc w:val="center"/>
              <w:rPr>
                <w:sz w:val="22"/>
                <w:szCs w:val="22"/>
              </w:rPr>
            </w:pPr>
            <w:r>
              <w:rPr>
                <w:sz w:val="22"/>
                <w:szCs w:val="22"/>
              </w:rPr>
              <w:t>砷</w:t>
            </w:r>
          </w:p>
        </w:tc>
        <w:tc>
          <w:tcPr>
            <w:tcW w:w="752" w:type="dxa"/>
            <w:vAlign w:val="center"/>
          </w:tcPr>
          <w:p w14:paraId="5F549DB1">
            <w:pPr>
              <w:autoSpaceDE w:val="0"/>
              <w:autoSpaceDN w:val="0"/>
              <w:jc w:val="center"/>
              <w:rPr>
                <w:sz w:val="22"/>
                <w:szCs w:val="22"/>
              </w:rPr>
            </w:pPr>
            <w:r>
              <w:rPr>
                <w:sz w:val="22"/>
                <w:szCs w:val="22"/>
              </w:rPr>
              <w:t>水田</w:t>
            </w:r>
          </w:p>
        </w:tc>
        <w:tc>
          <w:tcPr>
            <w:tcW w:w="902" w:type="dxa"/>
            <w:vAlign w:val="center"/>
          </w:tcPr>
          <w:p w14:paraId="4C327B6C">
            <w:pPr>
              <w:autoSpaceDE w:val="0"/>
              <w:autoSpaceDN w:val="0"/>
              <w:jc w:val="center"/>
              <w:rPr>
                <w:sz w:val="22"/>
                <w:szCs w:val="22"/>
              </w:rPr>
            </w:pPr>
            <w:r>
              <w:rPr>
                <w:sz w:val="22"/>
                <w:szCs w:val="22"/>
              </w:rPr>
              <w:t>30</w:t>
            </w:r>
          </w:p>
        </w:tc>
        <w:tc>
          <w:tcPr>
            <w:tcW w:w="903" w:type="dxa"/>
            <w:vMerge w:val="restart"/>
            <w:vAlign w:val="center"/>
          </w:tcPr>
          <w:p w14:paraId="47B5BC32">
            <w:pPr>
              <w:autoSpaceDE w:val="0"/>
              <w:autoSpaceDN w:val="0"/>
              <w:jc w:val="center"/>
              <w:rPr>
                <w:sz w:val="22"/>
                <w:szCs w:val="22"/>
              </w:rPr>
            </w:pPr>
            <w:r>
              <w:rPr>
                <w:sz w:val="22"/>
                <w:szCs w:val="22"/>
              </w:rPr>
              <w:t>200</w:t>
            </w:r>
          </w:p>
        </w:tc>
        <w:tc>
          <w:tcPr>
            <w:tcW w:w="903" w:type="dxa"/>
            <w:vAlign w:val="center"/>
          </w:tcPr>
          <w:p w14:paraId="22019B77">
            <w:pPr>
              <w:autoSpaceDE w:val="0"/>
              <w:autoSpaceDN w:val="0"/>
              <w:jc w:val="center"/>
              <w:rPr>
                <w:sz w:val="22"/>
                <w:szCs w:val="22"/>
              </w:rPr>
            </w:pPr>
            <w:r>
              <w:rPr>
                <w:sz w:val="22"/>
                <w:szCs w:val="22"/>
              </w:rPr>
              <w:t>30</w:t>
            </w:r>
          </w:p>
        </w:tc>
        <w:tc>
          <w:tcPr>
            <w:tcW w:w="904" w:type="dxa"/>
            <w:vMerge w:val="restart"/>
            <w:vAlign w:val="center"/>
          </w:tcPr>
          <w:p w14:paraId="32B5DAC8">
            <w:pPr>
              <w:autoSpaceDE w:val="0"/>
              <w:autoSpaceDN w:val="0"/>
              <w:jc w:val="center"/>
              <w:rPr>
                <w:sz w:val="22"/>
                <w:szCs w:val="22"/>
              </w:rPr>
            </w:pPr>
            <w:r>
              <w:rPr>
                <w:sz w:val="22"/>
                <w:szCs w:val="22"/>
              </w:rPr>
              <w:t>150</w:t>
            </w:r>
          </w:p>
        </w:tc>
        <w:tc>
          <w:tcPr>
            <w:tcW w:w="903" w:type="dxa"/>
            <w:vAlign w:val="center"/>
          </w:tcPr>
          <w:p w14:paraId="0596E721">
            <w:pPr>
              <w:autoSpaceDE w:val="0"/>
              <w:autoSpaceDN w:val="0"/>
              <w:jc w:val="center"/>
              <w:rPr>
                <w:sz w:val="22"/>
                <w:szCs w:val="22"/>
              </w:rPr>
            </w:pPr>
            <w:r>
              <w:rPr>
                <w:sz w:val="22"/>
                <w:szCs w:val="22"/>
              </w:rPr>
              <w:t>25</w:t>
            </w:r>
          </w:p>
        </w:tc>
        <w:tc>
          <w:tcPr>
            <w:tcW w:w="904" w:type="dxa"/>
            <w:vMerge w:val="restart"/>
            <w:vAlign w:val="center"/>
          </w:tcPr>
          <w:p w14:paraId="092D8082">
            <w:pPr>
              <w:autoSpaceDE w:val="0"/>
              <w:autoSpaceDN w:val="0"/>
              <w:jc w:val="center"/>
              <w:rPr>
                <w:sz w:val="22"/>
                <w:szCs w:val="22"/>
              </w:rPr>
            </w:pPr>
            <w:r>
              <w:rPr>
                <w:sz w:val="22"/>
                <w:szCs w:val="22"/>
              </w:rPr>
              <w:t>120</w:t>
            </w:r>
          </w:p>
        </w:tc>
        <w:tc>
          <w:tcPr>
            <w:tcW w:w="903" w:type="dxa"/>
            <w:vAlign w:val="center"/>
          </w:tcPr>
          <w:p w14:paraId="31A7B273">
            <w:pPr>
              <w:autoSpaceDE w:val="0"/>
              <w:autoSpaceDN w:val="0"/>
              <w:jc w:val="center"/>
              <w:rPr>
                <w:sz w:val="22"/>
                <w:szCs w:val="22"/>
              </w:rPr>
            </w:pPr>
            <w:r>
              <w:rPr>
                <w:sz w:val="22"/>
                <w:szCs w:val="22"/>
              </w:rPr>
              <w:t>20</w:t>
            </w:r>
          </w:p>
        </w:tc>
        <w:tc>
          <w:tcPr>
            <w:tcW w:w="968" w:type="dxa"/>
            <w:vMerge w:val="restart"/>
            <w:vAlign w:val="center"/>
          </w:tcPr>
          <w:p w14:paraId="0975BA9A">
            <w:pPr>
              <w:autoSpaceDE w:val="0"/>
              <w:autoSpaceDN w:val="0"/>
              <w:jc w:val="center"/>
              <w:rPr>
                <w:sz w:val="22"/>
                <w:szCs w:val="22"/>
              </w:rPr>
            </w:pPr>
            <w:r>
              <w:rPr>
                <w:sz w:val="22"/>
                <w:szCs w:val="22"/>
              </w:rPr>
              <w:t>100</w:t>
            </w:r>
          </w:p>
        </w:tc>
      </w:tr>
      <w:tr w14:paraId="18FC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37" w:type="dxa"/>
            <w:vMerge w:val="continue"/>
            <w:vAlign w:val="center"/>
          </w:tcPr>
          <w:p w14:paraId="6233EF41">
            <w:pPr>
              <w:autoSpaceDE w:val="0"/>
              <w:autoSpaceDN w:val="0"/>
              <w:jc w:val="center"/>
              <w:rPr>
                <w:sz w:val="22"/>
                <w:szCs w:val="22"/>
              </w:rPr>
            </w:pPr>
          </w:p>
        </w:tc>
        <w:tc>
          <w:tcPr>
            <w:tcW w:w="752" w:type="dxa"/>
            <w:vAlign w:val="center"/>
          </w:tcPr>
          <w:p w14:paraId="7D6E6C19">
            <w:pPr>
              <w:autoSpaceDE w:val="0"/>
              <w:autoSpaceDN w:val="0"/>
              <w:jc w:val="center"/>
              <w:rPr>
                <w:sz w:val="22"/>
                <w:szCs w:val="22"/>
              </w:rPr>
            </w:pPr>
            <w:r>
              <w:rPr>
                <w:sz w:val="22"/>
                <w:szCs w:val="22"/>
              </w:rPr>
              <w:t>其他</w:t>
            </w:r>
          </w:p>
        </w:tc>
        <w:tc>
          <w:tcPr>
            <w:tcW w:w="902" w:type="dxa"/>
            <w:vAlign w:val="center"/>
          </w:tcPr>
          <w:p w14:paraId="1035F2F8">
            <w:pPr>
              <w:autoSpaceDE w:val="0"/>
              <w:autoSpaceDN w:val="0"/>
              <w:jc w:val="center"/>
              <w:rPr>
                <w:sz w:val="22"/>
                <w:szCs w:val="22"/>
              </w:rPr>
            </w:pPr>
            <w:r>
              <w:rPr>
                <w:sz w:val="22"/>
                <w:szCs w:val="22"/>
              </w:rPr>
              <w:t>40</w:t>
            </w:r>
          </w:p>
        </w:tc>
        <w:tc>
          <w:tcPr>
            <w:tcW w:w="903" w:type="dxa"/>
            <w:vMerge w:val="continue"/>
            <w:vAlign w:val="center"/>
          </w:tcPr>
          <w:p w14:paraId="00B6DF8D">
            <w:pPr>
              <w:autoSpaceDE w:val="0"/>
              <w:autoSpaceDN w:val="0"/>
              <w:jc w:val="center"/>
              <w:rPr>
                <w:sz w:val="22"/>
                <w:szCs w:val="22"/>
              </w:rPr>
            </w:pPr>
          </w:p>
        </w:tc>
        <w:tc>
          <w:tcPr>
            <w:tcW w:w="903" w:type="dxa"/>
            <w:vAlign w:val="center"/>
          </w:tcPr>
          <w:p w14:paraId="02AAD455">
            <w:pPr>
              <w:autoSpaceDE w:val="0"/>
              <w:autoSpaceDN w:val="0"/>
              <w:jc w:val="center"/>
              <w:rPr>
                <w:sz w:val="22"/>
                <w:szCs w:val="22"/>
              </w:rPr>
            </w:pPr>
            <w:r>
              <w:rPr>
                <w:sz w:val="22"/>
                <w:szCs w:val="22"/>
              </w:rPr>
              <w:t>40</w:t>
            </w:r>
          </w:p>
        </w:tc>
        <w:tc>
          <w:tcPr>
            <w:tcW w:w="904" w:type="dxa"/>
            <w:vMerge w:val="continue"/>
            <w:vAlign w:val="center"/>
          </w:tcPr>
          <w:p w14:paraId="6EA06584">
            <w:pPr>
              <w:autoSpaceDE w:val="0"/>
              <w:autoSpaceDN w:val="0"/>
              <w:jc w:val="center"/>
              <w:rPr>
                <w:sz w:val="22"/>
                <w:szCs w:val="22"/>
              </w:rPr>
            </w:pPr>
          </w:p>
        </w:tc>
        <w:tc>
          <w:tcPr>
            <w:tcW w:w="903" w:type="dxa"/>
            <w:vAlign w:val="center"/>
          </w:tcPr>
          <w:p w14:paraId="1A637DD7">
            <w:pPr>
              <w:autoSpaceDE w:val="0"/>
              <w:autoSpaceDN w:val="0"/>
              <w:jc w:val="center"/>
              <w:rPr>
                <w:sz w:val="22"/>
                <w:szCs w:val="22"/>
              </w:rPr>
            </w:pPr>
            <w:r>
              <w:rPr>
                <w:sz w:val="22"/>
                <w:szCs w:val="22"/>
              </w:rPr>
              <w:t>30</w:t>
            </w:r>
          </w:p>
        </w:tc>
        <w:tc>
          <w:tcPr>
            <w:tcW w:w="904" w:type="dxa"/>
            <w:vMerge w:val="continue"/>
            <w:vAlign w:val="center"/>
          </w:tcPr>
          <w:p w14:paraId="75DF563A">
            <w:pPr>
              <w:autoSpaceDE w:val="0"/>
              <w:autoSpaceDN w:val="0"/>
              <w:jc w:val="center"/>
              <w:rPr>
                <w:sz w:val="22"/>
                <w:szCs w:val="22"/>
              </w:rPr>
            </w:pPr>
          </w:p>
        </w:tc>
        <w:tc>
          <w:tcPr>
            <w:tcW w:w="903" w:type="dxa"/>
            <w:vAlign w:val="center"/>
          </w:tcPr>
          <w:p w14:paraId="13FBE6F5">
            <w:pPr>
              <w:autoSpaceDE w:val="0"/>
              <w:autoSpaceDN w:val="0"/>
              <w:jc w:val="center"/>
              <w:rPr>
                <w:sz w:val="22"/>
                <w:szCs w:val="22"/>
              </w:rPr>
            </w:pPr>
            <w:r>
              <w:rPr>
                <w:sz w:val="22"/>
                <w:szCs w:val="22"/>
              </w:rPr>
              <w:t>25</w:t>
            </w:r>
          </w:p>
        </w:tc>
        <w:tc>
          <w:tcPr>
            <w:tcW w:w="968" w:type="dxa"/>
            <w:vMerge w:val="continue"/>
            <w:vAlign w:val="center"/>
          </w:tcPr>
          <w:p w14:paraId="41D81075">
            <w:pPr>
              <w:autoSpaceDE w:val="0"/>
              <w:autoSpaceDN w:val="0"/>
              <w:jc w:val="center"/>
              <w:rPr>
                <w:sz w:val="22"/>
                <w:szCs w:val="22"/>
              </w:rPr>
            </w:pPr>
          </w:p>
        </w:tc>
      </w:tr>
      <w:tr w14:paraId="4EC2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37" w:type="dxa"/>
            <w:vMerge w:val="restart"/>
            <w:vAlign w:val="center"/>
          </w:tcPr>
          <w:p w14:paraId="1DA2D176">
            <w:pPr>
              <w:autoSpaceDE w:val="0"/>
              <w:autoSpaceDN w:val="0"/>
              <w:jc w:val="center"/>
              <w:rPr>
                <w:sz w:val="22"/>
                <w:szCs w:val="22"/>
              </w:rPr>
            </w:pPr>
            <w:r>
              <w:rPr>
                <w:sz w:val="22"/>
                <w:szCs w:val="22"/>
              </w:rPr>
              <w:t>铅</w:t>
            </w:r>
          </w:p>
        </w:tc>
        <w:tc>
          <w:tcPr>
            <w:tcW w:w="752" w:type="dxa"/>
            <w:vAlign w:val="center"/>
          </w:tcPr>
          <w:p w14:paraId="0A4A6EE4">
            <w:pPr>
              <w:autoSpaceDE w:val="0"/>
              <w:autoSpaceDN w:val="0"/>
              <w:jc w:val="center"/>
              <w:rPr>
                <w:sz w:val="22"/>
                <w:szCs w:val="22"/>
              </w:rPr>
            </w:pPr>
            <w:r>
              <w:rPr>
                <w:sz w:val="22"/>
                <w:szCs w:val="22"/>
              </w:rPr>
              <w:t>水田</w:t>
            </w:r>
          </w:p>
        </w:tc>
        <w:tc>
          <w:tcPr>
            <w:tcW w:w="902" w:type="dxa"/>
            <w:vAlign w:val="center"/>
          </w:tcPr>
          <w:p w14:paraId="648CDE31">
            <w:pPr>
              <w:autoSpaceDE w:val="0"/>
              <w:autoSpaceDN w:val="0"/>
              <w:jc w:val="center"/>
              <w:rPr>
                <w:sz w:val="22"/>
                <w:szCs w:val="22"/>
              </w:rPr>
            </w:pPr>
            <w:r>
              <w:rPr>
                <w:sz w:val="22"/>
                <w:szCs w:val="22"/>
              </w:rPr>
              <w:t>80</w:t>
            </w:r>
          </w:p>
        </w:tc>
        <w:tc>
          <w:tcPr>
            <w:tcW w:w="903" w:type="dxa"/>
            <w:vMerge w:val="restart"/>
            <w:vAlign w:val="center"/>
          </w:tcPr>
          <w:p w14:paraId="0B34F4F1">
            <w:pPr>
              <w:autoSpaceDE w:val="0"/>
              <w:autoSpaceDN w:val="0"/>
              <w:jc w:val="center"/>
              <w:rPr>
                <w:sz w:val="22"/>
                <w:szCs w:val="22"/>
              </w:rPr>
            </w:pPr>
            <w:r>
              <w:rPr>
                <w:sz w:val="22"/>
                <w:szCs w:val="22"/>
              </w:rPr>
              <w:t>400</w:t>
            </w:r>
          </w:p>
        </w:tc>
        <w:tc>
          <w:tcPr>
            <w:tcW w:w="903" w:type="dxa"/>
            <w:vAlign w:val="center"/>
          </w:tcPr>
          <w:p w14:paraId="09A56DB0">
            <w:pPr>
              <w:autoSpaceDE w:val="0"/>
              <w:autoSpaceDN w:val="0"/>
              <w:jc w:val="center"/>
              <w:rPr>
                <w:sz w:val="22"/>
                <w:szCs w:val="22"/>
              </w:rPr>
            </w:pPr>
            <w:r>
              <w:rPr>
                <w:sz w:val="22"/>
                <w:szCs w:val="22"/>
              </w:rPr>
              <w:t>100</w:t>
            </w:r>
          </w:p>
        </w:tc>
        <w:tc>
          <w:tcPr>
            <w:tcW w:w="904" w:type="dxa"/>
            <w:vMerge w:val="restart"/>
            <w:vAlign w:val="center"/>
          </w:tcPr>
          <w:p w14:paraId="2A6DABE4">
            <w:pPr>
              <w:autoSpaceDE w:val="0"/>
              <w:autoSpaceDN w:val="0"/>
              <w:jc w:val="center"/>
              <w:rPr>
                <w:sz w:val="22"/>
                <w:szCs w:val="22"/>
              </w:rPr>
            </w:pPr>
            <w:r>
              <w:rPr>
                <w:sz w:val="22"/>
                <w:szCs w:val="22"/>
              </w:rPr>
              <w:t>500</w:t>
            </w:r>
          </w:p>
        </w:tc>
        <w:tc>
          <w:tcPr>
            <w:tcW w:w="903" w:type="dxa"/>
            <w:vAlign w:val="center"/>
          </w:tcPr>
          <w:p w14:paraId="4C681116">
            <w:pPr>
              <w:autoSpaceDE w:val="0"/>
              <w:autoSpaceDN w:val="0"/>
              <w:jc w:val="center"/>
              <w:rPr>
                <w:sz w:val="22"/>
                <w:szCs w:val="22"/>
              </w:rPr>
            </w:pPr>
            <w:r>
              <w:rPr>
                <w:sz w:val="22"/>
                <w:szCs w:val="22"/>
              </w:rPr>
              <w:t>140</w:t>
            </w:r>
          </w:p>
        </w:tc>
        <w:tc>
          <w:tcPr>
            <w:tcW w:w="904" w:type="dxa"/>
            <w:vMerge w:val="restart"/>
            <w:vAlign w:val="center"/>
          </w:tcPr>
          <w:p w14:paraId="4F6448DD">
            <w:pPr>
              <w:autoSpaceDE w:val="0"/>
              <w:autoSpaceDN w:val="0"/>
              <w:jc w:val="center"/>
              <w:rPr>
                <w:sz w:val="22"/>
                <w:szCs w:val="22"/>
              </w:rPr>
            </w:pPr>
            <w:r>
              <w:rPr>
                <w:sz w:val="22"/>
                <w:szCs w:val="22"/>
              </w:rPr>
              <w:t>700</w:t>
            </w:r>
          </w:p>
        </w:tc>
        <w:tc>
          <w:tcPr>
            <w:tcW w:w="903" w:type="dxa"/>
            <w:vAlign w:val="center"/>
          </w:tcPr>
          <w:p w14:paraId="554C3840">
            <w:pPr>
              <w:autoSpaceDE w:val="0"/>
              <w:autoSpaceDN w:val="0"/>
              <w:jc w:val="center"/>
              <w:rPr>
                <w:sz w:val="22"/>
                <w:szCs w:val="22"/>
              </w:rPr>
            </w:pPr>
            <w:r>
              <w:rPr>
                <w:sz w:val="22"/>
                <w:szCs w:val="22"/>
              </w:rPr>
              <w:t>240</w:t>
            </w:r>
          </w:p>
        </w:tc>
        <w:tc>
          <w:tcPr>
            <w:tcW w:w="968" w:type="dxa"/>
            <w:vMerge w:val="restart"/>
            <w:vAlign w:val="center"/>
          </w:tcPr>
          <w:p w14:paraId="6816D3A7">
            <w:pPr>
              <w:autoSpaceDE w:val="0"/>
              <w:autoSpaceDN w:val="0"/>
              <w:jc w:val="center"/>
              <w:rPr>
                <w:sz w:val="22"/>
                <w:szCs w:val="22"/>
              </w:rPr>
            </w:pPr>
            <w:r>
              <w:rPr>
                <w:sz w:val="22"/>
                <w:szCs w:val="22"/>
              </w:rPr>
              <w:t>1000</w:t>
            </w:r>
          </w:p>
        </w:tc>
      </w:tr>
      <w:tr w14:paraId="380F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37" w:type="dxa"/>
            <w:vMerge w:val="continue"/>
            <w:vAlign w:val="center"/>
          </w:tcPr>
          <w:p w14:paraId="1A1FBD85">
            <w:pPr>
              <w:autoSpaceDE w:val="0"/>
              <w:autoSpaceDN w:val="0"/>
              <w:jc w:val="center"/>
              <w:rPr>
                <w:sz w:val="22"/>
                <w:szCs w:val="22"/>
              </w:rPr>
            </w:pPr>
          </w:p>
        </w:tc>
        <w:tc>
          <w:tcPr>
            <w:tcW w:w="752" w:type="dxa"/>
            <w:vAlign w:val="center"/>
          </w:tcPr>
          <w:p w14:paraId="4EB64DA4">
            <w:pPr>
              <w:autoSpaceDE w:val="0"/>
              <w:autoSpaceDN w:val="0"/>
              <w:jc w:val="center"/>
              <w:rPr>
                <w:sz w:val="22"/>
                <w:szCs w:val="22"/>
              </w:rPr>
            </w:pPr>
            <w:r>
              <w:rPr>
                <w:sz w:val="22"/>
                <w:szCs w:val="22"/>
              </w:rPr>
              <w:t>其他</w:t>
            </w:r>
          </w:p>
        </w:tc>
        <w:tc>
          <w:tcPr>
            <w:tcW w:w="902" w:type="dxa"/>
            <w:vAlign w:val="center"/>
          </w:tcPr>
          <w:p w14:paraId="42CD5A81">
            <w:pPr>
              <w:autoSpaceDE w:val="0"/>
              <w:autoSpaceDN w:val="0"/>
              <w:jc w:val="center"/>
              <w:rPr>
                <w:sz w:val="22"/>
                <w:szCs w:val="22"/>
              </w:rPr>
            </w:pPr>
            <w:r>
              <w:rPr>
                <w:sz w:val="22"/>
                <w:szCs w:val="22"/>
              </w:rPr>
              <w:t>70</w:t>
            </w:r>
          </w:p>
        </w:tc>
        <w:tc>
          <w:tcPr>
            <w:tcW w:w="903" w:type="dxa"/>
            <w:vMerge w:val="continue"/>
            <w:vAlign w:val="center"/>
          </w:tcPr>
          <w:p w14:paraId="5B15DD1B">
            <w:pPr>
              <w:autoSpaceDE w:val="0"/>
              <w:autoSpaceDN w:val="0"/>
              <w:jc w:val="center"/>
              <w:rPr>
                <w:sz w:val="22"/>
                <w:szCs w:val="22"/>
              </w:rPr>
            </w:pPr>
          </w:p>
        </w:tc>
        <w:tc>
          <w:tcPr>
            <w:tcW w:w="903" w:type="dxa"/>
            <w:vAlign w:val="center"/>
          </w:tcPr>
          <w:p w14:paraId="70D03144">
            <w:pPr>
              <w:autoSpaceDE w:val="0"/>
              <w:autoSpaceDN w:val="0"/>
              <w:jc w:val="center"/>
              <w:rPr>
                <w:sz w:val="22"/>
                <w:szCs w:val="22"/>
              </w:rPr>
            </w:pPr>
            <w:r>
              <w:rPr>
                <w:sz w:val="22"/>
                <w:szCs w:val="22"/>
              </w:rPr>
              <w:t>90</w:t>
            </w:r>
          </w:p>
        </w:tc>
        <w:tc>
          <w:tcPr>
            <w:tcW w:w="904" w:type="dxa"/>
            <w:vMerge w:val="continue"/>
            <w:vAlign w:val="center"/>
          </w:tcPr>
          <w:p w14:paraId="7DFF0372">
            <w:pPr>
              <w:autoSpaceDE w:val="0"/>
              <w:autoSpaceDN w:val="0"/>
              <w:jc w:val="center"/>
              <w:rPr>
                <w:sz w:val="22"/>
                <w:szCs w:val="22"/>
              </w:rPr>
            </w:pPr>
          </w:p>
        </w:tc>
        <w:tc>
          <w:tcPr>
            <w:tcW w:w="903" w:type="dxa"/>
            <w:vAlign w:val="center"/>
          </w:tcPr>
          <w:p w14:paraId="3B343575">
            <w:pPr>
              <w:autoSpaceDE w:val="0"/>
              <w:autoSpaceDN w:val="0"/>
              <w:jc w:val="center"/>
              <w:rPr>
                <w:sz w:val="22"/>
                <w:szCs w:val="22"/>
              </w:rPr>
            </w:pPr>
            <w:r>
              <w:rPr>
                <w:sz w:val="22"/>
                <w:szCs w:val="22"/>
              </w:rPr>
              <w:t>120</w:t>
            </w:r>
          </w:p>
        </w:tc>
        <w:tc>
          <w:tcPr>
            <w:tcW w:w="904" w:type="dxa"/>
            <w:vMerge w:val="continue"/>
            <w:vAlign w:val="center"/>
          </w:tcPr>
          <w:p w14:paraId="5CF3ABE2">
            <w:pPr>
              <w:autoSpaceDE w:val="0"/>
              <w:autoSpaceDN w:val="0"/>
              <w:jc w:val="center"/>
              <w:rPr>
                <w:sz w:val="22"/>
                <w:szCs w:val="22"/>
              </w:rPr>
            </w:pPr>
          </w:p>
        </w:tc>
        <w:tc>
          <w:tcPr>
            <w:tcW w:w="903" w:type="dxa"/>
            <w:vAlign w:val="center"/>
          </w:tcPr>
          <w:p w14:paraId="0B15E9E7">
            <w:pPr>
              <w:autoSpaceDE w:val="0"/>
              <w:autoSpaceDN w:val="0"/>
              <w:jc w:val="center"/>
              <w:rPr>
                <w:sz w:val="22"/>
                <w:szCs w:val="22"/>
              </w:rPr>
            </w:pPr>
            <w:r>
              <w:rPr>
                <w:sz w:val="22"/>
                <w:szCs w:val="22"/>
              </w:rPr>
              <w:t>170</w:t>
            </w:r>
          </w:p>
        </w:tc>
        <w:tc>
          <w:tcPr>
            <w:tcW w:w="968" w:type="dxa"/>
            <w:vMerge w:val="continue"/>
            <w:vAlign w:val="center"/>
          </w:tcPr>
          <w:p w14:paraId="62BAEC80">
            <w:pPr>
              <w:autoSpaceDE w:val="0"/>
              <w:autoSpaceDN w:val="0"/>
              <w:jc w:val="center"/>
              <w:rPr>
                <w:sz w:val="22"/>
                <w:szCs w:val="22"/>
              </w:rPr>
            </w:pPr>
          </w:p>
        </w:tc>
      </w:tr>
      <w:tr w14:paraId="1A7D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37" w:type="dxa"/>
            <w:vMerge w:val="restart"/>
            <w:vAlign w:val="center"/>
          </w:tcPr>
          <w:p w14:paraId="5494F99B">
            <w:pPr>
              <w:autoSpaceDE w:val="0"/>
              <w:autoSpaceDN w:val="0"/>
              <w:jc w:val="center"/>
              <w:rPr>
                <w:sz w:val="22"/>
                <w:szCs w:val="22"/>
              </w:rPr>
            </w:pPr>
            <w:r>
              <w:rPr>
                <w:sz w:val="22"/>
                <w:szCs w:val="22"/>
              </w:rPr>
              <w:t>铬</w:t>
            </w:r>
          </w:p>
        </w:tc>
        <w:tc>
          <w:tcPr>
            <w:tcW w:w="752" w:type="dxa"/>
            <w:vAlign w:val="center"/>
          </w:tcPr>
          <w:p w14:paraId="723898CE">
            <w:pPr>
              <w:autoSpaceDE w:val="0"/>
              <w:autoSpaceDN w:val="0"/>
              <w:jc w:val="center"/>
              <w:rPr>
                <w:sz w:val="22"/>
                <w:szCs w:val="22"/>
              </w:rPr>
            </w:pPr>
            <w:r>
              <w:rPr>
                <w:sz w:val="22"/>
                <w:szCs w:val="22"/>
              </w:rPr>
              <w:t>水田</w:t>
            </w:r>
          </w:p>
        </w:tc>
        <w:tc>
          <w:tcPr>
            <w:tcW w:w="902" w:type="dxa"/>
            <w:vAlign w:val="center"/>
          </w:tcPr>
          <w:p w14:paraId="004B0D74">
            <w:pPr>
              <w:autoSpaceDE w:val="0"/>
              <w:autoSpaceDN w:val="0"/>
              <w:jc w:val="center"/>
              <w:rPr>
                <w:sz w:val="22"/>
                <w:szCs w:val="22"/>
              </w:rPr>
            </w:pPr>
            <w:r>
              <w:rPr>
                <w:sz w:val="22"/>
                <w:szCs w:val="22"/>
              </w:rPr>
              <w:t>250</w:t>
            </w:r>
          </w:p>
        </w:tc>
        <w:tc>
          <w:tcPr>
            <w:tcW w:w="903" w:type="dxa"/>
            <w:vMerge w:val="restart"/>
            <w:vAlign w:val="center"/>
          </w:tcPr>
          <w:p w14:paraId="5A4FBCEF">
            <w:pPr>
              <w:autoSpaceDE w:val="0"/>
              <w:autoSpaceDN w:val="0"/>
              <w:jc w:val="center"/>
              <w:rPr>
                <w:sz w:val="22"/>
                <w:szCs w:val="22"/>
              </w:rPr>
            </w:pPr>
            <w:r>
              <w:rPr>
                <w:sz w:val="22"/>
                <w:szCs w:val="22"/>
              </w:rPr>
              <w:t>800</w:t>
            </w:r>
          </w:p>
        </w:tc>
        <w:tc>
          <w:tcPr>
            <w:tcW w:w="903" w:type="dxa"/>
            <w:vAlign w:val="center"/>
          </w:tcPr>
          <w:p w14:paraId="400FF398">
            <w:pPr>
              <w:autoSpaceDE w:val="0"/>
              <w:autoSpaceDN w:val="0"/>
              <w:jc w:val="center"/>
              <w:rPr>
                <w:sz w:val="22"/>
                <w:szCs w:val="22"/>
              </w:rPr>
            </w:pPr>
            <w:r>
              <w:rPr>
                <w:sz w:val="22"/>
                <w:szCs w:val="22"/>
              </w:rPr>
              <w:t>250</w:t>
            </w:r>
          </w:p>
        </w:tc>
        <w:tc>
          <w:tcPr>
            <w:tcW w:w="904" w:type="dxa"/>
            <w:vMerge w:val="restart"/>
            <w:vAlign w:val="center"/>
          </w:tcPr>
          <w:p w14:paraId="3F00DD1E">
            <w:pPr>
              <w:autoSpaceDE w:val="0"/>
              <w:autoSpaceDN w:val="0"/>
              <w:jc w:val="center"/>
              <w:rPr>
                <w:sz w:val="22"/>
                <w:szCs w:val="22"/>
              </w:rPr>
            </w:pPr>
            <w:r>
              <w:rPr>
                <w:sz w:val="22"/>
                <w:szCs w:val="22"/>
              </w:rPr>
              <w:t>850</w:t>
            </w:r>
          </w:p>
        </w:tc>
        <w:tc>
          <w:tcPr>
            <w:tcW w:w="903" w:type="dxa"/>
            <w:vAlign w:val="center"/>
          </w:tcPr>
          <w:p w14:paraId="1F2FAC01">
            <w:pPr>
              <w:autoSpaceDE w:val="0"/>
              <w:autoSpaceDN w:val="0"/>
              <w:jc w:val="center"/>
              <w:rPr>
                <w:sz w:val="22"/>
                <w:szCs w:val="22"/>
              </w:rPr>
            </w:pPr>
            <w:r>
              <w:rPr>
                <w:sz w:val="22"/>
                <w:szCs w:val="22"/>
              </w:rPr>
              <w:t>300</w:t>
            </w:r>
          </w:p>
        </w:tc>
        <w:tc>
          <w:tcPr>
            <w:tcW w:w="904" w:type="dxa"/>
            <w:vMerge w:val="restart"/>
            <w:vAlign w:val="center"/>
          </w:tcPr>
          <w:p w14:paraId="02E66F9E">
            <w:pPr>
              <w:autoSpaceDE w:val="0"/>
              <w:autoSpaceDN w:val="0"/>
              <w:jc w:val="center"/>
              <w:rPr>
                <w:sz w:val="22"/>
                <w:szCs w:val="22"/>
              </w:rPr>
            </w:pPr>
            <w:r>
              <w:rPr>
                <w:sz w:val="22"/>
                <w:szCs w:val="22"/>
              </w:rPr>
              <w:t>1000</w:t>
            </w:r>
          </w:p>
        </w:tc>
        <w:tc>
          <w:tcPr>
            <w:tcW w:w="903" w:type="dxa"/>
            <w:vAlign w:val="center"/>
          </w:tcPr>
          <w:p w14:paraId="5D54BE4A">
            <w:pPr>
              <w:autoSpaceDE w:val="0"/>
              <w:autoSpaceDN w:val="0"/>
              <w:jc w:val="center"/>
              <w:rPr>
                <w:sz w:val="22"/>
                <w:szCs w:val="22"/>
              </w:rPr>
            </w:pPr>
            <w:r>
              <w:rPr>
                <w:sz w:val="22"/>
                <w:szCs w:val="22"/>
              </w:rPr>
              <w:t>350</w:t>
            </w:r>
          </w:p>
        </w:tc>
        <w:tc>
          <w:tcPr>
            <w:tcW w:w="968" w:type="dxa"/>
            <w:vMerge w:val="restart"/>
            <w:vAlign w:val="center"/>
          </w:tcPr>
          <w:p w14:paraId="1714F813">
            <w:pPr>
              <w:autoSpaceDE w:val="0"/>
              <w:autoSpaceDN w:val="0"/>
              <w:jc w:val="center"/>
              <w:rPr>
                <w:sz w:val="22"/>
                <w:szCs w:val="22"/>
              </w:rPr>
            </w:pPr>
            <w:r>
              <w:rPr>
                <w:sz w:val="22"/>
                <w:szCs w:val="22"/>
              </w:rPr>
              <w:t>1300</w:t>
            </w:r>
          </w:p>
        </w:tc>
      </w:tr>
      <w:tr w14:paraId="20D7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37" w:type="dxa"/>
            <w:vMerge w:val="continue"/>
            <w:vAlign w:val="center"/>
          </w:tcPr>
          <w:p w14:paraId="64DDC374">
            <w:pPr>
              <w:autoSpaceDE w:val="0"/>
              <w:autoSpaceDN w:val="0"/>
              <w:jc w:val="center"/>
              <w:rPr>
                <w:sz w:val="22"/>
                <w:szCs w:val="22"/>
              </w:rPr>
            </w:pPr>
          </w:p>
        </w:tc>
        <w:tc>
          <w:tcPr>
            <w:tcW w:w="752" w:type="dxa"/>
            <w:vAlign w:val="center"/>
          </w:tcPr>
          <w:p w14:paraId="2AA0354C">
            <w:pPr>
              <w:autoSpaceDE w:val="0"/>
              <w:autoSpaceDN w:val="0"/>
              <w:jc w:val="center"/>
              <w:rPr>
                <w:sz w:val="22"/>
                <w:szCs w:val="22"/>
              </w:rPr>
            </w:pPr>
            <w:r>
              <w:rPr>
                <w:sz w:val="22"/>
                <w:szCs w:val="22"/>
              </w:rPr>
              <w:t>其他</w:t>
            </w:r>
          </w:p>
        </w:tc>
        <w:tc>
          <w:tcPr>
            <w:tcW w:w="902" w:type="dxa"/>
            <w:vAlign w:val="center"/>
          </w:tcPr>
          <w:p w14:paraId="5F297D9F">
            <w:pPr>
              <w:autoSpaceDE w:val="0"/>
              <w:autoSpaceDN w:val="0"/>
              <w:jc w:val="center"/>
              <w:rPr>
                <w:sz w:val="22"/>
                <w:szCs w:val="22"/>
              </w:rPr>
            </w:pPr>
            <w:r>
              <w:rPr>
                <w:sz w:val="22"/>
                <w:szCs w:val="22"/>
              </w:rPr>
              <w:t>150</w:t>
            </w:r>
          </w:p>
        </w:tc>
        <w:tc>
          <w:tcPr>
            <w:tcW w:w="903" w:type="dxa"/>
            <w:vMerge w:val="continue"/>
            <w:vAlign w:val="center"/>
          </w:tcPr>
          <w:p w14:paraId="55C534DF">
            <w:pPr>
              <w:autoSpaceDE w:val="0"/>
              <w:autoSpaceDN w:val="0"/>
              <w:jc w:val="center"/>
              <w:rPr>
                <w:sz w:val="22"/>
                <w:szCs w:val="22"/>
              </w:rPr>
            </w:pPr>
          </w:p>
        </w:tc>
        <w:tc>
          <w:tcPr>
            <w:tcW w:w="903" w:type="dxa"/>
            <w:vAlign w:val="center"/>
          </w:tcPr>
          <w:p w14:paraId="098A2F60">
            <w:pPr>
              <w:autoSpaceDE w:val="0"/>
              <w:autoSpaceDN w:val="0"/>
              <w:jc w:val="center"/>
              <w:rPr>
                <w:sz w:val="22"/>
                <w:szCs w:val="22"/>
              </w:rPr>
            </w:pPr>
            <w:r>
              <w:rPr>
                <w:sz w:val="22"/>
                <w:szCs w:val="22"/>
              </w:rPr>
              <w:t>150</w:t>
            </w:r>
          </w:p>
        </w:tc>
        <w:tc>
          <w:tcPr>
            <w:tcW w:w="904" w:type="dxa"/>
            <w:vMerge w:val="continue"/>
            <w:vAlign w:val="center"/>
          </w:tcPr>
          <w:p w14:paraId="1548199E">
            <w:pPr>
              <w:autoSpaceDE w:val="0"/>
              <w:autoSpaceDN w:val="0"/>
              <w:jc w:val="center"/>
              <w:rPr>
                <w:sz w:val="22"/>
                <w:szCs w:val="22"/>
              </w:rPr>
            </w:pPr>
          </w:p>
        </w:tc>
        <w:tc>
          <w:tcPr>
            <w:tcW w:w="903" w:type="dxa"/>
            <w:vAlign w:val="center"/>
          </w:tcPr>
          <w:p w14:paraId="0A0B8E87">
            <w:pPr>
              <w:autoSpaceDE w:val="0"/>
              <w:autoSpaceDN w:val="0"/>
              <w:jc w:val="center"/>
              <w:rPr>
                <w:sz w:val="22"/>
                <w:szCs w:val="22"/>
              </w:rPr>
            </w:pPr>
            <w:r>
              <w:rPr>
                <w:sz w:val="22"/>
                <w:szCs w:val="22"/>
              </w:rPr>
              <w:t>200</w:t>
            </w:r>
          </w:p>
        </w:tc>
        <w:tc>
          <w:tcPr>
            <w:tcW w:w="904" w:type="dxa"/>
            <w:vMerge w:val="continue"/>
            <w:vAlign w:val="center"/>
          </w:tcPr>
          <w:p w14:paraId="7867997F">
            <w:pPr>
              <w:autoSpaceDE w:val="0"/>
              <w:autoSpaceDN w:val="0"/>
              <w:jc w:val="center"/>
              <w:rPr>
                <w:sz w:val="22"/>
                <w:szCs w:val="22"/>
              </w:rPr>
            </w:pPr>
          </w:p>
        </w:tc>
        <w:tc>
          <w:tcPr>
            <w:tcW w:w="903" w:type="dxa"/>
            <w:vAlign w:val="center"/>
          </w:tcPr>
          <w:p w14:paraId="39788FC7">
            <w:pPr>
              <w:autoSpaceDE w:val="0"/>
              <w:autoSpaceDN w:val="0"/>
              <w:jc w:val="center"/>
              <w:rPr>
                <w:sz w:val="22"/>
                <w:szCs w:val="22"/>
              </w:rPr>
            </w:pPr>
            <w:r>
              <w:rPr>
                <w:sz w:val="22"/>
                <w:szCs w:val="22"/>
              </w:rPr>
              <w:t>250</w:t>
            </w:r>
          </w:p>
        </w:tc>
        <w:tc>
          <w:tcPr>
            <w:tcW w:w="968" w:type="dxa"/>
            <w:vMerge w:val="continue"/>
            <w:vAlign w:val="center"/>
          </w:tcPr>
          <w:p w14:paraId="61309BD5">
            <w:pPr>
              <w:autoSpaceDE w:val="0"/>
              <w:autoSpaceDN w:val="0"/>
              <w:jc w:val="center"/>
              <w:rPr>
                <w:sz w:val="22"/>
                <w:szCs w:val="22"/>
              </w:rPr>
            </w:pPr>
          </w:p>
        </w:tc>
      </w:tr>
      <w:tr w14:paraId="4A4B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37" w:type="dxa"/>
            <w:vMerge w:val="restart"/>
            <w:vAlign w:val="center"/>
          </w:tcPr>
          <w:p w14:paraId="7AC16560">
            <w:pPr>
              <w:autoSpaceDE w:val="0"/>
              <w:autoSpaceDN w:val="0"/>
              <w:jc w:val="center"/>
              <w:rPr>
                <w:sz w:val="22"/>
                <w:szCs w:val="22"/>
              </w:rPr>
            </w:pPr>
            <w:r>
              <w:rPr>
                <w:sz w:val="22"/>
                <w:szCs w:val="22"/>
              </w:rPr>
              <w:t>铜</w:t>
            </w:r>
          </w:p>
        </w:tc>
        <w:tc>
          <w:tcPr>
            <w:tcW w:w="752" w:type="dxa"/>
            <w:vAlign w:val="center"/>
          </w:tcPr>
          <w:p w14:paraId="685B1E57">
            <w:pPr>
              <w:autoSpaceDE w:val="0"/>
              <w:autoSpaceDN w:val="0"/>
              <w:jc w:val="center"/>
              <w:rPr>
                <w:sz w:val="22"/>
                <w:szCs w:val="22"/>
              </w:rPr>
            </w:pPr>
            <w:r>
              <w:rPr>
                <w:sz w:val="22"/>
                <w:szCs w:val="22"/>
              </w:rPr>
              <w:t>水田</w:t>
            </w:r>
          </w:p>
        </w:tc>
        <w:tc>
          <w:tcPr>
            <w:tcW w:w="902" w:type="dxa"/>
            <w:vAlign w:val="center"/>
          </w:tcPr>
          <w:p w14:paraId="0AA7E339">
            <w:pPr>
              <w:autoSpaceDE w:val="0"/>
              <w:autoSpaceDN w:val="0"/>
              <w:jc w:val="center"/>
              <w:rPr>
                <w:sz w:val="22"/>
                <w:szCs w:val="22"/>
              </w:rPr>
            </w:pPr>
            <w:r>
              <w:rPr>
                <w:sz w:val="22"/>
                <w:szCs w:val="22"/>
              </w:rPr>
              <w:t>150</w:t>
            </w:r>
          </w:p>
        </w:tc>
        <w:tc>
          <w:tcPr>
            <w:tcW w:w="903" w:type="dxa"/>
            <w:vMerge w:val="restart"/>
            <w:vAlign w:val="center"/>
          </w:tcPr>
          <w:p w14:paraId="65C4BF99">
            <w:pPr>
              <w:autoSpaceDE w:val="0"/>
              <w:autoSpaceDN w:val="0"/>
              <w:jc w:val="center"/>
              <w:rPr>
                <w:sz w:val="22"/>
                <w:szCs w:val="22"/>
              </w:rPr>
            </w:pPr>
            <w:r>
              <w:rPr>
                <w:sz w:val="22"/>
                <w:szCs w:val="22"/>
              </w:rPr>
              <w:t>/</w:t>
            </w:r>
          </w:p>
        </w:tc>
        <w:tc>
          <w:tcPr>
            <w:tcW w:w="903" w:type="dxa"/>
            <w:vAlign w:val="center"/>
          </w:tcPr>
          <w:p w14:paraId="47F72BC5">
            <w:pPr>
              <w:autoSpaceDE w:val="0"/>
              <w:autoSpaceDN w:val="0"/>
              <w:jc w:val="center"/>
              <w:rPr>
                <w:sz w:val="22"/>
                <w:szCs w:val="22"/>
              </w:rPr>
            </w:pPr>
            <w:r>
              <w:rPr>
                <w:sz w:val="22"/>
                <w:szCs w:val="22"/>
              </w:rPr>
              <w:t>150</w:t>
            </w:r>
          </w:p>
        </w:tc>
        <w:tc>
          <w:tcPr>
            <w:tcW w:w="904" w:type="dxa"/>
            <w:vMerge w:val="restart"/>
            <w:vAlign w:val="center"/>
          </w:tcPr>
          <w:p w14:paraId="70570093">
            <w:pPr>
              <w:autoSpaceDE w:val="0"/>
              <w:autoSpaceDN w:val="0"/>
              <w:jc w:val="center"/>
              <w:rPr>
                <w:sz w:val="22"/>
                <w:szCs w:val="22"/>
              </w:rPr>
            </w:pPr>
            <w:r>
              <w:rPr>
                <w:sz w:val="22"/>
                <w:szCs w:val="22"/>
              </w:rPr>
              <w:t>/</w:t>
            </w:r>
          </w:p>
        </w:tc>
        <w:tc>
          <w:tcPr>
            <w:tcW w:w="903" w:type="dxa"/>
            <w:vAlign w:val="center"/>
          </w:tcPr>
          <w:p w14:paraId="54BE09B4">
            <w:pPr>
              <w:autoSpaceDE w:val="0"/>
              <w:autoSpaceDN w:val="0"/>
              <w:jc w:val="center"/>
              <w:rPr>
                <w:sz w:val="22"/>
                <w:szCs w:val="22"/>
              </w:rPr>
            </w:pPr>
            <w:r>
              <w:rPr>
                <w:sz w:val="22"/>
                <w:szCs w:val="22"/>
              </w:rPr>
              <w:t>200</w:t>
            </w:r>
          </w:p>
        </w:tc>
        <w:tc>
          <w:tcPr>
            <w:tcW w:w="904" w:type="dxa"/>
            <w:vMerge w:val="restart"/>
            <w:vAlign w:val="center"/>
          </w:tcPr>
          <w:p w14:paraId="19871370">
            <w:pPr>
              <w:autoSpaceDE w:val="0"/>
              <w:autoSpaceDN w:val="0"/>
              <w:jc w:val="center"/>
              <w:rPr>
                <w:sz w:val="22"/>
                <w:szCs w:val="22"/>
              </w:rPr>
            </w:pPr>
            <w:r>
              <w:rPr>
                <w:sz w:val="22"/>
                <w:szCs w:val="22"/>
              </w:rPr>
              <w:t>/</w:t>
            </w:r>
          </w:p>
        </w:tc>
        <w:tc>
          <w:tcPr>
            <w:tcW w:w="903" w:type="dxa"/>
            <w:vAlign w:val="center"/>
          </w:tcPr>
          <w:p w14:paraId="6E016961">
            <w:pPr>
              <w:autoSpaceDE w:val="0"/>
              <w:autoSpaceDN w:val="0"/>
              <w:jc w:val="center"/>
              <w:rPr>
                <w:sz w:val="22"/>
                <w:szCs w:val="22"/>
              </w:rPr>
            </w:pPr>
            <w:r>
              <w:rPr>
                <w:sz w:val="22"/>
                <w:szCs w:val="22"/>
              </w:rPr>
              <w:t>200</w:t>
            </w:r>
          </w:p>
        </w:tc>
        <w:tc>
          <w:tcPr>
            <w:tcW w:w="968" w:type="dxa"/>
            <w:vMerge w:val="restart"/>
            <w:vAlign w:val="center"/>
          </w:tcPr>
          <w:p w14:paraId="4734A932">
            <w:pPr>
              <w:autoSpaceDE w:val="0"/>
              <w:autoSpaceDN w:val="0"/>
              <w:jc w:val="center"/>
              <w:rPr>
                <w:sz w:val="22"/>
                <w:szCs w:val="22"/>
              </w:rPr>
            </w:pPr>
            <w:r>
              <w:rPr>
                <w:sz w:val="22"/>
                <w:szCs w:val="22"/>
              </w:rPr>
              <w:t>/</w:t>
            </w:r>
          </w:p>
        </w:tc>
      </w:tr>
      <w:tr w14:paraId="6025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37" w:type="dxa"/>
            <w:vMerge w:val="continue"/>
            <w:vAlign w:val="center"/>
          </w:tcPr>
          <w:p w14:paraId="570BDC1F">
            <w:pPr>
              <w:autoSpaceDE w:val="0"/>
              <w:autoSpaceDN w:val="0"/>
              <w:jc w:val="center"/>
              <w:rPr>
                <w:sz w:val="22"/>
                <w:szCs w:val="22"/>
              </w:rPr>
            </w:pPr>
          </w:p>
        </w:tc>
        <w:tc>
          <w:tcPr>
            <w:tcW w:w="752" w:type="dxa"/>
            <w:vAlign w:val="center"/>
          </w:tcPr>
          <w:p w14:paraId="7D086780">
            <w:pPr>
              <w:autoSpaceDE w:val="0"/>
              <w:autoSpaceDN w:val="0"/>
              <w:jc w:val="center"/>
              <w:rPr>
                <w:sz w:val="22"/>
                <w:szCs w:val="22"/>
              </w:rPr>
            </w:pPr>
            <w:r>
              <w:rPr>
                <w:sz w:val="22"/>
                <w:szCs w:val="22"/>
              </w:rPr>
              <w:t>其他</w:t>
            </w:r>
          </w:p>
        </w:tc>
        <w:tc>
          <w:tcPr>
            <w:tcW w:w="902" w:type="dxa"/>
            <w:vAlign w:val="center"/>
          </w:tcPr>
          <w:p w14:paraId="46779C53">
            <w:pPr>
              <w:autoSpaceDE w:val="0"/>
              <w:autoSpaceDN w:val="0"/>
              <w:jc w:val="center"/>
              <w:rPr>
                <w:sz w:val="22"/>
                <w:szCs w:val="22"/>
              </w:rPr>
            </w:pPr>
            <w:r>
              <w:rPr>
                <w:sz w:val="22"/>
                <w:szCs w:val="22"/>
              </w:rPr>
              <w:t>50</w:t>
            </w:r>
          </w:p>
        </w:tc>
        <w:tc>
          <w:tcPr>
            <w:tcW w:w="903" w:type="dxa"/>
            <w:vMerge w:val="continue"/>
            <w:vAlign w:val="center"/>
          </w:tcPr>
          <w:p w14:paraId="75B4FBAF">
            <w:pPr>
              <w:autoSpaceDE w:val="0"/>
              <w:autoSpaceDN w:val="0"/>
              <w:jc w:val="center"/>
              <w:rPr>
                <w:sz w:val="22"/>
                <w:szCs w:val="22"/>
              </w:rPr>
            </w:pPr>
          </w:p>
        </w:tc>
        <w:tc>
          <w:tcPr>
            <w:tcW w:w="903" w:type="dxa"/>
            <w:vAlign w:val="center"/>
          </w:tcPr>
          <w:p w14:paraId="3B28591E">
            <w:pPr>
              <w:autoSpaceDE w:val="0"/>
              <w:autoSpaceDN w:val="0"/>
              <w:jc w:val="center"/>
              <w:rPr>
                <w:sz w:val="22"/>
                <w:szCs w:val="22"/>
              </w:rPr>
            </w:pPr>
            <w:r>
              <w:rPr>
                <w:sz w:val="22"/>
                <w:szCs w:val="22"/>
              </w:rPr>
              <w:t>50</w:t>
            </w:r>
          </w:p>
        </w:tc>
        <w:tc>
          <w:tcPr>
            <w:tcW w:w="904" w:type="dxa"/>
            <w:vMerge w:val="continue"/>
            <w:vAlign w:val="center"/>
          </w:tcPr>
          <w:p w14:paraId="15EFA726">
            <w:pPr>
              <w:autoSpaceDE w:val="0"/>
              <w:autoSpaceDN w:val="0"/>
              <w:jc w:val="center"/>
              <w:rPr>
                <w:sz w:val="22"/>
                <w:szCs w:val="22"/>
              </w:rPr>
            </w:pPr>
          </w:p>
        </w:tc>
        <w:tc>
          <w:tcPr>
            <w:tcW w:w="903" w:type="dxa"/>
            <w:vAlign w:val="center"/>
          </w:tcPr>
          <w:p w14:paraId="25EC08B7">
            <w:pPr>
              <w:autoSpaceDE w:val="0"/>
              <w:autoSpaceDN w:val="0"/>
              <w:jc w:val="center"/>
              <w:rPr>
                <w:sz w:val="22"/>
                <w:szCs w:val="22"/>
              </w:rPr>
            </w:pPr>
            <w:r>
              <w:rPr>
                <w:sz w:val="22"/>
                <w:szCs w:val="22"/>
              </w:rPr>
              <w:t>100</w:t>
            </w:r>
          </w:p>
        </w:tc>
        <w:tc>
          <w:tcPr>
            <w:tcW w:w="904" w:type="dxa"/>
            <w:vMerge w:val="continue"/>
            <w:vAlign w:val="center"/>
          </w:tcPr>
          <w:p w14:paraId="6B1718E3">
            <w:pPr>
              <w:autoSpaceDE w:val="0"/>
              <w:autoSpaceDN w:val="0"/>
              <w:jc w:val="center"/>
              <w:rPr>
                <w:sz w:val="22"/>
                <w:szCs w:val="22"/>
              </w:rPr>
            </w:pPr>
          </w:p>
        </w:tc>
        <w:tc>
          <w:tcPr>
            <w:tcW w:w="903" w:type="dxa"/>
            <w:vAlign w:val="center"/>
          </w:tcPr>
          <w:p w14:paraId="7022B672">
            <w:pPr>
              <w:autoSpaceDE w:val="0"/>
              <w:autoSpaceDN w:val="0"/>
              <w:jc w:val="center"/>
              <w:rPr>
                <w:sz w:val="22"/>
                <w:szCs w:val="22"/>
              </w:rPr>
            </w:pPr>
            <w:r>
              <w:rPr>
                <w:sz w:val="22"/>
                <w:szCs w:val="22"/>
              </w:rPr>
              <w:t>100</w:t>
            </w:r>
          </w:p>
        </w:tc>
        <w:tc>
          <w:tcPr>
            <w:tcW w:w="968" w:type="dxa"/>
            <w:vMerge w:val="continue"/>
            <w:vAlign w:val="center"/>
          </w:tcPr>
          <w:p w14:paraId="7EBE2886">
            <w:pPr>
              <w:autoSpaceDE w:val="0"/>
              <w:autoSpaceDN w:val="0"/>
              <w:jc w:val="center"/>
              <w:rPr>
                <w:sz w:val="22"/>
                <w:szCs w:val="22"/>
              </w:rPr>
            </w:pPr>
          </w:p>
        </w:tc>
      </w:tr>
      <w:tr w14:paraId="73455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89" w:type="dxa"/>
            <w:gridSpan w:val="2"/>
            <w:vAlign w:val="center"/>
          </w:tcPr>
          <w:p w14:paraId="1D76620F">
            <w:pPr>
              <w:autoSpaceDE w:val="0"/>
              <w:autoSpaceDN w:val="0"/>
              <w:jc w:val="center"/>
              <w:rPr>
                <w:sz w:val="22"/>
                <w:szCs w:val="22"/>
              </w:rPr>
            </w:pPr>
            <w:r>
              <w:rPr>
                <w:sz w:val="22"/>
                <w:szCs w:val="22"/>
              </w:rPr>
              <w:t>镍</w:t>
            </w:r>
          </w:p>
        </w:tc>
        <w:tc>
          <w:tcPr>
            <w:tcW w:w="902" w:type="dxa"/>
            <w:vAlign w:val="center"/>
          </w:tcPr>
          <w:p w14:paraId="619C9970">
            <w:pPr>
              <w:autoSpaceDE w:val="0"/>
              <w:autoSpaceDN w:val="0"/>
              <w:jc w:val="center"/>
              <w:rPr>
                <w:sz w:val="22"/>
                <w:szCs w:val="22"/>
              </w:rPr>
            </w:pPr>
            <w:r>
              <w:rPr>
                <w:sz w:val="22"/>
                <w:szCs w:val="22"/>
              </w:rPr>
              <w:t>60</w:t>
            </w:r>
          </w:p>
        </w:tc>
        <w:tc>
          <w:tcPr>
            <w:tcW w:w="903" w:type="dxa"/>
            <w:vAlign w:val="center"/>
          </w:tcPr>
          <w:p w14:paraId="4FB73C2C">
            <w:pPr>
              <w:autoSpaceDE w:val="0"/>
              <w:autoSpaceDN w:val="0"/>
              <w:jc w:val="center"/>
              <w:rPr>
                <w:sz w:val="22"/>
                <w:szCs w:val="22"/>
              </w:rPr>
            </w:pPr>
            <w:r>
              <w:rPr>
                <w:sz w:val="22"/>
                <w:szCs w:val="22"/>
              </w:rPr>
              <w:t>/</w:t>
            </w:r>
          </w:p>
        </w:tc>
        <w:tc>
          <w:tcPr>
            <w:tcW w:w="903" w:type="dxa"/>
            <w:vAlign w:val="center"/>
          </w:tcPr>
          <w:p w14:paraId="438C3FB2">
            <w:pPr>
              <w:autoSpaceDE w:val="0"/>
              <w:autoSpaceDN w:val="0"/>
              <w:jc w:val="center"/>
              <w:rPr>
                <w:sz w:val="22"/>
                <w:szCs w:val="22"/>
              </w:rPr>
            </w:pPr>
            <w:r>
              <w:rPr>
                <w:sz w:val="22"/>
                <w:szCs w:val="22"/>
              </w:rPr>
              <w:t>70</w:t>
            </w:r>
          </w:p>
        </w:tc>
        <w:tc>
          <w:tcPr>
            <w:tcW w:w="904" w:type="dxa"/>
            <w:vAlign w:val="center"/>
          </w:tcPr>
          <w:p w14:paraId="76747617">
            <w:pPr>
              <w:autoSpaceDE w:val="0"/>
              <w:autoSpaceDN w:val="0"/>
              <w:jc w:val="center"/>
              <w:rPr>
                <w:sz w:val="22"/>
                <w:szCs w:val="22"/>
              </w:rPr>
            </w:pPr>
            <w:r>
              <w:rPr>
                <w:sz w:val="22"/>
                <w:szCs w:val="22"/>
              </w:rPr>
              <w:t>/</w:t>
            </w:r>
          </w:p>
        </w:tc>
        <w:tc>
          <w:tcPr>
            <w:tcW w:w="903" w:type="dxa"/>
            <w:vAlign w:val="center"/>
          </w:tcPr>
          <w:p w14:paraId="6CE335CE">
            <w:pPr>
              <w:autoSpaceDE w:val="0"/>
              <w:autoSpaceDN w:val="0"/>
              <w:jc w:val="center"/>
              <w:rPr>
                <w:sz w:val="22"/>
                <w:szCs w:val="22"/>
              </w:rPr>
            </w:pPr>
            <w:r>
              <w:rPr>
                <w:sz w:val="22"/>
                <w:szCs w:val="22"/>
              </w:rPr>
              <w:t>100</w:t>
            </w:r>
          </w:p>
        </w:tc>
        <w:tc>
          <w:tcPr>
            <w:tcW w:w="904" w:type="dxa"/>
            <w:vAlign w:val="center"/>
          </w:tcPr>
          <w:p w14:paraId="63941DF0">
            <w:pPr>
              <w:autoSpaceDE w:val="0"/>
              <w:autoSpaceDN w:val="0"/>
              <w:jc w:val="center"/>
              <w:rPr>
                <w:sz w:val="22"/>
                <w:szCs w:val="22"/>
              </w:rPr>
            </w:pPr>
            <w:r>
              <w:rPr>
                <w:sz w:val="22"/>
                <w:szCs w:val="22"/>
              </w:rPr>
              <w:t>/</w:t>
            </w:r>
          </w:p>
        </w:tc>
        <w:tc>
          <w:tcPr>
            <w:tcW w:w="903" w:type="dxa"/>
            <w:vAlign w:val="center"/>
          </w:tcPr>
          <w:p w14:paraId="444D7500">
            <w:pPr>
              <w:autoSpaceDE w:val="0"/>
              <w:autoSpaceDN w:val="0"/>
              <w:jc w:val="center"/>
              <w:rPr>
                <w:sz w:val="22"/>
                <w:szCs w:val="22"/>
              </w:rPr>
            </w:pPr>
            <w:r>
              <w:rPr>
                <w:sz w:val="22"/>
                <w:szCs w:val="22"/>
              </w:rPr>
              <w:t>190</w:t>
            </w:r>
          </w:p>
        </w:tc>
        <w:tc>
          <w:tcPr>
            <w:tcW w:w="968" w:type="dxa"/>
            <w:vAlign w:val="center"/>
          </w:tcPr>
          <w:p w14:paraId="6A8E61A8">
            <w:pPr>
              <w:autoSpaceDE w:val="0"/>
              <w:autoSpaceDN w:val="0"/>
              <w:jc w:val="center"/>
              <w:rPr>
                <w:sz w:val="22"/>
                <w:szCs w:val="22"/>
              </w:rPr>
            </w:pPr>
            <w:r>
              <w:rPr>
                <w:sz w:val="22"/>
                <w:szCs w:val="22"/>
              </w:rPr>
              <w:t>/</w:t>
            </w:r>
          </w:p>
        </w:tc>
      </w:tr>
      <w:tr w14:paraId="675F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89" w:type="dxa"/>
            <w:gridSpan w:val="2"/>
            <w:vAlign w:val="center"/>
          </w:tcPr>
          <w:p w14:paraId="451B3EBC">
            <w:pPr>
              <w:autoSpaceDE w:val="0"/>
              <w:autoSpaceDN w:val="0"/>
              <w:jc w:val="center"/>
              <w:rPr>
                <w:sz w:val="22"/>
                <w:szCs w:val="22"/>
              </w:rPr>
            </w:pPr>
            <w:r>
              <w:rPr>
                <w:sz w:val="22"/>
                <w:szCs w:val="22"/>
              </w:rPr>
              <w:t>锌</w:t>
            </w:r>
          </w:p>
        </w:tc>
        <w:tc>
          <w:tcPr>
            <w:tcW w:w="902" w:type="dxa"/>
            <w:vAlign w:val="center"/>
          </w:tcPr>
          <w:p w14:paraId="41427C40">
            <w:pPr>
              <w:autoSpaceDE w:val="0"/>
              <w:autoSpaceDN w:val="0"/>
              <w:jc w:val="center"/>
              <w:rPr>
                <w:sz w:val="22"/>
                <w:szCs w:val="22"/>
              </w:rPr>
            </w:pPr>
            <w:r>
              <w:rPr>
                <w:sz w:val="22"/>
                <w:szCs w:val="22"/>
              </w:rPr>
              <w:t>200</w:t>
            </w:r>
          </w:p>
        </w:tc>
        <w:tc>
          <w:tcPr>
            <w:tcW w:w="903" w:type="dxa"/>
            <w:vAlign w:val="center"/>
          </w:tcPr>
          <w:p w14:paraId="2EA587CE">
            <w:pPr>
              <w:autoSpaceDE w:val="0"/>
              <w:autoSpaceDN w:val="0"/>
              <w:jc w:val="center"/>
              <w:rPr>
                <w:sz w:val="22"/>
                <w:szCs w:val="22"/>
              </w:rPr>
            </w:pPr>
            <w:r>
              <w:rPr>
                <w:sz w:val="22"/>
                <w:szCs w:val="22"/>
              </w:rPr>
              <w:t>/</w:t>
            </w:r>
          </w:p>
        </w:tc>
        <w:tc>
          <w:tcPr>
            <w:tcW w:w="903" w:type="dxa"/>
            <w:vAlign w:val="center"/>
          </w:tcPr>
          <w:p w14:paraId="1F57BA89">
            <w:pPr>
              <w:autoSpaceDE w:val="0"/>
              <w:autoSpaceDN w:val="0"/>
              <w:jc w:val="center"/>
              <w:rPr>
                <w:sz w:val="22"/>
                <w:szCs w:val="22"/>
              </w:rPr>
            </w:pPr>
            <w:r>
              <w:rPr>
                <w:sz w:val="22"/>
                <w:szCs w:val="22"/>
              </w:rPr>
              <w:t>200</w:t>
            </w:r>
          </w:p>
        </w:tc>
        <w:tc>
          <w:tcPr>
            <w:tcW w:w="904" w:type="dxa"/>
            <w:vAlign w:val="center"/>
          </w:tcPr>
          <w:p w14:paraId="039BE54D">
            <w:pPr>
              <w:autoSpaceDE w:val="0"/>
              <w:autoSpaceDN w:val="0"/>
              <w:jc w:val="center"/>
              <w:rPr>
                <w:sz w:val="22"/>
                <w:szCs w:val="22"/>
              </w:rPr>
            </w:pPr>
            <w:r>
              <w:rPr>
                <w:sz w:val="22"/>
                <w:szCs w:val="22"/>
              </w:rPr>
              <w:t>/</w:t>
            </w:r>
          </w:p>
        </w:tc>
        <w:tc>
          <w:tcPr>
            <w:tcW w:w="903" w:type="dxa"/>
            <w:vAlign w:val="center"/>
          </w:tcPr>
          <w:p w14:paraId="0EB8720C">
            <w:pPr>
              <w:autoSpaceDE w:val="0"/>
              <w:autoSpaceDN w:val="0"/>
              <w:jc w:val="center"/>
              <w:rPr>
                <w:sz w:val="22"/>
                <w:szCs w:val="22"/>
              </w:rPr>
            </w:pPr>
            <w:r>
              <w:rPr>
                <w:sz w:val="22"/>
                <w:szCs w:val="22"/>
              </w:rPr>
              <w:t>250</w:t>
            </w:r>
          </w:p>
        </w:tc>
        <w:tc>
          <w:tcPr>
            <w:tcW w:w="904" w:type="dxa"/>
            <w:vAlign w:val="center"/>
          </w:tcPr>
          <w:p w14:paraId="54FBFD3E">
            <w:pPr>
              <w:autoSpaceDE w:val="0"/>
              <w:autoSpaceDN w:val="0"/>
              <w:jc w:val="center"/>
              <w:rPr>
                <w:sz w:val="22"/>
                <w:szCs w:val="22"/>
              </w:rPr>
            </w:pPr>
            <w:r>
              <w:rPr>
                <w:sz w:val="22"/>
                <w:szCs w:val="22"/>
              </w:rPr>
              <w:t>/</w:t>
            </w:r>
          </w:p>
        </w:tc>
        <w:tc>
          <w:tcPr>
            <w:tcW w:w="903" w:type="dxa"/>
            <w:vAlign w:val="center"/>
          </w:tcPr>
          <w:p w14:paraId="622F06EB">
            <w:pPr>
              <w:autoSpaceDE w:val="0"/>
              <w:autoSpaceDN w:val="0"/>
              <w:jc w:val="center"/>
              <w:rPr>
                <w:sz w:val="22"/>
                <w:szCs w:val="22"/>
              </w:rPr>
            </w:pPr>
            <w:r>
              <w:rPr>
                <w:sz w:val="22"/>
                <w:szCs w:val="22"/>
              </w:rPr>
              <w:t>300</w:t>
            </w:r>
          </w:p>
        </w:tc>
        <w:tc>
          <w:tcPr>
            <w:tcW w:w="968" w:type="dxa"/>
            <w:vAlign w:val="center"/>
          </w:tcPr>
          <w:p w14:paraId="41294594">
            <w:pPr>
              <w:autoSpaceDE w:val="0"/>
              <w:autoSpaceDN w:val="0"/>
              <w:jc w:val="center"/>
              <w:rPr>
                <w:sz w:val="22"/>
                <w:szCs w:val="22"/>
              </w:rPr>
            </w:pPr>
            <w:r>
              <w:rPr>
                <w:sz w:val="22"/>
                <w:szCs w:val="22"/>
              </w:rPr>
              <w:t>/</w:t>
            </w:r>
          </w:p>
        </w:tc>
      </w:tr>
    </w:tbl>
    <w:p w14:paraId="478D34FA">
      <w:pPr>
        <w:pStyle w:val="1379"/>
        <w:ind w:firstLine="440"/>
      </w:pPr>
    </w:p>
    <w:p w14:paraId="0F3648E5">
      <w:pPr>
        <w:keepNext/>
        <w:tabs>
          <w:tab w:val="right" w:pos="8730"/>
        </w:tabs>
        <w:adjustRightInd w:val="0"/>
        <w:snapToGrid w:val="0"/>
        <w:jc w:val="center"/>
        <w:rPr>
          <w:sz w:val="26"/>
          <w:szCs w:val="26"/>
        </w:rPr>
      </w:pPr>
      <w:r>
        <w:rPr>
          <w:rFonts w:hint="eastAsia"/>
          <w:sz w:val="26"/>
          <w:szCs w:val="26"/>
        </w:rPr>
        <w:t>1</w:t>
      </w:r>
      <w:r>
        <w:rPr>
          <w:sz w:val="26"/>
          <w:szCs w:val="26"/>
        </w:rPr>
        <w:t xml:space="preserve">.4-6   </w:t>
      </w:r>
      <w:r>
        <w:rPr>
          <w:rFonts w:hint="eastAsia"/>
          <w:sz w:val="26"/>
          <w:szCs w:val="26"/>
        </w:rPr>
        <w:t>土壤环境质量 建设用地土壤污染风险管控标准（试行）</w:t>
      </w:r>
    </w:p>
    <w:tbl>
      <w:tblPr>
        <w:tblStyle w:val="88"/>
        <w:tblW w:w="8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92"/>
        <w:gridCol w:w="1866"/>
        <w:gridCol w:w="1722"/>
        <w:gridCol w:w="1005"/>
        <w:gridCol w:w="1850"/>
        <w:gridCol w:w="1651"/>
      </w:tblGrid>
      <w:tr w14:paraId="7FAF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30972626">
            <w:pPr>
              <w:jc w:val="center"/>
              <w:rPr>
                <w:sz w:val="22"/>
                <w:szCs w:val="22"/>
              </w:rPr>
            </w:pPr>
            <w:r>
              <w:rPr>
                <w:sz w:val="22"/>
                <w:szCs w:val="22"/>
              </w:rPr>
              <w:t>序号</w:t>
            </w:r>
          </w:p>
        </w:tc>
        <w:tc>
          <w:tcPr>
            <w:tcW w:w="1866" w:type="dxa"/>
            <w:vAlign w:val="center"/>
          </w:tcPr>
          <w:p w14:paraId="319F590C">
            <w:pPr>
              <w:jc w:val="center"/>
              <w:rPr>
                <w:sz w:val="22"/>
                <w:szCs w:val="22"/>
              </w:rPr>
            </w:pPr>
            <w:r>
              <w:rPr>
                <w:sz w:val="22"/>
                <w:szCs w:val="22"/>
              </w:rPr>
              <w:t>污染物项目</w:t>
            </w:r>
          </w:p>
        </w:tc>
        <w:tc>
          <w:tcPr>
            <w:tcW w:w="1722" w:type="dxa"/>
            <w:vAlign w:val="center"/>
          </w:tcPr>
          <w:p w14:paraId="4927E1A6">
            <w:pPr>
              <w:jc w:val="center"/>
              <w:rPr>
                <w:sz w:val="22"/>
                <w:szCs w:val="22"/>
              </w:rPr>
            </w:pPr>
            <w:r>
              <w:rPr>
                <w:sz w:val="22"/>
                <w:szCs w:val="22"/>
              </w:rPr>
              <w:t>风险筛选值</w:t>
            </w:r>
          </w:p>
          <w:p w14:paraId="1A08714D">
            <w:pPr>
              <w:jc w:val="center"/>
              <w:rPr>
                <w:sz w:val="22"/>
                <w:szCs w:val="22"/>
              </w:rPr>
            </w:pPr>
            <w:r>
              <w:rPr>
                <w:sz w:val="22"/>
                <w:szCs w:val="22"/>
              </w:rPr>
              <w:t>（第二类用地）</w:t>
            </w:r>
          </w:p>
        </w:tc>
        <w:tc>
          <w:tcPr>
            <w:tcW w:w="1005" w:type="dxa"/>
            <w:vAlign w:val="center"/>
          </w:tcPr>
          <w:p w14:paraId="50EF6233">
            <w:pPr>
              <w:jc w:val="center"/>
              <w:rPr>
                <w:sz w:val="22"/>
                <w:szCs w:val="22"/>
              </w:rPr>
            </w:pPr>
            <w:r>
              <w:rPr>
                <w:sz w:val="22"/>
                <w:szCs w:val="22"/>
              </w:rPr>
              <w:t>序号</w:t>
            </w:r>
          </w:p>
        </w:tc>
        <w:tc>
          <w:tcPr>
            <w:tcW w:w="1850" w:type="dxa"/>
            <w:vAlign w:val="center"/>
          </w:tcPr>
          <w:p w14:paraId="0A972675">
            <w:pPr>
              <w:jc w:val="center"/>
              <w:rPr>
                <w:sz w:val="22"/>
                <w:szCs w:val="22"/>
              </w:rPr>
            </w:pPr>
            <w:r>
              <w:rPr>
                <w:sz w:val="22"/>
                <w:szCs w:val="22"/>
              </w:rPr>
              <w:t>污染物项目</w:t>
            </w:r>
          </w:p>
        </w:tc>
        <w:tc>
          <w:tcPr>
            <w:tcW w:w="1651" w:type="dxa"/>
            <w:vAlign w:val="center"/>
          </w:tcPr>
          <w:p w14:paraId="63AB0781">
            <w:pPr>
              <w:jc w:val="center"/>
              <w:rPr>
                <w:sz w:val="22"/>
                <w:szCs w:val="22"/>
              </w:rPr>
            </w:pPr>
            <w:r>
              <w:rPr>
                <w:sz w:val="22"/>
                <w:szCs w:val="22"/>
              </w:rPr>
              <w:t>风险筛选值</w:t>
            </w:r>
          </w:p>
          <w:p w14:paraId="334BD820">
            <w:pPr>
              <w:jc w:val="center"/>
              <w:rPr>
                <w:sz w:val="22"/>
                <w:szCs w:val="22"/>
              </w:rPr>
            </w:pPr>
            <w:r>
              <w:rPr>
                <w:sz w:val="22"/>
                <w:szCs w:val="22"/>
              </w:rPr>
              <w:t>（第二类用地）</w:t>
            </w:r>
          </w:p>
        </w:tc>
      </w:tr>
      <w:tr w14:paraId="3FD6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795B2ECF">
            <w:pPr>
              <w:adjustRightInd w:val="0"/>
              <w:snapToGrid w:val="0"/>
              <w:jc w:val="center"/>
              <w:rPr>
                <w:sz w:val="22"/>
                <w:szCs w:val="22"/>
              </w:rPr>
            </w:pPr>
            <w:r>
              <w:rPr>
                <w:sz w:val="22"/>
                <w:szCs w:val="22"/>
              </w:rPr>
              <w:t>1</w:t>
            </w:r>
          </w:p>
        </w:tc>
        <w:tc>
          <w:tcPr>
            <w:tcW w:w="1866" w:type="dxa"/>
            <w:vAlign w:val="center"/>
          </w:tcPr>
          <w:p w14:paraId="3A1FAE84">
            <w:pPr>
              <w:jc w:val="center"/>
              <w:rPr>
                <w:sz w:val="22"/>
                <w:szCs w:val="22"/>
              </w:rPr>
            </w:pPr>
            <w:r>
              <w:rPr>
                <w:sz w:val="22"/>
                <w:szCs w:val="22"/>
              </w:rPr>
              <w:t>砷</w:t>
            </w:r>
          </w:p>
        </w:tc>
        <w:tc>
          <w:tcPr>
            <w:tcW w:w="1722" w:type="dxa"/>
            <w:vAlign w:val="center"/>
          </w:tcPr>
          <w:p w14:paraId="6C76C668">
            <w:pPr>
              <w:jc w:val="center"/>
              <w:rPr>
                <w:sz w:val="22"/>
                <w:szCs w:val="22"/>
              </w:rPr>
            </w:pPr>
            <w:r>
              <w:rPr>
                <w:sz w:val="22"/>
                <w:szCs w:val="22"/>
              </w:rPr>
              <w:t>60</w:t>
            </w:r>
          </w:p>
        </w:tc>
        <w:tc>
          <w:tcPr>
            <w:tcW w:w="1005" w:type="dxa"/>
            <w:vAlign w:val="center"/>
          </w:tcPr>
          <w:p w14:paraId="23A6766C">
            <w:pPr>
              <w:adjustRightInd w:val="0"/>
              <w:snapToGrid w:val="0"/>
              <w:jc w:val="center"/>
              <w:rPr>
                <w:sz w:val="22"/>
                <w:szCs w:val="22"/>
              </w:rPr>
            </w:pPr>
            <w:r>
              <w:rPr>
                <w:sz w:val="22"/>
                <w:szCs w:val="22"/>
              </w:rPr>
              <w:t>24</w:t>
            </w:r>
          </w:p>
        </w:tc>
        <w:tc>
          <w:tcPr>
            <w:tcW w:w="1850" w:type="dxa"/>
            <w:vAlign w:val="center"/>
          </w:tcPr>
          <w:p w14:paraId="4419E3C7">
            <w:pPr>
              <w:adjustRightInd w:val="0"/>
              <w:snapToGrid w:val="0"/>
              <w:jc w:val="center"/>
              <w:rPr>
                <w:sz w:val="22"/>
                <w:szCs w:val="22"/>
              </w:rPr>
            </w:pPr>
            <w:r>
              <w:rPr>
                <w:sz w:val="22"/>
                <w:szCs w:val="22"/>
              </w:rPr>
              <w:t>1,2,3-三氯丙烷</w:t>
            </w:r>
          </w:p>
        </w:tc>
        <w:tc>
          <w:tcPr>
            <w:tcW w:w="1651" w:type="dxa"/>
            <w:vAlign w:val="center"/>
          </w:tcPr>
          <w:p w14:paraId="30441B44">
            <w:pPr>
              <w:adjustRightInd w:val="0"/>
              <w:snapToGrid w:val="0"/>
              <w:jc w:val="center"/>
              <w:rPr>
                <w:sz w:val="22"/>
                <w:szCs w:val="22"/>
              </w:rPr>
            </w:pPr>
            <w:r>
              <w:rPr>
                <w:sz w:val="22"/>
                <w:szCs w:val="22"/>
              </w:rPr>
              <w:t>0.5</w:t>
            </w:r>
          </w:p>
        </w:tc>
      </w:tr>
      <w:tr w14:paraId="1D414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2EC0CE0D">
            <w:pPr>
              <w:adjustRightInd w:val="0"/>
              <w:snapToGrid w:val="0"/>
              <w:jc w:val="center"/>
              <w:rPr>
                <w:sz w:val="22"/>
                <w:szCs w:val="22"/>
              </w:rPr>
            </w:pPr>
            <w:r>
              <w:rPr>
                <w:sz w:val="22"/>
                <w:szCs w:val="22"/>
              </w:rPr>
              <w:t>2</w:t>
            </w:r>
          </w:p>
        </w:tc>
        <w:tc>
          <w:tcPr>
            <w:tcW w:w="1866" w:type="dxa"/>
            <w:vAlign w:val="center"/>
          </w:tcPr>
          <w:p w14:paraId="35AD95FA">
            <w:pPr>
              <w:jc w:val="center"/>
              <w:rPr>
                <w:sz w:val="22"/>
                <w:szCs w:val="22"/>
              </w:rPr>
            </w:pPr>
            <w:r>
              <w:rPr>
                <w:sz w:val="22"/>
                <w:szCs w:val="22"/>
              </w:rPr>
              <w:t>镉</w:t>
            </w:r>
          </w:p>
        </w:tc>
        <w:tc>
          <w:tcPr>
            <w:tcW w:w="1722" w:type="dxa"/>
            <w:vAlign w:val="center"/>
          </w:tcPr>
          <w:p w14:paraId="5F5F55B6">
            <w:pPr>
              <w:jc w:val="center"/>
              <w:rPr>
                <w:sz w:val="22"/>
                <w:szCs w:val="22"/>
              </w:rPr>
            </w:pPr>
            <w:r>
              <w:rPr>
                <w:sz w:val="22"/>
                <w:szCs w:val="22"/>
              </w:rPr>
              <w:t>65</w:t>
            </w:r>
          </w:p>
        </w:tc>
        <w:tc>
          <w:tcPr>
            <w:tcW w:w="1005" w:type="dxa"/>
            <w:vAlign w:val="center"/>
          </w:tcPr>
          <w:p w14:paraId="6768024E">
            <w:pPr>
              <w:adjustRightInd w:val="0"/>
              <w:snapToGrid w:val="0"/>
              <w:jc w:val="center"/>
              <w:rPr>
                <w:sz w:val="22"/>
                <w:szCs w:val="22"/>
              </w:rPr>
            </w:pPr>
            <w:r>
              <w:rPr>
                <w:sz w:val="22"/>
                <w:szCs w:val="22"/>
              </w:rPr>
              <w:t>25</w:t>
            </w:r>
          </w:p>
        </w:tc>
        <w:tc>
          <w:tcPr>
            <w:tcW w:w="1850" w:type="dxa"/>
            <w:vAlign w:val="center"/>
          </w:tcPr>
          <w:p w14:paraId="1C2D465A">
            <w:pPr>
              <w:adjustRightInd w:val="0"/>
              <w:snapToGrid w:val="0"/>
              <w:jc w:val="center"/>
              <w:rPr>
                <w:sz w:val="22"/>
                <w:szCs w:val="22"/>
              </w:rPr>
            </w:pPr>
            <w:r>
              <w:rPr>
                <w:sz w:val="22"/>
                <w:szCs w:val="22"/>
              </w:rPr>
              <w:t>氯乙烯</w:t>
            </w:r>
          </w:p>
        </w:tc>
        <w:tc>
          <w:tcPr>
            <w:tcW w:w="1651" w:type="dxa"/>
            <w:vAlign w:val="center"/>
          </w:tcPr>
          <w:p w14:paraId="0FF0A046">
            <w:pPr>
              <w:adjustRightInd w:val="0"/>
              <w:snapToGrid w:val="0"/>
              <w:jc w:val="center"/>
              <w:rPr>
                <w:sz w:val="22"/>
                <w:szCs w:val="22"/>
              </w:rPr>
            </w:pPr>
            <w:r>
              <w:rPr>
                <w:sz w:val="22"/>
                <w:szCs w:val="22"/>
              </w:rPr>
              <w:t>0.43</w:t>
            </w:r>
          </w:p>
        </w:tc>
      </w:tr>
      <w:tr w14:paraId="789A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6D0ECE5B">
            <w:pPr>
              <w:adjustRightInd w:val="0"/>
              <w:snapToGrid w:val="0"/>
              <w:jc w:val="center"/>
              <w:rPr>
                <w:sz w:val="22"/>
                <w:szCs w:val="22"/>
              </w:rPr>
            </w:pPr>
            <w:r>
              <w:rPr>
                <w:sz w:val="22"/>
                <w:szCs w:val="22"/>
              </w:rPr>
              <w:t>3</w:t>
            </w:r>
          </w:p>
        </w:tc>
        <w:tc>
          <w:tcPr>
            <w:tcW w:w="1866" w:type="dxa"/>
            <w:vAlign w:val="center"/>
          </w:tcPr>
          <w:p w14:paraId="6C0F7822">
            <w:pPr>
              <w:jc w:val="center"/>
              <w:rPr>
                <w:sz w:val="22"/>
                <w:szCs w:val="22"/>
              </w:rPr>
            </w:pPr>
            <w:r>
              <w:rPr>
                <w:sz w:val="22"/>
                <w:szCs w:val="22"/>
              </w:rPr>
              <w:t>铬（六价）</w:t>
            </w:r>
          </w:p>
        </w:tc>
        <w:tc>
          <w:tcPr>
            <w:tcW w:w="1722" w:type="dxa"/>
            <w:vAlign w:val="center"/>
          </w:tcPr>
          <w:p w14:paraId="2880B2F4">
            <w:pPr>
              <w:jc w:val="center"/>
              <w:rPr>
                <w:sz w:val="22"/>
                <w:szCs w:val="22"/>
              </w:rPr>
            </w:pPr>
            <w:r>
              <w:rPr>
                <w:sz w:val="22"/>
                <w:szCs w:val="22"/>
              </w:rPr>
              <w:t>5.7</w:t>
            </w:r>
          </w:p>
        </w:tc>
        <w:tc>
          <w:tcPr>
            <w:tcW w:w="1005" w:type="dxa"/>
            <w:vAlign w:val="center"/>
          </w:tcPr>
          <w:p w14:paraId="6C5E0531">
            <w:pPr>
              <w:adjustRightInd w:val="0"/>
              <w:snapToGrid w:val="0"/>
              <w:jc w:val="center"/>
              <w:rPr>
                <w:sz w:val="22"/>
                <w:szCs w:val="22"/>
              </w:rPr>
            </w:pPr>
            <w:r>
              <w:rPr>
                <w:sz w:val="22"/>
                <w:szCs w:val="22"/>
              </w:rPr>
              <w:t>26</w:t>
            </w:r>
          </w:p>
        </w:tc>
        <w:tc>
          <w:tcPr>
            <w:tcW w:w="1850" w:type="dxa"/>
            <w:vAlign w:val="center"/>
          </w:tcPr>
          <w:p w14:paraId="6DFA1EBC">
            <w:pPr>
              <w:adjustRightInd w:val="0"/>
              <w:snapToGrid w:val="0"/>
              <w:jc w:val="center"/>
              <w:rPr>
                <w:sz w:val="22"/>
                <w:szCs w:val="22"/>
              </w:rPr>
            </w:pPr>
            <w:r>
              <w:rPr>
                <w:sz w:val="22"/>
                <w:szCs w:val="22"/>
              </w:rPr>
              <w:t>苯</w:t>
            </w:r>
          </w:p>
        </w:tc>
        <w:tc>
          <w:tcPr>
            <w:tcW w:w="1651" w:type="dxa"/>
            <w:vAlign w:val="center"/>
          </w:tcPr>
          <w:p w14:paraId="2F7A0EE7">
            <w:pPr>
              <w:adjustRightInd w:val="0"/>
              <w:snapToGrid w:val="0"/>
              <w:jc w:val="center"/>
              <w:rPr>
                <w:sz w:val="22"/>
                <w:szCs w:val="22"/>
              </w:rPr>
            </w:pPr>
            <w:r>
              <w:rPr>
                <w:sz w:val="22"/>
                <w:szCs w:val="22"/>
              </w:rPr>
              <w:t>4</w:t>
            </w:r>
          </w:p>
        </w:tc>
      </w:tr>
      <w:tr w14:paraId="025D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5CA4987E">
            <w:pPr>
              <w:adjustRightInd w:val="0"/>
              <w:snapToGrid w:val="0"/>
              <w:jc w:val="center"/>
              <w:rPr>
                <w:sz w:val="22"/>
                <w:szCs w:val="22"/>
              </w:rPr>
            </w:pPr>
            <w:r>
              <w:rPr>
                <w:sz w:val="22"/>
                <w:szCs w:val="22"/>
              </w:rPr>
              <w:t>4</w:t>
            </w:r>
          </w:p>
        </w:tc>
        <w:tc>
          <w:tcPr>
            <w:tcW w:w="1866" w:type="dxa"/>
            <w:vAlign w:val="center"/>
          </w:tcPr>
          <w:p w14:paraId="317AF869">
            <w:pPr>
              <w:jc w:val="center"/>
              <w:rPr>
                <w:sz w:val="22"/>
                <w:szCs w:val="22"/>
              </w:rPr>
            </w:pPr>
            <w:r>
              <w:rPr>
                <w:sz w:val="22"/>
                <w:szCs w:val="22"/>
              </w:rPr>
              <w:t>铜</w:t>
            </w:r>
          </w:p>
        </w:tc>
        <w:tc>
          <w:tcPr>
            <w:tcW w:w="1722" w:type="dxa"/>
            <w:vAlign w:val="center"/>
          </w:tcPr>
          <w:p w14:paraId="5598976E">
            <w:pPr>
              <w:jc w:val="center"/>
              <w:rPr>
                <w:sz w:val="22"/>
                <w:szCs w:val="22"/>
              </w:rPr>
            </w:pPr>
            <w:r>
              <w:rPr>
                <w:sz w:val="22"/>
                <w:szCs w:val="22"/>
              </w:rPr>
              <w:t>18000</w:t>
            </w:r>
          </w:p>
        </w:tc>
        <w:tc>
          <w:tcPr>
            <w:tcW w:w="1005" w:type="dxa"/>
            <w:vAlign w:val="center"/>
          </w:tcPr>
          <w:p w14:paraId="59F63525">
            <w:pPr>
              <w:adjustRightInd w:val="0"/>
              <w:snapToGrid w:val="0"/>
              <w:jc w:val="center"/>
              <w:rPr>
                <w:sz w:val="22"/>
                <w:szCs w:val="22"/>
              </w:rPr>
            </w:pPr>
            <w:r>
              <w:rPr>
                <w:sz w:val="22"/>
                <w:szCs w:val="22"/>
              </w:rPr>
              <w:t>27</w:t>
            </w:r>
          </w:p>
        </w:tc>
        <w:tc>
          <w:tcPr>
            <w:tcW w:w="1850" w:type="dxa"/>
            <w:vAlign w:val="center"/>
          </w:tcPr>
          <w:p w14:paraId="5561B2A5">
            <w:pPr>
              <w:adjustRightInd w:val="0"/>
              <w:snapToGrid w:val="0"/>
              <w:jc w:val="center"/>
              <w:rPr>
                <w:sz w:val="22"/>
                <w:szCs w:val="22"/>
              </w:rPr>
            </w:pPr>
            <w:r>
              <w:rPr>
                <w:sz w:val="22"/>
                <w:szCs w:val="22"/>
              </w:rPr>
              <w:t>氯苯</w:t>
            </w:r>
          </w:p>
        </w:tc>
        <w:tc>
          <w:tcPr>
            <w:tcW w:w="1651" w:type="dxa"/>
            <w:vAlign w:val="center"/>
          </w:tcPr>
          <w:p w14:paraId="200F347E">
            <w:pPr>
              <w:adjustRightInd w:val="0"/>
              <w:snapToGrid w:val="0"/>
              <w:jc w:val="center"/>
              <w:rPr>
                <w:sz w:val="22"/>
                <w:szCs w:val="22"/>
              </w:rPr>
            </w:pPr>
            <w:r>
              <w:rPr>
                <w:sz w:val="22"/>
                <w:szCs w:val="22"/>
              </w:rPr>
              <w:t>270</w:t>
            </w:r>
          </w:p>
        </w:tc>
      </w:tr>
      <w:tr w14:paraId="4C2C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58856C76">
            <w:pPr>
              <w:adjustRightInd w:val="0"/>
              <w:snapToGrid w:val="0"/>
              <w:jc w:val="center"/>
              <w:rPr>
                <w:sz w:val="22"/>
                <w:szCs w:val="22"/>
              </w:rPr>
            </w:pPr>
            <w:r>
              <w:rPr>
                <w:sz w:val="22"/>
                <w:szCs w:val="22"/>
              </w:rPr>
              <w:t>5</w:t>
            </w:r>
          </w:p>
        </w:tc>
        <w:tc>
          <w:tcPr>
            <w:tcW w:w="1866" w:type="dxa"/>
            <w:vAlign w:val="center"/>
          </w:tcPr>
          <w:p w14:paraId="119ED75E">
            <w:pPr>
              <w:jc w:val="center"/>
              <w:rPr>
                <w:sz w:val="22"/>
                <w:szCs w:val="22"/>
              </w:rPr>
            </w:pPr>
            <w:r>
              <w:rPr>
                <w:sz w:val="22"/>
                <w:szCs w:val="22"/>
              </w:rPr>
              <w:t>铅</w:t>
            </w:r>
          </w:p>
        </w:tc>
        <w:tc>
          <w:tcPr>
            <w:tcW w:w="1722" w:type="dxa"/>
            <w:vAlign w:val="center"/>
          </w:tcPr>
          <w:p w14:paraId="15B8FC3B">
            <w:pPr>
              <w:jc w:val="center"/>
              <w:rPr>
                <w:sz w:val="22"/>
                <w:szCs w:val="22"/>
              </w:rPr>
            </w:pPr>
            <w:r>
              <w:rPr>
                <w:sz w:val="22"/>
                <w:szCs w:val="22"/>
              </w:rPr>
              <w:t>800</w:t>
            </w:r>
          </w:p>
        </w:tc>
        <w:tc>
          <w:tcPr>
            <w:tcW w:w="1005" w:type="dxa"/>
            <w:vAlign w:val="center"/>
          </w:tcPr>
          <w:p w14:paraId="74B1170E">
            <w:pPr>
              <w:adjustRightInd w:val="0"/>
              <w:snapToGrid w:val="0"/>
              <w:jc w:val="center"/>
              <w:rPr>
                <w:sz w:val="22"/>
                <w:szCs w:val="22"/>
              </w:rPr>
            </w:pPr>
            <w:r>
              <w:rPr>
                <w:sz w:val="22"/>
                <w:szCs w:val="22"/>
              </w:rPr>
              <w:t>28</w:t>
            </w:r>
          </w:p>
        </w:tc>
        <w:tc>
          <w:tcPr>
            <w:tcW w:w="1850" w:type="dxa"/>
            <w:vAlign w:val="center"/>
          </w:tcPr>
          <w:p w14:paraId="48CE7A0F">
            <w:pPr>
              <w:adjustRightInd w:val="0"/>
              <w:snapToGrid w:val="0"/>
              <w:jc w:val="center"/>
              <w:rPr>
                <w:sz w:val="22"/>
                <w:szCs w:val="22"/>
              </w:rPr>
            </w:pPr>
            <w:r>
              <w:rPr>
                <w:sz w:val="22"/>
                <w:szCs w:val="22"/>
              </w:rPr>
              <w:t>1,2-二氯苯</w:t>
            </w:r>
          </w:p>
        </w:tc>
        <w:tc>
          <w:tcPr>
            <w:tcW w:w="1651" w:type="dxa"/>
            <w:vAlign w:val="center"/>
          </w:tcPr>
          <w:p w14:paraId="342D6299">
            <w:pPr>
              <w:adjustRightInd w:val="0"/>
              <w:snapToGrid w:val="0"/>
              <w:jc w:val="center"/>
              <w:rPr>
                <w:sz w:val="22"/>
                <w:szCs w:val="22"/>
              </w:rPr>
            </w:pPr>
            <w:r>
              <w:rPr>
                <w:sz w:val="22"/>
                <w:szCs w:val="22"/>
              </w:rPr>
              <w:t>560</w:t>
            </w:r>
          </w:p>
        </w:tc>
      </w:tr>
      <w:tr w14:paraId="2653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5C0170A8">
            <w:pPr>
              <w:adjustRightInd w:val="0"/>
              <w:snapToGrid w:val="0"/>
              <w:jc w:val="center"/>
              <w:rPr>
                <w:sz w:val="22"/>
                <w:szCs w:val="22"/>
              </w:rPr>
            </w:pPr>
            <w:r>
              <w:rPr>
                <w:sz w:val="22"/>
                <w:szCs w:val="22"/>
              </w:rPr>
              <w:t>6</w:t>
            </w:r>
          </w:p>
        </w:tc>
        <w:tc>
          <w:tcPr>
            <w:tcW w:w="1866" w:type="dxa"/>
            <w:vAlign w:val="center"/>
          </w:tcPr>
          <w:p w14:paraId="3E4BCC86">
            <w:pPr>
              <w:jc w:val="center"/>
              <w:rPr>
                <w:sz w:val="22"/>
                <w:szCs w:val="22"/>
              </w:rPr>
            </w:pPr>
            <w:r>
              <w:rPr>
                <w:sz w:val="22"/>
                <w:szCs w:val="22"/>
              </w:rPr>
              <w:t>汞</w:t>
            </w:r>
          </w:p>
        </w:tc>
        <w:tc>
          <w:tcPr>
            <w:tcW w:w="1722" w:type="dxa"/>
            <w:vAlign w:val="center"/>
          </w:tcPr>
          <w:p w14:paraId="7CF2154E">
            <w:pPr>
              <w:jc w:val="center"/>
              <w:rPr>
                <w:sz w:val="22"/>
                <w:szCs w:val="22"/>
              </w:rPr>
            </w:pPr>
            <w:r>
              <w:rPr>
                <w:sz w:val="22"/>
                <w:szCs w:val="22"/>
              </w:rPr>
              <w:t>38</w:t>
            </w:r>
          </w:p>
        </w:tc>
        <w:tc>
          <w:tcPr>
            <w:tcW w:w="1005" w:type="dxa"/>
            <w:vAlign w:val="center"/>
          </w:tcPr>
          <w:p w14:paraId="6E284F5D">
            <w:pPr>
              <w:adjustRightInd w:val="0"/>
              <w:snapToGrid w:val="0"/>
              <w:jc w:val="center"/>
              <w:rPr>
                <w:sz w:val="22"/>
                <w:szCs w:val="22"/>
              </w:rPr>
            </w:pPr>
            <w:r>
              <w:rPr>
                <w:sz w:val="22"/>
                <w:szCs w:val="22"/>
              </w:rPr>
              <w:t>29</w:t>
            </w:r>
          </w:p>
        </w:tc>
        <w:tc>
          <w:tcPr>
            <w:tcW w:w="1850" w:type="dxa"/>
            <w:vAlign w:val="center"/>
          </w:tcPr>
          <w:p w14:paraId="1B7990B5">
            <w:pPr>
              <w:adjustRightInd w:val="0"/>
              <w:snapToGrid w:val="0"/>
              <w:jc w:val="center"/>
              <w:rPr>
                <w:sz w:val="22"/>
                <w:szCs w:val="22"/>
              </w:rPr>
            </w:pPr>
            <w:r>
              <w:rPr>
                <w:sz w:val="22"/>
                <w:szCs w:val="22"/>
              </w:rPr>
              <w:t>1,4-二氯苯</w:t>
            </w:r>
          </w:p>
        </w:tc>
        <w:tc>
          <w:tcPr>
            <w:tcW w:w="1651" w:type="dxa"/>
            <w:vAlign w:val="center"/>
          </w:tcPr>
          <w:p w14:paraId="21B13537">
            <w:pPr>
              <w:adjustRightInd w:val="0"/>
              <w:snapToGrid w:val="0"/>
              <w:jc w:val="center"/>
              <w:rPr>
                <w:sz w:val="22"/>
                <w:szCs w:val="22"/>
              </w:rPr>
            </w:pPr>
            <w:r>
              <w:rPr>
                <w:sz w:val="22"/>
                <w:szCs w:val="22"/>
              </w:rPr>
              <w:t>20</w:t>
            </w:r>
          </w:p>
        </w:tc>
      </w:tr>
      <w:tr w14:paraId="4FC90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62F40AF5">
            <w:pPr>
              <w:adjustRightInd w:val="0"/>
              <w:snapToGrid w:val="0"/>
              <w:jc w:val="center"/>
              <w:rPr>
                <w:sz w:val="22"/>
                <w:szCs w:val="22"/>
              </w:rPr>
            </w:pPr>
            <w:r>
              <w:rPr>
                <w:sz w:val="22"/>
                <w:szCs w:val="22"/>
              </w:rPr>
              <w:t>7</w:t>
            </w:r>
          </w:p>
        </w:tc>
        <w:tc>
          <w:tcPr>
            <w:tcW w:w="1866" w:type="dxa"/>
            <w:vAlign w:val="center"/>
          </w:tcPr>
          <w:p w14:paraId="4755346B">
            <w:pPr>
              <w:jc w:val="center"/>
              <w:rPr>
                <w:sz w:val="22"/>
                <w:szCs w:val="22"/>
              </w:rPr>
            </w:pPr>
            <w:r>
              <w:rPr>
                <w:sz w:val="22"/>
                <w:szCs w:val="22"/>
              </w:rPr>
              <w:t>镍</w:t>
            </w:r>
          </w:p>
        </w:tc>
        <w:tc>
          <w:tcPr>
            <w:tcW w:w="1722" w:type="dxa"/>
            <w:vAlign w:val="center"/>
          </w:tcPr>
          <w:p w14:paraId="2AC8B76D">
            <w:pPr>
              <w:jc w:val="center"/>
              <w:rPr>
                <w:sz w:val="22"/>
                <w:szCs w:val="22"/>
              </w:rPr>
            </w:pPr>
            <w:r>
              <w:rPr>
                <w:sz w:val="22"/>
                <w:szCs w:val="22"/>
              </w:rPr>
              <w:t>900</w:t>
            </w:r>
          </w:p>
        </w:tc>
        <w:tc>
          <w:tcPr>
            <w:tcW w:w="1005" w:type="dxa"/>
            <w:vAlign w:val="center"/>
          </w:tcPr>
          <w:p w14:paraId="7131A02B">
            <w:pPr>
              <w:adjustRightInd w:val="0"/>
              <w:snapToGrid w:val="0"/>
              <w:jc w:val="center"/>
              <w:rPr>
                <w:sz w:val="22"/>
                <w:szCs w:val="22"/>
              </w:rPr>
            </w:pPr>
            <w:r>
              <w:rPr>
                <w:sz w:val="22"/>
                <w:szCs w:val="22"/>
              </w:rPr>
              <w:t>30</w:t>
            </w:r>
          </w:p>
        </w:tc>
        <w:tc>
          <w:tcPr>
            <w:tcW w:w="1850" w:type="dxa"/>
            <w:vAlign w:val="center"/>
          </w:tcPr>
          <w:p w14:paraId="17DA8E14">
            <w:pPr>
              <w:adjustRightInd w:val="0"/>
              <w:snapToGrid w:val="0"/>
              <w:jc w:val="center"/>
              <w:rPr>
                <w:sz w:val="22"/>
                <w:szCs w:val="22"/>
              </w:rPr>
            </w:pPr>
            <w:r>
              <w:rPr>
                <w:sz w:val="22"/>
                <w:szCs w:val="22"/>
              </w:rPr>
              <w:t>乙苯</w:t>
            </w:r>
          </w:p>
        </w:tc>
        <w:tc>
          <w:tcPr>
            <w:tcW w:w="1651" w:type="dxa"/>
            <w:vAlign w:val="center"/>
          </w:tcPr>
          <w:p w14:paraId="368963DE">
            <w:pPr>
              <w:adjustRightInd w:val="0"/>
              <w:snapToGrid w:val="0"/>
              <w:jc w:val="center"/>
              <w:rPr>
                <w:sz w:val="22"/>
                <w:szCs w:val="22"/>
              </w:rPr>
            </w:pPr>
            <w:r>
              <w:rPr>
                <w:sz w:val="22"/>
                <w:szCs w:val="22"/>
              </w:rPr>
              <w:t>28</w:t>
            </w:r>
          </w:p>
        </w:tc>
      </w:tr>
      <w:tr w14:paraId="5C6E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6DA6AC79">
            <w:pPr>
              <w:adjustRightInd w:val="0"/>
              <w:snapToGrid w:val="0"/>
              <w:jc w:val="center"/>
              <w:rPr>
                <w:sz w:val="22"/>
                <w:szCs w:val="22"/>
              </w:rPr>
            </w:pPr>
            <w:r>
              <w:rPr>
                <w:sz w:val="22"/>
                <w:szCs w:val="22"/>
              </w:rPr>
              <w:t>8</w:t>
            </w:r>
          </w:p>
        </w:tc>
        <w:tc>
          <w:tcPr>
            <w:tcW w:w="1866" w:type="dxa"/>
            <w:vAlign w:val="center"/>
          </w:tcPr>
          <w:p w14:paraId="2E3380B7">
            <w:pPr>
              <w:adjustRightInd w:val="0"/>
              <w:snapToGrid w:val="0"/>
              <w:jc w:val="center"/>
              <w:rPr>
                <w:sz w:val="22"/>
                <w:szCs w:val="22"/>
              </w:rPr>
            </w:pPr>
            <w:r>
              <w:rPr>
                <w:sz w:val="22"/>
                <w:szCs w:val="22"/>
              </w:rPr>
              <w:t>四氯化碳</w:t>
            </w:r>
          </w:p>
        </w:tc>
        <w:tc>
          <w:tcPr>
            <w:tcW w:w="1722" w:type="dxa"/>
            <w:vAlign w:val="center"/>
          </w:tcPr>
          <w:p w14:paraId="08DDAF8C">
            <w:pPr>
              <w:adjustRightInd w:val="0"/>
              <w:snapToGrid w:val="0"/>
              <w:jc w:val="center"/>
              <w:rPr>
                <w:sz w:val="22"/>
                <w:szCs w:val="22"/>
              </w:rPr>
            </w:pPr>
            <w:r>
              <w:rPr>
                <w:sz w:val="22"/>
                <w:szCs w:val="22"/>
              </w:rPr>
              <w:t>2.8</w:t>
            </w:r>
          </w:p>
        </w:tc>
        <w:tc>
          <w:tcPr>
            <w:tcW w:w="1005" w:type="dxa"/>
            <w:vAlign w:val="center"/>
          </w:tcPr>
          <w:p w14:paraId="3BA430C7">
            <w:pPr>
              <w:adjustRightInd w:val="0"/>
              <w:snapToGrid w:val="0"/>
              <w:jc w:val="center"/>
              <w:rPr>
                <w:sz w:val="22"/>
                <w:szCs w:val="22"/>
              </w:rPr>
            </w:pPr>
            <w:r>
              <w:rPr>
                <w:sz w:val="22"/>
                <w:szCs w:val="22"/>
              </w:rPr>
              <w:t>31</w:t>
            </w:r>
          </w:p>
        </w:tc>
        <w:tc>
          <w:tcPr>
            <w:tcW w:w="1850" w:type="dxa"/>
            <w:vAlign w:val="center"/>
          </w:tcPr>
          <w:p w14:paraId="24F00E7F">
            <w:pPr>
              <w:adjustRightInd w:val="0"/>
              <w:snapToGrid w:val="0"/>
              <w:jc w:val="center"/>
              <w:rPr>
                <w:sz w:val="22"/>
                <w:szCs w:val="22"/>
              </w:rPr>
            </w:pPr>
            <w:r>
              <w:rPr>
                <w:sz w:val="22"/>
                <w:szCs w:val="22"/>
              </w:rPr>
              <w:t>苯乙烯</w:t>
            </w:r>
          </w:p>
        </w:tc>
        <w:tc>
          <w:tcPr>
            <w:tcW w:w="1651" w:type="dxa"/>
            <w:vAlign w:val="center"/>
          </w:tcPr>
          <w:p w14:paraId="2868ED90">
            <w:pPr>
              <w:adjustRightInd w:val="0"/>
              <w:snapToGrid w:val="0"/>
              <w:jc w:val="center"/>
              <w:rPr>
                <w:sz w:val="22"/>
                <w:szCs w:val="22"/>
              </w:rPr>
            </w:pPr>
            <w:r>
              <w:rPr>
                <w:sz w:val="22"/>
                <w:szCs w:val="22"/>
              </w:rPr>
              <w:t>1290</w:t>
            </w:r>
          </w:p>
        </w:tc>
      </w:tr>
      <w:tr w14:paraId="2AC2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149D535D">
            <w:pPr>
              <w:adjustRightInd w:val="0"/>
              <w:snapToGrid w:val="0"/>
              <w:jc w:val="center"/>
              <w:rPr>
                <w:sz w:val="22"/>
                <w:szCs w:val="22"/>
              </w:rPr>
            </w:pPr>
            <w:r>
              <w:rPr>
                <w:sz w:val="22"/>
                <w:szCs w:val="22"/>
              </w:rPr>
              <w:t>9</w:t>
            </w:r>
          </w:p>
        </w:tc>
        <w:tc>
          <w:tcPr>
            <w:tcW w:w="1866" w:type="dxa"/>
            <w:vAlign w:val="center"/>
          </w:tcPr>
          <w:p w14:paraId="7293D74C">
            <w:pPr>
              <w:adjustRightInd w:val="0"/>
              <w:snapToGrid w:val="0"/>
              <w:jc w:val="center"/>
              <w:rPr>
                <w:sz w:val="22"/>
                <w:szCs w:val="22"/>
              </w:rPr>
            </w:pPr>
            <w:r>
              <w:rPr>
                <w:sz w:val="22"/>
                <w:szCs w:val="22"/>
              </w:rPr>
              <w:t>氯仿</w:t>
            </w:r>
          </w:p>
        </w:tc>
        <w:tc>
          <w:tcPr>
            <w:tcW w:w="1722" w:type="dxa"/>
            <w:vAlign w:val="center"/>
          </w:tcPr>
          <w:p w14:paraId="2CB76783">
            <w:pPr>
              <w:adjustRightInd w:val="0"/>
              <w:snapToGrid w:val="0"/>
              <w:jc w:val="center"/>
              <w:rPr>
                <w:sz w:val="22"/>
                <w:szCs w:val="22"/>
              </w:rPr>
            </w:pPr>
            <w:r>
              <w:rPr>
                <w:sz w:val="22"/>
                <w:szCs w:val="22"/>
              </w:rPr>
              <w:t>0.9</w:t>
            </w:r>
          </w:p>
        </w:tc>
        <w:tc>
          <w:tcPr>
            <w:tcW w:w="1005" w:type="dxa"/>
            <w:vAlign w:val="center"/>
          </w:tcPr>
          <w:p w14:paraId="130ACB75">
            <w:pPr>
              <w:adjustRightInd w:val="0"/>
              <w:snapToGrid w:val="0"/>
              <w:jc w:val="center"/>
              <w:rPr>
                <w:sz w:val="22"/>
                <w:szCs w:val="22"/>
              </w:rPr>
            </w:pPr>
            <w:r>
              <w:rPr>
                <w:sz w:val="22"/>
                <w:szCs w:val="22"/>
              </w:rPr>
              <w:t>32</w:t>
            </w:r>
          </w:p>
        </w:tc>
        <w:tc>
          <w:tcPr>
            <w:tcW w:w="1850" w:type="dxa"/>
            <w:vAlign w:val="center"/>
          </w:tcPr>
          <w:p w14:paraId="202C0A31">
            <w:pPr>
              <w:adjustRightInd w:val="0"/>
              <w:snapToGrid w:val="0"/>
              <w:jc w:val="center"/>
              <w:rPr>
                <w:sz w:val="22"/>
                <w:szCs w:val="22"/>
              </w:rPr>
            </w:pPr>
            <w:r>
              <w:rPr>
                <w:sz w:val="22"/>
                <w:szCs w:val="22"/>
              </w:rPr>
              <w:t>甲苯</w:t>
            </w:r>
          </w:p>
        </w:tc>
        <w:tc>
          <w:tcPr>
            <w:tcW w:w="1651" w:type="dxa"/>
            <w:vAlign w:val="center"/>
          </w:tcPr>
          <w:p w14:paraId="548FC69A">
            <w:pPr>
              <w:adjustRightInd w:val="0"/>
              <w:snapToGrid w:val="0"/>
              <w:jc w:val="center"/>
              <w:rPr>
                <w:sz w:val="22"/>
                <w:szCs w:val="22"/>
              </w:rPr>
            </w:pPr>
            <w:r>
              <w:rPr>
                <w:sz w:val="22"/>
                <w:szCs w:val="22"/>
              </w:rPr>
              <w:t>1200</w:t>
            </w:r>
          </w:p>
        </w:tc>
      </w:tr>
      <w:tr w14:paraId="57F1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1181D3AB">
            <w:pPr>
              <w:adjustRightInd w:val="0"/>
              <w:snapToGrid w:val="0"/>
              <w:jc w:val="center"/>
              <w:rPr>
                <w:sz w:val="22"/>
                <w:szCs w:val="22"/>
              </w:rPr>
            </w:pPr>
            <w:r>
              <w:rPr>
                <w:sz w:val="22"/>
                <w:szCs w:val="22"/>
              </w:rPr>
              <w:t>10</w:t>
            </w:r>
          </w:p>
        </w:tc>
        <w:tc>
          <w:tcPr>
            <w:tcW w:w="1866" w:type="dxa"/>
            <w:vAlign w:val="center"/>
          </w:tcPr>
          <w:p w14:paraId="3CA1FA86">
            <w:pPr>
              <w:adjustRightInd w:val="0"/>
              <w:snapToGrid w:val="0"/>
              <w:jc w:val="center"/>
              <w:rPr>
                <w:sz w:val="22"/>
                <w:szCs w:val="22"/>
              </w:rPr>
            </w:pPr>
            <w:r>
              <w:rPr>
                <w:sz w:val="22"/>
                <w:szCs w:val="22"/>
              </w:rPr>
              <w:t>氯甲烷</w:t>
            </w:r>
          </w:p>
        </w:tc>
        <w:tc>
          <w:tcPr>
            <w:tcW w:w="1722" w:type="dxa"/>
            <w:vAlign w:val="center"/>
          </w:tcPr>
          <w:p w14:paraId="2D14B162">
            <w:pPr>
              <w:adjustRightInd w:val="0"/>
              <w:snapToGrid w:val="0"/>
              <w:jc w:val="center"/>
              <w:rPr>
                <w:sz w:val="22"/>
                <w:szCs w:val="22"/>
              </w:rPr>
            </w:pPr>
            <w:r>
              <w:rPr>
                <w:sz w:val="22"/>
                <w:szCs w:val="22"/>
              </w:rPr>
              <w:t>37</w:t>
            </w:r>
          </w:p>
        </w:tc>
        <w:tc>
          <w:tcPr>
            <w:tcW w:w="1005" w:type="dxa"/>
            <w:vAlign w:val="center"/>
          </w:tcPr>
          <w:p w14:paraId="0DE5DA1E">
            <w:pPr>
              <w:adjustRightInd w:val="0"/>
              <w:snapToGrid w:val="0"/>
              <w:jc w:val="center"/>
              <w:rPr>
                <w:sz w:val="22"/>
                <w:szCs w:val="22"/>
              </w:rPr>
            </w:pPr>
            <w:r>
              <w:rPr>
                <w:sz w:val="22"/>
                <w:szCs w:val="22"/>
              </w:rPr>
              <w:t>33</w:t>
            </w:r>
          </w:p>
        </w:tc>
        <w:tc>
          <w:tcPr>
            <w:tcW w:w="1850" w:type="dxa"/>
            <w:vAlign w:val="center"/>
          </w:tcPr>
          <w:p w14:paraId="45ED5863">
            <w:pPr>
              <w:adjustRightInd w:val="0"/>
              <w:snapToGrid w:val="0"/>
              <w:jc w:val="center"/>
              <w:rPr>
                <w:sz w:val="22"/>
                <w:szCs w:val="22"/>
              </w:rPr>
            </w:pPr>
            <w:r>
              <w:rPr>
                <w:sz w:val="22"/>
                <w:szCs w:val="22"/>
              </w:rPr>
              <w:t>间二甲苯+对二甲苯</w:t>
            </w:r>
          </w:p>
        </w:tc>
        <w:tc>
          <w:tcPr>
            <w:tcW w:w="1651" w:type="dxa"/>
            <w:vAlign w:val="center"/>
          </w:tcPr>
          <w:p w14:paraId="3D649D3D">
            <w:pPr>
              <w:adjustRightInd w:val="0"/>
              <w:snapToGrid w:val="0"/>
              <w:jc w:val="center"/>
              <w:rPr>
                <w:sz w:val="22"/>
                <w:szCs w:val="22"/>
              </w:rPr>
            </w:pPr>
            <w:r>
              <w:rPr>
                <w:sz w:val="22"/>
                <w:szCs w:val="22"/>
              </w:rPr>
              <w:t>570</w:t>
            </w:r>
          </w:p>
        </w:tc>
      </w:tr>
      <w:tr w14:paraId="55618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55A91108">
            <w:pPr>
              <w:adjustRightInd w:val="0"/>
              <w:snapToGrid w:val="0"/>
              <w:jc w:val="center"/>
              <w:rPr>
                <w:sz w:val="22"/>
                <w:szCs w:val="22"/>
              </w:rPr>
            </w:pPr>
            <w:r>
              <w:rPr>
                <w:sz w:val="22"/>
                <w:szCs w:val="22"/>
              </w:rPr>
              <w:t>11</w:t>
            </w:r>
          </w:p>
        </w:tc>
        <w:tc>
          <w:tcPr>
            <w:tcW w:w="1866" w:type="dxa"/>
            <w:vAlign w:val="center"/>
          </w:tcPr>
          <w:p w14:paraId="51FF4608">
            <w:pPr>
              <w:adjustRightInd w:val="0"/>
              <w:snapToGrid w:val="0"/>
              <w:jc w:val="center"/>
              <w:rPr>
                <w:sz w:val="22"/>
                <w:szCs w:val="22"/>
              </w:rPr>
            </w:pPr>
            <w:r>
              <w:rPr>
                <w:sz w:val="22"/>
                <w:szCs w:val="22"/>
              </w:rPr>
              <w:t>1,1-二氯乙烷</w:t>
            </w:r>
          </w:p>
        </w:tc>
        <w:tc>
          <w:tcPr>
            <w:tcW w:w="1722" w:type="dxa"/>
            <w:vAlign w:val="center"/>
          </w:tcPr>
          <w:p w14:paraId="492E90D9">
            <w:pPr>
              <w:adjustRightInd w:val="0"/>
              <w:snapToGrid w:val="0"/>
              <w:jc w:val="center"/>
              <w:rPr>
                <w:sz w:val="22"/>
                <w:szCs w:val="22"/>
              </w:rPr>
            </w:pPr>
            <w:r>
              <w:rPr>
                <w:sz w:val="22"/>
                <w:szCs w:val="22"/>
              </w:rPr>
              <w:t>9</w:t>
            </w:r>
          </w:p>
        </w:tc>
        <w:tc>
          <w:tcPr>
            <w:tcW w:w="1005" w:type="dxa"/>
            <w:vAlign w:val="center"/>
          </w:tcPr>
          <w:p w14:paraId="1A77BCE9">
            <w:pPr>
              <w:adjustRightInd w:val="0"/>
              <w:snapToGrid w:val="0"/>
              <w:jc w:val="center"/>
              <w:rPr>
                <w:sz w:val="22"/>
                <w:szCs w:val="22"/>
              </w:rPr>
            </w:pPr>
            <w:r>
              <w:rPr>
                <w:sz w:val="22"/>
                <w:szCs w:val="22"/>
              </w:rPr>
              <w:t>34</w:t>
            </w:r>
          </w:p>
        </w:tc>
        <w:tc>
          <w:tcPr>
            <w:tcW w:w="1850" w:type="dxa"/>
            <w:vAlign w:val="center"/>
          </w:tcPr>
          <w:p w14:paraId="7E96F595">
            <w:pPr>
              <w:adjustRightInd w:val="0"/>
              <w:snapToGrid w:val="0"/>
              <w:jc w:val="center"/>
              <w:rPr>
                <w:sz w:val="22"/>
                <w:szCs w:val="22"/>
              </w:rPr>
            </w:pPr>
            <w:r>
              <w:rPr>
                <w:sz w:val="22"/>
                <w:szCs w:val="22"/>
              </w:rPr>
              <w:t>邻二甲苯</w:t>
            </w:r>
          </w:p>
        </w:tc>
        <w:tc>
          <w:tcPr>
            <w:tcW w:w="1651" w:type="dxa"/>
            <w:vAlign w:val="center"/>
          </w:tcPr>
          <w:p w14:paraId="00584527">
            <w:pPr>
              <w:adjustRightInd w:val="0"/>
              <w:snapToGrid w:val="0"/>
              <w:jc w:val="center"/>
              <w:rPr>
                <w:sz w:val="22"/>
                <w:szCs w:val="22"/>
              </w:rPr>
            </w:pPr>
            <w:r>
              <w:rPr>
                <w:sz w:val="22"/>
                <w:szCs w:val="22"/>
              </w:rPr>
              <w:t>640</w:t>
            </w:r>
          </w:p>
        </w:tc>
      </w:tr>
      <w:tr w14:paraId="2C85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1A33D51B">
            <w:pPr>
              <w:adjustRightInd w:val="0"/>
              <w:snapToGrid w:val="0"/>
              <w:jc w:val="center"/>
              <w:rPr>
                <w:sz w:val="22"/>
                <w:szCs w:val="22"/>
              </w:rPr>
            </w:pPr>
            <w:r>
              <w:rPr>
                <w:sz w:val="22"/>
                <w:szCs w:val="22"/>
              </w:rPr>
              <w:t>12</w:t>
            </w:r>
          </w:p>
        </w:tc>
        <w:tc>
          <w:tcPr>
            <w:tcW w:w="1866" w:type="dxa"/>
            <w:vAlign w:val="center"/>
          </w:tcPr>
          <w:p w14:paraId="51831ABD">
            <w:pPr>
              <w:adjustRightInd w:val="0"/>
              <w:snapToGrid w:val="0"/>
              <w:jc w:val="center"/>
              <w:rPr>
                <w:sz w:val="22"/>
                <w:szCs w:val="22"/>
              </w:rPr>
            </w:pPr>
            <w:r>
              <w:rPr>
                <w:sz w:val="22"/>
                <w:szCs w:val="22"/>
              </w:rPr>
              <w:t>1,2-二氯乙烷</w:t>
            </w:r>
          </w:p>
        </w:tc>
        <w:tc>
          <w:tcPr>
            <w:tcW w:w="1722" w:type="dxa"/>
            <w:vAlign w:val="center"/>
          </w:tcPr>
          <w:p w14:paraId="2DA5ABC3">
            <w:pPr>
              <w:adjustRightInd w:val="0"/>
              <w:snapToGrid w:val="0"/>
              <w:jc w:val="center"/>
              <w:rPr>
                <w:sz w:val="22"/>
                <w:szCs w:val="22"/>
              </w:rPr>
            </w:pPr>
            <w:r>
              <w:rPr>
                <w:sz w:val="22"/>
                <w:szCs w:val="22"/>
              </w:rPr>
              <w:t>5</w:t>
            </w:r>
          </w:p>
        </w:tc>
        <w:tc>
          <w:tcPr>
            <w:tcW w:w="1005" w:type="dxa"/>
            <w:vAlign w:val="center"/>
          </w:tcPr>
          <w:p w14:paraId="47BB2F48">
            <w:pPr>
              <w:adjustRightInd w:val="0"/>
              <w:snapToGrid w:val="0"/>
              <w:jc w:val="center"/>
              <w:rPr>
                <w:sz w:val="22"/>
                <w:szCs w:val="22"/>
              </w:rPr>
            </w:pPr>
            <w:r>
              <w:rPr>
                <w:sz w:val="22"/>
                <w:szCs w:val="22"/>
              </w:rPr>
              <w:t>35</w:t>
            </w:r>
          </w:p>
        </w:tc>
        <w:tc>
          <w:tcPr>
            <w:tcW w:w="1850" w:type="dxa"/>
            <w:vAlign w:val="center"/>
          </w:tcPr>
          <w:p w14:paraId="7311B605">
            <w:pPr>
              <w:adjustRightInd w:val="0"/>
              <w:snapToGrid w:val="0"/>
              <w:jc w:val="center"/>
              <w:rPr>
                <w:sz w:val="22"/>
                <w:szCs w:val="22"/>
              </w:rPr>
            </w:pPr>
            <w:r>
              <w:rPr>
                <w:sz w:val="22"/>
                <w:szCs w:val="22"/>
              </w:rPr>
              <w:t>硝基苯</w:t>
            </w:r>
          </w:p>
        </w:tc>
        <w:tc>
          <w:tcPr>
            <w:tcW w:w="1651" w:type="dxa"/>
            <w:vAlign w:val="center"/>
          </w:tcPr>
          <w:p w14:paraId="0980C7FE">
            <w:pPr>
              <w:adjustRightInd w:val="0"/>
              <w:snapToGrid w:val="0"/>
              <w:jc w:val="center"/>
              <w:rPr>
                <w:sz w:val="22"/>
                <w:szCs w:val="22"/>
              </w:rPr>
            </w:pPr>
            <w:r>
              <w:rPr>
                <w:sz w:val="22"/>
                <w:szCs w:val="22"/>
              </w:rPr>
              <w:t>76</w:t>
            </w:r>
          </w:p>
        </w:tc>
      </w:tr>
      <w:tr w14:paraId="3E87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09CCD3D2">
            <w:pPr>
              <w:adjustRightInd w:val="0"/>
              <w:snapToGrid w:val="0"/>
              <w:jc w:val="center"/>
              <w:rPr>
                <w:sz w:val="22"/>
                <w:szCs w:val="22"/>
              </w:rPr>
            </w:pPr>
            <w:r>
              <w:rPr>
                <w:sz w:val="22"/>
                <w:szCs w:val="22"/>
              </w:rPr>
              <w:t>13</w:t>
            </w:r>
          </w:p>
        </w:tc>
        <w:tc>
          <w:tcPr>
            <w:tcW w:w="1866" w:type="dxa"/>
            <w:vAlign w:val="center"/>
          </w:tcPr>
          <w:p w14:paraId="11E6C7FA">
            <w:pPr>
              <w:adjustRightInd w:val="0"/>
              <w:snapToGrid w:val="0"/>
              <w:jc w:val="center"/>
              <w:rPr>
                <w:sz w:val="22"/>
                <w:szCs w:val="22"/>
              </w:rPr>
            </w:pPr>
            <w:r>
              <w:rPr>
                <w:sz w:val="22"/>
                <w:szCs w:val="22"/>
              </w:rPr>
              <w:t>1,1-二氯乙烯</w:t>
            </w:r>
          </w:p>
        </w:tc>
        <w:tc>
          <w:tcPr>
            <w:tcW w:w="1722" w:type="dxa"/>
            <w:vAlign w:val="center"/>
          </w:tcPr>
          <w:p w14:paraId="5D928D7F">
            <w:pPr>
              <w:adjustRightInd w:val="0"/>
              <w:snapToGrid w:val="0"/>
              <w:jc w:val="center"/>
              <w:rPr>
                <w:sz w:val="22"/>
                <w:szCs w:val="22"/>
              </w:rPr>
            </w:pPr>
            <w:r>
              <w:rPr>
                <w:sz w:val="22"/>
                <w:szCs w:val="22"/>
              </w:rPr>
              <w:t>66</w:t>
            </w:r>
          </w:p>
        </w:tc>
        <w:tc>
          <w:tcPr>
            <w:tcW w:w="1005" w:type="dxa"/>
            <w:vAlign w:val="center"/>
          </w:tcPr>
          <w:p w14:paraId="5A4B2C82">
            <w:pPr>
              <w:adjustRightInd w:val="0"/>
              <w:snapToGrid w:val="0"/>
              <w:jc w:val="center"/>
              <w:rPr>
                <w:sz w:val="22"/>
                <w:szCs w:val="22"/>
              </w:rPr>
            </w:pPr>
            <w:r>
              <w:rPr>
                <w:sz w:val="22"/>
                <w:szCs w:val="22"/>
              </w:rPr>
              <w:t>36</w:t>
            </w:r>
          </w:p>
        </w:tc>
        <w:tc>
          <w:tcPr>
            <w:tcW w:w="1850" w:type="dxa"/>
            <w:vAlign w:val="center"/>
          </w:tcPr>
          <w:p w14:paraId="10F75C3C">
            <w:pPr>
              <w:adjustRightInd w:val="0"/>
              <w:snapToGrid w:val="0"/>
              <w:jc w:val="center"/>
              <w:rPr>
                <w:sz w:val="22"/>
                <w:szCs w:val="22"/>
              </w:rPr>
            </w:pPr>
            <w:r>
              <w:rPr>
                <w:sz w:val="22"/>
                <w:szCs w:val="22"/>
              </w:rPr>
              <w:t>苯胺</w:t>
            </w:r>
          </w:p>
        </w:tc>
        <w:tc>
          <w:tcPr>
            <w:tcW w:w="1651" w:type="dxa"/>
            <w:vAlign w:val="center"/>
          </w:tcPr>
          <w:p w14:paraId="7C9A1793">
            <w:pPr>
              <w:adjustRightInd w:val="0"/>
              <w:snapToGrid w:val="0"/>
              <w:jc w:val="center"/>
              <w:rPr>
                <w:sz w:val="22"/>
                <w:szCs w:val="22"/>
              </w:rPr>
            </w:pPr>
            <w:r>
              <w:rPr>
                <w:sz w:val="22"/>
                <w:szCs w:val="22"/>
              </w:rPr>
              <w:t>260</w:t>
            </w:r>
          </w:p>
        </w:tc>
      </w:tr>
      <w:tr w14:paraId="3595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6AC4C74B">
            <w:pPr>
              <w:adjustRightInd w:val="0"/>
              <w:snapToGrid w:val="0"/>
              <w:jc w:val="center"/>
              <w:rPr>
                <w:sz w:val="22"/>
                <w:szCs w:val="22"/>
              </w:rPr>
            </w:pPr>
            <w:r>
              <w:rPr>
                <w:sz w:val="22"/>
                <w:szCs w:val="22"/>
              </w:rPr>
              <w:t>14</w:t>
            </w:r>
          </w:p>
        </w:tc>
        <w:tc>
          <w:tcPr>
            <w:tcW w:w="1866" w:type="dxa"/>
            <w:vAlign w:val="center"/>
          </w:tcPr>
          <w:p w14:paraId="1A1E6E4D">
            <w:pPr>
              <w:adjustRightInd w:val="0"/>
              <w:snapToGrid w:val="0"/>
              <w:jc w:val="center"/>
              <w:rPr>
                <w:sz w:val="22"/>
                <w:szCs w:val="22"/>
              </w:rPr>
            </w:pPr>
            <w:r>
              <w:rPr>
                <w:sz w:val="22"/>
                <w:szCs w:val="22"/>
              </w:rPr>
              <w:t>顺-1,2-二氯乙烯</w:t>
            </w:r>
          </w:p>
        </w:tc>
        <w:tc>
          <w:tcPr>
            <w:tcW w:w="1722" w:type="dxa"/>
            <w:vAlign w:val="center"/>
          </w:tcPr>
          <w:p w14:paraId="1C7A4296">
            <w:pPr>
              <w:adjustRightInd w:val="0"/>
              <w:snapToGrid w:val="0"/>
              <w:jc w:val="center"/>
              <w:rPr>
                <w:sz w:val="22"/>
                <w:szCs w:val="22"/>
              </w:rPr>
            </w:pPr>
            <w:r>
              <w:rPr>
                <w:sz w:val="22"/>
                <w:szCs w:val="22"/>
              </w:rPr>
              <w:t>596</w:t>
            </w:r>
          </w:p>
        </w:tc>
        <w:tc>
          <w:tcPr>
            <w:tcW w:w="1005" w:type="dxa"/>
            <w:vAlign w:val="center"/>
          </w:tcPr>
          <w:p w14:paraId="19593A54">
            <w:pPr>
              <w:adjustRightInd w:val="0"/>
              <w:snapToGrid w:val="0"/>
              <w:jc w:val="center"/>
              <w:rPr>
                <w:sz w:val="22"/>
                <w:szCs w:val="22"/>
              </w:rPr>
            </w:pPr>
            <w:r>
              <w:rPr>
                <w:sz w:val="22"/>
                <w:szCs w:val="22"/>
              </w:rPr>
              <w:t>37</w:t>
            </w:r>
          </w:p>
        </w:tc>
        <w:tc>
          <w:tcPr>
            <w:tcW w:w="1850" w:type="dxa"/>
            <w:vAlign w:val="center"/>
          </w:tcPr>
          <w:p w14:paraId="0F1F6716">
            <w:pPr>
              <w:adjustRightInd w:val="0"/>
              <w:snapToGrid w:val="0"/>
              <w:jc w:val="center"/>
              <w:rPr>
                <w:sz w:val="22"/>
                <w:szCs w:val="22"/>
              </w:rPr>
            </w:pPr>
            <w:r>
              <w:rPr>
                <w:sz w:val="22"/>
                <w:szCs w:val="22"/>
              </w:rPr>
              <w:t>2-氯酚</w:t>
            </w:r>
          </w:p>
        </w:tc>
        <w:tc>
          <w:tcPr>
            <w:tcW w:w="1651" w:type="dxa"/>
            <w:vAlign w:val="center"/>
          </w:tcPr>
          <w:p w14:paraId="42C25DCE">
            <w:pPr>
              <w:adjustRightInd w:val="0"/>
              <w:snapToGrid w:val="0"/>
              <w:jc w:val="center"/>
              <w:rPr>
                <w:sz w:val="22"/>
                <w:szCs w:val="22"/>
              </w:rPr>
            </w:pPr>
            <w:r>
              <w:rPr>
                <w:sz w:val="22"/>
                <w:szCs w:val="22"/>
              </w:rPr>
              <w:t>2256</w:t>
            </w:r>
          </w:p>
        </w:tc>
      </w:tr>
      <w:tr w14:paraId="6A89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4420D592">
            <w:pPr>
              <w:adjustRightInd w:val="0"/>
              <w:snapToGrid w:val="0"/>
              <w:jc w:val="center"/>
              <w:rPr>
                <w:sz w:val="22"/>
                <w:szCs w:val="22"/>
              </w:rPr>
            </w:pPr>
            <w:r>
              <w:rPr>
                <w:sz w:val="22"/>
                <w:szCs w:val="22"/>
              </w:rPr>
              <w:t>15</w:t>
            </w:r>
          </w:p>
        </w:tc>
        <w:tc>
          <w:tcPr>
            <w:tcW w:w="1866" w:type="dxa"/>
            <w:vAlign w:val="center"/>
          </w:tcPr>
          <w:p w14:paraId="3AAE1DAD">
            <w:pPr>
              <w:adjustRightInd w:val="0"/>
              <w:snapToGrid w:val="0"/>
              <w:jc w:val="center"/>
              <w:rPr>
                <w:sz w:val="22"/>
                <w:szCs w:val="22"/>
              </w:rPr>
            </w:pPr>
            <w:r>
              <w:rPr>
                <w:sz w:val="22"/>
                <w:szCs w:val="22"/>
              </w:rPr>
              <w:t>反-1,2-二氯乙烯</w:t>
            </w:r>
          </w:p>
        </w:tc>
        <w:tc>
          <w:tcPr>
            <w:tcW w:w="1722" w:type="dxa"/>
            <w:vAlign w:val="center"/>
          </w:tcPr>
          <w:p w14:paraId="44B5554E">
            <w:pPr>
              <w:adjustRightInd w:val="0"/>
              <w:snapToGrid w:val="0"/>
              <w:jc w:val="center"/>
              <w:rPr>
                <w:sz w:val="22"/>
                <w:szCs w:val="22"/>
              </w:rPr>
            </w:pPr>
            <w:r>
              <w:rPr>
                <w:sz w:val="22"/>
                <w:szCs w:val="22"/>
              </w:rPr>
              <w:t>54</w:t>
            </w:r>
          </w:p>
        </w:tc>
        <w:tc>
          <w:tcPr>
            <w:tcW w:w="1005" w:type="dxa"/>
            <w:vAlign w:val="center"/>
          </w:tcPr>
          <w:p w14:paraId="7B967AE8">
            <w:pPr>
              <w:adjustRightInd w:val="0"/>
              <w:snapToGrid w:val="0"/>
              <w:jc w:val="center"/>
              <w:rPr>
                <w:sz w:val="22"/>
                <w:szCs w:val="22"/>
              </w:rPr>
            </w:pPr>
            <w:r>
              <w:rPr>
                <w:sz w:val="22"/>
                <w:szCs w:val="22"/>
              </w:rPr>
              <w:t>38</w:t>
            </w:r>
          </w:p>
        </w:tc>
        <w:tc>
          <w:tcPr>
            <w:tcW w:w="1850" w:type="dxa"/>
            <w:vAlign w:val="center"/>
          </w:tcPr>
          <w:p w14:paraId="56F613DC">
            <w:pPr>
              <w:adjustRightInd w:val="0"/>
              <w:snapToGrid w:val="0"/>
              <w:jc w:val="center"/>
              <w:rPr>
                <w:sz w:val="22"/>
                <w:szCs w:val="22"/>
              </w:rPr>
            </w:pPr>
            <w:r>
              <w:rPr>
                <w:sz w:val="22"/>
                <w:szCs w:val="22"/>
              </w:rPr>
              <w:t>苯并〔a〕蒽</w:t>
            </w:r>
          </w:p>
        </w:tc>
        <w:tc>
          <w:tcPr>
            <w:tcW w:w="1651" w:type="dxa"/>
            <w:vAlign w:val="center"/>
          </w:tcPr>
          <w:p w14:paraId="3964C93F">
            <w:pPr>
              <w:adjustRightInd w:val="0"/>
              <w:snapToGrid w:val="0"/>
              <w:jc w:val="center"/>
              <w:rPr>
                <w:sz w:val="22"/>
                <w:szCs w:val="22"/>
              </w:rPr>
            </w:pPr>
            <w:r>
              <w:rPr>
                <w:sz w:val="22"/>
                <w:szCs w:val="22"/>
              </w:rPr>
              <w:t>15</w:t>
            </w:r>
          </w:p>
        </w:tc>
      </w:tr>
      <w:tr w14:paraId="2774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2F5194ED">
            <w:pPr>
              <w:adjustRightInd w:val="0"/>
              <w:snapToGrid w:val="0"/>
              <w:jc w:val="center"/>
              <w:rPr>
                <w:sz w:val="22"/>
                <w:szCs w:val="22"/>
              </w:rPr>
            </w:pPr>
            <w:r>
              <w:rPr>
                <w:sz w:val="22"/>
                <w:szCs w:val="22"/>
              </w:rPr>
              <w:t>16</w:t>
            </w:r>
          </w:p>
        </w:tc>
        <w:tc>
          <w:tcPr>
            <w:tcW w:w="1866" w:type="dxa"/>
            <w:vAlign w:val="center"/>
          </w:tcPr>
          <w:p w14:paraId="67CB1C04">
            <w:pPr>
              <w:adjustRightInd w:val="0"/>
              <w:snapToGrid w:val="0"/>
              <w:jc w:val="center"/>
              <w:rPr>
                <w:sz w:val="22"/>
                <w:szCs w:val="22"/>
              </w:rPr>
            </w:pPr>
            <w:r>
              <w:rPr>
                <w:sz w:val="22"/>
                <w:szCs w:val="22"/>
              </w:rPr>
              <w:t>二氯甲烷</w:t>
            </w:r>
          </w:p>
        </w:tc>
        <w:tc>
          <w:tcPr>
            <w:tcW w:w="1722" w:type="dxa"/>
            <w:vAlign w:val="center"/>
          </w:tcPr>
          <w:p w14:paraId="75FEB013">
            <w:pPr>
              <w:adjustRightInd w:val="0"/>
              <w:snapToGrid w:val="0"/>
              <w:jc w:val="center"/>
              <w:rPr>
                <w:sz w:val="22"/>
                <w:szCs w:val="22"/>
              </w:rPr>
            </w:pPr>
            <w:r>
              <w:rPr>
                <w:sz w:val="22"/>
                <w:szCs w:val="22"/>
              </w:rPr>
              <w:t>616</w:t>
            </w:r>
          </w:p>
        </w:tc>
        <w:tc>
          <w:tcPr>
            <w:tcW w:w="1005" w:type="dxa"/>
            <w:vAlign w:val="center"/>
          </w:tcPr>
          <w:p w14:paraId="46B5B4F3">
            <w:pPr>
              <w:adjustRightInd w:val="0"/>
              <w:snapToGrid w:val="0"/>
              <w:jc w:val="center"/>
              <w:rPr>
                <w:sz w:val="22"/>
                <w:szCs w:val="22"/>
              </w:rPr>
            </w:pPr>
            <w:r>
              <w:rPr>
                <w:sz w:val="22"/>
                <w:szCs w:val="22"/>
              </w:rPr>
              <w:t>39</w:t>
            </w:r>
          </w:p>
        </w:tc>
        <w:tc>
          <w:tcPr>
            <w:tcW w:w="1850" w:type="dxa"/>
            <w:vAlign w:val="center"/>
          </w:tcPr>
          <w:p w14:paraId="43EBA56B">
            <w:pPr>
              <w:adjustRightInd w:val="0"/>
              <w:snapToGrid w:val="0"/>
              <w:jc w:val="center"/>
              <w:rPr>
                <w:sz w:val="22"/>
                <w:szCs w:val="22"/>
              </w:rPr>
            </w:pPr>
            <w:r>
              <w:rPr>
                <w:sz w:val="22"/>
                <w:szCs w:val="22"/>
              </w:rPr>
              <w:t>苯并〔a〕芘</w:t>
            </w:r>
          </w:p>
        </w:tc>
        <w:tc>
          <w:tcPr>
            <w:tcW w:w="1651" w:type="dxa"/>
            <w:vAlign w:val="center"/>
          </w:tcPr>
          <w:p w14:paraId="4235DD3A">
            <w:pPr>
              <w:adjustRightInd w:val="0"/>
              <w:snapToGrid w:val="0"/>
              <w:jc w:val="center"/>
              <w:rPr>
                <w:sz w:val="22"/>
                <w:szCs w:val="22"/>
              </w:rPr>
            </w:pPr>
            <w:r>
              <w:rPr>
                <w:sz w:val="22"/>
                <w:szCs w:val="22"/>
              </w:rPr>
              <w:t>1.5</w:t>
            </w:r>
          </w:p>
        </w:tc>
      </w:tr>
      <w:tr w14:paraId="3A54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471DACE3">
            <w:pPr>
              <w:adjustRightInd w:val="0"/>
              <w:snapToGrid w:val="0"/>
              <w:jc w:val="center"/>
              <w:rPr>
                <w:sz w:val="22"/>
                <w:szCs w:val="22"/>
              </w:rPr>
            </w:pPr>
            <w:r>
              <w:rPr>
                <w:sz w:val="22"/>
                <w:szCs w:val="22"/>
              </w:rPr>
              <w:t>17</w:t>
            </w:r>
          </w:p>
        </w:tc>
        <w:tc>
          <w:tcPr>
            <w:tcW w:w="1866" w:type="dxa"/>
            <w:vAlign w:val="center"/>
          </w:tcPr>
          <w:p w14:paraId="587E57E8">
            <w:pPr>
              <w:adjustRightInd w:val="0"/>
              <w:snapToGrid w:val="0"/>
              <w:jc w:val="center"/>
              <w:rPr>
                <w:sz w:val="22"/>
                <w:szCs w:val="22"/>
              </w:rPr>
            </w:pPr>
            <w:r>
              <w:rPr>
                <w:sz w:val="22"/>
                <w:szCs w:val="22"/>
              </w:rPr>
              <w:t>1,2-二氯丙垸</w:t>
            </w:r>
          </w:p>
        </w:tc>
        <w:tc>
          <w:tcPr>
            <w:tcW w:w="1722" w:type="dxa"/>
            <w:vAlign w:val="center"/>
          </w:tcPr>
          <w:p w14:paraId="01FF3826">
            <w:pPr>
              <w:adjustRightInd w:val="0"/>
              <w:snapToGrid w:val="0"/>
              <w:jc w:val="center"/>
              <w:rPr>
                <w:sz w:val="22"/>
                <w:szCs w:val="22"/>
              </w:rPr>
            </w:pPr>
            <w:r>
              <w:rPr>
                <w:sz w:val="22"/>
                <w:szCs w:val="22"/>
              </w:rPr>
              <w:t>5</w:t>
            </w:r>
          </w:p>
        </w:tc>
        <w:tc>
          <w:tcPr>
            <w:tcW w:w="1005" w:type="dxa"/>
            <w:vAlign w:val="center"/>
          </w:tcPr>
          <w:p w14:paraId="3719CD9E">
            <w:pPr>
              <w:adjustRightInd w:val="0"/>
              <w:snapToGrid w:val="0"/>
              <w:jc w:val="center"/>
              <w:rPr>
                <w:sz w:val="22"/>
                <w:szCs w:val="22"/>
              </w:rPr>
            </w:pPr>
            <w:r>
              <w:rPr>
                <w:sz w:val="22"/>
                <w:szCs w:val="22"/>
              </w:rPr>
              <w:t>40</w:t>
            </w:r>
          </w:p>
        </w:tc>
        <w:tc>
          <w:tcPr>
            <w:tcW w:w="1850" w:type="dxa"/>
            <w:vAlign w:val="center"/>
          </w:tcPr>
          <w:p w14:paraId="73F1E8A2">
            <w:pPr>
              <w:adjustRightInd w:val="0"/>
              <w:snapToGrid w:val="0"/>
              <w:jc w:val="center"/>
              <w:rPr>
                <w:sz w:val="22"/>
                <w:szCs w:val="22"/>
              </w:rPr>
            </w:pPr>
            <w:r>
              <w:rPr>
                <w:sz w:val="22"/>
                <w:szCs w:val="22"/>
              </w:rPr>
              <w:t>苯并〔b〕荧蒽</w:t>
            </w:r>
          </w:p>
        </w:tc>
        <w:tc>
          <w:tcPr>
            <w:tcW w:w="1651" w:type="dxa"/>
            <w:vAlign w:val="center"/>
          </w:tcPr>
          <w:p w14:paraId="22769593">
            <w:pPr>
              <w:adjustRightInd w:val="0"/>
              <w:snapToGrid w:val="0"/>
              <w:jc w:val="center"/>
              <w:rPr>
                <w:sz w:val="22"/>
                <w:szCs w:val="22"/>
              </w:rPr>
            </w:pPr>
            <w:r>
              <w:rPr>
                <w:sz w:val="22"/>
                <w:szCs w:val="22"/>
              </w:rPr>
              <w:t>15</w:t>
            </w:r>
          </w:p>
        </w:tc>
      </w:tr>
      <w:tr w14:paraId="5D24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67EDF118">
            <w:pPr>
              <w:adjustRightInd w:val="0"/>
              <w:snapToGrid w:val="0"/>
              <w:jc w:val="center"/>
              <w:rPr>
                <w:sz w:val="22"/>
                <w:szCs w:val="22"/>
              </w:rPr>
            </w:pPr>
            <w:r>
              <w:rPr>
                <w:sz w:val="22"/>
                <w:szCs w:val="22"/>
              </w:rPr>
              <w:t>18</w:t>
            </w:r>
          </w:p>
        </w:tc>
        <w:tc>
          <w:tcPr>
            <w:tcW w:w="1866" w:type="dxa"/>
            <w:vAlign w:val="center"/>
          </w:tcPr>
          <w:p w14:paraId="2E470C4C">
            <w:pPr>
              <w:adjustRightInd w:val="0"/>
              <w:snapToGrid w:val="0"/>
              <w:jc w:val="center"/>
              <w:rPr>
                <w:sz w:val="22"/>
                <w:szCs w:val="22"/>
              </w:rPr>
            </w:pPr>
            <w:r>
              <w:rPr>
                <w:sz w:val="22"/>
                <w:szCs w:val="22"/>
              </w:rPr>
              <w:t>1,1,1,2-四氯乙烷</w:t>
            </w:r>
          </w:p>
        </w:tc>
        <w:tc>
          <w:tcPr>
            <w:tcW w:w="1722" w:type="dxa"/>
            <w:vAlign w:val="center"/>
          </w:tcPr>
          <w:p w14:paraId="76AF8CA2">
            <w:pPr>
              <w:adjustRightInd w:val="0"/>
              <w:snapToGrid w:val="0"/>
              <w:jc w:val="center"/>
              <w:rPr>
                <w:sz w:val="22"/>
                <w:szCs w:val="22"/>
              </w:rPr>
            </w:pPr>
            <w:r>
              <w:rPr>
                <w:sz w:val="22"/>
                <w:szCs w:val="22"/>
              </w:rPr>
              <w:t>10</w:t>
            </w:r>
          </w:p>
        </w:tc>
        <w:tc>
          <w:tcPr>
            <w:tcW w:w="1005" w:type="dxa"/>
            <w:vAlign w:val="center"/>
          </w:tcPr>
          <w:p w14:paraId="47B31890">
            <w:pPr>
              <w:adjustRightInd w:val="0"/>
              <w:snapToGrid w:val="0"/>
              <w:jc w:val="center"/>
              <w:rPr>
                <w:sz w:val="22"/>
                <w:szCs w:val="22"/>
              </w:rPr>
            </w:pPr>
            <w:r>
              <w:rPr>
                <w:sz w:val="22"/>
                <w:szCs w:val="22"/>
              </w:rPr>
              <w:t>41</w:t>
            </w:r>
          </w:p>
        </w:tc>
        <w:tc>
          <w:tcPr>
            <w:tcW w:w="1850" w:type="dxa"/>
            <w:vAlign w:val="center"/>
          </w:tcPr>
          <w:p w14:paraId="3CC233F0">
            <w:pPr>
              <w:adjustRightInd w:val="0"/>
              <w:snapToGrid w:val="0"/>
              <w:jc w:val="center"/>
              <w:rPr>
                <w:sz w:val="22"/>
                <w:szCs w:val="22"/>
              </w:rPr>
            </w:pPr>
            <w:r>
              <w:rPr>
                <w:sz w:val="22"/>
                <w:szCs w:val="22"/>
              </w:rPr>
              <w:t>苯并〔k〕荧蒽</w:t>
            </w:r>
          </w:p>
        </w:tc>
        <w:tc>
          <w:tcPr>
            <w:tcW w:w="1651" w:type="dxa"/>
            <w:vAlign w:val="center"/>
          </w:tcPr>
          <w:p w14:paraId="014F600C">
            <w:pPr>
              <w:adjustRightInd w:val="0"/>
              <w:snapToGrid w:val="0"/>
              <w:jc w:val="center"/>
              <w:rPr>
                <w:sz w:val="22"/>
                <w:szCs w:val="22"/>
              </w:rPr>
            </w:pPr>
            <w:r>
              <w:rPr>
                <w:sz w:val="22"/>
                <w:szCs w:val="22"/>
              </w:rPr>
              <w:t>151</w:t>
            </w:r>
          </w:p>
        </w:tc>
      </w:tr>
      <w:tr w14:paraId="1A98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58C517AC">
            <w:pPr>
              <w:adjustRightInd w:val="0"/>
              <w:snapToGrid w:val="0"/>
              <w:jc w:val="center"/>
              <w:rPr>
                <w:sz w:val="22"/>
                <w:szCs w:val="22"/>
              </w:rPr>
            </w:pPr>
            <w:r>
              <w:rPr>
                <w:sz w:val="22"/>
                <w:szCs w:val="22"/>
              </w:rPr>
              <w:t>19</w:t>
            </w:r>
          </w:p>
        </w:tc>
        <w:tc>
          <w:tcPr>
            <w:tcW w:w="1866" w:type="dxa"/>
            <w:vAlign w:val="center"/>
          </w:tcPr>
          <w:p w14:paraId="1C29FCE6">
            <w:pPr>
              <w:adjustRightInd w:val="0"/>
              <w:snapToGrid w:val="0"/>
              <w:jc w:val="center"/>
              <w:rPr>
                <w:sz w:val="22"/>
                <w:szCs w:val="22"/>
              </w:rPr>
            </w:pPr>
            <w:r>
              <w:rPr>
                <w:sz w:val="22"/>
                <w:szCs w:val="22"/>
              </w:rPr>
              <w:t>1,1,2,2-四氯乙烷</w:t>
            </w:r>
          </w:p>
        </w:tc>
        <w:tc>
          <w:tcPr>
            <w:tcW w:w="1722" w:type="dxa"/>
            <w:vAlign w:val="center"/>
          </w:tcPr>
          <w:p w14:paraId="11D7CE1D">
            <w:pPr>
              <w:adjustRightInd w:val="0"/>
              <w:snapToGrid w:val="0"/>
              <w:jc w:val="center"/>
              <w:rPr>
                <w:sz w:val="22"/>
                <w:szCs w:val="22"/>
              </w:rPr>
            </w:pPr>
            <w:r>
              <w:rPr>
                <w:sz w:val="22"/>
                <w:szCs w:val="22"/>
              </w:rPr>
              <w:t>6.8</w:t>
            </w:r>
          </w:p>
        </w:tc>
        <w:tc>
          <w:tcPr>
            <w:tcW w:w="1005" w:type="dxa"/>
            <w:vAlign w:val="center"/>
          </w:tcPr>
          <w:p w14:paraId="1F0AD7C0">
            <w:pPr>
              <w:adjustRightInd w:val="0"/>
              <w:snapToGrid w:val="0"/>
              <w:jc w:val="center"/>
              <w:rPr>
                <w:sz w:val="22"/>
                <w:szCs w:val="22"/>
              </w:rPr>
            </w:pPr>
            <w:r>
              <w:rPr>
                <w:sz w:val="22"/>
                <w:szCs w:val="22"/>
              </w:rPr>
              <w:t>42</w:t>
            </w:r>
          </w:p>
        </w:tc>
        <w:tc>
          <w:tcPr>
            <w:tcW w:w="1850" w:type="dxa"/>
            <w:vAlign w:val="center"/>
          </w:tcPr>
          <w:p w14:paraId="7E03907A">
            <w:pPr>
              <w:adjustRightInd w:val="0"/>
              <w:snapToGrid w:val="0"/>
              <w:jc w:val="center"/>
              <w:rPr>
                <w:sz w:val="22"/>
                <w:szCs w:val="22"/>
              </w:rPr>
            </w:pPr>
            <w:r>
              <w:rPr>
                <w:sz w:val="22"/>
                <w:szCs w:val="22"/>
              </w:rPr>
              <w:t>䓛</w:t>
            </w:r>
          </w:p>
        </w:tc>
        <w:tc>
          <w:tcPr>
            <w:tcW w:w="1651" w:type="dxa"/>
            <w:vAlign w:val="center"/>
          </w:tcPr>
          <w:p w14:paraId="69CA8D35">
            <w:pPr>
              <w:adjustRightInd w:val="0"/>
              <w:snapToGrid w:val="0"/>
              <w:jc w:val="center"/>
              <w:rPr>
                <w:sz w:val="22"/>
                <w:szCs w:val="22"/>
              </w:rPr>
            </w:pPr>
            <w:r>
              <w:rPr>
                <w:sz w:val="22"/>
                <w:szCs w:val="22"/>
              </w:rPr>
              <w:t>1293</w:t>
            </w:r>
          </w:p>
        </w:tc>
      </w:tr>
      <w:tr w14:paraId="37369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56F2C698">
            <w:pPr>
              <w:adjustRightInd w:val="0"/>
              <w:snapToGrid w:val="0"/>
              <w:jc w:val="center"/>
              <w:rPr>
                <w:sz w:val="22"/>
                <w:szCs w:val="22"/>
              </w:rPr>
            </w:pPr>
            <w:r>
              <w:rPr>
                <w:sz w:val="22"/>
                <w:szCs w:val="22"/>
              </w:rPr>
              <w:t>20</w:t>
            </w:r>
          </w:p>
        </w:tc>
        <w:tc>
          <w:tcPr>
            <w:tcW w:w="1866" w:type="dxa"/>
            <w:vAlign w:val="center"/>
          </w:tcPr>
          <w:p w14:paraId="3AB9979A">
            <w:pPr>
              <w:adjustRightInd w:val="0"/>
              <w:snapToGrid w:val="0"/>
              <w:jc w:val="center"/>
              <w:rPr>
                <w:sz w:val="22"/>
                <w:szCs w:val="22"/>
              </w:rPr>
            </w:pPr>
            <w:r>
              <w:rPr>
                <w:sz w:val="22"/>
                <w:szCs w:val="22"/>
              </w:rPr>
              <w:t>四氯乙烯</w:t>
            </w:r>
          </w:p>
        </w:tc>
        <w:tc>
          <w:tcPr>
            <w:tcW w:w="1722" w:type="dxa"/>
            <w:vAlign w:val="center"/>
          </w:tcPr>
          <w:p w14:paraId="7CF9B560">
            <w:pPr>
              <w:adjustRightInd w:val="0"/>
              <w:snapToGrid w:val="0"/>
              <w:jc w:val="center"/>
              <w:rPr>
                <w:sz w:val="22"/>
                <w:szCs w:val="22"/>
              </w:rPr>
            </w:pPr>
            <w:r>
              <w:rPr>
                <w:sz w:val="22"/>
                <w:szCs w:val="22"/>
              </w:rPr>
              <w:t>53</w:t>
            </w:r>
          </w:p>
        </w:tc>
        <w:tc>
          <w:tcPr>
            <w:tcW w:w="1005" w:type="dxa"/>
            <w:vAlign w:val="center"/>
          </w:tcPr>
          <w:p w14:paraId="12B01A31">
            <w:pPr>
              <w:adjustRightInd w:val="0"/>
              <w:snapToGrid w:val="0"/>
              <w:jc w:val="center"/>
              <w:rPr>
                <w:sz w:val="22"/>
                <w:szCs w:val="22"/>
              </w:rPr>
            </w:pPr>
            <w:r>
              <w:rPr>
                <w:sz w:val="22"/>
                <w:szCs w:val="22"/>
              </w:rPr>
              <w:t>43</w:t>
            </w:r>
          </w:p>
        </w:tc>
        <w:tc>
          <w:tcPr>
            <w:tcW w:w="1850" w:type="dxa"/>
            <w:vAlign w:val="center"/>
          </w:tcPr>
          <w:p w14:paraId="08E97616">
            <w:pPr>
              <w:adjustRightInd w:val="0"/>
              <w:snapToGrid w:val="0"/>
              <w:jc w:val="center"/>
              <w:rPr>
                <w:sz w:val="22"/>
                <w:szCs w:val="22"/>
              </w:rPr>
            </w:pPr>
            <w:r>
              <w:rPr>
                <w:sz w:val="22"/>
                <w:szCs w:val="22"/>
              </w:rPr>
              <w:t>二苯并〔a,h〕蒽</w:t>
            </w:r>
          </w:p>
        </w:tc>
        <w:tc>
          <w:tcPr>
            <w:tcW w:w="1651" w:type="dxa"/>
            <w:vAlign w:val="center"/>
          </w:tcPr>
          <w:p w14:paraId="7F63EAE0">
            <w:pPr>
              <w:adjustRightInd w:val="0"/>
              <w:snapToGrid w:val="0"/>
              <w:jc w:val="center"/>
              <w:rPr>
                <w:sz w:val="22"/>
                <w:szCs w:val="22"/>
              </w:rPr>
            </w:pPr>
            <w:r>
              <w:rPr>
                <w:sz w:val="22"/>
                <w:szCs w:val="22"/>
              </w:rPr>
              <w:t>1.5</w:t>
            </w:r>
          </w:p>
        </w:tc>
      </w:tr>
      <w:tr w14:paraId="5977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45831299">
            <w:pPr>
              <w:adjustRightInd w:val="0"/>
              <w:snapToGrid w:val="0"/>
              <w:jc w:val="center"/>
              <w:rPr>
                <w:sz w:val="22"/>
                <w:szCs w:val="22"/>
              </w:rPr>
            </w:pPr>
            <w:r>
              <w:rPr>
                <w:sz w:val="22"/>
                <w:szCs w:val="22"/>
              </w:rPr>
              <w:t>21</w:t>
            </w:r>
          </w:p>
        </w:tc>
        <w:tc>
          <w:tcPr>
            <w:tcW w:w="1866" w:type="dxa"/>
            <w:vAlign w:val="center"/>
          </w:tcPr>
          <w:p w14:paraId="506D431C">
            <w:pPr>
              <w:adjustRightInd w:val="0"/>
              <w:snapToGrid w:val="0"/>
              <w:jc w:val="center"/>
              <w:rPr>
                <w:sz w:val="22"/>
                <w:szCs w:val="22"/>
              </w:rPr>
            </w:pPr>
            <w:r>
              <w:rPr>
                <w:sz w:val="22"/>
                <w:szCs w:val="22"/>
              </w:rPr>
              <w:t>1,1,1-三氯乙烷</w:t>
            </w:r>
          </w:p>
        </w:tc>
        <w:tc>
          <w:tcPr>
            <w:tcW w:w="1722" w:type="dxa"/>
            <w:vAlign w:val="center"/>
          </w:tcPr>
          <w:p w14:paraId="0AB4669C">
            <w:pPr>
              <w:adjustRightInd w:val="0"/>
              <w:snapToGrid w:val="0"/>
              <w:jc w:val="center"/>
              <w:rPr>
                <w:sz w:val="22"/>
                <w:szCs w:val="22"/>
              </w:rPr>
            </w:pPr>
            <w:r>
              <w:rPr>
                <w:sz w:val="22"/>
                <w:szCs w:val="22"/>
              </w:rPr>
              <w:t>840</w:t>
            </w:r>
          </w:p>
        </w:tc>
        <w:tc>
          <w:tcPr>
            <w:tcW w:w="1005" w:type="dxa"/>
            <w:vAlign w:val="center"/>
          </w:tcPr>
          <w:p w14:paraId="45D1358E">
            <w:pPr>
              <w:adjustRightInd w:val="0"/>
              <w:snapToGrid w:val="0"/>
              <w:jc w:val="center"/>
              <w:rPr>
                <w:sz w:val="22"/>
                <w:szCs w:val="22"/>
              </w:rPr>
            </w:pPr>
            <w:r>
              <w:rPr>
                <w:sz w:val="22"/>
                <w:szCs w:val="22"/>
              </w:rPr>
              <w:t>44</w:t>
            </w:r>
          </w:p>
        </w:tc>
        <w:tc>
          <w:tcPr>
            <w:tcW w:w="1850" w:type="dxa"/>
            <w:vAlign w:val="center"/>
          </w:tcPr>
          <w:p w14:paraId="06005BFC">
            <w:pPr>
              <w:adjustRightInd w:val="0"/>
              <w:snapToGrid w:val="0"/>
              <w:jc w:val="center"/>
              <w:rPr>
                <w:sz w:val="22"/>
                <w:szCs w:val="22"/>
              </w:rPr>
            </w:pPr>
            <w:r>
              <w:rPr>
                <w:sz w:val="22"/>
                <w:szCs w:val="22"/>
              </w:rPr>
              <w:t>茚并〔1,2,3-cd〕芘</w:t>
            </w:r>
          </w:p>
        </w:tc>
        <w:tc>
          <w:tcPr>
            <w:tcW w:w="1651" w:type="dxa"/>
            <w:vAlign w:val="center"/>
          </w:tcPr>
          <w:p w14:paraId="56D58C64">
            <w:pPr>
              <w:adjustRightInd w:val="0"/>
              <w:snapToGrid w:val="0"/>
              <w:jc w:val="center"/>
              <w:rPr>
                <w:sz w:val="22"/>
                <w:szCs w:val="22"/>
              </w:rPr>
            </w:pPr>
            <w:r>
              <w:rPr>
                <w:sz w:val="22"/>
                <w:szCs w:val="22"/>
              </w:rPr>
              <w:t>15</w:t>
            </w:r>
          </w:p>
        </w:tc>
      </w:tr>
      <w:tr w14:paraId="0A9D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61485E4A">
            <w:pPr>
              <w:adjustRightInd w:val="0"/>
              <w:snapToGrid w:val="0"/>
              <w:jc w:val="center"/>
              <w:rPr>
                <w:sz w:val="22"/>
                <w:szCs w:val="22"/>
              </w:rPr>
            </w:pPr>
            <w:r>
              <w:rPr>
                <w:sz w:val="22"/>
                <w:szCs w:val="22"/>
              </w:rPr>
              <w:t>22</w:t>
            </w:r>
          </w:p>
        </w:tc>
        <w:tc>
          <w:tcPr>
            <w:tcW w:w="1866" w:type="dxa"/>
            <w:vAlign w:val="center"/>
          </w:tcPr>
          <w:p w14:paraId="30562AF4">
            <w:pPr>
              <w:adjustRightInd w:val="0"/>
              <w:snapToGrid w:val="0"/>
              <w:jc w:val="center"/>
              <w:rPr>
                <w:sz w:val="22"/>
                <w:szCs w:val="22"/>
              </w:rPr>
            </w:pPr>
            <w:r>
              <w:rPr>
                <w:sz w:val="22"/>
                <w:szCs w:val="22"/>
              </w:rPr>
              <w:t>1,1,2-三氯乙烷</w:t>
            </w:r>
          </w:p>
        </w:tc>
        <w:tc>
          <w:tcPr>
            <w:tcW w:w="1722" w:type="dxa"/>
            <w:vAlign w:val="center"/>
          </w:tcPr>
          <w:p w14:paraId="74BAA5F5">
            <w:pPr>
              <w:adjustRightInd w:val="0"/>
              <w:snapToGrid w:val="0"/>
              <w:jc w:val="center"/>
              <w:rPr>
                <w:sz w:val="22"/>
                <w:szCs w:val="22"/>
              </w:rPr>
            </w:pPr>
            <w:r>
              <w:rPr>
                <w:sz w:val="22"/>
                <w:szCs w:val="22"/>
              </w:rPr>
              <w:t>2.8</w:t>
            </w:r>
          </w:p>
        </w:tc>
        <w:tc>
          <w:tcPr>
            <w:tcW w:w="1005" w:type="dxa"/>
            <w:vAlign w:val="center"/>
          </w:tcPr>
          <w:p w14:paraId="377DA79C">
            <w:pPr>
              <w:adjustRightInd w:val="0"/>
              <w:snapToGrid w:val="0"/>
              <w:jc w:val="center"/>
              <w:rPr>
                <w:sz w:val="22"/>
                <w:szCs w:val="22"/>
              </w:rPr>
            </w:pPr>
            <w:r>
              <w:rPr>
                <w:sz w:val="22"/>
                <w:szCs w:val="22"/>
              </w:rPr>
              <w:t>45</w:t>
            </w:r>
          </w:p>
        </w:tc>
        <w:tc>
          <w:tcPr>
            <w:tcW w:w="1850" w:type="dxa"/>
            <w:vAlign w:val="center"/>
          </w:tcPr>
          <w:p w14:paraId="6A93CC08">
            <w:pPr>
              <w:adjustRightInd w:val="0"/>
              <w:snapToGrid w:val="0"/>
              <w:jc w:val="center"/>
              <w:rPr>
                <w:sz w:val="22"/>
                <w:szCs w:val="22"/>
              </w:rPr>
            </w:pPr>
            <w:r>
              <w:rPr>
                <w:sz w:val="22"/>
                <w:szCs w:val="22"/>
              </w:rPr>
              <w:t>萘</w:t>
            </w:r>
          </w:p>
        </w:tc>
        <w:tc>
          <w:tcPr>
            <w:tcW w:w="1651" w:type="dxa"/>
            <w:vAlign w:val="center"/>
          </w:tcPr>
          <w:p w14:paraId="4307503C">
            <w:pPr>
              <w:adjustRightInd w:val="0"/>
              <w:snapToGrid w:val="0"/>
              <w:jc w:val="center"/>
              <w:rPr>
                <w:sz w:val="22"/>
                <w:szCs w:val="22"/>
              </w:rPr>
            </w:pPr>
            <w:r>
              <w:rPr>
                <w:sz w:val="22"/>
                <w:szCs w:val="22"/>
              </w:rPr>
              <w:t>70</w:t>
            </w:r>
          </w:p>
        </w:tc>
      </w:tr>
      <w:tr w14:paraId="1290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692" w:type="dxa"/>
            <w:vAlign w:val="center"/>
          </w:tcPr>
          <w:p w14:paraId="63FD8A37">
            <w:pPr>
              <w:adjustRightInd w:val="0"/>
              <w:snapToGrid w:val="0"/>
              <w:jc w:val="center"/>
              <w:rPr>
                <w:sz w:val="22"/>
                <w:szCs w:val="22"/>
              </w:rPr>
            </w:pPr>
            <w:r>
              <w:rPr>
                <w:sz w:val="22"/>
                <w:szCs w:val="22"/>
              </w:rPr>
              <w:t>23</w:t>
            </w:r>
          </w:p>
        </w:tc>
        <w:tc>
          <w:tcPr>
            <w:tcW w:w="1866" w:type="dxa"/>
            <w:vAlign w:val="center"/>
          </w:tcPr>
          <w:p w14:paraId="10AC5A31">
            <w:pPr>
              <w:adjustRightInd w:val="0"/>
              <w:snapToGrid w:val="0"/>
              <w:jc w:val="center"/>
              <w:rPr>
                <w:sz w:val="22"/>
                <w:szCs w:val="22"/>
              </w:rPr>
            </w:pPr>
            <w:r>
              <w:rPr>
                <w:sz w:val="22"/>
                <w:szCs w:val="22"/>
              </w:rPr>
              <w:t>三氯乙烯</w:t>
            </w:r>
          </w:p>
        </w:tc>
        <w:tc>
          <w:tcPr>
            <w:tcW w:w="1722" w:type="dxa"/>
            <w:vAlign w:val="center"/>
          </w:tcPr>
          <w:p w14:paraId="3F0CC718">
            <w:pPr>
              <w:adjustRightInd w:val="0"/>
              <w:snapToGrid w:val="0"/>
              <w:jc w:val="center"/>
              <w:rPr>
                <w:sz w:val="22"/>
                <w:szCs w:val="22"/>
              </w:rPr>
            </w:pPr>
            <w:r>
              <w:rPr>
                <w:sz w:val="22"/>
                <w:szCs w:val="22"/>
              </w:rPr>
              <w:t>2.8</w:t>
            </w:r>
          </w:p>
        </w:tc>
        <w:tc>
          <w:tcPr>
            <w:tcW w:w="1005" w:type="dxa"/>
            <w:vAlign w:val="center"/>
          </w:tcPr>
          <w:p w14:paraId="683EAD85">
            <w:pPr>
              <w:adjustRightInd w:val="0"/>
              <w:snapToGrid w:val="0"/>
              <w:jc w:val="center"/>
              <w:rPr>
                <w:sz w:val="22"/>
                <w:szCs w:val="22"/>
              </w:rPr>
            </w:pPr>
            <w:r>
              <w:rPr>
                <w:sz w:val="22"/>
                <w:szCs w:val="22"/>
              </w:rPr>
              <w:t>46</w:t>
            </w:r>
          </w:p>
        </w:tc>
        <w:tc>
          <w:tcPr>
            <w:tcW w:w="1850" w:type="dxa"/>
            <w:vAlign w:val="center"/>
          </w:tcPr>
          <w:p w14:paraId="4793C44C">
            <w:pPr>
              <w:adjustRightInd w:val="0"/>
              <w:snapToGrid w:val="0"/>
              <w:jc w:val="center"/>
              <w:rPr>
                <w:sz w:val="22"/>
                <w:szCs w:val="22"/>
              </w:rPr>
            </w:pPr>
            <w:r>
              <w:rPr>
                <w:sz w:val="22"/>
                <w:szCs w:val="22"/>
              </w:rPr>
              <w:t>石油烃</w:t>
            </w:r>
          </w:p>
        </w:tc>
        <w:tc>
          <w:tcPr>
            <w:tcW w:w="1651" w:type="dxa"/>
            <w:vAlign w:val="center"/>
          </w:tcPr>
          <w:p w14:paraId="0ADE708E">
            <w:pPr>
              <w:adjustRightInd w:val="0"/>
              <w:snapToGrid w:val="0"/>
              <w:jc w:val="center"/>
              <w:rPr>
                <w:sz w:val="22"/>
                <w:szCs w:val="22"/>
              </w:rPr>
            </w:pPr>
            <w:r>
              <w:rPr>
                <w:sz w:val="22"/>
                <w:szCs w:val="22"/>
              </w:rPr>
              <w:t>4500</w:t>
            </w:r>
          </w:p>
        </w:tc>
      </w:tr>
    </w:tbl>
    <w:p w14:paraId="50BD907A">
      <w:pPr>
        <w:pStyle w:val="1379"/>
        <w:ind w:firstLine="440"/>
      </w:pPr>
    </w:p>
    <w:p w14:paraId="135C886B">
      <w:pPr>
        <w:pStyle w:val="1441"/>
        <w:rPr>
          <w:rFonts w:cs="Times New Roman"/>
        </w:rPr>
      </w:pPr>
      <w:r>
        <w:rPr>
          <w:rFonts w:cs="Times New Roman"/>
        </w:rPr>
        <w:t xml:space="preserve">表1.4-7  四川省建设用地土壤污染风险管控标准  </w:t>
      </w:r>
      <w:r>
        <w:rPr>
          <w:rFonts w:cs="Times New Roman"/>
          <w:szCs w:val="21"/>
        </w:rPr>
        <w:t>单位：mg/kg</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0"/>
        <w:gridCol w:w="4618"/>
      </w:tblGrid>
      <w:tr w14:paraId="477F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60" w:type="dxa"/>
            <w:vMerge w:val="restart"/>
            <w:noWrap/>
            <w:vAlign w:val="center"/>
          </w:tcPr>
          <w:p w14:paraId="5FEA1A28">
            <w:pPr>
              <w:adjustRightInd w:val="0"/>
              <w:snapToGrid w:val="0"/>
              <w:jc w:val="center"/>
              <w:rPr>
                <w:sz w:val="22"/>
              </w:rPr>
            </w:pPr>
            <w:r>
              <w:rPr>
                <w:sz w:val="22"/>
              </w:rPr>
              <w:t>污染物项目</w:t>
            </w:r>
          </w:p>
        </w:tc>
        <w:tc>
          <w:tcPr>
            <w:tcW w:w="4618" w:type="dxa"/>
            <w:vAlign w:val="center"/>
          </w:tcPr>
          <w:p w14:paraId="32FA4D98">
            <w:pPr>
              <w:adjustRightInd w:val="0"/>
              <w:snapToGrid w:val="0"/>
              <w:jc w:val="center"/>
              <w:rPr>
                <w:sz w:val="22"/>
              </w:rPr>
            </w:pPr>
            <w:r>
              <w:rPr>
                <w:sz w:val="22"/>
              </w:rPr>
              <w:t>筛选值</w:t>
            </w:r>
          </w:p>
        </w:tc>
      </w:tr>
      <w:tr w14:paraId="72FB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60" w:type="dxa"/>
            <w:vMerge w:val="continue"/>
            <w:noWrap/>
            <w:vAlign w:val="center"/>
          </w:tcPr>
          <w:p w14:paraId="02F5DDC4">
            <w:pPr>
              <w:adjustRightInd w:val="0"/>
              <w:snapToGrid w:val="0"/>
              <w:jc w:val="center"/>
              <w:rPr>
                <w:sz w:val="22"/>
              </w:rPr>
            </w:pPr>
          </w:p>
        </w:tc>
        <w:tc>
          <w:tcPr>
            <w:tcW w:w="4618" w:type="dxa"/>
            <w:vAlign w:val="center"/>
          </w:tcPr>
          <w:p w14:paraId="2D49602D">
            <w:pPr>
              <w:adjustRightInd w:val="0"/>
              <w:snapToGrid w:val="0"/>
              <w:jc w:val="center"/>
              <w:rPr>
                <w:sz w:val="22"/>
              </w:rPr>
            </w:pPr>
            <w:r>
              <w:rPr>
                <w:sz w:val="22"/>
              </w:rPr>
              <w:t>第二类用地</w:t>
            </w:r>
          </w:p>
        </w:tc>
      </w:tr>
      <w:tr w14:paraId="05FE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60" w:type="dxa"/>
            <w:noWrap/>
            <w:vAlign w:val="center"/>
          </w:tcPr>
          <w:p w14:paraId="326FE6EF">
            <w:pPr>
              <w:adjustRightInd w:val="0"/>
              <w:snapToGrid w:val="0"/>
              <w:jc w:val="center"/>
              <w:rPr>
                <w:sz w:val="22"/>
              </w:rPr>
            </w:pPr>
            <w:r>
              <w:rPr>
                <w:sz w:val="22"/>
              </w:rPr>
              <w:t>钡</w:t>
            </w:r>
          </w:p>
        </w:tc>
        <w:tc>
          <w:tcPr>
            <w:tcW w:w="4618" w:type="dxa"/>
            <w:noWrap/>
            <w:vAlign w:val="center"/>
          </w:tcPr>
          <w:p w14:paraId="09FB3A77">
            <w:pPr>
              <w:adjustRightInd w:val="0"/>
              <w:snapToGrid w:val="0"/>
              <w:jc w:val="center"/>
              <w:rPr>
                <w:sz w:val="22"/>
              </w:rPr>
            </w:pPr>
            <w:r>
              <w:rPr>
                <w:sz w:val="22"/>
              </w:rPr>
              <w:t>8660</w:t>
            </w:r>
          </w:p>
        </w:tc>
      </w:tr>
    </w:tbl>
    <w:p w14:paraId="145979BB">
      <w:pPr>
        <w:pStyle w:val="1379"/>
        <w:ind w:firstLine="440"/>
      </w:pPr>
    </w:p>
    <w:p w14:paraId="479FABC9">
      <w:pPr>
        <w:spacing w:line="460" w:lineRule="exact"/>
        <w:ind w:firstLine="520" w:firstLineChars="200"/>
        <w:rPr>
          <w:sz w:val="26"/>
          <w:szCs w:val="26"/>
        </w:rPr>
      </w:pPr>
      <w:r>
        <w:rPr>
          <w:rFonts w:hint="eastAsia"/>
          <w:sz w:val="26"/>
          <w:szCs w:val="26"/>
        </w:rPr>
        <w:t>（</w:t>
      </w:r>
      <w:r>
        <w:rPr>
          <w:sz w:val="26"/>
          <w:szCs w:val="26"/>
        </w:rPr>
        <w:t>6</w:t>
      </w:r>
      <w:r>
        <w:rPr>
          <w:rFonts w:hint="eastAsia"/>
          <w:sz w:val="26"/>
          <w:szCs w:val="26"/>
        </w:rPr>
        <w:t>）生态环境</w:t>
      </w:r>
    </w:p>
    <w:p w14:paraId="538E2858">
      <w:pPr>
        <w:spacing w:line="460" w:lineRule="exact"/>
        <w:ind w:firstLine="520" w:firstLineChars="200"/>
        <w:rPr>
          <w:sz w:val="26"/>
          <w:szCs w:val="26"/>
        </w:rPr>
      </w:pPr>
      <w:r>
        <w:rPr>
          <w:rFonts w:hint="eastAsia"/>
          <w:sz w:val="26"/>
          <w:szCs w:val="26"/>
        </w:rPr>
        <w:t>依据《四川生态环境功能区划》，项目所在区域属于“I四川盆地亚热带湿润气候生态区，I-2盆中丘陵农林复合生态亚区，I-2-2渠江农业生态功能区”。</w:t>
      </w:r>
    </w:p>
    <w:p w14:paraId="0FAE8825">
      <w:pPr>
        <w:jc w:val="center"/>
        <w:rPr>
          <w:b/>
          <w:bCs/>
          <w:sz w:val="26"/>
          <w:szCs w:val="26"/>
          <w:u w:val="single"/>
        </w:rPr>
      </w:pPr>
      <w:r>
        <w:rPr>
          <w:sz w:val="26"/>
          <w:szCs w:val="26"/>
        </w:rPr>
        <mc:AlternateContent>
          <mc:Choice Requires="wps">
            <w:drawing>
              <wp:anchor distT="0" distB="0" distL="114300" distR="114300" simplePos="0" relativeHeight="251661312" behindDoc="0" locked="0" layoutInCell="1" allowOverlap="1">
                <wp:simplePos x="0" y="0"/>
                <wp:positionH relativeFrom="column">
                  <wp:posOffset>3247390</wp:posOffset>
                </wp:positionH>
                <wp:positionV relativeFrom="paragraph">
                  <wp:posOffset>495935</wp:posOffset>
                </wp:positionV>
                <wp:extent cx="873125" cy="272415"/>
                <wp:effectExtent l="0" t="0" r="22225" b="565785"/>
                <wp:wrapNone/>
                <wp:docPr id="44" name="对话气泡: 矩形 44"/>
                <wp:cNvGraphicFramePr/>
                <a:graphic xmlns:a="http://schemas.openxmlformats.org/drawingml/2006/main">
                  <a:graphicData uri="http://schemas.microsoft.com/office/word/2010/wordprocessingShape">
                    <wps:wsp>
                      <wps:cNvSpPr>
                        <a:spLocks noChangeArrowheads="1"/>
                      </wps:cNvSpPr>
                      <wps:spPr bwMode="auto">
                        <a:xfrm>
                          <a:off x="0" y="0"/>
                          <a:ext cx="873125" cy="272415"/>
                        </a:xfrm>
                        <a:prstGeom prst="wedgeRectCallout">
                          <a:avLst>
                            <a:gd name="adj1" fmla="val -25261"/>
                            <a:gd name="adj2" fmla="val 242507"/>
                          </a:avLst>
                        </a:prstGeom>
                        <a:noFill/>
                        <a:ln w="19050" algn="ctr">
                          <a:solidFill>
                            <a:srgbClr val="002060"/>
                          </a:solidFill>
                          <a:miter lim="800000"/>
                        </a:ln>
                        <a:effectLst/>
                      </wps:spPr>
                      <wps:txbx>
                        <w:txbxContent>
                          <w:p w14:paraId="0878B49A">
                            <w:pPr>
                              <w:rPr>
                                <w:b/>
                                <w:color w:val="FF0000"/>
                              </w:rPr>
                            </w:pPr>
                            <w:r>
                              <w:rPr>
                                <w:rFonts w:hint="eastAsia"/>
                                <w:b/>
                                <w:color w:val="FF0000"/>
                              </w:rPr>
                              <w:t>项目所在地</w:t>
                            </w:r>
                          </w:p>
                        </w:txbxContent>
                      </wps:txbx>
                      <wps:bodyPr rot="0" vert="horz" wrap="square" lIns="91440" tIns="45720" rIns="91440" bIns="45720" anchor="t" anchorCtr="0" upright="1">
                        <a:noAutofit/>
                      </wps:bodyPr>
                    </wps:wsp>
                  </a:graphicData>
                </a:graphic>
              </wp:anchor>
            </w:drawing>
          </mc:Choice>
          <mc:Fallback>
            <w:pict>
              <v:shape id="对话气泡: 矩形 44" o:spid="_x0000_s1026" o:spt="61" type="#_x0000_t61" style="position:absolute;left:0pt;margin-left:255.7pt;margin-top:39.05pt;height:21.45pt;width:68.75pt;z-index:251661312;mso-width-relative:page;mso-height-relative:page;" filled="f" stroked="t" coordsize="21600,21600" o:gfxdata="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GTFxtbXAAAACgEAAA8AAAAA&#10;AAAAAQAgAAAAIgAAAGRycy9kb3ducmV2LnhtbFBLAQIUABQAAAAIAIdO4kAhKrCuhwIAANkEAAAO&#10;AAAAAAAAAAEAIAAAACYBAABkcnMvZTJvRG9jLnhtbFBLBQYAAAAABgAGAFkBAAAfBgAAAAA=&#10;" adj="5344,63182">
                <v:fill on="f" focussize="0,0"/>
                <v:stroke weight="1.5pt" color="#002060" miterlimit="8" joinstyle="miter"/>
                <v:imagedata o:title=""/>
                <o:lock v:ext="edit" aspectratio="f"/>
                <v:textbox>
                  <w:txbxContent>
                    <w:p w14:paraId="0878B49A">
                      <w:pPr>
                        <w:rPr>
                          <w:b/>
                          <w:color w:val="FF0000"/>
                        </w:rPr>
                      </w:pPr>
                      <w:r>
                        <w:rPr>
                          <w:rFonts w:hint="eastAsia"/>
                          <w:b/>
                          <w:color w:val="FF0000"/>
                        </w:rPr>
                        <w:t>项目所在地</w:t>
                      </w:r>
                    </w:p>
                  </w:txbxContent>
                </v:textbox>
              </v:shape>
            </w:pict>
          </mc:Fallback>
        </mc:AlternateContent>
      </w:r>
      <w:r>
        <w:rPr>
          <w:sz w:val="26"/>
          <w:szCs w:val="26"/>
        </w:rPr>
        <w:drawing>
          <wp:inline distT="0" distB="0" distL="0" distR="0">
            <wp:extent cx="5538470" cy="3830320"/>
            <wp:effectExtent l="0" t="0" r="508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538470" cy="3830320"/>
                    </a:xfrm>
                    <a:prstGeom prst="rect">
                      <a:avLst/>
                    </a:prstGeom>
                    <a:noFill/>
                    <a:ln>
                      <a:noFill/>
                    </a:ln>
                  </pic:spPr>
                </pic:pic>
              </a:graphicData>
            </a:graphic>
          </wp:inline>
        </w:drawing>
      </w:r>
      <w:r>
        <w:rPr>
          <w:rStyle w:val="1064"/>
          <w:rFonts w:hint="eastAsia"/>
        </w:rPr>
        <w:t>图1</w:t>
      </w:r>
      <w:r>
        <w:rPr>
          <w:rStyle w:val="1064"/>
        </w:rPr>
        <w:t xml:space="preserve">.4-1   </w:t>
      </w:r>
      <w:r>
        <w:rPr>
          <w:rStyle w:val="1064"/>
          <w:rFonts w:hint="eastAsia"/>
        </w:rPr>
        <w:t>本项目所在区域生态功能区划图</w:t>
      </w:r>
    </w:p>
    <w:p w14:paraId="35A9B48E">
      <w:pPr>
        <w:pStyle w:val="1379"/>
        <w:ind w:firstLine="440"/>
      </w:pPr>
    </w:p>
    <w:p w14:paraId="4A807F81">
      <w:pPr>
        <w:spacing w:line="460" w:lineRule="exact"/>
        <w:ind w:firstLine="520" w:firstLineChars="200"/>
        <w:rPr>
          <w:sz w:val="26"/>
          <w:szCs w:val="26"/>
        </w:rPr>
      </w:pPr>
      <w:r>
        <w:rPr>
          <w:rFonts w:hint="eastAsia"/>
          <w:sz w:val="26"/>
          <w:szCs w:val="26"/>
        </w:rPr>
        <w:t>（7）土壤侵蚀强度</w:t>
      </w:r>
    </w:p>
    <w:p w14:paraId="3EA8627D">
      <w:pPr>
        <w:spacing w:line="460" w:lineRule="exact"/>
        <w:ind w:firstLine="520" w:firstLineChars="200"/>
        <w:rPr>
          <w:sz w:val="26"/>
          <w:szCs w:val="26"/>
        </w:rPr>
      </w:pPr>
      <w:r>
        <w:rPr>
          <w:rFonts w:hint="eastAsia"/>
          <w:sz w:val="26"/>
          <w:szCs w:val="26"/>
        </w:rPr>
        <w:t>水土保持评价标准采用项目所在地区多年平均水土流失量为参照量，并按《土壤侵蚀分类分级标准》SL190-2007进行分级，详见</w:t>
      </w:r>
      <w:r>
        <w:rPr>
          <w:rFonts w:hint="eastAsia"/>
          <w:sz w:val="26"/>
          <w:szCs w:val="26"/>
          <w:u w:val="single"/>
        </w:rPr>
        <w:t>表1.4-</w:t>
      </w:r>
      <w:r>
        <w:rPr>
          <w:sz w:val="26"/>
          <w:szCs w:val="26"/>
          <w:u w:val="single"/>
        </w:rPr>
        <w:t>8</w:t>
      </w:r>
      <w:r>
        <w:rPr>
          <w:rFonts w:hint="eastAsia"/>
          <w:sz w:val="26"/>
          <w:szCs w:val="26"/>
        </w:rPr>
        <w:t>。</w:t>
      </w:r>
    </w:p>
    <w:p w14:paraId="5CD71B18">
      <w:pPr>
        <w:pStyle w:val="1379"/>
        <w:ind w:firstLine="440"/>
      </w:pPr>
    </w:p>
    <w:p w14:paraId="43373EB6">
      <w:pPr>
        <w:snapToGrid w:val="0"/>
        <w:ind w:firstLine="520" w:firstLineChars="200"/>
        <w:jc w:val="center"/>
        <w:rPr>
          <w:sz w:val="26"/>
          <w:szCs w:val="26"/>
        </w:rPr>
      </w:pPr>
      <w:r>
        <w:rPr>
          <w:sz w:val="26"/>
          <w:szCs w:val="26"/>
        </w:rPr>
        <w:t>表1.4-8     土壤侵蚀强度分级标准</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1"/>
        <w:gridCol w:w="2938"/>
        <w:gridCol w:w="2939"/>
      </w:tblGrid>
      <w:tr w14:paraId="2151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01" w:type="dxa"/>
            <w:vAlign w:val="center"/>
          </w:tcPr>
          <w:p w14:paraId="396DA189">
            <w:pPr>
              <w:snapToGrid w:val="0"/>
              <w:jc w:val="center"/>
              <w:rPr>
                <w:sz w:val="22"/>
                <w:szCs w:val="22"/>
              </w:rPr>
            </w:pPr>
            <w:r>
              <w:rPr>
                <w:sz w:val="22"/>
                <w:szCs w:val="22"/>
              </w:rPr>
              <w:t>级别</w:t>
            </w:r>
          </w:p>
        </w:tc>
        <w:tc>
          <w:tcPr>
            <w:tcW w:w="2938" w:type="dxa"/>
            <w:vAlign w:val="center"/>
          </w:tcPr>
          <w:p w14:paraId="3DDAE14E">
            <w:pPr>
              <w:snapToGrid w:val="0"/>
              <w:jc w:val="center"/>
              <w:rPr>
                <w:sz w:val="22"/>
                <w:szCs w:val="22"/>
              </w:rPr>
            </w:pPr>
            <w:r>
              <w:rPr>
                <w:sz w:val="22"/>
                <w:szCs w:val="22"/>
              </w:rPr>
              <w:t>平均侵蚀模数[t/(km</w:t>
            </w:r>
            <w:r>
              <w:rPr>
                <w:sz w:val="22"/>
                <w:szCs w:val="22"/>
                <w:vertAlign w:val="superscript"/>
              </w:rPr>
              <w:t>2</w:t>
            </w:r>
            <w:r>
              <w:rPr>
                <w:sz w:val="22"/>
                <w:szCs w:val="22"/>
              </w:rPr>
              <w:t>·a)]</w:t>
            </w:r>
          </w:p>
        </w:tc>
        <w:tc>
          <w:tcPr>
            <w:tcW w:w="2939" w:type="dxa"/>
            <w:vAlign w:val="center"/>
          </w:tcPr>
          <w:p w14:paraId="110253B1">
            <w:pPr>
              <w:snapToGrid w:val="0"/>
              <w:jc w:val="center"/>
              <w:rPr>
                <w:sz w:val="22"/>
                <w:szCs w:val="22"/>
              </w:rPr>
            </w:pPr>
            <w:r>
              <w:rPr>
                <w:sz w:val="22"/>
                <w:szCs w:val="22"/>
              </w:rPr>
              <w:t>平均流失厚度（mm/a）</w:t>
            </w:r>
          </w:p>
        </w:tc>
      </w:tr>
      <w:tr w14:paraId="5108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01" w:type="dxa"/>
            <w:vAlign w:val="center"/>
          </w:tcPr>
          <w:p w14:paraId="4AACBBF2">
            <w:pPr>
              <w:snapToGrid w:val="0"/>
              <w:jc w:val="center"/>
              <w:rPr>
                <w:sz w:val="22"/>
                <w:szCs w:val="22"/>
              </w:rPr>
            </w:pPr>
            <w:r>
              <w:rPr>
                <w:sz w:val="22"/>
                <w:szCs w:val="22"/>
              </w:rPr>
              <w:t>微 度</w:t>
            </w:r>
          </w:p>
        </w:tc>
        <w:tc>
          <w:tcPr>
            <w:tcW w:w="2938" w:type="dxa"/>
            <w:vAlign w:val="center"/>
          </w:tcPr>
          <w:p w14:paraId="5FB31957">
            <w:pPr>
              <w:snapToGrid w:val="0"/>
              <w:jc w:val="center"/>
              <w:rPr>
                <w:sz w:val="22"/>
                <w:szCs w:val="22"/>
              </w:rPr>
            </w:pPr>
            <w:r>
              <w:rPr>
                <w:sz w:val="22"/>
                <w:szCs w:val="22"/>
              </w:rPr>
              <w:t>＜500</w:t>
            </w:r>
          </w:p>
        </w:tc>
        <w:tc>
          <w:tcPr>
            <w:tcW w:w="2939" w:type="dxa"/>
            <w:vAlign w:val="center"/>
          </w:tcPr>
          <w:p w14:paraId="74E0040E">
            <w:pPr>
              <w:snapToGrid w:val="0"/>
              <w:jc w:val="center"/>
              <w:rPr>
                <w:sz w:val="22"/>
                <w:szCs w:val="22"/>
              </w:rPr>
            </w:pPr>
            <w:r>
              <w:rPr>
                <w:sz w:val="22"/>
                <w:szCs w:val="22"/>
              </w:rPr>
              <w:t>＜0.37</w:t>
            </w:r>
          </w:p>
        </w:tc>
      </w:tr>
      <w:tr w14:paraId="33DB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01" w:type="dxa"/>
            <w:vAlign w:val="center"/>
          </w:tcPr>
          <w:p w14:paraId="4FCAE582">
            <w:pPr>
              <w:snapToGrid w:val="0"/>
              <w:jc w:val="center"/>
              <w:rPr>
                <w:sz w:val="22"/>
                <w:szCs w:val="22"/>
              </w:rPr>
            </w:pPr>
            <w:r>
              <w:rPr>
                <w:sz w:val="22"/>
                <w:szCs w:val="22"/>
              </w:rPr>
              <w:t>轻 度</w:t>
            </w:r>
          </w:p>
        </w:tc>
        <w:tc>
          <w:tcPr>
            <w:tcW w:w="2938" w:type="dxa"/>
            <w:vAlign w:val="center"/>
          </w:tcPr>
          <w:p w14:paraId="35D39521">
            <w:pPr>
              <w:snapToGrid w:val="0"/>
              <w:jc w:val="center"/>
              <w:rPr>
                <w:sz w:val="22"/>
                <w:szCs w:val="22"/>
              </w:rPr>
            </w:pPr>
            <w:r>
              <w:rPr>
                <w:sz w:val="22"/>
                <w:szCs w:val="22"/>
              </w:rPr>
              <w:t>500～2500</w:t>
            </w:r>
          </w:p>
        </w:tc>
        <w:tc>
          <w:tcPr>
            <w:tcW w:w="2939" w:type="dxa"/>
            <w:vAlign w:val="center"/>
          </w:tcPr>
          <w:p w14:paraId="110CD1DB">
            <w:pPr>
              <w:snapToGrid w:val="0"/>
              <w:jc w:val="center"/>
              <w:rPr>
                <w:sz w:val="22"/>
                <w:szCs w:val="22"/>
              </w:rPr>
            </w:pPr>
            <w:r>
              <w:rPr>
                <w:sz w:val="22"/>
                <w:szCs w:val="22"/>
              </w:rPr>
              <w:t>0.37～1.9</w:t>
            </w:r>
          </w:p>
        </w:tc>
      </w:tr>
      <w:tr w14:paraId="2088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01" w:type="dxa"/>
            <w:vAlign w:val="center"/>
          </w:tcPr>
          <w:p w14:paraId="06FA1AB1">
            <w:pPr>
              <w:snapToGrid w:val="0"/>
              <w:jc w:val="center"/>
              <w:rPr>
                <w:sz w:val="22"/>
                <w:szCs w:val="22"/>
              </w:rPr>
            </w:pPr>
            <w:r>
              <w:rPr>
                <w:sz w:val="22"/>
                <w:szCs w:val="22"/>
              </w:rPr>
              <w:t>中 度</w:t>
            </w:r>
          </w:p>
        </w:tc>
        <w:tc>
          <w:tcPr>
            <w:tcW w:w="2938" w:type="dxa"/>
            <w:vAlign w:val="center"/>
          </w:tcPr>
          <w:p w14:paraId="43DEB2BF">
            <w:pPr>
              <w:snapToGrid w:val="0"/>
              <w:jc w:val="center"/>
              <w:rPr>
                <w:sz w:val="22"/>
                <w:szCs w:val="22"/>
              </w:rPr>
            </w:pPr>
            <w:r>
              <w:rPr>
                <w:sz w:val="22"/>
                <w:szCs w:val="22"/>
              </w:rPr>
              <w:t>2500～5000</w:t>
            </w:r>
          </w:p>
        </w:tc>
        <w:tc>
          <w:tcPr>
            <w:tcW w:w="2939" w:type="dxa"/>
            <w:vAlign w:val="center"/>
          </w:tcPr>
          <w:p w14:paraId="517C16F0">
            <w:pPr>
              <w:snapToGrid w:val="0"/>
              <w:jc w:val="center"/>
              <w:rPr>
                <w:sz w:val="22"/>
                <w:szCs w:val="22"/>
              </w:rPr>
            </w:pPr>
            <w:r>
              <w:rPr>
                <w:sz w:val="22"/>
                <w:szCs w:val="22"/>
              </w:rPr>
              <w:t>1.9～3.7</w:t>
            </w:r>
          </w:p>
        </w:tc>
      </w:tr>
      <w:tr w14:paraId="4110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01" w:type="dxa"/>
            <w:vAlign w:val="center"/>
          </w:tcPr>
          <w:p w14:paraId="3B783158">
            <w:pPr>
              <w:snapToGrid w:val="0"/>
              <w:jc w:val="center"/>
              <w:rPr>
                <w:sz w:val="22"/>
                <w:szCs w:val="22"/>
              </w:rPr>
            </w:pPr>
            <w:r>
              <w:rPr>
                <w:sz w:val="22"/>
                <w:szCs w:val="22"/>
              </w:rPr>
              <w:t>强烈</w:t>
            </w:r>
          </w:p>
        </w:tc>
        <w:tc>
          <w:tcPr>
            <w:tcW w:w="2938" w:type="dxa"/>
            <w:vAlign w:val="center"/>
          </w:tcPr>
          <w:p w14:paraId="0D09DA7C">
            <w:pPr>
              <w:snapToGrid w:val="0"/>
              <w:jc w:val="center"/>
              <w:rPr>
                <w:sz w:val="22"/>
                <w:szCs w:val="22"/>
              </w:rPr>
            </w:pPr>
            <w:r>
              <w:rPr>
                <w:sz w:val="22"/>
                <w:szCs w:val="22"/>
              </w:rPr>
              <w:t>5000～8000</w:t>
            </w:r>
          </w:p>
        </w:tc>
        <w:tc>
          <w:tcPr>
            <w:tcW w:w="2939" w:type="dxa"/>
            <w:vAlign w:val="center"/>
          </w:tcPr>
          <w:p w14:paraId="4E0F6E89">
            <w:pPr>
              <w:snapToGrid w:val="0"/>
              <w:jc w:val="center"/>
              <w:rPr>
                <w:sz w:val="22"/>
                <w:szCs w:val="22"/>
              </w:rPr>
            </w:pPr>
            <w:r>
              <w:rPr>
                <w:sz w:val="22"/>
                <w:szCs w:val="22"/>
              </w:rPr>
              <w:t>3.7～5.9</w:t>
            </w:r>
          </w:p>
        </w:tc>
      </w:tr>
      <w:tr w14:paraId="0CD4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01" w:type="dxa"/>
            <w:vAlign w:val="center"/>
          </w:tcPr>
          <w:p w14:paraId="29687F95">
            <w:pPr>
              <w:snapToGrid w:val="0"/>
              <w:jc w:val="center"/>
              <w:rPr>
                <w:sz w:val="22"/>
                <w:szCs w:val="22"/>
              </w:rPr>
            </w:pPr>
            <w:r>
              <w:rPr>
                <w:sz w:val="22"/>
                <w:szCs w:val="22"/>
              </w:rPr>
              <w:t>极强烈</w:t>
            </w:r>
          </w:p>
        </w:tc>
        <w:tc>
          <w:tcPr>
            <w:tcW w:w="2938" w:type="dxa"/>
            <w:vAlign w:val="center"/>
          </w:tcPr>
          <w:p w14:paraId="28F32FC7">
            <w:pPr>
              <w:snapToGrid w:val="0"/>
              <w:jc w:val="center"/>
              <w:rPr>
                <w:sz w:val="22"/>
                <w:szCs w:val="22"/>
              </w:rPr>
            </w:pPr>
            <w:r>
              <w:rPr>
                <w:sz w:val="22"/>
                <w:szCs w:val="22"/>
              </w:rPr>
              <w:t>8000～15000</w:t>
            </w:r>
          </w:p>
        </w:tc>
        <w:tc>
          <w:tcPr>
            <w:tcW w:w="2939" w:type="dxa"/>
            <w:vAlign w:val="center"/>
          </w:tcPr>
          <w:p w14:paraId="147CA50F">
            <w:pPr>
              <w:snapToGrid w:val="0"/>
              <w:jc w:val="center"/>
              <w:rPr>
                <w:sz w:val="22"/>
                <w:szCs w:val="22"/>
              </w:rPr>
            </w:pPr>
            <w:r>
              <w:rPr>
                <w:sz w:val="22"/>
                <w:szCs w:val="22"/>
              </w:rPr>
              <w:t>5.9～11.1</w:t>
            </w:r>
          </w:p>
        </w:tc>
      </w:tr>
      <w:tr w14:paraId="114E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01" w:type="dxa"/>
            <w:vAlign w:val="center"/>
          </w:tcPr>
          <w:p w14:paraId="6188C69E">
            <w:pPr>
              <w:snapToGrid w:val="0"/>
              <w:jc w:val="center"/>
              <w:rPr>
                <w:sz w:val="22"/>
                <w:szCs w:val="22"/>
              </w:rPr>
            </w:pPr>
            <w:r>
              <w:rPr>
                <w:sz w:val="22"/>
                <w:szCs w:val="22"/>
              </w:rPr>
              <w:t>剧 烈</w:t>
            </w:r>
          </w:p>
        </w:tc>
        <w:tc>
          <w:tcPr>
            <w:tcW w:w="2938" w:type="dxa"/>
            <w:vAlign w:val="center"/>
          </w:tcPr>
          <w:p w14:paraId="573880B3">
            <w:pPr>
              <w:snapToGrid w:val="0"/>
              <w:jc w:val="center"/>
              <w:rPr>
                <w:sz w:val="22"/>
                <w:szCs w:val="22"/>
              </w:rPr>
            </w:pPr>
            <w:r>
              <w:rPr>
                <w:sz w:val="22"/>
                <w:szCs w:val="22"/>
              </w:rPr>
              <w:t>＞15000</w:t>
            </w:r>
          </w:p>
        </w:tc>
        <w:tc>
          <w:tcPr>
            <w:tcW w:w="2939" w:type="dxa"/>
            <w:vAlign w:val="center"/>
          </w:tcPr>
          <w:p w14:paraId="2DAE430C">
            <w:pPr>
              <w:snapToGrid w:val="0"/>
              <w:jc w:val="center"/>
              <w:rPr>
                <w:sz w:val="22"/>
                <w:szCs w:val="22"/>
              </w:rPr>
            </w:pPr>
            <w:r>
              <w:rPr>
                <w:sz w:val="22"/>
                <w:szCs w:val="22"/>
              </w:rPr>
              <w:t>＞11.1</w:t>
            </w:r>
          </w:p>
        </w:tc>
      </w:tr>
    </w:tbl>
    <w:p w14:paraId="1BC21CD1">
      <w:pPr>
        <w:pStyle w:val="1379"/>
        <w:ind w:firstLine="440"/>
      </w:pPr>
    </w:p>
    <w:p w14:paraId="00D847F6">
      <w:pPr>
        <w:spacing w:line="460" w:lineRule="exact"/>
        <w:ind w:firstLine="522"/>
        <w:outlineLvl w:val="2"/>
        <w:rPr>
          <w:sz w:val="26"/>
          <w:szCs w:val="26"/>
        </w:rPr>
      </w:pPr>
      <w:bookmarkStart w:id="68" w:name="_Toc165810459"/>
      <w:r>
        <w:rPr>
          <w:b/>
          <w:sz w:val="26"/>
          <w:szCs w:val="26"/>
        </w:rPr>
        <w:t>1.4.2 污染物排放标准</w:t>
      </w:r>
      <w:bookmarkEnd w:id="68"/>
    </w:p>
    <w:p w14:paraId="044D472B">
      <w:pPr>
        <w:adjustRightInd w:val="0"/>
        <w:spacing w:line="460" w:lineRule="exact"/>
        <w:ind w:firstLine="520" w:firstLineChars="200"/>
        <w:rPr>
          <w:sz w:val="26"/>
          <w:szCs w:val="26"/>
        </w:rPr>
      </w:pPr>
      <w:r>
        <w:rPr>
          <w:sz w:val="26"/>
          <w:szCs w:val="26"/>
        </w:rPr>
        <w:t>（1）废气</w:t>
      </w:r>
    </w:p>
    <w:p w14:paraId="23AFE2D6">
      <w:pPr>
        <w:adjustRightInd w:val="0"/>
        <w:spacing w:line="460" w:lineRule="exact"/>
        <w:ind w:firstLine="520" w:firstLineChars="200"/>
        <w:rPr>
          <w:sz w:val="26"/>
          <w:szCs w:val="26"/>
        </w:rPr>
      </w:pPr>
      <w:r>
        <w:rPr>
          <w:sz w:val="26"/>
          <w:szCs w:val="26"/>
        </w:rPr>
        <w:t>本项目施工期扬尘属于无组织排放，执行《四川省施工场地扬尘排放标准》（DB51/2682-2020）；试采期水套加热炉燃烧废气执行《锅炉大气污染物排放标准》（GB13271-2014）</w:t>
      </w:r>
      <w:r>
        <w:rPr>
          <w:rFonts w:hint="eastAsia"/>
          <w:sz w:val="26"/>
          <w:szCs w:val="26"/>
        </w:rPr>
        <w:t>排放限值</w:t>
      </w:r>
      <w:r>
        <w:rPr>
          <w:sz w:val="26"/>
          <w:szCs w:val="26"/>
        </w:rPr>
        <w:t>，</w:t>
      </w:r>
      <w:r>
        <w:rPr>
          <w:rFonts w:hint="eastAsia"/>
          <w:sz w:val="26"/>
          <w:szCs w:val="26"/>
        </w:rPr>
        <w:t>非甲烷总烃无组织排放执行</w:t>
      </w:r>
      <w:r>
        <w:rPr>
          <w:sz w:val="26"/>
          <w:szCs w:val="26"/>
        </w:rPr>
        <w:t>《陆上石油天然气开采工业大气污染物排放标准》（GB39728-2020）。标准值见</w:t>
      </w:r>
      <w:r>
        <w:rPr>
          <w:rFonts w:hint="eastAsia"/>
          <w:sz w:val="26"/>
          <w:szCs w:val="26"/>
        </w:rPr>
        <w:t>下</w:t>
      </w:r>
      <w:r>
        <w:rPr>
          <w:sz w:val="26"/>
          <w:szCs w:val="26"/>
        </w:rPr>
        <w:t>表</w:t>
      </w:r>
      <w:r>
        <w:rPr>
          <w:rFonts w:hint="eastAsia"/>
          <w:sz w:val="26"/>
          <w:szCs w:val="26"/>
        </w:rPr>
        <w:t>。</w:t>
      </w:r>
    </w:p>
    <w:p w14:paraId="2D9E0325">
      <w:pPr>
        <w:pStyle w:val="1379"/>
        <w:ind w:firstLine="440"/>
      </w:pPr>
    </w:p>
    <w:p w14:paraId="21EB5D00">
      <w:pPr>
        <w:pStyle w:val="1065"/>
      </w:pPr>
      <w:r>
        <w:t>表1.4-9      四川省施工场地扬尘排放标准</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3431"/>
        <w:gridCol w:w="1704"/>
        <w:gridCol w:w="2616"/>
      </w:tblGrid>
      <w:tr w14:paraId="2AA9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7" w:type="dxa"/>
            <w:vAlign w:val="center"/>
          </w:tcPr>
          <w:p w14:paraId="5D5B8DD2">
            <w:pPr>
              <w:jc w:val="center"/>
              <w:rPr>
                <w:snapToGrid w:val="0"/>
                <w:kern w:val="0"/>
                <w:sz w:val="22"/>
                <w:szCs w:val="22"/>
              </w:rPr>
            </w:pPr>
            <w:r>
              <w:rPr>
                <w:snapToGrid w:val="0"/>
                <w:kern w:val="0"/>
                <w:sz w:val="22"/>
                <w:szCs w:val="22"/>
              </w:rPr>
              <w:t>污染物</w:t>
            </w:r>
          </w:p>
        </w:tc>
        <w:tc>
          <w:tcPr>
            <w:tcW w:w="3431" w:type="dxa"/>
            <w:vAlign w:val="center"/>
          </w:tcPr>
          <w:p w14:paraId="1C5C980E">
            <w:pPr>
              <w:jc w:val="center"/>
              <w:rPr>
                <w:snapToGrid w:val="0"/>
                <w:kern w:val="0"/>
                <w:sz w:val="22"/>
                <w:szCs w:val="22"/>
              </w:rPr>
            </w:pPr>
            <w:r>
              <w:rPr>
                <w:snapToGrid w:val="0"/>
                <w:kern w:val="0"/>
                <w:sz w:val="22"/>
                <w:szCs w:val="22"/>
              </w:rPr>
              <w:t>区域</w:t>
            </w:r>
          </w:p>
        </w:tc>
        <w:tc>
          <w:tcPr>
            <w:tcW w:w="1704" w:type="dxa"/>
            <w:vAlign w:val="center"/>
          </w:tcPr>
          <w:p w14:paraId="27421C51">
            <w:pPr>
              <w:jc w:val="center"/>
              <w:rPr>
                <w:snapToGrid w:val="0"/>
                <w:kern w:val="0"/>
                <w:sz w:val="22"/>
                <w:szCs w:val="22"/>
              </w:rPr>
            </w:pPr>
            <w:r>
              <w:rPr>
                <w:snapToGrid w:val="0"/>
                <w:kern w:val="0"/>
                <w:sz w:val="22"/>
                <w:szCs w:val="22"/>
              </w:rPr>
              <w:t>施工阶段</w:t>
            </w:r>
          </w:p>
        </w:tc>
        <w:tc>
          <w:tcPr>
            <w:tcW w:w="2616" w:type="dxa"/>
            <w:vAlign w:val="center"/>
          </w:tcPr>
          <w:p w14:paraId="2E4510FD">
            <w:pPr>
              <w:jc w:val="center"/>
              <w:rPr>
                <w:snapToGrid w:val="0"/>
                <w:kern w:val="0"/>
                <w:sz w:val="22"/>
                <w:szCs w:val="22"/>
              </w:rPr>
            </w:pPr>
            <w:r>
              <w:rPr>
                <w:snapToGrid w:val="0"/>
                <w:kern w:val="0"/>
                <w:sz w:val="22"/>
                <w:szCs w:val="22"/>
              </w:rPr>
              <w:t>监测点排放限值（μg/m</w:t>
            </w:r>
            <w:r>
              <w:rPr>
                <w:snapToGrid w:val="0"/>
                <w:kern w:val="0"/>
                <w:sz w:val="22"/>
                <w:szCs w:val="22"/>
                <w:vertAlign w:val="superscript"/>
              </w:rPr>
              <w:t>3</w:t>
            </w:r>
            <w:r>
              <w:rPr>
                <w:snapToGrid w:val="0"/>
                <w:kern w:val="0"/>
                <w:sz w:val="22"/>
                <w:szCs w:val="22"/>
              </w:rPr>
              <w:t>)</w:t>
            </w:r>
          </w:p>
        </w:tc>
      </w:tr>
      <w:tr w14:paraId="3C2C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7" w:type="dxa"/>
            <w:vMerge w:val="restart"/>
            <w:vAlign w:val="center"/>
          </w:tcPr>
          <w:p w14:paraId="463722B1">
            <w:pPr>
              <w:jc w:val="center"/>
              <w:rPr>
                <w:snapToGrid w:val="0"/>
                <w:kern w:val="0"/>
                <w:sz w:val="22"/>
                <w:szCs w:val="22"/>
              </w:rPr>
            </w:pPr>
            <w:r>
              <w:rPr>
                <w:snapToGrid w:val="0"/>
                <w:kern w:val="0"/>
                <w:sz w:val="22"/>
                <w:szCs w:val="22"/>
              </w:rPr>
              <w:t>总悬浮颗粒物</w:t>
            </w:r>
          </w:p>
        </w:tc>
        <w:tc>
          <w:tcPr>
            <w:tcW w:w="3431" w:type="dxa"/>
            <w:vMerge w:val="restart"/>
            <w:vAlign w:val="center"/>
          </w:tcPr>
          <w:p w14:paraId="4C3AA83B">
            <w:pPr>
              <w:jc w:val="center"/>
              <w:rPr>
                <w:snapToGrid w:val="0"/>
                <w:kern w:val="0"/>
                <w:sz w:val="22"/>
                <w:szCs w:val="22"/>
              </w:rPr>
            </w:pPr>
            <w:r>
              <w:rPr>
                <w:snapToGrid w:val="0"/>
                <w:kern w:val="0"/>
                <w:sz w:val="22"/>
                <w:szCs w:val="22"/>
              </w:rPr>
              <w:t>成都市、自贡市、泸州市、德阳市、</w:t>
            </w:r>
            <w:r>
              <w:rPr>
                <w:bCs/>
                <w:snapToGrid w:val="0"/>
                <w:kern w:val="0"/>
                <w:sz w:val="22"/>
                <w:szCs w:val="22"/>
              </w:rPr>
              <w:t>绵阳市</w:t>
            </w:r>
            <w:r>
              <w:rPr>
                <w:snapToGrid w:val="0"/>
                <w:kern w:val="0"/>
                <w:sz w:val="22"/>
                <w:szCs w:val="22"/>
              </w:rPr>
              <w:t>、广元市、遂宁市、内江市、乐山市、南充市、宜宾市</w:t>
            </w:r>
            <w:r>
              <w:rPr>
                <w:b/>
                <w:snapToGrid w:val="0"/>
                <w:kern w:val="0"/>
                <w:sz w:val="22"/>
                <w:szCs w:val="22"/>
              </w:rPr>
              <w:t>、</w:t>
            </w:r>
            <w:r>
              <w:rPr>
                <w:snapToGrid w:val="0"/>
                <w:kern w:val="0"/>
                <w:sz w:val="22"/>
                <w:szCs w:val="22"/>
              </w:rPr>
              <w:t>广安市、达州市、</w:t>
            </w:r>
            <w:r>
              <w:rPr>
                <w:b/>
                <w:snapToGrid w:val="0"/>
                <w:kern w:val="0"/>
                <w:sz w:val="22"/>
                <w:szCs w:val="22"/>
              </w:rPr>
              <w:t>巴中市</w:t>
            </w:r>
            <w:r>
              <w:rPr>
                <w:snapToGrid w:val="0"/>
                <w:kern w:val="0"/>
                <w:sz w:val="22"/>
                <w:szCs w:val="22"/>
              </w:rPr>
              <w:t>、雅安市、眉山市、资阳市</w:t>
            </w:r>
          </w:p>
        </w:tc>
        <w:tc>
          <w:tcPr>
            <w:tcW w:w="1704" w:type="dxa"/>
            <w:vAlign w:val="center"/>
          </w:tcPr>
          <w:p w14:paraId="0154C7AA">
            <w:pPr>
              <w:jc w:val="center"/>
              <w:rPr>
                <w:snapToGrid w:val="0"/>
                <w:kern w:val="0"/>
                <w:sz w:val="22"/>
                <w:szCs w:val="22"/>
              </w:rPr>
            </w:pPr>
            <w:r>
              <w:rPr>
                <w:snapToGrid w:val="0"/>
                <w:kern w:val="0"/>
                <w:sz w:val="22"/>
                <w:szCs w:val="22"/>
              </w:rPr>
              <w:t>拆除工程/土方开挖/土方回填阶段</w:t>
            </w:r>
          </w:p>
        </w:tc>
        <w:tc>
          <w:tcPr>
            <w:tcW w:w="2616" w:type="dxa"/>
            <w:vAlign w:val="center"/>
          </w:tcPr>
          <w:p w14:paraId="2C7C6B46">
            <w:pPr>
              <w:jc w:val="center"/>
              <w:rPr>
                <w:snapToGrid w:val="0"/>
                <w:kern w:val="0"/>
                <w:sz w:val="22"/>
                <w:szCs w:val="22"/>
              </w:rPr>
            </w:pPr>
            <w:r>
              <w:rPr>
                <w:snapToGrid w:val="0"/>
                <w:kern w:val="0"/>
                <w:sz w:val="22"/>
                <w:szCs w:val="22"/>
              </w:rPr>
              <w:t>600</w:t>
            </w:r>
          </w:p>
        </w:tc>
      </w:tr>
      <w:tr w14:paraId="779CA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7" w:type="dxa"/>
            <w:vMerge w:val="continue"/>
            <w:vAlign w:val="center"/>
          </w:tcPr>
          <w:p w14:paraId="0381BC67">
            <w:pPr>
              <w:jc w:val="center"/>
              <w:rPr>
                <w:snapToGrid w:val="0"/>
                <w:kern w:val="0"/>
                <w:sz w:val="22"/>
                <w:szCs w:val="22"/>
              </w:rPr>
            </w:pPr>
          </w:p>
        </w:tc>
        <w:tc>
          <w:tcPr>
            <w:tcW w:w="3431" w:type="dxa"/>
            <w:vMerge w:val="continue"/>
            <w:vAlign w:val="center"/>
          </w:tcPr>
          <w:p w14:paraId="23257DCE">
            <w:pPr>
              <w:jc w:val="center"/>
              <w:rPr>
                <w:snapToGrid w:val="0"/>
                <w:kern w:val="0"/>
                <w:sz w:val="22"/>
                <w:szCs w:val="22"/>
              </w:rPr>
            </w:pPr>
          </w:p>
        </w:tc>
        <w:tc>
          <w:tcPr>
            <w:tcW w:w="1704" w:type="dxa"/>
            <w:vAlign w:val="center"/>
          </w:tcPr>
          <w:p w14:paraId="70581F20">
            <w:pPr>
              <w:jc w:val="center"/>
              <w:rPr>
                <w:snapToGrid w:val="0"/>
                <w:kern w:val="0"/>
                <w:sz w:val="22"/>
                <w:szCs w:val="22"/>
              </w:rPr>
            </w:pPr>
            <w:r>
              <w:rPr>
                <w:snapToGrid w:val="0"/>
                <w:kern w:val="0"/>
                <w:sz w:val="22"/>
                <w:szCs w:val="22"/>
              </w:rPr>
              <w:t>其他工程阶段</w:t>
            </w:r>
          </w:p>
        </w:tc>
        <w:tc>
          <w:tcPr>
            <w:tcW w:w="2616" w:type="dxa"/>
            <w:vAlign w:val="center"/>
          </w:tcPr>
          <w:p w14:paraId="7FAEFFEA">
            <w:pPr>
              <w:jc w:val="center"/>
              <w:rPr>
                <w:snapToGrid w:val="0"/>
                <w:kern w:val="0"/>
                <w:sz w:val="22"/>
                <w:szCs w:val="22"/>
              </w:rPr>
            </w:pPr>
            <w:r>
              <w:rPr>
                <w:snapToGrid w:val="0"/>
                <w:kern w:val="0"/>
                <w:sz w:val="22"/>
                <w:szCs w:val="22"/>
              </w:rPr>
              <w:t>250</w:t>
            </w:r>
          </w:p>
        </w:tc>
      </w:tr>
      <w:tr w14:paraId="309A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678" w:type="dxa"/>
            <w:gridSpan w:val="4"/>
            <w:vAlign w:val="center"/>
          </w:tcPr>
          <w:p w14:paraId="4FA96529">
            <w:pPr>
              <w:ind w:firstLine="200" w:firstLineChars="100"/>
              <w:jc w:val="left"/>
              <w:rPr>
                <w:snapToGrid w:val="0"/>
                <w:kern w:val="0"/>
                <w:sz w:val="22"/>
                <w:szCs w:val="22"/>
              </w:rPr>
            </w:pPr>
            <w:r>
              <w:rPr>
                <w:snapToGrid w:val="0"/>
                <w:kern w:val="0"/>
                <w:sz w:val="20"/>
                <w:szCs w:val="22"/>
              </w:rPr>
              <w:t>注：根据HJ663判定本市（州）AQI在200到300之间且首要污染物为PM</w:t>
            </w:r>
            <w:r>
              <w:rPr>
                <w:snapToGrid w:val="0"/>
                <w:kern w:val="0"/>
                <w:sz w:val="20"/>
                <w:szCs w:val="22"/>
                <w:vertAlign w:val="subscript"/>
              </w:rPr>
              <w:t>10</w:t>
            </w:r>
            <w:r>
              <w:rPr>
                <w:snapToGrid w:val="0"/>
                <w:kern w:val="0"/>
                <w:sz w:val="20"/>
                <w:szCs w:val="22"/>
              </w:rPr>
              <w:t>或PM</w:t>
            </w:r>
            <w:r>
              <w:rPr>
                <w:snapToGrid w:val="0"/>
                <w:kern w:val="0"/>
                <w:sz w:val="20"/>
                <w:szCs w:val="22"/>
                <w:vertAlign w:val="subscript"/>
              </w:rPr>
              <w:t>2.5</w:t>
            </w:r>
            <w:r>
              <w:rPr>
                <w:snapToGrid w:val="0"/>
                <w:kern w:val="0"/>
                <w:sz w:val="20"/>
                <w:szCs w:val="22"/>
              </w:rPr>
              <w:t>时，实测值扣除200μg/m</w:t>
            </w:r>
            <w:r>
              <w:rPr>
                <w:snapToGrid w:val="0"/>
                <w:kern w:val="0"/>
                <w:sz w:val="20"/>
                <w:szCs w:val="22"/>
                <w:vertAlign w:val="superscript"/>
              </w:rPr>
              <w:t>3</w:t>
            </w:r>
            <w:r>
              <w:rPr>
                <w:snapToGrid w:val="0"/>
                <w:kern w:val="0"/>
                <w:sz w:val="20"/>
                <w:szCs w:val="22"/>
              </w:rPr>
              <w:t>再进行评价。</w:t>
            </w:r>
          </w:p>
        </w:tc>
      </w:tr>
    </w:tbl>
    <w:p w14:paraId="38F8951C">
      <w:pPr>
        <w:pStyle w:val="1379"/>
        <w:ind w:firstLine="440"/>
      </w:pPr>
    </w:p>
    <w:p w14:paraId="337D16FC">
      <w:pPr>
        <w:pStyle w:val="1065"/>
        <w:ind w:firstLine="480"/>
      </w:pPr>
      <w:r>
        <w:t>表1.4-10     《锅炉大气污染物排放标准》</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7"/>
        <w:gridCol w:w="4849"/>
      </w:tblGrid>
      <w:tr w14:paraId="169E5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097" w:type="dxa"/>
            <w:vAlign w:val="center"/>
          </w:tcPr>
          <w:p w14:paraId="60E783C8">
            <w:pPr>
              <w:jc w:val="center"/>
              <w:rPr>
                <w:snapToGrid w:val="0"/>
                <w:kern w:val="0"/>
                <w:sz w:val="22"/>
                <w:szCs w:val="22"/>
              </w:rPr>
            </w:pPr>
            <w:r>
              <w:rPr>
                <w:snapToGrid w:val="0"/>
                <w:kern w:val="0"/>
                <w:sz w:val="22"/>
                <w:szCs w:val="22"/>
              </w:rPr>
              <w:t>污染物</w:t>
            </w:r>
          </w:p>
        </w:tc>
        <w:tc>
          <w:tcPr>
            <w:tcW w:w="4849" w:type="dxa"/>
            <w:vAlign w:val="center"/>
          </w:tcPr>
          <w:p w14:paraId="2CB77F60">
            <w:pPr>
              <w:jc w:val="center"/>
              <w:rPr>
                <w:snapToGrid w:val="0"/>
                <w:kern w:val="0"/>
                <w:sz w:val="22"/>
                <w:szCs w:val="22"/>
              </w:rPr>
            </w:pPr>
            <w:r>
              <w:rPr>
                <w:snapToGrid w:val="0"/>
                <w:kern w:val="0"/>
                <w:sz w:val="22"/>
                <w:szCs w:val="22"/>
              </w:rPr>
              <w:t>最高允许排放浓度(mg/m</w:t>
            </w:r>
            <w:r>
              <w:rPr>
                <w:snapToGrid w:val="0"/>
                <w:kern w:val="0"/>
                <w:sz w:val="22"/>
                <w:szCs w:val="22"/>
                <w:vertAlign w:val="superscript"/>
              </w:rPr>
              <w:t>3</w:t>
            </w:r>
            <w:r>
              <w:rPr>
                <w:snapToGrid w:val="0"/>
                <w:kern w:val="0"/>
                <w:sz w:val="22"/>
                <w:szCs w:val="22"/>
              </w:rPr>
              <w:t>)</w:t>
            </w:r>
          </w:p>
        </w:tc>
      </w:tr>
      <w:tr w14:paraId="54593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097" w:type="dxa"/>
            <w:vAlign w:val="center"/>
          </w:tcPr>
          <w:p w14:paraId="53CAECA9">
            <w:pPr>
              <w:jc w:val="center"/>
              <w:rPr>
                <w:snapToGrid w:val="0"/>
                <w:kern w:val="0"/>
                <w:sz w:val="22"/>
                <w:szCs w:val="22"/>
              </w:rPr>
            </w:pPr>
            <w:r>
              <w:rPr>
                <w:snapToGrid w:val="0"/>
                <w:kern w:val="0"/>
                <w:sz w:val="22"/>
                <w:szCs w:val="22"/>
              </w:rPr>
              <w:t>氮氧化物</w:t>
            </w:r>
          </w:p>
        </w:tc>
        <w:tc>
          <w:tcPr>
            <w:tcW w:w="4849" w:type="dxa"/>
            <w:vAlign w:val="center"/>
          </w:tcPr>
          <w:p w14:paraId="2AE5FE4A">
            <w:pPr>
              <w:jc w:val="center"/>
              <w:rPr>
                <w:snapToGrid w:val="0"/>
                <w:kern w:val="0"/>
                <w:sz w:val="22"/>
                <w:szCs w:val="22"/>
              </w:rPr>
            </w:pPr>
            <w:r>
              <w:rPr>
                <w:snapToGrid w:val="0"/>
                <w:kern w:val="0"/>
                <w:sz w:val="22"/>
                <w:szCs w:val="22"/>
              </w:rPr>
              <w:t>200</w:t>
            </w:r>
          </w:p>
        </w:tc>
      </w:tr>
      <w:tr w14:paraId="52EB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097" w:type="dxa"/>
            <w:vAlign w:val="center"/>
          </w:tcPr>
          <w:p w14:paraId="7C983442">
            <w:pPr>
              <w:jc w:val="center"/>
              <w:rPr>
                <w:snapToGrid w:val="0"/>
                <w:kern w:val="0"/>
                <w:sz w:val="22"/>
                <w:szCs w:val="22"/>
              </w:rPr>
            </w:pPr>
            <w:r>
              <w:rPr>
                <w:snapToGrid w:val="0"/>
                <w:kern w:val="0"/>
                <w:sz w:val="22"/>
                <w:szCs w:val="22"/>
              </w:rPr>
              <w:t>颗粒物</w:t>
            </w:r>
          </w:p>
        </w:tc>
        <w:tc>
          <w:tcPr>
            <w:tcW w:w="4849" w:type="dxa"/>
            <w:vAlign w:val="center"/>
          </w:tcPr>
          <w:p w14:paraId="7619B2BF">
            <w:pPr>
              <w:jc w:val="center"/>
              <w:rPr>
                <w:snapToGrid w:val="0"/>
                <w:kern w:val="0"/>
                <w:sz w:val="22"/>
                <w:szCs w:val="22"/>
              </w:rPr>
            </w:pPr>
            <w:r>
              <w:rPr>
                <w:snapToGrid w:val="0"/>
                <w:kern w:val="0"/>
                <w:sz w:val="22"/>
                <w:szCs w:val="22"/>
              </w:rPr>
              <w:t>20</w:t>
            </w:r>
          </w:p>
        </w:tc>
      </w:tr>
    </w:tbl>
    <w:p w14:paraId="26874235">
      <w:pPr>
        <w:pStyle w:val="702"/>
        <w:spacing w:line="240" w:lineRule="auto"/>
        <w:ind w:firstLine="520"/>
        <w:rPr>
          <w:rFonts w:cs="Times New Roman"/>
        </w:rPr>
      </w:pPr>
    </w:p>
    <w:p w14:paraId="2E03C445">
      <w:pPr>
        <w:pStyle w:val="1065"/>
        <w:ind w:firstLine="480"/>
      </w:pPr>
      <w:r>
        <w:rPr>
          <w:rFonts w:hint="eastAsia"/>
        </w:rPr>
        <w:t>表</w:t>
      </w:r>
      <w:r>
        <w:t>1.4-11     《陆上石油天然气开采工业大气污染物排放标准》</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44"/>
        <w:gridCol w:w="2548"/>
        <w:gridCol w:w="2954"/>
      </w:tblGrid>
      <w:tr w14:paraId="5BCB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444" w:type="dxa"/>
            <w:vAlign w:val="center"/>
          </w:tcPr>
          <w:p w14:paraId="618D5CD0">
            <w:pPr>
              <w:pStyle w:val="687"/>
            </w:pPr>
            <w:r>
              <w:t>污染物项目</w:t>
            </w:r>
          </w:p>
        </w:tc>
        <w:tc>
          <w:tcPr>
            <w:tcW w:w="2548" w:type="dxa"/>
            <w:vAlign w:val="center"/>
          </w:tcPr>
          <w:p w14:paraId="072E77ED">
            <w:pPr>
              <w:pStyle w:val="687"/>
            </w:pPr>
            <w:r>
              <w:t>排放限值</w:t>
            </w:r>
            <w:r>
              <w:rPr>
                <w:snapToGrid w:val="0"/>
                <w:kern w:val="0"/>
                <w:szCs w:val="22"/>
              </w:rPr>
              <w:t>(mg/m</w:t>
            </w:r>
            <w:r>
              <w:rPr>
                <w:snapToGrid w:val="0"/>
                <w:kern w:val="0"/>
                <w:szCs w:val="22"/>
                <w:vertAlign w:val="superscript"/>
              </w:rPr>
              <w:t>3</w:t>
            </w:r>
            <w:r>
              <w:rPr>
                <w:snapToGrid w:val="0"/>
                <w:kern w:val="0"/>
                <w:szCs w:val="22"/>
              </w:rPr>
              <w:t>)</w:t>
            </w:r>
          </w:p>
        </w:tc>
        <w:tc>
          <w:tcPr>
            <w:tcW w:w="2954" w:type="dxa"/>
            <w:vAlign w:val="center"/>
          </w:tcPr>
          <w:p w14:paraId="1CBB62D7">
            <w:pPr>
              <w:pStyle w:val="687"/>
            </w:pPr>
            <w:r>
              <w:t>备注</w:t>
            </w:r>
          </w:p>
        </w:tc>
      </w:tr>
      <w:tr w14:paraId="6E10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444" w:type="dxa"/>
            <w:vAlign w:val="center"/>
          </w:tcPr>
          <w:p w14:paraId="2D822C41">
            <w:pPr>
              <w:pStyle w:val="687"/>
            </w:pPr>
            <w:r>
              <w:t>NMHC</w:t>
            </w:r>
          </w:p>
        </w:tc>
        <w:tc>
          <w:tcPr>
            <w:tcW w:w="2548" w:type="dxa"/>
            <w:vAlign w:val="center"/>
          </w:tcPr>
          <w:p w14:paraId="75E885E3">
            <w:pPr>
              <w:pStyle w:val="687"/>
            </w:pPr>
            <w:r>
              <w:t>4.0</w:t>
            </w:r>
          </w:p>
        </w:tc>
        <w:tc>
          <w:tcPr>
            <w:tcW w:w="2954" w:type="dxa"/>
            <w:vAlign w:val="center"/>
          </w:tcPr>
          <w:p w14:paraId="74655238">
            <w:pPr>
              <w:pStyle w:val="687"/>
            </w:pPr>
            <w:r>
              <w:t>厂界排放限值</w:t>
            </w:r>
          </w:p>
        </w:tc>
      </w:tr>
    </w:tbl>
    <w:p w14:paraId="7A94E81B">
      <w:pPr>
        <w:pStyle w:val="1066"/>
        <w:ind w:firstLine="520"/>
      </w:pPr>
    </w:p>
    <w:p w14:paraId="3D996073">
      <w:pPr>
        <w:spacing w:line="460" w:lineRule="exact"/>
        <w:ind w:firstLine="520" w:firstLineChars="200"/>
        <w:rPr>
          <w:sz w:val="26"/>
          <w:szCs w:val="26"/>
        </w:rPr>
      </w:pPr>
      <w:r>
        <w:rPr>
          <w:sz w:val="26"/>
          <w:szCs w:val="26"/>
        </w:rPr>
        <w:t>（2）废水</w:t>
      </w:r>
    </w:p>
    <w:p w14:paraId="4015F35E">
      <w:pPr>
        <w:spacing w:line="460" w:lineRule="exact"/>
        <w:ind w:firstLine="520" w:firstLineChars="200"/>
        <w:rPr>
          <w:sz w:val="26"/>
          <w:szCs w:val="26"/>
        </w:rPr>
      </w:pPr>
      <w:r>
        <w:rPr>
          <w:rFonts w:hint="eastAsia"/>
          <w:sz w:val="26"/>
          <w:szCs w:val="26"/>
        </w:rPr>
        <w:t>施工期：施工废水简易沉淀后，用于场地洒水抑尘；试压废水简易沉淀后，回用于绿化和洒水降尘；生活污水依托井场附近居民厕所以及所住旅店厕所处置。</w:t>
      </w:r>
    </w:p>
    <w:p w14:paraId="252643F4">
      <w:pPr>
        <w:spacing w:line="460" w:lineRule="exact"/>
        <w:ind w:firstLine="520" w:firstLineChars="200"/>
        <w:rPr>
          <w:sz w:val="26"/>
          <w:szCs w:val="26"/>
        </w:rPr>
      </w:pPr>
      <w:r>
        <w:rPr>
          <w:rFonts w:hint="eastAsia"/>
          <w:sz w:val="26"/>
          <w:szCs w:val="26"/>
        </w:rPr>
        <w:t>试采期：产生的气田水、放空分离液、分子筛冷凝水和检修废水暂存于气田水储罐，定期由罐车运输至四川洁安环境科技有限公司油气田废水处理站、四川兴澳环境技术服务有限公司油气井地下水处理站处置，或区域内有合法资质且有处理能力的第三方单位处置；生活污水经环保厕所收集后定期外运附近城镇生活污水处理厂处置。</w:t>
      </w:r>
    </w:p>
    <w:p w14:paraId="4809A335">
      <w:pPr>
        <w:spacing w:line="460" w:lineRule="exact"/>
        <w:ind w:firstLine="520" w:firstLineChars="200"/>
        <w:rPr>
          <w:sz w:val="26"/>
          <w:szCs w:val="26"/>
        </w:rPr>
      </w:pPr>
      <w:r>
        <w:rPr>
          <w:sz w:val="26"/>
          <w:szCs w:val="26"/>
        </w:rPr>
        <w:t>本项目无废水直接外排，不执行相关废水排放标准。</w:t>
      </w:r>
    </w:p>
    <w:p w14:paraId="34C7119B">
      <w:pPr>
        <w:pStyle w:val="702"/>
        <w:ind w:firstLine="520"/>
        <w:rPr>
          <w:rFonts w:cs="Times New Roman"/>
          <w:szCs w:val="26"/>
        </w:rPr>
      </w:pPr>
      <w:r>
        <w:rPr>
          <w:rFonts w:cs="Times New Roman"/>
        </w:rPr>
        <w:t>（3）</w:t>
      </w:r>
      <w:r>
        <w:rPr>
          <w:rFonts w:cs="Times New Roman"/>
          <w:szCs w:val="26"/>
        </w:rPr>
        <w:t>噪声排放标准</w:t>
      </w:r>
    </w:p>
    <w:p w14:paraId="53FB299F">
      <w:pPr>
        <w:autoSpaceDE w:val="0"/>
        <w:autoSpaceDN w:val="0"/>
        <w:adjustRightInd w:val="0"/>
        <w:spacing w:line="460" w:lineRule="exact"/>
        <w:ind w:firstLine="520"/>
        <w:rPr>
          <w:sz w:val="26"/>
          <w:szCs w:val="26"/>
        </w:rPr>
      </w:pPr>
      <w:r>
        <w:rPr>
          <w:sz w:val="26"/>
          <w:szCs w:val="26"/>
        </w:rPr>
        <w:t>项目施工期噪声执行</w:t>
      </w:r>
      <w:r>
        <w:rPr>
          <w:rFonts w:hint="eastAsia"/>
          <w:sz w:val="26"/>
          <w:szCs w:val="26"/>
        </w:rPr>
        <w:t>《建筑施工噪声排放标准》（GB12523-2025）</w:t>
      </w:r>
      <w:r>
        <w:rPr>
          <w:sz w:val="26"/>
          <w:szCs w:val="26"/>
        </w:rPr>
        <w:t>；试采期主要为试采站设备运行产生的噪声，项目所在区域属于声环境2类功能区，故执行《</w:t>
      </w:r>
      <w:r>
        <w:rPr>
          <w:rFonts w:hint="eastAsia"/>
          <w:sz w:val="26"/>
          <w:szCs w:val="26"/>
        </w:rPr>
        <w:t>工业企业厂界环境噪声排放标准</w:t>
      </w:r>
      <w:r>
        <w:rPr>
          <w:sz w:val="26"/>
          <w:szCs w:val="26"/>
        </w:rPr>
        <w:t>》（GB12348-2008）2类区标准。具体详见</w:t>
      </w:r>
      <w:r>
        <w:rPr>
          <w:sz w:val="26"/>
          <w:szCs w:val="26"/>
          <w:u w:val="single"/>
        </w:rPr>
        <w:t>表1.4-12</w:t>
      </w:r>
      <w:r>
        <w:rPr>
          <w:sz w:val="26"/>
          <w:szCs w:val="26"/>
        </w:rPr>
        <w:t>。</w:t>
      </w:r>
    </w:p>
    <w:p w14:paraId="65788915">
      <w:pPr>
        <w:pStyle w:val="1379"/>
        <w:ind w:firstLine="440"/>
      </w:pPr>
    </w:p>
    <w:p w14:paraId="5C2FE00A">
      <w:pPr>
        <w:pStyle w:val="1065"/>
      </w:pPr>
      <w:r>
        <w:t>表1.4-12   噪声排放标准  单位：dB（A）</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3"/>
        <w:gridCol w:w="1569"/>
        <w:gridCol w:w="1982"/>
        <w:gridCol w:w="3862"/>
      </w:tblGrid>
      <w:tr w14:paraId="5E6D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3" w:type="dxa"/>
            <w:vAlign w:val="center"/>
          </w:tcPr>
          <w:p w14:paraId="33B2D1AD">
            <w:pPr>
              <w:adjustRightInd w:val="0"/>
              <w:snapToGrid w:val="0"/>
              <w:jc w:val="center"/>
              <w:rPr>
                <w:kern w:val="0"/>
                <w:sz w:val="22"/>
                <w:szCs w:val="22"/>
              </w:rPr>
            </w:pPr>
            <w:r>
              <w:rPr>
                <w:kern w:val="0"/>
                <w:sz w:val="22"/>
                <w:szCs w:val="22"/>
              </w:rPr>
              <w:t>项目阶段</w:t>
            </w:r>
          </w:p>
        </w:tc>
        <w:tc>
          <w:tcPr>
            <w:tcW w:w="1569" w:type="dxa"/>
            <w:vAlign w:val="center"/>
          </w:tcPr>
          <w:p w14:paraId="6E229EDB">
            <w:pPr>
              <w:adjustRightInd w:val="0"/>
              <w:snapToGrid w:val="0"/>
              <w:jc w:val="center"/>
              <w:rPr>
                <w:kern w:val="0"/>
                <w:sz w:val="22"/>
                <w:szCs w:val="22"/>
              </w:rPr>
            </w:pPr>
            <w:r>
              <w:rPr>
                <w:kern w:val="0"/>
                <w:sz w:val="22"/>
                <w:szCs w:val="22"/>
              </w:rPr>
              <w:t>昼间</w:t>
            </w:r>
          </w:p>
        </w:tc>
        <w:tc>
          <w:tcPr>
            <w:tcW w:w="1982" w:type="dxa"/>
            <w:vAlign w:val="center"/>
          </w:tcPr>
          <w:p w14:paraId="41351C90">
            <w:pPr>
              <w:adjustRightInd w:val="0"/>
              <w:snapToGrid w:val="0"/>
              <w:jc w:val="center"/>
              <w:rPr>
                <w:kern w:val="0"/>
                <w:sz w:val="22"/>
                <w:szCs w:val="22"/>
              </w:rPr>
            </w:pPr>
            <w:r>
              <w:rPr>
                <w:kern w:val="0"/>
                <w:sz w:val="22"/>
                <w:szCs w:val="22"/>
              </w:rPr>
              <w:t>夜间</w:t>
            </w:r>
          </w:p>
        </w:tc>
        <w:tc>
          <w:tcPr>
            <w:tcW w:w="3862" w:type="dxa"/>
            <w:vAlign w:val="center"/>
          </w:tcPr>
          <w:p w14:paraId="2D959475">
            <w:pPr>
              <w:adjustRightInd w:val="0"/>
              <w:snapToGrid w:val="0"/>
              <w:jc w:val="center"/>
              <w:rPr>
                <w:kern w:val="0"/>
                <w:sz w:val="22"/>
                <w:szCs w:val="22"/>
              </w:rPr>
            </w:pPr>
            <w:r>
              <w:rPr>
                <w:kern w:val="0"/>
                <w:sz w:val="22"/>
                <w:szCs w:val="22"/>
              </w:rPr>
              <w:t>执行标准</w:t>
            </w:r>
          </w:p>
        </w:tc>
      </w:tr>
      <w:tr w14:paraId="4F12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3" w:type="dxa"/>
            <w:vAlign w:val="center"/>
          </w:tcPr>
          <w:p w14:paraId="1C4AF0CF">
            <w:pPr>
              <w:adjustRightInd w:val="0"/>
              <w:snapToGrid w:val="0"/>
              <w:jc w:val="center"/>
              <w:rPr>
                <w:kern w:val="0"/>
                <w:sz w:val="22"/>
                <w:szCs w:val="22"/>
              </w:rPr>
            </w:pPr>
            <w:r>
              <w:rPr>
                <w:kern w:val="0"/>
                <w:sz w:val="22"/>
                <w:szCs w:val="22"/>
              </w:rPr>
              <w:t>施工期</w:t>
            </w:r>
          </w:p>
        </w:tc>
        <w:tc>
          <w:tcPr>
            <w:tcW w:w="1569" w:type="dxa"/>
            <w:vAlign w:val="center"/>
          </w:tcPr>
          <w:p w14:paraId="0204E6F5">
            <w:pPr>
              <w:adjustRightInd w:val="0"/>
              <w:snapToGrid w:val="0"/>
              <w:jc w:val="center"/>
              <w:rPr>
                <w:kern w:val="0"/>
                <w:sz w:val="22"/>
                <w:szCs w:val="22"/>
              </w:rPr>
            </w:pPr>
            <w:r>
              <w:rPr>
                <w:kern w:val="0"/>
                <w:sz w:val="22"/>
                <w:szCs w:val="22"/>
              </w:rPr>
              <w:t>70</w:t>
            </w:r>
          </w:p>
        </w:tc>
        <w:tc>
          <w:tcPr>
            <w:tcW w:w="1982" w:type="dxa"/>
            <w:vAlign w:val="center"/>
          </w:tcPr>
          <w:p w14:paraId="111CE97F">
            <w:pPr>
              <w:adjustRightInd w:val="0"/>
              <w:snapToGrid w:val="0"/>
              <w:jc w:val="center"/>
              <w:rPr>
                <w:kern w:val="0"/>
                <w:sz w:val="22"/>
                <w:szCs w:val="22"/>
              </w:rPr>
            </w:pPr>
            <w:r>
              <w:rPr>
                <w:kern w:val="0"/>
                <w:sz w:val="22"/>
                <w:szCs w:val="22"/>
              </w:rPr>
              <w:t>55</w:t>
            </w:r>
          </w:p>
        </w:tc>
        <w:tc>
          <w:tcPr>
            <w:tcW w:w="3862" w:type="dxa"/>
            <w:vAlign w:val="center"/>
          </w:tcPr>
          <w:p w14:paraId="1D36723A">
            <w:pPr>
              <w:adjustRightInd w:val="0"/>
              <w:snapToGrid w:val="0"/>
              <w:jc w:val="center"/>
              <w:rPr>
                <w:kern w:val="0"/>
                <w:sz w:val="22"/>
                <w:szCs w:val="22"/>
              </w:rPr>
            </w:pPr>
            <w:r>
              <w:rPr>
                <w:kern w:val="0"/>
                <w:sz w:val="22"/>
                <w:szCs w:val="22"/>
              </w:rPr>
              <w:t>《建筑施工噪声排放标准》</w:t>
            </w:r>
          </w:p>
          <w:p w14:paraId="4CC8D151">
            <w:pPr>
              <w:adjustRightInd w:val="0"/>
              <w:snapToGrid w:val="0"/>
              <w:jc w:val="center"/>
              <w:rPr>
                <w:kern w:val="0"/>
                <w:sz w:val="22"/>
                <w:szCs w:val="22"/>
              </w:rPr>
            </w:pPr>
            <w:r>
              <w:rPr>
                <w:kern w:val="0"/>
                <w:sz w:val="22"/>
                <w:szCs w:val="22"/>
              </w:rPr>
              <w:t>（GB12523-2025）</w:t>
            </w:r>
          </w:p>
        </w:tc>
      </w:tr>
      <w:tr w14:paraId="296A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3" w:type="dxa"/>
            <w:vAlign w:val="center"/>
          </w:tcPr>
          <w:p w14:paraId="269D62C1">
            <w:pPr>
              <w:adjustRightInd w:val="0"/>
              <w:snapToGrid w:val="0"/>
              <w:jc w:val="center"/>
              <w:rPr>
                <w:kern w:val="0"/>
                <w:sz w:val="22"/>
                <w:szCs w:val="22"/>
              </w:rPr>
            </w:pPr>
            <w:r>
              <w:rPr>
                <w:kern w:val="0"/>
                <w:sz w:val="22"/>
                <w:szCs w:val="22"/>
              </w:rPr>
              <w:t>试采期</w:t>
            </w:r>
          </w:p>
        </w:tc>
        <w:tc>
          <w:tcPr>
            <w:tcW w:w="1569" w:type="dxa"/>
            <w:vAlign w:val="center"/>
          </w:tcPr>
          <w:p w14:paraId="7EE23BD5">
            <w:pPr>
              <w:adjustRightInd w:val="0"/>
              <w:snapToGrid w:val="0"/>
              <w:jc w:val="center"/>
              <w:rPr>
                <w:kern w:val="0"/>
                <w:sz w:val="22"/>
                <w:szCs w:val="22"/>
              </w:rPr>
            </w:pPr>
            <w:r>
              <w:rPr>
                <w:kern w:val="0"/>
                <w:sz w:val="22"/>
                <w:szCs w:val="22"/>
              </w:rPr>
              <w:t>60</w:t>
            </w:r>
          </w:p>
        </w:tc>
        <w:tc>
          <w:tcPr>
            <w:tcW w:w="1982" w:type="dxa"/>
            <w:vAlign w:val="center"/>
          </w:tcPr>
          <w:p w14:paraId="481E63A6">
            <w:pPr>
              <w:adjustRightInd w:val="0"/>
              <w:snapToGrid w:val="0"/>
              <w:jc w:val="center"/>
              <w:rPr>
                <w:kern w:val="0"/>
                <w:sz w:val="22"/>
                <w:szCs w:val="22"/>
              </w:rPr>
            </w:pPr>
            <w:r>
              <w:rPr>
                <w:kern w:val="0"/>
                <w:sz w:val="22"/>
                <w:szCs w:val="22"/>
              </w:rPr>
              <w:t>50</w:t>
            </w:r>
          </w:p>
        </w:tc>
        <w:tc>
          <w:tcPr>
            <w:tcW w:w="3862" w:type="dxa"/>
            <w:vAlign w:val="center"/>
          </w:tcPr>
          <w:p w14:paraId="50E1A827">
            <w:pPr>
              <w:adjustRightInd w:val="0"/>
              <w:snapToGrid w:val="0"/>
              <w:jc w:val="center"/>
              <w:rPr>
                <w:kern w:val="0"/>
                <w:sz w:val="22"/>
                <w:szCs w:val="22"/>
              </w:rPr>
            </w:pPr>
            <w:r>
              <w:rPr>
                <w:kern w:val="0"/>
                <w:sz w:val="22"/>
                <w:szCs w:val="22"/>
              </w:rPr>
              <w:t>《工业企业厂界环境噪声</w:t>
            </w:r>
            <w:bookmarkStart w:id="69" w:name="OLE_LINK1"/>
            <w:bookmarkStart w:id="70" w:name="OLE_LINK2"/>
            <w:r>
              <w:rPr>
                <w:kern w:val="0"/>
                <w:sz w:val="22"/>
                <w:szCs w:val="22"/>
              </w:rPr>
              <w:t>排放标准</w:t>
            </w:r>
            <w:bookmarkEnd w:id="69"/>
            <w:bookmarkEnd w:id="70"/>
            <w:r>
              <w:rPr>
                <w:kern w:val="0"/>
                <w:sz w:val="22"/>
                <w:szCs w:val="22"/>
              </w:rPr>
              <w:t>》</w:t>
            </w:r>
          </w:p>
          <w:p w14:paraId="7BFCB9A1">
            <w:pPr>
              <w:adjustRightInd w:val="0"/>
              <w:snapToGrid w:val="0"/>
              <w:jc w:val="center"/>
              <w:rPr>
                <w:kern w:val="0"/>
                <w:sz w:val="22"/>
                <w:szCs w:val="22"/>
              </w:rPr>
            </w:pPr>
            <w:r>
              <w:rPr>
                <w:kern w:val="0"/>
                <w:sz w:val="22"/>
                <w:szCs w:val="22"/>
              </w:rPr>
              <w:t>（GB12348-2008）2类区标准</w:t>
            </w:r>
          </w:p>
        </w:tc>
      </w:tr>
    </w:tbl>
    <w:p w14:paraId="6EB40110">
      <w:pPr>
        <w:pStyle w:val="1379"/>
        <w:ind w:firstLine="440"/>
      </w:pPr>
    </w:p>
    <w:p w14:paraId="0A99BC80">
      <w:pPr>
        <w:adjustRightInd w:val="0"/>
        <w:snapToGrid w:val="0"/>
        <w:spacing w:line="460" w:lineRule="exact"/>
        <w:ind w:firstLine="520" w:firstLineChars="200"/>
        <w:rPr>
          <w:sz w:val="26"/>
          <w:szCs w:val="26"/>
        </w:rPr>
      </w:pPr>
      <w:r>
        <w:rPr>
          <w:sz w:val="26"/>
          <w:szCs w:val="26"/>
        </w:rPr>
        <w:t>（4）固体废物暂存和处置标准</w:t>
      </w:r>
    </w:p>
    <w:p w14:paraId="46E12D60">
      <w:pPr>
        <w:autoSpaceDE w:val="0"/>
        <w:autoSpaceDN w:val="0"/>
        <w:adjustRightInd w:val="0"/>
        <w:snapToGrid w:val="0"/>
        <w:spacing w:line="460" w:lineRule="exact"/>
        <w:ind w:firstLine="520" w:firstLineChars="200"/>
        <w:rPr>
          <w:sz w:val="26"/>
          <w:szCs w:val="26"/>
        </w:rPr>
      </w:pPr>
      <w:r>
        <w:rPr>
          <w:rFonts w:hint="eastAsia"/>
          <w:sz w:val="26"/>
          <w:szCs w:val="26"/>
        </w:rPr>
        <w:t>本项目一般工业固体废物参照《一般工业固体废物贮存和填埋污染控制标准》（GB 18599-2020）中相关要求，其贮存过程应满足相应防渗漏、防雨淋、防扬尘等环境保护要求，管理台账执行《一般工业固体废物管理台账制定指南（试行）》（公告2021年第82号）相关要求；危险废物执行《危险废物贮存污染控制标准》（GB1 8597-2023）、《危险废物收集 贮存 运输技术规范》（HJ 2025-2012）、《危险废物识别标志设置技术规范》（HJ 1276-2022）、《危险废物管理计划和管理台账制定技术导则》（HJ1259-2022）和《危险废物环境管理指南 陆上石油天然气开采》（生态环境部公告2021年第74号）等的相关要求。</w:t>
      </w:r>
    </w:p>
    <w:p w14:paraId="4796A287">
      <w:pPr>
        <w:adjustRightInd w:val="0"/>
        <w:snapToGrid w:val="0"/>
        <w:spacing w:line="480" w:lineRule="exact"/>
        <w:ind w:firstLine="522" w:firstLineChars="200"/>
        <w:outlineLvl w:val="1"/>
        <w:rPr>
          <w:b/>
          <w:sz w:val="26"/>
          <w:szCs w:val="26"/>
        </w:rPr>
      </w:pPr>
      <w:bookmarkStart w:id="71" w:name="_Toc165809675"/>
      <w:bookmarkStart w:id="72" w:name="_Toc165810460"/>
      <w:bookmarkStart w:id="73" w:name="_Toc219907625"/>
      <w:bookmarkStart w:id="74" w:name="_Toc496535113"/>
      <w:r>
        <w:rPr>
          <w:b/>
          <w:sz w:val="26"/>
          <w:szCs w:val="26"/>
        </w:rPr>
        <w:t>1.5 评价等级</w:t>
      </w:r>
      <w:bookmarkEnd w:id="71"/>
      <w:bookmarkEnd w:id="72"/>
      <w:bookmarkEnd w:id="73"/>
      <w:bookmarkEnd w:id="74"/>
    </w:p>
    <w:p w14:paraId="78E5E909">
      <w:pPr>
        <w:spacing w:line="460" w:lineRule="exact"/>
        <w:ind w:firstLine="512" w:firstLineChars="196"/>
        <w:outlineLvl w:val="2"/>
        <w:rPr>
          <w:b/>
          <w:sz w:val="26"/>
          <w:szCs w:val="26"/>
        </w:rPr>
      </w:pPr>
      <w:bookmarkStart w:id="75" w:name="_Toc165810461"/>
      <w:r>
        <w:rPr>
          <w:b/>
          <w:sz w:val="26"/>
          <w:szCs w:val="26"/>
        </w:rPr>
        <w:t>1.5.1 生态环境</w:t>
      </w:r>
      <w:bookmarkEnd w:id="75"/>
    </w:p>
    <w:p w14:paraId="2729EFDD">
      <w:pPr>
        <w:spacing w:line="460" w:lineRule="exact"/>
        <w:ind w:firstLine="520" w:firstLineChars="200"/>
        <w:rPr>
          <w:bCs/>
          <w:sz w:val="26"/>
          <w:szCs w:val="26"/>
        </w:rPr>
      </w:pPr>
      <w:r>
        <w:rPr>
          <w:rFonts w:hint="eastAsia"/>
          <w:bCs/>
          <w:sz w:val="26"/>
          <w:szCs w:val="26"/>
        </w:rPr>
        <w:t>根据《环境影响评价技术导则 生态影响》（HJ19-2022）评价工作等级确定原则，建设项目同时涉及陆生、水生生态影响时，可针对陆生生态、水生生态分别判定评价等级，本项目试采站在现有井场内建设（不新增占地，不涉及外输管线），不涉及对水生生态的影响，因此本项目仅针对陆生生态进行评价等级判定。</w:t>
      </w:r>
    </w:p>
    <w:p w14:paraId="50510633">
      <w:pPr>
        <w:spacing w:line="460" w:lineRule="exact"/>
        <w:ind w:firstLine="520" w:firstLineChars="200"/>
        <w:rPr>
          <w:bCs/>
          <w:sz w:val="26"/>
          <w:szCs w:val="26"/>
        </w:rPr>
      </w:pPr>
      <w:r>
        <w:rPr>
          <w:rFonts w:hint="eastAsia"/>
          <w:bCs/>
          <w:sz w:val="26"/>
          <w:szCs w:val="26"/>
        </w:rPr>
        <w:t>本项目不新增占地，项目影响区域内不涉及国家公园、世界自然遗产、重要生境、自然公园等生态敏感区，不占用生态保护红线。本项目地表水评价等级为三级B，不考虑水文要素影响型。试采站评价范围内无天然林、公益林和湿地等生态保护目标。</w:t>
      </w:r>
    </w:p>
    <w:p w14:paraId="4F67A46C">
      <w:pPr>
        <w:spacing w:line="460" w:lineRule="exact"/>
        <w:ind w:firstLine="520" w:firstLineChars="200"/>
        <w:rPr>
          <w:bCs/>
          <w:sz w:val="26"/>
          <w:szCs w:val="26"/>
        </w:rPr>
      </w:pPr>
      <w:r>
        <w:rPr>
          <w:rFonts w:hint="eastAsia"/>
          <w:bCs/>
          <w:sz w:val="26"/>
          <w:szCs w:val="26"/>
        </w:rPr>
        <w:t>因此，本项目陆生生态评价等级为三级。本项目具体判定情况见</w:t>
      </w:r>
      <w:r>
        <w:rPr>
          <w:rFonts w:hint="eastAsia"/>
          <w:bCs/>
          <w:sz w:val="26"/>
          <w:szCs w:val="26"/>
          <w:u w:val="single"/>
        </w:rPr>
        <w:t>表1.5-1</w:t>
      </w:r>
      <w:r>
        <w:rPr>
          <w:rFonts w:hint="eastAsia"/>
          <w:bCs/>
          <w:sz w:val="26"/>
          <w:szCs w:val="26"/>
        </w:rPr>
        <w:t>。</w:t>
      </w:r>
    </w:p>
    <w:p w14:paraId="561BB187">
      <w:pPr>
        <w:pStyle w:val="1379"/>
        <w:ind w:firstLine="440"/>
      </w:pPr>
    </w:p>
    <w:p w14:paraId="7F767044">
      <w:pPr>
        <w:pStyle w:val="1065"/>
        <w:keepNext/>
      </w:pPr>
      <w:r>
        <w:t>表1.5-1  生态影响评价等级判定表</w:t>
      </w:r>
    </w:p>
    <w:tbl>
      <w:tblPr>
        <w:tblStyle w:val="88"/>
        <w:tblW w:w="8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99"/>
        <w:gridCol w:w="353"/>
        <w:gridCol w:w="4999"/>
        <w:gridCol w:w="2935"/>
      </w:tblGrid>
      <w:tr w14:paraId="0E7D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51" w:type="dxa"/>
            <w:gridSpan w:val="3"/>
            <w:vMerge w:val="restart"/>
            <w:vAlign w:val="center"/>
          </w:tcPr>
          <w:p w14:paraId="7DBDD3F0">
            <w:pPr>
              <w:jc w:val="center"/>
              <w:rPr>
                <w:sz w:val="22"/>
              </w:rPr>
            </w:pPr>
            <w:r>
              <w:rPr>
                <w:sz w:val="22"/>
              </w:rPr>
              <w:t>导则判定依据</w:t>
            </w:r>
          </w:p>
        </w:tc>
        <w:tc>
          <w:tcPr>
            <w:tcW w:w="2935" w:type="dxa"/>
            <w:vAlign w:val="center"/>
          </w:tcPr>
          <w:p w14:paraId="7678AC79">
            <w:pPr>
              <w:jc w:val="center"/>
              <w:rPr>
                <w:sz w:val="22"/>
              </w:rPr>
            </w:pPr>
            <w:r>
              <w:rPr>
                <w:sz w:val="22"/>
              </w:rPr>
              <w:t>本项目情况</w:t>
            </w:r>
          </w:p>
        </w:tc>
      </w:tr>
      <w:tr w14:paraId="0EB8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51" w:type="dxa"/>
            <w:gridSpan w:val="3"/>
            <w:vMerge w:val="continue"/>
            <w:vAlign w:val="center"/>
          </w:tcPr>
          <w:p w14:paraId="03CD60C9">
            <w:pPr>
              <w:jc w:val="center"/>
              <w:rPr>
                <w:sz w:val="22"/>
              </w:rPr>
            </w:pPr>
          </w:p>
        </w:tc>
        <w:tc>
          <w:tcPr>
            <w:tcW w:w="2935" w:type="dxa"/>
            <w:vAlign w:val="center"/>
          </w:tcPr>
          <w:p w14:paraId="7906A36E">
            <w:pPr>
              <w:jc w:val="center"/>
              <w:rPr>
                <w:sz w:val="22"/>
              </w:rPr>
            </w:pPr>
            <w:r>
              <w:rPr>
                <w:sz w:val="22"/>
              </w:rPr>
              <w:t>陆生生态</w:t>
            </w:r>
          </w:p>
        </w:tc>
      </w:tr>
      <w:tr w14:paraId="4829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99" w:type="dxa"/>
            <w:vMerge w:val="restart"/>
            <w:vAlign w:val="center"/>
          </w:tcPr>
          <w:p w14:paraId="605651A3">
            <w:pPr>
              <w:jc w:val="center"/>
              <w:rPr>
                <w:sz w:val="22"/>
              </w:rPr>
            </w:pPr>
            <w:r>
              <w:rPr>
                <w:sz w:val="22"/>
              </w:rPr>
              <w:t>条款</w:t>
            </w:r>
          </w:p>
          <w:p w14:paraId="6A86D731">
            <w:pPr>
              <w:jc w:val="center"/>
              <w:rPr>
                <w:sz w:val="22"/>
              </w:rPr>
            </w:pPr>
            <w:r>
              <w:rPr>
                <w:sz w:val="22"/>
              </w:rPr>
              <w:t>6.1.2</w:t>
            </w:r>
          </w:p>
        </w:tc>
        <w:tc>
          <w:tcPr>
            <w:tcW w:w="353" w:type="dxa"/>
            <w:vAlign w:val="center"/>
          </w:tcPr>
          <w:p w14:paraId="51FA721A">
            <w:pPr>
              <w:jc w:val="center"/>
              <w:rPr>
                <w:sz w:val="22"/>
              </w:rPr>
            </w:pPr>
            <w:r>
              <w:rPr>
                <w:sz w:val="22"/>
              </w:rPr>
              <w:t>1</w:t>
            </w:r>
          </w:p>
        </w:tc>
        <w:tc>
          <w:tcPr>
            <w:tcW w:w="4999" w:type="dxa"/>
            <w:vAlign w:val="center"/>
          </w:tcPr>
          <w:p w14:paraId="0FF84097">
            <w:pPr>
              <w:rPr>
                <w:sz w:val="22"/>
              </w:rPr>
            </w:pPr>
            <w:r>
              <w:rPr>
                <w:sz w:val="22"/>
              </w:rPr>
              <w:t>涉及国家公园、自然保护区、世界自然遗产、重要生境时，评价等级为一级；</w:t>
            </w:r>
          </w:p>
        </w:tc>
        <w:tc>
          <w:tcPr>
            <w:tcW w:w="2935" w:type="dxa"/>
            <w:vAlign w:val="center"/>
          </w:tcPr>
          <w:p w14:paraId="41D29EF9">
            <w:pPr>
              <w:rPr>
                <w:sz w:val="22"/>
              </w:rPr>
            </w:pPr>
            <w:r>
              <w:rPr>
                <w:sz w:val="22"/>
              </w:rPr>
              <w:t>本项目不涉及国家公园、自然保护区、世界自然遗产、重要生境等区域。</w:t>
            </w:r>
          </w:p>
        </w:tc>
      </w:tr>
      <w:tr w14:paraId="2020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99" w:type="dxa"/>
            <w:vMerge w:val="continue"/>
            <w:vAlign w:val="center"/>
          </w:tcPr>
          <w:p w14:paraId="7B278115">
            <w:pPr>
              <w:jc w:val="center"/>
              <w:rPr>
                <w:sz w:val="22"/>
              </w:rPr>
            </w:pPr>
          </w:p>
        </w:tc>
        <w:tc>
          <w:tcPr>
            <w:tcW w:w="353" w:type="dxa"/>
            <w:vAlign w:val="center"/>
          </w:tcPr>
          <w:p w14:paraId="3590060E">
            <w:pPr>
              <w:jc w:val="center"/>
              <w:rPr>
                <w:sz w:val="22"/>
              </w:rPr>
            </w:pPr>
            <w:r>
              <w:rPr>
                <w:sz w:val="22"/>
              </w:rPr>
              <w:t>2</w:t>
            </w:r>
          </w:p>
        </w:tc>
        <w:tc>
          <w:tcPr>
            <w:tcW w:w="4999" w:type="dxa"/>
            <w:vAlign w:val="center"/>
          </w:tcPr>
          <w:p w14:paraId="714511A3">
            <w:pPr>
              <w:rPr>
                <w:sz w:val="22"/>
              </w:rPr>
            </w:pPr>
            <w:r>
              <w:rPr>
                <w:sz w:val="22"/>
              </w:rPr>
              <w:t>涉及自然公园时，评价等级为二级；</w:t>
            </w:r>
          </w:p>
        </w:tc>
        <w:tc>
          <w:tcPr>
            <w:tcW w:w="2935" w:type="dxa"/>
            <w:vAlign w:val="center"/>
          </w:tcPr>
          <w:p w14:paraId="01C29028">
            <w:pPr>
              <w:rPr>
                <w:sz w:val="22"/>
              </w:rPr>
            </w:pPr>
            <w:r>
              <w:rPr>
                <w:sz w:val="22"/>
              </w:rPr>
              <w:t>本项目不涉及自然公园。</w:t>
            </w:r>
          </w:p>
        </w:tc>
      </w:tr>
      <w:tr w14:paraId="1A17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99" w:type="dxa"/>
            <w:vMerge w:val="continue"/>
            <w:vAlign w:val="center"/>
          </w:tcPr>
          <w:p w14:paraId="2CCCDE9C">
            <w:pPr>
              <w:jc w:val="center"/>
              <w:rPr>
                <w:sz w:val="22"/>
              </w:rPr>
            </w:pPr>
          </w:p>
        </w:tc>
        <w:tc>
          <w:tcPr>
            <w:tcW w:w="353" w:type="dxa"/>
            <w:vAlign w:val="center"/>
          </w:tcPr>
          <w:p w14:paraId="4A84D6B2">
            <w:pPr>
              <w:jc w:val="center"/>
              <w:rPr>
                <w:sz w:val="22"/>
              </w:rPr>
            </w:pPr>
            <w:r>
              <w:rPr>
                <w:sz w:val="22"/>
              </w:rPr>
              <w:t>3</w:t>
            </w:r>
          </w:p>
        </w:tc>
        <w:tc>
          <w:tcPr>
            <w:tcW w:w="4999" w:type="dxa"/>
            <w:vAlign w:val="center"/>
          </w:tcPr>
          <w:p w14:paraId="652D4434">
            <w:pPr>
              <w:rPr>
                <w:sz w:val="22"/>
              </w:rPr>
            </w:pPr>
            <w:r>
              <w:rPr>
                <w:sz w:val="22"/>
              </w:rPr>
              <w:t>涉及生态保护红线时，评价等级不低于二级；</w:t>
            </w:r>
          </w:p>
        </w:tc>
        <w:tc>
          <w:tcPr>
            <w:tcW w:w="2935" w:type="dxa"/>
            <w:vAlign w:val="center"/>
          </w:tcPr>
          <w:p w14:paraId="149E5B0E">
            <w:pPr>
              <w:rPr>
                <w:sz w:val="22"/>
              </w:rPr>
            </w:pPr>
            <w:r>
              <w:rPr>
                <w:sz w:val="22"/>
              </w:rPr>
              <w:t>本项目不涉及生态保护红线区域。</w:t>
            </w:r>
          </w:p>
        </w:tc>
      </w:tr>
      <w:tr w14:paraId="5C0B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99" w:type="dxa"/>
            <w:vMerge w:val="continue"/>
            <w:vAlign w:val="center"/>
          </w:tcPr>
          <w:p w14:paraId="22B61950">
            <w:pPr>
              <w:jc w:val="center"/>
              <w:rPr>
                <w:sz w:val="22"/>
              </w:rPr>
            </w:pPr>
          </w:p>
        </w:tc>
        <w:tc>
          <w:tcPr>
            <w:tcW w:w="353" w:type="dxa"/>
            <w:vAlign w:val="center"/>
          </w:tcPr>
          <w:p w14:paraId="3EF5C58A">
            <w:pPr>
              <w:jc w:val="center"/>
              <w:rPr>
                <w:sz w:val="22"/>
              </w:rPr>
            </w:pPr>
            <w:r>
              <w:rPr>
                <w:sz w:val="22"/>
              </w:rPr>
              <w:t>4</w:t>
            </w:r>
          </w:p>
        </w:tc>
        <w:tc>
          <w:tcPr>
            <w:tcW w:w="4999" w:type="dxa"/>
            <w:vAlign w:val="center"/>
          </w:tcPr>
          <w:p w14:paraId="75A810CD">
            <w:pPr>
              <w:rPr>
                <w:sz w:val="22"/>
              </w:rPr>
            </w:pPr>
            <w:r>
              <w:rPr>
                <w:sz w:val="22"/>
              </w:rPr>
              <w:t>根据HJ2.3判断属于水文要素影响型且地表水评价等级不低于二级的建设项目，生态影响评价等级不低于二级；</w:t>
            </w:r>
          </w:p>
        </w:tc>
        <w:tc>
          <w:tcPr>
            <w:tcW w:w="2935" w:type="dxa"/>
            <w:vAlign w:val="center"/>
          </w:tcPr>
          <w:p w14:paraId="4B99883A">
            <w:pPr>
              <w:rPr>
                <w:sz w:val="22"/>
              </w:rPr>
            </w:pPr>
            <w:r>
              <w:rPr>
                <w:sz w:val="22"/>
              </w:rPr>
              <w:t>本项目属于水污染型建设项目，评价等级为三级B，不属于水文要素影响型建设项目。</w:t>
            </w:r>
          </w:p>
        </w:tc>
      </w:tr>
      <w:tr w14:paraId="10A8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99" w:type="dxa"/>
            <w:vMerge w:val="continue"/>
            <w:vAlign w:val="center"/>
          </w:tcPr>
          <w:p w14:paraId="4FB7FA3B">
            <w:pPr>
              <w:jc w:val="center"/>
              <w:rPr>
                <w:sz w:val="22"/>
              </w:rPr>
            </w:pPr>
          </w:p>
        </w:tc>
        <w:tc>
          <w:tcPr>
            <w:tcW w:w="353" w:type="dxa"/>
            <w:vAlign w:val="center"/>
          </w:tcPr>
          <w:p w14:paraId="600797A7">
            <w:pPr>
              <w:jc w:val="center"/>
              <w:rPr>
                <w:sz w:val="22"/>
              </w:rPr>
            </w:pPr>
            <w:r>
              <w:rPr>
                <w:sz w:val="22"/>
              </w:rPr>
              <w:t>5</w:t>
            </w:r>
          </w:p>
        </w:tc>
        <w:tc>
          <w:tcPr>
            <w:tcW w:w="4999" w:type="dxa"/>
            <w:vAlign w:val="center"/>
          </w:tcPr>
          <w:p w14:paraId="1E51C2ED">
            <w:pPr>
              <w:rPr>
                <w:sz w:val="22"/>
              </w:rPr>
            </w:pPr>
            <w:r>
              <w:rPr>
                <w:sz w:val="22"/>
              </w:rPr>
              <w:t>根据HJ610、HJ964判断地下水水位或土壤影响范围内分布有天然林、公益林、湿地等生态保护目标的建设项目，生态影响评价等级不低于二级；</w:t>
            </w:r>
          </w:p>
        </w:tc>
        <w:tc>
          <w:tcPr>
            <w:tcW w:w="2935" w:type="dxa"/>
            <w:vAlign w:val="center"/>
          </w:tcPr>
          <w:p w14:paraId="41AFCF18">
            <w:pPr>
              <w:rPr>
                <w:sz w:val="22"/>
              </w:rPr>
            </w:pPr>
            <w:r>
              <w:rPr>
                <w:rFonts w:hint="eastAsia"/>
                <w:sz w:val="22"/>
              </w:rPr>
              <w:t>本项目对地下水水位无影响，评价范围内无</w:t>
            </w:r>
            <w:r>
              <w:rPr>
                <w:sz w:val="22"/>
              </w:rPr>
              <w:t>天然林、公益林、湿地等生态保护目标</w:t>
            </w:r>
            <w:r>
              <w:rPr>
                <w:rFonts w:hint="eastAsia"/>
                <w:sz w:val="22"/>
              </w:rPr>
              <w:t>。</w:t>
            </w:r>
          </w:p>
        </w:tc>
      </w:tr>
      <w:tr w14:paraId="2991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99" w:type="dxa"/>
            <w:vMerge w:val="continue"/>
            <w:vAlign w:val="center"/>
          </w:tcPr>
          <w:p w14:paraId="32EC7937">
            <w:pPr>
              <w:jc w:val="center"/>
              <w:rPr>
                <w:sz w:val="22"/>
              </w:rPr>
            </w:pPr>
          </w:p>
        </w:tc>
        <w:tc>
          <w:tcPr>
            <w:tcW w:w="353" w:type="dxa"/>
            <w:vAlign w:val="center"/>
          </w:tcPr>
          <w:p w14:paraId="34F2FB5D">
            <w:pPr>
              <w:jc w:val="center"/>
              <w:rPr>
                <w:sz w:val="22"/>
              </w:rPr>
            </w:pPr>
            <w:r>
              <w:rPr>
                <w:sz w:val="22"/>
              </w:rPr>
              <w:t>6</w:t>
            </w:r>
          </w:p>
        </w:tc>
        <w:tc>
          <w:tcPr>
            <w:tcW w:w="4999" w:type="dxa"/>
            <w:vAlign w:val="center"/>
          </w:tcPr>
          <w:p w14:paraId="68A1E417">
            <w:pPr>
              <w:rPr>
                <w:sz w:val="22"/>
              </w:rPr>
            </w:pPr>
            <w:r>
              <w:rPr>
                <w:sz w:val="22"/>
              </w:rPr>
              <w:t>当工程占地规模大于20km</w:t>
            </w:r>
            <w:r>
              <w:rPr>
                <w:sz w:val="22"/>
                <w:vertAlign w:val="superscript"/>
              </w:rPr>
              <w:t>2</w:t>
            </w:r>
            <w:r>
              <w:rPr>
                <w:sz w:val="22"/>
              </w:rPr>
              <w:t>时（包括永久和临时占用陆域和水域），评价等级不低于二级；改扩建项目的占地范围以新增占地（包括陆域和水域）确定；</w:t>
            </w:r>
          </w:p>
        </w:tc>
        <w:tc>
          <w:tcPr>
            <w:tcW w:w="2935" w:type="dxa"/>
            <w:vAlign w:val="center"/>
          </w:tcPr>
          <w:p w14:paraId="25B8473C">
            <w:pPr>
              <w:rPr>
                <w:sz w:val="22"/>
              </w:rPr>
            </w:pPr>
            <w:r>
              <w:rPr>
                <w:sz w:val="22"/>
              </w:rPr>
              <w:t>本项目</w:t>
            </w:r>
            <w:r>
              <w:rPr>
                <w:rFonts w:hint="eastAsia"/>
                <w:sz w:val="22"/>
              </w:rPr>
              <w:t>占地面积</w:t>
            </w:r>
            <w:r>
              <w:rPr>
                <w:sz w:val="22"/>
              </w:rPr>
              <w:t>0.005</w:t>
            </w:r>
            <w:r>
              <w:rPr>
                <w:rFonts w:hint="eastAsia"/>
                <w:sz w:val="22"/>
              </w:rPr>
              <w:t>k</w:t>
            </w:r>
            <w:r>
              <w:rPr>
                <w:sz w:val="22"/>
              </w:rPr>
              <w:t>m</w:t>
            </w:r>
            <w:r>
              <w:rPr>
                <w:sz w:val="22"/>
                <w:vertAlign w:val="superscript"/>
              </w:rPr>
              <w:t>2</w:t>
            </w:r>
            <w:r>
              <w:rPr>
                <w:rFonts w:hint="eastAsia"/>
                <w:sz w:val="22"/>
              </w:rPr>
              <w:t>，低于</w:t>
            </w:r>
            <w:r>
              <w:rPr>
                <w:sz w:val="22"/>
              </w:rPr>
              <w:t>20km</w:t>
            </w:r>
            <w:r>
              <w:rPr>
                <w:sz w:val="22"/>
                <w:vertAlign w:val="superscript"/>
              </w:rPr>
              <w:t>2</w:t>
            </w:r>
            <w:r>
              <w:rPr>
                <w:rFonts w:hint="eastAsia"/>
                <w:sz w:val="22"/>
              </w:rPr>
              <w:t>。</w:t>
            </w:r>
          </w:p>
        </w:tc>
      </w:tr>
      <w:tr w14:paraId="042BD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99" w:type="dxa"/>
            <w:vMerge w:val="continue"/>
            <w:vAlign w:val="center"/>
          </w:tcPr>
          <w:p w14:paraId="4FC63F2B">
            <w:pPr>
              <w:jc w:val="center"/>
              <w:rPr>
                <w:sz w:val="22"/>
              </w:rPr>
            </w:pPr>
          </w:p>
        </w:tc>
        <w:tc>
          <w:tcPr>
            <w:tcW w:w="353" w:type="dxa"/>
            <w:vAlign w:val="center"/>
          </w:tcPr>
          <w:p w14:paraId="03722639">
            <w:pPr>
              <w:jc w:val="center"/>
              <w:rPr>
                <w:sz w:val="22"/>
              </w:rPr>
            </w:pPr>
            <w:r>
              <w:rPr>
                <w:sz w:val="22"/>
              </w:rPr>
              <w:t>7</w:t>
            </w:r>
          </w:p>
        </w:tc>
        <w:tc>
          <w:tcPr>
            <w:tcW w:w="4999" w:type="dxa"/>
            <w:vAlign w:val="center"/>
          </w:tcPr>
          <w:p w14:paraId="4D3104C4">
            <w:pPr>
              <w:rPr>
                <w:sz w:val="22"/>
              </w:rPr>
            </w:pPr>
            <w:r>
              <w:rPr>
                <w:sz w:val="22"/>
              </w:rPr>
              <w:t>除以上1-6条以外的情况，评价等级为三级；</w:t>
            </w:r>
          </w:p>
        </w:tc>
        <w:tc>
          <w:tcPr>
            <w:tcW w:w="2935" w:type="dxa"/>
            <w:vAlign w:val="center"/>
          </w:tcPr>
          <w:p w14:paraId="6C90A58C">
            <w:pPr>
              <w:rPr>
                <w:sz w:val="22"/>
              </w:rPr>
            </w:pPr>
            <w:r>
              <w:rPr>
                <w:rFonts w:hint="eastAsia"/>
                <w:sz w:val="22"/>
              </w:rPr>
              <w:t>三</w:t>
            </w:r>
            <w:r>
              <w:rPr>
                <w:sz w:val="22"/>
              </w:rPr>
              <w:t>级</w:t>
            </w:r>
          </w:p>
        </w:tc>
      </w:tr>
      <w:tr w14:paraId="766A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99" w:type="dxa"/>
            <w:vMerge w:val="continue"/>
            <w:vAlign w:val="center"/>
          </w:tcPr>
          <w:p w14:paraId="21E12C99">
            <w:pPr>
              <w:jc w:val="center"/>
              <w:rPr>
                <w:sz w:val="22"/>
              </w:rPr>
            </w:pPr>
          </w:p>
        </w:tc>
        <w:tc>
          <w:tcPr>
            <w:tcW w:w="353" w:type="dxa"/>
            <w:vAlign w:val="center"/>
          </w:tcPr>
          <w:p w14:paraId="5678A047">
            <w:pPr>
              <w:jc w:val="center"/>
              <w:rPr>
                <w:sz w:val="22"/>
              </w:rPr>
            </w:pPr>
            <w:r>
              <w:rPr>
                <w:sz w:val="22"/>
              </w:rPr>
              <w:t>8</w:t>
            </w:r>
          </w:p>
        </w:tc>
        <w:tc>
          <w:tcPr>
            <w:tcW w:w="4999" w:type="dxa"/>
            <w:vAlign w:val="center"/>
          </w:tcPr>
          <w:p w14:paraId="6CA9B48F">
            <w:pPr>
              <w:rPr>
                <w:sz w:val="22"/>
              </w:rPr>
            </w:pPr>
            <w:r>
              <w:rPr>
                <w:sz w:val="22"/>
              </w:rPr>
              <w:t>当评价等级判定同时符合上述多种情况时，应采用其中最高的评价等级。</w:t>
            </w:r>
          </w:p>
        </w:tc>
        <w:tc>
          <w:tcPr>
            <w:tcW w:w="2935" w:type="dxa"/>
            <w:vAlign w:val="center"/>
          </w:tcPr>
          <w:p w14:paraId="4580B9F3">
            <w:pPr>
              <w:rPr>
                <w:sz w:val="22"/>
              </w:rPr>
            </w:pPr>
            <w:r>
              <w:rPr>
                <w:rFonts w:hint="eastAsia"/>
                <w:sz w:val="22"/>
              </w:rPr>
              <w:t>三</w:t>
            </w:r>
            <w:r>
              <w:rPr>
                <w:sz w:val="22"/>
              </w:rPr>
              <w:t>级</w:t>
            </w:r>
          </w:p>
        </w:tc>
      </w:tr>
      <w:tr w14:paraId="10FE6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7" w:hRule="atLeast"/>
          <w:jc w:val="center"/>
        </w:trPr>
        <w:tc>
          <w:tcPr>
            <w:tcW w:w="852" w:type="dxa"/>
            <w:gridSpan w:val="2"/>
            <w:vAlign w:val="center"/>
          </w:tcPr>
          <w:p w14:paraId="6E61BDCF">
            <w:pPr>
              <w:jc w:val="center"/>
              <w:rPr>
                <w:sz w:val="22"/>
              </w:rPr>
            </w:pPr>
            <w:r>
              <w:rPr>
                <w:sz w:val="22"/>
              </w:rPr>
              <w:t>条款6.1.3</w:t>
            </w:r>
          </w:p>
        </w:tc>
        <w:tc>
          <w:tcPr>
            <w:tcW w:w="4999" w:type="dxa"/>
            <w:vAlign w:val="center"/>
          </w:tcPr>
          <w:p w14:paraId="36BB9D05">
            <w:pPr>
              <w:rPr>
                <w:sz w:val="22"/>
              </w:rPr>
            </w:pPr>
            <w:r>
              <w:rPr>
                <w:sz w:val="22"/>
              </w:rPr>
              <w:t>建设项目涉及经论证对保护生物多样性具有重要意义的区域时，可适当上调评价等级。</w:t>
            </w:r>
          </w:p>
        </w:tc>
        <w:tc>
          <w:tcPr>
            <w:tcW w:w="2935" w:type="dxa"/>
            <w:vAlign w:val="center"/>
          </w:tcPr>
          <w:p w14:paraId="5683952B">
            <w:pPr>
              <w:rPr>
                <w:sz w:val="22"/>
                <w:szCs w:val="22"/>
              </w:rPr>
            </w:pPr>
            <w:r>
              <w:rPr>
                <w:sz w:val="22"/>
              </w:rPr>
              <w:t>不涉及，不上调。</w:t>
            </w:r>
          </w:p>
        </w:tc>
      </w:tr>
      <w:tr w14:paraId="6EF5D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4" w:hRule="atLeast"/>
          <w:jc w:val="center"/>
        </w:trPr>
        <w:tc>
          <w:tcPr>
            <w:tcW w:w="852" w:type="dxa"/>
            <w:gridSpan w:val="2"/>
            <w:vAlign w:val="center"/>
          </w:tcPr>
          <w:p w14:paraId="0C1AD677">
            <w:pPr>
              <w:jc w:val="center"/>
              <w:rPr>
                <w:sz w:val="22"/>
              </w:rPr>
            </w:pPr>
            <w:r>
              <w:rPr>
                <w:sz w:val="22"/>
              </w:rPr>
              <w:t>条款6.1.4</w:t>
            </w:r>
          </w:p>
        </w:tc>
        <w:tc>
          <w:tcPr>
            <w:tcW w:w="4999" w:type="dxa"/>
            <w:vAlign w:val="center"/>
          </w:tcPr>
          <w:p w14:paraId="7CA24461">
            <w:pPr>
              <w:rPr>
                <w:sz w:val="22"/>
              </w:rPr>
            </w:pPr>
            <w:r>
              <w:rPr>
                <w:sz w:val="22"/>
              </w:rPr>
              <w:t>建设项目同时涉及陆生、水生生态影响时，可针对陆生生态、水生生态分别判定评价等级</w:t>
            </w:r>
          </w:p>
        </w:tc>
        <w:tc>
          <w:tcPr>
            <w:tcW w:w="2935" w:type="dxa"/>
            <w:vAlign w:val="center"/>
          </w:tcPr>
          <w:p w14:paraId="7826436F">
            <w:pPr>
              <w:rPr>
                <w:sz w:val="22"/>
                <w:szCs w:val="22"/>
              </w:rPr>
            </w:pPr>
            <w:r>
              <w:rPr>
                <w:rFonts w:hint="eastAsia"/>
                <w:sz w:val="22"/>
                <w:szCs w:val="22"/>
              </w:rPr>
              <w:t>本项目仅涉及陆生生态影响。</w:t>
            </w:r>
          </w:p>
        </w:tc>
      </w:tr>
      <w:tr w14:paraId="39D8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852" w:type="dxa"/>
            <w:gridSpan w:val="2"/>
            <w:vAlign w:val="center"/>
          </w:tcPr>
          <w:p w14:paraId="698A2ECB">
            <w:pPr>
              <w:jc w:val="center"/>
              <w:rPr>
                <w:sz w:val="22"/>
              </w:rPr>
            </w:pPr>
            <w:r>
              <w:rPr>
                <w:sz w:val="22"/>
              </w:rPr>
              <w:t>条款6.1.5</w:t>
            </w:r>
          </w:p>
        </w:tc>
        <w:tc>
          <w:tcPr>
            <w:tcW w:w="4999" w:type="dxa"/>
            <w:vAlign w:val="center"/>
          </w:tcPr>
          <w:p w14:paraId="753210DD">
            <w:pPr>
              <w:rPr>
                <w:sz w:val="22"/>
              </w:rPr>
            </w:pPr>
            <w:r>
              <w:rPr>
                <w:sz w:val="22"/>
              </w:rPr>
              <w:t>在矿山开采可能导致矿区土地利用类型明显改变，或拦河闸坝建设可能明显改变水文情势等情况下，评价等级应上调一级。</w:t>
            </w:r>
          </w:p>
        </w:tc>
        <w:tc>
          <w:tcPr>
            <w:tcW w:w="2935" w:type="dxa"/>
            <w:vAlign w:val="center"/>
          </w:tcPr>
          <w:p w14:paraId="1CBDD670">
            <w:pPr>
              <w:rPr>
                <w:sz w:val="22"/>
                <w:szCs w:val="22"/>
              </w:rPr>
            </w:pPr>
            <w:r>
              <w:rPr>
                <w:sz w:val="22"/>
              </w:rPr>
              <w:t>不涉及，不上调。</w:t>
            </w:r>
          </w:p>
        </w:tc>
      </w:tr>
      <w:tr w14:paraId="0F53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852" w:type="dxa"/>
            <w:gridSpan w:val="2"/>
            <w:vAlign w:val="center"/>
          </w:tcPr>
          <w:p w14:paraId="3A050EDC">
            <w:pPr>
              <w:jc w:val="center"/>
              <w:rPr>
                <w:sz w:val="22"/>
              </w:rPr>
            </w:pPr>
            <w:r>
              <w:rPr>
                <w:sz w:val="22"/>
              </w:rPr>
              <w:t>条款6.1.6</w:t>
            </w:r>
          </w:p>
        </w:tc>
        <w:tc>
          <w:tcPr>
            <w:tcW w:w="4999" w:type="dxa"/>
            <w:vAlign w:val="center"/>
          </w:tcPr>
          <w:p w14:paraId="6F17CEBB">
            <w:pPr>
              <w:rPr>
                <w:sz w:val="22"/>
              </w:rPr>
            </w:pPr>
            <w:r>
              <w:rPr>
                <w:sz w:val="22"/>
              </w:rPr>
              <w:t>线性工程可分段确定评价等级。线性工程地下穿越或地表跨越生态敏感区，在生态敏感区范围内无永久、临时占地时，评价等级可下调一级。</w:t>
            </w:r>
          </w:p>
        </w:tc>
        <w:tc>
          <w:tcPr>
            <w:tcW w:w="2935" w:type="dxa"/>
            <w:vAlign w:val="center"/>
          </w:tcPr>
          <w:p w14:paraId="7F62E0B4">
            <w:pPr>
              <w:rPr>
                <w:sz w:val="22"/>
                <w:szCs w:val="22"/>
              </w:rPr>
            </w:pPr>
            <w:r>
              <w:rPr>
                <w:sz w:val="22"/>
              </w:rPr>
              <w:t>不涉及，不上调。</w:t>
            </w:r>
          </w:p>
        </w:tc>
      </w:tr>
      <w:tr w14:paraId="2BFF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79" w:hRule="atLeast"/>
          <w:jc w:val="center"/>
        </w:trPr>
        <w:tc>
          <w:tcPr>
            <w:tcW w:w="852" w:type="dxa"/>
            <w:gridSpan w:val="2"/>
            <w:vAlign w:val="center"/>
          </w:tcPr>
          <w:p w14:paraId="0ADD76C3">
            <w:pPr>
              <w:jc w:val="center"/>
              <w:rPr>
                <w:sz w:val="22"/>
              </w:rPr>
            </w:pPr>
            <w:r>
              <w:rPr>
                <w:sz w:val="22"/>
              </w:rPr>
              <w:t>条款6.1.7</w:t>
            </w:r>
          </w:p>
        </w:tc>
        <w:tc>
          <w:tcPr>
            <w:tcW w:w="4999" w:type="dxa"/>
            <w:vAlign w:val="center"/>
          </w:tcPr>
          <w:p w14:paraId="6D21DC85">
            <w:pPr>
              <w:rPr>
                <w:sz w:val="22"/>
              </w:rPr>
            </w:pPr>
            <w:r>
              <w:rPr>
                <w:sz w:val="22"/>
              </w:rPr>
              <w:t>涉海工程评价等级判定参照GB/T19485。</w:t>
            </w:r>
          </w:p>
        </w:tc>
        <w:tc>
          <w:tcPr>
            <w:tcW w:w="2935" w:type="dxa"/>
            <w:vAlign w:val="center"/>
          </w:tcPr>
          <w:p w14:paraId="4715D7AC">
            <w:pPr>
              <w:rPr>
                <w:sz w:val="22"/>
                <w:szCs w:val="22"/>
              </w:rPr>
            </w:pPr>
            <w:r>
              <w:rPr>
                <w:sz w:val="22"/>
              </w:rPr>
              <w:t>本项目不涉及。</w:t>
            </w:r>
          </w:p>
        </w:tc>
      </w:tr>
      <w:tr w14:paraId="4BE9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852" w:type="dxa"/>
            <w:gridSpan w:val="2"/>
            <w:vAlign w:val="center"/>
          </w:tcPr>
          <w:p w14:paraId="0C1B7854">
            <w:pPr>
              <w:jc w:val="center"/>
              <w:rPr>
                <w:sz w:val="22"/>
              </w:rPr>
            </w:pPr>
            <w:r>
              <w:rPr>
                <w:sz w:val="22"/>
              </w:rPr>
              <w:t>条款6.1.8</w:t>
            </w:r>
          </w:p>
        </w:tc>
        <w:tc>
          <w:tcPr>
            <w:tcW w:w="4999" w:type="dxa"/>
            <w:vAlign w:val="center"/>
          </w:tcPr>
          <w:p w14:paraId="14E3EA63">
            <w:pPr>
              <w:rPr>
                <w:sz w:val="22"/>
              </w:rPr>
            </w:pPr>
            <w:r>
              <w:rPr>
                <w:sz w:val="22"/>
              </w:rPr>
              <w:t>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tc>
        <w:tc>
          <w:tcPr>
            <w:tcW w:w="2935" w:type="dxa"/>
            <w:vAlign w:val="center"/>
          </w:tcPr>
          <w:p w14:paraId="06A39077">
            <w:pPr>
              <w:rPr>
                <w:sz w:val="22"/>
                <w:szCs w:val="22"/>
              </w:rPr>
            </w:pPr>
            <w:r>
              <w:rPr>
                <w:sz w:val="22"/>
                <w:szCs w:val="22"/>
              </w:rPr>
              <w:t>不属于污染型的改扩建项目，不</w:t>
            </w:r>
            <w:r>
              <w:rPr>
                <w:rFonts w:hint="eastAsia"/>
                <w:sz w:val="22"/>
                <w:szCs w:val="22"/>
              </w:rPr>
              <w:t>应</w:t>
            </w:r>
            <w:r>
              <w:rPr>
                <w:sz w:val="22"/>
                <w:szCs w:val="22"/>
              </w:rPr>
              <w:t>进行生态影响简单分析。</w:t>
            </w:r>
          </w:p>
        </w:tc>
      </w:tr>
    </w:tbl>
    <w:p w14:paraId="64EC2C45">
      <w:pPr>
        <w:pStyle w:val="1066"/>
        <w:ind w:firstLine="520"/>
        <w:rPr>
          <w:rFonts w:cs="Times New Roman"/>
        </w:rPr>
      </w:pPr>
    </w:p>
    <w:p w14:paraId="536B3A64">
      <w:pPr>
        <w:spacing w:line="460" w:lineRule="exact"/>
        <w:ind w:firstLine="512" w:firstLineChars="196"/>
        <w:outlineLvl w:val="2"/>
        <w:rPr>
          <w:b/>
          <w:sz w:val="26"/>
          <w:szCs w:val="26"/>
        </w:rPr>
      </w:pPr>
      <w:bookmarkStart w:id="76" w:name="_Toc165810462"/>
      <w:r>
        <w:rPr>
          <w:b/>
          <w:sz w:val="26"/>
          <w:szCs w:val="26"/>
        </w:rPr>
        <w:t>1.5.2 环境空气</w:t>
      </w:r>
      <w:bookmarkEnd w:id="76"/>
    </w:p>
    <w:p w14:paraId="53ABFAAC">
      <w:pPr>
        <w:snapToGrid w:val="0"/>
        <w:spacing w:line="460" w:lineRule="exact"/>
        <w:ind w:firstLine="520" w:firstLineChars="200"/>
        <w:rPr>
          <w:sz w:val="26"/>
          <w:szCs w:val="26"/>
        </w:rPr>
      </w:pPr>
      <w:r>
        <w:rPr>
          <w:rFonts w:hint="eastAsia"/>
          <w:sz w:val="26"/>
          <w:szCs w:val="26"/>
        </w:rPr>
        <w:t>依据《环境影响评价技术导则 大气环境》（HJ2.2-2018）要求，评价等级判断主要以运营期为主，本项目施工期环境空气影响为施工机械、施工车辆的尾气、扬尘及少量焊接烟尘，由于施工期较短，暂不考虑其评价等级。</w:t>
      </w:r>
      <w:r>
        <w:rPr>
          <w:sz w:val="26"/>
          <w:szCs w:val="26"/>
        </w:rPr>
        <w:t>试采期间正常工况下主要</w:t>
      </w:r>
      <w:r>
        <w:rPr>
          <w:rFonts w:hint="eastAsia"/>
          <w:sz w:val="26"/>
          <w:szCs w:val="26"/>
        </w:rPr>
        <w:t>排放</w:t>
      </w:r>
      <w:r>
        <w:rPr>
          <w:sz w:val="26"/>
          <w:szCs w:val="26"/>
        </w:rPr>
        <w:t>废气为水套加热炉燃烧废气和</w:t>
      </w:r>
      <w:r>
        <w:rPr>
          <w:rFonts w:hint="eastAsia"/>
          <w:sz w:val="26"/>
          <w:szCs w:val="26"/>
        </w:rPr>
        <w:t>站场</w:t>
      </w:r>
      <w:r>
        <w:rPr>
          <w:sz w:val="26"/>
          <w:szCs w:val="26"/>
        </w:rPr>
        <w:t>无组织</w:t>
      </w:r>
      <w:r>
        <w:rPr>
          <w:rFonts w:hint="eastAsia"/>
          <w:sz w:val="26"/>
          <w:szCs w:val="26"/>
        </w:rPr>
        <w:t>逸散</w:t>
      </w:r>
      <w:r>
        <w:rPr>
          <w:sz w:val="26"/>
          <w:szCs w:val="26"/>
        </w:rPr>
        <w:t>废气。根据环境影响识别，选取氮氧化物、</w:t>
      </w:r>
      <w:r>
        <w:rPr>
          <w:rFonts w:hint="eastAsia"/>
          <w:sz w:val="26"/>
          <w:szCs w:val="26"/>
        </w:rPr>
        <w:t>P</w:t>
      </w:r>
      <w:r>
        <w:rPr>
          <w:sz w:val="26"/>
          <w:szCs w:val="26"/>
        </w:rPr>
        <w:t>M</w:t>
      </w:r>
      <w:r>
        <w:rPr>
          <w:sz w:val="26"/>
          <w:szCs w:val="26"/>
          <w:vertAlign w:val="subscript"/>
        </w:rPr>
        <w:t>10</w:t>
      </w:r>
      <w:r>
        <w:rPr>
          <w:rFonts w:hint="eastAsia"/>
          <w:sz w:val="26"/>
          <w:szCs w:val="26"/>
        </w:rPr>
        <w:t>（水套加热炉为有组织排放，燃烧原料为本站所采天然气，天然气燃烧废气污染因子颗粒物在环境中主要以P</w:t>
      </w:r>
      <w:r>
        <w:rPr>
          <w:sz w:val="26"/>
          <w:szCs w:val="26"/>
        </w:rPr>
        <w:t>M</w:t>
      </w:r>
      <w:r>
        <w:rPr>
          <w:sz w:val="26"/>
          <w:szCs w:val="26"/>
          <w:vertAlign w:val="subscript"/>
        </w:rPr>
        <w:t>10</w:t>
      </w:r>
      <w:r>
        <w:rPr>
          <w:rFonts w:hint="eastAsia"/>
          <w:sz w:val="26"/>
          <w:szCs w:val="26"/>
        </w:rPr>
        <w:t>表征，本次以P</w:t>
      </w:r>
      <w:r>
        <w:rPr>
          <w:sz w:val="26"/>
          <w:szCs w:val="26"/>
        </w:rPr>
        <w:t>M</w:t>
      </w:r>
      <w:r>
        <w:rPr>
          <w:sz w:val="26"/>
          <w:szCs w:val="26"/>
          <w:vertAlign w:val="subscript"/>
        </w:rPr>
        <w:t>10</w:t>
      </w:r>
      <w:r>
        <w:rPr>
          <w:rFonts w:hint="eastAsia"/>
          <w:sz w:val="26"/>
          <w:szCs w:val="26"/>
        </w:rPr>
        <w:t>进行评价等级判定）</w:t>
      </w:r>
      <w:r>
        <w:rPr>
          <w:sz w:val="26"/>
          <w:szCs w:val="26"/>
        </w:rPr>
        <w:t>和非甲烷总烃为候选因子进行</w:t>
      </w:r>
      <w:r>
        <w:rPr>
          <w:rFonts w:hint="eastAsia"/>
          <w:sz w:val="26"/>
          <w:szCs w:val="26"/>
        </w:rPr>
        <w:t>预测</w:t>
      </w:r>
      <w:r>
        <w:rPr>
          <w:sz w:val="26"/>
          <w:szCs w:val="26"/>
        </w:rPr>
        <w:t>，分别</w:t>
      </w:r>
      <w:r>
        <w:rPr>
          <w:rFonts w:hint="eastAsia"/>
          <w:sz w:val="26"/>
          <w:szCs w:val="26"/>
        </w:rPr>
        <w:t>预测</w:t>
      </w:r>
      <w:r>
        <w:rPr>
          <w:sz w:val="26"/>
          <w:szCs w:val="26"/>
        </w:rPr>
        <w:t>每一种污染物的最大地面浓度占标率Pi和地面浓度达标限值10%时所对应的最远距离D10%。其中Pi定义为：</w:t>
      </w:r>
    </w:p>
    <w:p w14:paraId="07BC8B5A">
      <w:pPr>
        <w:ind w:firstLine="520"/>
        <w:jc w:val="center"/>
        <w:rPr>
          <w:sz w:val="26"/>
          <w:szCs w:val="26"/>
        </w:rPr>
      </w:pPr>
      <w:r>
        <w:rPr>
          <w:position w:val="-30"/>
          <w:sz w:val="26"/>
          <w:szCs w:val="26"/>
        </w:rPr>
        <w:object>
          <v:shape id="_x0000_i1025" o:spt="75" type="#_x0000_t75" style="height:36pt;width:79.45pt;" o:ole="t" filled="f" o:preferrelative="t" stroked="f" coordsize="21600,21600">
            <v:path/>
            <v:fill on="f" focussize="0,0"/>
            <v:stroke on="f" joinstyle="miter"/>
            <v:imagedata r:id="rId12" o:title=""/>
            <o:lock v:ext="edit" aspectratio="t"/>
            <w10:wrap type="none"/>
            <w10:anchorlock/>
          </v:shape>
          <o:OLEObject Type="Embed" ProgID="Equation.DSMT4" ShapeID="_x0000_i1025" DrawAspect="Content" ObjectID="_1468075725" r:id="rId11">
            <o:LockedField>false</o:LockedField>
          </o:OLEObject>
        </w:object>
      </w:r>
    </w:p>
    <w:p w14:paraId="673AC0A1">
      <w:pPr>
        <w:spacing w:line="460" w:lineRule="exact"/>
        <w:ind w:firstLine="522"/>
        <w:rPr>
          <w:sz w:val="26"/>
          <w:szCs w:val="26"/>
        </w:rPr>
      </w:pPr>
      <w:r>
        <w:rPr>
          <w:sz w:val="26"/>
          <w:szCs w:val="26"/>
        </w:rPr>
        <w:t>式中：P</w:t>
      </w:r>
      <w:r>
        <w:rPr>
          <w:sz w:val="26"/>
          <w:szCs w:val="26"/>
          <w:vertAlign w:val="subscript"/>
        </w:rPr>
        <w:t>i</w:t>
      </w:r>
      <w:r>
        <w:rPr>
          <w:sz w:val="26"/>
          <w:szCs w:val="26"/>
        </w:rPr>
        <w:t>—第i个污染物的最大地面浓度占标率，%；</w:t>
      </w:r>
    </w:p>
    <w:p w14:paraId="53FCBE86">
      <w:pPr>
        <w:spacing w:line="460" w:lineRule="exact"/>
        <w:ind w:firstLine="1300" w:firstLineChars="500"/>
        <w:rPr>
          <w:sz w:val="26"/>
          <w:szCs w:val="26"/>
        </w:rPr>
      </w:pPr>
      <w:r>
        <w:rPr>
          <w:sz w:val="26"/>
          <w:szCs w:val="26"/>
        </w:rPr>
        <w:t>C</w:t>
      </w:r>
      <w:r>
        <w:rPr>
          <w:sz w:val="26"/>
          <w:szCs w:val="26"/>
          <w:vertAlign w:val="subscript"/>
        </w:rPr>
        <w:t>i</w:t>
      </w:r>
      <w:r>
        <w:rPr>
          <w:sz w:val="26"/>
          <w:szCs w:val="26"/>
        </w:rPr>
        <w:t>—采用估算模式计算出的第i个污染物的最大地面浓度，mg/m</w:t>
      </w:r>
      <w:r>
        <w:rPr>
          <w:sz w:val="26"/>
          <w:szCs w:val="26"/>
          <w:vertAlign w:val="superscript"/>
        </w:rPr>
        <w:t>3</w:t>
      </w:r>
      <w:r>
        <w:rPr>
          <w:sz w:val="26"/>
          <w:szCs w:val="26"/>
        </w:rPr>
        <w:t>；</w:t>
      </w:r>
    </w:p>
    <w:p w14:paraId="2225F2F3">
      <w:pPr>
        <w:spacing w:line="460" w:lineRule="exact"/>
        <w:ind w:firstLine="1300" w:firstLineChars="500"/>
        <w:rPr>
          <w:sz w:val="26"/>
          <w:szCs w:val="26"/>
        </w:rPr>
      </w:pPr>
      <w:r>
        <w:rPr>
          <w:sz w:val="26"/>
          <w:szCs w:val="26"/>
        </w:rPr>
        <w:t>C</w:t>
      </w:r>
      <w:r>
        <w:rPr>
          <w:sz w:val="26"/>
          <w:szCs w:val="26"/>
          <w:vertAlign w:val="subscript"/>
        </w:rPr>
        <w:t>0i</w:t>
      </w:r>
      <w:r>
        <w:rPr>
          <w:sz w:val="26"/>
          <w:szCs w:val="26"/>
        </w:rPr>
        <w:t>—环境控制质量标准，mg/m</w:t>
      </w:r>
      <w:r>
        <w:rPr>
          <w:sz w:val="26"/>
          <w:szCs w:val="26"/>
          <w:vertAlign w:val="superscript"/>
        </w:rPr>
        <w:t>3</w:t>
      </w:r>
      <w:r>
        <w:rPr>
          <w:sz w:val="26"/>
          <w:szCs w:val="26"/>
        </w:rPr>
        <w:t>，取1小时平均取样时间的二级标准浓度限值。</w:t>
      </w:r>
    </w:p>
    <w:p w14:paraId="24E606B5">
      <w:pPr>
        <w:pStyle w:val="1066"/>
        <w:ind w:firstLine="520"/>
        <w:rPr>
          <w:rFonts w:cs="Times New Roman"/>
        </w:rPr>
      </w:pPr>
    </w:p>
    <w:p w14:paraId="279C0A99">
      <w:pPr>
        <w:adjustRightInd w:val="0"/>
        <w:snapToGrid w:val="0"/>
        <w:jc w:val="center"/>
        <w:rPr>
          <w:sz w:val="26"/>
          <w:szCs w:val="26"/>
        </w:rPr>
      </w:pPr>
      <w:r>
        <w:rPr>
          <w:sz w:val="26"/>
          <w:szCs w:val="26"/>
        </w:rPr>
        <w:t>表1.5-2  评价因子和评价标准表</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0"/>
        <w:gridCol w:w="1741"/>
        <w:gridCol w:w="2181"/>
        <w:gridCol w:w="3156"/>
      </w:tblGrid>
      <w:tr w14:paraId="44B9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00" w:type="dxa"/>
            <w:vAlign w:val="center"/>
          </w:tcPr>
          <w:p w14:paraId="284F55F1">
            <w:pPr>
              <w:pStyle w:val="1085"/>
              <w:spacing w:line="240" w:lineRule="auto"/>
              <w:ind w:firstLine="0"/>
              <w:jc w:val="center"/>
              <w:rPr>
                <w:sz w:val="22"/>
                <w:szCs w:val="22"/>
              </w:rPr>
            </w:pPr>
            <w:r>
              <w:rPr>
                <w:sz w:val="22"/>
                <w:szCs w:val="22"/>
              </w:rPr>
              <w:t>污染物</w:t>
            </w:r>
          </w:p>
        </w:tc>
        <w:tc>
          <w:tcPr>
            <w:tcW w:w="1741" w:type="dxa"/>
            <w:vAlign w:val="center"/>
          </w:tcPr>
          <w:p w14:paraId="06A0C789">
            <w:pPr>
              <w:pStyle w:val="1085"/>
              <w:spacing w:line="240" w:lineRule="auto"/>
              <w:ind w:firstLine="0"/>
              <w:jc w:val="center"/>
              <w:rPr>
                <w:sz w:val="22"/>
                <w:szCs w:val="22"/>
              </w:rPr>
            </w:pPr>
            <w:r>
              <w:rPr>
                <w:sz w:val="22"/>
                <w:szCs w:val="22"/>
              </w:rPr>
              <w:t>取值时间</w:t>
            </w:r>
          </w:p>
        </w:tc>
        <w:tc>
          <w:tcPr>
            <w:tcW w:w="2181" w:type="dxa"/>
            <w:vAlign w:val="center"/>
          </w:tcPr>
          <w:p w14:paraId="61138319">
            <w:pPr>
              <w:pStyle w:val="1085"/>
              <w:spacing w:line="240" w:lineRule="auto"/>
              <w:ind w:firstLine="0"/>
              <w:jc w:val="center"/>
              <w:rPr>
                <w:sz w:val="22"/>
                <w:szCs w:val="22"/>
              </w:rPr>
            </w:pPr>
            <w:r>
              <w:rPr>
                <w:sz w:val="22"/>
                <w:szCs w:val="22"/>
              </w:rPr>
              <w:t>浓度限值（</w:t>
            </w:r>
            <w:r>
              <w:rPr>
                <w:sz w:val="22"/>
              </w:rPr>
              <w:t>u</w:t>
            </w:r>
            <w:r>
              <w:rPr>
                <w:sz w:val="22"/>
                <w:szCs w:val="22"/>
              </w:rPr>
              <w:t>g/m</w:t>
            </w:r>
            <w:r>
              <w:rPr>
                <w:sz w:val="22"/>
                <w:szCs w:val="22"/>
                <w:vertAlign w:val="superscript"/>
              </w:rPr>
              <w:t>3</w:t>
            </w:r>
            <w:r>
              <w:rPr>
                <w:sz w:val="22"/>
                <w:szCs w:val="22"/>
              </w:rPr>
              <w:t>）</w:t>
            </w:r>
          </w:p>
        </w:tc>
        <w:tc>
          <w:tcPr>
            <w:tcW w:w="3156" w:type="dxa"/>
            <w:vAlign w:val="center"/>
          </w:tcPr>
          <w:p w14:paraId="449935FE">
            <w:pPr>
              <w:pStyle w:val="1085"/>
              <w:spacing w:line="240" w:lineRule="auto"/>
              <w:ind w:firstLine="0"/>
              <w:jc w:val="center"/>
              <w:rPr>
                <w:sz w:val="22"/>
                <w:szCs w:val="22"/>
              </w:rPr>
            </w:pPr>
            <w:r>
              <w:rPr>
                <w:sz w:val="22"/>
                <w:szCs w:val="22"/>
              </w:rPr>
              <w:t>标准来源</w:t>
            </w:r>
          </w:p>
        </w:tc>
      </w:tr>
      <w:tr w14:paraId="3CE5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00" w:type="dxa"/>
            <w:vAlign w:val="center"/>
          </w:tcPr>
          <w:p w14:paraId="0BD7EA51">
            <w:pPr>
              <w:pStyle w:val="1085"/>
              <w:spacing w:line="240" w:lineRule="auto"/>
              <w:ind w:firstLine="0"/>
              <w:jc w:val="center"/>
              <w:rPr>
                <w:sz w:val="22"/>
                <w:szCs w:val="22"/>
              </w:rPr>
            </w:pPr>
            <w:r>
              <w:rPr>
                <w:rFonts w:hint="eastAsia"/>
                <w:sz w:val="22"/>
                <w:szCs w:val="22"/>
              </w:rPr>
              <w:t>NO</w:t>
            </w:r>
            <w:r>
              <w:rPr>
                <w:rFonts w:hint="eastAsia"/>
                <w:sz w:val="22"/>
                <w:szCs w:val="22"/>
                <w:vertAlign w:val="subscript"/>
              </w:rPr>
              <w:t>X</w:t>
            </w:r>
          </w:p>
        </w:tc>
        <w:tc>
          <w:tcPr>
            <w:tcW w:w="1741" w:type="dxa"/>
            <w:vAlign w:val="center"/>
          </w:tcPr>
          <w:p w14:paraId="7544EBA1">
            <w:pPr>
              <w:pStyle w:val="1085"/>
              <w:spacing w:line="240" w:lineRule="auto"/>
              <w:ind w:firstLine="0"/>
              <w:jc w:val="center"/>
              <w:rPr>
                <w:sz w:val="22"/>
                <w:szCs w:val="22"/>
              </w:rPr>
            </w:pPr>
            <w:r>
              <w:rPr>
                <w:rFonts w:hint="eastAsia"/>
                <w:sz w:val="22"/>
                <w:szCs w:val="22"/>
              </w:rPr>
              <w:t>1小时平均</w:t>
            </w:r>
          </w:p>
        </w:tc>
        <w:tc>
          <w:tcPr>
            <w:tcW w:w="2181" w:type="dxa"/>
            <w:vAlign w:val="center"/>
          </w:tcPr>
          <w:p w14:paraId="70108741">
            <w:pPr>
              <w:pStyle w:val="1085"/>
              <w:spacing w:line="240" w:lineRule="auto"/>
              <w:ind w:firstLine="0"/>
              <w:jc w:val="center"/>
              <w:rPr>
                <w:sz w:val="22"/>
                <w:szCs w:val="22"/>
              </w:rPr>
            </w:pPr>
            <w:r>
              <w:rPr>
                <w:sz w:val="22"/>
                <w:szCs w:val="22"/>
              </w:rPr>
              <w:t>250</w:t>
            </w:r>
          </w:p>
        </w:tc>
        <w:tc>
          <w:tcPr>
            <w:tcW w:w="3156" w:type="dxa"/>
            <w:vMerge w:val="restart"/>
            <w:vAlign w:val="center"/>
          </w:tcPr>
          <w:p w14:paraId="4521CDE9">
            <w:pPr>
              <w:pStyle w:val="1085"/>
              <w:spacing w:line="240" w:lineRule="auto"/>
              <w:ind w:firstLine="0"/>
              <w:jc w:val="both"/>
              <w:rPr>
                <w:sz w:val="22"/>
                <w:szCs w:val="22"/>
              </w:rPr>
            </w:pPr>
            <w:r>
              <w:rPr>
                <w:rFonts w:hint="eastAsia"/>
                <w:sz w:val="22"/>
                <w:szCs w:val="22"/>
              </w:rPr>
              <w:t>《环境空气质量标准》（GB3095-20</w:t>
            </w:r>
            <w:r>
              <w:rPr>
                <w:sz w:val="22"/>
                <w:szCs w:val="22"/>
              </w:rPr>
              <w:t>26</w:t>
            </w:r>
            <w:r>
              <w:rPr>
                <w:rFonts w:hint="eastAsia"/>
                <w:sz w:val="22"/>
                <w:szCs w:val="22"/>
              </w:rPr>
              <w:t>）过渡阶段浓度限值</w:t>
            </w:r>
          </w:p>
        </w:tc>
      </w:tr>
      <w:tr w14:paraId="39C7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00" w:type="dxa"/>
            <w:vAlign w:val="center"/>
          </w:tcPr>
          <w:p w14:paraId="42438668">
            <w:pPr>
              <w:pStyle w:val="1085"/>
              <w:spacing w:line="240" w:lineRule="auto"/>
              <w:ind w:firstLine="0"/>
              <w:jc w:val="center"/>
              <w:rPr>
                <w:sz w:val="22"/>
                <w:szCs w:val="22"/>
              </w:rPr>
            </w:pPr>
            <w:r>
              <w:rPr>
                <w:spacing w:val="-2"/>
                <w:sz w:val="22"/>
              </w:rPr>
              <w:t>PM</w:t>
            </w:r>
            <w:r>
              <w:rPr>
                <w:spacing w:val="-2"/>
                <w:sz w:val="22"/>
                <w:vertAlign w:val="subscript"/>
              </w:rPr>
              <w:t>10</w:t>
            </w:r>
          </w:p>
        </w:tc>
        <w:tc>
          <w:tcPr>
            <w:tcW w:w="1741" w:type="dxa"/>
            <w:vAlign w:val="center"/>
          </w:tcPr>
          <w:p w14:paraId="3388275D">
            <w:pPr>
              <w:pStyle w:val="1085"/>
              <w:spacing w:line="240" w:lineRule="auto"/>
              <w:ind w:firstLine="0"/>
              <w:jc w:val="center"/>
              <w:rPr>
                <w:sz w:val="22"/>
                <w:szCs w:val="22"/>
              </w:rPr>
            </w:pPr>
            <w:r>
              <w:rPr>
                <w:spacing w:val="-6"/>
                <w:sz w:val="22"/>
              </w:rPr>
              <w:t>日</w:t>
            </w:r>
            <w:r>
              <w:rPr>
                <w:spacing w:val="-5"/>
                <w:sz w:val="22"/>
              </w:rPr>
              <w:t>均值</w:t>
            </w:r>
            <w:r>
              <w:rPr>
                <w:spacing w:val="16"/>
                <w:sz w:val="22"/>
              </w:rPr>
              <w:t>3</w:t>
            </w:r>
            <w:r>
              <w:rPr>
                <w:spacing w:val="33"/>
                <w:sz w:val="22"/>
              </w:rPr>
              <w:t>倍</w:t>
            </w:r>
          </w:p>
        </w:tc>
        <w:tc>
          <w:tcPr>
            <w:tcW w:w="2181" w:type="dxa"/>
            <w:vAlign w:val="center"/>
          </w:tcPr>
          <w:p w14:paraId="095ADDA0">
            <w:pPr>
              <w:pStyle w:val="1085"/>
              <w:spacing w:line="240" w:lineRule="auto"/>
              <w:ind w:firstLine="0"/>
              <w:jc w:val="center"/>
              <w:rPr>
                <w:sz w:val="22"/>
                <w:szCs w:val="22"/>
              </w:rPr>
            </w:pPr>
            <w:r>
              <w:rPr>
                <w:spacing w:val="-2"/>
                <w:sz w:val="22"/>
              </w:rPr>
              <w:t>360</w:t>
            </w:r>
          </w:p>
        </w:tc>
        <w:tc>
          <w:tcPr>
            <w:tcW w:w="3156" w:type="dxa"/>
            <w:vMerge w:val="continue"/>
            <w:vAlign w:val="center"/>
          </w:tcPr>
          <w:p w14:paraId="7DF4F77F">
            <w:pPr>
              <w:pStyle w:val="1085"/>
              <w:spacing w:line="240" w:lineRule="auto"/>
              <w:ind w:firstLine="0"/>
              <w:jc w:val="center"/>
              <w:rPr>
                <w:sz w:val="22"/>
                <w:szCs w:val="22"/>
              </w:rPr>
            </w:pPr>
          </w:p>
        </w:tc>
      </w:tr>
      <w:tr w14:paraId="2958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00" w:type="dxa"/>
            <w:vAlign w:val="center"/>
          </w:tcPr>
          <w:p w14:paraId="3F6CD4A0">
            <w:pPr>
              <w:pStyle w:val="1085"/>
              <w:spacing w:line="240" w:lineRule="auto"/>
              <w:ind w:firstLine="0"/>
              <w:jc w:val="center"/>
              <w:rPr>
                <w:sz w:val="22"/>
                <w:szCs w:val="22"/>
              </w:rPr>
            </w:pPr>
            <w:r>
              <w:rPr>
                <w:rFonts w:hint="eastAsia"/>
                <w:sz w:val="22"/>
                <w:szCs w:val="22"/>
              </w:rPr>
              <w:t>非甲烷总烃</w:t>
            </w:r>
          </w:p>
        </w:tc>
        <w:tc>
          <w:tcPr>
            <w:tcW w:w="1741" w:type="dxa"/>
            <w:vAlign w:val="center"/>
          </w:tcPr>
          <w:p w14:paraId="4D25DEC8">
            <w:pPr>
              <w:pStyle w:val="1085"/>
              <w:spacing w:line="240" w:lineRule="auto"/>
              <w:ind w:firstLine="0"/>
              <w:jc w:val="center"/>
              <w:rPr>
                <w:sz w:val="22"/>
                <w:szCs w:val="22"/>
              </w:rPr>
            </w:pPr>
            <w:r>
              <w:rPr>
                <w:rFonts w:hint="eastAsia"/>
                <w:sz w:val="22"/>
                <w:szCs w:val="22"/>
              </w:rPr>
              <w:t>1次值</w:t>
            </w:r>
          </w:p>
        </w:tc>
        <w:tc>
          <w:tcPr>
            <w:tcW w:w="2181" w:type="dxa"/>
            <w:vAlign w:val="center"/>
          </w:tcPr>
          <w:p w14:paraId="40E084A2">
            <w:pPr>
              <w:pStyle w:val="1085"/>
              <w:spacing w:line="240" w:lineRule="auto"/>
              <w:ind w:firstLine="0"/>
              <w:jc w:val="center"/>
              <w:rPr>
                <w:sz w:val="22"/>
                <w:szCs w:val="22"/>
              </w:rPr>
            </w:pPr>
            <w:r>
              <w:rPr>
                <w:rFonts w:hint="eastAsia"/>
                <w:sz w:val="22"/>
                <w:szCs w:val="22"/>
              </w:rPr>
              <w:t>2</w:t>
            </w:r>
            <w:r>
              <w:rPr>
                <w:sz w:val="22"/>
                <w:szCs w:val="22"/>
              </w:rPr>
              <w:t>000</w:t>
            </w:r>
          </w:p>
        </w:tc>
        <w:tc>
          <w:tcPr>
            <w:tcW w:w="3156" w:type="dxa"/>
            <w:vAlign w:val="center"/>
          </w:tcPr>
          <w:p w14:paraId="004D1CDD">
            <w:pPr>
              <w:pStyle w:val="1085"/>
              <w:spacing w:line="240" w:lineRule="auto"/>
              <w:ind w:firstLine="0"/>
              <w:jc w:val="center"/>
              <w:rPr>
                <w:sz w:val="22"/>
                <w:szCs w:val="22"/>
              </w:rPr>
            </w:pPr>
            <w:r>
              <w:rPr>
                <w:rFonts w:hint="eastAsia"/>
                <w:sz w:val="22"/>
                <w:szCs w:val="22"/>
              </w:rPr>
              <w:t>《大气污染物综合排放标准详解》中制定非甲烷总烃排放标准时选用的环境质量标准</w:t>
            </w:r>
          </w:p>
        </w:tc>
      </w:tr>
    </w:tbl>
    <w:p w14:paraId="53AA8EEE">
      <w:pPr>
        <w:pStyle w:val="1379"/>
        <w:ind w:firstLine="440"/>
      </w:pPr>
    </w:p>
    <w:p w14:paraId="513A1F8B">
      <w:pPr>
        <w:adjustRightInd w:val="0"/>
        <w:snapToGrid w:val="0"/>
        <w:jc w:val="center"/>
        <w:rPr>
          <w:sz w:val="26"/>
          <w:szCs w:val="26"/>
        </w:rPr>
      </w:pPr>
      <w:r>
        <w:rPr>
          <w:sz w:val="26"/>
          <w:szCs w:val="26"/>
        </w:rPr>
        <w:t>表1.5-3  HJ2.2-2018评价工作等级</w:t>
      </w:r>
    </w:p>
    <w:tbl>
      <w:tblPr>
        <w:tblStyle w:val="88"/>
        <w:tblW w:w="867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122"/>
        <w:gridCol w:w="6556"/>
      </w:tblGrid>
      <w:tr w14:paraId="0130D5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2122" w:type="dxa"/>
            <w:vAlign w:val="center"/>
          </w:tcPr>
          <w:p w14:paraId="3DD90498">
            <w:pPr>
              <w:jc w:val="center"/>
              <w:rPr>
                <w:sz w:val="22"/>
              </w:rPr>
            </w:pPr>
            <w:r>
              <w:rPr>
                <w:sz w:val="22"/>
              </w:rPr>
              <w:t>评价工作等级</w:t>
            </w:r>
          </w:p>
        </w:tc>
        <w:tc>
          <w:tcPr>
            <w:tcW w:w="6556" w:type="dxa"/>
            <w:vAlign w:val="center"/>
          </w:tcPr>
          <w:p w14:paraId="499200AD">
            <w:pPr>
              <w:jc w:val="center"/>
              <w:rPr>
                <w:sz w:val="22"/>
              </w:rPr>
            </w:pPr>
            <w:r>
              <w:rPr>
                <w:sz w:val="22"/>
              </w:rPr>
              <w:t>评价工作分级判据</w:t>
            </w:r>
          </w:p>
        </w:tc>
      </w:tr>
      <w:tr w14:paraId="7D8BC0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2122" w:type="dxa"/>
            <w:vAlign w:val="center"/>
          </w:tcPr>
          <w:p w14:paraId="4973A664">
            <w:pPr>
              <w:jc w:val="center"/>
              <w:rPr>
                <w:sz w:val="22"/>
              </w:rPr>
            </w:pPr>
            <w:r>
              <w:rPr>
                <w:sz w:val="22"/>
              </w:rPr>
              <w:t>一级</w:t>
            </w:r>
          </w:p>
        </w:tc>
        <w:tc>
          <w:tcPr>
            <w:tcW w:w="6556" w:type="dxa"/>
            <w:vAlign w:val="center"/>
          </w:tcPr>
          <w:p w14:paraId="74C325BD">
            <w:pPr>
              <w:jc w:val="center"/>
              <w:rPr>
                <w:sz w:val="22"/>
              </w:rPr>
            </w:pPr>
            <w:r>
              <w:rPr>
                <w:sz w:val="22"/>
              </w:rPr>
              <w:t>Pmax≥10%</w:t>
            </w:r>
          </w:p>
        </w:tc>
      </w:tr>
      <w:tr w14:paraId="1DE29C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2122" w:type="dxa"/>
            <w:vAlign w:val="center"/>
          </w:tcPr>
          <w:p w14:paraId="75532D8D">
            <w:pPr>
              <w:jc w:val="center"/>
              <w:rPr>
                <w:sz w:val="22"/>
              </w:rPr>
            </w:pPr>
            <w:r>
              <w:rPr>
                <w:sz w:val="22"/>
              </w:rPr>
              <w:t>二级</w:t>
            </w:r>
          </w:p>
        </w:tc>
        <w:tc>
          <w:tcPr>
            <w:tcW w:w="6556" w:type="dxa"/>
            <w:vAlign w:val="center"/>
          </w:tcPr>
          <w:p w14:paraId="1307660C">
            <w:pPr>
              <w:jc w:val="center"/>
              <w:rPr>
                <w:sz w:val="22"/>
              </w:rPr>
            </w:pPr>
            <w:r>
              <w:rPr>
                <w:sz w:val="22"/>
              </w:rPr>
              <w:t>1＜Pmax＜10%</w:t>
            </w:r>
          </w:p>
        </w:tc>
      </w:tr>
      <w:tr w14:paraId="603898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2122" w:type="dxa"/>
            <w:vAlign w:val="center"/>
          </w:tcPr>
          <w:p w14:paraId="199B8312">
            <w:pPr>
              <w:jc w:val="center"/>
              <w:rPr>
                <w:sz w:val="22"/>
              </w:rPr>
            </w:pPr>
            <w:r>
              <w:rPr>
                <w:sz w:val="22"/>
              </w:rPr>
              <w:t>三级</w:t>
            </w:r>
          </w:p>
        </w:tc>
        <w:tc>
          <w:tcPr>
            <w:tcW w:w="6556" w:type="dxa"/>
            <w:vAlign w:val="center"/>
          </w:tcPr>
          <w:p w14:paraId="7DFFFA77">
            <w:pPr>
              <w:jc w:val="center"/>
              <w:rPr>
                <w:sz w:val="22"/>
              </w:rPr>
            </w:pPr>
            <w:r>
              <w:rPr>
                <w:sz w:val="22"/>
              </w:rPr>
              <w:t>Pmax＜1%</w:t>
            </w:r>
          </w:p>
        </w:tc>
      </w:tr>
    </w:tbl>
    <w:p w14:paraId="764018BB">
      <w:pPr>
        <w:ind w:firstLine="440"/>
        <w:rPr>
          <w:sz w:val="26"/>
          <w:szCs w:val="26"/>
        </w:rPr>
      </w:pPr>
      <w:r>
        <w:rPr>
          <w:sz w:val="22"/>
        </w:rPr>
        <w:t>备注：式1：P</w:t>
      </w:r>
      <w:r>
        <w:rPr>
          <w:sz w:val="22"/>
          <w:vertAlign w:val="subscript"/>
        </w:rPr>
        <w:t>i</w:t>
      </w:r>
      <w:r>
        <w:rPr>
          <w:sz w:val="22"/>
        </w:rPr>
        <w:t xml:space="preserve"> = C</w:t>
      </w:r>
      <w:r>
        <w:rPr>
          <w:sz w:val="22"/>
          <w:vertAlign w:val="subscript"/>
        </w:rPr>
        <w:t>i</w:t>
      </w:r>
      <w:r>
        <w:rPr>
          <w:sz w:val="22"/>
        </w:rPr>
        <w:t>/C</w:t>
      </w:r>
      <w:r>
        <w:rPr>
          <w:sz w:val="22"/>
          <w:vertAlign w:val="subscript"/>
        </w:rPr>
        <w:t>0i</w:t>
      </w:r>
      <w:r>
        <w:rPr>
          <w:sz w:val="22"/>
        </w:rPr>
        <w:t>×100%。C</w:t>
      </w:r>
      <w:r>
        <w:rPr>
          <w:sz w:val="22"/>
          <w:vertAlign w:val="subscript"/>
        </w:rPr>
        <w:t>0i</w:t>
      </w:r>
      <w:r>
        <w:rPr>
          <w:sz w:val="22"/>
        </w:rPr>
        <w:t>为第i个污染物的环境空气质量标准。</w:t>
      </w:r>
    </w:p>
    <w:p w14:paraId="1401A5CA">
      <w:pPr>
        <w:pStyle w:val="1066"/>
        <w:ind w:firstLine="520"/>
        <w:rPr>
          <w:rFonts w:cs="Times New Roman"/>
        </w:rPr>
      </w:pPr>
    </w:p>
    <w:p w14:paraId="1E41E092">
      <w:pPr>
        <w:spacing w:line="460" w:lineRule="exact"/>
        <w:ind w:firstLine="520" w:firstLineChars="200"/>
        <w:rPr>
          <w:sz w:val="26"/>
          <w:szCs w:val="26"/>
        </w:rPr>
      </w:pPr>
      <w:r>
        <w:rPr>
          <w:sz w:val="26"/>
          <w:szCs w:val="26"/>
        </w:rPr>
        <w:t>根据《环境影响评价技术导则</w:t>
      </w:r>
      <w:r>
        <w:rPr>
          <w:rFonts w:hint="eastAsia"/>
          <w:sz w:val="26"/>
          <w:szCs w:val="26"/>
        </w:rPr>
        <w:t xml:space="preserve"> </w:t>
      </w:r>
      <w:r>
        <w:rPr>
          <w:sz w:val="26"/>
          <w:szCs w:val="26"/>
        </w:rPr>
        <w:t>大气环境》（HJ2.2-2018），采用AERSCREEN估算模式对上述污染物的影响程度和范围进行估算，估算参数见下表。</w:t>
      </w:r>
    </w:p>
    <w:p w14:paraId="6050FEA1">
      <w:pPr>
        <w:pStyle w:val="1379"/>
        <w:ind w:firstLine="440"/>
      </w:pPr>
    </w:p>
    <w:p w14:paraId="1E454C2B">
      <w:pPr>
        <w:pStyle w:val="1065"/>
        <w:keepNext/>
      </w:pPr>
      <w:r>
        <w:t>表1.5-4  估算模型参数表</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0"/>
        <w:gridCol w:w="2427"/>
        <w:gridCol w:w="3641"/>
      </w:tblGrid>
      <w:tr w14:paraId="6CD3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78" w:type="dxa"/>
            <w:gridSpan w:val="3"/>
            <w:vAlign w:val="center"/>
          </w:tcPr>
          <w:p w14:paraId="6387D3C1">
            <w:pPr>
              <w:jc w:val="center"/>
              <w:rPr>
                <w:sz w:val="22"/>
                <w:szCs w:val="22"/>
              </w:rPr>
            </w:pPr>
            <w:r>
              <w:rPr>
                <w:sz w:val="22"/>
                <w:szCs w:val="22"/>
              </w:rPr>
              <w:t>参数</w:t>
            </w:r>
          </w:p>
        </w:tc>
      </w:tr>
      <w:tr w14:paraId="13D9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10" w:type="dxa"/>
            <w:vMerge w:val="restart"/>
            <w:vAlign w:val="center"/>
          </w:tcPr>
          <w:p w14:paraId="061E9D48">
            <w:pPr>
              <w:jc w:val="center"/>
              <w:rPr>
                <w:sz w:val="22"/>
                <w:szCs w:val="22"/>
              </w:rPr>
            </w:pPr>
            <w:r>
              <w:rPr>
                <w:sz w:val="22"/>
                <w:szCs w:val="22"/>
              </w:rPr>
              <w:t>城市/农村选项</w:t>
            </w:r>
          </w:p>
        </w:tc>
        <w:tc>
          <w:tcPr>
            <w:tcW w:w="2427" w:type="dxa"/>
            <w:vAlign w:val="center"/>
          </w:tcPr>
          <w:p w14:paraId="5F848BBA">
            <w:pPr>
              <w:jc w:val="center"/>
              <w:rPr>
                <w:sz w:val="22"/>
                <w:szCs w:val="22"/>
              </w:rPr>
            </w:pPr>
            <w:r>
              <w:rPr>
                <w:sz w:val="22"/>
                <w:szCs w:val="22"/>
              </w:rPr>
              <w:t>城市/农村</w:t>
            </w:r>
          </w:p>
        </w:tc>
        <w:tc>
          <w:tcPr>
            <w:tcW w:w="3641" w:type="dxa"/>
            <w:vAlign w:val="center"/>
          </w:tcPr>
          <w:p w14:paraId="7AF13DBA">
            <w:pPr>
              <w:jc w:val="center"/>
              <w:rPr>
                <w:sz w:val="22"/>
                <w:szCs w:val="22"/>
              </w:rPr>
            </w:pPr>
            <w:r>
              <w:rPr>
                <w:sz w:val="22"/>
                <w:szCs w:val="22"/>
              </w:rPr>
              <w:t>农村</w:t>
            </w:r>
          </w:p>
        </w:tc>
      </w:tr>
      <w:tr w14:paraId="6C21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10" w:type="dxa"/>
            <w:vMerge w:val="continue"/>
            <w:vAlign w:val="center"/>
          </w:tcPr>
          <w:p w14:paraId="2CBDBAA1">
            <w:pPr>
              <w:jc w:val="center"/>
              <w:rPr>
                <w:sz w:val="22"/>
                <w:szCs w:val="22"/>
              </w:rPr>
            </w:pPr>
          </w:p>
        </w:tc>
        <w:tc>
          <w:tcPr>
            <w:tcW w:w="2427" w:type="dxa"/>
            <w:vAlign w:val="center"/>
          </w:tcPr>
          <w:p w14:paraId="05AD7BEC">
            <w:pPr>
              <w:jc w:val="center"/>
              <w:rPr>
                <w:sz w:val="22"/>
                <w:szCs w:val="22"/>
              </w:rPr>
            </w:pPr>
            <w:r>
              <w:rPr>
                <w:sz w:val="22"/>
                <w:szCs w:val="22"/>
              </w:rPr>
              <w:t>人口数</w:t>
            </w:r>
          </w:p>
        </w:tc>
        <w:tc>
          <w:tcPr>
            <w:tcW w:w="3641" w:type="dxa"/>
            <w:vAlign w:val="center"/>
          </w:tcPr>
          <w:p w14:paraId="6B77C082">
            <w:pPr>
              <w:jc w:val="center"/>
              <w:rPr>
                <w:sz w:val="22"/>
                <w:szCs w:val="22"/>
              </w:rPr>
            </w:pPr>
            <w:r>
              <w:rPr>
                <w:sz w:val="22"/>
                <w:szCs w:val="22"/>
              </w:rPr>
              <w:t>/</w:t>
            </w:r>
          </w:p>
        </w:tc>
      </w:tr>
      <w:tr w14:paraId="3441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37" w:type="dxa"/>
            <w:gridSpan w:val="2"/>
            <w:vAlign w:val="center"/>
          </w:tcPr>
          <w:p w14:paraId="4F25FCFC">
            <w:pPr>
              <w:jc w:val="center"/>
              <w:rPr>
                <w:sz w:val="22"/>
                <w:szCs w:val="22"/>
              </w:rPr>
            </w:pPr>
            <w:r>
              <w:rPr>
                <w:sz w:val="22"/>
                <w:szCs w:val="22"/>
              </w:rPr>
              <w:t>最高环境温度/℃</w:t>
            </w:r>
          </w:p>
        </w:tc>
        <w:tc>
          <w:tcPr>
            <w:tcW w:w="3641" w:type="dxa"/>
            <w:vAlign w:val="center"/>
          </w:tcPr>
          <w:p w14:paraId="7F672D47">
            <w:pPr>
              <w:jc w:val="center"/>
              <w:rPr>
                <w:sz w:val="22"/>
                <w:szCs w:val="22"/>
              </w:rPr>
            </w:pPr>
            <w:r>
              <w:rPr>
                <w:rFonts w:hint="eastAsia"/>
                <w:sz w:val="22"/>
                <w:szCs w:val="22"/>
              </w:rPr>
              <w:t>41</w:t>
            </w:r>
          </w:p>
        </w:tc>
      </w:tr>
      <w:tr w14:paraId="004C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37" w:type="dxa"/>
            <w:gridSpan w:val="2"/>
            <w:vAlign w:val="center"/>
          </w:tcPr>
          <w:p w14:paraId="3D8CA512">
            <w:pPr>
              <w:jc w:val="center"/>
              <w:rPr>
                <w:sz w:val="22"/>
                <w:szCs w:val="22"/>
              </w:rPr>
            </w:pPr>
            <w:r>
              <w:rPr>
                <w:sz w:val="22"/>
                <w:szCs w:val="22"/>
              </w:rPr>
              <w:t>最低环境温度/℃</w:t>
            </w:r>
          </w:p>
        </w:tc>
        <w:tc>
          <w:tcPr>
            <w:tcW w:w="3641" w:type="dxa"/>
            <w:vAlign w:val="center"/>
          </w:tcPr>
          <w:p w14:paraId="57A56CD1">
            <w:pPr>
              <w:jc w:val="center"/>
              <w:rPr>
                <w:sz w:val="22"/>
                <w:szCs w:val="22"/>
              </w:rPr>
            </w:pPr>
            <w:r>
              <w:rPr>
                <w:sz w:val="22"/>
                <w:szCs w:val="22"/>
              </w:rPr>
              <w:t>-</w:t>
            </w:r>
            <w:r>
              <w:rPr>
                <w:rFonts w:hint="eastAsia"/>
                <w:sz w:val="22"/>
                <w:szCs w:val="22"/>
              </w:rPr>
              <w:t>2</w:t>
            </w:r>
          </w:p>
        </w:tc>
      </w:tr>
      <w:tr w14:paraId="7FA7D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37" w:type="dxa"/>
            <w:gridSpan w:val="2"/>
            <w:vAlign w:val="center"/>
          </w:tcPr>
          <w:p w14:paraId="11EA3133">
            <w:pPr>
              <w:jc w:val="center"/>
              <w:rPr>
                <w:sz w:val="22"/>
                <w:szCs w:val="22"/>
              </w:rPr>
            </w:pPr>
            <w:r>
              <w:rPr>
                <w:sz w:val="22"/>
                <w:szCs w:val="22"/>
              </w:rPr>
              <w:t>土地利用类型</w:t>
            </w:r>
          </w:p>
        </w:tc>
        <w:tc>
          <w:tcPr>
            <w:tcW w:w="3641" w:type="dxa"/>
            <w:vAlign w:val="center"/>
          </w:tcPr>
          <w:p w14:paraId="606E39AF">
            <w:pPr>
              <w:jc w:val="center"/>
              <w:rPr>
                <w:sz w:val="22"/>
                <w:szCs w:val="22"/>
              </w:rPr>
            </w:pPr>
            <w:r>
              <w:rPr>
                <w:sz w:val="22"/>
                <w:szCs w:val="22"/>
              </w:rPr>
              <w:t>农作地</w:t>
            </w:r>
          </w:p>
        </w:tc>
      </w:tr>
      <w:tr w14:paraId="7D2C8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37" w:type="dxa"/>
            <w:gridSpan w:val="2"/>
            <w:vAlign w:val="center"/>
          </w:tcPr>
          <w:p w14:paraId="6471B0B3">
            <w:pPr>
              <w:jc w:val="center"/>
              <w:rPr>
                <w:sz w:val="22"/>
                <w:szCs w:val="22"/>
              </w:rPr>
            </w:pPr>
            <w:r>
              <w:rPr>
                <w:sz w:val="22"/>
                <w:szCs w:val="22"/>
              </w:rPr>
              <w:t>区域湿度条件</w:t>
            </w:r>
          </w:p>
        </w:tc>
        <w:tc>
          <w:tcPr>
            <w:tcW w:w="3641" w:type="dxa"/>
            <w:vAlign w:val="center"/>
          </w:tcPr>
          <w:p w14:paraId="7894BD3B">
            <w:pPr>
              <w:jc w:val="center"/>
              <w:rPr>
                <w:sz w:val="22"/>
                <w:szCs w:val="22"/>
              </w:rPr>
            </w:pPr>
            <w:r>
              <w:rPr>
                <w:sz w:val="22"/>
                <w:szCs w:val="22"/>
              </w:rPr>
              <w:t>中等</w:t>
            </w:r>
          </w:p>
        </w:tc>
      </w:tr>
      <w:tr w14:paraId="4078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10" w:type="dxa"/>
            <w:vMerge w:val="restart"/>
            <w:vAlign w:val="center"/>
          </w:tcPr>
          <w:p w14:paraId="30C84E19">
            <w:pPr>
              <w:jc w:val="center"/>
              <w:rPr>
                <w:sz w:val="22"/>
                <w:szCs w:val="22"/>
              </w:rPr>
            </w:pPr>
            <w:r>
              <w:rPr>
                <w:sz w:val="22"/>
                <w:szCs w:val="22"/>
              </w:rPr>
              <w:t>是否考虑地形</w:t>
            </w:r>
          </w:p>
        </w:tc>
        <w:tc>
          <w:tcPr>
            <w:tcW w:w="2427" w:type="dxa"/>
            <w:vAlign w:val="center"/>
          </w:tcPr>
          <w:p w14:paraId="0F68D35A">
            <w:pPr>
              <w:jc w:val="center"/>
              <w:rPr>
                <w:sz w:val="22"/>
                <w:szCs w:val="22"/>
              </w:rPr>
            </w:pPr>
            <w:r>
              <w:rPr>
                <w:sz w:val="22"/>
                <w:szCs w:val="22"/>
              </w:rPr>
              <w:t>考虑地形</w:t>
            </w:r>
          </w:p>
        </w:tc>
        <w:tc>
          <w:tcPr>
            <w:tcW w:w="3641" w:type="dxa"/>
            <w:vAlign w:val="center"/>
          </w:tcPr>
          <w:p w14:paraId="4380D500">
            <w:pPr>
              <w:jc w:val="center"/>
              <w:rPr>
                <w:sz w:val="22"/>
                <w:szCs w:val="22"/>
              </w:rPr>
            </w:pPr>
            <w:r>
              <w:rPr>
                <w:sz w:val="22"/>
                <w:szCs w:val="22"/>
              </w:rPr>
              <w:t>是</w:t>
            </w:r>
          </w:p>
        </w:tc>
      </w:tr>
      <w:tr w14:paraId="31F9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10" w:type="dxa"/>
            <w:vMerge w:val="continue"/>
            <w:vAlign w:val="center"/>
          </w:tcPr>
          <w:p w14:paraId="5CB2FB97">
            <w:pPr>
              <w:jc w:val="center"/>
              <w:rPr>
                <w:sz w:val="22"/>
                <w:szCs w:val="22"/>
              </w:rPr>
            </w:pPr>
          </w:p>
        </w:tc>
        <w:tc>
          <w:tcPr>
            <w:tcW w:w="2427" w:type="dxa"/>
            <w:vAlign w:val="center"/>
          </w:tcPr>
          <w:p w14:paraId="596AB994">
            <w:pPr>
              <w:jc w:val="center"/>
              <w:rPr>
                <w:sz w:val="22"/>
                <w:szCs w:val="22"/>
              </w:rPr>
            </w:pPr>
            <w:r>
              <w:rPr>
                <w:sz w:val="22"/>
                <w:szCs w:val="22"/>
              </w:rPr>
              <w:t>地形分辨率/m</w:t>
            </w:r>
          </w:p>
        </w:tc>
        <w:tc>
          <w:tcPr>
            <w:tcW w:w="3641" w:type="dxa"/>
            <w:vAlign w:val="center"/>
          </w:tcPr>
          <w:p w14:paraId="6E5E47EB">
            <w:pPr>
              <w:jc w:val="center"/>
              <w:rPr>
                <w:sz w:val="22"/>
                <w:szCs w:val="22"/>
              </w:rPr>
            </w:pPr>
            <w:r>
              <w:rPr>
                <w:sz w:val="22"/>
                <w:szCs w:val="22"/>
              </w:rPr>
              <w:t>90</w:t>
            </w:r>
          </w:p>
        </w:tc>
      </w:tr>
      <w:tr w14:paraId="0313A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10" w:type="dxa"/>
            <w:vAlign w:val="center"/>
          </w:tcPr>
          <w:p w14:paraId="5ABE0723">
            <w:pPr>
              <w:jc w:val="center"/>
              <w:rPr>
                <w:sz w:val="22"/>
                <w:szCs w:val="22"/>
              </w:rPr>
            </w:pPr>
            <w:r>
              <w:rPr>
                <w:sz w:val="22"/>
                <w:szCs w:val="22"/>
              </w:rPr>
              <w:t>是否考虑岸边熏烟</w:t>
            </w:r>
          </w:p>
        </w:tc>
        <w:tc>
          <w:tcPr>
            <w:tcW w:w="2427" w:type="dxa"/>
            <w:vAlign w:val="center"/>
          </w:tcPr>
          <w:p w14:paraId="4724B11E">
            <w:pPr>
              <w:jc w:val="center"/>
              <w:rPr>
                <w:sz w:val="22"/>
                <w:szCs w:val="22"/>
              </w:rPr>
            </w:pPr>
            <w:r>
              <w:rPr>
                <w:sz w:val="22"/>
                <w:szCs w:val="22"/>
              </w:rPr>
              <w:t>考虑岸线熏烟</w:t>
            </w:r>
          </w:p>
        </w:tc>
        <w:tc>
          <w:tcPr>
            <w:tcW w:w="3641" w:type="dxa"/>
            <w:vAlign w:val="center"/>
          </w:tcPr>
          <w:p w14:paraId="65AB98D9">
            <w:pPr>
              <w:jc w:val="center"/>
              <w:rPr>
                <w:sz w:val="22"/>
                <w:szCs w:val="22"/>
              </w:rPr>
            </w:pPr>
            <w:r>
              <w:rPr>
                <w:sz w:val="22"/>
                <w:szCs w:val="22"/>
              </w:rPr>
              <w:t>否</w:t>
            </w:r>
          </w:p>
        </w:tc>
      </w:tr>
    </w:tbl>
    <w:p w14:paraId="24AA1214">
      <w:pPr>
        <w:pStyle w:val="1066"/>
        <w:ind w:firstLine="520"/>
      </w:pPr>
    </w:p>
    <w:p w14:paraId="2B843D6B">
      <w:pPr>
        <w:spacing w:line="460" w:lineRule="exact"/>
        <w:ind w:firstLine="520" w:firstLineChars="200"/>
        <w:rPr>
          <w:sz w:val="26"/>
          <w:szCs w:val="26"/>
        </w:rPr>
      </w:pPr>
      <w:r>
        <w:rPr>
          <w:sz w:val="26"/>
          <w:szCs w:val="26"/>
        </w:rPr>
        <w:t>根据工程分析的结果，本项目污染源排放参数见下表。</w:t>
      </w:r>
    </w:p>
    <w:p w14:paraId="0B350C8A">
      <w:pPr>
        <w:pStyle w:val="1066"/>
        <w:ind w:firstLine="520"/>
        <w:rPr>
          <w:rFonts w:cs="Times New Roman"/>
        </w:rPr>
      </w:pPr>
    </w:p>
    <w:p w14:paraId="0D2EB55F">
      <w:pPr>
        <w:pStyle w:val="1065"/>
        <w:ind w:firstLine="480"/>
      </w:pPr>
      <w:r>
        <w:t xml:space="preserve">表1.5-5  </w:t>
      </w:r>
      <w:r>
        <w:rPr>
          <w:rFonts w:hint="eastAsia"/>
        </w:rPr>
        <w:t>试采站</w:t>
      </w:r>
      <w:r>
        <w:t>水套加热炉排放参数表</w:t>
      </w:r>
    </w:p>
    <w:tbl>
      <w:tblPr>
        <w:tblStyle w:val="88"/>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1151"/>
        <w:gridCol w:w="1194"/>
        <w:gridCol w:w="760"/>
        <w:gridCol w:w="776"/>
        <w:gridCol w:w="876"/>
        <w:gridCol w:w="766"/>
        <w:gridCol w:w="500"/>
        <w:gridCol w:w="821"/>
        <w:gridCol w:w="841"/>
      </w:tblGrid>
      <w:tr w14:paraId="2BE3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2412" w:type="dxa"/>
            <w:gridSpan w:val="2"/>
            <w:tcBorders>
              <w:bottom w:val="single" w:color="auto" w:sz="4" w:space="0"/>
            </w:tcBorders>
            <w:vAlign w:val="center"/>
          </w:tcPr>
          <w:p w14:paraId="11B81627">
            <w:pPr>
              <w:widowControl/>
              <w:jc w:val="center"/>
              <w:rPr>
                <w:kern w:val="0"/>
                <w:sz w:val="22"/>
                <w:szCs w:val="22"/>
              </w:rPr>
            </w:pPr>
            <w:r>
              <w:rPr>
                <w:kern w:val="0"/>
                <w:sz w:val="22"/>
                <w:szCs w:val="22"/>
              </w:rPr>
              <w:t>井筒底部</w:t>
            </w:r>
          </w:p>
          <w:p w14:paraId="5E3688BE">
            <w:pPr>
              <w:widowControl/>
              <w:jc w:val="center"/>
              <w:rPr>
                <w:kern w:val="0"/>
                <w:sz w:val="22"/>
                <w:szCs w:val="22"/>
              </w:rPr>
            </w:pPr>
            <w:r>
              <w:rPr>
                <w:kern w:val="0"/>
                <w:sz w:val="22"/>
                <w:szCs w:val="22"/>
              </w:rPr>
              <w:t>中心坐标</w:t>
            </w:r>
          </w:p>
        </w:tc>
        <w:tc>
          <w:tcPr>
            <w:tcW w:w="1194" w:type="dxa"/>
            <w:vMerge w:val="restart"/>
            <w:tcBorders>
              <w:bottom w:val="single" w:color="auto" w:sz="4" w:space="0"/>
            </w:tcBorders>
            <w:vAlign w:val="center"/>
          </w:tcPr>
          <w:p w14:paraId="6D28D22A">
            <w:pPr>
              <w:widowControl/>
              <w:jc w:val="center"/>
              <w:rPr>
                <w:kern w:val="0"/>
                <w:sz w:val="22"/>
                <w:szCs w:val="22"/>
              </w:rPr>
            </w:pPr>
            <w:r>
              <w:rPr>
                <w:kern w:val="0"/>
                <w:sz w:val="22"/>
                <w:szCs w:val="22"/>
              </w:rPr>
              <w:t>排气筒底部海拔高度H</w:t>
            </w:r>
            <w:r>
              <w:rPr>
                <w:kern w:val="0"/>
                <w:sz w:val="22"/>
                <w:szCs w:val="22"/>
                <w:vertAlign w:val="subscript"/>
              </w:rPr>
              <w:t>0</w:t>
            </w:r>
            <w:r>
              <w:rPr>
                <w:kern w:val="0"/>
                <w:sz w:val="22"/>
                <w:szCs w:val="22"/>
              </w:rPr>
              <w:t>（m）</w:t>
            </w:r>
          </w:p>
        </w:tc>
        <w:tc>
          <w:tcPr>
            <w:tcW w:w="760" w:type="dxa"/>
            <w:vMerge w:val="restart"/>
            <w:tcBorders>
              <w:bottom w:val="single" w:color="auto" w:sz="4" w:space="0"/>
            </w:tcBorders>
            <w:vAlign w:val="center"/>
          </w:tcPr>
          <w:p w14:paraId="521379BC">
            <w:pPr>
              <w:widowControl/>
              <w:jc w:val="center"/>
              <w:rPr>
                <w:kern w:val="0"/>
                <w:sz w:val="22"/>
                <w:szCs w:val="22"/>
              </w:rPr>
            </w:pPr>
            <w:r>
              <w:rPr>
                <w:kern w:val="0"/>
                <w:sz w:val="22"/>
                <w:szCs w:val="22"/>
              </w:rPr>
              <w:t>排气筒几何高度</w:t>
            </w:r>
          </w:p>
        </w:tc>
        <w:tc>
          <w:tcPr>
            <w:tcW w:w="776" w:type="dxa"/>
            <w:vMerge w:val="restart"/>
            <w:tcBorders>
              <w:bottom w:val="single" w:color="auto" w:sz="4" w:space="0"/>
            </w:tcBorders>
            <w:vAlign w:val="center"/>
          </w:tcPr>
          <w:p w14:paraId="50321177">
            <w:pPr>
              <w:widowControl/>
              <w:jc w:val="center"/>
              <w:rPr>
                <w:kern w:val="0"/>
                <w:sz w:val="22"/>
                <w:szCs w:val="22"/>
              </w:rPr>
            </w:pPr>
            <w:r>
              <w:rPr>
                <w:kern w:val="0"/>
                <w:sz w:val="22"/>
                <w:szCs w:val="22"/>
              </w:rPr>
              <w:t>烟气流量(m</w:t>
            </w:r>
            <w:r>
              <w:rPr>
                <w:kern w:val="0"/>
                <w:sz w:val="22"/>
                <w:szCs w:val="22"/>
                <w:vertAlign w:val="superscript"/>
              </w:rPr>
              <w:t>3</w:t>
            </w:r>
            <w:r>
              <w:rPr>
                <w:kern w:val="0"/>
                <w:sz w:val="22"/>
                <w:szCs w:val="22"/>
              </w:rPr>
              <w:t>/h)</w:t>
            </w:r>
          </w:p>
        </w:tc>
        <w:tc>
          <w:tcPr>
            <w:tcW w:w="876" w:type="dxa"/>
            <w:vMerge w:val="restart"/>
            <w:tcBorders>
              <w:bottom w:val="single" w:color="auto" w:sz="4" w:space="0"/>
            </w:tcBorders>
            <w:vAlign w:val="center"/>
          </w:tcPr>
          <w:p w14:paraId="2BD4D8D9">
            <w:pPr>
              <w:widowControl/>
              <w:jc w:val="center"/>
              <w:rPr>
                <w:kern w:val="0"/>
                <w:sz w:val="22"/>
                <w:szCs w:val="22"/>
              </w:rPr>
            </w:pPr>
            <w:r>
              <w:rPr>
                <w:kern w:val="0"/>
                <w:sz w:val="22"/>
                <w:szCs w:val="22"/>
              </w:rPr>
              <w:t>烟气温度（℃）</w:t>
            </w:r>
          </w:p>
        </w:tc>
        <w:tc>
          <w:tcPr>
            <w:tcW w:w="766" w:type="dxa"/>
            <w:vMerge w:val="restart"/>
            <w:tcBorders>
              <w:bottom w:val="single" w:color="auto" w:sz="4" w:space="0"/>
            </w:tcBorders>
            <w:vAlign w:val="center"/>
          </w:tcPr>
          <w:p w14:paraId="1F8FD5C6">
            <w:pPr>
              <w:widowControl/>
              <w:jc w:val="center"/>
              <w:rPr>
                <w:kern w:val="0"/>
                <w:sz w:val="22"/>
                <w:szCs w:val="22"/>
              </w:rPr>
            </w:pPr>
            <w:r>
              <w:rPr>
                <w:kern w:val="0"/>
                <w:sz w:val="22"/>
                <w:szCs w:val="22"/>
              </w:rPr>
              <w:t>年排放小时数（h）</w:t>
            </w:r>
          </w:p>
        </w:tc>
        <w:tc>
          <w:tcPr>
            <w:tcW w:w="500" w:type="dxa"/>
            <w:vMerge w:val="restart"/>
            <w:tcBorders>
              <w:bottom w:val="single" w:color="auto" w:sz="4" w:space="0"/>
            </w:tcBorders>
            <w:vAlign w:val="center"/>
          </w:tcPr>
          <w:p w14:paraId="6C08D7B5">
            <w:pPr>
              <w:widowControl/>
              <w:jc w:val="center"/>
              <w:rPr>
                <w:kern w:val="0"/>
                <w:sz w:val="22"/>
                <w:szCs w:val="22"/>
              </w:rPr>
            </w:pPr>
            <w:r>
              <w:rPr>
                <w:kern w:val="0"/>
                <w:sz w:val="22"/>
                <w:szCs w:val="22"/>
              </w:rPr>
              <w:t>排放工况</w:t>
            </w:r>
          </w:p>
        </w:tc>
        <w:tc>
          <w:tcPr>
            <w:tcW w:w="1662" w:type="dxa"/>
            <w:gridSpan w:val="2"/>
            <w:tcBorders>
              <w:bottom w:val="single" w:color="auto" w:sz="4" w:space="0"/>
            </w:tcBorders>
            <w:vAlign w:val="center"/>
          </w:tcPr>
          <w:p w14:paraId="2A481F3C">
            <w:pPr>
              <w:widowControl/>
              <w:jc w:val="center"/>
              <w:rPr>
                <w:kern w:val="0"/>
                <w:sz w:val="22"/>
                <w:szCs w:val="22"/>
              </w:rPr>
            </w:pPr>
            <w:r>
              <w:rPr>
                <w:kern w:val="0"/>
                <w:sz w:val="22"/>
                <w:szCs w:val="22"/>
              </w:rPr>
              <w:t>污染物排放速率（kg/h）</w:t>
            </w:r>
          </w:p>
        </w:tc>
      </w:tr>
      <w:tr w14:paraId="51D0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61" w:type="dxa"/>
            <w:vAlign w:val="center"/>
          </w:tcPr>
          <w:p w14:paraId="401A8C90">
            <w:pPr>
              <w:widowControl/>
              <w:jc w:val="center"/>
              <w:rPr>
                <w:kern w:val="0"/>
                <w:sz w:val="22"/>
                <w:szCs w:val="22"/>
              </w:rPr>
            </w:pPr>
            <w:r>
              <w:rPr>
                <w:kern w:val="0"/>
                <w:sz w:val="22"/>
                <w:szCs w:val="22"/>
              </w:rPr>
              <w:t>X/°</w:t>
            </w:r>
          </w:p>
        </w:tc>
        <w:tc>
          <w:tcPr>
            <w:tcW w:w="1151" w:type="dxa"/>
            <w:vAlign w:val="center"/>
          </w:tcPr>
          <w:p w14:paraId="558F4940">
            <w:pPr>
              <w:widowControl/>
              <w:jc w:val="center"/>
              <w:rPr>
                <w:kern w:val="0"/>
                <w:sz w:val="22"/>
                <w:szCs w:val="22"/>
              </w:rPr>
            </w:pPr>
            <w:r>
              <w:rPr>
                <w:kern w:val="0"/>
                <w:sz w:val="22"/>
                <w:szCs w:val="22"/>
              </w:rPr>
              <w:t>Y/°</w:t>
            </w:r>
          </w:p>
        </w:tc>
        <w:tc>
          <w:tcPr>
            <w:tcW w:w="1194" w:type="dxa"/>
            <w:vMerge w:val="continue"/>
            <w:vAlign w:val="center"/>
          </w:tcPr>
          <w:p w14:paraId="74FA0D64">
            <w:pPr>
              <w:widowControl/>
              <w:jc w:val="left"/>
              <w:rPr>
                <w:kern w:val="0"/>
                <w:sz w:val="22"/>
                <w:szCs w:val="22"/>
              </w:rPr>
            </w:pPr>
          </w:p>
        </w:tc>
        <w:tc>
          <w:tcPr>
            <w:tcW w:w="760" w:type="dxa"/>
            <w:vMerge w:val="continue"/>
            <w:vAlign w:val="center"/>
          </w:tcPr>
          <w:p w14:paraId="37E099CF">
            <w:pPr>
              <w:widowControl/>
              <w:jc w:val="left"/>
              <w:rPr>
                <w:kern w:val="0"/>
                <w:sz w:val="22"/>
                <w:szCs w:val="22"/>
              </w:rPr>
            </w:pPr>
          </w:p>
        </w:tc>
        <w:tc>
          <w:tcPr>
            <w:tcW w:w="776" w:type="dxa"/>
            <w:vMerge w:val="continue"/>
            <w:vAlign w:val="center"/>
          </w:tcPr>
          <w:p w14:paraId="3E796401">
            <w:pPr>
              <w:widowControl/>
              <w:jc w:val="left"/>
              <w:rPr>
                <w:kern w:val="0"/>
                <w:sz w:val="22"/>
                <w:szCs w:val="22"/>
              </w:rPr>
            </w:pPr>
          </w:p>
        </w:tc>
        <w:tc>
          <w:tcPr>
            <w:tcW w:w="876" w:type="dxa"/>
            <w:vMerge w:val="continue"/>
            <w:vAlign w:val="center"/>
          </w:tcPr>
          <w:p w14:paraId="51FE50FB">
            <w:pPr>
              <w:widowControl/>
              <w:jc w:val="left"/>
              <w:rPr>
                <w:kern w:val="0"/>
                <w:sz w:val="22"/>
                <w:szCs w:val="22"/>
              </w:rPr>
            </w:pPr>
          </w:p>
        </w:tc>
        <w:tc>
          <w:tcPr>
            <w:tcW w:w="766" w:type="dxa"/>
            <w:vMerge w:val="continue"/>
            <w:vAlign w:val="center"/>
          </w:tcPr>
          <w:p w14:paraId="24758620">
            <w:pPr>
              <w:widowControl/>
              <w:jc w:val="left"/>
              <w:rPr>
                <w:kern w:val="0"/>
                <w:sz w:val="22"/>
                <w:szCs w:val="22"/>
              </w:rPr>
            </w:pPr>
          </w:p>
        </w:tc>
        <w:tc>
          <w:tcPr>
            <w:tcW w:w="500" w:type="dxa"/>
            <w:vMerge w:val="continue"/>
            <w:vAlign w:val="center"/>
          </w:tcPr>
          <w:p w14:paraId="4BA74467">
            <w:pPr>
              <w:widowControl/>
              <w:jc w:val="left"/>
              <w:rPr>
                <w:kern w:val="0"/>
                <w:sz w:val="22"/>
                <w:szCs w:val="22"/>
              </w:rPr>
            </w:pPr>
          </w:p>
        </w:tc>
        <w:tc>
          <w:tcPr>
            <w:tcW w:w="821" w:type="dxa"/>
            <w:vAlign w:val="center"/>
          </w:tcPr>
          <w:p w14:paraId="6AF807E5">
            <w:pPr>
              <w:widowControl/>
              <w:jc w:val="center"/>
              <w:rPr>
                <w:kern w:val="0"/>
                <w:sz w:val="22"/>
                <w:szCs w:val="22"/>
              </w:rPr>
            </w:pPr>
            <w:r>
              <w:rPr>
                <w:rFonts w:hint="eastAsia"/>
                <w:kern w:val="0"/>
                <w:sz w:val="22"/>
                <w:szCs w:val="22"/>
              </w:rPr>
              <w:t>P</w:t>
            </w:r>
            <w:r>
              <w:rPr>
                <w:kern w:val="0"/>
                <w:sz w:val="22"/>
                <w:szCs w:val="22"/>
              </w:rPr>
              <w:t>M</w:t>
            </w:r>
            <w:r>
              <w:rPr>
                <w:kern w:val="0"/>
                <w:sz w:val="22"/>
                <w:szCs w:val="22"/>
                <w:vertAlign w:val="subscript"/>
              </w:rPr>
              <w:t>10</w:t>
            </w:r>
          </w:p>
        </w:tc>
        <w:tc>
          <w:tcPr>
            <w:tcW w:w="841" w:type="dxa"/>
            <w:vAlign w:val="center"/>
          </w:tcPr>
          <w:p w14:paraId="4853CC49">
            <w:pPr>
              <w:widowControl/>
              <w:jc w:val="center"/>
              <w:rPr>
                <w:kern w:val="0"/>
                <w:sz w:val="22"/>
                <w:szCs w:val="22"/>
              </w:rPr>
            </w:pPr>
            <w:r>
              <w:rPr>
                <w:kern w:val="0"/>
                <w:sz w:val="22"/>
                <w:szCs w:val="22"/>
              </w:rPr>
              <w:t>NO</w:t>
            </w:r>
            <w:r>
              <w:rPr>
                <w:kern w:val="0"/>
                <w:sz w:val="22"/>
                <w:szCs w:val="22"/>
                <w:vertAlign w:val="subscript"/>
              </w:rPr>
              <w:t>X</w:t>
            </w:r>
          </w:p>
        </w:tc>
      </w:tr>
      <w:tr w14:paraId="4D8F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61" w:type="dxa"/>
            <w:vAlign w:val="center"/>
          </w:tcPr>
          <w:p w14:paraId="549B3AAE">
            <w:pPr>
              <w:widowControl/>
              <w:jc w:val="center"/>
              <w:rPr>
                <w:kern w:val="0"/>
                <w:sz w:val="22"/>
                <w:szCs w:val="22"/>
              </w:rPr>
            </w:pPr>
            <w:r>
              <w:rPr>
                <w:kern w:val="0"/>
                <w:sz w:val="22"/>
                <w:szCs w:val="22"/>
              </w:rPr>
              <w:t>106.428964</w:t>
            </w:r>
          </w:p>
        </w:tc>
        <w:tc>
          <w:tcPr>
            <w:tcW w:w="1151" w:type="dxa"/>
            <w:vAlign w:val="center"/>
          </w:tcPr>
          <w:p w14:paraId="622715FA">
            <w:pPr>
              <w:widowControl/>
              <w:jc w:val="center"/>
              <w:rPr>
                <w:kern w:val="0"/>
                <w:sz w:val="22"/>
                <w:szCs w:val="22"/>
              </w:rPr>
            </w:pPr>
            <w:r>
              <w:rPr>
                <w:kern w:val="0"/>
                <w:sz w:val="22"/>
                <w:szCs w:val="22"/>
              </w:rPr>
              <w:t>31.790273</w:t>
            </w:r>
          </w:p>
        </w:tc>
        <w:tc>
          <w:tcPr>
            <w:tcW w:w="1194" w:type="dxa"/>
            <w:vAlign w:val="center"/>
          </w:tcPr>
          <w:p w14:paraId="1082FFD3">
            <w:pPr>
              <w:widowControl/>
              <w:jc w:val="center"/>
              <w:rPr>
                <w:kern w:val="0"/>
                <w:sz w:val="22"/>
                <w:szCs w:val="22"/>
              </w:rPr>
            </w:pPr>
            <w:r>
              <w:rPr>
                <w:kern w:val="0"/>
                <w:sz w:val="22"/>
                <w:szCs w:val="22"/>
              </w:rPr>
              <w:t>558.9</w:t>
            </w:r>
          </w:p>
        </w:tc>
        <w:tc>
          <w:tcPr>
            <w:tcW w:w="760" w:type="dxa"/>
            <w:vAlign w:val="center"/>
          </w:tcPr>
          <w:p w14:paraId="0C9CF9A1">
            <w:pPr>
              <w:widowControl/>
              <w:jc w:val="center"/>
              <w:rPr>
                <w:kern w:val="0"/>
                <w:sz w:val="22"/>
                <w:szCs w:val="22"/>
              </w:rPr>
            </w:pPr>
            <w:r>
              <w:rPr>
                <w:kern w:val="0"/>
                <w:sz w:val="22"/>
                <w:szCs w:val="22"/>
              </w:rPr>
              <w:t>8</w:t>
            </w:r>
          </w:p>
        </w:tc>
        <w:tc>
          <w:tcPr>
            <w:tcW w:w="776" w:type="dxa"/>
            <w:vAlign w:val="center"/>
          </w:tcPr>
          <w:p w14:paraId="7D213CE6">
            <w:pPr>
              <w:widowControl/>
              <w:jc w:val="center"/>
              <w:rPr>
                <w:kern w:val="0"/>
                <w:sz w:val="22"/>
                <w:szCs w:val="22"/>
              </w:rPr>
            </w:pPr>
            <w:r>
              <w:rPr>
                <w:kern w:val="0"/>
                <w:sz w:val="22"/>
                <w:szCs w:val="22"/>
              </w:rPr>
              <w:t>272</w:t>
            </w:r>
          </w:p>
        </w:tc>
        <w:tc>
          <w:tcPr>
            <w:tcW w:w="876" w:type="dxa"/>
            <w:vAlign w:val="center"/>
          </w:tcPr>
          <w:p w14:paraId="7F2A3238">
            <w:pPr>
              <w:widowControl/>
              <w:jc w:val="center"/>
              <w:rPr>
                <w:kern w:val="0"/>
                <w:sz w:val="22"/>
                <w:szCs w:val="22"/>
              </w:rPr>
            </w:pPr>
            <w:r>
              <w:rPr>
                <w:kern w:val="0"/>
                <w:sz w:val="22"/>
                <w:szCs w:val="22"/>
              </w:rPr>
              <w:t>130</w:t>
            </w:r>
          </w:p>
        </w:tc>
        <w:tc>
          <w:tcPr>
            <w:tcW w:w="766" w:type="dxa"/>
            <w:vAlign w:val="center"/>
          </w:tcPr>
          <w:p w14:paraId="10D5997D">
            <w:pPr>
              <w:widowControl/>
              <w:jc w:val="center"/>
              <w:rPr>
                <w:kern w:val="0"/>
                <w:sz w:val="22"/>
                <w:szCs w:val="22"/>
              </w:rPr>
            </w:pPr>
            <w:r>
              <w:rPr>
                <w:kern w:val="0"/>
                <w:sz w:val="22"/>
                <w:szCs w:val="22"/>
              </w:rPr>
              <w:t>2160</w:t>
            </w:r>
          </w:p>
        </w:tc>
        <w:tc>
          <w:tcPr>
            <w:tcW w:w="500" w:type="dxa"/>
            <w:vAlign w:val="center"/>
          </w:tcPr>
          <w:p w14:paraId="6D6E0FB9">
            <w:pPr>
              <w:widowControl/>
              <w:jc w:val="center"/>
              <w:rPr>
                <w:kern w:val="0"/>
                <w:sz w:val="22"/>
                <w:szCs w:val="22"/>
              </w:rPr>
            </w:pPr>
            <w:r>
              <w:rPr>
                <w:rFonts w:hint="eastAsia"/>
                <w:kern w:val="0"/>
                <w:sz w:val="22"/>
                <w:szCs w:val="22"/>
              </w:rPr>
              <w:t>正常工况</w:t>
            </w:r>
          </w:p>
        </w:tc>
        <w:tc>
          <w:tcPr>
            <w:tcW w:w="821" w:type="dxa"/>
            <w:vAlign w:val="center"/>
          </w:tcPr>
          <w:p w14:paraId="325E18B4">
            <w:pPr>
              <w:widowControl/>
              <w:jc w:val="center"/>
              <w:rPr>
                <w:kern w:val="0"/>
                <w:sz w:val="22"/>
                <w:szCs w:val="22"/>
              </w:rPr>
            </w:pPr>
            <w:r>
              <w:rPr>
                <w:rFonts w:hint="eastAsia"/>
                <w:kern w:val="0"/>
                <w:sz w:val="22"/>
                <w:szCs w:val="22"/>
              </w:rPr>
              <w:t>0</w:t>
            </w:r>
            <w:r>
              <w:rPr>
                <w:kern w:val="0"/>
                <w:sz w:val="22"/>
                <w:szCs w:val="22"/>
              </w:rPr>
              <w:t>.0034</w:t>
            </w:r>
          </w:p>
        </w:tc>
        <w:tc>
          <w:tcPr>
            <w:tcW w:w="841" w:type="dxa"/>
            <w:vAlign w:val="center"/>
          </w:tcPr>
          <w:p w14:paraId="5EE68BD4">
            <w:pPr>
              <w:widowControl/>
              <w:jc w:val="center"/>
              <w:rPr>
                <w:kern w:val="0"/>
                <w:sz w:val="22"/>
                <w:szCs w:val="22"/>
              </w:rPr>
            </w:pPr>
            <w:r>
              <w:rPr>
                <w:rFonts w:hint="eastAsia"/>
                <w:kern w:val="0"/>
                <w:sz w:val="22"/>
                <w:szCs w:val="22"/>
              </w:rPr>
              <w:t>0</w:t>
            </w:r>
            <w:r>
              <w:rPr>
                <w:kern w:val="0"/>
                <w:sz w:val="22"/>
                <w:szCs w:val="22"/>
              </w:rPr>
              <w:t>.0043</w:t>
            </w:r>
          </w:p>
        </w:tc>
      </w:tr>
    </w:tbl>
    <w:p w14:paraId="06FE463F">
      <w:pPr>
        <w:pStyle w:val="1066"/>
        <w:ind w:firstLine="520"/>
        <w:rPr>
          <w:rFonts w:cs="Times New Roman"/>
        </w:rPr>
      </w:pPr>
    </w:p>
    <w:p w14:paraId="63D99116">
      <w:pPr>
        <w:pStyle w:val="1065"/>
      </w:pPr>
      <w:r>
        <w:t xml:space="preserve">表1.5-6  </w:t>
      </w:r>
      <w:r>
        <w:rPr>
          <w:rFonts w:hint="eastAsia"/>
        </w:rPr>
        <w:t>试采站无组织逸散</w:t>
      </w:r>
      <w:r>
        <w:t>面源排放参数表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4"/>
        <w:gridCol w:w="1308"/>
        <w:gridCol w:w="1245"/>
        <w:gridCol w:w="1206"/>
        <w:gridCol w:w="1040"/>
        <w:gridCol w:w="1145"/>
        <w:gridCol w:w="1698"/>
      </w:tblGrid>
      <w:tr w14:paraId="363D3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460" w:type="pct"/>
            <w:gridSpan w:val="2"/>
            <w:vAlign w:val="center"/>
          </w:tcPr>
          <w:p w14:paraId="16DB50B5">
            <w:pPr>
              <w:wordWrap w:val="0"/>
              <w:jc w:val="center"/>
              <w:rPr>
                <w:sz w:val="22"/>
                <w:szCs w:val="22"/>
              </w:rPr>
            </w:pPr>
            <w:r>
              <w:rPr>
                <w:sz w:val="22"/>
                <w:szCs w:val="22"/>
              </w:rPr>
              <w:t>面源</w:t>
            </w:r>
            <w:r>
              <w:rPr>
                <w:rFonts w:hint="eastAsia"/>
                <w:sz w:val="22"/>
                <w:szCs w:val="22"/>
              </w:rPr>
              <w:t>顶点</w:t>
            </w:r>
            <w:r>
              <w:rPr>
                <w:sz w:val="22"/>
                <w:szCs w:val="22"/>
              </w:rPr>
              <w:t>坐标</w:t>
            </w:r>
          </w:p>
        </w:tc>
        <w:tc>
          <w:tcPr>
            <w:tcW w:w="696" w:type="pct"/>
            <w:vMerge w:val="restart"/>
            <w:vAlign w:val="center"/>
          </w:tcPr>
          <w:p w14:paraId="76B3E3C0">
            <w:pPr>
              <w:wordWrap w:val="0"/>
              <w:jc w:val="center"/>
              <w:rPr>
                <w:sz w:val="22"/>
                <w:szCs w:val="22"/>
              </w:rPr>
            </w:pPr>
            <w:r>
              <w:rPr>
                <w:sz w:val="22"/>
                <w:szCs w:val="22"/>
              </w:rPr>
              <w:t>面源海拔高度m</w:t>
            </w:r>
          </w:p>
        </w:tc>
        <w:tc>
          <w:tcPr>
            <w:tcW w:w="674" w:type="pct"/>
            <w:vMerge w:val="restart"/>
            <w:vAlign w:val="center"/>
          </w:tcPr>
          <w:p w14:paraId="6E353F33">
            <w:pPr>
              <w:wordWrap w:val="0"/>
              <w:jc w:val="center"/>
              <w:rPr>
                <w:sz w:val="22"/>
                <w:szCs w:val="22"/>
              </w:rPr>
            </w:pPr>
            <w:r>
              <w:rPr>
                <w:sz w:val="22"/>
                <w:szCs w:val="22"/>
              </w:rPr>
              <w:t>面源有效排放高度/m</w:t>
            </w:r>
          </w:p>
        </w:tc>
        <w:tc>
          <w:tcPr>
            <w:tcW w:w="581" w:type="pct"/>
            <w:vMerge w:val="restart"/>
            <w:vAlign w:val="center"/>
          </w:tcPr>
          <w:p w14:paraId="0BC66A83">
            <w:pPr>
              <w:wordWrap w:val="0"/>
              <w:jc w:val="center"/>
              <w:rPr>
                <w:sz w:val="22"/>
                <w:szCs w:val="22"/>
              </w:rPr>
            </w:pPr>
            <w:r>
              <w:rPr>
                <w:sz w:val="22"/>
                <w:szCs w:val="22"/>
              </w:rPr>
              <w:t>年排放小时数</w:t>
            </w:r>
          </w:p>
        </w:tc>
        <w:tc>
          <w:tcPr>
            <w:tcW w:w="640" w:type="pct"/>
            <w:vMerge w:val="restart"/>
            <w:vAlign w:val="center"/>
          </w:tcPr>
          <w:p w14:paraId="55F0D51E">
            <w:pPr>
              <w:wordWrap w:val="0"/>
              <w:jc w:val="center"/>
              <w:rPr>
                <w:sz w:val="22"/>
                <w:szCs w:val="22"/>
              </w:rPr>
            </w:pPr>
            <w:r>
              <w:rPr>
                <w:sz w:val="22"/>
                <w:szCs w:val="22"/>
              </w:rPr>
              <w:t>排放工况</w:t>
            </w:r>
          </w:p>
        </w:tc>
        <w:tc>
          <w:tcPr>
            <w:tcW w:w="949" w:type="pct"/>
            <w:vAlign w:val="center"/>
          </w:tcPr>
          <w:p w14:paraId="132CBC37">
            <w:pPr>
              <w:wordWrap w:val="0"/>
              <w:jc w:val="center"/>
              <w:rPr>
                <w:sz w:val="22"/>
                <w:szCs w:val="22"/>
              </w:rPr>
            </w:pPr>
            <w:r>
              <w:rPr>
                <w:sz w:val="22"/>
                <w:szCs w:val="22"/>
              </w:rPr>
              <w:t>污染物排放速率（kg/h）</w:t>
            </w:r>
          </w:p>
        </w:tc>
      </w:tr>
      <w:tr w14:paraId="19BD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729" w:type="pct"/>
            <w:vAlign w:val="center"/>
          </w:tcPr>
          <w:p w14:paraId="652991A9">
            <w:pPr>
              <w:wordWrap w:val="0"/>
              <w:jc w:val="center"/>
              <w:rPr>
                <w:sz w:val="22"/>
                <w:szCs w:val="22"/>
              </w:rPr>
            </w:pPr>
            <w:r>
              <w:rPr>
                <w:sz w:val="22"/>
                <w:szCs w:val="22"/>
              </w:rPr>
              <w:t>X</w:t>
            </w:r>
            <w:r>
              <w:rPr>
                <w:kern w:val="0"/>
                <w:sz w:val="22"/>
                <w:szCs w:val="22"/>
              </w:rPr>
              <w:t>/°</w:t>
            </w:r>
          </w:p>
        </w:tc>
        <w:tc>
          <w:tcPr>
            <w:tcW w:w="731" w:type="pct"/>
            <w:vAlign w:val="center"/>
          </w:tcPr>
          <w:p w14:paraId="06C5DAFD">
            <w:pPr>
              <w:wordWrap w:val="0"/>
              <w:jc w:val="center"/>
              <w:rPr>
                <w:sz w:val="22"/>
                <w:szCs w:val="22"/>
              </w:rPr>
            </w:pPr>
            <w:r>
              <w:rPr>
                <w:sz w:val="22"/>
                <w:szCs w:val="22"/>
              </w:rPr>
              <w:t>Y</w:t>
            </w:r>
            <w:r>
              <w:rPr>
                <w:kern w:val="0"/>
                <w:sz w:val="22"/>
                <w:szCs w:val="22"/>
              </w:rPr>
              <w:t>/°</w:t>
            </w:r>
          </w:p>
        </w:tc>
        <w:tc>
          <w:tcPr>
            <w:tcW w:w="696" w:type="pct"/>
            <w:vMerge w:val="continue"/>
            <w:vAlign w:val="center"/>
          </w:tcPr>
          <w:p w14:paraId="6F6EC02C">
            <w:pPr>
              <w:wordWrap w:val="0"/>
              <w:jc w:val="center"/>
              <w:rPr>
                <w:sz w:val="22"/>
                <w:szCs w:val="22"/>
              </w:rPr>
            </w:pPr>
          </w:p>
        </w:tc>
        <w:tc>
          <w:tcPr>
            <w:tcW w:w="674" w:type="pct"/>
            <w:vMerge w:val="continue"/>
            <w:vAlign w:val="center"/>
          </w:tcPr>
          <w:p w14:paraId="06CF54E5">
            <w:pPr>
              <w:wordWrap w:val="0"/>
              <w:jc w:val="center"/>
              <w:rPr>
                <w:sz w:val="22"/>
                <w:szCs w:val="22"/>
              </w:rPr>
            </w:pPr>
          </w:p>
        </w:tc>
        <w:tc>
          <w:tcPr>
            <w:tcW w:w="581" w:type="pct"/>
            <w:vMerge w:val="continue"/>
            <w:vAlign w:val="center"/>
          </w:tcPr>
          <w:p w14:paraId="5AF880E0">
            <w:pPr>
              <w:wordWrap w:val="0"/>
              <w:jc w:val="center"/>
              <w:rPr>
                <w:sz w:val="22"/>
                <w:szCs w:val="22"/>
              </w:rPr>
            </w:pPr>
          </w:p>
        </w:tc>
        <w:tc>
          <w:tcPr>
            <w:tcW w:w="640" w:type="pct"/>
            <w:vMerge w:val="continue"/>
            <w:vAlign w:val="center"/>
          </w:tcPr>
          <w:p w14:paraId="0A74E73F">
            <w:pPr>
              <w:wordWrap w:val="0"/>
              <w:jc w:val="center"/>
              <w:rPr>
                <w:sz w:val="22"/>
                <w:szCs w:val="22"/>
              </w:rPr>
            </w:pPr>
          </w:p>
        </w:tc>
        <w:tc>
          <w:tcPr>
            <w:tcW w:w="949" w:type="pct"/>
            <w:vAlign w:val="center"/>
          </w:tcPr>
          <w:p w14:paraId="41D81582">
            <w:pPr>
              <w:wordWrap w:val="0"/>
              <w:jc w:val="center"/>
              <w:rPr>
                <w:sz w:val="22"/>
                <w:szCs w:val="22"/>
              </w:rPr>
            </w:pPr>
            <w:r>
              <w:rPr>
                <w:rFonts w:hint="eastAsia"/>
                <w:sz w:val="22"/>
                <w:szCs w:val="22"/>
              </w:rPr>
              <w:t>N</w:t>
            </w:r>
            <w:r>
              <w:rPr>
                <w:sz w:val="22"/>
                <w:szCs w:val="22"/>
              </w:rPr>
              <w:t>MHC</w:t>
            </w:r>
          </w:p>
        </w:tc>
      </w:tr>
      <w:tr w14:paraId="0484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25C130EE">
            <w:pPr>
              <w:wordWrap w:val="0"/>
              <w:jc w:val="center"/>
              <w:rPr>
                <w:sz w:val="22"/>
                <w:szCs w:val="22"/>
              </w:rPr>
            </w:pPr>
            <w:r>
              <w:rPr>
                <w:sz w:val="22"/>
                <w:szCs w:val="22"/>
              </w:rPr>
              <w:t>106.428695</w:t>
            </w:r>
          </w:p>
        </w:tc>
        <w:tc>
          <w:tcPr>
            <w:tcW w:w="731" w:type="pct"/>
            <w:vAlign w:val="center"/>
          </w:tcPr>
          <w:p w14:paraId="7F7EE10A">
            <w:pPr>
              <w:wordWrap w:val="0"/>
              <w:jc w:val="center"/>
              <w:rPr>
                <w:sz w:val="22"/>
                <w:szCs w:val="22"/>
              </w:rPr>
            </w:pPr>
            <w:r>
              <w:rPr>
                <w:sz w:val="22"/>
                <w:szCs w:val="22"/>
              </w:rPr>
              <w:t>31.790476</w:t>
            </w:r>
          </w:p>
        </w:tc>
        <w:tc>
          <w:tcPr>
            <w:tcW w:w="696" w:type="pct"/>
            <w:vMerge w:val="restart"/>
            <w:vAlign w:val="center"/>
          </w:tcPr>
          <w:p w14:paraId="418C40E2">
            <w:pPr>
              <w:wordWrap w:val="0"/>
              <w:jc w:val="center"/>
              <w:rPr>
                <w:sz w:val="22"/>
                <w:szCs w:val="22"/>
              </w:rPr>
            </w:pPr>
            <w:r>
              <w:rPr>
                <w:sz w:val="22"/>
                <w:szCs w:val="22"/>
              </w:rPr>
              <w:t>558.9</w:t>
            </w:r>
          </w:p>
        </w:tc>
        <w:tc>
          <w:tcPr>
            <w:tcW w:w="674" w:type="pct"/>
            <w:vMerge w:val="restart"/>
            <w:vAlign w:val="center"/>
          </w:tcPr>
          <w:p w14:paraId="3CA1E882">
            <w:pPr>
              <w:wordWrap w:val="0"/>
              <w:jc w:val="center"/>
              <w:rPr>
                <w:sz w:val="22"/>
                <w:szCs w:val="22"/>
              </w:rPr>
            </w:pPr>
            <w:r>
              <w:rPr>
                <w:sz w:val="22"/>
                <w:szCs w:val="22"/>
              </w:rPr>
              <w:t>1</w:t>
            </w:r>
          </w:p>
        </w:tc>
        <w:tc>
          <w:tcPr>
            <w:tcW w:w="581" w:type="pct"/>
            <w:vMerge w:val="restart"/>
            <w:vAlign w:val="center"/>
          </w:tcPr>
          <w:p w14:paraId="2A6184DE">
            <w:pPr>
              <w:wordWrap w:val="0"/>
              <w:jc w:val="center"/>
              <w:rPr>
                <w:sz w:val="22"/>
                <w:szCs w:val="22"/>
              </w:rPr>
            </w:pPr>
            <w:r>
              <w:rPr>
                <w:sz w:val="22"/>
                <w:szCs w:val="22"/>
              </w:rPr>
              <w:t>8760</w:t>
            </w:r>
          </w:p>
        </w:tc>
        <w:tc>
          <w:tcPr>
            <w:tcW w:w="640" w:type="pct"/>
            <w:vMerge w:val="restart"/>
            <w:vAlign w:val="center"/>
          </w:tcPr>
          <w:p w14:paraId="7A32F09E">
            <w:pPr>
              <w:wordWrap w:val="0"/>
              <w:jc w:val="center"/>
              <w:rPr>
                <w:sz w:val="22"/>
                <w:szCs w:val="22"/>
              </w:rPr>
            </w:pPr>
            <w:r>
              <w:rPr>
                <w:sz w:val="22"/>
                <w:szCs w:val="22"/>
              </w:rPr>
              <w:t>正常工况</w:t>
            </w:r>
          </w:p>
        </w:tc>
        <w:tc>
          <w:tcPr>
            <w:tcW w:w="949" w:type="pct"/>
            <w:vMerge w:val="restart"/>
            <w:vAlign w:val="center"/>
          </w:tcPr>
          <w:p w14:paraId="0F45D18A">
            <w:pPr>
              <w:wordWrap w:val="0"/>
              <w:jc w:val="center"/>
              <w:rPr>
                <w:sz w:val="22"/>
                <w:szCs w:val="22"/>
              </w:rPr>
            </w:pPr>
            <w:r>
              <w:rPr>
                <w:sz w:val="22"/>
                <w:szCs w:val="22"/>
              </w:rPr>
              <w:t>0.00586</w:t>
            </w:r>
          </w:p>
        </w:tc>
      </w:tr>
      <w:tr w14:paraId="5EA9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65ED6421">
            <w:pPr>
              <w:wordWrap w:val="0"/>
              <w:jc w:val="center"/>
              <w:rPr>
                <w:sz w:val="22"/>
                <w:szCs w:val="22"/>
              </w:rPr>
            </w:pPr>
            <w:r>
              <w:rPr>
                <w:sz w:val="22"/>
                <w:szCs w:val="22"/>
              </w:rPr>
              <w:t>106.428986</w:t>
            </w:r>
          </w:p>
        </w:tc>
        <w:tc>
          <w:tcPr>
            <w:tcW w:w="731" w:type="pct"/>
            <w:vAlign w:val="center"/>
          </w:tcPr>
          <w:p w14:paraId="5F2742BE">
            <w:pPr>
              <w:wordWrap w:val="0"/>
              <w:jc w:val="center"/>
              <w:rPr>
                <w:sz w:val="22"/>
                <w:szCs w:val="22"/>
              </w:rPr>
            </w:pPr>
            <w:r>
              <w:rPr>
                <w:sz w:val="22"/>
                <w:szCs w:val="22"/>
              </w:rPr>
              <w:t>31.790195</w:t>
            </w:r>
          </w:p>
        </w:tc>
        <w:tc>
          <w:tcPr>
            <w:tcW w:w="696" w:type="pct"/>
            <w:vMerge w:val="continue"/>
            <w:vAlign w:val="center"/>
          </w:tcPr>
          <w:p w14:paraId="00385D6D">
            <w:pPr>
              <w:wordWrap w:val="0"/>
              <w:jc w:val="center"/>
              <w:rPr>
                <w:sz w:val="22"/>
                <w:szCs w:val="22"/>
              </w:rPr>
            </w:pPr>
          </w:p>
        </w:tc>
        <w:tc>
          <w:tcPr>
            <w:tcW w:w="674" w:type="pct"/>
            <w:vMerge w:val="continue"/>
            <w:vAlign w:val="center"/>
          </w:tcPr>
          <w:p w14:paraId="0D64CF61">
            <w:pPr>
              <w:wordWrap w:val="0"/>
              <w:jc w:val="center"/>
              <w:rPr>
                <w:sz w:val="22"/>
                <w:szCs w:val="22"/>
              </w:rPr>
            </w:pPr>
          </w:p>
        </w:tc>
        <w:tc>
          <w:tcPr>
            <w:tcW w:w="581" w:type="pct"/>
            <w:vMerge w:val="continue"/>
            <w:vAlign w:val="center"/>
          </w:tcPr>
          <w:p w14:paraId="6F74793B">
            <w:pPr>
              <w:wordWrap w:val="0"/>
              <w:jc w:val="center"/>
              <w:rPr>
                <w:sz w:val="22"/>
                <w:szCs w:val="22"/>
              </w:rPr>
            </w:pPr>
          </w:p>
        </w:tc>
        <w:tc>
          <w:tcPr>
            <w:tcW w:w="640" w:type="pct"/>
            <w:vMerge w:val="continue"/>
            <w:vAlign w:val="center"/>
          </w:tcPr>
          <w:p w14:paraId="625BAF18">
            <w:pPr>
              <w:wordWrap w:val="0"/>
              <w:jc w:val="center"/>
              <w:rPr>
                <w:sz w:val="22"/>
                <w:szCs w:val="22"/>
              </w:rPr>
            </w:pPr>
          </w:p>
        </w:tc>
        <w:tc>
          <w:tcPr>
            <w:tcW w:w="949" w:type="pct"/>
            <w:vMerge w:val="continue"/>
            <w:vAlign w:val="center"/>
          </w:tcPr>
          <w:p w14:paraId="725915E4">
            <w:pPr>
              <w:wordWrap w:val="0"/>
              <w:jc w:val="center"/>
              <w:rPr>
                <w:sz w:val="22"/>
                <w:szCs w:val="22"/>
              </w:rPr>
            </w:pPr>
          </w:p>
        </w:tc>
      </w:tr>
      <w:tr w14:paraId="277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2F7BA951">
            <w:pPr>
              <w:wordWrap w:val="0"/>
              <w:jc w:val="center"/>
              <w:rPr>
                <w:sz w:val="22"/>
                <w:szCs w:val="22"/>
              </w:rPr>
            </w:pPr>
            <w:r>
              <w:rPr>
                <w:sz w:val="22"/>
                <w:szCs w:val="22"/>
              </w:rPr>
              <w:t>106.428886</w:t>
            </w:r>
          </w:p>
        </w:tc>
        <w:tc>
          <w:tcPr>
            <w:tcW w:w="731" w:type="pct"/>
            <w:vAlign w:val="center"/>
          </w:tcPr>
          <w:p w14:paraId="361B5B99">
            <w:pPr>
              <w:wordWrap w:val="0"/>
              <w:jc w:val="center"/>
              <w:rPr>
                <w:sz w:val="22"/>
                <w:szCs w:val="22"/>
              </w:rPr>
            </w:pPr>
            <w:r>
              <w:rPr>
                <w:sz w:val="22"/>
                <w:szCs w:val="22"/>
              </w:rPr>
              <w:t>31.790119</w:t>
            </w:r>
          </w:p>
        </w:tc>
        <w:tc>
          <w:tcPr>
            <w:tcW w:w="696" w:type="pct"/>
            <w:vMerge w:val="continue"/>
            <w:vAlign w:val="center"/>
          </w:tcPr>
          <w:p w14:paraId="5295C7E2">
            <w:pPr>
              <w:wordWrap w:val="0"/>
              <w:jc w:val="center"/>
              <w:rPr>
                <w:sz w:val="22"/>
                <w:szCs w:val="22"/>
              </w:rPr>
            </w:pPr>
          </w:p>
        </w:tc>
        <w:tc>
          <w:tcPr>
            <w:tcW w:w="674" w:type="pct"/>
            <w:vMerge w:val="continue"/>
            <w:vAlign w:val="center"/>
          </w:tcPr>
          <w:p w14:paraId="572217FF">
            <w:pPr>
              <w:wordWrap w:val="0"/>
              <w:jc w:val="center"/>
              <w:rPr>
                <w:sz w:val="22"/>
                <w:szCs w:val="22"/>
              </w:rPr>
            </w:pPr>
          </w:p>
        </w:tc>
        <w:tc>
          <w:tcPr>
            <w:tcW w:w="581" w:type="pct"/>
            <w:vMerge w:val="continue"/>
            <w:vAlign w:val="center"/>
          </w:tcPr>
          <w:p w14:paraId="51FF64E2">
            <w:pPr>
              <w:wordWrap w:val="0"/>
              <w:jc w:val="center"/>
              <w:rPr>
                <w:sz w:val="22"/>
                <w:szCs w:val="22"/>
              </w:rPr>
            </w:pPr>
          </w:p>
        </w:tc>
        <w:tc>
          <w:tcPr>
            <w:tcW w:w="640" w:type="pct"/>
            <w:vMerge w:val="continue"/>
            <w:vAlign w:val="center"/>
          </w:tcPr>
          <w:p w14:paraId="4DCE045F">
            <w:pPr>
              <w:wordWrap w:val="0"/>
              <w:jc w:val="center"/>
              <w:rPr>
                <w:sz w:val="22"/>
                <w:szCs w:val="22"/>
              </w:rPr>
            </w:pPr>
          </w:p>
        </w:tc>
        <w:tc>
          <w:tcPr>
            <w:tcW w:w="949" w:type="pct"/>
            <w:vMerge w:val="continue"/>
            <w:vAlign w:val="center"/>
          </w:tcPr>
          <w:p w14:paraId="738A9B48">
            <w:pPr>
              <w:wordWrap w:val="0"/>
              <w:jc w:val="center"/>
              <w:rPr>
                <w:sz w:val="22"/>
                <w:szCs w:val="22"/>
              </w:rPr>
            </w:pPr>
          </w:p>
        </w:tc>
      </w:tr>
      <w:tr w14:paraId="4C3E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2B0F1AD4">
            <w:pPr>
              <w:wordWrap w:val="0"/>
              <w:jc w:val="center"/>
              <w:rPr>
                <w:sz w:val="22"/>
                <w:szCs w:val="22"/>
              </w:rPr>
            </w:pPr>
            <w:r>
              <w:rPr>
                <w:sz w:val="22"/>
                <w:szCs w:val="22"/>
              </w:rPr>
              <w:t>106.429395</w:t>
            </w:r>
          </w:p>
        </w:tc>
        <w:tc>
          <w:tcPr>
            <w:tcW w:w="731" w:type="pct"/>
            <w:vAlign w:val="center"/>
          </w:tcPr>
          <w:p w14:paraId="7D850D2E">
            <w:pPr>
              <w:wordWrap w:val="0"/>
              <w:jc w:val="center"/>
              <w:rPr>
                <w:sz w:val="22"/>
                <w:szCs w:val="22"/>
              </w:rPr>
            </w:pPr>
            <w:r>
              <w:rPr>
                <w:sz w:val="22"/>
                <w:szCs w:val="22"/>
              </w:rPr>
              <w:t>31.789639</w:t>
            </w:r>
          </w:p>
        </w:tc>
        <w:tc>
          <w:tcPr>
            <w:tcW w:w="696" w:type="pct"/>
            <w:vMerge w:val="continue"/>
            <w:vAlign w:val="center"/>
          </w:tcPr>
          <w:p w14:paraId="74579991">
            <w:pPr>
              <w:wordWrap w:val="0"/>
              <w:jc w:val="center"/>
              <w:rPr>
                <w:sz w:val="22"/>
                <w:szCs w:val="22"/>
              </w:rPr>
            </w:pPr>
          </w:p>
        </w:tc>
        <w:tc>
          <w:tcPr>
            <w:tcW w:w="674" w:type="pct"/>
            <w:vMerge w:val="continue"/>
            <w:vAlign w:val="center"/>
          </w:tcPr>
          <w:p w14:paraId="5FAB3341">
            <w:pPr>
              <w:wordWrap w:val="0"/>
              <w:jc w:val="center"/>
              <w:rPr>
                <w:sz w:val="22"/>
                <w:szCs w:val="22"/>
              </w:rPr>
            </w:pPr>
          </w:p>
        </w:tc>
        <w:tc>
          <w:tcPr>
            <w:tcW w:w="581" w:type="pct"/>
            <w:vMerge w:val="continue"/>
            <w:vAlign w:val="center"/>
          </w:tcPr>
          <w:p w14:paraId="45DA2DE3">
            <w:pPr>
              <w:wordWrap w:val="0"/>
              <w:jc w:val="center"/>
              <w:rPr>
                <w:sz w:val="22"/>
                <w:szCs w:val="22"/>
              </w:rPr>
            </w:pPr>
          </w:p>
        </w:tc>
        <w:tc>
          <w:tcPr>
            <w:tcW w:w="640" w:type="pct"/>
            <w:vMerge w:val="continue"/>
            <w:vAlign w:val="center"/>
          </w:tcPr>
          <w:p w14:paraId="5E1F3F2B">
            <w:pPr>
              <w:wordWrap w:val="0"/>
              <w:jc w:val="center"/>
              <w:rPr>
                <w:sz w:val="22"/>
                <w:szCs w:val="22"/>
              </w:rPr>
            </w:pPr>
          </w:p>
        </w:tc>
        <w:tc>
          <w:tcPr>
            <w:tcW w:w="949" w:type="pct"/>
            <w:vMerge w:val="continue"/>
            <w:vAlign w:val="center"/>
          </w:tcPr>
          <w:p w14:paraId="6FC74F6D">
            <w:pPr>
              <w:wordWrap w:val="0"/>
              <w:jc w:val="center"/>
              <w:rPr>
                <w:sz w:val="22"/>
                <w:szCs w:val="22"/>
              </w:rPr>
            </w:pPr>
          </w:p>
        </w:tc>
      </w:tr>
      <w:tr w14:paraId="5B6E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27952591">
            <w:pPr>
              <w:wordWrap w:val="0"/>
              <w:jc w:val="center"/>
              <w:rPr>
                <w:sz w:val="22"/>
                <w:szCs w:val="22"/>
              </w:rPr>
            </w:pPr>
            <w:r>
              <w:rPr>
                <w:sz w:val="22"/>
                <w:szCs w:val="22"/>
              </w:rPr>
              <w:t>106.429607</w:t>
            </w:r>
          </w:p>
        </w:tc>
        <w:tc>
          <w:tcPr>
            <w:tcW w:w="731" w:type="pct"/>
            <w:vAlign w:val="center"/>
          </w:tcPr>
          <w:p w14:paraId="1FCEECDE">
            <w:pPr>
              <w:wordWrap w:val="0"/>
              <w:jc w:val="center"/>
              <w:rPr>
                <w:sz w:val="22"/>
                <w:szCs w:val="22"/>
              </w:rPr>
            </w:pPr>
            <w:r>
              <w:rPr>
                <w:sz w:val="22"/>
                <w:szCs w:val="22"/>
              </w:rPr>
              <w:t>31.789804</w:t>
            </w:r>
          </w:p>
        </w:tc>
        <w:tc>
          <w:tcPr>
            <w:tcW w:w="696" w:type="pct"/>
            <w:vMerge w:val="continue"/>
            <w:vAlign w:val="center"/>
          </w:tcPr>
          <w:p w14:paraId="6061B52C">
            <w:pPr>
              <w:wordWrap w:val="0"/>
              <w:jc w:val="center"/>
              <w:rPr>
                <w:sz w:val="22"/>
                <w:szCs w:val="22"/>
              </w:rPr>
            </w:pPr>
          </w:p>
        </w:tc>
        <w:tc>
          <w:tcPr>
            <w:tcW w:w="674" w:type="pct"/>
            <w:vMerge w:val="continue"/>
            <w:vAlign w:val="center"/>
          </w:tcPr>
          <w:p w14:paraId="1F703F7D">
            <w:pPr>
              <w:wordWrap w:val="0"/>
              <w:jc w:val="center"/>
              <w:rPr>
                <w:sz w:val="22"/>
                <w:szCs w:val="22"/>
              </w:rPr>
            </w:pPr>
          </w:p>
        </w:tc>
        <w:tc>
          <w:tcPr>
            <w:tcW w:w="581" w:type="pct"/>
            <w:vMerge w:val="continue"/>
            <w:vAlign w:val="center"/>
          </w:tcPr>
          <w:p w14:paraId="30406478">
            <w:pPr>
              <w:wordWrap w:val="0"/>
              <w:jc w:val="center"/>
              <w:rPr>
                <w:sz w:val="22"/>
                <w:szCs w:val="22"/>
              </w:rPr>
            </w:pPr>
          </w:p>
        </w:tc>
        <w:tc>
          <w:tcPr>
            <w:tcW w:w="640" w:type="pct"/>
            <w:vMerge w:val="continue"/>
            <w:vAlign w:val="center"/>
          </w:tcPr>
          <w:p w14:paraId="315B2311">
            <w:pPr>
              <w:wordWrap w:val="0"/>
              <w:jc w:val="center"/>
              <w:rPr>
                <w:sz w:val="22"/>
                <w:szCs w:val="22"/>
              </w:rPr>
            </w:pPr>
          </w:p>
        </w:tc>
        <w:tc>
          <w:tcPr>
            <w:tcW w:w="949" w:type="pct"/>
            <w:vMerge w:val="continue"/>
            <w:vAlign w:val="center"/>
          </w:tcPr>
          <w:p w14:paraId="105D03FE">
            <w:pPr>
              <w:wordWrap w:val="0"/>
              <w:jc w:val="center"/>
              <w:rPr>
                <w:sz w:val="22"/>
                <w:szCs w:val="22"/>
              </w:rPr>
            </w:pPr>
          </w:p>
        </w:tc>
      </w:tr>
      <w:tr w14:paraId="12371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477A2188">
            <w:pPr>
              <w:wordWrap w:val="0"/>
              <w:jc w:val="center"/>
              <w:rPr>
                <w:sz w:val="22"/>
                <w:szCs w:val="22"/>
              </w:rPr>
            </w:pPr>
            <w:r>
              <w:rPr>
                <w:sz w:val="22"/>
                <w:szCs w:val="22"/>
              </w:rPr>
              <w:t>106.429468</w:t>
            </w:r>
          </w:p>
        </w:tc>
        <w:tc>
          <w:tcPr>
            <w:tcW w:w="731" w:type="pct"/>
            <w:vAlign w:val="center"/>
          </w:tcPr>
          <w:p w14:paraId="336548F5">
            <w:pPr>
              <w:wordWrap w:val="0"/>
              <w:jc w:val="center"/>
              <w:rPr>
                <w:sz w:val="22"/>
                <w:szCs w:val="22"/>
              </w:rPr>
            </w:pPr>
            <w:r>
              <w:rPr>
                <w:sz w:val="22"/>
                <w:szCs w:val="22"/>
              </w:rPr>
              <w:t>31.789951</w:t>
            </w:r>
          </w:p>
        </w:tc>
        <w:tc>
          <w:tcPr>
            <w:tcW w:w="696" w:type="pct"/>
            <w:vMerge w:val="continue"/>
            <w:vAlign w:val="center"/>
          </w:tcPr>
          <w:p w14:paraId="4FAC9DB8">
            <w:pPr>
              <w:wordWrap w:val="0"/>
              <w:jc w:val="center"/>
              <w:rPr>
                <w:sz w:val="22"/>
                <w:szCs w:val="22"/>
              </w:rPr>
            </w:pPr>
          </w:p>
        </w:tc>
        <w:tc>
          <w:tcPr>
            <w:tcW w:w="674" w:type="pct"/>
            <w:vMerge w:val="continue"/>
            <w:vAlign w:val="center"/>
          </w:tcPr>
          <w:p w14:paraId="2C2B76F5">
            <w:pPr>
              <w:wordWrap w:val="0"/>
              <w:jc w:val="center"/>
              <w:rPr>
                <w:sz w:val="22"/>
                <w:szCs w:val="22"/>
              </w:rPr>
            </w:pPr>
          </w:p>
        </w:tc>
        <w:tc>
          <w:tcPr>
            <w:tcW w:w="581" w:type="pct"/>
            <w:vMerge w:val="continue"/>
            <w:vAlign w:val="center"/>
          </w:tcPr>
          <w:p w14:paraId="1A7F6A0D">
            <w:pPr>
              <w:wordWrap w:val="0"/>
              <w:jc w:val="center"/>
              <w:rPr>
                <w:sz w:val="22"/>
                <w:szCs w:val="22"/>
              </w:rPr>
            </w:pPr>
          </w:p>
        </w:tc>
        <w:tc>
          <w:tcPr>
            <w:tcW w:w="640" w:type="pct"/>
            <w:vMerge w:val="continue"/>
            <w:vAlign w:val="center"/>
          </w:tcPr>
          <w:p w14:paraId="25142E6B">
            <w:pPr>
              <w:wordWrap w:val="0"/>
              <w:jc w:val="center"/>
              <w:rPr>
                <w:sz w:val="22"/>
                <w:szCs w:val="22"/>
              </w:rPr>
            </w:pPr>
          </w:p>
        </w:tc>
        <w:tc>
          <w:tcPr>
            <w:tcW w:w="949" w:type="pct"/>
            <w:vMerge w:val="continue"/>
            <w:vAlign w:val="center"/>
          </w:tcPr>
          <w:p w14:paraId="12459378">
            <w:pPr>
              <w:wordWrap w:val="0"/>
              <w:jc w:val="center"/>
              <w:rPr>
                <w:sz w:val="22"/>
                <w:szCs w:val="22"/>
              </w:rPr>
            </w:pPr>
          </w:p>
        </w:tc>
      </w:tr>
      <w:tr w14:paraId="3CFE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66C0DD6C">
            <w:pPr>
              <w:wordWrap w:val="0"/>
              <w:jc w:val="center"/>
              <w:rPr>
                <w:sz w:val="22"/>
                <w:szCs w:val="22"/>
              </w:rPr>
            </w:pPr>
            <w:r>
              <w:rPr>
                <w:sz w:val="22"/>
                <w:szCs w:val="22"/>
              </w:rPr>
              <w:t>106.429669</w:t>
            </w:r>
          </w:p>
        </w:tc>
        <w:tc>
          <w:tcPr>
            <w:tcW w:w="731" w:type="pct"/>
            <w:vAlign w:val="center"/>
          </w:tcPr>
          <w:p w14:paraId="0FFB78F7">
            <w:pPr>
              <w:wordWrap w:val="0"/>
              <w:jc w:val="center"/>
              <w:rPr>
                <w:sz w:val="22"/>
                <w:szCs w:val="22"/>
              </w:rPr>
            </w:pPr>
            <w:r>
              <w:rPr>
                <w:sz w:val="22"/>
                <w:szCs w:val="22"/>
              </w:rPr>
              <w:t>31.790101</w:t>
            </w:r>
          </w:p>
        </w:tc>
        <w:tc>
          <w:tcPr>
            <w:tcW w:w="696" w:type="pct"/>
            <w:vMerge w:val="continue"/>
            <w:vAlign w:val="center"/>
          </w:tcPr>
          <w:p w14:paraId="3D5C5174">
            <w:pPr>
              <w:wordWrap w:val="0"/>
              <w:jc w:val="center"/>
              <w:rPr>
                <w:sz w:val="22"/>
                <w:szCs w:val="22"/>
              </w:rPr>
            </w:pPr>
          </w:p>
        </w:tc>
        <w:tc>
          <w:tcPr>
            <w:tcW w:w="674" w:type="pct"/>
            <w:vMerge w:val="continue"/>
            <w:vAlign w:val="center"/>
          </w:tcPr>
          <w:p w14:paraId="19ADB20C">
            <w:pPr>
              <w:wordWrap w:val="0"/>
              <w:jc w:val="center"/>
              <w:rPr>
                <w:sz w:val="22"/>
                <w:szCs w:val="22"/>
              </w:rPr>
            </w:pPr>
          </w:p>
        </w:tc>
        <w:tc>
          <w:tcPr>
            <w:tcW w:w="581" w:type="pct"/>
            <w:vMerge w:val="continue"/>
            <w:vAlign w:val="center"/>
          </w:tcPr>
          <w:p w14:paraId="37944735">
            <w:pPr>
              <w:wordWrap w:val="0"/>
              <w:jc w:val="center"/>
              <w:rPr>
                <w:sz w:val="22"/>
                <w:szCs w:val="22"/>
              </w:rPr>
            </w:pPr>
          </w:p>
        </w:tc>
        <w:tc>
          <w:tcPr>
            <w:tcW w:w="640" w:type="pct"/>
            <w:vMerge w:val="continue"/>
            <w:vAlign w:val="center"/>
          </w:tcPr>
          <w:p w14:paraId="4E7C95B8">
            <w:pPr>
              <w:wordWrap w:val="0"/>
              <w:jc w:val="center"/>
              <w:rPr>
                <w:sz w:val="22"/>
                <w:szCs w:val="22"/>
              </w:rPr>
            </w:pPr>
          </w:p>
        </w:tc>
        <w:tc>
          <w:tcPr>
            <w:tcW w:w="949" w:type="pct"/>
            <w:vMerge w:val="continue"/>
            <w:vAlign w:val="center"/>
          </w:tcPr>
          <w:p w14:paraId="1C88890A">
            <w:pPr>
              <w:wordWrap w:val="0"/>
              <w:jc w:val="center"/>
              <w:rPr>
                <w:sz w:val="22"/>
                <w:szCs w:val="22"/>
              </w:rPr>
            </w:pPr>
          </w:p>
        </w:tc>
      </w:tr>
      <w:tr w14:paraId="63416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7929590D">
            <w:pPr>
              <w:wordWrap w:val="0"/>
              <w:jc w:val="center"/>
              <w:rPr>
                <w:sz w:val="22"/>
                <w:szCs w:val="22"/>
              </w:rPr>
            </w:pPr>
            <w:r>
              <w:rPr>
                <w:sz w:val="22"/>
                <w:szCs w:val="22"/>
              </w:rPr>
              <w:t>106.429020</w:t>
            </w:r>
          </w:p>
        </w:tc>
        <w:tc>
          <w:tcPr>
            <w:tcW w:w="731" w:type="pct"/>
            <w:vAlign w:val="center"/>
          </w:tcPr>
          <w:p w14:paraId="424A4B72">
            <w:pPr>
              <w:wordWrap w:val="0"/>
              <w:jc w:val="center"/>
              <w:rPr>
                <w:sz w:val="22"/>
                <w:szCs w:val="22"/>
              </w:rPr>
            </w:pPr>
            <w:r>
              <w:rPr>
                <w:sz w:val="22"/>
                <w:szCs w:val="22"/>
              </w:rPr>
              <w:t>31.790723</w:t>
            </w:r>
          </w:p>
        </w:tc>
        <w:tc>
          <w:tcPr>
            <w:tcW w:w="696" w:type="pct"/>
            <w:vMerge w:val="continue"/>
            <w:vAlign w:val="center"/>
          </w:tcPr>
          <w:p w14:paraId="373D3AD8">
            <w:pPr>
              <w:wordWrap w:val="0"/>
              <w:jc w:val="center"/>
              <w:rPr>
                <w:sz w:val="22"/>
                <w:szCs w:val="22"/>
              </w:rPr>
            </w:pPr>
          </w:p>
        </w:tc>
        <w:tc>
          <w:tcPr>
            <w:tcW w:w="674" w:type="pct"/>
            <w:vMerge w:val="continue"/>
            <w:vAlign w:val="center"/>
          </w:tcPr>
          <w:p w14:paraId="43072F8F">
            <w:pPr>
              <w:wordWrap w:val="0"/>
              <w:jc w:val="center"/>
              <w:rPr>
                <w:sz w:val="22"/>
                <w:szCs w:val="22"/>
              </w:rPr>
            </w:pPr>
          </w:p>
        </w:tc>
        <w:tc>
          <w:tcPr>
            <w:tcW w:w="581" w:type="pct"/>
            <w:vMerge w:val="continue"/>
            <w:vAlign w:val="center"/>
          </w:tcPr>
          <w:p w14:paraId="05B8588B">
            <w:pPr>
              <w:wordWrap w:val="0"/>
              <w:jc w:val="center"/>
              <w:rPr>
                <w:sz w:val="22"/>
                <w:szCs w:val="22"/>
              </w:rPr>
            </w:pPr>
          </w:p>
        </w:tc>
        <w:tc>
          <w:tcPr>
            <w:tcW w:w="640" w:type="pct"/>
            <w:vMerge w:val="continue"/>
            <w:vAlign w:val="center"/>
          </w:tcPr>
          <w:p w14:paraId="0C298CF0">
            <w:pPr>
              <w:wordWrap w:val="0"/>
              <w:jc w:val="center"/>
              <w:rPr>
                <w:sz w:val="22"/>
                <w:szCs w:val="22"/>
              </w:rPr>
            </w:pPr>
          </w:p>
        </w:tc>
        <w:tc>
          <w:tcPr>
            <w:tcW w:w="949" w:type="pct"/>
            <w:vMerge w:val="continue"/>
            <w:vAlign w:val="center"/>
          </w:tcPr>
          <w:p w14:paraId="31108EC2">
            <w:pPr>
              <w:wordWrap w:val="0"/>
              <w:jc w:val="center"/>
              <w:rPr>
                <w:sz w:val="22"/>
                <w:szCs w:val="22"/>
              </w:rPr>
            </w:pPr>
          </w:p>
        </w:tc>
      </w:tr>
    </w:tbl>
    <w:p w14:paraId="5EC2B5A3">
      <w:pPr>
        <w:pStyle w:val="1065"/>
      </w:pPr>
    </w:p>
    <w:p w14:paraId="6E161AD9">
      <w:pPr>
        <w:pStyle w:val="1379"/>
        <w:ind w:firstLine="440"/>
      </w:pPr>
    </w:p>
    <w:p w14:paraId="6110DB16">
      <w:pPr>
        <w:pStyle w:val="1381"/>
        <w:ind w:firstLine="520"/>
      </w:pPr>
      <w:r>
        <w:t>本项目大气环境评价等级结果</w:t>
      </w:r>
      <w:r>
        <w:rPr>
          <w:rFonts w:hint="eastAsia"/>
        </w:rPr>
        <w:t>如下：</w:t>
      </w:r>
    </w:p>
    <w:p w14:paraId="5EB1B654">
      <w:pPr>
        <w:pStyle w:val="1066"/>
        <w:ind w:firstLine="520"/>
        <w:rPr>
          <w:rFonts w:cs="Times New Roman"/>
        </w:rPr>
      </w:pPr>
    </w:p>
    <w:p w14:paraId="62AC9E76">
      <w:pPr>
        <w:pStyle w:val="1065"/>
      </w:pPr>
      <w:r>
        <w:drawing>
          <wp:inline distT="0" distB="0" distL="0" distR="0">
            <wp:extent cx="5543550" cy="3893185"/>
            <wp:effectExtent l="0" t="0" r="0" b="0"/>
            <wp:docPr id="17" name="图片 17" descr="D:\Documents\xwechat_files\wxid_42iz5zgrkxrr41_ea02\temp\RWTemp\2026-04\7b6737db119321bed89fc7686a0f620d\3fc1e126625a472dfbb37e8a20a8da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Documents\xwechat_files\wxid_42iz5zgrkxrr41_ea02\temp\RWTemp\2026-04\7b6737db119321bed89fc7686a0f620d\3fc1e126625a472dfbb37e8a20a8dabf.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543550" cy="3893818"/>
                    </a:xfrm>
                    <a:prstGeom prst="rect">
                      <a:avLst/>
                    </a:prstGeom>
                    <a:noFill/>
                    <a:ln>
                      <a:noFill/>
                    </a:ln>
                  </pic:spPr>
                </pic:pic>
              </a:graphicData>
            </a:graphic>
          </wp:inline>
        </w:drawing>
      </w:r>
    </w:p>
    <w:p w14:paraId="13480EEE">
      <w:pPr>
        <w:pStyle w:val="1065"/>
        <w:ind w:firstLine="480"/>
      </w:pPr>
      <w:r>
        <w:rPr>
          <w:rFonts w:hint="eastAsia"/>
        </w:rPr>
        <w:t>图1</w:t>
      </w:r>
      <w:r>
        <w:t xml:space="preserve">.5-1  </w:t>
      </w:r>
      <w:r>
        <w:rPr>
          <w:rFonts w:hint="eastAsia"/>
        </w:rPr>
        <w:t>水套加热炉大气预测截图</w:t>
      </w:r>
    </w:p>
    <w:p w14:paraId="4E716FD1">
      <w:pPr>
        <w:pStyle w:val="1379"/>
        <w:ind w:firstLine="440"/>
      </w:pPr>
    </w:p>
    <w:p w14:paraId="6CCB7A8F">
      <w:pPr>
        <w:pStyle w:val="1065"/>
      </w:pPr>
      <w:r>
        <w:drawing>
          <wp:inline distT="0" distB="0" distL="0" distR="0">
            <wp:extent cx="5543550" cy="3903345"/>
            <wp:effectExtent l="0" t="0" r="0" b="1905"/>
            <wp:docPr id="27" name="图片 27" descr="D:\Documents\xwechat_files\wxid_42iz5zgrkxrr41_ea02\temp\RWTemp\2026-04\7b6737db119321bed89fc7686a0f620d\9f6af4f70c8cbade744c677f5aa2f2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D:\Documents\xwechat_files\wxid_42iz5zgrkxrr41_ea02\temp\RWTemp\2026-04\7b6737db119321bed89fc7686a0f620d\9f6af4f70c8cbade744c677f5aa2f2b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543550" cy="3903862"/>
                    </a:xfrm>
                    <a:prstGeom prst="rect">
                      <a:avLst/>
                    </a:prstGeom>
                    <a:noFill/>
                    <a:ln>
                      <a:noFill/>
                    </a:ln>
                  </pic:spPr>
                </pic:pic>
              </a:graphicData>
            </a:graphic>
          </wp:inline>
        </w:drawing>
      </w:r>
    </w:p>
    <w:p w14:paraId="106952E3">
      <w:pPr>
        <w:pStyle w:val="1065"/>
        <w:ind w:firstLine="480"/>
      </w:pPr>
      <w:r>
        <w:rPr>
          <w:rFonts w:hint="eastAsia"/>
        </w:rPr>
        <w:t>图1</w:t>
      </w:r>
      <w:r>
        <w:t xml:space="preserve">.5-2  </w:t>
      </w:r>
      <w:r>
        <w:rPr>
          <w:rFonts w:hint="eastAsia"/>
        </w:rPr>
        <w:t>站场无组织大气预测截图</w:t>
      </w:r>
    </w:p>
    <w:p w14:paraId="5D7F2AAB">
      <w:pPr>
        <w:pStyle w:val="1379"/>
        <w:ind w:firstLine="440"/>
      </w:pPr>
    </w:p>
    <w:p w14:paraId="70DB76F8">
      <w:pPr>
        <w:pStyle w:val="1065"/>
      </w:pPr>
      <w:r>
        <w:t xml:space="preserve">表1.5-7  </w:t>
      </w:r>
      <w:r>
        <w:rPr>
          <w:rFonts w:hint="eastAsia"/>
        </w:rPr>
        <w:t>水套加热炉</w:t>
      </w:r>
      <w:r>
        <w:t>大气估算模式计算结果列表</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1246"/>
        <w:gridCol w:w="1962"/>
        <w:gridCol w:w="1383"/>
        <w:gridCol w:w="1404"/>
        <w:gridCol w:w="1397"/>
        <w:gridCol w:w="1384"/>
      </w:tblGrid>
      <w:tr w14:paraId="307E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0" w:hRule="atLeast"/>
        </w:trPr>
        <w:tc>
          <w:tcPr>
            <w:tcW w:w="710" w:type="pct"/>
            <w:tcBorders>
              <w:top w:val="single" w:color="auto" w:sz="4" w:space="0"/>
              <w:left w:val="single" w:color="auto" w:sz="4" w:space="0"/>
              <w:bottom w:val="single" w:color="auto" w:sz="4" w:space="0"/>
              <w:right w:val="single" w:color="auto" w:sz="4" w:space="0"/>
            </w:tcBorders>
            <w:vAlign w:val="center"/>
          </w:tcPr>
          <w:p w14:paraId="2E700454">
            <w:pPr>
              <w:pStyle w:val="1444"/>
            </w:pPr>
            <w:r>
              <w:rPr>
                <w:lang w:bidi="ar"/>
              </w:rPr>
              <w:t>类型</w:t>
            </w:r>
          </w:p>
        </w:tc>
        <w:tc>
          <w:tcPr>
            <w:tcW w:w="1118" w:type="pct"/>
            <w:tcBorders>
              <w:top w:val="single" w:color="auto" w:sz="4" w:space="0"/>
              <w:left w:val="single" w:color="auto" w:sz="4" w:space="0"/>
              <w:bottom w:val="single" w:color="auto" w:sz="4" w:space="0"/>
              <w:right w:val="single" w:color="auto" w:sz="4" w:space="0"/>
            </w:tcBorders>
            <w:vAlign w:val="center"/>
          </w:tcPr>
          <w:p w14:paraId="1A62C44A">
            <w:pPr>
              <w:pStyle w:val="1444"/>
            </w:pPr>
            <w:r>
              <w:rPr>
                <w:lang w:bidi="ar"/>
              </w:rPr>
              <w:t>下风向距离（m）</w:t>
            </w:r>
          </w:p>
        </w:tc>
        <w:tc>
          <w:tcPr>
            <w:tcW w:w="788" w:type="pct"/>
            <w:tcBorders>
              <w:top w:val="single" w:color="auto" w:sz="4" w:space="0"/>
              <w:left w:val="single" w:color="auto" w:sz="4" w:space="0"/>
              <w:bottom w:val="single" w:color="auto" w:sz="4" w:space="0"/>
              <w:right w:val="single" w:color="auto" w:sz="4" w:space="0"/>
            </w:tcBorders>
            <w:vAlign w:val="center"/>
          </w:tcPr>
          <w:p w14:paraId="5A110015">
            <w:pPr>
              <w:pStyle w:val="1444"/>
            </w:pPr>
            <w:r>
              <w:rPr>
                <w:lang w:bidi="ar"/>
              </w:rPr>
              <w:t>PM</w:t>
            </w:r>
            <w:r>
              <w:rPr>
                <w:vertAlign w:val="subscript"/>
                <w:lang w:bidi="ar"/>
              </w:rPr>
              <w:t>10</w:t>
            </w:r>
            <w:r>
              <w:rPr>
                <w:lang w:bidi="ar"/>
              </w:rPr>
              <w:t>预测值/（mg/m</w:t>
            </w:r>
            <w:r>
              <w:rPr>
                <w:vertAlign w:val="superscript"/>
                <w:lang w:bidi="ar"/>
              </w:rPr>
              <w:t>3</w:t>
            </w:r>
            <w:r>
              <w:rPr>
                <w:lang w:bidi="ar"/>
              </w:rPr>
              <w:t>）</w:t>
            </w:r>
          </w:p>
        </w:tc>
        <w:tc>
          <w:tcPr>
            <w:tcW w:w="800" w:type="pct"/>
            <w:tcBorders>
              <w:top w:val="single" w:color="auto" w:sz="4" w:space="0"/>
              <w:left w:val="single" w:color="auto" w:sz="4" w:space="0"/>
              <w:bottom w:val="single" w:color="auto" w:sz="4" w:space="0"/>
              <w:right w:val="single" w:color="auto" w:sz="4" w:space="0"/>
            </w:tcBorders>
            <w:vAlign w:val="center"/>
          </w:tcPr>
          <w:p w14:paraId="593CFE1E">
            <w:pPr>
              <w:pStyle w:val="1444"/>
            </w:pPr>
            <w:r>
              <w:rPr>
                <w:lang w:bidi="ar"/>
              </w:rPr>
              <w:t>PM</w:t>
            </w:r>
            <w:r>
              <w:rPr>
                <w:vertAlign w:val="subscript"/>
                <w:lang w:bidi="ar"/>
              </w:rPr>
              <w:t>10</w:t>
            </w:r>
            <w:r>
              <w:rPr>
                <w:lang w:bidi="ar"/>
              </w:rPr>
              <w:t>占标率（%）</w:t>
            </w:r>
          </w:p>
        </w:tc>
        <w:tc>
          <w:tcPr>
            <w:tcW w:w="796" w:type="pct"/>
            <w:tcBorders>
              <w:top w:val="single" w:color="auto" w:sz="4" w:space="0"/>
              <w:left w:val="single" w:color="auto" w:sz="4" w:space="0"/>
              <w:bottom w:val="single" w:color="auto" w:sz="4" w:space="0"/>
              <w:right w:val="single" w:color="auto" w:sz="4" w:space="0"/>
            </w:tcBorders>
            <w:vAlign w:val="center"/>
          </w:tcPr>
          <w:p w14:paraId="13EDB299">
            <w:pPr>
              <w:pStyle w:val="1444"/>
            </w:pPr>
            <w:r>
              <w:rPr>
                <w:lang w:bidi="ar"/>
              </w:rPr>
              <w:t>NO</w:t>
            </w:r>
            <w:r>
              <w:rPr>
                <w:vertAlign w:val="subscript"/>
                <w:lang w:bidi="ar"/>
              </w:rPr>
              <w:t>x</w:t>
            </w:r>
            <w:r>
              <w:rPr>
                <w:lang w:bidi="ar"/>
              </w:rPr>
              <w:t>预测值/（</w:t>
            </w:r>
            <w:r>
              <w:rPr>
                <w:rFonts w:hint="eastAsia"/>
                <w:lang w:bidi="ar"/>
              </w:rPr>
              <w:t>m</w:t>
            </w:r>
            <w:r>
              <w:rPr>
                <w:lang w:bidi="ar"/>
              </w:rPr>
              <w:t>g/m</w:t>
            </w:r>
            <w:r>
              <w:rPr>
                <w:vertAlign w:val="superscript"/>
                <w:lang w:bidi="ar"/>
              </w:rPr>
              <w:t>3</w:t>
            </w:r>
            <w:r>
              <w:rPr>
                <w:lang w:bidi="ar"/>
              </w:rPr>
              <w:t>）</w:t>
            </w:r>
          </w:p>
        </w:tc>
        <w:tc>
          <w:tcPr>
            <w:tcW w:w="788" w:type="pct"/>
            <w:tcBorders>
              <w:top w:val="single" w:color="auto" w:sz="4" w:space="0"/>
              <w:left w:val="single" w:color="auto" w:sz="4" w:space="0"/>
              <w:bottom w:val="single" w:color="auto" w:sz="4" w:space="0"/>
              <w:right w:val="single" w:color="auto" w:sz="4" w:space="0"/>
            </w:tcBorders>
            <w:vAlign w:val="center"/>
          </w:tcPr>
          <w:p w14:paraId="20E94810">
            <w:pPr>
              <w:pStyle w:val="1444"/>
            </w:pPr>
            <w:r>
              <w:rPr>
                <w:lang w:bidi="ar"/>
              </w:rPr>
              <w:t>NO</w:t>
            </w:r>
            <w:r>
              <w:rPr>
                <w:vertAlign w:val="subscript"/>
                <w:lang w:bidi="ar"/>
              </w:rPr>
              <w:t>x</w:t>
            </w:r>
            <w:r>
              <w:rPr>
                <w:lang w:bidi="ar"/>
              </w:rPr>
              <w:t>占标率（%）</w:t>
            </w:r>
          </w:p>
        </w:tc>
      </w:tr>
      <w:tr w14:paraId="12CA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710" w:type="pct"/>
            <w:vMerge w:val="restart"/>
            <w:tcBorders>
              <w:top w:val="single" w:color="auto" w:sz="4" w:space="0"/>
              <w:left w:val="single" w:color="auto" w:sz="4" w:space="0"/>
              <w:right w:val="single" w:color="auto" w:sz="4" w:space="0"/>
            </w:tcBorders>
            <w:vAlign w:val="center"/>
          </w:tcPr>
          <w:p w14:paraId="799B0305">
            <w:pPr>
              <w:pStyle w:val="1444"/>
            </w:pPr>
            <w:r>
              <w:rPr>
                <w:kern w:val="0"/>
                <w:lang w:bidi="ar"/>
              </w:rPr>
              <w:t>水套炉废气</w:t>
            </w:r>
          </w:p>
        </w:tc>
        <w:tc>
          <w:tcPr>
            <w:tcW w:w="1118" w:type="pct"/>
            <w:tcBorders>
              <w:top w:val="single" w:color="auto" w:sz="4" w:space="0"/>
              <w:left w:val="single" w:color="auto" w:sz="4" w:space="0"/>
              <w:bottom w:val="single" w:color="auto" w:sz="4" w:space="0"/>
              <w:right w:val="single" w:color="auto" w:sz="4" w:space="0"/>
            </w:tcBorders>
            <w:vAlign w:val="center"/>
          </w:tcPr>
          <w:p w14:paraId="4ACFE2C8">
            <w:pPr>
              <w:pStyle w:val="1444"/>
            </w:pPr>
            <w:r>
              <w:rPr>
                <w:lang w:bidi="ar"/>
              </w:rPr>
              <w:t>10</w:t>
            </w:r>
          </w:p>
        </w:tc>
        <w:tc>
          <w:tcPr>
            <w:tcW w:w="788" w:type="pct"/>
            <w:tcBorders>
              <w:top w:val="single" w:color="auto" w:sz="4" w:space="0"/>
              <w:left w:val="single" w:color="auto" w:sz="4" w:space="0"/>
              <w:bottom w:val="single" w:color="auto" w:sz="4" w:space="0"/>
              <w:right w:val="single" w:color="auto" w:sz="4" w:space="0"/>
            </w:tcBorders>
            <w:vAlign w:val="center"/>
          </w:tcPr>
          <w:p w14:paraId="243BF830">
            <w:pPr>
              <w:pStyle w:val="1444"/>
            </w:pPr>
            <w:r>
              <w:t>2.18</w:t>
            </w:r>
            <w:r>
              <w:rPr>
                <w:rFonts w:hint="eastAsia"/>
              </w:rPr>
              <w:t>×1</w:t>
            </w:r>
            <w:r>
              <w:t>0</w:t>
            </w:r>
            <w:r>
              <w:rPr>
                <w:rFonts w:hint="eastAsia"/>
                <w:vertAlign w:val="superscript"/>
              </w:rPr>
              <w:t>-</w:t>
            </w:r>
            <w:r>
              <w:rPr>
                <w:vertAlign w:val="superscript"/>
              </w:rPr>
              <w:t>4</w:t>
            </w:r>
          </w:p>
        </w:tc>
        <w:tc>
          <w:tcPr>
            <w:tcW w:w="800" w:type="pct"/>
            <w:tcBorders>
              <w:top w:val="single" w:color="auto" w:sz="4" w:space="0"/>
              <w:left w:val="single" w:color="auto" w:sz="4" w:space="0"/>
              <w:bottom w:val="single" w:color="auto" w:sz="4" w:space="0"/>
              <w:right w:val="single" w:color="auto" w:sz="4" w:space="0"/>
            </w:tcBorders>
            <w:vAlign w:val="center"/>
          </w:tcPr>
          <w:p w14:paraId="2BAD01A3">
            <w:pPr>
              <w:pStyle w:val="1444"/>
            </w:pPr>
            <w:r>
              <w:rPr>
                <w:rFonts w:hint="eastAsia"/>
              </w:rPr>
              <w:t>0</w:t>
            </w:r>
            <w:r>
              <w:t>.06</w:t>
            </w:r>
          </w:p>
        </w:tc>
        <w:tc>
          <w:tcPr>
            <w:tcW w:w="796" w:type="pct"/>
            <w:tcBorders>
              <w:top w:val="single" w:color="auto" w:sz="4" w:space="0"/>
              <w:left w:val="single" w:color="auto" w:sz="4" w:space="0"/>
              <w:bottom w:val="single" w:color="auto" w:sz="4" w:space="0"/>
              <w:right w:val="single" w:color="auto" w:sz="4" w:space="0"/>
            </w:tcBorders>
            <w:vAlign w:val="center"/>
          </w:tcPr>
          <w:p w14:paraId="27248689">
            <w:pPr>
              <w:pStyle w:val="1444"/>
            </w:pPr>
            <w:r>
              <w:t>2.76</w:t>
            </w:r>
            <w:r>
              <w:rPr>
                <w:rFonts w:hint="eastAsia"/>
              </w:rPr>
              <w:t>×1</w:t>
            </w:r>
            <w:r>
              <w:t>0</w:t>
            </w:r>
            <w:r>
              <w:rPr>
                <w:rFonts w:hint="eastAsia"/>
                <w:vertAlign w:val="superscript"/>
              </w:rPr>
              <w:t>-</w:t>
            </w:r>
            <w:r>
              <w:rPr>
                <w:vertAlign w:val="superscript"/>
              </w:rPr>
              <w:t>4</w:t>
            </w:r>
          </w:p>
        </w:tc>
        <w:tc>
          <w:tcPr>
            <w:tcW w:w="788" w:type="pct"/>
            <w:tcBorders>
              <w:top w:val="single" w:color="auto" w:sz="4" w:space="0"/>
              <w:left w:val="single" w:color="auto" w:sz="4" w:space="0"/>
              <w:bottom w:val="single" w:color="auto" w:sz="4" w:space="0"/>
              <w:right w:val="single" w:color="auto" w:sz="4" w:space="0"/>
            </w:tcBorders>
            <w:vAlign w:val="center"/>
          </w:tcPr>
          <w:p w14:paraId="3F49F1B6">
            <w:pPr>
              <w:pStyle w:val="1444"/>
            </w:pPr>
            <w:r>
              <w:rPr>
                <w:rFonts w:hint="eastAsia"/>
              </w:rPr>
              <w:t>0</w:t>
            </w:r>
            <w:r>
              <w:t>.11</w:t>
            </w:r>
          </w:p>
        </w:tc>
      </w:tr>
      <w:tr w14:paraId="113C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710" w:type="pct"/>
            <w:vMerge w:val="continue"/>
            <w:tcBorders>
              <w:left w:val="single" w:color="auto" w:sz="4" w:space="0"/>
              <w:right w:val="single" w:color="auto" w:sz="4" w:space="0"/>
            </w:tcBorders>
            <w:vAlign w:val="center"/>
          </w:tcPr>
          <w:p w14:paraId="0625EFFD">
            <w:pPr>
              <w:pStyle w:val="1444"/>
            </w:pPr>
          </w:p>
        </w:tc>
        <w:tc>
          <w:tcPr>
            <w:tcW w:w="1118" w:type="pct"/>
            <w:tcBorders>
              <w:top w:val="single" w:color="auto" w:sz="4" w:space="0"/>
              <w:left w:val="single" w:color="auto" w:sz="4" w:space="0"/>
              <w:bottom w:val="single" w:color="auto" w:sz="4" w:space="0"/>
              <w:right w:val="single" w:color="auto" w:sz="4" w:space="0"/>
            </w:tcBorders>
            <w:vAlign w:val="center"/>
          </w:tcPr>
          <w:p w14:paraId="787468BD">
            <w:pPr>
              <w:pStyle w:val="1444"/>
              <w:rPr>
                <w:lang w:bidi="ar"/>
              </w:rPr>
            </w:pPr>
            <w:r>
              <w:rPr>
                <w:rFonts w:hint="eastAsia"/>
                <w:lang w:bidi="ar"/>
              </w:rPr>
              <w:t>5</w:t>
            </w:r>
            <w:r>
              <w:rPr>
                <w:lang w:bidi="ar"/>
              </w:rPr>
              <w:t>0</w:t>
            </w:r>
          </w:p>
        </w:tc>
        <w:tc>
          <w:tcPr>
            <w:tcW w:w="788" w:type="pct"/>
            <w:tcBorders>
              <w:top w:val="single" w:color="auto" w:sz="4" w:space="0"/>
              <w:left w:val="single" w:color="auto" w:sz="4" w:space="0"/>
              <w:bottom w:val="single" w:color="auto" w:sz="4" w:space="0"/>
              <w:right w:val="single" w:color="auto" w:sz="4" w:space="0"/>
            </w:tcBorders>
            <w:vAlign w:val="center"/>
          </w:tcPr>
          <w:p w14:paraId="24E324D4">
            <w:pPr>
              <w:pStyle w:val="1444"/>
              <w:rPr>
                <w:bCs/>
              </w:rPr>
            </w:pPr>
            <w:r>
              <w:rPr>
                <w:rFonts w:hint="eastAsia"/>
                <w:bCs/>
              </w:rPr>
              <w:t>1</w:t>
            </w:r>
            <w:r>
              <w:rPr>
                <w:bCs/>
              </w:rPr>
              <w:t>.37</w:t>
            </w:r>
            <w:r>
              <w:rPr>
                <w:rFonts w:hint="eastAsia"/>
              </w:rPr>
              <w:t>×1</w:t>
            </w:r>
            <w:r>
              <w:t>0</w:t>
            </w:r>
            <w:r>
              <w:rPr>
                <w:rFonts w:hint="eastAsia"/>
                <w:vertAlign w:val="superscript"/>
              </w:rPr>
              <w:t>-</w:t>
            </w:r>
            <w:r>
              <w:rPr>
                <w:vertAlign w:val="superscript"/>
              </w:rPr>
              <w:t>2</w:t>
            </w:r>
          </w:p>
        </w:tc>
        <w:tc>
          <w:tcPr>
            <w:tcW w:w="800" w:type="pct"/>
            <w:tcBorders>
              <w:top w:val="single" w:color="auto" w:sz="4" w:space="0"/>
              <w:left w:val="single" w:color="auto" w:sz="4" w:space="0"/>
              <w:bottom w:val="single" w:color="auto" w:sz="4" w:space="0"/>
              <w:right w:val="single" w:color="auto" w:sz="4" w:space="0"/>
            </w:tcBorders>
            <w:vAlign w:val="center"/>
          </w:tcPr>
          <w:p w14:paraId="3908B0C2">
            <w:pPr>
              <w:pStyle w:val="1444"/>
            </w:pPr>
            <w:r>
              <w:rPr>
                <w:rFonts w:hint="eastAsia"/>
              </w:rPr>
              <w:t>3</w:t>
            </w:r>
            <w:r>
              <w:t>.79</w:t>
            </w:r>
          </w:p>
        </w:tc>
        <w:tc>
          <w:tcPr>
            <w:tcW w:w="796" w:type="pct"/>
            <w:tcBorders>
              <w:top w:val="single" w:color="auto" w:sz="4" w:space="0"/>
              <w:left w:val="single" w:color="auto" w:sz="4" w:space="0"/>
              <w:bottom w:val="single" w:color="auto" w:sz="4" w:space="0"/>
              <w:right w:val="single" w:color="auto" w:sz="4" w:space="0"/>
            </w:tcBorders>
            <w:vAlign w:val="center"/>
          </w:tcPr>
          <w:p w14:paraId="1D71D0DB">
            <w:pPr>
              <w:pStyle w:val="1444"/>
              <w:rPr>
                <w:bCs/>
              </w:rPr>
            </w:pPr>
            <w:r>
              <w:rPr>
                <w:rFonts w:hint="eastAsia"/>
                <w:bCs/>
              </w:rPr>
              <w:t>1</w:t>
            </w:r>
            <w:r>
              <w:rPr>
                <w:bCs/>
              </w:rPr>
              <w:t>.73</w:t>
            </w:r>
            <w:r>
              <w:rPr>
                <w:rFonts w:hint="eastAsia"/>
              </w:rPr>
              <w:t>×1</w:t>
            </w:r>
            <w:r>
              <w:t>0</w:t>
            </w:r>
            <w:r>
              <w:rPr>
                <w:rFonts w:hint="eastAsia"/>
                <w:vertAlign w:val="superscript"/>
              </w:rPr>
              <w:t>-</w:t>
            </w:r>
            <w:r>
              <w:rPr>
                <w:vertAlign w:val="superscript"/>
              </w:rPr>
              <w:t>2</w:t>
            </w:r>
          </w:p>
        </w:tc>
        <w:tc>
          <w:tcPr>
            <w:tcW w:w="788" w:type="pct"/>
            <w:tcBorders>
              <w:top w:val="single" w:color="auto" w:sz="4" w:space="0"/>
              <w:left w:val="single" w:color="auto" w:sz="4" w:space="0"/>
              <w:bottom w:val="single" w:color="auto" w:sz="4" w:space="0"/>
              <w:right w:val="single" w:color="auto" w:sz="4" w:space="0"/>
            </w:tcBorders>
            <w:vAlign w:val="center"/>
          </w:tcPr>
          <w:p w14:paraId="326614E3">
            <w:pPr>
              <w:pStyle w:val="1444"/>
              <w:rPr>
                <w:bCs/>
              </w:rPr>
            </w:pPr>
            <w:r>
              <w:rPr>
                <w:rFonts w:hint="eastAsia"/>
                <w:bCs/>
              </w:rPr>
              <w:t>6</w:t>
            </w:r>
            <w:r>
              <w:rPr>
                <w:bCs/>
              </w:rPr>
              <w:t>.91</w:t>
            </w:r>
          </w:p>
        </w:tc>
      </w:tr>
      <w:tr w14:paraId="7864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710" w:type="pct"/>
            <w:vMerge w:val="continue"/>
            <w:tcBorders>
              <w:left w:val="single" w:color="auto" w:sz="4" w:space="0"/>
              <w:right w:val="single" w:color="auto" w:sz="4" w:space="0"/>
            </w:tcBorders>
            <w:vAlign w:val="center"/>
          </w:tcPr>
          <w:p w14:paraId="47ACE229">
            <w:pPr>
              <w:pStyle w:val="1444"/>
            </w:pPr>
          </w:p>
        </w:tc>
        <w:tc>
          <w:tcPr>
            <w:tcW w:w="1118" w:type="pct"/>
            <w:tcBorders>
              <w:top w:val="single" w:color="auto" w:sz="4" w:space="0"/>
              <w:left w:val="single" w:color="auto" w:sz="4" w:space="0"/>
              <w:bottom w:val="single" w:color="auto" w:sz="4" w:space="0"/>
              <w:right w:val="single" w:color="auto" w:sz="4" w:space="0"/>
            </w:tcBorders>
            <w:vAlign w:val="center"/>
          </w:tcPr>
          <w:p w14:paraId="4E6D0C5F">
            <w:pPr>
              <w:pStyle w:val="1444"/>
              <w:rPr>
                <w:lang w:bidi="ar"/>
              </w:rPr>
            </w:pPr>
            <w:r>
              <w:rPr>
                <w:lang w:bidi="ar"/>
              </w:rPr>
              <w:t>100</w:t>
            </w:r>
          </w:p>
        </w:tc>
        <w:tc>
          <w:tcPr>
            <w:tcW w:w="788" w:type="pct"/>
            <w:tcBorders>
              <w:top w:val="single" w:color="auto" w:sz="4" w:space="0"/>
              <w:left w:val="single" w:color="auto" w:sz="4" w:space="0"/>
              <w:bottom w:val="single" w:color="auto" w:sz="4" w:space="0"/>
              <w:right w:val="single" w:color="auto" w:sz="4" w:space="0"/>
            </w:tcBorders>
            <w:vAlign w:val="center"/>
          </w:tcPr>
          <w:p w14:paraId="48806B4F">
            <w:pPr>
              <w:pStyle w:val="1444"/>
            </w:pPr>
            <w:r>
              <w:rPr>
                <w:rFonts w:hint="eastAsia"/>
              </w:rPr>
              <w:t>7</w:t>
            </w:r>
            <w:r>
              <w:t>.67</w:t>
            </w:r>
            <w:r>
              <w:rPr>
                <w:rFonts w:hint="eastAsia"/>
              </w:rPr>
              <w:t>×1</w:t>
            </w:r>
            <w:r>
              <w:t>0</w:t>
            </w:r>
            <w:r>
              <w:rPr>
                <w:rFonts w:hint="eastAsia"/>
                <w:vertAlign w:val="superscript"/>
              </w:rPr>
              <w:t>-</w:t>
            </w:r>
            <w:r>
              <w:rPr>
                <w:vertAlign w:val="superscript"/>
              </w:rPr>
              <w:t>3</w:t>
            </w:r>
          </w:p>
        </w:tc>
        <w:tc>
          <w:tcPr>
            <w:tcW w:w="800" w:type="pct"/>
            <w:tcBorders>
              <w:top w:val="single" w:color="auto" w:sz="4" w:space="0"/>
              <w:left w:val="single" w:color="auto" w:sz="4" w:space="0"/>
              <w:bottom w:val="single" w:color="auto" w:sz="4" w:space="0"/>
              <w:right w:val="single" w:color="auto" w:sz="4" w:space="0"/>
            </w:tcBorders>
            <w:vAlign w:val="center"/>
          </w:tcPr>
          <w:p w14:paraId="01A18487">
            <w:pPr>
              <w:pStyle w:val="1444"/>
            </w:pPr>
            <w:r>
              <w:rPr>
                <w:rFonts w:hint="eastAsia"/>
              </w:rPr>
              <w:t>2</w:t>
            </w:r>
            <w:r>
              <w:t>.13</w:t>
            </w:r>
          </w:p>
        </w:tc>
        <w:tc>
          <w:tcPr>
            <w:tcW w:w="796" w:type="pct"/>
            <w:tcBorders>
              <w:top w:val="single" w:color="auto" w:sz="4" w:space="0"/>
              <w:left w:val="single" w:color="auto" w:sz="4" w:space="0"/>
              <w:bottom w:val="single" w:color="auto" w:sz="4" w:space="0"/>
              <w:right w:val="single" w:color="auto" w:sz="4" w:space="0"/>
            </w:tcBorders>
            <w:vAlign w:val="center"/>
          </w:tcPr>
          <w:p w14:paraId="2C65E5D1">
            <w:pPr>
              <w:pStyle w:val="1444"/>
            </w:pPr>
            <w:r>
              <w:rPr>
                <w:rFonts w:hint="eastAsia"/>
              </w:rPr>
              <w:t>9</w:t>
            </w:r>
            <w:r>
              <w:t>.70</w:t>
            </w:r>
            <w:r>
              <w:rPr>
                <w:rFonts w:hint="eastAsia"/>
              </w:rPr>
              <w:t>×1</w:t>
            </w:r>
            <w:r>
              <w:t>0</w:t>
            </w:r>
            <w:r>
              <w:rPr>
                <w:rFonts w:hint="eastAsia"/>
                <w:vertAlign w:val="superscript"/>
              </w:rPr>
              <w:t>-</w:t>
            </w:r>
            <w:r>
              <w:rPr>
                <w:vertAlign w:val="superscript"/>
              </w:rPr>
              <w:t>3</w:t>
            </w:r>
          </w:p>
        </w:tc>
        <w:tc>
          <w:tcPr>
            <w:tcW w:w="788" w:type="pct"/>
            <w:tcBorders>
              <w:top w:val="single" w:color="auto" w:sz="4" w:space="0"/>
              <w:left w:val="single" w:color="auto" w:sz="4" w:space="0"/>
              <w:bottom w:val="single" w:color="auto" w:sz="4" w:space="0"/>
              <w:right w:val="single" w:color="auto" w:sz="4" w:space="0"/>
            </w:tcBorders>
            <w:vAlign w:val="center"/>
          </w:tcPr>
          <w:p w14:paraId="5C2E544C">
            <w:pPr>
              <w:pStyle w:val="1444"/>
            </w:pPr>
            <w:r>
              <w:rPr>
                <w:rFonts w:hint="eastAsia"/>
              </w:rPr>
              <w:t>3</w:t>
            </w:r>
            <w:r>
              <w:t>.88</w:t>
            </w:r>
          </w:p>
        </w:tc>
      </w:tr>
      <w:tr w14:paraId="3F37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710" w:type="pct"/>
            <w:vMerge w:val="continue"/>
            <w:tcBorders>
              <w:left w:val="single" w:color="auto" w:sz="4" w:space="0"/>
              <w:right w:val="single" w:color="auto" w:sz="4" w:space="0"/>
            </w:tcBorders>
            <w:vAlign w:val="center"/>
          </w:tcPr>
          <w:p w14:paraId="18785F17">
            <w:pPr>
              <w:pStyle w:val="1444"/>
            </w:pPr>
          </w:p>
        </w:tc>
        <w:tc>
          <w:tcPr>
            <w:tcW w:w="1118" w:type="pct"/>
            <w:tcBorders>
              <w:top w:val="single" w:color="auto" w:sz="4" w:space="0"/>
              <w:left w:val="single" w:color="auto" w:sz="4" w:space="0"/>
              <w:bottom w:val="single" w:color="auto" w:sz="4" w:space="0"/>
              <w:right w:val="single" w:color="auto" w:sz="4" w:space="0"/>
            </w:tcBorders>
            <w:vAlign w:val="center"/>
          </w:tcPr>
          <w:p w14:paraId="5CE4A768">
            <w:pPr>
              <w:pStyle w:val="1444"/>
              <w:rPr>
                <w:lang w:bidi="ar"/>
              </w:rPr>
            </w:pPr>
            <w:r>
              <w:rPr>
                <w:lang w:bidi="ar"/>
              </w:rPr>
              <w:t>200</w:t>
            </w:r>
          </w:p>
        </w:tc>
        <w:tc>
          <w:tcPr>
            <w:tcW w:w="788" w:type="pct"/>
            <w:tcBorders>
              <w:top w:val="single" w:color="auto" w:sz="4" w:space="0"/>
              <w:left w:val="single" w:color="auto" w:sz="4" w:space="0"/>
              <w:bottom w:val="single" w:color="auto" w:sz="4" w:space="0"/>
              <w:right w:val="single" w:color="auto" w:sz="4" w:space="0"/>
            </w:tcBorders>
            <w:vAlign w:val="center"/>
          </w:tcPr>
          <w:p w14:paraId="4AF72782">
            <w:pPr>
              <w:pStyle w:val="1444"/>
              <w:rPr>
                <w:kern w:val="0"/>
                <w:lang w:bidi="ar"/>
              </w:rPr>
            </w:pPr>
            <w:r>
              <w:rPr>
                <w:rFonts w:hint="eastAsia"/>
                <w:kern w:val="0"/>
                <w:lang w:bidi="ar"/>
              </w:rPr>
              <w:t>3</w:t>
            </w:r>
            <w:r>
              <w:rPr>
                <w:kern w:val="0"/>
                <w:lang w:bidi="ar"/>
              </w:rPr>
              <w:t>.80</w:t>
            </w:r>
            <w:r>
              <w:rPr>
                <w:rFonts w:hint="eastAsia"/>
              </w:rPr>
              <w:t>×1</w:t>
            </w:r>
            <w:r>
              <w:t>0</w:t>
            </w:r>
            <w:r>
              <w:rPr>
                <w:rFonts w:hint="eastAsia"/>
                <w:vertAlign w:val="superscript"/>
              </w:rPr>
              <w:t>-</w:t>
            </w:r>
            <w:r>
              <w:rPr>
                <w:vertAlign w:val="superscript"/>
              </w:rPr>
              <w:t>3</w:t>
            </w:r>
          </w:p>
        </w:tc>
        <w:tc>
          <w:tcPr>
            <w:tcW w:w="800" w:type="pct"/>
            <w:tcBorders>
              <w:top w:val="single" w:color="auto" w:sz="4" w:space="0"/>
              <w:left w:val="single" w:color="auto" w:sz="4" w:space="0"/>
              <w:bottom w:val="single" w:color="auto" w:sz="4" w:space="0"/>
              <w:right w:val="single" w:color="auto" w:sz="4" w:space="0"/>
            </w:tcBorders>
            <w:vAlign w:val="center"/>
          </w:tcPr>
          <w:p w14:paraId="06B38131">
            <w:pPr>
              <w:pStyle w:val="1444"/>
            </w:pPr>
            <w:r>
              <w:rPr>
                <w:rFonts w:hint="eastAsia"/>
              </w:rPr>
              <w:t>1</w:t>
            </w:r>
            <w:r>
              <w:t>.06</w:t>
            </w:r>
          </w:p>
        </w:tc>
        <w:tc>
          <w:tcPr>
            <w:tcW w:w="796" w:type="pct"/>
            <w:tcBorders>
              <w:top w:val="single" w:color="auto" w:sz="4" w:space="0"/>
              <w:left w:val="single" w:color="auto" w:sz="4" w:space="0"/>
              <w:bottom w:val="single" w:color="auto" w:sz="4" w:space="0"/>
              <w:right w:val="single" w:color="auto" w:sz="4" w:space="0"/>
            </w:tcBorders>
            <w:vAlign w:val="center"/>
          </w:tcPr>
          <w:p w14:paraId="2F6FFBE9">
            <w:pPr>
              <w:pStyle w:val="1444"/>
              <w:rPr>
                <w:kern w:val="0"/>
                <w:lang w:bidi="ar"/>
              </w:rPr>
            </w:pPr>
            <w:r>
              <w:rPr>
                <w:rFonts w:hint="eastAsia"/>
                <w:kern w:val="0"/>
                <w:lang w:bidi="ar"/>
              </w:rPr>
              <w:t>4</w:t>
            </w:r>
            <w:r>
              <w:rPr>
                <w:kern w:val="0"/>
                <w:lang w:bidi="ar"/>
              </w:rPr>
              <w:t>.81</w:t>
            </w:r>
            <w:r>
              <w:rPr>
                <w:rFonts w:hint="eastAsia"/>
              </w:rPr>
              <w:t>×1</w:t>
            </w:r>
            <w:r>
              <w:t>0</w:t>
            </w:r>
            <w:r>
              <w:rPr>
                <w:rFonts w:hint="eastAsia"/>
                <w:vertAlign w:val="superscript"/>
              </w:rPr>
              <w:t>-</w:t>
            </w:r>
            <w:r>
              <w:rPr>
                <w:vertAlign w:val="superscript"/>
              </w:rPr>
              <w:t>3</w:t>
            </w:r>
          </w:p>
        </w:tc>
        <w:tc>
          <w:tcPr>
            <w:tcW w:w="788" w:type="pct"/>
            <w:tcBorders>
              <w:top w:val="single" w:color="auto" w:sz="4" w:space="0"/>
              <w:left w:val="single" w:color="auto" w:sz="4" w:space="0"/>
              <w:bottom w:val="single" w:color="auto" w:sz="4" w:space="0"/>
              <w:right w:val="single" w:color="auto" w:sz="4" w:space="0"/>
            </w:tcBorders>
            <w:vAlign w:val="center"/>
          </w:tcPr>
          <w:p w14:paraId="761FDB94">
            <w:pPr>
              <w:pStyle w:val="1444"/>
              <w:rPr>
                <w:kern w:val="0"/>
                <w:lang w:bidi="ar"/>
              </w:rPr>
            </w:pPr>
            <w:r>
              <w:rPr>
                <w:rFonts w:hint="eastAsia"/>
                <w:kern w:val="0"/>
                <w:lang w:bidi="ar"/>
              </w:rPr>
              <w:t>1</w:t>
            </w:r>
            <w:r>
              <w:rPr>
                <w:kern w:val="0"/>
                <w:lang w:bidi="ar"/>
              </w:rPr>
              <w:t>.92</w:t>
            </w:r>
          </w:p>
        </w:tc>
      </w:tr>
      <w:tr w14:paraId="7A4E3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710" w:type="pct"/>
            <w:vMerge w:val="continue"/>
            <w:tcBorders>
              <w:left w:val="single" w:color="auto" w:sz="4" w:space="0"/>
              <w:right w:val="single" w:color="auto" w:sz="4" w:space="0"/>
            </w:tcBorders>
            <w:vAlign w:val="center"/>
          </w:tcPr>
          <w:p w14:paraId="5773522F">
            <w:pPr>
              <w:pStyle w:val="1444"/>
            </w:pPr>
          </w:p>
        </w:tc>
        <w:tc>
          <w:tcPr>
            <w:tcW w:w="1118" w:type="pct"/>
            <w:tcBorders>
              <w:top w:val="single" w:color="auto" w:sz="4" w:space="0"/>
              <w:left w:val="single" w:color="auto" w:sz="4" w:space="0"/>
              <w:bottom w:val="single" w:color="auto" w:sz="4" w:space="0"/>
              <w:right w:val="single" w:color="auto" w:sz="4" w:space="0"/>
            </w:tcBorders>
            <w:vAlign w:val="center"/>
          </w:tcPr>
          <w:p w14:paraId="7E24CC35">
            <w:pPr>
              <w:pStyle w:val="1444"/>
              <w:rPr>
                <w:lang w:bidi="ar"/>
              </w:rPr>
            </w:pPr>
            <w:r>
              <w:rPr>
                <w:lang w:bidi="ar"/>
              </w:rPr>
              <w:t>500</w:t>
            </w:r>
          </w:p>
        </w:tc>
        <w:tc>
          <w:tcPr>
            <w:tcW w:w="788" w:type="pct"/>
            <w:tcBorders>
              <w:top w:val="single" w:color="auto" w:sz="4" w:space="0"/>
              <w:left w:val="single" w:color="auto" w:sz="4" w:space="0"/>
              <w:bottom w:val="single" w:color="auto" w:sz="4" w:space="0"/>
              <w:right w:val="single" w:color="auto" w:sz="4" w:space="0"/>
            </w:tcBorders>
            <w:vAlign w:val="center"/>
          </w:tcPr>
          <w:p w14:paraId="64BB061D">
            <w:pPr>
              <w:pStyle w:val="1444"/>
            </w:pPr>
            <w:r>
              <w:rPr>
                <w:rFonts w:hint="eastAsia"/>
              </w:rPr>
              <w:t>1</w:t>
            </w:r>
            <w:r>
              <w:t>.48</w:t>
            </w:r>
            <w:r>
              <w:rPr>
                <w:rFonts w:hint="eastAsia"/>
              </w:rPr>
              <w:t>×1</w:t>
            </w:r>
            <w:r>
              <w:t>0</w:t>
            </w:r>
            <w:r>
              <w:rPr>
                <w:rFonts w:hint="eastAsia"/>
                <w:vertAlign w:val="superscript"/>
              </w:rPr>
              <w:t>-</w:t>
            </w:r>
            <w:r>
              <w:rPr>
                <w:vertAlign w:val="superscript"/>
              </w:rPr>
              <w:t>3</w:t>
            </w:r>
          </w:p>
        </w:tc>
        <w:tc>
          <w:tcPr>
            <w:tcW w:w="800" w:type="pct"/>
            <w:tcBorders>
              <w:top w:val="single" w:color="auto" w:sz="4" w:space="0"/>
              <w:left w:val="single" w:color="auto" w:sz="4" w:space="0"/>
              <w:bottom w:val="single" w:color="auto" w:sz="4" w:space="0"/>
              <w:right w:val="single" w:color="auto" w:sz="4" w:space="0"/>
            </w:tcBorders>
            <w:vAlign w:val="center"/>
          </w:tcPr>
          <w:p w14:paraId="75E65FEC">
            <w:pPr>
              <w:pStyle w:val="1444"/>
            </w:pPr>
            <w:r>
              <w:rPr>
                <w:rFonts w:hint="eastAsia"/>
              </w:rPr>
              <w:t>0</w:t>
            </w:r>
            <w:r>
              <w:t>.41</w:t>
            </w:r>
          </w:p>
        </w:tc>
        <w:tc>
          <w:tcPr>
            <w:tcW w:w="796" w:type="pct"/>
            <w:tcBorders>
              <w:top w:val="single" w:color="auto" w:sz="4" w:space="0"/>
              <w:left w:val="single" w:color="auto" w:sz="4" w:space="0"/>
              <w:bottom w:val="single" w:color="auto" w:sz="4" w:space="0"/>
              <w:right w:val="single" w:color="auto" w:sz="4" w:space="0"/>
            </w:tcBorders>
            <w:vAlign w:val="center"/>
          </w:tcPr>
          <w:p w14:paraId="21FAD553">
            <w:pPr>
              <w:pStyle w:val="1444"/>
            </w:pPr>
            <w:r>
              <w:rPr>
                <w:rFonts w:hint="eastAsia"/>
              </w:rPr>
              <w:t>1</w:t>
            </w:r>
            <w:r>
              <w:t>.87</w:t>
            </w:r>
            <w:r>
              <w:rPr>
                <w:rFonts w:hint="eastAsia"/>
              </w:rPr>
              <w:t>×1</w:t>
            </w:r>
            <w:r>
              <w:t>0</w:t>
            </w:r>
            <w:r>
              <w:rPr>
                <w:rFonts w:hint="eastAsia"/>
                <w:vertAlign w:val="superscript"/>
              </w:rPr>
              <w:t>-</w:t>
            </w:r>
            <w:r>
              <w:rPr>
                <w:vertAlign w:val="superscript"/>
              </w:rPr>
              <w:t>3</w:t>
            </w:r>
          </w:p>
        </w:tc>
        <w:tc>
          <w:tcPr>
            <w:tcW w:w="788" w:type="pct"/>
            <w:tcBorders>
              <w:top w:val="single" w:color="auto" w:sz="4" w:space="0"/>
              <w:left w:val="single" w:color="auto" w:sz="4" w:space="0"/>
              <w:bottom w:val="single" w:color="auto" w:sz="4" w:space="0"/>
              <w:right w:val="single" w:color="auto" w:sz="4" w:space="0"/>
            </w:tcBorders>
            <w:vAlign w:val="center"/>
          </w:tcPr>
          <w:p w14:paraId="2ED69CE8">
            <w:pPr>
              <w:pStyle w:val="1444"/>
            </w:pPr>
            <w:r>
              <w:rPr>
                <w:rFonts w:hint="eastAsia"/>
              </w:rPr>
              <w:t>0</w:t>
            </w:r>
            <w:r>
              <w:t>.75</w:t>
            </w:r>
          </w:p>
        </w:tc>
      </w:tr>
      <w:tr w14:paraId="1BCE1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0" w:hRule="atLeast"/>
        </w:trPr>
        <w:tc>
          <w:tcPr>
            <w:tcW w:w="710" w:type="pct"/>
            <w:vMerge w:val="continue"/>
            <w:tcBorders>
              <w:left w:val="single" w:color="auto" w:sz="4" w:space="0"/>
              <w:right w:val="single" w:color="auto" w:sz="4" w:space="0"/>
            </w:tcBorders>
            <w:vAlign w:val="center"/>
          </w:tcPr>
          <w:p w14:paraId="266A90DC">
            <w:pPr>
              <w:pStyle w:val="1444"/>
            </w:pPr>
          </w:p>
        </w:tc>
        <w:tc>
          <w:tcPr>
            <w:tcW w:w="1118" w:type="pct"/>
            <w:tcBorders>
              <w:top w:val="single" w:color="auto" w:sz="4" w:space="0"/>
              <w:left w:val="single" w:color="auto" w:sz="4" w:space="0"/>
              <w:bottom w:val="single" w:color="auto" w:sz="4" w:space="0"/>
              <w:right w:val="single" w:color="auto" w:sz="4" w:space="0"/>
            </w:tcBorders>
            <w:vAlign w:val="center"/>
          </w:tcPr>
          <w:p w14:paraId="61441C84">
            <w:pPr>
              <w:pStyle w:val="1444"/>
            </w:pPr>
            <w:r>
              <w:rPr>
                <w:lang w:bidi="ar"/>
              </w:rPr>
              <w:t>1000</w:t>
            </w:r>
          </w:p>
        </w:tc>
        <w:tc>
          <w:tcPr>
            <w:tcW w:w="788" w:type="pct"/>
            <w:tcBorders>
              <w:top w:val="single" w:color="auto" w:sz="4" w:space="0"/>
              <w:left w:val="single" w:color="auto" w:sz="4" w:space="0"/>
              <w:bottom w:val="single" w:color="auto" w:sz="4" w:space="0"/>
              <w:right w:val="single" w:color="auto" w:sz="4" w:space="0"/>
            </w:tcBorders>
            <w:vAlign w:val="center"/>
          </w:tcPr>
          <w:p w14:paraId="0D06D091">
            <w:pPr>
              <w:pStyle w:val="1444"/>
            </w:pPr>
            <w:r>
              <w:rPr>
                <w:rFonts w:hint="eastAsia"/>
              </w:rPr>
              <w:t>5</w:t>
            </w:r>
            <w:r>
              <w:t>.60</w:t>
            </w:r>
            <w:r>
              <w:rPr>
                <w:rFonts w:hint="eastAsia"/>
              </w:rPr>
              <w:t>×1</w:t>
            </w:r>
            <w:r>
              <w:t>0</w:t>
            </w:r>
            <w:r>
              <w:rPr>
                <w:rFonts w:hint="eastAsia"/>
                <w:vertAlign w:val="superscript"/>
              </w:rPr>
              <w:t>-</w:t>
            </w:r>
            <w:r>
              <w:rPr>
                <w:vertAlign w:val="superscript"/>
              </w:rPr>
              <w:t>4</w:t>
            </w:r>
          </w:p>
        </w:tc>
        <w:tc>
          <w:tcPr>
            <w:tcW w:w="800" w:type="pct"/>
            <w:tcBorders>
              <w:top w:val="single" w:color="auto" w:sz="4" w:space="0"/>
              <w:left w:val="single" w:color="auto" w:sz="4" w:space="0"/>
              <w:bottom w:val="single" w:color="auto" w:sz="4" w:space="0"/>
              <w:right w:val="single" w:color="auto" w:sz="4" w:space="0"/>
            </w:tcBorders>
            <w:vAlign w:val="center"/>
          </w:tcPr>
          <w:p w14:paraId="597C11A2">
            <w:pPr>
              <w:pStyle w:val="1444"/>
            </w:pPr>
            <w:r>
              <w:rPr>
                <w:rFonts w:hint="eastAsia"/>
              </w:rPr>
              <w:t>0</w:t>
            </w:r>
            <w:r>
              <w:t>.16</w:t>
            </w:r>
          </w:p>
        </w:tc>
        <w:tc>
          <w:tcPr>
            <w:tcW w:w="796" w:type="pct"/>
            <w:tcBorders>
              <w:top w:val="single" w:color="auto" w:sz="4" w:space="0"/>
              <w:left w:val="single" w:color="auto" w:sz="4" w:space="0"/>
              <w:bottom w:val="single" w:color="auto" w:sz="4" w:space="0"/>
              <w:right w:val="single" w:color="auto" w:sz="4" w:space="0"/>
            </w:tcBorders>
            <w:vAlign w:val="center"/>
          </w:tcPr>
          <w:p w14:paraId="07BD4E38">
            <w:pPr>
              <w:pStyle w:val="1444"/>
            </w:pPr>
            <w:r>
              <w:rPr>
                <w:rFonts w:hint="eastAsia"/>
              </w:rPr>
              <w:t>7</w:t>
            </w:r>
            <w:r>
              <w:t>.08</w:t>
            </w:r>
            <w:r>
              <w:rPr>
                <w:rFonts w:hint="eastAsia"/>
              </w:rPr>
              <w:t>×1</w:t>
            </w:r>
            <w:r>
              <w:t>0</w:t>
            </w:r>
            <w:r>
              <w:rPr>
                <w:rFonts w:hint="eastAsia"/>
                <w:vertAlign w:val="superscript"/>
              </w:rPr>
              <w:t>-</w:t>
            </w:r>
            <w:r>
              <w:rPr>
                <w:vertAlign w:val="superscript"/>
              </w:rPr>
              <w:t>4</w:t>
            </w:r>
          </w:p>
        </w:tc>
        <w:tc>
          <w:tcPr>
            <w:tcW w:w="788" w:type="pct"/>
            <w:tcBorders>
              <w:top w:val="single" w:color="auto" w:sz="4" w:space="0"/>
              <w:left w:val="single" w:color="auto" w:sz="4" w:space="0"/>
              <w:bottom w:val="single" w:color="auto" w:sz="4" w:space="0"/>
              <w:right w:val="single" w:color="auto" w:sz="4" w:space="0"/>
            </w:tcBorders>
            <w:vAlign w:val="center"/>
          </w:tcPr>
          <w:p w14:paraId="046E7012">
            <w:pPr>
              <w:pStyle w:val="1444"/>
            </w:pPr>
            <w:r>
              <w:rPr>
                <w:rFonts w:hint="eastAsia"/>
              </w:rPr>
              <w:t>0</w:t>
            </w:r>
            <w:r>
              <w:t>.28</w:t>
            </w:r>
          </w:p>
        </w:tc>
      </w:tr>
      <w:tr w14:paraId="5E58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710" w:type="pct"/>
            <w:vMerge w:val="continue"/>
            <w:tcBorders>
              <w:left w:val="single" w:color="auto" w:sz="4" w:space="0"/>
              <w:right w:val="single" w:color="auto" w:sz="4" w:space="0"/>
            </w:tcBorders>
            <w:vAlign w:val="center"/>
          </w:tcPr>
          <w:p w14:paraId="4D8B397A">
            <w:pPr>
              <w:pStyle w:val="1444"/>
            </w:pPr>
          </w:p>
        </w:tc>
        <w:tc>
          <w:tcPr>
            <w:tcW w:w="1118" w:type="pct"/>
            <w:tcBorders>
              <w:top w:val="single" w:color="auto" w:sz="4" w:space="0"/>
              <w:left w:val="single" w:color="auto" w:sz="4" w:space="0"/>
              <w:bottom w:val="single" w:color="auto" w:sz="4" w:space="0"/>
              <w:right w:val="single" w:color="auto" w:sz="4" w:space="0"/>
            </w:tcBorders>
            <w:vAlign w:val="center"/>
          </w:tcPr>
          <w:p w14:paraId="7128D6C8">
            <w:pPr>
              <w:pStyle w:val="1444"/>
            </w:pPr>
            <w:r>
              <w:rPr>
                <w:lang w:bidi="ar"/>
              </w:rPr>
              <w:t>2500</w:t>
            </w:r>
          </w:p>
        </w:tc>
        <w:tc>
          <w:tcPr>
            <w:tcW w:w="788" w:type="pct"/>
            <w:tcBorders>
              <w:top w:val="single" w:color="auto" w:sz="4" w:space="0"/>
              <w:left w:val="single" w:color="auto" w:sz="4" w:space="0"/>
              <w:bottom w:val="single" w:color="auto" w:sz="4" w:space="0"/>
              <w:right w:val="single" w:color="auto" w:sz="4" w:space="0"/>
            </w:tcBorders>
            <w:vAlign w:val="center"/>
          </w:tcPr>
          <w:p w14:paraId="46C4B237">
            <w:pPr>
              <w:pStyle w:val="1444"/>
            </w:pPr>
            <w:r>
              <w:rPr>
                <w:rFonts w:hint="eastAsia"/>
              </w:rPr>
              <w:t>2</w:t>
            </w:r>
            <w:r>
              <w:t>.42</w:t>
            </w:r>
            <w:r>
              <w:rPr>
                <w:rFonts w:hint="eastAsia"/>
              </w:rPr>
              <w:t>×1</w:t>
            </w:r>
            <w:r>
              <w:t>0</w:t>
            </w:r>
            <w:r>
              <w:rPr>
                <w:rFonts w:hint="eastAsia"/>
                <w:vertAlign w:val="superscript"/>
              </w:rPr>
              <w:t>-</w:t>
            </w:r>
            <w:r>
              <w:rPr>
                <w:vertAlign w:val="superscript"/>
              </w:rPr>
              <w:t>4</w:t>
            </w:r>
          </w:p>
        </w:tc>
        <w:tc>
          <w:tcPr>
            <w:tcW w:w="800" w:type="pct"/>
            <w:tcBorders>
              <w:top w:val="single" w:color="auto" w:sz="4" w:space="0"/>
              <w:left w:val="single" w:color="auto" w:sz="4" w:space="0"/>
              <w:bottom w:val="single" w:color="auto" w:sz="4" w:space="0"/>
              <w:right w:val="single" w:color="auto" w:sz="4" w:space="0"/>
            </w:tcBorders>
            <w:vAlign w:val="center"/>
          </w:tcPr>
          <w:p w14:paraId="02F5AFB1">
            <w:pPr>
              <w:pStyle w:val="1444"/>
            </w:pPr>
            <w:r>
              <w:rPr>
                <w:rFonts w:hint="eastAsia"/>
              </w:rPr>
              <w:t>0</w:t>
            </w:r>
            <w:r>
              <w:t>.07</w:t>
            </w:r>
          </w:p>
        </w:tc>
        <w:tc>
          <w:tcPr>
            <w:tcW w:w="796" w:type="pct"/>
            <w:tcBorders>
              <w:top w:val="single" w:color="auto" w:sz="4" w:space="0"/>
              <w:left w:val="single" w:color="auto" w:sz="4" w:space="0"/>
              <w:bottom w:val="single" w:color="auto" w:sz="4" w:space="0"/>
              <w:right w:val="single" w:color="auto" w:sz="4" w:space="0"/>
            </w:tcBorders>
            <w:vAlign w:val="center"/>
          </w:tcPr>
          <w:p w14:paraId="2661C642">
            <w:pPr>
              <w:pStyle w:val="1444"/>
            </w:pPr>
            <w:r>
              <w:rPr>
                <w:rFonts w:hint="eastAsia"/>
              </w:rPr>
              <w:t>3</w:t>
            </w:r>
            <w:r>
              <w:t>.06</w:t>
            </w:r>
            <w:r>
              <w:rPr>
                <w:rFonts w:hint="eastAsia"/>
              </w:rPr>
              <w:t>×1</w:t>
            </w:r>
            <w:r>
              <w:t>0</w:t>
            </w:r>
            <w:r>
              <w:rPr>
                <w:rFonts w:hint="eastAsia"/>
                <w:vertAlign w:val="superscript"/>
              </w:rPr>
              <w:t>-</w:t>
            </w:r>
            <w:r>
              <w:rPr>
                <w:vertAlign w:val="superscript"/>
              </w:rPr>
              <w:t>4</w:t>
            </w:r>
          </w:p>
        </w:tc>
        <w:tc>
          <w:tcPr>
            <w:tcW w:w="788" w:type="pct"/>
            <w:tcBorders>
              <w:top w:val="single" w:color="auto" w:sz="4" w:space="0"/>
              <w:left w:val="single" w:color="auto" w:sz="4" w:space="0"/>
              <w:bottom w:val="single" w:color="auto" w:sz="4" w:space="0"/>
              <w:right w:val="single" w:color="auto" w:sz="4" w:space="0"/>
            </w:tcBorders>
            <w:vAlign w:val="center"/>
          </w:tcPr>
          <w:p w14:paraId="0FFFAB39">
            <w:pPr>
              <w:pStyle w:val="1444"/>
            </w:pPr>
            <w:r>
              <w:rPr>
                <w:rFonts w:hint="eastAsia"/>
              </w:rPr>
              <w:t>0</w:t>
            </w:r>
            <w:r>
              <w:t>.12</w:t>
            </w:r>
          </w:p>
        </w:tc>
      </w:tr>
      <w:tr w14:paraId="0C4F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710" w:type="pct"/>
            <w:vMerge w:val="continue"/>
            <w:tcBorders>
              <w:left w:val="single" w:color="auto" w:sz="4" w:space="0"/>
              <w:bottom w:val="single" w:color="auto" w:sz="4" w:space="0"/>
              <w:right w:val="single" w:color="auto" w:sz="4" w:space="0"/>
            </w:tcBorders>
            <w:vAlign w:val="center"/>
          </w:tcPr>
          <w:p w14:paraId="7E99EA24">
            <w:pPr>
              <w:pStyle w:val="1444"/>
            </w:pPr>
          </w:p>
        </w:tc>
        <w:tc>
          <w:tcPr>
            <w:tcW w:w="1118" w:type="pct"/>
            <w:tcBorders>
              <w:top w:val="single" w:color="auto" w:sz="4" w:space="0"/>
              <w:left w:val="single" w:color="auto" w:sz="4" w:space="0"/>
              <w:bottom w:val="single" w:color="auto" w:sz="4" w:space="0"/>
              <w:right w:val="single" w:color="auto" w:sz="4" w:space="0"/>
            </w:tcBorders>
            <w:vAlign w:val="center"/>
          </w:tcPr>
          <w:p w14:paraId="71B8597E">
            <w:pPr>
              <w:pStyle w:val="1444"/>
              <w:rPr>
                <w:lang w:bidi="ar"/>
              </w:rPr>
            </w:pPr>
            <w:r>
              <w:rPr>
                <w:lang w:bidi="ar"/>
              </w:rPr>
              <w:t>下风向最大值（50m）</w:t>
            </w:r>
          </w:p>
        </w:tc>
        <w:tc>
          <w:tcPr>
            <w:tcW w:w="788" w:type="pct"/>
            <w:tcBorders>
              <w:top w:val="single" w:color="auto" w:sz="4" w:space="0"/>
              <w:left w:val="single" w:color="auto" w:sz="4" w:space="0"/>
              <w:bottom w:val="single" w:color="auto" w:sz="4" w:space="0"/>
              <w:right w:val="single" w:color="auto" w:sz="4" w:space="0"/>
            </w:tcBorders>
            <w:vAlign w:val="center"/>
          </w:tcPr>
          <w:p w14:paraId="484E1EB3">
            <w:pPr>
              <w:pStyle w:val="1444"/>
            </w:pPr>
            <w:r>
              <w:rPr>
                <w:rFonts w:hint="eastAsia"/>
                <w:bCs/>
              </w:rPr>
              <w:t>1</w:t>
            </w:r>
            <w:r>
              <w:rPr>
                <w:bCs/>
              </w:rPr>
              <w:t>.37</w:t>
            </w:r>
            <w:r>
              <w:rPr>
                <w:rFonts w:hint="eastAsia"/>
              </w:rPr>
              <w:t>×1</w:t>
            </w:r>
            <w:r>
              <w:t>0</w:t>
            </w:r>
            <w:r>
              <w:rPr>
                <w:rFonts w:hint="eastAsia"/>
                <w:vertAlign w:val="superscript"/>
              </w:rPr>
              <w:t>-</w:t>
            </w:r>
            <w:r>
              <w:rPr>
                <w:vertAlign w:val="superscript"/>
              </w:rPr>
              <w:t>2</w:t>
            </w:r>
          </w:p>
        </w:tc>
        <w:tc>
          <w:tcPr>
            <w:tcW w:w="800" w:type="pct"/>
            <w:tcBorders>
              <w:top w:val="single" w:color="auto" w:sz="4" w:space="0"/>
              <w:left w:val="single" w:color="auto" w:sz="4" w:space="0"/>
              <w:bottom w:val="single" w:color="auto" w:sz="4" w:space="0"/>
              <w:right w:val="single" w:color="auto" w:sz="4" w:space="0"/>
            </w:tcBorders>
            <w:vAlign w:val="center"/>
          </w:tcPr>
          <w:p w14:paraId="77FC9077">
            <w:pPr>
              <w:pStyle w:val="1444"/>
            </w:pPr>
            <w:r>
              <w:rPr>
                <w:rFonts w:hint="eastAsia"/>
              </w:rPr>
              <w:t>3</w:t>
            </w:r>
            <w:r>
              <w:t>.79</w:t>
            </w:r>
          </w:p>
        </w:tc>
        <w:tc>
          <w:tcPr>
            <w:tcW w:w="796" w:type="pct"/>
            <w:tcBorders>
              <w:top w:val="single" w:color="auto" w:sz="4" w:space="0"/>
              <w:left w:val="single" w:color="auto" w:sz="4" w:space="0"/>
              <w:bottom w:val="single" w:color="auto" w:sz="4" w:space="0"/>
              <w:right w:val="single" w:color="auto" w:sz="4" w:space="0"/>
            </w:tcBorders>
            <w:vAlign w:val="center"/>
          </w:tcPr>
          <w:p w14:paraId="2F3F2476">
            <w:pPr>
              <w:pStyle w:val="1444"/>
            </w:pPr>
            <w:r>
              <w:rPr>
                <w:rFonts w:hint="eastAsia"/>
                <w:bCs/>
              </w:rPr>
              <w:t>1</w:t>
            </w:r>
            <w:r>
              <w:rPr>
                <w:bCs/>
              </w:rPr>
              <w:t>.73</w:t>
            </w:r>
            <w:r>
              <w:rPr>
                <w:rFonts w:hint="eastAsia"/>
              </w:rPr>
              <w:t>×1</w:t>
            </w:r>
            <w:r>
              <w:t>0</w:t>
            </w:r>
            <w:r>
              <w:rPr>
                <w:rFonts w:hint="eastAsia"/>
                <w:vertAlign w:val="superscript"/>
              </w:rPr>
              <w:t>-</w:t>
            </w:r>
            <w:r>
              <w:rPr>
                <w:vertAlign w:val="superscript"/>
              </w:rPr>
              <w:t>2</w:t>
            </w:r>
          </w:p>
        </w:tc>
        <w:tc>
          <w:tcPr>
            <w:tcW w:w="788" w:type="pct"/>
            <w:tcBorders>
              <w:top w:val="single" w:color="auto" w:sz="4" w:space="0"/>
              <w:left w:val="single" w:color="auto" w:sz="4" w:space="0"/>
              <w:bottom w:val="single" w:color="auto" w:sz="4" w:space="0"/>
              <w:right w:val="single" w:color="auto" w:sz="4" w:space="0"/>
            </w:tcBorders>
            <w:vAlign w:val="center"/>
          </w:tcPr>
          <w:p w14:paraId="246686D4">
            <w:pPr>
              <w:pStyle w:val="1444"/>
            </w:pPr>
            <w:r>
              <w:rPr>
                <w:rFonts w:hint="eastAsia"/>
              </w:rPr>
              <w:t>6</w:t>
            </w:r>
            <w:r>
              <w:t>.91</w:t>
            </w:r>
          </w:p>
        </w:tc>
      </w:tr>
    </w:tbl>
    <w:p w14:paraId="57D16FEA">
      <w:pPr>
        <w:pStyle w:val="1066"/>
        <w:ind w:firstLine="520"/>
        <w:rPr>
          <w:rFonts w:cs="Times New Roman"/>
        </w:rPr>
      </w:pPr>
    </w:p>
    <w:p w14:paraId="18BF37EE">
      <w:pPr>
        <w:pStyle w:val="1065"/>
      </w:pPr>
      <w:r>
        <w:t xml:space="preserve">表1.5-8  </w:t>
      </w:r>
      <w:r>
        <w:rPr>
          <w:rFonts w:hint="eastAsia"/>
        </w:rPr>
        <w:t>站场无组织废气</w:t>
      </w:r>
      <w:r>
        <w:t>大气估算模式计算结果列表</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2471"/>
        <w:gridCol w:w="2763"/>
        <w:gridCol w:w="2407"/>
      </w:tblGrid>
      <w:tr w14:paraId="5F4F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Borders>
              <w:top w:val="single" w:color="auto" w:sz="4" w:space="0"/>
              <w:left w:val="single" w:color="auto" w:sz="4" w:space="0"/>
              <w:bottom w:val="single" w:color="auto" w:sz="4" w:space="0"/>
              <w:right w:val="single" w:color="auto" w:sz="4" w:space="0"/>
            </w:tcBorders>
            <w:vAlign w:val="center"/>
          </w:tcPr>
          <w:p w14:paraId="7AD169B8">
            <w:pPr>
              <w:autoSpaceDE w:val="0"/>
              <w:autoSpaceDN w:val="0"/>
              <w:adjustRightInd w:val="0"/>
              <w:ind w:left="-105" w:leftChars="-50" w:right="-105" w:rightChars="-50"/>
              <w:jc w:val="center"/>
              <w:rPr>
                <w:sz w:val="22"/>
              </w:rPr>
            </w:pPr>
            <w:r>
              <w:rPr>
                <w:sz w:val="22"/>
                <w:lang w:bidi="ar"/>
              </w:rPr>
              <w:t>类型</w:t>
            </w:r>
          </w:p>
        </w:tc>
        <w:tc>
          <w:tcPr>
            <w:tcW w:w="2471" w:type="dxa"/>
            <w:tcBorders>
              <w:top w:val="single" w:color="auto" w:sz="4" w:space="0"/>
              <w:left w:val="single" w:color="auto" w:sz="4" w:space="0"/>
              <w:bottom w:val="single" w:color="auto" w:sz="4" w:space="0"/>
              <w:right w:val="single" w:color="auto" w:sz="4" w:space="0"/>
            </w:tcBorders>
            <w:vAlign w:val="center"/>
          </w:tcPr>
          <w:p w14:paraId="4ED1A3E4">
            <w:pPr>
              <w:autoSpaceDE w:val="0"/>
              <w:autoSpaceDN w:val="0"/>
              <w:adjustRightInd w:val="0"/>
              <w:ind w:left="-105" w:leftChars="-50" w:right="-105" w:rightChars="-50"/>
              <w:jc w:val="center"/>
              <w:rPr>
                <w:sz w:val="22"/>
              </w:rPr>
            </w:pPr>
            <w:r>
              <w:rPr>
                <w:sz w:val="22"/>
                <w:lang w:bidi="ar"/>
              </w:rPr>
              <w:t>下风向距离（m）</w:t>
            </w:r>
          </w:p>
        </w:tc>
        <w:tc>
          <w:tcPr>
            <w:tcW w:w="2763" w:type="dxa"/>
            <w:tcBorders>
              <w:top w:val="single" w:color="auto" w:sz="4" w:space="0"/>
              <w:left w:val="single" w:color="auto" w:sz="4" w:space="0"/>
              <w:bottom w:val="single" w:color="auto" w:sz="4" w:space="0"/>
              <w:right w:val="single" w:color="auto" w:sz="4" w:space="0"/>
            </w:tcBorders>
            <w:vAlign w:val="center"/>
          </w:tcPr>
          <w:p w14:paraId="5B8938F8">
            <w:pPr>
              <w:autoSpaceDE w:val="0"/>
              <w:autoSpaceDN w:val="0"/>
              <w:adjustRightInd w:val="0"/>
              <w:ind w:left="-105" w:leftChars="-50" w:right="-105" w:rightChars="-50"/>
              <w:jc w:val="center"/>
              <w:rPr>
                <w:sz w:val="22"/>
              </w:rPr>
            </w:pPr>
            <w:r>
              <w:rPr>
                <w:sz w:val="22"/>
                <w:lang w:bidi="ar"/>
              </w:rPr>
              <w:t>NMHC预测值（</w:t>
            </w:r>
            <w:r>
              <w:rPr>
                <w:rFonts w:hint="eastAsia"/>
                <w:sz w:val="22"/>
                <w:lang w:bidi="ar"/>
              </w:rPr>
              <w:t>m</w:t>
            </w:r>
            <w:r>
              <w:rPr>
                <w:sz w:val="22"/>
                <w:lang w:bidi="ar"/>
              </w:rPr>
              <w:t>g/m</w:t>
            </w:r>
            <w:r>
              <w:rPr>
                <w:sz w:val="22"/>
                <w:vertAlign w:val="superscript"/>
                <w:lang w:bidi="ar"/>
              </w:rPr>
              <w:t>3</w:t>
            </w:r>
            <w:r>
              <w:rPr>
                <w:sz w:val="22"/>
                <w:lang w:bidi="ar"/>
              </w:rPr>
              <w:t>）</w:t>
            </w:r>
          </w:p>
        </w:tc>
        <w:tc>
          <w:tcPr>
            <w:tcW w:w="2407" w:type="dxa"/>
            <w:tcBorders>
              <w:top w:val="single" w:color="auto" w:sz="4" w:space="0"/>
              <w:left w:val="single" w:color="auto" w:sz="4" w:space="0"/>
              <w:bottom w:val="single" w:color="auto" w:sz="4" w:space="0"/>
              <w:right w:val="single" w:color="auto" w:sz="4" w:space="0"/>
            </w:tcBorders>
            <w:vAlign w:val="center"/>
          </w:tcPr>
          <w:p w14:paraId="3A5B6573">
            <w:pPr>
              <w:autoSpaceDE w:val="0"/>
              <w:autoSpaceDN w:val="0"/>
              <w:adjustRightInd w:val="0"/>
              <w:ind w:left="-105" w:leftChars="-50" w:right="-105" w:rightChars="-50"/>
              <w:jc w:val="center"/>
              <w:rPr>
                <w:sz w:val="22"/>
              </w:rPr>
            </w:pPr>
            <w:r>
              <w:rPr>
                <w:sz w:val="22"/>
                <w:lang w:bidi="ar"/>
              </w:rPr>
              <w:t>NMHC占标率（%）</w:t>
            </w:r>
          </w:p>
        </w:tc>
      </w:tr>
      <w:tr w14:paraId="5FED4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5" w:type="dxa"/>
            <w:vMerge w:val="restart"/>
            <w:tcBorders>
              <w:top w:val="single" w:color="auto" w:sz="4" w:space="0"/>
              <w:left w:val="single" w:color="auto" w:sz="4" w:space="0"/>
              <w:right w:val="single" w:color="auto" w:sz="4" w:space="0"/>
            </w:tcBorders>
            <w:vAlign w:val="center"/>
          </w:tcPr>
          <w:p w14:paraId="11AEB6A5">
            <w:pPr>
              <w:widowControl/>
              <w:ind w:left="-53" w:leftChars="-25" w:right="-53" w:rightChars="-25"/>
              <w:jc w:val="center"/>
              <w:rPr>
                <w:sz w:val="22"/>
              </w:rPr>
            </w:pPr>
            <w:r>
              <w:rPr>
                <w:rFonts w:hint="eastAsia"/>
                <w:kern w:val="0"/>
                <w:sz w:val="22"/>
                <w:lang w:bidi="ar"/>
              </w:rPr>
              <w:t>井站无组织废气</w:t>
            </w:r>
          </w:p>
        </w:tc>
        <w:tc>
          <w:tcPr>
            <w:tcW w:w="2471" w:type="dxa"/>
            <w:tcBorders>
              <w:top w:val="single" w:color="auto" w:sz="4" w:space="0"/>
              <w:left w:val="single" w:color="auto" w:sz="4" w:space="0"/>
              <w:bottom w:val="single" w:color="auto" w:sz="4" w:space="0"/>
              <w:right w:val="single" w:color="auto" w:sz="4" w:space="0"/>
            </w:tcBorders>
            <w:vAlign w:val="center"/>
          </w:tcPr>
          <w:p w14:paraId="76A18904">
            <w:pPr>
              <w:ind w:left="-105" w:leftChars="-50" w:right="-105" w:rightChars="-50"/>
              <w:jc w:val="center"/>
              <w:rPr>
                <w:sz w:val="22"/>
              </w:rPr>
            </w:pPr>
            <w:r>
              <w:rPr>
                <w:sz w:val="22"/>
                <w:lang w:bidi="ar"/>
              </w:rPr>
              <w:t>10</w:t>
            </w:r>
          </w:p>
        </w:tc>
        <w:tc>
          <w:tcPr>
            <w:tcW w:w="2763" w:type="dxa"/>
            <w:tcBorders>
              <w:top w:val="single" w:color="auto" w:sz="4" w:space="0"/>
              <w:left w:val="single" w:color="auto" w:sz="4" w:space="0"/>
              <w:bottom w:val="single" w:color="auto" w:sz="4" w:space="0"/>
              <w:right w:val="single" w:color="auto" w:sz="4" w:space="0"/>
            </w:tcBorders>
            <w:vAlign w:val="center"/>
          </w:tcPr>
          <w:p w14:paraId="2E125DAF">
            <w:pPr>
              <w:jc w:val="center"/>
              <w:rPr>
                <w:sz w:val="22"/>
              </w:rPr>
            </w:pPr>
            <w:r>
              <w:rPr>
                <w:rFonts w:hint="eastAsia"/>
                <w:sz w:val="22"/>
              </w:rPr>
              <w:t>3</w:t>
            </w:r>
            <w:r>
              <w:rPr>
                <w:sz w:val="22"/>
              </w:rPr>
              <w:t>.26</w:t>
            </w:r>
            <w:r>
              <w:rPr>
                <w:rFonts w:hint="eastAsia"/>
                <w:sz w:val="22"/>
              </w:rPr>
              <w:t>×1</w:t>
            </w:r>
            <w:r>
              <w:rPr>
                <w:sz w:val="22"/>
              </w:rPr>
              <w:t>0</w:t>
            </w:r>
            <w:r>
              <w:rPr>
                <w:rFonts w:hint="eastAsia"/>
                <w:sz w:val="22"/>
                <w:vertAlign w:val="superscript"/>
              </w:rPr>
              <w:t>-</w:t>
            </w:r>
            <w:r>
              <w:rPr>
                <w:sz w:val="22"/>
                <w:vertAlign w:val="superscript"/>
              </w:rPr>
              <w:t>2</w:t>
            </w:r>
          </w:p>
        </w:tc>
        <w:tc>
          <w:tcPr>
            <w:tcW w:w="2407" w:type="dxa"/>
            <w:tcBorders>
              <w:top w:val="single" w:color="auto" w:sz="4" w:space="0"/>
              <w:left w:val="single" w:color="auto" w:sz="4" w:space="0"/>
              <w:bottom w:val="single" w:color="auto" w:sz="4" w:space="0"/>
              <w:right w:val="single" w:color="auto" w:sz="4" w:space="0"/>
            </w:tcBorders>
            <w:vAlign w:val="center"/>
          </w:tcPr>
          <w:p w14:paraId="11A0C68A">
            <w:pPr>
              <w:jc w:val="center"/>
              <w:rPr>
                <w:sz w:val="22"/>
              </w:rPr>
            </w:pPr>
            <w:r>
              <w:rPr>
                <w:rFonts w:hint="eastAsia"/>
                <w:sz w:val="22"/>
              </w:rPr>
              <w:t>1</w:t>
            </w:r>
            <w:r>
              <w:rPr>
                <w:sz w:val="22"/>
              </w:rPr>
              <w:t>.63</w:t>
            </w:r>
          </w:p>
        </w:tc>
      </w:tr>
      <w:tr w14:paraId="2F058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5" w:type="dxa"/>
            <w:vMerge w:val="continue"/>
            <w:tcBorders>
              <w:left w:val="single" w:color="auto" w:sz="4" w:space="0"/>
              <w:right w:val="single" w:color="auto" w:sz="4" w:space="0"/>
            </w:tcBorders>
            <w:vAlign w:val="center"/>
          </w:tcPr>
          <w:p w14:paraId="2CA11607">
            <w:pPr>
              <w:jc w:val="center"/>
              <w:rPr>
                <w:sz w:val="22"/>
              </w:rPr>
            </w:pPr>
          </w:p>
        </w:tc>
        <w:tc>
          <w:tcPr>
            <w:tcW w:w="2471" w:type="dxa"/>
            <w:tcBorders>
              <w:top w:val="single" w:color="auto" w:sz="4" w:space="0"/>
              <w:left w:val="single" w:color="auto" w:sz="4" w:space="0"/>
              <w:bottom w:val="single" w:color="auto" w:sz="4" w:space="0"/>
              <w:right w:val="single" w:color="auto" w:sz="4" w:space="0"/>
            </w:tcBorders>
            <w:vAlign w:val="center"/>
          </w:tcPr>
          <w:p w14:paraId="3AD6DE77">
            <w:pPr>
              <w:ind w:left="-105" w:leftChars="-50" w:right="-105" w:rightChars="-50"/>
              <w:jc w:val="center"/>
              <w:rPr>
                <w:sz w:val="22"/>
              </w:rPr>
            </w:pPr>
            <w:r>
              <w:rPr>
                <w:rFonts w:hint="eastAsia"/>
                <w:sz w:val="22"/>
                <w:lang w:bidi="ar"/>
              </w:rPr>
              <w:t>50</w:t>
            </w:r>
          </w:p>
        </w:tc>
        <w:tc>
          <w:tcPr>
            <w:tcW w:w="2763" w:type="dxa"/>
            <w:tcBorders>
              <w:top w:val="single" w:color="auto" w:sz="4" w:space="0"/>
              <w:left w:val="single" w:color="auto" w:sz="4" w:space="0"/>
              <w:bottom w:val="single" w:color="auto" w:sz="4" w:space="0"/>
              <w:right w:val="single" w:color="auto" w:sz="4" w:space="0"/>
            </w:tcBorders>
            <w:vAlign w:val="center"/>
          </w:tcPr>
          <w:p w14:paraId="60213F7D">
            <w:pPr>
              <w:jc w:val="center"/>
              <w:rPr>
                <w:sz w:val="22"/>
              </w:rPr>
            </w:pPr>
            <w:r>
              <w:rPr>
                <w:rFonts w:hint="eastAsia"/>
                <w:sz w:val="22"/>
              </w:rPr>
              <w:t>4</w:t>
            </w:r>
            <w:r>
              <w:rPr>
                <w:sz w:val="22"/>
              </w:rPr>
              <w:t>.72</w:t>
            </w:r>
            <w:r>
              <w:rPr>
                <w:rFonts w:hint="eastAsia"/>
                <w:sz w:val="22"/>
              </w:rPr>
              <w:t>×1</w:t>
            </w:r>
            <w:r>
              <w:rPr>
                <w:sz w:val="22"/>
              </w:rPr>
              <w:t>0</w:t>
            </w:r>
            <w:r>
              <w:rPr>
                <w:rFonts w:hint="eastAsia"/>
                <w:sz w:val="22"/>
                <w:vertAlign w:val="superscript"/>
              </w:rPr>
              <w:t>-</w:t>
            </w:r>
            <w:r>
              <w:rPr>
                <w:sz w:val="22"/>
                <w:vertAlign w:val="superscript"/>
              </w:rPr>
              <w:t>2</w:t>
            </w:r>
          </w:p>
        </w:tc>
        <w:tc>
          <w:tcPr>
            <w:tcW w:w="2407" w:type="dxa"/>
            <w:tcBorders>
              <w:top w:val="single" w:color="auto" w:sz="4" w:space="0"/>
              <w:left w:val="single" w:color="auto" w:sz="4" w:space="0"/>
              <w:bottom w:val="single" w:color="auto" w:sz="4" w:space="0"/>
              <w:right w:val="single" w:color="auto" w:sz="4" w:space="0"/>
            </w:tcBorders>
            <w:vAlign w:val="center"/>
          </w:tcPr>
          <w:p w14:paraId="768D8A74">
            <w:pPr>
              <w:jc w:val="center"/>
              <w:rPr>
                <w:sz w:val="22"/>
              </w:rPr>
            </w:pPr>
            <w:r>
              <w:rPr>
                <w:rFonts w:hint="eastAsia"/>
                <w:sz w:val="22"/>
              </w:rPr>
              <w:t>2</w:t>
            </w:r>
            <w:r>
              <w:rPr>
                <w:sz w:val="22"/>
              </w:rPr>
              <w:t>.36</w:t>
            </w:r>
          </w:p>
        </w:tc>
      </w:tr>
      <w:tr w14:paraId="07A8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5" w:type="dxa"/>
            <w:vMerge w:val="continue"/>
            <w:tcBorders>
              <w:left w:val="single" w:color="auto" w:sz="4" w:space="0"/>
              <w:right w:val="single" w:color="auto" w:sz="4" w:space="0"/>
            </w:tcBorders>
            <w:vAlign w:val="center"/>
          </w:tcPr>
          <w:p w14:paraId="0145BAA2">
            <w:pPr>
              <w:jc w:val="center"/>
              <w:rPr>
                <w:sz w:val="22"/>
              </w:rPr>
            </w:pPr>
          </w:p>
        </w:tc>
        <w:tc>
          <w:tcPr>
            <w:tcW w:w="2471" w:type="dxa"/>
            <w:tcBorders>
              <w:top w:val="single" w:color="auto" w:sz="4" w:space="0"/>
              <w:left w:val="single" w:color="auto" w:sz="4" w:space="0"/>
              <w:bottom w:val="single" w:color="auto" w:sz="4" w:space="0"/>
              <w:right w:val="single" w:color="auto" w:sz="4" w:space="0"/>
            </w:tcBorders>
            <w:vAlign w:val="center"/>
          </w:tcPr>
          <w:p w14:paraId="6B1595FE">
            <w:pPr>
              <w:ind w:left="-105" w:leftChars="-50" w:right="-105" w:rightChars="-50"/>
              <w:jc w:val="center"/>
              <w:rPr>
                <w:sz w:val="22"/>
              </w:rPr>
            </w:pPr>
            <w:r>
              <w:rPr>
                <w:rFonts w:hint="eastAsia"/>
                <w:sz w:val="22"/>
              </w:rPr>
              <w:t>6</w:t>
            </w:r>
            <w:r>
              <w:rPr>
                <w:sz w:val="22"/>
              </w:rPr>
              <w:t>4</w:t>
            </w:r>
          </w:p>
        </w:tc>
        <w:tc>
          <w:tcPr>
            <w:tcW w:w="2763" w:type="dxa"/>
            <w:tcBorders>
              <w:top w:val="single" w:color="auto" w:sz="4" w:space="0"/>
              <w:left w:val="single" w:color="auto" w:sz="4" w:space="0"/>
              <w:bottom w:val="single" w:color="auto" w:sz="4" w:space="0"/>
              <w:right w:val="single" w:color="auto" w:sz="4" w:space="0"/>
            </w:tcBorders>
            <w:vAlign w:val="center"/>
          </w:tcPr>
          <w:p w14:paraId="36281382">
            <w:pPr>
              <w:jc w:val="center"/>
              <w:rPr>
                <w:sz w:val="22"/>
              </w:rPr>
            </w:pPr>
            <w:r>
              <w:rPr>
                <w:rFonts w:hint="eastAsia"/>
                <w:sz w:val="22"/>
              </w:rPr>
              <w:t>5</w:t>
            </w:r>
            <w:r>
              <w:rPr>
                <w:sz w:val="22"/>
              </w:rPr>
              <w:t>.06</w:t>
            </w:r>
            <w:r>
              <w:rPr>
                <w:rFonts w:hint="eastAsia"/>
                <w:sz w:val="22"/>
              </w:rPr>
              <w:t>×1</w:t>
            </w:r>
            <w:r>
              <w:rPr>
                <w:sz w:val="22"/>
              </w:rPr>
              <w:t>0</w:t>
            </w:r>
            <w:r>
              <w:rPr>
                <w:rFonts w:hint="eastAsia"/>
                <w:sz w:val="22"/>
                <w:vertAlign w:val="superscript"/>
              </w:rPr>
              <w:t>-</w:t>
            </w:r>
            <w:r>
              <w:rPr>
                <w:sz w:val="22"/>
                <w:vertAlign w:val="superscript"/>
              </w:rPr>
              <w:t>2</w:t>
            </w:r>
          </w:p>
        </w:tc>
        <w:tc>
          <w:tcPr>
            <w:tcW w:w="2407" w:type="dxa"/>
            <w:tcBorders>
              <w:top w:val="single" w:color="auto" w:sz="4" w:space="0"/>
              <w:left w:val="single" w:color="auto" w:sz="4" w:space="0"/>
              <w:bottom w:val="single" w:color="auto" w:sz="4" w:space="0"/>
              <w:right w:val="single" w:color="auto" w:sz="4" w:space="0"/>
            </w:tcBorders>
            <w:vAlign w:val="center"/>
          </w:tcPr>
          <w:p w14:paraId="3A812656">
            <w:pPr>
              <w:jc w:val="center"/>
              <w:rPr>
                <w:sz w:val="22"/>
              </w:rPr>
            </w:pPr>
            <w:r>
              <w:rPr>
                <w:rFonts w:hint="eastAsia"/>
                <w:sz w:val="22"/>
              </w:rPr>
              <w:t>2</w:t>
            </w:r>
            <w:r>
              <w:rPr>
                <w:sz w:val="22"/>
              </w:rPr>
              <w:t>.53</w:t>
            </w:r>
          </w:p>
        </w:tc>
      </w:tr>
      <w:tr w14:paraId="3693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5" w:type="dxa"/>
            <w:vMerge w:val="continue"/>
            <w:tcBorders>
              <w:left w:val="single" w:color="auto" w:sz="4" w:space="0"/>
              <w:right w:val="single" w:color="auto" w:sz="4" w:space="0"/>
            </w:tcBorders>
            <w:vAlign w:val="center"/>
          </w:tcPr>
          <w:p w14:paraId="68904EED">
            <w:pPr>
              <w:jc w:val="center"/>
              <w:rPr>
                <w:sz w:val="22"/>
              </w:rPr>
            </w:pPr>
          </w:p>
        </w:tc>
        <w:tc>
          <w:tcPr>
            <w:tcW w:w="2471" w:type="dxa"/>
            <w:tcBorders>
              <w:top w:val="single" w:color="auto" w:sz="4" w:space="0"/>
              <w:left w:val="single" w:color="auto" w:sz="4" w:space="0"/>
              <w:bottom w:val="single" w:color="auto" w:sz="4" w:space="0"/>
              <w:right w:val="single" w:color="auto" w:sz="4" w:space="0"/>
            </w:tcBorders>
            <w:vAlign w:val="center"/>
          </w:tcPr>
          <w:p w14:paraId="0330D522">
            <w:pPr>
              <w:ind w:left="-105" w:leftChars="-50" w:right="-105" w:rightChars="-50"/>
              <w:jc w:val="center"/>
              <w:rPr>
                <w:sz w:val="22"/>
              </w:rPr>
            </w:pPr>
            <w:r>
              <w:rPr>
                <w:sz w:val="22"/>
                <w:lang w:bidi="ar"/>
              </w:rPr>
              <w:t>100</w:t>
            </w:r>
          </w:p>
        </w:tc>
        <w:tc>
          <w:tcPr>
            <w:tcW w:w="2763" w:type="dxa"/>
            <w:tcBorders>
              <w:top w:val="single" w:color="auto" w:sz="4" w:space="0"/>
              <w:left w:val="single" w:color="auto" w:sz="4" w:space="0"/>
              <w:bottom w:val="single" w:color="auto" w:sz="4" w:space="0"/>
              <w:right w:val="single" w:color="auto" w:sz="4" w:space="0"/>
            </w:tcBorders>
            <w:vAlign w:val="center"/>
          </w:tcPr>
          <w:p w14:paraId="036D3692">
            <w:pPr>
              <w:jc w:val="center"/>
              <w:rPr>
                <w:sz w:val="22"/>
              </w:rPr>
            </w:pPr>
            <w:r>
              <w:rPr>
                <w:rFonts w:hint="eastAsia"/>
                <w:sz w:val="22"/>
              </w:rPr>
              <w:t>4</w:t>
            </w:r>
            <w:r>
              <w:rPr>
                <w:sz w:val="22"/>
              </w:rPr>
              <w:t>.37</w:t>
            </w:r>
            <w:r>
              <w:rPr>
                <w:rFonts w:hint="eastAsia"/>
                <w:sz w:val="22"/>
              </w:rPr>
              <w:t>×1</w:t>
            </w:r>
            <w:r>
              <w:rPr>
                <w:sz w:val="22"/>
              </w:rPr>
              <w:t>0</w:t>
            </w:r>
            <w:r>
              <w:rPr>
                <w:rFonts w:hint="eastAsia"/>
                <w:sz w:val="22"/>
                <w:vertAlign w:val="superscript"/>
              </w:rPr>
              <w:t>-</w:t>
            </w:r>
            <w:r>
              <w:rPr>
                <w:sz w:val="22"/>
                <w:vertAlign w:val="superscript"/>
              </w:rPr>
              <w:t>2</w:t>
            </w:r>
          </w:p>
        </w:tc>
        <w:tc>
          <w:tcPr>
            <w:tcW w:w="2407" w:type="dxa"/>
            <w:tcBorders>
              <w:top w:val="single" w:color="auto" w:sz="4" w:space="0"/>
              <w:left w:val="single" w:color="auto" w:sz="4" w:space="0"/>
              <w:bottom w:val="single" w:color="auto" w:sz="4" w:space="0"/>
              <w:right w:val="single" w:color="auto" w:sz="4" w:space="0"/>
            </w:tcBorders>
            <w:vAlign w:val="center"/>
          </w:tcPr>
          <w:p w14:paraId="0FD341E1">
            <w:pPr>
              <w:jc w:val="center"/>
              <w:rPr>
                <w:sz w:val="22"/>
              </w:rPr>
            </w:pPr>
            <w:r>
              <w:rPr>
                <w:rFonts w:hint="eastAsia"/>
                <w:sz w:val="22"/>
              </w:rPr>
              <w:t>2</w:t>
            </w:r>
            <w:r>
              <w:rPr>
                <w:sz w:val="22"/>
              </w:rPr>
              <w:t>.18</w:t>
            </w:r>
          </w:p>
        </w:tc>
      </w:tr>
      <w:tr w14:paraId="17737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5" w:type="dxa"/>
            <w:vMerge w:val="continue"/>
            <w:tcBorders>
              <w:left w:val="single" w:color="auto" w:sz="4" w:space="0"/>
              <w:right w:val="single" w:color="auto" w:sz="4" w:space="0"/>
            </w:tcBorders>
            <w:vAlign w:val="center"/>
          </w:tcPr>
          <w:p w14:paraId="4543926C">
            <w:pPr>
              <w:jc w:val="center"/>
              <w:rPr>
                <w:sz w:val="22"/>
              </w:rPr>
            </w:pPr>
          </w:p>
        </w:tc>
        <w:tc>
          <w:tcPr>
            <w:tcW w:w="2471" w:type="dxa"/>
            <w:tcBorders>
              <w:top w:val="single" w:color="auto" w:sz="4" w:space="0"/>
              <w:left w:val="single" w:color="auto" w:sz="4" w:space="0"/>
              <w:bottom w:val="single" w:color="auto" w:sz="4" w:space="0"/>
              <w:right w:val="single" w:color="auto" w:sz="4" w:space="0"/>
            </w:tcBorders>
            <w:vAlign w:val="center"/>
          </w:tcPr>
          <w:p w14:paraId="4C551CE3">
            <w:pPr>
              <w:ind w:left="-105" w:leftChars="-50" w:right="-105" w:rightChars="-50"/>
              <w:jc w:val="center"/>
              <w:rPr>
                <w:sz w:val="22"/>
              </w:rPr>
            </w:pPr>
            <w:r>
              <w:rPr>
                <w:rFonts w:hint="eastAsia"/>
                <w:sz w:val="22"/>
              </w:rPr>
              <w:t>250</w:t>
            </w:r>
          </w:p>
        </w:tc>
        <w:tc>
          <w:tcPr>
            <w:tcW w:w="2763" w:type="dxa"/>
            <w:tcBorders>
              <w:top w:val="single" w:color="auto" w:sz="4" w:space="0"/>
              <w:left w:val="single" w:color="auto" w:sz="4" w:space="0"/>
              <w:bottom w:val="single" w:color="auto" w:sz="4" w:space="0"/>
              <w:right w:val="single" w:color="auto" w:sz="4" w:space="0"/>
            </w:tcBorders>
            <w:vAlign w:val="center"/>
          </w:tcPr>
          <w:p w14:paraId="784220A1">
            <w:pPr>
              <w:jc w:val="center"/>
              <w:rPr>
                <w:sz w:val="22"/>
              </w:rPr>
            </w:pPr>
            <w:r>
              <w:rPr>
                <w:rFonts w:hint="eastAsia"/>
                <w:sz w:val="22"/>
              </w:rPr>
              <w:t>2</w:t>
            </w:r>
            <w:r>
              <w:rPr>
                <w:sz w:val="22"/>
              </w:rPr>
              <w:t>.54</w:t>
            </w:r>
            <w:r>
              <w:rPr>
                <w:rFonts w:hint="eastAsia"/>
                <w:sz w:val="22"/>
              </w:rPr>
              <w:t>×1</w:t>
            </w:r>
            <w:r>
              <w:rPr>
                <w:sz w:val="22"/>
              </w:rPr>
              <w:t>0</w:t>
            </w:r>
            <w:r>
              <w:rPr>
                <w:rFonts w:hint="eastAsia"/>
                <w:sz w:val="22"/>
                <w:vertAlign w:val="superscript"/>
              </w:rPr>
              <w:t>-</w:t>
            </w:r>
            <w:r>
              <w:rPr>
                <w:sz w:val="22"/>
                <w:vertAlign w:val="superscript"/>
              </w:rPr>
              <w:t>2</w:t>
            </w:r>
          </w:p>
        </w:tc>
        <w:tc>
          <w:tcPr>
            <w:tcW w:w="2407" w:type="dxa"/>
            <w:tcBorders>
              <w:top w:val="single" w:color="auto" w:sz="4" w:space="0"/>
              <w:left w:val="single" w:color="auto" w:sz="4" w:space="0"/>
              <w:bottom w:val="single" w:color="auto" w:sz="4" w:space="0"/>
              <w:right w:val="single" w:color="auto" w:sz="4" w:space="0"/>
            </w:tcBorders>
            <w:vAlign w:val="center"/>
          </w:tcPr>
          <w:p w14:paraId="1BEABD79">
            <w:pPr>
              <w:jc w:val="center"/>
              <w:rPr>
                <w:sz w:val="22"/>
              </w:rPr>
            </w:pPr>
            <w:r>
              <w:rPr>
                <w:rFonts w:hint="eastAsia"/>
                <w:sz w:val="22"/>
              </w:rPr>
              <w:t>1</w:t>
            </w:r>
            <w:r>
              <w:rPr>
                <w:sz w:val="22"/>
              </w:rPr>
              <w:t>.27</w:t>
            </w:r>
          </w:p>
        </w:tc>
      </w:tr>
      <w:tr w14:paraId="1DC8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5" w:type="dxa"/>
            <w:vMerge w:val="continue"/>
            <w:tcBorders>
              <w:left w:val="single" w:color="auto" w:sz="4" w:space="0"/>
              <w:right w:val="single" w:color="auto" w:sz="4" w:space="0"/>
            </w:tcBorders>
            <w:vAlign w:val="center"/>
          </w:tcPr>
          <w:p w14:paraId="44A3BB8C">
            <w:pPr>
              <w:jc w:val="center"/>
              <w:rPr>
                <w:sz w:val="22"/>
              </w:rPr>
            </w:pPr>
          </w:p>
        </w:tc>
        <w:tc>
          <w:tcPr>
            <w:tcW w:w="2471" w:type="dxa"/>
            <w:tcBorders>
              <w:top w:val="single" w:color="auto" w:sz="4" w:space="0"/>
              <w:left w:val="single" w:color="auto" w:sz="4" w:space="0"/>
              <w:bottom w:val="single" w:color="auto" w:sz="4" w:space="0"/>
              <w:right w:val="single" w:color="auto" w:sz="4" w:space="0"/>
            </w:tcBorders>
            <w:vAlign w:val="center"/>
          </w:tcPr>
          <w:p w14:paraId="585ECE56">
            <w:pPr>
              <w:ind w:left="-105" w:leftChars="-50" w:right="-105" w:rightChars="-50"/>
              <w:jc w:val="center"/>
              <w:rPr>
                <w:sz w:val="22"/>
              </w:rPr>
            </w:pPr>
            <w:r>
              <w:rPr>
                <w:sz w:val="22"/>
              </w:rPr>
              <w:t>500</w:t>
            </w:r>
          </w:p>
        </w:tc>
        <w:tc>
          <w:tcPr>
            <w:tcW w:w="2763" w:type="dxa"/>
            <w:tcBorders>
              <w:top w:val="single" w:color="auto" w:sz="4" w:space="0"/>
              <w:left w:val="single" w:color="auto" w:sz="4" w:space="0"/>
              <w:bottom w:val="single" w:color="auto" w:sz="4" w:space="0"/>
              <w:right w:val="single" w:color="auto" w:sz="4" w:space="0"/>
            </w:tcBorders>
            <w:vAlign w:val="center"/>
          </w:tcPr>
          <w:p w14:paraId="481EA956">
            <w:pPr>
              <w:jc w:val="center"/>
              <w:rPr>
                <w:sz w:val="22"/>
              </w:rPr>
            </w:pPr>
            <w:r>
              <w:rPr>
                <w:rFonts w:hint="eastAsia"/>
                <w:sz w:val="22"/>
              </w:rPr>
              <w:t>1</w:t>
            </w:r>
            <w:r>
              <w:rPr>
                <w:sz w:val="22"/>
              </w:rPr>
              <w:t>.25</w:t>
            </w:r>
            <w:r>
              <w:rPr>
                <w:rFonts w:hint="eastAsia"/>
                <w:sz w:val="22"/>
              </w:rPr>
              <w:t>×1</w:t>
            </w:r>
            <w:r>
              <w:rPr>
                <w:sz w:val="22"/>
              </w:rPr>
              <w:t>0</w:t>
            </w:r>
            <w:r>
              <w:rPr>
                <w:rFonts w:hint="eastAsia"/>
                <w:sz w:val="22"/>
                <w:vertAlign w:val="superscript"/>
              </w:rPr>
              <w:t>-</w:t>
            </w:r>
            <w:r>
              <w:rPr>
                <w:sz w:val="22"/>
                <w:vertAlign w:val="superscript"/>
              </w:rPr>
              <w:t>2</w:t>
            </w:r>
          </w:p>
        </w:tc>
        <w:tc>
          <w:tcPr>
            <w:tcW w:w="2407" w:type="dxa"/>
            <w:tcBorders>
              <w:top w:val="single" w:color="auto" w:sz="4" w:space="0"/>
              <w:left w:val="single" w:color="auto" w:sz="4" w:space="0"/>
              <w:bottom w:val="single" w:color="auto" w:sz="4" w:space="0"/>
              <w:right w:val="single" w:color="auto" w:sz="4" w:space="0"/>
            </w:tcBorders>
            <w:vAlign w:val="center"/>
          </w:tcPr>
          <w:p w14:paraId="5B5317E4">
            <w:pPr>
              <w:jc w:val="center"/>
              <w:rPr>
                <w:sz w:val="22"/>
              </w:rPr>
            </w:pPr>
            <w:r>
              <w:rPr>
                <w:rFonts w:hint="eastAsia"/>
                <w:sz w:val="22"/>
              </w:rPr>
              <w:t>0</w:t>
            </w:r>
            <w:r>
              <w:rPr>
                <w:sz w:val="22"/>
              </w:rPr>
              <w:t>.63</w:t>
            </w:r>
          </w:p>
        </w:tc>
      </w:tr>
      <w:tr w14:paraId="3085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5" w:type="dxa"/>
            <w:vMerge w:val="continue"/>
            <w:tcBorders>
              <w:left w:val="single" w:color="auto" w:sz="4" w:space="0"/>
              <w:right w:val="single" w:color="auto" w:sz="4" w:space="0"/>
            </w:tcBorders>
            <w:vAlign w:val="center"/>
          </w:tcPr>
          <w:p w14:paraId="2B868F3C">
            <w:pPr>
              <w:jc w:val="center"/>
              <w:rPr>
                <w:sz w:val="22"/>
              </w:rPr>
            </w:pPr>
          </w:p>
        </w:tc>
        <w:tc>
          <w:tcPr>
            <w:tcW w:w="2471" w:type="dxa"/>
            <w:tcBorders>
              <w:top w:val="single" w:color="auto" w:sz="4" w:space="0"/>
              <w:left w:val="single" w:color="auto" w:sz="4" w:space="0"/>
              <w:bottom w:val="single" w:color="auto" w:sz="4" w:space="0"/>
              <w:right w:val="single" w:color="auto" w:sz="4" w:space="0"/>
            </w:tcBorders>
            <w:vAlign w:val="center"/>
          </w:tcPr>
          <w:p w14:paraId="6431B26F">
            <w:pPr>
              <w:ind w:left="-105" w:leftChars="-50" w:right="-105" w:rightChars="-50"/>
              <w:jc w:val="center"/>
              <w:rPr>
                <w:sz w:val="22"/>
                <w:lang w:bidi="ar"/>
              </w:rPr>
            </w:pPr>
            <w:r>
              <w:rPr>
                <w:sz w:val="22"/>
                <w:lang w:bidi="ar"/>
              </w:rPr>
              <w:t>1000</w:t>
            </w:r>
          </w:p>
        </w:tc>
        <w:tc>
          <w:tcPr>
            <w:tcW w:w="2763" w:type="dxa"/>
            <w:tcBorders>
              <w:top w:val="single" w:color="auto" w:sz="4" w:space="0"/>
              <w:left w:val="single" w:color="auto" w:sz="4" w:space="0"/>
              <w:bottom w:val="single" w:color="auto" w:sz="4" w:space="0"/>
              <w:right w:val="single" w:color="auto" w:sz="4" w:space="0"/>
            </w:tcBorders>
            <w:vAlign w:val="center"/>
          </w:tcPr>
          <w:p w14:paraId="61972AA8">
            <w:pPr>
              <w:jc w:val="center"/>
              <w:rPr>
                <w:sz w:val="22"/>
                <w:lang w:bidi="ar"/>
              </w:rPr>
            </w:pPr>
            <w:r>
              <w:rPr>
                <w:rFonts w:hint="eastAsia"/>
                <w:sz w:val="22"/>
              </w:rPr>
              <w:t>5</w:t>
            </w:r>
            <w:r>
              <w:rPr>
                <w:sz w:val="22"/>
              </w:rPr>
              <w:t>.40</w:t>
            </w:r>
            <w:r>
              <w:rPr>
                <w:rFonts w:hint="eastAsia"/>
                <w:sz w:val="22"/>
              </w:rPr>
              <w:t>×1</w:t>
            </w:r>
            <w:r>
              <w:rPr>
                <w:sz w:val="22"/>
              </w:rPr>
              <w:t>0</w:t>
            </w:r>
            <w:r>
              <w:rPr>
                <w:rFonts w:hint="eastAsia"/>
                <w:sz w:val="22"/>
                <w:vertAlign w:val="superscript"/>
              </w:rPr>
              <w:t>-</w:t>
            </w:r>
            <w:r>
              <w:rPr>
                <w:sz w:val="22"/>
                <w:vertAlign w:val="superscript"/>
              </w:rPr>
              <w:t>3</w:t>
            </w:r>
          </w:p>
        </w:tc>
        <w:tc>
          <w:tcPr>
            <w:tcW w:w="2407" w:type="dxa"/>
            <w:tcBorders>
              <w:top w:val="single" w:color="auto" w:sz="4" w:space="0"/>
              <w:left w:val="single" w:color="auto" w:sz="4" w:space="0"/>
              <w:bottom w:val="single" w:color="auto" w:sz="4" w:space="0"/>
              <w:right w:val="single" w:color="auto" w:sz="4" w:space="0"/>
            </w:tcBorders>
            <w:vAlign w:val="center"/>
          </w:tcPr>
          <w:p w14:paraId="7F4C632B">
            <w:pPr>
              <w:jc w:val="center"/>
              <w:rPr>
                <w:kern w:val="0"/>
                <w:sz w:val="22"/>
                <w:lang w:bidi="ar"/>
              </w:rPr>
            </w:pPr>
            <w:r>
              <w:rPr>
                <w:rFonts w:hint="eastAsia"/>
                <w:kern w:val="0"/>
                <w:sz w:val="22"/>
                <w:lang w:bidi="ar"/>
              </w:rPr>
              <w:t>0</w:t>
            </w:r>
            <w:r>
              <w:rPr>
                <w:kern w:val="0"/>
                <w:sz w:val="22"/>
                <w:lang w:bidi="ar"/>
              </w:rPr>
              <w:t>.27</w:t>
            </w:r>
          </w:p>
        </w:tc>
      </w:tr>
      <w:tr w14:paraId="6D6D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5" w:type="dxa"/>
            <w:vMerge w:val="continue"/>
            <w:tcBorders>
              <w:left w:val="single" w:color="auto" w:sz="4" w:space="0"/>
              <w:bottom w:val="single" w:color="auto" w:sz="4" w:space="0"/>
              <w:right w:val="single" w:color="auto" w:sz="4" w:space="0"/>
            </w:tcBorders>
            <w:vAlign w:val="center"/>
          </w:tcPr>
          <w:p w14:paraId="067296AA">
            <w:pPr>
              <w:jc w:val="center"/>
              <w:rPr>
                <w:sz w:val="22"/>
              </w:rPr>
            </w:pPr>
          </w:p>
        </w:tc>
        <w:tc>
          <w:tcPr>
            <w:tcW w:w="2471" w:type="dxa"/>
            <w:tcBorders>
              <w:top w:val="single" w:color="auto" w:sz="4" w:space="0"/>
              <w:left w:val="single" w:color="auto" w:sz="4" w:space="0"/>
              <w:bottom w:val="single" w:color="auto" w:sz="4" w:space="0"/>
              <w:right w:val="single" w:color="auto" w:sz="4" w:space="0"/>
            </w:tcBorders>
            <w:vAlign w:val="center"/>
          </w:tcPr>
          <w:p w14:paraId="750AB6FF">
            <w:pPr>
              <w:autoSpaceDE w:val="0"/>
              <w:autoSpaceDN w:val="0"/>
              <w:adjustRightInd w:val="0"/>
              <w:ind w:left="-105" w:leftChars="-50" w:right="-105" w:rightChars="-50"/>
              <w:jc w:val="center"/>
              <w:rPr>
                <w:sz w:val="22"/>
              </w:rPr>
            </w:pPr>
            <w:r>
              <w:rPr>
                <w:sz w:val="22"/>
                <w:lang w:bidi="ar"/>
              </w:rPr>
              <w:t>下风向最大值（64m）</w:t>
            </w:r>
          </w:p>
        </w:tc>
        <w:tc>
          <w:tcPr>
            <w:tcW w:w="2763" w:type="dxa"/>
            <w:tcBorders>
              <w:top w:val="single" w:color="auto" w:sz="4" w:space="0"/>
              <w:left w:val="single" w:color="auto" w:sz="4" w:space="0"/>
              <w:bottom w:val="single" w:color="auto" w:sz="4" w:space="0"/>
              <w:right w:val="single" w:color="auto" w:sz="4" w:space="0"/>
            </w:tcBorders>
            <w:vAlign w:val="center"/>
          </w:tcPr>
          <w:p w14:paraId="371B3A2A">
            <w:pPr>
              <w:jc w:val="center"/>
              <w:rPr>
                <w:sz w:val="22"/>
              </w:rPr>
            </w:pPr>
            <w:r>
              <w:rPr>
                <w:rFonts w:hint="eastAsia"/>
                <w:sz w:val="22"/>
              </w:rPr>
              <w:t>5</w:t>
            </w:r>
            <w:r>
              <w:rPr>
                <w:sz w:val="22"/>
              </w:rPr>
              <w:t>.06</w:t>
            </w:r>
            <w:r>
              <w:rPr>
                <w:rFonts w:hint="eastAsia"/>
                <w:sz w:val="22"/>
              </w:rPr>
              <w:t>×1</w:t>
            </w:r>
            <w:r>
              <w:rPr>
                <w:sz w:val="22"/>
              </w:rPr>
              <w:t>0</w:t>
            </w:r>
            <w:r>
              <w:rPr>
                <w:rFonts w:hint="eastAsia"/>
                <w:sz w:val="22"/>
                <w:vertAlign w:val="superscript"/>
              </w:rPr>
              <w:t>-</w:t>
            </w:r>
            <w:r>
              <w:rPr>
                <w:sz w:val="22"/>
                <w:vertAlign w:val="superscript"/>
              </w:rPr>
              <w:t>2</w:t>
            </w:r>
          </w:p>
        </w:tc>
        <w:tc>
          <w:tcPr>
            <w:tcW w:w="2407" w:type="dxa"/>
            <w:tcBorders>
              <w:top w:val="single" w:color="auto" w:sz="4" w:space="0"/>
              <w:left w:val="single" w:color="auto" w:sz="4" w:space="0"/>
              <w:bottom w:val="single" w:color="auto" w:sz="4" w:space="0"/>
              <w:right w:val="single" w:color="auto" w:sz="4" w:space="0"/>
            </w:tcBorders>
            <w:vAlign w:val="center"/>
          </w:tcPr>
          <w:p w14:paraId="2A933BE5">
            <w:pPr>
              <w:jc w:val="center"/>
              <w:rPr>
                <w:sz w:val="22"/>
              </w:rPr>
            </w:pPr>
            <w:r>
              <w:rPr>
                <w:rFonts w:hint="eastAsia"/>
                <w:sz w:val="22"/>
              </w:rPr>
              <w:t>2</w:t>
            </w:r>
            <w:r>
              <w:rPr>
                <w:sz w:val="22"/>
              </w:rPr>
              <w:t>.53</w:t>
            </w:r>
          </w:p>
        </w:tc>
      </w:tr>
    </w:tbl>
    <w:p w14:paraId="1D59BD82">
      <w:pPr>
        <w:pStyle w:val="1379"/>
        <w:ind w:firstLine="440"/>
      </w:pPr>
    </w:p>
    <w:p w14:paraId="16C7E425">
      <w:pPr>
        <w:spacing w:line="460" w:lineRule="exact"/>
        <w:ind w:firstLine="520" w:firstLineChars="200"/>
        <w:rPr>
          <w:sz w:val="26"/>
          <w:szCs w:val="26"/>
        </w:rPr>
      </w:pPr>
      <w:r>
        <w:rPr>
          <w:sz w:val="26"/>
          <w:szCs w:val="26"/>
        </w:rPr>
        <w:t>由以上预测结果可知，最不利情况下，本项目各污染物最大地面浓度占标率P</w:t>
      </w:r>
      <w:r>
        <w:rPr>
          <w:sz w:val="26"/>
          <w:szCs w:val="26"/>
          <w:vertAlign w:val="subscript"/>
        </w:rPr>
        <w:t>MAX</w:t>
      </w:r>
      <w:r>
        <w:rPr>
          <w:sz w:val="26"/>
          <w:szCs w:val="26"/>
        </w:rPr>
        <w:t>=6.91%。根据《环境影响评价技术导则 大气环境》（HJ2.2-2018），本项目大气环境影响评价等级定为二级。</w:t>
      </w:r>
    </w:p>
    <w:p w14:paraId="0D881099">
      <w:pPr>
        <w:spacing w:line="460" w:lineRule="exact"/>
        <w:ind w:firstLine="512" w:firstLineChars="196"/>
        <w:outlineLvl w:val="2"/>
        <w:rPr>
          <w:b/>
          <w:sz w:val="26"/>
          <w:szCs w:val="26"/>
        </w:rPr>
      </w:pPr>
      <w:bookmarkStart w:id="77" w:name="_Toc165810463"/>
      <w:r>
        <w:rPr>
          <w:b/>
          <w:sz w:val="26"/>
          <w:szCs w:val="26"/>
        </w:rPr>
        <w:t>1.5.3 地表水环境</w:t>
      </w:r>
      <w:bookmarkEnd w:id="77"/>
    </w:p>
    <w:p w14:paraId="37F1770E">
      <w:pPr>
        <w:spacing w:line="460" w:lineRule="exact"/>
        <w:ind w:firstLine="520" w:firstLineChars="200"/>
        <w:rPr>
          <w:sz w:val="26"/>
          <w:szCs w:val="26"/>
        </w:rPr>
      </w:pPr>
      <w:r>
        <w:rPr>
          <w:rFonts w:hint="eastAsia"/>
          <w:sz w:val="26"/>
          <w:szCs w:val="26"/>
        </w:rPr>
        <w:t>施工期：施工废水简易沉淀后，用于场地洒水抑尘；试压废水简易沉淀后，回用于绿化和洒水降尘；生活污水依托井场附近居民厕所以及所住旅店厕所处置。</w:t>
      </w:r>
    </w:p>
    <w:p w14:paraId="457113C6">
      <w:pPr>
        <w:spacing w:line="460" w:lineRule="exact"/>
        <w:ind w:firstLine="520" w:firstLineChars="200"/>
        <w:rPr>
          <w:sz w:val="26"/>
          <w:szCs w:val="26"/>
        </w:rPr>
      </w:pPr>
      <w:r>
        <w:rPr>
          <w:rFonts w:hint="eastAsia"/>
          <w:sz w:val="26"/>
          <w:szCs w:val="26"/>
        </w:rPr>
        <w:t>试采期：产生的气田水、放空分离液、分子筛冷凝水和检修废水暂存于气田水储罐，定期由罐车运输至四川洁安环境科技有限公司油气田废水处理站、四川兴澳环境技术服务有限公司油气井地下水处理站处置，或区域内有合法资质且有处理能力的第三方单位处置；生活污水经环保厕所收集后定期外运附近城镇生活污水处理厂处置。</w:t>
      </w:r>
    </w:p>
    <w:p w14:paraId="1E107BE8">
      <w:pPr>
        <w:spacing w:line="460" w:lineRule="exact"/>
        <w:ind w:firstLine="520" w:firstLineChars="200"/>
        <w:rPr>
          <w:sz w:val="26"/>
          <w:szCs w:val="26"/>
        </w:rPr>
      </w:pPr>
      <w:r>
        <w:rPr>
          <w:rFonts w:hint="eastAsia"/>
          <w:sz w:val="26"/>
          <w:szCs w:val="26"/>
        </w:rPr>
        <w:t>本项目无废水直接外排，依据《环境影响评价技术导则 地表水环境》（HJ2.3-2018），地表水环境影响评价等级定为“三级B”。</w:t>
      </w:r>
    </w:p>
    <w:p w14:paraId="796E391C">
      <w:pPr>
        <w:pStyle w:val="1068"/>
        <w:rPr>
          <w:rFonts w:cs="Times New Roman"/>
        </w:rPr>
      </w:pPr>
      <w:bookmarkStart w:id="78" w:name="_Toc165810464"/>
      <w:r>
        <w:rPr>
          <w:rFonts w:cs="Times New Roman"/>
        </w:rPr>
        <w:t>1.5.4 地下水环境</w:t>
      </w:r>
      <w:bookmarkEnd w:id="78"/>
    </w:p>
    <w:p w14:paraId="644CAFE3">
      <w:pPr>
        <w:pStyle w:val="1381"/>
        <w:ind w:firstLine="520"/>
      </w:pPr>
      <w:r>
        <w:rPr>
          <w:rFonts w:hint="eastAsia"/>
        </w:rPr>
        <w:t>本项目依据《环境影响评价技术导则 地下水环境》（HJ610-2016）（下简称“地下水导则”）和《环境影响评价技术导则 陆地石油天然气开发建设项目》（HJ349-2023）（以下简称“石油天然气导则”）相关要求，对本项目的地下水环境影响评价进行等级划分。</w:t>
      </w:r>
    </w:p>
    <w:p w14:paraId="6D047A11">
      <w:pPr>
        <w:pStyle w:val="1381"/>
        <w:ind w:firstLine="520"/>
      </w:pPr>
      <w:r>
        <w:rPr>
          <w:rFonts w:hint="eastAsia"/>
        </w:rPr>
        <w:t>根据《建设项目环境影响评价分类管理名录》本项目属于陆地天然气开采；根据地下水导则附录A，本项目属于F：石油天然气（38.天然气、页岩气开采(含净化))，划分为Ⅱ类地下水环境影响评价项目；根据石油天然气导则，常规天然气和页岩气、致密气等非常规天然气开采井场、站场(含净化厂）等工程，按照Ⅱ类建设项目开展地下水环境影响评价。根据上述要求，本项目拟建的巴中2HF试采站属于Ⅱ类建设项目。</w:t>
      </w:r>
    </w:p>
    <w:p w14:paraId="5FCBDFE0">
      <w:pPr>
        <w:pStyle w:val="1381"/>
        <w:ind w:firstLine="520"/>
      </w:pPr>
      <w:r>
        <w:rPr>
          <w:rFonts w:hint="eastAsia"/>
        </w:rPr>
        <w:t>结合现场调查与相关资料，建设场地不在任何集中式饮用水源准保护区和与地下水环境相关的其它保护区范围内。站场周边零星分布有作为分散式饮用水水源的居民饮用水井，根据地下水导则中对地下水敏感程度划分的标准要求，结合本项目的影响程度、污染方式、渗漏途径等特征可知，本项目地下水环境敏感程度属“较敏感”程度。</w:t>
      </w:r>
    </w:p>
    <w:p w14:paraId="2B587E66">
      <w:pPr>
        <w:pStyle w:val="1381"/>
        <w:ind w:firstLine="520"/>
      </w:pPr>
      <w:r>
        <w:rPr>
          <w:rFonts w:hint="eastAsia"/>
        </w:rPr>
        <w:t>根据地下水导则和石油天然气导则的评价要求，结合项目场地所在水文地质单元分布情况、地下水环境敏感程度和本项目行业类别，确定本项目地下水环境影响评价等级为“二级”，见</w:t>
      </w:r>
      <w:r>
        <w:rPr>
          <w:rFonts w:hint="eastAsia"/>
          <w:u w:val="single"/>
        </w:rPr>
        <w:t>表1.</w:t>
      </w:r>
      <w:r>
        <w:rPr>
          <w:u w:val="single"/>
        </w:rPr>
        <w:t>5</w:t>
      </w:r>
      <w:r>
        <w:rPr>
          <w:rFonts w:hint="eastAsia"/>
          <w:u w:val="single"/>
        </w:rPr>
        <w:t>-</w:t>
      </w:r>
      <w:r>
        <w:rPr>
          <w:u w:val="single"/>
        </w:rPr>
        <w:t>8</w:t>
      </w:r>
      <w:r>
        <w:rPr>
          <w:rFonts w:hint="eastAsia"/>
        </w:rPr>
        <w:t>。</w:t>
      </w:r>
    </w:p>
    <w:p w14:paraId="7CF5E9B7">
      <w:pPr>
        <w:pStyle w:val="1379"/>
        <w:ind w:firstLine="440"/>
      </w:pPr>
    </w:p>
    <w:p w14:paraId="01140972">
      <w:pPr>
        <w:pStyle w:val="1065"/>
      </w:pPr>
      <w:r>
        <w:rPr>
          <w:rFonts w:hint="eastAsia"/>
        </w:rPr>
        <w:t>表</w:t>
      </w:r>
      <w:r>
        <w:t xml:space="preserve">1.5-8   </w:t>
      </w:r>
      <w:r>
        <w:rPr>
          <w:rFonts w:hint="eastAsia"/>
        </w:rPr>
        <w:t>地下水评价工作等级</w:t>
      </w:r>
      <w:r>
        <w:t>判定表</w:t>
      </w:r>
    </w:p>
    <w:tbl>
      <w:tblPr>
        <w:tblStyle w:val="88"/>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6"/>
        <w:gridCol w:w="4838"/>
        <w:gridCol w:w="1139"/>
        <w:gridCol w:w="752"/>
      </w:tblGrid>
      <w:tr w14:paraId="361E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122" w:type="dxa"/>
            <w:vMerge w:val="restart"/>
            <w:vAlign w:val="center"/>
          </w:tcPr>
          <w:p w14:paraId="78BB068B">
            <w:pPr>
              <w:pStyle w:val="687"/>
            </w:pPr>
            <w:r>
              <w:t>项目类别</w:t>
            </w:r>
          </w:p>
        </w:tc>
        <w:tc>
          <w:tcPr>
            <w:tcW w:w="5752" w:type="dxa"/>
            <w:gridSpan w:val="2"/>
            <w:vAlign w:val="center"/>
          </w:tcPr>
          <w:p w14:paraId="39F7022D">
            <w:pPr>
              <w:pStyle w:val="687"/>
            </w:pPr>
            <w:r>
              <w:t>地下水敏感程度判定</w:t>
            </w:r>
          </w:p>
        </w:tc>
        <w:tc>
          <w:tcPr>
            <w:tcW w:w="723" w:type="dxa"/>
            <w:vMerge w:val="restart"/>
            <w:vAlign w:val="center"/>
          </w:tcPr>
          <w:p w14:paraId="541B4B24">
            <w:pPr>
              <w:pStyle w:val="687"/>
            </w:pPr>
            <w:r>
              <w:t>评价工作等级</w:t>
            </w:r>
          </w:p>
        </w:tc>
      </w:tr>
      <w:tr w14:paraId="5696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122" w:type="dxa"/>
            <w:vMerge w:val="continue"/>
            <w:vAlign w:val="center"/>
          </w:tcPr>
          <w:p w14:paraId="4EEAA2D7">
            <w:pPr>
              <w:pStyle w:val="687"/>
            </w:pPr>
          </w:p>
        </w:tc>
        <w:tc>
          <w:tcPr>
            <w:tcW w:w="4656" w:type="dxa"/>
            <w:vAlign w:val="center"/>
          </w:tcPr>
          <w:p w14:paraId="1A75E37B">
            <w:pPr>
              <w:pStyle w:val="687"/>
            </w:pPr>
            <w:r>
              <w:t>本项目情况</w:t>
            </w:r>
          </w:p>
        </w:tc>
        <w:tc>
          <w:tcPr>
            <w:tcW w:w="1096" w:type="dxa"/>
            <w:vAlign w:val="center"/>
          </w:tcPr>
          <w:p w14:paraId="37A4A333">
            <w:pPr>
              <w:pStyle w:val="687"/>
            </w:pPr>
            <w:r>
              <w:t>敏感程度</w:t>
            </w:r>
          </w:p>
        </w:tc>
        <w:tc>
          <w:tcPr>
            <w:tcW w:w="723" w:type="dxa"/>
            <w:vMerge w:val="continue"/>
            <w:vAlign w:val="center"/>
          </w:tcPr>
          <w:p w14:paraId="4215BA3D">
            <w:pPr>
              <w:pStyle w:val="687"/>
            </w:pPr>
          </w:p>
        </w:tc>
      </w:tr>
      <w:tr w14:paraId="2568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jc w:val="center"/>
        </w:trPr>
        <w:tc>
          <w:tcPr>
            <w:tcW w:w="2122" w:type="dxa"/>
            <w:vAlign w:val="center"/>
          </w:tcPr>
          <w:p w14:paraId="66C93C92">
            <w:pPr>
              <w:pStyle w:val="687"/>
            </w:pPr>
            <w:r>
              <w:rPr>
                <w:rFonts w:hint="eastAsia"/>
                <w:szCs w:val="22"/>
              </w:rPr>
              <w:t>F石油、天然气（38、天然气、页岩气开采（含净化））</w:t>
            </w:r>
            <w:r>
              <w:rPr>
                <w:szCs w:val="22"/>
              </w:rPr>
              <w:t>Ⅱ</w:t>
            </w:r>
            <w:r>
              <w:rPr>
                <w:rFonts w:hint="eastAsia"/>
                <w:szCs w:val="22"/>
              </w:rPr>
              <w:t>类项目</w:t>
            </w:r>
          </w:p>
        </w:tc>
        <w:tc>
          <w:tcPr>
            <w:tcW w:w="4656" w:type="dxa"/>
            <w:vAlign w:val="center"/>
          </w:tcPr>
          <w:p w14:paraId="5125939D">
            <w:pPr>
              <w:pStyle w:val="687"/>
            </w:pPr>
            <w:r>
              <w:t>项目所在评价区内无“集中式饮用水水源准保护区和除集中式饮用水水源以外的国家或地方政府设定的与地下水环境相关的其它保护区等地下水敏感区”，无“集中式饮用水水源准保护区以外的补给径流区等地下水较敏感区”。评价区内分布有分散式饮用水源</w:t>
            </w:r>
            <w:r>
              <w:rPr>
                <w:rFonts w:hint="eastAsia"/>
              </w:rPr>
              <w:t>的居民水井</w:t>
            </w:r>
            <w:r>
              <w:t>。</w:t>
            </w:r>
          </w:p>
        </w:tc>
        <w:tc>
          <w:tcPr>
            <w:tcW w:w="1096" w:type="dxa"/>
            <w:vAlign w:val="center"/>
          </w:tcPr>
          <w:p w14:paraId="299CE16D">
            <w:pPr>
              <w:pStyle w:val="687"/>
            </w:pPr>
            <w:r>
              <w:t>较敏感</w:t>
            </w:r>
          </w:p>
        </w:tc>
        <w:tc>
          <w:tcPr>
            <w:tcW w:w="723" w:type="dxa"/>
            <w:vAlign w:val="center"/>
          </w:tcPr>
          <w:p w14:paraId="0280E1F3">
            <w:pPr>
              <w:pStyle w:val="687"/>
            </w:pPr>
            <w:r>
              <w:t>二级</w:t>
            </w:r>
          </w:p>
        </w:tc>
      </w:tr>
    </w:tbl>
    <w:p w14:paraId="44AAF81F">
      <w:pPr>
        <w:pStyle w:val="1379"/>
        <w:ind w:firstLine="440"/>
      </w:pPr>
    </w:p>
    <w:p w14:paraId="6DFD9467">
      <w:pPr>
        <w:pStyle w:val="1066"/>
        <w:spacing w:line="460" w:lineRule="exact"/>
        <w:ind w:firstLine="520"/>
        <w:rPr>
          <w:rFonts w:cs="Times New Roman"/>
        </w:rPr>
      </w:pPr>
      <w:r>
        <w:rPr>
          <w:rFonts w:hint="eastAsia" w:cs="Times New Roman"/>
        </w:rPr>
        <w:t>综上，最终确定本项目总体地下水评价等价为二级。</w:t>
      </w:r>
    </w:p>
    <w:p w14:paraId="0DE95200">
      <w:pPr>
        <w:spacing w:line="460" w:lineRule="exact"/>
        <w:ind w:firstLine="512" w:firstLineChars="196"/>
        <w:outlineLvl w:val="2"/>
        <w:rPr>
          <w:b/>
          <w:sz w:val="26"/>
          <w:szCs w:val="26"/>
        </w:rPr>
      </w:pPr>
      <w:bookmarkStart w:id="79" w:name="_Toc165810465"/>
      <w:r>
        <w:rPr>
          <w:b/>
          <w:sz w:val="26"/>
          <w:szCs w:val="26"/>
        </w:rPr>
        <w:t>1.5.5 声环境</w:t>
      </w:r>
      <w:bookmarkEnd w:id="79"/>
    </w:p>
    <w:p w14:paraId="4AFB77B5">
      <w:pPr>
        <w:spacing w:line="460" w:lineRule="exact"/>
        <w:ind w:firstLine="520" w:firstLineChars="200"/>
        <w:rPr>
          <w:sz w:val="26"/>
          <w:szCs w:val="26"/>
        </w:rPr>
      </w:pPr>
      <w:r>
        <w:rPr>
          <w:rFonts w:hint="eastAsia"/>
          <w:sz w:val="26"/>
          <w:szCs w:val="26"/>
        </w:rPr>
        <w:t>本项目施工期噪声源主要来自施工作业机械，试采期噪声源来自试采站场设备运行噪声。根据现场调查，项目所在地区域声环境质量较好，位于《声环境质量标准》（GB3096-2008）规定的2类地区，项目实施前后，评价范围内声环境保护目标处噪声级增高量&lt;5dB(A)。因此，按照《环境影响评价技术导则 声环境》（HJ 2.4-2021）中5.1.3章节，本次声环境影响评价级别定为“二级”。</w:t>
      </w:r>
    </w:p>
    <w:p w14:paraId="2C2C2CF4">
      <w:pPr>
        <w:spacing w:line="460" w:lineRule="exact"/>
        <w:ind w:firstLine="512" w:firstLineChars="196"/>
        <w:outlineLvl w:val="2"/>
        <w:rPr>
          <w:b/>
          <w:sz w:val="26"/>
          <w:szCs w:val="26"/>
        </w:rPr>
      </w:pPr>
      <w:bookmarkStart w:id="80" w:name="_Toc165810466"/>
      <w:r>
        <w:rPr>
          <w:b/>
          <w:sz w:val="26"/>
          <w:szCs w:val="26"/>
        </w:rPr>
        <w:t>1.5.6 土壤环境</w:t>
      </w:r>
      <w:bookmarkEnd w:id="80"/>
    </w:p>
    <w:p w14:paraId="35C54A15">
      <w:pPr>
        <w:spacing w:line="460" w:lineRule="exact"/>
        <w:ind w:firstLine="520" w:firstLineChars="200"/>
        <w:rPr>
          <w:sz w:val="26"/>
          <w:szCs w:val="26"/>
        </w:rPr>
      </w:pPr>
      <w:r>
        <w:rPr>
          <w:sz w:val="26"/>
          <w:szCs w:val="26"/>
        </w:rPr>
        <w:t>（1）行业</w:t>
      </w:r>
      <w:r>
        <w:rPr>
          <w:rFonts w:hint="eastAsia"/>
          <w:sz w:val="26"/>
          <w:szCs w:val="26"/>
        </w:rPr>
        <w:t>类别</w:t>
      </w:r>
    </w:p>
    <w:p w14:paraId="6CB7DF5E">
      <w:pPr>
        <w:pStyle w:val="1381"/>
        <w:ind w:firstLine="520"/>
      </w:pPr>
      <w:r>
        <w:rPr>
          <w:rFonts w:hint="eastAsia"/>
        </w:rPr>
        <w:t>根据《环境影响评价技术导则 陆地石油天然气开发建设项目》（HJ349-2023）中7.4规定：土壤盐化、碱化和酸化地区，建设项目应按照土壤污染型和生态影响型，按相应等级开展评价工作；非土壤盐化、碱化和酸化地区，建设项目按照土壤污染型，按相应等级开展评价工作。</w:t>
      </w:r>
    </w:p>
    <w:p w14:paraId="65010DE3">
      <w:pPr>
        <w:pStyle w:val="1381"/>
        <w:ind w:firstLine="520"/>
      </w:pPr>
      <w:r>
        <w:rPr>
          <w:rFonts w:hint="eastAsia"/>
        </w:rPr>
        <w:t>建设项目按照站场和内部集输管道分别判断行业分类。常规石油和页岩油、致密油等非常规石油开采井场、站场等工程，按照I类建设项目开展土壤环境影响评价。常规天然气和页岩气、致密气等非常规天然气开采（含天然气净化厂）站场等工程，油类和废水等输送管道，按照Ⅱ类建设项目开展土壤环境影响评价。天然气管道按照Ⅳ类建设项目开展土壤环境影响评价。</w:t>
      </w:r>
    </w:p>
    <w:p w14:paraId="747E974D">
      <w:pPr>
        <w:pStyle w:val="1381"/>
        <w:ind w:firstLine="520"/>
      </w:pPr>
      <w:r>
        <w:t>本项目为</w:t>
      </w:r>
      <w:r>
        <w:rPr>
          <w:rFonts w:hint="eastAsia"/>
        </w:rPr>
        <w:t>天然气</w:t>
      </w:r>
      <w:r>
        <w:t>试采建设项目，</w:t>
      </w:r>
      <w:r>
        <w:rPr>
          <w:rFonts w:hint="eastAsia"/>
        </w:rPr>
        <w:t>按照Ⅱ类建设项目开展土壤环境影响评价。同时，根据周边土壤环境质量监测结果，项目附近土壤含盐量</w:t>
      </w:r>
      <w:r>
        <w:t>0.6-0.9g</w:t>
      </w:r>
      <w:r>
        <w:rPr>
          <w:rFonts w:hint="eastAsia"/>
        </w:rPr>
        <w:t>/</w:t>
      </w:r>
      <w:r>
        <w:t>kg，</w:t>
      </w:r>
      <w:r>
        <w:rPr>
          <w:rFonts w:hint="eastAsia"/>
        </w:rPr>
        <w:t>不</w:t>
      </w:r>
      <w:r>
        <w:t>属于</w:t>
      </w:r>
      <w:r>
        <w:rPr>
          <w:rFonts w:hint="eastAsia"/>
        </w:rPr>
        <w:t>盐化地区，项目附近土壤p</w:t>
      </w:r>
      <w:r>
        <w:t>H</w:t>
      </w:r>
      <w:r>
        <w:rPr>
          <w:rFonts w:hint="eastAsia"/>
        </w:rPr>
        <w:t>值6</w:t>
      </w:r>
      <w:r>
        <w:t>.52~6.82</w:t>
      </w:r>
      <w:r>
        <w:rPr>
          <w:rFonts w:hint="eastAsia"/>
        </w:rPr>
        <w:t>，不属于酸化或碱化地区，应按照土壤污染型开展工作。</w:t>
      </w:r>
    </w:p>
    <w:p w14:paraId="377F5D02">
      <w:pPr>
        <w:spacing w:line="460" w:lineRule="exact"/>
        <w:ind w:firstLine="520" w:firstLineChars="200"/>
        <w:rPr>
          <w:sz w:val="26"/>
          <w:szCs w:val="26"/>
        </w:rPr>
      </w:pPr>
      <w:r>
        <w:rPr>
          <w:sz w:val="26"/>
          <w:szCs w:val="26"/>
        </w:rPr>
        <w:t>（2）</w:t>
      </w:r>
      <w:r>
        <w:rPr>
          <w:rFonts w:hint="eastAsia"/>
          <w:sz w:val="26"/>
          <w:szCs w:val="26"/>
        </w:rPr>
        <w:t>评价等级</w:t>
      </w:r>
    </w:p>
    <w:p w14:paraId="2C1FEF44">
      <w:pPr>
        <w:spacing w:line="460" w:lineRule="exact"/>
        <w:ind w:firstLine="520" w:firstLineChars="200"/>
        <w:rPr>
          <w:sz w:val="26"/>
          <w:szCs w:val="26"/>
        </w:rPr>
      </w:pPr>
      <w:r>
        <w:rPr>
          <w:rFonts w:hint="eastAsia"/>
          <w:sz w:val="26"/>
          <w:szCs w:val="26"/>
        </w:rPr>
        <w:t>土壤污染影响型敏感程度及评价等级划分详见下表。</w:t>
      </w:r>
    </w:p>
    <w:p w14:paraId="602ADFDD">
      <w:pPr>
        <w:pStyle w:val="1379"/>
        <w:ind w:firstLine="440"/>
      </w:pPr>
    </w:p>
    <w:p w14:paraId="67DB0B28">
      <w:pPr>
        <w:pStyle w:val="1065"/>
      </w:pPr>
      <w:r>
        <w:rPr>
          <w:rFonts w:hint="eastAsia"/>
        </w:rPr>
        <w:t>表1.</w:t>
      </w:r>
      <w:r>
        <w:t>5-10</w:t>
      </w:r>
      <w:r>
        <w:rPr>
          <w:rFonts w:hint="eastAsia"/>
        </w:rPr>
        <w:t xml:space="preserve">  土壤污染影响型敏感程度分级表</w:t>
      </w:r>
    </w:p>
    <w:tbl>
      <w:tblPr>
        <w:tblStyle w:val="88"/>
        <w:tblW w:w="87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35"/>
        <w:gridCol w:w="7205"/>
      </w:tblGrid>
      <w:tr w14:paraId="2ED02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535" w:type="dxa"/>
            <w:vAlign w:val="center"/>
          </w:tcPr>
          <w:p w14:paraId="5947F09F">
            <w:pPr>
              <w:jc w:val="center"/>
              <w:rPr>
                <w:sz w:val="22"/>
                <w:szCs w:val="21"/>
                <w:lang w:eastAsia="en-US"/>
              </w:rPr>
            </w:pPr>
            <w:r>
              <w:rPr>
                <w:sz w:val="22"/>
                <w:szCs w:val="21"/>
                <w:lang w:eastAsia="en-US"/>
              </w:rPr>
              <w:t>敏感程度</w:t>
            </w:r>
          </w:p>
        </w:tc>
        <w:tc>
          <w:tcPr>
            <w:tcW w:w="7205" w:type="dxa"/>
            <w:vAlign w:val="center"/>
          </w:tcPr>
          <w:p w14:paraId="37E6DD9A">
            <w:pPr>
              <w:jc w:val="center"/>
              <w:rPr>
                <w:sz w:val="22"/>
                <w:szCs w:val="21"/>
                <w:lang w:eastAsia="en-US"/>
              </w:rPr>
            </w:pPr>
            <w:r>
              <w:rPr>
                <w:sz w:val="22"/>
                <w:szCs w:val="21"/>
                <w:lang w:eastAsia="en-US"/>
              </w:rPr>
              <w:t>判别依据</w:t>
            </w:r>
          </w:p>
        </w:tc>
      </w:tr>
      <w:tr w14:paraId="17382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535" w:type="dxa"/>
            <w:vAlign w:val="center"/>
          </w:tcPr>
          <w:p w14:paraId="03993CCB">
            <w:pPr>
              <w:jc w:val="center"/>
              <w:rPr>
                <w:sz w:val="22"/>
                <w:szCs w:val="21"/>
                <w:lang w:eastAsia="en-US"/>
              </w:rPr>
            </w:pPr>
            <w:r>
              <w:rPr>
                <w:sz w:val="22"/>
                <w:szCs w:val="21"/>
                <w:lang w:eastAsia="en-US"/>
              </w:rPr>
              <w:t>敏感</w:t>
            </w:r>
          </w:p>
        </w:tc>
        <w:tc>
          <w:tcPr>
            <w:tcW w:w="7205" w:type="dxa"/>
            <w:vAlign w:val="center"/>
          </w:tcPr>
          <w:p w14:paraId="28BDDF9C">
            <w:pPr>
              <w:jc w:val="center"/>
              <w:rPr>
                <w:sz w:val="22"/>
                <w:szCs w:val="21"/>
              </w:rPr>
            </w:pPr>
            <w:r>
              <w:rPr>
                <w:sz w:val="22"/>
                <w:szCs w:val="21"/>
              </w:rPr>
              <w:t>建设项目周边存在</w:t>
            </w:r>
            <w:r>
              <w:rPr>
                <w:b/>
                <w:bCs/>
                <w:sz w:val="22"/>
                <w:szCs w:val="21"/>
              </w:rPr>
              <w:t>耕地</w:t>
            </w:r>
            <w:r>
              <w:rPr>
                <w:sz w:val="22"/>
                <w:szCs w:val="21"/>
              </w:rPr>
              <w:t>、</w:t>
            </w:r>
            <w:r>
              <w:rPr>
                <w:bCs/>
                <w:sz w:val="22"/>
                <w:szCs w:val="21"/>
              </w:rPr>
              <w:t>园地</w:t>
            </w:r>
            <w:r>
              <w:rPr>
                <w:sz w:val="22"/>
                <w:szCs w:val="21"/>
              </w:rPr>
              <w:t>、牧草地、饮用水水源地或居民区、学校、医院、疗养院、养老院等土壤环境敏感目标的</w:t>
            </w:r>
          </w:p>
        </w:tc>
      </w:tr>
      <w:tr w14:paraId="2542E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535" w:type="dxa"/>
            <w:vAlign w:val="center"/>
          </w:tcPr>
          <w:p w14:paraId="61803493">
            <w:pPr>
              <w:jc w:val="center"/>
              <w:rPr>
                <w:sz w:val="22"/>
                <w:szCs w:val="21"/>
                <w:lang w:eastAsia="en-US"/>
              </w:rPr>
            </w:pPr>
            <w:r>
              <w:rPr>
                <w:sz w:val="22"/>
                <w:szCs w:val="21"/>
                <w:lang w:eastAsia="en-US"/>
              </w:rPr>
              <w:t>较敏感</w:t>
            </w:r>
          </w:p>
        </w:tc>
        <w:tc>
          <w:tcPr>
            <w:tcW w:w="7205" w:type="dxa"/>
            <w:vAlign w:val="center"/>
          </w:tcPr>
          <w:p w14:paraId="0E6DCC4A">
            <w:pPr>
              <w:jc w:val="center"/>
              <w:rPr>
                <w:sz w:val="22"/>
                <w:szCs w:val="21"/>
              </w:rPr>
            </w:pPr>
            <w:r>
              <w:rPr>
                <w:sz w:val="22"/>
                <w:szCs w:val="21"/>
              </w:rPr>
              <w:t>建设项目周边存在其他土壤环境敏感目标的</w:t>
            </w:r>
          </w:p>
        </w:tc>
      </w:tr>
      <w:tr w14:paraId="181D5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535" w:type="dxa"/>
          </w:tcPr>
          <w:p w14:paraId="11C01247">
            <w:pPr>
              <w:jc w:val="center"/>
              <w:rPr>
                <w:sz w:val="22"/>
                <w:szCs w:val="21"/>
                <w:lang w:eastAsia="en-US"/>
              </w:rPr>
            </w:pPr>
            <w:r>
              <w:rPr>
                <w:sz w:val="22"/>
                <w:szCs w:val="21"/>
                <w:lang w:eastAsia="en-US"/>
              </w:rPr>
              <w:t>不敏感</w:t>
            </w:r>
          </w:p>
        </w:tc>
        <w:tc>
          <w:tcPr>
            <w:tcW w:w="7205" w:type="dxa"/>
          </w:tcPr>
          <w:p w14:paraId="1089F8E0">
            <w:pPr>
              <w:jc w:val="center"/>
              <w:rPr>
                <w:sz w:val="22"/>
                <w:szCs w:val="21"/>
                <w:lang w:eastAsia="en-US"/>
              </w:rPr>
            </w:pPr>
            <w:r>
              <w:rPr>
                <w:sz w:val="22"/>
                <w:szCs w:val="21"/>
                <w:lang w:eastAsia="en-US"/>
              </w:rPr>
              <w:t>其他情况</w:t>
            </w:r>
          </w:p>
        </w:tc>
      </w:tr>
    </w:tbl>
    <w:p w14:paraId="3985A89C">
      <w:pPr>
        <w:pStyle w:val="1379"/>
        <w:ind w:firstLine="440"/>
      </w:pPr>
    </w:p>
    <w:p w14:paraId="57A239D1">
      <w:pPr>
        <w:pStyle w:val="1065"/>
      </w:pPr>
      <w:r>
        <w:rPr>
          <w:rFonts w:hint="eastAsia"/>
        </w:rPr>
        <w:t>表</w:t>
      </w:r>
      <w:r>
        <w:t>1.5-11</w:t>
      </w:r>
      <w:r>
        <w:rPr>
          <w:rFonts w:hint="eastAsia"/>
        </w:rPr>
        <w:t xml:space="preserve">  土壤污染影响型评价工作等级划分表</w:t>
      </w:r>
    </w:p>
    <w:tbl>
      <w:tblPr>
        <w:tblStyle w:val="88"/>
        <w:tblW w:w="87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97"/>
        <w:gridCol w:w="734"/>
        <w:gridCol w:w="734"/>
        <w:gridCol w:w="732"/>
        <w:gridCol w:w="732"/>
        <w:gridCol w:w="734"/>
        <w:gridCol w:w="732"/>
        <w:gridCol w:w="877"/>
        <w:gridCol w:w="880"/>
        <w:gridCol w:w="688"/>
      </w:tblGrid>
      <w:tr w14:paraId="511F6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1897" w:type="dxa"/>
            <w:vMerge w:val="restart"/>
            <w:tcBorders>
              <w:top w:val="single" w:color="auto" w:sz="4" w:space="0"/>
              <w:left w:val="single" w:color="auto" w:sz="4" w:space="0"/>
              <w:bottom w:val="single" w:color="auto" w:sz="4" w:space="0"/>
              <w:right w:val="single" w:color="auto" w:sz="4" w:space="0"/>
            </w:tcBorders>
            <w:vAlign w:val="center"/>
          </w:tcPr>
          <w:p w14:paraId="0590FC44">
            <w:pPr>
              <w:jc w:val="center"/>
              <w:rPr>
                <w:sz w:val="22"/>
                <w:szCs w:val="21"/>
              </w:rPr>
            </w:pPr>
            <w:r>
              <w:rPr>
                <w:sz w:val="22"/>
                <w:szCs w:val="21"/>
              </w:rPr>
              <w:t>类别</w:t>
            </w:r>
          </w:p>
        </w:tc>
        <w:tc>
          <w:tcPr>
            <w:tcW w:w="2200" w:type="dxa"/>
            <w:gridSpan w:val="3"/>
            <w:tcBorders>
              <w:top w:val="single" w:color="auto" w:sz="4" w:space="0"/>
              <w:left w:val="single" w:color="auto" w:sz="4" w:space="0"/>
              <w:bottom w:val="single" w:color="auto" w:sz="4" w:space="0"/>
              <w:right w:val="single" w:color="auto" w:sz="4" w:space="0"/>
            </w:tcBorders>
            <w:vAlign w:val="center"/>
          </w:tcPr>
          <w:p w14:paraId="262A816A">
            <w:pPr>
              <w:jc w:val="center"/>
              <w:rPr>
                <w:sz w:val="22"/>
                <w:szCs w:val="21"/>
                <w:lang w:eastAsia="en-US"/>
              </w:rPr>
            </w:pPr>
            <w:r>
              <w:rPr>
                <w:rFonts w:eastAsia="Times New Roman"/>
                <w:sz w:val="22"/>
                <w:szCs w:val="21"/>
                <w:lang w:eastAsia="en-US"/>
              </w:rPr>
              <w:t>I</w:t>
            </w:r>
            <w:r>
              <w:rPr>
                <w:sz w:val="22"/>
                <w:szCs w:val="21"/>
                <w:lang w:eastAsia="en-US"/>
              </w:rPr>
              <w:t>类</w:t>
            </w:r>
          </w:p>
        </w:tc>
        <w:tc>
          <w:tcPr>
            <w:tcW w:w="2198" w:type="dxa"/>
            <w:gridSpan w:val="3"/>
            <w:tcBorders>
              <w:top w:val="single" w:color="auto" w:sz="4" w:space="0"/>
              <w:left w:val="single" w:color="auto" w:sz="4" w:space="0"/>
              <w:bottom w:val="single" w:color="auto" w:sz="4" w:space="0"/>
              <w:right w:val="single" w:color="auto" w:sz="4" w:space="0"/>
            </w:tcBorders>
            <w:vAlign w:val="center"/>
          </w:tcPr>
          <w:p w14:paraId="47B388A3">
            <w:pPr>
              <w:jc w:val="center"/>
              <w:rPr>
                <w:sz w:val="22"/>
                <w:szCs w:val="21"/>
                <w:lang w:eastAsia="en-US"/>
              </w:rPr>
            </w:pPr>
            <w:r>
              <w:rPr>
                <w:sz w:val="22"/>
                <w:szCs w:val="21"/>
              </w:rPr>
              <w:t>Ⅱ类</w:t>
            </w:r>
          </w:p>
        </w:tc>
        <w:tc>
          <w:tcPr>
            <w:tcW w:w="2445" w:type="dxa"/>
            <w:gridSpan w:val="3"/>
            <w:tcBorders>
              <w:top w:val="single" w:color="auto" w:sz="4" w:space="0"/>
              <w:left w:val="single" w:color="auto" w:sz="4" w:space="0"/>
              <w:bottom w:val="single" w:color="auto" w:sz="4" w:space="0"/>
              <w:right w:val="single" w:color="auto" w:sz="4" w:space="0"/>
            </w:tcBorders>
            <w:vAlign w:val="center"/>
          </w:tcPr>
          <w:p w14:paraId="4D8DB9D8">
            <w:pPr>
              <w:jc w:val="center"/>
              <w:rPr>
                <w:sz w:val="22"/>
                <w:szCs w:val="21"/>
                <w:lang w:eastAsia="en-US"/>
              </w:rPr>
            </w:pPr>
            <w:r>
              <w:rPr>
                <w:sz w:val="22"/>
                <w:szCs w:val="21"/>
              </w:rPr>
              <w:t>Ⅲ</w:t>
            </w:r>
            <w:r>
              <w:rPr>
                <w:sz w:val="22"/>
                <w:szCs w:val="21"/>
                <w:lang w:eastAsia="en-US"/>
              </w:rPr>
              <w:t>类</w:t>
            </w:r>
          </w:p>
        </w:tc>
      </w:tr>
      <w:tr w14:paraId="58FAD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897" w:type="dxa"/>
            <w:vMerge w:val="continue"/>
            <w:tcBorders>
              <w:top w:val="single" w:color="auto" w:sz="4" w:space="0"/>
              <w:left w:val="single" w:color="auto" w:sz="4" w:space="0"/>
              <w:bottom w:val="single" w:color="auto" w:sz="4" w:space="0"/>
              <w:right w:val="single" w:color="auto" w:sz="4" w:space="0"/>
            </w:tcBorders>
            <w:vAlign w:val="center"/>
          </w:tcPr>
          <w:p w14:paraId="3D5DE51F">
            <w:pPr>
              <w:jc w:val="center"/>
              <w:rPr>
                <w:sz w:val="22"/>
                <w:szCs w:val="21"/>
              </w:rPr>
            </w:pPr>
          </w:p>
        </w:tc>
        <w:tc>
          <w:tcPr>
            <w:tcW w:w="734" w:type="dxa"/>
            <w:tcBorders>
              <w:top w:val="single" w:color="auto" w:sz="4" w:space="0"/>
              <w:left w:val="single" w:color="auto" w:sz="4" w:space="0"/>
              <w:bottom w:val="single" w:color="auto" w:sz="4" w:space="0"/>
              <w:right w:val="single" w:color="auto" w:sz="4" w:space="0"/>
            </w:tcBorders>
            <w:vAlign w:val="center"/>
          </w:tcPr>
          <w:p w14:paraId="562BB412">
            <w:pPr>
              <w:jc w:val="center"/>
              <w:rPr>
                <w:sz w:val="22"/>
                <w:szCs w:val="21"/>
                <w:lang w:eastAsia="en-US"/>
              </w:rPr>
            </w:pPr>
            <w:r>
              <w:rPr>
                <w:sz w:val="22"/>
                <w:szCs w:val="21"/>
                <w:lang w:eastAsia="en-US"/>
              </w:rPr>
              <w:t>大</w:t>
            </w:r>
          </w:p>
        </w:tc>
        <w:tc>
          <w:tcPr>
            <w:tcW w:w="734" w:type="dxa"/>
            <w:tcBorders>
              <w:top w:val="single" w:color="auto" w:sz="4" w:space="0"/>
              <w:left w:val="single" w:color="auto" w:sz="4" w:space="0"/>
              <w:bottom w:val="single" w:color="auto" w:sz="4" w:space="0"/>
              <w:right w:val="single" w:color="auto" w:sz="4" w:space="0"/>
            </w:tcBorders>
            <w:vAlign w:val="center"/>
          </w:tcPr>
          <w:p w14:paraId="65A80043">
            <w:pPr>
              <w:jc w:val="center"/>
              <w:rPr>
                <w:sz w:val="22"/>
                <w:szCs w:val="21"/>
                <w:lang w:eastAsia="en-US"/>
              </w:rPr>
            </w:pPr>
            <w:r>
              <w:rPr>
                <w:sz w:val="22"/>
                <w:szCs w:val="21"/>
                <w:lang w:eastAsia="en-US"/>
              </w:rPr>
              <w:t>中</w:t>
            </w:r>
          </w:p>
        </w:tc>
        <w:tc>
          <w:tcPr>
            <w:tcW w:w="732" w:type="dxa"/>
            <w:tcBorders>
              <w:top w:val="single" w:color="auto" w:sz="4" w:space="0"/>
              <w:left w:val="single" w:color="auto" w:sz="4" w:space="0"/>
              <w:bottom w:val="single" w:color="auto" w:sz="4" w:space="0"/>
              <w:right w:val="single" w:color="auto" w:sz="4" w:space="0"/>
            </w:tcBorders>
            <w:vAlign w:val="center"/>
          </w:tcPr>
          <w:p w14:paraId="791EEF7D">
            <w:pPr>
              <w:jc w:val="center"/>
              <w:rPr>
                <w:sz w:val="22"/>
                <w:szCs w:val="21"/>
                <w:lang w:eastAsia="en-US"/>
              </w:rPr>
            </w:pPr>
            <w:r>
              <w:rPr>
                <w:sz w:val="22"/>
                <w:szCs w:val="21"/>
                <w:lang w:eastAsia="en-US"/>
              </w:rPr>
              <w:t>小</w:t>
            </w:r>
          </w:p>
        </w:tc>
        <w:tc>
          <w:tcPr>
            <w:tcW w:w="732" w:type="dxa"/>
            <w:tcBorders>
              <w:top w:val="single" w:color="auto" w:sz="4" w:space="0"/>
              <w:left w:val="single" w:color="auto" w:sz="4" w:space="0"/>
              <w:bottom w:val="single" w:color="auto" w:sz="4" w:space="0"/>
              <w:right w:val="single" w:color="auto" w:sz="4" w:space="0"/>
            </w:tcBorders>
            <w:vAlign w:val="center"/>
          </w:tcPr>
          <w:p w14:paraId="32D696DB">
            <w:pPr>
              <w:jc w:val="center"/>
              <w:rPr>
                <w:sz w:val="22"/>
                <w:szCs w:val="21"/>
                <w:lang w:eastAsia="en-US"/>
              </w:rPr>
            </w:pPr>
            <w:r>
              <w:rPr>
                <w:sz w:val="22"/>
                <w:szCs w:val="21"/>
                <w:lang w:eastAsia="en-US"/>
              </w:rPr>
              <w:t>大</w:t>
            </w:r>
          </w:p>
        </w:tc>
        <w:tc>
          <w:tcPr>
            <w:tcW w:w="734" w:type="dxa"/>
            <w:tcBorders>
              <w:top w:val="single" w:color="auto" w:sz="4" w:space="0"/>
              <w:left w:val="single" w:color="auto" w:sz="4" w:space="0"/>
              <w:bottom w:val="single" w:color="auto" w:sz="4" w:space="0"/>
              <w:right w:val="single" w:color="auto" w:sz="4" w:space="0"/>
            </w:tcBorders>
            <w:vAlign w:val="center"/>
          </w:tcPr>
          <w:p w14:paraId="6D66208E">
            <w:pPr>
              <w:jc w:val="center"/>
              <w:rPr>
                <w:sz w:val="22"/>
                <w:szCs w:val="21"/>
                <w:lang w:eastAsia="en-US"/>
              </w:rPr>
            </w:pPr>
            <w:r>
              <w:rPr>
                <w:sz w:val="22"/>
                <w:szCs w:val="21"/>
                <w:lang w:eastAsia="en-US"/>
              </w:rPr>
              <w:t>中</w:t>
            </w:r>
          </w:p>
        </w:tc>
        <w:tc>
          <w:tcPr>
            <w:tcW w:w="732" w:type="dxa"/>
            <w:tcBorders>
              <w:top w:val="single" w:color="auto" w:sz="4" w:space="0"/>
              <w:left w:val="single" w:color="auto" w:sz="4" w:space="0"/>
              <w:bottom w:val="single" w:color="auto" w:sz="4" w:space="0"/>
              <w:right w:val="single" w:color="auto" w:sz="4" w:space="0"/>
            </w:tcBorders>
            <w:vAlign w:val="center"/>
          </w:tcPr>
          <w:p w14:paraId="01FBCEFE">
            <w:pPr>
              <w:jc w:val="center"/>
              <w:rPr>
                <w:sz w:val="22"/>
                <w:szCs w:val="21"/>
                <w:lang w:eastAsia="en-US"/>
              </w:rPr>
            </w:pPr>
            <w:r>
              <w:rPr>
                <w:sz w:val="22"/>
                <w:szCs w:val="21"/>
                <w:lang w:eastAsia="en-US"/>
              </w:rPr>
              <w:t>小</w:t>
            </w:r>
          </w:p>
        </w:tc>
        <w:tc>
          <w:tcPr>
            <w:tcW w:w="877" w:type="dxa"/>
            <w:tcBorders>
              <w:top w:val="single" w:color="auto" w:sz="4" w:space="0"/>
              <w:left w:val="single" w:color="auto" w:sz="4" w:space="0"/>
              <w:bottom w:val="single" w:color="auto" w:sz="4" w:space="0"/>
              <w:right w:val="single" w:color="auto" w:sz="4" w:space="0"/>
            </w:tcBorders>
            <w:vAlign w:val="center"/>
          </w:tcPr>
          <w:p w14:paraId="34408CDD">
            <w:pPr>
              <w:jc w:val="center"/>
              <w:rPr>
                <w:sz w:val="22"/>
                <w:szCs w:val="21"/>
                <w:lang w:eastAsia="en-US"/>
              </w:rPr>
            </w:pPr>
            <w:r>
              <w:rPr>
                <w:sz w:val="22"/>
                <w:szCs w:val="21"/>
                <w:lang w:eastAsia="en-US"/>
              </w:rPr>
              <w:t>大</w:t>
            </w:r>
          </w:p>
        </w:tc>
        <w:tc>
          <w:tcPr>
            <w:tcW w:w="880" w:type="dxa"/>
            <w:tcBorders>
              <w:top w:val="single" w:color="auto" w:sz="4" w:space="0"/>
              <w:left w:val="single" w:color="auto" w:sz="4" w:space="0"/>
              <w:bottom w:val="single" w:color="auto" w:sz="4" w:space="0"/>
              <w:right w:val="single" w:color="auto" w:sz="4" w:space="0"/>
            </w:tcBorders>
            <w:vAlign w:val="center"/>
          </w:tcPr>
          <w:p w14:paraId="2B68C2AB">
            <w:pPr>
              <w:jc w:val="center"/>
              <w:rPr>
                <w:sz w:val="22"/>
                <w:szCs w:val="21"/>
                <w:lang w:eastAsia="en-US"/>
              </w:rPr>
            </w:pPr>
            <w:r>
              <w:rPr>
                <w:sz w:val="22"/>
                <w:szCs w:val="21"/>
                <w:lang w:eastAsia="en-US"/>
              </w:rPr>
              <w:t>中</w:t>
            </w:r>
          </w:p>
        </w:tc>
        <w:tc>
          <w:tcPr>
            <w:tcW w:w="688" w:type="dxa"/>
            <w:tcBorders>
              <w:top w:val="single" w:color="auto" w:sz="4" w:space="0"/>
              <w:left w:val="single" w:color="auto" w:sz="4" w:space="0"/>
              <w:bottom w:val="single" w:color="auto" w:sz="4" w:space="0"/>
              <w:right w:val="single" w:color="auto" w:sz="4" w:space="0"/>
            </w:tcBorders>
            <w:vAlign w:val="center"/>
          </w:tcPr>
          <w:p w14:paraId="6D00F66E">
            <w:pPr>
              <w:jc w:val="center"/>
              <w:rPr>
                <w:sz w:val="22"/>
                <w:szCs w:val="21"/>
                <w:lang w:eastAsia="en-US"/>
              </w:rPr>
            </w:pPr>
            <w:r>
              <w:rPr>
                <w:sz w:val="22"/>
                <w:szCs w:val="21"/>
                <w:lang w:eastAsia="en-US"/>
              </w:rPr>
              <w:t>小</w:t>
            </w:r>
          </w:p>
        </w:tc>
      </w:tr>
      <w:tr w14:paraId="46816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294E5D7E">
            <w:pPr>
              <w:jc w:val="center"/>
              <w:rPr>
                <w:sz w:val="22"/>
                <w:szCs w:val="21"/>
                <w:lang w:eastAsia="en-US"/>
              </w:rPr>
            </w:pPr>
            <w:r>
              <w:rPr>
                <w:sz w:val="22"/>
                <w:szCs w:val="21"/>
                <w:lang w:eastAsia="en-US"/>
              </w:rPr>
              <w:t>敏感</w:t>
            </w:r>
          </w:p>
        </w:tc>
        <w:tc>
          <w:tcPr>
            <w:tcW w:w="734" w:type="dxa"/>
            <w:tcBorders>
              <w:top w:val="single" w:color="auto" w:sz="4" w:space="0"/>
              <w:left w:val="single" w:color="auto" w:sz="4" w:space="0"/>
              <w:bottom w:val="single" w:color="auto" w:sz="4" w:space="0"/>
              <w:right w:val="single" w:color="auto" w:sz="4" w:space="0"/>
            </w:tcBorders>
            <w:vAlign w:val="center"/>
          </w:tcPr>
          <w:p w14:paraId="3E6565F8">
            <w:pPr>
              <w:jc w:val="center"/>
              <w:rPr>
                <w:sz w:val="22"/>
                <w:szCs w:val="21"/>
                <w:lang w:eastAsia="en-US"/>
              </w:rPr>
            </w:pPr>
            <w:r>
              <w:rPr>
                <w:sz w:val="22"/>
                <w:szCs w:val="21"/>
                <w:lang w:eastAsia="en-US"/>
              </w:rPr>
              <w:t>一级</w:t>
            </w:r>
          </w:p>
        </w:tc>
        <w:tc>
          <w:tcPr>
            <w:tcW w:w="734" w:type="dxa"/>
            <w:tcBorders>
              <w:top w:val="single" w:color="auto" w:sz="4" w:space="0"/>
              <w:left w:val="single" w:color="auto" w:sz="4" w:space="0"/>
              <w:bottom w:val="single" w:color="auto" w:sz="4" w:space="0"/>
              <w:right w:val="single" w:color="auto" w:sz="4" w:space="0"/>
            </w:tcBorders>
            <w:vAlign w:val="center"/>
          </w:tcPr>
          <w:p w14:paraId="5305A19A">
            <w:pPr>
              <w:jc w:val="center"/>
              <w:rPr>
                <w:sz w:val="22"/>
                <w:szCs w:val="21"/>
                <w:lang w:eastAsia="en-US"/>
              </w:rPr>
            </w:pPr>
            <w:r>
              <w:rPr>
                <w:sz w:val="22"/>
                <w:szCs w:val="21"/>
                <w:lang w:eastAsia="en-US"/>
              </w:rPr>
              <w:t>一级</w:t>
            </w:r>
          </w:p>
        </w:tc>
        <w:tc>
          <w:tcPr>
            <w:tcW w:w="732" w:type="dxa"/>
            <w:tcBorders>
              <w:top w:val="single" w:color="auto" w:sz="4" w:space="0"/>
              <w:left w:val="single" w:color="auto" w:sz="4" w:space="0"/>
              <w:bottom w:val="single" w:color="auto" w:sz="4" w:space="0"/>
              <w:right w:val="single" w:color="auto" w:sz="4" w:space="0"/>
            </w:tcBorders>
            <w:vAlign w:val="center"/>
          </w:tcPr>
          <w:p w14:paraId="1A1567DD">
            <w:pPr>
              <w:jc w:val="center"/>
              <w:rPr>
                <w:sz w:val="22"/>
                <w:szCs w:val="21"/>
                <w:lang w:eastAsia="en-US"/>
              </w:rPr>
            </w:pPr>
            <w:r>
              <w:rPr>
                <w:bCs/>
                <w:sz w:val="22"/>
                <w:szCs w:val="21"/>
                <w:lang w:eastAsia="en-US"/>
              </w:rPr>
              <w:t>一级</w:t>
            </w:r>
          </w:p>
        </w:tc>
        <w:tc>
          <w:tcPr>
            <w:tcW w:w="732" w:type="dxa"/>
            <w:tcBorders>
              <w:top w:val="single" w:color="auto" w:sz="4" w:space="0"/>
              <w:left w:val="single" w:color="auto" w:sz="4" w:space="0"/>
              <w:bottom w:val="single" w:color="auto" w:sz="4" w:space="0"/>
              <w:right w:val="single" w:color="auto" w:sz="4" w:space="0"/>
            </w:tcBorders>
            <w:vAlign w:val="center"/>
          </w:tcPr>
          <w:p w14:paraId="423E57BC">
            <w:pPr>
              <w:jc w:val="center"/>
              <w:rPr>
                <w:sz w:val="22"/>
                <w:szCs w:val="21"/>
                <w:lang w:eastAsia="en-US"/>
              </w:rPr>
            </w:pPr>
            <w:r>
              <w:rPr>
                <w:sz w:val="22"/>
                <w:szCs w:val="21"/>
                <w:lang w:eastAsia="en-US"/>
              </w:rPr>
              <w:t>二级</w:t>
            </w:r>
          </w:p>
        </w:tc>
        <w:tc>
          <w:tcPr>
            <w:tcW w:w="734" w:type="dxa"/>
            <w:tcBorders>
              <w:top w:val="single" w:color="auto" w:sz="4" w:space="0"/>
              <w:left w:val="single" w:color="auto" w:sz="4" w:space="0"/>
              <w:bottom w:val="single" w:color="auto" w:sz="4" w:space="0"/>
              <w:right w:val="single" w:color="auto" w:sz="4" w:space="0"/>
            </w:tcBorders>
            <w:vAlign w:val="center"/>
          </w:tcPr>
          <w:p w14:paraId="6CB8A7F4">
            <w:pPr>
              <w:jc w:val="center"/>
              <w:rPr>
                <w:sz w:val="22"/>
                <w:szCs w:val="21"/>
                <w:lang w:eastAsia="en-US"/>
              </w:rPr>
            </w:pPr>
            <w:r>
              <w:rPr>
                <w:sz w:val="22"/>
                <w:szCs w:val="21"/>
                <w:lang w:eastAsia="en-US"/>
              </w:rPr>
              <w:t>二级</w:t>
            </w:r>
          </w:p>
        </w:tc>
        <w:tc>
          <w:tcPr>
            <w:tcW w:w="732" w:type="dxa"/>
            <w:tcBorders>
              <w:top w:val="single" w:color="auto" w:sz="4" w:space="0"/>
              <w:left w:val="single" w:color="auto" w:sz="4" w:space="0"/>
              <w:bottom w:val="single" w:color="auto" w:sz="4" w:space="0"/>
              <w:right w:val="single" w:color="auto" w:sz="4" w:space="0"/>
            </w:tcBorders>
            <w:vAlign w:val="center"/>
          </w:tcPr>
          <w:p w14:paraId="0310219F">
            <w:pPr>
              <w:jc w:val="center"/>
              <w:rPr>
                <w:b/>
                <w:bCs/>
                <w:sz w:val="22"/>
                <w:szCs w:val="21"/>
                <w:lang w:eastAsia="en-US"/>
              </w:rPr>
            </w:pPr>
            <w:r>
              <w:rPr>
                <w:b/>
                <w:sz w:val="22"/>
                <w:szCs w:val="21"/>
                <w:lang w:eastAsia="en-US"/>
              </w:rPr>
              <w:t>二级</w:t>
            </w:r>
          </w:p>
        </w:tc>
        <w:tc>
          <w:tcPr>
            <w:tcW w:w="877" w:type="dxa"/>
            <w:tcBorders>
              <w:top w:val="single" w:color="auto" w:sz="4" w:space="0"/>
              <w:left w:val="single" w:color="auto" w:sz="4" w:space="0"/>
              <w:bottom w:val="single" w:color="auto" w:sz="4" w:space="0"/>
              <w:right w:val="single" w:color="auto" w:sz="4" w:space="0"/>
            </w:tcBorders>
            <w:vAlign w:val="center"/>
          </w:tcPr>
          <w:p w14:paraId="1CE68C7B">
            <w:pPr>
              <w:jc w:val="center"/>
              <w:rPr>
                <w:sz w:val="22"/>
                <w:szCs w:val="21"/>
                <w:lang w:eastAsia="en-US"/>
              </w:rPr>
            </w:pPr>
            <w:r>
              <w:rPr>
                <w:sz w:val="22"/>
                <w:szCs w:val="21"/>
                <w:lang w:eastAsia="en-US"/>
              </w:rPr>
              <w:t>三级</w:t>
            </w:r>
          </w:p>
        </w:tc>
        <w:tc>
          <w:tcPr>
            <w:tcW w:w="880" w:type="dxa"/>
            <w:tcBorders>
              <w:top w:val="single" w:color="auto" w:sz="4" w:space="0"/>
              <w:left w:val="single" w:color="auto" w:sz="4" w:space="0"/>
              <w:bottom w:val="single" w:color="auto" w:sz="4" w:space="0"/>
              <w:right w:val="single" w:color="auto" w:sz="4" w:space="0"/>
            </w:tcBorders>
            <w:vAlign w:val="center"/>
          </w:tcPr>
          <w:p w14:paraId="53A81B9C">
            <w:pPr>
              <w:jc w:val="center"/>
              <w:rPr>
                <w:sz w:val="22"/>
                <w:szCs w:val="21"/>
                <w:lang w:eastAsia="en-US"/>
              </w:rPr>
            </w:pPr>
            <w:r>
              <w:rPr>
                <w:sz w:val="22"/>
                <w:szCs w:val="21"/>
                <w:lang w:eastAsia="en-US"/>
              </w:rPr>
              <w:t>三级</w:t>
            </w:r>
          </w:p>
        </w:tc>
        <w:tc>
          <w:tcPr>
            <w:tcW w:w="688" w:type="dxa"/>
            <w:tcBorders>
              <w:top w:val="single" w:color="auto" w:sz="4" w:space="0"/>
              <w:left w:val="single" w:color="auto" w:sz="4" w:space="0"/>
              <w:bottom w:val="single" w:color="auto" w:sz="4" w:space="0"/>
              <w:right w:val="single" w:color="auto" w:sz="4" w:space="0"/>
            </w:tcBorders>
            <w:vAlign w:val="center"/>
          </w:tcPr>
          <w:p w14:paraId="733800BE">
            <w:pPr>
              <w:jc w:val="center"/>
              <w:rPr>
                <w:sz w:val="22"/>
                <w:szCs w:val="21"/>
                <w:lang w:eastAsia="en-US"/>
              </w:rPr>
            </w:pPr>
            <w:r>
              <w:rPr>
                <w:sz w:val="22"/>
                <w:szCs w:val="21"/>
                <w:lang w:eastAsia="en-US"/>
              </w:rPr>
              <w:t>三级</w:t>
            </w:r>
          </w:p>
        </w:tc>
      </w:tr>
      <w:tr w14:paraId="6C274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6D685698">
            <w:pPr>
              <w:jc w:val="center"/>
              <w:rPr>
                <w:sz w:val="22"/>
                <w:szCs w:val="21"/>
                <w:lang w:eastAsia="en-US"/>
              </w:rPr>
            </w:pPr>
            <w:r>
              <w:rPr>
                <w:sz w:val="22"/>
                <w:szCs w:val="21"/>
                <w:lang w:eastAsia="en-US"/>
              </w:rPr>
              <w:t>较敏感</w:t>
            </w:r>
          </w:p>
        </w:tc>
        <w:tc>
          <w:tcPr>
            <w:tcW w:w="734" w:type="dxa"/>
            <w:tcBorders>
              <w:top w:val="single" w:color="auto" w:sz="4" w:space="0"/>
              <w:left w:val="single" w:color="auto" w:sz="4" w:space="0"/>
              <w:bottom w:val="single" w:color="auto" w:sz="4" w:space="0"/>
              <w:right w:val="single" w:color="auto" w:sz="4" w:space="0"/>
            </w:tcBorders>
            <w:vAlign w:val="center"/>
          </w:tcPr>
          <w:p w14:paraId="56CEFB4E">
            <w:pPr>
              <w:jc w:val="center"/>
              <w:rPr>
                <w:sz w:val="22"/>
                <w:szCs w:val="21"/>
                <w:lang w:eastAsia="en-US"/>
              </w:rPr>
            </w:pPr>
            <w:r>
              <w:rPr>
                <w:sz w:val="22"/>
                <w:szCs w:val="21"/>
                <w:lang w:eastAsia="en-US"/>
              </w:rPr>
              <w:t>一级</w:t>
            </w:r>
          </w:p>
        </w:tc>
        <w:tc>
          <w:tcPr>
            <w:tcW w:w="734" w:type="dxa"/>
            <w:tcBorders>
              <w:top w:val="single" w:color="auto" w:sz="4" w:space="0"/>
              <w:left w:val="single" w:color="auto" w:sz="4" w:space="0"/>
              <w:bottom w:val="single" w:color="auto" w:sz="4" w:space="0"/>
              <w:right w:val="single" w:color="auto" w:sz="4" w:space="0"/>
            </w:tcBorders>
            <w:vAlign w:val="center"/>
          </w:tcPr>
          <w:p w14:paraId="5D8BC35D">
            <w:pPr>
              <w:jc w:val="center"/>
              <w:rPr>
                <w:sz w:val="22"/>
                <w:szCs w:val="21"/>
                <w:lang w:eastAsia="en-US"/>
              </w:rPr>
            </w:pPr>
            <w:r>
              <w:rPr>
                <w:sz w:val="22"/>
                <w:szCs w:val="21"/>
                <w:lang w:eastAsia="en-US"/>
              </w:rPr>
              <w:t>一级</w:t>
            </w:r>
          </w:p>
        </w:tc>
        <w:tc>
          <w:tcPr>
            <w:tcW w:w="732" w:type="dxa"/>
            <w:tcBorders>
              <w:top w:val="single" w:color="auto" w:sz="4" w:space="0"/>
              <w:left w:val="single" w:color="auto" w:sz="4" w:space="0"/>
              <w:bottom w:val="single" w:color="auto" w:sz="4" w:space="0"/>
              <w:right w:val="single" w:color="auto" w:sz="4" w:space="0"/>
            </w:tcBorders>
            <w:vAlign w:val="center"/>
          </w:tcPr>
          <w:p w14:paraId="55D2B36E">
            <w:pPr>
              <w:jc w:val="center"/>
              <w:rPr>
                <w:sz w:val="22"/>
                <w:szCs w:val="21"/>
                <w:lang w:eastAsia="en-US"/>
              </w:rPr>
            </w:pPr>
            <w:r>
              <w:rPr>
                <w:sz w:val="22"/>
                <w:szCs w:val="21"/>
                <w:lang w:eastAsia="en-US"/>
              </w:rPr>
              <w:t>二级</w:t>
            </w:r>
          </w:p>
        </w:tc>
        <w:tc>
          <w:tcPr>
            <w:tcW w:w="732" w:type="dxa"/>
            <w:tcBorders>
              <w:top w:val="single" w:color="auto" w:sz="4" w:space="0"/>
              <w:left w:val="single" w:color="auto" w:sz="4" w:space="0"/>
              <w:bottom w:val="single" w:color="auto" w:sz="4" w:space="0"/>
              <w:right w:val="single" w:color="auto" w:sz="4" w:space="0"/>
            </w:tcBorders>
            <w:vAlign w:val="center"/>
          </w:tcPr>
          <w:p w14:paraId="0F3A6B57">
            <w:pPr>
              <w:jc w:val="center"/>
              <w:rPr>
                <w:sz w:val="22"/>
                <w:szCs w:val="21"/>
                <w:lang w:eastAsia="en-US"/>
              </w:rPr>
            </w:pPr>
            <w:r>
              <w:rPr>
                <w:sz w:val="22"/>
                <w:szCs w:val="21"/>
                <w:lang w:eastAsia="en-US"/>
              </w:rPr>
              <w:t>二级</w:t>
            </w:r>
          </w:p>
        </w:tc>
        <w:tc>
          <w:tcPr>
            <w:tcW w:w="734" w:type="dxa"/>
            <w:tcBorders>
              <w:top w:val="single" w:color="auto" w:sz="4" w:space="0"/>
              <w:left w:val="single" w:color="auto" w:sz="4" w:space="0"/>
              <w:bottom w:val="single" w:color="auto" w:sz="4" w:space="0"/>
              <w:right w:val="single" w:color="auto" w:sz="4" w:space="0"/>
            </w:tcBorders>
            <w:vAlign w:val="center"/>
          </w:tcPr>
          <w:p w14:paraId="4F349D0E">
            <w:pPr>
              <w:jc w:val="center"/>
              <w:rPr>
                <w:sz w:val="22"/>
                <w:szCs w:val="21"/>
                <w:lang w:eastAsia="en-US"/>
              </w:rPr>
            </w:pPr>
            <w:r>
              <w:rPr>
                <w:sz w:val="22"/>
                <w:szCs w:val="21"/>
                <w:lang w:eastAsia="en-US"/>
              </w:rPr>
              <w:t>二级</w:t>
            </w:r>
          </w:p>
        </w:tc>
        <w:tc>
          <w:tcPr>
            <w:tcW w:w="732" w:type="dxa"/>
            <w:tcBorders>
              <w:top w:val="single" w:color="auto" w:sz="4" w:space="0"/>
              <w:left w:val="single" w:color="auto" w:sz="4" w:space="0"/>
              <w:bottom w:val="single" w:color="auto" w:sz="4" w:space="0"/>
              <w:right w:val="single" w:color="auto" w:sz="4" w:space="0"/>
            </w:tcBorders>
            <w:vAlign w:val="center"/>
          </w:tcPr>
          <w:p w14:paraId="307A019F">
            <w:pPr>
              <w:jc w:val="center"/>
              <w:rPr>
                <w:sz w:val="22"/>
                <w:szCs w:val="21"/>
                <w:lang w:eastAsia="en-US"/>
              </w:rPr>
            </w:pPr>
            <w:r>
              <w:rPr>
                <w:sz w:val="22"/>
                <w:szCs w:val="21"/>
                <w:lang w:eastAsia="en-US"/>
              </w:rPr>
              <w:t>三级</w:t>
            </w:r>
          </w:p>
        </w:tc>
        <w:tc>
          <w:tcPr>
            <w:tcW w:w="877" w:type="dxa"/>
            <w:tcBorders>
              <w:top w:val="single" w:color="auto" w:sz="4" w:space="0"/>
              <w:left w:val="single" w:color="auto" w:sz="4" w:space="0"/>
              <w:bottom w:val="single" w:color="auto" w:sz="4" w:space="0"/>
              <w:right w:val="single" w:color="auto" w:sz="4" w:space="0"/>
            </w:tcBorders>
            <w:vAlign w:val="center"/>
          </w:tcPr>
          <w:p w14:paraId="539CFAF1">
            <w:pPr>
              <w:jc w:val="center"/>
              <w:rPr>
                <w:sz w:val="22"/>
                <w:szCs w:val="21"/>
                <w:lang w:eastAsia="en-US"/>
              </w:rPr>
            </w:pPr>
            <w:r>
              <w:rPr>
                <w:sz w:val="22"/>
                <w:szCs w:val="21"/>
                <w:lang w:eastAsia="en-US"/>
              </w:rPr>
              <w:t>三级</w:t>
            </w:r>
          </w:p>
        </w:tc>
        <w:tc>
          <w:tcPr>
            <w:tcW w:w="880" w:type="dxa"/>
            <w:tcBorders>
              <w:top w:val="single" w:color="auto" w:sz="4" w:space="0"/>
              <w:left w:val="single" w:color="auto" w:sz="4" w:space="0"/>
              <w:bottom w:val="single" w:color="auto" w:sz="4" w:space="0"/>
              <w:right w:val="single" w:color="auto" w:sz="4" w:space="0"/>
            </w:tcBorders>
            <w:vAlign w:val="center"/>
          </w:tcPr>
          <w:p w14:paraId="4853C2A5">
            <w:pPr>
              <w:jc w:val="center"/>
              <w:rPr>
                <w:sz w:val="22"/>
                <w:szCs w:val="21"/>
                <w:lang w:eastAsia="en-US"/>
              </w:rPr>
            </w:pPr>
            <w:r>
              <w:rPr>
                <w:sz w:val="22"/>
                <w:szCs w:val="21"/>
                <w:lang w:eastAsia="en-US"/>
              </w:rPr>
              <w:t>三级</w:t>
            </w:r>
          </w:p>
        </w:tc>
        <w:tc>
          <w:tcPr>
            <w:tcW w:w="688" w:type="dxa"/>
            <w:tcBorders>
              <w:top w:val="single" w:color="auto" w:sz="4" w:space="0"/>
              <w:left w:val="single" w:color="auto" w:sz="4" w:space="0"/>
              <w:bottom w:val="single" w:color="auto" w:sz="4" w:space="0"/>
              <w:right w:val="single" w:color="auto" w:sz="4" w:space="0"/>
            </w:tcBorders>
            <w:vAlign w:val="center"/>
          </w:tcPr>
          <w:p w14:paraId="505F1EA3">
            <w:pPr>
              <w:jc w:val="center"/>
              <w:rPr>
                <w:sz w:val="22"/>
                <w:szCs w:val="21"/>
                <w:lang w:eastAsia="en-US"/>
              </w:rPr>
            </w:pPr>
            <w:r>
              <w:rPr>
                <w:sz w:val="22"/>
                <w:szCs w:val="21"/>
                <w:lang w:eastAsia="en-US"/>
              </w:rPr>
              <w:t>-</w:t>
            </w:r>
          </w:p>
        </w:tc>
      </w:tr>
      <w:tr w14:paraId="2F8EA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897" w:type="dxa"/>
            <w:tcBorders>
              <w:top w:val="single" w:color="auto" w:sz="4" w:space="0"/>
              <w:left w:val="single" w:color="auto" w:sz="4" w:space="0"/>
              <w:bottom w:val="single" w:color="auto" w:sz="4" w:space="0"/>
              <w:right w:val="single" w:color="auto" w:sz="4" w:space="0"/>
            </w:tcBorders>
            <w:vAlign w:val="center"/>
          </w:tcPr>
          <w:p w14:paraId="39BE184E">
            <w:pPr>
              <w:jc w:val="center"/>
              <w:rPr>
                <w:sz w:val="22"/>
                <w:szCs w:val="21"/>
                <w:lang w:eastAsia="en-US"/>
              </w:rPr>
            </w:pPr>
            <w:r>
              <w:rPr>
                <w:sz w:val="22"/>
                <w:szCs w:val="21"/>
                <w:lang w:eastAsia="en-US"/>
              </w:rPr>
              <w:t>不敏感</w:t>
            </w:r>
          </w:p>
        </w:tc>
        <w:tc>
          <w:tcPr>
            <w:tcW w:w="734" w:type="dxa"/>
            <w:tcBorders>
              <w:top w:val="single" w:color="auto" w:sz="4" w:space="0"/>
              <w:left w:val="single" w:color="auto" w:sz="4" w:space="0"/>
              <w:bottom w:val="single" w:color="auto" w:sz="4" w:space="0"/>
              <w:right w:val="single" w:color="auto" w:sz="4" w:space="0"/>
            </w:tcBorders>
            <w:vAlign w:val="center"/>
          </w:tcPr>
          <w:p w14:paraId="4CB73E47">
            <w:pPr>
              <w:jc w:val="center"/>
              <w:rPr>
                <w:sz w:val="22"/>
                <w:szCs w:val="21"/>
                <w:lang w:eastAsia="en-US"/>
              </w:rPr>
            </w:pPr>
            <w:r>
              <w:rPr>
                <w:sz w:val="22"/>
                <w:szCs w:val="21"/>
                <w:lang w:eastAsia="en-US"/>
              </w:rPr>
              <w:t>一级</w:t>
            </w:r>
          </w:p>
        </w:tc>
        <w:tc>
          <w:tcPr>
            <w:tcW w:w="734" w:type="dxa"/>
            <w:tcBorders>
              <w:top w:val="single" w:color="auto" w:sz="4" w:space="0"/>
              <w:left w:val="single" w:color="auto" w:sz="4" w:space="0"/>
              <w:bottom w:val="single" w:color="auto" w:sz="4" w:space="0"/>
              <w:right w:val="single" w:color="auto" w:sz="4" w:space="0"/>
            </w:tcBorders>
            <w:vAlign w:val="center"/>
          </w:tcPr>
          <w:p w14:paraId="2CDD10BF">
            <w:pPr>
              <w:jc w:val="center"/>
              <w:rPr>
                <w:sz w:val="22"/>
                <w:szCs w:val="21"/>
                <w:lang w:eastAsia="en-US"/>
              </w:rPr>
            </w:pPr>
            <w:r>
              <w:rPr>
                <w:sz w:val="22"/>
                <w:szCs w:val="21"/>
                <w:lang w:eastAsia="en-US"/>
              </w:rPr>
              <w:t>二级</w:t>
            </w:r>
          </w:p>
        </w:tc>
        <w:tc>
          <w:tcPr>
            <w:tcW w:w="732" w:type="dxa"/>
            <w:tcBorders>
              <w:top w:val="single" w:color="auto" w:sz="4" w:space="0"/>
              <w:left w:val="single" w:color="auto" w:sz="4" w:space="0"/>
              <w:bottom w:val="single" w:color="auto" w:sz="4" w:space="0"/>
              <w:right w:val="single" w:color="auto" w:sz="4" w:space="0"/>
            </w:tcBorders>
            <w:vAlign w:val="center"/>
          </w:tcPr>
          <w:p w14:paraId="37D838E4">
            <w:pPr>
              <w:jc w:val="center"/>
              <w:rPr>
                <w:sz w:val="22"/>
                <w:szCs w:val="21"/>
                <w:lang w:eastAsia="en-US"/>
              </w:rPr>
            </w:pPr>
            <w:r>
              <w:rPr>
                <w:sz w:val="22"/>
                <w:szCs w:val="21"/>
                <w:lang w:eastAsia="en-US"/>
              </w:rPr>
              <w:t>二级</w:t>
            </w:r>
          </w:p>
        </w:tc>
        <w:tc>
          <w:tcPr>
            <w:tcW w:w="732" w:type="dxa"/>
            <w:tcBorders>
              <w:top w:val="single" w:color="auto" w:sz="4" w:space="0"/>
              <w:left w:val="single" w:color="auto" w:sz="4" w:space="0"/>
              <w:bottom w:val="single" w:color="auto" w:sz="4" w:space="0"/>
              <w:right w:val="single" w:color="auto" w:sz="4" w:space="0"/>
            </w:tcBorders>
            <w:vAlign w:val="center"/>
          </w:tcPr>
          <w:p w14:paraId="7D0B63EF">
            <w:pPr>
              <w:jc w:val="center"/>
              <w:rPr>
                <w:sz w:val="22"/>
                <w:szCs w:val="21"/>
                <w:lang w:eastAsia="en-US"/>
              </w:rPr>
            </w:pPr>
            <w:r>
              <w:rPr>
                <w:sz w:val="22"/>
                <w:szCs w:val="21"/>
                <w:lang w:eastAsia="en-US"/>
              </w:rPr>
              <w:t>二级</w:t>
            </w:r>
          </w:p>
        </w:tc>
        <w:tc>
          <w:tcPr>
            <w:tcW w:w="734" w:type="dxa"/>
            <w:tcBorders>
              <w:top w:val="single" w:color="auto" w:sz="4" w:space="0"/>
              <w:left w:val="single" w:color="auto" w:sz="4" w:space="0"/>
              <w:bottom w:val="single" w:color="auto" w:sz="4" w:space="0"/>
              <w:right w:val="single" w:color="auto" w:sz="4" w:space="0"/>
            </w:tcBorders>
            <w:vAlign w:val="center"/>
          </w:tcPr>
          <w:p w14:paraId="3905B140">
            <w:pPr>
              <w:jc w:val="center"/>
              <w:rPr>
                <w:sz w:val="22"/>
                <w:szCs w:val="21"/>
                <w:lang w:eastAsia="en-US"/>
              </w:rPr>
            </w:pPr>
            <w:r>
              <w:rPr>
                <w:sz w:val="22"/>
                <w:szCs w:val="21"/>
                <w:lang w:eastAsia="en-US"/>
              </w:rPr>
              <w:t>三级</w:t>
            </w:r>
          </w:p>
        </w:tc>
        <w:tc>
          <w:tcPr>
            <w:tcW w:w="732" w:type="dxa"/>
            <w:tcBorders>
              <w:top w:val="single" w:color="auto" w:sz="4" w:space="0"/>
              <w:left w:val="single" w:color="auto" w:sz="4" w:space="0"/>
              <w:bottom w:val="single" w:color="auto" w:sz="4" w:space="0"/>
              <w:right w:val="single" w:color="auto" w:sz="4" w:space="0"/>
            </w:tcBorders>
            <w:vAlign w:val="center"/>
          </w:tcPr>
          <w:p w14:paraId="2A6DAD9B">
            <w:pPr>
              <w:jc w:val="center"/>
              <w:rPr>
                <w:sz w:val="22"/>
                <w:szCs w:val="21"/>
                <w:lang w:eastAsia="en-US"/>
              </w:rPr>
            </w:pPr>
            <w:r>
              <w:rPr>
                <w:sz w:val="22"/>
                <w:szCs w:val="21"/>
                <w:lang w:eastAsia="en-US"/>
              </w:rPr>
              <w:t>三级</w:t>
            </w:r>
          </w:p>
        </w:tc>
        <w:tc>
          <w:tcPr>
            <w:tcW w:w="877" w:type="dxa"/>
            <w:tcBorders>
              <w:top w:val="single" w:color="auto" w:sz="4" w:space="0"/>
              <w:left w:val="single" w:color="auto" w:sz="4" w:space="0"/>
              <w:bottom w:val="single" w:color="auto" w:sz="4" w:space="0"/>
              <w:right w:val="single" w:color="auto" w:sz="4" w:space="0"/>
            </w:tcBorders>
            <w:vAlign w:val="center"/>
          </w:tcPr>
          <w:p w14:paraId="4CA9E67B">
            <w:pPr>
              <w:jc w:val="center"/>
              <w:rPr>
                <w:sz w:val="22"/>
                <w:szCs w:val="21"/>
                <w:lang w:eastAsia="en-US"/>
              </w:rPr>
            </w:pPr>
            <w:r>
              <w:rPr>
                <w:sz w:val="22"/>
                <w:szCs w:val="21"/>
                <w:lang w:eastAsia="en-US"/>
              </w:rPr>
              <w:t>三级</w:t>
            </w:r>
          </w:p>
        </w:tc>
        <w:tc>
          <w:tcPr>
            <w:tcW w:w="880" w:type="dxa"/>
            <w:tcBorders>
              <w:top w:val="single" w:color="auto" w:sz="4" w:space="0"/>
              <w:left w:val="single" w:color="auto" w:sz="4" w:space="0"/>
              <w:bottom w:val="single" w:color="auto" w:sz="4" w:space="0"/>
              <w:right w:val="single" w:color="auto" w:sz="4" w:space="0"/>
            </w:tcBorders>
            <w:vAlign w:val="center"/>
          </w:tcPr>
          <w:p w14:paraId="2CFBC7FD">
            <w:pPr>
              <w:jc w:val="center"/>
              <w:rPr>
                <w:sz w:val="22"/>
                <w:szCs w:val="21"/>
                <w:lang w:eastAsia="en-US"/>
              </w:rPr>
            </w:pPr>
            <w:r>
              <w:rPr>
                <w:sz w:val="22"/>
                <w:szCs w:val="21"/>
                <w:lang w:eastAsia="en-US"/>
              </w:rPr>
              <w:t>-</w:t>
            </w:r>
          </w:p>
        </w:tc>
        <w:tc>
          <w:tcPr>
            <w:tcW w:w="688" w:type="dxa"/>
            <w:tcBorders>
              <w:top w:val="single" w:color="auto" w:sz="4" w:space="0"/>
              <w:left w:val="single" w:color="auto" w:sz="4" w:space="0"/>
              <w:bottom w:val="single" w:color="auto" w:sz="4" w:space="0"/>
              <w:right w:val="single" w:color="auto" w:sz="4" w:space="0"/>
            </w:tcBorders>
            <w:vAlign w:val="center"/>
          </w:tcPr>
          <w:p w14:paraId="5233FD71">
            <w:pPr>
              <w:jc w:val="center"/>
              <w:rPr>
                <w:sz w:val="22"/>
                <w:szCs w:val="21"/>
                <w:lang w:eastAsia="en-US"/>
              </w:rPr>
            </w:pPr>
            <w:r>
              <w:rPr>
                <w:sz w:val="22"/>
                <w:szCs w:val="21"/>
                <w:lang w:eastAsia="en-US"/>
              </w:rPr>
              <w:t>-</w:t>
            </w:r>
          </w:p>
        </w:tc>
      </w:tr>
      <w:tr w14:paraId="4B1B2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740" w:type="dxa"/>
            <w:gridSpan w:val="10"/>
            <w:tcBorders>
              <w:top w:val="single" w:color="auto" w:sz="4" w:space="0"/>
              <w:left w:val="single" w:color="auto" w:sz="4" w:space="0"/>
              <w:bottom w:val="single" w:color="auto" w:sz="4" w:space="0"/>
              <w:right w:val="single" w:color="auto" w:sz="4" w:space="0"/>
            </w:tcBorders>
            <w:vAlign w:val="center"/>
          </w:tcPr>
          <w:p w14:paraId="0F4E54E2">
            <w:pPr>
              <w:jc w:val="left"/>
              <w:rPr>
                <w:sz w:val="22"/>
                <w:szCs w:val="21"/>
              </w:rPr>
            </w:pPr>
            <w:r>
              <w:rPr>
                <w:sz w:val="22"/>
                <w:szCs w:val="21"/>
              </w:rPr>
              <w:t>注：“</w:t>
            </w:r>
            <w:r>
              <w:rPr>
                <w:rFonts w:eastAsia="Times New Roman"/>
                <w:sz w:val="22"/>
                <w:szCs w:val="21"/>
              </w:rPr>
              <w:t>-</w:t>
            </w:r>
            <w:r>
              <w:rPr>
                <w:sz w:val="22"/>
                <w:szCs w:val="21"/>
              </w:rPr>
              <w:t>”表示可不开展土壤环境影响评价工作。</w:t>
            </w:r>
          </w:p>
        </w:tc>
      </w:tr>
    </w:tbl>
    <w:p w14:paraId="6BA14335">
      <w:pPr>
        <w:pStyle w:val="1379"/>
        <w:ind w:firstLine="440"/>
      </w:pPr>
    </w:p>
    <w:p w14:paraId="74BC9240">
      <w:pPr>
        <w:pStyle w:val="1381"/>
        <w:ind w:firstLine="522"/>
      </w:pPr>
      <w:r>
        <w:rPr>
          <w:rFonts w:hint="eastAsia"/>
          <w:b/>
          <w:bCs/>
        </w:rPr>
        <w:t>污染影响型</w:t>
      </w:r>
      <w:r>
        <w:rPr>
          <w:rFonts w:hint="eastAsia"/>
        </w:rPr>
        <w:t>：试采站</w:t>
      </w:r>
      <w:r>
        <w:t>周边分布有耕地，土壤环境敏感程度为敏感；</w:t>
      </w:r>
      <w:r>
        <w:rPr>
          <w:rFonts w:hint="eastAsia"/>
        </w:rPr>
        <w:t>试采站</w:t>
      </w:r>
      <w:r>
        <w:t>占地小于5hm</w:t>
      </w:r>
      <w:r>
        <w:rPr>
          <w:vertAlign w:val="superscript"/>
        </w:rPr>
        <w:t>2</w:t>
      </w:r>
      <w:r>
        <w:t>，占地规模属于小型；</w:t>
      </w:r>
      <w:r>
        <w:rPr>
          <w:rFonts w:hint="eastAsia"/>
        </w:rPr>
        <w:t>本项目</w:t>
      </w:r>
      <w:r>
        <w:t>属II类项目，故土壤污染影响型环境影响评价等级为</w:t>
      </w:r>
      <w:r>
        <w:rPr>
          <w:rFonts w:hint="eastAsia"/>
        </w:rPr>
        <w:t>二</w:t>
      </w:r>
      <w:r>
        <w:rPr>
          <w:b/>
          <w:bCs/>
        </w:rPr>
        <w:t>级</w:t>
      </w:r>
      <w:r>
        <w:t>。</w:t>
      </w:r>
    </w:p>
    <w:p w14:paraId="1B508869">
      <w:pPr>
        <w:spacing w:line="460" w:lineRule="exact"/>
        <w:ind w:firstLine="512" w:firstLineChars="196"/>
        <w:outlineLvl w:val="2"/>
        <w:rPr>
          <w:b/>
          <w:sz w:val="26"/>
          <w:szCs w:val="26"/>
        </w:rPr>
      </w:pPr>
      <w:bookmarkStart w:id="81" w:name="_Toc165810467"/>
      <w:r>
        <w:rPr>
          <w:b/>
          <w:sz w:val="26"/>
          <w:szCs w:val="26"/>
        </w:rPr>
        <w:t>1.5.7 环境风险</w:t>
      </w:r>
      <w:bookmarkEnd w:id="81"/>
    </w:p>
    <w:p w14:paraId="7B8DD7D8">
      <w:pPr>
        <w:spacing w:line="460" w:lineRule="exact"/>
        <w:ind w:firstLine="520" w:firstLineChars="200"/>
        <w:rPr>
          <w:sz w:val="26"/>
          <w:szCs w:val="26"/>
        </w:rPr>
      </w:pPr>
      <w:r>
        <w:rPr>
          <w:rFonts w:hint="eastAsia"/>
          <w:sz w:val="26"/>
          <w:szCs w:val="26"/>
        </w:rPr>
        <w:t>本项目为天然气试采站建设项目，所涉及的环境风险物质主要为天然气</w:t>
      </w:r>
      <w:r>
        <w:rPr>
          <w:bCs/>
          <w:sz w:val="26"/>
          <w:szCs w:val="26"/>
        </w:rPr>
        <w:t>（主要成分为甲烷，含少量乙烷</w:t>
      </w:r>
      <w:r>
        <w:rPr>
          <w:rFonts w:hint="eastAsia"/>
          <w:bCs/>
          <w:sz w:val="26"/>
          <w:szCs w:val="26"/>
        </w:rPr>
        <w:t>、</w:t>
      </w:r>
      <w:r>
        <w:rPr>
          <w:bCs/>
          <w:sz w:val="26"/>
          <w:szCs w:val="26"/>
        </w:rPr>
        <w:t>丙烷，</w:t>
      </w:r>
      <w:r>
        <w:rPr>
          <w:b/>
          <w:bCs/>
          <w:sz w:val="26"/>
          <w:szCs w:val="26"/>
        </w:rPr>
        <w:t>不含硫化氢</w:t>
      </w:r>
      <w:r>
        <w:rPr>
          <w:rFonts w:hint="eastAsia"/>
          <w:bCs/>
          <w:sz w:val="26"/>
          <w:szCs w:val="26"/>
        </w:rPr>
        <w:t>）</w:t>
      </w:r>
      <w:r>
        <w:rPr>
          <w:rFonts w:hint="eastAsia"/>
          <w:sz w:val="26"/>
          <w:szCs w:val="26"/>
        </w:rPr>
        <w:t>和凝析油。天然气主要成分中</w:t>
      </w:r>
      <w:r>
        <w:rPr>
          <w:bCs/>
          <w:sz w:val="26"/>
          <w:szCs w:val="26"/>
        </w:rPr>
        <w:t>甲烷、乙烷、丙烷均属于《建设项目环境风险评价技术导则》（HJ169-2018</w:t>
      </w:r>
      <w:r>
        <w:rPr>
          <w:rFonts w:hint="eastAsia"/>
          <w:bCs/>
          <w:sz w:val="26"/>
          <w:szCs w:val="26"/>
        </w:rPr>
        <w:t>）</w:t>
      </w:r>
      <w:r>
        <w:rPr>
          <w:bCs/>
          <w:sz w:val="26"/>
          <w:szCs w:val="26"/>
        </w:rPr>
        <w:t>附录B中危险物质（甲烷、乙烷、丙烷的临界量要求均为10t</w:t>
      </w:r>
      <w:r>
        <w:rPr>
          <w:rFonts w:hint="eastAsia"/>
          <w:bCs/>
          <w:sz w:val="26"/>
          <w:szCs w:val="26"/>
        </w:rPr>
        <w:t>），本次按照最不利情况以试采站全部天然气在线量为计算对象进行风险分析，凝析油以储罐设计容量进行分析。</w:t>
      </w:r>
    </w:p>
    <w:p w14:paraId="0B9E6B8D">
      <w:pPr>
        <w:spacing w:line="460" w:lineRule="exact"/>
        <w:ind w:firstLine="520" w:firstLineChars="200"/>
        <w:rPr>
          <w:sz w:val="26"/>
          <w:szCs w:val="26"/>
        </w:rPr>
      </w:pPr>
      <w:r>
        <w:rPr>
          <w:rFonts w:hint="eastAsia"/>
          <w:sz w:val="26"/>
          <w:szCs w:val="26"/>
        </w:rPr>
        <w:t>本项目危险物质最大在线量及Q值见下表。</w:t>
      </w:r>
    </w:p>
    <w:p w14:paraId="5790B5A5">
      <w:pPr>
        <w:pStyle w:val="1379"/>
        <w:ind w:firstLine="440"/>
      </w:pPr>
    </w:p>
    <w:p w14:paraId="65956856">
      <w:pPr>
        <w:pStyle w:val="1065"/>
        <w:ind w:firstLine="480"/>
      </w:pPr>
      <w:r>
        <w:rPr>
          <w:rFonts w:hint="eastAsia"/>
        </w:rPr>
        <w:t>表</w:t>
      </w:r>
      <w:r>
        <w:t xml:space="preserve">1.5-14   </w:t>
      </w:r>
      <w:r>
        <w:rPr>
          <w:rFonts w:hint="eastAsia"/>
        </w:rPr>
        <w:t>危险单元风险物质最大存在量一览表</w:t>
      </w:r>
    </w:p>
    <w:tbl>
      <w:tblPr>
        <w:tblStyle w:val="88"/>
        <w:tblW w:w="8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96"/>
        <w:gridCol w:w="1285"/>
        <w:gridCol w:w="1000"/>
        <w:gridCol w:w="1392"/>
        <w:gridCol w:w="1134"/>
        <w:gridCol w:w="709"/>
        <w:gridCol w:w="2270"/>
      </w:tblGrid>
      <w:tr w14:paraId="5F5C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2281" w:type="dxa"/>
            <w:gridSpan w:val="2"/>
            <w:vAlign w:val="center"/>
          </w:tcPr>
          <w:p w14:paraId="6EADBB5E">
            <w:pPr>
              <w:widowControl/>
              <w:jc w:val="center"/>
              <w:rPr>
                <w:sz w:val="22"/>
                <w:szCs w:val="22"/>
              </w:rPr>
            </w:pPr>
            <w:r>
              <w:rPr>
                <w:rFonts w:hint="eastAsia"/>
                <w:sz w:val="22"/>
                <w:szCs w:val="22"/>
              </w:rPr>
              <w:t>危险单元</w:t>
            </w:r>
          </w:p>
        </w:tc>
        <w:tc>
          <w:tcPr>
            <w:tcW w:w="1000" w:type="dxa"/>
            <w:vAlign w:val="center"/>
          </w:tcPr>
          <w:p w14:paraId="19F9E86E">
            <w:pPr>
              <w:widowControl/>
              <w:jc w:val="center"/>
              <w:rPr>
                <w:sz w:val="22"/>
                <w:szCs w:val="22"/>
              </w:rPr>
            </w:pPr>
            <w:r>
              <w:rPr>
                <w:sz w:val="22"/>
                <w:szCs w:val="22"/>
              </w:rPr>
              <w:t>风险物质</w:t>
            </w:r>
          </w:p>
        </w:tc>
        <w:tc>
          <w:tcPr>
            <w:tcW w:w="1392" w:type="dxa"/>
            <w:vAlign w:val="center"/>
          </w:tcPr>
          <w:p w14:paraId="2356915D">
            <w:pPr>
              <w:widowControl/>
              <w:jc w:val="center"/>
              <w:rPr>
                <w:sz w:val="22"/>
                <w:szCs w:val="22"/>
              </w:rPr>
            </w:pPr>
            <w:r>
              <w:rPr>
                <w:sz w:val="22"/>
                <w:szCs w:val="22"/>
              </w:rPr>
              <w:t>最大在线量</w:t>
            </w:r>
            <w:r>
              <w:rPr>
                <w:rFonts w:hint="eastAsia"/>
                <w:sz w:val="22"/>
                <w:szCs w:val="22"/>
              </w:rPr>
              <w:t>/</w:t>
            </w:r>
            <w:r>
              <w:rPr>
                <w:sz w:val="22"/>
                <w:szCs w:val="22"/>
              </w:rPr>
              <w:t>t</w:t>
            </w:r>
          </w:p>
        </w:tc>
        <w:tc>
          <w:tcPr>
            <w:tcW w:w="1134" w:type="dxa"/>
            <w:vAlign w:val="center"/>
          </w:tcPr>
          <w:p w14:paraId="4B13689D">
            <w:pPr>
              <w:widowControl/>
              <w:jc w:val="center"/>
              <w:rPr>
                <w:sz w:val="22"/>
                <w:szCs w:val="22"/>
              </w:rPr>
            </w:pPr>
            <w:r>
              <w:rPr>
                <w:sz w:val="22"/>
                <w:szCs w:val="22"/>
              </w:rPr>
              <w:t>临界量</w:t>
            </w:r>
            <w:r>
              <w:rPr>
                <w:rFonts w:hint="eastAsia"/>
                <w:sz w:val="22"/>
                <w:szCs w:val="22"/>
              </w:rPr>
              <w:t>/</w:t>
            </w:r>
            <w:r>
              <w:rPr>
                <w:sz w:val="22"/>
                <w:szCs w:val="22"/>
              </w:rPr>
              <w:t>t</w:t>
            </w:r>
          </w:p>
        </w:tc>
        <w:tc>
          <w:tcPr>
            <w:tcW w:w="709" w:type="dxa"/>
            <w:vAlign w:val="center"/>
          </w:tcPr>
          <w:p w14:paraId="42A121FB">
            <w:pPr>
              <w:widowControl/>
              <w:jc w:val="center"/>
              <w:rPr>
                <w:sz w:val="22"/>
                <w:szCs w:val="22"/>
              </w:rPr>
            </w:pPr>
            <w:r>
              <w:rPr>
                <w:rFonts w:hint="eastAsia"/>
                <w:sz w:val="22"/>
                <w:szCs w:val="22"/>
              </w:rPr>
              <w:t>Q值</w:t>
            </w:r>
          </w:p>
        </w:tc>
        <w:tc>
          <w:tcPr>
            <w:tcW w:w="2270" w:type="dxa"/>
            <w:vAlign w:val="center"/>
          </w:tcPr>
          <w:p w14:paraId="3AA176F2">
            <w:pPr>
              <w:widowControl/>
              <w:jc w:val="center"/>
              <w:rPr>
                <w:sz w:val="22"/>
                <w:szCs w:val="22"/>
              </w:rPr>
            </w:pPr>
            <w:r>
              <w:rPr>
                <w:sz w:val="22"/>
                <w:szCs w:val="22"/>
              </w:rPr>
              <w:t>备注</w:t>
            </w:r>
          </w:p>
        </w:tc>
      </w:tr>
      <w:tr w14:paraId="7915B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996" w:type="dxa"/>
            <w:vMerge w:val="restart"/>
            <w:vAlign w:val="center"/>
          </w:tcPr>
          <w:p w14:paraId="0C753553">
            <w:pPr>
              <w:jc w:val="center"/>
              <w:rPr>
                <w:sz w:val="22"/>
                <w:szCs w:val="22"/>
              </w:rPr>
            </w:pPr>
            <w:r>
              <w:rPr>
                <w:rFonts w:hint="eastAsia"/>
                <w:sz w:val="22"/>
                <w:szCs w:val="22"/>
              </w:rPr>
              <w:t>巴中2HF试采站</w:t>
            </w:r>
          </w:p>
        </w:tc>
        <w:tc>
          <w:tcPr>
            <w:tcW w:w="1285" w:type="dxa"/>
            <w:vAlign w:val="center"/>
          </w:tcPr>
          <w:p w14:paraId="078B67A1">
            <w:pPr>
              <w:widowControl/>
              <w:jc w:val="center"/>
              <w:rPr>
                <w:sz w:val="22"/>
                <w:szCs w:val="22"/>
              </w:rPr>
            </w:pPr>
            <w:r>
              <w:rPr>
                <w:rFonts w:hint="eastAsia"/>
                <w:sz w:val="22"/>
                <w:szCs w:val="22"/>
              </w:rPr>
              <w:t>站内工艺装置（含管道）</w:t>
            </w:r>
          </w:p>
        </w:tc>
        <w:tc>
          <w:tcPr>
            <w:tcW w:w="1000" w:type="dxa"/>
            <w:vAlign w:val="center"/>
          </w:tcPr>
          <w:p w14:paraId="0A1340FE">
            <w:pPr>
              <w:widowControl/>
              <w:jc w:val="center"/>
              <w:rPr>
                <w:sz w:val="22"/>
                <w:szCs w:val="22"/>
              </w:rPr>
            </w:pPr>
            <w:r>
              <w:rPr>
                <w:rFonts w:hint="eastAsia"/>
                <w:sz w:val="22"/>
                <w:szCs w:val="22"/>
              </w:rPr>
              <w:t>甲烷、乙烷、丙烷等</w:t>
            </w:r>
          </w:p>
        </w:tc>
        <w:tc>
          <w:tcPr>
            <w:tcW w:w="1392" w:type="dxa"/>
            <w:vAlign w:val="center"/>
          </w:tcPr>
          <w:p w14:paraId="1FB0F7EA">
            <w:pPr>
              <w:widowControl/>
              <w:jc w:val="center"/>
              <w:rPr>
                <w:sz w:val="22"/>
                <w:szCs w:val="22"/>
              </w:rPr>
            </w:pPr>
            <w:r>
              <w:rPr>
                <w:rFonts w:hint="eastAsia"/>
                <w:sz w:val="22"/>
                <w:szCs w:val="22"/>
              </w:rPr>
              <w:t>0</w:t>
            </w:r>
            <w:r>
              <w:rPr>
                <w:sz w:val="22"/>
                <w:szCs w:val="22"/>
              </w:rPr>
              <w:t>.15</w:t>
            </w:r>
          </w:p>
        </w:tc>
        <w:tc>
          <w:tcPr>
            <w:tcW w:w="1134" w:type="dxa"/>
            <w:vAlign w:val="center"/>
          </w:tcPr>
          <w:p w14:paraId="632382DA">
            <w:pPr>
              <w:widowControl/>
              <w:jc w:val="center"/>
              <w:rPr>
                <w:sz w:val="22"/>
                <w:szCs w:val="22"/>
              </w:rPr>
            </w:pPr>
            <w:r>
              <w:rPr>
                <w:sz w:val="22"/>
                <w:szCs w:val="22"/>
              </w:rPr>
              <w:t>10</w:t>
            </w:r>
            <w:r>
              <w:rPr>
                <w:rFonts w:hint="eastAsia"/>
                <w:sz w:val="22"/>
                <w:szCs w:val="22"/>
              </w:rPr>
              <w:t>t</w:t>
            </w:r>
          </w:p>
        </w:tc>
        <w:tc>
          <w:tcPr>
            <w:tcW w:w="709" w:type="dxa"/>
            <w:vAlign w:val="center"/>
          </w:tcPr>
          <w:p w14:paraId="645FE3E6">
            <w:pPr>
              <w:widowControl/>
              <w:jc w:val="center"/>
              <w:rPr>
                <w:sz w:val="22"/>
                <w:szCs w:val="22"/>
              </w:rPr>
            </w:pPr>
            <w:r>
              <w:rPr>
                <w:rFonts w:hint="eastAsia"/>
                <w:sz w:val="22"/>
                <w:szCs w:val="22"/>
              </w:rPr>
              <w:t>0</w:t>
            </w:r>
            <w:r>
              <w:rPr>
                <w:sz w:val="22"/>
                <w:szCs w:val="22"/>
              </w:rPr>
              <w:t>.015</w:t>
            </w:r>
          </w:p>
        </w:tc>
        <w:tc>
          <w:tcPr>
            <w:tcW w:w="2270" w:type="dxa"/>
            <w:vAlign w:val="center"/>
          </w:tcPr>
          <w:p w14:paraId="4DB6CE50">
            <w:pPr>
              <w:widowControl/>
              <w:jc w:val="center"/>
              <w:rPr>
                <w:sz w:val="22"/>
                <w:szCs w:val="22"/>
              </w:rPr>
            </w:pPr>
            <w:r>
              <w:rPr>
                <w:sz w:val="22"/>
                <w:szCs w:val="22"/>
              </w:rPr>
              <w:t>以站内的管道、设施估算</w:t>
            </w:r>
          </w:p>
        </w:tc>
      </w:tr>
      <w:tr w14:paraId="0563E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996" w:type="dxa"/>
            <w:vMerge w:val="continue"/>
            <w:vAlign w:val="center"/>
          </w:tcPr>
          <w:p w14:paraId="476E94A0">
            <w:pPr>
              <w:jc w:val="center"/>
              <w:rPr>
                <w:sz w:val="22"/>
                <w:szCs w:val="22"/>
              </w:rPr>
            </w:pPr>
          </w:p>
        </w:tc>
        <w:tc>
          <w:tcPr>
            <w:tcW w:w="1285" w:type="dxa"/>
            <w:vAlign w:val="center"/>
          </w:tcPr>
          <w:p w14:paraId="78488707">
            <w:pPr>
              <w:widowControl/>
              <w:jc w:val="center"/>
              <w:rPr>
                <w:sz w:val="22"/>
                <w:szCs w:val="22"/>
              </w:rPr>
            </w:pPr>
            <w:r>
              <w:rPr>
                <w:rFonts w:hint="eastAsia"/>
                <w:sz w:val="22"/>
                <w:szCs w:val="22"/>
              </w:rPr>
              <w:t>C</w:t>
            </w:r>
            <w:r>
              <w:rPr>
                <w:sz w:val="22"/>
                <w:szCs w:val="22"/>
              </w:rPr>
              <w:t>NG</w:t>
            </w:r>
            <w:r>
              <w:rPr>
                <w:rFonts w:hint="eastAsia"/>
                <w:sz w:val="22"/>
                <w:szCs w:val="22"/>
              </w:rPr>
              <w:t>管束车</w:t>
            </w:r>
          </w:p>
        </w:tc>
        <w:tc>
          <w:tcPr>
            <w:tcW w:w="1000" w:type="dxa"/>
            <w:vAlign w:val="center"/>
          </w:tcPr>
          <w:p w14:paraId="11710DA2">
            <w:pPr>
              <w:widowControl/>
              <w:jc w:val="center"/>
              <w:rPr>
                <w:sz w:val="22"/>
                <w:szCs w:val="22"/>
              </w:rPr>
            </w:pPr>
            <w:r>
              <w:rPr>
                <w:rFonts w:hint="eastAsia"/>
                <w:sz w:val="22"/>
                <w:szCs w:val="22"/>
              </w:rPr>
              <w:t>CNG（压缩天然气）</w:t>
            </w:r>
          </w:p>
        </w:tc>
        <w:tc>
          <w:tcPr>
            <w:tcW w:w="1392" w:type="dxa"/>
            <w:vAlign w:val="center"/>
          </w:tcPr>
          <w:p w14:paraId="3924BD85">
            <w:pPr>
              <w:widowControl/>
              <w:jc w:val="center"/>
              <w:rPr>
                <w:sz w:val="22"/>
                <w:szCs w:val="22"/>
              </w:rPr>
            </w:pPr>
            <w:r>
              <w:rPr>
                <w:rFonts w:hint="eastAsia"/>
                <w:sz w:val="22"/>
                <w:szCs w:val="22"/>
              </w:rPr>
              <w:t>3</w:t>
            </w:r>
            <w:r>
              <w:rPr>
                <w:sz w:val="22"/>
                <w:szCs w:val="22"/>
              </w:rPr>
              <w:t>.6</w:t>
            </w:r>
          </w:p>
        </w:tc>
        <w:tc>
          <w:tcPr>
            <w:tcW w:w="1134" w:type="dxa"/>
            <w:vAlign w:val="center"/>
          </w:tcPr>
          <w:p w14:paraId="51875D99">
            <w:pPr>
              <w:widowControl/>
              <w:jc w:val="center"/>
              <w:rPr>
                <w:sz w:val="22"/>
                <w:szCs w:val="22"/>
              </w:rPr>
            </w:pPr>
            <w:r>
              <w:rPr>
                <w:rFonts w:hint="eastAsia"/>
                <w:sz w:val="22"/>
                <w:szCs w:val="22"/>
              </w:rPr>
              <w:t>1</w:t>
            </w:r>
            <w:r>
              <w:rPr>
                <w:sz w:val="22"/>
                <w:szCs w:val="22"/>
              </w:rPr>
              <w:t>0</w:t>
            </w:r>
          </w:p>
        </w:tc>
        <w:tc>
          <w:tcPr>
            <w:tcW w:w="709" w:type="dxa"/>
            <w:vAlign w:val="center"/>
          </w:tcPr>
          <w:p w14:paraId="511E9EF5">
            <w:pPr>
              <w:widowControl/>
              <w:jc w:val="center"/>
              <w:rPr>
                <w:sz w:val="22"/>
                <w:szCs w:val="22"/>
              </w:rPr>
            </w:pPr>
            <w:r>
              <w:rPr>
                <w:rFonts w:hint="eastAsia"/>
                <w:sz w:val="22"/>
                <w:szCs w:val="22"/>
              </w:rPr>
              <w:t>0</w:t>
            </w:r>
            <w:r>
              <w:rPr>
                <w:sz w:val="22"/>
                <w:szCs w:val="22"/>
              </w:rPr>
              <w:t>.36</w:t>
            </w:r>
          </w:p>
        </w:tc>
        <w:tc>
          <w:tcPr>
            <w:tcW w:w="2270" w:type="dxa"/>
            <w:vAlign w:val="center"/>
          </w:tcPr>
          <w:p w14:paraId="1EC4F7D2">
            <w:pPr>
              <w:widowControl/>
              <w:jc w:val="center"/>
              <w:rPr>
                <w:sz w:val="22"/>
                <w:szCs w:val="22"/>
              </w:rPr>
            </w:pPr>
            <w:r>
              <w:rPr>
                <w:rFonts w:hint="eastAsia"/>
                <w:sz w:val="22"/>
                <w:szCs w:val="22"/>
              </w:rPr>
              <w:t>按照单个</w:t>
            </w:r>
            <w:r>
              <w:rPr>
                <w:sz w:val="22"/>
                <w:szCs w:val="22"/>
              </w:rPr>
              <w:t>CNG</w:t>
            </w:r>
            <w:r>
              <w:rPr>
                <w:rFonts w:hint="eastAsia"/>
                <w:sz w:val="22"/>
                <w:szCs w:val="22"/>
              </w:rPr>
              <w:t>管束车全部泄漏</w:t>
            </w:r>
          </w:p>
        </w:tc>
      </w:tr>
      <w:tr w14:paraId="1D45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996" w:type="dxa"/>
            <w:vMerge w:val="continue"/>
            <w:vAlign w:val="center"/>
          </w:tcPr>
          <w:p w14:paraId="50602289">
            <w:pPr>
              <w:widowControl/>
              <w:jc w:val="center"/>
              <w:rPr>
                <w:sz w:val="22"/>
                <w:szCs w:val="22"/>
              </w:rPr>
            </w:pPr>
          </w:p>
        </w:tc>
        <w:tc>
          <w:tcPr>
            <w:tcW w:w="1285" w:type="dxa"/>
            <w:vAlign w:val="center"/>
          </w:tcPr>
          <w:p w14:paraId="1319CD98">
            <w:pPr>
              <w:widowControl/>
              <w:jc w:val="center"/>
              <w:rPr>
                <w:sz w:val="22"/>
                <w:szCs w:val="22"/>
              </w:rPr>
            </w:pPr>
            <w:r>
              <w:rPr>
                <w:rFonts w:hint="eastAsia"/>
                <w:sz w:val="22"/>
                <w:szCs w:val="22"/>
              </w:rPr>
              <w:t>凝析油储罐</w:t>
            </w:r>
          </w:p>
        </w:tc>
        <w:tc>
          <w:tcPr>
            <w:tcW w:w="1000" w:type="dxa"/>
            <w:vAlign w:val="center"/>
          </w:tcPr>
          <w:p w14:paraId="5FF1024E">
            <w:pPr>
              <w:widowControl/>
              <w:jc w:val="center"/>
              <w:rPr>
                <w:sz w:val="22"/>
                <w:szCs w:val="22"/>
              </w:rPr>
            </w:pPr>
            <w:r>
              <w:rPr>
                <w:rFonts w:hint="eastAsia"/>
                <w:sz w:val="22"/>
                <w:szCs w:val="22"/>
              </w:rPr>
              <w:t>凝析油</w:t>
            </w:r>
          </w:p>
        </w:tc>
        <w:tc>
          <w:tcPr>
            <w:tcW w:w="1392" w:type="dxa"/>
            <w:vAlign w:val="center"/>
          </w:tcPr>
          <w:p w14:paraId="3BF24C1E">
            <w:pPr>
              <w:widowControl/>
              <w:jc w:val="center"/>
              <w:rPr>
                <w:sz w:val="22"/>
                <w:szCs w:val="22"/>
              </w:rPr>
            </w:pPr>
            <w:r>
              <w:rPr>
                <w:sz w:val="22"/>
                <w:szCs w:val="22"/>
              </w:rPr>
              <w:t>79.1</w:t>
            </w:r>
          </w:p>
        </w:tc>
        <w:tc>
          <w:tcPr>
            <w:tcW w:w="1134" w:type="dxa"/>
            <w:vAlign w:val="center"/>
          </w:tcPr>
          <w:p w14:paraId="595EF64F">
            <w:pPr>
              <w:widowControl/>
              <w:jc w:val="center"/>
              <w:rPr>
                <w:sz w:val="22"/>
                <w:szCs w:val="22"/>
              </w:rPr>
            </w:pPr>
            <w:r>
              <w:rPr>
                <w:sz w:val="22"/>
                <w:szCs w:val="22"/>
              </w:rPr>
              <w:t>2500</w:t>
            </w:r>
          </w:p>
        </w:tc>
        <w:tc>
          <w:tcPr>
            <w:tcW w:w="709" w:type="dxa"/>
            <w:vAlign w:val="center"/>
          </w:tcPr>
          <w:p w14:paraId="2B1C259E">
            <w:pPr>
              <w:widowControl/>
              <w:jc w:val="center"/>
              <w:rPr>
                <w:sz w:val="22"/>
                <w:szCs w:val="22"/>
              </w:rPr>
            </w:pPr>
            <w:r>
              <w:rPr>
                <w:rFonts w:hint="eastAsia"/>
                <w:sz w:val="22"/>
                <w:szCs w:val="22"/>
              </w:rPr>
              <w:t>0</w:t>
            </w:r>
            <w:r>
              <w:rPr>
                <w:sz w:val="22"/>
                <w:szCs w:val="22"/>
              </w:rPr>
              <w:t>.032</w:t>
            </w:r>
          </w:p>
        </w:tc>
        <w:tc>
          <w:tcPr>
            <w:tcW w:w="2270" w:type="dxa"/>
            <w:vAlign w:val="center"/>
          </w:tcPr>
          <w:p w14:paraId="71DBEDF8">
            <w:pPr>
              <w:widowControl/>
              <w:jc w:val="center"/>
              <w:rPr>
                <w:sz w:val="22"/>
                <w:szCs w:val="22"/>
              </w:rPr>
            </w:pPr>
            <w:r>
              <w:rPr>
                <w:rFonts w:hint="eastAsia"/>
                <w:sz w:val="22"/>
                <w:szCs w:val="22"/>
              </w:rPr>
              <w:t>储罐罐总容积</w:t>
            </w:r>
            <w:r>
              <w:rPr>
                <w:sz w:val="22"/>
                <w:szCs w:val="22"/>
              </w:rPr>
              <w:t>100</w:t>
            </w:r>
            <w:r>
              <w:rPr>
                <w:rFonts w:hint="eastAsia"/>
                <w:sz w:val="22"/>
                <w:szCs w:val="22"/>
              </w:rPr>
              <w:t>m</w:t>
            </w:r>
            <w:r>
              <w:rPr>
                <w:sz w:val="22"/>
                <w:szCs w:val="22"/>
                <w:vertAlign w:val="superscript"/>
              </w:rPr>
              <w:t>3</w:t>
            </w:r>
            <w:r>
              <w:rPr>
                <w:rFonts w:hint="eastAsia"/>
                <w:sz w:val="22"/>
                <w:szCs w:val="22"/>
              </w:rPr>
              <w:t>，凝析油密度0</w:t>
            </w:r>
            <w:r>
              <w:rPr>
                <w:sz w:val="22"/>
                <w:szCs w:val="22"/>
              </w:rPr>
              <w:t>.791g/cm</w:t>
            </w:r>
            <w:r>
              <w:rPr>
                <w:sz w:val="22"/>
                <w:szCs w:val="22"/>
                <w:vertAlign w:val="superscript"/>
              </w:rPr>
              <w:t>3</w:t>
            </w:r>
          </w:p>
        </w:tc>
      </w:tr>
      <w:tr w14:paraId="4036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996" w:type="dxa"/>
            <w:vMerge w:val="continue"/>
            <w:vAlign w:val="center"/>
          </w:tcPr>
          <w:p w14:paraId="04A3D2D4">
            <w:pPr>
              <w:widowControl/>
              <w:jc w:val="center"/>
              <w:rPr>
                <w:sz w:val="22"/>
                <w:szCs w:val="22"/>
              </w:rPr>
            </w:pPr>
          </w:p>
        </w:tc>
        <w:tc>
          <w:tcPr>
            <w:tcW w:w="4811" w:type="dxa"/>
            <w:gridSpan w:val="4"/>
            <w:vAlign w:val="center"/>
          </w:tcPr>
          <w:p w14:paraId="1BDBB0E3">
            <w:pPr>
              <w:widowControl/>
              <w:jc w:val="center"/>
              <w:rPr>
                <w:sz w:val="22"/>
                <w:szCs w:val="22"/>
              </w:rPr>
            </w:pPr>
            <w:r>
              <w:rPr>
                <w:rFonts w:hint="eastAsia"/>
                <w:sz w:val="22"/>
                <w:szCs w:val="22"/>
              </w:rPr>
              <w:t>合计</w:t>
            </w:r>
          </w:p>
        </w:tc>
        <w:tc>
          <w:tcPr>
            <w:tcW w:w="709" w:type="dxa"/>
            <w:vAlign w:val="center"/>
          </w:tcPr>
          <w:p w14:paraId="561DABD6">
            <w:pPr>
              <w:widowControl/>
              <w:jc w:val="center"/>
              <w:rPr>
                <w:sz w:val="22"/>
                <w:szCs w:val="22"/>
              </w:rPr>
            </w:pPr>
            <w:r>
              <w:rPr>
                <w:rFonts w:hint="eastAsia"/>
                <w:sz w:val="22"/>
                <w:szCs w:val="22"/>
              </w:rPr>
              <w:t>0</w:t>
            </w:r>
            <w:r>
              <w:rPr>
                <w:sz w:val="22"/>
                <w:szCs w:val="22"/>
              </w:rPr>
              <w:t>.407</w:t>
            </w:r>
          </w:p>
        </w:tc>
        <w:tc>
          <w:tcPr>
            <w:tcW w:w="2270" w:type="dxa"/>
            <w:vAlign w:val="center"/>
          </w:tcPr>
          <w:p w14:paraId="4B56137F">
            <w:pPr>
              <w:widowControl/>
              <w:jc w:val="center"/>
              <w:rPr>
                <w:sz w:val="22"/>
                <w:szCs w:val="22"/>
              </w:rPr>
            </w:pPr>
          </w:p>
        </w:tc>
      </w:tr>
      <w:tr w14:paraId="6D72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8786" w:type="dxa"/>
            <w:gridSpan w:val="7"/>
            <w:vAlign w:val="center"/>
          </w:tcPr>
          <w:p w14:paraId="14A73395">
            <w:pPr>
              <w:widowControl/>
              <w:rPr>
                <w:sz w:val="22"/>
                <w:szCs w:val="22"/>
              </w:rPr>
            </w:pPr>
            <w:r>
              <w:rPr>
                <w:rFonts w:hint="eastAsia"/>
                <w:szCs w:val="22"/>
              </w:rPr>
              <w:t>注：</w:t>
            </w:r>
            <w:r>
              <w:rPr>
                <w:szCs w:val="22"/>
              </w:rPr>
              <w:t>CNG</w:t>
            </w:r>
            <w:r>
              <w:rPr>
                <w:rFonts w:hint="eastAsia"/>
                <w:szCs w:val="22"/>
              </w:rPr>
              <w:t>管束车容量一般为</w:t>
            </w:r>
            <w:r>
              <w:rPr>
                <w:szCs w:val="22"/>
              </w:rPr>
              <w:t>20~25m</w:t>
            </w:r>
            <w:r>
              <w:rPr>
                <w:szCs w:val="22"/>
                <w:vertAlign w:val="superscript"/>
              </w:rPr>
              <w:t>3</w:t>
            </w:r>
            <w:r>
              <w:rPr>
                <w:rFonts w:hint="eastAsia"/>
                <w:szCs w:val="22"/>
              </w:rPr>
              <w:t>，工作压力为</w:t>
            </w:r>
            <w:r>
              <w:rPr>
                <w:szCs w:val="22"/>
              </w:rPr>
              <w:t>20MPa</w:t>
            </w:r>
            <w:r>
              <w:rPr>
                <w:rFonts w:hint="eastAsia"/>
                <w:szCs w:val="22"/>
              </w:rPr>
              <w:t>，则拉运量为</w:t>
            </w:r>
            <w:r>
              <w:rPr>
                <w:szCs w:val="22"/>
              </w:rPr>
              <w:t>4000~5000Nm</w:t>
            </w:r>
            <w:r>
              <w:rPr>
                <w:szCs w:val="22"/>
                <w:vertAlign w:val="superscript"/>
              </w:rPr>
              <w:t>3</w:t>
            </w:r>
            <w:r>
              <w:rPr>
                <w:szCs w:val="22"/>
              </w:rPr>
              <w:t>/</w:t>
            </w:r>
            <w:r>
              <w:rPr>
                <w:rFonts w:hint="eastAsia"/>
                <w:szCs w:val="22"/>
              </w:rPr>
              <w:t>车，考虑最不利情况</w:t>
            </w:r>
            <w:r>
              <w:rPr>
                <w:szCs w:val="22"/>
              </w:rPr>
              <w:t>CNG</w:t>
            </w:r>
            <w:r>
              <w:rPr>
                <w:rFonts w:hint="eastAsia"/>
                <w:szCs w:val="22"/>
              </w:rPr>
              <w:t>管束车在站内倾倒，按</w:t>
            </w:r>
            <w:r>
              <w:rPr>
                <w:szCs w:val="22"/>
              </w:rPr>
              <w:t>1</w:t>
            </w:r>
            <w:r>
              <w:rPr>
                <w:rFonts w:hint="eastAsia"/>
                <w:szCs w:val="22"/>
              </w:rPr>
              <w:t>辆管束车全部泄漏，泄漏量为</w:t>
            </w:r>
            <w:r>
              <w:rPr>
                <w:szCs w:val="22"/>
              </w:rPr>
              <w:t>5000Nm</w:t>
            </w:r>
            <w:r>
              <w:rPr>
                <w:szCs w:val="22"/>
                <w:vertAlign w:val="superscript"/>
              </w:rPr>
              <w:t>3</w:t>
            </w:r>
            <w:r>
              <w:rPr>
                <w:rFonts w:hint="eastAsia"/>
                <w:szCs w:val="22"/>
              </w:rPr>
              <w:t>（密度按</w:t>
            </w:r>
            <w:r>
              <w:rPr>
                <w:szCs w:val="22"/>
              </w:rPr>
              <w:t>0.72kg/Nm</w:t>
            </w:r>
            <w:r>
              <w:rPr>
                <w:szCs w:val="22"/>
                <w:vertAlign w:val="superscript"/>
              </w:rPr>
              <w:t>3</w:t>
            </w:r>
            <w:r>
              <w:rPr>
                <w:rFonts w:hint="eastAsia"/>
                <w:szCs w:val="22"/>
              </w:rPr>
              <w:t>考虑，约</w:t>
            </w:r>
            <w:r>
              <w:rPr>
                <w:szCs w:val="22"/>
              </w:rPr>
              <w:t>3.6t</w:t>
            </w:r>
            <w:r>
              <w:rPr>
                <w:rFonts w:hint="eastAsia"/>
                <w:szCs w:val="22"/>
              </w:rPr>
              <w:t>）</w:t>
            </w:r>
            <w:r>
              <w:rPr>
                <w:szCs w:val="22"/>
              </w:rPr>
              <w:t>；</w:t>
            </w:r>
          </w:p>
        </w:tc>
      </w:tr>
    </w:tbl>
    <w:p w14:paraId="131915DB">
      <w:pPr>
        <w:pStyle w:val="1379"/>
        <w:ind w:firstLine="440"/>
      </w:pPr>
    </w:p>
    <w:p w14:paraId="446820A4">
      <w:pPr>
        <w:snapToGrid w:val="0"/>
        <w:spacing w:line="460" w:lineRule="exact"/>
        <w:ind w:firstLine="520" w:firstLineChars="200"/>
        <w:rPr>
          <w:sz w:val="26"/>
          <w:szCs w:val="26"/>
        </w:rPr>
      </w:pPr>
      <w:r>
        <w:rPr>
          <w:rFonts w:hint="eastAsia"/>
          <w:sz w:val="26"/>
          <w:szCs w:val="26"/>
        </w:rPr>
        <w:t>根据</w:t>
      </w:r>
      <w:r>
        <w:rPr>
          <w:rFonts w:hint="eastAsia"/>
          <w:sz w:val="26"/>
          <w:szCs w:val="26"/>
          <w:u w:val="single"/>
        </w:rPr>
        <w:t>表1.5-1</w:t>
      </w:r>
      <w:r>
        <w:rPr>
          <w:sz w:val="26"/>
          <w:szCs w:val="26"/>
          <w:u w:val="single"/>
        </w:rPr>
        <w:t>3</w:t>
      </w:r>
      <w:r>
        <w:rPr>
          <w:rFonts w:hint="eastAsia"/>
          <w:sz w:val="26"/>
          <w:szCs w:val="26"/>
        </w:rPr>
        <w:t>可知，本项目Q&lt;1，环境风险潜势为I，评价工作等级为“简单分析”。</w:t>
      </w:r>
    </w:p>
    <w:p w14:paraId="69B90240">
      <w:pPr>
        <w:spacing w:line="460" w:lineRule="exact"/>
        <w:ind w:firstLine="522" w:firstLineChars="200"/>
        <w:outlineLvl w:val="1"/>
        <w:rPr>
          <w:b/>
          <w:sz w:val="26"/>
          <w:szCs w:val="26"/>
        </w:rPr>
      </w:pPr>
      <w:bookmarkStart w:id="82" w:name="_Toc496535114"/>
      <w:bookmarkStart w:id="83" w:name="_Toc219907626"/>
      <w:bookmarkStart w:id="84" w:name="_Toc165810468"/>
      <w:bookmarkStart w:id="85" w:name="_Toc165809676"/>
      <w:r>
        <w:rPr>
          <w:b/>
          <w:sz w:val="26"/>
          <w:szCs w:val="26"/>
        </w:rPr>
        <w:t>1.6 评价范围</w:t>
      </w:r>
      <w:bookmarkEnd w:id="82"/>
      <w:bookmarkEnd w:id="83"/>
      <w:bookmarkEnd w:id="84"/>
      <w:bookmarkEnd w:id="85"/>
    </w:p>
    <w:p w14:paraId="799846CF">
      <w:pPr>
        <w:autoSpaceDE w:val="0"/>
        <w:autoSpaceDN w:val="0"/>
        <w:adjustRightInd w:val="0"/>
        <w:spacing w:line="460" w:lineRule="exact"/>
        <w:ind w:firstLine="520" w:firstLineChars="200"/>
        <w:rPr>
          <w:sz w:val="26"/>
          <w:szCs w:val="26"/>
        </w:rPr>
      </w:pPr>
      <w:r>
        <w:rPr>
          <w:rFonts w:hint="eastAsia"/>
          <w:sz w:val="26"/>
          <w:szCs w:val="26"/>
        </w:rPr>
        <w:t>（1）生态环境</w:t>
      </w:r>
    </w:p>
    <w:p w14:paraId="61E1732D">
      <w:pPr>
        <w:autoSpaceDE w:val="0"/>
        <w:autoSpaceDN w:val="0"/>
        <w:adjustRightInd w:val="0"/>
        <w:spacing w:line="460" w:lineRule="exact"/>
        <w:ind w:firstLine="520" w:firstLineChars="200"/>
        <w:rPr>
          <w:sz w:val="26"/>
          <w:szCs w:val="26"/>
        </w:rPr>
      </w:pPr>
      <w:r>
        <w:rPr>
          <w:rFonts w:hint="eastAsia"/>
          <w:sz w:val="26"/>
          <w:szCs w:val="26"/>
        </w:rPr>
        <w:t>本项目在原有井场占地范围内建设，仅涉及陆生生态环境影响，陆生生态环境影响评价等级为三级，</w:t>
      </w:r>
      <w:bookmarkStart w:id="86" w:name="_Hlk107821811"/>
      <w:r>
        <w:rPr>
          <w:sz w:val="26"/>
          <w:szCs w:val="26"/>
        </w:rPr>
        <w:t>根据《环境影响评价技术导则 生态影响》（HJ19-2022）和</w:t>
      </w:r>
      <w:bookmarkStart w:id="87" w:name="_Hlk109668432"/>
      <w:r>
        <w:rPr>
          <w:sz w:val="26"/>
          <w:szCs w:val="26"/>
        </w:rPr>
        <w:t>《环境影响评价技术导则 陆地石油天然气开发建设项目》（HJ349-2023）</w:t>
      </w:r>
      <w:bookmarkEnd w:id="87"/>
      <w:r>
        <w:rPr>
          <w:sz w:val="26"/>
          <w:szCs w:val="26"/>
        </w:rPr>
        <w:t>，本项目</w:t>
      </w:r>
      <w:bookmarkEnd w:id="86"/>
      <w:bookmarkStart w:id="88" w:name="_Hlk107821822"/>
      <w:r>
        <w:rPr>
          <w:sz w:val="26"/>
          <w:szCs w:val="26"/>
        </w:rPr>
        <w:t>以试采站场界外延50m</w:t>
      </w:r>
      <w:bookmarkEnd w:id="88"/>
      <w:r>
        <w:rPr>
          <w:rFonts w:hint="eastAsia"/>
          <w:sz w:val="26"/>
          <w:szCs w:val="26"/>
        </w:rPr>
        <w:t>作</w:t>
      </w:r>
      <w:r>
        <w:rPr>
          <w:sz w:val="26"/>
          <w:szCs w:val="26"/>
        </w:rPr>
        <w:t>为</w:t>
      </w:r>
      <w:r>
        <w:rPr>
          <w:rFonts w:hint="eastAsia"/>
          <w:sz w:val="26"/>
          <w:szCs w:val="26"/>
        </w:rPr>
        <w:t>生态影响</w:t>
      </w:r>
      <w:r>
        <w:rPr>
          <w:sz w:val="26"/>
          <w:szCs w:val="26"/>
        </w:rPr>
        <w:t>评价范围</w:t>
      </w:r>
      <w:r>
        <w:rPr>
          <w:rFonts w:hint="eastAsia"/>
          <w:sz w:val="26"/>
          <w:szCs w:val="26"/>
        </w:rPr>
        <w:t>，详见</w:t>
      </w:r>
      <w:r>
        <w:rPr>
          <w:rFonts w:hint="eastAsia"/>
          <w:sz w:val="26"/>
          <w:szCs w:val="26"/>
          <w:u w:val="single"/>
        </w:rPr>
        <w:t>图1</w:t>
      </w:r>
      <w:r>
        <w:rPr>
          <w:sz w:val="26"/>
          <w:szCs w:val="26"/>
          <w:u w:val="single"/>
        </w:rPr>
        <w:t>.6-1</w:t>
      </w:r>
      <w:r>
        <w:rPr>
          <w:rFonts w:hint="eastAsia"/>
          <w:sz w:val="26"/>
          <w:szCs w:val="26"/>
        </w:rPr>
        <w:t>。</w:t>
      </w:r>
    </w:p>
    <w:p w14:paraId="210C687B">
      <w:pPr>
        <w:pStyle w:val="1379"/>
        <w:ind w:firstLine="440"/>
      </w:pPr>
    </w:p>
    <w:p w14:paraId="7410F612">
      <w:pPr>
        <w:pStyle w:val="1065"/>
      </w:pPr>
      <w:r>
        <w:drawing>
          <wp:inline distT="0" distB="0" distL="0" distR="0">
            <wp:extent cx="5543550" cy="432816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43550" cy="4328160"/>
                    </a:xfrm>
                    <a:prstGeom prst="rect">
                      <a:avLst/>
                    </a:prstGeom>
                  </pic:spPr>
                </pic:pic>
              </a:graphicData>
            </a:graphic>
          </wp:inline>
        </w:drawing>
      </w:r>
    </w:p>
    <w:p w14:paraId="49BD0401">
      <w:pPr>
        <w:pStyle w:val="1065"/>
      </w:pPr>
      <w:r>
        <w:rPr>
          <w:rFonts w:hint="eastAsia"/>
        </w:rPr>
        <w:t>图1</w:t>
      </w:r>
      <w:r>
        <w:t xml:space="preserve">.6-1  </w:t>
      </w:r>
      <w:r>
        <w:rPr>
          <w:rFonts w:hint="eastAsia"/>
        </w:rPr>
        <w:t>生态、声环境、土壤环境、环境风险评价范围图</w:t>
      </w:r>
    </w:p>
    <w:p w14:paraId="734F70C1">
      <w:pPr>
        <w:pStyle w:val="1379"/>
        <w:ind w:firstLine="440"/>
      </w:pPr>
    </w:p>
    <w:p w14:paraId="49A58683">
      <w:pPr>
        <w:autoSpaceDE w:val="0"/>
        <w:autoSpaceDN w:val="0"/>
        <w:adjustRightInd w:val="0"/>
        <w:spacing w:line="460" w:lineRule="exact"/>
        <w:ind w:firstLine="520" w:firstLineChars="200"/>
        <w:rPr>
          <w:sz w:val="26"/>
          <w:szCs w:val="26"/>
        </w:rPr>
      </w:pPr>
      <w:r>
        <w:rPr>
          <w:sz w:val="26"/>
          <w:szCs w:val="26"/>
        </w:rPr>
        <w:t>（2）大气环境</w:t>
      </w:r>
    </w:p>
    <w:p w14:paraId="6E2626BB">
      <w:pPr>
        <w:autoSpaceDE w:val="0"/>
        <w:autoSpaceDN w:val="0"/>
        <w:adjustRightInd w:val="0"/>
        <w:spacing w:line="460" w:lineRule="exact"/>
        <w:ind w:firstLine="520" w:firstLineChars="200"/>
        <w:rPr>
          <w:sz w:val="26"/>
          <w:szCs w:val="26"/>
        </w:rPr>
      </w:pPr>
      <w:r>
        <w:rPr>
          <w:sz w:val="26"/>
          <w:szCs w:val="26"/>
        </w:rPr>
        <w:t>本项目大气评价等级为二级，评价范围为以</w:t>
      </w:r>
      <w:r>
        <w:rPr>
          <w:rFonts w:hint="eastAsia"/>
          <w:sz w:val="26"/>
          <w:szCs w:val="26"/>
        </w:rPr>
        <w:t>试采站</w:t>
      </w:r>
      <w:r>
        <w:rPr>
          <w:sz w:val="26"/>
          <w:szCs w:val="26"/>
        </w:rPr>
        <w:t>为中心的边长5km矩形区域</w:t>
      </w:r>
      <w:r>
        <w:rPr>
          <w:rFonts w:hint="eastAsia"/>
          <w:sz w:val="26"/>
          <w:szCs w:val="26"/>
        </w:rPr>
        <w:t>，详见</w:t>
      </w:r>
      <w:r>
        <w:rPr>
          <w:rFonts w:hint="eastAsia"/>
          <w:sz w:val="26"/>
          <w:szCs w:val="26"/>
          <w:u w:val="single"/>
        </w:rPr>
        <w:t>图1</w:t>
      </w:r>
      <w:r>
        <w:rPr>
          <w:sz w:val="26"/>
          <w:szCs w:val="26"/>
          <w:u w:val="single"/>
        </w:rPr>
        <w:t>.6-2</w:t>
      </w:r>
      <w:r>
        <w:rPr>
          <w:rFonts w:hint="eastAsia"/>
          <w:sz w:val="26"/>
          <w:szCs w:val="26"/>
        </w:rPr>
        <w:t>。</w:t>
      </w:r>
    </w:p>
    <w:p w14:paraId="48A8B74A">
      <w:pPr>
        <w:pStyle w:val="1379"/>
        <w:ind w:firstLine="440"/>
      </w:pPr>
      <w:r>
        <w:rPr>
          <w:snapToGrid/>
        </w:rPr>
        <w:drawing>
          <wp:inline distT="0" distB="0" distL="0" distR="0">
            <wp:extent cx="5543550" cy="4203700"/>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43550" cy="4203700"/>
                    </a:xfrm>
                    <a:prstGeom prst="rect">
                      <a:avLst/>
                    </a:prstGeom>
                  </pic:spPr>
                </pic:pic>
              </a:graphicData>
            </a:graphic>
          </wp:inline>
        </w:drawing>
      </w:r>
    </w:p>
    <w:p w14:paraId="243E7331">
      <w:pPr>
        <w:pStyle w:val="1065"/>
      </w:pPr>
      <w:r>
        <w:rPr>
          <w:rFonts w:hint="eastAsia"/>
        </w:rPr>
        <w:t>图1</w:t>
      </w:r>
      <w:r>
        <w:t>.6</w:t>
      </w:r>
      <w:r>
        <w:rPr>
          <w:rFonts w:hint="eastAsia"/>
        </w:rPr>
        <w:t>-</w:t>
      </w:r>
      <w:r>
        <w:t xml:space="preserve">2  </w:t>
      </w:r>
      <w:r>
        <w:rPr>
          <w:rFonts w:hint="eastAsia"/>
        </w:rPr>
        <w:t>大气评价范围图</w:t>
      </w:r>
    </w:p>
    <w:p w14:paraId="0AD5EE01">
      <w:pPr>
        <w:pStyle w:val="1379"/>
        <w:ind w:firstLine="440"/>
      </w:pPr>
    </w:p>
    <w:p w14:paraId="4C184F9D">
      <w:pPr>
        <w:autoSpaceDE w:val="0"/>
        <w:autoSpaceDN w:val="0"/>
        <w:adjustRightInd w:val="0"/>
        <w:spacing w:line="460" w:lineRule="exact"/>
        <w:ind w:firstLine="520" w:firstLineChars="200"/>
        <w:rPr>
          <w:sz w:val="26"/>
          <w:szCs w:val="26"/>
        </w:rPr>
      </w:pPr>
      <w:r>
        <w:rPr>
          <w:sz w:val="26"/>
          <w:szCs w:val="26"/>
        </w:rPr>
        <w:t>（3）地表水环境</w:t>
      </w:r>
    </w:p>
    <w:p w14:paraId="5BB31D2A">
      <w:pPr>
        <w:autoSpaceDE w:val="0"/>
        <w:autoSpaceDN w:val="0"/>
        <w:adjustRightInd w:val="0"/>
        <w:spacing w:line="460" w:lineRule="exact"/>
        <w:ind w:firstLine="520" w:firstLineChars="200"/>
        <w:rPr>
          <w:sz w:val="26"/>
          <w:szCs w:val="26"/>
        </w:rPr>
      </w:pPr>
      <w:r>
        <w:rPr>
          <w:sz w:val="26"/>
          <w:szCs w:val="26"/>
        </w:rPr>
        <w:t>本项目地表水环境评价等级为三级B，不设置具体评价范围，仅论证废水零排放的可行性。</w:t>
      </w:r>
    </w:p>
    <w:p w14:paraId="0172BA04">
      <w:pPr>
        <w:autoSpaceDE w:val="0"/>
        <w:autoSpaceDN w:val="0"/>
        <w:adjustRightInd w:val="0"/>
        <w:spacing w:line="460" w:lineRule="exact"/>
        <w:ind w:firstLine="520" w:firstLineChars="200"/>
        <w:rPr>
          <w:sz w:val="26"/>
          <w:szCs w:val="26"/>
        </w:rPr>
      </w:pPr>
      <w:r>
        <w:rPr>
          <w:sz w:val="26"/>
          <w:szCs w:val="26"/>
        </w:rPr>
        <w:t>（4）地下水环境</w:t>
      </w:r>
    </w:p>
    <w:p w14:paraId="7060BF17">
      <w:pPr>
        <w:autoSpaceDE w:val="0"/>
        <w:autoSpaceDN w:val="0"/>
        <w:adjustRightInd w:val="0"/>
        <w:spacing w:line="460" w:lineRule="exact"/>
        <w:ind w:firstLine="520" w:firstLineChars="200"/>
        <w:rPr>
          <w:sz w:val="26"/>
          <w:szCs w:val="26"/>
        </w:rPr>
      </w:pPr>
      <w:bookmarkStart w:id="89" w:name="_Hlk510715480"/>
      <w:r>
        <w:rPr>
          <w:rFonts w:hint="eastAsia"/>
          <w:sz w:val="26"/>
          <w:szCs w:val="26"/>
        </w:rPr>
        <w:t>本项目场地内地下水以大气降雨为主要补给源，经地下渗流最终汇入地势较低的小溪沟，总体具有就近补给、就近排泄的特点。根据现场调查、区域水文地质资料及本项目所在区域地形特点，水文地质单元边界较为清晰，故主要采用公式法结合自定义法，以地下水补给排泄条件为基础确定本项目地下水环境影响评价调查范围。</w:t>
      </w:r>
    </w:p>
    <w:p w14:paraId="4A8FD09D">
      <w:pPr>
        <w:autoSpaceDE w:val="0"/>
        <w:autoSpaceDN w:val="0"/>
        <w:adjustRightInd w:val="0"/>
        <w:spacing w:line="460" w:lineRule="exact"/>
        <w:ind w:firstLine="520" w:firstLineChars="200"/>
        <w:rPr>
          <w:sz w:val="26"/>
          <w:szCs w:val="26"/>
        </w:rPr>
      </w:pPr>
      <w:r>
        <w:rPr>
          <w:rFonts w:hint="eastAsia"/>
          <w:sz w:val="26"/>
          <w:szCs w:val="26"/>
        </w:rPr>
        <w:t>公式计算法：当建设项目所在地水文地质条件相对简单，且所掌握的资料能够满足公式计算法的要求时，应采用公式计算法确定：</w:t>
      </w:r>
    </w:p>
    <w:p w14:paraId="0A42E93C">
      <w:pPr>
        <w:autoSpaceDE w:val="0"/>
        <w:autoSpaceDN w:val="0"/>
        <w:adjustRightInd w:val="0"/>
        <w:spacing w:line="460" w:lineRule="exact"/>
        <w:ind w:firstLine="520" w:firstLineChars="200"/>
        <w:jc w:val="center"/>
        <w:rPr>
          <w:sz w:val="26"/>
          <w:szCs w:val="26"/>
          <w:vertAlign w:val="subscript"/>
        </w:rPr>
      </w:pPr>
      <w:r>
        <w:rPr>
          <w:rFonts w:hint="eastAsia"/>
          <w:sz w:val="26"/>
          <w:szCs w:val="26"/>
        </w:rPr>
        <w:t>L=</w:t>
      </w:r>
      <w:r>
        <w:rPr>
          <w:sz w:val="26"/>
          <w:szCs w:val="26"/>
        </w:rPr>
        <w:t>α×</w:t>
      </w:r>
      <w:r>
        <w:rPr>
          <w:rFonts w:hint="eastAsia"/>
          <w:sz w:val="26"/>
          <w:szCs w:val="26"/>
        </w:rPr>
        <w:t>K</w:t>
      </w:r>
      <w:r>
        <w:rPr>
          <w:sz w:val="26"/>
          <w:szCs w:val="26"/>
        </w:rPr>
        <w:t>×</w:t>
      </w:r>
      <w:r>
        <w:rPr>
          <w:rFonts w:hint="eastAsia"/>
          <w:sz w:val="26"/>
          <w:szCs w:val="26"/>
        </w:rPr>
        <w:t>I</w:t>
      </w:r>
      <w:r>
        <w:rPr>
          <w:sz w:val="26"/>
          <w:szCs w:val="26"/>
        </w:rPr>
        <w:t>×</w:t>
      </w:r>
      <w:r>
        <w:rPr>
          <w:rFonts w:hint="eastAsia"/>
          <w:sz w:val="26"/>
          <w:szCs w:val="26"/>
        </w:rPr>
        <w:t>T/n</w:t>
      </w:r>
      <w:r>
        <w:rPr>
          <w:rFonts w:hint="eastAsia"/>
          <w:sz w:val="26"/>
          <w:szCs w:val="26"/>
          <w:vertAlign w:val="subscript"/>
        </w:rPr>
        <w:t>e</w:t>
      </w:r>
    </w:p>
    <w:p w14:paraId="43FA603D">
      <w:pPr>
        <w:autoSpaceDE w:val="0"/>
        <w:autoSpaceDN w:val="0"/>
        <w:adjustRightInd w:val="0"/>
        <w:spacing w:line="460" w:lineRule="exact"/>
        <w:ind w:firstLine="520" w:firstLineChars="200"/>
        <w:rPr>
          <w:sz w:val="26"/>
          <w:szCs w:val="26"/>
        </w:rPr>
      </w:pPr>
      <w:r>
        <w:rPr>
          <w:rFonts w:hint="eastAsia"/>
          <w:sz w:val="26"/>
          <w:szCs w:val="26"/>
        </w:rPr>
        <w:t>式中：L—下游迁移距离；</w:t>
      </w:r>
    </w:p>
    <w:p w14:paraId="774ADBE6">
      <w:pPr>
        <w:autoSpaceDE w:val="0"/>
        <w:autoSpaceDN w:val="0"/>
        <w:adjustRightInd w:val="0"/>
        <w:spacing w:line="460" w:lineRule="exact"/>
        <w:ind w:firstLine="1258" w:firstLineChars="484"/>
        <w:rPr>
          <w:sz w:val="26"/>
          <w:szCs w:val="26"/>
        </w:rPr>
      </w:pPr>
      <w:r>
        <w:rPr>
          <w:sz w:val="26"/>
          <w:szCs w:val="26"/>
        </w:rPr>
        <w:t>α</w:t>
      </w:r>
      <w:r>
        <w:rPr>
          <w:rFonts w:hint="eastAsia"/>
          <w:sz w:val="26"/>
          <w:szCs w:val="26"/>
        </w:rPr>
        <w:t>—变化系数，</w:t>
      </w:r>
      <w:r>
        <w:rPr>
          <w:sz w:val="26"/>
          <w:szCs w:val="26"/>
        </w:rPr>
        <w:t>α≥</w:t>
      </w:r>
      <w:r>
        <w:rPr>
          <w:rFonts w:hint="eastAsia"/>
          <w:sz w:val="26"/>
          <w:szCs w:val="26"/>
        </w:rPr>
        <w:t>1，一般取2；</w:t>
      </w:r>
    </w:p>
    <w:p w14:paraId="0DE2FB4C">
      <w:pPr>
        <w:autoSpaceDE w:val="0"/>
        <w:autoSpaceDN w:val="0"/>
        <w:adjustRightInd w:val="0"/>
        <w:spacing w:line="460" w:lineRule="exact"/>
        <w:ind w:firstLine="1258" w:firstLineChars="484"/>
        <w:rPr>
          <w:sz w:val="26"/>
          <w:szCs w:val="26"/>
        </w:rPr>
      </w:pPr>
      <w:r>
        <w:rPr>
          <w:rFonts w:hint="eastAsia"/>
          <w:sz w:val="26"/>
          <w:szCs w:val="26"/>
        </w:rPr>
        <w:t>K—渗透系数，m/d；本次取0.10m/d；</w:t>
      </w:r>
    </w:p>
    <w:p w14:paraId="57CF4616">
      <w:pPr>
        <w:autoSpaceDE w:val="0"/>
        <w:autoSpaceDN w:val="0"/>
        <w:adjustRightInd w:val="0"/>
        <w:spacing w:line="460" w:lineRule="exact"/>
        <w:ind w:firstLine="1258" w:firstLineChars="484"/>
        <w:rPr>
          <w:sz w:val="26"/>
          <w:szCs w:val="26"/>
        </w:rPr>
      </w:pPr>
      <w:r>
        <w:rPr>
          <w:rFonts w:hint="eastAsia"/>
          <w:sz w:val="26"/>
          <w:szCs w:val="26"/>
        </w:rPr>
        <w:t>I—水力坡度，无量纲；本次取2%；</w:t>
      </w:r>
    </w:p>
    <w:p w14:paraId="45C08BAA">
      <w:pPr>
        <w:autoSpaceDE w:val="0"/>
        <w:autoSpaceDN w:val="0"/>
        <w:adjustRightInd w:val="0"/>
        <w:spacing w:line="460" w:lineRule="exact"/>
        <w:ind w:firstLine="1258" w:firstLineChars="484"/>
        <w:rPr>
          <w:sz w:val="26"/>
          <w:szCs w:val="26"/>
        </w:rPr>
      </w:pPr>
      <w:r>
        <w:rPr>
          <w:rFonts w:hint="eastAsia"/>
          <w:sz w:val="26"/>
          <w:szCs w:val="26"/>
        </w:rPr>
        <w:t>T—质点迁移天数，取值不小于5000d；本次取5000d。</w:t>
      </w:r>
    </w:p>
    <w:p w14:paraId="06BAD227">
      <w:pPr>
        <w:autoSpaceDE w:val="0"/>
        <w:autoSpaceDN w:val="0"/>
        <w:adjustRightInd w:val="0"/>
        <w:spacing w:line="460" w:lineRule="exact"/>
        <w:ind w:firstLine="1258" w:firstLineChars="484"/>
        <w:rPr>
          <w:sz w:val="26"/>
          <w:szCs w:val="26"/>
        </w:rPr>
      </w:pPr>
      <w:r>
        <w:rPr>
          <w:rFonts w:hint="eastAsia"/>
          <w:sz w:val="26"/>
          <w:szCs w:val="26"/>
        </w:rPr>
        <w:t>n</w:t>
      </w:r>
      <w:r>
        <w:rPr>
          <w:rFonts w:hint="eastAsia"/>
          <w:sz w:val="26"/>
          <w:szCs w:val="26"/>
          <w:vertAlign w:val="subscript"/>
        </w:rPr>
        <w:t>e</w:t>
      </w:r>
      <w:r>
        <w:rPr>
          <w:rFonts w:hint="eastAsia"/>
          <w:sz w:val="26"/>
          <w:szCs w:val="26"/>
        </w:rPr>
        <w:t>—有效孔隙度，无量纲。本次取0.10。</w:t>
      </w:r>
    </w:p>
    <w:p w14:paraId="481CCA08">
      <w:pPr>
        <w:autoSpaceDE w:val="0"/>
        <w:autoSpaceDN w:val="0"/>
        <w:adjustRightInd w:val="0"/>
        <w:spacing w:line="460" w:lineRule="exact"/>
        <w:ind w:firstLine="520" w:firstLineChars="200"/>
        <w:rPr>
          <w:sz w:val="26"/>
          <w:szCs w:val="26"/>
        </w:rPr>
      </w:pPr>
      <w:r>
        <w:rPr>
          <w:rFonts w:hint="eastAsia"/>
          <w:sz w:val="26"/>
          <w:szCs w:val="26"/>
        </w:rPr>
        <w:t>按照公式法计算厂区溶质5000天向下游运移距离约为200m（L），因此评价区东侧上游以距项目约200m为界（L），结合自定义法，评价区下游西侧以芝子河支流小溪沟为界，北侧和南侧以局部地表分水岭为界（距项目区距离</w:t>
      </w:r>
      <w:r>
        <w:rPr>
          <w:sz w:val="26"/>
          <w:szCs w:val="26"/>
        </w:rPr>
        <w:t>＞</w:t>
      </w:r>
      <w:r>
        <w:rPr>
          <w:rFonts w:hint="eastAsia"/>
          <w:sz w:val="26"/>
          <w:szCs w:val="26"/>
        </w:rPr>
        <w:t>L）。本项目地下水环境评价范围共计约1.01km</w:t>
      </w:r>
      <w:r>
        <w:rPr>
          <w:rFonts w:hint="eastAsia"/>
          <w:sz w:val="26"/>
          <w:szCs w:val="26"/>
          <w:vertAlign w:val="superscript"/>
        </w:rPr>
        <w:t>2</w:t>
      </w:r>
      <w:bookmarkEnd w:id="89"/>
      <w:r>
        <w:rPr>
          <w:rFonts w:hint="eastAsia"/>
          <w:sz w:val="26"/>
          <w:szCs w:val="26"/>
        </w:rPr>
        <w:t>，评价范围图见</w:t>
      </w:r>
      <w:r>
        <w:rPr>
          <w:rFonts w:hint="eastAsia"/>
          <w:sz w:val="26"/>
          <w:szCs w:val="26"/>
          <w:u w:val="single"/>
        </w:rPr>
        <w:t>附图6</w:t>
      </w:r>
      <w:r>
        <w:rPr>
          <w:rFonts w:hint="eastAsia"/>
          <w:sz w:val="26"/>
          <w:szCs w:val="26"/>
        </w:rPr>
        <w:t>。</w:t>
      </w:r>
    </w:p>
    <w:p w14:paraId="0C0F40A2">
      <w:pPr>
        <w:autoSpaceDE w:val="0"/>
        <w:autoSpaceDN w:val="0"/>
        <w:adjustRightInd w:val="0"/>
        <w:spacing w:line="460" w:lineRule="exact"/>
        <w:ind w:firstLine="520" w:firstLineChars="200"/>
        <w:rPr>
          <w:sz w:val="26"/>
          <w:szCs w:val="26"/>
        </w:rPr>
      </w:pPr>
      <w:r>
        <w:rPr>
          <w:sz w:val="26"/>
          <w:szCs w:val="26"/>
        </w:rPr>
        <w:t>（5）声环境</w:t>
      </w:r>
    </w:p>
    <w:p w14:paraId="402F42DF">
      <w:pPr>
        <w:autoSpaceDE w:val="0"/>
        <w:autoSpaceDN w:val="0"/>
        <w:adjustRightInd w:val="0"/>
        <w:spacing w:line="460" w:lineRule="exact"/>
        <w:ind w:firstLine="520" w:firstLineChars="200"/>
        <w:rPr>
          <w:sz w:val="26"/>
          <w:szCs w:val="26"/>
        </w:rPr>
      </w:pPr>
      <w:r>
        <w:rPr>
          <w:rFonts w:hint="eastAsia"/>
          <w:sz w:val="26"/>
          <w:szCs w:val="26"/>
        </w:rPr>
        <w:t>本项目声环境影响评价等级为二级，试采站场界</w:t>
      </w:r>
      <w:r>
        <w:rPr>
          <w:sz w:val="26"/>
          <w:szCs w:val="26"/>
        </w:rPr>
        <w:t>外延200m作为</w:t>
      </w:r>
      <w:r>
        <w:rPr>
          <w:rFonts w:hint="eastAsia"/>
          <w:sz w:val="26"/>
          <w:szCs w:val="26"/>
        </w:rPr>
        <w:t>声</w:t>
      </w:r>
      <w:r>
        <w:rPr>
          <w:sz w:val="26"/>
          <w:szCs w:val="26"/>
        </w:rPr>
        <w:t>环境评价范围</w:t>
      </w:r>
      <w:r>
        <w:rPr>
          <w:rFonts w:hint="eastAsia"/>
          <w:sz w:val="26"/>
          <w:szCs w:val="26"/>
        </w:rPr>
        <w:t>，详见</w:t>
      </w:r>
      <w:r>
        <w:rPr>
          <w:rFonts w:hint="eastAsia"/>
          <w:sz w:val="26"/>
          <w:szCs w:val="26"/>
          <w:u w:val="single"/>
        </w:rPr>
        <w:t>图1</w:t>
      </w:r>
      <w:r>
        <w:rPr>
          <w:sz w:val="26"/>
          <w:szCs w:val="26"/>
          <w:u w:val="single"/>
        </w:rPr>
        <w:t>.6-1</w:t>
      </w:r>
      <w:r>
        <w:rPr>
          <w:rFonts w:hint="eastAsia"/>
          <w:sz w:val="26"/>
          <w:szCs w:val="26"/>
        </w:rPr>
        <w:t>。</w:t>
      </w:r>
    </w:p>
    <w:p w14:paraId="70252B71">
      <w:pPr>
        <w:autoSpaceDE w:val="0"/>
        <w:autoSpaceDN w:val="0"/>
        <w:adjustRightInd w:val="0"/>
        <w:spacing w:line="460" w:lineRule="exact"/>
        <w:ind w:firstLine="520" w:firstLineChars="200"/>
        <w:rPr>
          <w:sz w:val="26"/>
          <w:szCs w:val="26"/>
        </w:rPr>
      </w:pPr>
      <w:r>
        <w:rPr>
          <w:sz w:val="26"/>
          <w:szCs w:val="26"/>
        </w:rPr>
        <w:t>（6）土壤环境</w:t>
      </w:r>
    </w:p>
    <w:p w14:paraId="5D00845C">
      <w:pPr>
        <w:autoSpaceDE w:val="0"/>
        <w:autoSpaceDN w:val="0"/>
        <w:adjustRightInd w:val="0"/>
        <w:spacing w:line="460" w:lineRule="exact"/>
        <w:ind w:firstLine="520" w:firstLineChars="200"/>
        <w:rPr>
          <w:sz w:val="26"/>
          <w:szCs w:val="26"/>
        </w:rPr>
      </w:pPr>
      <w:r>
        <w:rPr>
          <w:sz w:val="26"/>
          <w:szCs w:val="26"/>
        </w:rPr>
        <w:t>本项目</w:t>
      </w:r>
      <w:r>
        <w:rPr>
          <w:rFonts w:hint="eastAsia"/>
          <w:sz w:val="26"/>
          <w:szCs w:val="26"/>
        </w:rPr>
        <w:t>土壤污染影响型评价等级为二级，评价范围为试采站占地范围内以及占地范围外</w:t>
      </w:r>
      <w:r>
        <w:rPr>
          <w:sz w:val="26"/>
          <w:szCs w:val="26"/>
        </w:rPr>
        <w:t>200</w:t>
      </w:r>
      <w:r>
        <w:rPr>
          <w:rFonts w:hint="eastAsia"/>
          <w:sz w:val="26"/>
          <w:szCs w:val="26"/>
        </w:rPr>
        <w:t>m范围，详见</w:t>
      </w:r>
      <w:r>
        <w:rPr>
          <w:rFonts w:hint="eastAsia"/>
          <w:sz w:val="26"/>
          <w:szCs w:val="26"/>
          <w:u w:val="single"/>
        </w:rPr>
        <w:t>图1</w:t>
      </w:r>
      <w:r>
        <w:rPr>
          <w:sz w:val="26"/>
          <w:szCs w:val="26"/>
          <w:u w:val="single"/>
        </w:rPr>
        <w:t>.6-1</w:t>
      </w:r>
      <w:r>
        <w:rPr>
          <w:rFonts w:hint="eastAsia"/>
          <w:sz w:val="26"/>
          <w:szCs w:val="26"/>
        </w:rPr>
        <w:t>。</w:t>
      </w:r>
    </w:p>
    <w:p w14:paraId="77E2B66E">
      <w:pPr>
        <w:autoSpaceDE w:val="0"/>
        <w:autoSpaceDN w:val="0"/>
        <w:adjustRightInd w:val="0"/>
        <w:spacing w:line="460" w:lineRule="exact"/>
        <w:ind w:firstLine="520" w:firstLineChars="200"/>
        <w:rPr>
          <w:sz w:val="26"/>
          <w:szCs w:val="26"/>
        </w:rPr>
      </w:pPr>
      <w:r>
        <w:rPr>
          <w:sz w:val="26"/>
          <w:szCs w:val="26"/>
        </w:rPr>
        <w:t>（7）环境风险</w:t>
      </w:r>
    </w:p>
    <w:p w14:paraId="5E3856AC">
      <w:pPr>
        <w:adjustRightInd w:val="0"/>
        <w:snapToGrid w:val="0"/>
        <w:spacing w:line="460" w:lineRule="exact"/>
        <w:ind w:firstLine="520" w:firstLineChars="200"/>
        <w:rPr>
          <w:kern w:val="0"/>
          <w:sz w:val="26"/>
          <w:szCs w:val="20"/>
        </w:rPr>
      </w:pPr>
      <w:r>
        <w:rPr>
          <w:rFonts w:hint="eastAsia"/>
          <w:kern w:val="0"/>
          <w:sz w:val="26"/>
          <w:szCs w:val="20"/>
        </w:rPr>
        <w:t>本项目环境风险评价等级为简单分析，不设置具体评价范围，考虑到天然气、凝析油和气田水的泄漏风险，本项目环境风险重点调查</w:t>
      </w:r>
      <w:r>
        <w:rPr>
          <w:rFonts w:hint="eastAsia"/>
          <w:sz w:val="26"/>
          <w:szCs w:val="26"/>
        </w:rPr>
        <w:t>试采站场界外5</w:t>
      </w:r>
      <w:r>
        <w:rPr>
          <w:sz w:val="26"/>
          <w:szCs w:val="26"/>
        </w:rPr>
        <w:t>00</w:t>
      </w:r>
      <w:r>
        <w:rPr>
          <w:rFonts w:hint="eastAsia"/>
          <w:sz w:val="26"/>
          <w:szCs w:val="26"/>
        </w:rPr>
        <w:t>m区域。</w:t>
      </w:r>
    </w:p>
    <w:p w14:paraId="1EF88EAF">
      <w:pPr>
        <w:adjustRightInd w:val="0"/>
        <w:snapToGrid w:val="0"/>
        <w:spacing w:line="460" w:lineRule="exact"/>
        <w:ind w:firstLine="522" w:firstLineChars="200"/>
        <w:outlineLvl w:val="1"/>
      </w:pPr>
      <w:bookmarkStart w:id="90" w:name="_Toc165809677"/>
      <w:bookmarkStart w:id="91" w:name="_Toc219907627"/>
      <w:bookmarkStart w:id="92" w:name="_Toc165810469"/>
      <w:bookmarkStart w:id="93" w:name="_Toc158006775"/>
      <w:bookmarkStart w:id="94" w:name="_Toc220170970"/>
      <w:bookmarkStart w:id="95" w:name="_Toc164084304"/>
      <w:r>
        <w:rPr>
          <w:b/>
          <w:sz w:val="26"/>
          <w:szCs w:val="26"/>
        </w:rPr>
        <w:t xml:space="preserve">1.7 </w:t>
      </w:r>
      <w:r>
        <w:rPr>
          <w:rFonts w:hint="eastAsia"/>
          <w:b/>
          <w:sz w:val="26"/>
          <w:szCs w:val="26"/>
        </w:rPr>
        <w:t>建设</w:t>
      </w:r>
      <w:r>
        <w:rPr>
          <w:b/>
          <w:bCs/>
          <w:sz w:val="26"/>
          <w:szCs w:val="26"/>
        </w:rPr>
        <w:t>项目环境可行性论证分析</w:t>
      </w:r>
      <w:bookmarkEnd w:id="90"/>
      <w:bookmarkEnd w:id="91"/>
      <w:bookmarkEnd w:id="92"/>
    </w:p>
    <w:p w14:paraId="40868B84">
      <w:pPr>
        <w:pStyle w:val="702"/>
        <w:ind w:firstLine="522"/>
        <w:outlineLvl w:val="2"/>
        <w:rPr>
          <w:rFonts w:cs="Times New Roman"/>
          <w:b/>
          <w:kern w:val="2"/>
          <w:szCs w:val="26"/>
        </w:rPr>
      </w:pPr>
      <w:bookmarkStart w:id="96" w:name="_Toc165810470"/>
      <w:r>
        <w:rPr>
          <w:rFonts w:cs="Times New Roman"/>
          <w:b/>
          <w:kern w:val="2"/>
          <w:szCs w:val="26"/>
        </w:rPr>
        <w:t>1.7.1 产业政策符合性分析</w:t>
      </w:r>
      <w:bookmarkEnd w:id="96"/>
    </w:p>
    <w:p w14:paraId="04A32CC9">
      <w:pPr>
        <w:adjustRightInd w:val="0"/>
        <w:snapToGrid w:val="0"/>
        <w:spacing w:line="460" w:lineRule="exact"/>
        <w:ind w:firstLine="522" w:firstLineChars="200"/>
        <w:rPr>
          <w:bCs/>
          <w:sz w:val="26"/>
          <w:szCs w:val="26"/>
        </w:rPr>
      </w:pPr>
      <w:r>
        <w:rPr>
          <w:rFonts w:hint="eastAsia"/>
          <w:b/>
          <w:bCs/>
          <w:sz w:val="26"/>
          <w:szCs w:val="26"/>
        </w:rPr>
        <w:t>（1）</w:t>
      </w:r>
      <w:r>
        <w:rPr>
          <w:b/>
          <w:bCs/>
          <w:sz w:val="26"/>
          <w:szCs w:val="26"/>
        </w:rPr>
        <w:t>与《产业结构调整指导目录》的符合性</w:t>
      </w:r>
    </w:p>
    <w:p w14:paraId="02F9C8BB">
      <w:pPr>
        <w:adjustRightInd w:val="0"/>
        <w:snapToGrid w:val="0"/>
        <w:spacing w:line="480" w:lineRule="exact"/>
        <w:ind w:firstLine="520" w:firstLineChars="200"/>
        <w:rPr>
          <w:bCs/>
          <w:sz w:val="26"/>
          <w:szCs w:val="26"/>
        </w:rPr>
      </w:pPr>
      <w:r>
        <w:rPr>
          <w:bCs/>
          <w:sz w:val="26"/>
          <w:szCs w:val="26"/>
        </w:rPr>
        <w:t>本项目系天然气勘探开发中的天然气开发工程，项目属于</w:t>
      </w:r>
      <w:r>
        <w:rPr>
          <w:rFonts w:hint="eastAsia"/>
          <w:bCs/>
          <w:sz w:val="26"/>
          <w:szCs w:val="26"/>
        </w:rPr>
        <w:t>《产业结构调整指导目录（2024年本）》</w:t>
      </w:r>
      <w:r>
        <w:rPr>
          <w:bCs/>
          <w:sz w:val="26"/>
          <w:szCs w:val="26"/>
        </w:rPr>
        <w:t>规定</w:t>
      </w:r>
      <w:r>
        <w:rPr>
          <w:rFonts w:hint="eastAsia"/>
          <w:bCs/>
          <w:sz w:val="26"/>
          <w:szCs w:val="26"/>
        </w:rPr>
        <w:t>第一类 鼓励类中</w:t>
      </w:r>
      <w:r>
        <w:rPr>
          <w:bCs/>
          <w:sz w:val="26"/>
          <w:szCs w:val="26"/>
        </w:rPr>
        <w:t>的第七条第一款（</w:t>
      </w:r>
      <w:r>
        <w:rPr>
          <w:rFonts w:hint="eastAsia"/>
          <w:bCs/>
          <w:sz w:val="26"/>
          <w:szCs w:val="26"/>
        </w:rPr>
        <w:t>石油天然气开采：常规石油、天然气勘探与开采，页岩气、页岩油、致密油（气）、油砂、天然气水合物等非常规资源勘探开发</w:t>
      </w:r>
      <w:r>
        <w:rPr>
          <w:bCs/>
          <w:sz w:val="26"/>
          <w:szCs w:val="26"/>
        </w:rPr>
        <w:t>），因此本项目建设符合国家产业政策。</w:t>
      </w:r>
    </w:p>
    <w:p w14:paraId="439659C4">
      <w:pPr>
        <w:adjustRightInd w:val="0"/>
        <w:snapToGrid w:val="0"/>
        <w:spacing w:line="480" w:lineRule="exact"/>
        <w:ind w:firstLine="520" w:firstLineChars="200"/>
        <w:rPr>
          <w:bCs/>
          <w:sz w:val="26"/>
          <w:szCs w:val="26"/>
        </w:rPr>
      </w:pPr>
      <w:r>
        <w:rPr>
          <w:bCs/>
          <w:sz w:val="26"/>
          <w:szCs w:val="26"/>
        </w:rPr>
        <w:t>本项目不属于国务院规定关停的15类严重污染环境的</w:t>
      </w:r>
      <w:r>
        <w:rPr>
          <w:rFonts w:hint="eastAsia"/>
          <w:bCs/>
          <w:sz w:val="26"/>
          <w:szCs w:val="26"/>
        </w:rPr>
        <w:t>“</w:t>
      </w:r>
      <w:r>
        <w:rPr>
          <w:bCs/>
          <w:sz w:val="26"/>
          <w:szCs w:val="26"/>
        </w:rPr>
        <w:t>十五</w:t>
      </w:r>
      <w:r>
        <w:rPr>
          <w:rFonts w:hint="eastAsia"/>
          <w:bCs/>
          <w:sz w:val="26"/>
          <w:szCs w:val="26"/>
        </w:rPr>
        <w:t>”</w:t>
      </w:r>
      <w:r>
        <w:rPr>
          <w:bCs/>
          <w:sz w:val="26"/>
          <w:szCs w:val="26"/>
        </w:rPr>
        <w:t>小项目，不属于列入《第一批严重污染环境（大气）的淘汰工艺与设备名录》、《淘汰落后生产能力、工艺和产品的目录》（第一批、第二批、第三批）和《工商投资领域制止重复建设目录》的项目，因此本项目不违反国家有关产业政策。</w:t>
      </w:r>
    </w:p>
    <w:p w14:paraId="79FE9802">
      <w:pPr>
        <w:adjustRightInd w:val="0"/>
        <w:snapToGrid w:val="0"/>
        <w:spacing w:line="460" w:lineRule="exact"/>
        <w:ind w:firstLine="522" w:firstLineChars="200"/>
        <w:rPr>
          <w:b/>
          <w:bCs/>
          <w:sz w:val="26"/>
          <w:szCs w:val="26"/>
        </w:rPr>
      </w:pPr>
      <w:r>
        <w:rPr>
          <w:rFonts w:hint="eastAsia"/>
          <w:b/>
          <w:bCs/>
          <w:sz w:val="26"/>
          <w:szCs w:val="26"/>
        </w:rPr>
        <w:t>（2）与《关于进一步加强石油天然气行业环境影响评价管理的通知》（环办环评函〔2019〕910 号）符合性分析</w:t>
      </w:r>
    </w:p>
    <w:p w14:paraId="371A7379">
      <w:pPr>
        <w:adjustRightInd w:val="0"/>
        <w:snapToGrid w:val="0"/>
        <w:spacing w:line="460" w:lineRule="exact"/>
        <w:ind w:firstLine="520" w:firstLineChars="200"/>
        <w:rPr>
          <w:sz w:val="26"/>
          <w:szCs w:val="26"/>
        </w:rPr>
      </w:pPr>
      <w:r>
        <w:rPr>
          <w:sz w:val="26"/>
          <w:szCs w:val="26"/>
        </w:rPr>
        <w:t>本项目与“环办环评函〔2019〕910号”对比分析详见下表。</w:t>
      </w:r>
    </w:p>
    <w:p w14:paraId="0CCCAE6B">
      <w:pPr>
        <w:pStyle w:val="1379"/>
        <w:ind w:firstLine="440"/>
      </w:pPr>
    </w:p>
    <w:p w14:paraId="234C00F6">
      <w:pPr>
        <w:pStyle w:val="1065"/>
        <w:ind w:firstLine="480"/>
      </w:pPr>
      <w:r>
        <w:t>表1.7-1  本项目与“环办评函〔2019〕910号”对比分析表</w:t>
      </w:r>
    </w:p>
    <w:tbl>
      <w:tblPr>
        <w:tblStyle w:val="88"/>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57"/>
        <w:gridCol w:w="4456"/>
        <w:gridCol w:w="2733"/>
        <w:gridCol w:w="798"/>
      </w:tblGrid>
      <w:tr w14:paraId="4807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35CD98C9">
            <w:pPr>
              <w:adjustRightInd w:val="0"/>
              <w:snapToGrid w:val="0"/>
              <w:ind w:left="-53" w:leftChars="-25" w:right="-53" w:rightChars="-25"/>
              <w:jc w:val="center"/>
              <w:rPr>
                <w:bCs/>
                <w:sz w:val="22"/>
                <w:szCs w:val="22"/>
              </w:rPr>
            </w:pPr>
            <w:r>
              <w:rPr>
                <w:bCs/>
                <w:sz w:val="22"/>
                <w:szCs w:val="22"/>
              </w:rPr>
              <w:t>序号</w:t>
            </w:r>
          </w:p>
        </w:tc>
        <w:tc>
          <w:tcPr>
            <w:tcW w:w="4456" w:type="dxa"/>
            <w:vAlign w:val="center"/>
          </w:tcPr>
          <w:p w14:paraId="2B6B326F">
            <w:pPr>
              <w:adjustRightInd w:val="0"/>
              <w:snapToGrid w:val="0"/>
              <w:ind w:left="-53" w:leftChars="-25" w:right="-53" w:rightChars="-25"/>
              <w:jc w:val="center"/>
              <w:rPr>
                <w:bCs/>
                <w:sz w:val="22"/>
                <w:szCs w:val="22"/>
              </w:rPr>
            </w:pPr>
            <w:r>
              <w:rPr>
                <w:bCs/>
                <w:sz w:val="22"/>
                <w:szCs w:val="22"/>
              </w:rPr>
              <w:t>技术政策要求</w:t>
            </w:r>
          </w:p>
        </w:tc>
        <w:tc>
          <w:tcPr>
            <w:tcW w:w="2733" w:type="dxa"/>
            <w:vAlign w:val="center"/>
          </w:tcPr>
          <w:p w14:paraId="4A7A96E1">
            <w:pPr>
              <w:adjustRightInd w:val="0"/>
              <w:snapToGrid w:val="0"/>
              <w:ind w:left="-53" w:leftChars="-25" w:right="-53" w:rightChars="-25"/>
              <w:jc w:val="center"/>
              <w:rPr>
                <w:bCs/>
                <w:sz w:val="22"/>
                <w:szCs w:val="22"/>
              </w:rPr>
            </w:pPr>
            <w:r>
              <w:rPr>
                <w:bCs/>
                <w:sz w:val="22"/>
                <w:szCs w:val="22"/>
              </w:rPr>
              <w:t>本工程内容</w:t>
            </w:r>
          </w:p>
        </w:tc>
        <w:tc>
          <w:tcPr>
            <w:tcW w:w="798" w:type="dxa"/>
            <w:vAlign w:val="center"/>
          </w:tcPr>
          <w:p w14:paraId="5BFB0550">
            <w:pPr>
              <w:adjustRightInd w:val="0"/>
              <w:snapToGrid w:val="0"/>
              <w:ind w:left="-53" w:leftChars="-25" w:right="-53" w:rightChars="-25"/>
              <w:jc w:val="center"/>
              <w:rPr>
                <w:bCs/>
                <w:sz w:val="22"/>
                <w:szCs w:val="22"/>
              </w:rPr>
            </w:pPr>
            <w:r>
              <w:rPr>
                <w:bCs/>
                <w:sz w:val="22"/>
                <w:szCs w:val="22"/>
              </w:rPr>
              <w:t>符合性</w:t>
            </w:r>
          </w:p>
        </w:tc>
      </w:tr>
      <w:tr w14:paraId="4BFD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6831610E">
            <w:pPr>
              <w:adjustRightInd w:val="0"/>
              <w:snapToGrid w:val="0"/>
              <w:ind w:left="-53" w:leftChars="-25" w:right="-53" w:rightChars="-25"/>
              <w:jc w:val="center"/>
              <w:rPr>
                <w:bCs/>
                <w:sz w:val="22"/>
                <w:szCs w:val="22"/>
              </w:rPr>
            </w:pPr>
            <w:r>
              <w:rPr>
                <w:rFonts w:hint="eastAsia"/>
                <w:bCs/>
                <w:sz w:val="22"/>
                <w:szCs w:val="22"/>
              </w:rPr>
              <w:t>一</w:t>
            </w:r>
          </w:p>
        </w:tc>
        <w:tc>
          <w:tcPr>
            <w:tcW w:w="7987" w:type="dxa"/>
            <w:gridSpan w:val="3"/>
            <w:vAlign w:val="center"/>
          </w:tcPr>
          <w:p w14:paraId="49653DB6">
            <w:pPr>
              <w:adjustRightInd w:val="0"/>
              <w:snapToGrid w:val="0"/>
              <w:ind w:left="-53" w:leftChars="-25" w:right="-53" w:rightChars="-25"/>
              <w:jc w:val="center"/>
              <w:rPr>
                <w:b/>
                <w:bCs/>
                <w:sz w:val="22"/>
                <w:szCs w:val="22"/>
              </w:rPr>
            </w:pPr>
            <w:r>
              <w:rPr>
                <w:rFonts w:hint="eastAsia"/>
                <w:b/>
                <w:bCs/>
                <w:sz w:val="22"/>
                <w:szCs w:val="22"/>
              </w:rPr>
              <w:t>推进规划环境影响评价</w:t>
            </w:r>
          </w:p>
        </w:tc>
      </w:tr>
      <w:tr w14:paraId="46B0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501842D6">
            <w:pPr>
              <w:adjustRightInd w:val="0"/>
              <w:snapToGrid w:val="0"/>
              <w:ind w:left="-53" w:leftChars="-25" w:right="-53" w:rightChars="-25"/>
              <w:jc w:val="center"/>
              <w:rPr>
                <w:bCs/>
                <w:sz w:val="22"/>
                <w:szCs w:val="22"/>
              </w:rPr>
            </w:pPr>
            <w:r>
              <w:rPr>
                <w:rFonts w:hint="eastAsia"/>
                <w:bCs/>
                <w:sz w:val="22"/>
                <w:szCs w:val="22"/>
              </w:rPr>
              <w:t>（二）</w:t>
            </w:r>
          </w:p>
        </w:tc>
        <w:tc>
          <w:tcPr>
            <w:tcW w:w="4456" w:type="dxa"/>
            <w:vAlign w:val="center"/>
          </w:tcPr>
          <w:p w14:paraId="4DC8F88A">
            <w:pPr>
              <w:adjustRightInd w:val="0"/>
              <w:snapToGrid w:val="0"/>
              <w:ind w:left="-53" w:leftChars="-25" w:right="-53" w:rightChars="-25"/>
              <w:rPr>
                <w:bCs/>
                <w:sz w:val="22"/>
                <w:szCs w:val="22"/>
              </w:rPr>
            </w:pPr>
            <w:r>
              <w:rPr>
                <w:rFonts w:hint="eastAsia"/>
                <w:bCs/>
                <w:sz w:val="22"/>
                <w:szCs w:val="22"/>
              </w:rPr>
              <w:t>油气企业在编制内部相关油气开发专项规划时，鼓励同步编制规划环境影响报告书。</w:t>
            </w:r>
          </w:p>
        </w:tc>
        <w:tc>
          <w:tcPr>
            <w:tcW w:w="2733" w:type="dxa"/>
            <w:vAlign w:val="center"/>
          </w:tcPr>
          <w:p w14:paraId="31F39615">
            <w:pPr>
              <w:adjustRightInd w:val="0"/>
              <w:snapToGrid w:val="0"/>
              <w:ind w:left="-53" w:leftChars="-25" w:right="-53" w:rightChars="-25"/>
              <w:rPr>
                <w:bCs/>
                <w:sz w:val="22"/>
                <w:szCs w:val="22"/>
              </w:rPr>
            </w:pPr>
            <w:r>
              <w:rPr>
                <w:rFonts w:hint="eastAsia"/>
                <w:bCs/>
                <w:sz w:val="22"/>
                <w:szCs w:val="22"/>
              </w:rPr>
              <w:t>本项目不属于相关油气开发专项规划。</w:t>
            </w:r>
          </w:p>
        </w:tc>
        <w:tc>
          <w:tcPr>
            <w:tcW w:w="798" w:type="dxa"/>
            <w:vAlign w:val="center"/>
          </w:tcPr>
          <w:p w14:paraId="68D17633">
            <w:pPr>
              <w:adjustRightInd w:val="0"/>
              <w:snapToGrid w:val="0"/>
              <w:ind w:left="-53" w:leftChars="-25" w:right="-53" w:rightChars="-25"/>
              <w:jc w:val="center"/>
              <w:rPr>
                <w:bCs/>
                <w:sz w:val="22"/>
                <w:szCs w:val="22"/>
              </w:rPr>
            </w:pPr>
            <w:r>
              <w:rPr>
                <w:rFonts w:hint="eastAsia"/>
                <w:bCs/>
                <w:sz w:val="22"/>
                <w:szCs w:val="22"/>
              </w:rPr>
              <w:t>不违背</w:t>
            </w:r>
          </w:p>
        </w:tc>
      </w:tr>
      <w:tr w14:paraId="24E5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77CB88B2">
            <w:pPr>
              <w:adjustRightInd w:val="0"/>
              <w:snapToGrid w:val="0"/>
              <w:ind w:left="-53" w:leftChars="-25" w:right="-53" w:rightChars="-25"/>
              <w:jc w:val="center"/>
              <w:rPr>
                <w:b/>
                <w:bCs/>
                <w:sz w:val="22"/>
                <w:szCs w:val="22"/>
              </w:rPr>
            </w:pPr>
            <w:r>
              <w:rPr>
                <w:b/>
                <w:bCs/>
                <w:sz w:val="22"/>
                <w:szCs w:val="22"/>
              </w:rPr>
              <w:t>二</w:t>
            </w:r>
          </w:p>
        </w:tc>
        <w:tc>
          <w:tcPr>
            <w:tcW w:w="7987" w:type="dxa"/>
            <w:gridSpan w:val="3"/>
            <w:vAlign w:val="center"/>
          </w:tcPr>
          <w:p w14:paraId="56480B46">
            <w:pPr>
              <w:adjustRightInd w:val="0"/>
              <w:snapToGrid w:val="0"/>
              <w:ind w:left="-53" w:leftChars="-25" w:right="-53" w:rightChars="-25"/>
              <w:jc w:val="center"/>
              <w:rPr>
                <w:b/>
                <w:bCs/>
                <w:sz w:val="22"/>
                <w:szCs w:val="22"/>
              </w:rPr>
            </w:pPr>
            <w:r>
              <w:rPr>
                <w:b/>
                <w:bCs/>
                <w:sz w:val="22"/>
                <w:szCs w:val="22"/>
              </w:rPr>
              <w:t>深化项目环评“放管服”改革</w:t>
            </w:r>
          </w:p>
        </w:tc>
      </w:tr>
      <w:tr w14:paraId="272D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1044C30C">
            <w:pPr>
              <w:adjustRightInd w:val="0"/>
              <w:snapToGrid w:val="0"/>
              <w:ind w:left="-53" w:leftChars="-25" w:right="-53" w:rightChars="-25"/>
              <w:jc w:val="center"/>
              <w:rPr>
                <w:bCs/>
                <w:sz w:val="22"/>
                <w:szCs w:val="22"/>
              </w:rPr>
            </w:pPr>
            <w:r>
              <w:rPr>
                <w:bCs/>
                <w:sz w:val="22"/>
                <w:szCs w:val="22"/>
              </w:rPr>
              <w:t>（四）</w:t>
            </w:r>
          </w:p>
        </w:tc>
        <w:tc>
          <w:tcPr>
            <w:tcW w:w="4456" w:type="dxa"/>
            <w:vAlign w:val="center"/>
          </w:tcPr>
          <w:p w14:paraId="38FB63E0">
            <w:pPr>
              <w:adjustRightInd w:val="0"/>
              <w:snapToGrid w:val="0"/>
              <w:ind w:left="-53" w:leftChars="-25" w:right="-53" w:rightChars="-25"/>
              <w:rPr>
                <w:bCs/>
                <w:sz w:val="22"/>
                <w:szCs w:val="22"/>
              </w:rPr>
            </w:pPr>
            <w:r>
              <w:rPr>
                <w:bCs/>
                <w:sz w:val="22"/>
                <w:szCs w:val="22"/>
              </w:rPr>
              <w:t>油气开采项目（含新开发和滚动开发项目）原则上应当以区块为单位开展环评（以下简称区块环评），一般包括区块内拟建的新井、加密井、调整井、站场、设备、管道和电缆及其更换工程、弃置工程及配套工程等。</w:t>
            </w:r>
            <w:r>
              <w:rPr>
                <w:rFonts w:hint="eastAsia"/>
                <w:bCs/>
                <w:sz w:val="22"/>
                <w:szCs w:val="22"/>
              </w:rPr>
              <w:t>项目环评应当深入评价项目建设、运营带来的环境影响和环境风险，提出有效的生态环境保护和环境风险防范措施。滚动开发区块产能建设项目环评文件中还应对现有工程环境影响进行回顾性评价，对存在的生态环境问题和环境风险隐患提出有效防治措施。依托其他防治设施的或者委托第三方处置的，应当论证其可行性和有效性。</w:t>
            </w:r>
          </w:p>
        </w:tc>
        <w:tc>
          <w:tcPr>
            <w:tcW w:w="2733" w:type="dxa"/>
            <w:vAlign w:val="center"/>
          </w:tcPr>
          <w:p w14:paraId="1F334AEA">
            <w:pPr>
              <w:adjustRightInd w:val="0"/>
              <w:snapToGrid w:val="0"/>
              <w:ind w:left="-53" w:leftChars="-25" w:right="-53" w:rightChars="-25"/>
              <w:rPr>
                <w:bCs/>
                <w:sz w:val="22"/>
                <w:szCs w:val="22"/>
              </w:rPr>
            </w:pPr>
            <w:r>
              <w:rPr>
                <w:rFonts w:hint="eastAsia"/>
                <w:bCs/>
                <w:sz w:val="22"/>
                <w:szCs w:val="22"/>
              </w:rPr>
              <w:t>本项目所在区域储层特征、流体分布、渗流特征、气藏类型等数据条件等均较少，区域整体开发方案尚未形成。</w:t>
            </w:r>
            <w:r>
              <w:rPr>
                <w:bCs/>
                <w:sz w:val="22"/>
                <w:szCs w:val="22"/>
              </w:rPr>
              <w:t>本项目为天然气试采作业，以探明储量、气质条件为主，</w:t>
            </w:r>
            <w:r>
              <w:rPr>
                <w:rFonts w:hint="eastAsia"/>
                <w:bCs/>
                <w:sz w:val="22"/>
                <w:szCs w:val="22"/>
              </w:rPr>
              <w:t>为区域整体开发提供技术准备和数据支撑，后期天然气的正式开采将纳入区块开发环评。环评已对依托的污染防治措施（气田水处理站等）进行可行性和有效性进行论证。</w:t>
            </w:r>
          </w:p>
        </w:tc>
        <w:tc>
          <w:tcPr>
            <w:tcW w:w="798" w:type="dxa"/>
            <w:vAlign w:val="center"/>
          </w:tcPr>
          <w:p w14:paraId="0DCDB1E0">
            <w:pPr>
              <w:adjustRightInd w:val="0"/>
              <w:snapToGrid w:val="0"/>
              <w:ind w:left="-53" w:leftChars="-25" w:right="-53" w:rightChars="-25"/>
              <w:jc w:val="center"/>
              <w:rPr>
                <w:bCs/>
                <w:sz w:val="22"/>
                <w:szCs w:val="22"/>
              </w:rPr>
            </w:pPr>
            <w:r>
              <w:rPr>
                <w:bCs/>
                <w:sz w:val="22"/>
                <w:szCs w:val="22"/>
              </w:rPr>
              <w:t>符合</w:t>
            </w:r>
          </w:p>
        </w:tc>
      </w:tr>
      <w:tr w14:paraId="4034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1C88AF9E">
            <w:pPr>
              <w:adjustRightInd w:val="0"/>
              <w:snapToGrid w:val="0"/>
              <w:ind w:left="-53" w:leftChars="-25" w:right="-53" w:rightChars="-25"/>
              <w:jc w:val="center"/>
              <w:rPr>
                <w:b/>
                <w:bCs/>
                <w:sz w:val="22"/>
                <w:szCs w:val="22"/>
              </w:rPr>
            </w:pPr>
            <w:r>
              <w:rPr>
                <w:b/>
                <w:bCs/>
                <w:sz w:val="22"/>
                <w:szCs w:val="22"/>
              </w:rPr>
              <w:t>三</w:t>
            </w:r>
          </w:p>
        </w:tc>
        <w:tc>
          <w:tcPr>
            <w:tcW w:w="7987" w:type="dxa"/>
            <w:gridSpan w:val="3"/>
            <w:vAlign w:val="center"/>
          </w:tcPr>
          <w:p w14:paraId="42C5FAD8">
            <w:pPr>
              <w:adjustRightInd w:val="0"/>
              <w:snapToGrid w:val="0"/>
              <w:ind w:left="-53" w:leftChars="-25" w:right="-53" w:rightChars="-25"/>
              <w:jc w:val="center"/>
              <w:rPr>
                <w:b/>
                <w:bCs/>
                <w:sz w:val="22"/>
                <w:szCs w:val="22"/>
              </w:rPr>
            </w:pPr>
            <w:r>
              <w:rPr>
                <w:b/>
                <w:bCs/>
                <w:sz w:val="22"/>
                <w:szCs w:val="22"/>
              </w:rPr>
              <w:t>强化生态环境保护措施</w:t>
            </w:r>
          </w:p>
        </w:tc>
      </w:tr>
      <w:tr w14:paraId="7137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4C01DF95">
            <w:pPr>
              <w:adjustRightInd w:val="0"/>
              <w:snapToGrid w:val="0"/>
              <w:ind w:left="-53" w:leftChars="-25" w:right="-53" w:rightChars="-25"/>
              <w:jc w:val="center"/>
              <w:rPr>
                <w:bCs/>
                <w:sz w:val="22"/>
                <w:szCs w:val="22"/>
              </w:rPr>
            </w:pPr>
            <w:r>
              <w:rPr>
                <w:bCs/>
                <w:sz w:val="22"/>
                <w:szCs w:val="22"/>
              </w:rPr>
              <w:t>（七）</w:t>
            </w:r>
          </w:p>
        </w:tc>
        <w:tc>
          <w:tcPr>
            <w:tcW w:w="4456" w:type="dxa"/>
            <w:vAlign w:val="center"/>
          </w:tcPr>
          <w:p w14:paraId="7EEB21D4">
            <w:pPr>
              <w:adjustRightInd w:val="0"/>
              <w:snapToGrid w:val="0"/>
              <w:ind w:left="-53" w:leftChars="-25" w:right="-53" w:rightChars="-25"/>
              <w:rPr>
                <w:bCs/>
                <w:sz w:val="22"/>
                <w:szCs w:val="22"/>
              </w:rPr>
            </w:pPr>
            <w:r>
              <w:rPr>
                <w:bCs/>
                <w:sz w:val="22"/>
                <w:szCs w:val="22"/>
              </w:rPr>
              <w:t>涉及向地表水体排放污染物的陆地油气开采项目，应当符合国家和地方污染物排放标准，满足重点污染物排放总量控制要求。</w:t>
            </w:r>
          </w:p>
        </w:tc>
        <w:tc>
          <w:tcPr>
            <w:tcW w:w="2733" w:type="dxa"/>
            <w:vAlign w:val="center"/>
          </w:tcPr>
          <w:p w14:paraId="1D7DC5E4">
            <w:pPr>
              <w:adjustRightInd w:val="0"/>
              <w:snapToGrid w:val="0"/>
              <w:ind w:right="-53" w:rightChars="-25"/>
              <w:rPr>
                <w:bCs/>
                <w:sz w:val="22"/>
                <w:szCs w:val="22"/>
              </w:rPr>
            </w:pPr>
            <w:r>
              <w:rPr>
                <w:rFonts w:hint="eastAsia"/>
                <w:bCs/>
                <w:sz w:val="22"/>
                <w:szCs w:val="22"/>
              </w:rPr>
              <w:t>本项目不向当地地表水体直接排放污染物，不涉及污染物排放总量。</w:t>
            </w:r>
          </w:p>
        </w:tc>
        <w:tc>
          <w:tcPr>
            <w:tcW w:w="798" w:type="dxa"/>
            <w:vAlign w:val="center"/>
          </w:tcPr>
          <w:p w14:paraId="7D1D89AD">
            <w:pPr>
              <w:adjustRightInd w:val="0"/>
              <w:snapToGrid w:val="0"/>
              <w:ind w:left="-53" w:leftChars="-25" w:right="-53" w:rightChars="-25"/>
              <w:jc w:val="center"/>
              <w:rPr>
                <w:bCs/>
                <w:sz w:val="22"/>
                <w:szCs w:val="22"/>
              </w:rPr>
            </w:pPr>
            <w:r>
              <w:rPr>
                <w:bCs/>
                <w:sz w:val="22"/>
                <w:szCs w:val="22"/>
              </w:rPr>
              <w:t>符合</w:t>
            </w:r>
          </w:p>
        </w:tc>
      </w:tr>
      <w:tr w14:paraId="0504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7F2120C7">
            <w:pPr>
              <w:adjustRightInd w:val="0"/>
              <w:snapToGrid w:val="0"/>
              <w:ind w:left="-53" w:leftChars="-25" w:right="-53" w:rightChars="-25"/>
              <w:jc w:val="center"/>
              <w:rPr>
                <w:bCs/>
                <w:sz w:val="22"/>
                <w:szCs w:val="22"/>
              </w:rPr>
            </w:pPr>
            <w:r>
              <w:rPr>
                <w:bCs/>
                <w:sz w:val="22"/>
                <w:szCs w:val="22"/>
              </w:rPr>
              <w:t>（八）</w:t>
            </w:r>
          </w:p>
        </w:tc>
        <w:tc>
          <w:tcPr>
            <w:tcW w:w="4456" w:type="dxa"/>
            <w:vAlign w:val="center"/>
          </w:tcPr>
          <w:p w14:paraId="34F35F51">
            <w:pPr>
              <w:adjustRightInd w:val="0"/>
              <w:snapToGrid w:val="0"/>
              <w:ind w:left="-53" w:leftChars="-25" w:right="-53" w:rightChars="-25"/>
              <w:rPr>
                <w:bCs/>
                <w:sz w:val="22"/>
                <w:szCs w:val="22"/>
              </w:rPr>
            </w:pPr>
            <w:r>
              <w:rPr>
                <w:bCs/>
                <w:sz w:val="22"/>
                <w:szCs w:val="22"/>
              </w:rPr>
              <w:t>涉及废水回注的，应当论证回注的环境可行性，采取切实可行的地下水污染防治和监控措施，不得回注与油气开采无关的废水，严禁造成地下水污染。在相关行业污染控制标准发布前，回注的开采废水应当经处理并符合《碎屑岩油藏注水水质推荐指标及分析方法》（SY/T5329）等相关标准要求后回注，同步采取切实可行措施防治污染。回注目的层应当为地质构造封闭地层，一般应当回注到现役油气藏或枯竭废弃油气藏。</w:t>
            </w:r>
          </w:p>
        </w:tc>
        <w:tc>
          <w:tcPr>
            <w:tcW w:w="2733" w:type="dxa"/>
            <w:vAlign w:val="center"/>
          </w:tcPr>
          <w:p w14:paraId="779C64FD">
            <w:pPr>
              <w:adjustRightInd w:val="0"/>
              <w:snapToGrid w:val="0"/>
              <w:ind w:left="-53" w:leftChars="-25" w:right="-53" w:rightChars="-25"/>
              <w:rPr>
                <w:bCs/>
                <w:sz w:val="22"/>
                <w:szCs w:val="22"/>
              </w:rPr>
            </w:pPr>
            <w:r>
              <w:rPr>
                <w:rFonts w:hint="eastAsia"/>
                <w:bCs/>
                <w:sz w:val="22"/>
                <w:szCs w:val="22"/>
              </w:rPr>
              <w:t>试采期产生的气田水、放空分离液、分子筛冷凝水、燃料气分离废水和检修废水暂存于气田水储罐，定期由罐车运输至四川洁安环境科技有限公司油气田废水处理站、四川兴澳环境技术服务有限公司油气井地下水处理站处置，或区域内有合法资质且有处理能力的第三方单位处置。</w:t>
            </w:r>
          </w:p>
        </w:tc>
        <w:tc>
          <w:tcPr>
            <w:tcW w:w="798" w:type="dxa"/>
            <w:vAlign w:val="center"/>
          </w:tcPr>
          <w:p w14:paraId="45DB3173">
            <w:pPr>
              <w:adjustRightInd w:val="0"/>
              <w:snapToGrid w:val="0"/>
              <w:ind w:left="-53" w:leftChars="-25" w:right="-53" w:rightChars="-25"/>
              <w:jc w:val="center"/>
              <w:rPr>
                <w:bCs/>
                <w:sz w:val="22"/>
                <w:szCs w:val="22"/>
              </w:rPr>
            </w:pPr>
            <w:r>
              <w:rPr>
                <w:bCs/>
                <w:sz w:val="22"/>
                <w:szCs w:val="22"/>
              </w:rPr>
              <w:t>符合</w:t>
            </w:r>
          </w:p>
        </w:tc>
      </w:tr>
      <w:tr w14:paraId="51DE5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280092DD">
            <w:pPr>
              <w:adjustRightInd w:val="0"/>
              <w:snapToGrid w:val="0"/>
              <w:ind w:left="-53" w:leftChars="-25" w:right="-53" w:rightChars="-25"/>
              <w:jc w:val="center"/>
              <w:rPr>
                <w:bCs/>
                <w:sz w:val="22"/>
                <w:szCs w:val="22"/>
              </w:rPr>
            </w:pPr>
            <w:r>
              <w:rPr>
                <w:bCs/>
                <w:sz w:val="22"/>
                <w:szCs w:val="22"/>
              </w:rPr>
              <w:t>（九）</w:t>
            </w:r>
          </w:p>
        </w:tc>
        <w:tc>
          <w:tcPr>
            <w:tcW w:w="4456" w:type="dxa"/>
            <w:vAlign w:val="center"/>
          </w:tcPr>
          <w:p w14:paraId="390EFBAE">
            <w:pPr>
              <w:adjustRightInd w:val="0"/>
              <w:snapToGrid w:val="0"/>
              <w:ind w:left="-53" w:leftChars="-25" w:right="-53" w:rightChars="-25"/>
              <w:rPr>
                <w:bCs/>
                <w:sz w:val="22"/>
                <w:szCs w:val="22"/>
              </w:rPr>
            </w:pPr>
            <w:r>
              <w:rPr>
                <w:bCs/>
                <w:sz w:val="22"/>
                <w:szCs w:val="22"/>
              </w:rPr>
              <w:t>油气开采产生的废弃油基泥浆、含油钻屑及其他固体废物，应当遵循减量化、资源化、无害化原则，按照国家和地方有关固体废物的管理规定进行处置。鼓励企业自建含油污泥集中式处理和综合利用设施，提高废弃油基泥浆和含油钻屑及其处理产物的综合利用率。油气开采项目产生的危险废物，应当按照《建设项目危险废物环境影响评价指南》要求评价。</w:t>
            </w:r>
          </w:p>
        </w:tc>
        <w:tc>
          <w:tcPr>
            <w:tcW w:w="2733" w:type="dxa"/>
            <w:vAlign w:val="center"/>
          </w:tcPr>
          <w:p w14:paraId="0EDA226C">
            <w:pPr>
              <w:adjustRightInd w:val="0"/>
              <w:snapToGrid w:val="0"/>
              <w:ind w:right="-53" w:rightChars="-25"/>
              <w:rPr>
                <w:bCs/>
                <w:sz w:val="22"/>
                <w:szCs w:val="22"/>
              </w:rPr>
            </w:pPr>
            <w:r>
              <w:rPr>
                <w:bCs/>
                <w:sz w:val="22"/>
                <w:szCs w:val="22"/>
              </w:rPr>
              <w:t>本项目不涉及钻井工程，无油基泥浆、油基岩屑等产生。</w:t>
            </w:r>
          </w:p>
        </w:tc>
        <w:tc>
          <w:tcPr>
            <w:tcW w:w="798" w:type="dxa"/>
            <w:vAlign w:val="center"/>
          </w:tcPr>
          <w:p w14:paraId="61674566">
            <w:pPr>
              <w:adjustRightInd w:val="0"/>
              <w:snapToGrid w:val="0"/>
              <w:ind w:left="-53" w:leftChars="-25" w:right="-53" w:rightChars="-25"/>
              <w:jc w:val="center"/>
              <w:rPr>
                <w:bCs/>
                <w:sz w:val="22"/>
                <w:szCs w:val="22"/>
              </w:rPr>
            </w:pPr>
            <w:r>
              <w:rPr>
                <w:bCs/>
                <w:sz w:val="22"/>
                <w:szCs w:val="22"/>
              </w:rPr>
              <w:t>符合</w:t>
            </w:r>
          </w:p>
        </w:tc>
      </w:tr>
      <w:tr w14:paraId="6833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59679117">
            <w:pPr>
              <w:adjustRightInd w:val="0"/>
              <w:snapToGrid w:val="0"/>
              <w:ind w:left="-53" w:leftChars="-25" w:right="-53" w:rightChars="-25"/>
              <w:jc w:val="center"/>
              <w:rPr>
                <w:bCs/>
                <w:sz w:val="22"/>
                <w:szCs w:val="22"/>
              </w:rPr>
            </w:pPr>
            <w:r>
              <w:rPr>
                <w:bCs/>
                <w:sz w:val="22"/>
                <w:szCs w:val="22"/>
              </w:rPr>
              <w:t>（十）</w:t>
            </w:r>
          </w:p>
        </w:tc>
        <w:tc>
          <w:tcPr>
            <w:tcW w:w="4456" w:type="dxa"/>
            <w:vAlign w:val="center"/>
          </w:tcPr>
          <w:p w14:paraId="7535F2AC">
            <w:pPr>
              <w:adjustRightInd w:val="0"/>
              <w:snapToGrid w:val="0"/>
              <w:ind w:left="-53" w:leftChars="-25" w:right="-53" w:rightChars="-25"/>
              <w:rPr>
                <w:bCs/>
                <w:sz w:val="22"/>
                <w:szCs w:val="22"/>
              </w:rPr>
            </w:pPr>
            <w:r>
              <w:rPr>
                <w:bCs/>
                <w:sz w:val="22"/>
                <w:szCs w:val="22"/>
              </w:rPr>
              <w:t>陆地油气开采项目的建设单位应当对挥发性有机物液体储存和装载损失、废水液面逸散、设备与管线组件泄漏、非正常工况等挥发性有机物无组织排放源进行有效管控，通过采取设备密闭、废气有效收集及配套高效末端处理设施等措施，有效控制挥发性有机物和恶臭气体无组织排放。涉及高含硫天然气开采的，应当强化钻井、输送、净化等环节环境风险防范措施。含硫气田回注采出水，应当采取有效措施减少废水处理站和回注井场硫化氢的无组织排放。高含硫天然气净化厂应当采用先进高效硫磺回收工艺，减少二氧化硫排放。井场加热炉、锅炉、压缩机等排放大气污染物的设备，应当优先使用清洁燃料，废气排放应当满足国家和地方大气污染物排放标准要求。</w:t>
            </w:r>
          </w:p>
        </w:tc>
        <w:tc>
          <w:tcPr>
            <w:tcW w:w="2733" w:type="dxa"/>
            <w:vAlign w:val="center"/>
          </w:tcPr>
          <w:p w14:paraId="31ABB017">
            <w:pPr>
              <w:adjustRightInd w:val="0"/>
              <w:snapToGrid w:val="0"/>
              <w:ind w:right="-53" w:rightChars="-25"/>
              <w:rPr>
                <w:bCs/>
                <w:sz w:val="22"/>
                <w:szCs w:val="22"/>
              </w:rPr>
            </w:pPr>
            <w:r>
              <w:rPr>
                <w:bCs/>
                <w:sz w:val="22"/>
                <w:szCs w:val="22"/>
              </w:rPr>
              <w:t>本项目天然气不含硫，井场管道密闭，</w:t>
            </w:r>
            <w:r>
              <w:rPr>
                <w:rFonts w:hint="eastAsia"/>
                <w:bCs/>
                <w:sz w:val="22"/>
                <w:szCs w:val="22"/>
              </w:rPr>
              <w:t>站场各设施加强密闭，定期进行泄漏检测，</w:t>
            </w:r>
            <w:r>
              <w:rPr>
                <w:bCs/>
                <w:sz w:val="22"/>
                <w:szCs w:val="22"/>
              </w:rPr>
              <w:t>有效控制非甲烷总烃；站场使用网电作为能源，废气的排放能满足国家和地方大气污染物排放标准要求。</w:t>
            </w:r>
          </w:p>
        </w:tc>
        <w:tc>
          <w:tcPr>
            <w:tcW w:w="798" w:type="dxa"/>
            <w:vAlign w:val="center"/>
          </w:tcPr>
          <w:p w14:paraId="228F22B9">
            <w:pPr>
              <w:adjustRightInd w:val="0"/>
              <w:snapToGrid w:val="0"/>
              <w:ind w:left="-53" w:leftChars="-25" w:right="-53" w:rightChars="-25"/>
              <w:jc w:val="center"/>
              <w:rPr>
                <w:bCs/>
                <w:sz w:val="22"/>
                <w:szCs w:val="22"/>
              </w:rPr>
            </w:pPr>
            <w:r>
              <w:rPr>
                <w:bCs/>
                <w:sz w:val="22"/>
                <w:szCs w:val="22"/>
              </w:rPr>
              <w:t>符合</w:t>
            </w:r>
          </w:p>
        </w:tc>
      </w:tr>
      <w:tr w14:paraId="1326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2585174F">
            <w:pPr>
              <w:adjustRightInd w:val="0"/>
              <w:snapToGrid w:val="0"/>
              <w:ind w:left="-53" w:leftChars="-25" w:right="-53" w:rightChars="-25"/>
              <w:jc w:val="center"/>
              <w:rPr>
                <w:bCs/>
                <w:sz w:val="22"/>
                <w:szCs w:val="22"/>
              </w:rPr>
            </w:pPr>
            <w:r>
              <w:rPr>
                <w:bCs/>
                <w:sz w:val="22"/>
                <w:szCs w:val="22"/>
              </w:rPr>
              <w:t>（十一）</w:t>
            </w:r>
          </w:p>
        </w:tc>
        <w:tc>
          <w:tcPr>
            <w:tcW w:w="4456" w:type="dxa"/>
            <w:vAlign w:val="center"/>
          </w:tcPr>
          <w:p w14:paraId="7DDBF3A2">
            <w:pPr>
              <w:adjustRightInd w:val="0"/>
              <w:snapToGrid w:val="0"/>
              <w:ind w:left="-53" w:leftChars="-25" w:right="-53" w:rightChars="-25"/>
              <w:rPr>
                <w:bCs/>
                <w:sz w:val="22"/>
                <w:szCs w:val="22"/>
              </w:rPr>
            </w:pPr>
            <w:r>
              <w:rPr>
                <w:bCs/>
                <w:sz w:val="22"/>
                <w:szCs w:val="22"/>
              </w:rPr>
              <w:t>施工期应当尽量减少施工占地、缩短施工时间、选择合理施工方式、落实环境敏感区管控要求以及其他生态环境保护措施，降低生态环境影响。钻井和压裂设备应当优先使用网电、高标准清洁燃油，减少废气排放。选用低噪声设备，避免噪声扰民。施工结束后，应当及时落实环评提出的生态保护措施。</w:t>
            </w:r>
          </w:p>
        </w:tc>
        <w:tc>
          <w:tcPr>
            <w:tcW w:w="2733" w:type="dxa"/>
            <w:vAlign w:val="center"/>
          </w:tcPr>
          <w:p w14:paraId="7A1E880E">
            <w:pPr>
              <w:adjustRightInd w:val="0"/>
              <w:snapToGrid w:val="0"/>
              <w:ind w:right="-53" w:rightChars="-25"/>
              <w:rPr>
                <w:bCs/>
                <w:sz w:val="22"/>
                <w:szCs w:val="22"/>
              </w:rPr>
            </w:pPr>
            <w:r>
              <w:rPr>
                <w:rFonts w:hint="eastAsia"/>
                <w:bCs/>
                <w:sz w:val="22"/>
                <w:szCs w:val="22"/>
              </w:rPr>
              <w:t>本项目不新增占地，</w:t>
            </w:r>
            <w:r>
              <w:rPr>
                <w:bCs/>
                <w:sz w:val="22"/>
                <w:szCs w:val="22"/>
              </w:rPr>
              <w:t>施工设备选用低噪声设备，避免噪声扰民。</w:t>
            </w:r>
          </w:p>
        </w:tc>
        <w:tc>
          <w:tcPr>
            <w:tcW w:w="798" w:type="dxa"/>
            <w:vAlign w:val="center"/>
          </w:tcPr>
          <w:p w14:paraId="00568B2F">
            <w:pPr>
              <w:adjustRightInd w:val="0"/>
              <w:snapToGrid w:val="0"/>
              <w:ind w:left="-53" w:leftChars="-25" w:right="-53" w:rightChars="-25"/>
              <w:jc w:val="center"/>
              <w:rPr>
                <w:bCs/>
                <w:sz w:val="22"/>
                <w:szCs w:val="22"/>
              </w:rPr>
            </w:pPr>
            <w:r>
              <w:rPr>
                <w:bCs/>
                <w:sz w:val="22"/>
                <w:szCs w:val="22"/>
              </w:rPr>
              <w:t>符合</w:t>
            </w:r>
          </w:p>
        </w:tc>
      </w:tr>
      <w:tr w14:paraId="53D7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3BBB2B6A">
            <w:pPr>
              <w:adjustRightInd w:val="0"/>
              <w:snapToGrid w:val="0"/>
              <w:ind w:left="-53" w:leftChars="-25" w:right="-53" w:rightChars="-25"/>
              <w:jc w:val="center"/>
              <w:rPr>
                <w:bCs/>
                <w:sz w:val="22"/>
                <w:szCs w:val="22"/>
              </w:rPr>
            </w:pPr>
            <w:r>
              <w:rPr>
                <w:bCs/>
                <w:sz w:val="22"/>
                <w:szCs w:val="22"/>
              </w:rPr>
              <w:t>（十二）</w:t>
            </w:r>
          </w:p>
        </w:tc>
        <w:tc>
          <w:tcPr>
            <w:tcW w:w="4456" w:type="dxa"/>
            <w:vAlign w:val="center"/>
          </w:tcPr>
          <w:p w14:paraId="167D6512">
            <w:pPr>
              <w:adjustRightInd w:val="0"/>
              <w:snapToGrid w:val="0"/>
              <w:ind w:left="-53" w:leftChars="-25" w:right="-53" w:rightChars="-25"/>
              <w:rPr>
                <w:bCs/>
                <w:sz w:val="22"/>
                <w:szCs w:val="22"/>
              </w:rPr>
            </w:pPr>
            <w:r>
              <w:rPr>
                <w:bCs/>
                <w:sz w:val="22"/>
                <w:szCs w:val="22"/>
              </w:rPr>
              <w:t>陆地油气长输管道项目，原则上应当单独编制环评文件。油气长输管道及油气田内部集输管道应当优先避让环境敏感区，并从穿越位置、穿越方式、施工场地设置、管线工艺设计、环境风险防范等方面进行深入论证.</w:t>
            </w:r>
          </w:p>
        </w:tc>
        <w:tc>
          <w:tcPr>
            <w:tcW w:w="2733" w:type="dxa"/>
            <w:vAlign w:val="center"/>
          </w:tcPr>
          <w:p w14:paraId="639B2E3E">
            <w:pPr>
              <w:adjustRightInd w:val="0"/>
              <w:snapToGrid w:val="0"/>
              <w:ind w:left="-53" w:leftChars="-25" w:right="-53" w:rightChars="-25"/>
              <w:rPr>
                <w:bCs/>
                <w:sz w:val="22"/>
                <w:szCs w:val="22"/>
              </w:rPr>
            </w:pPr>
            <w:r>
              <w:rPr>
                <w:rFonts w:hint="eastAsia"/>
                <w:bCs/>
                <w:sz w:val="22"/>
                <w:szCs w:val="22"/>
              </w:rPr>
              <w:t>不涉及长输管道建设项目。</w:t>
            </w:r>
          </w:p>
        </w:tc>
        <w:tc>
          <w:tcPr>
            <w:tcW w:w="798" w:type="dxa"/>
            <w:vAlign w:val="center"/>
          </w:tcPr>
          <w:p w14:paraId="5349DE08">
            <w:pPr>
              <w:adjustRightInd w:val="0"/>
              <w:snapToGrid w:val="0"/>
              <w:ind w:left="-53" w:leftChars="-25" w:right="-53" w:rightChars="-25"/>
              <w:jc w:val="center"/>
              <w:rPr>
                <w:bCs/>
                <w:sz w:val="22"/>
                <w:szCs w:val="22"/>
              </w:rPr>
            </w:pPr>
            <w:r>
              <w:rPr>
                <w:bCs/>
                <w:sz w:val="22"/>
                <w:szCs w:val="22"/>
              </w:rPr>
              <w:t>符合</w:t>
            </w:r>
          </w:p>
        </w:tc>
      </w:tr>
      <w:tr w14:paraId="6CBE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18E4ED8A">
            <w:pPr>
              <w:adjustRightInd w:val="0"/>
              <w:snapToGrid w:val="0"/>
              <w:ind w:left="-53" w:leftChars="-25" w:right="-53" w:rightChars="-25"/>
              <w:jc w:val="center"/>
              <w:rPr>
                <w:bCs/>
                <w:sz w:val="22"/>
                <w:szCs w:val="22"/>
              </w:rPr>
            </w:pPr>
            <w:r>
              <w:rPr>
                <w:bCs/>
                <w:sz w:val="22"/>
                <w:szCs w:val="22"/>
              </w:rPr>
              <w:t>（十三）</w:t>
            </w:r>
          </w:p>
        </w:tc>
        <w:tc>
          <w:tcPr>
            <w:tcW w:w="4456" w:type="dxa"/>
            <w:vAlign w:val="center"/>
          </w:tcPr>
          <w:p w14:paraId="2179815B">
            <w:pPr>
              <w:adjustRightInd w:val="0"/>
              <w:snapToGrid w:val="0"/>
              <w:ind w:left="-53" w:leftChars="-25" w:right="-53" w:rightChars="-25"/>
              <w:rPr>
                <w:bCs/>
                <w:sz w:val="22"/>
                <w:szCs w:val="22"/>
              </w:rPr>
            </w:pPr>
            <w:r>
              <w:rPr>
                <w:rFonts w:hint="eastAsia"/>
                <w:bCs/>
                <w:sz w:val="22"/>
                <w:szCs w:val="22"/>
              </w:rPr>
              <w:t>油气储存项目，选址尽量远离环境敏感区。加强甲烷及挥发性有机物的泄漏检测，落实地下水污染防治和跟踪监测要求，采取有效措施做好环境风险防范与环境应急管理；盐穴储气库项目还应当严格落实采卤造腔期和管道施工期的生态环境保护措施，妥善处理采出水。</w:t>
            </w:r>
          </w:p>
        </w:tc>
        <w:tc>
          <w:tcPr>
            <w:tcW w:w="2733" w:type="dxa"/>
            <w:vAlign w:val="center"/>
          </w:tcPr>
          <w:p w14:paraId="4D6438B4">
            <w:pPr>
              <w:adjustRightInd w:val="0"/>
              <w:snapToGrid w:val="0"/>
              <w:ind w:left="-53" w:leftChars="-25" w:right="-53" w:rightChars="-25"/>
              <w:rPr>
                <w:bCs/>
                <w:sz w:val="22"/>
                <w:szCs w:val="22"/>
              </w:rPr>
            </w:pPr>
            <w:r>
              <w:rPr>
                <w:bCs/>
                <w:sz w:val="22"/>
                <w:szCs w:val="22"/>
              </w:rPr>
              <w:t>本项目</w:t>
            </w:r>
            <w:r>
              <w:rPr>
                <w:rFonts w:hint="eastAsia"/>
                <w:bCs/>
                <w:sz w:val="22"/>
                <w:szCs w:val="22"/>
              </w:rPr>
              <w:t>不属于油气储存项目。</w:t>
            </w:r>
          </w:p>
        </w:tc>
        <w:tc>
          <w:tcPr>
            <w:tcW w:w="798" w:type="dxa"/>
            <w:vAlign w:val="center"/>
          </w:tcPr>
          <w:p w14:paraId="18E03785">
            <w:pPr>
              <w:adjustRightInd w:val="0"/>
              <w:snapToGrid w:val="0"/>
              <w:ind w:left="-53" w:leftChars="-25" w:right="-53" w:rightChars="-25"/>
              <w:jc w:val="center"/>
              <w:rPr>
                <w:bCs/>
                <w:sz w:val="22"/>
                <w:szCs w:val="22"/>
              </w:rPr>
            </w:pPr>
            <w:r>
              <w:rPr>
                <w:rFonts w:hint="eastAsia"/>
                <w:bCs/>
                <w:sz w:val="22"/>
                <w:szCs w:val="22"/>
              </w:rPr>
              <w:t>符合</w:t>
            </w:r>
          </w:p>
        </w:tc>
      </w:tr>
      <w:tr w14:paraId="015E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57" w:type="dxa"/>
            <w:vAlign w:val="center"/>
          </w:tcPr>
          <w:p w14:paraId="6AE1E344">
            <w:pPr>
              <w:adjustRightInd w:val="0"/>
              <w:snapToGrid w:val="0"/>
              <w:ind w:left="-53" w:leftChars="-25" w:right="-53" w:rightChars="-25"/>
              <w:jc w:val="center"/>
              <w:rPr>
                <w:bCs/>
                <w:sz w:val="22"/>
                <w:szCs w:val="22"/>
              </w:rPr>
            </w:pPr>
            <w:r>
              <w:rPr>
                <w:rFonts w:hint="eastAsia"/>
                <w:bCs/>
                <w:sz w:val="22"/>
                <w:szCs w:val="22"/>
              </w:rPr>
              <w:t>（十四）</w:t>
            </w:r>
          </w:p>
        </w:tc>
        <w:tc>
          <w:tcPr>
            <w:tcW w:w="4456" w:type="dxa"/>
            <w:vAlign w:val="center"/>
          </w:tcPr>
          <w:p w14:paraId="76D88D14">
            <w:pPr>
              <w:adjustRightInd w:val="0"/>
              <w:snapToGrid w:val="0"/>
              <w:ind w:left="-53" w:leftChars="-25" w:right="-53" w:rightChars="-25"/>
              <w:rPr>
                <w:bCs/>
                <w:sz w:val="22"/>
                <w:szCs w:val="22"/>
              </w:rPr>
            </w:pPr>
            <w:r>
              <w:rPr>
                <w:bCs/>
                <w:sz w:val="22"/>
                <w:szCs w:val="22"/>
              </w:rPr>
              <w:t>油气企业应当加强风险防控，按规定编制突发环境事件应急预案，报所在地生态环境主管部门备案。海洋油气勘探开发溢油应急计划报相关海域生态环境监督管理局备案。</w:t>
            </w:r>
          </w:p>
        </w:tc>
        <w:tc>
          <w:tcPr>
            <w:tcW w:w="2733" w:type="dxa"/>
            <w:vAlign w:val="center"/>
          </w:tcPr>
          <w:p w14:paraId="6CA92F53">
            <w:pPr>
              <w:adjustRightInd w:val="0"/>
              <w:snapToGrid w:val="0"/>
              <w:ind w:left="-53" w:leftChars="-25" w:right="-53" w:rightChars="-25"/>
              <w:rPr>
                <w:bCs/>
                <w:sz w:val="22"/>
                <w:szCs w:val="22"/>
              </w:rPr>
            </w:pPr>
            <w:r>
              <w:rPr>
                <w:bCs/>
                <w:sz w:val="22"/>
                <w:szCs w:val="22"/>
              </w:rPr>
              <w:t>本项目制定了严格的环境风险防范措施，</w:t>
            </w:r>
            <w:r>
              <w:rPr>
                <w:rFonts w:hint="eastAsia"/>
                <w:bCs/>
                <w:sz w:val="22"/>
                <w:szCs w:val="22"/>
              </w:rPr>
              <w:t>建设单位已编制《突发环境事件应急预案中国石油化工股份有限公司西南油气分公司采气二厂</w:t>
            </w:r>
            <w:r>
              <w:rPr>
                <w:bCs/>
                <w:sz w:val="22"/>
                <w:szCs w:val="22"/>
              </w:rPr>
              <w:t>（</w:t>
            </w:r>
            <w:r>
              <w:rPr>
                <w:rFonts w:hint="eastAsia"/>
                <w:bCs/>
                <w:sz w:val="22"/>
                <w:szCs w:val="22"/>
              </w:rPr>
              <w:t>恩阳区域）》并取得备案回执（</w:t>
            </w:r>
            <w:r>
              <w:rPr>
                <w:bCs/>
                <w:sz w:val="22"/>
                <w:szCs w:val="22"/>
              </w:rPr>
              <w:t>511903-2023-0001-L</w:t>
            </w:r>
            <w:r>
              <w:rPr>
                <w:rFonts w:hint="eastAsia"/>
                <w:bCs/>
                <w:sz w:val="22"/>
                <w:szCs w:val="22"/>
              </w:rPr>
              <w:t>）。</w:t>
            </w:r>
          </w:p>
        </w:tc>
        <w:tc>
          <w:tcPr>
            <w:tcW w:w="798" w:type="dxa"/>
            <w:vAlign w:val="center"/>
          </w:tcPr>
          <w:p w14:paraId="3189751F">
            <w:pPr>
              <w:adjustRightInd w:val="0"/>
              <w:snapToGrid w:val="0"/>
              <w:ind w:left="-53" w:leftChars="-25" w:right="-53" w:rightChars="-25"/>
              <w:jc w:val="center"/>
              <w:rPr>
                <w:bCs/>
                <w:sz w:val="22"/>
                <w:szCs w:val="22"/>
              </w:rPr>
            </w:pPr>
            <w:r>
              <w:rPr>
                <w:bCs/>
                <w:sz w:val="22"/>
                <w:szCs w:val="22"/>
              </w:rPr>
              <w:t>符合</w:t>
            </w:r>
          </w:p>
        </w:tc>
      </w:tr>
    </w:tbl>
    <w:p w14:paraId="306C26F8">
      <w:pPr>
        <w:pStyle w:val="1066"/>
        <w:ind w:firstLine="520"/>
      </w:pPr>
    </w:p>
    <w:p w14:paraId="401FC7BE">
      <w:pPr>
        <w:adjustRightInd w:val="0"/>
        <w:snapToGrid w:val="0"/>
        <w:spacing w:line="460" w:lineRule="exact"/>
        <w:ind w:firstLine="520" w:firstLineChars="200"/>
        <w:rPr>
          <w:sz w:val="26"/>
          <w:szCs w:val="26"/>
        </w:rPr>
      </w:pPr>
      <w:r>
        <w:rPr>
          <w:sz w:val="26"/>
          <w:szCs w:val="26"/>
        </w:rPr>
        <w:t>综上所述，本项目符合《关于进一步加强石油天然气行业环境影响评价管理的通知》（环办环评函〔2019〕910号）的相关要求。</w:t>
      </w:r>
    </w:p>
    <w:p w14:paraId="1E3EAC97">
      <w:pPr>
        <w:adjustRightInd w:val="0"/>
        <w:snapToGrid w:val="0"/>
        <w:spacing w:line="460" w:lineRule="exact"/>
        <w:ind w:firstLine="522" w:firstLineChars="200"/>
        <w:rPr>
          <w:b/>
          <w:bCs/>
          <w:sz w:val="26"/>
          <w:szCs w:val="26"/>
        </w:rPr>
      </w:pPr>
      <w:r>
        <w:rPr>
          <w:rFonts w:hint="eastAsia"/>
          <w:b/>
          <w:bCs/>
          <w:sz w:val="26"/>
          <w:szCs w:val="26"/>
        </w:rPr>
        <w:t>（3）与《石油天然气开采业污染防治技术政策》符合性分析</w:t>
      </w:r>
    </w:p>
    <w:p w14:paraId="656FCF81">
      <w:pPr>
        <w:adjustRightInd w:val="0"/>
        <w:snapToGrid w:val="0"/>
        <w:spacing w:line="460" w:lineRule="exact"/>
        <w:ind w:firstLine="520" w:firstLineChars="200"/>
        <w:rPr>
          <w:sz w:val="26"/>
          <w:szCs w:val="26"/>
        </w:rPr>
      </w:pPr>
      <w:r>
        <w:rPr>
          <w:sz w:val="26"/>
          <w:szCs w:val="26"/>
        </w:rPr>
        <w:t>本项目与《石油天然气开采业污染防治技术政策》（国家环保部公告2012年第18号，）对比分析详见</w:t>
      </w:r>
      <w:r>
        <w:rPr>
          <w:sz w:val="26"/>
          <w:szCs w:val="26"/>
          <w:u w:val="single"/>
        </w:rPr>
        <w:t>表1.7-2</w:t>
      </w:r>
      <w:r>
        <w:rPr>
          <w:sz w:val="26"/>
          <w:szCs w:val="26"/>
        </w:rPr>
        <w:t>。</w:t>
      </w:r>
    </w:p>
    <w:p w14:paraId="0D787FFA">
      <w:pPr>
        <w:pStyle w:val="1066"/>
        <w:ind w:firstLine="520"/>
        <w:rPr>
          <w:rFonts w:cs="Times New Roman"/>
        </w:rPr>
      </w:pPr>
    </w:p>
    <w:p w14:paraId="62D253D0">
      <w:pPr>
        <w:adjustRightInd w:val="0"/>
        <w:snapToGrid w:val="0"/>
        <w:jc w:val="center"/>
        <w:rPr>
          <w:sz w:val="26"/>
          <w:szCs w:val="26"/>
        </w:rPr>
      </w:pPr>
      <w:r>
        <w:rPr>
          <w:sz w:val="26"/>
          <w:szCs w:val="26"/>
        </w:rPr>
        <w:t>表1.7-2  项目与《石油天然气开采业污染防治技术政策》符合性分析</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4192"/>
        <w:gridCol w:w="3136"/>
        <w:gridCol w:w="1019"/>
      </w:tblGrid>
      <w:tr w14:paraId="3B3A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39E64308">
            <w:pPr>
              <w:adjustRightInd w:val="0"/>
              <w:snapToGrid w:val="0"/>
              <w:ind w:left="-53" w:leftChars="-25" w:right="-53" w:rightChars="-25"/>
              <w:jc w:val="center"/>
              <w:rPr>
                <w:bCs/>
                <w:sz w:val="22"/>
                <w:szCs w:val="22"/>
              </w:rPr>
            </w:pPr>
            <w:r>
              <w:rPr>
                <w:bCs/>
                <w:sz w:val="22"/>
                <w:szCs w:val="22"/>
              </w:rPr>
              <w:t>序号</w:t>
            </w:r>
          </w:p>
        </w:tc>
        <w:tc>
          <w:tcPr>
            <w:tcW w:w="4192" w:type="dxa"/>
            <w:vAlign w:val="center"/>
          </w:tcPr>
          <w:p w14:paraId="51A65608">
            <w:pPr>
              <w:adjustRightInd w:val="0"/>
              <w:snapToGrid w:val="0"/>
              <w:ind w:left="-53" w:leftChars="-25" w:right="-53" w:rightChars="-25"/>
              <w:jc w:val="center"/>
              <w:rPr>
                <w:bCs/>
                <w:sz w:val="22"/>
                <w:szCs w:val="22"/>
              </w:rPr>
            </w:pPr>
            <w:r>
              <w:rPr>
                <w:bCs/>
                <w:sz w:val="22"/>
                <w:szCs w:val="22"/>
              </w:rPr>
              <w:t>技术政策要求</w:t>
            </w:r>
          </w:p>
        </w:tc>
        <w:tc>
          <w:tcPr>
            <w:tcW w:w="3136" w:type="dxa"/>
            <w:vAlign w:val="center"/>
          </w:tcPr>
          <w:p w14:paraId="753F5FB9">
            <w:pPr>
              <w:adjustRightInd w:val="0"/>
              <w:snapToGrid w:val="0"/>
              <w:ind w:left="-53" w:leftChars="-25" w:right="-53" w:rightChars="-25"/>
              <w:jc w:val="center"/>
              <w:rPr>
                <w:bCs/>
                <w:sz w:val="22"/>
                <w:szCs w:val="22"/>
              </w:rPr>
            </w:pPr>
            <w:r>
              <w:rPr>
                <w:bCs/>
                <w:sz w:val="22"/>
                <w:szCs w:val="22"/>
              </w:rPr>
              <w:t>本工程内容</w:t>
            </w:r>
          </w:p>
        </w:tc>
        <w:tc>
          <w:tcPr>
            <w:tcW w:w="1019" w:type="dxa"/>
            <w:vAlign w:val="center"/>
          </w:tcPr>
          <w:p w14:paraId="1B482EDA">
            <w:pPr>
              <w:adjustRightInd w:val="0"/>
              <w:snapToGrid w:val="0"/>
              <w:ind w:left="-53" w:leftChars="-25" w:right="-53" w:rightChars="-25"/>
              <w:jc w:val="center"/>
              <w:rPr>
                <w:bCs/>
                <w:sz w:val="22"/>
                <w:szCs w:val="22"/>
              </w:rPr>
            </w:pPr>
            <w:r>
              <w:rPr>
                <w:bCs/>
                <w:sz w:val="22"/>
                <w:szCs w:val="22"/>
              </w:rPr>
              <w:t>符合性</w:t>
            </w:r>
          </w:p>
        </w:tc>
      </w:tr>
      <w:tr w14:paraId="671C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3DB961D9">
            <w:pPr>
              <w:adjustRightInd w:val="0"/>
              <w:snapToGrid w:val="0"/>
              <w:ind w:left="-53" w:leftChars="-25" w:right="-53" w:rightChars="-25"/>
              <w:jc w:val="center"/>
              <w:rPr>
                <w:b/>
                <w:bCs/>
                <w:sz w:val="22"/>
                <w:szCs w:val="22"/>
              </w:rPr>
            </w:pPr>
            <w:r>
              <w:rPr>
                <w:b/>
                <w:bCs/>
                <w:sz w:val="22"/>
                <w:szCs w:val="22"/>
              </w:rPr>
              <w:t>一</w:t>
            </w:r>
          </w:p>
        </w:tc>
        <w:tc>
          <w:tcPr>
            <w:tcW w:w="8347" w:type="dxa"/>
            <w:gridSpan w:val="3"/>
            <w:vAlign w:val="center"/>
          </w:tcPr>
          <w:p w14:paraId="0BEB90BC">
            <w:pPr>
              <w:adjustRightInd w:val="0"/>
              <w:snapToGrid w:val="0"/>
              <w:ind w:left="-53" w:leftChars="-25" w:right="-53" w:rightChars="-25"/>
              <w:jc w:val="center"/>
              <w:rPr>
                <w:b/>
                <w:bCs/>
                <w:sz w:val="22"/>
                <w:szCs w:val="22"/>
              </w:rPr>
            </w:pPr>
            <w:r>
              <w:rPr>
                <w:b/>
                <w:bCs/>
                <w:sz w:val="22"/>
                <w:szCs w:val="22"/>
              </w:rPr>
              <w:t>清洁生产</w:t>
            </w:r>
          </w:p>
        </w:tc>
      </w:tr>
      <w:tr w14:paraId="02D76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40EB5EE2">
            <w:pPr>
              <w:adjustRightInd w:val="0"/>
              <w:snapToGrid w:val="0"/>
              <w:ind w:left="-53" w:leftChars="-25" w:right="-53" w:rightChars="-25"/>
              <w:jc w:val="center"/>
              <w:rPr>
                <w:bCs/>
                <w:sz w:val="22"/>
                <w:szCs w:val="22"/>
              </w:rPr>
            </w:pPr>
            <w:r>
              <w:rPr>
                <w:bCs/>
                <w:sz w:val="22"/>
                <w:szCs w:val="22"/>
              </w:rPr>
              <w:t>1</w:t>
            </w:r>
          </w:p>
        </w:tc>
        <w:tc>
          <w:tcPr>
            <w:tcW w:w="4192" w:type="dxa"/>
            <w:vAlign w:val="center"/>
          </w:tcPr>
          <w:p w14:paraId="20A3E85C">
            <w:pPr>
              <w:adjustRightInd w:val="0"/>
              <w:snapToGrid w:val="0"/>
              <w:ind w:left="-53" w:leftChars="-25" w:right="-53" w:rightChars="-25"/>
              <w:rPr>
                <w:bCs/>
                <w:sz w:val="22"/>
                <w:szCs w:val="22"/>
              </w:rPr>
            </w:pPr>
            <w:r>
              <w:rPr>
                <w:bCs/>
                <w:sz w:val="22"/>
                <w:szCs w:val="22"/>
              </w:rPr>
              <w:t>油气田开发不得使用含有国际公约禁用化学物质的油气田化学剂，逐步淘汰微毒及以上油气田化学剂，鼓励使用无毒油气田化学剂。</w:t>
            </w:r>
          </w:p>
        </w:tc>
        <w:tc>
          <w:tcPr>
            <w:tcW w:w="3136" w:type="dxa"/>
            <w:vAlign w:val="center"/>
          </w:tcPr>
          <w:p w14:paraId="4B15C63F">
            <w:pPr>
              <w:adjustRightInd w:val="0"/>
              <w:snapToGrid w:val="0"/>
              <w:ind w:left="-53" w:leftChars="-25" w:right="-53" w:rightChars="-25"/>
              <w:jc w:val="left"/>
              <w:rPr>
                <w:bCs/>
                <w:sz w:val="22"/>
                <w:szCs w:val="22"/>
              </w:rPr>
            </w:pPr>
            <w:r>
              <w:rPr>
                <w:bCs/>
                <w:sz w:val="22"/>
                <w:szCs w:val="22"/>
              </w:rPr>
              <w:t>本项目无钻井工程，不涉及使用油气田化学剂。</w:t>
            </w:r>
          </w:p>
        </w:tc>
        <w:tc>
          <w:tcPr>
            <w:tcW w:w="1019" w:type="dxa"/>
            <w:vAlign w:val="center"/>
          </w:tcPr>
          <w:p w14:paraId="1D633AE7">
            <w:pPr>
              <w:adjustRightInd w:val="0"/>
              <w:snapToGrid w:val="0"/>
              <w:ind w:left="-53" w:leftChars="-25" w:right="-53" w:rightChars="-25"/>
              <w:jc w:val="center"/>
              <w:rPr>
                <w:bCs/>
                <w:sz w:val="22"/>
                <w:szCs w:val="22"/>
              </w:rPr>
            </w:pPr>
            <w:r>
              <w:rPr>
                <w:bCs/>
                <w:sz w:val="22"/>
                <w:szCs w:val="22"/>
              </w:rPr>
              <w:t>符合</w:t>
            </w:r>
          </w:p>
        </w:tc>
      </w:tr>
      <w:tr w14:paraId="0907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1C5D67BF">
            <w:pPr>
              <w:adjustRightInd w:val="0"/>
              <w:snapToGrid w:val="0"/>
              <w:ind w:left="-53" w:leftChars="-25" w:right="-53" w:rightChars="-25"/>
              <w:jc w:val="center"/>
              <w:rPr>
                <w:bCs/>
                <w:sz w:val="22"/>
                <w:szCs w:val="22"/>
              </w:rPr>
            </w:pPr>
            <w:r>
              <w:rPr>
                <w:bCs/>
                <w:sz w:val="22"/>
                <w:szCs w:val="22"/>
              </w:rPr>
              <w:t>2</w:t>
            </w:r>
          </w:p>
        </w:tc>
        <w:tc>
          <w:tcPr>
            <w:tcW w:w="4192" w:type="dxa"/>
            <w:vAlign w:val="center"/>
          </w:tcPr>
          <w:p w14:paraId="4661BD1E">
            <w:pPr>
              <w:adjustRightInd w:val="0"/>
              <w:snapToGrid w:val="0"/>
              <w:ind w:left="-53" w:leftChars="-25" w:right="-53" w:rightChars="-25"/>
              <w:rPr>
                <w:bCs/>
                <w:sz w:val="22"/>
                <w:szCs w:val="22"/>
              </w:rPr>
            </w:pPr>
            <w:r>
              <w:rPr>
                <w:bCs/>
                <w:sz w:val="22"/>
                <w:szCs w:val="22"/>
              </w:rPr>
              <w:t>在钻井过程中，鼓励采用环境友好的钻井液体系；配备完善的固控设备，钻井液循环率达到95%以上；钻井过程产生的废水应回用。</w:t>
            </w:r>
          </w:p>
        </w:tc>
        <w:tc>
          <w:tcPr>
            <w:tcW w:w="3136" w:type="dxa"/>
            <w:vAlign w:val="center"/>
          </w:tcPr>
          <w:p w14:paraId="2EA0F141">
            <w:pPr>
              <w:adjustRightInd w:val="0"/>
              <w:snapToGrid w:val="0"/>
              <w:ind w:left="-53" w:leftChars="-25" w:right="-53" w:rightChars="-25"/>
              <w:rPr>
                <w:bCs/>
                <w:sz w:val="22"/>
                <w:szCs w:val="22"/>
              </w:rPr>
            </w:pPr>
            <w:r>
              <w:rPr>
                <w:bCs/>
                <w:sz w:val="22"/>
                <w:szCs w:val="22"/>
              </w:rPr>
              <w:t>本项目无钻井工程，不涉及钻井液的使用。</w:t>
            </w:r>
          </w:p>
        </w:tc>
        <w:tc>
          <w:tcPr>
            <w:tcW w:w="1019" w:type="dxa"/>
            <w:vAlign w:val="center"/>
          </w:tcPr>
          <w:p w14:paraId="6F541DC8">
            <w:pPr>
              <w:adjustRightInd w:val="0"/>
              <w:snapToGrid w:val="0"/>
              <w:ind w:left="-53" w:leftChars="-25" w:right="-53" w:rightChars="-25"/>
              <w:jc w:val="center"/>
              <w:rPr>
                <w:bCs/>
                <w:sz w:val="22"/>
                <w:szCs w:val="22"/>
              </w:rPr>
            </w:pPr>
            <w:r>
              <w:rPr>
                <w:bCs/>
                <w:sz w:val="22"/>
                <w:szCs w:val="22"/>
              </w:rPr>
              <w:t>符合</w:t>
            </w:r>
          </w:p>
        </w:tc>
      </w:tr>
      <w:tr w14:paraId="0556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7DDFFFC1">
            <w:pPr>
              <w:adjustRightInd w:val="0"/>
              <w:snapToGrid w:val="0"/>
              <w:ind w:left="-53" w:leftChars="-25" w:right="-53" w:rightChars="-25"/>
              <w:jc w:val="center"/>
              <w:rPr>
                <w:bCs/>
                <w:sz w:val="22"/>
                <w:szCs w:val="22"/>
              </w:rPr>
            </w:pPr>
            <w:r>
              <w:rPr>
                <w:bCs/>
                <w:sz w:val="22"/>
                <w:szCs w:val="22"/>
              </w:rPr>
              <w:t>3</w:t>
            </w:r>
          </w:p>
        </w:tc>
        <w:tc>
          <w:tcPr>
            <w:tcW w:w="4192" w:type="dxa"/>
            <w:vAlign w:val="center"/>
          </w:tcPr>
          <w:p w14:paraId="15638FB1">
            <w:pPr>
              <w:adjustRightInd w:val="0"/>
              <w:snapToGrid w:val="0"/>
              <w:ind w:left="-53" w:leftChars="-25" w:right="-53" w:rightChars="-25"/>
              <w:rPr>
                <w:bCs/>
                <w:sz w:val="22"/>
                <w:szCs w:val="22"/>
              </w:rPr>
            </w:pPr>
            <w:r>
              <w:rPr>
                <w:bCs/>
                <w:sz w:val="22"/>
                <w:szCs w:val="22"/>
              </w:rPr>
              <w:t>在井下作业过程中，酸化液和压裂液宜集中配制，酸化残液、压裂残液和返排液应回收利用或进行无害化处置，压裂放喷返排入罐率应达到100%。压裂作业和试油（气）过程应采取防喷、地面管线防刺、防漏、防溢等措施。</w:t>
            </w:r>
          </w:p>
        </w:tc>
        <w:tc>
          <w:tcPr>
            <w:tcW w:w="3136" w:type="dxa"/>
            <w:vAlign w:val="center"/>
          </w:tcPr>
          <w:p w14:paraId="278C4774">
            <w:pPr>
              <w:adjustRightInd w:val="0"/>
              <w:snapToGrid w:val="0"/>
              <w:ind w:left="-53" w:leftChars="-25" w:right="-53" w:rightChars="-25"/>
              <w:rPr>
                <w:bCs/>
                <w:sz w:val="22"/>
                <w:szCs w:val="22"/>
              </w:rPr>
            </w:pPr>
            <w:r>
              <w:rPr>
                <w:bCs/>
                <w:sz w:val="22"/>
                <w:szCs w:val="22"/>
              </w:rPr>
              <w:t>本项目无井下作业工程，不涉及酸化液和压裂液的使用。</w:t>
            </w:r>
          </w:p>
        </w:tc>
        <w:tc>
          <w:tcPr>
            <w:tcW w:w="1019" w:type="dxa"/>
            <w:vAlign w:val="center"/>
          </w:tcPr>
          <w:p w14:paraId="4B9DF1ED">
            <w:pPr>
              <w:adjustRightInd w:val="0"/>
              <w:snapToGrid w:val="0"/>
              <w:ind w:left="-53" w:leftChars="-25" w:right="-53" w:rightChars="-25"/>
              <w:jc w:val="center"/>
              <w:rPr>
                <w:bCs/>
                <w:sz w:val="22"/>
                <w:szCs w:val="22"/>
              </w:rPr>
            </w:pPr>
            <w:r>
              <w:rPr>
                <w:bCs/>
                <w:sz w:val="22"/>
                <w:szCs w:val="22"/>
              </w:rPr>
              <w:t>符合</w:t>
            </w:r>
          </w:p>
        </w:tc>
      </w:tr>
      <w:tr w14:paraId="0F7A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710A1BAB">
            <w:pPr>
              <w:adjustRightInd w:val="0"/>
              <w:snapToGrid w:val="0"/>
              <w:ind w:left="-53" w:leftChars="-25" w:right="-53" w:rightChars="-25"/>
              <w:jc w:val="center"/>
              <w:rPr>
                <w:sz w:val="22"/>
                <w:szCs w:val="22"/>
              </w:rPr>
            </w:pPr>
            <w:r>
              <w:rPr>
                <w:sz w:val="22"/>
                <w:szCs w:val="22"/>
              </w:rPr>
              <w:t>二</w:t>
            </w:r>
          </w:p>
        </w:tc>
        <w:tc>
          <w:tcPr>
            <w:tcW w:w="8347" w:type="dxa"/>
            <w:gridSpan w:val="3"/>
            <w:vAlign w:val="center"/>
          </w:tcPr>
          <w:p w14:paraId="2BD46D87">
            <w:pPr>
              <w:adjustRightInd w:val="0"/>
              <w:snapToGrid w:val="0"/>
              <w:ind w:left="-53" w:leftChars="-25" w:right="-53" w:rightChars="-25"/>
              <w:jc w:val="center"/>
              <w:rPr>
                <w:b/>
                <w:bCs/>
                <w:sz w:val="22"/>
                <w:szCs w:val="22"/>
              </w:rPr>
            </w:pPr>
            <w:r>
              <w:rPr>
                <w:b/>
                <w:bCs/>
                <w:sz w:val="22"/>
                <w:szCs w:val="22"/>
              </w:rPr>
              <w:t>生态保护</w:t>
            </w:r>
          </w:p>
        </w:tc>
      </w:tr>
      <w:tr w14:paraId="34E1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6D262E89">
            <w:pPr>
              <w:adjustRightInd w:val="0"/>
              <w:snapToGrid w:val="0"/>
              <w:ind w:left="-53" w:leftChars="-25" w:right="-53" w:rightChars="-25"/>
              <w:jc w:val="center"/>
              <w:rPr>
                <w:sz w:val="22"/>
                <w:szCs w:val="22"/>
              </w:rPr>
            </w:pPr>
            <w:r>
              <w:rPr>
                <w:sz w:val="22"/>
                <w:szCs w:val="22"/>
              </w:rPr>
              <w:t>1</w:t>
            </w:r>
          </w:p>
        </w:tc>
        <w:tc>
          <w:tcPr>
            <w:tcW w:w="4192" w:type="dxa"/>
            <w:vAlign w:val="center"/>
          </w:tcPr>
          <w:p w14:paraId="6CD4253E">
            <w:pPr>
              <w:adjustRightInd w:val="0"/>
              <w:snapToGrid w:val="0"/>
              <w:ind w:left="-53" w:leftChars="-25" w:right="-53" w:rightChars="-25"/>
              <w:rPr>
                <w:sz w:val="22"/>
                <w:szCs w:val="22"/>
              </w:rPr>
            </w:pPr>
            <w:r>
              <w:rPr>
                <w:sz w:val="22"/>
                <w:szCs w:val="22"/>
              </w:rPr>
              <w:t>在开发过程中，伴生气应回收利用，减少温室气体排放，不具备回收利用条件的，应充分燃烧，伴生气回收利用率应达到80%以上；站场放空天然气应充分燃烧。燃烧放空设施应避开鸟类迁徙通道。</w:t>
            </w:r>
          </w:p>
        </w:tc>
        <w:tc>
          <w:tcPr>
            <w:tcW w:w="3136" w:type="dxa"/>
            <w:vAlign w:val="center"/>
          </w:tcPr>
          <w:p w14:paraId="21A5B5E2">
            <w:pPr>
              <w:pStyle w:val="423"/>
              <w:adjustRightInd w:val="0"/>
              <w:snapToGrid w:val="0"/>
              <w:spacing w:line="240" w:lineRule="auto"/>
              <w:ind w:left="-53" w:leftChars="-25" w:right="-53" w:rightChars="-25" w:firstLine="0" w:firstLineChars="0"/>
              <w:outlineLvl w:val="9"/>
              <w:rPr>
                <w:b w:val="0"/>
                <w:kern w:val="0"/>
                <w:sz w:val="22"/>
                <w:szCs w:val="22"/>
              </w:rPr>
            </w:pPr>
            <w:r>
              <w:rPr>
                <w:b w:val="0"/>
                <w:kern w:val="0"/>
                <w:sz w:val="22"/>
                <w:szCs w:val="22"/>
              </w:rPr>
              <w:t>本项目检修废气通过放放空管排放，且放空设施不涉及鸟类迁徙通道。</w:t>
            </w:r>
          </w:p>
        </w:tc>
        <w:tc>
          <w:tcPr>
            <w:tcW w:w="1019" w:type="dxa"/>
            <w:vAlign w:val="center"/>
          </w:tcPr>
          <w:p w14:paraId="6D3F6A67">
            <w:pPr>
              <w:adjustRightInd w:val="0"/>
              <w:snapToGrid w:val="0"/>
              <w:ind w:left="-53" w:leftChars="-25" w:right="-53" w:rightChars="-25"/>
              <w:jc w:val="center"/>
              <w:rPr>
                <w:sz w:val="22"/>
                <w:szCs w:val="22"/>
              </w:rPr>
            </w:pPr>
            <w:r>
              <w:rPr>
                <w:sz w:val="22"/>
                <w:szCs w:val="22"/>
              </w:rPr>
              <w:t>符合</w:t>
            </w:r>
          </w:p>
        </w:tc>
      </w:tr>
      <w:tr w14:paraId="038BC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5867304F">
            <w:pPr>
              <w:adjustRightInd w:val="0"/>
              <w:snapToGrid w:val="0"/>
              <w:ind w:left="-53" w:leftChars="-25" w:right="-53" w:rightChars="-25"/>
              <w:jc w:val="center"/>
              <w:rPr>
                <w:b/>
                <w:bCs/>
                <w:sz w:val="22"/>
                <w:szCs w:val="22"/>
              </w:rPr>
            </w:pPr>
            <w:r>
              <w:rPr>
                <w:b/>
                <w:bCs/>
                <w:sz w:val="22"/>
                <w:szCs w:val="22"/>
              </w:rPr>
              <w:t>三</w:t>
            </w:r>
          </w:p>
        </w:tc>
        <w:tc>
          <w:tcPr>
            <w:tcW w:w="8347" w:type="dxa"/>
            <w:gridSpan w:val="3"/>
            <w:vAlign w:val="center"/>
          </w:tcPr>
          <w:p w14:paraId="09B518F9">
            <w:pPr>
              <w:adjustRightInd w:val="0"/>
              <w:snapToGrid w:val="0"/>
              <w:ind w:left="-53" w:leftChars="-25" w:right="-53" w:rightChars="-25"/>
              <w:jc w:val="center"/>
              <w:rPr>
                <w:b/>
                <w:bCs/>
                <w:sz w:val="22"/>
                <w:szCs w:val="22"/>
              </w:rPr>
            </w:pPr>
            <w:r>
              <w:rPr>
                <w:b/>
                <w:bCs/>
                <w:sz w:val="22"/>
                <w:szCs w:val="22"/>
              </w:rPr>
              <w:t>污染治理</w:t>
            </w:r>
          </w:p>
        </w:tc>
      </w:tr>
      <w:tr w14:paraId="1975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253F3445">
            <w:pPr>
              <w:adjustRightInd w:val="0"/>
              <w:snapToGrid w:val="0"/>
              <w:ind w:left="-53" w:leftChars="-25" w:right="-53" w:rightChars="-25"/>
              <w:jc w:val="center"/>
              <w:rPr>
                <w:bCs/>
                <w:sz w:val="22"/>
                <w:szCs w:val="22"/>
              </w:rPr>
            </w:pPr>
            <w:r>
              <w:rPr>
                <w:bCs/>
                <w:sz w:val="22"/>
                <w:szCs w:val="22"/>
              </w:rPr>
              <w:t>1</w:t>
            </w:r>
          </w:p>
        </w:tc>
        <w:tc>
          <w:tcPr>
            <w:tcW w:w="4192" w:type="dxa"/>
            <w:vAlign w:val="center"/>
          </w:tcPr>
          <w:p w14:paraId="04C509D2">
            <w:pPr>
              <w:adjustRightInd w:val="0"/>
              <w:snapToGrid w:val="0"/>
              <w:ind w:left="-53" w:leftChars="-25" w:right="-53" w:rightChars="-25"/>
              <w:rPr>
                <w:bCs/>
                <w:sz w:val="22"/>
                <w:szCs w:val="22"/>
              </w:rPr>
            </w:pPr>
            <w:r>
              <w:rPr>
                <w:bCs/>
                <w:sz w:val="22"/>
                <w:szCs w:val="22"/>
              </w:rPr>
              <w:t>在钻井和井下作业过程中，鼓励污油、污水进入生产流程循环利用，未进入生产流程的污油、污水应采用固液分离、废水处理一体化装置等处理后达标外排。在油气开发过程中，未回注的油气田采出水宜采用混凝气浮和生化处理相结合的方式。</w:t>
            </w:r>
          </w:p>
        </w:tc>
        <w:tc>
          <w:tcPr>
            <w:tcW w:w="3136" w:type="dxa"/>
            <w:vAlign w:val="center"/>
          </w:tcPr>
          <w:p w14:paraId="16166D19">
            <w:pPr>
              <w:pStyle w:val="687"/>
              <w:jc w:val="both"/>
              <w:rPr>
                <w:kern w:val="0"/>
              </w:rPr>
            </w:pPr>
            <w:r>
              <w:rPr>
                <w:rFonts w:hint="eastAsia"/>
              </w:rPr>
              <w:t>试采期产生的气田水、放空分离液、分子筛冷凝水、燃料气分离废水和检修废水暂存于气田水储罐，定期由罐车运输至四川洁安环境科技有限公司油气田废水处理站、四川兴澳环境技术服务有限公司油气井地下水处理站处置，或区域内有合法资质且有处理能力的第三方单位处置。</w:t>
            </w:r>
          </w:p>
        </w:tc>
        <w:tc>
          <w:tcPr>
            <w:tcW w:w="1019" w:type="dxa"/>
            <w:vAlign w:val="center"/>
          </w:tcPr>
          <w:p w14:paraId="75640736">
            <w:pPr>
              <w:adjustRightInd w:val="0"/>
              <w:snapToGrid w:val="0"/>
              <w:ind w:left="-53" w:leftChars="-25" w:right="-53" w:rightChars="-25"/>
              <w:jc w:val="center"/>
              <w:rPr>
                <w:bCs/>
                <w:sz w:val="22"/>
                <w:szCs w:val="22"/>
              </w:rPr>
            </w:pPr>
            <w:r>
              <w:rPr>
                <w:bCs/>
                <w:sz w:val="22"/>
                <w:szCs w:val="22"/>
              </w:rPr>
              <w:t>符合</w:t>
            </w:r>
          </w:p>
        </w:tc>
      </w:tr>
      <w:tr w14:paraId="07A9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4CA7357E">
            <w:pPr>
              <w:adjustRightInd w:val="0"/>
              <w:snapToGrid w:val="0"/>
              <w:ind w:left="-53" w:leftChars="-25" w:right="-53" w:rightChars="-25"/>
              <w:jc w:val="center"/>
              <w:rPr>
                <w:bCs/>
                <w:sz w:val="22"/>
                <w:szCs w:val="22"/>
              </w:rPr>
            </w:pPr>
            <w:r>
              <w:rPr>
                <w:bCs/>
                <w:sz w:val="22"/>
                <w:szCs w:val="22"/>
              </w:rPr>
              <w:t>2</w:t>
            </w:r>
          </w:p>
        </w:tc>
        <w:tc>
          <w:tcPr>
            <w:tcW w:w="4192" w:type="dxa"/>
            <w:vAlign w:val="center"/>
          </w:tcPr>
          <w:p w14:paraId="45BC01A2">
            <w:pPr>
              <w:adjustRightInd w:val="0"/>
              <w:snapToGrid w:val="0"/>
              <w:ind w:left="-53" w:leftChars="-25" w:right="-53" w:rightChars="-25"/>
              <w:rPr>
                <w:bCs/>
                <w:sz w:val="22"/>
                <w:szCs w:val="22"/>
              </w:rPr>
            </w:pPr>
            <w:r>
              <w:rPr>
                <w:bCs/>
                <w:sz w:val="22"/>
                <w:szCs w:val="22"/>
              </w:rPr>
              <w:t>固体废物收集、贮存、处理处置设施应按照标准要求采取防渗措施。</w:t>
            </w:r>
          </w:p>
          <w:p w14:paraId="58977C0A">
            <w:pPr>
              <w:adjustRightInd w:val="0"/>
              <w:snapToGrid w:val="0"/>
              <w:ind w:left="-53" w:leftChars="-25" w:right="-53" w:rightChars="-25"/>
              <w:rPr>
                <w:bCs/>
                <w:sz w:val="22"/>
                <w:szCs w:val="22"/>
              </w:rPr>
            </w:pPr>
            <w:r>
              <w:rPr>
                <w:bCs/>
                <w:sz w:val="22"/>
                <w:szCs w:val="22"/>
              </w:rPr>
              <w:t>试油（气）后应立即封闭废弃钻井液贮池。</w:t>
            </w:r>
          </w:p>
        </w:tc>
        <w:tc>
          <w:tcPr>
            <w:tcW w:w="3136" w:type="dxa"/>
            <w:vAlign w:val="center"/>
          </w:tcPr>
          <w:p w14:paraId="467E83D1">
            <w:pPr>
              <w:pStyle w:val="423"/>
              <w:adjustRightInd w:val="0"/>
              <w:snapToGrid w:val="0"/>
              <w:spacing w:line="240" w:lineRule="auto"/>
              <w:ind w:left="-53" w:leftChars="-25" w:right="-53" w:rightChars="-25" w:firstLine="0" w:firstLineChars="0"/>
              <w:outlineLvl w:val="9"/>
              <w:rPr>
                <w:b w:val="0"/>
                <w:bCs/>
                <w:kern w:val="0"/>
                <w:sz w:val="22"/>
                <w:szCs w:val="22"/>
              </w:rPr>
            </w:pPr>
            <w:r>
              <w:rPr>
                <w:b w:val="0"/>
                <w:bCs/>
                <w:kern w:val="0"/>
                <w:sz w:val="22"/>
                <w:szCs w:val="22"/>
              </w:rPr>
              <w:t>项目严格按照</w:t>
            </w:r>
            <w:r>
              <w:rPr>
                <w:b w:val="0"/>
                <w:bCs/>
                <w:sz w:val="22"/>
                <w:szCs w:val="22"/>
              </w:rPr>
              <w:t>《环境影响评价技术导则 地下水环境》（HJ 610-2016）规范落实防渗措施。</w:t>
            </w:r>
          </w:p>
        </w:tc>
        <w:tc>
          <w:tcPr>
            <w:tcW w:w="1019" w:type="dxa"/>
            <w:vAlign w:val="center"/>
          </w:tcPr>
          <w:p w14:paraId="7E93D040">
            <w:pPr>
              <w:adjustRightInd w:val="0"/>
              <w:snapToGrid w:val="0"/>
              <w:ind w:left="-53" w:leftChars="-25" w:right="-53" w:rightChars="-25"/>
              <w:jc w:val="center"/>
              <w:rPr>
                <w:bCs/>
                <w:sz w:val="22"/>
                <w:szCs w:val="22"/>
              </w:rPr>
            </w:pPr>
            <w:r>
              <w:rPr>
                <w:bCs/>
                <w:sz w:val="22"/>
                <w:szCs w:val="22"/>
              </w:rPr>
              <w:t>符合</w:t>
            </w:r>
          </w:p>
        </w:tc>
      </w:tr>
      <w:tr w14:paraId="6AB9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7C61A13B">
            <w:pPr>
              <w:adjustRightInd w:val="0"/>
              <w:snapToGrid w:val="0"/>
              <w:ind w:left="-53" w:leftChars="-25" w:right="-53" w:rightChars="-25"/>
              <w:jc w:val="center"/>
              <w:rPr>
                <w:bCs/>
                <w:sz w:val="22"/>
                <w:szCs w:val="22"/>
              </w:rPr>
            </w:pPr>
            <w:r>
              <w:rPr>
                <w:bCs/>
                <w:sz w:val="22"/>
                <w:szCs w:val="22"/>
              </w:rPr>
              <w:t>3</w:t>
            </w:r>
          </w:p>
        </w:tc>
        <w:tc>
          <w:tcPr>
            <w:tcW w:w="4192" w:type="dxa"/>
            <w:vAlign w:val="center"/>
          </w:tcPr>
          <w:p w14:paraId="48734DAB">
            <w:pPr>
              <w:adjustRightInd w:val="0"/>
              <w:snapToGrid w:val="0"/>
              <w:ind w:left="-53" w:leftChars="-25" w:right="-53" w:rightChars="-25"/>
              <w:rPr>
                <w:bCs/>
                <w:sz w:val="22"/>
                <w:szCs w:val="22"/>
              </w:rPr>
            </w:pPr>
            <w:r>
              <w:rPr>
                <w:bCs/>
                <w:sz w:val="22"/>
                <w:szCs w:val="22"/>
              </w:rPr>
              <w:t>对受到油污染的土壤宜采取生物或物化方法进行修复。</w:t>
            </w:r>
          </w:p>
        </w:tc>
        <w:tc>
          <w:tcPr>
            <w:tcW w:w="3136" w:type="dxa"/>
            <w:vAlign w:val="center"/>
          </w:tcPr>
          <w:p w14:paraId="0A776F11">
            <w:pPr>
              <w:adjustRightInd w:val="0"/>
              <w:snapToGrid w:val="0"/>
              <w:ind w:left="-53" w:leftChars="-25" w:right="-53" w:rightChars="-25"/>
              <w:rPr>
                <w:bCs/>
                <w:sz w:val="22"/>
                <w:szCs w:val="22"/>
              </w:rPr>
            </w:pPr>
            <w:r>
              <w:rPr>
                <w:bCs/>
                <w:sz w:val="22"/>
                <w:szCs w:val="22"/>
              </w:rPr>
              <w:t>对于可能受到油污染的土地，拟采取生物或物化方法进行修复。</w:t>
            </w:r>
          </w:p>
        </w:tc>
        <w:tc>
          <w:tcPr>
            <w:tcW w:w="1019" w:type="dxa"/>
            <w:vAlign w:val="center"/>
          </w:tcPr>
          <w:p w14:paraId="22EC9FC4">
            <w:pPr>
              <w:adjustRightInd w:val="0"/>
              <w:snapToGrid w:val="0"/>
              <w:ind w:left="-53" w:leftChars="-25" w:right="-53" w:rightChars="-25"/>
              <w:jc w:val="center"/>
              <w:rPr>
                <w:bCs/>
                <w:sz w:val="22"/>
                <w:szCs w:val="22"/>
              </w:rPr>
            </w:pPr>
            <w:r>
              <w:rPr>
                <w:bCs/>
                <w:sz w:val="22"/>
                <w:szCs w:val="22"/>
              </w:rPr>
              <w:t>符合</w:t>
            </w:r>
          </w:p>
        </w:tc>
      </w:tr>
      <w:tr w14:paraId="2ACC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79945FDC">
            <w:pPr>
              <w:adjustRightInd w:val="0"/>
              <w:snapToGrid w:val="0"/>
              <w:ind w:left="-53" w:leftChars="-25" w:right="-53" w:rightChars="-25"/>
              <w:jc w:val="center"/>
              <w:rPr>
                <w:sz w:val="22"/>
                <w:szCs w:val="22"/>
              </w:rPr>
            </w:pPr>
            <w:r>
              <w:rPr>
                <w:sz w:val="22"/>
                <w:szCs w:val="22"/>
              </w:rPr>
              <w:t>四</w:t>
            </w:r>
          </w:p>
        </w:tc>
        <w:tc>
          <w:tcPr>
            <w:tcW w:w="8347" w:type="dxa"/>
            <w:gridSpan w:val="3"/>
            <w:vAlign w:val="center"/>
          </w:tcPr>
          <w:p w14:paraId="4C2E6458">
            <w:pPr>
              <w:adjustRightInd w:val="0"/>
              <w:snapToGrid w:val="0"/>
              <w:ind w:left="-53" w:leftChars="-25" w:right="-53" w:rightChars="-25"/>
              <w:jc w:val="center"/>
              <w:rPr>
                <w:sz w:val="22"/>
                <w:szCs w:val="22"/>
              </w:rPr>
            </w:pPr>
            <w:r>
              <w:rPr>
                <w:sz w:val="22"/>
                <w:szCs w:val="22"/>
              </w:rPr>
              <w:t>运行风险和环境管理</w:t>
            </w:r>
          </w:p>
        </w:tc>
      </w:tr>
      <w:tr w14:paraId="7982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007EFA1D">
            <w:pPr>
              <w:adjustRightInd w:val="0"/>
              <w:snapToGrid w:val="0"/>
              <w:ind w:left="-53" w:leftChars="-25" w:right="-53" w:rightChars="-25"/>
              <w:jc w:val="center"/>
              <w:rPr>
                <w:sz w:val="22"/>
                <w:szCs w:val="22"/>
              </w:rPr>
            </w:pPr>
            <w:r>
              <w:rPr>
                <w:sz w:val="22"/>
                <w:szCs w:val="22"/>
              </w:rPr>
              <w:t>1</w:t>
            </w:r>
          </w:p>
        </w:tc>
        <w:tc>
          <w:tcPr>
            <w:tcW w:w="4192" w:type="dxa"/>
            <w:vAlign w:val="center"/>
          </w:tcPr>
          <w:p w14:paraId="224DCF7A">
            <w:pPr>
              <w:adjustRightInd w:val="0"/>
              <w:snapToGrid w:val="0"/>
              <w:ind w:left="-53" w:leftChars="-25" w:right="-53" w:rightChars="-25"/>
              <w:rPr>
                <w:sz w:val="22"/>
                <w:szCs w:val="22"/>
              </w:rPr>
            </w:pPr>
            <w:r>
              <w:rPr>
                <w:sz w:val="22"/>
                <w:szCs w:val="22"/>
              </w:rPr>
              <w:t>油气田企业应制定环境保护管理规定，建立并运行健康、安全与环境管理体系。</w:t>
            </w:r>
          </w:p>
        </w:tc>
        <w:tc>
          <w:tcPr>
            <w:tcW w:w="3136" w:type="dxa"/>
            <w:vAlign w:val="center"/>
          </w:tcPr>
          <w:p w14:paraId="1E1D43DB">
            <w:pPr>
              <w:pStyle w:val="423"/>
              <w:adjustRightInd w:val="0"/>
              <w:snapToGrid w:val="0"/>
              <w:spacing w:line="240" w:lineRule="auto"/>
              <w:ind w:left="-53" w:leftChars="-25" w:right="-53" w:rightChars="-25" w:firstLine="0" w:firstLineChars="0"/>
              <w:outlineLvl w:val="9"/>
              <w:rPr>
                <w:b w:val="0"/>
                <w:kern w:val="0"/>
                <w:sz w:val="22"/>
                <w:szCs w:val="22"/>
              </w:rPr>
            </w:pPr>
            <w:r>
              <w:rPr>
                <w:rFonts w:hint="eastAsia"/>
                <w:b w:val="0"/>
                <w:kern w:val="0"/>
                <w:sz w:val="22"/>
                <w:szCs w:val="22"/>
              </w:rPr>
              <w:t>建设单位</w:t>
            </w:r>
            <w:r>
              <w:rPr>
                <w:b w:val="0"/>
                <w:kern w:val="0"/>
                <w:sz w:val="22"/>
                <w:szCs w:val="22"/>
              </w:rPr>
              <w:t>制定有完善的环境保护管理规定，并建立运行健康、安全与环境管理体系</w:t>
            </w:r>
            <w:r>
              <w:rPr>
                <w:rFonts w:hint="eastAsia"/>
                <w:b w:val="0"/>
                <w:kern w:val="0"/>
                <w:sz w:val="22"/>
                <w:szCs w:val="22"/>
              </w:rPr>
              <w:t>（H</w:t>
            </w:r>
            <w:r>
              <w:rPr>
                <w:b w:val="0"/>
                <w:kern w:val="0"/>
                <w:sz w:val="22"/>
                <w:szCs w:val="22"/>
              </w:rPr>
              <w:t>SE</w:t>
            </w:r>
            <w:r>
              <w:rPr>
                <w:rFonts w:hint="eastAsia"/>
                <w:b w:val="0"/>
                <w:kern w:val="0"/>
                <w:sz w:val="22"/>
                <w:szCs w:val="22"/>
              </w:rPr>
              <w:t>）</w:t>
            </w:r>
            <w:r>
              <w:rPr>
                <w:b w:val="0"/>
                <w:kern w:val="0"/>
                <w:sz w:val="22"/>
                <w:szCs w:val="22"/>
              </w:rPr>
              <w:t>。</w:t>
            </w:r>
          </w:p>
        </w:tc>
        <w:tc>
          <w:tcPr>
            <w:tcW w:w="1019" w:type="dxa"/>
            <w:vAlign w:val="center"/>
          </w:tcPr>
          <w:p w14:paraId="63C0E0F1">
            <w:pPr>
              <w:adjustRightInd w:val="0"/>
              <w:snapToGrid w:val="0"/>
              <w:ind w:left="-53" w:leftChars="-25" w:right="-53" w:rightChars="-25"/>
              <w:jc w:val="center"/>
              <w:rPr>
                <w:sz w:val="22"/>
                <w:szCs w:val="22"/>
              </w:rPr>
            </w:pPr>
            <w:r>
              <w:rPr>
                <w:sz w:val="22"/>
                <w:szCs w:val="22"/>
              </w:rPr>
              <w:t>符合</w:t>
            </w:r>
          </w:p>
        </w:tc>
      </w:tr>
      <w:tr w14:paraId="1A34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196F0CBE">
            <w:pPr>
              <w:adjustRightInd w:val="0"/>
              <w:snapToGrid w:val="0"/>
              <w:ind w:left="-53" w:leftChars="-25" w:right="-53" w:rightChars="-25"/>
              <w:jc w:val="center"/>
              <w:rPr>
                <w:sz w:val="22"/>
                <w:szCs w:val="22"/>
              </w:rPr>
            </w:pPr>
            <w:r>
              <w:rPr>
                <w:sz w:val="22"/>
                <w:szCs w:val="22"/>
              </w:rPr>
              <w:t>2</w:t>
            </w:r>
          </w:p>
        </w:tc>
        <w:tc>
          <w:tcPr>
            <w:tcW w:w="4192" w:type="dxa"/>
            <w:vAlign w:val="center"/>
          </w:tcPr>
          <w:p w14:paraId="5448A545">
            <w:pPr>
              <w:adjustRightInd w:val="0"/>
              <w:snapToGrid w:val="0"/>
              <w:ind w:left="-53" w:leftChars="-25" w:right="-53" w:rightChars="-25"/>
              <w:rPr>
                <w:sz w:val="22"/>
                <w:szCs w:val="22"/>
              </w:rPr>
            </w:pPr>
            <w:r>
              <w:rPr>
                <w:sz w:val="22"/>
                <w:szCs w:val="22"/>
              </w:rPr>
              <w:t>在开发过程中，企业应加强油气井套管的检测和维护，防止油气泄漏污染地下水。</w:t>
            </w:r>
          </w:p>
        </w:tc>
        <w:tc>
          <w:tcPr>
            <w:tcW w:w="3136" w:type="dxa"/>
            <w:vAlign w:val="center"/>
          </w:tcPr>
          <w:p w14:paraId="01F93684">
            <w:pPr>
              <w:pStyle w:val="423"/>
              <w:adjustRightInd w:val="0"/>
              <w:snapToGrid w:val="0"/>
              <w:spacing w:line="240" w:lineRule="auto"/>
              <w:ind w:left="-53" w:leftChars="-25" w:right="-53" w:rightChars="-25" w:firstLine="0" w:firstLineChars="0"/>
              <w:outlineLvl w:val="9"/>
              <w:rPr>
                <w:b w:val="0"/>
                <w:kern w:val="0"/>
                <w:sz w:val="22"/>
                <w:szCs w:val="22"/>
              </w:rPr>
            </w:pPr>
            <w:r>
              <w:rPr>
                <w:b w:val="0"/>
                <w:kern w:val="0"/>
                <w:sz w:val="22"/>
                <w:szCs w:val="22"/>
              </w:rPr>
              <w:t>项目制定有完善的套管监测维护计划和制度，防止</w:t>
            </w:r>
            <w:r>
              <w:rPr>
                <w:rFonts w:hint="eastAsia"/>
                <w:b w:val="0"/>
                <w:kern w:val="0"/>
                <w:sz w:val="22"/>
                <w:szCs w:val="22"/>
              </w:rPr>
              <w:t>凝析油</w:t>
            </w:r>
            <w:r>
              <w:rPr>
                <w:b w:val="0"/>
                <w:kern w:val="0"/>
                <w:sz w:val="22"/>
                <w:szCs w:val="22"/>
              </w:rPr>
              <w:t>、气田水泄漏污染地下水。</w:t>
            </w:r>
          </w:p>
        </w:tc>
        <w:tc>
          <w:tcPr>
            <w:tcW w:w="1019" w:type="dxa"/>
            <w:vAlign w:val="center"/>
          </w:tcPr>
          <w:p w14:paraId="50AD0F63">
            <w:pPr>
              <w:adjustRightInd w:val="0"/>
              <w:snapToGrid w:val="0"/>
              <w:ind w:left="-53" w:leftChars="-25" w:right="-53" w:rightChars="-25"/>
              <w:jc w:val="center"/>
              <w:rPr>
                <w:sz w:val="22"/>
                <w:szCs w:val="22"/>
              </w:rPr>
            </w:pPr>
            <w:r>
              <w:rPr>
                <w:sz w:val="22"/>
                <w:szCs w:val="22"/>
              </w:rPr>
              <w:t>符合</w:t>
            </w:r>
          </w:p>
        </w:tc>
      </w:tr>
      <w:tr w14:paraId="158F9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5FBA63E5">
            <w:pPr>
              <w:adjustRightInd w:val="0"/>
              <w:snapToGrid w:val="0"/>
              <w:ind w:left="-53" w:leftChars="-25" w:right="-53" w:rightChars="-25"/>
              <w:jc w:val="center"/>
              <w:rPr>
                <w:sz w:val="22"/>
                <w:szCs w:val="22"/>
              </w:rPr>
            </w:pPr>
            <w:r>
              <w:rPr>
                <w:sz w:val="22"/>
                <w:szCs w:val="22"/>
              </w:rPr>
              <w:t>3</w:t>
            </w:r>
          </w:p>
        </w:tc>
        <w:tc>
          <w:tcPr>
            <w:tcW w:w="4192" w:type="dxa"/>
            <w:vAlign w:val="center"/>
          </w:tcPr>
          <w:p w14:paraId="0C9727E1">
            <w:pPr>
              <w:adjustRightInd w:val="0"/>
              <w:snapToGrid w:val="0"/>
              <w:ind w:left="-53" w:leftChars="-25" w:right="-53" w:rightChars="-25"/>
              <w:rPr>
                <w:sz w:val="22"/>
                <w:szCs w:val="22"/>
              </w:rPr>
            </w:pPr>
            <w:r>
              <w:rPr>
                <w:sz w:val="22"/>
                <w:szCs w:val="22"/>
              </w:rPr>
              <w:t>油气田企业应建立环境保护人员培训制度，环境监测人员、统计人员、污染治理设施操作人员应经培训合格后上岗。</w:t>
            </w:r>
          </w:p>
        </w:tc>
        <w:tc>
          <w:tcPr>
            <w:tcW w:w="3136" w:type="dxa"/>
            <w:vAlign w:val="center"/>
          </w:tcPr>
          <w:p w14:paraId="1DE1947E">
            <w:pPr>
              <w:pStyle w:val="423"/>
              <w:adjustRightInd w:val="0"/>
              <w:snapToGrid w:val="0"/>
              <w:spacing w:line="240" w:lineRule="auto"/>
              <w:ind w:left="-53" w:leftChars="-25" w:right="-53" w:rightChars="-25" w:firstLine="0" w:firstLineChars="0"/>
              <w:outlineLvl w:val="9"/>
              <w:rPr>
                <w:b w:val="0"/>
                <w:kern w:val="0"/>
                <w:sz w:val="22"/>
                <w:szCs w:val="22"/>
              </w:rPr>
            </w:pPr>
            <w:r>
              <w:rPr>
                <w:rFonts w:hint="eastAsia"/>
                <w:b w:val="0"/>
                <w:kern w:val="0"/>
                <w:sz w:val="22"/>
                <w:szCs w:val="22"/>
              </w:rPr>
              <w:t>建设单位</w:t>
            </w:r>
            <w:r>
              <w:rPr>
                <w:b w:val="0"/>
                <w:kern w:val="0"/>
                <w:sz w:val="22"/>
                <w:szCs w:val="22"/>
              </w:rPr>
              <w:t>设置有专门的环境管理部门，并制定有完善的环境管理制度和培训制度。</w:t>
            </w:r>
          </w:p>
        </w:tc>
        <w:tc>
          <w:tcPr>
            <w:tcW w:w="1019" w:type="dxa"/>
            <w:vAlign w:val="center"/>
          </w:tcPr>
          <w:p w14:paraId="720A70A0">
            <w:pPr>
              <w:adjustRightInd w:val="0"/>
              <w:snapToGrid w:val="0"/>
              <w:ind w:left="-53" w:leftChars="-25" w:right="-53" w:rightChars="-25"/>
              <w:jc w:val="center"/>
              <w:rPr>
                <w:sz w:val="22"/>
                <w:szCs w:val="22"/>
              </w:rPr>
            </w:pPr>
            <w:r>
              <w:rPr>
                <w:sz w:val="22"/>
                <w:szCs w:val="22"/>
              </w:rPr>
              <w:t>符合</w:t>
            </w:r>
          </w:p>
        </w:tc>
      </w:tr>
      <w:tr w14:paraId="2425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4069EE29">
            <w:pPr>
              <w:adjustRightInd w:val="0"/>
              <w:snapToGrid w:val="0"/>
              <w:ind w:left="-53" w:leftChars="-25" w:right="-53" w:rightChars="-25"/>
              <w:jc w:val="center"/>
              <w:rPr>
                <w:bCs/>
                <w:sz w:val="22"/>
                <w:szCs w:val="22"/>
              </w:rPr>
            </w:pPr>
            <w:r>
              <w:rPr>
                <w:bCs/>
                <w:sz w:val="22"/>
                <w:szCs w:val="22"/>
              </w:rPr>
              <w:t>4</w:t>
            </w:r>
          </w:p>
        </w:tc>
        <w:tc>
          <w:tcPr>
            <w:tcW w:w="4192" w:type="dxa"/>
            <w:vAlign w:val="center"/>
          </w:tcPr>
          <w:p w14:paraId="3AE278DB">
            <w:pPr>
              <w:adjustRightInd w:val="0"/>
              <w:snapToGrid w:val="0"/>
              <w:ind w:left="-53" w:leftChars="-25" w:right="-53" w:rightChars="-25"/>
              <w:rPr>
                <w:bCs/>
                <w:sz w:val="22"/>
                <w:szCs w:val="22"/>
              </w:rPr>
            </w:pPr>
            <w:r>
              <w:rPr>
                <w:bCs/>
                <w:sz w:val="22"/>
                <w:szCs w:val="22"/>
              </w:rPr>
              <w:t>油气田企业应对勘探开发过程进行环境风险因素识别，制定突发环境事件应急预案并定期进行演练。应开展特征污染物监测工作，采取环境风险防范和应急措施，防止发生由突发性油气泄漏产生的环境事故。</w:t>
            </w:r>
          </w:p>
        </w:tc>
        <w:tc>
          <w:tcPr>
            <w:tcW w:w="3136" w:type="dxa"/>
            <w:vAlign w:val="center"/>
          </w:tcPr>
          <w:p w14:paraId="1D433ADC">
            <w:pPr>
              <w:pStyle w:val="1444"/>
              <w:jc w:val="both"/>
            </w:pPr>
            <w:r>
              <w:t>建设</w:t>
            </w:r>
            <w:r>
              <w:rPr>
                <w:rFonts w:hint="eastAsia"/>
              </w:rPr>
              <w:t>单位</w:t>
            </w:r>
            <w:r>
              <w:t>设置有突发环境事件应急预案，并定期举行演练。在井场周边设置有事故监测点，实时监测危险因子。</w:t>
            </w:r>
          </w:p>
        </w:tc>
        <w:tc>
          <w:tcPr>
            <w:tcW w:w="1019" w:type="dxa"/>
            <w:vAlign w:val="center"/>
          </w:tcPr>
          <w:p w14:paraId="3735C078">
            <w:pPr>
              <w:adjustRightInd w:val="0"/>
              <w:snapToGrid w:val="0"/>
              <w:ind w:left="-53" w:leftChars="-25" w:right="-53" w:rightChars="-25"/>
              <w:jc w:val="center"/>
              <w:rPr>
                <w:bCs/>
                <w:sz w:val="22"/>
                <w:szCs w:val="22"/>
              </w:rPr>
            </w:pPr>
            <w:r>
              <w:rPr>
                <w:bCs/>
                <w:sz w:val="22"/>
                <w:szCs w:val="22"/>
              </w:rPr>
              <w:t>符合</w:t>
            </w:r>
          </w:p>
        </w:tc>
      </w:tr>
    </w:tbl>
    <w:p w14:paraId="523B857A">
      <w:pPr>
        <w:pStyle w:val="1066"/>
        <w:ind w:firstLine="520"/>
        <w:rPr>
          <w:rFonts w:cs="Times New Roman"/>
        </w:rPr>
      </w:pPr>
    </w:p>
    <w:p w14:paraId="507C76E8">
      <w:pPr>
        <w:adjustRightInd w:val="0"/>
        <w:snapToGrid w:val="0"/>
        <w:spacing w:line="460" w:lineRule="exact"/>
        <w:ind w:firstLine="520" w:firstLineChars="200"/>
        <w:rPr>
          <w:bCs/>
          <w:sz w:val="26"/>
          <w:szCs w:val="26"/>
        </w:rPr>
      </w:pPr>
      <w:r>
        <w:rPr>
          <w:bCs/>
          <w:sz w:val="26"/>
          <w:szCs w:val="26"/>
        </w:rPr>
        <w:t>通过将本项目工程内容、环保措施内容与《石油天然气开采业污染防治技术政策》中清洁生产、生态保护、污染治理、运行风险和环境管理等内容进行对比分析，项目建设符合《石油天然气开采业污染防治技术政策》要求。</w:t>
      </w:r>
    </w:p>
    <w:p w14:paraId="51EA7719">
      <w:pPr>
        <w:pStyle w:val="1381"/>
        <w:ind w:firstLine="522"/>
        <w:rPr>
          <w:b/>
          <w:snapToGrid w:val="0"/>
        </w:rPr>
      </w:pPr>
      <w:r>
        <w:rPr>
          <w:rFonts w:hint="eastAsia"/>
          <w:b/>
          <w:bCs/>
          <w:szCs w:val="26"/>
        </w:rPr>
        <w:t>（4）</w:t>
      </w:r>
      <w:r>
        <w:rPr>
          <w:b/>
          <w:snapToGrid w:val="0"/>
        </w:rPr>
        <w:t>与</w:t>
      </w:r>
      <w:r>
        <w:rPr>
          <w:rFonts w:hint="eastAsia"/>
          <w:b/>
          <w:snapToGrid w:val="0"/>
        </w:rPr>
        <w:t>耕地、永久基本农田及临时占地相关政策的符合性分析</w:t>
      </w:r>
    </w:p>
    <w:p w14:paraId="2AE7EB9A">
      <w:pPr>
        <w:pStyle w:val="1381"/>
        <w:ind w:firstLine="520"/>
      </w:pPr>
      <w:r>
        <w:rPr>
          <w:rFonts w:hint="eastAsia"/>
        </w:rPr>
        <w:t>本项目的建设与耕地、永久基本农田及临时占地相关法律法规、规范标准的符合性分析详见下表所示。</w:t>
      </w:r>
    </w:p>
    <w:p w14:paraId="1E462D8B">
      <w:pPr>
        <w:adjustRightInd w:val="0"/>
        <w:snapToGrid w:val="0"/>
        <w:ind w:firstLine="520" w:firstLineChars="200"/>
        <w:rPr>
          <w:rFonts w:eastAsiaTheme="minorEastAsia"/>
          <w:snapToGrid w:val="0"/>
          <w:kern w:val="0"/>
          <w:sz w:val="26"/>
          <w:szCs w:val="20"/>
        </w:rPr>
      </w:pPr>
    </w:p>
    <w:p w14:paraId="054DE2A0">
      <w:pPr>
        <w:pStyle w:val="1065"/>
      </w:pPr>
      <w:r>
        <w:t xml:space="preserve">表1.7-3  </w:t>
      </w:r>
      <w:r>
        <w:rPr>
          <w:rFonts w:hint="eastAsia"/>
        </w:rPr>
        <w:t>本项目</w:t>
      </w:r>
      <w:r>
        <w:t>与</w:t>
      </w:r>
      <w:r>
        <w:rPr>
          <w:rFonts w:hint="eastAsia"/>
        </w:rPr>
        <w:t>耕地、永久基本农田及临时占地要求的符合性分析</w:t>
      </w:r>
    </w:p>
    <w:tbl>
      <w:tblPr>
        <w:tblStyle w:val="88"/>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85"/>
        <w:gridCol w:w="4778"/>
        <w:gridCol w:w="2515"/>
      </w:tblGrid>
      <w:tr w14:paraId="4FDFA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Align w:val="center"/>
          </w:tcPr>
          <w:p w14:paraId="17FBBF49">
            <w:pPr>
              <w:adjustRightInd w:val="0"/>
              <w:snapToGrid w:val="0"/>
              <w:jc w:val="center"/>
              <w:rPr>
                <w:sz w:val="22"/>
                <w:szCs w:val="22"/>
              </w:rPr>
            </w:pPr>
            <w:r>
              <w:rPr>
                <w:sz w:val="22"/>
                <w:szCs w:val="22"/>
              </w:rPr>
              <w:t>文件</w:t>
            </w:r>
          </w:p>
        </w:tc>
        <w:tc>
          <w:tcPr>
            <w:tcW w:w="4778" w:type="dxa"/>
            <w:vAlign w:val="center"/>
          </w:tcPr>
          <w:p w14:paraId="2FE61EF9">
            <w:pPr>
              <w:adjustRightInd w:val="0"/>
              <w:snapToGrid w:val="0"/>
              <w:jc w:val="center"/>
              <w:rPr>
                <w:sz w:val="22"/>
                <w:szCs w:val="22"/>
              </w:rPr>
            </w:pPr>
            <w:r>
              <w:rPr>
                <w:sz w:val="22"/>
                <w:szCs w:val="22"/>
              </w:rPr>
              <w:t>保护要求</w:t>
            </w:r>
          </w:p>
        </w:tc>
        <w:tc>
          <w:tcPr>
            <w:tcW w:w="2515" w:type="dxa"/>
            <w:vAlign w:val="center"/>
          </w:tcPr>
          <w:p w14:paraId="2A3F0CED">
            <w:pPr>
              <w:adjustRightInd w:val="0"/>
              <w:snapToGrid w:val="0"/>
              <w:jc w:val="center"/>
              <w:rPr>
                <w:sz w:val="22"/>
                <w:szCs w:val="22"/>
              </w:rPr>
            </w:pPr>
            <w:r>
              <w:rPr>
                <w:sz w:val="22"/>
                <w:szCs w:val="22"/>
              </w:rPr>
              <w:t>本项目执行情况</w:t>
            </w:r>
          </w:p>
        </w:tc>
      </w:tr>
      <w:tr w14:paraId="6F64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Align w:val="center"/>
          </w:tcPr>
          <w:p w14:paraId="52B3D777">
            <w:pPr>
              <w:adjustRightInd w:val="0"/>
              <w:snapToGrid w:val="0"/>
              <w:rPr>
                <w:sz w:val="22"/>
                <w:szCs w:val="22"/>
              </w:rPr>
            </w:pPr>
            <w:r>
              <w:rPr>
                <w:sz w:val="22"/>
                <w:szCs w:val="22"/>
              </w:rPr>
              <w:t>《基本农田保护条例》（1998年11 月）</w:t>
            </w:r>
          </w:p>
        </w:tc>
        <w:tc>
          <w:tcPr>
            <w:tcW w:w="4778" w:type="dxa"/>
            <w:vAlign w:val="center"/>
          </w:tcPr>
          <w:p w14:paraId="585DD3F5">
            <w:pPr>
              <w:adjustRightInd w:val="0"/>
              <w:snapToGrid w:val="0"/>
              <w:rPr>
                <w:sz w:val="22"/>
                <w:szCs w:val="22"/>
              </w:rPr>
            </w:pPr>
            <w:r>
              <w:rPr>
                <w:sz w:val="22"/>
                <w:szCs w:val="22"/>
              </w:rPr>
              <w:t>第十五条 基本农田保护区经依法划定后，任何单位和个人不得改变或者占用。国家能源、交通、水利、军事设施等重点建设项目选址确实无法避开基本农田保护区，需要占用基本农田，涉及农用地转用或者征收土地的，必须经国务院批准。</w:t>
            </w:r>
          </w:p>
        </w:tc>
        <w:tc>
          <w:tcPr>
            <w:tcW w:w="2515" w:type="dxa"/>
            <w:vAlign w:val="center"/>
          </w:tcPr>
          <w:p w14:paraId="22995524">
            <w:pPr>
              <w:adjustRightInd w:val="0"/>
              <w:snapToGrid w:val="0"/>
              <w:rPr>
                <w:sz w:val="22"/>
                <w:szCs w:val="22"/>
              </w:rPr>
            </w:pPr>
            <w:r>
              <w:rPr>
                <w:rFonts w:hint="eastAsia"/>
                <w:sz w:val="22"/>
                <w:szCs w:val="22"/>
              </w:rPr>
              <w:t>本项目为临时用地，不涉及土地性质转换；项目在原钻井井场内修建，临时占用永久基本农田，试采结束后若产气未达预期，将进行土地复垦，若产量达到预期，将转为区块开发，重新征用土地。</w:t>
            </w:r>
          </w:p>
        </w:tc>
      </w:tr>
      <w:tr w14:paraId="4B3A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Merge w:val="restart"/>
            <w:vAlign w:val="center"/>
          </w:tcPr>
          <w:p w14:paraId="6E0F98B7">
            <w:pPr>
              <w:adjustRightInd w:val="0"/>
              <w:snapToGrid w:val="0"/>
              <w:rPr>
                <w:sz w:val="22"/>
                <w:szCs w:val="22"/>
              </w:rPr>
            </w:pPr>
            <w:r>
              <w:rPr>
                <w:sz w:val="22"/>
                <w:szCs w:val="22"/>
              </w:rPr>
              <w:t>《关于进一步做好基本农田保护有关工作的意见》（国土资发〔2005〕196</w:t>
            </w:r>
            <w:r>
              <w:rPr>
                <w:rFonts w:hint="eastAsia"/>
                <w:sz w:val="22"/>
                <w:szCs w:val="22"/>
              </w:rPr>
              <w:t>号文）</w:t>
            </w:r>
          </w:p>
        </w:tc>
        <w:tc>
          <w:tcPr>
            <w:tcW w:w="4778" w:type="dxa"/>
            <w:vAlign w:val="center"/>
          </w:tcPr>
          <w:p w14:paraId="67629219">
            <w:pPr>
              <w:autoSpaceDE w:val="0"/>
              <w:autoSpaceDN w:val="0"/>
              <w:adjustRightInd w:val="0"/>
              <w:snapToGrid w:val="0"/>
              <w:rPr>
                <w:sz w:val="22"/>
                <w:szCs w:val="22"/>
              </w:rPr>
            </w:pPr>
            <w:r>
              <w:rPr>
                <w:sz w:val="22"/>
                <w:szCs w:val="22"/>
              </w:rPr>
              <w:t>二、加强非农建设用地审查，严禁违法占用基本农田</w:t>
            </w:r>
            <w:r>
              <w:rPr>
                <w:kern w:val="0"/>
                <w:sz w:val="22"/>
                <w:szCs w:val="22"/>
              </w:rPr>
              <w:t>严格执行《土地管理法》和《基本农田保护条</w:t>
            </w:r>
            <w:r>
              <w:rPr>
                <w:rFonts w:hint="eastAsia"/>
                <w:kern w:val="0"/>
                <w:sz w:val="22"/>
                <w:szCs w:val="22"/>
              </w:rPr>
              <w:t>例</w:t>
            </w:r>
            <w:r>
              <w:rPr>
                <w:kern w:val="0"/>
                <w:sz w:val="22"/>
                <w:szCs w:val="22"/>
              </w:rPr>
              <w:t>》的有关规定，除国家能源、交通、水利和军事设施等重点建设项目以外，其他非农业建设一律不得占用基本农田；符合法律规定确需占用基本农田的非农建设项目，必须按法定程序报国务院批准农用地转用和土地征收。</w:t>
            </w:r>
          </w:p>
        </w:tc>
        <w:tc>
          <w:tcPr>
            <w:tcW w:w="2515" w:type="dxa"/>
            <w:vMerge w:val="restart"/>
            <w:vAlign w:val="center"/>
          </w:tcPr>
          <w:p w14:paraId="4B8BBF65">
            <w:pPr>
              <w:adjustRightInd w:val="0"/>
              <w:snapToGrid w:val="0"/>
              <w:rPr>
                <w:sz w:val="22"/>
                <w:szCs w:val="22"/>
              </w:rPr>
            </w:pPr>
            <w:r>
              <w:rPr>
                <w:rFonts w:hint="eastAsia"/>
                <w:sz w:val="22"/>
                <w:szCs w:val="22"/>
              </w:rPr>
              <w:t>本项目为临时用地，不涉及土地性质转换；项目原钻井井场内修建，临时占用永久基本农田，试采结束后若产气未达预期，将进行土地复垦，若产量达到预期，将转为区块开发，重新征用土地。</w:t>
            </w:r>
          </w:p>
        </w:tc>
      </w:tr>
      <w:tr w14:paraId="683E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Merge w:val="continue"/>
            <w:vAlign w:val="center"/>
          </w:tcPr>
          <w:p w14:paraId="1858E2A0">
            <w:pPr>
              <w:adjustRightInd w:val="0"/>
              <w:snapToGrid w:val="0"/>
              <w:jc w:val="center"/>
              <w:rPr>
                <w:sz w:val="22"/>
                <w:szCs w:val="22"/>
              </w:rPr>
            </w:pPr>
          </w:p>
        </w:tc>
        <w:tc>
          <w:tcPr>
            <w:tcW w:w="4778" w:type="dxa"/>
            <w:vAlign w:val="center"/>
          </w:tcPr>
          <w:p w14:paraId="24FAD743">
            <w:pPr>
              <w:adjustRightInd w:val="0"/>
              <w:snapToGrid w:val="0"/>
              <w:rPr>
                <w:sz w:val="22"/>
                <w:szCs w:val="22"/>
              </w:rPr>
            </w:pPr>
            <w:r>
              <w:rPr>
                <w:sz w:val="22"/>
                <w:szCs w:val="22"/>
              </w:rPr>
              <w:t>三、严控建设占用永久基本农田</w:t>
            </w:r>
          </w:p>
          <w:p w14:paraId="4620F597">
            <w:pPr>
              <w:autoSpaceDE w:val="0"/>
              <w:autoSpaceDN w:val="0"/>
              <w:adjustRightInd w:val="0"/>
              <w:snapToGrid w:val="0"/>
              <w:rPr>
                <w:sz w:val="22"/>
                <w:szCs w:val="22"/>
              </w:rPr>
            </w:pPr>
            <w:r>
              <w:rPr>
                <w:sz w:val="22"/>
                <w:szCs w:val="22"/>
              </w:rPr>
              <w:t>（七）</w:t>
            </w:r>
            <w:r>
              <w:rPr>
                <w:kern w:val="0"/>
                <w:sz w:val="22"/>
                <w:szCs w:val="22"/>
              </w:rPr>
              <w:t>严格占用和补划审查论证。一般建设项目不得占用永久基本农</w:t>
            </w:r>
          </w:p>
        </w:tc>
        <w:tc>
          <w:tcPr>
            <w:tcW w:w="2515" w:type="dxa"/>
            <w:vMerge w:val="continue"/>
            <w:vAlign w:val="center"/>
          </w:tcPr>
          <w:p w14:paraId="797A69EF">
            <w:pPr>
              <w:autoSpaceDE w:val="0"/>
              <w:autoSpaceDN w:val="0"/>
              <w:adjustRightInd w:val="0"/>
              <w:snapToGrid w:val="0"/>
              <w:rPr>
                <w:sz w:val="22"/>
                <w:szCs w:val="22"/>
              </w:rPr>
            </w:pPr>
          </w:p>
        </w:tc>
      </w:tr>
      <w:tr w14:paraId="08339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1185" w:type="dxa"/>
            <w:vMerge w:val="restart"/>
            <w:vAlign w:val="center"/>
          </w:tcPr>
          <w:p w14:paraId="50F00D9E">
            <w:pPr>
              <w:adjustRightInd w:val="0"/>
              <w:snapToGrid w:val="0"/>
              <w:rPr>
                <w:sz w:val="22"/>
                <w:szCs w:val="22"/>
              </w:rPr>
            </w:pPr>
            <w:r>
              <w:rPr>
                <w:rFonts w:hint="eastAsia"/>
                <w:sz w:val="22"/>
                <w:szCs w:val="22"/>
              </w:rPr>
              <w:t>《自然资源部 农业农村部关于加强和改进永久基本农田保护工作的通知》自然资规〔2019〕1号</w:t>
            </w:r>
          </w:p>
        </w:tc>
        <w:tc>
          <w:tcPr>
            <w:tcW w:w="4778" w:type="dxa"/>
            <w:vAlign w:val="center"/>
          </w:tcPr>
          <w:p w14:paraId="244755E5">
            <w:pPr>
              <w:adjustRightInd w:val="0"/>
              <w:snapToGrid w:val="0"/>
              <w:rPr>
                <w:sz w:val="22"/>
                <w:szCs w:val="22"/>
              </w:rPr>
            </w:pPr>
            <w:r>
              <w:rPr>
                <w:rFonts w:hint="eastAsia"/>
                <w:sz w:val="22"/>
                <w:szCs w:val="22"/>
              </w:rPr>
              <w:t>石油、天然气、页岩气、煤层气等油气战略性矿产的地质勘查，经批准可临时占用永久基本农田布设探井。在试采和取得采矿权后转为开采井的，可直接依法办理农用地转用和土地征收审批手续，按规定补划永久基本农田。</w:t>
            </w:r>
          </w:p>
        </w:tc>
        <w:tc>
          <w:tcPr>
            <w:tcW w:w="2515" w:type="dxa"/>
            <w:vMerge w:val="restart"/>
            <w:vAlign w:val="center"/>
          </w:tcPr>
          <w:p w14:paraId="5FB6F075">
            <w:pPr>
              <w:autoSpaceDE w:val="0"/>
              <w:autoSpaceDN w:val="0"/>
              <w:adjustRightInd w:val="0"/>
              <w:snapToGrid w:val="0"/>
              <w:rPr>
                <w:kern w:val="0"/>
                <w:sz w:val="22"/>
                <w:szCs w:val="22"/>
              </w:rPr>
            </w:pPr>
            <w:r>
              <w:rPr>
                <w:rFonts w:hint="eastAsia"/>
                <w:sz w:val="22"/>
                <w:szCs w:val="22"/>
              </w:rPr>
              <w:t>本项目为临时用地，不涉及土地性质转换；项目在原钻井井场内修建，临时占用永久基本农田，试采结束后若产气未达预期，将进行土地复垦，若产量达到预期，将转为区块开发，重新征用土地。</w:t>
            </w:r>
          </w:p>
        </w:tc>
      </w:tr>
      <w:tr w14:paraId="2852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6" w:hRule="atLeast"/>
          <w:jc w:val="center"/>
        </w:trPr>
        <w:tc>
          <w:tcPr>
            <w:tcW w:w="1185" w:type="dxa"/>
            <w:vMerge w:val="continue"/>
            <w:vAlign w:val="center"/>
          </w:tcPr>
          <w:p w14:paraId="60B75B65">
            <w:pPr>
              <w:adjustRightInd w:val="0"/>
              <w:snapToGrid w:val="0"/>
              <w:rPr>
                <w:sz w:val="22"/>
                <w:szCs w:val="22"/>
              </w:rPr>
            </w:pPr>
          </w:p>
        </w:tc>
        <w:tc>
          <w:tcPr>
            <w:tcW w:w="4778" w:type="dxa"/>
            <w:vAlign w:val="center"/>
          </w:tcPr>
          <w:p w14:paraId="753A1B0A">
            <w:pPr>
              <w:adjustRightInd w:val="0"/>
              <w:snapToGrid w:val="0"/>
              <w:rPr>
                <w:sz w:val="22"/>
                <w:szCs w:val="22"/>
              </w:rPr>
            </w:pPr>
            <w:r>
              <w:rPr>
                <w:rFonts w:hint="eastAsia"/>
                <w:sz w:val="22"/>
                <w:szCs w:val="22"/>
              </w:rPr>
              <w:t>石油、天然气、煤层气、页岩气、致密油、页岩油、致密气等油气资源开发涉及的钻井及配套设施建设用地，可先由用地所在县级以上人民政府自然资源主管部门按照有关法律法规的规定以临时用地批准使用，办理有关手续。勘探结束转入生产的，办理建设用地审批手续；不转入生产的，油气企业进行土地复垦后按期归还。</w:t>
            </w:r>
          </w:p>
        </w:tc>
        <w:tc>
          <w:tcPr>
            <w:tcW w:w="2515" w:type="dxa"/>
            <w:vMerge w:val="continue"/>
            <w:vAlign w:val="center"/>
          </w:tcPr>
          <w:p w14:paraId="512C374F">
            <w:pPr>
              <w:autoSpaceDE w:val="0"/>
              <w:autoSpaceDN w:val="0"/>
              <w:adjustRightInd w:val="0"/>
              <w:snapToGrid w:val="0"/>
              <w:rPr>
                <w:sz w:val="22"/>
                <w:szCs w:val="22"/>
              </w:rPr>
            </w:pPr>
          </w:p>
        </w:tc>
      </w:tr>
      <w:tr w14:paraId="31ECE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6" w:hRule="atLeast"/>
          <w:jc w:val="center"/>
        </w:trPr>
        <w:tc>
          <w:tcPr>
            <w:tcW w:w="1185" w:type="dxa"/>
            <w:vMerge w:val="continue"/>
            <w:vAlign w:val="center"/>
          </w:tcPr>
          <w:p w14:paraId="05216F1B">
            <w:pPr>
              <w:adjustRightInd w:val="0"/>
              <w:snapToGrid w:val="0"/>
              <w:rPr>
                <w:sz w:val="22"/>
                <w:szCs w:val="22"/>
              </w:rPr>
            </w:pPr>
          </w:p>
        </w:tc>
        <w:tc>
          <w:tcPr>
            <w:tcW w:w="4778" w:type="dxa"/>
            <w:vAlign w:val="center"/>
          </w:tcPr>
          <w:p w14:paraId="6EB00000">
            <w:pPr>
              <w:adjustRightInd w:val="0"/>
              <w:snapToGrid w:val="0"/>
              <w:rPr>
                <w:sz w:val="22"/>
                <w:szCs w:val="22"/>
              </w:rPr>
            </w:pPr>
            <w:r>
              <w:rPr>
                <w:rFonts w:hint="eastAsia"/>
                <w:sz w:val="22"/>
                <w:szCs w:val="22"/>
              </w:rPr>
              <w:t>油气开采项目涉及的各类净化、存储、安全等站场设施用地，以及输气管道工程涉及的站场、阀室等用地，急需动工建设的，可根据需要申请办理先行用地。</w:t>
            </w:r>
          </w:p>
        </w:tc>
        <w:tc>
          <w:tcPr>
            <w:tcW w:w="2515" w:type="dxa"/>
            <w:vMerge w:val="continue"/>
            <w:vAlign w:val="center"/>
          </w:tcPr>
          <w:p w14:paraId="70FCEBBF">
            <w:pPr>
              <w:autoSpaceDE w:val="0"/>
              <w:autoSpaceDN w:val="0"/>
              <w:adjustRightInd w:val="0"/>
              <w:snapToGrid w:val="0"/>
              <w:rPr>
                <w:sz w:val="22"/>
                <w:szCs w:val="22"/>
              </w:rPr>
            </w:pPr>
          </w:p>
        </w:tc>
      </w:tr>
      <w:tr w14:paraId="6212D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Align w:val="center"/>
          </w:tcPr>
          <w:p w14:paraId="16220E5D">
            <w:pPr>
              <w:adjustRightInd w:val="0"/>
              <w:snapToGrid w:val="0"/>
              <w:rPr>
                <w:sz w:val="22"/>
                <w:szCs w:val="22"/>
              </w:rPr>
            </w:pPr>
            <w:r>
              <w:rPr>
                <w:rFonts w:hint="eastAsia"/>
                <w:sz w:val="22"/>
                <w:szCs w:val="22"/>
              </w:rPr>
              <w:t>《</w:t>
            </w:r>
            <w:bookmarkStart w:id="97" w:name="OLE_LINK46"/>
            <w:bookmarkStart w:id="98" w:name="OLE_LINK47"/>
            <w:r>
              <w:rPr>
                <w:rFonts w:hint="eastAsia"/>
                <w:sz w:val="22"/>
                <w:szCs w:val="22"/>
              </w:rPr>
              <w:t>自然资源部农业农村部国家林业和草原局关于严格耕地用途管制有关问题的通知》</w:t>
            </w:r>
            <w:bookmarkEnd w:id="97"/>
            <w:bookmarkEnd w:id="98"/>
            <w:r>
              <w:rPr>
                <w:rFonts w:hint="eastAsia"/>
                <w:sz w:val="22"/>
                <w:szCs w:val="22"/>
              </w:rPr>
              <w:t>自然资发[2021]166号</w:t>
            </w:r>
          </w:p>
        </w:tc>
        <w:tc>
          <w:tcPr>
            <w:tcW w:w="4778" w:type="dxa"/>
            <w:vAlign w:val="center"/>
          </w:tcPr>
          <w:p w14:paraId="338DBFDB">
            <w:pPr>
              <w:adjustRightInd w:val="0"/>
              <w:snapToGrid w:val="0"/>
              <w:rPr>
                <w:sz w:val="22"/>
                <w:szCs w:val="22"/>
              </w:rPr>
            </w:pPr>
            <w:r>
              <w:rPr>
                <w:rFonts w:hint="eastAsia"/>
                <w:sz w:val="22"/>
                <w:szCs w:val="22"/>
              </w:rPr>
              <w:t>能源、交通、水利、军事设施等重大建设项目选址确实难以避让永久基本农田的，经依法批准，应在落实耕地占补平衡基础上，按照数量不减、质量不降原则，在可以长期稳定利用的耕地上落实永久基本农田补划任务。</w:t>
            </w:r>
          </w:p>
        </w:tc>
        <w:tc>
          <w:tcPr>
            <w:tcW w:w="2515" w:type="dxa"/>
            <w:vAlign w:val="center"/>
          </w:tcPr>
          <w:p w14:paraId="600605A1">
            <w:pPr>
              <w:autoSpaceDE w:val="0"/>
              <w:autoSpaceDN w:val="0"/>
              <w:adjustRightInd w:val="0"/>
              <w:snapToGrid w:val="0"/>
              <w:rPr>
                <w:kern w:val="0"/>
                <w:sz w:val="22"/>
                <w:szCs w:val="22"/>
              </w:rPr>
            </w:pPr>
            <w:r>
              <w:rPr>
                <w:rFonts w:hint="eastAsia"/>
                <w:sz w:val="22"/>
                <w:szCs w:val="22"/>
              </w:rPr>
              <w:t>本项目为临时用地，不涉及土地性质转换；项目在原钻井井场内修建，临时占用永久基本农田，试采结束后若产气未达预期，将进行土地复垦，若产量达到预期，将转为区块开发，重新征用土地。</w:t>
            </w:r>
          </w:p>
        </w:tc>
      </w:tr>
      <w:tr w14:paraId="6A59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Merge w:val="restart"/>
            <w:vAlign w:val="center"/>
          </w:tcPr>
          <w:p w14:paraId="7A9F7E35">
            <w:pPr>
              <w:adjustRightInd w:val="0"/>
              <w:snapToGrid w:val="0"/>
              <w:rPr>
                <w:sz w:val="22"/>
                <w:szCs w:val="22"/>
              </w:rPr>
            </w:pPr>
            <w:r>
              <w:rPr>
                <w:rFonts w:hint="eastAsia"/>
                <w:sz w:val="22"/>
                <w:szCs w:val="22"/>
              </w:rPr>
              <w:t>《中华人民共和国土地管理法》（2019年8月26日修订）</w:t>
            </w:r>
          </w:p>
        </w:tc>
        <w:tc>
          <w:tcPr>
            <w:tcW w:w="4778" w:type="dxa"/>
            <w:vAlign w:val="center"/>
          </w:tcPr>
          <w:p w14:paraId="53B9ADA4">
            <w:pPr>
              <w:adjustRightInd w:val="0"/>
              <w:snapToGrid w:val="0"/>
              <w:rPr>
                <w:sz w:val="22"/>
                <w:szCs w:val="22"/>
              </w:rPr>
            </w:pPr>
            <w:r>
              <w:rPr>
                <w:rFonts w:hint="eastAsia"/>
                <w:sz w:val="22"/>
                <w:szCs w:val="22"/>
              </w:rPr>
              <w:t>第三十条 国家保护耕地，严格控制耕地转为非耕地。国家实行占用耕地补偿制度。非农业建设经批准占用耕地的，按照“占多少，垦多少”的原则，由占用耕地的单位负责开垦与所占用耕地的数量和质量相当的耕地；没有条件开垦或者开垦的耕地不符合要求的，应当按照省、自治区、直辖市的规定缴纳耕地开垦费，专款用于开垦新的耕地。</w:t>
            </w:r>
          </w:p>
        </w:tc>
        <w:tc>
          <w:tcPr>
            <w:tcW w:w="2515" w:type="dxa"/>
            <w:vMerge w:val="restart"/>
            <w:vAlign w:val="center"/>
          </w:tcPr>
          <w:p w14:paraId="1547461F">
            <w:pPr>
              <w:autoSpaceDE w:val="0"/>
              <w:autoSpaceDN w:val="0"/>
              <w:adjustRightInd w:val="0"/>
              <w:snapToGrid w:val="0"/>
              <w:rPr>
                <w:kern w:val="0"/>
                <w:sz w:val="22"/>
                <w:szCs w:val="22"/>
              </w:rPr>
            </w:pPr>
            <w:r>
              <w:rPr>
                <w:rFonts w:hint="eastAsia"/>
                <w:sz w:val="22"/>
                <w:szCs w:val="22"/>
              </w:rPr>
              <w:t>本项目为临时用地，不涉及土地性质转换；项目在原钻井井场内修建，临时占用永久基本农田，试采结束后若产气未达预期，将进行土地复垦，若产量达到预期，将转为区块开发，重新征用土地。</w:t>
            </w:r>
          </w:p>
        </w:tc>
      </w:tr>
      <w:tr w14:paraId="4E2F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Merge w:val="continue"/>
            <w:vAlign w:val="center"/>
          </w:tcPr>
          <w:p w14:paraId="11832E53">
            <w:pPr>
              <w:adjustRightInd w:val="0"/>
              <w:snapToGrid w:val="0"/>
              <w:rPr>
                <w:sz w:val="22"/>
                <w:szCs w:val="22"/>
              </w:rPr>
            </w:pPr>
          </w:p>
        </w:tc>
        <w:tc>
          <w:tcPr>
            <w:tcW w:w="4778" w:type="dxa"/>
            <w:vAlign w:val="center"/>
          </w:tcPr>
          <w:p w14:paraId="7094F2E0">
            <w:pPr>
              <w:rPr>
                <w:sz w:val="22"/>
                <w:szCs w:val="22"/>
              </w:rPr>
            </w:pPr>
            <w:r>
              <w:rPr>
                <w:rFonts w:hint="eastAsia"/>
                <w:sz w:val="22"/>
                <w:szCs w:val="22"/>
              </w:rPr>
              <w:t>第三十五条 永久基本农田经依法划定后，任何单位和个人不得擅自占用或者改变其用途。国家能源、交通、水利、军事设施等重点建设项目选址确实难以避让永久基本农田，涉及农用地转用或者土地征收的，必须经国务院批准。</w:t>
            </w:r>
          </w:p>
        </w:tc>
        <w:tc>
          <w:tcPr>
            <w:tcW w:w="2515" w:type="dxa"/>
            <w:vMerge w:val="continue"/>
            <w:vAlign w:val="center"/>
          </w:tcPr>
          <w:p w14:paraId="1D367B94">
            <w:pPr>
              <w:autoSpaceDE w:val="0"/>
              <w:autoSpaceDN w:val="0"/>
              <w:adjustRightInd w:val="0"/>
              <w:snapToGrid w:val="0"/>
              <w:rPr>
                <w:kern w:val="0"/>
                <w:sz w:val="22"/>
                <w:szCs w:val="22"/>
              </w:rPr>
            </w:pPr>
          </w:p>
        </w:tc>
      </w:tr>
      <w:tr w14:paraId="36D7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Align w:val="center"/>
          </w:tcPr>
          <w:p w14:paraId="1646B7F3">
            <w:pPr>
              <w:adjustRightInd w:val="0"/>
              <w:snapToGrid w:val="0"/>
              <w:jc w:val="center"/>
              <w:rPr>
                <w:sz w:val="22"/>
                <w:szCs w:val="22"/>
              </w:rPr>
            </w:pPr>
            <w:r>
              <w:rPr>
                <w:sz w:val="22"/>
                <w:szCs w:val="22"/>
              </w:rPr>
              <w:t>《四川省〈中华人民共和国土地管理法〉实施办法》（2012.7.27</w:t>
            </w:r>
          </w:p>
          <w:p w14:paraId="320BAF62">
            <w:pPr>
              <w:adjustRightInd w:val="0"/>
              <w:snapToGrid w:val="0"/>
              <w:rPr>
                <w:sz w:val="22"/>
                <w:szCs w:val="22"/>
              </w:rPr>
            </w:pPr>
            <w:r>
              <w:rPr>
                <w:sz w:val="22"/>
                <w:szCs w:val="22"/>
              </w:rPr>
              <w:t>修订）</w:t>
            </w:r>
          </w:p>
        </w:tc>
        <w:tc>
          <w:tcPr>
            <w:tcW w:w="4778" w:type="dxa"/>
            <w:vAlign w:val="center"/>
          </w:tcPr>
          <w:p w14:paraId="05540EBC">
            <w:pPr>
              <w:adjustRightInd w:val="0"/>
              <w:snapToGrid w:val="0"/>
              <w:rPr>
                <w:sz w:val="22"/>
                <w:szCs w:val="22"/>
              </w:rPr>
            </w:pPr>
            <w:r>
              <w:rPr>
                <w:sz w:val="22"/>
                <w:szCs w:val="22"/>
              </w:rPr>
              <w:t>第二条 全省依法实行土地用途管制制度。各级人民政府应当编制本行政区域的土地利用总体规划，规定土地用途，严格限制农用地转为建设用地，控制建设用地总量，对耕地实行特殊保护。使用土地的单位和个人必须严格按照土地利用总体规划确定的用途使用土地。</w:t>
            </w:r>
          </w:p>
        </w:tc>
        <w:tc>
          <w:tcPr>
            <w:tcW w:w="2515" w:type="dxa"/>
            <w:vAlign w:val="center"/>
          </w:tcPr>
          <w:p w14:paraId="04C5E465">
            <w:pPr>
              <w:autoSpaceDE w:val="0"/>
              <w:autoSpaceDN w:val="0"/>
              <w:adjustRightInd w:val="0"/>
              <w:snapToGrid w:val="0"/>
              <w:rPr>
                <w:kern w:val="0"/>
                <w:sz w:val="22"/>
                <w:szCs w:val="22"/>
              </w:rPr>
            </w:pPr>
            <w:r>
              <w:rPr>
                <w:rFonts w:hint="eastAsia"/>
                <w:sz w:val="22"/>
                <w:szCs w:val="22"/>
              </w:rPr>
              <w:t>本项目为临时用地，不涉及土地性质转换；项目在原钻井井场内修建，临时占用永久基本农田，试采结束后若产气未达预期，将进行土地复垦，若产量达到预期，将转为区块开发，重新征用土地。</w:t>
            </w:r>
          </w:p>
        </w:tc>
      </w:tr>
      <w:tr w14:paraId="5F05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Merge w:val="restart"/>
            <w:vAlign w:val="center"/>
          </w:tcPr>
          <w:p w14:paraId="089FBCB4">
            <w:pPr>
              <w:adjustRightInd w:val="0"/>
              <w:snapToGrid w:val="0"/>
              <w:jc w:val="center"/>
              <w:rPr>
                <w:sz w:val="22"/>
                <w:szCs w:val="22"/>
              </w:rPr>
            </w:pPr>
            <w:r>
              <w:rPr>
                <w:rFonts w:hint="eastAsia"/>
                <w:sz w:val="22"/>
                <w:szCs w:val="22"/>
              </w:rPr>
              <w:t>《</w:t>
            </w:r>
            <w:bookmarkStart w:id="99" w:name="OLE_LINK48"/>
            <w:bookmarkStart w:id="100" w:name="OLE_LINK49"/>
            <w:r>
              <w:rPr>
                <w:rFonts w:hint="eastAsia"/>
                <w:sz w:val="22"/>
                <w:szCs w:val="22"/>
              </w:rPr>
              <w:t>中华人民共和国土地管理法实施条例》</w:t>
            </w:r>
            <w:bookmarkEnd w:id="99"/>
            <w:bookmarkEnd w:id="100"/>
            <w:r>
              <w:rPr>
                <w:rFonts w:hint="eastAsia"/>
                <w:sz w:val="22"/>
                <w:szCs w:val="22"/>
              </w:rPr>
              <w:t>（2021年7月2日修订）</w:t>
            </w:r>
          </w:p>
        </w:tc>
        <w:tc>
          <w:tcPr>
            <w:tcW w:w="4778" w:type="dxa"/>
            <w:vAlign w:val="center"/>
          </w:tcPr>
          <w:p w14:paraId="7317096C">
            <w:pPr>
              <w:pStyle w:val="687"/>
              <w:jc w:val="both"/>
              <w:rPr>
                <w:szCs w:val="22"/>
              </w:rPr>
            </w:pPr>
            <w:r>
              <w:rPr>
                <w:rFonts w:hint="eastAsia"/>
                <w:szCs w:val="22"/>
              </w:rPr>
              <w:t xml:space="preserve">第二十条 </w:t>
            </w:r>
            <w:r>
              <w:rPr>
                <w:rFonts w:hint="eastAsia"/>
                <w:shd w:val="clear" w:color="auto" w:fill="FFFFFF"/>
              </w:rPr>
              <w:t>建设项目施工、地质勘查需要临时使用土地的，应当尽量不占或者少占耕地。临时用地由县级以上人民政府自然资源主管部门批准，期限一般不超过二年；建设周期较长的能源、交通、水利等基础设施建设使用的临时用地，期限不超过四年；法律、行政法规另有规定的除外。土地使用者应当自临时用地期满之日起一年内完成土地复垦，使其达到可供利用状态，其中占用耕地的应当恢复种植条件。</w:t>
            </w:r>
          </w:p>
        </w:tc>
        <w:tc>
          <w:tcPr>
            <w:tcW w:w="2515" w:type="dxa"/>
            <w:vMerge w:val="restart"/>
            <w:vAlign w:val="center"/>
          </w:tcPr>
          <w:p w14:paraId="55D171BD">
            <w:pPr>
              <w:autoSpaceDE w:val="0"/>
              <w:autoSpaceDN w:val="0"/>
              <w:adjustRightInd w:val="0"/>
              <w:snapToGrid w:val="0"/>
              <w:rPr>
                <w:kern w:val="0"/>
                <w:sz w:val="22"/>
                <w:szCs w:val="22"/>
              </w:rPr>
            </w:pPr>
            <w:r>
              <w:rPr>
                <w:rFonts w:hint="eastAsia"/>
                <w:sz w:val="22"/>
                <w:szCs w:val="22"/>
              </w:rPr>
              <w:t>本项目为临时用地，不涉及土地性质转换；项目在原钻井井场内修建，临时占用永久基本农田，试采结束后若产气未达预期，将进行土地复垦，若产量达到预期，将转为区块开发，重新征用土地。</w:t>
            </w:r>
          </w:p>
        </w:tc>
      </w:tr>
      <w:tr w14:paraId="0E26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Merge w:val="continue"/>
            <w:vAlign w:val="center"/>
          </w:tcPr>
          <w:p w14:paraId="67EBA49E">
            <w:pPr>
              <w:adjustRightInd w:val="0"/>
              <w:snapToGrid w:val="0"/>
              <w:jc w:val="center"/>
              <w:rPr>
                <w:sz w:val="22"/>
                <w:szCs w:val="22"/>
              </w:rPr>
            </w:pPr>
          </w:p>
        </w:tc>
        <w:tc>
          <w:tcPr>
            <w:tcW w:w="4778" w:type="dxa"/>
            <w:vAlign w:val="center"/>
          </w:tcPr>
          <w:p w14:paraId="56172461">
            <w:pPr>
              <w:adjustRightInd w:val="0"/>
              <w:snapToGrid w:val="0"/>
              <w:rPr>
                <w:sz w:val="22"/>
                <w:szCs w:val="22"/>
              </w:rPr>
            </w:pPr>
            <w:r>
              <w:rPr>
                <w:rFonts w:hint="eastAsia"/>
                <w:sz w:val="22"/>
                <w:szCs w:val="22"/>
              </w:rPr>
              <w:t>第二十五条 建设项目确需占用国土空间规划确定的城市和村庄、集镇建设用地范围外的农用地，涉及占用永久基本农田的，由国务院批准；不涉及占用永久基本农田的，由国务院或者国务院授权的省、自治区、直辖市人民政府批准。</w:t>
            </w:r>
          </w:p>
        </w:tc>
        <w:tc>
          <w:tcPr>
            <w:tcW w:w="2515" w:type="dxa"/>
            <w:vMerge w:val="continue"/>
            <w:vAlign w:val="center"/>
          </w:tcPr>
          <w:p w14:paraId="50DB750E">
            <w:pPr>
              <w:autoSpaceDE w:val="0"/>
              <w:autoSpaceDN w:val="0"/>
              <w:adjustRightInd w:val="0"/>
              <w:snapToGrid w:val="0"/>
              <w:rPr>
                <w:kern w:val="0"/>
                <w:sz w:val="22"/>
                <w:szCs w:val="22"/>
              </w:rPr>
            </w:pPr>
          </w:p>
        </w:tc>
      </w:tr>
      <w:tr w14:paraId="44CD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Align w:val="center"/>
          </w:tcPr>
          <w:p w14:paraId="738DA487">
            <w:pPr>
              <w:adjustRightInd w:val="0"/>
              <w:snapToGrid w:val="0"/>
              <w:jc w:val="center"/>
              <w:rPr>
                <w:sz w:val="22"/>
                <w:szCs w:val="22"/>
              </w:rPr>
            </w:pPr>
            <w:r>
              <w:rPr>
                <w:rFonts w:hint="eastAsia"/>
                <w:sz w:val="22"/>
                <w:szCs w:val="22"/>
              </w:rPr>
              <w:t>《自然资源部办公厅关于进一步做好基础设施建设使用临时用地保障工作的通知》（自然资办函〔2024〕2159号）</w:t>
            </w:r>
          </w:p>
        </w:tc>
        <w:tc>
          <w:tcPr>
            <w:tcW w:w="4778" w:type="dxa"/>
            <w:vAlign w:val="center"/>
          </w:tcPr>
          <w:p w14:paraId="1BEDB985">
            <w:pPr>
              <w:adjustRightInd w:val="0"/>
              <w:snapToGrid w:val="0"/>
              <w:rPr>
                <w:sz w:val="22"/>
                <w:szCs w:val="22"/>
              </w:rPr>
            </w:pPr>
            <w:r>
              <w:rPr>
                <w:rFonts w:hint="eastAsia"/>
                <w:sz w:val="22"/>
                <w:szCs w:val="22"/>
              </w:rPr>
              <w:t>一、实施临时用地期限差异化管理：能源（含能源基础设施建设中的油气探采合一涉及的钻井及配套设施）、交通、水利等基础设施使用临时用地，首次申请使用期限不满四年的，用地单位可申请继续使用，总期限不超过四年。申请继续使用的临时用地，应当符合临时用地使用要求、不改变用地位置和批准用途、不扩大用地规模和使用范围、确保完成复垦任务，由具备相应审批权限的自然资源主管部门批准，使用年限连续计算。</w:t>
            </w:r>
          </w:p>
        </w:tc>
        <w:tc>
          <w:tcPr>
            <w:tcW w:w="2515" w:type="dxa"/>
            <w:vAlign w:val="center"/>
          </w:tcPr>
          <w:p w14:paraId="09F2DB24">
            <w:pPr>
              <w:autoSpaceDE w:val="0"/>
              <w:autoSpaceDN w:val="0"/>
              <w:adjustRightInd w:val="0"/>
              <w:snapToGrid w:val="0"/>
              <w:rPr>
                <w:kern w:val="0"/>
                <w:sz w:val="22"/>
                <w:szCs w:val="22"/>
              </w:rPr>
            </w:pPr>
            <w:r>
              <w:rPr>
                <w:rFonts w:hint="eastAsia"/>
                <w:sz w:val="22"/>
                <w:szCs w:val="22"/>
              </w:rPr>
              <w:t>本项目为临时用地，不涉及土地性质转换；项目在原钻井井场内修建，临时占用永久基本农田，试采结束后若产气未达预期，将进行土地复垦，若产量达到预期，将转为区块开发，重新征用土地。</w:t>
            </w:r>
          </w:p>
        </w:tc>
      </w:tr>
      <w:tr w14:paraId="590F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Align w:val="center"/>
          </w:tcPr>
          <w:p w14:paraId="227C0EEC">
            <w:pPr>
              <w:adjustRightInd w:val="0"/>
              <w:snapToGrid w:val="0"/>
              <w:rPr>
                <w:sz w:val="22"/>
                <w:szCs w:val="22"/>
              </w:rPr>
            </w:pPr>
            <w:r>
              <w:rPr>
                <w:sz w:val="22"/>
                <w:szCs w:val="22"/>
              </w:rPr>
              <w:t>《四川省基本农田保护实施细则》（1996.2.29施行）</w:t>
            </w:r>
          </w:p>
        </w:tc>
        <w:tc>
          <w:tcPr>
            <w:tcW w:w="4778" w:type="dxa"/>
            <w:vAlign w:val="center"/>
          </w:tcPr>
          <w:p w14:paraId="0C553154">
            <w:pPr>
              <w:adjustRightInd w:val="0"/>
              <w:snapToGrid w:val="0"/>
              <w:rPr>
                <w:sz w:val="22"/>
                <w:szCs w:val="22"/>
              </w:rPr>
            </w:pPr>
            <w:r>
              <w:rPr>
                <w:sz w:val="22"/>
                <w:szCs w:val="22"/>
              </w:rPr>
              <w:t>第十条 基本农田一经划定，任何单位和个人不得擅自改变或占用。国家和省能源、交通、水利等重点建设项目选址确实无法避开基本农田，需要占用基本农田内耕地的，必须依照土地管理法律、法规规定的审批程序和审批权限向县级以上人民政府土地管理部门提出申请，经同级农业行政主管部门签署意见后，报县级以上人民政府批准，发给《基本农田占用许可证》。</w:t>
            </w:r>
          </w:p>
        </w:tc>
        <w:tc>
          <w:tcPr>
            <w:tcW w:w="2515" w:type="dxa"/>
            <w:vAlign w:val="center"/>
          </w:tcPr>
          <w:p w14:paraId="3B5222D5">
            <w:pPr>
              <w:autoSpaceDE w:val="0"/>
              <w:autoSpaceDN w:val="0"/>
              <w:adjustRightInd w:val="0"/>
              <w:snapToGrid w:val="0"/>
              <w:rPr>
                <w:kern w:val="0"/>
                <w:sz w:val="22"/>
                <w:szCs w:val="22"/>
              </w:rPr>
            </w:pPr>
            <w:r>
              <w:rPr>
                <w:rFonts w:hint="eastAsia"/>
                <w:sz w:val="22"/>
                <w:szCs w:val="22"/>
              </w:rPr>
              <w:t>本项目为临时用地，不涉及土地性质转换；项目在原钻井井场内修建，临时占用永久基本农田，试采结束后若产气未达预期，将进行土地复垦，若产量达到预期，将转为区块开发，重新征用土地。</w:t>
            </w:r>
          </w:p>
        </w:tc>
      </w:tr>
      <w:tr w14:paraId="0D71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Align w:val="center"/>
          </w:tcPr>
          <w:p w14:paraId="31397B08">
            <w:pPr>
              <w:adjustRightInd w:val="0"/>
              <w:snapToGrid w:val="0"/>
              <w:rPr>
                <w:sz w:val="22"/>
                <w:szCs w:val="22"/>
              </w:rPr>
            </w:pPr>
            <w:r>
              <w:rPr>
                <w:rFonts w:hint="eastAsia"/>
                <w:sz w:val="22"/>
                <w:szCs w:val="22"/>
              </w:rPr>
              <w:t>《四川省自然资源厅关于进一步明确临时用地管理有关事项的通知》（川自然资规</w:t>
            </w:r>
            <w:r>
              <w:rPr>
                <w:sz w:val="22"/>
                <w:szCs w:val="22"/>
              </w:rPr>
              <w:t>〔</w:t>
            </w:r>
            <w:r>
              <w:rPr>
                <w:rFonts w:hint="eastAsia"/>
                <w:sz w:val="22"/>
                <w:szCs w:val="22"/>
              </w:rPr>
              <w:t>2022</w:t>
            </w:r>
            <w:r>
              <w:rPr>
                <w:sz w:val="22"/>
                <w:szCs w:val="22"/>
              </w:rPr>
              <w:t>〕</w:t>
            </w:r>
            <w:r>
              <w:rPr>
                <w:rFonts w:hint="eastAsia"/>
                <w:sz w:val="22"/>
                <w:szCs w:val="22"/>
              </w:rPr>
              <w:t>3号)</w:t>
            </w:r>
          </w:p>
        </w:tc>
        <w:tc>
          <w:tcPr>
            <w:tcW w:w="4778" w:type="dxa"/>
            <w:vAlign w:val="center"/>
          </w:tcPr>
          <w:p w14:paraId="05319E9A">
            <w:pPr>
              <w:adjustRightInd w:val="0"/>
              <w:snapToGrid w:val="0"/>
              <w:rPr>
                <w:sz w:val="22"/>
                <w:szCs w:val="22"/>
              </w:rPr>
            </w:pPr>
            <w:r>
              <w:rPr>
                <w:rFonts w:hint="eastAsia"/>
                <w:sz w:val="22"/>
                <w:szCs w:val="22"/>
              </w:rPr>
              <w:t>进一步强化永久基本农田特殊保护。市、县级自然资源主管部门要严格耕地用途管制，临时用地应尽量不占或少占耕地，原则上不占用永久基本农田。</w:t>
            </w:r>
          </w:p>
          <w:p w14:paraId="5B9E325D">
            <w:pPr>
              <w:adjustRightInd w:val="0"/>
              <w:snapToGrid w:val="0"/>
              <w:rPr>
                <w:sz w:val="22"/>
                <w:szCs w:val="22"/>
              </w:rPr>
            </w:pPr>
            <w:r>
              <w:rPr>
                <w:rFonts w:hint="eastAsia"/>
                <w:sz w:val="22"/>
                <w:szCs w:val="22"/>
              </w:rPr>
              <w:t>确需占用永久基本农田的，县级自然资源主管部门应在前期选址阶段，实地核实永久基本农田地块的空间位置、地类、面积、质量状况、利用现状等，组织编制临时用地踏勘报告，并对占用永久基本农田的必要性和合理性进行严格论证，报市级自然资源主管部门审查。</w:t>
            </w:r>
          </w:p>
          <w:p w14:paraId="5EFF115F">
            <w:pPr>
              <w:adjustRightInd w:val="0"/>
              <w:snapToGrid w:val="0"/>
              <w:rPr>
                <w:sz w:val="22"/>
                <w:szCs w:val="22"/>
              </w:rPr>
            </w:pPr>
            <w:r>
              <w:rPr>
                <w:rFonts w:hint="eastAsia"/>
                <w:sz w:val="22"/>
                <w:szCs w:val="22"/>
              </w:rPr>
              <w:t>进一步严格临时用地监管。市、县级自然资源主管部门应按照相关规定对临时用地选址、审批、备案、使用、复垦进行严格核把关、依法监督检查，严禁违规认定临时用地严禁在法律法规规定的禁止区域审批临时用地，严禁擅自扩大临时用地审批范围和延长使用期限，严禁以临时用地名义规避建设用地审批手续特别是建设占用耕地和永久基本农田，要坚持节约集约用地，切实保障临时用地依法管理、有序使用、及时恢复。</w:t>
            </w:r>
          </w:p>
        </w:tc>
        <w:tc>
          <w:tcPr>
            <w:tcW w:w="2515" w:type="dxa"/>
            <w:vAlign w:val="center"/>
          </w:tcPr>
          <w:p w14:paraId="7A4A3F74">
            <w:pPr>
              <w:autoSpaceDE w:val="0"/>
              <w:autoSpaceDN w:val="0"/>
              <w:adjustRightInd w:val="0"/>
              <w:snapToGrid w:val="0"/>
              <w:rPr>
                <w:sz w:val="22"/>
                <w:szCs w:val="22"/>
              </w:rPr>
            </w:pPr>
            <w:r>
              <w:rPr>
                <w:rFonts w:hint="eastAsia"/>
                <w:sz w:val="22"/>
                <w:szCs w:val="22"/>
              </w:rPr>
              <w:t>本项目为临时用地，不涉及土地性质转换；项目在原钻井井场内修建，临时占用永久基本农田，试采结束后若产气未达预期，将进行土地复垦，若产量达到预期，将转为区块开发，重新征用土地。</w:t>
            </w:r>
          </w:p>
        </w:tc>
      </w:tr>
      <w:tr w14:paraId="1091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Align w:val="center"/>
          </w:tcPr>
          <w:p w14:paraId="49B55E5F">
            <w:pPr>
              <w:adjustRightInd w:val="0"/>
              <w:snapToGrid w:val="0"/>
              <w:rPr>
                <w:sz w:val="22"/>
                <w:szCs w:val="22"/>
              </w:rPr>
            </w:pPr>
            <w:r>
              <w:rPr>
                <w:rFonts w:hint="eastAsia"/>
                <w:sz w:val="22"/>
                <w:szCs w:val="22"/>
              </w:rPr>
              <w:t>《自然资源部办公厅关于加强临时用地监管有关工作的通知》(自然资办函</w:t>
            </w:r>
            <w:r>
              <w:rPr>
                <w:sz w:val="22"/>
                <w:szCs w:val="22"/>
              </w:rPr>
              <w:t>〔</w:t>
            </w:r>
            <w:r>
              <w:rPr>
                <w:rFonts w:hint="eastAsia"/>
                <w:sz w:val="22"/>
                <w:szCs w:val="22"/>
              </w:rPr>
              <w:t>2023</w:t>
            </w:r>
            <w:r>
              <w:rPr>
                <w:sz w:val="22"/>
                <w:szCs w:val="22"/>
              </w:rPr>
              <w:t>〕</w:t>
            </w:r>
            <w:r>
              <w:rPr>
                <w:rFonts w:hint="eastAsia"/>
                <w:sz w:val="22"/>
                <w:szCs w:val="22"/>
              </w:rPr>
              <w:t>1280号)</w:t>
            </w:r>
          </w:p>
        </w:tc>
        <w:tc>
          <w:tcPr>
            <w:tcW w:w="4778" w:type="dxa"/>
            <w:vAlign w:val="center"/>
          </w:tcPr>
          <w:p w14:paraId="4DF2518E">
            <w:pPr>
              <w:adjustRightInd w:val="0"/>
              <w:snapToGrid w:val="0"/>
              <w:rPr>
                <w:sz w:val="22"/>
                <w:szCs w:val="22"/>
              </w:rPr>
            </w:pPr>
            <w:r>
              <w:rPr>
                <w:rFonts w:hint="eastAsia"/>
                <w:sz w:val="22"/>
                <w:szCs w:val="22"/>
              </w:rPr>
              <w:t>能源基础设施建设中，油气探采合一开发涉及的钻井及配套设施依据2 号文件审批的临时用地，使用期限不超过四年。油气企业在勘探结束转入开采的，应及时办理建设用地审批手续。建设用地经依法批准后，不再进行土地复垦，相关土地复垦费用退回。未在规定期限内办理建设用地手续的，按违法用地处理。</w:t>
            </w:r>
          </w:p>
        </w:tc>
        <w:tc>
          <w:tcPr>
            <w:tcW w:w="2515" w:type="dxa"/>
            <w:vAlign w:val="center"/>
          </w:tcPr>
          <w:p w14:paraId="642F95C4">
            <w:pPr>
              <w:autoSpaceDE w:val="0"/>
              <w:autoSpaceDN w:val="0"/>
              <w:adjustRightInd w:val="0"/>
              <w:snapToGrid w:val="0"/>
              <w:rPr>
                <w:sz w:val="22"/>
                <w:szCs w:val="22"/>
              </w:rPr>
            </w:pPr>
            <w:r>
              <w:rPr>
                <w:rFonts w:hint="eastAsia"/>
                <w:sz w:val="22"/>
                <w:szCs w:val="22"/>
              </w:rPr>
              <w:t>本项目为临时用地，不涉及土地性质转换；项目在原钻井井场内修建，临时占用永久基本农田，试采结束后若产气未达预期，将进行土地复垦，若产量达到预期，将转为区块开发，重新征用土地。</w:t>
            </w:r>
          </w:p>
        </w:tc>
      </w:tr>
      <w:tr w14:paraId="264A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5" w:type="dxa"/>
            <w:vAlign w:val="center"/>
          </w:tcPr>
          <w:p w14:paraId="369962BE">
            <w:pPr>
              <w:adjustRightInd w:val="0"/>
              <w:snapToGrid w:val="0"/>
              <w:rPr>
                <w:sz w:val="22"/>
                <w:szCs w:val="22"/>
              </w:rPr>
            </w:pPr>
            <w:r>
              <w:rPr>
                <w:rFonts w:hint="eastAsia"/>
                <w:sz w:val="22"/>
                <w:szCs w:val="22"/>
              </w:rPr>
              <w:t>《永久基本农田保护红线管理办法》（2</w:t>
            </w:r>
            <w:r>
              <w:rPr>
                <w:sz w:val="22"/>
                <w:szCs w:val="22"/>
              </w:rPr>
              <w:t>025</w:t>
            </w:r>
            <w:r>
              <w:rPr>
                <w:rFonts w:hint="eastAsia"/>
                <w:sz w:val="22"/>
                <w:szCs w:val="22"/>
              </w:rPr>
              <w:t>年1</w:t>
            </w:r>
            <w:r>
              <w:rPr>
                <w:sz w:val="22"/>
                <w:szCs w:val="22"/>
              </w:rPr>
              <w:t>0</w:t>
            </w:r>
            <w:r>
              <w:rPr>
                <w:rFonts w:hint="eastAsia"/>
                <w:sz w:val="22"/>
                <w:szCs w:val="22"/>
              </w:rPr>
              <w:t>月1日实施）</w:t>
            </w:r>
          </w:p>
        </w:tc>
        <w:tc>
          <w:tcPr>
            <w:tcW w:w="4778" w:type="dxa"/>
            <w:vAlign w:val="center"/>
          </w:tcPr>
          <w:p w14:paraId="356DDF9A">
            <w:pPr>
              <w:adjustRightInd w:val="0"/>
              <w:snapToGrid w:val="0"/>
              <w:jc w:val="left"/>
              <w:rPr>
                <w:sz w:val="22"/>
                <w:szCs w:val="22"/>
              </w:rPr>
            </w:pPr>
            <w:r>
              <w:rPr>
                <w:rFonts w:hint="eastAsia"/>
                <w:sz w:val="22"/>
                <w:szCs w:val="22"/>
              </w:rPr>
              <w:t>第四条 永久基本农田划定落实到具体地块，并向社会公告。永久基本农田划定后，任何单位和个人不得擅自调整、占用或者改变用途。</w:t>
            </w:r>
          </w:p>
          <w:p w14:paraId="5327E2D9">
            <w:pPr>
              <w:adjustRightInd w:val="0"/>
              <w:snapToGrid w:val="0"/>
              <w:jc w:val="left"/>
              <w:rPr>
                <w:sz w:val="22"/>
                <w:szCs w:val="22"/>
              </w:rPr>
            </w:pPr>
            <w:r>
              <w:rPr>
                <w:rFonts w:hint="eastAsia"/>
                <w:sz w:val="22"/>
                <w:szCs w:val="22"/>
              </w:rPr>
              <w:t>第六条 禁止占用永久基本农田挖湖造景，建设绿化带，种植草皮等用于绿化装饰的植物，堆放固体废弃物，填埋垃圾，以及法律法规禁止的其他行为。</w:t>
            </w:r>
          </w:p>
          <w:p w14:paraId="3C3678BF">
            <w:pPr>
              <w:adjustRightInd w:val="0"/>
              <w:snapToGrid w:val="0"/>
              <w:rPr>
                <w:sz w:val="22"/>
                <w:szCs w:val="22"/>
              </w:rPr>
            </w:pPr>
            <w:r>
              <w:rPr>
                <w:rFonts w:hint="eastAsia"/>
                <w:sz w:val="22"/>
                <w:szCs w:val="22"/>
              </w:rPr>
              <w:t>第二十四条 禁止通过擅自调整县级国土空间总体规划、乡镇国土空间总体规划，或者调整永久基本农田保护红线等方式规避永久基本农田农用地转用或者土地征收的审批。</w:t>
            </w:r>
          </w:p>
        </w:tc>
        <w:tc>
          <w:tcPr>
            <w:tcW w:w="2515" w:type="dxa"/>
            <w:vAlign w:val="center"/>
          </w:tcPr>
          <w:p w14:paraId="10C31008">
            <w:pPr>
              <w:autoSpaceDE w:val="0"/>
              <w:autoSpaceDN w:val="0"/>
              <w:adjustRightInd w:val="0"/>
              <w:snapToGrid w:val="0"/>
              <w:rPr>
                <w:sz w:val="22"/>
                <w:szCs w:val="22"/>
              </w:rPr>
            </w:pPr>
            <w:r>
              <w:rPr>
                <w:rFonts w:hint="eastAsia"/>
                <w:sz w:val="22"/>
                <w:szCs w:val="22"/>
              </w:rPr>
              <w:t>本项目为临时用地，不涉及土地性质转换；项目在原钻井井场内修建，临时占用永久基本农田，试采结束后若产气未达预期，将进行土地复垦，若产量达到预期，将转为区块开发，重新征用土地。</w:t>
            </w:r>
          </w:p>
        </w:tc>
      </w:tr>
    </w:tbl>
    <w:p w14:paraId="1A94472A">
      <w:pPr>
        <w:adjustRightInd w:val="0"/>
        <w:snapToGrid w:val="0"/>
        <w:ind w:firstLine="520" w:firstLineChars="200"/>
        <w:rPr>
          <w:rFonts w:eastAsiaTheme="minorEastAsia"/>
          <w:snapToGrid w:val="0"/>
          <w:kern w:val="0"/>
          <w:sz w:val="26"/>
          <w:szCs w:val="20"/>
        </w:rPr>
      </w:pPr>
    </w:p>
    <w:p w14:paraId="457ADE7D">
      <w:pPr>
        <w:pStyle w:val="1381"/>
        <w:adjustRightInd w:val="0"/>
        <w:snapToGrid w:val="0"/>
        <w:ind w:firstLine="520"/>
        <w:rPr>
          <w:rFonts w:cs="Times New Roman"/>
        </w:rPr>
      </w:pPr>
      <w:r>
        <w:rPr>
          <w:rFonts w:cs="Times New Roman"/>
        </w:rPr>
        <w:t>本项目为</w:t>
      </w:r>
      <w:r>
        <w:rPr>
          <w:rFonts w:hint="eastAsia" w:cs="Times New Roman"/>
        </w:rPr>
        <w:t>天然气</w:t>
      </w:r>
      <w:r>
        <w:rPr>
          <w:rFonts w:cs="Times New Roman"/>
        </w:rPr>
        <w:t>试采工程，为能源基础工程，不涉及永久占地，不涉及农用地转为建设用地。试采结束后，正式采气纳入区块环评中一并进行评价，并办理永久占地手续；若试采未实现产能，将进行关井，对土地进行复垦，恢复耕地种植条件，保证恢复至原有耕地水平。</w:t>
      </w:r>
    </w:p>
    <w:p w14:paraId="15B63F26">
      <w:pPr>
        <w:adjustRightInd w:val="0"/>
        <w:snapToGrid w:val="0"/>
        <w:spacing w:line="460" w:lineRule="exact"/>
        <w:ind w:firstLine="520" w:firstLineChars="200"/>
        <w:rPr>
          <w:bCs/>
          <w:sz w:val="26"/>
          <w:szCs w:val="26"/>
        </w:rPr>
      </w:pPr>
      <w:r>
        <w:rPr>
          <w:rFonts w:hint="eastAsia"/>
          <w:bCs/>
          <w:sz w:val="26"/>
          <w:szCs w:val="26"/>
        </w:rPr>
        <w:t>因此，本项目满足耕地、永久基本农田及临时占地相关政策要求。</w:t>
      </w:r>
    </w:p>
    <w:p w14:paraId="0BA15133">
      <w:pPr>
        <w:adjustRightInd w:val="0"/>
        <w:snapToGrid w:val="0"/>
        <w:spacing w:line="460" w:lineRule="exact"/>
        <w:ind w:firstLine="522" w:firstLineChars="200"/>
        <w:rPr>
          <w:b/>
          <w:bCs/>
          <w:sz w:val="26"/>
          <w:szCs w:val="26"/>
        </w:rPr>
      </w:pPr>
      <w:r>
        <w:rPr>
          <w:rFonts w:hint="eastAsia"/>
          <w:b/>
          <w:bCs/>
          <w:sz w:val="26"/>
          <w:szCs w:val="26"/>
        </w:rPr>
        <w:t>（5）与《地下水管理条例》符合性分析</w:t>
      </w:r>
    </w:p>
    <w:p w14:paraId="46B4D470">
      <w:pPr>
        <w:adjustRightInd w:val="0"/>
        <w:snapToGrid w:val="0"/>
        <w:spacing w:line="480" w:lineRule="exact"/>
        <w:ind w:firstLine="520" w:firstLineChars="200"/>
        <w:rPr>
          <w:bCs/>
          <w:sz w:val="26"/>
          <w:szCs w:val="26"/>
        </w:rPr>
      </w:pPr>
      <w:r>
        <w:rPr>
          <w:rFonts w:hint="eastAsia"/>
          <w:bCs/>
          <w:sz w:val="26"/>
          <w:szCs w:val="26"/>
        </w:rPr>
        <w:t>本项目与《地下水管理条例》（中华人民共和国国务院令第</w:t>
      </w:r>
      <w:r>
        <w:rPr>
          <w:bCs/>
          <w:sz w:val="26"/>
          <w:szCs w:val="26"/>
        </w:rPr>
        <w:t>748</w:t>
      </w:r>
      <w:r>
        <w:rPr>
          <w:rFonts w:hint="eastAsia"/>
          <w:bCs/>
          <w:sz w:val="26"/>
          <w:szCs w:val="26"/>
        </w:rPr>
        <w:t>号文，</w:t>
      </w:r>
      <w:r>
        <w:rPr>
          <w:bCs/>
          <w:sz w:val="26"/>
          <w:szCs w:val="26"/>
        </w:rPr>
        <w:t>2021</w:t>
      </w:r>
      <w:r>
        <w:rPr>
          <w:rFonts w:hint="eastAsia"/>
          <w:bCs/>
          <w:sz w:val="26"/>
          <w:szCs w:val="26"/>
        </w:rPr>
        <w:t>年</w:t>
      </w:r>
      <w:r>
        <w:rPr>
          <w:bCs/>
          <w:sz w:val="26"/>
          <w:szCs w:val="26"/>
        </w:rPr>
        <w:t>12</w:t>
      </w:r>
      <w:r>
        <w:rPr>
          <w:rFonts w:hint="eastAsia"/>
          <w:bCs/>
          <w:sz w:val="26"/>
          <w:szCs w:val="26"/>
        </w:rPr>
        <w:t>月</w:t>
      </w:r>
      <w:r>
        <w:rPr>
          <w:bCs/>
          <w:sz w:val="26"/>
          <w:szCs w:val="26"/>
        </w:rPr>
        <w:t>1</w:t>
      </w:r>
      <w:r>
        <w:rPr>
          <w:rFonts w:hint="eastAsia"/>
          <w:bCs/>
          <w:sz w:val="26"/>
          <w:szCs w:val="26"/>
        </w:rPr>
        <w:t>日实施）对比分析详见</w:t>
      </w:r>
      <w:r>
        <w:rPr>
          <w:rFonts w:hint="eastAsia"/>
          <w:bCs/>
          <w:sz w:val="26"/>
          <w:szCs w:val="26"/>
          <w:u w:val="single"/>
        </w:rPr>
        <w:t>表</w:t>
      </w:r>
      <w:r>
        <w:rPr>
          <w:bCs/>
          <w:sz w:val="26"/>
          <w:szCs w:val="26"/>
          <w:u w:val="single"/>
        </w:rPr>
        <w:t>1.7-4</w:t>
      </w:r>
      <w:r>
        <w:rPr>
          <w:rFonts w:hint="eastAsia"/>
          <w:bCs/>
          <w:sz w:val="26"/>
          <w:szCs w:val="26"/>
        </w:rPr>
        <w:t>。</w:t>
      </w:r>
    </w:p>
    <w:p w14:paraId="2246AE65">
      <w:pPr>
        <w:pStyle w:val="1379"/>
        <w:ind w:firstLine="440"/>
      </w:pPr>
    </w:p>
    <w:p w14:paraId="0C9D2D24">
      <w:pPr>
        <w:keepNext/>
        <w:adjustRightInd w:val="0"/>
        <w:snapToGrid w:val="0"/>
        <w:jc w:val="center"/>
        <w:rPr>
          <w:sz w:val="26"/>
          <w:szCs w:val="26"/>
        </w:rPr>
      </w:pPr>
      <w:r>
        <w:rPr>
          <w:rFonts w:hint="eastAsia"/>
          <w:sz w:val="26"/>
          <w:szCs w:val="26"/>
        </w:rPr>
        <w:t>表</w:t>
      </w:r>
      <w:r>
        <w:rPr>
          <w:sz w:val="26"/>
          <w:szCs w:val="26"/>
        </w:rPr>
        <w:t xml:space="preserve">1.7-4  </w:t>
      </w:r>
      <w:r>
        <w:rPr>
          <w:rFonts w:hint="eastAsia"/>
          <w:sz w:val="26"/>
          <w:szCs w:val="26"/>
        </w:rPr>
        <w:t>与《地下水管理条例》（</w:t>
      </w:r>
      <w:r>
        <w:rPr>
          <w:sz w:val="26"/>
          <w:szCs w:val="26"/>
        </w:rPr>
        <w:t>2021</w:t>
      </w:r>
      <w:r>
        <w:rPr>
          <w:rFonts w:hint="eastAsia"/>
          <w:sz w:val="26"/>
          <w:szCs w:val="26"/>
        </w:rPr>
        <w:t>年）符合性分析</w:t>
      </w:r>
    </w:p>
    <w:tbl>
      <w:tblPr>
        <w:tblStyle w:val="88"/>
        <w:tblW w:w="84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662"/>
        <w:gridCol w:w="3871"/>
        <w:gridCol w:w="2967"/>
        <w:gridCol w:w="965"/>
      </w:tblGrid>
      <w:tr w14:paraId="7FACC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jc w:val="center"/>
        </w:trPr>
        <w:tc>
          <w:tcPr>
            <w:tcW w:w="662" w:type="dxa"/>
            <w:vAlign w:val="center"/>
          </w:tcPr>
          <w:p w14:paraId="04D96665">
            <w:pPr>
              <w:adjustRightInd w:val="0"/>
              <w:jc w:val="center"/>
              <w:rPr>
                <w:bCs/>
                <w:sz w:val="22"/>
              </w:rPr>
            </w:pPr>
            <w:r>
              <w:rPr>
                <w:rFonts w:hint="eastAsia"/>
                <w:bCs/>
                <w:sz w:val="22"/>
              </w:rPr>
              <w:t>序号</w:t>
            </w:r>
          </w:p>
        </w:tc>
        <w:tc>
          <w:tcPr>
            <w:tcW w:w="3871" w:type="dxa"/>
            <w:vAlign w:val="center"/>
          </w:tcPr>
          <w:p w14:paraId="2339D988">
            <w:pPr>
              <w:adjustRightInd w:val="0"/>
              <w:jc w:val="center"/>
              <w:rPr>
                <w:bCs/>
                <w:sz w:val="22"/>
              </w:rPr>
            </w:pPr>
            <w:r>
              <w:rPr>
                <w:rFonts w:hint="eastAsia"/>
                <w:bCs/>
                <w:sz w:val="22"/>
              </w:rPr>
              <w:t>技术政策要求</w:t>
            </w:r>
          </w:p>
        </w:tc>
        <w:tc>
          <w:tcPr>
            <w:tcW w:w="2967" w:type="dxa"/>
            <w:vAlign w:val="center"/>
          </w:tcPr>
          <w:p w14:paraId="7D5AE9A7">
            <w:pPr>
              <w:adjustRightInd w:val="0"/>
              <w:jc w:val="center"/>
              <w:rPr>
                <w:bCs/>
                <w:sz w:val="22"/>
              </w:rPr>
            </w:pPr>
            <w:r>
              <w:rPr>
                <w:rFonts w:hint="eastAsia"/>
                <w:bCs/>
                <w:sz w:val="22"/>
              </w:rPr>
              <w:t>本工程内容</w:t>
            </w:r>
          </w:p>
        </w:tc>
        <w:tc>
          <w:tcPr>
            <w:tcW w:w="965" w:type="dxa"/>
            <w:vAlign w:val="center"/>
          </w:tcPr>
          <w:p w14:paraId="23C2B52A">
            <w:pPr>
              <w:adjustRightInd w:val="0"/>
              <w:jc w:val="center"/>
              <w:rPr>
                <w:bCs/>
                <w:sz w:val="22"/>
              </w:rPr>
            </w:pPr>
            <w:r>
              <w:rPr>
                <w:rFonts w:hint="eastAsia"/>
                <w:bCs/>
                <w:sz w:val="22"/>
              </w:rPr>
              <w:t>符合性</w:t>
            </w:r>
          </w:p>
        </w:tc>
      </w:tr>
      <w:tr w14:paraId="3203B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jc w:val="center"/>
        </w:trPr>
        <w:tc>
          <w:tcPr>
            <w:tcW w:w="662" w:type="dxa"/>
            <w:vAlign w:val="center"/>
          </w:tcPr>
          <w:p w14:paraId="23104C47">
            <w:pPr>
              <w:adjustRightInd w:val="0"/>
              <w:jc w:val="center"/>
              <w:rPr>
                <w:bCs/>
                <w:sz w:val="22"/>
              </w:rPr>
            </w:pPr>
            <w:r>
              <w:rPr>
                <w:rFonts w:hint="eastAsia"/>
                <w:bCs/>
                <w:sz w:val="22"/>
              </w:rPr>
              <w:t>一</w:t>
            </w:r>
          </w:p>
        </w:tc>
        <w:tc>
          <w:tcPr>
            <w:tcW w:w="7803" w:type="dxa"/>
            <w:gridSpan w:val="3"/>
            <w:vAlign w:val="center"/>
          </w:tcPr>
          <w:p w14:paraId="434B1224">
            <w:pPr>
              <w:adjustRightInd w:val="0"/>
              <w:jc w:val="center"/>
              <w:rPr>
                <w:bCs/>
                <w:sz w:val="22"/>
              </w:rPr>
            </w:pPr>
            <w:r>
              <w:rPr>
                <w:rFonts w:hint="eastAsia"/>
                <w:bCs/>
                <w:sz w:val="22"/>
              </w:rPr>
              <w:t>污染防治</w:t>
            </w:r>
          </w:p>
        </w:tc>
      </w:tr>
      <w:tr w14:paraId="180B1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jc w:val="center"/>
        </w:trPr>
        <w:tc>
          <w:tcPr>
            <w:tcW w:w="662" w:type="dxa"/>
            <w:vAlign w:val="center"/>
          </w:tcPr>
          <w:p w14:paraId="5414EA00">
            <w:pPr>
              <w:adjustRightInd w:val="0"/>
              <w:jc w:val="center"/>
              <w:rPr>
                <w:bCs/>
                <w:sz w:val="22"/>
              </w:rPr>
            </w:pPr>
            <w:r>
              <w:rPr>
                <w:bCs/>
                <w:sz w:val="22"/>
              </w:rPr>
              <w:t>1</w:t>
            </w:r>
          </w:p>
        </w:tc>
        <w:tc>
          <w:tcPr>
            <w:tcW w:w="3871" w:type="dxa"/>
            <w:vAlign w:val="center"/>
          </w:tcPr>
          <w:p w14:paraId="4161F77D">
            <w:pPr>
              <w:adjustRightInd w:val="0"/>
              <w:jc w:val="center"/>
              <w:rPr>
                <w:bCs/>
                <w:sz w:val="22"/>
              </w:rPr>
            </w:pPr>
            <w:r>
              <w:rPr>
                <w:rFonts w:hint="eastAsia"/>
                <w:bCs/>
                <w:sz w:val="22"/>
              </w:rPr>
              <w:t>禁止下列污染或者可能污染地下水的行为：（</w:t>
            </w:r>
            <w:r>
              <w:rPr>
                <w:bCs/>
                <w:sz w:val="22"/>
              </w:rPr>
              <w:t>1</w:t>
            </w:r>
            <w:r>
              <w:rPr>
                <w:rFonts w:hint="eastAsia"/>
                <w:bCs/>
                <w:sz w:val="22"/>
              </w:rPr>
              <w:t>）利用渗井、渗坑、裂隙、溶洞以及私设暗管等逃避监管的方式排放水污染物；（</w:t>
            </w:r>
            <w:r>
              <w:rPr>
                <w:bCs/>
                <w:sz w:val="22"/>
              </w:rPr>
              <w:t>2</w:t>
            </w:r>
            <w:r>
              <w:rPr>
                <w:rFonts w:hint="eastAsia"/>
                <w:bCs/>
                <w:sz w:val="22"/>
              </w:rPr>
              <w:t>）利用岩层孔隙、裂隙、溶洞、废弃矿坑等</w:t>
            </w:r>
            <w:r>
              <w:rPr>
                <w:bCs/>
                <w:sz w:val="22"/>
              </w:rPr>
              <w:t xml:space="preserve"> </w:t>
            </w:r>
            <w:r>
              <w:rPr>
                <w:rFonts w:hint="eastAsia"/>
                <w:bCs/>
                <w:sz w:val="22"/>
              </w:rPr>
              <w:t>贮存石化原料及产品、农药、危险废物、城镇污水处理设施产生的污泥和处理后的污泥或者其他有毒有害物质；（</w:t>
            </w:r>
            <w:r>
              <w:rPr>
                <w:bCs/>
                <w:sz w:val="22"/>
              </w:rPr>
              <w:t>3</w:t>
            </w:r>
            <w:r>
              <w:rPr>
                <w:rFonts w:hint="eastAsia"/>
                <w:bCs/>
                <w:sz w:val="22"/>
              </w:rPr>
              <w:t>）利用无防渗漏措施的沟渠、坑塘等输送或者贮存含有毒污染物的废水、含病原体的污水和其他废弃物；</w:t>
            </w:r>
          </w:p>
        </w:tc>
        <w:tc>
          <w:tcPr>
            <w:tcW w:w="2967" w:type="dxa"/>
            <w:vAlign w:val="center"/>
          </w:tcPr>
          <w:p w14:paraId="6660490E">
            <w:pPr>
              <w:adjustRightInd w:val="0"/>
              <w:jc w:val="center"/>
              <w:rPr>
                <w:bCs/>
                <w:sz w:val="22"/>
              </w:rPr>
            </w:pPr>
            <w:r>
              <w:rPr>
                <w:rFonts w:hint="eastAsia"/>
                <w:bCs/>
                <w:sz w:val="22"/>
              </w:rPr>
              <w:t>本项目不直接排放水污染物，产生的危险废物由有资质单位综合处置。上述污染物不会直接排放外环境。</w:t>
            </w:r>
          </w:p>
        </w:tc>
        <w:tc>
          <w:tcPr>
            <w:tcW w:w="965" w:type="dxa"/>
            <w:vAlign w:val="center"/>
          </w:tcPr>
          <w:p w14:paraId="16DF8557">
            <w:pPr>
              <w:adjustRightInd w:val="0"/>
              <w:jc w:val="center"/>
              <w:rPr>
                <w:bCs/>
                <w:sz w:val="22"/>
              </w:rPr>
            </w:pPr>
            <w:r>
              <w:rPr>
                <w:rFonts w:hint="eastAsia"/>
                <w:bCs/>
                <w:sz w:val="22"/>
              </w:rPr>
              <w:t>符合</w:t>
            </w:r>
          </w:p>
        </w:tc>
      </w:tr>
      <w:tr w14:paraId="21001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jc w:val="center"/>
        </w:trPr>
        <w:tc>
          <w:tcPr>
            <w:tcW w:w="662" w:type="dxa"/>
            <w:vAlign w:val="center"/>
          </w:tcPr>
          <w:p w14:paraId="7CE2B962">
            <w:pPr>
              <w:adjustRightInd w:val="0"/>
              <w:jc w:val="center"/>
              <w:rPr>
                <w:bCs/>
                <w:sz w:val="22"/>
              </w:rPr>
            </w:pPr>
            <w:r>
              <w:rPr>
                <w:bCs/>
                <w:sz w:val="22"/>
              </w:rPr>
              <w:t>2</w:t>
            </w:r>
          </w:p>
        </w:tc>
        <w:tc>
          <w:tcPr>
            <w:tcW w:w="3871" w:type="dxa"/>
            <w:vAlign w:val="center"/>
          </w:tcPr>
          <w:p w14:paraId="20EECF87">
            <w:pPr>
              <w:adjustRightInd w:val="0"/>
              <w:jc w:val="center"/>
              <w:rPr>
                <w:bCs/>
                <w:sz w:val="22"/>
              </w:rPr>
            </w:pPr>
            <w:r>
              <w:rPr>
                <w:rFonts w:hint="eastAsia"/>
                <w:bCs/>
                <w:sz w:val="22"/>
              </w:rPr>
              <w:t>企业事业单位和其他生产经营者应当采取下列措施，防止地下水污染：（</w:t>
            </w:r>
            <w:r>
              <w:rPr>
                <w:bCs/>
                <w:sz w:val="22"/>
              </w:rPr>
              <w:t>1</w:t>
            </w:r>
            <w:r>
              <w:rPr>
                <w:rFonts w:hint="eastAsia"/>
                <w:bCs/>
                <w:sz w:val="22"/>
              </w:rPr>
              <w:t>）兴建地下工程设施或者进行地下勘探、采矿等活动，依法编制的环境影响评价文件中，应当包括地下水污染防治的内容，并采取防护性措施；</w:t>
            </w:r>
          </w:p>
        </w:tc>
        <w:tc>
          <w:tcPr>
            <w:tcW w:w="2967" w:type="dxa"/>
            <w:vAlign w:val="center"/>
          </w:tcPr>
          <w:p w14:paraId="049C2951">
            <w:pPr>
              <w:adjustRightInd w:val="0"/>
              <w:jc w:val="center"/>
              <w:rPr>
                <w:bCs/>
                <w:sz w:val="22"/>
              </w:rPr>
            </w:pPr>
            <w:r>
              <w:rPr>
                <w:rFonts w:hint="eastAsia"/>
                <w:bCs/>
                <w:sz w:val="22"/>
              </w:rPr>
              <w:t>本项目属于天然气试采项目，本次环评均提出了源头控制、分区防渗、跟踪监测、应急响应等措施；</w:t>
            </w:r>
          </w:p>
        </w:tc>
        <w:tc>
          <w:tcPr>
            <w:tcW w:w="965" w:type="dxa"/>
            <w:vAlign w:val="center"/>
          </w:tcPr>
          <w:p w14:paraId="75E9AF89">
            <w:pPr>
              <w:adjustRightInd w:val="0"/>
              <w:jc w:val="center"/>
              <w:rPr>
                <w:bCs/>
                <w:sz w:val="22"/>
              </w:rPr>
            </w:pPr>
            <w:r>
              <w:rPr>
                <w:rFonts w:hint="eastAsia"/>
                <w:bCs/>
                <w:sz w:val="22"/>
              </w:rPr>
              <w:t>符合</w:t>
            </w:r>
          </w:p>
        </w:tc>
      </w:tr>
      <w:tr w14:paraId="7D960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jc w:val="center"/>
        </w:trPr>
        <w:tc>
          <w:tcPr>
            <w:tcW w:w="662" w:type="dxa"/>
            <w:vAlign w:val="center"/>
          </w:tcPr>
          <w:p w14:paraId="1B09605D">
            <w:pPr>
              <w:adjustRightInd w:val="0"/>
              <w:jc w:val="center"/>
              <w:rPr>
                <w:bCs/>
                <w:sz w:val="22"/>
              </w:rPr>
            </w:pPr>
            <w:r>
              <w:rPr>
                <w:bCs/>
                <w:sz w:val="22"/>
              </w:rPr>
              <w:t>3</w:t>
            </w:r>
          </w:p>
        </w:tc>
        <w:tc>
          <w:tcPr>
            <w:tcW w:w="3871" w:type="dxa"/>
            <w:vAlign w:val="center"/>
          </w:tcPr>
          <w:p w14:paraId="51C28D86">
            <w:pPr>
              <w:adjustRightInd w:val="0"/>
              <w:jc w:val="center"/>
              <w:rPr>
                <w:bCs/>
                <w:sz w:val="22"/>
              </w:rPr>
            </w:pPr>
            <w:r>
              <w:rPr>
                <w:rFonts w:hint="eastAsia"/>
                <w:bCs/>
                <w:sz w:val="22"/>
              </w:rPr>
              <w:t>在泉域保护范围以及岩溶强发育、存在较多落水洞和岩溶漏斗的区域内，不得新建、改建、扩建可能造成地下水污染的建设项目。</w:t>
            </w:r>
          </w:p>
        </w:tc>
        <w:tc>
          <w:tcPr>
            <w:tcW w:w="2967" w:type="dxa"/>
            <w:vAlign w:val="center"/>
          </w:tcPr>
          <w:p w14:paraId="2FBC414C">
            <w:pPr>
              <w:adjustRightInd w:val="0"/>
              <w:jc w:val="center"/>
              <w:rPr>
                <w:bCs/>
                <w:sz w:val="22"/>
              </w:rPr>
            </w:pPr>
            <w:r>
              <w:rPr>
                <w:rFonts w:hint="eastAsia"/>
                <w:bCs/>
                <w:sz w:val="22"/>
              </w:rPr>
              <w:t>本项目不属于岩溶强发育、存在较多落水洞和岩溶漏斗的区域，根据现场调查，不位于泉域保护范围内。</w:t>
            </w:r>
          </w:p>
        </w:tc>
        <w:tc>
          <w:tcPr>
            <w:tcW w:w="965" w:type="dxa"/>
            <w:vAlign w:val="center"/>
          </w:tcPr>
          <w:p w14:paraId="6421BE80">
            <w:pPr>
              <w:adjustRightInd w:val="0"/>
              <w:jc w:val="center"/>
              <w:rPr>
                <w:bCs/>
                <w:sz w:val="22"/>
              </w:rPr>
            </w:pPr>
            <w:r>
              <w:rPr>
                <w:rFonts w:hint="eastAsia"/>
                <w:bCs/>
                <w:sz w:val="22"/>
              </w:rPr>
              <w:t>符合</w:t>
            </w:r>
          </w:p>
        </w:tc>
      </w:tr>
    </w:tbl>
    <w:p w14:paraId="00E4AEF4">
      <w:pPr>
        <w:pStyle w:val="1379"/>
        <w:ind w:firstLine="440"/>
      </w:pPr>
    </w:p>
    <w:p w14:paraId="60187C36">
      <w:pPr>
        <w:adjustRightInd w:val="0"/>
        <w:snapToGrid w:val="0"/>
        <w:spacing w:line="460" w:lineRule="exact"/>
        <w:ind w:firstLine="520" w:firstLineChars="200"/>
        <w:rPr>
          <w:sz w:val="26"/>
          <w:szCs w:val="26"/>
        </w:rPr>
      </w:pPr>
      <w:r>
        <w:rPr>
          <w:rFonts w:hint="eastAsia"/>
          <w:bCs/>
          <w:sz w:val="26"/>
          <w:szCs w:val="26"/>
        </w:rPr>
        <w:t>由上述分析可知，本项目建设符合《地下水管理条例》（</w:t>
      </w:r>
      <w:r>
        <w:rPr>
          <w:bCs/>
          <w:sz w:val="26"/>
          <w:szCs w:val="26"/>
        </w:rPr>
        <w:t>2021</w:t>
      </w:r>
      <w:r>
        <w:rPr>
          <w:rFonts w:hint="eastAsia"/>
          <w:bCs/>
          <w:sz w:val="26"/>
          <w:szCs w:val="26"/>
        </w:rPr>
        <w:t>年）中的相关要求，与该管理条例不相违背</w:t>
      </w:r>
      <w:r>
        <w:rPr>
          <w:rFonts w:hint="eastAsia"/>
          <w:sz w:val="26"/>
          <w:szCs w:val="26"/>
        </w:rPr>
        <w:t>。</w:t>
      </w:r>
    </w:p>
    <w:p w14:paraId="26621EF4">
      <w:pPr>
        <w:adjustRightInd w:val="0"/>
        <w:snapToGrid w:val="0"/>
        <w:spacing w:line="460" w:lineRule="exact"/>
        <w:ind w:firstLine="522" w:firstLineChars="200"/>
        <w:rPr>
          <w:b/>
          <w:sz w:val="26"/>
          <w:szCs w:val="26"/>
        </w:rPr>
      </w:pPr>
      <w:r>
        <w:rPr>
          <w:rFonts w:hint="eastAsia"/>
          <w:b/>
          <w:sz w:val="26"/>
          <w:szCs w:val="26"/>
        </w:rPr>
        <w:t>（6）与“碳排放”相关政策的符合性分析</w:t>
      </w:r>
    </w:p>
    <w:p w14:paraId="1D4A34D5">
      <w:pPr>
        <w:adjustRightInd w:val="0"/>
        <w:snapToGrid w:val="0"/>
        <w:spacing w:line="460" w:lineRule="exact"/>
        <w:ind w:firstLine="520" w:firstLineChars="200"/>
        <w:rPr>
          <w:sz w:val="26"/>
          <w:szCs w:val="26"/>
        </w:rPr>
      </w:pPr>
      <w:r>
        <w:rPr>
          <w:rFonts w:hint="eastAsia"/>
          <w:sz w:val="26"/>
          <w:szCs w:val="26"/>
        </w:rPr>
        <w:t>本项目与“碳排放”相关政策文件符合性分析见下表。</w:t>
      </w:r>
    </w:p>
    <w:p w14:paraId="42D9A014">
      <w:pPr>
        <w:pStyle w:val="1066"/>
        <w:ind w:firstLine="520"/>
      </w:pPr>
    </w:p>
    <w:p w14:paraId="31DEEACB">
      <w:pPr>
        <w:pStyle w:val="1065"/>
      </w:pPr>
      <w:r>
        <w:t>1.7-5</w:t>
      </w:r>
      <w:r>
        <w:rPr>
          <w:rFonts w:hint="eastAsia"/>
        </w:rPr>
        <w:t xml:space="preserve"> </w:t>
      </w:r>
      <w:r>
        <w:t xml:space="preserve"> </w:t>
      </w:r>
      <w:r>
        <w:rPr>
          <w:rFonts w:hint="eastAsia"/>
        </w:rPr>
        <w:t xml:space="preserve"> 项目与“碳排放”相关文件的符合性分析表</w:t>
      </w:r>
    </w:p>
    <w:tbl>
      <w:tblPr>
        <w:tblStyle w:val="88"/>
        <w:tblW w:w="8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86"/>
        <w:gridCol w:w="4551"/>
        <w:gridCol w:w="2012"/>
        <w:gridCol w:w="850"/>
      </w:tblGrid>
      <w:tr w14:paraId="6EC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86" w:type="dxa"/>
            <w:vAlign w:val="center"/>
          </w:tcPr>
          <w:p w14:paraId="4FE24B2E">
            <w:r>
              <w:rPr>
                <w:rFonts w:hint="eastAsia"/>
              </w:rPr>
              <w:t>政策文件</w:t>
            </w:r>
          </w:p>
        </w:tc>
        <w:tc>
          <w:tcPr>
            <w:tcW w:w="4551" w:type="dxa"/>
            <w:vAlign w:val="center"/>
          </w:tcPr>
          <w:p w14:paraId="376B10F5">
            <w:r>
              <w:rPr>
                <w:rFonts w:hint="eastAsia"/>
              </w:rPr>
              <w:t>文件要求</w:t>
            </w:r>
          </w:p>
        </w:tc>
        <w:tc>
          <w:tcPr>
            <w:tcW w:w="2012" w:type="dxa"/>
            <w:vAlign w:val="center"/>
          </w:tcPr>
          <w:p w14:paraId="21765A67">
            <w:r>
              <w:rPr>
                <w:rFonts w:hint="eastAsia"/>
              </w:rPr>
              <w:t>拟建项目内容</w:t>
            </w:r>
          </w:p>
        </w:tc>
        <w:tc>
          <w:tcPr>
            <w:tcW w:w="850" w:type="dxa"/>
            <w:vAlign w:val="center"/>
          </w:tcPr>
          <w:p w14:paraId="5476DB43">
            <w:r>
              <w:rPr>
                <w:rFonts w:hint="eastAsia"/>
              </w:rPr>
              <w:t>符合性</w:t>
            </w:r>
          </w:p>
        </w:tc>
      </w:tr>
      <w:tr w14:paraId="73DD5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86" w:type="dxa"/>
            <w:vAlign w:val="center"/>
          </w:tcPr>
          <w:p w14:paraId="4F8AEE61">
            <w:r>
              <w:rPr>
                <w:rFonts w:hint="eastAsia"/>
              </w:rPr>
              <w:t>《加快构建碳排放双控制度体系工作方案》（国办发〔2024〕39号）</w:t>
            </w:r>
          </w:p>
        </w:tc>
        <w:tc>
          <w:tcPr>
            <w:tcW w:w="4551" w:type="dxa"/>
            <w:vAlign w:val="center"/>
          </w:tcPr>
          <w:p w14:paraId="1FE7ED76">
            <w:r>
              <w:rPr>
                <w:rFonts w:hint="eastAsia"/>
              </w:rPr>
              <w:t>六、开展固定资产投资项目碳排放评价（十二）完善建设项目环境影响评价制度。将温室气体排放管控纳入环境影响评价，对建设项目温室气体排放量和排放水平进行预测和评价，在电力、钢铁、建材、有色、石化、化工等重点行业开展温室气体排放环境影响评价，强化减污降碳协同控制。制定重点行业建设项目温室气体排放环境影响评价技术规范，健全环境影响评价技术体系</w:t>
            </w:r>
          </w:p>
        </w:tc>
        <w:tc>
          <w:tcPr>
            <w:tcW w:w="2012" w:type="dxa"/>
            <w:vAlign w:val="center"/>
          </w:tcPr>
          <w:p w14:paraId="1F8D82C3">
            <w:r>
              <w:rPr>
                <w:rFonts w:hint="eastAsia"/>
              </w:rPr>
              <w:t>本项目已将温室气体排放管控纳入本次评价，并对项目温室气体排放量和排放水平进行预测和评价，项目不属于上述重点行业。</w:t>
            </w:r>
          </w:p>
        </w:tc>
        <w:tc>
          <w:tcPr>
            <w:tcW w:w="850" w:type="dxa"/>
            <w:vAlign w:val="center"/>
          </w:tcPr>
          <w:p w14:paraId="12DE43D7">
            <w:r>
              <w:rPr>
                <w:rFonts w:hint="eastAsia"/>
              </w:rPr>
              <w:t>符合</w:t>
            </w:r>
          </w:p>
        </w:tc>
      </w:tr>
      <w:tr w14:paraId="67F7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86" w:type="dxa"/>
            <w:vAlign w:val="center"/>
          </w:tcPr>
          <w:p w14:paraId="0C586865">
            <w:r>
              <w:rPr>
                <w:rFonts w:hint="eastAsia"/>
              </w:rPr>
              <w:t>《2024—2025节能降碳行动方案》（国发〔2024〕12号）</w:t>
            </w:r>
          </w:p>
        </w:tc>
        <w:tc>
          <w:tcPr>
            <w:tcW w:w="4551" w:type="dxa"/>
            <w:vAlign w:val="center"/>
          </w:tcPr>
          <w:p w14:paraId="36A9B326">
            <w:r>
              <w:rPr>
                <w:rFonts w:hint="eastAsia"/>
              </w:rPr>
              <w:t>二、重点任务2.优化油气消费结构。合理调控石油消费，推广先进生物液体燃料、可持续航空燃料。加快页岩油（气）、煤层气、致密油（气）等非常规油气资源规模化开发。有序引导天然气消费，优先保障居民生活和北方地区清洁取暖。除石化企业现有自备机组外，不得采用高硫石油焦作为燃料</w:t>
            </w:r>
          </w:p>
        </w:tc>
        <w:tc>
          <w:tcPr>
            <w:tcW w:w="2012" w:type="dxa"/>
            <w:vAlign w:val="center"/>
          </w:tcPr>
          <w:p w14:paraId="274A8515">
            <w:r>
              <w:rPr>
                <w:rFonts w:hint="eastAsia"/>
              </w:rPr>
              <w:t>本项目属于天然气试采工程，项目符合《2024-2025节能降碳行动方案》（国发〔2024〕12号）</w:t>
            </w:r>
          </w:p>
        </w:tc>
        <w:tc>
          <w:tcPr>
            <w:tcW w:w="850" w:type="dxa"/>
            <w:vAlign w:val="center"/>
          </w:tcPr>
          <w:p w14:paraId="70E04D05">
            <w:r>
              <w:rPr>
                <w:rFonts w:hint="eastAsia"/>
              </w:rPr>
              <w:t>符合</w:t>
            </w:r>
          </w:p>
        </w:tc>
      </w:tr>
      <w:tr w14:paraId="43B9D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86" w:type="dxa"/>
            <w:vAlign w:val="center"/>
          </w:tcPr>
          <w:p w14:paraId="223D4C20">
            <w:r>
              <w:rPr>
                <w:rFonts w:hint="eastAsia"/>
              </w:rPr>
              <w:t>《四川省减污降碳协同增效行动方案》（川环发〔2023〕15号）</w:t>
            </w:r>
          </w:p>
        </w:tc>
        <w:tc>
          <w:tcPr>
            <w:tcW w:w="4551" w:type="dxa"/>
            <w:vAlign w:val="center"/>
          </w:tcPr>
          <w:p w14:paraId="249E249E">
            <w:r>
              <w:rPr>
                <w:rFonts w:hint="eastAsia"/>
              </w:rPr>
              <w:t>（四）实施生态环境准入管理。坚决遏制高耗能、高排放、低水平项目盲目发展，高耗能、高排放项目审批要严格落实国家产业规划、产业政策、生态环境分区管控、环评审批、取水许可审批、节能审查及污染物区域削减替代等要求，采取先进适用的工艺技术和装备，提升高耗能项目能耗准入标准，能耗、物耗、水耗要达到清洁生产先进水平。严格落实环评区域限批政策，推动开展重点行业建设项目碳排放环境影响评价，鼓励天然气（页岩气）等重点行业企业自主开展碳排放影响评价。持续加强产业集群环境治理，明确产业布局和发展方向，高起点设定项目准入类别，引导产业向“专精特新”转型。严格落实国家产业结构调整指导目录，依法依规推动落后产能、落后工艺和落后产品退出。落实生态环境影响相关评价方法和准入要求，建立绿色低碳优势产业重点项目环评审批清单，助推清洁能源生产、支撑和应用产业发展。到2025年，绿色低碳优势产业体系基本形成</w:t>
            </w:r>
          </w:p>
        </w:tc>
        <w:tc>
          <w:tcPr>
            <w:tcW w:w="2012" w:type="dxa"/>
            <w:vAlign w:val="center"/>
          </w:tcPr>
          <w:p w14:paraId="61EF95B1">
            <w:r>
              <w:rPr>
                <w:rFonts w:hint="eastAsia"/>
              </w:rPr>
              <w:t>项目已将碳排放纳入本次评价，并对项目温室气体排放量和排放水平进行预测和评价。</w:t>
            </w:r>
          </w:p>
        </w:tc>
        <w:tc>
          <w:tcPr>
            <w:tcW w:w="850" w:type="dxa"/>
            <w:vAlign w:val="center"/>
          </w:tcPr>
          <w:p w14:paraId="3F4E8E67">
            <w:r>
              <w:rPr>
                <w:rFonts w:hint="eastAsia"/>
              </w:rPr>
              <w:t>符合</w:t>
            </w:r>
          </w:p>
        </w:tc>
      </w:tr>
    </w:tbl>
    <w:p w14:paraId="4C5ABCC9">
      <w:pPr>
        <w:pStyle w:val="1379"/>
        <w:ind w:firstLine="440"/>
      </w:pPr>
    </w:p>
    <w:p w14:paraId="50095531">
      <w:pPr>
        <w:adjustRightInd w:val="0"/>
        <w:snapToGrid w:val="0"/>
        <w:spacing w:line="460" w:lineRule="exact"/>
        <w:ind w:firstLine="520" w:firstLineChars="200"/>
        <w:rPr>
          <w:sz w:val="26"/>
          <w:szCs w:val="26"/>
        </w:rPr>
      </w:pPr>
      <w:r>
        <w:rPr>
          <w:rFonts w:hint="eastAsia"/>
          <w:sz w:val="26"/>
          <w:szCs w:val="26"/>
        </w:rPr>
        <w:t>综上，本项目符合《加快构建碳排放双控制度体系工作方案》（国办发〔2024〕39号）、《2024—2025节能降碳行动方案》（国发〔2024〕12号）、《四川省减污降碳协同增效行动方案》（川环发〔2023〕15号）等“碳排放”政策要求。</w:t>
      </w:r>
    </w:p>
    <w:p w14:paraId="11162167">
      <w:pPr>
        <w:adjustRightInd w:val="0"/>
        <w:snapToGrid w:val="0"/>
        <w:spacing w:line="460" w:lineRule="exact"/>
        <w:ind w:firstLine="522" w:firstLineChars="200"/>
        <w:rPr>
          <w:b/>
          <w:sz w:val="26"/>
          <w:szCs w:val="26"/>
        </w:rPr>
      </w:pPr>
      <w:r>
        <w:rPr>
          <w:rFonts w:hint="eastAsia"/>
          <w:b/>
          <w:sz w:val="26"/>
          <w:szCs w:val="26"/>
        </w:rPr>
        <w:t>（</w:t>
      </w:r>
      <w:r>
        <w:rPr>
          <w:b/>
          <w:sz w:val="26"/>
          <w:szCs w:val="26"/>
        </w:rPr>
        <w:t>7</w:t>
      </w:r>
      <w:r>
        <w:rPr>
          <w:rFonts w:hint="eastAsia"/>
          <w:b/>
          <w:sz w:val="26"/>
          <w:szCs w:val="26"/>
        </w:rPr>
        <w:t>）</w:t>
      </w:r>
      <w:r>
        <w:rPr>
          <w:b/>
          <w:sz w:val="26"/>
          <w:szCs w:val="26"/>
        </w:rPr>
        <w:t>与《甲烷排放控制行动方案》符合性分析</w:t>
      </w:r>
    </w:p>
    <w:p w14:paraId="190C35C7">
      <w:pPr>
        <w:adjustRightInd w:val="0"/>
        <w:snapToGrid w:val="0"/>
        <w:spacing w:line="460" w:lineRule="exact"/>
        <w:ind w:firstLine="520" w:firstLineChars="200"/>
        <w:rPr>
          <w:sz w:val="26"/>
          <w:szCs w:val="26"/>
        </w:rPr>
      </w:pPr>
      <w:r>
        <w:rPr>
          <w:rFonts w:hint="eastAsia"/>
          <w:sz w:val="26"/>
          <w:szCs w:val="26"/>
        </w:rPr>
        <w:t>根据生态环境部等11部门关于印发《甲烷排放控制行动方案》的通知，</w:t>
      </w:r>
      <w:r>
        <w:rPr>
          <w:sz w:val="26"/>
          <w:szCs w:val="26"/>
        </w:rPr>
        <w:t>本项目与</w:t>
      </w:r>
      <w:r>
        <w:rPr>
          <w:rFonts w:hint="eastAsia"/>
          <w:sz w:val="26"/>
          <w:szCs w:val="26"/>
        </w:rPr>
        <w:t>其</w:t>
      </w:r>
      <w:r>
        <w:rPr>
          <w:sz w:val="26"/>
          <w:szCs w:val="26"/>
        </w:rPr>
        <w:t>符合性分析如下表所示。</w:t>
      </w:r>
    </w:p>
    <w:p w14:paraId="0477C01B">
      <w:pPr>
        <w:pStyle w:val="1066"/>
        <w:ind w:firstLine="520"/>
      </w:pPr>
    </w:p>
    <w:p w14:paraId="011170C1">
      <w:pPr>
        <w:adjustRightInd w:val="0"/>
        <w:snapToGrid w:val="0"/>
        <w:spacing w:line="460" w:lineRule="exact"/>
        <w:ind w:firstLine="520" w:firstLineChars="200"/>
        <w:jc w:val="center"/>
        <w:rPr>
          <w:sz w:val="26"/>
          <w:szCs w:val="26"/>
        </w:rPr>
      </w:pPr>
      <w:r>
        <w:rPr>
          <w:sz w:val="26"/>
          <w:szCs w:val="26"/>
        </w:rPr>
        <w:t>表1.7-6  与《甲烷排放控制行动方案》符合性分析表</w:t>
      </w:r>
    </w:p>
    <w:tbl>
      <w:tblPr>
        <w:tblStyle w:val="89"/>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5"/>
        <w:gridCol w:w="2763"/>
        <w:gridCol w:w="1120"/>
      </w:tblGrid>
      <w:tr w14:paraId="6B49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95" w:type="dxa"/>
            <w:vAlign w:val="center"/>
          </w:tcPr>
          <w:p w14:paraId="151F3E49">
            <w:pPr>
              <w:adjustRightInd w:val="0"/>
              <w:snapToGrid w:val="0"/>
              <w:ind w:firstLine="220"/>
              <w:jc w:val="center"/>
              <w:rPr>
                <w:sz w:val="22"/>
                <w:szCs w:val="22"/>
              </w:rPr>
            </w:pPr>
            <w:r>
              <w:rPr>
                <w:sz w:val="22"/>
                <w:szCs w:val="22"/>
              </w:rPr>
              <w:t>文件要求</w:t>
            </w:r>
          </w:p>
        </w:tc>
        <w:tc>
          <w:tcPr>
            <w:tcW w:w="2763" w:type="dxa"/>
            <w:vAlign w:val="center"/>
          </w:tcPr>
          <w:p w14:paraId="6AA52367">
            <w:pPr>
              <w:adjustRightInd w:val="0"/>
              <w:snapToGrid w:val="0"/>
              <w:ind w:firstLine="220"/>
              <w:jc w:val="center"/>
              <w:rPr>
                <w:sz w:val="22"/>
                <w:szCs w:val="22"/>
              </w:rPr>
            </w:pPr>
            <w:r>
              <w:rPr>
                <w:sz w:val="22"/>
                <w:szCs w:val="22"/>
              </w:rPr>
              <w:t>拟建项目情况</w:t>
            </w:r>
          </w:p>
        </w:tc>
        <w:tc>
          <w:tcPr>
            <w:tcW w:w="1120" w:type="dxa"/>
            <w:vAlign w:val="center"/>
          </w:tcPr>
          <w:p w14:paraId="5C4C0430">
            <w:pPr>
              <w:adjustRightInd w:val="0"/>
              <w:snapToGrid w:val="0"/>
              <w:ind w:firstLine="220"/>
              <w:jc w:val="center"/>
              <w:rPr>
                <w:sz w:val="22"/>
                <w:szCs w:val="22"/>
              </w:rPr>
            </w:pPr>
            <w:r>
              <w:rPr>
                <w:sz w:val="22"/>
                <w:szCs w:val="22"/>
              </w:rPr>
              <w:t>符合性</w:t>
            </w:r>
          </w:p>
        </w:tc>
      </w:tr>
      <w:tr w14:paraId="52B3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95" w:type="dxa"/>
            <w:vAlign w:val="center"/>
          </w:tcPr>
          <w:p w14:paraId="025EC206">
            <w:pPr>
              <w:adjustRightInd w:val="0"/>
              <w:snapToGrid w:val="0"/>
              <w:ind w:firstLine="220"/>
              <w:jc w:val="center"/>
              <w:rPr>
                <w:sz w:val="22"/>
                <w:szCs w:val="22"/>
              </w:rPr>
            </w:pPr>
            <w:r>
              <w:rPr>
                <w:sz w:val="22"/>
                <w:szCs w:val="22"/>
              </w:rPr>
              <w:t>石油天然气开采行业力争逐步实现陆上油气开采零常规火炬。</w:t>
            </w:r>
          </w:p>
        </w:tc>
        <w:tc>
          <w:tcPr>
            <w:tcW w:w="2763" w:type="dxa"/>
            <w:vMerge w:val="restart"/>
            <w:vAlign w:val="center"/>
          </w:tcPr>
          <w:p w14:paraId="08460AAB">
            <w:pPr>
              <w:adjustRightInd w:val="0"/>
              <w:snapToGrid w:val="0"/>
              <w:ind w:firstLine="220"/>
              <w:jc w:val="center"/>
              <w:rPr>
                <w:sz w:val="22"/>
                <w:szCs w:val="22"/>
              </w:rPr>
            </w:pPr>
            <w:r>
              <w:rPr>
                <w:sz w:val="22"/>
                <w:szCs w:val="22"/>
              </w:rPr>
              <w:t>本项目放空废气通过高15m放空管燃烧后排放</w:t>
            </w:r>
            <w:r>
              <w:rPr>
                <w:rFonts w:hint="eastAsia"/>
                <w:sz w:val="22"/>
                <w:szCs w:val="22"/>
              </w:rPr>
              <w:t>，减少甲烷的排放</w:t>
            </w:r>
            <w:r>
              <w:rPr>
                <w:sz w:val="22"/>
                <w:szCs w:val="22"/>
              </w:rPr>
              <w:t>。</w:t>
            </w:r>
          </w:p>
        </w:tc>
        <w:tc>
          <w:tcPr>
            <w:tcW w:w="1120" w:type="dxa"/>
            <w:vMerge w:val="restart"/>
            <w:vAlign w:val="center"/>
          </w:tcPr>
          <w:p w14:paraId="0213F53B">
            <w:pPr>
              <w:adjustRightInd w:val="0"/>
              <w:snapToGrid w:val="0"/>
              <w:ind w:firstLine="220"/>
              <w:jc w:val="center"/>
              <w:rPr>
                <w:sz w:val="22"/>
                <w:szCs w:val="22"/>
              </w:rPr>
            </w:pPr>
            <w:r>
              <w:rPr>
                <w:sz w:val="22"/>
                <w:szCs w:val="22"/>
              </w:rPr>
              <w:t>符合</w:t>
            </w:r>
          </w:p>
        </w:tc>
      </w:tr>
      <w:tr w14:paraId="2D79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795" w:type="dxa"/>
            <w:vAlign w:val="center"/>
          </w:tcPr>
          <w:p w14:paraId="4A0B61DD">
            <w:pPr>
              <w:adjustRightInd w:val="0"/>
              <w:snapToGrid w:val="0"/>
              <w:ind w:firstLine="220"/>
              <w:jc w:val="center"/>
              <w:rPr>
                <w:sz w:val="22"/>
                <w:szCs w:val="22"/>
              </w:rPr>
            </w:pPr>
            <w:r>
              <w:rPr>
                <w:sz w:val="22"/>
                <w:szCs w:val="22"/>
              </w:rPr>
              <w:t>促进油气田放空甲烷排放管控，鼓励企业因地制宜开展伴生气与放空气回收利用，不能回收或难以回收的，应经燃烧后放空。</w:t>
            </w:r>
          </w:p>
        </w:tc>
        <w:tc>
          <w:tcPr>
            <w:tcW w:w="2763" w:type="dxa"/>
            <w:vMerge w:val="continue"/>
            <w:vAlign w:val="center"/>
          </w:tcPr>
          <w:p w14:paraId="31B644C9">
            <w:pPr>
              <w:adjustRightInd w:val="0"/>
              <w:snapToGrid w:val="0"/>
              <w:ind w:firstLine="220"/>
              <w:jc w:val="center"/>
              <w:rPr>
                <w:sz w:val="22"/>
                <w:szCs w:val="22"/>
              </w:rPr>
            </w:pPr>
          </w:p>
        </w:tc>
        <w:tc>
          <w:tcPr>
            <w:tcW w:w="1120" w:type="dxa"/>
            <w:vMerge w:val="continue"/>
            <w:vAlign w:val="center"/>
          </w:tcPr>
          <w:p w14:paraId="3879A345">
            <w:pPr>
              <w:adjustRightInd w:val="0"/>
              <w:snapToGrid w:val="0"/>
              <w:ind w:firstLine="220"/>
              <w:jc w:val="center"/>
              <w:rPr>
                <w:sz w:val="22"/>
                <w:szCs w:val="22"/>
              </w:rPr>
            </w:pPr>
          </w:p>
        </w:tc>
      </w:tr>
    </w:tbl>
    <w:p w14:paraId="22EABF9B">
      <w:pPr>
        <w:pStyle w:val="1066"/>
        <w:ind w:firstLine="520"/>
        <w:rPr>
          <w:rFonts w:cs="Times New Roman"/>
        </w:rPr>
      </w:pPr>
    </w:p>
    <w:p w14:paraId="22C561F2">
      <w:pPr>
        <w:pStyle w:val="1381"/>
        <w:ind w:firstLine="520"/>
      </w:pPr>
      <w:r>
        <w:rPr>
          <w:rFonts w:hint="eastAsia"/>
        </w:rPr>
        <w:t>综上所述，本项目的实施符合《甲烷排放控制行动方案》。</w:t>
      </w:r>
    </w:p>
    <w:p w14:paraId="094B4314">
      <w:pPr>
        <w:pStyle w:val="702"/>
        <w:ind w:firstLine="522"/>
        <w:outlineLvl w:val="2"/>
        <w:rPr>
          <w:rFonts w:cs="Times New Roman"/>
          <w:b/>
        </w:rPr>
      </w:pPr>
      <w:bookmarkStart w:id="101" w:name="_Toc165810471"/>
      <w:r>
        <w:rPr>
          <w:rFonts w:cs="Times New Roman"/>
          <w:b/>
        </w:rPr>
        <w:t xml:space="preserve">1.7.2 </w:t>
      </w:r>
      <w:r>
        <w:rPr>
          <w:rFonts w:hint="eastAsia" w:cs="Times New Roman"/>
          <w:b/>
        </w:rPr>
        <w:t>与相关规划符合性分析</w:t>
      </w:r>
      <w:bookmarkEnd w:id="101"/>
    </w:p>
    <w:p w14:paraId="275918A7">
      <w:pPr>
        <w:pStyle w:val="702"/>
        <w:ind w:firstLine="522"/>
        <w:rPr>
          <w:rFonts w:cs="Times New Roman"/>
          <w:b/>
        </w:rPr>
      </w:pPr>
      <w:r>
        <w:rPr>
          <w:rFonts w:hint="eastAsia" w:cs="Times New Roman"/>
          <w:b/>
        </w:rPr>
        <w:t>（1）与能源发展规划及矿产资源规划符合性分析</w:t>
      </w:r>
    </w:p>
    <w:p w14:paraId="201395F6">
      <w:pPr>
        <w:adjustRightInd w:val="0"/>
        <w:snapToGrid w:val="0"/>
        <w:spacing w:line="460" w:lineRule="exact"/>
        <w:ind w:firstLine="522" w:firstLineChars="200"/>
        <w:rPr>
          <w:rFonts w:ascii="宋体" w:hAnsi="宋体" w:cs="宋体"/>
          <w:b/>
          <w:bCs/>
          <w:sz w:val="26"/>
          <w:szCs w:val="26"/>
        </w:rPr>
      </w:pPr>
      <w:r>
        <w:rPr>
          <w:rFonts w:hint="eastAsia" w:ascii="宋体" w:hAnsi="宋体" w:cs="宋体"/>
          <w:b/>
          <w:bCs/>
          <w:sz w:val="26"/>
          <w:szCs w:val="26"/>
        </w:rPr>
        <w:t>①与《国家发展改革委关于印发“十四五”现代能源体系规划》（发改能源〔2022〕210号）符合性分析</w:t>
      </w:r>
    </w:p>
    <w:p w14:paraId="2A6CC94C">
      <w:pPr>
        <w:adjustRightInd w:val="0"/>
        <w:snapToGrid w:val="0"/>
        <w:spacing w:line="460" w:lineRule="exact"/>
        <w:ind w:firstLine="520" w:firstLineChars="200"/>
        <w:rPr>
          <w:rFonts w:ascii="宋体" w:hAnsi="宋体" w:cs="宋体"/>
          <w:sz w:val="26"/>
          <w:szCs w:val="26"/>
        </w:rPr>
      </w:pPr>
      <w:r>
        <w:rPr>
          <w:rFonts w:hint="eastAsia" w:ascii="宋体" w:hAnsi="宋体" w:cs="宋体"/>
          <w:sz w:val="26"/>
          <w:szCs w:val="26"/>
        </w:rPr>
        <w:t>根据《</w:t>
      </w:r>
      <w:bookmarkStart w:id="102" w:name="_Hlk106741414"/>
      <w:r>
        <w:rPr>
          <w:rFonts w:hint="eastAsia" w:ascii="宋体" w:hAnsi="宋体" w:cs="宋体"/>
          <w:sz w:val="26"/>
          <w:szCs w:val="26"/>
        </w:rPr>
        <w:t>国家发展改革委关于印发“十四五”现代能源体系规划》</w:t>
      </w:r>
      <w:bookmarkEnd w:id="102"/>
      <w:r>
        <w:rPr>
          <w:rFonts w:hint="eastAsia" w:ascii="宋体" w:hAnsi="宋体" w:cs="宋体"/>
          <w:sz w:val="26"/>
          <w:szCs w:val="26"/>
        </w:rPr>
        <w:t>中提及“十四五”时期现代能源体系建设的主要目标是——</w:t>
      </w:r>
      <w:r>
        <w:rPr>
          <w:rFonts w:hint="eastAsia" w:ascii="宋体" w:hAnsi="宋体" w:cs="宋体"/>
          <w:b/>
          <w:bCs/>
          <w:sz w:val="26"/>
          <w:szCs w:val="26"/>
        </w:rPr>
        <w:t>能源保障更加安全有力。</w:t>
      </w:r>
      <w:r>
        <w:rPr>
          <w:rFonts w:hint="eastAsia" w:ascii="宋体" w:hAnsi="宋体" w:cs="宋体"/>
          <w:sz w:val="26"/>
          <w:szCs w:val="26"/>
        </w:rPr>
        <w:t>到2025年，国内能源年综合生产能力达到46亿吨标准煤以上，原油年产量回升并稳定在2亿吨水平，天然气年产量达到2300亿立方米以上，发电装机总容量达到约30亿千瓦，能源储备体系更加完善，能源自主供给能力进一步增强。重点城市、核心区域、重要用户电力应急安全保障能力明显提升。</w:t>
      </w:r>
    </w:p>
    <w:p w14:paraId="2A7334AA">
      <w:pPr>
        <w:adjustRightInd w:val="0"/>
        <w:snapToGrid w:val="0"/>
        <w:spacing w:line="460" w:lineRule="exact"/>
        <w:ind w:firstLine="520" w:firstLineChars="200"/>
        <w:rPr>
          <w:rFonts w:ascii="宋体" w:hAnsi="宋体" w:cs="宋体"/>
          <w:sz w:val="26"/>
          <w:szCs w:val="26"/>
        </w:rPr>
      </w:pPr>
      <w:r>
        <w:rPr>
          <w:rFonts w:hint="eastAsia"/>
          <w:bCs/>
          <w:sz w:val="26"/>
          <w:szCs w:val="26"/>
        </w:rPr>
        <w:t>本项目为天然气试采工程</w:t>
      </w:r>
      <w:r>
        <w:rPr>
          <w:rFonts w:hint="eastAsia" w:ascii="宋体" w:hAnsi="宋体" w:cs="宋体"/>
          <w:sz w:val="26"/>
          <w:szCs w:val="26"/>
        </w:rPr>
        <w:t>，项目的实施有利于巴中2HF井和巴页2</w:t>
      </w:r>
      <w:r>
        <w:rPr>
          <w:rFonts w:ascii="宋体" w:hAnsi="宋体" w:cs="宋体"/>
          <w:sz w:val="26"/>
          <w:szCs w:val="26"/>
        </w:rPr>
        <w:t>HF</w:t>
      </w:r>
      <w:r>
        <w:rPr>
          <w:rFonts w:hint="eastAsia" w:ascii="宋体" w:hAnsi="宋体" w:cs="宋体"/>
          <w:sz w:val="26"/>
          <w:szCs w:val="26"/>
        </w:rPr>
        <w:t>井产能的释放，符合《国家发展改革委关于印发“十四五”现代能源体系规划》。</w:t>
      </w:r>
    </w:p>
    <w:p w14:paraId="20B81F3F">
      <w:pPr>
        <w:adjustRightInd w:val="0"/>
        <w:snapToGrid w:val="0"/>
        <w:spacing w:line="460" w:lineRule="exact"/>
        <w:ind w:firstLine="522" w:firstLineChars="200"/>
        <w:rPr>
          <w:b/>
          <w:bCs/>
          <w:sz w:val="26"/>
          <w:szCs w:val="26"/>
        </w:rPr>
      </w:pPr>
      <w:r>
        <w:rPr>
          <w:rFonts w:hint="eastAsia" w:ascii="宋体" w:hAnsi="宋体" w:cs="宋体"/>
          <w:b/>
          <w:bCs/>
          <w:sz w:val="26"/>
          <w:szCs w:val="26"/>
        </w:rPr>
        <w:t>②</w:t>
      </w:r>
      <w:r>
        <w:rPr>
          <w:b/>
          <w:bCs/>
          <w:sz w:val="26"/>
          <w:szCs w:val="26"/>
        </w:rPr>
        <w:t>与《四川省“十四五”规划和2035年远景目标纲要》符合性分析</w:t>
      </w:r>
    </w:p>
    <w:p w14:paraId="52938449">
      <w:pPr>
        <w:adjustRightInd w:val="0"/>
        <w:snapToGrid w:val="0"/>
        <w:spacing w:line="460" w:lineRule="exact"/>
        <w:ind w:firstLine="520" w:firstLineChars="200"/>
        <w:rPr>
          <w:bCs/>
          <w:sz w:val="26"/>
          <w:szCs w:val="26"/>
        </w:rPr>
      </w:pPr>
      <w:r>
        <w:rPr>
          <w:bCs/>
          <w:sz w:val="26"/>
          <w:szCs w:val="26"/>
        </w:rPr>
        <w:t>根据《四川省“十四五”规划和2035年远景目标纲要》，实施中国“气大庆”建设行动，加强天然气产供储销体系建设，建成全国最大天然气（页岩气）生产基地，天然气年产量力争达到630亿立方米。大力推进天然气（页岩气）勘探开发，完善资源开发利益共享机制，加快增储上产，重点实施</w:t>
      </w:r>
      <w:r>
        <w:rPr>
          <w:sz w:val="26"/>
          <w:szCs w:val="26"/>
        </w:rPr>
        <w:t>川中安岳</w:t>
      </w:r>
      <w:r>
        <w:rPr>
          <w:bCs/>
          <w:sz w:val="26"/>
          <w:szCs w:val="26"/>
        </w:rPr>
        <w:t>、川东北高含硫、川西致密气等气田滚动开发，加快川南长宁、</w:t>
      </w:r>
      <w:r>
        <w:rPr>
          <w:sz w:val="26"/>
          <w:szCs w:val="26"/>
        </w:rPr>
        <w:t>威远</w:t>
      </w:r>
      <w:r>
        <w:rPr>
          <w:bCs/>
          <w:sz w:val="26"/>
          <w:szCs w:val="26"/>
        </w:rPr>
        <w:t>、</w:t>
      </w:r>
      <w:r>
        <w:rPr>
          <w:sz w:val="26"/>
          <w:szCs w:val="26"/>
        </w:rPr>
        <w:t>泸州</w:t>
      </w:r>
      <w:r>
        <w:rPr>
          <w:bCs/>
          <w:sz w:val="26"/>
          <w:szCs w:val="26"/>
        </w:rPr>
        <w:t>等区块页岩气产能建设。优化城乡天然气输配网络，加快重点区域天然气长输管道建设，延伸和完善天然气支线管道，天然气管道达到2.25万公里以上，年输配能力达700亿立方米。</w:t>
      </w:r>
    </w:p>
    <w:p w14:paraId="0046BA8B">
      <w:pPr>
        <w:adjustRightInd w:val="0"/>
        <w:snapToGrid w:val="0"/>
        <w:spacing w:line="460" w:lineRule="exact"/>
        <w:ind w:firstLine="520" w:firstLineChars="200"/>
        <w:rPr>
          <w:sz w:val="26"/>
          <w:szCs w:val="26"/>
        </w:rPr>
      </w:pPr>
      <w:r>
        <w:rPr>
          <w:rFonts w:hint="eastAsia"/>
          <w:bCs/>
          <w:sz w:val="26"/>
          <w:szCs w:val="26"/>
        </w:rPr>
        <w:t>本项目为天然气试采工程</w:t>
      </w:r>
      <w:r>
        <w:rPr>
          <w:bCs/>
          <w:sz w:val="26"/>
          <w:szCs w:val="26"/>
        </w:rPr>
        <w:t>，位于四川省</w:t>
      </w:r>
      <w:r>
        <w:rPr>
          <w:rFonts w:hint="eastAsia"/>
          <w:bCs/>
          <w:sz w:val="26"/>
          <w:szCs w:val="26"/>
        </w:rPr>
        <w:t>巴中市</w:t>
      </w:r>
      <w:r>
        <w:rPr>
          <w:bCs/>
          <w:sz w:val="26"/>
          <w:szCs w:val="26"/>
        </w:rPr>
        <w:t>，</w:t>
      </w:r>
      <w:r>
        <w:rPr>
          <w:rFonts w:hint="eastAsia"/>
          <w:bCs/>
          <w:sz w:val="26"/>
          <w:szCs w:val="26"/>
        </w:rPr>
        <w:t>项目的实施有利于巴中2HF井</w:t>
      </w:r>
      <w:r>
        <w:rPr>
          <w:rFonts w:hint="eastAsia" w:ascii="宋体" w:hAnsi="宋体" w:cs="宋体"/>
          <w:sz w:val="26"/>
          <w:szCs w:val="26"/>
        </w:rPr>
        <w:t>和巴页2</w:t>
      </w:r>
      <w:r>
        <w:rPr>
          <w:rFonts w:ascii="宋体" w:hAnsi="宋体" w:cs="宋体"/>
          <w:sz w:val="26"/>
          <w:szCs w:val="26"/>
        </w:rPr>
        <w:t>HF</w:t>
      </w:r>
      <w:r>
        <w:rPr>
          <w:rFonts w:hint="eastAsia" w:ascii="宋体" w:hAnsi="宋体" w:cs="宋体"/>
          <w:sz w:val="26"/>
          <w:szCs w:val="26"/>
        </w:rPr>
        <w:t>井</w:t>
      </w:r>
      <w:r>
        <w:rPr>
          <w:rFonts w:hint="eastAsia"/>
          <w:bCs/>
          <w:sz w:val="26"/>
          <w:szCs w:val="26"/>
        </w:rPr>
        <w:t>产能的释放，</w:t>
      </w:r>
      <w:r>
        <w:rPr>
          <w:bCs/>
          <w:sz w:val="26"/>
          <w:szCs w:val="26"/>
        </w:rPr>
        <w:t>符合《四川省“十四五”规划和2035年远景目标纲要》要求。</w:t>
      </w:r>
    </w:p>
    <w:p w14:paraId="346F07B1">
      <w:pPr>
        <w:adjustRightInd w:val="0"/>
        <w:snapToGrid w:val="0"/>
        <w:spacing w:line="480" w:lineRule="exact"/>
        <w:ind w:firstLine="520" w:firstLineChars="200"/>
        <w:rPr>
          <w:bCs/>
          <w:sz w:val="26"/>
          <w:szCs w:val="26"/>
        </w:rPr>
      </w:pPr>
      <w:r>
        <w:rPr>
          <w:rFonts w:hint="eastAsia" w:ascii="Microsoft JhengHei" w:hAnsi="Microsoft JhengHei" w:eastAsia="Microsoft JhengHei" w:cs="宋体"/>
          <w:b/>
          <w:sz w:val="26"/>
          <w:szCs w:val="26"/>
        </w:rPr>
        <w:t>③</w:t>
      </w:r>
      <w:r>
        <w:rPr>
          <w:b/>
          <w:sz w:val="26"/>
          <w:szCs w:val="26"/>
        </w:rPr>
        <w:t>与《四川省“十</w:t>
      </w:r>
      <w:r>
        <w:rPr>
          <w:rFonts w:hint="eastAsia"/>
          <w:b/>
          <w:sz w:val="26"/>
          <w:szCs w:val="26"/>
        </w:rPr>
        <w:t>四</w:t>
      </w:r>
      <w:r>
        <w:rPr>
          <w:b/>
          <w:sz w:val="26"/>
          <w:szCs w:val="26"/>
        </w:rPr>
        <w:t>五”能源发展规划》</w:t>
      </w:r>
      <w:r>
        <w:rPr>
          <w:rFonts w:hint="eastAsia"/>
          <w:b/>
          <w:sz w:val="26"/>
          <w:szCs w:val="26"/>
        </w:rPr>
        <w:t>（2</w:t>
      </w:r>
      <w:r>
        <w:rPr>
          <w:b/>
          <w:sz w:val="26"/>
          <w:szCs w:val="26"/>
        </w:rPr>
        <w:t>022</w:t>
      </w:r>
      <w:r>
        <w:rPr>
          <w:rFonts w:hint="eastAsia"/>
          <w:b/>
          <w:sz w:val="26"/>
          <w:szCs w:val="26"/>
        </w:rPr>
        <w:t>年）</w:t>
      </w:r>
      <w:r>
        <w:rPr>
          <w:b/>
          <w:sz w:val="26"/>
          <w:szCs w:val="26"/>
        </w:rPr>
        <w:t>符合性</w:t>
      </w:r>
    </w:p>
    <w:p w14:paraId="2286D6B0">
      <w:pPr>
        <w:adjustRightInd w:val="0"/>
        <w:snapToGrid w:val="0"/>
        <w:spacing w:line="480" w:lineRule="exact"/>
        <w:ind w:firstLine="520" w:firstLineChars="200"/>
        <w:rPr>
          <w:sz w:val="26"/>
          <w:szCs w:val="26"/>
        </w:rPr>
      </w:pPr>
      <w:r>
        <w:rPr>
          <w:sz w:val="26"/>
          <w:szCs w:val="26"/>
        </w:rPr>
        <w:t>根据《四川省“十四五”能源发展规划》，大力推进天然气(页岩气)勘探开发，实施国家天然气(页岩气)千亿立方米级产能基地建设行动方案，建成全国最大的现代化天然气(页岩气)生产基地。加大德阳—安岳古裂陷周缘、川中下古生界—震旦系、下二叠统、川西雷口坡组、川南五峰组—龙马溪组层系勘探力度。加快川中下古生界—震旦系气藏、川西和川中致密气藏、川东北高含硫气田、川西致密气田以及长宁、威远、泸州等区块产能建设，稳定主产区产量，开发接续区块。到2025年，天然气(页岩气)年产量达到630亿立方米。</w:t>
      </w:r>
    </w:p>
    <w:p w14:paraId="29E6E772">
      <w:pPr>
        <w:pStyle w:val="1381"/>
        <w:adjustRightInd w:val="0"/>
        <w:snapToGrid w:val="0"/>
        <w:ind w:firstLine="520"/>
        <w:rPr>
          <w:rFonts w:cs="Times New Roman"/>
        </w:rPr>
      </w:pPr>
      <w:r>
        <w:rPr>
          <w:rFonts w:cs="Times New Roman"/>
        </w:rPr>
        <w:t>本项目为</w:t>
      </w:r>
      <w:r>
        <w:rPr>
          <w:rFonts w:hint="eastAsia" w:cs="Times New Roman"/>
        </w:rPr>
        <w:t>天然气</w:t>
      </w:r>
      <w:r>
        <w:rPr>
          <w:rFonts w:cs="Times New Roman"/>
        </w:rPr>
        <w:t>试采工程，项目的实施有利于</w:t>
      </w:r>
      <w:r>
        <w:rPr>
          <w:rFonts w:hint="eastAsia" w:cs="Times New Roman"/>
        </w:rPr>
        <w:t>巴中2HF井</w:t>
      </w:r>
      <w:r>
        <w:rPr>
          <w:rFonts w:hint="eastAsia" w:ascii="宋体" w:hAnsi="宋体" w:cs="宋体"/>
          <w:szCs w:val="26"/>
        </w:rPr>
        <w:t>和巴页2</w:t>
      </w:r>
      <w:r>
        <w:rPr>
          <w:rFonts w:ascii="宋体" w:hAnsi="宋体" w:cs="宋体"/>
          <w:szCs w:val="26"/>
        </w:rPr>
        <w:t>HF</w:t>
      </w:r>
      <w:r>
        <w:rPr>
          <w:rFonts w:hint="eastAsia" w:ascii="宋体" w:hAnsi="宋体" w:cs="宋体"/>
          <w:szCs w:val="26"/>
        </w:rPr>
        <w:t>井</w:t>
      </w:r>
      <w:r>
        <w:rPr>
          <w:rFonts w:cs="Times New Roman"/>
        </w:rPr>
        <w:t>产能的释放，有利于全国最大天然气生产基地的建设。因此，本项目符合《四川省“十四五”能源发展规划》相关要求。</w:t>
      </w:r>
    </w:p>
    <w:p w14:paraId="1A49BB29">
      <w:pPr>
        <w:adjustRightInd w:val="0"/>
        <w:snapToGrid w:val="0"/>
        <w:spacing w:line="480" w:lineRule="exact"/>
        <w:ind w:firstLine="514" w:firstLineChars="200"/>
        <w:rPr>
          <w:bCs/>
          <w:spacing w:val="-2"/>
          <w:sz w:val="26"/>
          <w:szCs w:val="26"/>
        </w:rPr>
      </w:pPr>
      <w:r>
        <w:rPr>
          <w:rFonts w:hint="eastAsia" w:ascii="宋体" w:hAnsi="宋体"/>
          <w:b/>
          <w:spacing w:val="-2"/>
          <w:sz w:val="26"/>
          <w:szCs w:val="26"/>
        </w:rPr>
        <w:t>④</w:t>
      </w:r>
      <w:r>
        <w:rPr>
          <w:b/>
          <w:spacing w:val="-2"/>
          <w:sz w:val="26"/>
          <w:szCs w:val="26"/>
        </w:rPr>
        <w:t>与</w:t>
      </w:r>
      <w:bookmarkStart w:id="103" w:name="_Hlk113923398"/>
      <w:r>
        <w:rPr>
          <w:b/>
          <w:spacing w:val="-2"/>
          <w:sz w:val="26"/>
          <w:szCs w:val="26"/>
        </w:rPr>
        <w:t>《四川省矿产资源总体规划（</w:t>
      </w:r>
      <w:r>
        <w:rPr>
          <w:rFonts w:hint="eastAsia"/>
          <w:b/>
          <w:spacing w:val="-2"/>
          <w:sz w:val="26"/>
          <w:szCs w:val="26"/>
        </w:rPr>
        <w:t>2021—2025</w:t>
      </w:r>
      <w:r>
        <w:rPr>
          <w:b/>
          <w:spacing w:val="-2"/>
          <w:sz w:val="26"/>
          <w:szCs w:val="26"/>
        </w:rPr>
        <w:t>）》</w:t>
      </w:r>
      <w:bookmarkEnd w:id="103"/>
      <w:r>
        <w:rPr>
          <w:b/>
          <w:spacing w:val="-2"/>
          <w:sz w:val="26"/>
          <w:szCs w:val="26"/>
        </w:rPr>
        <w:t>及其规划环评的符合性分析</w:t>
      </w:r>
    </w:p>
    <w:p w14:paraId="199DD6F5">
      <w:pPr>
        <w:adjustRightInd w:val="0"/>
        <w:snapToGrid w:val="0"/>
        <w:spacing w:line="480" w:lineRule="exact"/>
        <w:ind w:firstLine="520" w:firstLineChars="200"/>
        <w:rPr>
          <w:bCs/>
          <w:sz w:val="26"/>
          <w:szCs w:val="26"/>
        </w:rPr>
      </w:pPr>
      <w:r>
        <w:rPr>
          <w:bCs/>
          <w:sz w:val="26"/>
          <w:szCs w:val="26"/>
        </w:rPr>
        <w:t>本项目与《四川省矿产资源总体规划（20</w:t>
      </w:r>
      <w:r>
        <w:rPr>
          <w:rFonts w:hint="eastAsia"/>
          <w:bCs/>
          <w:sz w:val="26"/>
          <w:szCs w:val="26"/>
        </w:rPr>
        <w:t>21—</w:t>
      </w:r>
      <w:r>
        <w:rPr>
          <w:bCs/>
          <w:sz w:val="26"/>
          <w:szCs w:val="26"/>
        </w:rPr>
        <w:t>20</w:t>
      </w:r>
      <w:r>
        <w:rPr>
          <w:rFonts w:hint="eastAsia"/>
          <w:bCs/>
          <w:sz w:val="26"/>
          <w:szCs w:val="26"/>
        </w:rPr>
        <w:t>25</w:t>
      </w:r>
      <w:r>
        <w:rPr>
          <w:bCs/>
          <w:sz w:val="26"/>
          <w:szCs w:val="26"/>
        </w:rPr>
        <w:t>》的符合性分析见</w:t>
      </w:r>
      <w:r>
        <w:rPr>
          <w:rFonts w:hint="eastAsia"/>
          <w:bCs/>
          <w:sz w:val="26"/>
          <w:szCs w:val="26"/>
        </w:rPr>
        <w:t>下表</w:t>
      </w:r>
      <w:r>
        <w:rPr>
          <w:bCs/>
          <w:sz w:val="26"/>
          <w:szCs w:val="26"/>
        </w:rPr>
        <w:t>。</w:t>
      </w:r>
    </w:p>
    <w:p w14:paraId="574C3E48">
      <w:pPr>
        <w:pStyle w:val="1379"/>
        <w:ind w:firstLine="440"/>
      </w:pPr>
    </w:p>
    <w:p w14:paraId="22FE42B9">
      <w:pPr>
        <w:pStyle w:val="1065"/>
      </w:pPr>
      <w:r>
        <w:t>表1.7-7  与《四川省矿产资源总体规划（20</w:t>
      </w:r>
      <w:r>
        <w:rPr>
          <w:rFonts w:hint="eastAsia"/>
        </w:rPr>
        <w:t>21—</w:t>
      </w:r>
      <w:r>
        <w:t>20</w:t>
      </w:r>
      <w:r>
        <w:rPr>
          <w:rFonts w:hint="eastAsia"/>
        </w:rPr>
        <w:t>25</w:t>
      </w:r>
      <w:r>
        <w:t>）》符合性分析表</w:t>
      </w:r>
    </w:p>
    <w:tbl>
      <w:tblPr>
        <w:tblStyle w:val="88"/>
        <w:tblW w:w="8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2"/>
        <w:gridCol w:w="3495"/>
        <w:gridCol w:w="972"/>
      </w:tblGrid>
      <w:tr w14:paraId="276F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212" w:type="dxa"/>
            <w:vAlign w:val="center"/>
          </w:tcPr>
          <w:p w14:paraId="0F5282A2">
            <w:pPr>
              <w:autoSpaceDE w:val="0"/>
              <w:autoSpaceDN w:val="0"/>
              <w:adjustRightInd w:val="0"/>
              <w:snapToGrid w:val="0"/>
              <w:jc w:val="center"/>
              <w:rPr>
                <w:bCs/>
                <w:sz w:val="22"/>
              </w:rPr>
            </w:pPr>
            <w:r>
              <w:rPr>
                <w:bCs/>
                <w:sz w:val="22"/>
              </w:rPr>
              <w:t>文件情况</w:t>
            </w:r>
          </w:p>
        </w:tc>
        <w:tc>
          <w:tcPr>
            <w:tcW w:w="3495" w:type="dxa"/>
            <w:vAlign w:val="center"/>
          </w:tcPr>
          <w:p w14:paraId="6B6A4901">
            <w:pPr>
              <w:autoSpaceDE w:val="0"/>
              <w:autoSpaceDN w:val="0"/>
              <w:adjustRightInd w:val="0"/>
              <w:snapToGrid w:val="0"/>
              <w:jc w:val="center"/>
              <w:rPr>
                <w:bCs/>
                <w:sz w:val="22"/>
              </w:rPr>
            </w:pPr>
            <w:r>
              <w:rPr>
                <w:bCs/>
                <w:sz w:val="22"/>
              </w:rPr>
              <w:t>本项目情况</w:t>
            </w:r>
          </w:p>
        </w:tc>
        <w:tc>
          <w:tcPr>
            <w:tcW w:w="972" w:type="dxa"/>
            <w:vAlign w:val="center"/>
          </w:tcPr>
          <w:p w14:paraId="677FA87E">
            <w:pPr>
              <w:autoSpaceDE w:val="0"/>
              <w:autoSpaceDN w:val="0"/>
              <w:adjustRightInd w:val="0"/>
              <w:snapToGrid w:val="0"/>
              <w:jc w:val="center"/>
              <w:rPr>
                <w:bCs/>
                <w:sz w:val="22"/>
              </w:rPr>
            </w:pPr>
            <w:r>
              <w:rPr>
                <w:bCs/>
                <w:sz w:val="22"/>
              </w:rPr>
              <w:t>符合性</w:t>
            </w:r>
          </w:p>
        </w:tc>
      </w:tr>
      <w:tr w14:paraId="52FB3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2" w:type="dxa"/>
            <w:vAlign w:val="center"/>
          </w:tcPr>
          <w:p w14:paraId="07AA18F3">
            <w:pPr>
              <w:autoSpaceDE w:val="0"/>
              <w:autoSpaceDN w:val="0"/>
              <w:adjustRightInd w:val="0"/>
              <w:snapToGrid w:val="0"/>
              <w:rPr>
                <w:bCs/>
                <w:sz w:val="22"/>
              </w:rPr>
            </w:pPr>
            <w:r>
              <w:rPr>
                <w:b/>
                <w:sz w:val="22"/>
              </w:rPr>
              <w:t>优化勘查开发区域布局：</w:t>
            </w:r>
            <w:r>
              <w:rPr>
                <w:rFonts w:hint="eastAsia"/>
                <w:bCs/>
                <w:sz w:val="22"/>
              </w:rPr>
              <w:t>川东北能源建材勘查开发区。包括南充、达州、广安、巴中、广元5市，大力发展清洁能源化工、特色矿产品精深加工，推动川东北经济区振兴发展。重点加强达州、广元、广安、巴中地区天然气、页岩油、致密气勘探开发，有序开采巴中、广元石墨矿，促进石墨精深加工产业发展，推进广元天然沥青勘查开发；</w:t>
            </w:r>
            <w:r>
              <w:rPr>
                <w:rFonts w:hint="eastAsia" w:ascii="宋体" w:hAnsi="宋体" w:cs="宋体"/>
                <w:bCs/>
                <w:sz w:val="22"/>
              </w:rPr>
              <w:t>......</w:t>
            </w:r>
          </w:p>
        </w:tc>
        <w:tc>
          <w:tcPr>
            <w:tcW w:w="3495" w:type="dxa"/>
            <w:vAlign w:val="center"/>
          </w:tcPr>
          <w:p w14:paraId="238BD8E7">
            <w:pPr>
              <w:autoSpaceDE w:val="0"/>
              <w:autoSpaceDN w:val="0"/>
              <w:adjustRightInd w:val="0"/>
              <w:snapToGrid w:val="0"/>
              <w:jc w:val="left"/>
              <w:rPr>
                <w:bCs/>
                <w:sz w:val="22"/>
              </w:rPr>
            </w:pPr>
            <w:r>
              <w:rPr>
                <w:bCs/>
                <w:sz w:val="22"/>
              </w:rPr>
              <w:t>本项目是位于</w:t>
            </w:r>
            <w:r>
              <w:rPr>
                <w:rFonts w:hint="eastAsia"/>
                <w:bCs/>
                <w:sz w:val="22"/>
              </w:rPr>
              <w:t>巴中</w:t>
            </w:r>
            <w:r>
              <w:rPr>
                <w:bCs/>
                <w:sz w:val="22"/>
              </w:rPr>
              <w:t>的天然气</w:t>
            </w:r>
            <w:r>
              <w:rPr>
                <w:rFonts w:hint="eastAsia"/>
                <w:bCs/>
                <w:sz w:val="22"/>
              </w:rPr>
              <w:t>试采项目</w:t>
            </w:r>
            <w:r>
              <w:rPr>
                <w:bCs/>
                <w:sz w:val="22"/>
              </w:rPr>
              <w:t>。</w:t>
            </w:r>
          </w:p>
        </w:tc>
        <w:tc>
          <w:tcPr>
            <w:tcW w:w="972" w:type="dxa"/>
            <w:vAlign w:val="center"/>
          </w:tcPr>
          <w:p w14:paraId="470CD95A">
            <w:pPr>
              <w:autoSpaceDE w:val="0"/>
              <w:autoSpaceDN w:val="0"/>
              <w:adjustRightInd w:val="0"/>
              <w:snapToGrid w:val="0"/>
              <w:jc w:val="center"/>
              <w:rPr>
                <w:bCs/>
                <w:sz w:val="22"/>
              </w:rPr>
            </w:pPr>
            <w:r>
              <w:rPr>
                <w:bCs/>
                <w:sz w:val="22"/>
              </w:rPr>
              <w:t>符合</w:t>
            </w:r>
          </w:p>
        </w:tc>
      </w:tr>
      <w:tr w14:paraId="4CD4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2" w:type="dxa"/>
            <w:vAlign w:val="center"/>
          </w:tcPr>
          <w:p w14:paraId="0B7F58E4">
            <w:pPr>
              <w:autoSpaceDE w:val="0"/>
              <w:autoSpaceDN w:val="0"/>
              <w:adjustRightInd w:val="0"/>
              <w:snapToGrid w:val="0"/>
              <w:rPr>
                <w:b/>
                <w:sz w:val="22"/>
              </w:rPr>
            </w:pPr>
            <w:r>
              <w:rPr>
                <w:b/>
                <w:sz w:val="22"/>
              </w:rPr>
              <w:t>确保矿产资源有效供给：</w:t>
            </w:r>
            <w:r>
              <w:rPr>
                <w:bCs/>
                <w:sz w:val="22"/>
              </w:rPr>
              <w:t>能源矿产。加大天然气、页岩气、煤层气、铀矿、地热等勘查开发力度，力争获得重大突破，增强供应基础并加快供应，优化能源开发利用结构，减轻对环境的负面影响；到2020年，天然气、页岩气、煤层气新增地质储量分别达到8000、2000、200亿立方米，年产量分别达到350、100、3亿立方米。</w:t>
            </w:r>
          </w:p>
        </w:tc>
        <w:tc>
          <w:tcPr>
            <w:tcW w:w="3495" w:type="dxa"/>
            <w:vAlign w:val="center"/>
          </w:tcPr>
          <w:p w14:paraId="2F81CDC3">
            <w:pPr>
              <w:autoSpaceDE w:val="0"/>
              <w:autoSpaceDN w:val="0"/>
              <w:adjustRightInd w:val="0"/>
              <w:snapToGrid w:val="0"/>
              <w:rPr>
                <w:bCs/>
                <w:sz w:val="22"/>
              </w:rPr>
            </w:pPr>
            <w:r>
              <w:rPr>
                <w:rFonts w:hint="eastAsia"/>
                <w:bCs/>
                <w:sz w:val="22"/>
              </w:rPr>
              <w:t>本项目为天然气试采工程，项目的实施有利于巴中2HF井和巴页2HF井产能的释放，有利于保障区域天然气供应。</w:t>
            </w:r>
          </w:p>
        </w:tc>
        <w:tc>
          <w:tcPr>
            <w:tcW w:w="972" w:type="dxa"/>
            <w:vAlign w:val="center"/>
          </w:tcPr>
          <w:p w14:paraId="21BF8EC1">
            <w:pPr>
              <w:autoSpaceDE w:val="0"/>
              <w:autoSpaceDN w:val="0"/>
              <w:adjustRightInd w:val="0"/>
              <w:snapToGrid w:val="0"/>
              <w:jc w:val="center"/>
              <w:rPr>
                <w:bCs/>
                <w:sz w:val="22"/>
              </w:rPr>
            </w:pPr>
            <w:r>
              <w:rPr>
                <w:rFonts w:hint="eastAsia"/>
                <w:bCs/>
                <w:sz w:val="22"/>
              </w:rPr>
              <w:t>符合</w:t>
            </w:r>
          </w:p>
        </w:tc>
      </w:tr>
    </w:tbl>
    <w:p w14:paraId="0571A403">
      <w:pPr>
        <w:pStyle w:val="1379"/>
        <w:ind w:firstLine="440"/>
      </w:pPr>
    </w:p>
    <w:p w14:paraId="73ADBE4F">
      <w:pPr>
        <w:adjustRightInd w:val="0"/>
        <w:snapToGrid w:val="0"/>
        <w:spacing w:line="480" w:lineRule="exact"/>
        <w:ind w:firstLine="520" w:firstLineChars="200"/>
        <w:rPr>
          <w:bCs/>
          <w:sz w:val="26"/>
          <w:szCs w:val="26"/>
        </w:rPr>
      </w:pPr>
      <w:r>
        <w:rPr>
          <w:bCs/>
          <w:sz w:val="26"/>
          <w:szCs w:val="26"/>
        </w:rPr>
        <w:t>四川省自然资源厅组织编制了《四川省矿产资源总体规划（2021</w:t>
      </w:r>
      <w:r>
        <w:rPr>
          <w:rFonts w:hint="eastAsia"/>
          <w:bCs/>
          <w:sz w:val="26"/>
          <w:szCs w:val="26"/>
        </w:rPr>
        <w:t>—</w:t>
      </w:r>
      <w:r>
        <w:rPr>
          <w:bCs/>
          <w:sz w:val="26"/>
          <w:szCs w:val="26"/>
        </w:rPr>
        <w:t>2025年）环境影响报告书》，2022年7月生态环境部正式印发《关于〈四川省矿产资源总体规划（2021</w:t>
      </w:r>
      <w:r>
        <w:rPr>
          <w:rFonts w:hint="eastAsia"/>
          <w:bCs/>
          <w:sz w:val="26"/>
          <w:szCs w:val="26"/>
        </w:rPr>
        <w:t>—</w:t>
      </w:r>
      <w:r>
        <w:rPr>
          <w:bCs/>
          <w:sz w:val="26"/>
          <w:szCs w:val="26"/>
        </w:rPr>
        <w:t>2025年）环境影响报告书〉的审查意见》（环审〔2022〕105号）。项目与《四川省矿产资源总体规划（2021</w:t>
      </w:r>
      <w:r>
        <w:rPr>
          <w:rFonts w:hint="eastAsia"/>
          <w:bCs/>
          <w:sz w:val="26"/>
          <w:szCs w:val="26"/>
        </w:rPr>
        <w:t>—</w:t>
      </w:r>
      <w:r>
        <w:rPr>
          <w:bCs/>
          <w:sz w:val="26"/>
          <w:szCs w:val="26"/>
        </w:rPr>
        <w:t>2025年）环境影响报告书》及审查意见的符合性分析见</w:t>
      </w:r>
      <w:r>
        <w:rPr>
          <w:rFonts w:hint="eastAsia"/>
          <w:bCs/>
          <w:sz w:val="26"/>
          <w:szCs w:val="26"/>
        </w:rPr>
        <w:t>下表</w:t>
      </w:r>
      <w:r>
        <w:rPr>
          <w:bCs/>
          <w:sz w:val="26"/>
          <w:szCs w:val="26"/>
        </w:rPr>
        <w:t>。</w:t>
      </w:r>
    </w:p>
    <w:p w14:paraId="6B6AD7E1">
      <w:pPr>
        <w:pStyle w:val="1379"/>
        <w:ind w:firstLine="440"/>
      </w:pPr>
    </w:p>
    <w:p w14:paraId="7CE8C440">
      <w:pPr>
        <w:adjustRightInd w:val="0"/>
        <w:snapToGrid w:val="0"/>
        <w:spacing w:before="240" w:beforeLines="100"/>
        <w:jc w:val="center"/>
        <w:rPr>
          <w:bCs/>
          <w:kern w:val="0"/>
          <w:sz w:val="26"/>
          <w:szCs w:val="26"/>
        </w:rPr>
      </w:pPr>
      <w:r>
        <w:rPr>
          <w:bCs/>
          <w:kern w:val="0"/>
          <w:sz w:val="26"/>
          <w:szCs w:val="26"/>
        </w:rPr>
        <w:t>表1.7-8  与</w:t>
      </w:r>
      <w:r>
        <w:rPr>
          <w:bCs/>
          <w:sz w:val="26"/>
          <w:szCs w:val="26"/>
        </w:rPr>
        <w:t>《四川省矿产资源总体规划（20</w:t>
      </w:r>
      <w:r>
        <w:rPr>
          <w:rFonts w:hint="eastAsia"/>
          <w:bCs/>
          <w:sz w:val="26"/>
          <w:szCs w:val="26"/>
        </w:rPr>
        <w:t>21—</w:t>
      </w:r>
      <w:r>
        <w:rPr>
          <w:bCs/>
          <w:sz w:val="26"/>
          <w:szCs w:val="26"/>
        </w:rPr>
        <w:t>20</w:t>
      </w:r>
      <w:r>
        <w:rPr>
          <w:rFonts w:hint="eastAsia"/>
          <w:bCs/>
          <w:sz w:val="26"/>
          <w:szCs w:val="26"/>
        </w:rPr>
        <w:t>25</w:t>
      </w:r>
      <w:r>
        <w:rPr>
          <w:bCs/>
          <w:sz w:val="26"/>
          <w:szCs w:val="26"/>
        </w:rPr>
        <w:t>）环境影响报告书》及审查意见</w:t>
      </w:r>
      <w:r>
        <w:rPr>
          <w:bCs/>
          <w:kern w:val="0"/>
          <w:sz w:val="26"/>
          <w:szCs w:val="26"/>
        </w:rPr>
        <w:t>符合性分析表</w:t>
      </w:r>
    </w:p>
    <w:tbl>
      <w:tblPr>
        <w:tblStyle w:val="88"/>
        <w:tblW w:w="8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2"/>
        <w:gridCol w:w="3413"/>
        <w:gridCol w:w="1054"/>
      </w:tblGrid>
      <w:tr w14:paraId="1455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2" w:type="dxa"/>
            <w:vAlign w:val="center"/>
          </w:tcPr>
          <w:p w14:paraId="08BDD2A6">
            <w:pPr>
              <w:autoSpaceDE w:val="0"/>
              <w:autoSpaceDN w:val="0"/>
              <w:adjustRightInd w:val="0"/>
              <w:snapToGrid w:val="0"/>
              <w:jc w:val="center"/>
              <w:rPr>
                <w:bCs/>
                <w:sz w:val="22"/>
              </w:rPr>
            </w:pPr>
            <w:r>
              <w:rPr>
                <w:bCs/>
                <w:sz w:val="22"/>
              </w:rPr>
              <w:t>文件情况</w:t>
            </w:r>
          </w:p>
        </w:tc>
        <w:tc>
          <w:tcPr>
            <w:tcW w:w="3413" w:type="dxa"/>
            <w:vAlign w:val="center"/>
          </w:tcPr>
          <w:p w14:paraId="7546E678">
            <w:pPr>
              <w:autoSpaceDE w:val="0"/>
              <w:autoSpaceDN w:val="0"/>
              <w:adjustRightInd w:val="0"/>
              <w:snapToGrid w:val="0"/>
              <w:jc w:val="center"/>
              <w:rPr>
                <w:bCs/>
                <w:sz w:val="22"/>
              </w:rPr>
            </w:pPr>
            <w:r>
              <w:rPr>
                <w:bCs/>
                <w:sz w:val="22"/>
              </w:rPr>
              <w:t>本项目情况</w:t>
            </w:r>
          </w:p>
        </w:tc>
        <w:tc>
          <w:tcPr>
            <w:tcW w:w="1054" w:type="dxa"/>
            <w:vAlign w:val="center"/>
          </w:tcPr>
          <w:p w14:paraId="3C048454">
            <w:pPr>
              <w:autoSpaceDE w:val="0"/>
              <w:autoSpaceDN w:val="0"/>
              <w:adjustRightInd w:val="0"/>
              <w:snapToGrid w:val="0"/>
              <w:jc w:val="center"/>
              <w:rPr>
                <w:bCs/>
                <w:sz w:val="22"/>
              </w:rPr>
            </w:pPr>
            <w:r>
              <w:rPr>
                <w:bCs/>
                <w:sz w:val="22"/>
              </w:rPr>
              <w:t>符合性</w:t>
            </w:r>
          </w:p>
        </w:tc>
      </w:tr>
      <w:tr w14:paraId="1F81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2" w:type="dxa"/>
            <w:vAlign w:val="center"/>
          </w:tcPr>
          <w:p w14:paraId="2845E7C5">
            <w:pPr>
              <w:autoSpaceDE w:val="0"/>
              <w:autoSpaceDN w:val="0"/>
              <w:adjustRightInd w:val="0"/>
              <w:snapToGrid w:val="0"/>
              <w:rPr>
                <w:bCs/>
                <w:sz w:val="22"/>
              </w:rPr>
            </w:pPr>
            <w:r>
              <w:rPr>
                <w:rFonts w:hint="eastAsia"/>
                <w:bCs/>
                <w:sz w:val="22"/>
              </w:rPr>
              <w:t>(一）坚持生态优先</w:t>
            </w:r>
            <w:r>
              <w:rPr>
                <w:rFonts w:hint="eastAsia"/>
                <w:bCs/>
                <w:sz w:val="22"/>
                <w:lang w:eastAsia="zh-CN"/>
              </w:rPr>
              <w:t>、</w:t>
            </w:r>
            <w:r>
              <w:rPr>
                <w:rFonts w:hint="eastAsia"/>
                <w:bCs/>
                <w:sz w:val="22"/>
              </w:rPr>
              <w:t>绿色发展。坚持以</w:t>
            </w:r>
            <w:r>
              <w:rPr>
                <w:rFonts w:hint="eastAsia"/>
                <w:bCs/>
                <w:sz w:val="22"/>
                <w:lang w:val="en-US" w:eastAsia="zh-CN"/>
              </w:rPr>
              <w:t>习近平</w:t>
            </w:r>
            <w:bookmarkStart w:id="526" w:name="_GoBack"/>
            <w:bookmarkEnd w:id="526"/>
            <w:r>
              <w:rPr>
                <w:rFonts w:hint="eastAsia"/>
                <w:bCs/>
                <w:sz w:val="22"/>
              </w:rPr>
              <w:t>生态文明思想为指导，严格落实《中华人民共和国长江保护法》，按照“共抓大保护、不搞大开发”的要求，立足于生态系统稳定和生态环境质量改善，处理好生态环境保护与矿产资源开发的关系，合理控制矿产资源开发规模与强度，不得占用依法应当禁止开发的区域，优先避让生态环境敏感区域。结合“十三五”未完成指标任务和“十四五”新要求，进一步强化《规划》的生态环境保护总体要求，将细化后的绿色开发、生态修复等相关目标、指标作为《规划》实施的硬约束</w:t>
            </w:r>
            <w:r>
              <w:rPr>
                <w:bCs/>
                <w:sz w:val="22"/>
              </w:rPr>
              <w:t>。</w:t>
            </w:r>
          </w:p>
        </w:tc>
        <w:tc>
          <w:tcPr>
            <w:tcW w:w="3413" w:type="dxa"/>
            <w:vAlign w:val="center"/>
          </w:tcPr>
          <w:p w14:paraId="1CD94191">
            <w:pPr>
              <w:autoSpaceDE w:val="0"/>
              <w:autoSpaceDN w:val="0"/>
              <w:adjustRightInd w:val="0"/>
              <w:snapToGrid w:val="0"/>
              <w:jc w:val="left"/>
              <w:rPr>
                <w:bCs/>
                <w:sz w:val="22"/>
              </w:rPr>
            </w:pPr>
            <w:r>
              <w:rPr>
                <w:rFonts w:hint="eastAsia"/>
                <w:bCs/>
                <w:sz w:val="22"/>
              </w:rPr>
              <w:t>本项目为天然气试采工程，选址已避让生态环境敏感区域，项目的实施严格按照《规划》的生态环境保护总体要求实施</w:t>
            </w:r>
            <w:r>
              <w:rPr>
                <w:bCs/>
                <w:sz w:val="22"/>
              </w:rPr>
              <w:t>。</w:t>
            </w:r>
          </w:p>
        </w:tc>
        <w:tc>
          <w:tcPr>
            <w:tcW w:w="1054" w:type="dxa"/>
            <w:vAlign w:val="center"/>
          </w:tcPr>
          <w:p w14:paraId="55B518B6">
            <w:pPr>
              <w:autoSpaceDE w:val="0"/>
              <w:autoSpaceDN w:val="0"/>
              <w:adjustRightInd w:val="0"/>
              <w:snapToGrid w:val="0"/>
              <w:jc w:val="center"/>
              <w:rPr>
                <w:bCs/>
                <w:sz w:val="22"/>
              </w:rPr>
            </w:pPr>
            <w:r>
              <w:rPr>
                <w:bCs/>
                <w:sz w:val="22"/>
              </w:rPr>
              <w:t>符合</w:t>
            </w:r>
          </w:p>
        </w:tc>
      </w:tr>
      <w:tr w14:paraId="55F7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2" w:type="dxa"/>
            <w:vAlign w:val="center"/>
          </w:tcPr>
          <w:p w14:paraId="5717F7B4">
            <w:pPr>
              <w:autoSpaceDE w:val="0"/>
              <w:autoSpaceDN w:val="0"/>
              <w:adjustRightInd w:val="0"/>
              <w:snapToGrid w:val="0"/>
              <w:rPr>
                <w:b/>
                <w:sz w:val="22"/>
              </w:rPr>
            </w:pPr>
            <w:r>
              <w:rPr>
                <w:bCs/>
                <w:sz w:val="22"/>
              </w:rPr>
              <w:t>(二）严格保护生态空间</w:t>
            </w:r>
            <w:r>
              <w:rPr>
                <w:rFonts w:hint="eastAsia"/>
                <w:bCs/>
                <w:sz w:val="22"/>
              </w:rPr>
              <w:t>，</w:t>
            </w:r>
            <w:r>
              <w:rPr>
                <w:bCs/>
                <w:sz w:val="22"/>
              </w:rPr>
              <w:t>优化《规划》布局。将生态保护红线作为保障和维护区域生态安全的底线，进一步优化矿业权设置和空间布局，依法依规对生态空间实施严格保护。</w:t>
            </w:r>
          </w:p>
        </w:tc>
        <w:tc>
          <w:tcPr>
            <w:tcW w:w="3413" w:type="dxa"/>
            <w:vAlign w:val="center"/>
          </w:tcPr>
          <w:p w14:paraId="4D86A010">
            <w:pPr>
              <w:autoSpaceDE w:val="0"/>
              <w:autoSpaceDN w:val="0"/>
              <w:adjustRightInd w:val="0"/>
              <w:snapToGrid w:val="0"/>
              <w:jc w:val="left"/>
              <w:rPr>
                <w:bCs/>
                <w:sz w:val="22"/>
              </w:rPr>
            </w:pPr>
            <w:r>
              <w:rPr>
                <w:bCs/>
                <w:sz w:val="22"/>
              </w:rPr>
              <w:t>本项目</w:t>
            </w:r>
            <w:r>
              <w:rPr>
                <w:rFonts w:hint="eastAsia"/>
                <w:bCs/>
                <w:sz w:val="22"/>
              </w:rPr>
              <w:t>建设内容</w:t>
            </w:r>
            <w:r>
              <w:rPr>
                <w:bCs/>
                <w:sz w:val="22"/>
              </w:rPr>
              <w:t>未在生态保护红线范围内。</w:t>
            </w:r>
          </w:p>
        </w:tc>
        <w:tc>
          <w:tcPr>
            <w:tcW w:w="1054" w:type="dxa"/>
            <w:vAlign w:val="center"/>
          </w:tcPr>
          <w:p w14:paraId="40B76053">
            <w:pPr>
              <w:autoSpaceDE w:val="0"/>
              <w:autoSpaceDN w:val="0"/>
              <w:adjustRightInd w:val="0"/>
              <w:snapToGrid w:val="0"/>
              <w:jc w:val="center"/>
              <w:rPr>
                <w:bCs/>
                <w:sz w:val="22"/>
              </w:rPr>
            </w:pPr>
            <w:r>
              <w:rPr>
                <w:bCs/>
                <w:sz w:val="22"/>
              </w:rPr>
              <w:t>符合</w:t>
            </w:r>
          </w:p>
        </w:tc>
      </w:tr>
      <w:tr w14:paraId="6778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2" w:type="dxa"/>
            <w:vAlign w:val="center"/>
          </w:tcPr>
          <w:p w14:paraId="087FAB04">
            <w:pPr>
              <w:autoSpaceDE w:val="0"/>
              <w:autoSpaceDN w:val="0"/>
              <w:adjustRightInd w:val="0"/>
              <w:snapToGrid w:val="0"/>
              <w:rPr>
                <w:b/>
                <w:sz w:val="22"/>
              </w:rPr>
            </w:pPr>
            <w:r>
              <w:rPr>
                <w:bCs/>
                <w:sz w:val="22"/>
              </w:rPr>
              <w:t>(四）严格环境准入，保护区域生态功能。按照四川省生态环境分区管控方案、生态环境保护规划等新要求，与一般生态空间存在空间重叠的勘查规划区块、开采规划区块，应按照一般生态空间管控要求，严格控制勘查、开采活动范围和强度，严格落实绿色勘查、绿色开采及矿山生态保护修复相关要求，确保生态系统结构稳定和生态功能不退化。严格控制涉及生物多样性保护优先区域、国家重点生态功能区、水土流失重点防治区等具有重要生态功能的区域矿产开采活动，并采取严格有针对性的保护措施，防止对区域生态功能产生不良环境影响。</w:t>
            </w:r>
          </w:p>
        </w:tc>
        <w:tc>
          <w:tcPr>
            <w:tcW w:w="3413" w:type="dxa"/>
            <w:vAlign w:val="center"/>
          </w:tcPr>
          <w:p w14:paraId="24D063B0">
            <w:pPr>
              <w:autoSpaceDE w:val="0"/>
              <w:autoSpaceDN w:val="0"/>
              <w:adjustRightInd w:val="0"/>
              <w:snapToGrid w:val="0"/>
              <w:rPr>
                <w:bCs/>
                <w:sz w:val="22"/>
              </w:rPr>
            </w:pPr>
            <w:r>
              <w:rPr>
                <w:bCs/>
                <w:sz w:val="22"/>
              </w:rPr>
              <w:t>本项目符合四川省生态环境分区管控方案、生态环境保护规划新要求，项目均未在生态保护红线和一般生态管控范围内。项目严格落实绿色开采及矿山生态保护修复相关要求，确保生态系统结构稳定和生态功能不退化，</w:t>
            </w:r>
            <w:r>
              <w:rPr>
                <w:rFonts w:hint="eastAsia"/>
                <w:bCs/>
                <w:sz w:val="22"/>
              </w:rPr>
              <w:t>项目位于嘉陵江及沱江中下游国家级水土流失重点治理区，将严格落实本项目水土保持方案和本环评提出的水土保持措施。</w:t>
            </w:r>
          </w:p>
        </w:tc>
        <w:tc>
          <w:tcPr>
            <w:tcW w:w="1054" w:type="dxa"/>
            <w:vAlign w:val="center"/>
          </w:tcPr>
          <w:p w14:paraId="698D295B">
            <w:pPr>
              <w:autoSpaceDE w:val="0"/>
              <w:autoSpaceDN w:val="0"/>
              <w:adjustRightInd w:val="0"/>
              <w:snapToGrid w:val="0"/>
              <w:jc w:val="center"/>
              <w:rPr>
                <w:bCs/>
                <w:sz w:val="22"/>
              </w:rPr>
            </w:pPr>
            <w:r>
              <w:rPr>
                <w:bCs/>
                <w:sz w:val="22"/>
              </w:rPr>
              <w:t>符合</w:t>
            </w:r>
          </w:p>
        </w:tc>
      </w:tr>
      <w:tr w14:paraId="739A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2" w:type="dxa"/>
            <w:vAlign w:val="center"/>
          </w:tcPr>
          <w:p w14:paraId="14F0D0F2">
            <w:pPr>
              <w:autoSpaceDE w:val="0"/>
              <w:autoSpaceDN w:val="0"/>
              <w:adjustRightInd w:val="0"/>
              <w:snapToGrid w:val="0"/>
              <w:rPr>
                <w:bCs/>
                <w:sz w:val="22"/>
              </w:rPr>
            </w:pPr>
            <w:r>
              <w:rPr>
                <w:bCs/>
                <w:sz w:val="22"/>
              </w:rPr>
              <w:t>(五)加强矿山生态修复和环境治理。结合区域生态环境质量改善目标和主要生态环境问题，分区域、分矿种确定矿山生态修复和环境治理总体要求，将规划任务分解细化到具体矿区、矿山，确保“十四五”规划期矿山生态修复治理面积不小于2000公顷。重视关闭矿山及历史遗留矿山的生态环境问题，明确污染治理及生态修复的任务、要求和时限。针对喀斯特地貌发育的川南地区矿产开发活动，应强化地下水污染防治措施。</w:t>
            </w:r>
          </w:p>
        </w:tc>
        <w:tc>
          <w:tcPr>
            <w:tcW w:w="3413" w:type="dxa"/>
            <w:vAlign w:val="center"/>
          </w:tcPr>
          <w:p w14:paraId="758CA369">
            <w:pPr>
              <w:autoSpaceDE w:val="0"/>
              <w:autoSpaceDN w:val="0"/>
              <w:adjustRightInd w:val="0"/>
              <w:snapToGrid w:val="0"/>
              <w:rPr>
                <w:bCs/>
                <w:sz w:val="22"/>
              </w:rPr>
            </w:pPr>
            <w:r>
              <w:rPr>
                <w:bCs/>
                <w:sz w:val="22"/>
              </w:rPr>
              <w:t>项目未在喀斯特地貌发育区，项目临时占地施工结束后及时进行生态恢复，对当地生态环境影响较小。</w:t>
            </w:r>
          </w:p>
        </w:tc>
        <w:tc>
          <w:tcPr>
            <w:tcW w:w="1054" w:type="dxa"/>
            <w:vAlign w:val="center"/>
          </w:tcPr>
          <w:p w14:paraId="2F65E8A2">
            <w:pPr>
              <w:autoSpaceDE w:val="0"/>
              <w:autoSpaceDN w:val="0"/>
              <w:adjustRightInd w:val="0"/>
              <w:snapToGrid w:val="0"/>
              <w:jc w:val="center"/>
              <w:rPr>
                <w:bCs/>
                <w:sz w:val="22"/>
              </w:rPr>
            </w:pPr>
            <w:r>
              <w:rPr>
                <w:bCs/>
                <w:sz w:val="22"/>
              </w:rPr>
              <w:t>符合</w:t>
            </w:r>
          </w:p>
        </w:tc>
      </w:tr>
      <w:tr w14:paraId="085F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2" w:type="dxa"/>
            <w:vAlign w:val="center"/>
          </w:tcPr>
          <w:p w14:paraId="049B2C64">
            <w:pPr>
              <w:autoSpaceDE w:val="0"/>
              <w:autoSpaceDN w:val="0"/>
              <w:adjustRightInd w:val="0"/>
              <w:snapToGrid w:val="0"/>
              <w:rPr>
                <w:bCs/>
                <w:sz w:val="22"/>
              </w:rPr>
            </w:pPr>
            <w:r>
              <w:rPr>
                <w:bCs/>
                <w:sz w:val="22"/>
              </w:rPr>
              <w:t>(六）加强生态环境保护监测和预警。结合生态保护、饮用水水源保护区及水环境功能区水质保护及改善要求、土壤污染防治目标等，推进重点矿区建立生态、地表水、地下水、土壤等环境要素的长期监测监控体系。组织开展主要矿种集中开采区域生态修复效果评估，并根据监测和评估结果增加或优化必要的保护措施。针对地表水环境及土壤环境累积影响、地下水环境质量下降、生态退化等情形</w:t>
            </w:r>
            <w:r>
              <w:rPr>
                <w:rFonts w:hint="eastAsia"/>
                <w:bCs/>
                <w:sz w:val="22"/>
              </w:rPr>
              <w:t>，</w:t>
            </w:r>
            <w:r>
              <w:rPr>
                <w:bCs/>
                <w:sz w:val="22"/>
              </w:rPr>
              <w:t>建立预警机制。</w:t>
            </w:r>
          </w:p>
        </w:tc>
        <w:tc>
          <w:tcPr>
            <w:tcW w:w="3413" w:type="dxa"/>
            <w:vAlign w:val="center"/>
          </w:tcPr>
          <w:p w14:paraId="5002B77E">
            <w:pPr>
              <w:autoSpaceDE w:val="0"/>
              <w:autoSpaceDN w:val="0"/>
              <w:adjustRightInd w:val="0"/>
              <w:snapToGrid w:val="0"/>
              <w:rPr>
                <w:bCs/>
                <w:sz w:val="22"/>
              </w:rPr>
            </w:pPr>
            <w:r>
              <w:rPr>
                <w:bCs/>
                <w:sz w:val="22"/>
              </w:rPr>
              <w:t>项目提出</w:t>
            </w:r>
            <w:r>
              <w:rPr>
                <w:rFonts w:hint="eastAsia"/>
                <w:bCs/>
                <w:sz w:val="22"/>
              </w:rPr>
              <w:t>了大气、</w:t>
            </w:r>
            <w:r>
              <w:rPr>
                <w:bCs/>
                <w:sz w:val="22"/>
              </w:rPr>
              <w:t>地下水、土壤等环境要素的跟踪监测监控体系</w:t>
            </w:r>
            <w:r>
              <w:rPr>
                <w:rFonts w:hint="eastAsia"/>
                <w:bCs/>
                <w:sz w:val="22"/>
              </w:rPr>
              <w:t>。</w:t>
            </w:r>
          </w:p>
        </w:tc>
        <w:tc>
          <w:tcPr>
            <w:tcW w:w="1054" w:type="dxa"/>
            <w:vAlign w:val="center"/>
          </w:tcPr>
          <w:p w14:paraId="13463B56">
            <w:pPr>
              <w:autoSpaceDE w:val="0"/>
              <w:autoSpaceDN w:val="0"/>
              <w:adjustRightInd w:val="0"/>
              <w:snapToGrid w:val="0"/>
              <w:jc w:val="center"/>
              <w:rPr>
                <w:bCs/>
                <w:sz w:val="22"/>
              </w:rPr>
            </w:pPr>
            <w:r>
              <w:rPr>
                <w:bCs/>
                <w:sz w:val="22"/>
              </w:rPr>
              <w:t>符合</w:t>
            </w:r>
          </w:p>
        </w:tc>
      </w:tr>
    </w:tbl>
    <w:p w14:paraId="41BE6641">
      <w:pPr>
        <w:pStyle w:val="1379"/>
        <w:ind w:firstLine="440"/>
      </w:pPr>
    </w:p>
    <w:p w14:paraId="4065B171">
      <w:pPr>
        <w:adjustRightInd w:val="0"/>
        <w:snapToGrid w:val="0"/>
        <w:spacing w:line="480" w:lineRule="exact"/>
        <w:ind w:firstLine="520" w:firstLineChars="200"/>
        <w:rPr>
          <w:bCs/>
          <w:sz w:val="26"/>
          <w:szCs w:val="26"/>
        </w:rPr>
      </w:pPr>
      <w:r>
        <w:rPr>
          <w:rFonts w:hint="eastAsia"/>
          <w:bCs/>
          <w:sz w:val="26"/>
          <w:szCs w:val="26"/>
        </w:rPr>
        <w:t>综上所述，项目建设与《四川省矿产资源总体规划（2021-2025年）》及其规划环评相符合。</w:t>
      </w:r>
    </w:p>
    <w:p w14:paraId="18551020">
      <w:pPr>
        <w:adjustRightInd w:val="0"/>
        <w:snapToGrid w:val="0"/>
        <w:spacing w:line="480" w:lineRule="exact"/>
        <w:ind w:firstLine="522" w:firstLineChars="200"/>
        <w:rPr>
          <w:b/>
          <w:bCs/>
          <w:sz w:val="26"/>
          <w:szCs w:val="26"/>
        </w:rPr>
      </w:pPr>
      <w:r>
        <w:rPr>
          <w:b/>
          <w:bCs/>
          <w:sz w:val="26"/>
          <w:szCs w:val="26"/>
        </w:rPr>
        <w:fldChar w:fldCharType="begin"/>
      </w:r>
      <w:r>
        <w:rPr>
          <w:b/>
          <w:bCs/>
          <w:sz w:val="26"/>
          <w:szCs w:val="26"/>
        </w:rPr>
        <w:instrText xml:space="preserve"> </w:instrText>
      </w:r>
      <w:r>
        <w:rPr>
          <w:rFonts w:hint="eastAsia"/>
          <w:b/>
          <w:bCs/>
          <w:sz w:val="26"/>
          <w:szCs w:val="26"/>
        </w:rPr>
        <w:instrText xml:space="preserve">= 5 \* GB3</w:instrText>
      </w:r>
      <w:r>
        <w:rPr>
          <w:b/>
          <w:bCs/>
          <w:sz w:val="26"/>
          <w:szCs w:val="26"/>
        </w:rPr>
        <w:instrText xml:space="preserve"> </w:instrText>
      </w:r>
      <w:r>
        <w:rPr>
          <w:b/>
          <w:bCs/>
          <w:sz w:val="26"/>
          <w:szCs w:val="26"/>
        </w:rPr>
        <w:fldChar w:fldCharType="separate"/>
      </w:r>
      <w:r>
        <w:rPr>
          <w:rFonts w:hint="eastAsia"/>
          <w:b/>
          <w:bCs/>
          <w:sz w:val="26"/>
          <w:szCs w:val="26"/>
        </w:rPr>
        <w:t>⑤</w:t>
      </w:r>
      <w:r>
        <w:rPr>
          <w:b/>
          <w:bCs/>
          <w:sz w:val="26"/>
          <w:szCs w:val="26"/>
        </w:rPr>
        <w:fldChar w:fldCharType="end"/>
      </w:r>
      <w:r>
        <w:rPr>
          <w:rFonts w:hint="eastAsia"/>
          <w:b/>
          <w:bCs/>
          <w:sz w:val="26"/>
          <w:szCs w:val="26"/>
        </w:rPr>
        <w:t>与《巴中市矿产资源总体规划（2021-2025年）》符合性分析</w:t>
      </w:r>
    </w:p>
    <w:p w14:paraId="12584776">
      <w:pPr>
        <w:adjustRightInd w:val="0"/>
        <w:snapToGrid w:val="0"/>
        <w:spacing w:line="480" w:lineRule="exact"/>
        <w:ind w:firstLine="520" w:firstLineChars="200"/>
        <w:rPr>
          <w:bCs/>
          <w:sz w:val="26"/>
          <w:szCs w:val="26"/>
        </w:rPr>
      </w:pPr>
      <w:r>
        <w:rPr>
          <w:rFonts w:hint="eastAsia"/>
          <w:bCs/>
          <w:sz w:val="26"/>
          <w:szCs w:val="26"/>
        </w:rPr>
        <w:t>根据《巴中市矿产资源总体规划（2021-2025年）》（巴自然资规发〔2022〕29号），第三章  矿产勘查开发与保护布局：</w:t>
      </w:r>
    </w:p>
    <w:p w14:paraId="5FBA374F">
      <w:pPr>
        <w:adjustRightInd w:val="0"/>
        <w:snapToGrid w:val="0"/>
        <w:spacing w:line="480" w:lineRule="exact"/>
        <w:ind w:firstLine="520" w:firstLineChars="200"/>
        <w:rPr>
          <w:bCs/>
          <w:sz w:val="26"/>
          <w:szCs w:val="26"/>
        </w:rPr>
      </w:pPr>
      <w:r>
        <w:rPr>
          <w:rFonts w:hint="eastAsia"/>
          <w:bCs/>
          <w:sz w:val="26"/>
          <w:szCs w:val="26"/>
        </w:rPr>
        <w:t>重点勘查矿种：重点勘查资源潜力较大、市场前景好、经济和社会效益显著的天然气、铁、晶质石墨、霞石正长岩、地热、矿泉水、饰面石材、制灰用石灰岩等矿产。</w:t>
      </w:r>
    </w:p>
    <w:p w14:paraId="05E8A972">
      <w:pPr>
        <w:adjustRightInd w:val="0"/>
        <w:snapToGrid w:val="0"/>
        <w:spacing w:line="480" w:lineRule="exact"/>
        <w:ind w:firstLine="520" w:firstLineChars="200"/>
        <w:rPr>
          <w:bCs/>
          <w:sz w:val="26"/>
          <w:szCs w:val="26"/>
        </w:rPr>
      </w:pPr>
      <w:r>
        <w:rPr>
          <w:rFonts w:hint="eastAsia"/>
          <w:bCs/>
          <w:sz w:val="26"/>
          <w:szCs w:val="26"/>
        </w:rPr>
        <w:t>重点开采矿种：重点开采天然气、晶质石墨、霞石正长岩、饰面用石材、水泥用灰岩、地热、矿泉水等矿产。在符合准入条件前提下，优先设置采矿权，适当扩大开发规模，提高资源供应能力。</w:t>
      </w:r>
    </w:p>
    <w:p w14:paraId="49B9226D">
      <w:pPr>
        <w:adjustRightInd w:val="0"/>
        <w:snapToGrid w:val="0"/>
        <w:spacing w:line="480" w:lineRule="exact"/>
        <w:ind w:firstLine="520" w:firstLineChars="200"/>
        <w:rPr>
          <w:bCs/>
          <w:sz w:val="26"/>
          <w:szCs w:val="26"/>
        </w:rPr>
      </w:pPr>
      <w:r>
        <w:rPr>
          <w:rFonts w:hint="eastAsia"/>
          <w:bCs/>
          <w:sz w:val="26"/>
          <w:szCs w:val="26"/>
        </w:rPr>
        <w:t>限制开采矿种：限制开采难选冶菱铁矿以及对生态环境影响较大的硫铁矿。</w:t>
      </w:r>
    </w:p>
    <w:p w14:paraId="5E6A8949">
      <w:pPr>
        <w:adjustRightInd w:val="0"/>
        <w:snapToGrid w:val="0"/>
        <w:spacing w:line="480" w:lineRule="exact"/>
        <w:ind w:firstLine="520" w:firstLineChars="200"/>
        <w:rPr>
          <w:bCs/>
          <w:sz w:val="26"/>
          <w:szCs w:val="26"/>
        </w:rPr>
      </w:pPr>
      <w:r>
        <w:rPr>
          <w:rFonts w:hint="eastAsia"/>
          <w:bCs/>
          <w:sz w:val="26"/>
          <w:szCs w:val="26"/>
        </w:rPr>
        <w:t>禁止开采矿种：禁止开采石棉、可耕地的砖瓦粘土等易造成生态环境恶化的矿产。</w:t>
      </w:r>
    </w:p>
    <w:p w14:paraId="38219F9E">
      <w:pPr>
        <w:adjustRightInd w:val="0"/>
        <w:snapToGrid w:val="0"/>
        <w:spacing w:line="480" w:lineRule="exact"/>
        <w:ind w:firstLine="520" w:firstLineChars="200"/>
        <w:rPr>
          <w:bCs/>
          <w:sz w:val="26"/>
          <w:szCs w:val="26"/>
        </w:rPr>
      </w:pPr>
      <w:r>
        <w:rPr>
          <w:rFonts w:hint="eastAsia"/>
          <w:bCs/>
          <w:sz w:val="26"/>
          <w:szCs w:val="26"/>
        </w:rPr>
        <w:t>本项目为天然气试采工程，属于巴中市重点开采矿种，因此，项目符合《巴中市矿产资源总体规划（2021-2025年）》相关要求。</w:t>
      </w:r>
    </w:p>
    <w:p w14:paraId="7CF55207">
      <w:pPr>
        <w:pStyle w:val="702"/>
        <w:ind w:firstLine="522"/>
        <w:rPr>
          <w:rFonts w:cs="Times New Roman"/>
          <w:b/>
        </w:rPr>
      </w:pPr>
      <w:r>
        <w:rPr>
          <w:rFonts w:hint="eastAsia" w:cs="Times New Roman"/>
          <w:b/>
        </w:rPr>
        <w:t>（2）</w:t>
      </w:r>
      <w:r>
        <w:rPr>
          <w:rFonts w:cs="Times New Roman"/>
          <w:b/>
          <w:bCs/>
          <w:szCs w:val="26"/>
        </w:rPr>
        <w:t>与长江经济带生态保护要求的相关规划符合性</w:t>
      </w:r>
    </w:p>
    <w:p w14:paraId="6A58CA61">
      <w:pPr>
        <w:adjustRightInd w:val="0"/>
        <w:snapToGrid w:val="0"/>
        <w:spacing w:line="480" w:lineRule="exact"/>
        <w:ind w:firstLine="522" w:firstLineChars="200"/>
        <w:rPr>
          <w:bCs/>
          <w:sz w:val="26"/>
          <w:szCs w:val="26"/>
        </w:rPr>
      </w:pPr>
      <w:r>
        <w:rPr>
          <w:rFonts w:hint="eastAsia" w:ascii="宋体" w:hAnsi="宋体" w:cs="宋体"/>
          <w:b/>
          <w:sz w:val="26"/>
          <w:szCs w:val="26"/>
        </w:rPr>
        <w:t>①</w:t>
      </w:r>
      <w:r>
        <w:rPr>
          <w:b/>
          <w:sz w:val="26"/>
          <w:szCs w:val="26"/>
        </w:rPr>
        <w:t>与《长江经济带生态环境保护规划》（环规财〔2017〕88号）的符合性分析</w:t>
      </w:r>
    </w:p>
    <w:p w14:paraId="6B58E48B">
      <w:pPr>
        <w:adjustRightInd w:val="0"/>
        <w:snapToGrid w:val="0"/>
        <w:spacing w:line="480" w:lineRule="exact"/>
        <w:ind w:firstLine="520" w:firstLineChars="200"/>
        <w:rPr>
          <w:bCs/>
          <w:sz w:val="26"/>
          <w:szCs w:val="26"/>
        </w:rPr>
      </w:pPr>
      <w:r>
        <w:rPr>
          <w:bCs/>
          <w:sz w:val="26"/>
          <w:szCs w:val="26"/>
        </w:rPr>
        <w:t>根据《长江经济带生态环境保护规划》中第六条指出：“全面推进环境污染治理，建设宜居城乡环境专栏”，该条要求中提出改善城市环境质量，推进成渝城市大气污染防治。增加天然气的开发程度，提供天然气供应量，有利于加速产业升级和能源结构的调整</w:t>
      </w:r>
      <w:r>
        <w:rPr>
          <w:rFonts w:hint="eastAsia"/>
          <w:bCs/>
          <w:sz w:val="26"/>
          <w:szCs w:val="26"/>
        </w:rPr>
        <w:t>。</w:t>
      </w:r>
    </w:p>
    <w:p w14:paraId="4C44AB9F">
      <w:pPr>
        <w:adjustRightInd w:val="0"/>
        <w:snapToGrid w:val="0"/>
        <w:spacing w:line="480" w:lineRule="exact"/>
        <w:ind w:firstLine="520" w:firstLineChars="200"/>
        <w:rPr>
          <w:bCs/>
          <w:sz w:val="26"/>
          <w:szCs w:val="26"/>
        </w:rPr>
      </w:pPr>
      <w:r>
        <w:rPr>
          <w:rFonts w:hint="eastAsia"/>
          <w:bCs/>
          <w:sz w:val="26"/>
          <w:szCs w:val="26"/>
        </w:rPr>
        <w:t>本项目为天然气试采工程，项目的实施有利于巴中2HF井</w:t>
      </w:r>
      <w:r>
        <w:rPr>
          <w:rFonts w:hint="eastAsia" w:ascii="宋体" w:hAnsi="宋体" w:cs="宋体"/>
          <w:sz w:val="26"/>
          <w:szCs w:val="26"/>
        </w:rPr>
        <w:t>和巴页2</w:t>
      </w:r>
      <w:r>
        <w:rPr>
          <w:rFonts w:ascii="宋体" w:hAnsi="宋体" w:cs="宋体"/>
          <w:sz w:val="26"/>
          <w:szCs w:val="26"/>
        </w:rPr>
        <w:t>HF</w:t>
      </w:r>
      <w:r>
        <w:rPr>
          <w:rFonts w:hint="eastAsia" w:ascii="宋体" w:hAnsi="宋体" w:cs="宋体"/>
          <w:sz w:val="26"/>
          <w:szCs w:val="26"/>
        </w:rPr>
        <w:t>井</w:t>
      </w:r>
      <w:r>
        <w:rPr>
          <w:rFonts w:hint="eastAsia"/>
          <w:bCs/>
          <w:sz w:val="26"/>
          <w:szCs w:val="26"/>
        </w:rPr>
        <w:t>产能的释放，</w:t>
      </w:r>
      <w:r>
        <w:rPr>
          <w:bCs/>
          <w:sz w:val="26"/>
          <w:szCs w:val="26"/>
        </w:rPr>
        <w:t>天然气主要供应</w:t>
      </w:r>
      <w:r>
        <w:rPr>
          <w:rFonts w:hint="eastAsia"/>
          <w:bCs/>
          <w:sz w:val="26"/>
          <w:szCs w:val="26"/>
        </w:rPr>
        <w:t>巴中</w:t>
      </w:r>
      <w:r>
        <w:rPr>
          <w:bCs/>
          <w:sz w:val="26"/>
          <w:szCs w:val="26"/>
        </w:rPr>
        <w:t>市</w:t>
      </w:r>
      <w:r>
        <w:rPr>
          <w:rFonts w:hint="eastAsia"/>
          <w:bCs/>
          <w:sz w:val="26"/>
          <w:szCs w:val="26"/>
        </w:rPr>
        <w:t>恩阳区</w:t>
      </w:r>
      <w:r>
        <w:rPr>
          <w:bCs/>
          <w:sz w:val="26"/>
          <w:szCs w:val="26"/>
        </w:rPr>
        <w:t>，项目的建设能够改善区域大气环境质量，符合《长江经济带生态环境保护规划》要求。</w:t>
      </w:r>
    </w:p>
    <w:p w14:paraId="0178C7CF">
      <w:pPr>
        <w:adjustRightInd w:val="0"/>
        <w:snapToGrid w:val="0"/>
        <w:spacing w:line="460" w:lineRule="exact"/>
        <w:ind w:firstLine="522" w:firstLineChars="200"/>
        <w:rPr>
          <w:b/>
          <w:sz w:val="26"/>
          <w:szCs w:val="26"/>
        </w:rPr>
      </w:pPr>
      <w:r>
        <w:rPr>
          <w:rFonts w:hint="eastAsia" w:ascii="宋体" w:hAnsi="宋体" w:cs="宋体"/>
          <w:b/>
          <w:sz w:val="26"/>
          <w:szCs w:val="26"/>
        </w:rPr>
        <w:t>②</w:t>
      </w:r>
      <w:r>
        <w:rPr>
          <w:b/>
          <w:sz w:val="26"/>
          <w:szCs w:val="26"/>
        </w:rPr>
        <w:t>与</w:t>
      </w:r>
      <w:r>
        <w:rPr>
          <w:rFonts w:hint="eastAsia"/>
          <w:b/>
          <w:sz w:val="26"/>
          <w:szCs w:val="26"/>
        </w:rPr>
        <w:t>《长江经济带发展负面清单指南（试行，2022年版）》</w:t>
      </w:r>
      <w:r>
        <w:rPr>
          <w:b/>
          <w:sz w:val="26"/>
          <w:szCs w:val="26"/>
        </w:rPr>
        <w:t>及《</w:t>
      </w:r>
      <w:r>
        <w:rPr>
          <w:rFonts w:hint="eastAsia"/>
          <w:b/>
          <w:sz w:val="26"/>
          <w:szCs w:val="26"/>
        </w:rPr>
        <w:t>四川省、重庆市长江经济带发展负面清单实施细则（试行，2</w:t>
      </w:r>
      <w:r>
        <w:rPr>
          <w:b/>
          <w:sz w:val="26"/>
          <w:szCs w:val="26"/>
        </w:rPr>
        <w:t>022</w:t>
      </w:r>
      <w:r>
        <w:rPr>
          <w:rFonts w:hint="eastAsia"/>
          <w:b/>
          <w:sz w:val="26"/>
          <w:szCs w:val="26"/>
        </w:rPr>
        <w:t>版）</w:t>
      </w:r>
      <w:r>
        <w:rPr>
          <w:b/>
          <w:sz w:val="26"/>
          <w:szCs w:val="26"/>
        </w:rPr>
        <w:t>》的符合性分析</w:t>
      </w:r>
    </w:p>
    <w:p w14:paraId="119609E6">
      <w:pPr>
        <w:adjustRightInd w:val="0"/>
        <w:snapToGrid w:val="0"/>
        <w:spacing w:line="460" w:lineRule="exact"/>
        <w:ind w:firstLine="520" w:firstLineChars="200"/>
        <w:rPr>
          <w:bCs/>
          <w:sz w:val="26"/>
          <w:szCs w:val="26"/>
        </w:rPr>
      </w:pPr>
      <w:r>
        <w:rPr>
          <w:bCs/>
          <w:sz w:val="26"/>
          <w:szCs w:val="26"/>
        </w:rPr>
        <w:t>按照《四川省长江经济带发展负面清单实施细则（试行）》中对建设项目提出了一系列的管控</w:t>
      </w:r>
      <w:r>
        <w:rPr>
          <w:rFonts w:hint="eastAsia"/>
          <w:bCs/>
          <w:sz w:val="26"/>
          <w:szCs w:val="26"/>
        </w:rPr>
        <w:t>相</w:t>
      </w:r>
      <w:r>
        <w:rPr>
          <w:bCs/>
          <w:sz w:val="26"/>
          <w:szCs w:val="26"/>
        </w:rPr>
        <w:t>关要求。</w:t>
      </w:r>
      <w:r>
        <w:rPr>
          <w:rFonts w:hint="eastAsia"/>
          <w:bCs/>
          <w:sz w:val="26"/>
          <w:szCs w:val="26"/>
        </w:rPr>
        <w:t>本项目为天然气试采工程</w:t>
      </w:r>
      <w:r>
        <w:rPr>
          <w:bCs/>
          <w:sz w:val="26"/>
          <w:szCs w:val="26"/>
        </w:rPr>
        <w:t>，项目未占用自然保护区、风景名胜区、集中式饮用水源保护区</w:t>
      </w:r>
      <w:r>
        <w:rPr>
          <w:rFonts w:hint="eastAsia"/>
          <w:bCs/>
          <w:sz w:val="26"/>
          <w:szCs w:val="26"/>
        </w:rPr>
        <w:t>、水产种质资源保护区、国家湿地公园</w:t>
      </w:r>
      <w:r>
        <w:rPr>
          <w:bCs/>
          <w:sz w:val="26"/>
          <w:szCs w:val="26"/>
        </w:rPr>
        <w:t>等敏感区域</w:t>
      </w:r>
      <w:r>
        <w:rPr>
          <w:rFonts w:hint="eastAsia"/>
          <w:bCs/>
          <w:sz w:val="26"/>
          <w:szCs w:val="26"/>
        </w:rPr>
        <w:t>，</w:t>
      </w:r>
      <w:r>
        <w:rPr>
          <w:bCs/>
          <w:sz w:val="26"/>
          <w:szCs w:val="26"/>
        </w:rPr>
        <w:t>不位于《长江岸线保护和开发利用总体规划》划定的岸线保护区</w:t>
      </w:r>
      <w:r>
        <w:rPr>
          <w:rFonts w:hint="eastAsia"/>
          <w:bCs/>
          <w:sz w:val="26"/>
          <w:szCs w:val="26"/>
        </w:rPr>
        <w:t>和保留区范围内，</w:t>
      </w:r>
      <w:r>
        <w:rPr>
          <w:bCs/>
          <w:sz w:val="26"/>
          <w:szCs w:val="26"/>
        </w:rPr>
        <w:t>也不位于《全国重要江河湖泊水功能区划》</w:t>
      </w:r>
      <w:r>
        <w:rPr>
          <w:rFonts w:hint="eastAsia"/>
          <w:bCs/>
          <w:sz w:val="26"/>
          <w:szCs w:val="26"/>
        </w:rPr>
        <w:t>划定的河段及湖泊保护区、保留区</w:t>
      </w:r>
      <w:r>
        <w:rPr>
          <w:bCs/>
          <w:sz w:val="26"/>
          <w:szCs w:val="26"/>
        </w:rPr>
        <w:t>范围内</w:t>
      </w:r>
      <w:r>
        <w:rPr>
          <w:rFonts w:hint="eastAsia"/>
          <w:bCs/>
          <w:sz w:val="26"/>
          <w:szCs w:val="26"/>
        </w:rPr>
        <w:t>；本项目属于《产业结构调整指导目录》（2024年本）中鼓励类项目，不属于化工园区和化工项目，不属于尾矿库、冶炼渣库和磷石膏库项目，也不属于钢铁、石化、化工、焦化、建材、有色、制浆造纸等高污染项目；</w:t>
      </w:r>
      <w:r>
        <w:rPr>
          <w:bCs/>
          <w:sz w:val="26"/>
          <w:szCs w:val="26"/>
        </w:rPr>
        <w:t>项目不在生态保护红线范围内</w:t>
      </w:r>
      <w:r>
        <w:rPr>
          <w:rFonts w:hint="eastAsia"/>
          <w:bCs/>
          <w:sz w:val="26"/>
          <w:szCs w:val="26"/>
        </w:rPr>
        <w:t>；</w:t>
      </w:r>
      <w:r>
        <w:rPr>
          <w:bCs/>
          <w:sz w:val="26"/>
          <w:szCs w:val="26"/>
        </w:rPr>
        <w:t>因此，项目不属于《</w:t>
      </w:r>
      <w:r>
        <w:rPr>
          <w:rFonts w:hint="eastAsia"/>
          <w:bCs/>
          <w:sz w:val="26"/>
          <w:szCs w:val="26"/>
        </w:rPr>
        <w:t>四川省、重庆市长江经济带发展负面清单实施细则（试行，2022版）</w:t>
      </w:r>
      <w:r>
        <w:rPr>
          <w:bCs/>
          <w:sz w:val="26"/>
          <w:szCs w:val="26"/>
        </w:rPr>
        <w:t>》中禁止建设的项目，工程的建设符合《长江经济带发展负面清单指南（试行）》及《</w:t>
      </w:r>
      <w:r>
        <w:rPr>
          <w:rFonts w:hint="eastAsia"/>
          <w:bCs/>
          <w:sz w:val="26"/>
          <w:szCs w:val="26"/>
        </w:rPr>
        <w:t>四川省、重庆市长江经济带发展负面清单实施细则（试行，2022版）</w:t>
      </w:r>
      <w:r>
        <w:rPr>
          <w:bCs/>
          <w:sz w:val="26"/>
          <w:szCs w:val="26"/>
        </w:rPr>
        <w:t>》要求</w:t>
      </w:r>
      <w:r>
        <w:rPr>
          <w:rFonts w:hint="eastAsia"/>
          <w:bCs/>
          <w:sz w:val="26"/>
          <w:szCs w:val="26"/>
        </w:rPr>
        <w:t>。</w:t>
      </w:r>
    </w:p>
    <w:p w14:paraId="44066AC9">
      <w:pPr>
        <w:pStyle w:val="1381"/>
        <w:ind w:firstLine="522"/>
        <w:rPr>
          <w:b/>
        </w:rPr>
      </w:pPr>
      <w:r>
        <w:rPr>
          <w:b/>
        </w:rPr>
        <w:t>（3）</w:t>
      </w:r>
      <w:r>
        <w:rPr>
          <w:rFonts w:hint="eastAsia"/>
          <w:b/>
        </w:rPr>
        <w:t>与生态环境保护规划符合性分析</w:t>
      </w:r>
    </w:p>
    <w:p w14:paraId="453B8922">
      <w:pPr>
        <w:pStyle w:val="1381"/>
        <w:ind w:firstLine="522"/>
        <w:rPr>
          <w:b/>
        </w:rPr>
      </w:pPr>
      <w:r>
        <w:rPr>
          <w:b/>
        </w:rPr>
        <w:fldChar w:fldCharType="begin"/>
      </w:r>
      <w:r>
        <w:rPr>
          <w:b/>
        </w:rPr>
        <w:instrText xml:space="preserve"> </w:instrText>
      </w:r>
      <w:r>
        <w:rPr>
          <w:rFonts w:hint="eastAsia"/>
          <w:b/>
        </w:rPr>
        <w:instrText xml:space="preserve">= 1 \* GB3</w:instrText>
      </w:r>
      <w:r>
        <w:rPr>
          <w:b/>
        </w:rPr>
        <w:instrText xml:space="preserve"> </w:instrText>
      </w:r>
      <w:r>
        <w:rPr>
          <w:b/>
        </w:rPr>
        <w:fldChar w:fldCharType="separate"/>
      </w:r>
      <w:r>
        <w:rPr>
          <w:rFonts w:hint="eastAsia"/>
          <w:b/>
        </w:rPr>
        <w:t>①</w:t>
      </w:r>
      <w:r>
        <w:rPr>
          <w:b/>
        </w:rPr>
        <w:fldChar w:fldCharType="end"/>
      </w:r>
      <w:r>
        <w:rPr>
          <w:b/>
        </w:rPr>
        <w:t>与《四川省“十四五”生态环境保护规划》的符合性</w:t>
      </w:r>
    </w:p>
    <w:p w14:paraId="1808B2EC">
      <w:pPr>
        <w:adjustRightInd w:val="0"/>
        <w:snapToGrid w:val="0"/>
        <w:spacing w:line="460" w:lineRule="exact"/>
        <w:ind w:firstLine="520" w:firstLineChars="200"/>
        <w:rPr>
          <w:bCs/>
          <w:sz w:val="26"/>
          <w:szCs w:val="26"/>
        </w:rPr>
      </w:pPr>
      <w:r>
        <w:rPr>
          <w:sz w:val="26"/>
          <w:szCs w:val="26"/>
        </w:rPr>
        <w:t>四川省“十四五”生态环境保护规划针对</w:t>
      </w:r>
      <w:r>
        <w:rPr>
          <w:rFonts w:hint="eastAsia"/>
          <w:sz w:val="26"/>
          <w:szCs w:val="26"/>
        </w:rPr>
        <w:t>天然</w:t>
      </w:r>
      <w:r>
        <w:rPr>
          <w:sz w:val="26"/>
          <w:szCs w:val="26"/>
        </w:rPr>
        <w:t>气开发指出：“加快推进天然气（页岩气）勘探开发</w:t>
      </w:r>
      <w:r>
        <w:rPr>
          <w:rFonts w:hint="eastAsia"/>
          <w:sz w:val="26"/>
          <w:szCs w:val="26"/>
        </w:rPr>
        <w:t>，</w:t>
      </w:r>
      <w:r>
        <w:rPr>
          <w:sz w:val="26"/>
          <w:szCs w:val="26"/>
        </w:rPr>
        <w:t>建成全国最大的天然气（页岩气）生产基地。”“推动国家天然气（页岩气）千亿立方米级产能基地绿色化发展。加快天然气输气管道和储备设施建设。以川中安岳及川东北高含硫天然气、川西致密气、川南页岩气等气田为重点,强化气田开发的环境管理，推动甲烷减排和回收利用，提高废弃油基泥浆、含油钻屑及其他钻采废物资源化利用和安全处置，强化地下水污染防治，重视废水回注过程中的环境风险控制。鼓励非常规天然气清洁开发、污染治理等技术的研究和应用</w:t>
      </w:r>
      <w:r>
        <w:rPr>
          <w:rFonts w:hint="eastAsia"/>
          <w:sz w:val="26"/>
          <w:szCs w:val="26"/>
        </w:rPr>
        <w:t>，</w:t>
      </w:r>
      <w:r>
        <w:rPr>
          <w:sz w:val="26"/>
          <w:szCs w:val="26"/>
        </w:rPr>
        <w:t>加快制定符合区域实际的非常规天然气开采的环境政策、标准及污染防治技术规范。促进天然气资源综合利用</w:t>
      </w:r>
      <w:r>
        <w:rPr>
          <w:rFonts w:hint="eastAsia"/>
          <w:sz w:val="26"/>
          <w:szCs w:val="26"/>
        </w:rPr>
        <w:t>，</w:t>
      </w:r>
      <w:r>
        <w:rPr>
          <w:sz w:val="26"/>
          <w:szCs w:val="26"/>
        </w:rPr>
        <w:t>支持天然气主产地高质量发展绿色精细化工产业。”</w:t>
      </w:r>
    </w:p>
    <w:p w14:paraId="20C4CBD9">
      <w:pPr>
        <w:adjustRightInd w:val="0"/>
        <w:snapToGrid w:val="0"/>
        <w:spacing w:line="460" w:lineRule="exact"/>
        <w:ind w:firstLine="520" w:firstLineChars="200"/>
        <w:rPr>
          <w:sz w:val="26"/>
          <w:szCs w:val="26"/>
        </w:rPr>
      </w:pPr>
      <w:r>
        <w:rPr>
          <w:rFonts w:hint="eastAsia"/>
          <w:bCs/>
          <w:sz w:val="26"/>
          <w:szCs w:val="26"/>
        </w:rPr>
        <w:t>本项目为天然气试采工程</w:t>
      </w:r>
      <w:r>
        <w:rPr>
          <w:sz w:val="26"/>
          <w:szCs w:val="26"/>
        </w:rPr>
        <w:t>，项目实施过程中严格按照相关要求落实环保措施，试采期事故检修的</w:t>
      </w:r>
      <w:r>
        <w:rPr>
          <w:rFonts w:hint="eastAsia"/>
          <w:sz w:val="26"/>
          <w:szCs w:val="26"/>
        </w:rPr>
        <w:t>天然气</w:t>
      </w:r>
      <w:r>
        <w:rPr>
          <w:sz w:val="26"/>
          <w:szCs w:val="26"/>
        </w:rPr>
        <w:t>经放空</w:t>
      </w:r>
      <w:r>
        <w:rPr>
          <w:rFonts w:hint="eastAsia"/>
          <w:sz w:val="26"/>
          <w:szCs w:val="26"/>
        </w:rPr>
        <w:t>立管</w:t>
      </w:r>
      <w:r>
        <w:rPr>
          <w:sz w:val="26"/>
          <w:szCs w:val="26"/>
        </w:rPr>
        <w:t>点燃后排放，减少甲烷的</w:t>
      </w:r>
      <w:r>
        <w:rPr>
          <w:rFonts w:hint="eastAsia"/>
          <w:sz w:val="26"/>
          <w:szCs w:val="26"/>
        </w:rPr>
        <w:t>排放</w:t>
      </w:r>
      <w:r>
        <w:rPr>
          <w:sz w:val="26"/>
          <w:szCs w:val="26"/>
        </w:rPr>
        <w:t>；项目的实施与符合四川省“十四五”生态环境保护规划相关要求。</w:t>
      </w:r>
    </w:p>
    <w:p w14:paraId="38CCFB94">
      <w:pPr>
        <w:adjustRightInd w:val="0"/>
        <w:snapToGrid w:val="0"/>
        <w:spacing w:line="460" w:lineRule="exact"/>
        <w:ind w:firstLine="522" w:firstLineChars="200"/>
        <w:rPr>
          <w:b/>
          <w:sz w:val="26"/>
          <w:szCs w:val="26"/>
        </w:rPr>
      </w:pPr>
      <w:r>
        <w:rPr>
          <w:b/>
          <w:sz w:val="26"/>
          <w:szCs w:val="26"/>
        </w:rPr>
        <w:fldChar w:fldCharType="begin"/>
      </w:r>
      <w:r>
        <w:rPr>
          <w:b/>
          <w:sz w:val="26"/>
          <w:szCs w:val="26"/>
        </w:rPr>
        <w:instrText xml:space="preserve"> </w:instrText>
      </w:r>
      <w:r>
        <w:rPr>
          <w:rFonts w:hint="eastAsia"/>
          <w:b/>
          <w:sz w:val="26"/>
          <w:szCs w:val="26"/>
        </w:rPr>
        <w:instrText xml:space="preserve">= 2 \* GB3</w:instrText>
      </w:r>
      <w:r>
        <w:rPr>
          <w:b/>
          <w:sz w:val="26"/>
          <w:szCs w:val="26"/>
        </w:rPr>
        <w:instrText xml:space="preserve"> </w:instrText>
      </w:r>
      <w:r>
        <w:rPr>
          <w:b/>
          <w:sz w:val="26"/>
          <w:szCs w:val="26"/>
        </w:rPr>
        <w:fldChar w:fldCharType="separate"/>
      </w:r>
      <w:r>
        <w:rPr>
          <w:rFonts w:hint="eastAsia"/>
          <w:b/>
          <w:sz w:val="26"/>
          <w:szCs w:val="26"/>
        </w:rPr>
        <w:t>②</w:t>
      </w:r>
      <w:r>
        <w:rPr>
          <w:b/>
          <w:sz w:val="26"/>
          <w:szCs w:val="26"/>
        </w:rPr>
        <w:fldChar w:fldCharType="end"/>
      </w:r>
      <w:r>
        <w:rPr>
          <w:rFonts w:hint="eastAsia"/>
          <w:b/>
          <w:sz w:val="26"/>
          <w:szCs w:val="26"/>
        </w:rPr>
        <w:t>与《巴中市“十四五”生态环境保护规划》符合性分析</w:t>
      </w:r>
    </w:p>
    <w:p w14:paraId="2ADC3C00">
      <w:pPr>
        <w:adjustRightInd w:val="0"/>
        <w:snapToGrid w:val="0"/>
        <w:spacing w:line="460" w:lineRule="exact"/>
        <w:ind w:firstLine="520" w:firstLineChars="200"/>
        <w:rPr>
          <w:sz w:val="26"/>
          <w:szCs w:val="26"/>
        </w:rPr>
      </w:pPr>
      <w:r>
        <w:rPr>
          <w:rFonts w:hint="eastAsia"/>
          <w:sz w:val="26"/>
          <w:szCs w:val="26"/>
        </w:rPr>
        <w:t>根据《巴中市“十四五”生态环境保护规划》，持续优化能源供给结构。大力发展可再生能源供电系统，积极开发本地气源，提升清洁能源开发利用水平，促进清洁能源就地转化。深入实施能耗总量和强度“双控”制度，调整优化全市能源消费结构，控制煤炭消费总量，提高非化石能源消费占比。</w:t>
      </w:r>
    </w:p>
    <w:p w14:paraId="5DF6A0AB">
      <w:pPr>
        <w:adjustRightInd w:val="0"/>
        <w:snapToGrid w:val="0"/>
        <w:spacing w:line="460" w:lineRule="exact"/>
        <w:ind w:firstLine="520" w:firstLineChars="200"/>
        <w:rPr>
          <w:sz w:val="26"/>
          <w:szCs w:val="26"/>
        </w:rPr>
      </w:pPr>
      <w:r>
        <w:rPr>
          <w:rFonts w:hint="eastAsia"/>
          <w:sz w:val="26"/>
          <w:szCs w:val="26"/>
        </w:rPr>
        <w:t>强化重点领域节能降耗，培育运用清洁能源。全面推进工业、建筑、交通运输等重点领域节能，严格新建项目节能评估审查。推动传统制造业全面实施企业节能工程，推进煤改气、煤改电等替代工程。推进新能源、可再生能源、清洁能源发展，加快巴中天然气勘探开发，天然气年产能达到30亿立方米，推动天然气“产供储销”体系建设，提升产气能力、储气能力、管输能力、调峰能力。实施“气化巴中”行动，设立国有天然气投资开发平台，建设天然气调峰电站和天然气分布式能源项目，建设西南地区最大的LNG（液化天然气）生产配送中心，建成投运巴中燃机电站项目，加快建成川东北清洁能源基地。有序开发水电项目。有序推进5万千瓦风电项目。到2025年，清洁能源产业产值达到100亿元。</w:t>
      </w:r>
    </w:p>
    <w:p w14:paraId="597EA3B3">
      <w:pPr>
        <w:adjustRightInd w:val="0"/>
        <w:snapToGrid w:val="0"/>
        <w:spacing w:line="460" w:lineRule="exact"/>
        <w:ind w:firstLine="520" w:firstLineChars="200"/>
        <w:rPr>
          <w:sz w:val="26"/>
          <w:szCs w:val="26"/>
        </w:rPr>
      </w:pPr>
      <w:r>
        <w:rPr>
          <w:rFonts w:hint="eastAsia"/>
          <w:sz w:val="26"/>
          <w:szCs w:val="26"/>
        </w:rPr>
        <w:t>本项目为</w:t>
      </w:r>
      <w:r>
        <w:rPr>
          <w:rFonts w:hint="eastAsia"/>
          <w:bCs/>
          <w:sz w:val="26"/>
          <w:szCs w:val="26"/>
        </w:rPr>
        <w:t>天然气试采工程，项目的实施有利于巴中2HF井</w:t>
      </w:r>
      <w:r>
        <w:rPr>
          <w:rFonts w:hint="eastAsia" w:ascii="宋体" w:hAnsi="宋体" w:cs="宋体"/>
          <w:sz w:val="26"/>
          <w:szCs w:val="26"/>
        </w:rPr>
        <w:t>和巴页2</w:t>
      </w:r>
      <w:r>
        <w:rPr>
          <w:rFonts w:ascii="宋体" w:hAnsi="宋体" w:cs="宋体"/>
          <w:sz w:val="26"/>
          <w:szCs w:val="26"/>
        </w:rPr>
        <w:t>HF</w:t>
      </w:r>
      <w:r>
        <w:rPr>
          <w:rFonts w:hint="eastAsia" w:ascii="宋体" w:hAnsi="宋体" w:cs="宋体"/>
          <w:sz w:val="26"/>
          <w:szCs w:val="26"/>
        </w:rPr>
        <w:t>井</w:t>
      </w:r>
      <w:r>
        <w:rPr>
          <w:rFonts w:hint="eastAsia"/>
          <w:bCs/>
          <w:sz w:val="26"/>
          <w:szCs w:val="26"/>
        </w:rPr>
        <w:t>产能的释放，有利于加快巴中地区天然气开发，将进一步促进周边区域能源结构转换，项目符合《巴中市“十四五”生态环境保护规划》要求。</w:t>
      </w:r>
    </w:p>
    <w:p w14:paraId="6A5AF339">
      <w:pPr>
        <w:pStyle w:val="1381"/>
        <w:ind w:firstLine="522"/>
        <w:rPr>
          <w:b/>
        </w:rPr>
      </w:pPr>
      <w:r>
        <w:rPr>
          <w:b/>
        </w:rPr>
        <w:t>（4）与生态功能区划的符合性</w:t>
      </w:r>
    </w:p>
    <w:p w14:paraId="3E31D2CF">
      <w:pPr>
        <w:adjustRightInd w:val="0"/>
        <w:snapToGrid w:val="0"/>
        <w:spacing w:line="480" w:lineRule="exact"/>
        <w:ind w:firstLine="520"/>
        <w:rPr>
          <w:b/>
          <w:sz w:val="26"/>
          <w:szCs w:val="26"/>
        </w:rPr>
      </w:pPr>
      <w:r>
        <w:rPr>
          <w:rFonts w:hint="eastAsia" w:ascii="宋体" w:hAnsi="宋体" w:cs="宋体"/>
          <w:b/>
          <w:sz w:val="26"/>
          <w:szCs w:val="26"/>
        </w:rPr>
        <w:t>①</w:t>
      </w:r>
      <w:r>
        <w:rPr>
          <w:b/>
          <w:sz w:val="26"/>
          <w:szCs w:val="26"/>
        </w:rPr>
        <w:t>与《国务院关于印发全国主体功能区规划的通知》的符合性</w:t>
      </w:r>
    </w:p>
    <w:p w14:paraId="187127C4">
      <w:pPr>
        <w:adjustRightInd w:val="0"/>
        <w:snapToGrid w:val="0"/>
        <w:spacing w:line="480" w:lineRule="exact"/>
        <w:ind w:firstLine="520"/>
        <w:rPr>
          <w:sz w:val="26"/>
          <w:szCs w:val="26"/>
        </w:rPr>
      </w:pPr>
      <w:r>
        <w:rPr>
          <w:sz w:val="26"/>
          <w:szCs w:val="26"/>
        </w:rPr>
        <w:t>根据《国务院关于印发全国主体功能区规划的通知》（国发〔2010〕46号），本项目所在地属国家重点开发区域，不属于重点生态功能区。根据调查，项目占地不涉及国家级自然保护区、世界文化遗产、国家风景名胜区、国家森林公园和国家地质公园，因此本项目符合通知要求。</w:t>
      </w:r>
    </w:p>
    <w:p w14:paraId="480F5881">
      <w:pPr>
        <w:adjustRightInd w:val="0"/>
        <w:snapToGrid w:val="0"/>
        <w:spacing w:line="480" w:lineRule="exact"/>
        <w:ind w:firstLine="520"/>
        <w:rPr>
          <w:b/>
          <w:sz w:val="26"/>
          <w:szCs w:val="26"/>
        </w:rPr>
      </w:pPr>
      <w:r>
        <w:rPr>
          <w:rFonts w:hint="eastAsia" w:ascii="宋体" w:hAnsi="宋体" w:cs="宋体"/>
          <w:b/>
          <w:sz w:val="26"/>
          <w:szCs w:val="26"/>
        </w:rPr>
        <w:t>②</w:t>
      </w:r>
      <w:r>
        <w:rPr>
          <w:b/>
          <w:sz w:val="26"/>
          <w:szCs w:val="26"/>
        </w:rPr>
        <w:t>与《四川省生态功能区划》的符合性分析</w:t>
      </w:r>
    </w:p>
    <w:p w14:paraId="0FC31F96">
      <w:pPr>
        <w:adjustRightInd w:val="0"/>
        <w:snapToGrid w:val="0"/>
        <w:spacing w:line="480" w:lineRule="exact"/>
        <w:ind w:firstLine="520"/>
        <w:rPr>
          <w:sz w:val="26"/>
          <w:szCs w:val="26"/>
        </w:rPr>
      </w:pPr>
      <w:r>
        <w:rPr>
          <w:sz w:val="26"/>
          <w:szCs w:val="26"/>
        </w:rPr>
        <w:t>根据《四川省生态功能区划》，项目所在地属于</w:t>
      </w:r>
      <w:r>
        <w:rPr>
          <w:rFonts w:hint="eastAsia"/>
          <w:sz w:val="26"/>
          <w:szCs w:val="26"/>
        </w:rPr>
        <w:t>“</w:t>
      </w:r>
      <w:r>
        <w:rPr>
          <w:sz w:val="26"/>
          <w:szCs w:val="26"/>
        </w:rPr>
        <w:t>四川盆地亚热带湿润气候生态区、Ⅰ-</w:t>
      </w:r>
      <w:r>
        <w:rPr>
          <w:rFonts w:hint="eastAsia"/>
          <w:sz w:val="26"/>
          <w:szCs w:val="26"/>
        </w:rPr>
        <w:t>2</w:t>
      </w:r>
      <w:r>
        <w:rPr>
          <w:sz w:val="26"/>
          <w:szCs w:val="26"/>
        </w:rPr>
        <w:t xml:space="preserve"> </w:t>
      </w:r>
      <w:r>
        <w:rPr>
          <w:rFonts w:hint="eastAsia"/>
          <w:sz w:val="26"/>
          <w:szCs w:val="26"/>
        </w:rPr>
        <w:t>盆中丘陵农林复合生态亚区</w:t>
      </w:r>
      <w:r>
        <w:rPr>
          <w:sz w:val="26"/>
          <w:szCs w:val="26"/>
        </w:rPr>
        <w:t>、I-</w:t>
      </w:r>
      <w:r>
        <w:rPr>
          <w:rFonts w:hint="eastAsia"/>
          <w:sz w:val="26"/>
          <w:szCs w:val="26"/>
        </w:rPr>
        <w:t>2</w:t>
      </w:r>
      <w:r>
        <w:rPr>
          <w:sz w:val="26"/>
          <w:szCs w:val="26"/>
        </w:rPr>
        <w:t>-</w:t>
      </w:r>
      <w:r>
        <w:rPr>
          <w:rFonts w:hint="eastAsia"/>
          <w:sz w:val="26"/>
          <w:szCs w:val="26"/>
        </w:rPr>
        <w:t>2</w:t>
      </w:r>
      <w:r>
        <w:rPr>
          <w:sz w:val="26"/>
          <w:szCs w:val="26"/>
        </w:rPr>
        <w:t xml:space="preserve"> </w:t>
      </w:r>
      <w:r>
        <w:rPr>
          <w:rFonts w:hint="eastAsia"/>
          <w:sz w:val="26"/>
          <w:szCs w:val="26"/>
        </w:rPr>
        <w:t>渠江农业生态功能区”</w:t>
      </w:r>
      <w:r>
        <w:rPr>
          <w:sz w:val="26"/>
          <w:szCs w:val="26"/>
        </w:rPr>
        <w:t>。</w:t>
      </w:r>
    </w:p>
    <w:p w14:paraId="4B9F8559">
      <w:pPr>
        <w:adjustRightInd w:val="0"/>
        <w:snapToGrid w:val="0"/>
        <w:spacing w:line="480" w:lineRule="exact"/>
        <w:ind w:firstLine="520"/>
        <w:rPr>
          <w:sz w:val="26"/>
          <w:szCs w:val="26"/>
        </w:rPr>
      </w:pPr>
      <w:r>
        <w:rPr>
          <w:rFonts w:hint="eastAsia"/>
          <w:sz w:val="26"/>
          <w:szCs w:val="26"/>
        </w:rPr>
        <w:t>I-2-2 渠江农业生态功能区</w:t>
      </w:r>
      <w:r>
        <w:rPr>
          <w:sz w:val="26"/>
          <w:szCs w:val="26"/>
        </w:rPr>
        <w:t>主要生态服务功能为</w:t>
      </w:r>
      <w:r>
        <w:rPr>
          <w:rFonts w:hint="eastAsia"/>
          <w:sz w:val="26"/>
          <w:szCs w:val="26"/>
        </w:rPr>
        <w:t>农产品提供功能，人居保障功能，土壤保持功能</w:t>
      </w:r>
      <w:r>
        <w:rPr>
          <w:sz w:val="26"/>
          <w:szCs w:val="26"/>
        </w:rPr>
        <w:t>；生态保护与发展方向为：</w:t>
      </w:r>
      <w:r>
        <w:rPr>
          <w:rFonts w:hint="eastAsia"/>
          <w:sz w:val="26"/>
          <w:szCs w:val="26"/>
        </w:rPr>
        <w:t>“发挥区域中心城市辐射作用，改善人居环境。巩固长江上游防护林成果。加强水利设施建设，增加保水功能，保护耕地。优化农业结构，发展节水型农业，发展绿色食品产业，发展桑蚕养殖及其加工业。改善农村能源结构，发展沼气等清洁能源。建设现代轻纺、食品、石化工业基地和茶叶生产基地。严防资源开发造成的环境污染和生态破坏,限制高耗水产业，防治农村面源污染和水环境污染，保障饮用水安全”</w:t>
      </w:r>
      <w:r>
        <w:rPr>
          <w:sz w:val="26"/>
          <w:szCs w:val="26"/>
        </w:rPr>
        <w:t>。</w:t>
      </w:r>
    </w:p>
    <w:p w14:paraId="41CB8897">
      <w:pPr>
        <w:adjustRightInd w:val="0"/>
        <w:snapToGrid w:val="0"/>
        <w:spacing w:line="480" w:lineRule="exact"/>
        <w:ind w:firstLine="520"/>
        <w:rPr>
          <w:sz w:val="26"/>
          <w:szCs w:val="26"/>
        </w:rPr>
      </w:pPr>
      <w:r>
        <w:rPr>
          <w:sz w:val="26"/>
          <w:szCs w:val="26"/>
        </w:rPr>
        <w:t>本项目不在禁止开发区，不在重点保护区内，符合《四川省生态功能区划》要求。</w:t>
      </w:r>
    </w:p>
    <w:p w14:paraId="3843D9DB">
      <w:pPr>
        <w:pStyle w:val="702"/>
        <w:ind w:firstLine="522"/>
        <w:rPr>
          <w:rFonts w:cs="Times New Roman"/>
          <w:b/>
        </w:rPr>
      </w:pPr>
      <w:r>
        <w:rPr>
          <w:rFonts w:hint="eastAsia" w:cs="Times New Roman"/>
          <w:b/>
        </w:rPr>
        <w:t>（5）与国土空间规划符合性分析</w:t>
      </w:r>
    </w:p>
    <w:p w14:paraId="1E096799">
      <w:pPr>
        <w:pStyle w:val="702"/>
        <w:ind w:firstLine="522"/>
        <w:rPr>
          <w:rFonts w:cs="Times New Roman"/>
        </w:rPr>
      </w:pPr>
      <w:r>
        <w:rPr>
          <w:rFonts w:hint="eastAsia" w:ascii="宋体" w:hAnsi="宋体"/>
          <w:b/>
          <w:szCs w:val="26"/>
        </w:rPr>
        <w:t>①</w:t>
      </w:r>
      <w:r>
        <w:rPr>
          <w:rFonts w:cs="Times New Roman"/>
          <w:b/>
          <w:bCs/>
          <w:szCs w:val="26"/>
        </w:rPr>
        <w:t>与《四川省国土空间规划（2021</w:t>
      </w:r>
      <w:r>
        <w:rPr>
          <w:rFonts w:hint="eastAsia" w:cs="Times New Roman"/>
          <w:b/>
          <w:bCs/>
          <w:szCs w:val="26"/>
        </w:rPr>
        <w:t>—</w:t>
      </w:r>
      <w:r>
        <w:rPr>
          <w:rFonts w:cs="Times New Roman"/>
          <w:b/>
          <w:bCs/>
          <w:szCs w:val="26"/>
        </w:rPr>
        <w:t>2035年）》符合性分析</w:t>
      </w:r>
    </w:p>
    <w:p w14:paraId="69D82588">
      <w:pPr>
        <w:adjustRightInd w:val="0"/>
        <w:snapToGrid w:val="0"/>
        <w:spacing w:line="480" w:lineRule="exact"/>
        <w:ind w:firstLine="520"/>
        <w:rPr>
          <w:bCs/>
          <w:sz w:val="26"/>
          <w:szCs w:val="26"/>
        </w:rPr>
      </w:pPr>
      <w:r>
        <w:rPr>
          <w:bCs/>
          <w:sz w:val="26"/>
          <w:szCs w:val="26"/>
        </w:rPr>
        <w:t>《四川省国土空间规划（2021</w:t>
      </w:r>
      <w:r>
        <w:rPr>
          <w:rFonts w:hint="eastAsia"/>
          <w:bCs/>
          <w:sz w:val="26"/>
          <w:szCs w:val="26"/>
        </w:rPr>
        <w:t>—</w:t>
      </w:r>
      <w:r>
        <w:rPr>
          <w:bCs/>
          <w:sz w:val="26"/>
          <w:szCs w:val="26"/>
        </w:rPr>
        <w:t>2035年）》中提出：“统筹建设水电、天然气、页岩气、煤层气等清洁能源开发及输配工程，加快推进川渝千亿方天然气基地、川渝1000千伏特高压交流工程等项目建设”</w:t>
      </w:r>
      <w:r>
        <w:rPr>
          <w:rFonts w:hint="eastAsia"/>
          <w:bCs/>
          <w:sz w:val="26"/>
          <w:szCs w:val="26"/>
        </w:rPr>
        <w:t>。</w:t>
      </w:r>
    </w:p>
    <w:p w14:paraId="2424C127">
      <w:pPr>
        <w:adjustRightInd w:val="0"/>
        <w:snapToGrid w:val="0"/>
        <w:spacing w:line="480" w:lineRule="exact"/>
        <w:ind w:firstLine="520"/>
        <w:rPr>
          <w:sz w:val="26"/>
          <w:szCs w:val="26"/>
        </w:rPr>
      </w:pPr>
      <w:r>
        <w:rPr>
          <w:rFonts w:hint="eastAsia"/>
          <w:bCs/>
          <w:sz w:val="26"/>
          <w:szCs w:val="26"/>
        </w:rPr>
        <w:t>本项目为天然气试采工程，为该区域后续产能建设提供依据</w:t>
      </w:r>
      <w:r>
        <w:rPr>
          <w:bCs/>
          <w:sz w:val="26"/>
          <w:szCs w:val="26"/>
        </w:rPr>
        <w:t>，符合《四川省国土空间规划》(2021</w:t>
      </w:r>
      <w:r>
        <w:rPr>
          <w:rFonts w:hint="eastAsia"/>
          <w:bCs/>
          <w:sz w:val="26"/>
          <w:szCs w:val="26"/>
        </w:rPr>
        <w:t>—</w:t>
      </w:r>
      <w:r>
        <w:rPr>
          <w:bCs/>
          <w:sz w:val="26"/>
          <w:szCs w:val="26"/>
        </w:rPr>
        <w:t>2035年)相关要求</w:t>
      </w:r>
      <w:r>
        <w:rPr>
          <w:rFonts w:hint="eastAsia"/>
          <w:bCs/>
          <w:sz w:val="26"/>
          <w:szCs w:val="26"/>
        </w:rPr>
        <w:t>。</w:t>
      </w:r>
    </w:p>
    <w:p w14:paraId="3112BA7A">
      <w:pPr>
        <w:pStyle w:val="702"/>
        <w:ind w:firstLine="522"/>
        <w:rPr>
          <w:rFonts w:cs="Times New Roman"/>
        </w:rPr>
      </w:pPr>
      <w:r>
        <w:rPr>
          <w:rFonts w:hint="eastAsia" w:ascii="宋体" w:hAnsi="宋体"/>
          <w:b/>
          <w:szCs w:val="26"/>
        </w:rPr>
        <w:t>②</w:t>
      </w:r>
      <w:r>
        <w:rPr>
          <w:rFonts w:cs="Times New Roman"/>
          <w:b/>
          <w:szCs w:val="26"/>
        </w:rPr>
        <w:t>与《</w:t>
      </w:r>
      <w:r>
        <w:rPr>
          <w:rFonts w:hint="eastAsia" w:cs="Times New Roman"/>
          <w:b/>
          <w:szCs w:val="26"/>
        </w:rPr>
        <w:t>巴中市</w:t>
      </w:r>
      <w:r>
        <w:rPr>
          <w:rFonts w:cs="Times New Roman"/>
          <w:b/>
          <w:szCs w:val="26"/>
        </w:rPr>
        <w:t>国土空间</w:t>
      </w:r>
      <w:r>
        <w:rPr>
          <w:rFonts w:hint="eastAsia" w:cs="Times New Roman"/>
          <w:b/>
          <w:szCs w:val="26"/>
        </w:rPr>
        <w:t>总体</w:t>
      </w:r>
      <w:r>
        <w:rPr>
          <w:rFonts w:cs="Times New Roman"/>
          <w:b/>
          <w:szCs w:val="26"/>
        </w:rPr>
        <w:t>规划（2021</w:t>
      </w:r>
      <w:r>
        <w:rPr>
          <w:rFonts w:hint="eastAsia" w:cs="Times New Roman"/>
          <w:b/>
          <w:szCs w:val="26"/>
        </w:rPr>
        <w:t>—</w:t>
      </w:r>
      <w:r>
        <w:rPr>
          <w:rFonts w:cs="Times New Roman"/>
          <w:b/>
          <w:szCs w:val="26"/>
        </w:rPr>
        <w:t>2035年）》符合性分析</w:t>
      </w:r>
    </w:p>
    <w:p w14:paraId="3688B4D6">
      <w:pPr>
        <w:adjustRightInd w:val="0"/>
        <w:snapToGrid w:val="0"/>
        <w:spacing w:line="480" w:lineRule="exact"/>
        <w:ind w:firstLine="520"/>
        <w:rPr>
          <w:sz w:val="26"/>
          <w:szCs w:val="26"/>
        </w:rPr>
      </w:pPr>
      <w:r>
        <w:rPr>
          <w:sz w:val="26"/>
          <w:szCs w:val="26"/>
        </w:rPr>
        <w:t>《巴中市国土空间总体规划（2021</w:t>
      </w:r>
      <w:r>
        <w:rPr>
          <w:rFonts w:hint="eastAsia"/>
          <w:sz w:val="26"/>
          <w:szCs w:val="26"/>
        </w:rPr>
        <w:t>—</w:t>
      </w:r>
      <w:r>
        <w:rPr>
          <w:sz w:val="26"/>
          <w:szCs w:val="26"/>
        </w:rPr>
        <w:t>2035年）》提出：强化矿产资源开发预控，落实国家能源资源基地“四川盆地涪陵油气”面积2994.67平方千米，国家规划矿区</w:t>
      </w:r>
      <w:r>
        <w:rPr>
          <w:rFonts w:hint="eastAsia"/>
          <w:sz w:val="26"/>
          <w:szCs w:val="26"/>
        </w:rPr>
        <w:t>“</w:t>
      </w:r>
      <w:r>
        <w:rPr>
          <w:sz w:val="26"/>
          <w:szCs w:val="26"/>
        </w:rPr>
        <w:t>四川绵阳—成都—南充油气</w:t>
      </w:r>
      <w:r>
        <w:rPr>
          <w:rFonts w:hint="eastAsia"/>
          <w:sz w:val="26"/>
          <w:szCs w:val="26"/>
        </w:rPr>
        <w:t>”</w:t>
      </w:r>
      <w:r>
        <w:rPr>
          <w:sz w:val="26"/>
          <w:szCs w:val="26"/>
        </w:rPr>
        <w:t>面积60.93平方千米，</w:t>
      </w:r>
      <w:r>
        <w:rPr>
          <w:rFonts w:hint="eastAsia"/>
          <w:sz w:val="26"/>
          <w:szCs w:val="26"/>
        </w:rPr>
        <w:t>“</w:t>
      </w:r>
      <w:r>
        <w:rPr>
          <w:sz w:val="26"/>
          <w:szCs w:val="26"/>
        </w:rPr>
        <w:t>四川盆地广元—达州油气</w:t>
      </w:r>
      <w:r>
        <w:rPr>
          <w:rFonts w:hint="eastAsia"/>
          <w:sz w:val="26"/>
          <w:szCs w:val="26"/>
        </w:rPr>
        <w:t>”</w:t>
      </w:r>
      <w:r>
        <w:rPr>
          <w:sz w:val="26"/>
          <w:szCs w:val="26"/>
        </w:rPr>
        <w:t>覆盖巴中市全域，</w:t>
      </w:r>
      <w:r>
        <w:rPr>
          <w:rFonts w:hint="eastAsia"/>
          <w:sz w:val="26"/>
          <w:szCs w:val="26"/>
        </w:rPr>
        <w:t>“</w:t>
      </w:r>
      <w:r>
        <w:rPr>
          <w:sz w:val="26"/>
          <w:szCs w:val="26"/>
        </w:rPr>
        <w:t>四川南江尖山—旺苍大河坝石墨矿</w:t>
      </w:r>
      <w:r>
        <w:rPr>
          <w:rFonts w:hint="eastAsia"/>
          <w:sz w:val="26"/>
          <w:szCs w:val="26"/>
        </w:rPr>
        <w:t>”</w:t>
      </w:r>
      <w:r>
        <w:rPr>
          <w:sz w:val="26"/>
          <w:szCs w:val="26"/>
        </w:rPr>
        <w:t>面积105.26平方千米。严格按照《中华人民共和国矿产资源法》《巴中市矿产资源总体规划》等相关法律和规划进行管控</w:t>
      </w:r>
      <w:r>
        <w:rPr>
          <w:rFonts w:hint="eastAsia"/>
          <w:sz w:val="26"/>
          <w:szCs w:val="26"/>
        </w:rPr>
        <w:t>。</w:t>
      </w:r>
    </w:p>
    <w:p w14:paraId="358E3967">
      <w:pPr>
        <w:adjustRightInd w:val="0"/>
        <w:snapToGrid w:val="0"/>
        <w:spacing w:line="480" w:lineRule="exact"/>
        <w:ind w:firstLine="520"/>
        <w:rPr>
          <w:sz w:val="26"/>
          <w:szCs w:val="26"/>
        </w:rPr>
      </w:pPr>
      <w:r>
        <w:rPr>
          <w:rFonts w:hint="eastAsia"/>
          <w:bCs/>
          <w:sz w:val="26"/>
          <w:szCs w:val="26"/>
        </w:rPr>
        <w:t>本项目属于天然气清洁能源项目，为国家重点勘查矿种，项目的建设有利于保障国家能源安全与矿业发展，符合《巴中市国土空间总体规划（2021—2035年）》相关要求。</w:t>
      </w:r>
    </w:p>
    <w:p w14:paraId="2C3CFF15">
      <w:pPr>
        <w:pStyle w:val="702"/>
        <w:ind w:firstLine="522"/>
        <w:outlineLvl w:val="2"/>
        <w:rPr>
          <w:rFonts w:cs="Times New Roman"/>
        </w:rPr>
      </w:pPr>
      <w:bookmarkStart w:id="104" w:name="_Toc165810472"/>
      <w:r>
        <w:rPr>
          <w:rFonts w:cs="Times New Roman"/>
          <w:b/>
        </w:rPr>
        <w:t>1.7.3 “</w:t>
      </w:r>
      <w:r>
        <w:rPr>
          <w:rFonts w:hint="eastAsia" w:cs="Times New Roman"/>
          <w:b/>
        </w:rPr>
        <w:t>生态环境分区管控</w:t>
      </w:r>
      <w:r>
        <w:rPr>
          <w:rFonts w:cs="Times New Roman"/>
          <w:b/>
        </w:rPr>
        <w:t>”符合性分析</w:t>
      </w:r>
      <w:bookmarkEnd w:id="104"/>
    </w:p>
    <w:p w14:paraId="3B129A3A">
      <w:pPr>
        <w:pStyle w:val="702"/>
        <w:ind w:firstLine="522"/>
        <w:rPr>
          <w:rFonts w:cs="Times New Roman"/>
          <w:b/>
        </w:rPr>
      </w:pPr>
      <w:r>
        <w:rPr>
          <w:rFonts w:hint="eastAsia" w:cs="Times New Roman"/>
          <w:b/>
        </w:rPr>
        <w:t>（1）与四川省和巴中市生态环境分区管控相关文件符合性分析</w:t>
      </w:r>
    </w:p>
    <w:p w14:paraId="53B3757E">
      <w:pPr>
        <w:pStyle w:val="702"/>
        <w:ind w:firstLine="520"/>
        <w:rPr>
          <w:rFonts w:cs="Times New Roman"/>
        </w:rPr>
      </w:pPr>
      <w:r>
        <w:rPr>
          <w:rFonts w:hint="eastAsia" w:cs="Times New Roman"/>
        </w:rPr>
        <w:t>根据《四川省生态环境厅关于公布四川省生态环境分区管控动态更新成果（2023年版）的通知》（川环函〔2024〕409号）、《巴中市生态环境保护委员会办公室关于加强生态环境分区管控的通知》（巴环委办〔2024〕3号），对建设项目与该文件符合性分析如下。</w:t>
      </w:r>
    </w:p>
    <w:p w14:paraId="26AF351F">
      <w:pPr>
        <w:adjustRightInd w:val="0"/>
        <w:snapToGrid w:val="0"/>
        <w:spacing w:line="460" w:lineRule="exact"/>
        <w:ind w:firstLine="522" w:firstLineChars="200"/>
        <w:rPr>
          <w:b/>
          <w:sz w:val="26"/>
          <w:szCs w:val="26"/>
        </w:rPr>
      </w:pPr>
      <w:r>
        <w:rPr>
          <w:b/>
          <w:sz w:val="26"/>
          <w:szCs w:val="26"/>
        </w:rPr>
        <w:fldChar w:fldCharType="begin"/>
      </w:r>
      <w:r>
        <w:rPr>
          <w:b/>
          <w:sz w:val="26"/>
          <w:szCs w:val="26"/>
        </w:rPr>
        <w:instrText xml:space="preserve"> </w:instrText>
      </w:r>
      <w:r>
        <w:rPr>
          <w:rFonts w:hint="eastAsia"/>
          <w:b/>
          <w:sz w:val="26"/>
          <w:szCs w:val="26"/>
        </w:rPr>
        <w:instrText xml:space="preserve">= 1 \* GB3</w:instrText>
      </w:r>
      <w:r>
        <w:rPr>
          <w:b/>
          <w:sz w:val="26"/>
          <w:szCs w:val="26"/>
        </w:rPr>
        <w:instrText xml:space="preserve"> </w:instrText>
      </w:r>
      <w:r>
        <w:rPr>
          <w:b/>
          <w:sz w:val="26"/>
          <w:szCs w:val="26"/>
        </w:rPr>
        <w:fldChar w:fldCharType="separate"/>
      </w:r>
      <w:r>
        <w:rPr>
          <w:rFonts w:hint="eastAsia"/>
          <w:b/>
          <w:sz w:val="26"/>
          <w:szCs w:val="26"/>
        </w:rPr>
        <w:t>①</w:t>
      </w:r>
      <w:r>
        <w:rPr>
          <w:b/>
          <w:sz w:val="26"/>
          <w:szCs w:val="26"/>
        </w:rPr>
        <w:fldChar w:fldCharType="end"/>
      </w:r>
      <w:r>
        <w:rPr>
          <w:rFonts w:hint="eastAsia"/>
          <w:b/>
          <w:sz w:val="26"/>
          <w:szCs w:val="26"/>
        </w:rPr>
        <w:t>与《四川省生态环境厅关于公布四川省生态环境分区管控动态更新成果（2023年版）的通知》（川环函〔2024〕409号）的符合性分析</w:t>
      </w:r>
    </w:p>
    <w:p w14:paraId="2A95B1A4">
      <w:pPr>
        <w:pStyle w:val="1379"/>
        <w:ind w:firstLine="440"/>
      </w:pPr>
    </w:p>
    <w:p w14:paraId="4BCCB014">
      <w:pPr>
        <w:pStyle w:val="1065"/>
      </w:pPr>
      <w:r>
        <w:t>表1.7-9  与全省生态环境管控要求符合性分析</w:t>
      </w:r>
    </w:p>
    <w:tbl>
      <w:tblPr>
        <w:tblStyle w:val="88"/>
        <w:tblW w:w="8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1138"/>
        <w:gridCol w:w="4713"/>
        <w:gridCol w:w="2142"/>
        <w:gridCol w:w="547"/>
      </w:tblGrid>
      <w:tr w14:paraId="3B650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1138" w:type="dxa"/>
            <w:vAlign w:val="center"/>
          </w:tcPr>
          <w:p w14:paraId="068BBE65">
            <w:pPr>
              <w:widowControl/>
              <w:kinsoku w:val="0"/>
              <w:adjustRightInd w:val="0"/>
              <w:snapToGrid w:val="0"/>
              <w:jc w:val="center"/>
              <w:textAlignment w:val="baseline"/>
              <w:rPr>
                <w:spacing w:val="-4"/>
                <w:kern w:val="0"/>
                <w:sz w:val="22"/>
                <w:szCs w:val="22"/>
              </w:rPr>
            </w:pPr>
            <w:r>
              <w:rPr>
                <w:spacing w:val="-4"/>
                <w:kern w:val="0"/>
                <w:sz w:val="22"/>
                <w:szCs w:val="22"/>
              </w:rPr>
              <w:t>类别</w:t>
            </w:r>
          </w:p>
        </w:tc>
        <w:tc>
          <w:tcPr>
            <w:tcW w:w="4713" w:type="dxa"/>
            <w:vAlign w:val="center"/>
          </w:tcPr>
          <w:p w14:paraId="3A13D4FA">
            <w:pPr>
              <w:widowControl/>
              <w:kinsoku w:val="0"/>
              <w:adjustRightInd w:val="0"/>
              <w:snapToGrid w:val="0"/>
              <w:jc w:val="center"/>
              <w:textAlignment w:val="baseline"/>
              <w:rPr>
                <w:spacing w:val="-4"/>
                <w:kern w:val="0"/>
                <w:sz w:val="22"/>
                <w:szCs w:val="22"/>
              </w:rPr>
            </w:pPr>
            <w:r>
              <w:rPr>
                <w:spacing w:val="-4"/>
                <w:kern w:val="0"/>
                <w:sz w:val="22"/>
                <w:szCs w:val="22"/>
              </w:rPr>
              <w:t>管控要求</w:t>
            </w:r>
          </w:p>
        </w:tc>
        <w:tc>
          <w:tcPr>
            <w:tcW w:w="2142" w:type="dxa"/>
            <w:vAlign w:val="center"/>
          </w:tcPr>
          <w:p w14:paraId="25DE3BB6">
            <w:pPr>
              <w:widowControl/>
              <w:kinsoku w:val="0"/>
              <w:adjustRightInd w:val="0"/>
              <w:snapToGrid w:val="0"/>
              <w:jc w:val="center"/>
              <w:textAlignment w:val="baseline"/>
              <w:rPr>
                <w:spacing w:val="-4"/>
                <w:kern w:val="0"/>
                <w:sz w:val="22"/>
                <w:szCs w:val="22"/>
              </w:rPr>
            </w:pPr>
            <w:r>
              <w:rPr>
                <w:spacing w:val="-4"/>
                <w:kern w:val="0"/>
                <w:sz w:val="22"/>
                <w:szCs w:val="22"/>
              </w:rPr>
              <w:t>本项目</w:t>
            </w:r>
          </w:p>
        </w:tc>
        <w:tc>
          <w:tcPr>
            <w:tcW w:w="547" w:type="dxa"/>
            <w:vAlign w:val="center"/>
          </w:tcPr>
          <w:p w14:paraId="59A57421">
            <w:pPr>
              <w:widowControl/>
              <w:kinsoku w:val="0"/>
              <w:adjustRightInd w:val="0"/>
              <w:snapToGrid w:val="0"/>
              <w:jc w:val="center"/>
              <w:textAlignment w:val="baseline"/>
              <w:rPr>
                <w:spacing w:val="-4"/>
                <w:kern w:val="0"/>
                <w:sz w:val="22"/>
                <w:szCs w:val="22"/>
              </w:rPr>
            </w:pPr>
            <w:r>
              <w:rPr>
                <w:spacing w:val="-4"/>
                <w:kern w:val="0"/>
                <w:sz w:val="22"/>
                <w:szCs w:val="22"/>
              </w:rPr>
              <w:t>符合性</w:t>
            </w:r>
          </w:p>
        </w:tc>
      </w:tr>
      <w:tr w14:paraId="4C0C0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1138" w:type="dxa"/>
            <w:vAlign w:val="center"/>
          </w:tcPr>
          <w:p w14:paraId="2EAF9762">
            <w:pPr>
              <w:widowControl/>
              <w:kinsoku w:val="0"/>
              <w:adjustRightInd w:val="0"/>
              <w:snapToGrid w:val="0"/>
              <w:jc w:val="center"/>
              <w:textAlignment w:val="baseline"/>
              <w:rPr>
                <w:spacing w:val="-4"/>
                <w:kern w:val="0"/>
                <w:sz w:val="22"/>
                <w:szCs w:val="22"/>
              </w:rPr>
            </w:pPr>
            <w:r>
              <w:rPr>
                <w:spacing w:val="-4"/>
                <w:kern w:val="0"/>
                <w:sz w:val="22"/>
                <w:szCs w:val="22"/>
              </w:rPr>
              <w:t>四川省总体生态环境管控要求</w:t>
            </w:r>
          </w:p>
        </w:tc>
        <w:tc>
          <w:tcPr>
            <w:tcW w:w="4713" w:type="dxa"/>
            <w:vAlign w:val="center"/>
          </w:tcPr>
          <w:p w14:paraId="214F45CC">
            <w:pPr>
              <w:widowControl/>
              <w:kinsoku w:val="0"/>
              <w:adjustRightInd w:val="0"/>
              <w:snapToGrid w:val="0"/>
              <w:textAlignment w:val="baseline"/>
              <w:rPr>
                <w:spacing w:val="-4"/>
                <w:kern w:val="0"/>
                <w:sz w:val="22"/>
                <w:szCs w:val="22"/>
              </w:rPr>
            </w:pPr>
            <w:r>
              <w:rPr>
                <w:rFonts w:hint="eastAsia"/>
                <w:spacing w:val="-4"/>
                <w:kern w:val="0"/>
                <w:sz w:val="22"/>
                <w:szCs w:val="22"/>
              </w:rPr>
              <w:t>1．</w:t>
            </w:r>
            <w:r>
              <w:rPr>
                <w:kern w:val="0"/>
                <w:sz w:val="22"/>
                <w:szCs w:val="22"/>
              </w:rPr>
              <w:t>优先保护单元中，应以生态环境保护优先为原则，严格执行相关法律法规要求，严守生态环境质量底线，确保生态环境功能不降低</w:t>
            </w:r>
            <w:r>
              <w:rPr>
                <w:spacing w:val="-4"/>
                <w:kern w:val="0"/>
                <w:sz w:val="22"/>
                <w:szCs w:val="22"/>
              </w:rPr>
              <w:t>。</w:t>
            </w:r>
          </w:p>
          <w:p w14:paraId="7935699D">
            <w:pPr>
              <w:widowControl/>
              <w:kinsoku w:val="0"/>
              <w:adjustRightInd w:val="0"/>
              <w:snapToGrid w:val="0"/>
              <w:textAlignment w:val="baseline"/>
              <w:rPr>
                <w:spacing w:val="-4"/>
                <w:kern w:val="0"/>
                <w:sz w:val="22"/>
                <w:szCs w:val="22"/>
              </w:rPr>
            </w:pPr>
            <w:r>
              <w:rPr>
                <w:spacing w:val="-4"/>
                <w:kern w:val="0"/>
                <w:sz w:val="22"/>
                <w:szCs w:val="22"/>
              </w:rPr>
              <w:t>2</w:t>
            </w:r>
            <w:r>
              <w:rPr>
                <w:rFonts w:hint="eastAsia"/>
                <w:spacing w:val="-4"/>
                <w:kern w:val="0"/>
                <w:sz w:val="22"/>
                <w:szCs w:val="22"/>
              </w:rPr>
              <w:t>．</w:t>
            </w:r>
            <w:r>
              <w:rPr>
                <w:spacing w:val="-4"/>
                <w:kern w:val="0"/>
                <w:sz w:val="22"/>
                <w:szCs w:val="22"/>
              </w:rPr>
              <w:t>重点管控单元中，针对环境质量是否达标以及经济社会发展水平等因素，制定差别化的生态环境准入要求，对环境质量不达标区域，提出污染物削减比例要求，对环境质量达标区域，提出允许排放量建议指标。</w:t>
            </w:r>
          </w:p>
          <w:p w14:paraId="1121A952">
            <w:pPr>
              <w:widowControl/>
              <w:kinsoku w:val="0"/>
              <w:adjustRightInd w:val="0"/>
              <w:snapToGrid w:val="0"/>
              <w:textAlignment w:val="baseline"/>
              <w:rPr>
                <w:spacing w:val="-4"/>
                <w:kern w:val="0"/>
                <w:sz w:val="22"/>
                <w:szCs w:val="22"/>
              </w:rPr>
            </w:pPr>
            <w:r>
              <w:rPr>
                <w:spacing w:val="-4"/>
                <w:kern w:val="0"/>
                <w:sz w:val="22"/>
                <w:szCs w:val="22"/>
              </w:rPr>
              <w:t>3</w:t>
            </w:r>
            <w:r>
              <w:rPr>
                <w:rFonts w:hint="eastAsia"/>
                <w:spacing w:val="-4"/>
                <w:kern w:val="0"/>
                <w:sz w:val="22"/>
                <w:szCs w:val="22"/>
              </w:rPr>
              <w:t>．</w:t>
            </w:r>
            <w:r>
              <w:rPr>
                <w:spacing w:val="-4"/>
                <w:kern w:val="0"/>
                <w:sz w:val="22"/>
                <w:szCs w:val="22"/>
              </w:rPr>
              <w:t>一般管控单元中，</w:t>
            </w:r>
            <w:r>
              <w:rPr>
                <w:kern w:val="0"/>
                <w:sz w:val="22"/>
                <w:szCs w:val="22"/>
              </w:rPr>
              <w:t>执行区域生态环境保护的基本要求，重点加强农业、生活等领域污染治理</w:t>
            </w:r>
            <w:r>
              <w:rPr>
                <w:spacing w:val="-4"/>
                <w:kern w:val="0"/>
                <w:sz w:val="22"/>
                <w:szCs w:val="22"/>
              </w:rPr>
              <w:t>。</w:t>
            </w:r>
          </w:p>
        </w:tc>
        <w:tc>
          <w:tcPr>
            <w:tcW w:w="2142" w:type="dxa"/>
            <w:vAlign w:val="center"/>
          </w:tcPr>
          <w:p w14:paraId="536956E0">
            <w:pPr>
              <w:widowControl/>
              <w:kinsoku w:val="0"/>
              <w:adjustRightInd w:val="0"/>
              <w:snapToGrid w:val="0"/>
              <w:textAlignment w:val="baseline"/>
              <w:rPr>
                <w:kern w:val="0"/>
                <w:sz w:val="22"/>
                <w:szCs w:val="22"/>
              </w:rPr>
            </w:pPr>
            <w:r>
              <w:rPr>
                <w:rFonts w:hint="eastAsia"/>
                <w:kern w:val="0"/>
                <w:sz w:val="22"/>
                <w:szCs w:val="22"/>
              </w:rPr>
              <w:t>本项目为天然气试采站建设项目，位于恩阳区一般管控单元，试采工程为临时设施，不涉及总量控制指标，在采取环评提出的污染防治措施后，污染物达标排放</w:t>
            </w:r>
            <w:r>
              <w:rPr>
                <w:kern w:val="0"/>
                <w:sz w:val="22"/>
                <w:szCs w:val="22"/>
              </w:rPr>
              <w:t>，满足生态环境</w:t>
            </w:r>
            <w:r>
              <w:rPr>
                <w:rFonts w:hint="eastAsia"/>
                <w:kern w:val="0"/>
                <w:sz w:val="22"/>
                <w:szCs w:val="22"/>
              </w:rPr>
              <w:t>总体管控</w:t>
            </w:r>
            <w:r>
              <w:rPr>
                <w:kern w:val="0"/>
                <w:sz w:val="22"/>
                <w:szCs w:val="22"/>
              </w:rPr>
              <w:t>要求。</w:t>
            </w:r>
          </w:p>
        </w:tc>
        <w:tc>
          <w:tcPr>
            <w:tcW w:w="547" w:type="dxa"/>
            <w:vAlign w:val="center"/>
          </w:tcPr>
          <w:p w14:paraId="0B36B009">
            <w:pPr>
              <w:widowControl/>
              <w:kinsoku w:val="0"/>
              <w:adjustRightInd w:val="0"/>
              <w:snapToGrid w:val="0"/>
              <w:jc w:val="center"/>
              <w:textAlignment w:val="baseline"/>
              <w:rPr>
                <w:spacing w:val="-4"/>
                <w:kern w:val="0"/>
                <w:sz w:val="22"/>
                <w:szCs w:val="22"/>
              </w:rPr>
            </w:pPr>
            <w:r>
              <w:rPr>
                <w:spacing w:val="-4"/>
                <w:kern w:val="0"/>
                <w:sz w:val="22"/>
                <w:szCs w:val="22"/>
              </w:rPr>
              <w:t>符合</w:t>
            </w:r>
          </w:p>
        </w:tc>
      </w:tr>
      <w:tr w14:paraId="46EEE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1462" w:hRule="atLeast"/>
          <w:jc w:val="center"/>
        </w:trPr>
        <w:tc>
          <w:tcPr>
            <w:tcW w:w="1138" w:type="dxa"/>
            <w:vAlign w:val="center"/>
          </w:tcPr>
          <w:p w14:paraId="04BDA81D">
            <w:pPr>
              <w:widowControl/>
              <w:kinsoku w:val="0"/>
              <w:adjustRightInd w:val="0"/>
              <w:snapToGrid w:val="0"/>
              <w:jc w:val="center"/>
              <w:textAlignment w:val="baseline"/>
              <w:rPr>
                <w:spacing w:val="-4"/>
                <w:kern w:val="0"/>
                <w:sz w:val="22"/>
                <w:szCs w:val="22"/>
              </w:rPr>
            </w:pPr>
            <w:r>
              <w:rPr>
                <w:rFonts w:hint="eastAsia"/>
                <w:spacing w:val="-4"/>
                <w:sz w:val="22"/>
                <w:szCs w:val="22"/>
              </w:rPr>
              <w:t>五大经济区总体生态环境管控要求（川东北经济区）</w:t>
            </w:r>
          </w:p>
        </w:tc>
        <w:tc>
          <w:tcPr>
            <w:tcW w:w="4713" w:type="dxa"/>
            <w:vAlign w:val="center"/>
          </w:tcPr>
          <w:p w14:paraId="7AE7041F">
            <w:pPr>
              <w:widowControl/>
              <w:kinsoku w:val="0"/>
              <w:adjustRightInd w:val="0"/>
              <w:snapToGrid w:val="0"/>
              <w:textAlignment w:val="baseline"/>
              <w:rPr>
                <w:spacing w:val="-4"/>
                <w:sz w:val="22"/>
                <w:szCs w:val="22"/>
              </w:rPr>
            </w:pPr>
            <w:r>
              <w:rPr>
                <w:rFonts w:hint="eastAsia"/>
                <w:spacing w:val="-4"/>
                <w:sz w:val="22"/>
                <w:szCs w:val="22"/>
              </w:rPr>
              <w:t>1.控制农村面源污染，提高污水收集处理率，加快乡镇污水处理基础设施建设。</w:t>
            </w:r>
          </w:p>
          <w:p w14:paraId="0B96242F">
            <w:pPr>
              <w:widowControl/>
              <w:kinsoku w:val="0"/>
              <w:adjustRightInd w:val="0"/>
              <w:snapToGrid w:val="0"/>
              <w:textAlignment w:val="baseline"/>
              <w:rPr>
                <w:spacing w:val="-4"/>
                <w:sz w:val="22"/>
                <w:szCs w:val="22"/>
              </w:rPr>
            </w:pPr>
            <w:r>
              <w:rPr>
                <w:rFonts w:hint="eastAsia"/>
                <w:spacing w:val="-4"/>
                <w:sz w:val="22"/>
                <w:szCs w:val="22"/>
              </w:rPr>
              <w:t>2.建设流域水环境风险联防联控体系。</w:t>
            </w:r>
          </w:p>
          <w:p w14:paraId="19F6C990">
            <w:pPr>
              <w:widowControl/>
              <w:kinsoku w:val="0"/>
              <w:adjustRightInd w:val="0"/>
              <w:snapToGrid w:val="0"/>
              <w:textAlignment w:val="baseline"/>
              <w:rPr>
                <w:spacing w:val="-4"/>
                <w:kern w:val="0"/>
                <w:sz w:val="22"/>
                <w:szCs w:val="22"/>
              </w:rPr>
            </w:pPr>
            <w:r>
              <w:rPr>
                <w:spacing w:val="-4"/>
                <w:sz w:val="22"/>
                <w:szCs w:val="22"/>
              </w:rPr>
              <w:t>3</w:t>
            </w:r>
            <w:r>
              <w:rPr>
                <w:rFonts w:hint="eastAsia"/>
                <w:spacing w:val="-4"/>
                <w:sz w:val="22"/>
                <w:szCs w:val="22"/>
              </w:rPr>
              <w:t>.提高大气污染治理水平。</w:t>
            </w:r>
          </w:p>
        </w:tc>
        <w:tc>
          <w:tcPr>
            <w:tcW w:w="2142" w:type="dxa"/>
            <w:vAlign w:val="center"/>
          </w:tcPr>
          <w:p w14:paraId="2B9F4C6A">
            <w:pPr>
              <w:widowControl/>
              <w:kinsoku w:val="0"/>
              <w:adjustRightInd w:val="0"/>
              <w:snapToGrid w:val="0"/>
              <w:textAlignment w:val="baseline"/>
              <w:rPr>
                <w:kern w:val="0"/>
                <w:sz w:val="22"/>
                <w:szCs w:val="22"/>
              </w:rPr>
            </w:pPr>
            <w:r>
              <w:rPr>
                <w:rFonts w:hint="eastAsia"/>
                <w:kern w:val="0"/>
                <w:sz w:val="22"/>
                <w:szCs w:val="22"/>
              </w:rPr>
              <w:t>本项目不涉及农村面源污染，试采期无废水直接外排，废气达标排放，环境风险可控，满足川东北经济区整体要求。</w:t>
            </w:r>
          </w:p>
        </w:tc>
        <w:tc>
          <w:tcPr>
            <w:tcW w:w="547" w:type="dxa"/>
            <w:vAlign w:val="center"/>
          </w:tcPr>
          <w:p w14:paraId="194353B4">
            <w:pPr>
              <w:kinsoku w:val="0"/>
              <w:adjustRightInd w:val="0"/>
              <w:snapToGrid w:val="0"/>
              <w:jc w:val="center"/>
              <w:textAlignment w:val="baseline"/>
              <w:rPr>
                <w:spacing w:val="-4"/>
                <w:kern w:val="0"/>
                <w:sz w:val="22"/>
                <w:szCs w:val="22"/>
              </w:rPr>
            </w:pPr>
            <w:r>
              <w:rPr>
                <w:spacing w:val="-4"/>
                <w:kern w:val="0"/>
                <w:sz w:val="22"/>
                <w:szCs w:val="22"/>
              </w:rPr>
              <w:t>符合</w:t>
            </w:r>
          </w:p>
        </w:tc>
      </w:tr>
    </w:tbl>
    <w:p w14:paraId="5647FA88">
      <w:pPr>
        <w:pStyle w:val="1379"/>
        <w:ind w:firstLine="440"/>
      </w:pPr>
    </w:p>
    <w:p w14:paraId="226310C5">
      <w:pPr>
        <w:pStyle w:val="702"/>
        <w:ind w:firstLine="522"/>
        <w:rPr>
          <w:rFonts w:cs="Times New Roman"/>
        </w:rPr>
      </w:pPr>
      <w:r>
        <w:rPr>
          <w:rFonts w:hint="eastAsia" w:cs="Times New Roman"/>
          <w:b/>
        </w:rPr>
        <w:t>②与</w:t>
      </w:r>
      <w:bookmarkStart w:id="105" w:name="OLE_LINK43"/>
      <w:bookmarkStart w:id="106" w:name="OLE_LINK42"/>
      <w:r>
        <w:rPr>
          <w:rFonts w:hint="eastAsia" w:cs="Times New Roman"/>
          <w:b/>
        </w:rPr>
        <w:t>《巴中市生态环境保护委员会办公室关于加强生态环境分区管控的通知》（巴环委办〔2024〕3号）</w:t>
      </w:r>
      <w:bookmarkEnd w:id="105"/>
      <w:bookmarkEnd w:id="106"/>
      <w:r>
        <w:rPr>
          <w:rFonts w:hint="eastAsia"/>
          <w:b/>
          <w:szCs w:val="26"/>
        </w:rPr>
        <w:t>的符合性分析</w:t>
      </w:r>
    </w:p>
    <w:p w14:paraId="4D87157B">
      <w:pPr>
        <w:pStyle w:val="702"/>
        <w:ind w:firstLine="520"/>
        <w:rPr>
          <w:rFonts w:cs="Times New Roman"/>
        </w:rPr>
      </w:pPr>
      <w:r>
        <w:rPr>
          <w:rFonts w:hint="eastAsia" w:cs="Times New Roman"/>
        </w:rPr>
        <w:t>根据文件，针对巴中市全市总体生态环境管控提出了相关要求。本项目与“巴环委办〔2024〕3号”的符合性分析详见下表。</w:t>
      </w:r>
    </w:p>
    <w:p w14:paraId="524FE733">
      <w:pPr>
        <w:pStyle w:val="1379"/>
        <w:ind w:firstLine="440"/>
      </w:pPr>
    </w:p>
    <w:p w14:paraId="5E656F5C">
      <w:pPr>
        <w:pStyle w:val="1065"/>
      </w:pPr>
      <w:r>
        <w:t xml:space="preserve">表1.7-10  </w:t>
      </w:r>
      <w:r>
        <w:rPr>
          <w:rFonts w:hint="eastAsia"/>
        </w:rPr>
        <w:t>与巴中市及恩阳区总体管控要求符合性分析</w:t>
      </w:r>
    </w:p>
    <w:tbl>
      <w:tblPr>
        <w:tblStyle w:val="88"/>
        <w:tblW w:w="8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566"/>
        <w:gridCol w:w="2427"/>
        <w:gridCol w:w="793"/>
      </w:tblGrid>
      <w:tr w14:paraId="3B8A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566" w:type="dxa"/>
            <w:vAlign w:val="center"/>
          </w:tcPr>
          <w:p w14:paraId="746E0279">
            <w:pPr>
              <w:autoSpaceDE w:val="0"/>
              <w:autoSpaceDN w:val="0"/>
              <w:adjustRightInd w:val="0"/>
              <w:snapToGrid w:val="0"/>
              <w:jc w:val="center"/>
              <w:rPr>
                <w:kern w:val="0"/>
                <w:sz w:val="22"/>
                <w:szCs w:val="22"/>
              </w:rPr>
            </w:pPr>
            <w:r>
              <w:rPr>
                <w:rFonts w:hint="eastAsia"/>
                <w:kern w:val="0"/>
                <w:sz w:val="22"/>
                <w:szCs w:val="22"/>
              </w:rPr>
              <w:t>巴中市总体管控要求</w:t>
            </w:r>
          </w:p>
        </w:tc>
        <w:tc>
          <w:tcPr>
            <w:tcW w:w="2427" w:type="dxa"/>
            <w:vAlign w:val="center"/>
          </w:tcPr>
          <w:p w14:paraId="3B61C4EF">
            <w:pPr>
              <w:autoSpaceDE w:val="0"/>
              <w:autoSpaceDN w:val="0"/>
              <w:adjustRightInd w:val="0"/>
              <w:snapToGrid w:val="0"/>
              <w:jc w:val="center"/>
              <w:rPr>
                <w:kern w:val="0"/>
                <w:sz w:val="22"/>
                <w:szCs w:val="22"/>
              </w:rPr>
            </w:pPr>
            <w:r>
              <w:rPr>
                <w:rFonts w:hint="eastAsia"/>
                <w:kern w:val="0"/>
                <w:sz w:val="22"/>
                <w:szCs w:val="22"/>
              </w:rPr>
              <w:t>本项目</w:t>
            </w:r>
          </w:p>
        </w:tc>
        <w:tc>
          <w:tcPr>
            <w:tcW w:w="793" w:type="dxa"/>
            <w:vAlign w:val="center"/>
          </w:tcPr>
          <w:p w14:paraId="30CCCABC">
            <w:pPr>
              <w:autoSpaceDE w:val="0"/>
              <w:autoSpaceDN w:val="0"/>
              <w:adjustRightInd w:val="0"/>
              <w:snapToGrid w:val="0"/>
              <w:jc w:val="center"/>
              <w:rPr>
                <w:kern w:val="0"/>
                <w:sz w:val="22"/>
                <w:szCs w:val="22"/>
              </w:rPr>
            </w:pPr>
            <w:r>
              <w:rPr>
                <w:rFonts w:hint="eastAsia"/>
                <w:kern w:val="0"/>
                <w:sz w:val="22"/>
                <w:szCs w:val="22"/>
              </w:rPr>
              <w:t>符合性</w:t>
            </w:r>
          </w:p>
        </w:tc>
      </w:tr>
      <w:tr w14:paraId="579B8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566" w:type="dxa"/>
            <w:vAlign w:val="center"/>
          </w:tcPr>
          <w:p w14:paraId="44BEDB6F">
            <w:pPr>
              <w:pStyle w:val="687"/>
              <w:jc w:val="both"/>
            </w:pPr>
            <w:r>
              <w:rPr>
                <w:rFonts w:hint="eastAsia"/>
              </w:rPr>
              <w:t>1.培育和引入产业必须符合国家产业政策，严控新建、扩建“两高”项目，强化企业环境管理；</w:t>
            </w:r>
          </w:p>
          <w:p w14:paraId="68F50EFB">
            <w:pPr>
              <w:pStyle w:val="687"/>
              <w:jc w:val="both"/>
            </w:pPr>
            <w:r>
              <w:rPr>
                <w:rFonts w:hint="eastAsia"/>
              </w:rPr>
              <w:t>2.强化水、大气、土壤等污染源头管控，深化环境污染治理，完善污染治理基础设施，巩固提升环境质量；</w:t>
            </w:r>
          </w:p>
          <w:p w14:paraId="1C4CB556">
            <w:pPr>
              <w:pStyle w:val="687"/>
              <w:jc w:val="both"/>
            </w:pPr>
            <w:r>
              <w:rPr>
                <w:rFonts w:hint="eastAsia"/>
              </w:rPr>
              <w:t>3.合理控制并优化生态环境敏感区内的旅游开发建设活动，合理开发利用水利资源，大力发展生态康养旅游产业。严格落实自然保护地、生态保护红线、集中式饮用水水源保护区等管控要求；</w:t>
            </w:r>
          </w:p>
          <w:p w14:paraId="45D56B46">
            <w:pPr>
              <w:pStyle w:val="687"/>
              <w:jc w:val="both"/>
            </w:pPr>
            <w:r>
              <w:rPr>
                <w:rFonts w:hint="eastAsia"/>
              </w:rPr>
              <w:t>4.加强农村环境综合治理，积极发展生态农业和有机农业，严格控制化肥、农药、农膜使用量，合理布局畜禽养殖，持续推进畜禽粪污综合利用；</w:t>
            </w:r>
          </w:p>
          <w:p w14:paraId="27813DC3">
            <w:pPr>
              <w:pStyle w:val="687"/>
              <w:jc w:val="both"/>
            </w:pPr>
            <w:r>
              <w:rPr>
                <w:rFonts w:hint="eastAsia"/>
              </w:rPr>
              <w:t>5.加强城乡集中式饮用水水源保护，确保饮用水水源安全；</w:t>
            </w:r>
          </w:p>
          <w:p w14:paraId="242B39CF">
            <w:pPr>
              <w:pStyle w:val="687"/>
              <w:jc w:val="both"/>
            </w:pPr>
            <w:r>
              <w:rPr>
                <w:rFonts w:hint="eastAsia"/>
              </w:rPr>
              <w:t>6.加强与相邻省、市的环境风险联防联控。</w:t>
            </w:r>
          </w:p>
        </w:tc>
        <w:tc>
          <w:tcPr>
            <w:tcW w:w="2427" w:type="dxa"/>
            <w:vAlign w:val="center"/>
          </w:tcPr>
          <w:p w14:paraId="2955771E">
            <w:pPr>
              <w:autoSpaceDE w:val="0"/>
              <w:autoSpaceDN w:val="0"/>
              <w:adjustRightInd w:val="0"/>
              <w:snapToGrid w:val="0"/>
              <w:rPr>
                <w:kern w:val="0"/>
                <w:sz w:val="22"/>
                <w:szCs w:val="22"/>
              </w:rPr>
            </w:pPr>
            <w:r>
              <w:rPr>
                <w:rFonts w:hint="eastAsia"/>
                <w:kern w:val="0"/>
                <w:sz w:val="22"/>
                <w:szCs w:val="22"/>
              </w:rPr>
              <w:t>本项目为天然气试采站建设项目，为鼓励类，符合国家产业政策；采取的污染防治措施均为天然气开采行业常用可行的措施，对环境影响较小；不涉及自然保护地、生态保护红线、集中式饮用水水源保护区等环境敏感区；不涉及农业面源和畜禽粪污污染治理。</w:t>
            </w:r>
          </w:p>
        </w:tc>
        <w:tc>
          <w:tcPr>
            <w:tcW w:w="793" w:type="dxa"/>
            <w:vAlign w:val="center"/>
          </w:tcPr>
          <w:p w14:paraId="4EC78739">
            <w:pPr>
              <w:autoSpaceDE w:val="0"/>
              <w:autoSpaceDN w:val="0"/>
              <w:adjustRightInd w:val="0"/>
              <w:snapToGrid w:val="0"/>
              <w:jc w:val="center"/>
              <w:rPr>
                <w:kern w:val="0"/>
                <w:sz w:val="22"/>
                <w:szCs w:val="22"/>
              </w:rPr>
            </w:pPr>
            <w:r>
              <w:rPr>
                <w:rFonts w:hint="eastAsia"/>
                <w:kern w:val="0"/>
                <w:sz w:val="22"/>
                <w:szCs w:val="22"/>
              </w:rPr>
              <w:t>符合</w:t>
            </w:r>
          </w:p>
        </w:tc>
      </w:tr>
      <w:tr w14:paraId="095E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566" w:type="dxa"/>
            <w:vAlign w:val="center"/>
          </w:tcPr>
          <w:p w14:paraId="03AE0188">
            <w:pPr>
              <w:autoSpaceDE w:val="0"/>
              <w:autoSpaceDN w:val="0"/>
              <w:adjustRightInd w:val="0"/>
              <w:snapToGrid w:val="0"/>
              <w:jc w:val="center"/>
              <w:rPr>
                <w:kern w:val="0"/>
                <w:sz w:val="22"/>
                <w:szCs w:val="22"/>
              </w:rPr>
            </w:pPr>
            <w:r>
              <w:rPr>
                <w:rFonts w:hint="eastAsia"/>
                <w:kern w:val="0"/>
                <w:sz w:val="22"/>
                <w:szCs w:val="22"/>
              </w:rPr>
              <w:t>恩阳区总体管控要求</w:t>
            </w:r>
          </w:p>
        </w:tc>
        <w:tc>
          <w:tcPr>
            <w:tcW w:w="2427" w:type="dxa"/>
            <w:vAlign w:val="center"/>
          </w:tcPr>
          <w:p w14:paraId="457D746E">
            <w:pPr>
              <w:autoSpaceDE w:val="0"/>
              <w:autoSpaceDN w:val="0"/>
              <w:adjustRightInd w:val="0"/>
              <w:snapToGrid w:val="0"/>
              <w:jc w:val="center"/>
              <w:rPr>
                <w:kern w:val="0"/>
                <w:sz w:val="22"/>
                <w:szCs w:val="22"/>
              </w:rPr>
            </w:pPr>
            <w:r>
              <w:rPr>
                <w:rFonts w:hint="eastAsia"/>
                <w:kern w:val="0"/>
                <w:sz w:val="22"/>
                <w:szCs w:val="22"/>
              </w:rPr>
              <w:t>项目情况</w:t>
            </w:r>
          </w:p>
        </w:tc>
        <w:tc>
          <w:tcPr>
            <w:tcW w:w="793" w:type="dxa"/>
            <w:vAlign w:val="center"/>
          </w:tcPr>
          <w:p w14:paraId="78E87860">
            <w:pPr>
              <w:autoSpaceDE w:val="0"/>
              <w:autoSpaceDN w:val="0"/>
              <w:adjustRightInd w:val="0"/>
              <w:snapToGrid w:val="0"/>
              <w:jc w:val="center"/>
              <w:rPr>
                <w:kern w:val="0"/>
                <w:sz w:val="22"/>
                <w:szCs w:val="22"/>
              </w:rPr>
            </w:pPr>
            <w:r>
              <w:rPr>
                <w:rFonts w:hint="eastAsia"/>
                <w:kern w:val="0"/>
                <w:sz w:val="22"/>
                <w:szCs w:val="22"/>
              </w:rPr>
              <w:t>符合性</w:t>
            </w:r>
          </w:p>
        </w:tc>
      </w:tr>
      <w:tr w14:paraId="1E4D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566" w:type="dxa"/>
            <w:vAlign w:val="center"/>
          </w:tcPr>
          <w:p w14:paraId="1565BA7B">
            <w:pPr>
              <w:pStyle w:val="687"/>
              <w:jc w:val="both"/>
            </w:pPr>
            <w:r>
              <w:rPr>
                <w:rFonts w:hint="eastAsia"/>
              </w:rPr>
              <w:t>1.加强流域水污染防治，推进流域水生态环境修复与治理；</w:t>
            </w:r>
          </w:p>
          <w:p w14:paraId="44A497C7">
            <w:pPr>
              <w:pStyle w:val="687"/>
              <w:jc w:val="both"/>
            </w:pPr>
            <w:r>
              <w:rPr>
                <w:rFonts w:hint="eastAsia"/>
              </w:rPr>
              <w:t>2.加强工业园区内和园区外企业污染排放监管，推进“散乱污”企业整治；</w:t>
            </w:r>
          </w:p>
          <w:p w14:paraId="6159EED0">
            <w:pPr>
              <w:pStyle w:val="687"/>
              <w:jc w:val="both"/>
            </w:pPr>
            <w:r>
              <w:rPr>
                <w:rFonts w:hint="eastAsia"/>
              </w:rPr>
              <w:t>3.强化扬尘源、燃烧源和移动源等大气污染防治；</w:t>
            </w:r>
          </w:p>
          <w:p w14:paraId="6DF838BC">
            <w:pPr>
              <w:pStyle w:val="687"/>
              <w:jc w:val="both"/>
            </w:pPr>
            <w:r>
              <w:rPr>
                <w:rFonts w:hint="eastAsia"/>
              </w:rPr>
              <w:t>4.培育和引入食品、饮料等行业执行行业资源环境绩效指标准入要求；</w:t>
            </w:r>
          </w:p>
          <w:p w14:paraId="651511B3">
            <w:pPr>
              <w:pStyle w:val="687"/>
              <w:jc w:val="both"/>
            </w:pPr>
            <w:r>
              <w:rPr>
                <w:rFonts w:hint="eastAsia"/>
              </w:rPr>
              <w:t>5.加强城市精细化管理，提升市民对环境的幸福感、获得感。</w:t>
            </w:r>
          </w:p>
        </w:tc>
        <w:tc>
          <w:tcPr>
            <w:tcW w:w="2427" w:type="dxa"/>
            <w:vAlign w:val="center"/>
          </w:tcPr>
          <w:p w14:paraId="7454DB97">
            <w:pPr>
              <w:autoSpaceDE w:val="0"/>
              <w:autoSpaceDN w:val="0"/>
              <w:adjustRightInd w:val="0"/>
              <w:snapToGrid w:val="0"/>
              <w:rPr>
                <w:kern w:val="0"/>
                <w:sz w:val="22"/>
                <w:szCs w:val="22"/>
              </w:rPr>
            </w:pPr>
            <w:r>
              <w:rPr>
                <w:rFonts w:hint="eastAsia"/>
                <w:kern w:val="0"/>
                <w:sz w:val="22"/>
                <w:szCs w:val="22"/>
              </w:rPr>
              <w:t>本项目试采期无废水直接外排；不属于“散乱污”企业；对施工扬尘采取洒水降尘等治理措施；生活垃圾收集后交由环卫部门处置，危险废物收集后交由资质单位处置。</w:t>
            </w:r>
          </w:p>
        </w:tc>
        <w:tc>
          <w:tcPr>
            <w:tcW w:w="793" w:type="dxa"/>
            <w:vAlign w:val="center"/>
          </w:tcPr>
          <w:p w14:paraId="767915FB">
            <w:pPr>
              <w:autoSpaceDE w:val="0"/>
              <w:autoSpaceDN w:val="0"/>
              <w:adjustRightInd w:val="0"/>
              <w:snapToGrid w:val="0"/>
              <w:jc w:val="center"/>
              <w:rPr>
                <w:kern w:val="0"/>
                <w:sz w:val="22"/>
                <w:szCs w:val="22"/>
              </w:rPr>
            </w:pPr>
            <w:r>
              <w:rPr>
                <w:rFonts w:hint="eastAsia"/>
                <w:kern w:val="0"/>
                <w:sz w:val="22"/>
                <w:szCs w:val="22"/>
              </w:rPr>
              <w:t>符合</w:t>
            </w:r>
          </w:p>
        </w:tc>
      </w:tr>
    </w:tbl>
    <w:p w14:paraId="11F249A6">
      <w:pPr>
        <w:pStyle w:val="1379"/>
        <w:ind w:firstLine="440"/>
      </w:pPr>
    </w:p>
    <w:p w14:paraId="17002718">
      <w:pPr>
        <w:adjustRightInd w:val="0"/>
        <w:snapToGrid w:val="0"/>
        <w:spacing w:line="460" w:lineRule="exact"/>
        <w:ind w:firstLine="522" w:firstLineChars="200"/>
        <w:rPr>
          <w:b/>
          <w:bCs/>
          <w:sz w:val="26"/>
          <w:szCs w:val="26"/>
        </w:rPr>
      </w:pPr>
      <w:r>
        <w:rPr>
          <w:rFonts w:hint="eastAsia"/>
          <w:b/>
          <w:bCs/>
          <w:sz w:val="26"/>
          <w:szCs w:val="26"/>
        </w:rPr>
        <w:t>（2）与生态环境准入清单符合性分析</w:t>
      </w:r>
    </w:p>
    <w:p w14:paraId="7BE889A0">
      <w:pPr>
        <w:adjustRightInd w:val="0"/>
        <w:snapToGrid w:val="0"/>
        <w:spacing w:line="460" w:lineRule="exact"/>
        <w:ind w:firstLine="520" w:firstLineChars="200"/>
        <w:rPr>
          <w:sz w:val="26"/>
          <w:szCs w:val="26"/>
        </w:rPr>
      </w:pPr>
      <w:r>
        <w:rPr>
          <w:rFonts w:hint="eastAsia"/>
          <w:sz w:val="26"/>
          <w:szCs w:val="26"/>
        </w:rPr>
        <w:t>①项目拟建区域管控单元识别</w:t>
      </w:r>
    </w:p>
    <w:p w14:paraId="22F4AB06">
      <w:pPr>
        <w:adjustRightInd w:val="0"/>
        <w:snapToGrid w:val="0"/>
        <w:spacing w:line="460" w:lineRule="exact"/>
        <w:ind w:firstLine="520" w:firstLineChars="200"/>
        <w:rPr>
          <w:sz w:val="26"/>
          <w:szCs w:val="26"/>
        </w:rPr>
      </w:pPr>
      <w:r>
        <w:rPr>
          <w:rFonts w:hint="eastAsia"/>
          <w:sz w:val="26"/>
          <w:szCs w:val="26"/>
        </w:rPr>
        <w:t>根据在“四川省政务网---四川省生态环境厅数据库---生态环境分区管控公众服务”辅助研判系统，可查询本建设项目与“四川省生态环境分区管控”符合性分析情况，辅助研判结果详见</w:t>
      </w:r>
      <w:r>
        <w:rPr>
          <w:rFonts w:hint="eastAsia"/>
          <w:sz w:val="26"/>
          <w:szCs w:val="26"/>
          <w:u w:val="single"/>
        </w:rPr>
        <w:t>图1</w:t>
      </w:r>
      <w:r>
        <w:rPr>
          <w:sz w:val="26"/>
          <w:szCs w:val="26"/>
          <w:u w:val="single"/>
        </w:rPr>
        <w:t>.7-1</w:t>
      </w:r>
      <w:r>
        <w:rPr>
          <w:rFonts w:hint="eastAsia"/>
          <w:sz w:val="26"/>
          <w:szCs w:val="26"/>
        </w:rPr>
        <w:t>。</w:t>
      </w:r>
    </w:p>
    <w:p w14:paraId="1F51CE3D">
      <w:pPr>
        <w:adjustRightInd w:val="0"/>
        <w:snapToGrid w:val="0"/>
        <w:ind w:firstLine="520" w:firstLineChars="200"/>
        <w:rPr>
          <w:rFonts w:cs="宋体"/>
          <w:snapToGrid w:val="0"/>
          <w:kern w:val="0"/>
          <w:sz w:val="26"/>
          <w:szCs w:val="20"/>
        </w:rPr>
      </w:pPr>
    </w:p>
    <w:p w14:paraId="2061B176">
      <w:pPr>
        <w:adjustRightInd w:val="0"/>
        <w:snapToGrid w:val="0"/>
        <w:jc w:val="center"/>
        <w:rPr>
          <w:sz w:val="26"/>
          <w:szCs w:val="26"/>
        </w:rPr>
      </w:pPr>
      <w:r>
        <w:drawing>
          <wp:inline distT="0" distB="0" distL="0" distR="0">
            <wp:extent cx="5080000" cy="2921000"/>
            <wp:effectExtent l="0" t="0" r="0" b="0"/>
            <wp:docPr id="1" name="Drawing 0" descr="position-map-1775528316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descr="position-map-1775528316729.png"/>
                    <pic:cNvPicPr>
                      <a:picLocks noChangeAspect="1"/>
                    </pic:cNvPicPr>
                  </pic:nvPicPr>
                  <pic:blipFill>
                    <a:blip r:embed="rId17"/>
                    <a:stretch>
                      <a:fillRect/>
                    </a:stretch>
                  </pic:blipFill>
                  <pic:spPr>
                    <a:xfrm>
                      <a:off x="0" y="0"/>
                      <a:ext cx="5080000" cy="2921000"/>
                    </a:xfrm>
                    <a:prstGeom prst="rect">
                      <a:avLst/>
                    </a:prstGeom>
                  </pic:spPr>
                </pic:pic>
              </a:graphicData>
            </a:graphic>
          </wp:inline>
        </w:drawing>
      </w:r>
    </w:p>
    <w:p w14:paraId="5EE1B14A">
      <w:pPr>
        <w:adjustRightInd w:val="0"/>
        <w:snapToGrid w:val="0"/>
        <w:jc w:val="center"/>
        <w:rPr>
          <w:sz w:val="26"/>
          <w:szCs w:val="26"/>
        </w:rPr>
      </w:pPr>
      <w:r>
        <w:rPr>
          <w:sz w:val="26"/>
          <w:szCs w:val="26"/>
        </w:rPr>
        <w:t xml:space="preserve">图1.7-1  </w:t>
      </w:r>
      <w:r>
        <w:rPr>
          <w:rFonts w:hint="eastAsia"/>
          <w:sz w:val="26"/>
          <w:szCs w:val="26"/>
        </w:rPr>
        <w:t>辅助研判</w:t>
      </w:r>
      <w:r>
        <w:rPr>
          <w:sz w:val="26"/>
          <w:szCs w:val="26"/>
        </w:rPr>
        <w:t>查询图</w:t>
      </w:r>
    </w:p>
    <w:p w14:paraId="135B5148">
      <w:pPr>
        <w:adjustRightInd w:val="0"/>
        <w:snapToGrid w:val="0"/>
        <w:ind w:firstLine="520" w:firstLineChars="200"/>
        <w:rPr>
          <w:snapToGrid w:val="0"/>
          <w:kern w:val="0"/>
          <w:sz w:val="26"/>
          <w:szCs w:val="20"/>
        </w:rPr>
      </w:pPr>
    </w:p>
    <w:p w14:paraId="3149F220">
      <w:pPr>
        <w:pStyle w:val="1065"/>
      </w:pPr>
      <w:r>
        <w:t>表1.7-11  项目涉及的环境管控单元一览表</w:t>
      </w:r>
    </w:p>
    <w:tbl>
      <w:tblPr>
        <w:tblStyle w:val="88"/>
        <w:tblW w:w="8749" w:type="dxa"/>
        <w:jc w:val="center"/>
        <w:tblLayout w:type="fixed"/>
        <w:tblCellMar>
          <w:top w:w="0" w:type="dxa"/>
          <w:left w:w="10" w:type="dxa"/>
          <w:bottom w:w="0" w:type="dxa"/>
          <w:right w:w="10" w:type="dxa"/>
        </w:tblCellMar>
      </w:tblPr>
      <w:tblGrid>
        <w:gridCol w:w="424"/>
        <w:gridCol w:w="1421"/>
        <w:gridCol w:w="1283"/>
        <w:gridCol w:w="3409"/>
        <w:gridCol w:w="1057"/>
        <w:gridCol w:w="1155"/>
      </w:tblGrid>
      <w:tr w14:paraId="5028CE60">
        <w:tblPrEx>
          <w:tblCellMar>
            <w:top w:w="0" w:type="dxa"/>
            <w:left w:w="10" w:type="dxa"/>
            <w:bottom w:w="0" w:type="dxa"/>
            <w:right w:w="10" w:type="dxa"/>
          </w:tblCellMar>
        </w:tblPrEx>
        <w:trPr>
          <w:jc w:val="center"/>
        </w:trPr>
        <w:tc>
          <w:tcPr>
            <w:tcW w:w="424" w:type="dxa"/>
            <w:tcBorders>
              <w:top w:val="single" w:color="000000" w:sz="2" w:space="0"/>
              <w:left w:val="single" w:color="000000" w:sz="2" w:space="0"/>
              <w:bottom w:val="single" w:color="000000" w:sz="2" w:space="0"/>
              <w:right w:val="single" w:color="000000" w:sz="2" w:space="0"/>
            </w:tcBorders>
            <w:vAlign w:val="center"/>
          </w:tcPr>
          <w:p w14:paraId="7CDA8D96">
            <w:pPr>
              <w:pStyle w:val="687"/>
            </w:pPr>
            <w:r>
              <w:t>序号</w:t>
            </w:r>
          </w:p>
        </w:tc>
        <w:tc>
          <w:tcPr>
            <w:tcW w:w="1421" w:type="dxa"/>
            <w:tcBorders>
              <w:top w:val="single" w:color="000000" w:sz="2" w:space="0"/>
              <w:left w:val="single" w:color="000000" w:sz="2" w:space="0"/>
              <w:bottom w:val="single" w:color="000000" w:sz="2" w:space="0"/>
              <w:right w:val="single" w:color="000000" w:sz="2" w:space="0"/>
            </w:tcBorders>
            <w:vAlign w:val="center"/>
          </w:tcPr>
          <w:p w14:paraId="6776BD22">
            <w:pPr>
              <w:pStyle w:val="687"/>
            </w:pPr>
            <w:r>
              <w:t>涉及环境管控单元名称</w:t>
            </w:r>
          </w:p>
        </w:tc>
        <w:tc>
          <w:tcPr>
            <w:tcW w:w="1283" w:type="dxa"/>
            <w:tcBorders>
              <w:top w:val="single" w:color="000000" w:sz="2" w:space="0"/>
              <w:left w:val="single" w:color="000000" w:sz="2" w:space="0"/>
              <w:bottom w:val="single" w:color="000000" w:sz="2" w:space="0"/>
              <w:right w:val="single" w:color="000000" w:sz="2" w:space="0"/>
            </w:tcBorders>
            <w:vAlign w:val="center"/>
          </w:tcPr>
          <w:p w14:paraId="5142B51D">
            <w:pPr>
              <w:pStyle w:val="687"/>
            </w:pPr>
            <w:r>
              <w:t>涉及环境管控单元编码</w:t>
            </w:r>
          </w:p>
        </w:tc>
        <w:tc>
          <w:tcPr>
            <w:tcW w:w="3409" w:type="dxa"/>
            <w:tcBorders>
              <w:top w:val="single" w:color="000000" w:sz="2" w:space="0"/>
              <w:left w:val="single" w:color="000000" w:sz="2" w:space="0"/>
              <w:bottom w:val="single" w:color="000000" w:sz="2" w:space="0"/>
              <w:right w:val="single" w:color="000000" w:sz="2" w:space="0"/>
            </w:tcBorders>
            <w:vAlign w:val="center"/>
          </w:tcPr>
          <w:p w14:paraId="072B0BBB">
            <w:pPr>
              <w:pStyle w:val="687"/>
            </w:pPr>
            <w:r>
              <w:t>与管控单元关系（点选：点位信息；线选：相交长度</w:t>
            </w:r>
            <w:r>
              <w:rPr>
                <w:rFonts w:hint="eastAsia"/>
              </w:rPr>
              <w:t>，</w:t>
            </w:r>
            <w:r>
              <w:t>单位千米；面选：相交面积，单位平方千米）</w:t>
            </w:r>
          </w:p>
        </w:tc>
        <w:tc>
          <w:tcPr>
            <w:tcW w:w="1057" w:type="dxa"/>
            <w:tcBorders>
              <w:top w:val="single" w:color="000000" w:sz="2" w:space="0"/>
              <w:left w:val="single" w:color="000000" w:sz="2" w:space="0"/>
              <w:bottom w:val="single" w:color="000000" w:sz="2" w:space="0"/>
              <w:right w:val="single" w:color="000000" w:sz="2" w:space="0"/>
            </w:tcBorders>
            <w:vAlign w:val="center"/>
          </w:tcPr>
          <w:p w14:paraId="196DB185">
            <w:pPr>
              <w:pStyle w:val="687"/>
            </w:pPr>
            <w:r>
              <w:t>行政区划</w:t>
            </w:r>
          </w:p>
        </w:tc>
        <w:tc>
          <w:tcPr>
            <w:tcW w:w="1155" w:type="dxa"/>
            <w:tcBorders>
              <w:top w:val="single" w:color="000000" w:sz="2" w:space="0"/>
              <w:left w:val="single" w:color="000000" w:sz="2" w:space="0"/>
              <w:bottom w:val="single" w:color="000000" w:sz="2" w:space="0"/>
              <w:right w:val="single" w:color="000000" w:sz="2" w:space="0"/>
            </w:tcBorders>
            <w:vAlign w:val="center"/>
          </w:tcPr>
          <w:p w14:paraId="203FF1B7">
            <w:pPr>
              <w:pStyle w:val="687"/>
            </w:pPr>
            <w:r>
              <w:t>环境管控单元类型</w:t>
            </w:r>
          </w:p>
        </w:tc>
      </w:tr>
      <w:tr w14:paraId="65BBA619">
        <w:tblPrEx>
          <w:tblCellMar>
            <w:top w:w="0" w:type="dxa"/>
            <w:left w:w="10" w:type="dxa"/>
            <w:bottom w:w="0" w:type="dxa"/>
            <w:right w:w="10" w:type="dxa"/>
          </w:tblCellMar>
        </w:tblPrEx>
        <w:trPr>
          <w:jc w:val="center"/>
        </w:trPr>
        <w:tc>
          <w:tcPr>
            <w:tcW w:w="424" w:type="dxa"/>
            <w:tcBorders>
              <w:top w:val="single" w:color="000000" w:sz="2" w:space="0"/>
              <w:left w:val="single" w:color="000000" w:sz="2" w:space="0"/>
              <w:bottom w:val="single" w:color="000000" w:sz="2" w:space="0"/>
              <w:right w:val="single" w:color="000000" w:sz="2" w:space="0"/>
            </w:tcBorders>
            <w:vAlign w:val="center"/>
          </w:tcPr>
          <w:p w14:paraId="48820AFF">
            <w:pPr>
              <w:pStyle w:val="687"/>
            </w:pPr>
            <w:r>
              <w:t>1</w:t>
            </w:r>
          </w:p>
        </w:tc>
        <w:tc>
          <w:tcPr>
            <w:tcW w:w="1421" w:type="dxa"/>
            <w:tcBorders>
              <w:top w:val="single" w:color="000000" w:sz="2" w:space="0"/>
              <w:left w:val="single" w:color="000000" w:sz="2" w:space="0"/>
              <w:bottom w:val="single" w:color="000000" w:sz="2" w:space="0"/>
              <w:right w:val="single" w:color="000000" w:sz="2" w:space="0"/>
            </w:tcBorders>
            <w:vAlign w:val="center"/>
          </w:tcPr>
          <w:p w14:paraId="3FECB579">
            <w:pPr>
              <w:pStyle w:val="687"/>
            </w:pPr>
            <w:r>
              <w:rPr>
                <w:rFonts w:hint="eastAsia"/>
              </w:rPr>
              <w:t>恩阳区一般管控单元</w:t>
            </w:r>
          </w:p>
        </w:tc>
        <w:tc>
          <w:tcPr>
            <w:tcW w:w="1283" w:type="dxa"/>
            <w:tcBorders>
              <w:top w:val="single" w:color="000000" w:sz="2" w:space="0"/>
              <w:left w:val="single" w:color="000000" w:sz="2" w:space="0"/>
              <w:bottom w:val="single" w:color="000000" w:sz="2" w:space="0"/>
              <w:right w:val="single" w:color="000000" w:sz="2" w:space="0"/>
            </w:tcBorders>
            <w:vAlign w:val="center"/>
          </w:tcPr>
          <w:p w14:paraId="76FABED1">
            <w:pPr>
              <w:pStyle w:val="687"/>
            </w:pPr>
            <w:r>
              <w:t>ZH51190330001</w:t>
            </w:r>
          </w:p>
        </w:tc>
        <w:tc>
          <w:tcPr>
            <w:tcW w:w="3409" w:type="dxa"/>
            <w:tcBorders>
              <w:top w:val="single" w:color="000000" w:sz="2" w:space="0"/>
              <w:left w:val="single" w:color="000000" w:sz="2" w:space="0"/>
              <w:bottom w:val="single" w:color="000000" w:sz="2" w:space="0"/>
              <w:right w:val="single" w:color="000000" w:sz="2" w:space="0"/>
            </w:tcBorders>
            <w:vAlign w:val="center"/>
          </w:tcPr>
          <w:p w14:paraId="0C774C4B">
            <w:pPr>
              <w:pStyle w:val="687"/>
            </w:pPr>
            <w:r>
              <w:t>[106.42926366 31.79006608]</w:t>
            </w:r>
          </w:p>
        </w:tc>
        <w:tc>
          <w:tcPr>
            <w:tcW w:w="1057" w:type="dxa"/>
            <w:tcBorders>
              <w:top w:val="single" w:color="000000" w:sz="2" w:space="0"/>
              <w:left w:val="single" w:color="000000" w:sz="2" w:space="0"/>
              <w:bottom w:val="single" w:color="000000" w:sz="2" w:space="0"/>
              <w:right w:val="single" w:color="000000" w:sz="2" w:space="0"/>
            </w:tcBorders>
            <w:vAlign w:val="center"/>
          </w:tcPr>
          <w:p w14:paraId="57B6902B">
            <w:pPr>
              <w:pStyle w:val="687"/>
            </w:pPr>
            <w:r>
              <w:rPr>
                <w:rFonts w:hint="eastAsia"/>
              </w:rPr>
              <w:t>巴中市恩阳区</w:t>
            </w:r>
          </w:p>
        </w:tc>
        <w:tc>
          <w:tcPr>
            <w:tcW w:w="1155" w:type="dxa"/>
            <w:tcBorders>
              <w:top w:val="single" w:color="000000" w:sz="2" w:space="0"/>
              <w:left w:val="single" w:color="000000" w:sz="2" w:space="0"/>
              <w:bottom w:val="single" w:color="000000" w:sz="2" w:space="0"/>
              <w:right w:val="single" w:color="000000" w:sz="2" w:space="0"/>
            </w:tcBorders>
            <w:vAlign w:val="center"/>
          </w:tcPr>
          <w:p w14:paraId="11C5A0EF">
            <w:pPr>
              <w:pStyle w:val="687"/>
            </w:pPr>
            <w:r>
              <w:rPr>
                <w:rFonts w:hint="eastAsia"/>
              </w:rPr>
              <w:t>一般管控单元</w:t>
            </w:r>
          </w:p>
        </w:tc>
      </w:tr>
    </w:tbl>
    <w:p w14:paraId="6ADFEC8A">
      <w:pPr>
        <w:adjustRightInd w:val="0"/>
        <w:snapToGrid w:val="0"/>
        <w:ind w:firstLine="520" w:firstLineChars="200"/>
        <w:rPr>
          <w:snapToGrid w:val="0"/>
          <w:kern w:val="0"/>
          <w:sz w:val="26"/>
          <w:szCs w:val="20"/>
        </w:rPr>
      </w:pPr>
    </w:p>
    <w:p w14:paraId="2B8253B5">
      <w:pPr>
        <w:tabs>
          <w:tab w:val="right" w:pos="8730"/>
        </w:tabs>
        <w:adjustRightInd w:val="0"/>
        <w:snapToGrid w:val="0"/>
        <w:jc w:val="center"/>
        <w:rPr>
          <w:sz w:val="26"/>
          <w:szCs w:val="26"/>
        </w:rPr>
      </w:pPr>
      <w:r>
        <w:rPr>
          <w:sz w:val="26"/>
          <w:szCs w:val="26"/>
        </w:rPr>
        <w:t>表1.7-12  项目涉及的环境</w:t>
      </w:r>
      <w:r>
        <w:rPr>
          <w:rFonts w:hint="eastAsia"/>
          <w:sz w:val="26"/>
          <w:szCs w:val="26"/>
        </w:rPr>
        <w:t>要素</w:t>
      </w:r>
      <w:r>
        <w:rPr>
          <w:sz w:val="26"/>
          <w:szCs w:val="26"/>
        </w:rPr>
        <w:t>管控</w:t>
      </w:r>
      <w:r>
        <w:rPr>
          <w:rFonts w:hint="eastAsia"/>
          <w:sz w:val="26"/>
          <w:szCs w:val="26"/>
        </w:rPr>
        <w:t>分区</w:t>
      </w:r>
      <w:r>
        <w:rPr>
          <w:sz w:val="26"/>
          <w:szCs w:val="26"/>
        </w:rPr>
        <w:t>一览表</w:t>
      </w:r>
    </w:p>
    <w:tbl>
      <w:tblPr>
        <w:tblStyle w:val="88"/>
        <w:tblW w:w="8750" w:type="dxa"/>
        <w:jc w:val="center"/>
        <w:tblLayout w:type="fixed"/>
        <w:tblCellMar>
          <w:top w:w="0" w:type="dxa"/>
          <w:left w:w="10" w:type="dxa"/>
          <w:bottom w:w="0" w:type="dxa"/>
          <w:right w:w="10" w:type="dxa"/>
        </w:tblCellMar>
      </w:tblPr>
      <w:tblGrid>
        <w:gridCol w:w="378"/>
        <w:gridCol w:w="2308"/>
        <w:gridCol w:w="2311"/>
        <w:gridCol w:w="929"/>
        <w:gridCol w:w="929"/>
        <w:gridCol w:w="1895"/>
      </w:tblGrid>
      <w:tr w14:paraId="0A0A31D7">
        <w:tblPrEx>
          <w:tblCellMar>
            <w:top w:w="0" w:type="dxa"/>
            <w:left w:w="10" w:type="dxa"/>
            <w:bottom w:w="0" w:type="dxa"/>
            <w:right w:w="10" w:type="dxa"/>
          </w:tblCellMar>
        </w:tblPrEx>
        <w:trPr>
          <w:jc w:val="center"/>
        </w:trPr>
        <w:tc>
          <w:tcPr>
            <w:tcW w:w="378" w:type="dxa"/>
            <w:tcBorders>
              <w:top w:val="single" w:color="000000" w:sz="2" w:space="0"/>
              <w:left w:val="single" w:color="000000" w:sz="2" w:space="0"/>
              <w:bottom w:val="single" w:color="000000" w:sz="2" w:space="0"/>
              <w:right w:val="single" w:color="000000" w:sz="2" w:space="0"/>
            </w:tcBorders>
            <w:vAlign w:val="center"/>
          </w:tcPr>
          <w:p w14:paraId="41D21E0C">
            <w:pPr>
              <w:pStyle w:val="687"/>
            </w:pPr>
            <w:r>
              <w:t>序号</w:t>
            </w:r>
          </w:p>
        </w:tc>
        <w:tc>
          <w:tcPr>
            <w:tcW w:w="2308" w:type="dxa"/>
            <w:tcBorders>
              <w:top w:val="single" w:color="000000" w:sz="2" w:space="0"/>
              <w:left w:val="single" w:color="000000" w:sz="2" w:space="0"/>
              <w:bottom w:val="single" w:color="000000" w:sz="2" w:space="0"/>
              <w:right w:val="single" w:color="000000" w:sz="2" w:space="0"/>
            </w:tcBorders>
            <w:vAlign w:val="center"/>
          </w:tcPr>
          <w:p w14:paraId="34D77D4A">
            <w:pPr>
              <w:pStyle w:val="687"/>
            </w:pPr>
            <w:r>
              <w:t>涉及环境要素管控分区名称</w:t>
            </w:r>
          </w:p>
        </w:tc>
        <w:tc>
          <w:tcPr>
            <w:tcW w:w="2311" w:type="dxa"/>
            <w:tcBorders>
              <w:top w:val="single" w:color="000000" w:sz="2" w:space="0"/>
              <w:left w:val="single" w:color="000000" w:sz="2" w:space="0"/>
              <w:bottom w:val="single" w:color="000000" w:sz="2" w:space="0"/>
              <w:right w:val="single" w:color="000000" w:sz="2" w:space="0"/>
            </w:tcBorders>
            <w:vAlign w:val="center"/>
          </w:tcPr>
          <w:p w14:paraId="49EE4BEF">
            <w:pPr>
              <w:pStyle w:val="687"/>
            </w:pPr>
            <w:r>
              <w:t>涉及环境要素管控分区编码</w:t>
            </w:r>
          </w:p>
        </w:tc>
        <w:tc>
          <w:tcPr>
            <w:tcW w:w="929" w:type="dxa"/>
            <w:tcBorders>
              <w:top w:val="single" w:color="000000" w:sz="2" w:space="0"/>
              <w:left w:val="single" w:color="000000" w:sz="2" w:space="0"/>
              <w:bottom w:val="single" w:color="000000" w:sz="2" w:space="0"/>
              <w:right w:val="single" w:color="000000" w:sz="2" w:space="0"/>
            </w:tcBorders>
            <w:vAlign w:val="center"/>
          </w:tcPr>
          <w:p w14:paraId="55E3F7AC">
            <w:pPr>
              <w:pStyle w:val="687"/>
            </w:pPr>
            <w:r>
              <w:t>行政区划</w:t>
            </w:r>
          </w:p>
        </w:tc>
        <w:tc>
          <w:tcPr>
            <w:tcW w:w="929" w:type="dxa"/>
            <w:tcBorders>
              <w:top w:val="single" w:color="000000" w:sz="2" w:space="0"/>
              <w:left w:val="single" w:color="000000" w:sz="2" w:space="0"/>
              <w:bottom w:val="single" w:color="000000" w:sz="2" w:space="0"/>
              <w:right w:val="single" w:color="000000" w:sz="2" w:space="0"/>
            </w:tcBorders>
            <w:vAlign w:val="center"/>
          </w:tcPr>
          <w:p w14:paraId="25A1783F">
            <w:pPr>
              <w:pStyle w:val="687"/>
            </w:pPr>
            <w:r>
              <w:t>环境要素类型</w:t>
            </w:r>
          </w:p>
        </w:tc>
        <w:tc>
          <w:tcPr>
            <w:tcW w:w="1895" w:type="dxa"/>
            <w:tcBorders>
              <w:top w:val="single" w:color="000000" w:sz="2" w:space="0"/>
              <w:left w:val="single" w:color="000000" w:sz="2" w:space="0"/>
              <w:bottom w:val="single" w:color="000000" w:sz="2" w:space="0"/>
              <w:right w:val="single" w:color="000000" w:sz="2" w:space="0"/>
            </w:tcBorders>
            <w:vAlign w:val="center"/>
          </w:tcPr>
          <w:p w14:paraId="3E8EDEE8">
            <w:pPr>
              <w:pStyle w:val="687"/>
            </w:pPr>
            <w:r>
              <w:t>环境要素细类</w:t>
            </w:r>
          </w:p>
        </w:tc>
      </w:tr>
      <w:tr w14:paraId="56CEFC02">
        <w:tblPrEx>
          <w:tblCellMar>
            <w:top w:w="0" w:type="dxa"/>
            <w:left w:w="10" w:type="dxa"/>
            <w:bottom w:w="0" w:type="dxa"/>
            <w:right w:w="10" w:type="dxa"/>
          </w:tblCellMar>
        </w:tblPrEx>
        <w:trPr>
          <w:jc w:val="center"/>
        </w:trPr>
        <w:tc>
          <w:tcPr>
            <w:tcW w:w="378" w:type="dxa"/>
            <w:tcBorders>
              <w:top w:val="single" w:color="000000" w:sz="2" w:space="0"/>
              <w:left w:val="single" w:color="000000" w:sz="2" w:space="0"/>
              <w:bottom w:val="single" w:color="000000" w:sz="2" w:space="0"/>
              <w:right w:val="single" w:color="000000" w:sz="2" w:space="0"/>
            </w:tcBorders>
            <w:vAlign w:val="center"/>
          </w:tcPr>
          <w:p w14:paraId="4426CA7D">
            <w:pPr>
              <w:pStyle w:val="687"/>
            </w:pPr>
            <w:r>
              <w:rPr>
                <w:rFonts w:hint="eastAsia"/>
              </w:rPr>
              <w:t>1</w:t>
            </w:r>
          </w:p>
        </w:tc>
        <w:tc>
          <w:tcPr>
            <w:tcW w:w="2308" w:type="dxa"/>
            <w:tcBorders>
              <w:top w:val="single" w:color="000000" w:sz="2" w:space="0"/>
              <w:left w:val="single" w:color="000000" w:sz="2" w:space="0"/>
              <w:bottom w:val="single" w:color="000000" w:sz="2" w:space="0"/>
              <w:right w:val="single" w:color="000000" w:sz="2" w:space="0"/>
            </w:tcBorders>
            <w:vAlign w:val="center"/>
          </w:tcPr>
          <w:p w14:paraId="1F32FEE5">
            <w:pPr>
              <w:pStyle w:val="687"/>
            </w:pPr>
            <w:r>
              <w:rPr>
                <w:rFonts w:hint="eastAsia"/>
              </w:rPr>
              <w:t>恩阳区其他区域</w:t>
            </w:r>
          </w:p>
        </w:tc>
        <w:tc>
          <w:tcPr>
            <w:tcW w:w="2311" w:type="dxa"/>
            <w:tcBorders>
              <w:top w:val="single" w:color="000000" w:sz="2" w:space="0"/>
              <w:left w:val="single" w:color="000000" w:sz="2" w:space="0"/>
              <w:bottom w:val="single" w:color="000000" w:sz="2" w:space="0"/>
              <w:right w:val="single" w:color="000000" w:sz="2" w:space="0"/>
            </w:tcBorders>
            <w:vAlign w:val="center"/>
          </w:tcPr>
          <w:p w14:paraId="026956BC">
            <w:pPr>
              <w:pStyle w:val="687"/>
            </w:pPr>
            <w:r>
              <w:rPr>
                <w:rFonts w:hint="eastAsia"/>
              </w:rPr>
              <w:t>YS5119033110001</w:t>
            </w:r>
          </w:p>
        </w:tc>
        <w:tc>
          <w:tcPr>
            <w:tcW w:w="929" w:type="dxa"/>
            <w:tcBorders>
              <w:top w:val="single" w:color="000000" w:sz="2" w:space="0"/>
              <w:left w:val="single" w:color="000000" w:sz="2" w:space="0"/>
              <w:bottom w:val="single" w:color="000000" w:sz="2" w:space="0"/>
              <w:right w:val="single" w:color="000000" w:sz="2" w:space="0"/>
            </w:tcBorders>
            <w:vAlign w:val="center"/>
          </w:tcPr>
          <w:p w14:paraId="1E311EF9">
            <w:pPr>
              <w:pStyle w:val="687"/>
            </w:pPr>
            <w:r>
              <w:rPr>
                <w:rFonts w:hint="eastAsia"/>
              </w:rPr>
              <w:t>巴中市恩阳区</w:t>
            </w:r>
          </w:p>
        </w:tc>
        <w:tc>
          <w:tcPr>
            <w:tcW w:w="929" w:type="dxa"/>
            <w:tcBorders>
              <w:top w:val="single" w:color="000000" w:sz="2" w:space="0"/>
              <w:left w:val="single" w:color="000000" w:sz="2" w:space="0"/>
              <w:bottom w:val="single" w:color="000000" w:sz="2" w:space="0"/>
              <w:right w:val="single" w:color="000000" w:sz="2" w:space="0"/>
            </w:tcBorders>
            <w:vAlign w:val="center"/>
          </w:tcPr>
          <w:p w14:paraId="5D7E0488">
            <w:pPr>
              <w:pStyle w:val="687"/>
            </w:pPr>
            <w:r>
              <w:rPr>
                <w:rFonts w:hint="eastAsia"/>
              </w:rPr>
              <w:t>生态</w:t>
            </w:r>
          </w:p>
        </w:tc>
        <w:tc>
          <w:tcPr>
            <w:tcW w:w="1895" w:type="dxa"/>
            <w:tcBorders>
              <w:top w:val="single" w:color="000000" w:sz="2" w:space="0"/>
              <w:left w:val="single" w:color="000000" w:sz="2" w:space="0"/>
              <w:bottom w:val="single" w:color="000000" w:sz="2" w:space="0"/>
              <w:right w:val="single" w:color="000000" w:sz="2" w:space="0"/>
            </w:tcBorders>
            <w:vAlign w:val="center"/>
          </w:tcPr>
          <w:p w14:paraId="4680D097">
            <w:pPr>
              <w:pStyle w:val="687"/>
            </w:pPr>
            <w:r>
              <w:rPr>
                <w:rFonts w:hint="eastAsia"/>
              </w:rPr>
              <w:t>一般管控区</w:t>
            </w:r>
          </w:p>
        </w:tc>
      </w:tr>
      <w:tr w14:paraId="2E7F00F9">
        <w:tblPrEx>
          <w:tblCellMar>
            <w:top w:w="0" w:type="dxa"/>
            <w:left w:w="10" w:type="dxa"/>
            <w:bottom w:w="0" w:type="dxa"/>
            <w:right w:w="10" w:type="dxa"/>
          </w:tblCellMar>
        </w:tblPrEx>
        <w:trPr>
          <w:jc w:val="center"/>
        </w:trPr>
        <w:tc>
          <w:tcPr>
            <w:tcW w:w="378" w:type="dxa"/>
            <w:tcBorders>
              <w:top w:val="single" w:color="000000" w:sz="2" w:space="0"/>
              <w:left w:val="single" w:color="000000" w:sz="2" w:space="0"/>
              <w:bottom w:val="single" w:color="000000" w:sz="2" w:space="0"/>
              <w:right w:val="single" w:color="000000" w:sz="2" w:space="0"/>
            </w:tcBorders>
            <w:vAlign w:val="center"/>
          </w:tcPr>
          <w:p w14:paraId="5DA6B9AF">
            <w:pPr>
              <w:pStyle w:val="687"/>
            </w:pPr>
            <w:r>
              <w:rPr>
                <w:rFonts w:hint="eastAsia"/>
              </w:rPr>
              <w:t>2</w:t>
            </w:r>
          </w:p>
        </w:tc>
        <w:tc>
          <w:tcPr>
            <w:tcW w:w="2308" w:type="dxa"/>
            <w:tcBorders>
              <w:top w:val="single" w:color="000000" w:sz="2" w:space="0"/>
              <w:left w:val="single" w:color="000000" w:sz="2" w:space="0"/>
              <w:bottom w:val="single" w:color="000000" w:sz="2" w:space="0"/>
              <w:right w:val="single" w:color="000000" w:sz="2" w:space="0"/>
            </w:tcBorders>
            <w:vAlign w:val="center"/>
          </w:tcPr>
          <w:p w14:paraId="602E4A0F">
            <w:pPr>
              <w:pStyle w:val="687"/>
            </w:pPr>
            <w:r>
              <w:rPr>
                <w:rFonts w:hint="eastAsia"/>
              </w:rPr>
              <w:t>恩阳河-恩阳区-小元村-控制单元</w:t>
            </w:r>
          </w:p>
        </w:tc>
        <w:tc>
          <w:tcPr>
            <w:tcW w:w="2311" w:type="dxa"/>
            <w:tcBorders>
              <w:top w:val="single" w:color="000000" w:sz="2" w:space="0"/>
              <w:left w:val="single" w:color="000000" w:sz="2" w:space="0"/>
              <w:bottom w:val="single" w:color="000000" w:sz="2" w:space="0"/>
              <w:right w:val="single" w:color="000000" w:sz="2" w:space="0"/>
            </w:tcBorders>
            <w:vAlign w:val="center"/>
          </w:tcPr>
          <w:p w14:paraId="6ADC1955">
            <w:pPr>
              <w:pStyle w:val="687"/>
            </w:pPr>
            <w:r>
              <w:rPr>
                <w:rFonts w:hint="eastAsia"/>
              </w:rPr>
              <w:t>YS5119033210001</w:t>
            </w:r>
          </w:p>
        </w:tc>
        <w:tc>
          <w:tcPr>
            <w:tcW w:w="929" w:type="dxa"/>
            <w:tcBorders>
              <w:top w:val="single" w:color="000000" w:sz="2" w:space="0"/>
              <w:left w:val="single" w:color="000000" w:sz="2" w:space="0"/>
              <w:bottom w:val="single" w:color="000000" w:sz="2" w:space="0"/>
              <w:right w:val="single" w:color="000000" w:sz="2" w:space="0"/>
            </w:tcBorders>
            <w:vAlign w:val="center"/>
          </w:tcPr>
          <w:p w14:paraId="18C4C3B3">
            <w:pPr>
              <w:pStyle w:val="687"/>
            </w:pPr>
            <w:r>
              <w:rPr>
                <w:rFonts w:hint="eastAsia"/>
              </w:rPr>
              <w:t>巴中市恩阳区</w:t>
            </w:r>
          </w:p>
        </w:tc>
        <w:tc>
          <w:tcPr>
            <w:tcW w:w="929" w:type="dxa"/>
            <w:tcBorders>
              <w:top w:val="single" w:color="000000" w:sz="2" w:space="0"/>
              <w:left w:val="single" w:color="000000" w:sz="2" w:space="0"/>
              <w:bottom w:val="single" w:color="000000" w:sz="2" w:space="0"/>
              <w:right w:val="single" w:color="000000" w:sz="2" w:space="0"/>
            </w:tcBorders>
            <w:vAlign w:val="center"/>
          </w:tcPr>
          <w:p w14:paraId="4F945A35">
            <w:pPr>
              <w:pStyle w:val="687"/>
            </w:pPr>
            <w:r>
              <w:rPr>
                <w:rFonts w:hint="eastAsia"/>
              </w:rPr>
              <w:t>水</w:t>
            </w:r>
          </w:p>
        </w:tc>
        <w:tc>
          <w:tcPr>
            <w:tcW w:w="1895" w:type="dxa"/>
            <w:tcBorders>
              <w:top w:val="single" w:color="000000" w:sz="2" w:space="0"/>
              <w:left w:val="single" w:color="000000" w:sz="2" w:space="0"/>
              <w:bottom w:val="single" w:color="000000" w:sz="2" w:space="0"/>
              <w:right w:val="single" w:color="000000" w:sz="2" w:space="0"/>
            </w:tcBorders>
            <w:vAlign w:val="center"/>
          </w:tcPr>
          <w:p w14:paraId="0955753B">
            <w:pPr>
              <w:pStyle w:val="687"/>
            </w:pPr>
            <w:r>
              <w:rPr>
                <w:rFonts w:hint="eastAsia"/>
              </w:rPr>
              <w:t>水环境一般管控区</w:t>
            </w:r>
          </w:p>
        </w:tc>
      </w:tr>
      <w:tr w14:paraId="55986FBF">
        <w:tblPrEx>
          <w:tblCellMar>
            <w:top w:w="0" w:type="dxa"/>
            <w:left w:w="10" w:type="dxa"/>
            <w:bottom w:w="0" w:type="dxa"/>
            <w:right w:w="10" w:type="dxa"/>
          </w:tblCellMar>
        </w:tblPrEx>
        <w:trPr>
          <w:jc w:val="center"/>
        </w:trPr>
        <w:tc>
          <w:tcPr>
            <w:tcW w:w="378" w:type="dxa"/>
            <w:tcBorders>
              <w:top w:val="single" w:color="000000" w:sz="2" w:space="0"/>
              <w:left w:val="single" w:color="000000" w:sz="2" w:space="0"/>
              <w:bottom w:val="single" w:color="000000" w:sz="2" w:space="0"/>
              <w:right w:val="single" w:color="000000" w:sz="2" w:space="0"/>
            </w:tcBorders>
            <w:vAlign w:val="center"/>
          </w:tcPr>
          <w:p w14:paraId="59550E32">
            <w:pPr>
              <w:pStyle w:val="687"/>
            </w:pPr>
            <w:r>
              <w:rPr>
                <w:rFonts w:hint="eastAsia"/>
              </w:rPr>
              <w:t>3</w:t>
            </w:r>
          </w:p>
        </w:tc>
        <w:tc>
          <w:tcPr>
            <w:tcW w:w="2308" w:type="dxa"/>
            <w:tcBorders>
              <w:top w:val="single" w:color="000000" w:sz="2" w:space="0"/>
              <w:left w:val="single" w:color="000000" w:sz="2" w:space="0"/>
              <w:bottom w:val="single" w:color="000000" w:sz="2" w:space="0"/>
              <w:right w:val="single" w:color="000000" w:sz="2" w:space="0"/>
            </w:tcBorders>
            <w:vAlign w:val="center"/>
          </w:tcPr>
          <w:p w14:paraId="2F0E87C8">
            <w:pPr>
              <w:pStyle w:val="687"/>
            </w:pPr>
            <w:r>
              <w:rPr>
                <w:rFonts w:hint="eastAsia"/>
              </w:rPr>
              <w:t>恩阳区大气环境一般管控区</w:t>
            </w:r>
          </w:p>
        </w:tc>
        <w:tc>
          <w:tcPr>
            <w:tcW w:w="2311" w:type="dxa"/>
            <w:tcBorders>
              <w:top w:val="single" w:color="000000" w:sz="2" w:space="0"/>
              <w:left w:val="single" w:color="000000" w:sz="2" w:space="0"/>
              <w:bottom w:val="single" w:color="000000" w:sz="2" w:space="0"/>
              <w:right w:val="single" w:color="000000" w:sz="2" w:space="0"/>
            </w:tcBorders>
            <w:vAlign w:val="center"/>
          </w:tcPr>
          <w:p w14:paraId="5B7BC18C">
            <w:pPr>
              <w:pStyle w:val="687"/>
            </w:pPr>
            <w:r>
              <w:rPr>
                <w:rFonts w:hint="eastAsia"/>
              </w:rPr>
              <w:t>YS5119033310001</w:t>
            </w:r>
          </w:p>
        </w:tc>
        <w:tc>
          <w:tcPr>
            <w:tcW w:w="929" w:type="dxa"/>
            <w:tcBorders>
              <w:top w:val="single" w:color="000000" w:sz="2" w:space="0"/>
              <w:left w:val="single" w:color="000000" w:sz="2" w:space="0"/>
              <w:bottom w:val="single" w:color="000000" w:sz="2" w:space="0"/>
              <w:right w:val="single" w:color="000000" w:sz="2" w:space="0"/>
            </w:tcBorders>
            <w:vAlign w:val="center"/>
          </w:tcPr>
          <w:p w14:paraId="35BCF30C">
            <w:pPr>
              <w:pStyle w:val="687"/>
            </w:pPr>
            <w:r>
              <w:rPr>
                <w:rFonts w:hint="eastAsia"/>
              </w:rPr>
              <w:t>巴中市恩阳区</w:t>
            </w:r>
          </w:p>
        </w:tc>
        <w:tc>
          <w:tcPr>
            <w:tcW w:w="929" w:type="dxa"/>
            <w:tcBorders>
              <w:top w:val="single" w:color="000000" w:sz="2" w:space="0"/>
              <w:left w:val="single" w:color="000000" w:sz="2" w:space="0"/>
              <w:bottom w:val="single" w:color="000000" w:sz="2" w:space="0"/>
              <w:right w:val="single" w:color="000000" w:sz="2" w:space="0"/>
            </w:tcBorders>
            <w:vAlign w:val="center"/>
          </w:tcPr>
          <w:p w14:paraId="2CC4EF5F">
            <w:pPr>
              <w:pStyle w:val="687"/>
            </w:pPr>
            <w:r>
              <w:rPr>
                <w:rFonts w:hint="eastAsia"/>
              </w:rPr>
              <w:t>大气</w:t>
            </w:r>
          </w:p>
        </w:tc>
        <w:tc>
          <w:tcPr>
            <w:tcW w:w="1895" w:type="dxa"/>
            <w:tcBorders>
              <w:top w:val="single" w:color="000000" w:sz="2" w:space="0"/>
              <w:left w:val="single" w:color="000000" w:sz="2" w:space="0"/>
              <w:bottom w:val="single" w:color="000000" w:sz="2" w:space="0"/>
              <w:right w:val="single" w:color="000000" w:sz="2" w:space="0"/>
            </w:tcBorders>
            <w:vAlign w:val="center"/>
          </w:tcPr>
          <w:p w14:paraId="1A1FEB74">
            <w:pPr>
              <w:pStyle w:val="687"/>
            </w:pPr>
            <w:r>
              <w:rPr>
                <w:rFonts w:hint="eastAsia"/>
              </w:rPr>
              <w:t>大气环境一般管控区</w:t>
            </w:r>
          </w:p>
        </w:tc>
      </w:tr>
      <w:tr w14:paraId="7973985D">
        <w:tblPrEx>
          <w:tblCellMar>
            <w:top w:w="0" w:type="dxa"/>
            <w:left w:w="10" w:type="dxa"/>
            <w:bottom w:w="0" w:type="dxa"/>
            <w:right w:w="10" w:type="dxa"/>
          </w:tblCellMar>
        </w:tblPrEx>
        <w:trPr>
          <w:jc w:val="center"/>
        </w:trPr>
        <w:tc>
          <w:tcPr>
            <w:tcW w:w="378" w:type="dxa"/>
            <w:tcBorders>
              <w:top w:val="single" w:color="000000" w:sz="2" w:space="0"/>
              <w:left w:val="single" w:color="000000" w:sz="2" w:space="0"/>
              <w:bottom w:val="single" w:color="000000" w:sz="2" w:space="0"/>
              <w:right w:val="single" w:color="000000" w:sz="2" w:space="0"/>
            </w:tcBorders>
            <w:vAlign w:val="center"/>
          </w:tcPr>
          <w:p w14:paraId="5403CB7A">
            <w:pPr>
              <w:pStyle w:val="687"/>
            </w:pPr>
            <w:r>
              <w:rPr>
                <w:rFonts w:hint="eastAsia"/>
              </w:rPr>
              <w:t>4</w:t>
            </w:r>
          </w:p>
        </w:tc>
        <w:tc>
          <w:tcPr>
            <w:tcW w:w="2308" w:type="dxa"/>
            <w:tcBorders>
              <w:top w:val="single" w:color="000000" w:sz="2" w:space="0"/>
              <w:left w:val="single" w:color="000000" w:sz="2" w:space="0"/>
              <w:bottom w:val="single" w:color="000000" w:sz="2" w:space="0"/>
              <w:right w:val="single" w:color="000000" w:sz="2" w:space="0"/>
            </w:tcBorders>
            <w:vAlign w:val="center"/>
          </w:tcPr>
          <w:p w14:paraId="30A1E009">
            <w:pPr>
              <w:pStyle w:val="687"/>
            </w:pPr>
            <w:r>
              <w:rPr>
                <w:rFonts w:hint="eastAsia"/>
              </w:rPr>
              <w:t>恩阳区自然资源一般管控区</w:t>
            </w:r>
          </w:p>
        </w:tc>
        <w:tc>
          <w:tcPr>
            <w:tcW w:w="2311" w:type="dxa"/>
            <w:tcBorders>
              <w:top w:val="single" w:color="000000" w:sz="2" w:space="0"/>
              <w:left w:val="single" w:color="000000" w:sz="2" w:space="0"/>
              <w:bottom w:val="single" w:color="000000" w:sz="2" w:space="0"/>
              <w:right w:val="single" w:color="000000" w:sz="2" w:space="0"/>
            </w:tcBorders>
            <w:vAlign w:val="center"/>
          </w:tcPr>
          <w:p w14:paraId="4D1C9581">
            <w:pPr>
              <w:pStyle w:val="687"/>
            </w:pPr>
            <w:r>
              <w:rPr>
                <w:rFonts w:hint="eastAsia"/>
              </w:rPr>
              <w:t>YS5119033510001</w:t>
            </w:r>
          </w:p>
        </w:tc>
        <w:tc>
          <w:tcPr>
            <w:tcW w:w="929" w:type="dxa"/>
            <w:tcBorders>
              <w:top w:val="single" w:color="000000" w:sz="2" w:space="0"/>
              <w:left w:val="single" w:color="000000" w:sz="2" w:space="0"/>
              <w:bottom w:val="single" w:color="000000" w:sz="2" w:space="0"/>
              <w:right w:val="single" w:color="000000" w:sz="2" w:space="0"/>
            </w:tcBorders>
            <w:vAlign w:val="center"/>
          </w:tcPr>
          <w:p w14:paraId="5CA066B4">
            <w:pPr>
              <w:pStyle w:val="687"/>
            </w:pPr>
            <w:r>
              <w:rPr>
                <w:rFonts w:hint="eastAsia"/>
              </w:rPr>
              <w:t>巴中市恩阳区</w:t>
            </w:r>
          </w:p>
        </w:tc>
        <w:tc>
          <w:tcPr>
            <w:tcW w:w="929" w:type="dxa"/>
            <w:tcBorders>
              <w:top w:val="single" w:color="000000" w:sz="2" w:space="0"/>
              <w:left w:val="single" w:color="000000" w:sz="2" w:space="0"/>
              <w:bottom w:val="single" w:color="000000" w:sz="2" w:space="0"/>
              <w:right w:val="single" w:color="000000" w:sz="2" w:space="0"/>
            </w:tcBorders>
            <w:vAlign w:val="center"/>
          </w:tcPr>
          <w:p w14:paraId="1090F65D">
            <w:pPr>
              <w:pStyle w:val="687"/>
            </w:pPr>
            <w:r>
              <w:rPr>
                <w:rFonts w:hint="eastAsia"/>
              </w:rPr>
              <w:t>自然资源</w:t>
            </w:r>
          </w:p>
        </w:tc>
        <w:tc>
          <w:tcPr>
            <w:tcW w:w="1895" w:type="dxa"/>
            <w:tcBorders>
              <w:top w:val="single" w:color="000000" w:sz="2" w:space="0"/>
              <w:left w:val="single" w:color="000000" w:sz="2" w:space="0"/>
              <w:bottom w:val="single" w:color="000000" w:sz="2" w:space="0"/>
              <w:right w:val="single" w:color="000000" w:sz="2" w:space="0"/>
            </w:tcBorders>
            <w:vAlign w:val="center"/>
          </w:tcPr>
          <w:p w14:paraId="244801A3">
            <w:pPr>
              <w:pStyle w:val="687"/>
            </w:pPr>
            <w:r>
              <w:rPr>
                <w:rFonts w:hint="eastAsia"/>
              </w:rPr>
              <w:t>自然资源一般管控区</w:t>
            </w:r>
          </w:p>
        </w:tc>
      </w:tr>
    </w:tbl>
    <w:p w14:paraId="62A912EE">
      <w:pPr>
        <w:pStyle w:val="1379"/>
        <w:ind w:firstLine="440"/>
      </w:pPr>
    </w:p>
    <w:p w14:paraId="0B482B13">
      <w:pPr>
        <w:pStyle w:val="1381"/>
        <w:ind w:firstLine="520"/>
        <w:rPr>
          <w:rFonts w:cs="Times New Roman"/>
        </w:rPr>
      </w:pPr>
      <w:r>
        <w:t>本</w:t>
      </w:r>
      <w:r>
        <w:rPr>
          <w:rFonts w:cs="Times New Roman"/>
          <w:bCs/>
          <w:szCs w:val="26"/>
        </w:rPr>
        <w:t>项目与生态环境准入清单及管控要求符合性分析表见下表</w:t>
      </w:r>
      <w:r>
        <w:t>。</w:t>
      </w:r>
    </w:p>
    <w:p w14:paraId="6AA93FFB">
      <w:pPr>
        <w:pStyle w:val="702"/>
        <w:ind w:firstLine="520"/>
        <w:rPr>
          <w:rFonts w:cs="Times New Roman"/>
        </w:rPr>
        <w:sectPr>
          <w:pgSz w:w="11906" w:h="16838"/>
          <w:pgMar w:top="1701" w:right="1588" w:bottom="1588" w:left="1588" w:header="1304" w:footer="1247" w:gutter="0"/>
          <w:cols w:space="720" w:num="1"/>
          <w:docGrid w:linePitch="312" w:charSpace="0"/>
        </w:sectPr>
      </w:pPr>
    </w:p>
    <w:p w14:paraId="7A087658">
      <w:pPr>
        <w:pStyle w:val="1065"/>
      </w:pPr>
      <w:r>
        <w:t xml:space="preserve">表1.7-13   </w:t>
      </w:r>
      <w:r>
        <w:rPr>
          <w:rFonts w:hint="eastAsia"/>
        </w:rPr>
        <w:t>巴中市</w:t>
      </w:r>
      <w:r>
        <w:t>普适性管控要求</w:t>
      </w:r>
      <w:r>
        <w:rPr>
          <w:rFonts w:hint="eastAsia"/>
        </w:rPr>
        <w:t>（一般管控单元）</w:t>
      </w:r>
    </w:p>
    <w:tbl>
      <w:tblPr>
        <w:tblStyle w:val="88"/>
        <w:tblW w:w="13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19"/>
        <w:gridCol w:w="705"/>
        <w:gridCol w:w="707"/>
        <w:gridCol w:w="1012"/>
        <w:gridCol w:w="7336"/>
        <w:gridCol w:w="2721"/>
        <w:gridCol w:w="705"/>
      </w:tblGrid>
      <w:tr w14:paraId="6D0E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19" w:type="dxa"/>
            <w:vAlign w:val="center"/>
          </w:tcPr>
          <w:p w14:paraId="31B0F8F8">
            <w:pPr>
              <w:pStyle w:val="687"/>
              <w:rPr>
                <w:sz w:val="21"/>
                <w:szCs w:val="21"/>
              </w:rPr>
            </w:pPr>
            <w:r>
              <w:rPr>
                <w:sz w:val="21"/>
                <w:szCs w:val="21"/>
              </w:rPr>
              <w:t>市州</w:t>
            </w:r>
          </w:p>
        </w:tc>
        <w:tc>
          <w:tcPr>
            <w:tcW w:w="705" w:type="dxa"/>
            <w:vAlign w:val="center"/>
          </w:tcPr>
          <w:p w14:paraId="6D4C0441">
            <w:pPr>
              <w:pStyle w:val="687"/>
              <w:rPr>
                <w:sz w:val="21"/>
                <w:szCs w:val="21"/>
              </w:rPr>
            </w:pPr>
            <w:r>
              <w:rPr>
                <w:sz w:val="21"/>
                <w:szCs w:val="21"/>
              </w:rPr>
              <w:t>涉及</w:t>
            </w:r>
          </w:p>
          <w:p w14:paraId="184C1A5E">
            <w:pPr>
              <w:pStyle w:val="687"/>
              <w:rPr>
                <w:sz w:val="21"/>
                <w:szCs w:val="21"/>
              </w:rPr>
            </w:pPr>
            <w:r>
              <w:rPr>
                <w:sz w:val="21"/>
                <w:szCs w:val="21"/>
              </w:rPr>
              <w:t>县区</w:t>
            </w:r>
          </w:p>
        </w:tc>
        <w:tc>
          <w:tcPr>
            <w:tcW w:w="707" w:type="dxa"/>
            <w:vAlign w:val="center"/>
          </w:tcPr>
          <w:p w14:paraId="3A9C393A">
            <w:pPr>
              <w:pStyle w:val="687"/>
              <w:rPr>
                <w:sz w:val="21"/>
                <w:szCs w:val="21"/>
              </w:rPr>
            </w:pPr>
            <w:r>
              <w:rPr>
                <w:sz w:val="21"/>
                <w:szCs w:val="21"/>
              </w:rPr>
              <w:t>区域</w:t>
            </w:r>
          </w:p>
          <w:p w14:paraId="164C3EF0">
            <w:pPr>
              <w:pStyle w:val="687"/>
              <w:rPr>
                <w:sz w:val="21"/>
                <w:szCs w:val="21"/>
              </w:rPr>
            </w:pPr>
            <w:r>
              <w:rPr>
                <w:sz w:val="21"/>
                <w:szCs w:val="21"/>
              </w:rPr>
              <w:t>名称</w:t>
            </w:r>
          </w:p>
        </w:tc>
        <w:tc>
          <w:tcPr>
            <w:tcW w:w="1012" w:type="dxa"/>
            <w:vAlign w:val="center"/>
          </w:tcPr>
          <w:p w14:paraId="06174100">
            <w:pPr>
              <w:pStyle w:val="687"/>
              <w:rPr>
                <w:sz w:val="21"/>
                <w:szCs w:val="21"/>
              </w:rPr>
            </w:pPr>
            <w:r>
              <w:rPr>
                <w:sz w:val="21"/>
                <w:szCs w:val="21"/>
              </w:rPr>
              <w:t>管控类别</w:t>
            </w:r>
          </w:p>
        </w:tc>
        <w:tc>
          <w:tcPr>
            <w:tcW w:w="7336" w:type="dxa"/>
            <w:vAlign w:val="center"/>
          </w:tcPr>
          <w:p w14:paraId="45255F3D">
            <w:pPr>
              <w:pStyle w:val="687"/>
              <w:rPr>
                <w:sz w:val="21"/>
                <w:szCs w:val="21"/>
              </w:rPr>
            </w:pPr>
            <w:r>
              <w:rPr>
                <w:sz w:val="21"/>
                <w:szCs w:val="21"/>
              </w:rPr>
              <w:t>对应管控要求</w:t>
            </w:r>
          </w:p>
        </w:tc>
        <w:tc>
          <w:tcPr>
            <w:tcW w:w="2721" w:type="dxa"/>
            <w:vAlign w:val="center"/>
          </w:tcPr>
          <w:p w14:paraId="45C37084">
            <w:pPr>
              <w:pStyle w:val="687"/>
              <w:rPr>
                <w:sz w:val="21"/>
                <w:szCs w:val="21"/>
              </w:rPr>
            </w:pPr>
            <w:r>
              <w:rPr>
                <w:sz w:val="21"/>
                <w:szCs w:val="21"/>
              </w:rPr>
              <w:t>项目对应情况介绍</w:t>
            </w:r>
          </w:p>
        </w:tc>
        <w:tc>
          <w:tcPr>
            <w:tcW w:w="705" w:type="dxa"/>
            <w:vAlign w:val="center"/>
          </w:tcPr>
          <w:p w14:paraId="75C04B1F">
            <w:pPr>
              <w:pStyle w:val="687"/>
              <w:rPr>
                <w:sz w:val="21"/>
                <w:szCs w:val="21"/>
              </w:rPr>
            </w:pPr>
            <w:r>
              <w:rPr>
                <w:sz w:val="21"/>
                <w:szCs w:val="21"/>
              </w:rPr>
              <w:t>符合性</w:t>
            </w:r>
          </w:p>
        </w:tc>
      </w:tr>
      <w:tr w14:paraId="3ADD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19" w:type="dxa"/>
            <w:vMerge w:val="restart"/>
            <w:vAlign w:val="center"/>
          </w:tcPr>
          <w:p w14:paraId="6D31D410">
            <w:pPr>
              <w:pStyle w:val="687"/>
              <w:rPr>
                <w:sz w:val="21"/>
                <w:szCs w:val="21"/>
              </w:rPr>
            </w:pPr>
            <w:r>
              <w:rPr>
                <w:sz w:val="21"/>
                <w:szCs w:val="21"/>
              </w:rPr>
              <w:t>巴中市</w:t>
            </w:r>
          </w:p>
        </w:tc>
        <w:tc>
          <w:tcPr>
            <w:tcW w:w="705" w:type="dxa"/>
            <w:vMerge w:val="restart"/>
            <w:vAlign w:val="center"/>
          </w:tcPr>
          <w:p w14:paraId="2BA16A77">
            <w:pPr>
              <w:pStyle w:val="687"/>
              <w:rPr>
                <w:sz w:val="21"/>
                <w:szCs w:val="21"/>
              </w:rPr>
            </w:pPr>
            <w:r>
              <w:rPr>
                <w:rFonts w:ascii="仿宋" w:hAnsi="仿宋" w:eastAsia="仿宋" w:cs="仿宋"/>
                <w:sz w:val="24"/>
              </w:rPr>
              <w:t>巴州区+恩阳区+通江县+南江县+平昌县</w:t>
            </w:r>
          </w:p>
        </w:tc>
        <w:tc>
          <w:tcPr>
            <w:tcW w:w="707" w:type="dxa"/>
            <w:vMerge w:val="restart"/>
            <w:vAlign w:val="center"/>
          </w:tcPr>
          <w:p w14:paraId="6A7E2C6C">
            <w:pPr>
              <w:pStyle w:val="687"/>
              <w:rPr>
                <w:sz w:val="21"/>
                <w:szCs w:val="21"/>
              </w:rPr>
            </w:pPr>
            <w:r>
              <w:rPr>
                <w:rFonts w:ascii="仿宋" w:hAnsi="仿宋" w:eastAsia="仿宋" w:cs="仿宋"/>
                <w:sz w:val="24"/>
              </w:rPr>
              <w:t>巴州区+恩阳区+通江县+南江县+平昌县</w:t>
            </w:r>
          </w:p>
        </w:tc>
        <w:tc>
          <w:tcPr>
            <w:tcW w:w="1012" w:type="dxa"/>
            <w:vAlign w:val="center"/>
          </w:tcPr>
          <w:p w14:paraId="057B193C">
            <w:pPr>
              <w:pStyle w:val="687"/>
              <w:rPr>
                <w:sz w:val="21"/>
                <w:szCs w:val="21"/>
              </w:rPr>
            </w:pPr>
            <w:r>
              <w:rPr>
                <w:sz w:val="21"/>
                <w:szCs w:val="21"/>
              </w:rPr>
              <w:t>空间布局约束</w:t>
            </w:r>
          </w:p>
        </w:tc>
        <w:tc>
          <w:tcPr>
            <w:tcW w:w="7336" w:type="dxa"/>
            <w:vAlign w:val="center"/>
          </w:tcPr>
          <w:p w14:paraId="01DE6914">
            <w:pPr>
              <w:jc w:val="left"/>
            </w:pPr>
            <w:r>
              <w:t>【禁止开发建设活动的要求】</w:t>
            </w:r>
          </w:p>
          <w:p w14:paraId="4C71D139">
            <w:pPr>
              <w:jc w:val="left"/>
            </w:pPr>
            <w:r>
              <w:t>-禁止在长江干支流岸线一公里范围内新建、扩建化工园区和化工项目。 -禁止在长江干流岸线三公里范围内和重要支流岸线一公里范围内新建、改建、扩建尾矿库、冶炼渣库、磷石膏库，以提升安全、生态环境保护水平为目的的改建除外。 -禁止在法律法规规定的禁采区内开采矿产；禁止土法采、选、冶严重污染环境的矿产资源。 -禁止在长江流域河湖管理范围内倾倒、填埋、堆放、弃置、处理固体废物。 -对全部基本农田按禁止开发的要求进行管理。涉及基本农田的区域，除法律规定的重点建设项目选址确实无法避让外，其他任何建设不得占用。 -禁止在永久基本农田集中区域和其他需要特别保护的区域选址建设尾矿库、冶炼渣库、磷石膏库。</w:t>
            </w:r>
          </w:p>
          <w:p w14:paraId="457450F3">
            <w:pPr>
              <w:jc w:val="left"/>
            </w:pPr>
            <w:r>
              <w:t>【限制开发建设活动的要求】</w:t>
            </w:r>
          </w:p>
          <w:p w14:paraId="1A525192">
            <w:pPr>
              <w:jc w:val="left"/>
            </w:pPr>
            <w:r>
              <w:t>-涉及法定保护地，严格按照国家及地方法律法规、管理办法等相关要求进行控制。配套旅游、基础设施等建设项目，在符合规划和相关保护要求的前提下，应实施生态避让、减缓影响及生态恢复措施。 -按照相关要求严控水泥新增产能。 -因地制宜地发展适宜产业，在不损害生态系统功能的前提下，适度发展旅游、农林牧产品生产和加工、生态农业、休闲农业等产业； -严格控制非农业建设占用农用地。 -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 -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 -水环境农业污染重点管控区：（1）稳步推进建制镇污水处理设施建设，适当预留发展空间，宜集中则集中，宜分散则分散。农村生活污水处理设施排水执行《农村生活污水处理设施水污染物排放标准》（DB 51 2626-2019）要求。（2）深入推进化肥减量增效。鼓励以循环利用与生态净化相结合的方式控制种植业污染，农企合作推进测土配方施肥。</w:t>
            </w:r>
          </w:p>
          <w:p w14:paraId="631018F7">
            <w:pPr>
              <w:jc w:val="left"/>
            </w:pPr>
            <w:r>
              <w:t>【允许开发建设活动的要求】</w:t>
            </w:r>
          </w:p>
          <w:p w14:paraId="7B9AAE25">
            <w:pPr>
              <w:jc w:val="left"/>
            </w:pPr>
            <w:r>
              <w:t>-全面取缔禁养区内规模化畜禽养殖场。 -针对现有水泥企业，强化污染治理和污染物减排，依法依规整治或搬迁。</w:t>
            </w:r>
          </w:p>
          <w:p w14:paraId="7817A94A">
            <w:pPr>
              <w:jc w:val="left"/>
            </w:pPr>
            <w:r>
              <w:t>【不符合空间布局要求活动的退出要求】</w:t>
            </w:r>
          </w:p>
          <w:p w14:paraId="03B0668C">
            <w:pPr>
              <w:pStyle w:val="687"/>
              <w:jc w:val="both"/>
              <w:rPr>
                <w:sz w:val="21"/>
                <w:szCs w:val="21"/>
              </w:rPr>
            </w:pPr>
            <w:r>
              <w:rPr>
                <w:rFonts w:ascii="Cambria Math" w:hAnsi="Cambria Math" w:cs="Cambria Math"/>
                <w:sz w:val="21"/>
              </w:rPr>
              <w:t>△</w:t>
            </w:r>
          </w:p>
        </w:tc>
        <w:tc>
          <w:tcPr>
            <w:tcW w:w="2721" w:type="dxa"/>
            <w:vAlign w:val="center"/>
          </w:tcPr>
          <w:p w14:paraId="215AC94D">
            <w:pPr>
              <w:pStyle w:val="687"/>
              <w:jc w:val="both"/>
              <w:rPr>
                <w:sz w:val="21"/>
                <w:szCs w:val="21"/>
              </w:rPr>
            </w:pPr>
            <w:r>
              <w:rPr>
                <w:rFonts w:hint="eastAsia"/>
                <w:sz w:val="21"/>
                <w:szCs w:val="21"/>
              </w:rPr>
              <w:t>本项目未在法律法规规定的禁采区，项目选址不涉及自然保护区、风景名胜区、森林公园、饮用水源保护区等法定自然保护地，不属于化工园区及化工项目，亦不属于尾矿库、冶炼渣库、磷石膏库项目，本项目亦不属于高耗能、高排放、低水平项目。本项目在原有井场内部建设，临时占用永久基本农田，试采结束后若产气未达预期，将进行土地复垦。</w:t>
            </w:r>
          </w:p>
        </w:tc>
        <w:tc>
          <w:tcPr>
            <w:tcW w:w="705" w:type="dxa"/>
            <w:vAlign w:val="center"/>
          </w:tcPr>
          <w:p w14:paraId="32E94A8B">
            <w:pPr>
              <w:pStyle w:val="687"/>
              <w:rPr>
                <w:sz w:val="21"/>
                <w:szCs w:val="21"/>
              </w:rPr>
            </w:pPr>
            <w:r>
              <w:rPr>
                <w:sz w:val="21"/>
                <w:szCs w:val="21"/>
              </w:rPr>
              <w:t>符合</w:t>
            </w:r>
          </w:p>
        </w:tc>
      </w:tr>
      <w:tr w14:paraId="7663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19" w:type="dxa"/>
            <w:vMerge w:val="continue"/>
          </w:tcPr>
          <w:p w14:paraId="5D8A4C5B">
            <w:pPr>
              <w:pStyle w:val="687"/>
              <w:rPr>
                <w:sz w:val="21"/>
                <w:szCs w:val="21"/>
              </w:rPr>
            </w:pPr>
          </w:p>
        </w:tc>
        <w:tc>
          <w:tcPr>
            <w:tcW w:w="705" w:type="dxa"/>
            <w:vMerge w:val="continue"/>
          </w:tcPr>
          <w:p w14:paraId="1DA035BF">
            <w:pPr>
              <w:pStyle w:val="687"/>
              <w:rPr>
                <w:sz w:val="21"/>
                <w:szCs w:val="21"/>
              </w:rPr>
            </w:pPr>
          </w:p>
        </w:tc>
        <w:tc>
          <w:tcPr>
            <w:tcW w:w="707" w:type="dxa"/>
            <w:vMerge w:val="continue"/>
          </w:tcPr>
          <w:p w14:paraId="263AAF70">
            <w:pPr>
              <w:pStyle w:val="687"/>
              <w:rPr>
                <w:sz w:val="21"/>
                <w:szCs w:val="21"/>
              </w:rPr>
            </w:pPr>
          </w:p>
        </w:tc>
        <w:tc>
          <w:tcPr>
            <w:tcW w:w="1012" w:type="dxa"/>
            <w:vAlign w:val="center"/>
          </w:tcPr>
          <w:p w14:paraId="3469275E">
            <w:pPr>
              <w:pStyle w:val="687"/>
              <w:rPr>
                <w:sz w:val="21"/>
                <w:szCs w:val="21"/>
              </w:rPr>
            </w:pPr>
            <w:r>
              <w:rPr>
                <w:sz w:val="21"/>
                <w:szCs w:val="21"/>
              </w:rPr>
              <w:t>污染物排放管控</w:t>
            </w:r>
          </w:p>
        </w:tc>
        <w:tc>
          <w:tcPr>
            <w:tcW w:w="7336" w:type="dxa"/>
            <w:vAlign w:val="center"/>
          </w:tcPr>
          <w:p w14:paraId="45BC29C9">
            <w:pPr>
              <w:jc w:val="left"/>
            </w:pPr>
            <w:r>
              <w:t>【现有源提标升级改造】</w:t>
            </w:r>
          </w:p>
          <w:p w14:paraId="5E9BE2A7">
            <w:pPr>
              <w:jc w:val="left"/>
            </w:pPr>
            <w:r>
              <w:t>-加快现有乡镇污水处理设施升级改造，按要求达《城镇污水处理厂污染物排放标准》一级A标后排放。 -在矿产资源开发活动集中区域，废水执行重金属污染物排放特别限值。 -砖瓦行业实施脱硫、除尘升级改造，污染物排放达到《砖瓦工业大气污染物排放标准》相关要求。 -火电、水泥等行业按相关要求推进大气污染物超低排放和深度治理。 -调整优化畜禽养殖区域布局，实施规模化畜禽养殖场标准化建设和改造，加强禽畜养殖粪污治理，深入推广畜禽清洁养殖，养殖场的养殖规模要与周边可供消纳的土地量相匹配，并具备完善的雨污分流、粪便污水资源化利用设施。强化畜禽养殖散户管理，禁止畜禽粪污直排。</w:t>
            </w:r>
          </w:p>
          <w:p w14:paraId="1D530A52">
            <w:pPr>
              <w:jc w:val="left"/>
            </w:pPr>
            <w:r>
              <w:t>【新增源等量或倍量替代】</w:t>
            </w:r>
          </w:p>
          <w:p w14:paraId="15BFA39D">
            <w:pPr>
              <w:jc w:val="left"/>
            </w:pPr>
            <w:r>
              <w:t>污染物排放绩效水平准入要求： -到2025年乡镇污水处理率达95%；到2030年乡镇污水处理率达100%； -大中型矿山达到绿色矿山标准，引导小型矿山按照绿色矿山标准规范法发展。加强矿山采选废水的处理和综合利用工作，选矿废水全部综合利用，不外排，采矿废水应尽量回用。 -新、改扩建规模化畜禽养殖场（小区）要实施雨污分流，畜禽粪污实现资源化利用；散养密集区要实行畜禽粪便污水分户收集，集中处理利用； -屠宰项目必须配套污水处理设施或进入城市污水管网。 -到2021年底，全市生活垃圾收转运处置体系覆盖95%以上行政村，再生资源回收网点覆盖30%以上行政村。全市95%以上行政村的生活垃圾得到有效治理，到2023年，全市生活垃圾收转运处置体系覆盖所有行政村，再生资源回收网点覆盖60%以上行政村，实现保洁员配备合理、管理有效、村组保洁工作运转有序。到2025年，乡镇和农村地区生活垃圾分类工作取得明显成效。生活垃圾减量化、资源化、无害化水平显著提高，基本建立“垃圾分类有特色、转运设施较齐全、村庄保洁见长效，资金投入有保障、监管制度较完善”的农村生活垃圾治理体系。 -到2025年底，全市有机肥使用面积达到370万亩。平均耕地质量提升一个等级，化肥使用量总体保持零增长。 -2025年主要粮经作物主产区农药包装废弃物回收率达80%</w:t>
            </w:r>
          </w:p>
          <w:p w14:paraId="73F47DDF">
            <w:pPr>
              <w:jc w:val="left"/>
            </w:pPr>
            <w:r>
              <w:t>【新增源排放标准限值】</w:t>
            </w:r>
          </w:p>
          <w:p w14:paraId="058DCAED">
            <w:pPr>
              <w:jc w:val="left"/>
            </w:pPr>
            <w:r>
              <w:t>强化大气污染区域联防联控措施，实施重污染天气应急管控。修订重污染天气应急预案，动态更新污染源排放清单，落实重点企业错峰生产、压产限产、工地停工等强制性措施，有效减缓重污染天气影响。</w:t>
            </w:r>
          </w:p>
          <w:p w14:paraId="2BAEA3C4">
            <w:pPr>
              <w:jc w:val="left"/>
            </w:pPr>
            <w:r>
              <w:t>【污染物排放绩效水平准入要求】</w:t>
            </w:r>
          </w:p>
          <w:p w14:paraId="41180628">
            <w:pPr>
              <w:pStyle w:val="687"/>
              <w:jc w:val="both"/>
              <w:rPr>
                <w:sz w:val="21"/>
                <w:szCs w:val="21"/>
              </w:rPr>
            </w:pPr>
            <w:r>
              <w:rPr>
                <w:sz w:val="21"/>
              </w:rPr>
              <w:t>企业环境风险防控要求: -工业企业退出用地，须经评估、修复满足相应用地功能后，方可改变用途。  -加强“散乱污”企业环境风险防控。 -现有涉及五类重金属的企业，严控污染物排放，限时整治或搬迁。 用地环境风险防控要求:-严禁将城镇生活垃圾、污泥、工业废物直接用作肥料，禁止处理不达标的污泥进入耕地；禁止在农用地排放、倾倒、使用污泥、清淤底泥、尾矿（渣）等可能对土壤造成污染的固体废物。 -定期对单元内尾矿库进行风险巡查，建立监测系统和环境风险应急预案；完善各尾矿库渗滤液收集、处理、回用系统，杜绝事故排放；尾矿库闭矿后因地制宜进行植被恢复和综合利用。                                                                                                  -规范排土场、渣场等整治。 -严格控制林地、草地、园地的农药使用量，禁止使用高毒、高残留农药。</w:t>
            </w:r>
          </w:p>
        </w:tc>
        <w:tc>
          <w:tcPr>
            <w:tcW w:w="2721" w:type="dxa"/>
            <w:vAlign w:val="center"/>
          </w:tcPr>
          <w:p w14:paraId="51B11189">
            <w:pPr>
              <w:pStyle w:val="687"/>
              <w:jc w:val="both"/>
              <w:rPr>
                <w:sz w:val="21"/>
                <w:szCs w:val="21"/>
              </w:rPr>
            </w:pPr>
            <w:r>
              <w:rPr>
                <w:rFonts w:hint="eastAsia"/>
                <w:sz w:val="21"/>
                <w:szCs w:val="21"/>
              </w:rPr>
              <w:t>本项目天然气开发污染防治和环境管理可达到国际先进水平，并符合《石油天然气开采污染防治技术政策》要求。本项目废水不外排，大气污染物按照相关标准要求执行。</w:t>
            </w:r>
          </w:p>
        </w:tc>
        <w:tc>
          <w:tcPr>
            <w:tcW w:w="705" w:type="dxa"/>
            <w:vAlign w:val="center"/>
          </w:tcPr>
          <w:p w14:paraId="10FA88EB">
            <w:pPr>
              <w:pStyle w:val="687"/>
              <w:rPr>
                <w:sz w:val="21"/>
                <w:szCs w:val="21"/>
              </w:rPr>
            </w:pPr>
            <w:r>
              <w:rPr>
                <w:sz w:val="21"/>
                <w:szCs w:val="21"/>
              </w:rPr>
              <w:t>符合</w:t>
            </w:r>
          </w:p>
        </w:tc>
      </w:tr>
      <w:tr w14:paraId="64AA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19" w:type="dxa"/>
            <w:vMerge w:val="continue"/>
          </w:tcPr>
          <w:p w14:paraId="5B5441AB">
            <w:pPr>
              <w:pStyle w:val="687"/>
              <w:rPr>
                <w:sz w:val="21"/>
                <w:szCs w:val="21"/>
              </w:rPr>
            </w:pPr>
          </w:p>
        </w:tc>
        <w:tc>
          <w:tcPr>
            <w:tcW w:w="705" w:type="dxa"/>
            <w:vMerge w:val="continue"/>
          </w:tcPr>
          <w:p w14:paraId="4A681550">
            <w:pPr>
              <w:pStyle w:val="687"/>
              <w:rPr>
                <w:sz w:val="21"/>
                <w:szCs w:val="21"/>
              </w:rPr>
            </w:pPr>
          </w:p>
        </w:tc>
        <w:tc>
          <w:tcPr>
            <w:tcW w:w="707" w:type="dxa"/>
            <w:vMerge w:val="continue"/>
          </w:tcPr>
          <w:p w14:paraId="16066FE3">
            <w:pPr>
              <w:pStyle w:val="687"/>
              <w:rPr>
                <w:sz w:val="21"/>
                <w:szCs w:val="21"/>
              </w:rPr>
            </w:pPr>
          </w:p>
        </w:tc>
        <w:tc>
          <w:tcPr>
            <w:tcW w:w="1012" w:type="dxa"/>
            <w:vAlign w:val="center"/>
          </w:tcPr>
          <w:p w14:paraId="0FFF186E">
            <w:pPr>
              <w:pStyle w:val="687"/>
              <w:rPr>
                <w:sz w:val="21"/>
                <w:szCs w:val="21"/>
              </w:rPr>
            </w:pPr>
            <w:r>
              <w:rPr>
                <w:sz w:val="21"/>
                <w:szCs w:val="21"/>
              </w:rPr>
              <w:t>环境风险防控</w:t>
            </w:r>
          </w:p>
        </w:tc>
        <w:tc>
          <w:tcPr>
            <w:tcW w:w="7336" w:type="dxa"/>
            <w:vAlign w:val="center"/>
          </w:tcPr>
          <w:p w14:paraId="6EE228D0">
            <w:pPr>
              <w:jc w:val="left"/>
            </w:pPr>
            <w:r>
              <w:t>【严格管控类农用地管控要求】</w:t>
            </w:r>
          </w:p>
          <w:p w14:paraId="7544B26A">
            <w:pPr>
              <w:jc w:val="left"/>
            </w:pPr>
            <w:r>
              <w:t>-巴中市2025年地下水开采控制控制量保持在1400万m3以内。 -地下水开采量控制在可开采量的允 许范围内，抑制用水过度增长。</w:t>
            </w:r>
          </w:p>
          <w:p w14:paraId="677D7A47">
            <w:pPr>
              <w:jc w:val="left"/>
            </w:pPr>
            <w:r>
              <w:t>【安全利用类农用地管控要求】</w:t>
            </w:r>
          </w:p>
          <w:p w14:paraId="53C8D3AD">
            <w:pPr>
              <w:jc w:val="left"/>
            </w:pPr>
            <w:r>
              <w:t>-推进清洁能源的推广使用，全面推进散煤清洁化整治；禁止新建每小时10蒸吨以下的燃煤锅炉及其他燃煤设施。 -禁止焚烧秸秆和垃圾。</w:t>
            </w:r>
          </w:p>
          <w:p w14:paraId="5A6D848A">
            <w:pPr>
              <w:jc w:val="left"/>
            </w:pPr>
            <w:r>
              <w:t>【污染地块管控要求】</w:t>
            </w:r>
          </w:p>
          <w:p w14:paraId="3682832A">
            <w:pPr>
              <w:jc w:val="left"/>
            </w:pPr>
            <w: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47EEC4B7">
            <w:pPr>
              <w:jc w:val="left"/>
            </w:pPr>
            <w:r>
              <w:t>【园区环境风险防控要求】</w:t>
            </w:r>
          </w:p>
          <w:p w14:paraId="4858F9F2">
            <w:pPr>
              <w:pStyle w:val="687"/>
              <w:jc w:val="both"/>
              <w:rPr>
                <w:sz w:val="21"/>
                <w:szCs w:val="21"/>
              </w:rPr>
            </w:pPr>
            <w:r>
              <w:rPr>
                <w:sz w:val="21"/>
              </w:rPr>
              <w:t>到2025年，巴中市农田有效灌溉系数达到0.56；到 2030 年，巴中市农田有效灌溉率提到40%，农田灌溉用水有效利用系数提高到 0.62 左右。</w:t>
            </w:r>
          </w:p>
        </w:tc>
        <w:tc>
          <w:tcPr>
            <w:tcW w:w="2721" w:type="dxa"/>
            <w:vAlign w:val="center"/>
          </w:tcPr>
          <w:p w14:paraId="1879856B">
            <w:pPr>
              <w:pStyle w:val="687"/>
              <w:jc w:val="both"/>
              <w:rPr>
                <w:sz w:val="21"/>
                <w:szCs w:val="21"/>
              </w:rPr>
            </w:pPr>
            <w:r>
              <w:rPr>
                <w:rFonts w:hint="eastAsia"/>
                <w:sz w:val="21"/>
                <w:szCs w:val="21"/>
              </w:rPr>
              <w:t>本项目不涉及地下水开采，不涉及安全利用类农用地和污染地块，不涉及农田灌溉。</w:t>
            </w:r>
          </w:p>
        </w:tc>
        <w:tc>
          <w:tcPr>
            <w:tcW w:w="705" w:type="dxa"/>
            <w:vAlign w:val="center"/>
          </w:tcPr>
          <w:p w14:paraId="09001ECF">
            <w:pPr>
              <w:pStyle w:val="687"/>
              <w:rPr>
                <w:sz w:val="21"/>
                <w:szCs w:val="21"/>
              </w:rPr>
            </w:pPr>
            <w:r>
              <w:rPr>
                <w:sz w:val="21"/>
                <w:szCs w:val="21"/>
              </w:rPr>
              <w:t>符合</w:t>
            </w:r>
          </w:p>
        </w:tc>
      </w:tr>
      <w:tr w14:paraId="1AD8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19" w:type="dxa"/>
            <w:vMerge w:val="continue"/>
          </w:tcPr>
          <w:p w14:paraId="01371D48">
            <w:pPr>
              <w:pStyle w:val="687"/>
              <w:rPr>
                <w:sz w:val="21"/>
                <w:szCs w:val="21"/>
              </w:rPr>
            </w:pPr>
          </w:p>
        </w:tc>
        <w:tc>
          <w:tcPr>
            <w:tcW w:w="705" w:type="dxa"/>
            <w:vMerge w:val="continue"/>
          </w:tcPr>
          <w:p w14:paraId="3A6B0595">
            <w:pPr>
              <w:pStyle w:val="687"/>
              <w:rPr>
                <w:sz w:val="21"/>
                <w:szCs w:val="21"/>
              </w:rPr>
            </w:pPr>
          </w:p>
        </w:tc>
        <w:tc>
          <w:tcPr>
            <w:tcW w:w="707" w:type="dxa"/>
            <w:vMerge w:val="continue"/>
          </w:tcPr>
          <w:p w14:paraId="36C20856">
            <w:pPr>
              <w:pStyle w:val="687"/>
              <w:rPr>
                <w:sz w:val="21"/>
                <w:szCs w:val="21"/>
              </w:rPr>
            </w:pPr>
          </w:p>
        </w:tc>
        <w:tc>
          <w:tcPr>
            <w:tcW w:w="1012" w:type="dxa"/>
            <w:vAlign w:val="center"/>
          </w:tcPr>
          <w:p w14:paraId="4CC69D10">
            <w:pPr>
              <w:pStyle w:val="687"/>
              <w:rPr>
                <w:sz w:val="21"/>
                <w:szCs w:val="21"/>
              </w:rPr>
            </w:pPr>
            <w:r>
              <w:rPr>
                <w:sz w:val="21"/>
                <w:szCs w:val="21"/>
              </w:rPr>
              <w:t>资源开发利用效率</w:t>
            </w:r>
          </w:p>
        </w:tc>
        <w:tc>
          <w:tcPr>
            <w:tcW w:w="7336" w:type="dxa"/>
            <w:vAlign w:val="center"/>
          </w:tcPr>
          <w:p w14:paraId="7A845623">
            <w:pPr>
              <w:pStyle w:val="687"/>
              <w:rPr>
                <w:sz w:val="21"/>
                <w:szCs w:val="21"/>
              </w:rPr>
            </w:pPr>
          </w:p>
        </w:tc>
        <w:tc>
          <w:tcPr>
            <w:tcW w:w="2721" w:type="dxa"/>
            <w:vAlign w:val="center"/>
          </w:tcPr>
          <w:p w14:paraId="41E96910">
            <w:pPr>
              <w:pStyle w:val="687"/>
              <w:rPr>
                <w:sz w:val="21"/>
                <w:szCs w:val="21"/>
              </w:rPr>
            </w:pPr>
          </w:p>
        </w:tc>
        <w:tc>
          <w:tcPr>
            <w:tcW w:w="705" w:type="dxa"/>
            <w:vAlign w:val="center"/>
          </w:tcPr>
          <w:p w14:paraId="32705777">
            <w:pPr>
              <w:pStyle w:val="687"/>
              <w:rPr>
                <w:sz w:val="21"/>
                <w:szCs w:val="21"/>
              </w:rPr>
            </w:pPr>
          </w:p>
        </w:tc>
      </w:tr>
    </w:tbl>
    <w:p w14:paraId="7593123C">
      <w:pPr>
        <w:pStyle w:val="1379"/>
        <w:ind w:firstLine="440"/>
      </w:pPr>
    </w:p>
    <w:p w14:paraId="262F872D">
      <w:pPr>
        <w:pStyle w:val="1065"/>
      </w:pPr>
      <w:r>
        <w:t>表1.7</w:t>
      </w:r>
      <w:r>
        <w:rPr>
          <w:rFonts w:hint="eastAsia"/>
        </w:rPr>
        <w:t>-</w:t>
      </w:r>
      <w:r>
        <w:t xml:space="preserve">14   </w:t>
      </w:r>
      <w:r>
        <w:rPr>
          <w:rFonts w:hint="eastAsia"/>
        </w:rPr>
        <w:t>恩阳区</w:t>
      </w:r>
      <w:r>
        <w:t>普适性管控要求</w:t>
      </w:r>
    </w:p>
    <w:tbl>
      <w:tblPr>
        <w:tblStyle w:val="88"/>
        <w:tblW w:w="13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18"/>
        <w:gridCol w:w="702"/>
        <w:gridCol w:w="987"/>
        <w:gridCol w:w="7460"/>
        <w:gridCol w:w="3241"/>
        <w:gridCol w:w="751"/>
      </w:tblGrid>
      <w:tr w14:paraId="362E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8" w:type="dxa"/>
            <w:vAlign w:val="center"/>
          </w:tcPr>
          <w:p w14:paraId="08619B19">
            <w:pPr>
              <w:topLinePunct/>
              <w:jc w:val="center"/>
              <w:rPr>
                <w:szCs w:val="18"/>
              </w:rPr>
            </w:pPr>
            <w:r>
              <w:t>县区</w:t>
            </w:r>
          </w:p>
        </w:tc>
        <w:tc>
          <w:tcPr>
            <w:tcW w:w="702" w:type="dxa"/>
            <w:vAlign w:val="center"/>
          </w:tcPr>
          <w:p w14:paraId="2387C814">
            <w:pPr>
              <w:topLinePunct/>
              <w:jc w:val="center"/>
            </w:pPr>
            <w:r>
              <w:t>区域</w:t>
            </w:r>
          </w:p>
          <w:p w14:paraId="2B13715F">
            <w:pPr>
              <w:topLinePunct/>
              <w:jc w:val="center"/>
              <w:rPr>
                <w:szCs w:val="18"/>
              </w:rPr>
            </w:pPr>
            <w:r>
              <w:t>名称</w:t>
            </w:r>
          </w:p>
        </w:tc>
        <w:tc>
          <w:tcPr>
            <w:tcW w:w="987" w:type="dxa"/>
            <w:vAlign w:val="center"/>
          </w:tcPr>
          <w:p w14:paraId="23F115A4">
            <w:pPr>
              <w:topLinePunct/>
              <w:jc w:val="center"/>
              <w:rPr>
                <w:szCs w:val="18"/>
              </w:rPr>
            </w:pPr>
            <w:r>
              <w:t>管控类别</w:t>
            </w:r>
          </w:p>
        </w:tc>
        <w:tc>
          <w:tcPr>
            <w:tcW w:w="7460" w:type="dxa"/>
            <w:vAlign w:val="center"/>
          </w:tcPr>
          <w:p w14:paraId="72D7FD08">
            <w:pPr>
              <w:topLinePunct/>
              <w:jc w:val="center"/>
              <w:rPr>
                <w:szCs w:val="18"/>
              </w:rPr>
            </w:pPr>
            <w:r>
              <w:rPr>
                <w:szCs w:val="18"/>
              </w:rPr>
              <w:t>对应管控要求</w:t>
            </w:r>
          </w:p>
        </w:tc>
        <w:tc>
          <w:tcPr>
            <w:tcW w:w="3241" w:type="dxa"/>
            <w:vAlign w:val="center"/>
          </w:tcPr>
          <w:p w14:paraId="63130E8B">
            <w:pPr>
              <w:topLinePunct/>
              <w:jc w:val="center"/>
              <w:rPr>
                <w:szCs w:val="18"/>
              </w:rPr>
            </w:pPr>
            <w:r>
              <w:rPr>
                <w:szCs w:val="18"/>
              </w:rPr>
              <w:t>项目对应情况</w:t>
            </w:r>
          </w:p>
          <w:p w14:paraId="6D21E766">
            <w:pPr>
              <w:topLinePunct/>
              <w:jc w:val="center"/>
              <w:rPr>
                <w:szCs w:val="18"/>
              </w:rPr>
            </w:pPr>
            <w:r>
              <w:rPr>
                <w:szCs w:val="18"/>
              </w:rPr>
              <w:t>介绍</w:t>
            </w:r>
          </w:p>
        </w:tc>
        <w:tc>
          <w:tcPr>
            <w:tcW w:w="751" w:type="dxa"/>
            <w:vAlign w:val="center"/>
          </w:tcPr>
          <w:p w14:paraId="48B72C64">
            <w:pPr>
              <w:topLinePunct/>
              <w:jc w:val="center"/>
              <w:rPr>
                <w:szCs w:val="18"/>
              </w:rPr>
            </w:pPr>
            <w:r>
              <w:rPr>
                <w:szCs w:val="18"/>
              </w:rPr>
              <w:t>符合性</w:t>
            </w:r>
          </w:p>
        </w:tc>
      </w:tr>
      <w:tr w14:paraId="7E516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18" w:type="dxa"/>
            <w:vMerge w:val="restart"/>
            <w:vAlign w:val="center"/>
          </w:tcPr>
          <w:p w14:paraId="3BA39FEB">
            <w:pPr>
              <w:topLinePunct/>
              <w:jc w:val="center"/>
              <w:rPr>
                <w:szCs w:val="18"/>
              </w:rPr>
            </w:pPr>
            <w:r>
              <w:rPr>
                <w:rFonts w:hint="eastAsia"/>
              </w:rPr>
              <w:t>恩阳区</w:t>
            </w:r>
          </w:p>
        </w:tc>
        <w:tc>
          <w:tcPr>
            <w:tcW w:w="702" w:type="dxa"/>
            <w:vMerge w:val="restart"/>
            <w:vAlign w:val="center"/>
          </w:tcPr>
          <w:p w14:paraId="0F3ABF62">
            <w:pPr>
              <w:pStyle w:val="687"/>
              <w:jc w:val="both"/>
              <w:rPr>
                <w:sz w:val="21"/>
              </w:rPr>
            </w:pPr>
            <w:r>
              <w:rPr>
                <w:rFonts w:hint="eastAsia"/>
                <w:sz w:val="21"/>
              </w:rPr>
              <w:t>恩阳区</w:t>
            </w:r>
          </w:p>
        </w:tc>
        <w:tc>
          <w:tcPr>
            <w:tcW w:w="987" w:type="dxa"/>
            <w:vAlign w:val="center"/>
          </w:tcPr>
          <w:p w14:paraId="5BCCD13E">
            <w:pPr>
              <w:pStyle w:val="687"/>
              <w:rPr>
                <w:sz w:val="21"/>
              </w:rPr>
            </w:pPr>
            <w:r>
              <w:rPr>
                <w:sz w:val="21"/>
              </w:rPr>
              <w:t>空间布局约束</w:t>
            </w:r>
          </w:p>
        </w:tc>
        <w:tc>
          <w:tcPr>
            <w:tcW w:w="7460" w:type="dxa"/>
            <w:vAlign w:val="center"/>
          </w:tcPr>
          <w:p w14:paraId="3E17E791">
            <w:pPr>
              <w:jc w:val="left"/>
              <w:rPr>
                <w:sz w:val="18"/>
              </w:rPr>
            </w:pPr>
            <w:r>
              <w:t>【不符合空间布局要求活动的退出要求】</w:t>
            </w:r>
          </w:p>
          <w:p w14:paraId="5B840BAB">
            <w:pPr>
              <w:pStyle w:val="687"/>
              <w:jc w:val="both"/>
              <w:rPr>
                <w:sz w:val="21"/>
                <w:szCs w:val="18"/>
              </w:rPr>
            </w:pPr>
            <w:r>
              <w:rPr>
                <w:sz w:val="21"/>
              </w:rPr>
              <w:t xml:space="preserve"> -加强流域水污染防治，推进流域水生态环境修复与治理； -培育和引入食品、饮料等行业严格执行行业资源环境绩效指标准入要求； -加强城市精细化管理，提升市民对环境的幸福感、获得感。</w:t>
            </w:r>
          </w:p>
        </w:tc>
        <w:tc>
          <w:tcPr>
            <w:tcW w:w="3241" w:type="dxa"/>
            <w:vAlign w:val="center"/>
          </w:tcPr>
          <w:p w14:paraId="73C07848">
            <w:pPr>
              <w:topLinePunct/>
              <w:jc w:val="center"/>
              <w:rPr>
                <w:szCs w:val="18"/>
              </w:rPr>
            </w:pPr>
            <w:r>
              <w:rPr>
                <w:rFonts w:hint="eastAsia"/>
                <w:szCs w:val="18"/>
              </w:rPr>
              <w:t>本项目试采期无废水直接外排。</w:t>
            </w:r>
          </w:p>
        </w:tc>
        <w:tc>
          <w:tcPr>
            <w:tcW w:w="751" w:type="dxa"/>
            <w:vAlign w:val="center"/>
          </w:tcPr>
          <w:p w14:paraId="39D36834">
            <w:pPr>
              <w:topLinePunct/>
              <w:jc w:val="center"/>
              <w:rPr>
                <w:szCs w:val="18"/>
              </w:rPr>
            </w:pPr>
            <w:r>
              <w:rPr>
                <w:rFonts w:hint="eastAsia"/>
                <w:szCs w:val="18"/>
              </w:rPr>
              <w:t>符合</w:t>
            </w:r>
          </w:p>
        </w:tc>
      </w:tr>
      <w:tr w14:paraId="3AF1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18" w:type="dxa"/>
            <w:vMerge w:val="continue"/>
            <w:vAlign w:val="center"/>
          </w:tcPr>
          <w:p w14:paraId="1485D674">
            <w:pPr>
              <w:topLinePunct/>
              <w:jc w:val="center"/>
              <w:rPr>
                <w:szCs w:val="18"/>
              </w:rPr>
            </w:pPr>
          </w:p>
        </w:tc>
        <w:tc>
          <w:tcPr>
            <w:tcW w:w="702" w:type="dxa"/>
            <w:vMerge w:val="continue"/>
            <w:vAlign w:val="center"/>
          </w:tcPr>
          <w:p w14:paraId="6D80E11A">
            <w:pPr>
              <w:pStyle w:val="687"/>
              <w:jc w:val="both"/>
              <w:rPr>
                <w:sz w:val="21"/>
              </w:rPr>
            </w:pPr>
          </w:p>
        </w:tc>
        <w:tc>
          <w:tcPr>
            <w:tcW w:w="987" w:type="dxa"/>
            <w:vAlign w:val="center"/>
          </w:tcPr>
          <w:p w14:paraId="04488ECC">
            <w:pPr>
              <w:pStyle w:val="687"/>
              <w:rPr>
                <w:sz w:val="21"/>
              </w:rPr>
            </w:pPr>
            <w:r>
              <w:rPr>
                <w:sz w:val="21"/>
              </w:rPr>
              <w:t>污染物排放管控</w:t>
            </w:r>
          </w:p>
        </w:tc>
        <w:tc>
          <w:tcPr>
            <w:tcW w:w="7460" w:type="dxa"/>
            <w:vAlign w:val="center"/>
          </w:tcPr>
          <w:p w14:paraId="68424ED9">
            <w:pPr>
              <w:jc w:val="left"/>
              <w:rPr>
                <w:sz w:val="18"/>
              </w:rPr>
            </w:pPr>
            <w:r>
              <w:t>【新增源等量或倍量替代】</w:t>
            </w:r>
          </w:p>
          <w:p w14:paraId="6E9ACE65">
            <w:pPr>
              <w:pStyle w:val="687"/>
              <w:jc w:val="both"/>
              <w:rPr>
                <w:sz w:val="21"/>
                <w:szCs w:val="18"/>
              </w:rPr>
            </w:pPr>
            <w:r>
              <w:rPr>
                <w:sz w:val="21"/>
              </w:rPr>
              <w:t xml:space="preserve"> -加强工业园区内和园区外企业污染排放监管，推进“散乱污”企业整治； -强化扬尘源、燃烧源和移动源等大气污染防治。</w:t>
            </w:r>
          </w:p>
        </w:tc>
        <w:tc>
          <w:tcPr>
            <w:tcW w:w="3241" w:type="dxa"/>
            <w:vAlign w:val="center"/>
          </w:tcPr>
          <w:p w14:paraId="43ECF1ED">
            <w:pPr>
              <w:topLinePunct/>
              <w:rPr>
                <w:szCs w:val="18"/>
              </w:rPr>
            </w:pPr>
            <w:r>
              <w:rPr>
                <w:rFonts w:hint="eastAsia"/>
                <w:szCs w:val="18"/>
              </w:rPr>
              <w:t>本项目不属于</w:t>
            </w:r>
            <w:r>
              <w:rPr>
                <w:rFonts w:hint="eastAsia"/>
              </w:rPr>
              <w:t>“散乱污”企业，施工扬尘采取洒水降尘等措施。</w:t>
            </w:r>
          </w:p>
        </w:tc>
        <w:tc>
          <w:tcPr>
            <w:tcW w:w="751" w:type="dxa"/>
            <w:vAlign w:val="center"/>
          </w:tcPr>
          <w:p w14:paraId="7409E70A">
            <w:pPr>
              <w:topLinePunct/>
              <w:jc w:val="center"/>
              <w:rPr>
                <w:szCs w:val="18"/>
              </w:rPr>
            </w:pPr>
            <w:r>
              <w:rPr>
                <w:rFonts w:hint="eastAsia"/>
                <w:szCs w:val="18"/>
              </w:rPr>
              <w:t>符合</w:t>
            </w:r>
          </w:p>
        </w:tc>
      </w:tr>
      <w:tr w14:paraId="073C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18" w:type="dxa"/>
            <w:vMerge w:val="continue"/>
            <w:vAlign w:val="center"/>
          </w:tcPr>
          <w:p w14:paraId="56D3B125">
            <w:pPr>
              <w:topLinePunct/>
              <w:jc w:val="center"/>
              <w:rPr>
                <w:szCs w:val="18"/>
              </w:rPr>
            </w:pPr>
          </w:p>
        </w:tc>
        <w:tc>
          <w:tcPr>
            <w:tcW w:w="702" w:type="dxa"/>
            <w:vMerge w:val="continue"/>
            <w:vAlign w:val="center"/>
          </w:tcPr>
          <w:p w14:paraId="123FC77D">
            <w:pPr>
              <w:pStyle w:val="687"/>
              <w:jc w:val="both"/>
              <w:rPr>
                <w:sz w:val="21"/>
              </w:rPr>
            </w:pPr>
          </w:p>
        </w:tc>
        <w:tc>
          <w:tcPr>
            <w:tcW w:w="987" w:type="dxa"/>
            <w:vAlign w:val="center"/>
          </w:tcPr>
          <w:p w14:paraId="33D4C13B">
            <w:pPr>
              <w:pStyle w:val="687"/>
              <w:rPr>
                <w:sz w:val="21"/>
              </w:rPr>
            </w:pPr>
            <w:r>
              <w:rPr>
                <w:sz w:val="21"/>
              </w:rPr>
              <w:t>环境风险防控</w:t>
            </w:r>
          </w:p>
        </w:tc>
        <w:tc>
          <w:tcPr>
            <w:tcW w:w="7460" w:type="dxa"/>
            <w:vAlign w:val="center"/>
          </w:tcPr>
          <w:p w14:paraId="0405BE77">
            <w:pPr>
              <w:pStyle w:val="687"/>
              <w:rPr>
                <w:sz w:val="21"/>
                <w:szCs w:val="18"/>
              </w:rPr>
            </w:pPr>
          </w:p>
        </w:tc>
        <w:tc>
          <w:tcPr>
            <w:tcW w:w="3241" w:type="dxa"/>
            <w:vAlign w:val="center"/>
          </w:tcPr>
          <w:p w14:paraId="6B68A063">
            <w:pPr>
              <w:topLinePunct/>
              <w:jc w:val="center"/>
              <w:rPr>
                <w:szCs w:val="18"/>
              </w:rPr>
            </w:pPr>
          </w:p>
        </w:tc>
        <w:tc>
          <w:tcPr>
            <w:tcW w:w="751" w:type="dxa"/>
            <w:vAlign w:val="center"/>
          </w:tcPr>
          <w:p w14:paraId="27DDE8E8">
            <w:pPr>
              <w:topLinePunct/>
              <w:jc w:val="center"/>
              <w:rPr>
                <w:szCs w:val="18"/>
              </w:rPr>
            </w:pPr>
          </w:p>
        </w:tc>
      </w:tr>
      <w:tr w14:paraId="502E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18" w:type="dxa"/>
            <w:vMerge w:val="continue"/>
            <w:vAlign w:val="center"/>
          </w:tcPr>
          <w:p w14:paraId="44441CBB">
            <w:pPr>
              <w:topLinePunct/>
              <w:jc w:val="center"/>
              <w:rPr>
                <w:szCs w:val="18"/>
              </w:rPr>
            </w:pPr>
          </w:p>
        </w:tc>
        <w:tc>
          <w:tcPr>
            <w:tcW w:w="702" w:type="dxa"/>
            <w:vMerge w:val="continue"/>
            <w:vAlign w:val="center"/>
          </w:tcPr>
          <w:p w14:paraId="040F0256">
            <w:pPr>
              <w:topLinePunct/>
              <w:jc w:val="center"/>
              <w:rPr>
                <w:szCs w:val="18"/>
              </w:rPr>
            </w:pPr>
          </w:p>
        </w:tc>
        <w:tc>
          <w:tcPr>
            <w:tcW w:w="987" w:type="dxa"/>
            <w:vAlign w:val="center"/>
          </w:tcPr>
          <w:p w14:paraId="4ED94CE5">
            <w:pPr>
              <w:topLinePunct/>
              <w:jc w:val="center"/>
              <w:rPr>
                <w:szCs w:val="18"/>
              </w:rPr>
            </w:pPr>
            <w:r>
              <w:t>资源开发利用效率要求</w:t>
            </w:r>
          </w:p>
        </w:tc>
        <w:tc>
          <w:tcPr>
            <w:tcW w:w="7460" w:type="dxa"/>
            <w:vAlign w:val="center"/>
          </w:tcPr>
          <w:p w14:paraId="0167DB1E">
            <w:pPr>
              <w:topLinePunct/>
              <w:jc w:val="center"/>
              <w:rPr>
                <w:szCs w:val="18"/>
              </w:rPr>
            </w:pPr>
          </w:p>
        </w:tc>
        <w:tc>
          <w:tcPr>
            <w:tcW w:w="3241" w:type="dxa"/>
            <w:vAlign w:val="center"/>
          </w:tcPr>
          <w:p w14:paraId="084DACEC">
            <w:pPr>
              <w:topLinePunct/>
              <w:jc w:val="center"/>
              <w:rPr>
                <w:szCs w:val="18"/>
              </w:rPr>
            </w:pPr>
          </w:p>
        </w:tc>
        <w:tc>
          <w:tcPr>
            <w:tcW w:w="751" w:type="dxa"/>
            <w:vAlign w:val="center"/>
          </w:tcPr>
          <w:p w14:paraId="26EF94DB">
            <w:pPr>
              <w:topLinePunct/>
              <w:jc w:val="center"/>
              <w:rPr>
                <w:szCs w:val="18"/>
              </w:rPr>
            </w:pPr>
          </w:p>
        </w:tc>
      </w:tr>
    </w:tbl>
    <w:p w14:paraId="1E3CB745">
      <w:pPr>
        <w:pStyle w:val="1379"/>
        <w:ind w:firstLine="440"/>
      </w:pPr>
    </w:p>
    <w:p w14:paraId="1A4FA098">
      <w:pPr>
        <w:pStyle w:val="1065"/>
      </w:pPr>
      <w:r>
        <w:t>表1.7</w:t>
      </w:r>
      <w:r>
        <w:rPr>
          <w:rFonts w:hint="eastAsia"/>
        </w:rPr>
        <w:t>-</w:t>
      </w:r>
      <w:r>
        <w:t xml:space="preserve">15   </w:t>
      </w:r>
      <w:r>
        <w:rPr>
          <w:rFonts w:hint="eastAsia"/>
        </w:rPr>
        <w:t>环境管控单元准入清单</w:t>
      </w:r>
    </w:p>
    <w:tbl>
      <w:tblPr>
        <w:tblStyle w:val="88"/>
        <w:tblW w:w="1356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
      <w:tblGrid>
        <w:gridCol w:w="1448"/>
        <w:gridCol w:w="594"/>
        <w:gridCol w:w="450"/>
        <w:gridCol w:w="450"/>
        <w:gridCol w:w="1012"/>
        <w:gridCol w:w="6475"/>
        <w:gridCol w:w="2551"/>
        <w:gridCol w:w="589"/>
      </w:tblGrid>
      <w:tr w14:paraId="2EB79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c>
          <w:tcPr>
            <w:tcW w:w="1448" w:type="dxa"/>
            <w:vAlign w:val="center"/>
          </w:tcPr>
          <w:p w14:paraId="7BD0A87A">
            <w:pPr>
              <w:pStyle w:val="687"/>
              <w:rPr>
                <w:sz w:val="21"/>
                <w:szCs w:val="21"/>
              </w:rPr>
            </w:pPr>
            <w:r>
              <w:rPr>
                <w:sz w:val="21"/>
                <w:szCs w:val="21"/>
              </w:rPr>
              <w:t>环境管控单元编码</w:t>
            </w:r>
          </w:p>
        </w:tc>
        <w:tc>
          <w:tcPr>
            <w:tcW w:w="594" w:type="dxa"/>
            <w:vAlign w:val="center"/>
          </w:tcPr>
          <w:p w14:paraId="0EDC588B">
            <w:pPr>
              <w:pStyle w:val="687"/>
              <w:rPr>
                <w:sz w:val="21"/>
                <w:szCs w:val="21"/>
              </w:rPr>
            </w:pPr>
            <w:r>
              <w:rPr>
                <w:sz w:val="21"/>
                <w:szCs w:val="21"/>
              </w:rPr>
              <w:t>环境管控单元名称</w:t>
            </w:r>
          </w:p>
        </w:tc>
        <w:tc>
          <w:tcPr>
            <w:tcW w:w="450" w:type="dxa"/>
            <w:vAlign w:val="center"/>
          </w:tcPr>
          <w:p w14:paraId="363D88AA">
            <w:pPr>
              <w:pStyle w:val="687"/>
              <w:rPr>
                <w:sz w:val="21"/>
                <w:szCs w:val="21"/>
              </w:rPr>
            </w:pPr>
            <w:r>
              <w:rPr>
                <w:sz w:val="21"/>
                <w:szCs w:val="21"/>
              </w:rPr>
              <w:t>管控单元类型</w:t>
            </w:r>
          </w:p>
        </w:tc>
        <w:tc>
          <w:tcPr>
            <w:tcW w:w="450" w:type="dxa"/>
            <w:vAlign w:val="center"/>
          </w:tcPr>
          <w:p w14:paraId="71B0B620">
            <w:pPr>
              <w:pStyle w:val="687"/>
              <w:rPr>
                <w:sz w:val="21"/>
                <w:szCs w:val="21"/>
              </w:rPr>
            </w:pPr>
            <w:r>
              <w:rPr>
                <w:sz w:val="21"/>
                <w:szCs w:val="21"/>
              </w:rPr>
              <w:t>所属县区</w:t>
            </w:r>
          </w:p>
        </w:tc>
        <w:tc>
          <w:tcPr>
            <w:tcW w:w="1012" w:type="dxa"/>
            <w:vAlign w:val="center"/>
          </w:tcPr>
          <w:p w14:paraId="2347D7B2">
            <w:pPr>
              <w:pStyle w:val="687"/>
              <w:rPr>
                <w:sz w:val="21"/>
                <w:szCs w:val="21"/>
              </w:rPr>
            </w:pPr>
            <w:r>
              <w:rPr>
                <w:sz w:val="21"/>
                <w:szCs w:val="21"/>
              </w:rPr>
              <w:t>管控类别</w:t>
            </w:r>
          </w:p>
        </w:tc>
        <w:tc>
          <w:tcPr>
            <w:tcW w:w="6475" w:type="dxa"/>
            <w:vAlign w:val="center"/>
          </w:tcPr>
          <w:p w14:paraId="162A9B10">
            <w:pPr>
              <w:pStyle w:val="687"/>
              <w:rPr>
                <w:sz w:val="21"/>
                <w:szCs w:val="21"/>
              </w:rPr>
            </w:pPr>
            <w:r>
              <w:rPr>
                <w:sz w:val="21"/>
                <w:szCs w:val="21"/>
              </w:rPr>
              <w:t>单元特性管控要求</w:t>
            </w:r>
          </w:p>
        </w:tc>
        <w:tc>
          <w:tcPr>
            <w:tcW w:w="2551" w:type="dxa"/>
            <w:vAlign w:val="center"/>
          </w:tcPr>
          <w:p w14:paraId="7B8B6EA7">
            <w:pPr>
              <w:pStyle w:val="687"/>
              <w:rPr>
                <w:sz w:val="21"/>
                <w:szCs w:val="21"/>
              </w:rPr>
            </w:pPr>
            <w:r>
              <w:rPr>
                <w:sz w:val="21"/>
                <w:szCs w:val="21"/>
              </w:rPr>
              <w:t>项目对应情况</w:t>
            </w:r>
          </w:p>
          <w:p w14:paraId="2F210590">
            <w:pPr>
              <w:pStyle w:val="687"/>
              <w:rPr>
                <w:sz w:val="21"/>
                <w:szCs w:val="21"/>
              </w:rPr>
            </w:pPr>
            <w:r>
              <w:rPr>
                <w:sz w:val="21"/>
                <w:szCs w:val="21"/>
              </w:rPr>
              <w:t>介绍</w:t>
            </w:r>
          </w:p>
        </w:tc>
        <w:tc>
          <w:tcPr>
            <w:tcW w:w="589" w:type="dxa"/>
            <w:vAlign w:val="center"/>
          </w:tcPr>
          <w:p w14:paraId="20DF39C2">
            <w:pPr>
              <w:pStyle w:val="687"/>
              <w:rPr>
                <w:sz w:val="21"/>
                <w:szCs w:val="21"/>
              </w:rPr>
            </w:pPr>
            <w:r>
              <w:rPr>
                <w:sz w:val="21"/>
                <w:szCs w:val="21"/>
              </w:rPr>
              <w:t>符合性</w:t>
            </w:r>
          </w:p>
        </w:tc>
      </w:tr>
      <w:tr w14:paraId="1ADD2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c>
          <w:tcPr>
            <w:tcW w:w="1448" w:type="dxa"/>
            <w:vMerge w:val="restart"/>
          </w:tcPr>
          <w:p w14:paraId="5408255E">
            <w:pPr>
              <w:topLinePunct/>
              <w:jc w:val="center"/>
            </w:pPr>
            <w:r>
              <w:rPr>
                <w:rFonts w:hint="eastAsia"/>
              </w:rPr>
              <w:t>ZH51190330001</w:t>
            </w:r>
          </w:p>
        </w:tc>
        <w:tc>
          <w:tcPr>
            <w:tcW w:w="594" w:type="dxa"/>
            <w:vMerge w:val="restart"/>
          </w:tcPr>
          <w:p w14:paraId="578E60C3">
            <w:pPr>
              <w:topLinePunct/>
              <w:jc w:val="center"/>
            </w:pPr>
            <w:r>
              <w:rPr>
                <w:rFonts w:hint="eastAsia"/>
              </w:rPr>
              <w:t>恩阳区一般管控单元</w:t>
            </w:r>
          </w:p>
        </w:tc>
        <w:tc>
          <w:tcPr>
            <w:tcW w:w="450" w:type="dxa"/>
            <w:vMerge w:val="restart"/>
          </w:tcPr>
          <w:p w14:paraId="0C22FBF9">
            <w:pPr>
              <w:topLinePunct/>
              <w:jc w:val="center"/>
            </w:pPr>
            <w:r>
              <w:rPr>
                <w:rFonts w:hint="eastAsia"/>
              </w:rPr>
              <w:t>一般管控单元</w:t>
            </w:r>
          </w:p>
        </w:tc>
        <w:tc>
          <w:tcPr>
            <w:tcW w:w="450" w:type="dxa"/>
            <w:vMerge w:val="restart"/>
          </w:tcPr>
          <w:p w14:paraId="35293ED9">
            <w:pPr>
              <w:topLinePunct/>
              <w:jc w:val="center"/>
            </w:pPr>
            <w:r>
              <w:rPr>
                <w:rFonts w:hint="eastAsia"/>
              </w:rPr>
              <w:t>巴中市恩阳区</w:t>
            </w:r>
          </w:p>
        </w:tc>
        <w:tc>
          <w:tcPr>
            <w:tcW w:w="1012" w:type="dxa"/>
            <w:vAlign w:val="center"/>
          </w:tcPr>
          <w:p w14:paraId="0A5CD7F0">
            <w:pPr>
              <w:topLinePunct/>
              <w:jc w:val="center"/>
            </w:pPr>
            <w:r>
              <w:t>空间布局约束</w:t>
            </w:r>
          </w:p>
        </w:tc>
        <w:tc>
          <w:tcPr>
            <w:tcW w:w="6475" w:type="dxa"/>
            <w:vAlign w:val="center"/>
          </w:tcPr>
          <w:p w14:paraId="0EBBBD4E">
            <w:pPr>
              <w:jc w:val="left"/>
            </w:pPr>
            <w:r>
              <w:t>【禁止开发建设活动的要求】</w:t>
            </w:r>
          </w:p>
          <w:p w14:paraId="535A040B">
            <w:pPr>
              <w:jc w:val="left"/>
            </w:pPr>
            <w:r>
              <w:t>（1）严格控制开发建设项目布局，鼓励企业入园发展，工业园区外现有钢铁、有色金属、造纸、印染、原料药制造、化工等污染较重的企业应有序搬迁改造或依法关闭。 （2）其他执行一般管控单元总体准入要求。</w:t>
            </w:r>
          </w:p>
          <w:p w14:paraId="3F5A085E">
            <w:pPr>
              <w:jc w:val="left"/>
            </w:pPr>
            <w:r>
              <w:t>【限制开发建设活动的要求】</w:t>
            </w:r>
          </w:p>
          <w:p w14:paraId="7BFFC6FA">
            <w:pPr>
              <w:jc w:val="left"/>
            </w:pPr>
            <w:r>
              <w:t>执行一般管控单元总体准入要求</w:t>
            </w:r>
          </w:p>
          <w:p w14:paraId="1E8153F1">
            <w:pPr>
              <w:jc w:val="left"/>
            </w:pPr>
            <w:r>
              <w:t>【允许开发建设活动的要求】</w:t>
            </w:r>
          </w:p>
          <w:p w14:paraId="627E0669">
            <w:pPr>
              <w:jc w:val="left"/>
            </w:pPr>
            <w:r>
              <w:rPr>
                <w:rFonts w:ascii="Cambria Math" w:hAnsi="Cambria Math" w:cs="Cambria Math"/>
              </w:rPr>
              <w:t>△</w:t>
            </w:r>
          </w:p>
          <w:p w14:paraId="17C8DD63">
            <w:pPr>
              <w:jc w:val="left"/>
            </w:pPr>
            <w:r>
              <w:t>【不符合空间布局要求活动的退出要求】</w:t>
            </w:r>
          </w:p>
          <w:p w14:paraId="0FE1E061">
            <w:pPr>
              <w:jc w:val="left"/>
            </w:pPr>
            <w:r>
              <w:t>（1）现有企业按照相关规定限期入园搬迁或整治； （2）执行一般管控单元总体准入要求</w:t>
            </w:r>
          </w:p>
          <w:p w14:paraId="6769B2AA">
            <w:pPr>
              <w:jc w:val="left"/>
            </w:pPr>
            <w:r>
              <w:t>【其他空间布局约束要求】</w:t>
            </w:r>
          </w:p>
          <w:p w14:paraId="26D4C225">
            <w:pPr>
              <w:pStyle w:val="687"/>
              <w:jc w:val="both"/>
              <w:rPr>
                <w:sz w:val="21"/>
                <w:szCs w:val="21"/>
              </w:rPr>
            </w:pPr>
            <w:r>
              <w:rPr>
                <w:rFonts w:ascii="Cambria Math" w:hAnsi="Cambria Math" w:cs="Cambria Math"/>
                <w:sz w:val="21"/>
              </w:rPr>
              <w:t>△</w:t>
            </w:r>
          </w:p>
        </w:tc>
        <w:tc>
          <w:tcPr>
            <w:tcW w:w="2551" w:type="dxa"/>
            <w:vAlign w:val="center"/>
          </w:tcPr>
          <w:p w14:paraId="4B28C282">
            <w:pPr>
              <w:pStyle w:val="687"/>
              <w:jc w:val="both"/>
              <w:rPr>
                <w:sz w:val="21"/>
                <w:szCs w:val="21"/>
              </w:rPr>
            </w:pPr>
            <w:r>
              <w:rPr>
                <w:rFonts w:hint="eastAsia"/>
                <w:sz w:val="21"/>
                <w:szCs w:val="21"/>
              </w:rPr>
              <w:t>本项目满足巴中市</w:t>
            </w:r>
            <w:r>
              <w:rPr>
                <w:sz w:val="21"/>
              </w:rPr>
              <w:t>一般管控单元</w:t>
            </w:r>
            <w:r>
              <w:rPr>
                <w:rFonts w:hint="eastAsia"/>
                <w:sz w:val="21"/>
                <w:szCs w:val="21"/>
              </w:rPr>
              <w:t>总体准入要求，不属于</w:t>
            </w:r>
            <w:r>
              <w:rPr>
                <w:sz w:val="21"/>
              </w:rPr>
              <w:t>钢铁、有色金属、造纸、印染、原料药制造、化工等</w:t>
            </w:r>
            <w:r>
              <w:rPr>
                <w:rFonts w:hint="eastAsia"/>
                <w:sz w:val="21"/>
                <w:szCs w:val="21"/>
              </w:rPr>
              <w:t>项目。</w:t>
            </w:r>
          </w:p>
        </w:tc>
        <w:tc>
          <w:tcPr>
            <w:tcW w:w="589" w:type="dxa"/>
            <w:vAlign w:val="center"/>
          </w:tcPr>
          <w:p w14:paraId="75BAD07C">
            <w:pPr>
              <w:pStyle w:val="687"/>
              <w:rPr>
                <w:sz w:val="21"/>
                <w:szCs w:val="21"/>
              </w:rPr>
            </w:pPr>
            <w:r>
              <w:rPr>
                <w:rFonts w:hint="eastAsia"/>
                <w:sz w:val="21"/>
                <w:szCs w:val="21"/>
              </w:rPr>
              <w:t>符合</w:t>
            </w:r>
          </w:p>
        </w:tc>
      </w:tr>
      <w:tr w14:paraId="16602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c>
          <w:tcPr>
            <w:tcW w:w="1448" w:type="dxa"/>
            <w:vMerge w:val="continue"/>
            <w:vAlign w:val="center"/>
          </w:tcPr>
          <w:p w14:paraId="32498A38">
            <w:pPr>
              <w:pStyle w:val="687"/>
              <w:rPr>
                <w:sz w:val="21"/>
                <w:szCs w:val="21"/>
              </w:rPr>
            </w:pPr>
          </w:p>
        </w:tc>
        <w:tc>
          <w:tcPr>
            <w:tcW w:w="594" w:type="dxa"/>
            <w:vMerge w:val="continue"/>
            <w:vAlign w:val="center"/>
          </w:tcPr>
          <w:p w14:paraId="4A4862A8">
            <w:pPr>
              <w:pStyle w:val="687"/>
              <w:rPr>
                <w:sz w:val="21"/>
                <w:szCs w:val="21"/>
              </w:rPr>
            </w:pPr>
          </w:p>
        </w:tc>
        <w:tc>
          <w:tcPr>
            <w:tcW w:w="450" w:type="dxa"/>
            <w:vMerge w:val="continue"/>
            <w:vAlign w:val="center"/>
          </w:tcPr>
          <w:p w14:paraId="55FD987A">
            <w:pPr>
              <w:pStyle w:val="687"/>
              <w:rPr>
                <w:sz w:val="21"/>
                <w:szCs w:val="21"/>
              </w:rPr>
            </w:pPr>
          </w:p>
        </w:tc>
        <w:tc>
          <w:tcPr>
            <w:tcW w:w="450" w:type="dxa"/>
            <w:vMerge w:val="continue"/>
            <w:vAlign w:val="center"/>
          </w:tcPr>
          <w:p w14:paraId="7CCF6B2A">
            <w:pPr>
              <w:pStyle w:val="687"/>
              <w:rPr>
                <w:sz w:val="21"/>
                <w:szCs w:val="21"/>
              </w:rPr>
            </w:pPr>
          </w:p>
        </w:tc>
        <w:tc>
          <w:tcPr>
            <w:tcW w:w="1012" w:type="dxa"/>
            <w:vAlign w:val="center"/>
          </w:tcPr>
          <w:p w14:paraId="3C4F2B36">
            <w:pPr>
              <w:topLinePunct/>
              <w:jc w:val="center"/>
            </w:pPr>
            <w:r>
              <w:t>污染物排放管控</w:t>
            </w:r>
          </w:p>
        </w:tc>
        <w:tc>
          <w:tcPr>
            <w:tcW w:w="6475" w:type="dxa"/>
            <w:vAlign w:val="center"/>
          </w:tcPr>
          <w:p w14:paraId="0F3A4E6E">
            <w:pPr>
              <w:jc w:val="left"/>
              <w:rPr>
                <w:sz w:val="18"/>
              </w:rPr>
            </w:pPr>
            <w:r>
              <w:t>【现有源提标升级改造】</w:t>
            </w:r>
          </w:p>
          <w:p w14:paraId="4ADF7D4E">
            <w:pPr>
              <w:jc w:val="left"/>
              <w:rPr>
                <w:sz w:val="18"/>
              </w:rPr>
            </w:pPr>
            <w:r>
              <w:t>（1）到2025年，农村生活污水处理覆盖率达到70%。 （2）其他执行一般管控单元总体准入要求。</w:t>
            </w:r>
          </w:p>
          <w:p w14:paraId="7AD6F263">
            <w:pPr>
              <w:jc w:val="left"/>
              <w:rPr>
                <w:sz w:val="18"/>
              </w:rPr>
            </w:pPr>
            <w:r>
              <w:t>【新增源等量或倍量替代】</w:t>
            </w:r>
          </w:p>
          <w:p w14:paraId="231DA86B">
            <w:pPr>
              <w:jc w:val="left"/>
              <w:rPr>
                <w:sz w:val="18"/>
              </w:rPr>
            </w:pPr>
            <w:r>
              <w:t>执行一般管控单元总体准入要求</w:t>
            </w:r>
          </w:p>
          <w:p w14:paraId="43D2CC70">
            <w:pPr>
              <w:jc w:val="left"/>
              <w:rPr>
                <w:sz w:val="18"/>
              </w:rPr>
            </w:pPr>
            <w:r>
              <w:t>【新增源排放标准限值】</w:t>
            </w:r>
          </w:p>
          <w:p w14:paraId="08F9CE0A">
            <w:pPr>
              <w:jc w:val="left"/>
              <w:rPr>
                <w:sz w:val="18"/>
              </w:rPr>
            </w:pPr>
            <w:r>
              <w:t>执行一般管控单元总体准入要求</w:t>
            </w:r>
          </w:p>
          <w:p w14:paraId="726217F1">
            <w:pPr>
              <w:jc w:val="left"/>
              <w:rPr>
                <w:sz w:val="18"/>
              </w:rPr>
            </w:pPr>
            <w:r>
              <w:t>【污染物排放绩效水平准入要求】</w:t>
            </w:r>
          </w:p>
          <w:p w14:paraId="383D6F3D">
            <w:pPr>
              <w:jc w:val="left"/>
              <w:rPr>
                <w:sz w:val="18"/>
              </w:rPr>
            </w:pPr>
            <w:r>
              <w:t>执行一般管控单元总体准入要求</w:t>
            </w:r>
          </w:p>
          <w:p w14:paraId="27E14636">
            <w:pPr>
              <w:jc w:val="left"/>
              <w:rPr>
                <w:sz w:val="18"/>
              </w:rPr>
            </w:pPr>
            <w:r>
              <w:t>【其他污染物排放管控要求】</w:t>
            </w:r>
          </w:p>
          <w:p w14:paraId="44398152">
            <w:pPr>
              <w:pStyle w:val="687"/>
              <w:jc w:val="both"/>
              <w:rPr>
                <w:sz w:val="21"/>
                <w:szCs w:val="21"/>
              </w:rPr>
            </w:pPr>
            <w:r>
              <w:rPr>
                <w:rFonts w:ascii="Cambria Math" w:hAnsi="Cambria Math" w:cs="Cambria Math"/>
                <w:sz w:val="21"/>
              </w:rPr>
              <w:t>△</w:t>
            </w:r>
          </w:p>
        </w:tc>
        <w:tc>
          <w:tcPr>
            <w:tcW w:w="2551" w:type="dxa"/>
            <w:vAlign w:val="center"/>
          </w:tcPr>
          <w:p w14:paraId="6D23044C">
            <w:pPr>
              <w:pStyle w:val="687"/>
              <w:jc w:val="both"/>
              <w:rPr>
                <w:sz w:val="21"/>
                <w:szCs w:val="21"/>
              </w:rPr>
            </w:pPr>
            <w:r>
              <w:rPr>
                <w:rFonts w:hint="eastAsia"/>
                <w:sz w:val="21"/>
                <w:szCs w:val="21"/>
              </w:rPr>
              <w:t>本项目满足巴中市</w:t>
            </w:r>
            <w:r>
              <w:rPr>
                <w:sz w:val="21"/>
              </w:rPr>
              <w:t>一般管控单元</w:t>
            </w:r>
            <w:r>
              <w:rPr>
                <w:rFonts w:hint="eastAsia"/>
                <w:sz w:val="21"/>
                <w:szCs w:val="21"/>
              </w:rPr>
              <w:t>总体准入要求，不涉及农村生活污水。</w:t>
            </w:r>
          </w:p>
        </w:tc>
        <w:tc>
          <w:tcPr>
            <w:tcW w:w="589" w:type="dxa"/>
            <w:vAlign w:val="center"/>
          </w:tcPr>
          <w:p w14:paraId="7368CBD2">
            <w:pPr>
              <w:pStyle w:val="687"/>
              <w:rPr>
                <w:sz w:val="21"/>
                <w:szCs w:val="21"/>
              </w:rPr>
            </w:pPr>
            <w:r>
              <w:rPr>
                <w:sz w:val="21"/>
                <w:szCs w:val="21"/>
              </w:rPr>
              <w:t>符合</w:t>
            </w:r>
          </w:p>
        </w:tc>
      </w:tr>
      <w:tr w14:paraId="205FE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c>
          <w:tcPr>
            <w:tcW w:w="1448" w:type="dxa"/>
            <w:vMerge w:val="continue"/>
            <w:vAlign w:val="center"/>
          </w:tcPr>
          <w:p w14:paraId="02AB40A1">
            <w:pPr>
              <w:pStyle w:val="687"/>
              <w:rPr>
                <w:sz w:val="21"/>
                <w:szCs w:val="21"/>
              </w:rPr>
            </w:pPr>
          </w:p>
        </w:tc>
        <w:tc>
          <w:tcPr>
            <w:tcW w:w="594" w:type="dxa"/>
            <w:vMerge w:val="continue"/>
            <w:vAlign w:val="center"/>
          </w:tcPr>
          <w:p w14:paraId="7EDB1BFA">
            <w:pPr>
              <w:pStyle w:val="687"/>
              <w:rPr>
                <w:sz w:val="21"/>
                <w:szCs w:val="21"/>
              </w:rPr>
            </w:pPr>
          </w:p>
        </w:tc>
        <w:tc>
          <w:tcPr>
            <w:tcW w:w="450" w:type="dxa"/>
            <w:vMerge w:val="continue"/>
            <w:vAlign w:val="center"/>
          </w:tcPr>
          <w:p w14:paraId="36CD4E91">
            <w:pPr>
              <w:pStyle w:val="687"/>
              <w:rPr>
                <w:sz w:val="21"/>
                <w:szCs w:val="21"/>
              </w:rPr>
            </w:pPr>
          </w:p>
        </w:tc>
        <w:tc>
          <w:tcPr>
            <w:tcW w:w="450" w:type="dxa"/>
            <w:vMerge w:val="continue"/>
            <w:vAlign w:val="center"/>
          </w:tcPr>
          <w:p w14:paraId="7D4BEE1C">
            <w:pPr>
              <w:pStyle w:val="687"/>
              <w:rPr>
                <w:sz w:val="21"/>
                <w:szCs w:val="21"/>
              </w:rPr>
            </w:pPr>
          </w:p>
        </w:tc>
        <w:tc>
          <w:tcPr>
            <w:tcW w:w="1012" w:type="dxa"/>
            <w:vAlign w:val="center"/>
          </w:tcPr>
          <w:p w14:paraId="64FA956A">
            <w:pPr>
              <w:topLinePunct/>
              <w:jc w:val="center"/>
            </w:pPr>
            <w:r>
              <w:t>环境风险防控</w:t>
            </w:r>
          </w:p>
        </w:tc>
        <w:tc>
          <w:tcPr>
            <w:tcW w:w="6475" w:type="dxa"/>
            <w:vAlign w:val="center"/>
          </w:tcPr>
          <w:p w14:paraId="13E97A27">
            <w:pPr>
              <w:jc w:val="left"/>
              <w:rPr>
                <w:sz w:val="18"/>
              </w:rPr>
            </w:pPr>
            <w:r>
              <w:t>【严格管控类农用地管控要求】</w:t>
            </w:r>
          </w:p>
          <w:p w14:paraId="7EFFE223">
            <w:pPr>
              <w:jc w:val="left"/>
              <w:rPr>
                <w:sz w:val="18"/>
              </w:rPr>
            </w:pPr>
            <w:r>
              <w:t>执行一般管控单元总体准入要求</w:t>
            </w:r>
          </w:p>
          <w:p w14:paraId="39934CDB">
            <w:pPr>
              <w:jc w:val="left"/>
              <w:rPr>
                <w:sz w:val="18"/>
              </w:rPr>
            </w:pPr>
            <w:r>
              <w:t>【安全利用类农用地管控要求】</w:t>
            </w:r>
          </w:p>
          <w:p w14:paraId="62F83603">
            <w:pPr>
              <w:jc w:val="left"/>
              <w:rPr>
                <w:sz w:val="18"/>
              </w:rPr>
            </w:pPr>
            <w:r>
              <w:t>执行一般管控单元总体准入要求</w:t>
            </w:r>
          </w:p>
          <w:p w14:paraId="673D03BA">
            <w:pPr>
              <w:jc w:val="left"/>
              <w:rPr>
                <w:sz w:val="18"/>
              </w:rPr>
            </w:pPr>
            <w:r>
              <w:t>【污染地块管控要求】</w:t>
            </w:r>
          </w:p>
          <w:p w14:paraId="2AC4F354">
            <w:pPr>
              <w:jc w:val="left"/>
              <w:rPr>
                <w:sz w:val="18"/>
              </w:rPr>
            </w:pPr>
            <w:r>
              <w:t>执行一般管控单元总体准入要求</w:t>
            </w:r>
          </w:p>
          <w:p w14:paraId="60B7A18D">
            <w:pPr>
              <w:jc w:val="left"/>
              <w:rPr>
                <w:sz w:val="18"/>
              </w:rPr>
            </w:pPr>
            <w:r>
              <w:t>【园区环境风险防控要求】</w:t>
            </w:r>
          </w:p>
          <w:p w14:paraId="7FBD755C">
            <w:pPr>
              <w:jc w:val="left"/>
              <w:rPr>
                <w:sz w:val="18"/>
              </w:rPr>
            </w:pPr>
            <w:r>
              <w:rPr>
                <w:rFonts w:ascii="Cambria Math" w:hAnsi="Cambria Math" w:cs="Cambria Math"/>
              </w:rPr>
              <w:t>△</w:t>
            </w:r>
          </w:p>
          <w:p w14:paraId="224C5424">
            <w:pPr>
              <w:jc w:val="left"/>
              <w:rPr>
                <w:sz w:val="18"/>
              </w:rPr>
            </w:pPr>
            <w:r>
              <w:t>【企业环境风险防控要求】</w:t>
            </w:r>
          </w:p>
          <w:p w14:paraId="6544BD85">
            <w:pPr>
              <w:jc w:val="left"/>
              <w:rPr>
                <w:sz w:val="18"/>
              </w:rPr>
            </w:pPr>
            <w:r>
              <w:t>执行一般管控单元总体准入要求</w:t>
            </w:r>
          </w:p>
          <w:p w14:paraId="19278C5B">
            <w:pPr>
              <w:jc w:val="left"/>
              <w:rPr>
                <w:sz w:val="18"/>
              </w:rPr>
            </w:pPr>
            <w:r>
              <w:t>【其他环境风险防控要求】</w:t>
            </w:r>
          </w:p>
          <w:p w14:paraId="7C42FD6A">
            <w:pPr>
              <w:pStyle w:val="687"/>
              <w:jc w:val="both"/>
              <w:rPr>
                <w:sz w:val="21"/>
                <w:szCs w:val="21"/>
              </w:rPr>
            </w:pPr>
            <w:r>
              <w:rPr>
                <w:rFonts w:ascii="Cambria Math" w:hAnsi="Cambria Math" w:cs="Cambria Math"/>
                <w:sz w:val="21"/>
              </w:rPr>
              <w:t>△</w:t>
            </w:r>
          </w:p>
        </w:tc>
        <w:tc>
          <w:tcPr>
            <w:tcW w:w="2551" w:type="dxa"/>
            <w:vAlign w:val="center"/>
          </w:tcPr>
          <w:p w14:paraId="3100B9A7">
            <w:pPr>
              <w:pStyle w:val="687"/>
              <w:jc w:val="both"/>
              <w:rPr>
                <w:sz w:val="21"/>
                <w:szCs w:val="21"/>
              </w:rPr>
            </w:pPr>
            <w:r>
              <w:rPr>
                <w:rFonts w:hint="eastAsia"/>
                <w:sz w:val="21"/>
                <w:szCs w:val="21"/>
              </w:rPr>
              <w:t>本项目满足巴中市</w:t>
            </w:r>
            <w:r>
              <w:rPr>
                <w:sz w:val="21"/>
              </w:rPr>
              <w:t>一般管控单元</w:t>
            </w:r>
            <w:r>
              <w:rPr>
                <w:rFonts w:hint="eastAsia"/>
                <w:sz w:val="21"/>
                <w:szCs w:val="21"/>
              </w:rPr>
              <w:t>总体准入要求。</w:t>
            </w:r>
          </w:p>
        </w:tc>
        <w:tc>
          <w:tcPr>
            <w:tcW w:w="589" w:type="dxa"/>
            <w:vAlign w:val="center"/>
          </w:tcPr>
          <w:p w14:paraId="03DF161C">
            <w:pPr>
              <w:pStyle w:val="687"/>
              <w:rPr>
                <w:sz w:val="21"/>
                <w:szCs w:val="21"/>
              </w:rPr>
            </w:pPr>
            <w:r>
              <w:rPr>
                <w:sz w:val="21"/>
                <w:szCs w:val="21"/>
              </w:rPr>
              <w:t>符合</w:t>
            </w:r>
          </w:p>
        </w:tc>
      </w:tr>
      <w:tr w14:paraId="215B2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c>
          <w:tcPr>
            <w:tcW w:w="1448" w:type="dxa"/>
            <w:vMerge w:val="continue"/>
            <w:vAlign w:val="center"/>
          </w:tcPr>
          <w:p w14:paraId="1B0EB912">
            <w:pPr>
              <w:pStyle w:val="687"/>
              <w:rPr>
                <w:sz w:val="21"/>
                <w:szCs w:val="21"/>
              </w:rPr>
            </w:pPr>
          </w:p>
        </w:tc>
        <w:tc>
          <w:tcPr>
            <w:tcW w:w="594" w:type="dxa"/>
            <w:vMerge w:val="continue"/>
            <w:vAlign w:val="center"/>
          </w:tcPr>
          <w:p w14:paraId="1EDEB8C4">
            <w:pPr>
              <w:pStyle w:val="687"/>
              <w:rPr>
                <w:sz w:val="21"/>
                <w:szCs w:val="21"/>
              </w:rPr>
            </w:pPr>
          </w:p>
        </w:tc>
        <w:tc>
          <w:tcPr>
            <w:tcW w:w="450" w:type="dxa"/>
            <w:vMerge w:val="continue"/>
            <w:vAlign w:val="center"/>
          </w:tcPr>
          <w:p w14:paraId="6162E6C8">
            <w:pPr>
              <w:pStyle w:val="687"/>
              <w:rPr>
                <w:sz w:val="21"/>
                <w:szCs w:val="21"/>
              </w:rPr>
            </w:pPr>
          </w:p>
        </w:tc>
        <w:tc>
          <w:tcPr>
            <w:tcW w:w="450" w:type="dxa"/>
            <w:vMerge w:val="continue"/>
            <w:vAlign w:val="center"/>
          </w:tcPr>
          <w:p w14:paraId="2A3C6D9C">
            <w:pPr>
              <w:pStyle w:val="687"/>
              <w:rPr>
                <w:sz w:val="21"/>
                <w:szCs w:val="21"/>
              </w:rPr>
            </w:pPr>
          </w:p>
        </w:tc>
        <w:tc>
          <w:tcPr>
            <w:tcW w:w="1012" w:type="dxa"/>
            <w:vAlign w:val="center"/>
          </w:tcPr>
          <w:p w14:paraId="6B45C32D">
            <w:pPr>
              <w:topLinePunct/>
              <w:jc w:val="center"/>
            </w:pPr>
            <w:r>
              <w:t>资源开发利用效率要求</w:t>
            </w:r>
          </w:p>
        </w:tc>
        <w:tc>
          <w:tcPr>
            <w:tcW w:w="6475" w:type="dxa"/>
            <w:vAlign w:val="center"/>
          </w:tcPr>
          <w:p w14:paraId="6F327B1F">
            <w:pPr>
              <w:jc w:val="left"/>
              <w:rPr>
                <w:sz w:val="18"/>
              </w:rPr>
            </w:pPr>
            <w:r>
              <w:t>【水资源利用效率要求】</w:t>
            </w:r>
          </w:p>
          <w:p w14:paraId="7EAA42B4">
            <w:pPr>
              <w:jc w:val="left"/>
              <w:rPr>
                <w:sz w:val="18"/>
              </w:rPr>
            </w:pPr>
            <w:r>
              <w:t>执行一般管控单元总体准入要求</w:t>
            </w:r>
          </w:p>
          <w:p w14:paraId="64CDE9B3">
            <w:pPr>
              <w:jc w:val="left"/>
              <w:rPr>
                <w:sz w:val="18"/>
              </w:rPr>
            </w:pPr>
            <w:r>
              <w:t>【地下水开采要求】</w:t>
            </w:r>
          </w:p>
          <w:p w14:paraId="4A8B7109">
            <w:pPr>
              <w:jc w:val="left"/>
              <w:rPr>
                <w:sz w:val="18"/>
              </w:rPr>
            </w:pPr>
            <w:r>
              <w:rPr>
                <w:rFonts w:ascii="Cambria Math" w:hAnsi="Cambria Math" w:cs="Cambria Math"/>
              </w:rPr>
              <w:t>△</w:t>
            </w:r>
          </w:p>
          <w:p w14:paraId="627C4D85">
            <w:pPr>
              <w:jc w:val="left"/>
              <w:rPr>
                <w:sz w:val="18"/>
              </w:rPr>
            </w:pPr>
            <w:r>
              <w:t>【能源利用效率要求】</w:t>
            </w:r>
          </w:p>
          <w:p w14:paraId="55B6CCB2">
            <w:pPr>
              <w:jc w:val="left"/>
              <w:rPr>
                <w:sz w:val="18"/>
              </w:rPr>
            </w:pPr>
            <w:r>
              <w:t>执行一般管控单元总体准入要求</w:t>
            </w:r>
          </w:p>
          <w:p w14:paraId="60D79949">
            <w:pPr>
              <w:jc w:val="left"/>
              <w:rPr>
                <w:sz w:val="18"/>
              </w:rPr>
            </w:pPr>
            <w:r>
              <w:t>【其他资源利用效率要求】</w:t>
            </w:r>
          </w:p>
          <w:p w14:paraId="6E5D7674">
            <w:pPr>
              <w:pStyle w:val="687"/>
              <w:jc w:val="both"/>
              <w:rPr>
                <w:sz w:val="21"/>
                <w:szCs w:val="21"/>
              </w:rPr>
            </w:pPr>
            <w:r>
              <w:rPr>
                <w:rFonts w:ascii="Cambria Math" w:hAnsi="Cambria Math" w:cs="Cambria Math"/>
                <w:sz w:val="21"/>
              </w:rPr>
              <w:t>△</w:t>
            </w:r>
          </w:p>
        </w:tc>
        <w:tc>
          <w:tcPr>
            <w:tcW w:w="2551" w:type="dxa"/>
            <w:vAlign w:val="center"/>
          </w:tcPr>
          <w:p w14:paraId="12962991">
            <w:pPr>
              <w:pStyle w:val="687"/>
              <w:jc w:val="both"/>
              <w:rPr>
                <w:sz w:val="21"/>
                <w:szCs w:val="21"/>
              </w:rPr>
            </w:pPr>
            <w:r>
              <w:rPr>
                <w:rFonts w:hint="eastAsia"/>
                <w:sz w:val="21"/>
                <w:szCs w:val="21"/>
              </w:rPr>
              <w:t>本项目满足巴中市</w:t>
            </w:r>
            <w:r>
              <w:rPr>
                <w:sz w:val="21"/>
              </w:rPr>
              <w:t>一般管控单元</w:t>
            </w:r>
            <w:r>
              <w:rPr>
                <w:rFonts w:hint="eastAsia"/>
                <w:sz w:val="21"/>
                <w:szCs w:val="21"/>
              </w:rPr>
              <w:t>总体准入要求。</w:t>
            </w:r>
          </w:p>
        </w:tc>
        <w:tc>
          <w:tcPr>
            <w:tcW w:w="589" w:type="dxa"/>
            <w:vAlign w:val="center"/>
          </w:tcPr>
          <w:p w14:paraId="25C56908">
            <w:pPr>
              <w:pStyle w:val="687"/>
              <w:rPr>
                <w:sz w:val="21"/>
                <w:szCs w:val="21"/>
              </w:rPr>
            </w:pPr>
            <w:r>
              <w:rPr>
                <w:sz w:val="21"/>
                <w:szCs w:val="21"/>
              </w:rPr>
              <w:t>符合</w:t>
            </w:r>
          </w:p>
        </w:tc>
      </w:tr>
    </w:tbl>
    <w:p w14:paraId="41906992">
      <w:pPr>
        <w:pStyle w:val="1379"/>
        <w:ind w:firstLine="440"/>
      </w:pPr>
    </w:p>
    <w:p w14:paraId="5C2ECE91">
      <w:pPr>
        <w:pStyle w:val="1065"/>
      </w:pPr>
      <w:r>
        <w:t>表1.7</w:t>
      </w:r>
      <w:r>
        <w:rPr>
          <w:rFonts w:hint="eastAsia"/>
        </w:rPr>
        <w:t>-</w:t>
      </w:r>
      <w:r>
        <w:t>16   要素管控分区管控要求</w:t>
      </w:r>
    </w:p>
    <w:tbl>
      <w:tblPr>
        <w:tblStyle w:val="88"/>
        <w:tblW w:w="13569" w:type="dxa"/>
        <w:tblInd w:w="0" w:type="dxa"/>
        <w:tblLayout w:type="fixed"/>
        <w:tblCellMar>
          <w:top w:w="0" w:type="dxa"/>
          <w:left w:w="10" w:type="dxa"/>
          <w:bottom w:w="0" w:type="dxa"/>
          <w:right w:w="10" w:type="dxa"/>
        </w:tblCellMar>
      </w:tblPr>
      <w:tblGrid>
        <w:gridCol w:w="848"/>
        <w:gridCol w:w="709"/>
        <w:gridCol w:w="567"/>
        <w:gridCol w:w="382"/>
        <w:gridCol w:w="610"/>
        <w:gridCol w:w="709"/>
        <w:gridCol w:w="1559"/>
        <w:gridCol w:w="5528"/>
        <w:gridCol w:w="2126"/>
        <w:gridCol w:w="531"/>
      </w:tblGrid>
      <w:tr w14:paraId="6364B194">
        <w:tblPrEx>
          <w:tblCellMar>
            <w:top w:w="0" w:type="dxa"/>
            <w:left w:w="10" w:type="dxa"/>
            <w:bottom w:w="0" w:type="dxa"/>
            <w:right w:w="10" w:type="dxa"/>
          </w:tblCellMar>
        </w:tblPrEx>
        <w:tc>
          <w:tcPr>
            <w:tcW w:w="848" w:type="dxa"/>
            <w:tcBorders>
              <w:top w:val="single" w:color="000000" w:sz="2" w:space="0"/>
              <w:left w:val="single" w:color="000000" w:sz="2" w:space="0"/>
              <w:bottom w:val="single" w:color="000000" w:sz="2" w:space="0"/>
              <w:right w:val="single" w:color="000000" w:sz="2" w:space="0"/>
            </w:tcBorders>
            <w:vAlign w:val="center"/>
          </w:tcPr>
          <w:p w14:paraId="0AB78A4A">
            <w:pPr>
              <w:jc w:val="center"/>
              <w:rPr>
                <w:szCs w:val="21"/>
              </w:rPr>
            </w:pPr>
            <w:r>
              <w:rPr>
                <w:szCs w:val="21"/>
              </w:rPr>
              <w:t>管控分区编码</w:t>
            </w:r>
          </w:p>
        </w:tc>
        <w:tc>
          <w:tcPr>
            <w:tcW w:w="709" w:type="dxa"/>
            <w:tcBorders>
              <w:top w:val="single" w:color="000000" w:sz="2" w:space="0"/>
              <w:left w:val="single" w:color="000000" w:sz="2" w:space="0"/>
              <w:bottom w:val="single" w:color="000000" w:sz="2" w:space="0"/>
              <w:right w:val="single" w:color="000000" w:sz="2" w:space="0"/>
            </w:tcBorders>
            <w:vAlign w:val="center"/>
          </w:tcPr>
          <w:p w14:paraId="3E40E4CB">
            <w:pPr>
              <w:jc w:val="center"/>
              <w:rPr>
                <w:szCs w:val="21"/>
              </w:rPr>
            </w:pPr>
            <w:r>
              <w:rPr>
                <w:szCs w:val="21"/>
              </w:rPr>
              <w:t>管控分区名称</w:t>
            </w:r>
          </w:p>
        </w:tc>
        <w:tc>
          <w:tcPr>
            <w:tcW w:w="567" w:type="dxa"/>
            <w:tcBorders>
              <w:top w:val="single" w:color="000000" w:sz="2" w:space="0"/>
              <w:left w:val="single" w:color="000000" w:sz="2" w:space="0"/>
              <w:bottom w:val="single" w:color="000000" w:sz="2" w:space="0"/>
              <w:right w:val="single" w:color="000000" w:sz="2" w:space="0"/>
            </w:tcBorders>
            <w:vAlign w:val="center"/>
          </w:tcPr>
          <w:p w14:paraId="5A960428">
            <w:pPr>
              <w:jc w:val="center"/>
              <w:rPr>
                <w:szCs w:val="21"/>
              </w:rPr>
            </w:pPr>
            <w:r>
              <w:rPr>
                <w:szCs w:val="21"/>
              </w:rPr>
              <w:t>管控区分类</w:t>
            </w:r>
          </w:p>
        </w:tc>
        <w:tc>
          <w:tcPr>
            <w:tcW w:w="382" w:type="dxa"/>
            <w:tcBorders>
              <w:top w:val="single" w:color="000000" w:sz="2" w:space="0"/>
              <w:left w:val="single" w:color="000000" w:sz="2" w:space="0"/>
              <w:bottom w:val="single" w:color="000000" w:sz="2" w:space="0"/>
              <w:right w:val="single" w:color="000000" w:sz="2" w:space="0"/>
            </w:tcBorders>
            <w:vAlign w:val="center"/>
          </w:tcPr>
          <w:p w14:paraId="482A4627">
            <w:pPr>
              <w:jc w:val="center"/>
              <w:rPr>
                <w:szCs w:val="21"/>
              </w:rPr>
            </w:pPr>
            <w:r>
              <w:rPr>
                <w:szCs w:val="21"/>
              </w:rPr>
              <w:t>环境要素</w:t>
            </w:r>
          </w:p>
        </w:tc>
        <w:tc>
          <w:tcPr>
            <w:tcW w:w="610" w:type="dxa"/>
            <w:tcBorders>
              <w:top w:val="single" w:color="000000" w:sz="2" w:space="0"/>
              <w:left w:val="single" w:color="000000" w:sz="2" w:space="0"/>
              <w:bottom w:val="single" w:color="000000" w:sz="2" w:space="0"/>
              <w:right w:val="single" w:color="000000" w:sz="2" w:space="0"/>
            </w:tcBorders>
            <w:vAlign w:val="center"/>
          </w:tcPr>
          <w:p w14:paraId="18D214EC">
            <w:pPr>
              <w:jc w:val="center"/>
              <w:rPr>
                <w:szCs w:val="21"/>
              </w:rPr>
            </w:pPr>
            <w:r>
              <w:rPr>
                <w:szCs w:val="21"/>
              </w:rPr>
              <w:t>要素细类</w:t>
            </w:r>
          </w:p>
        </w:tc>
        <w:tc>
          <w:tcPr>
            <w:tcW w:w="709" w:type="dxa"/>
            <w:tcBorders>
              <w:top w:val="single" w:color="000000" w:sz="2" w:space="0"/>
              <w:left w:val="single" w:color="000000" w:sz="2" w:space="0"/>
              <w:bottom w:val="single" w:color="000000" w:sz="2" w:space="0"/>
              <w:right w:val="single" w:color="000000" w:sz="2" w:space="0"/>
            </w:tcBorders>
            <w:vAlign w:val="center"/>
          </w:tcPr>
          <w:p w14:paraId="4E79518A">
            <w:pPr>
              <w:jc w:val="center"/>
              <w:rPr>
                <w:szCs w:val="21"/>
              </w:rPr>
            </w:pPr>
            <w:r>
              <w:rPr>
                <w:szCs w:val="21"/>
              </w:rPr>
              <w:t>所属县区</w:t>
            </w:r>
          </w:p>
        </w:tc>
        <w:tc>
          <w:tcPr>
            <w:tcW w:w="1559" w:type="dxa"/>
            <w:tcBorders>
              <w:top w:val="single" w:color="000000" w:sz="2" w:space="0"/>
              <w:left w:val="single" w:color="000000" w:sz="2" w:space="0"/>
              <w:bottom w:val="single" w:color="000000" w:sz="2" w:space="0"/>
              <w:right w:val="single" w:color="000000" w:sz="2" w:space="0"/>
            </w:tcBorders>
            <w:vAlign w:val="center"/>
          </w:tcPr>
          <w:p w14:paraId="1F39F0A1">
            <w:pPr>
              <w:jc w:val="center"/>
              <w:rPr>
                <w:szCs w:val="21"/>
              </w:rPr>
            </w:pPr>
            <w:r>
              <w:rPr>
                <w:szCs w:val="21"/>
              </w:rPr>
              <w:t>管控类别</w:t>
            </w:r>
          </w:p>
        </w:tc>
        <w:tc>
          <w:tcPr>
            <w:tcW w:w="5528" w:type="dxa"/>
            <w:tcBorders>
              <w:top w:val="single" w:color="000000" w:sz="2" w:space="0"/>
              <w:left w:val="single" w:color="000000" w:sz="2" w:space="0"/>
              <w:bottom w:val="single" w:color="000000" w:sz="2" w:space="0"/>
              <w:right w:val="single" w:color="000000" w:sz="2" w:space="0"/>
            </w:tcBorders>
            <w:vAlign w:val="center"/>
          </w:tcPr>
          <w:p w14:paraId="0CD10DA2">
            <w:pPr>
              <w:jc w:val="center"/>
              <w:rPr>
                <w:szCs w:val="21"/>
              </w:rPr>
            </w:pPr>
            <w:r>
              <w:rPr>
                <w:szCs w:val="21"/>
              </w:rPr>
              <w:t>管控分区管控要求</w:t>
            </w:r>
          </w:p>
        </w:tc>
        <w:tc>
          <w:tcPr>
            <w:tcW w:w="2126" w:type="dxa"/>
            <w:tcBorders>
              <w:top w:val="single" w:color="000000" w:sz="2" w:space="0"/>
              <w:left w:val="single" w:color="000000" w:sz="2" w:space="0"/>
              <w:bottom w:val="single" w:color="000000" w:sz="2" w:space="0"/>
              <w:right w:val="single" w:color="000000" w:sz="2" w:space="0"/>
            </w:tcBorders>
            <w:vAlign w:val="center"/>
          </w:tcPr>
          <w:p w14:paraId="4B04BBB8">
            <w:pPr>
              <w:pStyle w:val="687"/>
              <w:rPr>
                <w:sz w:val="21"/>
                <w:szCs w:val="21"/>
              </w:rPr>
            </w:pPr>
            <w:r>
              <w:rPr>
                <w:sz w:val="21"/>
                <w:szCs w:val="21"/>
              </w:rPr>
              <w:t>项目对应情况介绍</w:t>
            </w:r>
          </w:p>
        </w:tc>
        <w:tc>
          <w:tcPr>
            <w:tcW w:w="531" w:type="dxa"/>
            <w:tcBorders>
              <w:top w:val="single" w:color="000000" w:sz="2" w:space="0"/>
              <w:left w:val="single" w:color="000000" w:sz="2" w:space="0"/>
              <w:bottom w:val="single" w:color="000000" w:sz="2" w:space="0"/>
              <w:right w:val="single" w:color="000000" w:sz="2" w:space="0"/>
            </w:tcBorders>
            <w:vAlign w:val="center"/>
          </w:tcPr>
          <w:p w14:paraId="0FA260B5">
            <w:pPr>
              <w:jc w:val="center"/>
              <w:rPr>
                <w:szCs w:val="21"/>
              </w:rPr>
            </w:pPr>
            <w:r>
              <w:rPr>
                <w:szCs w:val="21"/>
              </w:rPr>
              <w:t>符合性</w:t>
            </w:r>
          </w:p>
        </w:tc>
      </w:tr>
      <w:tr w14:paraId="311DEEE6">
        <w:tblPrEx>
          <w:tblCellMar>
            <w:top w:w="0" w:type="dxa"/>
            <w:left w:w="10" w:type="dxa"/>
            <w:bottom w:w="0" w:type="dxa"/>
            <w:right w:w="10" w:type="dxa"/>
          </w:tblCellMar>
        </w:tblPrEx>
        <w:tc>
          <w:tcPr>
            <w:tcW w:w="848" w:type="dxa"/>
            <w:vMerge w:val="restart"/>
            <w:tcBorders>
              <w:top w:val="single" w:color="000000" w:sz="2" w:space="0"/>
              <w:left w:val="single" w:color="000000" w:sz="2" w:space="0"/>
              <w:bottom w:val="single" w:color="000000" w:sz="2" w:space="0"/>
              <w:right w:val="single" w:color="000000" w:sz="2" w:space="0"/>
            </w:tcBorders>
            <w:vAlign w:val="center"/>
          </w:tcPr>
          <w:p w14:paraId="28FD72F4">
            <w:pPr>
              <w:jc w:val="center"/>
              <w:rPr>
                <w:szCs w:val="21"/>
              </w:rPr>
            </w:pPr>
            <w:r>
              <w:rPr>
                <w:szCs w:val="21"/>
              </w:rPr>
              <w:t>YS5119033310001</w:t>
            </w: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14:paraId="1E2FBB9B">
            <w:pPr>
              <w:jc w:val="center"/>
              <w:rPr>
                <w:szCs w:val="21"/>
              </w:rPr>
            </w:pPr>
            <w:r>
              <w:rPr>
                <w:szCs w:val="21"/>
              </w:rPr>
              <w:t>恩阳区大气环境一般管控区</w:t>
            </w:r>
          </w:p>
        </w:tc>
        <w:tc>
          <w:tcPr>
            <w:tcW w:w="567" w:type="dxa"/>
            <w:vMerge w:val="restart"/>
            <w:tcBorders>
              <w:top w:val="single" w:color="000000" w:sz="2" w:space="0"/>
              <w:left w:val="single" w:color="000000" w:sz="2" w:space="0"/>
              <w:bottom w:val="single" w:color="000000" w:sz="2" w:space="0"/>
              <w:right w:val="single" w:color="000000" w:sz="2" w:space="0"/>
            </w:tcBorders>
            <w:vAlign w:val="center"/>
          </w:tcPr>
          <w:p w14:paraId="283CEF4B">
            <w:pPr>
              <w:jc w:val="center"/>
              <w:rPr>
                <w:szCs w:val="21"/>
              </w:rPr>
            </w:pPr>
            <w:r>
              <w:rPr>
                <w:szCs w:val="21"/>
              </w:rPr>
              <w:t>一般管控区</w:t>
            </w:r>
          </w:p>
        </w:tc>
        <w:tc>
          <w:tcPr>
            <w:tcW w:w="382" w:type="dxa"/>
            <w:vMerge w:val="restart"/>
            <w:tcBorders>
              <w:top w:val="single" w:color="000000" w:sz="2" w:space="0"/>
              <w:left w:val="single" w:color="000000" w:sz="2" w:space="0"/>
              <w:bottom w:val="single" w:color="000000" w:sz="2" w:space="0"/>
              <w:right w:val="single" w:color="000000" w:sz="2" w:space="0"/>
            </w:tcBorders>
            <w:vAlign w:val="center"/>
          </w:tcPr>
          <w:p w14:paraId="44B4DCBF">
            <w:pPr>
              <w:jc w:val="center"/>
              <w:rPr>
                <w:szCs w:val="21"/>
              </w:rPr>
            </w:pPr>
            <w:r>
              <w:rPr>
                <w:szCs w:val="21"/>
              </w:rPr>
              <w:t>大气</w:t>
            </w:r>
          </w:p>
        </w:tc>
        <w:tc>
          <w:tcPr>
            <w:tcW w:w="610" w:type="dxa"/>
            <w:vMerge w:val="restart"/>
            <w:tcBorders>
              <w:top w:val="single" w:color="000000" w:sz="2" w:space="0"/>
              <w:left w:val="single" w:color="000000" w:sz="2" w:space="0"/>
              <w:bottom w:val="single" w:color="000000" w:sz="2" w:space="0"/>
              <w:right w:val="single" w:color="000000" w:sz="2" w:space="0"/>
            </w:tcBorders>
            <w:vAlign w:val="center"/>
          </w:tcPr>
          <w:p w14:paraId="698576AF">
            <w:pPr>
              <w:jc w:val="center"/>
              <w:rPr>
                <w:szCs w:val="21"/>
              </w:rPr>
            </w:pPr>
            <w:r>
              <w:rPr>
                <w:szCs w:val="21"/>
              </w:rPr>
              <w:t>大气环境一般管控区</w:t>
            </w: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14:paraId="4026F59C">
            <w:pPr>
              <w:jc w:val="center"/>
              <w:rPr>
                <w:szCs w:val="21"/>
              </w:rPr>
            </w:pPr>
            <w:r>
              <w:rPr>
                <w:szCs w:val="21"/>
              </w:rPr>
              <w:t>巴中市恩阳区</w:t>
            </w:r>
          </w:p>
        </w:tc>
        <w:tc>
          <w:tcPr>
            <w:tcW w:w="1559" w:type="dxa"/>
            <w:tcBorders>
              <w:top w:val="single" w:color="000000" w:sz="2" w:space="0"/>
              <w:left w:val="single" w:color="000000" w:sz="2" w:space="0"/>
              <w:bottom w:val="single" w:color="000000" w:sz="2" w:space="0"/>
              <w:right w:val="single" w:color="000000" w:sz="2" w:space="0"/>
            </w:tcBorders>
            <w:vAlign w:val="center"/>
          </w:tcPr>
          <w:p w14:paraId="31A939F0">
            <w:pPr>
              <w:jc w:val="center"/>
              <w:rPr>
                <w:szCs w:val="21"/>
              </w:rPr>
            </w:pPr>
            <w:r>
              <w:rPr>
                <w:szCs w:val="21"/>
              </w:rPr>
              <w:t>空间布局约束</w:t>
            </w:r>
          </w:p>
        </w:tc>
        <w:tc>
          <w:tcPr>
            <w:tcW w:w="5528" w:type="dxa"/>
            <w:tcBorders>
              <w:top w:val="single" w:color="000000" w:sz="2" w:space="0"/>
              <w:left w:val="single" w:color="000000" w:sz="2" w:space="0"/>
              <w:bottom w:val="single" w:color="000000" w:sz="2" w:space="0"/>
              <w:right w:val="single" w:color="000000" w:sz="2" w:space="0"/>
            </w:tcBorders>
            <w:vAlign w:val="center"/>
          </w:tcPr>
          <w:p w14:paraId="442084FA">
            <w:pPr>
              <w:jc w:val="center"/>
              <w:rPr>
                <w:szCs w:val="21"/>
              </w:rPr>
            </w:pPr>
          </w:p>
        </w:tc>
        <w:tc>
          <w:tcPr>
            <w:tcW w:w="2126" w:type="dxa"/>
            <w:tcBorders>
              <w:top w:val="single" w:color="000000" w:sz="2" w:space="0"/>
              <w:left w:val="single" w:color="000000" w:sz="2" w:space="0"/>
              <w:bottom w:val="single" w:color="000000" w:sz="2" w:space="0"/>
              <w:right w:val="single" w:color="000000" w:sz="2" w:space="0"/>
            </w:tcBorders>
            <w:vAlign w:val="center"/>
          </w:tcPr>
          <w:p w14:paraId="2E9A4E07">
            <w:pPr>
              <w:jc w:val="center"/>
              <w:rPr>
                <w:szCs w:val="21"/>
              </w:rPr>
            </w:pPr>
          </w:p>
        </w:tc>
        <w:tc>
          <w:tcPr>
            <w:tcW w:w="531" w:type="dxa"/>
            <w:tcBorders>
              <w:top w:val="single" w:color="000000" w:sz="2" w:space="0"/>
              <w:left w:val="single" w:color="000000" w:sz="2" w:space="0"/>
              <w:bottom w:val="single" w:color="000000" w:sz="2" w:space="0"/>
              <w:right w:val="single" w:color="000000" w:sz="2" w:space="0"/>
            </w:tcBorders>
            <w:vAlign w:val="center"/>
          </w:tcPr>
          <w:p w14:paraId="70B028E6">
            <w:pPr>
              <w:jc w:val="center"/>
              <w:rPr>
                <w:szCs w:val="21"/>
              </w:rPr>
            </w:pPr>
          </w:p>
        </w:tc>
      </w:tr>
      <w:tr w14:paraId="435E0A04">
        <w:tblPrEx>
          <w:tblCellMar>
            <w:top w:w="0" w:type="dxa"/>
            <w:left w:w="10" w:type="dxa"/>
            <w:bottom w:w="0" w:type="dxa"/>
            <w:right w:w="10" w:type="dxa"/>
          </w:tblCellMar>
        </w:tblPrEx>
        <w:tc>
          <w:tcPr>
            <w:tcW w:w="848" w:type="dxa"/>
            <w:vMerge w:val="continue"/>
            <w:tcBorders>
              <w:top w:val="single" w:color="000000" w:sz="2" w:space="0"/>
              <w:left w:val="single" w:color="000000" w:sz="2" w:space="0"/>
              <w:bottom w:val="single" w:color="000000" w:sz="2" w:space="0"/>
              <w:right w:val="single" w:color="000000" w:sz="2" w:space="0"/>
            </w:tcBorders>
            <w:vAlign w:val="center"/>
          </w:tcPr>
          <w:p w14:paraId="6462C465">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3C154489">
            <w:pPr>
              <w:jc w:val="center"/>
              <w:rPr>
                <w:szCs w:val="21"/>
              </w:rPr>
            </w:pPr>
          </w:p>
        </w:tc>
        <w:tc>
          <w:tcPr>
            <w:tcW w:w="567" w:type="dxa"/>
            <w:vMerge w:val="continue"/>
            <w:tcBorders>
              <w:top w:val="single" w:color="000000" w:sz="2" w:space="0"/>
              <w:left w:val="single" w:color="000000" w:sz="2" w:space="0"/>
              <w:bottom w:val="single" w:color="000000" w:sz="2" w:space="0"/>
              <w:right w:val="single" w:color="000000" w:sz="2" w:space="0"/>
            </w:tcBorders>
            <w:vAlign w:val="center"/>
          </w:tcPr>
          <w:p w14:paraId="16F3208D">
            <w:pPr>
              <w:jc w:val="center"/>
              <w:rPr>
                <w:szCs w:val="21"/>
              </w:rPr>
            </w:pPr>
          </w:p>
        </w:tc>
        <w:tc>
          <w:tcPr>
            <w:tcW w:w="382" w:type="dxa"/>
            <w:vMerge w:val="continue"/>
            <w:tcBorders>
              <w:top w:val="single" w:color="000000" w:sz="2" w:space="0"/>
              <w:left w:val="single" w:color="000000" w:sz="2" w:space="0"/>
              <w:bottom w:val="single" w:color="000000" w:sz="2" w:space="0"/>
              <w:right w:val="single" w:color="000000" w:sz="2" w:space="0"/>
            </w:tcBorders>
            <w:vAlign w:val="center"/>
          </w:tcPr>
          <w:p w14:paraId="08348077">
            <w:pPr>
              <w:jc w:val="center"/>
              <w:rPr>
                <w:szCs w:val="21"/>
              </w:rPr>
            </w:pPr>
          </w:p>
        </w:tc>
        <w:tc>
          <w:tcPr>
            <w:tcW w:w="610" w:type="dxa"/>
            <w:vMerge w:val="continue"/>
            <w:tcBorders>
              <w:top w:val="single" w:color="000000" w:sz="2" w:space="0"/>
              <w:left w:val="single" w:color="000000" w:sz="2" w:space="0"/>
              <w:bottom w:val="single" w:color="000000" w:sz="2" w:space="0"/>
              <w:right w:val="single" w:color="000000" w:sz="2" w:space="0"/>
            </w:tcBorders>
            <w:vAlign w:val="center"/>
          </w:tcPr>
          <w:p w14:paraId="61311465">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32E84541">
            <w:pPr>
              <w:jc w:val="center"/>
              <w:rPr>
                <w:szCs w:val="21"/>
              </w:rPr>
            </w:pPr>
          </w:p>
        </w:tc>
        <w:tc>
          <w:tcPr>
            <w:tcW w:w="1559" w:type="dxa"/>
            <w:tcBorders>
              <w:top w:val="single" w:color="000000" w:sz="2" w:space="0"/>
              <w:left w:val="single" w:color="000000" w:sz="2" w:space="0"/>
              <w:bottom w:val="single" w:color="000000" w:sz="2" w:space="0"/>
              <w:right w:val="single" w:color="000000" w:sz="2" w:space="0"/>
            </w:tcBorders>
            <w:vAlign w:val="center"/>
          </w:tcPr>
          <w:p w14:paraId="13B58AEF">
            <w:pPr>
              <w:jc w:val="center"/>
              <w:rPr>
                <w:szCs w:val="21"/>
              </w:rPr>
            </w:pPr>
            <w:r>
              <w:rPr>
                <w:szCs w:val="21"/>
              </w:rPr>
              <w:t>污染物排放管控</w:t>
            </w:r>
          </w:p>
        </w:tc>
        <w:tc>
          <w:tcPr>
            <w:tcW w:w="5528" w:type="dxa"/>
            <w:tcBorders>
              <w:top w:val="single" w:color="000000" w:sz="2" w:space="0"/>
              <w:left w:val="single" w:color="000000" w:sz="2" w:space="0"/>
              <w:bottom w:val="single" w:color="000000" w:sz="2" w:space="0"/>
              <w:right w:val="single" w:color="000000" w:sz="2" w:space="0"/>
            </w:tcBorders>
            <w:vAlign w:val="center"/>
          </w:tcPr>
          <w:p w14:paraId="369FAEC5">
            <w:pPr>
              <w:jc w:val="center"/>
              <w:rPr>
                <w:szCs w:val="21"/>
              </w:rPr>
            </w:pPr>
          </w:p>
        </w:tc>
        <w:tc>
          <w:tcPr>
            <w:tcW w:w="2126" w:type="dxa"/>
            <w:tcBorders>
              <w:top w:val="single" w:color="000000" w:sz="2" w:space="0"/>
              <w:left w:val="single" w:color="000000" w:sz="2" w:space="0"/>
              <w:bottom w:val="single" w:color="000000" w:sz="2" w:space="0"/>
              <w:right w:val="single" w:color="000000" w:sz="2" w:space="0"/>
            </w:tcBorders>
            <w:vAlign w:val="center"/>
          </w:tcPr>
          <w:p w14:paraId="27007B08">
            <w:pPr>
              <w:jc w:val="center"/>
              <w:rPr>
                <w:szCs w:val="21"/>
              </w:rPr>
            </w:pPr>
          </w:p>
        </w:tc>
        <w:tc>
          <w:tcPr>
            <w:tcW w:w="531" w:type="dxa"/>
            <w:tcBorders>
              <w:top w:val="single" w:color="000000" w:sz="2" w:space="0"/>
              <w:left w:val="single" w:color="000000" w:sz="2" w:space="0"/>
              <w:bottom w:val="single" w:color="000000" w:sz="2" w:space="0"/>
              <w:right w:val="single" w:color="000000" w:sz="2" w:space="0"/>
            </w:tcBorders>
            <w:vAlign w:val="center"/>
          </w:tcPr>
          <w:p w14:paraId="587CB5FA">
            <w:pPr>
              <w:jc w:val="center"/>
              <w:rPr>
                <w:szCs w:val="21"/>
              </w:rPr>
            </w:pPr>
          </w:p>
        </w:tc>
      </w:tr>
      <w:tr w14:paraId="7A1B15D1">
        <w:tblPrEx>
          <w:tblCellMar>
            <w:top w:w="0" w:type="dxa"/>
            <w:left w:w="10" w:type="dxa"/>
            <w:bottom w:w="0" w:type="dxa"/>
            <w:right w:w="10" w:type="dxa"/>
          </w:tblCellMar>
        </w:tblPrEx>
        <w:tc>
          <w:tcPr>
            <w:tcW w:w="848" w:type="dxa"/>
            <w:vMerge w:val="continue"/>
            <w:tcBorders>
              <w:top w:val="single" w:color="000000" w:sz="2" w:space="0"/>
              <w:left w:val="single" w:color="000000" w:sz="2" w:space="0"/>
              <w:bottom w:val="single" w:color="000000" w:sz="2" w:space="0"/>
              <w:right w:val="single" w:color="000000" w:sz="2" w:space="0"/>
            </w:tcBorders>
            <w:vAlign w:val="center"/>
          </w:tcPr>
          <w:p w14:paraId="09B31F43">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37C2FEB8">
            <w:pPr>
              <w:jc w:val="center"/>
              <w:rPr>
                <w:szCs w:val="21"/>
              </w:rPr>
            </w:pPr>
          </w:p>
        </w:tc>
        <w:tc>
          <w:tcPr>
            <w:tcW w:w="567" w:type="dxa"/>
            <w:vMerge w:val="continue"/>
            <w:tcBorders>
              <w:top w:val="single" w:color="000000" w:sz="2" w:space="0"/>
              <w:left w:val="single" w:color="000000" w:sz="2" w:space="0"/>
              <w:bottom w:val="single" w:color="000000" w:sz="2" w:space="0"/>
              <w:right w:val="single" w:color="000000" w:sz="2" w:space="0"/>
            </w:tcBorders>
            <w:vAlign w:val="center"/>
          </w:tcPr>
          <w:p w14:paraId="4EB2A738">
            <w:pPr>
              <w:jc w:val="center"/>
              <w:rPr>
                <w:szCs w:val="21"/>
              </w:rPr>
            </w:pPr>
          </w:p>
        </w:tc>
        <w:tc>
          <w:tcPr>
            <w:tcW w:w="382" w:type="dxa"/>
            <w:vMerge w:val="continue"/>
            <w:tcBorders>
              <w:top w:val="single" w:color="000000" w:sz="2" w:space="0"/>
              <w:left w:val="single" w:color="000000" w:sz="2" w:space="0"/>
              <w:bottom w:val="single" w:color="000000" w:sz="2" w:space="0"/>
              <w:right w:val="single" w:color="000000" w:sz="2" w:space="0"/>
            </w:tcBorders>
            <w:vAlign w:val="center"/>
          </w:tcPr>
          <w:p w14:paraId="36C5E909">
            <w:pPr>
              <w:jc w:val="center"/>
              <w:rPr>
                <w:szCs w:val="21"/>
              </w:rPr>
            </w:pPr>
          </w:p>
        </w:tc>
        <w:tc>
          <w:tcPr>
            <w:tcW w:w="610" w:type="dxa"/>
            <w:vMerge w:val="continue"/>
            <w:tcBorders>
              <w:top w:val="single" w:color="000000" w:sz="2" w:space="0"/>
              <w:left w:val="single" w:color="000000" w:sz="2" w:space="0"/>
              <w:bottom w:val="single" w:color="000000" w:sz="2" w:space="0"/>
              <w:right w:val="single" w:color="000000" w:sz="2" w:space="0"/>
            </w:tcBorders>
            <w:vAlign w:val="center"/>
          </w:tcPr>
          <w:p w14:paraId="6189C201">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7CE481FE">
            <w:pPr>
              <w:jc w:val="center"/>
              <w:rPr>
                <w:szCs w:val="21"/>
              </w:rPr>
            </w:pPr>
          </w:p>
        </w:tc>
        <w:tc>
          <w:tcPr>
            <w:tcW w:w="1559" w:type="dxa"/>
            <w:tcBorders>
              <w:top w:val="single" w:color="000000" w:sz="2" w:space="0"/>
              <w:left w:val="single" w:color="000000" w:sz="2" w:space="0"/>
              <w:bottom w:val="single" w:color="000000" w:sz="2" w:space="0"/>
              <w:right w:val="single" w:color="000000" w:sz="2" w:space="0"/>
            </w:tcBorders>
            <w:vAlign w:val="center"/>
          </w:tcPr>
          <w:p w14:paraId="655BE11C">
            <w:pPr>
              <w:jc w:val="center"/>
              <w:rPr>
                <w:szCs w:val="21"/>
              </w:rPr>
            </w:pPr>
            <w:r>
              <w:rPr>
                <w:szCs w:val="21"/>
              </w:rPr>
              <w:t>环境风险防控</w:t>
            </w:r>
          </w:p>
        </w:tc>
        <w:tc>
          <w:tcPr>
            <w:tcW w:w="5528" w:type="dxa"/>
            <w:tcBorders>
              <w:top w:val="single" w:color="000000" w:sz="2" w:space="0"/>
              <w:left w:val="single" w:color="000000" w:sz="2" w:space="0"/>
              <w:bottom w:val="single" w:color="000000" w:sz="2" w:space="0"/>
              <w:right w:val="single" w:color="000000" w:sz="2" w:space="0"/>
            </w:tcBorders>
            <w:vAlign w:val="center"/>
          </w:tcPr>
          <w:p w14:paraId="037E3A1E">
            <w:pPr>
              <w:jc w:val="left"/>
            </w:pPr>
            <w:r>
              <w:t>【安全利用类农用地管控要求】</w:t>
            </w:r>
          </w:p>
          <w:p w14:paraId="1C8842BA">
            <w:pPr>
              <w:jc w:val="left"/>
            </w:pPr>
            <w:r>
              <w:t>减少工业化、城镇化对大气环境的影响，严格执行国家、省、市下达的相关大气污染防治要求。</w:t>
            </w:r>
          </w:p>
          <w:p w14:paraId="3274AB65">
            <w:pPr>
              <w:jc w:val="left"/>
            </w:pPr>
            <w:r>
              <w:t>【其他环境风险防控要求】</w:t>
            </w:r>
          </w:p>
          <w:p w14:paraId="10D7E87C">
            <w:pPr>
              <w:rPr>
                <w:szCs w:val="21"/>
              </w:rPr>
            </w:pPr>
            <w:r>
              <w:t>减少工业化、城镇化对大气环境的影响，严格执行国家、省、市下达的相关大气污染防治要求。</w:t>
            </w:r>
          </w:p>
        </w:tc>
        <w:tc>
          <w:tcPr>
            <w:tcW w:w="2126" w:type="dxa"/>
            <w:tcBorders>
              <w:top w:val="single" w:color="000000" w:sz="2" w:space="0"/>
              <w:left w:val="single" w:color="000000" w:sz="2" w:space="0"/>
              <w:bottom w:val="single" w:color="000000" w:sz="2" w:space="0"/>
              <w:right w:val="single" w:color="000000" w:sz="2" w:space="0"/>
            </w:tcBorders>
            <w:vAlign w:val="center"/>
          </w:tcPr>
          <w:p w14:paraId="45FE9372">
            <w:pPr>
              <w:jc w:val="center"/>
              <w:rPr>
                <w:szCs w:val="21"/>
              </w:rPr>
            </w:pPr>
            <w:r>
              <w:rPr>
                <w:szCs w:val="21"/>
              </w:rPr>
              <w:t>本项目不涉及</w:t>
            </w:r>
            <w:r>
              <w:t>安全利用类农用地，大气污染物排放满足《陆上石油天然气开采工业大气污染物排放标准》（GB39728-2020）相关要求。</w:t>
            </w:r>
          </w:p>
        </w:tc>
        <w:tc>
          <w:tcPr>
            <w:tcW w:w="531" w:type="dxa"/>
            <w:tcBorders>
              <w:top w:val="single" w:color="000000" w:sz="2" w:space="0"/>
              <w:left w:val="single" w:color="000000" w:sz="2" w:space="0"/>
              <w:bottom w:val="single" w:color="000000" w:sz="2" w:space="0"/>
              <w:right w:val="single" w:color="000000" w:sz="2" w:space="0"/>
            </w:tcBorders>
            <w:vAlign w:val="center"/>
          </w:tcPr>
          <w:p w14:paraId="526B514F">
            <w:pPr>
              <w:jc w:val="center"/>
              <w:rPr>
                <w:szCs w:val="21"/>
              </w:rPr>
            </w:pPr>
            <w:r>
              <w:rPr>
                <w:szCs w:val="21"/>
              </w:rPr>
              <w:t>符合</w:t>
            </w:r>
          </w:p>
        </w:tc>
      </w:tr>
      <w:tr w14:paraId="5F124117">
        <w:tblPrEx>
          <w:tblCellMar>
            <w:top w:w="0" w:type="dxa"/>
            <w:left w:w="10" w:type="dxa"/>
            <w:bottom w:w="0" w:type="dxa"/>
            <w:right w:w="10" w:type="dxa"/>
          </w:tblCellMar>
        </w:tblPrEx>
        <w:tc>
          <w:tcPr>
            <w:tcW w:w="848" w:type="dxa"/>
            <w:vMerge w:val="continue"/>
            <w:tcBorders>
              <w:top w:val="single" w:color="000000" w:sz="2" w:space="0"/>
              <w:left w:val="single" w:color="000000" w:sz="2" w:space="0"/>
              <w:bottom w:val="single" w:color="000000" w:sz="2" w:space="0"/>
              <w:right w:val="single" w:color="000000" w:sz="2" w:space="0"/>
            </w:tcBorders>
            <w:vAlign w:val="center"/>
          </w:tcPr>
          <w:p w14:paraId="7C20F61F">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178F0591">
            <w:pPr>
              <w:jc w:val="center"/>
              <w:rPr>
                <w:szCs w:val="21"/>
              </w:rPr>
            </w:pPr>
          </w:p>
        </w:tc>
        <w:tc>
          <w:tcPr>
            <w:tcW w:w="567" w:type="dxa"/>
            <w:vMerge w:val="continue"/>
            <w:tcBorders>
              <w:top w:val="single" w:color="000000" w:sz="2" w:space="0"/>
              <w:left w:val="single" w:color="000000" w:sz="2" w:space="0"/>
              <w:bottom w:val="single" w:color="000000" w:sz="2" w:space="0"/>
              <w:right w:val="single" w:color="000000" w:sz="2" w:space="0"/>
            </w:tcBorders>
            <w:vAlign w:val="center"/>
          </w:tcPr>
          <w:p w14:paraId="64D53A5B">
            <w:pPr>
              <w:jc w:val="center"/>
              <w:rPr>
                <w:szCs w:val="21"/>
              </w:rPr>
            </w:pPr>
          </w:p>
        </w:tc>
        <w:tc>
          <w:tcPr>
            <w:tcW w:w="382" w:type="dxa"/>
            <w:vMerge w:val="continue"/>
            <w:tcBorders>
              <w:top w:val="single" w:color="000000" w:sz="2" w:space="0"/>
              <w:left w:val="single" w:color="000000" w:sz="2" w:space="0"/>
              <w:bottom w:val="single" w:color="000000" w:sz="2" w:space="0"/>
              <w:right w:val="single" w:color="000000" w:sz="2" w:space="0"/>
            </w:tcBorders>
            <w:vAlign w:val="center"/>
          </w:tcPr>
          <w:p w14:paraId="632C951D">
            <w:pPr>
              <w:jc w:val="center"/>
              <w:rPr>
                <w:szCs w:val="21"/>
              </w:rPr>
            </w:pPr>
          </w:p>
        </w:tc>
        <w:tc>
          <w:tcPr>
            <w:tcW w:w="610" w:type="dxa"/>
            <w:vMerge w:val="continue"/>
            <w:tcBorders>
              <w:top w:val="single" w:color="000000" w:sz="2" w:space="0"/>
              <w:left w:val="single" w:color="000000" w:sz="2" w:space="0"/>
              <w:bottom w:val="single" w:color="000000" w:sz="2" w:space="0"/>
              <w:right w:val="single" w:color="000000" w:sz="2" w:space="0"/>
            </w:tcBorders>
            <w:vAlign w:val="center"/>
          </w:tcPr>
          <w:p w14:paraId="4061747E">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75BEE262">
            <w:pPr>
              <w:jc w:val="center"/>
              <w:rPr>
                <w:szCs w:val="21"/>
              </w:rPr>
            </w:pPr>
          </w:p>
        </w:tc>
        <w:tc>
          <w:tcPr>
            <w:tcW w:w="1559" w:type="dxa"/>
            <w:tcBorders>
              <w:top w:val="single" w:color="000000" w:sz="2" w:space="0"/>
              <w:left w:val="single" w:color="000000" w:sz="2" w:space="0"/>
              <w:bottom w:val="single" w:color="000000" w:sz="2" w:space="0"/>
              <w:right w:val="single" w:color="000000" w:sz="2" w:space="0"/>
            </w:tcBorders>
            <w:vAlign w:val="center"/>
          </w:tcPr>
          <w:p w14:paraId="36FFB6EC">
            <w:pPr>
              <w:jc w:val="center"/>
              <w:rPr>
                <w:szCs w:val="21"/>
              </w:rPr>
            </w:pPr>
            <w:r>
              <w:rPr>
                <w:szCs w:val="21"/>
              </w:rPr>
              <w:t>资源开发利用效率要求</w:t>
            </w:r>
          </w:p>
        </w:tc>
        <w:tc>
          <w:tcPr>
            <w:tcW w:w="5528" w:type="dxa"/>
            <w:tcBorders>
              <w:top w:val="single" w:color="000000" w:sz="2" w:space="0"/>
              <w:left w:val="single" w:color="000000" w:sz="2" w:space="0"/>
              <w:bottom w:val="single" w:color="000000" w:sz="2" w:space="0"/>
              <w:right w:val="single" w:color="000000" w:sz="2" w:space="0"/>
            </w:tcBorders>
            <w:vAlign w:val="center"/>
          </w:tcPr>
          <w:p w14:paraId="0B19562D">
            <w:pPr>
              <w:jc w:val="center"/>
              <w:rPr>
                <w:szCs w:val="21"/>
              </w:rPr>
            </w:pPr>
          </w:p>
        </w:tc>
        <w:tc>
          <w:tcPr>
            <w:tcW w:w="2126" w:type="dxa"/>
            <w:tcBorders>
              <w:top w:val="single" w:color="000000" w:sz="2" w:space="0"/>
              <w:left w:val="single" w:color="000000" w:sz="2" w:space="0"/>
              <w:bottom w:val="single" w:color="000000" w:sz="2" w:space="0"/>
              <w:right w:val="single" w:color="000000" w:sz="2" w:space="0"/>
            </w:tcBorders>
            <w:vAlign w:val="center"/>
          </w:tcPr>
          <w:p w14:paraId="660BB90A">
            <w:pPr>
              <w:jc w:val="center"/>
              <w:rPr>
                <w:szCs w:val="21"/>
              </w:rPr>
            </w:pPr>
          </w:p>
        </w:tc>
        <w:tc>
          <w:tcPr>
            <w:tcW w:w="531" w:type="dxa"/>
            <w:tcBorders>
              <w:top w:val="single" w:color="000000" w:sz="2" w:space="0"/>
              <w:left w:val="single" w:color="000000" w:sz="2" w:space="0"/>
              <w:bottom w:val="single" w:color="000000" w:sz="2" w:space="0"/>
              <w:right w:val="single" w:color="000000" w:sz="2" w:space="0"/>
            </w:tcBorders>
            <w:vAlign w:val="center"/>
          </w:tcPr>
          <w:p w14:paraId="6AC6936A">
            <w:pPr>
              <w:jc w:val="center"/>
              <w:rPr>
                <w:szCs w:val="21"/>
              </w:rPr>
            </w:pPr>
          </w:p>
        </w:tc>
      </w:tr>
      <w:tr w14:paraId="4C100218">
        <w:tblPrEx>
          <w:tblCellMar>
            <w:top w:w="0" w:type="dxa"/>
            <w:left w:w="10" w:type="dxa"/>
            <w:bottom w:w="0" w:type="dxa"/>
            <w:right w:w="10" w:type="dxa"/>
          </w:tblCellMar>
        </w:tblPrEx>
        <w:tc>
          <w:tcPr>
            <w:tcW w:w="848" w:type="dxa"/>
            <w:vMerge w:val="restart"/>
            <w:tcBorders>
              <w:top w:val="single" w:color="000000" w:sz="2" w:space="0"/>
              <w:left w:val="single" w:color="000000" w:sz="2" w:space="0"/>
              <w:bottom w:val="single" w:color="000000" w:sz="2" w:space="0"/>
              <w:right w:val="single" w:color="000000" w:sz="2" w:space="0"/>
            </w:tcBorders>
            <w:vAlign w:val="center"/>
          </w:tcPr>
          <w:p w14:paraId="5A580BA9">
            <w:pPr>
              <w:jc w:val="center"/>
              <w:rPr>
                <w:szCs w:val="21"/>
              </w:rPr>
            </w:pPr>
            <w:r>
              <w:rPr>
                <w:szCs w:val="21"/>
              </w:rPr>
              <w:t>YS5119033510001</w:t>
            </w: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14:paraId="7EC43958">
            <w:pPr>
              <w:jc w:val="center"/>
              <w:rPr>
                <w:szCs w:val="21"/>
              </w:rPr>
            </w:pPr>
            <w:r>
              <w:rPr>
                <w:szCs w:val="21"/>
              </w:rPr>
              <w:t>恩阳区自然资源一般管控区</w:t>
            </w:r>
          </w:p>
        </w:tc>
        <w:tc>
          <w:tcPr>
            <w:tcW w:w="567" w:type="dxa"/>
            <w:vMerge w:val="restart"/>
            <w:tcBorders>
              <w:top w:val="single" w:color="000000" w:sz="2" w:space="0"/>
              <w:left w:val="single" w:color="000000" w:sz="2" w:space="0"/>
              <w:bottom w:val="single" w:color="000000" w:sz="2" w:space="0"/>
              <w:right w:val="single" w:color="000000" w:sz="2" w:space="0"/>
            </w:tcBorders>
            <w:vAlign w:val="center"/>
          </w:tcPr>
          <w:p w14:paraId="48D8D4D6">
            <w:pPr>
              <w:jc w:val="center"/>
              <w:rPr>
                <w:szCs w:val="21"/>
              </w:rPr>
            </w:pPr>
            <w:r>
              <w:rPr>
                <w:szCs w:val="21"/>
              </w:rPr>
              <w:t>一般管控区</w:t>
            </w:r>
          </w:p>
        </w:tc>
        <w:tc>
          <w:tcPr>
            <w:tcW w:w="382" w:type="dxa"/>
            <w:vMerge w:val="restart"/>
            <w:tcBorders>
              <w:top w:val="single" w:color="000000" w:sz="2" w:space="0"/>
              <w:left w:val="single" w:color="000000" w:sz="2" w:space="0"/>
              <w:bottom w:val="single" w:color="000000" w:sz="2" w:space="0"/>
              <w:right w:val="single" w:color="000000" w:sz="2" w:space="0"/>
            </w:tcBorders>
            <w:vAlign w:val="center"/>
          </w:tcPr>
          <w:p w14:paraId="4169F6ED">
            <w:pPr>
              <w:jc w:val="center"/>
              <w:rPr>
                <w:szCs w:val="21"/>
              </w:rPr>
            </w:pPr>
            <w:r>
              <w:rPr>
                <w:szCs w:val="21"/>
              </w:rPr>
              <w:t>自然资源</w:t>
            </w:r>
          </w:p>
        </w:tc>
        <w:tc>
          <w:tcPr>
            <w:tcW w:w="610" w:type="dxa"/>
            <w:vMerge w:val="restart"/>
            <w:tcBorders>
              <w:top w:val="single" w:color="000000" w:sz="2" w:space="0"/>
              <w:left w:val="single" w:color="000000" w:sz="2" w:space="0"/>
              <w:bottom w:val="single" w:color="000000" w:sz="2" w:space="0"/>
              <w:right w:val="single" w:color="000000" w:sz="2" w:space="0"/>
            </w:tcBorders>
            <w:vAlign w:val="center"/>
          </w:tcPr>
          <w:p w14:paraId="1932AC21">
            <w:pPr>
              <w:jc w:val="center"/>
              <w:rPr>
                <w:szCs w:val="21"/>
              </w:rPr>
            </w:pPr>
            <w:r>
              <w:rPr>
                <w:szCs w:val="21"/>
              </w:rPr>
              <w:t>自然资源一般管控区</w:t>
            </w: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14:paraId="48023326">
            <w:pPr>
              <w:jc w:val="center"/>
              <w:rPr>
                <w:szCs w:val="21"/>
              </w:rPr>
            </w:pPr>
            <w:r>
              <w:rPr>
                <w:szCs w:val="21"/>
              </w:rPr>
              <w:t>巴中市恩阳区</w:t>
            </w:r>
          </w:p>
        </w:tc>
        <w:tc>
          <w:tcPr>
            <w:tcW w:w="1559" w:type="dxa"/>
            <w:tcBorders>
              <w:top w:val="single" w:color="000000" w:sz="2" w:space="0"/>
              <w:left w:val="single" w:color="000000" w:sz="2" w:space="0"/>
              <w:bottom w:val="single" w:color="000000" w:sz="2" w:space="0"/>
              <w:right w:val="single" w:color="000000" w:sz="2" w:space="0"/>
            </w:tcBorders>
            <w:vAlign w:val="center"/>
          </w:tcPr>
          <w:p w14:paraId="17710562">
            <w:pPr>
              <w:jc w:val="center"/>
              <w:rPr>
                <w:szCs w:val="21"/>
              </w:rPr>
            </w:pPr>
            <w:r>
              <w:rPr>
                <w:szCs w:val="21"/>
              </w:rPr>
              <w:t>空间布局约束</w:t>
            </w:r>
          </w:p>
        </w:tc>
        <w:tc>
          <w:tcPr>
            <w:tcW w:w="5528" w:type="dxa"/>
            <w:tcBorders>
              <w:top w:val="single" w:color="000000" w:sz="2" w:space="0"/>
              <w:left w:val="single" w:color="000000" w:sz="2" w:space="0"/>
              <w:bottom w:val="single" w:color="000000" w:sz="2" w:space="0"/>
              <w:right w:val="single" w:color="000000" w:sz="2" w:space="0"/>
            </w:tcBorders>
            <w:vAlign w:val="center"/>
          </w:tcPr>
          <w:p w14:paraId="2F834D66">
            <w:pPr>
              <w:jc w:val="left"/>
              <w:rPr>
                <w:sz w:val="18"/>
              </w:rPr>
            </w:pPr>
            <w:r>
              <w:t>【禁止开发建设活动的要求】</w:t>
            </w:r>
          </w:p>
          <w:p w14:paraId="65E84C80">
            <w:pPr>
              <w:rPr>
                <w:szCs w:val="21"/>
              </w:rPr>
            </w:pPr>
            <w:r>
              <w:t>合理开发高效利用水资源，建设节水型社会；优化土地利用布局与结构；优化产业空间布局，构建清洁能源体系。</w:t>
            </w:r>
          </w:p>
        </w:tc>
        <w:tc>
          <w:tcPr>
            <w:tcW w:w="2126" w:type="dxa"/>
            <w:tcBorders>
              <w:top w:val="single" w:color="000000" w:sz="2" w:space="0"/>
              <w:left w:val="single" w:color="000000" w:sz="2" w:space="0"/>
              <w:bottom w:val="single" w:color="000000" w:sz="2" w:space="0"/>
              <w:right w:val="single" w:color="000000" w:sz="2" w:space="0"/>
            </w:tcBorders>
            <w:vAlign w:val="center"/>
          </w:tcPr>
          <w:p w14:paraId="1BCBCAC8">
            <w:pPr>
              <w:rPr>
                <w:szCs w:val="21"/>
              </w:rPr>
            </w:pPr>
            <w:r>
              <w:rPr>
                <w:szCs w:val="21"/>
              </w:rPr>
              <w:t>本项目为天然气试采项目，助力区域构建清洁能源体系，在原有井场内建设，节约土地资源。</w:t>
            </w:r>
          </w:p>
        </w:tc>
        <w:tc>
          <w:tcPr>
            <w:tcW w:w="531" w:type="dxa"/>
            <w:tcBorders>
              <w:top w:val="single" w:color="000000" w:sz="2" w:space="0"/>
              <w:left w:val="single" w:color="000000" w:sz="2" w:space="0"/>
              <w:bottom w:val="single" w:color="000000" w:sz="2" w:space="0"/>
              <w:right w:val="single" w:color="000000" w:sz="2" w:space="0"/>
            </w:tcBorders>
            <w:vAlign w:val="center"/>
          </w:tcPr>
          <w:p w14:paraId="742F0CEE">
            <w:pPr>
              <w:jc w:val="center"/>
              <w:rPr>
                <w:szCs w:val="21"/>
              </w:rPr>
            </w:pPr>
            <w:r>
              <w:rPr>
                <w:szCs w:val="21"/>
              </w:rPr>
              <w:t>符合</w:t>
            </w:r>
          </w:p>
        </w:tc>
      </w:tr>
      <w:tr w14:paraId="39B1B974">
        <w:tblPrEx>
          <w:tblCellMar>
            <w:top w:w="0" w:type="dxa"/>
            <w:left w:w="10" w:type="dxa"/>
            <w:bottom w:w="0" w:type="dxa"/>
            <w:right w:w="10" w:type="dxa"/>
          </w:tblCellMar>
        </w:tblPrEx>
        <w:tc>
          <w:tcPr>
            <w:tcW w:w="848" w:type="dxa"/>
            <w:vMerge w:val="continue"/>
            <w:tcBorders>
              <w:top w:val="single" w:color="000000" w:sz="2" w:space="0"/>
              <w:left w:val="single" w:color="000000" w:sz="2" w:space="0"/>
              <w:bottom w:val="single" w:color="000000" w:sz="2" w:space="0"/>
              <w:right w:val="single" w:color="000000" w:sz="2" w:space="0"/>
            </w:tcBorders>
            <w:vAlign w:val="center"/>
          </w:tcPr>
          <w:p w14:paraId="1D2D2179">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6769CEC2">
            <w:pPr>
              <w:jc w:val="center"/>
              <w:rPr>
                <w:szCs w:val="21"/>
              </w:rPr>
            </w:pPr>
          </w:p>
        </w:tc>
        <w:tc>
          <w:tcPr>
            <w:tcW w:w="567" w:type="dxa"/>
            <w:vMerge w:val="continue"/>
            <w:tcBorders>
              <w:top w:val="single" w:color="000000" w:sz="2" w:space="0"/>
              <w:left w:val="single" w:color="000000" w:sz="2" w:space="0"/>
              <w:bottom w:val="single" w:color="000000" w:sz="2" w:space="0"/>
              <w:right w:val="single" w:color="000000" w:sz="2" w:space="0"/>
            </w:tcBorders>
            <w:vAlign w:val="center"/>
          </w:tcPr>
          <w:p w14:paraId="612DE455">
            <w:pPr>
              <w:jc w:val="center"/>
              <w:rPr>
                <w:szCs w:val="21"/>
              </w:rPr>
            </w:pPr>
          </w:p>
        </w:tc>
        <w:tc>
          <w:tcPr>
            <w:tcW w:w="382" w:type="dxa"/>
            <w:vMerge w:val="continue"/>
            <w:tcBorders>
              <w:top w:val="single" w:color="000000" w:sz="2" w:space="0"/>
              <w:left w:val="single" w:color="000000" w:sz="2" w:space="0"/>
              <w:bottom w:val="single" w:color="000000" w:sz="2" w:space="0"/>
              <w:right w:val="single" w:color="000000" w:sz="2" w:space="0"/>
            </w:tcBorders>
            <w:vAlign w:val="center"/>
          </w:tcPr>
          <w:p w14:paraId="389D7462">
            <w:pPr>
              <w:jc w:val="center"/>
              <w:rPr>
                <w:szCs w:val="21"/>
              </w:rPr>
            </w:pPr>
          </w:p>
        </w:tc>
        <w:tc>
          <w:tcPr>
            <w:tcW w:w="610" w:type="dxa"/>
            <w:vMerge w:val="continue"/>
            <w:tcBorders>
              <w:top w:val="single" w:color="000000" w:sz="2" w:space="0"/>
              <w:left w:val="single" w:color="000000" w:sz="2" w:space="0"/>
              <w:bottom w:val="single" w:color="000000" w:sz="2" w:space="0"/>
              <w:right w:val="single" w:color="000000" w:sz="2" w:space="0"/>
            </w:tcBorders>
            <w:vAlign w:val="center"/>
          </w:tcPr>
          <w:p w14:paraId="0B86B5D6">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49FA8B3D">
            <w:pPr>
              <w:jc w:val="center"/>
              <w:rPr>
                <w:szCs w:val="21"/>
              </w:rPr>
            </w:pPr>
          </w:p>
        </w:tc>
        <w:tc>
          <w:tcPr>
            <w:tcW w:w="1559" w:type="dxa"/>
            <w:tcBorders>
              <w:top w:val="single" w:color="000000" w:sz="2" w:space="0"/>
              <w:left w:val="single" w:color="000000" w:sz="2" w:space="0"/>
              <w:bottom w:val="single" w:color="000000" w:sz="2" w:space="0"/>
              <w:right w:val="single" w:color="000000" w:sz="2" w:space="0"/>
            </w:tcBorders>
            <w:vAlign w:val="center"/>
          </w:tcPr>
          <w:p w14:paraId="2BBC7B5A">
            <w:pPr>
              <w:jc w:val="center"/>
              <w:rPr>
                <w:szCs w:val="21"/>
              </w:rPr>
            </w:pPr>
            <w:r>
              <w:rPr>
                <w:szCs w:val="21"/>
              </w:rPr>
              <w:t>污染物排放管控</w:t>
            </w:r>
          </w:p>
        </w:tc>
        <w:tc>
          <w:tcPr>
            <w:tcW w:w="5528" w:type="dxa"/>
            <w:tcBorders>
              <w:top w:val="single" w:color="000000" w:sz="2" w:space="0"/>
              <w:left w:val="single" w:color="000000" w:sz="2" w:space="0"/>
              <w:bottom w:val="single" w:color="000000" w:sz="2" w:space="0"/>
              <w:right w:val="single" w:color="000000" w:sz="2" w:space="0"/>
            </w:tcBorders>
            <w:vAlign w:val="center"/>
          </w:tcPr>
          <w:p w14:paraId="78D4FD84">
            <w:pPr>
              <w:jc w:val="center"/>
              <w:rPr>
                <w:szCs w:val="21"/>
              </w:rPr>
            </w:pPr>
          </w:p>
        </w:tc>
        <w:tc>
          <w:tcPr>
            <w:tcW w:w="2126" w:type="dxa"/>
            <w:tcBorders>
              <w:top w:val="single" w:color="000000" w:sz="2" w:space="0"/>
              <w:left w:val="single" w:color="000000" w:sz="2" w:space="0"/>
              <w:bottom w:val="single" w:color="000000" w:sz="2" w:space="0"/>
              <w:right w:val="single" w:color="000000" w:sz="2" w:space="0"/>
            </w:tcBorders>
            <w:vAlign w:val="center"/>
          </w:tcPr>
          <w:p w14:paraId="1E0E9848">
            <w:pPr>
              <w:jc w:val="center"/>
              <w:rPr>
                <w:szCs w:val="21"/>
              </w:rPr>
            </w:pPr>
          </w:p>
        </w:tc>
        <w:tc>
          <w:tcPr>
            <w:tcW w:w="531" w:type="dxa"/>
            <w:tcBorders>
              <w:top w:val="single" w:color="000000" w:sz="2" w:space="0"/>
              <w:left w:val="single" w:color="000000" w:sz="2" w:space="0"/>
              <w:bottom w:val="single" w:color="000000" w:sz="2" w:space="0"/>
              <w:right w:val="single" w:color="000000" w:sz="2" w:space="0"/>
            </w:tcBorders>
            <w:vAlign w:val="center"/>
          </w:tcPr>
          <w:p w14:paraId="30F4C837">
            <w:pPr>
              <w:jc w:val="center"/>
              <w:rPr>
                <w:szCs w:val="21"/>
              </w:rPr>
            </w:pPr>
          </w:p>
        </w:tc>
      </w:tr>
      <w:tr w14:paraId="738E4706">
        <w:tblPrEx>
          <w:tblCellMar>
            <w:top w:w="0" w:type="dxa"/>
            <w:left w:w="10" w:type="dxa"/>
            <w:bottom w:w="0" w:type="dxa"/>
            <w:right w:w="10" w:type="dxa"/>
          </w:tblCellMar>
        </w:tblPrEx>
        <w:tc>
          <w:tcPr>
            <w:tcW w:w="848" w:type="dxa"/>
            <w:vMerge w:val="continue"/>
            <w:tcBorders>
              <w:top w:val="single" w:color="000000" w:sz="2" w:space="0"/>
              <w:left w:val="single" w:color="000000" w:sz="2" w:space="0"/>
              <w:bottom w:val="single" w:color="000000" w:sz="2" w:space="0"/>
              <w:right w:val="single" w:color="000000" w:sz="2" w:space="0"/>
            </w:tcBorders>
            <w:vAlign w:val="center"/>
          </w:tcPr>
          <w:p w14:paraId="722457F3">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774F0A0C">
            <w:pPr>
              <w:jc w:val="center"/>
              <w:rPr>
                <w:szCs w:val="21"/>
              </w:rPr>
            </w:pPr>
          </w:p>
        </w:tc>
        <w:tc>
          <w:tcPr>
            <w:tcW w:w="567" w:type="dxa"/>
            <w:vMerge w:val="continue"/>
            <w:tcBorders>
              <w:top w:val="single" w:color="000000" w:sz="2" w:space="0"/>
              <w:left w:val="single" w:color="000000" w:sz="2" w:space="0"/>
              <w:bottom w:val="single" w:color="000000" w:sz="2" w:space="0"/>
              <w:right w:val="single" w:color="000000" w:sz="2" w:space="0"/>
            </w:tcBorders>
            <w:vAlign w:val="center"/>
          </w:tcPr>
          <w:p w14:paraId="2E416978">
            <w:pPr>
              <w:jc w:val="center"/>
              <w:rPr>
                <w:szCs w:val="21"/>
              </w:rPr>
            </w:pPr>
          </w:p>
        </w:tc>
        <w:tc>
          <w:tcPr>
            <w:tcW w:w="382" w:type="dxa"/>
            <w:vMerge w:val="continue"/>
            <w:tcBorders>
              <w:top w:val="single" w:color="000000" w:sz="2" w:space="0"/>
              <w:left w:val="single" w:color="000000" w:sz="2" w:space="0"/>
              <w:bottom w:val="single" w:color="000000" w:sz="2" w:space="0"/>
              <w:right w:val="single" w:color="000000" w:sz="2" w:space="0"/>
            </w:tcBorders>
            <w:vAlign w:val="center"/>
          </w:tcPr>
          <w:p w14:paraId="1E77E4DB">
            <w:pPr>
              <w:jc w:val="center"/>
              <w:rPr>
                <w:szCs w:val="21"/>
              </w:rPr>
            </w:pPr>
          </w:p>
        </w:tc>
        <w:tc>
          <w:tcPr>
            <w:tcW w:w="610" w:type="dxa"/>
            <w:vMerge w:val="continue"/>
            <w:tcBorders>
              <w:top w:val="single" w:color="000000" w:sz="2" w:space="0"/>
              <w:left w:val="single" w:color="000000" w:sz="2" w:space="0"/>
              <w:bottom w:val="single" w:color="000000" w:sz="2" w:space="0"/>
              <w:right w:val="single" w:color="000000" w:sz="2" w:space="0"/>
            </w:tcBorders>
            <w:vAlign w:val="center"/>
          </w:tcPr>
          <w:p w14:paraId="78936B3D">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4A860084">
            <w:pPr>
              <w:jc w:val="center"/>
              <w:rPr>
                <w:szCs w:val="21"/>
              </w:rPr>
            </w:pPr>
          </w:p>
        </w:tc>
        <w:tc>
          <w:tcPr>
            <w:tcW w:w="1559" w:type="dxa"/>
            <w:tcBorders>
              <w:top w:val="single" w:color="000000" w:sz="2" w:space="0"/>
              <w:left w:val="single" w:color="000000" w:sz="2" w:space="0"/>
              <w:bottom w:val="single" w:color="000000" w:sz="2" w:space="0"/>
              <w:right w:val="single" w:color="000000" w:sz="2" w:space="0"/>
            </w:tcBorders>
            <w:vAlign w:val="center"/>
          </w:tcPr>
          <w:p w14:paraId="11CE9D73">
            <w:pPr>
              <w:jc w:val="center"/>
              <w:rPr>
                <w:szCs w:val="21"/>
              </w:rPr>
            </w:pPr>
            <w:r>
              <w:rPr>
                <w:szCs w:val="21"/>
              </w:rPr>
              <w:t>环境风险防控</w:t>
            </w:r>
          </w:p>
        </w:tc>
        <w:tc>
          <w:tcPr>
            <w:tcW w:w="5528" w:type="dxa"/>
            <w:tcBorders>
              <w:top w:val="single" w:color="000000" w:sz="2" w:space="0"/>
              <w:left w:val="single" w:color="000000" w:sz="2" w:space="0"/>
              <w:bottom w:val="single" w:color="000000" w:sz="2" w:space="0"/>
              <w:right w:val="single" w:color="000000" w:sz="2" w:space="0"/>
            </w:tcBorders>
            <w:vAlign w:val="center"/>
          </w:tcPr>
          <w:p w14:paraId="50E3306B">
            <w:pPr>
              <w:rPr>
                <w:sz w:val="18"/>
              </w:rPr>
            </w:pPr>
            <w:r>
              <w:t>【污染地块管控要求】</w:t>
            </w:r>
          </w:p>
          <w:p w14:paraId="3E7B01EB">
            <w:pPr>
              <w:jc w:val="center"/>
              <w:rPr>
                <w:szCs w:val="21"/>
              </w:rPr>
            </w:pPr>
            <w:r>
              <w:t>土地资源开发利用量不得超过土地资源利用上线控制性指标。</w:t>
            </w:r>
          </w:p>
        </w:tc>
        <w:tc>
          <w:tcPr>
            <w:tcW w:w="2126" w:type="dxa"/>
            <w:tcBorders>
              <w:top w:val="single" w:color="000000" w:sz="2" w:space="0"/>
              <w:left w:val="single" w:color="000000" w:sz="2" w:space="0"/>
              <w:bottom w:val="single" w:color="000000" w:sz="2" w:space="0"/>
              <w:right w:val="single" w:color="000000" w:sz="2" w:space="0"/>
            </w:tcBorders>
            <w:vAlign w:val="center"/>
          </w:tcPr>
          <w:p w14:paraId="1005769B">
            <w:pPr>
              <w:jc w:val="center"/>
              <w:rPr>
                <w:szCs w:val="21"/>
              </w:rPr>
            </w:pPr>
            <w:r>
              <w:rPr>
                <w:szCs w:val="21"/>
              </w:rPr>
              <w:t>本项目在原有井场内建设，不新增占地。</w:t>
            </w:r>
          </w:p>
        </w:tc>
        <w:tc>
          <w:tcPr>
            <w:tcW w:w="531" w:type="dxa"/>
            <w:tcBorders>
              <w:top w:val="single" w:color="000000" w:sz="2" w:space="0"/>
              <w:left w:val="single" w:color="000000" w:sz="2" w:space="0"/>
              <w:bottom w:val="single" w:color="000000" w:sz="2" w:space="0"/>
              <w:right w:val="single" w:color="000000" w:sz="2" w:space="0"/>
            </w:tcBorders>
            <w:vAlign w:val="center"/>
          </w:tcPr>
          <w:p w14:paraId="3CA3D0CE">
            <w:pPr>
              <w:jc w:val="center"/>
              <w:rPr>
                <w:szCs w:val="21"/>
              </w:rPr>
            </w:pPr>
            <w:r>
              <w:rPr>
                <w:szCs w:val="21"/>
              </w:rPr>
              <w:t>符合</w:t>
            </w:r>
          </w:p>
        </w:tc>
      </w:tr>
      <w:tr w14:paraId="54399E87">
        <w:tblPrEx>
          <w:tblCellMar>
            <w:top w:w="0" w:type="dxa"/>
            <w:left w:w="10" w:type="dxa"/>
            <w:bottom w:w="0" w:type="dxa"/>
            <w:right w:w="10" w:type="dxa"/>
          </w:tblCellMar>
        </w:tblPrEx>
        <w:tc>
          <w:tcPr>
            <w:tcW w:w="848" w:type="dxa"/>
            <w:vMerge w:val="continue"/>
            <w:tcBorders>
              <w:top w:val="single" w:color="000000" w:sz="2" w:space="0"/>
              <w:left w:val="single" w:color="000000" w:sz="2" w:space="0"/>
              <w:bottom w:val="single" w:color="000000" w:sz="2" w:space="0"/>
              <w:right w:val="single" w:color="000000" w:sz="2" w:space="0"/>
            </w:tcBorders>
            <w:vAlign w:val="center"/>
          </w:tcPr>
          <w:p w14:paraId="3447A95E">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3C393C1D">
            <w:pPr>
              <w:jc w:val="center"/>
              <w:rPr>
                <w:szCs w:val="21"/>
              </w:rPr>
            </w:pPr>
          </w:p>
        </w:tc>
        <w:tc>
          <w:tcPr>
            <w:tcW w:w="567" w:type="dxa"/>
            <w:vMerge w:val="continue"/>
            <w:tcBorders>
              <w:top w:val="single" w:color="000000" w:sz="2" w:space="0"/>
              <w:left w:val="single" w:color="000000" w:sz="2" w:space="0"/>
              <w:bottom w:val="single" w:color="000000" w:sz="2" w:space="0"/>
              <w:right w:val="single" w:color="000000" w:sz="2" w:space="0"/>
            </w:tcBorders>
            <w:vAlign w:val="center"/>
          </w:tcPr>
          <w:p w14:paraId="7AC3EA84">
            <w:pPr>
              <w:jc w:val="center"/>
              <w:rPr>
                <w:szCs w:val="21"/>
              </w:rPr>
            </w:pPr>
          </w:p>
        </w:tc>
        <w:tc>
          <w:tcPr>
            <w:tcW w:w="382" w:type="dxa"/>
            <w:vMerge w:val="continue"/>
            <w:tcBorders>
              <w:top w:val="single" w:color="000000" w:sz="2" w:space="0"/>
              <w:left w:val="single" w:color="000000" w:sz="2" w:space="0"/>
              <w:bottom w:val="single" w:color="000000" w:sz="2" w:space="0"/>
              <w:right w:val="single" w:color="000000" w:sz="2" w:space="0"/>
            </w:tcBorders>
            <w:vAlign w:val="center"/>
          </w:tcPr>
          <w:p w14:paraId="4908BCD1">
            <w:pPr>
              <w:jc w:val="center"/>
              <w:rPr>
                <w:szCs w:val="21"/>
              </w:rPr>
            </w:pPr>
          </w:p>
        </w:tc>
        <w:tc>
          <w:tcPr>
            <w:tcW w:w="610" w:type="dxa"/>
            <w:vMerge w:val="continue"/>
            <w:tcBorders>
              <w:top w:val="single" w:color="000000" w:sz="2" w:space="0"/>
              <w:left w:val="single" w:color="000000" w:sz="2" w:space="0"/>
              <w:bottom w:val="single" w:color="000000" w:sz="2" w:space="0"/>
              <w:right w:val="single" w:color="000000" w:sz="2" w:space="0"/>
            </w:tcBorders>
            <w:vAlign w:val="center"/>
          </w:tcPr>
          <w:p w14:paraId="6F40894C">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19E00D9E">
            <w:pPr>
              <w:jc w:val="center"/>
              <w:rPr>
                <w:szCs w:val="21"/>
              </w:rPr>
            </w:pPr>
          </w:p>
        </w:tc>
        <w:tc>
          <w:tcPr>
            <w:tcW w:w="1559" w:type="dxa"/>
            <w:tcBorders>
              <w:top w:val="single" w:color="000000" w:sz="2" w:space="0"/>
              <w:left w:val="single" w:color="000000" w:sz="2" w:space="0"/>
              <w:bottom w:val="single" w:color="000000" w:sz="2" w:space="0"/>
              <w:right w:val="single" w:color="000000" w:sz="2" w:space="0"/>
            </w:tcBorders>
            <w:vAlign w:val="center"/>
          </w:tcPr>
          <w:p w14:paraId="4377142E">
            <w:pPr>
              <w:jc w:val="center"/>
              <w:rPr>
                <w:szCs w:val="21"/>
              </w:rPr>
            </w:pPr>
            <w:r>
              <w:rPr>
                <w:szCs w:val="21"/>
              </w:rPr>
              <w:t>资源开发利用效率要求</w:t>
            </w:r>
          </w:p>
        </w:tc>
        <w:tc>
          <w:tcPr>
            <w:tcW w:w="5528" w:type="dxa"/>
            <w:tcBorders>
              <w:top w:val="single" w:color="000000" w:sz="2" w:space="0"/>
              <w:left w:val="single" w:color="000000" w:sz="2" w:space="0"/>
              <w:bottom w:val="single" w:color="000000" w:sz="2" w:space="0"/>
              <w:right w:val="single" w:color="000000" w:sz="2" w:space="0"/>
            </w:tcBorders>
            <w:vAlign w:val="center"/>
          </w:tcPr>
          <w:p w14:paraId="4A4E01E0">
            <w:pPr>
              <w:jc w:val="center"/>
              <w:rPr>
                <w:szCs w:val="21"/>
              </w:rPr>
            </w:pPr>
          </w:p>
        </w:tc>
        <w:tc>
          <w:tcPr>
            <w:tcW w:w="2126" w:type="dxa"/>
            <w:tcBorders>
              <w:top w:val="single" w:color="000000" w:sz="2" w:space="0"/>
              <w:left w:val="single" w:color="000000" w:sz="2" w:space="0"/>
              <w:bottom w:val="single" w:color="000000" w:sz="2" w:space="0"/>
              <w:right w:val="single" w:color="000000" w:sz="2" w:space="0"/>
            </w:tcBorders>
            <w:vAlign w:val="center"/>
          </w:tcPr>
          <w:p w14:paraId="2DAACE0F">
            <w:pPr>
              <w:jc w:val="center"/>
              <w:rPr>
                <w:szCs w:val="21"/>
              </w:rPr>
            </w:pPr>
          </w:p>
        </w:tc>
        <w:tc>
          <w:tcPr>
            <w:tcW w:w="531" w:type="dxa"/>
            <w:tcBorders>
              <w:top w:val="single" w:color="000000" w:sz="2" w:space="0"/>
              <w:left w:val="single" w:color="000000" w:sz="2" w:space="0"/>
              <w:bottom w:val="single" w:color="000000" w:sz="2" w:space="0"/>
              <w:right w:val="single" w:color="000000" w:sz="2" w:space="0"/>
            </w:tcBorders>
            <w:vAlign w:val="center"/>
          </w:tcPr>
          <w:p w14:paraId="0CAFED91">
            <w:pPr>
              <w:jc w:val="center"/>
              <w:rPr>
                <w:szCs w:val="21"/>
              </w:rPr>
            </w:pPr>
          </w:p>
        </w:tc>
      </w:tr>
      <w:tr w14:paraId="0987EBFB">
        <w:tblPrEx>
          <w:tblCellMar>
            <w:top w:w="0" w:type="dxa"/>
            <w:left w:w="10" w:type="dxa"/>
            <w:bottom w:w="0" w:type="dxa"/>
            <w:right w:w="10" w:type="dxa"/>
          </w:tblCellMar>
        </w:tblPrEx>
        <w:tc>
          <w:tcPr>
            <w:tcW w:w="848" w:type="dxa"/>
            <w:vMerge w:val="restart"/>
            <w:tcBorders>
              <w:top w:val="single" w:color="000000" w:sz="2" w:space="0"/>
              <w:left w:val="single" w:color="000000" w:sz="2" w:space="0"/>
              <w:bottom w:val="single" w:color="000000" w:sz="2" w:space="0"/>
              <w:right w:val="single" w:color="000000" w:sz="2" w:space="0"/>
            </w:tcBorders>
            <w:vAlign w:val="center"/>
          </w:tcPr>
          <w:p w14:paraId="41838C7E">
            <w:pPr>
              <w:jc w:val="center"/>
              <w:rPr>
                <w:szCs w:val="21"/>
              </w:rPr>
            </w:pPr>
            <w:r>
              <w:rPr>
                <w:szCs w:val="21"/>
              </w:rPr>
              <w:t>YS5119033110001</w:t>
            </w: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14:paraId="6EB18361">
            <w:pPr>
              <w:jc w:val="center"/>
              <w:rPr>
                <w:szCs w:val="21"/>
              </w:rPr>
            </w:pPr>
            <w:r>
              <w:rPr>
                <w:szCs w:val="21"/>
              </w:rPr>
              <w:t>恩阳区其他区域</w:t>
            </w:r>
          </w:p>
        </w:tc>
        <w:tc>
          <w:tcPr>
            <w:tcW w:w="567" w:type="dxa"/>
            <w:vMerge w:val="restart"/>
            <w:tcBorders>
              <w:top w:val="single" w:color="000000" w:sz="2" w:space="0"/>
              <w:left w:val="single" w:color="000000" w:sz="2" w:space="0"/>
              <w:bottom w:val="single" w:color="000000" w:sz="2" w:space="0"/>
              <w:right w:val="single" w:color="000000" w:sz="2" w:space="0"/>
            </w:tcBorders>
            <w:vAlign w:val="center"/>
          </w:tcPr>
          <w:p w14:paraId="2B0A16A0">
            <w:pPr>
              <w:jc w:val="center"/>
              <w:rPr>
                <w:szCs w:val="21"/>
              </w:rPr>
            </w:pPr>
            <w:r>
              <w:rPr>
                <w:szCs w:val="21"/>
              </w:rPr>
              <w:t>一般管控区</w:t>
            </w:r>
          </w:p>
        </w:tc>
        <w:tc>
          <w:tcPr>
            <w:tcW w:w="382" w:type="dxa"/>
            <w:vMerge w:val="restart"/>
            <w:tcBorders>
              <w:top w:val="single" w:color="000000" w:sz="2" w:space="0"/>
              <w:left w:val="single" w:color="000000" w:sz="2" w:space="0"/>
              <w:bottom w:val="single" w:color="000000" w:sz="2" w:space="0"/>
              <w:right w:val="single" w:color="000000" w:sz="2" w:space="0"/>
            </w:tcBorders>
            <w:vAlign w:val="center"/>
          </w:tcPr>
          <w:p w14:paraId="3D12D1AA">
            <w:pPr>
              <w:jc w:val="center"/>
              <w:rPr>
                <w:szCs w:val="21"/>
              </w:rPr>
            </w:pPr>
            <w:r>
              <w:rPr>
                <w:szCs w:val="21"/>
              </w:rPr>
              <w:t>生态</w:t>
            </w:r>
          </w:p>
        </w:tc>
        <w:tc>
          <w:tcPr>
            <w:tcW w:w="610" w:type="dxa"/>
            <w:vMerge w:val="restart"/>
            <w:tcBorders>
              <w:top w:val="single" w:color="000000" w:sz="2" w:space="0"/>
              <w:left w:val="single" w:color="000000" w:sz="2" w:space="0"/>
              <w:bottom w:val="single" w:color="000000" w:sz="2" w:space="0"/>
              <w:right w:val="single" w:color="000000" w:sz="2" w:space="0"/>
            </w:tcBorders>
            <w:vAlign w:val="center"/>
          </w:tcPr>
          <w:p w14:paraId="160242EC">
            <w:pPr>
              <w:jc w:val="center"/>
              <w:rPr>
                <w:szCs w:val="21"/>
              </w:rPr>
            </w:pPr>
            <w:r>
              <w:rPr>
                <w:szCs w:val="21"/>
              </w:rPr>
              <w:t>一般管控区</w:t>
            </w: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14:paraId="6FCE1B3E">
            <w:pPr>
              <w:jc w:val="center"/>
              <w:rPr>
                <w:szCs w:val="21"/>
              </w:rPr>
            </w:pPr>
            <w:r>
              <w:rPr>
                <w:szCs w:val="21"/>
              </w:rPr>
              <w:t>巴中市恩阳区</w:t>
            </w:r>
          </w:p>
        </w:tc>
        <w:tc>
          <w:tcPr>
            <w:tcW w:w="1559" w:type="dxa"/>
            <w:tcBorders>
              <w:top w:val="single" w:color="000000" w:sz="2" w:space="0"/>
              <w:left w:val="single" w:color="000000" w:sz="2" w:space="0"/>
              <w:bottom w:val="single" w:color="000000" w:sz="2" w:space="0"/>
              <w:right w:val="single" w:color="000000" w:sz="2" w:space="0"/>
            </w:tcBorders>
            <w:vAlign w:val="center"/>
          </w:tcPr>
          <w:p w14:paraId="50F80C9D">
            <w:pPr>
              <w:jc w:val="center"/>
              <w:rPr>
                <w:szCs w:val="21"/>
              </w:rPr>
            </w:pPr>
            <w:r>
              <w:rPr>
                <w:szCs w:val="21"/>
              </w:rPr>
              <w:t>空间布局约束</w:t>
            </w:r>
          </w:p>
        </w:tc>
        <w:tc>
          <w:tcPr>
            <w:tcW w:w="5528" w:type="dxa"/>
            <w:tcBorders>
              <w:top w:val="single" w:color="000000" w:sz="2" w:space="0"/>
              <w:left w:val="single" w:color="000000" w:sz="2" w:space="0"/>
              <w:bottom w:val="single" w:color="000000" w:sz="2" w:space="0"/>
              <w:right w:val="single" w:color="000000" w:sz="2" w:space="0"/>
            </w:tcBorders>
            <w:vAlign w:val="center"/>
          </w:tcPr>
          <w:p w14:paraId="5708BCE0">
            <w:pPr>
              <w:rPr>
                <w:szCs w:val="21"/>
              </w:rPr>
            </w:pPr>
          </w:p>
        </w:tc>
        <w:tc>
          <w:tcPr>
            <w:tcW w:w="2126" w:type="dxa"/>
            <w:tcBorders>
              <w:top w:val="single" w:color="000000" w:sz="2" w:space="0"/>
              <w:left w:val="single" w:color="000000" w:sz="2" w:space="0"/>
              <w:bottom w:val="single" w:color="000000" w:sz="2" w:space="0"/>
              <w:right w:val="single" w:color="000000" w:sz="2" w:space="0"/>
            </w:tcBorders>
            <w:vAlign w:val="center"/>
          </w:tcPr>
          <w:p w14:paraId="0542AF0D">
            <w:pPr>
              <w:rPr>
                <w:szCs w:val="21"/>
              </w:rPr>
            </w:pPr>
          </w:p>
        </w:tc>
        <w:tc>
          <w:tcPr>
            <w:tcW w:w="531" w:type="dxa"/>
            <w:tcBorders>
              <w:top w:val="single" w:color="000000" w:sz="2" w:space="0"/>
              <w:left w:val="single" w:color="000000" w:sz="2" w:space="0"/>
              <w:bottom w:val="single" w:color="000000" w:sz="2" w:space="0"/>
              <w:right w:val="single" w:color="000000" w:sz="2" w:space="0"/>
            </w:tcBorders>
            <w:vAlign w:val="center"/>
          </w:tcPr>
          <w:p w14:paraId="6A4238BF">
            <w:pPr>
              <w:jc w:val="center"/>
              <w:rPr>
                <w:szCs w:val="21"/>
              </w:rPr>
            </w:pPr>
          </w:p>
        </w:tc>
      </w:tr>
      <w:tr w14:paraId="15B6A457">
        <w:tblPrEx>
          <w:tblCellMar>
            <w:top w:w="0" w:type="dxa"/>
            <w:left w:w="10" w:type="dxa"/>
            <w:bottom w:w="0" w:type="dxa"/>
            <w:right w:w="10" w:type="dxa"/>
          </w:tblCellMar>
        </w:tblPrEx>
        <w:tc>
          <w:tcPr>
            <w:tcW w:w="848" w:type="dxa"/>
            <w:vMerge w:val="continue"/>
            <w:tcBorders>
              <w:top w:val="single" w:color="000000" w:sz="2" w:space="0"/>
              <w:left w:val="single" w:color="000000" w:sz="2" w:space="0"/>
              <w:bottom w:val="single" w:color="000000" w:sz="2" w:space="0"/>
              <w:right w:val="single" w:color="000000" w:sz="2" w:space="0"/>
            </w:tcBorders>
            <w:vAlign w:val="center"/>
          </w:tcPr>
          <w:p w14:paraId="3E74A193">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1B675062">
            <w:pPr>
              <w:jc w:val="center"/>
              <w:rPr>
                <w:szCs w:val="21"/>
              </w:rPr>
            </w:pPr>
          </w:p>
        </w:tc>
        <w:tc>
          <w:tcPr>
            <w:tcW w:w="567" w:type="dxa"/>
            <w:vMerge w:val="continue"/>
            <w:tcBorders>
              <w:top w:val="single" w:color="000000" w:sz="2" w:space="0"/>
              <w:left w:val="single" w:color="000000" w:sz="2" w:space="0"/>
              <w:bottom w:val="single" w:color="000000" w:sz="2" w:space="0"/>
              <w:right w:val="single" w:color="000000" w:sz="2" w:space="0"/>
            </w:tcBorders>
            <w:vAlign w:val="center"/>
          </w:tcPr>
          <w:p w14:paraId="65837A1E">
            <w:pPr>
              <w:jc w:val="center"/>
              <w:rPr>
                <w:szCs w:val="21"/>
              </w:rPr>
            </w:pPr>
          </w:p>
        </w:tc>
        <w:tc>
          <w:tcPr>
            <w:tcW w:w="382" w:type="dxa"/>
            <w:vMerge w:val="continue"/>
            <w:tcBorders>
              <w:top w:val="single" w:color="000000" w:sz="2" w:space="0"/>
              <w:left w:val="single" w:color="000000" w:sz="2" w:space="0"/>
              <w:bottom w:val="single" w:color="000000" w:sz="2" w:space="0"/>
              <w:right w:val="single" w:color="000000" w:sz="2" w:space="0"/>
            </w:tcBorders>
            <w:vAlign w:val="center"/>
          </w:tcPr>
          <w:p w14:paraId="7FF0CBC7">
            <w:pPr>
              <w:jc w:val="center"/>
              <w:rPr>
                <w:szCs w:val="21"/>
              </w:rPr>
            </w:pPr>
          </w:p>
        </w:tc>
        <w:tc>
          <w:tcPr>
            <w:tcW w:w="610" w:type="dxa"/>
            <w:vMerge w:val="continue"/>
            <w:tcBorders>
              <w:top w:val="single" w:color="000000" w:sz="2" w:space="0"/>
              <w:left w:val="single" w:color="000000" w:sz="2" w:space="0"/>
              <w:bottom w:val="single" w:color="000000" w:sz="2" w:space="0"/>
              <w:right w:val="single" w:color="000000" w:sz="2" w:space="0"/>
            </w:tcBorders>
            <w:vAlign w:val="center"/>
          </w:tcPr>
          <w:p w14:paraId="53C68D4C">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03278E21">
            <w:pPr>
              <w:jc w:val="center"/>
              <w:rPr>
                <w:szCs w:val="21"/>
              </w:rPr>
            </w:pPr>
          </w:p>
        </w:tc>
        <w:tc>
          <w:tcPr>
            <w:tcW w:w="1559" w:type="dxa"/>
            <w:tcBorders>
              <w:top w:val="single" w:color="000000" w:sz="2" w:space="0"/>
              <w:left w:val="single" w:color="000000" w:sz="2" w:space="0"/>
              <w:bottom w:val="single" w:color="000000" w:sz="2" w:space="0"/>
              <w:right w:val="single" w:color="000000" w:sz="2" w:space="0"/>
            </w:tcBorders>
            <w:vAlign w:val="center"/>
          </w:tcPr>
          <w:p w14:paraId="1F844296">
            <w:pPr>
              <w:jc w:val="center"/>
              <w:rPr>
                <w:szCs w:val="21"/>
              </w:rPr>
            </w:pPr>
            <w:r>
              <w:rPr>
                <w:szCs w:val="21"/>
              </w:rPr>
              <w:t>污染物排放管控</w:t>
            </w:r>
          </w:p>
        </w:tc>
        <w:tc>
          <w:tcPr>
            <w:tcW w:w="5528" w:type="dxa"/>
            <w:tcBorders>
              <w:top w:val="single" w:color="000000" w:sz="2" w:space="0"/>
              <w:left w:val="single" w:color="000000" w:sz="2" w:space="0"/>
              <w:bottom w:val="single" w:color="000000" w:sz="2" w:space="0"/>
              <w:right w:val="single" w:color="000000" w:sz="2" w:space="0"/>
            </w:tcBorders>
            <w:vAlign w:val="center"/>
          </w:tcPr>
          <w:p w14:paraId="2FFB299F">
            <w:pPr>
              <w:jc w:val="center"/>
              <w:rPr>
                <w:szCs w:val="21"/>
              </w:rPr>
            </w:pPr>
          </w:p>
        </w:tc>
        <w:tc>
          <w:tcPr>
            <w:tcW w:w="2126" w:type="dxa"/>
            <w:tcBorders>
              <w:top w:val="single" w:color="000000" w:sz="2" w:space="0"/>
              <w:left w:val="single" w:color="000000" w:sz="2" w:space="0"/>
              <w:bottom w:val="single" w:color="000000" w:sz="2" w:space="0"/>
              <w:right w:val="single" w:color="000000" w:sz="2" w:space="0"/>
            </w:tcBorders>
            <w:vAlign w:val="center"/>
          </w:tcPr>
          <w:p w14:paraId="51787AEC">
            <w:pPr>
              <w:jc w:val="center"/>
              <w:rPr>
                <w:szCs w:val="21"/>
              </w:rPr>
            </w:pPr>
          </w:p>
        </w:tc>
        <w:tc>
          <w:tcPr>
            <w:tcW w:w="531" w:type="dxa"/>
            <w:tcBorders>
              <w:top w:val="single" w:color="000000" w:sz="2" w:space="0"/>
              <w:left w:val="single" w:color="000000" w:sz="2" w:space="0"/>
              <w:bottom w:val="single" w:color="000000" w:sz="2" w:space="0"/>
              <w:right w:val="single" w:color="000000" w:sz="2" w:space="0"/>
            </w:tcBorders>
            <w:vAlign w:val="center"/>
          </w:tcPr>
          <w:p w14:paraId="1610987D">
            <w:pPr>
              <w:jc w:val="center"/>
              <w:rPr>
                <w:szCs w:val="21"/>
              </w:rPr>
            </w:pPr>
          </w:p>
        </w:tc>
      </w:tr>
      <w:tr w14:paraId="73DCAE84">
        <w:tblPrEx>
          <w:tblCellMar>
            <w:top w:w="0" w:type="dxa"/>
            <w:left w:w="10" w:type="dxa"/>
            <w:bottom w:w="0" w:type="dxa"/>
            <w:right w:w="10" w:type="dxa"/>
          </w:tblCellMar>
        </w:tblPrEx>
        <w:tc>
          <w:tcPr>
            <w:tcW w:w="848" w:type="dxa"/>
            <w:vMerge w:val="continue"/>
            <w:tcBorders>
              <w:top w:val="single" w:color="000000" w:sz="2" w:space="0"/>
              <w:left w:val="single" w:color="000000" w:sz="2" w:space="0"/>
              <w:bottom w:val="single" w:color="000000" w:sz="2" w:space="0"/>
              <w:right w:val="single" w:color="000000" w:sz="2" w:space="0"/>
            </w:tcBorders>
            <w:vAlign w:val="center"/>
          </w:tcPr>
          <w:p w14:paraId="1ACB6889">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08761BD3">
            <w:pPr>
              <w:jc w:val="center"/>
              <w:rPr>
                <w:szCs w:val="21"/>
              </w:rPr>
            </w:pPr>
          </w:p>
        </w:tc>
        <w:tc>
          <w:tcPr>
            <w:tcW w:w="567" w:type="dxa"/>
            <w:vMerge w:val="continue"/>
            <w:tcBorders>
              <w:top w:val="single" w:color="000000" w:sz="2" w:space="0"/>
              <w:left w:val="single" w:color="000000" w:sz="2" w:space="0"/>
              <w:bottom w:val="single" w:color="000000" w:sz="2" w:space="0"/>
              <w:right w:val="single" w:color="000000" w:sz="2" w:space="0"/>
            </w:tcBorders>
            <w:vAlign w:val="center"/>
          </w:tcPr>
          <w:p w14:paraId="36162F24">
            <w:pPr>
              <w:jc w:val="center"/>
              <w:rPr>
                <w:szCs w:val="21"/>
              </w:rPr>
            </w:pPr>
          </w:p>
        </w:tc>
        <w:tc>
          <w:tcPr>
            <w:tcW w:w="382" w:type="dxa"/>
            <w:vMerge w:val="continue"/>
            <w:tcBorders>
              <w:top w:val="single" w:color="000000" w:sz="2" w:space="0"/>
              <w:left w:val="single" w:color="000000" w:sz="2" w:space="0"/>
              <w:bottom w:val="single" w:color="000000" w:sz="2" w:space="0"/>
              <w:right w:val="single" w:color="000000" w:sz="2" w:space="0"/>
            </w:tcBorders>
            <w:vAlign w:val="center"/>
          </w:tcPr>
          <w:p w14:paraId="0C1B487B">
            <w:pPr>
              <w:jc w:val="center"/>
              <w:rPr>
                <w:szCs w:val="21"/>
              </w:rPr>
            </w:pPr>
          </w:p>
        </w:tc>
        <w:tc>
          <w:tcPr>
            <w:tcW w:w="610" w:type="dxa"/>
            <w:vMerge w:val="continue"/>
            <w:tcBorders>
              <w:top w:val="single" w:color="000000" w:sz="2" w:space="0"/>
              <w:left w:val="single" w:color="000000" w:sz="2" w:space="0"/>
              <w:bottom w:val="single" w:color="000000" w:sz="2" w:space="0"/>
              <w:right w:val="single" w:color="000000" w:sz="2" w:space="0"/>
            </w:tcBorders>
            <w:vAlign w:val="center"/>
          </w:tcPr>
          <w:p w14:paraId="0DB84657">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716F3F29">
            <w:pPr>
              <w:jc w:val="center"/>
              <w:rPr>
                <w:szCs w:val="21"/>
              </w:rPr>
            </w:pPr>
          </w:p>
        </w:tc>
        <w:tc>
          <w:tcPr>
            <w:tcW w:w="1559" w:type="dxa"/>
            <w:tcBorders>
              <w:top w:val="single" w:color="000000" w:sz="2" w:space="0"/>
              <w:left w:val="single" w:color="000000" w:sz="2" w:space="0"/>
              <w:bottom w:val="single" w:color="000000" w:sz="2" w:space="0"/>
              <w:right w:val="single" w:color="000000" w:sz="2" w:space="0"/>
            </w:tcBorders>
            <w:vAlign w:val="center"/>
          </w:tcPr>
          <w:p w14:paraId="53D6F3A4">
            <w:pPr>
              <w:jc w:val="center"/>
              <w:rPr>
                <w:szCs w:val="21"/>
              </w:rPr>
            </w:pPr>
            <w:r>
              <w:rPr>
                <w:szCs w:val="21"/>
              </w:rPr>
              <w:t>环境风险防控</w:t>
            </w:r>
          </w:p>
        </w:tc>
        <w:tc>
          <w:tcPr>
            <w:tcW w:w="5528" w:type="dxa"/>
            <w:tcBorders>
              <w:top w:val="single" w:color="000000" w:sz="2" w:space="0"/>
              <w:left w:val="single" w:color="000000" w:sz="2" w:space="0"/>
              <w:bottom w:val="single" w:color="000000" w:sz="2" w:space="0"/>
              <w:right w:val="single" w:color="000000" w:sz="2" w:space="0"/>
            </w:tcBorders>
            <w:vAlign w:val="center"/>
          </w:tcPr>
          <w:p w14:paraId="784DBC35">
            <w:pPr>
              <w:jc w:val="center"/>
              <w:rPr>
                <w:szCs w:val="21"/>
              </w:rPr>
            </w:pPr>
          </w:p>
        </w:tc>
        <w:tc>
          <w:tcPr>
            <w:tcW w:w="2126" w:type="dxa"/>
            <w:tcBorders>
              <w:top w:val="single" w:color="000000" w:sz="2" w:space="0"/>
              <w:left w:val="single" w:color="000000" w:sz="2" w:space="0"/>
              <w:bottom w:val="single" w:color="000000" w:sz="2" w:space="0"/>
              <w:right w:val="single" w:color="000000" w:sz="2" w:space="0"/>
            </w:tcBorders>
            <w:vAlign w:val="center"/>
          </w:tcPr>
          <w:p w14:paraId="593A3118">
            <w:pPr>
              <w:jc w:val="center"/>
              <w:rPr>
                <w:szCs w:val="21"/>
              </w:rPr>
            </w:pPr>
          </w:p>
        </w:tc>
        <w:tc>
          <w:tcPr>
            <w:tcW w:w="531" w:type="dxa"/>
            <w:tcBorders>
              <w:top w:val="single" w:color="000000" w:sz="2" w:space="0"/>
              <w:left w:val="single" w:color="000000" w:sz="2" w:space="0"/>
              <w:bottom w:val="single" w:color="000000" w:sz="2" w:space="0"/>
              <w:right w:val="single" w:color="000000" w:sz="2" w:space="0"/>
            </w:tcBorders>
            <w:vAlign w:val="center"/>
          </w:tcPr>
          <w:p w14:paraId="287A38AB">
            <w:pPr>
              <w:jc w:val="center"/>
              <w:rPr>
                <w:szCs w:val="21"/>
              </w:rPr>
            </w:pPr>
          </w:p>
        </w:tc>
      </w:tr>
      <w:tr w14:paraId="7CBE411B">
        <w:tblPrEx>
          <w:tblCellMar>
            <w:top w:w="0" w:type="dxa"/>
            <w:left w:w="10" w:type="dxa"/>
            <w:bottom w:w="0" w:type="dxa"/>
            <w:right w:w="10" w:type="dxa"/>
          </w:tblCellMar>
        </w:tblPrEx>
        <w:tc>
          <w:tcPr>
            <w:tcW w:w="848" w:type="dxa"/>
            <w:vMerge w:val="continue"/>
            <w:tcBorders>
              <w:top w:val="single" w:color="000000" w:sz="2" w:space="0"/>
              <w:left w:val="single" w:color="000000" w:sz="2" w:space="0"/>
              <w:bottom w:val="single" w:color="000000" w:sz="2" w:space="0"/>
              <w:right w:val="single" w:color="000000" w:sz="2" w:space="0"/>
            </w:tcBorders>
            <w:vAlign w:val="center"/>
          </w:tcPr>
          <w:p w14:paraId="741FF935">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09A85ED1">
            <w:pPr>
              <w:jc w:val="center"/>
              <w:rPr>
                <w:szCs w:val="21"/>
              </w:rPr>
            </w:pPr>
          </w:p>
        </w:tc>
        <w:tc>
          <w:tcPr>
            <w:tcW w:w="567" w:type="dxa"/>
            <w:vMerge w:val="continue"/>
            <w:tcBorders>
              <w:top w:val="single" w:color="000000" w:sz="2" w:space="0"/>
              <w:left w:val="single" w:color="000000" w:sz="2" w:space="0"/>
              <w:bottom w:val="single" w:color="000000" w:sz="2" w:space="0"/>
              <w:right w:val="single" w:color="000000" w:sz="2" w:space="0"/>
            </w:tcBorders>
            <w:vAlign w:val="center"/>
          </w:tcPr>
          <w:p w14:paraId="1B4A3572">
            <w:pPr>
              <w:jc w:val="center"/>
              <w:rPr>
                <w:szCs w:val="21"/>
              </w:rPr>
            </w:pPr>
          </w:p>
        </w:tc>
        <w:tc>
          <w:tcPr>
            <w:tcW w:w="382" w:type="dxa"/>
            <w:vMerge w:val="continue"/>
            <w:tcBorders>
              <w:top w:val="single" w:color="000000" w:sz="2" w:space="0"/>
              <w:left w:val="single" w:color="000000" w:sz="2" w:space="0"/>
              <w:bottom w:val="single" w:color="000000" w:sz="2" w:space="0"/>
              <w:right w:val="single" w:color="000000" w:sz="2" w:space="0"/>
            </w:tcBorders>
            <w:vAlign w:val="center"/>
          </w:tcPr>
          <w:p w14:paraId="08F10EC4">
            <w:pPr>
              <w:jc w:val="center"/>
              <w:rPr>
                <w:szCs w:val="21"/>
              </w:rPr>
            </w:pPr>
          </w:p>
        </w:tc>
        <w:tc>
          <w:tcPr>
            <w:tcW w:w="610" w:type="dxa"/>
            <w:vMerge w:val="continue"/>
            <w:tcBorders>
              <w:top w:val="single" w:color="000000" w:sz="2" w:space="0"/>
              <w:left w:val="single" w:color="000000" w:sz="2" w:space="0"/>
              <w:bottom w:val="single" w:color="000000" w:sz="2" w:space="0"/>
              <w:right w:val="single" w:color="000000" w:sz="2" w:space="0"/>
            </w:tcBorders>
            <w:vAlign w:val="center"/>
          </w:tcPr>
          <w:p w14:paraId="22D01919">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245F87C9">
            <w:pPr>
              <w:jc w:val="center"/>
              <w:rPr>
                <w:szCs w:val="21"/>
              </w:rPr>
            </w:pPr>
          </w:p>
        </w:tc>
        <w:tc>
          <w:tcPr>
            <w:tcW w:w="1559" w:type="dxa"/>
            <w:tcBorders>
              <w:top w:val="single" w:color="000000" w:sz="2" w:space="0"/>
              <w:left w:val="single" w:color="000000" w:sz="2" w:space="0"/>
              <w:bottom w:val="single" w:color="000000" w:sz="2" w:space="0"/>
              <w:right w:val="single" w:color="000000" w:sz="2" w:space="0"/>
            </w:tcBorders>
            <w:vAlign w:val="center"/>
          </w:tcPr>
          <w:p w14:paraId="7FE8EA3B">
            <w:pPr>
              <w:jc w:val="center"/>
              <w:rPr>
                <w:szCs w:val="21"/>
              </w:rPr>
            </w:pPr>
            <w:r>
              <w:rPr>
                <w:szCs w:val="21"/>
              </w:rPr>
              <w:t>资源开发利用效率要求</w:t>
            </w:r>
          </w:p>
        </w:tc>
        <w:tc>
          <w:tcPr>
            <w:tcW w:w="5528" w:type="dxa"/>
            <w:tcBorders>
              <w:top w:val="single" w:color="000000" w:sz="2" w:space="0"/>
              <w:left w:val="single" w:color="000000" w:sz="2" w:space="0"/>
              <w:bottom w:val="single" w:color="000000" w:sz="2" w:space="0"/>
              <w:right w:val="single" w:color="000000" w:sz="2" w:space="0"/>
            </w:tcBorders>
            <w:vAlign w:val="center"/>
          </w:tcPr>
          <w:p w14:paraId="256ECCD3">
            <w:pPr>
              <w:jc w:val="center"/>
              <w:rPr>
                <w:szCs w:val="21"/>
              </w:rPr>
            </w:pPr>
          </w:p>
        </w:tc>
        <w:tc>
          <w:tcPr>
            <w:tcW w:w="2126" w:type="dxa"/>
            <w:tcBorders>
              <w:top w:val="single" w:color="000000" w:sz="2" w:space="0"/>
              <w:left w:val="single" w:color="000000" w:sz="2" w:space="0"/>
              <w:bottom w:val="single" w:color="000000" w:sz="2" w:space="0"/>
              <w:right w:val="single" w:color="000000" w:sz="2" w:space="0"/>
            </w:tcBorders>
            <w:vAlign w:val="center"/>
          </w:tcPr>
          <w:p w14:paraId="26B48A01">
            <w:pPr>
              <w:jc w:val="center"/>
              <w:rPr>
                <w:szCs w:val="21"/>
              </w:rPr>
            </w:pPr>
          </w:p>
        </w:tc>
        <w:tc>
          <w:tcPr>
            <w:tcW w:w="531" w:type="dxa"/>
            <w:tcBorders>
              <w:top w:val="single" w:color="000000" w:sz="2" w:space="0"/>
              <w:left w:val="single" w:color="000000" w:sz="2" w:space="0"/>
              <w:bottom w:val="single" w:color="000000" w:sz="2" w:space="0"/>
              <w:right w:val="single" w:color="000000" w:sz="2" w:space="0"/>
            </w:tcBorders>
            <w:vAlign w:val="center"/>
          </w:tcPr>
          <w:p w14:paraId="771F098C">
            <w:pPr>
              <w:jc w:val="center"/>
              <w:rPr>
                <w:szCs w:val="21"/>
              </w:rPr>
            </w:pPr>
          </w:p>
        </w:tc>
      </w:tr>
      <w:tr w14:paraId="741CA6DB">
        <w:tblPrEx>
          <w:tblCellMar>
            <w:top w:w="0" w:type="dxa"/>
            <w:left w:w="10" w:type="dxa"/>
            <w:bottom w:w="0" w:type="dxa"/>
            <w:right w:w="10" w:type="dxa"/>
          </w:tblCellMar>
        </w:tblPrEx>
        <w:tc>
          <w:tcPr>
            <w:tcW w:w="848" w:type="dxa"/>
            <w:vMerge w:val="restart"/>
            <w:tcBorders>
              <w:top w:val="single" w:color="000000" w:sz="2" w:space="0"/>
              <w:left w:val="single" w:color="000000" w:sz="2" w:space="0"/>
              <w:bottom w:val="single" w:color="000000" w:sz="2" w:space="0"/>
              <w:right w:val="single" w:color="000000" w:sz="2" w:space="0"/>
            </w:tcBorders>
            <w:vAlign w:val="center"/>
          </w:tcPr>
          <w:p w14:paraId="29D4B5C0">
            <w:pPr>
              <w:jc w:val="center"/>
              <w:rPr>
                <w:szCs w:val="21"/>
              </w:rPr>
            </w:pPr>
            <w:r>
              <w:rPr>
                <w:szCs w:val="21"/>
              </w:rPr>
              <w:t>YS5119033210001</w:t>
            </w: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14:paraId="604D53D9">
            <w:pPr>
              <w:jc w:val="center"/>
              <w:rPr>
                <w:szCs w:val="21"/>
              </w:rPr>
            </w:pPr>
            <w:r>
              <w:rPr>
                <w:szCs w:val="21"/>
              </w:rPr>
              <w:t>恩阳河-恩阳区-小元村-控制单元</w:t>
            </w:r>
          </w:p>
        </w:tc>
        <w:tc>
          <w:tcPr>
            <w:tcW w:w="567" w:type="dxa"/>
            <w:vMerge w:val="restart"/>
            <w:tcBorders>
              <w:top w:val="single" w:color="000000" w:sz="2" w:space="0"/>
              <w:left w:val="single" w:color="000000" w:sz="2" w:space="0"/>
              <w:bottom w:val="single" w:color="000000" w:sz="2" w:space="0"/>
              <w:right w:val="single" w:color="000000" w:sz="2" w:space="0"/>
            </w:tcBorders>
            <w:vAlign w:val="center"/>
          </w:tcPr>
          <w:p w14:paraId="1196A884">
            <w:pPr>
              <w:jc w:val="center"/>
              <w:rPr>
                <w:szCs w:val="21"/>
              </w:rPr>
            </w:pPr>
            <w:r>
              <w:rPr>
                <w:szCs w:val="21"/>
              </w:rPr>
              <w:t>一般管控区</w:t>
            </w:r>
          </w:p>
        </w:tc>
        <w:tc>
          <w:tcPr>
            <w:tcW w:w="382" w:type="dxa"/>
            <w:vMerge w:val="restart"/>
            <w:tcBorders>
              <w:top w:val="single" w:color="000000" w:sz="2" w:space="0"/>
              <w:left w:val="single" w:color="000000" w:sz="2" w:space="0"/>
              <w:bottom w:val="single" w:color="000000" w:sz="2" w:space="0"/>
              <w:right w:val="single" w:color="000000" w:sz="2" w:space="0"/>
            </w:tcBorders>
            <w:vAlign w:val="center"/>
          </w:tcPr>
          <w:p w14:paraId="5BCB8D05">
            <w:pPr>
              <w:jc w:val="center"/>
              <w:rPr>
                <w:szCs w:val="21"/>
              </w:rPr>
            </w:pPr>
            <w:r>
              <w:rPr>
                <w:szCs w:val="21"/>
              </w:rPr>
              <w:t>水</w:t>
            </w:r>
          </w:p>
        </w:tc>
        <w:tc>
          <w:tcPr>
            <w:tcW w:w="610" w:type="dxa"/>
            <w:vMerge w:val="restart"/>
            <w:tcBorders>
              <w:top w:val="single" w:color="000000" w:sz="2" w:space="0"/>
              <w:left w:val="single" w:color="000000" w:sz="2" w:space="0"/>
              <w:bottom w:val="single" w:color="000000" w:sz="2" w:space="0"/>
              <w:right w:val="single" w:color="000000" w:sz="2" w:space="0"/>
            </w:tcBorders>
            <w:vAlign w:val="center"/>
          </w:tcPr>
          <w:p w14:paraId="2AEDD415">
            <w:pPr>
              <w:jc w:val="center"/>
              <w:rPr>
                <w:szCs w:val="21"/>
              </w:rPr>
            </w:pPr>
            <w:r>
              <w:rPr>
                <w:szCs w:val="21"/>
              </w:rPr>
              <w:t>水环境一般管控区</w:t>
            </w:r>
          </w:p>
        </w:tc>
        <w:tc>
          <w:tcPr>
            <w:tcW w:w="709" w:type="dxa"/>
            <w:vMerge w:val="restart"/>
            <w:tcBorders>
              <w:top w:val="single" w:color="000000" w:sz="2" w:space="0"/>
              <w:left w:val="single" w:color="000000" w:sz="2" w:space="0"/>
              <w:bottom w:val="single" w:color="000000" w:sz="2" w:space="0"/>
              <w:right w:val="single" w:color="000000" w:sz="2" w:space="0"/>
            </w:tcBorders>
            <w:vAlign w:val="center"/>
          </w:tcPr>
          <w:p w14:paraId="00EDE640">
            <w:pPr>
              <w:jc w:val="center"/>
              <w:rPr>
                <w:szCs w:val="21"/>
              </w:rPr>
            </w:pPr>
            <w:r>
              <w:rPr>
                <w:szCs w:val="21"/>
              </w:rPr>
              <w:t>巴中市恩阳区</w:t>
            </w:r>
          </w:p>
        </w:tc>
        <w:tc>
          <w:tcPr>
            <w:tcW w:w="1559" w:type="dxa"/>
            <w:tcBorders>
              <w:top w:val="single" w:color="000000" w:sz="2" w:space="0"/>
              <w:left w:val="single" w:color="000000" w:sz="2" w:space="0"/>
              <w:bottom w:val="single" w:color="000000" w:sz="2" w:space="0"/>
              <w:right w:val="single" w:color="000000" w:sz="2" w:space="0"/>
            </w:tcBorders>
            <w:vAlign w:val="center"/>
          </w:tcPr>
          <w:p w14:paraId="41A6D6B4">
            <w:pPr>
              <w:jc w:val="center"/>
              <w:rPr>
                <w:szCs w:val="21"/>
              </w:rPr>
            </w:pPr>
            <w:r>
              <w:rPr>
                <w:szCs w:val="21"/>
              </w:rPr>
              <w:t>空间布局约束</w:t>
            </w:r>
          </w:p>
        </w:tc>
        <w:tc>
          <w:tcPr>
            <w:tcW w:w="5528" w:type="dxa"/>
            <w:tcBorders>
              <w:top w:val="single" w:color="000000" w:sz="2" w:space="0"/>
              <w:left w:val="single" w:color="000000" w:sz="2" w:space="0"/>
              <w:bottom w:val="single" w:color="000000" w:sz="2" w:space="0"/>
              <w:right w:val="single" w:color="000000" w:sz="2" w:space="0"/>
            </w:tcBorders>
            <w:vAlign w:val="center"/>
          </w:tcPr>
          <w:p w14:paraId="4929673D">
            <w:pPr>
              <w:jc w:val="left"/>
              <w:rPr>
                <w:sz w:val="18"/>
              </w:rPr>
            </w:pPr>
            <w:r>
              <w:t>【禁止开发建设活动的要求】</w:t>
            </w:r>
          </w:p>
          <w:p w14:paraId="38878CBC">
            <w:pPr>
              <w:rPr>
                <w:szCs w:val="21"/>
              </w:rPr>
            </w:pPr>
            <w:r>
              <w:t>不再新建、改扩建开采规模在50万吨年以下的磷矿，不再新建露天磷矿。</w:t>
            </w:r>
          </w:p>
        </w:tc>
        <w:tc>
          <w:tcPr>
            <w:tcW w:w="2126" w:type="dxa"/>
            <w:tcBorders>
              <w:top w:val="single" w:color="000000" w:sz="2" w:space="0"/>
              <w:left w:val="single" w:color="000000" w:sz="2" w:space="0"/>
              <w:bottom w:val="single" w:color="000000" w:sz="2" w:space="0"/>
              <w:right w:val="single" w:color="000000" w:sz="2" w:space="0"/>
            </w:tcBorders>
            <w:vAlign w:val="center"/>
          </w:tcPr>
          <w:p w14:paraId="432EE954">
            <w:pPr>
              <w:jc w:val="center"/>
              <w:rPr>
                <w:szCs w:val="21"/>
              </w:rPr>
            </w:pPr>
          </w:p>
        </w:tc>
        <w:tc>
          <w:tcPr>
            <w:tcW w:w="531" w:type="dxa"/>
            <w:tcBorders>
              <w:top w:val="single" w:color="000000" w:sz="2" w:space="0"/>
              <w:left w:val="single" w:color="000000" w:sz="2" w:space="0"/>
              <w:bottom w:val="single" w:color="000000" w:sz="2" w:space="0"/>
              <w:right w:val="single" w:color="000000" w:sz="2" w:space="0"/>
            </w:tcBorders>
            <w:vAlign w:val="center"/>
          </w:tcPr>
          <w:p w14:paraId="79BA1DF8">
            <w:pPr>
              <w:jc w:val="center"/>
              <w:rPr>
                <w:szCs w:val="21"/>
              </w:rPr>
            </w:pPr>
            <w:r>
              <w:rPr>
                <w:szCs w:val="21"/>
              </w:rPr>
              <w:t>符合</w:t>
            </w:r>
          </w:p>
        </w:tc>
      </w:tr>
      <w:tr w14:paraId="23F58C27">
        <w:tblPrEx>
          <w:tblCellMar>
            <w:top w:w="0" w:type="dxa"/>
            <w:left w:w="10" w:type="dxa"/>
            <w:bottom w:w="0" w:type="dxa"/>
            <w:right w:w="10" w:type="dxa"/>
          </w:tblCellMar>
        </w:tblPrEx>
        <w:tc>
          <w:tcPr>
            <w:tcW w:w="848" w:type="dxa"/>
            <w:vMerge w:val="continue"/>
            <w:tcBorders>
              <w:top w:val="single" w:color="000000" w:sz="2" w:space="0"/>
              <w:left w:val="single" w:color="000000" w:sz="2" w:space="0"/>
              <w:bottom w:val="single" w:color="000000" w:sz="2" w:space="0"/>
              <w:right w:val="single" w:color="000000" w:sz="2" w:space="0"/>
            </w:tcBorders>
            <w:vAlign w:val="center"/>
          </w:tcPr>
          <w:p w14:paraId="0A3A11D4">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70CAA5A3">
            <w:pPr>
              <w:jc w:val="center"/>
              <w:rPr>
                <w:szCs w:val="21"/>
              </w:rPr>
            </w:pPr>
          </w:p>
        </w:tc>
        <w:tc>
          <w:tcPr>
            <w:tcW w:w="567" w:type="dxa"/>
            <w:vMerge w:val="continue"/>
            <w:tcBorders>
              <w:top w:val="single" w:color="000000" w:sz="2" w:space="0"/>
              <w:left w:val="single" w:color="000000" w:sz="2" w:space="0"/>
              <w:bottom w:val="single" w:color="000000" w:sz="2" w:space="0"/>
              <w:right w:val="single" w:color="000000" w:sz="2" w:space="0"/>
            </w:tcBorders>
            <w:vAlign w:val="center"/>
          </w:tcPr>
          <w:p w14:paraId="29416430">
            <w:pPr>
              <w:jc w:val="center"/>
              <w:rPr>
                <w:szCs w:val="21"/>
              </w:rPr>
            </w:pPr>
          </w:p>
        </w:tc>
        <w:tc>
          <w:tcPr>
            <w:tcW w:w="382" w:type="dxa"/>
            <w:vMerge w:val="continue"/>
            <w:tcBorders>
              <w:top w:val="single" w:color="000000" w:sz="2" w:space="0"/>
              <w:left w:val="single" w:color="000000" w:sz="2" w:space="0"/>
              <w:bottom w:val="single" w:color="000000" w:sz="2" w:space="0"/>
              <w:right w:val="single" w:color="000000" w:sz="2" w:space="0"/>
            </w:tcBorders>
            <w:vAlign w:val="center"/>
          </w:tcPr>
          <w:p w14:paraId="4CAD5696">
            <w:pPr>
              <w:jc w:val="center"/>
              <w:rPr>
                <w:szCs w:val="21"/>
              </w:rPr>
            </w:pPr>
          </w:p>
        </w:tc>
        <w:tc>
          <w:tcPr>
            <w:tcW w:w="610" w:type="dxa"/>
            <w:vMerge w:val="continue"/>
            <w:tcBorders>
              <w:top w:val="single" w:color="000000" w:sz="2" w:space="0"/>
              <w:left w:val="single" w:color="000000" w:sz="2" w:space="0"/>
              <w:bottom w:val="single" w:color="000000" w:sz="2" w:space="0"/>
              <w:right w:val="single" w:color="000000" w:sz="2" w:space="0"/>
            </w:tcBorders>
            <w:vAlign w:val="center"/>
          </w:tcPr>
          <w:p w14:paraId="30DF8778">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0A5CCB4E">
            <w:pPr>
              <w:jc w:val="center"/>
              <w:rPr>
                <w:szCs w:val="21"/>
              </w:rPr>
            </w:pPr>
          </w:p>
        </w:tc>
        <w:tc>
          <w:tcPr>
            <w:tcW w:w="1559" w:type="dxa"/>
            <w:tcBorders>
              <w:top w:val="single" w:color="000000" w:sz="2" w:space="0"/>
              <w:left w:val="single" w:color="000000" w:sz="2" w:space="0"/>
              <w:bottom w:val="single" w:color="000000" w:sz="2" w:space="0"/>
              <w:right w:val="single" w:color="000000" w:sz="2" w:space="0"/>
            </w:tcBorders>
            <w:vAlign w:val="center"/>
          </w:tcPr>
          <w:p w14:paraId="24F03878">
            <w:pPr>
              <w:jc w:val="center"/>
              <w:rPr>
                <w:szCs w:val="21"/>
              </w:rPr>
            </w:pPr>
            <w:r>
              <w:rPr>
                <w:szCs w:val="21"/>
              </w:rPr>
              <w:t>污染物排放管控</w:t>
            </w:r>
          </w:p>
        </w:tc>
        <w:tc>
          <w:tcPr>
            <w:tcW w:w="5528" w:type="dxa"/>
            <w:tcBorders>
              <w:top w:val="single" w:color="000000" w:sz="2" w:space="0"/>
              <w:left w:val="single" w:color="000000" w:sz="2" w:space="0"/>
              <w:bottom w:val="single" w:color="000000" w:sz="2" w:space="0"/>
              <w:right w:val="single" w:color="000000" w:sz="2" w:space="0"/>
            </w:tcBorders>
            <w:vAlign w:val="center"/>
          </w:tcPr>
          <w:p w14:paraId="3686F622">
            <w:pPr>
              <w:jc w:val="left"/>
            </w:pPr>
            <w:r>
              <w:t>【现有源提标升级改造】</w:t>
            </w:r>
          </w:p>
          <w:p w14:paraId="729D3789">
            <w:pPr>
              <w:jc w:val="left"/>
            </w:pPr>
            <w:r>
              <w:t>1、持续推进环保基础设施补短板，完善污水收集处理系统。2、保障乡镇污水收集处理设施顺畅运行。3、推进污水直排口排查与整治，落实“一口一策”整改措施。</w:t>
            </w:r>
          </w:p>
          <w:p w14:paraId="14688406">
            <w:pPr>
              <w:jc w:val="left"/>
            </w:pPr>
            <w:r>
              <w:t>【新增源等量或倍量替代】</w:t>
            </w:r>
          </w:p>
          <w:p w14:paraId="089D9A66">
            <w:pPr>
              <w:jc w:val="left"/>
            </w:pPr>
            <w:r>
              <w:t>1、落实主要污染物排放总量指标控制要求，加强入河排污口登记、审批和监督管理。2、强化流域内工业点源、规模化畜禽养殖场运行监管，避免偷排、漏排。</w:t>
            </w:r>
          </w:p>
          <w:p w14:paraId="2138E1B8">
            <w:pPr>
              <w:jc w:val="left"/>
            </w:pPr>
            <w:r>
              <w:t>【新增源排放标准限值】</w:t>
            </w:r>
          </w:p>
          <w:p w14:paraId="2EB311DC">
            <w:pPr>
              <w:rPr>
                <w:szCs w:val="21"/>
              </w:rPr>
            </w:pPr>
            <w:r>
              <w:t>1、推进农村污染治理，稳步农村污水处理设施建设，适当预留发展空间，宜集中则集中，宜分散则分散。大力推进农村生活垃圾就地分类减量 和资源化利用，因地制宜选择农村生活垃圾治理模式。严格做好“农家乐”、种植采摘园等范围内的生活及农产品产生污水及垃圾治理。2、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3、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4、推进化肥、农药使用量“零增长”，逐步推进农田径流拦截及治理。</w:t>
            </w:r>
          </w:p>
        </w:tc>
        <w:tc>
          <w:tcPr>
            <w:tcW w:w="2126" w:type="dxa"/>
            <w:tcBorders>
              <w:top w:val="single" w:color="000000" w:sz="2" w:space="0"/>
              <w:left w:val="single" w:color="000000" w:sz="2" w:space="0"/>
              <w:bottom w:val="single" w:color="000000" w:sz="2" w:space="0"/>
              <w:right w:val="single" w:color="000000" w:sz="2" w:space="0"/>
            </w:tcBorders>
            <w:vAlign w:val="center"/>
          </w:tcPr>
          <w:p w14:paraId="26C0FC97">
            <w:pPr>
              <w:rPr>
                <w:szCs w:val="21"/>
              </w:rPr>
            </w:pPr>
            <w:r>
              <w:rPr>
                <w:szCs w:val="21"/>
              </w:rPr>
              <w:t>本项目不涉及总量控制指标，不涉及农村污染治理、畜禽养殖等项目。</w:t>
            </w:r>
          </w:p>
        </w:tc>
        <w:tc>
          <w:tcPr>
            <w:tcW w:w="531" w:type="dxa"/>
            <w:tcBorders>
              <w:top w:val="single" w:color="000000" w:sz="2" w:space="0"/>
              <w:left w:val="single" w:color="000000" w:sz="2" w:space="0"/>
              <w:bottom w:val="single" w:color="000000" w:sz="2" w:space="0"/>
              <w:right w:val="single" w:color="000000" w:sz="2" w:space="0"/>
            </w:tcBorders>
            <w:vAlign w:val="center"/>
          </w:tcPr>
          <w:p w14:paraId="54A6F443">
            <w:pPr>
              <w:jc w:val="center"/>
              <w:rPr>
                <w:szCs w:val="21"/>
              </w:rPr>
            </w:pPr>
            <w:r>
              <w:rPr>
                <w:szCs w:val="21"/>
              </w:rPr>
              <w:t>符合</w:t>
            </w:r>
          </w:p>
        </w:tc>
      </w:tr>
      <w:tr w14:paraId="506B21D0">
        <w:tblPrEx>
          <w:tblCellMar>
            <w:top w:w="0" w:type="dxa"/>
            <w:left w:w="10" w:type="dxa"/>
            <w:bottom w:w="0" w:type="dxa"/>
            <w:right w:w="10" w:type="dxa"/>
          </w:tblCellMar>
        </w:tblPrEx>
        <w:tc>
          <w:tcPr>
            <w:tcW w:w="848" w:type="dxa"/>
            <w:vMerge w:val="continue"/>
            <w:tcBorders>
              <w:top w:val="single" w:color="000000" w:sz="2" w:space="0"/>
              <w:left w:val="single" w:color="000000" w:sz="2" w:space="0"/>
              <w:bottom w:val="single" w:color="000000" w:sz="2" w:space="0"/>
              <w:right w:val="single" w:color="000000" w:sz="2" w:space="0"/>
            </w:tcBorders>
            <w:vAlign w:val="center"/>
          </w:tcPr>
          <w:p w14:paraId="1E0E7788">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2C0C5B33">
            <w:pPr>
              <w:jc w:val="center"/>
              <w:rPr>
                <w:szCs w:val="21"/>
              </w:rPr>
            </w:pPr>
          </w:p>
        </w:tc>
        <w:tc>
          <w:tcPr>
            <w:tcW w:w="567" w:type="dxa"/>
            <w:vMerge w:val="continue"/>
            <w:tcBorders>
              <w:top w:val="single" w:color="000000" w:sz="2" w:space="0"/>
              <w:left w:val="single" w:color="000000" w:sz="2" w:space="0"/>
              <w:bottom w:val="single" w:color="000000" w:sz="2" w:space="0"/>
              <w:right w:val="single" w:color="000000" w:sz="2" w:space="0"/>
            </w:tcBorders>
            <w:vAlign w:val="center"/>
          </w:tcPr>
          <w:p w14:paraId="71136F3E">
            <w:pPr>
              <w:jc w:val="center"/>
              <w:rPr>
                <w:szCs w:val="21"/>
              </w:rPr>
            </w:pPr>
          </w:p>
        </w:tc>
        <w:tc>
          <w:tcPr>
            <w:tcW w:w="382" w:type="dxa"/>
            <w:vMerge w:val="continue"/>
            <w:tcBorders>
              <w:top w:val="single" w:color="000000" w:sz="2" w:space="0"/>
              <w:left w:val="single" w:color="000000" w:sz="2" w:space="0"/>
              <w:bottom w:val="single" w:color="000000" w:sz="2" w:space="0"/>
              <w:right w:val="single" w:color="000000" w:sz="2" w:space="0"/>
            </w:tcBorders>
            <w:vAlign w:val="center"/>
          </w:tcPr>
          <w:p w14:paraId="119F94D0">
            <w:pPr>
              <w:jc w:val="center"/>
              <w:rPr>
                <w:szCs w:val="21"/>
              </w:rPr>
            </w:pPr>
          </w:p>
        </w:tc>
        <w:tc>
          <w:tcPr>
            <w:tcW w:w="610" w:type="dxa"/>
            <w:vMerge w:val="continue"/>
            <w:tcBorders>
              <w:top w:val="single" w:color="000000" w:sz="2" w:space="0"/>
              <w:left w:val="single" w:color="000000" w:sz="2" w:space="0"/>
              <w:bottom w:val="single" w:color="000000" w:sz="2" w:space="0"/>
              <w:right w:val="single" w:color="000000" w:sz="2" w:space="0"/>
            </w:tcBorders>
            <w:vAlign w:val="center"/>
          </w:tcPr>
          <w:p w14:paraId="321CA9A2">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10A47CED">
            <w:pPr>
              <w:jc w:val="center"/>
              <w:rPr>
                <w:szCs w:val="21"/>
              </w:rPr>
            </w:pPr>
          </w:p>
        </w:tc>
        <w:tc>
          <w:tcPr>
            <w:tcW w:w="1559" w:type="dxa"/>
            <w:tcBorders>
              <w:top w:val="single" w:color="000000" w:sz="2" w:space="0"/>
              <w:left w:val="single" w:color="000000" w:sz="2" w:space="0"/>
              <w:bottom w:val="single" w:color="000000" w:sz="2" w:space="0"/>
              <w:right w:val="single" w:color="000000" w:sz="2" w:space="0"/>
            </w:tcBorders>
            <w:vAlign w:val="center"/>
          </w:tcPr>
          <w:p w14:paraId="1159581B">
            <w:pPr>
              <w:jc w:val="center"/>
              <w:rPr>
                <w:szCs w:val="21"/>
              </w:rPr>
            </w:pPr>
            <w:r>
              <w:rPr>
                <w:szCs w:val="21"/>
              </w:rPr>
              <w:t>环境风险防控</w:t>
            </w:r>
          </w:p>
        </w:tc>
        <w:tc>
          <w:tcPr>
            <w:tcW w:w="5528" w:type="dxa"/>
            <w:tcBorders>
              <w:top w:val="single" w:color="000000" w:sz="2" w:space="0"/>
              <w:left w:val="single" w:color="000000" w:sz="2" w:space="0"/>
              <w:bottom w:val="single" w:color="000000" w:sz="2" w:space="0"/>
              <w:right w:val="single" w:color="000000" w:sz="2" w:space="0"/>
            </w:tcBorders>
            <w:vAlign w:val="center"/>
          </w:tcPr>
          <w:p w14:paraId="3547760F">
            <w:pPr>
              <w:jc w:val="left"/>
            </w:pPr>
            <w:r>
              <w:t>【安全利用类农用地管控要求】</w:t>
            </w:r>
          </w:p>
          <w:p w14:paraId="2B95CCA4">
            <w:pPr>
              <w:jc w:val="center"/>
              <w:rPr>
                <w:szCs w:val="21"/>
              </w:rPr>
            </w:pPr>
            <w:r>
              <w:t>强化种植业节水；推进农村污水分质资源化利用。</w:t>
            </w:r>
          </w:p>
        </w:tc>
        <w:tc>
          <w:tcPr>
            <w:tcW w:w="2126" w:type="dxa"/>
            <w:tcBorders>
              <w:top w:val="single" w:color="000000" w:sz="2" w:space="0"/>
              <w:left w:val="single" w:color="000000" w:sz="2" w:space="0"/>
              <w:bottom w:val="single" w:color="000000" w:sz="2" w:space="0"/>
              <w:right w:val="single" w:color="000000" w:sz="2" w:space="0"/>
            </w:tcBorders>
            <w:vAlign w:val="center"/>
          </w:tcPr>
          <w:p w14:paraId="2CD87856">
            <w:pPr>
              <w:jc w:val="center"/>
              <w:rPr>
                <w:szCs w:val="21"/>
              </w:rPr>
            </w:pPr>
            <w:r>
              <w:rPr>
                <w:szCs w:val="21"/>
              </w:rPr>
              <w:t>不涉及安全利用类农用地</w:t>
            </w:r>
          </w:p>
        </w:tc>
        <w:tc>
          <w:tcPr>
            <w:tcW w:w="531" w:type="dxa"/>
            <w:tcBorders>
              <w:top w:val="single" w:color="000000" w:sz="2" w:space="0"/>
              <w:left w:val="single" w:color="000000" w:sz="2" w:space="0"/>
              <w:bottom w:val="single" w:color="000000" w:sz="2" w:space="0"/>
              <w:right w:val="single" w:color="000000" w:sz="2" w:space="0"/>
            </w:tcBorders>
            <w:vAlign w:val="center"/>
          </w:tcPr>
          <w:p w14:paraId="078D3D08">
            <w:pPr>
              <w:jc w:val="center"/>
              <w:rPr>
                <w:szCs w:val="21"/>
              </w:rPr>
            </w:pPr>
            <w:r>
              <w:rPr>
                <w:szCs w:val="21"/>
              </w:rPr>
              <w:t>符合</w:t>
            </w:r>
          </w:p>
        </w:tc>
      </w:tr>
      <w:tr w14:paraId="32D44A5F">
        <w:tblPrEx>
          <w:tblCellMar>
            <w:top w:w="0" w:type="dxa"/>
            <w:left w:w="10" w:type="dxa"/>
            <w:bottom w:w="0" w:type="dxa"/>
            <w:right w:w="10" w:type="dxa"/>
          </w:tblCellMar>
        </w:tblPrEx>
        <w:tc>
          <w:tcPr>
            <w:tcW w:w="848" w:type="dxa"/>
            <w:vMerge w:val="continue"/>
            <w:tcBorders>
              <w:top w:val="single" w:color="000000" w:sz="2" w:space="0"/>
              <w:left w:val="single" w:color="000000" w:sz="2" w:space="0"/>
              <w:bottom w:val="single" w:color="000000" w:sz="2" w:space="0"/>
              <w:right w:val="single" w:color="000000" w:sz="2" w:space="0"/>
            </w:tcBorders>
            <w:vAlign w:val="center"/>
          </w:tcPr>
          <w:p w14:paraId="38FD1476">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6006BBEC">
            <w:pPr>
              <w:jc w:val="center"/>
              <w:rPr>
                <w:szCs w:val="21"/>
              </w:rPr>
            </w:pPr>
          </w:p>
        </w:tc>
        <w:tc>
          <w:tcPr>
            <w:tcW w:w="567" w:type="dxa"/>
            <w:vMerge w:val="continue"/>
            <w:tcBorders>
              <w:top w:val="single" w:color="000000" w:sz="2" w:space="0"/>
              <w:left w:val="single" w:color="000000" w:sz="2" w:space="0"/>
              <w:bottom w:val="single" w:color="000000" w:sz="2" w:space="0"/>
              <w:right w:val="single" w:color="000000" w:sz="2" w:space="0"/>
            </w:tcBorders>
            <w:vAlign w:val="center"/>
          </w:tcPr>
          <w:p w14:paraId="7D642A64">
            <w:pPr>
              <w:jc w:val="center"/>
              <w:rPr>
                <w:szCs w:val="21"/>
              </w:rPr>
            </w:pPr>
          </w:p>
        </w:tc>
        <w:tc>
          <w:tcPr>
            <w:tcW w:w="382" w:type="dxa"/>
            <w:vMerge w:val="continue"/>
            <w:tcBorders>
              <w:top w:val="single" w:color="000000" w:sz="2" w:space="0"/>
              <w:left w:val="single" w:color="000000" w:sz="2" w:space="0"/>
              <w:bottom w:val="single" w:color="000000" w:sz="2" w:space="0"/>
              <w:right w:val="single" w:color="000000" w:sz="2" w:space="0"/>
            </w:tcBorders>
            <w:vAlign w:val="center"/>
          </w:tcPr>
          <w:p w14:paraId="06BB407B">
            <w:pPr>
              <w:jc w:val="center"/>
              <w:rPr>
                <w:szCs w:val="21"/>
              </w:rPr>
            </w:pPr>
          </w:p>
        </w:tc>
        <w:tc>
          <w:tcPr>
            <w:tcW w:w="610" w:type="dxa"/>
            <w:vMerge w:val="continue"/>
            <w:tcBorders>
              <w:top w:val="single" w:color="000000" w:sz="2" w:space="0"/>
              <w:left w:val="single" w:color="000000" w:sz="2" w:space="0"/>
              <w:bottom w:val="single" w:color="000000" w:sz="2" w:space="0"/>
              <w:right w:val="single" w:color="000000" w:sz="2" w:space="0"/>
            </w:tcBorders>
            <w:vAlign w:val="center"/>
          </w:tcPr>
          <w:p w14:paraId="58A575CA">
            <w:pPr>
              <w:jc w:val="center"/>
              <w:rPr>
                <w:szCs w:val="21"/>
              </w:rPr>
            </w:pPr>
          </w:p>
        </w:tc>
        <w:tc>
          <w:tcPr>
            <w:tcW w:w="709" w:type="dxa"/>
            <w:vMerge w:val="continue"/>
            <w:tcBorders>
              <w:top w:val="single" w:color="000000" w:sz="2" w:space="0"/>
              <w:left w:val="single" w:color="000000" w:sz="2" w:space="0"/>
              <w:bottom w:val="single" w:color="000000" w:sz="2" w:space="0"/>
              <w:right w:val="single" w:color="000000" w:sz="2" w:space="0"/>
            </w:tcBorders>
            <w:vAlign w:val="center"/>
          </w:tcPr>
          <w:p w14:paraId="5EA4AEAE">
            <w:pPr>
              <w:jc w:val="center"/>
              <w:rPr>
                <w:szCs w:val="21"/>
              </w:rPr>
            </w:pPr>
          </w:p>
        </w:tc>
        <w:tc>
          <w:tcPr>
            <w:tcW w:w="1559" w:type="dxa"/>
            <w:tcBorders>
              <w:top w:val="single" w:color="000000" w:sz="2" w:space="0"/>
              <w:left w:val="single" w:color="000000" w:sz="2" w:space="0"/>
              <w:bottom w:val="single" w:color="000000" w:sz="2" w:space="0"/>
              <w:right w:val="single" w:color="000000" w:sz="2" w:space="0"/>
            </w:tcBorders>
            <w:vAlign w:val="center"/>
          </w:tcPr>
          <w:p w14:paraId="6ECE436B">
            <w:pPr>
              <w:jc w:val="center"/>
              <w:rPr>
                <w:szCs w:val="21"/>
              </w:rPr>
            </w:pPr>
            <w:r>
              <w:rPr>
                <w:szCs w:val="21"/>
              </w:rPr>
              <w:t>资源开发利用效率要求</w:t>
            </w:r>
          </w:p>
        </w:tc>
        <w:tc>
          <w:tcPr>
            <w:tcW w:w="5528" w:type="dxa"/>
            <w:tcBorders>
              <w:top w:val="single" w:color="000000" w:sz="2" w:space="0"/>
              <w:left w:val="single" w:color="000000" w:sz="2" w:space="0"/>
              <w:bottom w:val="single" w:color="000000" w:sz="2" w:space="0"/>
              <w:right w:val="single" w:color="000000" w:sz="2" w:space="0"/>
            </w:tcBorders>
            <w:vAlign w:val="center"/>
          </w:tcPr>
          <w:p w14:paraId="79FD4386">
            <w:pPr>
              <w:jc w:val="center"/>
              <w:rPr>
                <w:szCs w:val="21"/>
              </w:rPr>
            </w:pPr>
          </w:p>
        </w:tc>
        <w:tc>
          <w:tcPr>
            <w:tcW w:w="2126" w:type="dxa"/>
            <w:tcBorders>
              <w:top w:val="single" w:color="000000" w:sz="2" w:space="0"/>
              <w:left w:val="single" w:color="000000" w:sz="2" w:space="0"/>
              <w:bottom w:val="single" w:color="000000" w:sz="2" w:space="0"/>
              <w:right w:val="single" w:color="000000" w:sz="2" w:space="0"/>
            </w:tcBorders>
            <w:vAlign w:val="center"/>
          </w:tcPr>
          <w:p w14:paraId="04145C00">
            <w:pPr>
              <w:jc w:val="center"/>
              <w:rPr>
                <w:szCs w:val="21"/>
              </w:rPr>
            </w:pPr>
          </w:p>
        </w:tc>
        <w:tc>
          <w:tcPr>
            <w:tcW w:w="531" w:type="dxa"/>
            <w:tcBorders>
              <w:top w:val="single" w:color="000000" w:sz="2" w:space="0"/>
              <w:left w:val="single" w:color="000000" w:sz="2" w:space="0"/>
              <w:bottom w:val="single" w:color="000000" w:sz="2" w:space="0"/>
              <w:right w:val="single" w:color="000000" w:sz="2" w:space="0"/>
            </w:tcBorders>
            <w:vAlign w:val="center"/>
          </w:tcPr>
          <w:p w14:paraId="1C1A2A45">
            <w:pPr>
              <w:jc w:val="center"/>
              <w:rPr>
                <w:szCs w:val="21"/>
              </w:rPr>
            </w:pPr>
          </w:p>
        </w:tc>
      </w:tr>
    </w:tbl>
    <w:p w14:paraId="1535E5EC">
      <w:pPr>
        <w:pStyle w:val="1379"/>
        <w:ind w:firstLine="440"/>
      </w:pPr>
    </w:p>
    <w:p w14:paraId="4FC2462E">
      <w:pPr>
        <w:pStyle w:val="1379"/>
        <w:ind w:firstLine="440"/>
      </w:pPr>
    </w:p>
    <w:p w14:paraId="6B0B3C6F">
      <w:pPr>
        <w:pStyle w:val="702"/>
        <w:ind w:firstLine="520"/>
        <w:rPr>
          <w:rFonts w:cs="Times New Roman"/>
        </w:rPr>
        <w:sectPr>
          <w:pgSz w:w="16838" w:h="11906" w:orient="landscape"/>
          <w:pgMar w:top="1588" w:right="1701" w:bottom="1588" w:left="1588" w:header="1304" w:footer="1247" w:gutter="0"/>
          <w:cols w:space="720" w:num="1"/>
          <w:docGrid w:linePitch="312" w:charSpace="0"/>
        </w:sectPr>
      </w:pPr>
    </w:p>
    <w:p w14:paraId="291A537B">
      <w:pPr>
        <w:pStyle w:val="1068"/>
        <w:rPr>
          <w:rFonts w:cs="Times New Roman"/>
        </w:rPr>
      </w:pPr>
      <w:bookmarkStart w:id="107" w:name="_Toc165810473"/>
      <w:r>
        <w:rPr>
          <w:rFonts w:cs="Times New Roman"/>
        </w:rPr>
        <w:t>1.7.4 选址合理性分析</w:t>
      </w:r>
      <w:bookmarkEnd w:id="107"/>
    </w:p>
    <w:p w14:paraId="7201518C">
      <w:pPr>
        <w:spacing w:line="460" w:lineRule="exact"/>
        <w:ind w:firstLine="522" w:firstLineChars="200"/>
        <w:rPr>
          <w:b/>
          <w:sz w:val="26"/>
          <w:szCs w:val="26"/>
        </w:rPr>
      </w:pPr>
      <w:r>
        <w:rPr>
          <w:rFonts w:hint="eastAsia"/>
          <w:b/>
          <w:sz w:val="26"/>
          <w:szCs w:val="26"/>
        </w:rPr>
        <w:t>（1）总体规划的相容性分析</w:t>
      </w:r>
    </w:p>
    <w:p w14:paraId="37A26D15">
      <w:pPr>
        <w:spacing w:line="460" w:lineRule="exact"/>
        <w:ind w:firstLine="520" w:firstLineChars="200"/>
        <w:rPr>
          <w:sz w:val="26"/>
          <w:szCs w:val="26"/>
        </w:rPr>
      </w:pPr>
      <w:r>
        <w:rPr>
          <w:rFonts w:hint="eastAsia"/>
          <w:sz w:val="26"/>
          <w:szCs w:val="26"/>
        </w:rPr>
        <w:t>本项目位于巴中市恩阳区渔溪镇，在现有巴中2HF井钻井井场内新建试采站，</w:t>
      </w:r>
      <w:r>
        <w:rPr>
          <w:rFonts w:hint="eastAsia"/>
          <w:b/>
          <w:sz w:val="26"/>
          <w:szCs w:val="26"/>
        </w:rPr>
        <w:t>已取得临时用地手续</w:t>
      </w:r>
      <w:r>
        <w:rPr>
          <w:rFonts w:hint="eastAsia"/>
          <w:sz w:val="26"/>
          <w:szCs w:val="26"/>
        </w:rPr>
        <w:t>（见</w:t>
      </w:r>
      <w:r>
        <w:rPr>
          <w:rFonts w:hint="eastAsia"/>
          <w:sz w:val="26"/>
          <w:szCs w:val="26"/>
          <w:u w:val="single"/>
        </w:rPr>
        <w:t>附件7</w:t>
      </w:r>
      <w:r>
        <w:rPr>
          <w:rFonts w:hint="eastAsia"/>
          <w:sz w:val="26"/>
          <w:szCs w:val="26"/>
        </w:rPr>
        <w:t>）。根据《巴中市自然资源和规划局恩阳分局关于核实巴中2HF井钻探工程项目选址情况的复函》（见</w:t>
      </w:r>
      <w:r>
        <w:rPr>
          <w:rFonts w:hint="eastAsia"/>
          <w:sz w:val="26"/>
          <w:szCs w:val="26"/>
          <w:u w:val="single"/>
        </w:rPr>
        <w:t>附件</w:t>
      </w:r>
      <w:r>
        <w:rPr>
          <w:sz w:val="26"/>
          <w:szCs w:val="26"/>
          <w:u w:val="single"/>
        </w:rPr>
        <w:t>6</w:t>
      </w:r>
      <w:r>
        <w:rPr>
          <w:rFonts w:hint="eastAsia"/>
          <w:sz w:val="26"/>
          <w:szCs w:val="26"/>
        </w:rPr>
        <w:t>），项目主要占用永久基本农田和部分宅基地，与区域总体规划及土地利用不违背。</w:t>
      </w:r>
    </w:p>
    <w:p w14:paraId="6D3F96F8">
      <w:pPr>
        <w:spacing w:line="460" w:lineRule="exact"/>
        <w:ind w:firstLine="522" w:firstLineChars="200"/>
        <w:rPr>
          <w:b/>
          <w:sz w:val="26"/>
          <w:szCs w:val="26"/>
        </w:rPr>
      </w:pPr>
      <w:r>
        <w:rPr>
          <w:rFonts w:hint="eastAsia"/>
          <w:b/>
          <w:sz w:val="26"/>
          <w:szCs w:val="26"/>
        </w:rPr>
        <w:t>（2）试采站场选址合理性分析</w:t>
      </w:r>
    </w:p>
    <w:p w14:paraId="3B8F87DA">
      <w:pPr>
        <w:spacing w:line="460" w:lineRule="exact"/>
        <w:ind w:firstLine="520" w:firstLineChars="200"/>
        <w:rPr>
          <w:sz w:val="26"/>
          <w:szCs w:val="26"/>
        </w:rPr>
        <w:sectPr>
          <w:headerReference r:id="rId7" w:type="first"/>
          <w:footerReference r:id="rId8" w:type="first"/>
          <w:pgSz w:w="11906" w:h="16838"/>
          <w:pgMar w:top="1701" w:right="1588" w:bottom="1588" w:left="1588" w:header="1304" w:footer="1247" w:gutter="0"/>
          <w:cols w:space="720" w:num="1"/>
          <w:docGrid w:linePitch="312" w:charSpace="0"/>
        </w:sectPr>
      </w:pPr>
      <w:r>
        <w:rPr>
          <w:rFonts w:hint="eastAsia"/>
          <w:sz w:val="26"/>
          <w:szCs w:val="26"/>
        </w:rPr>
        <w:t>根据《石油天然气工程设计防火规范》（GB50183-2015），本项目试采站定为五级站场，本次评价对巴中2HF试采站的选址与《石油天然气工程设计防火规范》（GB50183-2015）进行符合性分析，与周边建构筑物防火间距见下表。</w:t>
      </w:r>
    </w:p>
    <w:p w14:paraId="0C5B956F">
      <w:pPr>
        <w:pStyle w:val="1065"/>
        <w:rPr>
          <w:bCs/>
        </w:rPr>
      </w:pPr>
      <w:r>
        <w:t xml:space="preserve">表1.7-17  </w:t>
      </w:r>
      <w:r>
        <w:rPr>
          <w:rFonts w:hint="eastAsia"/>
        </w:rPr>
        <w:t>与</w:t>
      </w:r>
      <w:r>
        <w:rPr>
          <w:rFonts w:hint="eastAsia"/>
          <w:bCs/>
        </w:rPr>
        <w:t>《石油天然气工程设计防火规范》符合性分析表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
        <w:gridCol w:w="963"/>
        <w:gridCol w:w="1484"/>
        <w:gridCol w:w="1079"/>
        <w:gridCol w:w="922"/>
        <w:gridCol w:w="997"/>
        <w:gridCol w:w="1104"/>
        <w:gridCol w:w="774"/>
        <w:gridCol w:w="774"/>
        <w:gridCol w:w="906"/>
        <w:gridCol w:w="746"/>
        <w:gridCol w:w="892"/>
        <w:gridCol w:w="749"/>
        <w:gridCol w:w="994"/>
        <w:gridCol w:w="917"/>
      </w:tblGrid>
      <w:tr w14:paraId="0C5D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9" w:type="pct"/>
            <w:gridSpan w:val="2"/>
            <w:vMerge w:val="restart"/>
            <w:vAlign w:val="center"/>
          </w:tcPr>
          <w:p w14:paraId="0E40C18D">
            <w:pPr>
              <w:pStyle w:val="687"/>
            </w:pPr>
            <w:r>
              <w:t>名称</w:t>
            </w:r>
          </w:p>
        </w:tc>
        <w:tc>
          <w:tcPr>
            <w:tcW w:w="539" w:type="pct"/>
            <w:vMerge w:val="restart"/>
            <w:vAlign w:val="center"/>
          </w:tcPr>
          <w:p w14:paraId="654DFA50">
            <w:pPr>
              <w:pStyle w:val="687"/>
            </w:pPr>
            <w:r>
              <w:t>100人以上的居住区、村镇、公共福利设施</w:t>
            </w:r>
          </w:p>
        </w:tc>
        <w:tc>
          <w:tcPr>
            <w:tcW w:w="392" w:type="pct"/>
            <w:vMerge w:val="restart"/>
            <w:vAlign w:val="center"/>
          </w:tcPr>
          <w:p w14:paraId="7B88C2D3">
            <w:pPr>
              <w:pStyle w:val="687"/>
            </w:pPr>
            <w:r>
              <w:t>100人以下的散居房屋</w:t>
            </w:r>
          </w:p>
        </w:tc>
        <w:tc>
          <w:tcPr>
            <w:tcW w:w="335" w:type="pct"/>
            <w:vMerge w:val="restart"/>
            <w:vAlign w:val="center"/>
          </w:tcPr>
          <w:p w14:paraId="48A70AD8">
            <w:pPr>
              <w:pStyle w:val="687"/>
            </w:pPr>
            <w:r>
              <w:t>相邻厂矿企业</w:t>
            </w:r>
          </w:p>
        </w:tc>
        <w:tc>
          <w:tcPr>
            <w:tcW w:w="763" w:type="pct"/>
            <w:gridSpan w:val="2"/>
            <w:vAlign w:val="center"/>
          </w:tcPr>
          <w:p w14:paraId="4B57D36A">
            <w:pPr>
              <w:pStyle w:val="687"/>
            </w:pPr>
            <w:r>
              <w:t>铁路</w:t>
            </w:r>
          </w:p>
        </w:tc>
        <w:tc>
          <w:tcPr>
            <w:tcW w:w="562" w:type="pct"/>
            <w:gridSpan w:val="2"/>
            <w:vAlign w:val="center"/>
          </w:tcPr>
          <w:p w14:paraId="03566646">
            <w:pPr>
              <w:pStyle w:val="687"/>
            </w:pPr>
            <w:r>
              <w:t>公路</w:t>
            </w:r>
          </w:p>
        </w:tc>
        <w:tc>
          <w:tcPr>
            <w:tcW w:w="329" w:type="pct"/>
            <w:vMerge w:val="restart"/>
            <w:vAlign w:val="center"/>
          </w:tcPr>
          <w:p w14:paraId="249E39F6">
            <w:pPr>
              <w:pStyle w:val="687"/>
            </w:pPr>
            <w:r>
              <w:t>35kV及以上独立变电所</w:t>
            </w:r>
          </w:p>
        </w:tc>
        <w:tc>
          <w:tcPr>
            <w:tcW w:w="595" w:type="pct"/>
            <w:gridSpan w:val="2"/>
            <w:vAlign w:val="center"/>
          </w:tcPr>
          <w:p w14:paraId="6522647D">
            <w:pPr>
              <w:pStyle w:val="687"/>
            </w:pPr>
            <w:r>
              <w:t>架空电力线路</w:t>
            </w:r>
          </w:p>
        </w:tc>
        <w:tc>
          <w:tcPr>
            <w:tcW w:w="633" w:type="pct"/>
            <w:gridSpan w:val="2"/>
            <w:vAlign w:val="center"/>
          </w:tcPr>
          <w:p w14:paraId="7375EC3E">
            <w:pPr>
              <w:pStyle w:val="687"/>
            </w:pPr>
            <w:r>
              <w:t>架空通信线路</w:t>
            </w:r>
          </w:p>
        </w:tc>
        <w:tc>
          <w:tcPr>
            <w:tcW w:w="334" w:type="pct"/>
            <w:vMerge w:val="restart"/>
            <w:vAlign w:val="center"/>
          </w:tcPr>
          <w:p w14:paraId="0DF508C1">
            <w:pPr>
              <w:pStyle w:val="687"/>
            </w:pPr>
            <w:r>
              <w:t>爆炸作业场地（如采石场）</w:t>
            </w:r>
          </w:p>
        </w:tc>
      </w:tr>
      <w:tr w14:paraId="6D0A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519" w:type="pct"/>
            <w:gridSpan w:val="2"/>
            <w:vMerge w:val="continue"/>
            <w:vAlign w:val="center"/>
          </w:tcPr>
          <w:p w14:paraId="796711B3">
            <w:pPr>
              <w:pStyle w:val="687"/>
            </w:pPr>
          </w:p>
        </w:tc>
        <w:tc>
          <w:tcPr>
            <w:tcW w:w="539" w:type="pct"/>
            <w:vMerge w:val="continue"/>
            <w:vAlign w:val="center"/>
          </w:tcPr>
          <w:p w14:paraId="021EF67E">
            <w:pPr>
              <w:pStyle w:val="687"/>
            </w:pPr>
          </w:p>
        </w:tc>
        <w:tc>
          <w:tcPr>
            <w:tcW w:w="392" w:type="pct"/>
            <w:vMerge w:val="continue"/>
            <w:vAlign w:val="center"/>
          </w:tcPr>
          <w:p w14:paraId="78E2F9FD">
            <w:pPr>
              <w:pStyle w:val="687"/>
            </w:pPr>
          </w:p>
        </w:tc>
        <w:tc>
          <w:tcPr>
            <w:tcW w:w="335" w:type="pct"/>
            <w:vMerge w:val="continue"/>
            <w:vAlign w:val="center"/>
          </w:tcPr>
          <w:p w14:paraId="369D6449">
            <w:pPr>
              <w:pStyle w:val="687"/>
            </w:pPr>
          </w:p>
        </w:tc>
        <w:tc>
          <w:tcPr>
            <w:tcW w:w="362" w:type="pct"/>
            <w:vAlign w:val="center"/>
          </w:tcPr>
          <w:p w14:paraId="4F1D1B5C">
            <w:pPr>
              <w:pStyle w:val="687"/>
            </w:pPr>
            <w:r>
              <w:t>国家铁路线</w:t>
            </w:r>
          </w:p>
        </w:tc>
        <w:tc>
          <w:tcPr>
            <w:tcW w:w="401" w:type="pct"/>
            <w:vAlign w:val="center"/>
          </w:tcPr>
          <w:p w14:paraId="2AAF8645">
            <w:pPr>
              <w:pStyle w:val="687"/>
            </w:pPr>
            <w:r>
              <w:t>工业企业铁路线</w:t>
            </w:r>
          </w:p>
        </w:tc>
        <w:tc>
          <w:tcPr>
            <w:tcW w:w="281" w:type="pct"/>
            <w:vAlign w:val="center"/>
          </w:tcPr>
          <w:p w14:paraId="2ABEC37C">
            <w:pPr>
              <w:pStyle w:val="687"/>
            </w:pPr>
            <w:r>
              <w:t>高速公路</w:t>
            </w:r>
          </w:p>
        </w:tc>
        <w:tc>
          <w:tcPr>
            <w:tcW w:w="281" w:type="pct"/>
            <w:vAlign w:val="center"/>
          </w:tcPr>
          <w:p w14:paraId="735E2B49">
            <w:pPr>
              <w:pStyle w:val="687"/>
            </w:pPr>
            <w:r>
              <w:t>其他公路</w:t>
            </w:r>
          </w:p>
        </w:tc>
        <w:tc>
          <w:tcPr>
            <w:tcW w:w="329" w:type="pct"/>
            <w:vMerge w:val="continue"/>
            <w:vAlign w:val="center"/>
          </w:tcPr>
          <w:p w14:paraId="7EAF750B">
            <w:pPr>
              <w:pStyle w:val="687"/>
            </w:pPr>
          </w:p>
        </w:tc>
        <w:tc>
          <w:tcPr>
            <w:tcW w:w="271" w:type="pct"/>
            <w:vAlign w:val="center"/>
          </w:tcPr>
          <w:p w14:paraId="2C2A2BFF">
            <w:pPr>
              <w:pStyle w:val="687"/>
            </w:pPr>
            <w:r>
              <w:t>35kV及以上</w:t>
            </w:r>
          </w:p>
        </w:tc>
        <w:tc>
          <w:tcPr>
            <w:tcW w:w="324" w:type="pct"/>
            <w:vAlign w:val="center"/>
          </w:tcPr>
          <w:p w14:paraId="68E698FF">
            <w:pPr>
              <w:pStyle w:val="687"/>
            </w:pPr>
            <w:r>
              <w:t>35kV以下</w:t>
            </w:r>
          </w:p>
        </w:tc>
        <w:tc>
          <w:tcPr>
            <w:tcW w:w="272" w:type="pct"/>
            <w:vAlign w:val="center"/>
          </w:tcPr>
          <w:p w14:paraId="718853CA">
            <w:pPr>
              <w:pStyle w:val="687"/>
            </w:pPr>
            <w:r>
              <w:t>国家I、II级</w:t>
            </w:r>
          </w:p>
        </w:tc>
        <w:tc>
          <w:tcPr>
            <w:tcW w:w="361" w:type="pct"/>
            <w:vAlign w:val="center"/>
          </w:tcPr>
          <w:p w14:paraId="16034E78">
            <w:pPr>
              <w:pStyle w:val="687"/>
            </w:pPr>
            <w:r>
              <w:t>其他通信线路</w:t>
            </w:r>
          </w:p>
        </w:tc>
        <w:tc>
          <w:tcPr>
            <w:tcW w:w="334" w:type="pct"/>
            <w:vMerge w:val="continue"/>
            <w:vAlign w:val="center"/>
          </w:tcPr>
          <w:p w14:paraId="17E5FC3B">
            <w:pPr>
              <w:pStyle w:val="687"/>
            </w:pPr>
          </w:p>
        </w:tc>
      </w:tr>
      <w:tr w14:paraId="26B0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69" w:type="pct"/>
            <w:vMerge w:val="restart"/>
            <w:vAlign w:val="center"/>
          </w:tcPr>
          <w:p w14:paraId="392602E9">
            <w:pPr>
              <w:pStyle w:val="687"/>
            </w:pPr>
            <w:r>
              <w:t>站场</w:t>
            </w:r>
          </w:p>
        </w:tc>
        <w:tc>
          <w:tcPr>
            <w:tcW w:w="350" w:type="pct"/>
            <w:vAlign w:val="center"/>
          </w:tcPr>
          <w:p w14:paraId="024A6D1B">
            <w:pPr>
              <w:pStyle w:val="687"/>
            </w:pPr>
            <w:r>
              <w:t>规范要求</w:t>
            </w:r>
          </w:p>
        </w:tc>
        <w:tc>
          <w:tcPr>
            <w:tcW w:w="539" w:type="pct"/>
            <w:vAlign w:val="center"/>
          </w:tcPr>
          <w:p w14:paraId="7C484AB8">
            <w:pPr>
              <w:pStyle w:val="687"/>
            </w:pPr>
            <w:r>
              <w:t>30m</w:t>
            </w:r>
          </w:p>
        </w:tc>
        <w:tc>
          <w:tcPr>
            <w:tcW w:w="392" w:type="pct"/>
            <w:vAlign w:val="center"/>
          </w:tcPr>
          <w:p w14:paraId="7C677199">
            <w:pPr>
              <w:pStyle w:val="687"/>
            </w:pPr>
            <w:r>
              <w:t>30m</w:t>
            </w:r>
          </w:p>
        </w:tc>
        <w:tc>
          <w:tcPr>
            <w:tcW w:w="335" w:type="pct"/>
            <w:vAlign w:val="center"/>
          </w:tcPr>
          <w:p w14:paraId="277DFBFC">
            <w:pPr>
              <w:pStyle w:val="687"/>
            </w:pPr>
            <w:r>
              <w:t>30m</w:t>
            </w:r>
          </w:p>
        </w:tc>
        <w:tc>
          <w:tcPr>
            <w:tcW w:w="362" w:type="pct"/>
            <w:vAlign w:val="center"/>
          </w:tcPr>
          <w:p w14:paraId="2738C0B3">
            <w:pPr>
              <w:pStyle w:val="687"/>
            </w:pPr>
            <w:r>
              <w:t>30m</w:t>
            </w:r>
          </w:p>
        </w:tc>
        <w:tc>
          <w:tcPr>
            <w:tcW w:w="401" w:type="pct"/>
            <w:vAlign w:val="center"/>
          </w:tcPr>
          <w:p w14:paraId="474557D0">
            <w:pPr>
              <w:pStyle w:val="687"/>
            </w:pPr>
            <w:r>
              <w:t>30m</w:t>
            </w:r>
          </w:p>
        </w:tc>
        <w:tc>
          <w:tcPr>
            <w:tcW w:w="281" w:type="pct"/>
            <w:vAlign w:val="center"/>
          </w:tcPr>
          <w:p w14:paraId="4A4696A9">
            <w:pPr>
              <w:pStyle w:val="687"/>
            </w:pPr>
            <w:r>
              <w:t>20m</w:t>
            </w:r>
          </w:p>
        </w:tc>
        <w:tc>
          <w:tcPr>
            <w:tcW w:w="281" w:type="pct"/>
            <w:vAlign w:val="center"/>
          </w:tcPr>
          <w:p w14:paraId="110EB1E8">
            <w:pPr>
              <w:pStyle w:val="687"/>
            </w:pPr>
            <w:r>
              <w:t>10m</w:t>
            </w:r>
          </w:p>
        </w:tc>
        <w:tc>
          <w:tcPr>
            <w:tcW w:w="329" w:type="pct"/>
            <w:vAlign w:val="center"/>
          </w:tcPr>
          <w:p w14:paraId="7BCBC2F5">
            <w:pPr>
              <w:pStyle w:val="687"/>
            </w:pPr>
            <w:r>
              <w:t>30m</w:t>
            </w:r>
          </w:p>
        </w:tc>
        <w:tc>
          <w:tcPr>
            <w:tcW w:w="271" w:type="pct"/>
            <w:vAlign w:val="center"/>
          </w:tcPr>
          <w:p w14:paraId="53031B40">
            <w:pPr>
              <w:pStyle w:val="687"/>
            </w:pPr>
            <w:r>
              <w:t>1.5倍杆高</w:t>
            </w:r>
          </w:p>
        </w:tc>
        <w:tc>
          <w:tcPr>
            <w:tcW w:w="324" w:type="pct"/>
            <w:vAlign w:val="center"/>
          </w:tcPr>
          <w:p w14:paraId="393955F8">
            <w:pPr>
              <w:pStyle w:val="687"/>
            </w:pPr>
            <w:r>
              <w:t>1.5倍杆高（杆高11m）</w:t>
            </w:r>
          </w:p>
        </w:tc>
        <w:tc>
          <w:tcPr>
            <w:tcW w:w="272" w:type="pct"/>
            <w:vAlign w:val="center"/>
          </w:tcPr>
          <w:p w14:paraId="67A3DE43">
            <w:pPr>
              <w:pStyle w:val="687"/>
            </w:pPr>
            <w:r>
              <w:t>1.5倍杆高</w:t>
            </w:r>
          </w:p>
        </w:tc>
        <w:tc>
          <w:tcPr>
            <w:tcW w:w="361" w:type="pct"/>
            <w:vAlign w:val="center"/>
          </w:tcPr>
          <w:p w14:paraId="1492A202">
            <w:pPr>
              <w:pStyle w:val="687"/>
            </w:pPr>
            <w:r>
              <w:t>1.5倍杆高（杆高5m）</w:t>
            </w:r>
          </w:p>
        </w:tc>
        <w:tc>
          <w:tcPr>
            <w:tcW w:w="334" w:type="pct"/>
            <w:vAlign w:val="center"/>
          </w:tcPr>
          <w:p w14:paraId="585DEF42">
            <w:pPr>
              <w:pStyle w:val="687"/>
            </w:pPr>
            <w:r>
              <w:t>300m</w:t>
            </w:r>
          </w:p>
        </w:tc>
      </w:tr>
      <w:tr w14:paraId="171A6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169" w:type="pct"/>
            <w:vMerge w:val="continue"/>
            <w:vAlign w:val="center"/>
          </w:tcPr>
          <w:p w14:paraId="5DB37EFA">
            <w:pPr>
              <w:pStyle w:val="687"/>
            </w:pPr>
          </w:p>
        </w:tc>
        <w:tc>
          <w:tcPr>
            <w:tcW w:w="350" w:type="pct"/>
            <w:vAlign w:val="center"/>
          </w:tcPr>
          <w:p w14:paraId="4A1B2798">
            <w:pPr>
              <w:pStyle w:val="687"/>
            </w:pPr>
            <w:r>
              <w:t>设计值</w:t>
            </w:r>
          </w:p>
        </w:tc>
        <w:tc>
          <w:tcPr>
            <w:tcW w:w="539" w:type="pct"/>
            <w:vAlign w:val="center"/>
          </w:tcPr>
          <w:p w14:paraId="0ECAC5D8">
            <w:pPr>
              <w:pStyle w:val="687"/>
            </w:pPr>
            <w:r>
              <w:t>附近无</w:t>
            </w:r>
          </w:p>
        </w:tc>
        <w:tc>
          <w:tcPr>
            <w:tcW w:w="392" w:type="pct"/>
            <w:vAlign w:val="center"/>
          </w:tcPr>
          <w:p w14:paraId="141497DC">
            <w:pPr>
              <w:pStyle w:val="687"/>
            </w:pPr>
            <w:r>
              <w:t>70m</w:t>
            </w:r>
          </w:p>
        </w:tc>
        <w:tc>
          <w:tcPr>
            <w:tcW w:w="335" w:type="pct"/>
            <w:vAlign w:val="center"/>
          </w:tcPr>
          <w:p w14:paraId="751282B9">
            <w:pPr>
              <w:pStyle w:val="687"/>
            </w:pPr>
            <w:r>
              <w:t>附近无</w:t>
            </w:r>
          </w:p>
        </w:tc>
        <w:tc>
          <w:tcPr>
            <w:tcW w:w="362" w:type="pct"/>
            <w:vAlign w:val="center"/>
          </w:tcPr>
          <w:p w14:paraId="622DEF10">
            <w:pPr>
              <w:pStyle w:val="687"/>
            </w:pPr>
            <w:r>
              <w:t>附近无</w:t>
            </w:r>
          </w:p>
        </w:tc>
        <w:tc>
          <w:tcPr>
            <w:tcW w:w="401" w:type="pct"/>
            <w:vAlign w:val="center"/>
          </w:tcPr>
          <w:p w14:paraId="17391C65">
            <w:pPr>
              <w:pStyle w:val="687"/>
            </w:pPr>
            <w:r>
              <w:t>附近无</w:t>
            </w:r>
          </w:p>
        </w:tc>
        <w:tc>
          <w:tcPr>
            <w:tcW w:w="281" w:type="pct"/>
            <w:vAlign w:val="center"/>
          </w:tcPr>
          <w:p w14:paraId="05031188">
            <w:pPr>
              <w:pStyle w:val="687"/>
            </w:pPr>
            <w:r>
              <w:t>附近无</w:t>
            </w:r>
          </w:p>
        </w:tc>
        <w:tc>
          <w:tcPr>
            <w:tcW w:w="281" w:type="pct"/>
            <w:vAlign w:val="center"/>
          </w:tcPr>
          <w:p w14:paraId="61C442C8">
            <w:pPr>
              <w:pStyle w:val="687"/>
            </w:pPr>
            <w:r>
              <w:t>23m</w:t>
            </w:r>
          </w:p>
        </w:tc>
        <w:tc>
          <w:tcPr>
            <w:tcW w:w="329" w:type="pct"/>
            <w:vAlign w:val="center"/>
          </w:tcPr>
          <w:p w14:paraId="4142CB39">
            <w:pPr>
              <w:pStyle w:val="687"/>
            </w:pPr>
            <w:r>
              <w:t>附近无</w:t>
            </w:r>
          </w:p>
        </w:tc>
        <w:tc>
          <w:tcPr>
            <w:tcW w:w="271" w:type="pct"/>
            <w:vAlign w:val="center"/>
          </w:tcPr>
          <w:p w14:paraId="3A7B1802">
            <w:pPr>
              <w:pStyle w:val="687"/>
            </w:pPr>
            <w:r>
              <w:t>附近无</w:t>
            </w:r>
          </w:p>
        </w:tc>
        <w:tc>
          <w:tcPr>
            <w:tcW w:w="324" w:type="pct"/>
            <w:vAlign w:val="center"/>
          </w:tcPr>
          <w:p w14:paraId="1F54D773">
            <w:pPr>
              <w:pStyle w:val="687"/>
            </w:pPr>
            <w:r>
              <w:t>22m</w:t>
            </w:r>
          </w:p>
        </w:tc>
        <w:tc>
          <w:tcPr>
            <w:tcW w:w="272" w:type="pct"/>
            <w:vAlign w:val="center"/>
          </w:tcPr>
          <w:p w14:paraId="14DA1EA3">
            <w:pPr>
              <w:pStyle w:val="687"/>
            </w:pPr>
            <w:r>
              <w:t>附近无</w:t>
            </w:r>
          </w:p>
        </w:tc>
        <w:tc>
          <w:tcPr>
            <w:tcW w:w="361" w:type="pct"/>
            <w:vAlign w:val="center"/>
          </w:tcPr>
          <w:p w14:paraId="0ED60E1D">
            <w:pPr>
              <w:pStyle w:val="687"/>
            </w:pPr>
            <w:r>
              <w:t>48m</w:t>
            </w:r>
          </w:p>
        </w:tc>
        <w:tc>
          <w:tcPr>
            <w:tcW w:w="334" w:type="pct"/>
            <w:vAlign w:val="center"/>
          </w:tcPr>
          <w:p w14:paraId="44E8192B">
            <w:pPr>
              <w:pStyle w:val="687"/>
            </w:pPr>
            <w:r>
              <w:t>附近无</w:t>
            </w:r>
          </w:p>
        </w:tc>
      </w:tr>
      <w:tr w14:paraId="2586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169" w:type="pct"/>
            <w:vAlign w:val="center"/>
          </w:tcPr>
          <w:p w14:paraId="6BFBA921">
            <w:pPr>
              <w:pStyle w:val="687"/>
            </w:pPr>
            <w:r>
              <w:t>结果</w:t>
            </w:r>
          </w:p>
        </w:tc>
        <w:tc>
          <w:tcPr>
            <w:tcW w:w="350" w:type="pct"/>
            <w:vAlign w:val="center"/>
          </w:tcPr>
          <w:p w14:paraId="309445BC">
            <w:pPr>
              <w:pStyle w:val="687"/>
            </w:pPr>
            <w:r>
              <w:t>符合</w:t>
            </w:r>
          </w:p>
        </w:tc>
        <w:tc>
          <w:tcPr>
            <w:tcW w:w="539" w:type="pct"/>
            <w:vAlign w:val="center"/>
          </w:tcPr>
          <w:p w14:paraId="434402C1">
            <w:pPr>
              <w:pStyle w:val="687"/>
            </w:pPr>
            <w:r>
              <w:t>符合</w:t>
            </w:r>
          </w:p>
        </w:tc>
        <w:tc>
          <w:tcPr>
            <w:tcW w:w="392" w:type="pct"/>
            <w:vAlign w:val="center"/>
          </w:tcPr>
          <w:p w14:paraId="232A8E91">
            <w:pPr>
              <w:pStyle w:val="687"/>
            </w:pPr>
            <w:r>
              <w:t>符合</w:t>
            </w:r>
          </w:p>
        </w:tc>
        <w:tc>
          <w:tcPr>
            <w:tcW w:w="335" w:type="pct"/>
            <w:vAlign w:val="center"/>
          </w:tcPr>
          <w:p w14:paraId="32AC0C18">
            <w:pPr>
              <w:pStyle w:val="687"/>
            </w:pPr>
            <w:r>
              <w:t>符合</w:t>
            </w:r>
          </w:p>
        </w:tc>
        <w:tc>
          <w:tcPr>
            <w:tcW w:w="362" w:type="pct"/>
            <w:vAlign w:val="center"/>
          </w:tcPr>
          <w:p w14:paraId="0D58D022">
            <w:pPr>
              <w:pStyle w:val="687"/>
            </w:pPr>
            <w:r>
              <w:t>符合</w:t>
            </w:r>
          </w:p>
        </w:tc>
        <w:tc>
          <w:tcPr>
            <w:tcW w:w="401" w:type="pct"/>
            <w:vAlign w:val="center"/>
          </w:tcPr>
          <w:p w14:paraId="233572E8">
            <w:pPr>
              <w:pStyle w:val="687"/>
            </w:pPr>
            <w:r>
              <w:t>符合</w:t>
            </w:r>
          </w:p>
        </w:tc>
        <w:tc>
          <w:tcPr>
            <w:tcW w:w="281" w:type="pct"/>
            <w:vAlign w:val="center"/>
          </w:tcPr>
          <w:p w14:paraId="5485FDDB">
            <w:pPr>
              <w:pStyle w:val="687"/>
            </w:pPr>
            <w:r>
              <w:t>符合</w:t>
            </w:r>
          </w:p>
        </w:tc>
        <w:tc>
          <w:tcPr>
            <w:tcW w:w="281" w:type="pct"/>
            <w:vAlign w:val="center"/>
          </w:tcPr>
          <w:p w14:paraId="336890A7">
            <w:pPr>
              <w:pStyle w:val="687"/>
            </w:pPr>
            <w:r>
              <w:t>符合</w:t>
            </w:r>
          </w:p>
        </w:tc>
        <w:tc>
          <w:tcPr>
            <w:tcW w:w="329" w:type="pct"/>
            <w:vAlign w:val="center"/>
          </w:tcPr>
          <w:p w14:paraId="4D822531">
            <w:pPr>
              <w:pStyle w:val="687"/>
            </w:pPr>
            <w:r>
              <w:t>符合</w:t>
            </w:r>
          </w:p>
        </w:tc>
        <w:tc>
          <w:tcPr>
            <w:tcW w:w="271" w:type="pct"/>
            <w:vAlign w:val="center"/>
          </w:tcPr>
          <w:p w14:paraId="14D9B06E">
            <w:pPr>
              <w:pStyle w:val="687"/>
            </w:pPr>
            <w:r>
              <w:t>符合</w:t>
            </w:r>
          </w:p>
        </w:tc>
        <w:tc>
          <w:tcPr>
            <w:tcW w:w="324" w:type="pct"/>
            <w:vAlign w:val="center"/>
          </w:tcPr>
          <w:p w14:paraId="7E522773">
            <w:pPr>
              <w:pStyle w:val="687"/>
            </w:pPr>
            <w:r>
              <w:t>符合</w:t>
            </w:r>
          </w:p>
        </w:tc>
        <w:tc>
          <w:tcPr>
            <w:tcW w:w="272" w:type="pct"/>
            <w:vAlign w:val="center"/>
          </w:tcPr>
          <w:p w14:paraId="30C06F86">
            <w:pPr>
              <w:pStyle w:val="687"/>
            </w:pPr>
            <w:r>
              <w:t>符合</w:t>
            </w:r>
          </w:p>
        </w:tc>
        <w:tc>
          <w:tcPr>
            <w:tcW w:w="361" w:type="pct"/>
            <w:vAlign w:val="center"/>
          </w:tcPr>
          <w:p w14:paraId="61832E2F">
            <w:pPr>
              <w:pStyle w:val="687"/>
            </w:pPr>
            <w:r>
              <w:t>符合</w:t>
            </w:r>
          </w:p>
        </w:tc>
        <w:tc>
          <w:tcPr>
            <w:tcW w:w="334" w:type="pct"/>
            <w:vAlign w:val="center"/>
          </w:tcPr>
          <w:p w14:paraId="008FBE5C">
            <w:pPr>
              <w:pStyle w:val="687"/>
            </w:pPr>
            <w:r>
              <w:t>符合</w:t>
            </w:r>
          </w:p>
        </w:tc>
      </w:tr>
      <w:tr w14:paraId="0017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169" w:type="pct"/>
            <w:vMerge w:val="restart"/>
            <w:vAlign w:val="center"/>
          </w:tcPr>
          <w:p w14:paraId="32A396E3">
            <w:pPr>
              <w:pStyle w:val="687"/>
            </w:pPr>
            <w:r>
              <w:t>放空</w:t>
            </w:r>
          </w:p>
        </w:tc>
        <w:tc>
          <w:tcPr>
            <w:tcW w:w="350" w:type="pct"/>
            <w:vAlign w:val="center"/>
          </w:tcPr>
          <w:p w14:paraId="48E04D95">
            <w:pPr>
              <w:pStyle w:val="687"/>
            </w:pPr>
            <w:r>
              <w:t>规范要求</w:t>
            </w:r>
          </w:p>
        </w:tc>
        <w:tc>
          <w:tcPr>
            <w:tcW w:w="539" w:type="pct"/>
            <w:vAlign w:val="center"/>
          </w:tcPr>
          <w:p w14:paraId="600D176B">
            <w:pPr>
              <w:pStyle w:val="687"/>
            </w:pPr>
            <w:r>
              <w:t>60m</w:t>
            </w:r>
          </w:p>
        </w:tc>
        <w:tc>
          <w:tcPr>
            <w:tcW w:w="392" w:type="pct"/>
            <w:vAlign w:val="center"/>
          </w:tcPr>
          <w:p w14:paraId="71485490">
            <w:pPr>
              <w:pStyle w:val="687"/>
            </w:pPr>
            <w:r>
              <w:t>60m</w:t>
            </w:r>
          </w:p>
        </w:tc>
        <w:tc>
          <w:tcPr>
            <w:tcW w:w="335" w:type="pct"/>
            <w:vAlign w:val="center"/>
          </w:tcPr>
          <w:p w14:paraId="7EE0F957">
            <w:pPr>
              <w:pStyle w:val="687"/>
            </w:pPr>
            <w:r>
              <w:t>60m</w:t>
            </w:r>
          </w:p>
        </w:tc>
        <w:tc>
          <w:tcPr>
            <w:tcW w:w="362" w:type="pct"/>
            <w:vAlign w:val="center"/>
          </w:tcPr>
          <w:p w14:paraId="17CA8781">
            <w:pPr>
              <w:pStyle w:val="687"/>
            </w:pPr>
            <w:r>
              <w:t>40m</w:t>
            </w:r>
          </w:p>
        </w:tc>
        <w:tc>
          <w:tcPr>
            <w:tcW w:w="401" w:type="pct"/>
            <w:vAlign w:val="center"/>
          </w:tcPr>
          <w:p w14:paraId="4FBD0DF2">
            <w:pPr>
              <w:pStyle w:val="687"/>
            </w:pPr>
            <w:r>
              <w:t>40m</w:t>
            </w:r>
          </w:p>
        </w:tc>
        <w:tc>
          <w:tcPr>
            <w:tcW w:w="281" w:type="pct"/>
            <w:vAlign w:val="center"/>
          </w:tcPr>
          <w:p w14:paraId="22CCCB97">
            <w:pPr>
              <w:pStyle w:val="687"/>
            </w:pPr>
            <w:r>
              <w:t>40m</w:t>
            </w:r>
          </w:p>
        </w:tc>
        <w:tc>
          <w:tcPr>
            <w:tcW w:w="281" w:type="pct"/>
            <w:vAlign w:val="center"/>
          </w:tcPr>
          <w:p w14:paraId="25AB2F0E">
            <w:pPr>
              <w:pStyle w:val="687"/>
            </w:pPr>
            <w:r>
              <w:t>30m</w:t>
            </w:r>
          </w:p>
        </w:tc>
        <w:tc>
          <w:tcPr>
            <w:tcW w:w="329" w:type="pct"/>
            <w:vAlign w:val="center"/>
          </w:tcPr>
          <w:p w14:paraId="333905B4">
            <w:pPr>
              <w:pStyle w:val="687"/>
            </w:pPr>
            <w:r>
              <w:t>60m</w:t>
            </w:r>
          </w:p>
        </w:tc>
        <w:tc>
          <w:tcPr>
            <w:tcW w:w="271" w:type="pct"/>
            <w:vAlign w:val="center"/>
          </w:tcPr>
          <w:p w14:paraId="2D9C8729">
            <w:pPr>
              <w:pStyle w:val="687"/>
            </w:pPr>
            <w:r>
              <w:t>40m</w:t>
            </w:r>
          </w:p>
        </w:tc>
        <w:tc>
          <w:tcPr>
            <w:tcW w:w="324" w:type="pct"/>
            <w:vAlign w:val="center"/>
          </w:tcPr>
          <w:p w14:paraId="68F9EF48">
            <w:pPr>
              <w:pStyle w:val="687"/>
            </w:pPr>
            <w:r>
              <w:t>40m</w:t>
            </w:r>
          </w:p>
        </w:tc>
        <w:tc>
          <w:tcPr>
            <w:tcW w:w="272" w:type="pct"/>
            <w:vAlign w:val="center"/>
          </w:tcPr>
          <w:p w14:paraId="575D909F">
            <w:pPr>
              <w:pStyle w:val="687"/>
            </w:pPr>
            <w:r>
              <w:t>40m</w:t>
            </w:r>
          </w:p>
        </w:tc>
        <w:tc>
          <w:tcPr>
            <w:tcW w:w="361" w:type="pct"/>
            <w:vAlign w:val="center"/>
          </w:tcPr>
          <w:p w14:paraId="3B81FA14">
            <w:pPr>
              <w:pStyle w:val="687"/>
            </w:pPr>
            <w:r>
              <w:t>30m</w:t>
            </w:r>
          </w:p>
        </w:tc>
        <w:tc>
          <w:tcPr>
            <w:tcW w:w="334" w:type="pct"/>
            <w:vAlign w:val="center"/>
          </w:tcPr>
          <w:p w14:paraId="0463B4B3">
            <w:pPr>
              <w:pStyle w:val="687"/>
            </w:pPr>
            <w:r>
              <w:t>150m</w:t>
            </w:r>
          </w:p>
        </w:tc>
      </w:tr>
      <w:tr w14:paraId="0DFF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169" w:type="pct"/>
            <w:vMerge w:val="continue"/>
            <w:vAlign w:val="center"/>
          </w:tcPr>
          <w:p w14:paraId="30C2C614">
            <w:pPr>
              <w:pStyle w:val="687"/>
            </w:pPr>
          </w:p>
        </w:tc>
        <w:tc>
          <w:tcPr>
            <w:tcW w:w="350" w:type="pct"/>
            <w:vAlign w:val="center"/>
          </w:tcPr>
          <w:p w14:paraId="3B35C515">
            <w:pPr>
              <w:pStyle w:val="687"/>
            </w:pPr>
            <w:r>
              <w:t>设计值</w:t>
            </w:r>
          </w:p>
        </w:tc>
        <w:tc>
          <w:tcPr>
            <w:tcW w:w="539" w:type="pct"/>
            <w:vAlign w:val="center"/>
          </w:tcPr>
          <w:p w14:paraId="18D6999D">
            <w:pPr>
              <w:pStyle w:val="687"/>
            </w:pPr>
            <w:r>
              <w:t>附近无</w:t>
            </w:r>
          </w:p>
        </w:tc>
        <w:tc>
          <w:tcPr>
            <w:tcW w:w="392" w:type="pct"/>
            <w:vAlign w:val="center"/>
          </w:tcPr>
          <w:p w14:paraId="7BCFCD7C">
            <w:pPr>
              <w:pStyle w:val="687"/>
            </w:pPr>
            <w:r>
              <w:t>127m</w:t>
            </w:r>
          </w:p>
        </w:tc>
        <w:tc>
          <w:tcPr>
            <w:tcW w:w="335" w:type="pct"/>
            <w:vAlign w:val="center"/>
          </w:tcPr>
          <w:p w14:paraId="6E0B09C0">
            <w:pPr>
              <w:pStyle w:val="687"/>
            </w:pPr>
            <w:r>
              <w:t>附近无</w:t>
            </w:r>
          </w:p>
        </w:tc>
        <w:tc>
          <w:tcPr>
            <w:tcW w:w="362" w:type="pct"/>
            <w:vAlign w:val="center"/>
          </w:tcPr>
          <w:p w14:paraId="388206C2">
            <w:pPr>
              <w:pStyle w:val="687"/>
            </w:pPr>
            <w:r>
              <w:t>附近无</w:t>
            </w:r>
          </w:p>
        </w:tc>
        <w:tc>
          <w:tcPr>
            <w:tcW w:w="401" w:type="pct"/>
            <w:vAlign w:val="center"/>
          </w:tcPr>
          <w:p w14:paraId="6F4A0BA1">
            <w:pPr>
              <w:pStyle w:val="687"/>
            </w:pPr>
            <w:r>
              <w:t>附近无</w:t>
            </w:r>
          </w:p>
        </w:tc>
        <w:tc>
          <w:tcPr>
            <w:tcW w:w="281" w:type="pct"/>
            <w:vAlign w:val="center"/>
          </w:tcPr>
          <w:p w14:paraId="06AD0073">
            <w:pPr>
              <w:pStyle w:val="687"/>
            </w:pPr>
            <w:r>
              <w:t>附近无</w:t>
            </w:r>
          </w:p>
        </w:tc>
        <w:tc>
          <w:tcPr>
            <w:tcW w:w="281" w:type="pct"/>
            <w:vAlign w:val="center"/>
          </w:tcPr>
          <w:p w14:paraId="35F6F10D">
            <w:pPr>
              <w:pStyle w:val="687"/>
            </w:pPr>
            <w:r>
              <w:t>91m</w:t>
            </w:r>
          </w:p>
        </w:tc>
        <w:tc>
          <w:tcPr>
            <w:tcW w:w="329" w:type="pct"/>
            <w:vAlign w:val="center"/>
          </w:tcPr>
          <w:p w14:paraId="5D8A5F2E">
            <w:pPr>
              <w:pStyle w:val="687"/>
            </w:pPr>
            <w:r>
              <w:t>附近无</w:t>
            </w:r>
          </w:p>
        </w:tc>
        <w:tc>
          <w:tcPr>
            <w:tcW w:w="271" w:type="pct"/>
            <w:vAlign w:val="center"/>
          </w:tcPr>
          <w:p w14:paraId="2072514A">
            <w:pPr>
              <w:pStyle w:val="687"/>
            </w:pPr>
            <w:r>
              <w:t>附近无</w:t>
            </w:r>
          </w:p>
        </w:tc>
        <w:tc>
          <w:tcPr>
            <w:tcW w:w="324" w:type="pct"/>
            <w:vAlign w:val="center"/>
          </w:tcPr>
          <w:p w14:paraId="5CA534BC">
            <w:pPr>
              <w:pStyle w:val="687"/>
            </w:pPr>
            <w:r>
              <w:t>43m</w:t>
            </w:r>
          </w:p>
        </w:tc>
        <w:tc>
          <w:tcPr>
            <w:tcW w:w="272" w:type="pct"/>
            <w:vAlign w:val="center"/>
          </w:tcPr>
          <w:p w14:paraId="48E4FA9F">
            <w:pPr>
              <w:pStyle w:val="687"/>
            </w:pPr>
            <w:r>
              <w:t>附近无</w:t>
            </w:r>
          </w:p>
        </w:tc>
        <w:tc>
          <w:tcPr>
            <w:tcW w:w="361" w:type="pct"/>
            <w:vAlign w:val="center"/>
          </w:tcPr>
          <w:p w14:paraId="136F75F0">
            <w:pPr>
              <w:pStyle w:val="687"/>
            </w:pPr>
            <w:r>
              <w:t>129m</w:t>
            </w:r>
          </w:p>
        </w:tc>
        <w:tc>
          <w:tcPr>
            <w:tcW w:w="334" w:type="pct"/>
            <w:vAlign w:val="center"/>
          </w:tcPr>
          <w:p w14:paraId="360C394D">
            <w:pPr>
              <w:pStyle w:val="687"/>
            </w:pPr>
            <w:r>
              <w:t>附近无</w:t>
            </w:r>
          </w:p>
        </w:tc>
      </w:tr>
      <w:tr w14:paraId="442E4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69" w:type="pct"/>
            <w:vAlign w:val="center"/>
          </w:tcPr>
          <w:p w14:paraId="0D849F74">
            <w:pPr>
              <w:pStyle w:val="687"/>
            </w:pPr>
            <w:r>
              <w:t>结果</w:t>
            </w:r>
          </w:p>
        </w:tc>
        <w:tc>
          <w:tcPr>
            <w:tcW w:w="350" w:type="pct"/>
            <w:vAlign w:val="center"/>
          </w:tcPr>
          <w:p w14:paraId="33E5EAD3">
            <w:pPr>
              <w:pStyle w:val="687"/>
            </w:pPr>
            <w:r>
              <w:t>符合</w:t>
            </w:r>
          </w:p>
        </w:tc>
        <w:tc>
          <w:tcPr>
            <w:tcW w:w="539" w:type="pct"/>
            <w:vAlign w:val="center"/>
          </w:tcPr>
          <w:p w14:paraId="166E77A6">
            <w:pPr>
              <w:pStyle w:val="687"/>
            </w:pPr>
            <w:r>
              <w:t>符合</w:t>
            </w:r>
          </w:p>
        </w:tc>
        <w:tc>
          <w:tcPr>
            <w:tcW w:w="392" w:type="pct"/>
            <w:vAlign w:val="center"/>
          </w:tcPr>
          <w:p w14:paraId="26F0CA5D">
            <w:pPr>
              <w:pStyle w:val="687"/>
            </w:pPr>
            <w:r>
              <w:t>符合</w:t>
            </w:r>
          </w:p>
        </w:tc>
        <w:tc>
          <w:tcPr>
            <w:tcW w:w="335" w:type="pct"/>
            <w:vAlign w:val="center"/>
          </w:tcPr>
          <w:p w14:paraId="7E9007F4">
            <w:pPr>
              <w:pStyle w:val="687"/>
            </w:pPr>
            <w:r>
              <w:t>符合</w:t>
            </w:r>
          </w:p>
        </w:tc>
        <w:tc>
          <w:tcPr>
            <w:tcW w:w="362" w:type="pct"/>
            <w:vAlign w:val="center"/>
          </w:tcPr>
          <w:p w14:paraId="768E285A">
            <w:pPr>
              <w:pStyle w:val="687"/>
            </w:pPr>
            <w:r>
              <w:t>符合</w:t>
            </w:r>
          </w:p>
        </w:tc>
        <w:tc>
          <w:tcPr>
            <w:tcW w:w="401" w:type="pct"/>
            <w:vAlign w:val="center"/>
          </w:tcPr>
          <w:p w14:paraId="46AF09B1">
            <w:pPr>
              <w:pStyle w:val="687"/>
            </w:pPr>
            <w:r>
              <w:t>符合</w:t>
            </w:r>
          </w:p>
        </w:tc>
        <w:tc>
          <w:tcPr>
            <w:tcW w:w="281" w:type="pct"/>
            <w:vAlign w:val="center"/>
          </w:tcPr>
          <w:p w14:paraId="4413B506">
            <w:pPr>
              <w:pStyle w:val="687"/>
            </w:pPr>
            <w:r>
              <w:t>符合</w:t>
            </w:r>
          </w:p>
        </w:tc>
        <w:tc>
          <w:tcPr>
            <w:tcW w:w="281" w:type="pct"/>
            <w:vAlign w:val="center"/>
          </w:tcPr>
          <w:p w14:paraId="43148C55">
            <w:pPr>
              <w:pStyle w:val="687"/>
            </w:pPr>
            <w:r>
              <w:t>符合</w:t>
            </w:r>
          </w:p>
        </w:tc>
        <w:tc>
          <w:tcPr>
            <w:tcW w:w="329" w:type="pct"/>
            <w:vAlign w:val="center"/>
          </w:tcPr>
          <w:p w14:paraId="06587AF7">
            <w:pPr>
              <w:pStyle w:val="687"/>
            </w:pPr>
            <w:r>
              <w:t>符合</w:t>
            </w:r>
          </w:p>
        </w:tc>
        <w:tc>
          <w:tcPr>
            <w:tcW w:w="271" w:type="pct"/>
            <w:vAlign w:val="center"/>
          </w:tcPr>
          <w:p w14:paraId="0B72004B">
            <w:pPr>
              <w:pStyle w:val="687"/>
            </w:pPr>
            <w:r>
              <w:t>符合</w:t>
            </w:r>
          </w:p>
        </w:tc>
        <w:tc>
          <w:tcPr>
            <w:tcW w:w="324" w:type="pct"/>
            <w:vAlign w:val="center"/>
          </w:tcPr>
          <w:p w14:paraId="2F81F751">
            <w:pPr>
              <w:pStyle w:val="687"/>
            </w:pPr>
            <w:r>
              <w:t>符合</w:t>
            </w:r>
          </w:p>
        </w:tc>
        <w:tc>
          <w:tcPr>
            <w:tcW w:w="272" w:type="pct"/>
            <w:vAlign w:val="center"/>
          </w:tcPr>
          <w:p w14:paraId="27F9AF80">
            <w:pPr>
              <w:pStyle w:val="687"/>
            </w:pPr>
            <w:r>
              <w:t>符合</w:t>
            </w:r>
          </w:p>
        </w:tc>
        <w:tc>
          <w:tcPr>
            <w:tcW w:w="361" w:type="pct"/>
            <w:vAlign w:val="center"/>
          </w:tcPr>
          <w:p w14:paraId="30CE8982">
            <w:pPr>
              <w:pStyle w:val="687"/>
            </w:pPr>
            <w:r>
              <w:t>符合</w:t>
            </w:r>
          </w:p>
        </w:tc>
        <w:tc>
          <w:tcPr>
            <w:tcW w:w="334" w:type="pct"/>
            <w:vAlign w:val="center"/>
          </w:tcPr>
          <w:p w14:paraId="7E7E090E">
            <w:pPr>
              <w:pStyle w:val="687"/>
            </w:pPr>
            <w:r>
              <w:t>符合</w:t>
            </w:r>
          </w:p>
        </w:tc>
      </w:tr>
    </w:tbl>
    <w:p w14:paraId="5E1A17A5">
      <w:pPr>
        <w:pStyle w:val="1379"/>
        <w:ind w:firstLine="440"/>
      </w:pPr>
    </w:p>
    <w:p w14:paraId="2DC08D87">
      <w:pPr>
        <w:pStyle w:val="1379"/>
        <w:ind w:firstLine="440"/>
      </w:pPr>
    </w:p>
    <w:p w14:paraId="4F025047">
      <w:pPr>
        <w:spacing w:line="460" w:lineRule="exact"/>
        <w:ind w:firstLine="520" w:firstLineChars="200"/>
        <w:rPr>
          <w:sz w:val="26"/>
          <w:szCs w:val="26"/>
        </w:rPr>
        <w:sectPr>
          <w:pgSz w:w="16838" w:h="11906" w:orient="landscape"/>
          <w:pgMar w:top="1588" w:right="1701" w:bottom="1588" w:left="1588" w:header="1304" w:footer="1247" w:gutter="0"/>
          <w:cols w:space="720" w:num="1"/>
          <w:docGrid w:linePitch="312" w:charSpace="0"/>
        </w:sectPr>
      </w:pPr>
    </w:p>
    <w:p w14:paraId="26CEA4A3">
      <w:pPr>
        <w:spacing w:line="460" w:lineRule="exact"/>
        <w:ind w:firstLine="520" w:firstLineChars="200"/>
        <w:rPr>
          <w:sz w:val="26"/>
          <w:szCs w:val="26"/>
        </w:rPr>
      </w:pPr>
      <w:r>
        <w:rPr>
          <w:rFonts w:hint="eastAsia"/>
          <w:sz w:val="26"/>
          <w:szCs w:val="26"/>
        </w:rPr>
        <w:t>本项目位于巴中2HF原钻井井场内，不新增占地，不涉及自然保护区、风景名胜区、森林公园、文物保护单位、饮用水源保护区、重要湿地等环境敏感区，不涉及生态保护红线等生态敏感区。同时，巴中2HF试采站选址满足《石油天然气工程设计防火规范》（</w:t>
      </w:r>
      <w:r>
        <w:rPr>
          <w:sz w:val="26"/>
          <w:szCs w:val="26"/>
        </w:rPr>
        <w:t>GB50183-2015</w:t>
      </w:r>
      <w:r>
        <w:rPr>
          <w:rFonts w:hint="eastAsia"/>
          <w:sz w:val="26"/>
          <w:szCs w:val="26"/>
        </w:rPr>
        <w:t>）五级站场和民房防火间距的要求，试采期间在落实各项环保措施的前提下对周边居民影响较小。</w:t>
      </w:r>
    </w:p>
    <w:p w14:paraId="608EC9D2">
      <w:pPr>
        <w:spacing w:line="460" w:lineRule="exact"/>
        <w:ind w:firstLine="520" w:firstLineChars="200"/>
        <w:rPr>
          <w:sz w:val="26"/>
          <w:szCs w:val="26"/>
        </w:rPr>
      </w:pPr>
      <w:r>
        <w:rPr>
          <w:rFonts w:hint="eastAsia"/>
          <w:sz w:val="26"/>
          <w:szCs w:val="26"/>
        </w:rPr>
        <w:t>因此，从环境保护角度看，巴中2HF试采站选址可行。</w:t>
      </w:r>
    </w:p>
    <w:p w14:paraId="60E15780">
      <w:pPr>
        <w:pStyle w:val="1059"/>
        <w:rPr>
          <w:rFonts w:cs="Times New Roman"/>
        </w:rPr>
      </w:pPr>
      <w:bookmarkStart w:id="108" w:name="_Toc219907628"/>
      <w:bookmarkStart w:id="109" w:name="_Toc165809678"/>
      <w:bookmarkStart w:id="110" w:name="_Toc165810474"/>
      <w:r>
        <w:rPr>
          <w:rFonts w:cs="Times New Roman"/>
        </w:rPr>
        <w:t>1.8环境保护目标</w:t>
      </w:r>
      <w:bookmarkEnd w:id="108"/>
      <w:bookmarkEnd w:id="109"/>
      <w:bookmarkEnd w:id="110"/>
    </w:p>
    <w:p w14:paraId="3FE6BE04">
      <w:pPr>
        <w:pStyle w:val="702"/>
        <w:ind w:firstLine="522"/>
        <w:outlineLvl w:val="2"/>
        <w:rPr>
          <w:rFonts w:cs="Times New Roman"/>
          <w:b/>
          <w:bCs/>
        </w:rPr>
      </w:pPr>
      <w:r>
        <w:rPr>
          <w:rFonts w:hint="eastAsia" w:cs="Times New Roman"/>
          <w:b/>
          <w:bCs/>
        </w:rPr>
        <w:t>1</w:t>
      </w:r>
      <w:r>
        <w:rPr>
          <w:rFonts w:cs="Times New Roman"/>
          <w:b/>
          <w:bCs/>
        </w:rPr>
        <w:t xml:space="preserve">.8.1 </w:t>
      </w:r>
      <w:r>
        <w:rPr>
          <w:rFonts w:hint="eastAsia" w:cs="Times New Roman"/>
          <w:b/>
          <w:bCs/>
        </w:rPr>
        <w:t>外环境关系介绍</w:t>
      </w:r>
    </w:p>
    <w:p w14:paraId="1214643E">
      <w:pPr>
        <w:pStyle w:val="702"/>
        <w:ind w:firstLine="520"/>
        <w:rPr>
          <w:b/>
        </w:rPr>
      </w:pPr>
      <w:r>
        <w:rPr>
          <w:rFonts w:hint="eastAsia" w:cs="Times New Roman"/>
        </w:rPr>
        <w:t>巴中2HF试采站位于巴中市</w:t>
      </w:r>
      <w:r>
        <w:rPr>
          <w:rFonts w:hint="eastAsia"/>
          <w:szCs w:val="26"/>
        </w:rPr>
        <w:t>恩阳区渔溪镇，位于巴中2HF原钻井井场内，</w:t>
      </w:r>
      <w:r>
        <w:rPr>
          <w:rFonts w:hint="eastAsia"/>
        </w:rPr>
        <w:t>500m范围内无铁路、无高速公路、场镇、医院、饮用水源地等，无大型厂矿、煤矿、油库以及风景名胜区等。试采站周边2</w:t>
      </w:r>
      <w:r>
        <w:t>00m范围内</w:t>
      </w:r>
      <w:r>
        <w:rPr>
          <w:rFonts w:hint="eastAsia"/>
        </w:rPr>
        <w:t>分布居民点</w:t>
      </w:r>
      <w:r>
        <w:t>29户约87人，</w:t>
      </w:r>
      <w:r>
        <w:rPr>
          <w:rFonts w:hint="eastAsia"/>
        </w:rPr>
        <w:t>500m范围内分布分散居民点</w:t>
      </w:r>
      <w:r>
        <w:t>106</w:t>
      </w:r>
      <w:r>
        <w:rPr>
          <w:rFonts w:hint="eastAsia"/>
        </w:rPr>
        <w:t>户约</w:t>
      </w:r>
      <w:r>
        <w:t>318</w:t>
      </w:r>
      <w:r>
        <w:rPr>
          <w:rFonts w:hint="eastAsia"/>
        </w:rPr>
        <w:t>人，站场与最近居民距离</w:t>
      </w:r>
      <w:r>
        <w:t>70</w:t>
      </w:r>
      <w:r>
        <w:rPr>
          <w:rFonts w:hint="eastAsia"/>
        </w:rPr>
        <w:t>m，</w:t>
      </w:r>
      <w:r>
        <w:t>与</w:t>
      </w:r>
      <w:r>
        <w:rPr>
          <w:rFonts w:hint="eastAsia"/>
        </w:rPr>
        <w:t>居民点距离满足《石油天然气工程设计防火规范》（</w:t>
      </w:r>
      <w:r>
        <w:t>GB50183-2015</w:t>
      </w:r>
      <w:r>
        <w:rPr>
          <w:rFonts w:hint="eastAsia"/>
        </w:rPr>
        <w:t>）五级站场和民房防火间距（</w:t>
      </w:r>
      <w:r>
        <w:t>30</w:t>
      </w:r>
      <w:r>
        <w:rPr>
          <w:rFonts w:hint="eastAsia"/>
        </w:rPr>
        <w:t>m）的要求。</w:t>
      </w:r>
      <w:r>
        <w:rPr>
          <w:rFonts w:hint="eastAsia"/>
          <w:b/>
        </w:rPr>
        <w:t>原巴中2</w:t>
      </w:r>
      <w:r>
        <w:rPr>
          <w:b/>
        </w:rPr>
        <w:t>HF</w:t>
      </w:r>
      <w:r>
        <w:rPr>
          <w:rFonts w:hint="eastAsia"/>
          <w:b/>
        </w:rPr>
        <w:t>钻井井口1</w:t>
      </w:r>
      <w:r>
        <w:rPr>
          <w:b/>
        </w:rPr>
        <w:t>00</w:t>
      </w:r>
      <w:r>
        <w:rPr>
          <w:rFonts w:hint="eastAsia"/>
          <w:b/>
        </w:rPr>
        <w:t>m范围内分布</w:t>
      </w:r>
      <w:r>
        <w:rPr>
          <w:b/>
        </w:rPr>
        <w:t>5</w:t>
      </w:r>
      <w:r>
        <w:rPr>
          <w:rFonts w:hint="eastAsia"/>
          <w:b/>
        </w:rPr>
        <w:t>户居民，放喷池5</w:t>
      </w:r>
      <w:r>
        <w:rPr>
          <w:b/>
        </w:rPr>
        <w:t>0</w:t>
      </w:r>
      <w:r>
        <w:rPr>
          <w:rFonts w:hint="eastAsia"/>
          <w:b/>
        </w:rPr>
        <w:t>m范围内有1户居民，钻井工程采取了搬迁措施，目前钻井井口1</w:t>
      </w:r>
      <w:r>
        <w:rPr>
          <w:b/>
        </w:rPr>
        <w:t>00</w:t>
      </w:r>
      <w:r>
        <w:rPr>
          <w:rFonts w:hint="eastAsia"/>
          <w:b/>
        </w:rPr>
        <w:t>m范围、放喷池5</w:t>
      </w:r>
      <w:r>
        <w:rPr>
          <w:b/>
        </w:rPr>
        <w:t>0</w:t>
      </w:r>
      <w:r>
        <w:rPr>
          <w:rFonts w:hint="eastAsia"/>
          <w:b/>
        </w:rPr>
        <w:t>m范围内无居民分布。</w:t>
      </w:r>
    </w:p>
    <w:p w14:paraId="7474AFD4">
      <w:pPr>
        <w:pStyle w:val="1068"/>
      </w:pPr>
      <w:r>
        <w:rPr>
          <w:rFonts w:hint="eastAsia"/>
        </w:rPr>
        <w:t>1</w:t>
      </w:r>
      <w:r>
        <w:t xml:space="preserve">.8.2 </w:t>
      </w:r>
      <w:r>
        <w:rPr>
          <w:rFonts w:hint="eastAsia"/>
        </w:rPr>
        <w:t>区域集中式饮用水源地</w:t>
      </w:r>
    </w:p>
    <w:p w14:paraId="634E3E12">
      <w:pPr>
        <w:pStyle w:val="702"/>
        <w:ind w:firstLine="520"/>
      </w:pPr>
      <w:r>
        <w:rPr>
          <w:rFonts w:hint="eastAsia"/>
          <w:szCs w:val="26"/>
        </w:rPr>
        <w:t>本项目位于</w:t>
      </w:r>
      <w:r>
        <w:rPr>
          <w:rFonts w:hint="eastAsia" w:cs="Times New Roman"/>
        </w:rPr>
        <w:t>巴中市</w:t>
      </w:r>
      <w:r>
        <w:rPr>
          <w:rFonts w:hint="eastAsia"/>
          <w:szCs w:val="26"/>
        </w:rPr>
        <w:t>恩阳区渔溪镇，根据调查，本项目所在区域最近的</w:t>
      </w:r>
      <w:r>
        <w:rPr>
          <w:rFonts w:hint="eastAsia"/>
        </w:rPr>
        <w:t>集中式饮用水源地为红霞水库集中式饮用水水源保护区，</w:t>
      </w:r>
      <w:r>
        <w:rPr>
          <w:rFonts w:hint="eastAsia" w:cs="Times New Roman"/>
        </w:rPr>
        <w:t>为地表水型饮用水源地</w:t>
      </w:r>
      <w:r>
        <w:rPr>
          <w:rFonts w:hint="eastAsia"/>
        </w:rPr>
        <w:t>，本项目距离其保护区边界约2</w:t>
      </w:r>
      <w:r>
        <w:t>.0</w:t>
      </w:r>
      <w:r>
        <w:rPr>
          <w:rFonts w:hint="eastAsia"/>
        </w:rPr>
        <w:t>km，未在其集雨范围内，亦无水力联系。</w:t>
      </w:r>
    </w:p>
    <w:p w14:paraId="3B37A94C">
      <w:pPr>
        <w:pStyle w:val="1379"/>
        <w:ind w:firstLine="440"/>
      </w:pPr>
    </w:p>
    <w:p w14:paraId="22F867F5">
      <w:pPr>
        <w:pStyle w:val="1065"/>
      </w:pPr>
      <w:r>
        <w:t xml:space="preserve">表1.8-1  </w:t>
      </w:r>
      <w:r>
        <w:rPr>
          <w:rFonts w:hint="eastAsia"/>
        </w:rPr>
        <w:t>区域集中式饮用水源地一览表</w:t>
      </w:r>
    </w:p>
    <w:tbl>
      <w:tblPr>
        <w:tblStyle w:val="8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687"/>
        <w:gridCol w:w="421"/>
        <w:gridCol w:w="414"/>
        <w:gridCol w:w="610"/>
        <w:gridCol w:w="1137"/>
        <w:gridCol w:w="680"/>
        <w:gridCol w:w="1342"/>
        <w:gridCol w:w="1477"/>
        <w:gridCol w:w="427"/>
        <w:gridCol w:w="1556"/>
      </w:tblGrid>
      <w:tr w14:paraId="04384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392" w:type="pct"/>
            <w:vAlign w:val="center"/>
          </w:tcPr>
          <w:p w14:paraId="686114D3">
            <w:pPr>
              <w:widowControl/>
              <w:jc w:val="center"/>
              <w:rPr>
                <w:sz w:val="20"/>
                <w:szCs w:val="20"/>
              </w:rPr>
            </w:pPr>
            <w:r>
              <w:rPr>
                <w:sz w:val="20"/>
                <w:szCs w:val="20"/>
              </w:rPr>
              <w:t>水源地</w:t>
            </w:r>
          </w:p>
          <w:p w14:paraId="6E2668E3">
            <w:pPr>
              <w:widowControl/>
              <w:jc w:val="center"/>
              <w:rPr>
                <w:kern w:val="0"/>
                <w:sz w:val="20"/>
                <w:szCs w:val="20"/>
              </w:rPr>
            </w:pPr>
            <w:r>
              <w:rPr>
                <w:sz w:val="20"/>
                <w:szCs w:val="20"/>
              </w:rPr>
              <w:t>名称</w:t>
            </w:r>
          </w:p>
        </w:tc>
        <w:tc>
          <w:tcPr>
            <w:tcW w:w="240" w:type="pct"/>
            <w:vAlign w:val="center"/>
          </w:tcPr>
          <w:p w14:paraId="5292CC37">
            <w:pPr>
              <w:widowControl/>
              <w:jc w:val="center"/>
              <w:rPr>
                <w:kern w:val="0"/>
                <w:sz w:val="20"/>
                <w:szCs w:val="20"/>
              </w:rPr>
            </w:pPr>
            <w:r>
              <w:rPr>
                <w:sz w:val="20"/>
                <w:szCs w:val="20"/>
              </w:rPr>
              <w:t>区域</w:t>
            </w:r>
          </w:p>
        </w:tc>
        <w:tc>
          <w:tcPr>
            <w:tcW w:w="236" w:type="pct"/>
            <w:vAlign w:val="center"/>
          </w:tcPr>
          <w:p w14:paraId="64B14EA4">
            <w:pPr>
              <w:widowControl/>
              <w:jc w:val="center"/>
              <w:rPr>
                <w:kern w:val="0"/>
                <w:sz w:val="20"/>
                <w:szCs w:val="20"/>
              </w:rPr>
            </w:pPr>
            <w:r>
              <w:rPr>
                <w:sz w:val="20"/>
                <w:szCs w:val="20"/>
              </w:rPr>
              <w:t>级别</w:t>
            </w:r>
          </w:p>
        </w:tc>
        <w:tc>
          <w:tcPr>
            <w:tcW w:w="348" w:type="pct"/>
            <w:vAlign w:val="center"/>
          </w:tcPr>
          <w:p w14:paraId="0122E2AB">
            <w:pPr>
              <w:widowControl/>
              <w:jc w:val="center"/>
              <w:rPr>
                <w:kern w:val="0"/>
                <w:sz w:val="20"/>
                <w:szCs w:val="20"/>
              </w:rPr>
            </w:pPr>
            <w:r>
              <w:rPr>
                <w:sz w:val="20"/>
                <w:szCs w:val="20"/>
              </w:rPr>
              <w:t>水源类型</w:t>
            </w:r>
          </w:p>
        </w:tc>
        <w:tc>
          <w:tcPr>
            <w:tcW w:w="650" w:type="pct"/>
            <w:vAlign w:val="center"/>
          </w:tcPr>
          <w:p w14:paraId="325E5B9D">
            <w:pPr>
              <w:widowControl/>
              <w:jc w:val="center"/>
              <w:rPr>
                <w:kern w:val="0"/>
                <w:sz w:val="20"/>
                <w:szCs w:val="20"/>
              </w:rPr>
            </w:pPr>
            <w:r>
              <w:rPr>
                <w:sz w:val="20"/>
                <w:szCs w:val="20"/>
              </w:rPr>
              <w:t>取水口位置</w:t>
            </w:r>
          </w:p>
        </w:tc>
        <w:tc>
          <w:tcPr>
            <w:tcW w:w="389" w:type="pct"/>
            <w:vAlign w:val="center"/>
          </w:tcPr>
          <w:p w14:paraId="68ED774B">
            <w:pPr>
              <w:widowControl/>
              <w:jc w:val="center"/>
              <w:rPr>
                <w:kern w:val="0"/>
                <w:sz w:val="20"/>
                <w:szCs w:val="20"/>
              </w:rPr>
            </w:pPr>
            <w:r>
              <w:rPr>
                <w:sz w:val="20"/>
                <w:szCs w:val="20"/>
              </w:rPr>
              <w:t>供水范围</w:t>
            </w:r>
          </w:p>
        </w:tc>
        <w:tc>
          <w:tcPr>
            <w:tcW w:w="767" w:type="pct"/>
            <w:vAlign w:val="center"/>
          </w:tcPr>
          <w:p w14:paraId="790654BE">
            <w:pPr>
              <w:widowControl/>
              <w:jc w:val="center"/>
              <w:rPr>
                <w:kern w:val="0"/>
                <w:sz w:val="20"/>
                <w:szCs w:val="20"/>
              </w:rPr>
            </w:pPr>
            <w:r>
              <w:rPr>
                <w:sz w:val="20"/>
                <w:szCs w:val="20"/>
              </w:rPr>
              <w:t>一级保护区</w:t>
            </w:r>
          </w:p>
        </w:tc>
        <w:tc>
          <w:tcPr>
            <w:tcW w:w="844" w:type="pct"/>
            <w:vAlign w:val="center"/>
          </w:tcPr>
          <w:p w14:paraId="02EDF31D">
            <w:pPr>
              <w:widowControl/>
              <w:jc w:val="center"/>
              <w:rPr>
                <w:kern w:val="0"/>
                <w:sz w:val="20"/>
                <w:szCs w:val="20"/>
              </w:rPr>
            </w:pPr>
            <w:r>
              <w:rPr>
                <w:sz w:val="20"/>
                <w:szCs w:val="20"/>
              </w:rPr>
              <w:t>二级保护区</w:t>
            </w:r>
          </w:p>
        </w:tc>
        <w:tc>
          <w:tcPr>
            <w:tcW w:w="244" w:type="pct"/>
            <w:vAlign w:val="center"/>
          </w:tcPr>
          <w:p w14:paraId="7D945D33">
            <w:pPr>
              <w:widowControl/>
              <w:jc w:val="center"/>
              <w:rPr>
                <w:kern w:val="0"/>
                <w:sz w:val="20"/>
                <w:szCs w:val="20"/>
              </w:rPr>
            </w:pPr>
            <w:r>
              <w:rPr>
                <w:sz w:val="20"/>
                <w:szCs w:val="20"/>
              </w:rPr>
              <w:t>准保护区</w:t>
            </w:r>
          </w:p>
        </w:tc>
        <w:tc>
          <w:tcPr>
            <w:tcW w:w="889" w:type="pct"/>
            <w:vAlign w:val="center"/>
          </w:tcPr>
          <w:p w14:paraId="3FC85A2D">
            <w:pPr>
              <w:widowControl/>
              <w:jc w:val="center"/>
              <w:rPr>
                <w:kern w:val="0"/>
                <w:sz w:val="20"/>
                <w:szCs w:val="20"/>
              </w:rPr>
            </w:pPr>
            <w:r>
              <w:rPr>
                <w:sz w:val="20"/>
                <w:szCs w:val="20"/>
              </w:rPr>
              <w:t>项目相对保护区位置关系</w:t>
            </w:r>
          </w:p>
        </w:tc>
      </w:tr>
      <w:tr w14:paraId="7208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392" w:type="pct"/>
            <w:vAlign w:val="center"/>
          </w:tcPr>
          <w:p w14:paraId="4B2B3CAC">
            <w:pPr>
              <w:widowControl/>
              <w:jc w:val="center"/>
              <w:rPr>
                <w:kern w:val="0"/>
                <w:sz w:val="20"/>
                <w:szCs w:val="20"/>
              </w:rPr>
            </w:pPr>
            <w:r>
              <w:rPr>
                <w:rFonts w:hint="eastAsia"/>
                <w:kern w:val="0"/>
                <w:sz w:val="20"/>
                <w:szCs w:val="20"/>
              </w:rPr>
              <w:t>红霞水库集中式饮用水水源保护区</w:t>
            </w:r>
          </w:p>
        </w:tc>
        <w:tc>
          <w:tcPr>
            <w:tcW w:w="240" w:type="pct"/>
            <w:vAlign w:val="center"/>
          </w:tcPr>
          <w:p w14:paraId="54C37131">
            <w:pPr>
              <w:widowControl/>
              <w:jc w:val="center"/>
              <w:rPr>
                <w:kern w:val="0"/>
                <w:sz w:val="20"/>
                <w:szCs w:val="20"/>
              </w:rPr>
            </w:pPr>
            <w:r>
              <w:rPr>
                <w:rFonts w:hint="eastAsia"/>
                <w:kern w:val="0"/>
                <w:sz w:val="20"/>
                <w:szCs w:val="20"/>
              </w:rPr>
              <w:t>巴中市恩阳区</w:t>
            </w:r>
          </w:p>
        </w:tc>
        <w:tc>
          <w:tcPr>
            <w:tcW w:w="236" w:type="pct"/>
            <w:vAlign w:val="center"/>
          </w:tcPr>
          <w:p w14:paraId="68DA556A">
            <w:pPr>
              <w:widowControl/>
              <w:jc w:val="center"/>
              <w:rPr>
                <w:kern w:val="0"/>
                <w:sz w:val="20"/>
                <w:szCs w:val="20"/>
              </w:rPr>
            </w:pPr>
            <w:r>
              <w:rPr>
                <w:rFonts w:hint="eastAsia"/>
                <w:kern w:val="0"/>
                <w:sz w:val="20"/>
                <w:szCs w:val="20"/>
              </w:rPr>
              <w:t>乡镇</w:t>
            </w:r>
          </w:p>
        </w:tc>
        <w:tc>
          <w:tcPr>
            <w:tcW w:w="348" w:type="pct"/>
            <w:vAlign w:val="center"/>
          </w:tcPr>
          <w:p w14:paraId="1B0BC3F0">
            <w:pPr>
              <w:widowControl/>
              <w:jc w:val="center"/>
              <w:rPr>
                <w:kern w:val="0"/>
                <w:sz w:val="20"/>
                <w:szCs w:val="20"/>
              </w:rPr>
            </w:pPr>
            <w:r>
              <w:rPr>
                <w:rFonts w:hint="eastAsia"/>
                <w:kern w:val="0"/>
                <w:sz w:val="20"/>
                <w:szCs w:val="20"/>
              </w:rPr>
              <w:t>湖库</w:t>
            </w:r>
          </w:p>
        </w:tc>
        <w:tc>
          <w:tcPr>
            <w:tcW w:w="650" w:type="pct"/>
            <w:vAlign w:val="center"/>
          </w:tcPr>
          <w:p w14:paraId="2D688E67">
            <w:pPr>
              <w:widowControl/>
              <w:jc w:val="center"/>
              <w:rPr>
                <w:kern w:val="0"/>
                <w:sz w:val="20"/>
                <w:szCs w:val="20"/>
              </w:rPr>
            </w:pPr>
            <w:r>
              <w:rPr>
                <w:kern w:val="0"/>
                <w:sz w:val="20"/>
                <w:szCs w:val="20"/>
              </w:rPr>
              <w:t>106°</w:t>
            </w:r>
            <w:r>
              <w:rPr>
                <w:rFonts w:hint="eastAsia"/>
                <w:kern w:val="0"/>
                <w:sz w:val="20"/>
                <w:szCs w:val="20"/>
              </w:rPr>
              <w:t>26</w:t>
            </w:r>
            <w:r>
              <w:rPr>
                <w:kern w:val="0"/>
                <w:sz w:val="20"/>
                <w:szCs w:val="20"/>
              </w:rPr>
              <w:t>′</w:t>
            </w:r>
            <w:r>
              <w:rPr>
                <w:rFonts w:hint="eastAsia"/>
                <w:kern w:val="0"/>
                <w:sz w:val="20"/>
                <w:szCs w:val="20"/>
              </w:rPr>
              <w:t>52</w:t>
            </w:r>
            <w:r>
              <w:rPr>
                <w:kern w:val="0"/>
                <w:sz w:val="20"/>
                <w:szCs w:val="20"/>
              </w:rPr>
              <w:t>.</w:t>
            </w:r>
            <w:r>
              <w:rPr>
                <w:rFonts w:hint="eastAsia"/>
                <w:kern w:val="0"/>
                <w:sz w:val="20"/>
                <w:szCs w:val="20"/>
              </w:rPr>
              <w:t>91</w:t>
            </w:r>
            <w:r>
              <w:rPr>
                <w:kern w:val="0"/>
                <w:sz w:val="20"/>
                <w:szCs w:val="20"/>
              </w:rPr>
              <w:t>″</w:t>
            </w:r>
            <w:r>
              <w:rPr>
                <w:rFonts w:hint="eastAsia"/>
                <w:kern w:val="0"/>
                <w:sz w:val="20"/>
                <w:szCs w:val="20"/>
              </w:rPr>
              <w:t>E，</w:t>
            </w:r>
            <w:r>
              <w:rPr>
                <w:kern w:val="0"/>
                <w:sz w:val="20"/>
                <w:szCs w:val="20"/>
              </w:rPr>
              <w:t>31°</w:t>
            </w:r>
            <w:r>
              <w:rPr>
                <w:rFonts w:hint="eastAsia"/>
                <w:kern w:val="0"/>
                <w:sz w:val="20"/>
                <w:szCs w:val="20"/>
              </w:rPr>
              <w:t>48</w:t>
            </w:r>
            <w:r>
              <w:rPr>
                <w:kern w:val="0"/>
                <w:sz w:val="20"/>
                <w:szCs w:val="20"/>
              </w:rPr>
              <w:t>′</w:t>
            </w:r>
            <w:r>
              <w:rPr>
                <w:rFonts w:hint="eastAsia"/>
                <w:kern w:val="0"/>
                <w:sz w:val="20"/>
                <w:szCs w:val="20"/>
              </w:rPr>
              <w:t>07</w:t>
            </w:r>
            <w:r>
              <w:rPr>
                <w:kern w:val="0"/>
                <w:sz w:val="20"/>
                <w:szCs w:val="20"/>
              </w:rPr>
              <w:t>.</w:t>
            </w:r>
            <w:r>
              <w:rPr>
                <w:rFonts w:hint="eastAsia"/>
                <w:kern w:val="0"/>
                <w:sz w:val="20"/>
                <w:szCs w:val="20"/>
              </w:rPr>
              <w:t>00</w:t>
            </w:r>
            <w:r>
              <w:rPr>
                <w:kern w:val="0"/>
                <w:sz w:val="20"/>
                <w:szCs w:val="20"/>
              </w:rPr>
              <w:t>″</w:t>
            </w:r>
            <w:r>
              <w:rPr>
                <w:rFonts w:hint="eastAsia"/>
                <w:kern w:val="0"/>
                <w:sz w:val="20"/>
                <w:szCs w:val="20"/>
              </w:rPr>
              <w:t>N</w:t>
            </w:r>
          </w:p>
        </w:tc>
        <w:tc>
          <w:tcPr>
            <w:tcW w:w="389" w:type="pct"/>
            <w:vAlign w:val="center"/>
          </w:tcPr>
          <w:p w14:paraId="1F2BD272">
            <w:pPr>
              <w:widowControl/>
              <w:rPr>
                <w:kern w:val="0"/>
                <w:sz w:val="20"/>
                <w:szCs w:val="20"/>
              </w:rPr>
            </w:pPr>
            <w:r>
              <w:rPr>
                <w:kern w:val="0"/>
                <w:sz w:val="20"/>
                <w:szCs w:val="20"/>
              </w:rPr>
              <w:t>供水范围为</w:t>
            </w:r>
            <w:r>
              <w:rPr>
                <w:rFonts w:hint="eastAsia"/>
                <w:kern w:val="0"/>
                <w:sz w:val="20"/>
                <w:szCs w:val="20"/>
              </w:rPr>
              <w:t>渔溪镇</w:t>
            </w:r>
            <w:r>
              <w:rPr>
                <w:kern w:val="0"/>
                <w:sz w:val="20"/>
                <w:szCs w:val="20"/>
              </w:rPr>
              <w:t>及周边</w:t>
            </w:r>
          </w:p>
        </w:tc>
        <w:tc>
          <w:tcPr>
            <w:tcW w:w="767" w:type="pct"/>
            <w:vAlign w:val="center"/>
          </w:tcPr>
          <w:p w14:paraId="6F352EC3">
            <w:pPr>
              <w:widowControl/>
              <w:rPr>
                <w:kern w:val="0"/>
                <w:sz w:val="20"/>
                <w:szCs w:val="20"/>
              </w:rPr>
            </w:pPr>
            <w:r>
              <w:rPr>
                <w:kern w:val="0"/>
                <w:sz w:val="20"/>
                <w:szCs w:val="20"/>
              </w:rPr>
              <w:t>水库全部水域范围</w:t>
            </w:r>
            <w:r>
              <w:rPr>
                <w:rFonts w:hint="eastAsia"/>
                <w:kern w:val="0"/>
                <w:sz w:val="20"/>
                <w:szCs w:val="20"/>
              </w:rPr>
              <w:t>，以一级保护区水域外延200m范围，但不超过流域分水岭范围(第一重山脊线)。</w:t>
            </w:r>
          </w:p>
        </w:tc>
        <w:tc>
          <w:tcPr>
            <w:tcW w:w="844" w:type="pct"/>
            <w:vAlign w:val="center"/>
          </w:tcPr>
          <w:p w14:paraId="664FD664">
            <w:pPr>
              <w:widowControl/>
              <w:rPr>
                <w:kern w:val="0"/>
                <w:sz w:val="20"/>
                <w:szCs w:val="20"/>
              </w:rPr>
            </w:pPr>
            <w:r>
              <w:rPr>
                <w:kern w:val="0"/>
                <w:sz w:val="20"/>
                <w:szCs w:val="20"/>
              </w:rPr>
              <w:t>库区流域山脊线以内，除去一级保护区陆域以外的全部范围</w:t>
            </w:r>
            <w:r>
              <w:rPr>
                <w:rFonts w:hint="eastAsia"/>
                <w:kern w:val="0"/>
                <w:sz w:val="20"/>
                <w:szCs w:val="20"/>
              </w:rPr>
              <w:t>。</w:t>
            </w:r>
          </w:p>
        </w:tc>
        <w:tc>
          <w:tcPr>
            <w:tcW w:w="244" w:type="pct"/>
            <w:vAlign w:val="center"/>
          </w:tcPr>
          <w:p w14:paraId="1FE0955E">
            <w:pPr>
              <w:widowControl/>
              <w:jc w:val="center"/>
              <w:rPr>
                <w:kern w:val="0"/>
                <w:sz w:val="20"/>
                <w:szCs w:val="20"/>
              </w:rPr>
            </w:pPr>
            <w:r>
              <w:rPr>
                <w:rFonts w:hint="eastAsia"/>
                <w:kern w:val="0"/>
                <w:sz w:val="20"/>
                <w:szCs w:val="20"/>
              </w:rPr>
              <w:t>无</w:t>
            </w:r>
          </w:p>
        </w:tc>
        <w:tc>
          <w:tcPr>
            <w:tcW w:w="889" w:type="pct"/>
            <w:vAlign w:val="center"/>
          </w:tcPr>
          <w:p w14:paraId="05CF053A">
            <w:pPr>
              <w:widowControl/>
              <w:rPr>
                <w:kern w:val="0"/>
                <w:sz w:val="20"/>
                <w:szCs w:val="20"/>
              </w:rPr>
            </w:pPr>
            <w:r>
              <w:rPr>
                <w:rFonts w:hint="eastAsia"/>
                <w:kern w:val="0"/>
                <w:sz w:val="20"/>
                <w:szCs w:val="20"/>
              </w:rPr>
              <w:t>试采站距离保护区约</w:t>
            </w:r>
            <w:r>
              <w:rPr>
                <w:kern w:val="0"/>
                <w:sz w:val="20"/>
                <w:szCs w:val="20"/>
              </w:rPr>
              <w:t>2.0</w:t>
            </w:r>
            <w:r>
              <w:rPr>
                <w:rFonts w:hint="eastAsia"/>
                <w:kern w:val="0"/>
                <w:sz w:val="20"/>
                <w:szCs w:val="20"/>
              </w:rPr>
              <w:t>km，距离取水口约2</w:t>
            </w:r>
            <w:r>
              <w:rPr>
                <w:kern w:val="0"/>
                <w:sz w:val="20"/>
                <w:szCs w:val="20"/>
              </w:rPr>
              <w:t>.2</w:t>
            </w:r>
            <w:r>
              <w:rPr>
                <w:rFonts w:hint="eastAsia"/>
                <w:kern w:val="0"/>
                <w:sz w:val="20"/>
                <w:szCs w:val="20"/>
              </w:rPr>
              <w:t>km</w:t>
            </w:r>
            <w:r>
              <w:rPr>
                <w:kern w:val="0"/>
                <w:sz w:val="20"/>
                <w:szCs w:val="20"/>
              </w:rPr>
              <w:t>。未在保护区集雨范围内，二者无水力联系</w:t>
            </w:r>
            <w:r>
              <w:rPr>
                <w:rFonts w:hint="eastAsia"/>
                <w:kern w:val="0"/>
                <w:sz w:val="20"/>
                <w:szCs w:val="20"/>
              </w:rPr>
              <w:t>。</w:t>
            </w:r>
          </w:p>
        </w:tc>
      </w:tr>
    </w:tbl>
    <w:p w14:paraId="4D80DA4A">
      <w:pPr>
        <w:pStyle w:val="1379"/>
        <w:ind w:firstLine="440"/>
      </w:pPr>
    </w:p>
    <w:p w14:paraId="6B57762A">
      <w:pPr>
        <w:pStyle w:val="702"/>
        <w:ind w:firstLine="522"/>
        <w:outlineLvl w:val="2"/>
        <w:rPr>
          <w:rFonts w:cs="Times New Roman"/>
          <w:b/>
          <w:bCs/>
        </w:rPr>
      </w:pPr>
      <w:bookmarkStart w:id="111" w:name="_Toc165810475"/>
      <w:r>
        <w:rPr>
          <w:rFonts w:hint="eastAsia" w:cs="Times New Roman"/>
          <w:b/>
          <w:bCs/>
        </w:rPr>
        <w:t>1</w:t>
      </w:r>
      <w:r>
        <w:rPr>
          <w:rFonts w:cs="Times New Roman"/>
          <w:b/>
          <w:bCs/>
        </w:rPr>
        <w:t xml:space="preserve">.8.3 </w:t>
      </w:r>
      <w:r>
        <w:rPr>
          <w:rFonts w:hint="eastAsia" w:cs="Times New Roman"/>
          <w:b/>
          <w:bCs/>
        </w:rPr>
        <w:t>环境保护目标</w:t>
      </w:r>
    </w:p>
    <w:p w14:paraId="155D1768">
      <w:pPr>
        <w:pStyle w:val="1381"/>
        <w:ind w:firstLine="520"/>
      </w:pPr>
      <w:r>
        <w:rPr>
          <w:rFonts w:hint="eastAsia"/>
        </w:rPr>
        <w:t>（1）生态环境保护目标</w:t>
      </w:r>
      <w:bookmarkEnd w:id="111"/>
    </w:p>
    <w:p w14:paraId="2F57A4DC">
      <w:pPr>
        <w:pStyle w:val="702"/>
        <w:ind w:firstLine="520"/>
        <w:rPr>
          <w:rFonts w:cs="Times New Roman"/>
        </w:rPr>
      </w:pPr>
      <w:r>
        <w:rPr>
          <w:rFonts w:cs="Times New Roman"/>
        </w:rPr>
        <w:t>本项目评价范围内的生态保护目标主要为耕地、林地、自然植被、野生动物、水土保持及自然景观。评价范围内无珍稀</w:t>
      </w:r>
      <w:r>
        <w:rPr>
          <w:rFonts w:hint="eastAsia" w:cs="Times New Roman"/>
        </w:rPr>
        <w:t>、</w:t>
      </w:r>
      <w:r>
        <w:rPr>
          <w:rFonts w:cs="Times New Roman"/>
        </w:rPr>
        <w:t>保护植物及古树名木。生态环境保护目标主要包括项目建设区域内永久基本农田</w:t>
      </w:r>
      <w:r>
        <w:rPr>
          <w:rFonts w:hint="eastAsia" w:cs="Times New Roman"/>
        </w:rPr>
        <w:t>等，</w:t>
      </w:r>
      <w:r>
        <w:rPr>
          <w:rFonts w:cs="Times New Roman"/>
        </w:rPr>
        <w:t>不涉及重要水生生物的产卵场、索饵场、越冬场和洄游通道，</w:t>
      </w:r>
      <w:r>
        <w:rPr>
          <w:rFonts w:hint="eastAsia" w:cs="Times New Roman"/>
        </w:rPr>
        <w:t>无重要物种的重要生境，无迁徙鸟类的重要繁殖地、停歇地、越冬地以及野生动物迁徙通道。</w:t>
      </w:r>
    </w:p>
    <w:p w14:paraId="505C489D">
      <w:pPr>
        <w:pStyle w:val="1066"/>
        <w:ind w:firstLine="520"/>
      </w:pPr>
    </w:p>
    <w:p w14:paraId="7F5A8DD1">
      <w:pPr>
        <w:keepNext/>
        <w:adjustRightInd w:val="0"/>
        <w:snapToGrid w:val="0"/>
        <w:jc w:val="center"/>
        <w:rPr>
          <w:sz w:val="26"/>
          <w:szCs w:val="26"/>
        </w:rPr>
      </w:pPr>
      <w:r>
        <w:rPr>
          <w:sz w:val="26"/>
          <w:szCs w:val="26"/>
        </w:rPr>
        <w:t>表1.8-2  陆生生态保护目标一览表</w:t>
      </w:r>
    </w:p>
    <w:tbl>
      <w:tblPr>
        <w:tblStyle w:val="89"/>
        <w:tblW w:w="8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2693"/>
        <w:gridCol w:w="4426"/>
      </w:tblGrid>
      <w:tr w14:paraId="47C7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4FFF8283">
            <w:pPr>
              <w:pStyle w:val="1429"/>
              <w:rPr>
                <w:rFonts w:cs="Times New Roman"/>
              </w:rPr>
            </w:pPr>
            <w:r>
              <w:rPr>
                <w:rFonts w:cs="Times New Roman"/>
                <w:lang w:bidi="ar"/>
              </w:rPr>
              <w:t>保护对象</w:t>
            </w:r>
          </w:p>
        </w:tc>
        <w:tc>
          <w:tcPr>
            <w:tcW w:w="2693" w:type="dxa"/>
            <w:vAlign w:val="center"/>
          </w:tcPr>
          <w:p w14:paraId="183EB189">
            <w:pPr>
              <w:pStyle w:val="1429"/>
              <w:rPr>
                <w:rFonts w:cs="Times New Roman"/>
              </w:rPr>
            </w:pPr>
            <w:r>
              <w:rPr>
                <w:rFonts w:hint="eastAsia" w:cs="Times New Roman"/>
              </w:rPr>
              <w:t>保护目标概况</w:t>
            </w:r>
          </w:p>
        </w:tc>
        <w:tc>
          <w:tcPr>
            <w:tcW w:w="4426" w:type="dxa"/>
            <w:vAlign w:val="center"/>
          </w:tcPr>
          <w:p w14:paraId="382D955C">
            <w:pPr>
              <w:pStyle w:val="1429"/>
              <w:rPr>
                <w:rFonts w:cs="Times New Roman"/>
              </w:rPr>
            </w:pPr>
            <w:r>
              <w:rPr>
                <w:rFonts w:hint="eastAsia" w:cs="Times New Roman"/>
              </w:rPr>
              <w:t>位置关系</w:t>
            </w:r>
          </w:p>
        </w:tc>
      </w:tr>
      <w:tr w14:paraId="674B1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34E6C34">
            <w:pPr>
              <w:pStyle w:val="1429"/>
              <w:rPr>
                <w:rFonts w:cs="Times New Roman"/>
              </w:rPr>
            </w:pPr>
            <w:r>
              <w:rPr>
                <w:rFonts w:cs="Times New Roman"/>
                <w:lang w:bidi="ar"/>
              </w:rPr>
              <w:t>永久基本农田</w:t>
            </w:r>
          </w:p>
        </w:tc>
        <w:tc>
          <w:tcPr>
            <w:tcW w:w="2693" w:type="dxa"/>
            <w:vAlign w:val="center"/>
          </w:tcPr>
          <w:p w14:paraId="0299F052">
            <w:pPr>
              <w:pStyle w:val="1429"/>
              <w:rPr>
                <w:rFonts w:cs="Times New Roman"/>
              </w:rPr>
            </w:pPr>
            <w:r>
              <w:rPr>
                <w:rFonts w:hint="eastAsia" w:cs="Times New Roman"/>
              </w:rPr>
              <w:t>基本农田主要种植农作物</w:t>
            </w:r>
          </w:p>
        </w:tc>
        <w:tc>
          <w:tcPr>
            <w:tcW w:w="4426" w:type="dxa"/>
            <w:vAlign w:val="center"/>
          </w:tcPr>
          <w:p w14:paraId="66A51CB4">
            <w:pPr>
              <w:pStyle w:val="1429"/>
              <w:jc w:val="both"/>
              <w:rPr>
                <w:rFonts w:cs="Times New Roman"/>
              </w:rPr>
            </w:pPr>
            <w:r>
              <w:rPr>
                <w:rFonts w:hint="eastAsia" w:cs="Times New Roman"/>
                <w:szCs w:val="26"/>
              </w:rPr>
              <w:t>评价范围内有永久基本农田</w:t>
            </w:r>
            <w:r>
              <w:rPr>
                <w:rFonts w:cs="Times New Roman"/>
                <w:szCs w:val="26"/>
              </w:rPr>
              <w:t>2.06</w:t>
            </w:r>
            <w:r>
              <w:rPr>
                <w:rFonts w:hint="eastAsia" w:cs="Times New Roman"/>
              </w:rPr>
              <w:t>hm</w:t>
            </w:r>
            <w:r>
              <w:rPr>
                <w:rFonts w:cs="Times New Roman"/>
                <w:vertAlign w:val="superscript"/>
              </w:rPr>
              <w:t>2</w:t>
            </w:r>
            <w:r>
              <w:rPr>
                <w:rFonts w:hint="eastAsia" w:cs="Times New Roman"/>
                <w:szCs w:val="26"/>
              </w:rPr>
              <w:t>，</w:t>
            </w:r>
            <w:r>
              <w:rPr>
                <w:rFonts w:hint="eastAsia" w:cs="Times New Roman"/>
              </w:rPr>
              <w:t>本项目试采站建设占用永久基本农田面积</w:t>
            </w:r>
            <w:r>
              <w:rPr>
                <w:rFonts w:cs="Times New Roman"/>
              </w:rPr>
              <w:t>0.47</w:t>
            </w:r>
            <w:r>
              <w:rPr>
                <w:rFonts w:hint="eastAsia" w:cs="Times New Roman"/>
              </w:rPr>
              <w:t>hm</w:t>
            </w:r>
            <w:r>
              <w:rPr>
                <w:rFonts w:cs="Times New Roman"/>
                <w:vertAlign w:val="superscript"/>
              </w:rPr>
              <w:t>2</w:t>
            </w:r>
            <w:r>
              <w:rPr>
                <w:rFonts w:hint="eastAsia" w:cs="Times New Roman"/>
              </w:rPr>
              <w:t>。</w:t>
            </w:r>
          </w:p>
        </w:tc>
      </w:tr>
      <w:tr w14:paraId="2DF9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46E2F86E">
            <w:pPr>
              <w:pStyle w:val="1429"/>
              <w:rPr>
                <w:rFonts w:cs="Times New Roman"/>
                <w:lang w:bidi="ar"/>
              </w:rPr>
            </w:pPr>
            <w:r>
              <w:rPr>
                <w:rFonts w:cs="Times New Roman"/>
              </w:rPr>
              <w:t>水土流失重点治理区</w:t>
            </w:r>
          </w:p>
        </w:tc>
        <w:tc>
          <w:tcPr>
            <w:tcW w:w="2693" w:type="dxa"/>
            <w:vAlign w:val="center"/>
          </w:tcPr>
          <w:p w14:paraId="0C61796B">
            <w:pPr>
              <w:pStyle w:val="1429"/>
              <w:rPr>
                <w:rFonts w:cs="Times New Roman"/>
                <w:lang w:bidi="ar"/>
              </w:rPr>
            </w:pPr>
            <w:r>
              <w:rPr>
                <w:rFonts w:cs="Times New Roman"/>
                <w:lang w:bidi="ar"/>
              </w:rPr>
              <w:t>维持区域水土保持功能</w:t>
            </w:r>
          </w:p>
        </w:tc>
        <w:tc>
          <w:tcPr>
            <w:tcW w:w="4426" w:type="dxa"/>
            <w:vAlign w:val="center"/>
          </w:tcPr>
          <w:p w14:paraId="127BAF1A">
            <w:pPr>
              <w:pStyle w:val="1429"/>
              <w:jc w:val="both"/>
              <w:rPr>
                <w:rFonts w:cs="Times New Roman"/>
                <w:lang w:bidi="ar"/>
              </w:rPr>
            </w:pPr>
            <w:r>
              <w:rPr>
                <w:rFonts w:hint="eastAsia" w:cs="Times New Roman"/>
                <w:lang w:bidi="ar"/>
              </w:rPr>
              <w:t>本项目位于嘉陵江及沱江中下游国家级水土流失重点治理区。</w:t>
            </w:r>
          </w:p>
        </w:tc>
      </w:tr>
      <w:tr w14:paraId="779EA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4D081808">
            <w:pPr>
              <w:pStyle w:val="1429"/>
              <w:rPr>
                <w:rFonts w:cs="Times New Roman"/>
              </w:rPr>
            </w:pPr>
            <w:r>
              <w:rPr>
                <w:rFonts w:hint="eastAsia" w:cs="Times New Roman"/>
              </w:rPr>
              <w:t>重要生物</w:t>
            </w:r>
          </w:p>
        </w:tc>
        <w:tc>
          <w:tcPr>
            <w:tcW w:w="2693" w:type="dxa"/>
            <w:vAlign w:val="center"/>
          </w:tcPr>
          <w:p w14:paraId="4A8ED441">
            <w:pPr>
              <w:pStyle w:val="1429"/>
              <w:rPr>
                <w:rFonts w:cs="Times New Roman"/>
              </w:rPr>
            </w:pPr>
            <w:r>
              <w:rPr>
                <w:rFonts w:hint="eastAsia" w:cs="Times New Roman"/>
              </w:rPr>
              <w:t>易危物种</w:t>
            </w:r>
            <w:r>
              <w:rPr>
                <w:rFonts w:cs="Times New Roman"/>
              </w:rPr>
              <w:t>乌梢蛇</w:t>
            </w:r>
            <w:r>
              <w:rPr>
                <w:rFonts w:hint="eastAsia" w:cs="Times New Roman"/>
              </w:rPr>
              <w:t>、王锦蛇</w:t>
            </w:r>
          </w:p>
        </w:tc>
        <w:tc>
          <w:tcPr>
            <w:tcW w:w="4426" w:type="dxa"/>
            <w:vAlign w:val="center"/>
          </w:tcPr>
          <w:p w14:paraId="6471AA49">
            <w:pPr>
              <w:pStyle w:val="1429"/>
              <w:rPr>
                <w:rFonts w:cs="Times New Roman"/>
              </w:rPr>
            </w:pPr>
            <w:r>
              <w:rPr>
                <w:rFonts w:hint="eastAsia" w:cs="Times New Roman"/>
                <w:bCs/>
              </w:rPr>
              <w:t>井场附近</w:t>
            </w:r>
            <w:r>
              <w:rPr>
                <w:rFonts w:cs="Times New Roman"/>
                <w:bCs/>
              </w:rPr>
              <w:t>可能涉及易危动物的活动范围。</w:t>
            </w:r>
          </w:p>
        </w:tc>
      </w:tr>
    </w:tbl>
    <w:p w14:paraId="1CCE254E">
      <w:pPr>
        <w:pStyle w:val="1066"/>
        <w:ind w:firstLine="520"/>
      </w:pPr>
    </w:p>
    <w:p w14:paraId="2B79ED17">
      <w:pPr>
        <w:pStyle w:val="1381"/>
        <w:ind w:firstLine="520"/>
      </w:pPr>
      <w:bookmarkStart w:id="112" w:name="_Toc165810476"/>
      <w:r>
        <w:rPr>
          <w:rFonts w:hint="eastAsia"/>
        </w:rPr>
        <w:t>（2）地表水环境保护目标</w:t>
      </w:r>
      <w:bookmarkEnd w:id="112"/>
    </w:p>
    <w:p w14:paraId="7F895754">
      <w:pPr>
        <w:pStyle w:val="702"/>
        <w:ind w:firstLine="520"/>
        <w:rPr>
          <w:rFonts w:cs="Times New Roman"/>
        </w:rPr>
      </w:pPr>
      <w:r>
        <w:rPr>
          <w:rFonts w:hint="eastAsia"/>
          <w:szCs w:val="26"/>
        </w:rPr>
        <w:t>本项目附近最近地表水体为芝子河，本项目位于芝子河南侧约1</w:t>
      </w:r>
      <w:r>
        <w:rPr>
          <w:szCs w:val="26"/>
        </w:rPr>
        <w:t>.75</w:t>
      </w:r>
      <w:r>
        <w:rPr>
          <w:rFonts w:hint="eastAsia"/>
          <w:szCs w:val="26"/>
        </w:rPr>
        <w:t>km，位于其集雨范围内，芝子河未划分水域功能，河段主要功能为农灌及蓄水，参照执行《地表水环境质量标准》（GB 3838-2002）中Ⅲ类标准，</w:t>
      </w:r>
      <w:r>
        <w:rPr>
          <w:rFonts w:hint="eastAsia" w:cs="Times New Roman"/>
        </w:rPr>
        <w:t>地表水环境保护目标详见</w:t>
      </w:r>
      <w:r>
        <w:rPr>
          <w:rFonts w:hint="eastAsia" w:cs="Times New Roman"/>
          <w:u w:val="single"/>
        </w:rPr>
        <w:t>表1</w:t>
      </w:r>
      <w:r>
        <w:rPr>
          <w:rFonts w:cs="Times New Roman"/>
          <w:u w:val="single"/>
        </w:rPr>
        <w:t>.8-3</w:t>
      </w:r>
      <w:r>
        <w:rPr>
          <w:rFonts w:hint="eastAsia" w:cs="Times New Roman"/>
        </w:rPr>
        <w:t>。</w:t>
      </w:r>
    </w:p>
    <w:p w14:paraId="52E838C3">
      <w:pPr>
        <w:pStyle w:val="702"/>
        <w:adjustRightInd w:val="0"/>
        <w:snapToGrid w:val="0"/>
        <w:spacing w:line="240" w:lineRule="auto"/>
        <w:ind w:firstLine="520"/>
        <w:rPr>
          <w:rFonts w:cs="Times New Roman"/>
        </w:rPr>
      </w:pPr>
    </w:p>
    <w:p w14:paraId="31D6656F">
      <w:pPr>
        <w:keepNext/>
        <w:spacing w:line="460" w:lineRule="exact"/>
        <w:ind w:firstLine="520" w:firstLineChars="200"/>
        <w:jc w:val="center"/>
        <w:rPr>
          <w:sz w:val="26"/>
          <w:szCs w:val="26"/>
        </w:rPr>
      </w:pPr>
      <w:r>
        <w:rPr>
          <w:rFonts w:hint="eastAsia"/>
          <w:sz w:val="26"/>
          <w:szCs w:val="26"/>
        </w:rPr>
        <w:t>表1</w:t>
      </w:r>
      <w:r>
        <w:rPr>
          <w:sz w:val="26"/>
          <w:szCs w:val="26"/>
        </w:rPr>
        <w:t xml:space="preserve">.8-3   </w:t>
      </w:r>
      <w:r>
        <w:rPr>
          <w:rFonts w:hint="eastAsia"/>
          <w:sz w:val="26"/>
          <w:szCs w:val="26"/>
        </w:rPr>
        <w:t>地表水环境保护目标统计一览表</w:t>
      </w:r>
    </w:p>
    <w:tbl>
      <w:tblPr>
        <w:tblStyle w:val="88"/>
        <w:tblW w:w="852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83"/>
        <w:gridCol w:w="1556"/>
        <w:gridCol w:w="1855"/>
        <w:gridCol w:w="1142"/>
        <w:gridCol w:w="3386"/>
      </w:tblGrid>
      <w:tr w14:paraId="2D2A53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69" w:hRule="atLeast"/>
          <w:jc w:val="center"/>
        </w:trPr>
        <w:tc>
          <w:tcPr>
            <w:tcW w:w="583" w:type="dxa"/>
            <w:tcBorders>
              <w:top w:val="single" w:color="auto" w:sz="2" w:space="0"/>
              <w:left w:val="single" w:color="auto" w:sz="2" w:space="0"/>
              <w:bottom w:val="single" w:color="auto" w:sz="2" w:space="0"/>
              <w:right w:val="single" w:color="auto" w:sz="2" w:space="0"/>
            </w:tcBorders>
            <w:vAlign w:val="center"/>
          </w:tcPr>
          <w:p w14:paraId="08FE2FF0">
            <w:pPr>
              <w:pStyle w:val="687"/>
            </w:pPr>
            <w:r>
              <w:t>序号</w:t>
            </w:r>
          </w:p>
        </w:tc>
        <w:tc>
          <w:tcPr>
            <w:tcW w:w="1556" w:type="dxa"/>
            <w:tcBorders>
              <w:top w:val="single" w:color="auto" w:sz="2" w:space="0"/>
              <w:left w:val="single" w:color="auto" w:sz="2" w:space="0"/>
              <w:bottom w:val="single" w:color="auto" w:sz="2" w:space="0"/>
              <w:right w:val="single" w:color="auto" w:sz="2" w:space="0"/>
            </w:tcBorders>
            <w:vAlign w:val="center"/>
          </w:tcPr>
          <w:p w14:paraId="1A81D126">
            <w:pPr>
              <w:pStyle w:val="687"/>
            </w:pPr>
            <w:r>
              <w:t>地表水体</w:t>
            </w:r>
          </w:p>
        </w:tc>
        <w:tc>
          <w:tcPr>
            <w:tcW w:w="1855" w:type="dxa"/>
            <w:tcBorders>
              <w:top w:val="single" w:color="auto" w:sz="2" w:space="0"/>
              <w:left w:val="single" w:color="auto" w:sz="2" w:space="0"/>
              <w:bottom w:val="single" w:color="auto" w:sz="2" w:space="0"/>
              <w:right w:val="single" w:color="auto" w:sz="2" w:space="0"/>
            </w:tcBorders>
            <w:vAlign w:val="center"/>
          </w:tcPr>
          <w:p w14:paraId="014152CF">
            <w:pPr>
              <w:pStyle w:val="687"/>
            </w:pPr>
            <w:r>
              <w:t>位置关系</w:t>
            </w:r>
          </w:p>
        </w:tc>
        <w:tc>
          <w:tcPr>
            <w:tcW w:w="1142" w:type="dxa"/>
            <w:tcBorders>
              <w:top w:val="single" w:color="auto" w:sz="2" w:space="0"/>
              <w:left w:val="single" w:color="auto" w:sz="2" w:space="0"/>
              <w:bottom w:val="single" w:color="auto" w:sz="2" w:space="0"/>
              <w:right w:val="single" w:color="auto" w:sz="2" w:space="0"/>
            </w:tcBorders>
            <w:vAlign w:val="center"/>
          </w:tcPr>
          <w:p w14:paraId="421284EC">
            <w:pPr>
              <w:pStyle w:val="687"/>
            </w:pPr>
            <w:r>
              <w:t>类型</w:t>
            </w:r>
          </w:p>
        </w:tc>
        <w:tc>
          <w:tcPr>
            <w:tcW w:w="3386" w:type="dxa"/>
            <w:tcBorders>
              <w:top w:val="single" w:color="auto" w:sz="2" w:space="0"/>
              <w:left w:val="single" w:color="auto" w:sz="2" w:space="0"/>
              <w:bottom w:val="single" w:color="auto" w:sz="2" w:space="0"/>
              <w:right w:val="single" w:color="auto" w:sz="2" w:space="0"/>
            </w:tcBorders>
            <w:vAlign w:val="center"/>
          </w:tcPr>
          <w:p w14:paraId="5B8234A4">
            <w:pPr>
              <w:pStyle w:val="687"/>
            </w:pPr>
            <w:r>
              <w:t>特征</w:t>
            </w:r>
          </w:p>
        </w:tc>
      </w:tr>
      <w:tr w14:paraId="655FB0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69" w:hRule="atLeast"/>
          <w:jc w:val="center"/>
        </w:trPr>
        <w:tc>
          <w:tcPr>
            <w:tcW w:w="583" w:type="dxa"/>
            <w:tcBorders>
              <w:top w:val="single" w:color="auto" w:sz="2" w:space="0"/>
              <w:left w:val="single" w:color="auto" w:sz="2" w:space="0"/>
              <w:bottom w:val="single" w:color="auto" w:sz="2" w:space="0"/>
              <w:right w:val="single" w:color="auto" w:sz="2" w:space="0"/>
            </w:tcBorders>
            <w:vAlign w:val="center"/>
          </w:tcPr>
          <w:p w14:paraId="4BE12346">
            <w:pPr>
              <w:pStyle w:val="687"/>
            </w:pPr>
            <w:r>
              <w:rPr>
                <w:rFonts w:hint="eastAsia"/>
              </w:rPr>
              <w:t>1</w:t>
            </w:r>
          </w:p>
        </w:tc>
        <w:tc>
          <w:tcPr>
            <w:tcW w:w="1556" w:type="dxa"/>
            <w:tcBorders>
              <w:top w:val="single" w:color="auto" w:sz="2" w:space="0"/>
              <w:left w:val="single" w:color="auto" w:sz="2" w:space="0"/>
              <w:bottom w:val="single" w:color="auto" w:sz="2" w:space="0"/>
              <w:right w:val="single" w:color="auto" w:sz="2" w:space="0"/>
            </w:tcBorders>
            <w:vAlign w:val="center"/>
          </w:tcPr>
          <w:p w14:paraId="17131F48">
            <w:pPr>
              <w:pStyle w:val="687"/>
            </w:pPr>
            <w:r>
              <w:rPr>
                <w:rFonts w:hint="eastAsia"/>
              </w:rPr>
              <w:t>芝子河</w:t>
            </w:r>
          </w:p>
        </w:tc>
        <w:tc>
          <w:tcPr>
            <w:tcW w:w="1855" w:type="dxa"/>
            <w:tcBorders>
              <w:top w:val="single" w:color="auto" w:sz="2" w:space="0"/>
              <w:left w:val="single" w:color="auto" w:sz="2" w:space="0"/>
              <w:bottom w:val="single" w:color="auto" w:sz="2" w:space="0"/>
              <w:right w:val="single" w:color="auto" w:sz="2" w:space="0"/>
            </w:tcBorders>
            <w:vAlign w:val="center"/>
          </w:tcPr>
          <w:p w14:paraId="53A3C161">
            <w:pPr>
              <w:pStyle w:val="687"/>
            </w:pPr>
            <w:r>
              <w:rPr>
                <w:rFonts w:hint="eastAsia"/>
              </w:rPr>
              <w:t>井场北侧1</w:t>
            </w:r>
            <w:r>
              <w:t>.75</w:t>
            </w:r>
            <w:r>
              <w:rPr>
                <w:rFonts w:hint="eastAsia"/>
              </w:rPr>
              <w:t>km</w:t>
            </w:r>
          </w:p>
        </w:tc>
        <w:tc>
          <w:tcPr>
            <w:tcW w:w="1142" w:type="dxa"/>
            <w:tcBorders>
              <w:top w:val="single" w:color="auto" w:sz="2" w:space="0"/>
              <w:left w:val="single" w:color="auto" w:sz="2" w:space="0"/>
              <w:bottom w:val="single" w:color="auto" w:sz="2" w:space="0"/>
              <w:right w:val="single" w:color="auto" w:sz="2" w:space="0"/>
            </w:tcBorders>
            <w:vAlign w:val="center"/>
          </w:tcPr>
          <w:p w14:paraId="4C3E973B">
            <w:pPr>
              <w:pStyle w:val="687"/>
            </w:pPr>
            <w:r>
              <w:rPr>
                <w:rFonts w:hint="eastAsia"/>
              </w:rPr>
              <w:t>河流</w:t>
            </w:r>
          </w:p>
        </w:tc>
        <w:tc>
          <w:tcPr>
            <w:tcW w:w="3386" w:type="dxa"/>
            <w:tcBorders>
              <w:top w:val="single" w:color="auto" w:sz="2" w:space="0"/>
              <w:left w:val="single" w:color="auto" w:sz="2" w:space="0"/>
              <w:bottom w:val="single" w:color="auto" w:sz="2" w:space="0"/>
              <w:right w:val="single" w:color="auto" w:sz="2" w:space="0"/>
            </w:tcBorders>
            <w:vAlign w:val="center"/>
          </w:tcPr>
          <w:p w14:paraId="183C88FB">
            <w:pPr>
              <w:pStyle w:val="687"/>
            </w:pPr>
            <w:r>
              <w:t>主要功能为农灌和生态用水，</w:t>
            </w:r>
            <w:r>
              <w:rPr>
                <w:rFonts w:hint="eastAsia"/>
              </w:rPr>
              <w:t>参照执行《地表水环境质量标准》（GB3838-2002）</w:t>
            </w:r>
            <w:r>
              <w:fldChar w:fldCharType="begin"/>
            </w:r>
            <w:r>
              <w:instrText xml:space="preserve"> </w:instrText>
            </w:r>
            <w:r>
              <w:rPr>
                <w:rFonts w:hint="eastAsia"/>
              </w:rPr>
              <w:instrText xml:space="preserve">= 3 \* ROMAN</w:instrText>
            </w:r>
            <w:r>
              <w:instrText xml:space="preserve"> </w:instrText>
            </w:r>
            <w:r>
              <w:fldChar w:fldCharType="separate"/>
            </w:r>
            <w:r>
              <w:t>III</w:t>
            </w:r>
            <w:r>
              <w:fldChar w:fldCharType="end"/>
            </w:r>
            <w:r>
              <w:rPr>
                <w:rFonts w:hint="eastAsia"/>
              </w:rPr>
              <w:t>类标准</w:t>
            </w:r>
          </w:p>
        </w:tc>
      </w:tr>
    </w:tbl>
    <w:p w14:paraId="230E2AA6">
      <w:pPr>
        <w:pStyle w:val="702"/>
        <w:spacing w:line="240" w:lineRule="auto"/>
        <w:ind w:firstLine="520"/>
        <w:rPr>
          <w:rFonts w:cs="Times New Roman"/>
        </w:rPr>
      </w:pPr>
    </w:p>
    <w:p w14:paraId="7186E00B">
      <w:pPr>
        <w:pStyle w:val="1381"/>
        <w:ind w:firstLine="520"/>
      </w:pPr>
      <w:bookmarkStart w:id="113" w:name="_Toc165810477"/>
      <w:r>
        <w:rPr>
          <w:rFonts w:hint="eastAsia"/>
        </w:rPr>
        <w:t>（3）地下水环境保护目标</w:t>
      </w:r>
      <w:bookmarkEnd w:id="113"/>
    </w:p>
    <w:p w14:paraId="2D47ED0D">
      <w:pPr>
        <w:pStyle w:val="45"/>
        <w:adjustRightInd w:val="0"/>
        <w:snapToGrid w:val="0"/>
        <w:spacing w:line="460" w:lineRule="exact"/>
        <w:ind w:firstLine="520" w:firstLineChars="200"/>
        <w:rPr>
          <w:sz w:val="26"/>
          <w:szCs w:val="26"/>
        </w:rPr>
      </w:pPr>
      <w:r>
        <w:rPr>
          <w:rFonts w:hint="eastAsia"/>
          <w:sz w:val="26"/>
          <w:szCs w:val="26"/>
        </w:rPr>
        <w:t>本项目位于四川省巴中市恩阳区渔溪镇，通过对项目区地下水、地表水、居民用水及环境状况调查，本项目评价范围内主要地下水类型为具有供水价值的白垩系白龙组基岩风化裂隙含水层。</w:t>
      </w:r>
    </w:p>
    <w:p w14:paraId="5E4DF99C">
      <w:pPr>
        <w:pStyle w:val="45"/>
        <w:adjustRightInd w:val="0"/>
        <w:snapToGrid w:val="0"/>
        <w:spacing w:line="460" w:lineRule="exact"/>
        <w:ind w:firstLine="520" w:firstLineChars="200"/>
        <w:rPr>
          <w:sz w:val="26"/>
          <w:szCs w:val="26"/>
        </w:rPr>
      </w:pPr>
      <w:r>
        <w:rPr>
          <w:rFonts w:hint="eastAsia"/>
          <w:sz w:val="26"/>
          <w:szCs w:val="26"/>
        </w:rPr>
        <w:t>现场走访调查结果表明，本项目区周边无工矿企业分布，站场评价范围内居民主要通过一户一井或多户一井的形式取用地下水作为饮用水源，即分布有分散式饮用水水源。根据地下水导则要求，结合资料整理分析和现场调查结果，本项目评价区内所涉及地下水环境保护目标主要为具有供水价值的白垩系白龙组基岩风化裂隙含水层、分散式饮用水源取水井。</w:t>
      </w:r>
      <w:r>
        <w:rPr>
          <w:rFonts w:hint="eastAsia" w:cs="Courier New"/>
          <w:sz w:val="26"/>
        </w:rPr>
        <w:t>本项目站场评价范围内涉及地下水水井约45口，供水人口约78户人，与站场的距离在177</w:t>
      </w:r>
      <w:r>
        <w:rPr>
          <w:rFonts w:cs="Courier New"/>
          <w:sz w:val="26"/>
        </w:rPr>
        <w:t>m~</w:t>
      </w:r>
      <w:r>
        <w:rPr>
          <w:rFonts w:hint="eastAsia" w:cs="Courier New"/>
          <w:sz w:val="26"/>
        </w:rPr>
        <w:t>820</w:t>
      </w:r>
      <w:r>
        <w:rPr>
          <w:rFonts w:cs="Courier New"/>
          <w:sz w:val="26"/>
        </w:rPr>
        <w:t>m</w:t>
      </w:r>
      <w:r>
        <w:rPr>
          <w:rFonts w:hint="eastAsia" w:cs="Courier New"/>
          <w:sz w:val="26"/>
        </w:rPr>
        <w:t>之间</w:t>
      </w:r>
      <w:r>
        <w:rPr>
          <w:rFonts w:hint="eastAsia"/>
          <w:sz w:val="26"/>
          <w:szCs w:val="26"/>
        </w:rPr>
        <w:t>根据现场调查情况，各保护目标分布、保护目标信息以及与站场位置关系见</w:t>
      </w:r>
      <w:r>
        <w:rPr>
          <w:rFonts w:hint="eastAsia"/>
          <w:sz w:val="26"/>
          <w:szCs w:val="26"/>
          <w:u w:val="single"/>
        </w:rPr>
        <w:t>表1.8-</w:t>
      </w:r>
      <w:r>
        <w:rPr>
          <w:sz w:val="26"/>
          <w:szCs w:val="26"/>
          <w:u w:val="single"/>
        </w:rPr>
        <w:t>4</w:t>
      </w:r>
      <w:r>
        <w:rPr>
          <w:rFonts w:hint="eastAsia"/>
          <w:sz w:val="26"/>
          <w:szCs w:val="26"/>
        </w:rPr>
        <w:t>，分布情况见</w:t>
      </w:r>
      <w:r>
        <w:rPr>
          <w:rFonts w:hint="eastAsia"/>
          <w:sz w:val="26"/>
          <w:szCs w:val="26"/>
          <w:u w:val="single"/>
        </w:rPr>
        <w:t>附图6</w:t>
      </w:r>
      <w:r>
        <w:rPr>
          <w:rFonts w:hint="eastAsia"/>
          <w:sz w:val="26"/>
          <w:szCs w:val="26"/>
        </w:rPr>
        <w:t>。</w:t>
      </w:r>
    </w:p>
    <w:p w14:paraId="0D0F6286">
      <w:pPr>
        <w:pStyle w:val="1381"/>
        <w:ind w:firstLine="520"/>
      </w:pPr>
      <w:bookmarkStart w:id="114" w:name="_Toc165810478"/>
      <w:r>
        <w:rPr>
          <w:rFonts w:hint="eastAsia"/>
        </w:rPr>
        <w:t>（4）声环境保护目标</w:t>
      </w:r>
    </w:p>
    <w:p w14:paraId="22436947">
      <w:pPr>
        <w:pStyle w:val="1381"/>
        <w:ind w:firstLine="520"/>
      </w:pPr>
      <w:r>
        <w:rPr>
          <w:rFonts w:hint="eastAsia"/>
        </w:rPr>
        <w:t>本项目</w:t>
      </w:r>
      <w:r>
        <w:rPr>
          <w:rFonts w:hint="eastAsia" w:cs="Times New Roman"/>
        </w:rPr>
        <w:t>声环境保护目标主要为站场周边200m范围内的分散居民，见</w:t>
      </w:r>
      <w:r>
        <w:rPr>
          <w:rFonts w:hint="eastAsia" w:cs="Times New Roman"/>
          <w:u w:val="single"/>
        </w:rPr>
        <w:t>表1</w:t>
      </w:r>
      <w:r>
        <w:rPr>
          <w:rFonts w:cs="Times New Roman"/>
          <w:u w:val="single"/>
        </w:rPr>
        <w:t>.8-5</w:t>
      </w:r>
      <w:r>
        <w:rPr>
          <w:rFonts w:hint="eastAsia" w:cs="Times New Roman"/>
        </w:rPr>
        <w:t>。</w:t>
      </w:r>
    </w:p>
    <w:p w14:paraId="0F2A7DEC">
      <w:pPr>
        <w:pStyle w:val="1381"/>
        <w:ind w:firstLine="520"/>
      </w:pPr>
      <w:r>
        <w:rPr>
          <w:rFonts w:hint="eastAsia"/>
        </w:rPr>
        <w:t>（5）环境空气保护目标</w:t>
      </w:r>
    </w:p>
    <w:p w14:paraId="6C2D71E4">
      <w:pPr>
        <w:pStyle w:val="1381"/>
        <w:ind w:firstLine="520"/>
      </w:pPr>
      <w:r>
        <w:rPr>
          <w:rFonts w:hint="eastAsia" w:cs="Times New Roman"/>
        </w:rPr>
        <w:t>本项目环境空气保护目标是以站场为中心，边长5km矩形范围内的居民，见</w:t>
      </w:r>
      <w:r>
        <w:rPr>
          <w:rFonts w:hint="eastAsia" w:cs="Times New Roman"/>
          <w:u w:val="single"/>
        </w:rPr>
        <w:t>表1</w:t>
      </w:r>
      <w:r>
        <w:rPr>
          <w:rFonts w:cs="Times New Roman"/>
          <w:u w:val="single"/>
        </w:rPr>
        <w:t>.8-6</w:t>
      </w:r>
      <w:r>
        <w:rPr>
          <w:rFonts w:hint="eastAsia" w:cs="Times New Roman"/>
        </w:rPr>
        <w:t>。</w:t>
      </w:r>
    </w:p>
    <w:p w14:paraId="267729A5">
      <w:pPr>
        <w:pStyle w:val="1381"/>
        <w:ind w:firstLine="520"/>
      </w:pPr>
      <w:r>
        <w:rPr>
          <w:rFonts w:hint="eastAsia"/>
        </w:rPr>
        <w:t>（</w:t>
      </w:r>
      <w:r>
        <w:t>6</w:t>
      </w:r>
      <w:r>
        <w:rPr>
          <w:rFonts w:hint="eastAsia"/>
        </w:rPr>
        <w:t>）土</w:t>
      </w:r>
      <w:r>
        <w:t>壤环境保护目标</w:t>
      </w:r>
      <w:bookmarkEnd w:id="114"/>
    </w:p>
    <w:p w14:paraId="4485757C">
      <w:pPr>
        <w:pStyle w:val="1381"/>
        <w:ind w:firstLine="520"/>
      </w:pPr>
      <w:r>
        <w:rPr>
          <w:rFonts w:hint="eastAsia"/>
        </w:rPr>
        <w:t>本项目</w:t>
      </w:r>
      <w:r>
        <w:t>土壤环境保护目标主要包括</w:t>
      </w:r>
      <w:r>
        <w:rPr>
          <w:rFonts w:hint="eastAsia"/>
        </w:rPr>
        <w:t>试采站</w:t>
      </w:r>
      <w:r>
        <w:t>占地范围内以及占地范围外200</w:t>
      </w:r>
      <w:r>
        <w:rPr>
          <w:rFonts w:hint="eastAsia"/>
        </w:rPr>
        <w:t>m范围内</w:t>
      </w:r>
      <w:r>
        <w:t>的</w:t>
      </w:r>
      <w:r>
        <w:rPr>
          <w:rFonts w:hint="eastAsia"/>
        </w:rPr>
        <w:t>耕地（永久基本农田）、园地、居民区</w:t>
      </w:r>
      <w:r>
        <w:t>等。</w:t>
      </w:r>
    </w:p>
    <w:p w14:paraId="4EF8E805">
      <w:pPr>
        <w:pStyle w:val="1381"/>
        <w:ind w:firstLine="520"/>
      </w:pPr>
      <w:bookmarkStart w:id="115" w:name="_Toc165810479"/>
      <w:r>
        <w:rPr>
          <w:rFonts w:hint="eastAsia"/>
        </w:rPr>
        <w:t>（</w:t>
      </w:r>
      <w:r>
        <w:t>7</w:t>
      </w:r>
      <w:r>
        <w:rPr>
          <w:rFonts w:hint="eastAsia"/>
        </w:rPr>
        <w:t>）环境风险保护目标</w:t>
      </w:r>
      <w:bookmarkEnd w:id="115"/>
    </w:p>
    <w:p w14:paraId="3DE9D6B7">
      <w:pPr>
        <w:pStyle w:val="1381"/>
        <w:ind w:firstLine="520"/>
      </w:pPr>
      <w:r>
        <w:rPr>
          <w:rFonts w:hint="eastAsia" w:cs="Times New Roman"/>
        </w:rPr>
        <w:t>本项目大气环境风险保护目标主要为试采站周边5</w:t>
      </w:r>
      <w:r>
        <w:rPr>
          <w:rFonts w:cs="Times New Roman"/>
        </w:rPr>
        <w:t>00</w:t>
      </w:r>
      <w:r>
        <w:rPr>
          <w:rFonts w:hint="eastAsia" w:cs="Times New Roman"/>
        </w:rPr>
        <w:t>m范围内的居民，见</w:t>
      </w:r>
      <w:r>
        <w:rPr>
          <w:rFonts w:hint="eastAsia" w:cs="Times New Roman"/>
          <w:u w:val="single"/>
        </w:rPr>
        <w:t>表1</w:t>
      </w:r>
      <w:r>
        <w:rPr>
          <w:rFonts w:cs="Times New Roman"/>
          <w:u w:val="single"/>
        </w:rPr>
        <w:t>.8-7</w:t>
      </w:r>
      <w:r>
        <w:rPr>
          <w:rFonts w:hint="eastAsia" w:cs="Times New Roman"/>
        </w:rPr>
        <w:t>，</w:t>
      </w:r>
      <w:r>
        <w:rPr>
          <w:rFonts w:hint="eastAsia"/>
        </w:rPr>
        <w:t>地表水环境风险保护目标为</w:t>
      </w:r>
      <w:r>
        <w:rPr>
          <w:rFonts w:hint="eastAsia"/>
          <w:kern w:val="0"/>
        </w:rPr>
        <w:t>罐车转运过程途经的地表水体</w:t>
      </w:r>
      <w:r>
        <w:rPr>
          <w:rFonts w:hint="eastAsia" w:cs="Times New Roman"/>
        </w:rPr>
        <w:t>，</w:t>
      </w:r>
      <w:r>
        <w:rPr>
          <w:rFonts w:hint="eastAsia"/>
        </w:rPr>
        <w:t>地下水环境风险保护目标见</w:t>
      </w:r>
      <w:r>
        <w:rPr>
          <w:rFonts w:hint="eastAsia"/>
          <w:u w:val="single"/>
        </w:rPr>
        <w:t>表1</w:t>
      </w:r>
      <w:r>
        <w:rPr>
          <w:u w:val="single"/>
        </w:rPr>
        <w:t>.8-4</w:t>
      </w:r>
      <w:r>
        <w:rPr>
          <w:rFonts w:hint="eastAsia"/>
        </w:rPr>
        <w:t>。</w:t>
      </w:r>
    </w:p>
    <w:p w14:paraId="4EDF0E96">
      <w:pPr>
        <w:pStyle w:val="702"/>
        <w:ind w:firstLine="520"/>
        <w:rPr>
          <w:rFonts w:cs="Times New Roman"/>
        </w:rPr>
      </w:pPr>
    </w:p>
    <w:p w14:paraId="5E3F5DBE">
      <w:pPr>
        <w:pStyle w:val="702"/>
        <w:ind w:firstLine="520"/>
        <w:rPr>
          <w:rFonts w:cs="Times New Roman"/>
        </w:rPr>
        <w:sectPr>
          <w:pgSz w:w="11906" w:h="16838"/>
          <w:pgMar w:top="1701" w:right="1588" w:bottom="1588" w:left="1588" w:header="1304" w:footer="1247" w:gutter="0"/>
          <w:cols w:space="720" w:num="1"/>
          <w:docGrid w:linePitch="312" w:charSpace="0"/>
        </w:sectPr>
      </w:pPr>
    </w:p>
    <w:p w14:paraId="1C91859B">
      <w:pPr>
        <w:pStyle w:val="73"/>
        <w:ind w:left="940" w:hanging="520"/>
        <w:jc w:val="center"/>
        <w:rPr>
          <w:sz w:val="26"/>
          <w:szCs w:val="26"/>
        </w:rPr>
      </w:pPr>
      <w:r>
        <w:rPr>
          <w:sz w:val="26"/>
          <w:szCs w:val="26"/>
        </w:rPr>
        <w:t xml:space="preserve">表1.8-4  </w:t>
      </w:r>
      <w:r>
        <w:rPr>
          <w:rFonts w:hint="eastAsia"/>
          <w:sz w:val="26"/>
          <w:szCs w:val="26"/>
        </w:rPr>
        <w:t>地下水</w:t>
      </w:r>
      <w:r>
        <w:rPr>
          <w:sz w:val="26"/>
          <w:szCs w:val="26"/>
        </w:rPr>
        <w:t>环境保护目标</w:t>
      </w:r>
      <w:r>
        <w:rPr>
          <w:rFonts w:hint="eastAsia"/>
          <w:sz w:val="26"/>
          <w:szCs w:val="26"/>
        </w:rPr>
        <w:t>基本</w:t>
      </w:r>
      <w:r>
        <w:rPr>
          <w:sz w:val="26"/>
          <w:szCs w:val="26"/>
        </w:rPr>
        <w:t>情况一览表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69"/>
        <w:gridCol w:w="1271"/>
        <w:gridCol w:w="1333"/>
        <w:gridCol w:w="1214"/>
        <w:gridCol w:w="1042"/>
        <w:gridCol w:w="776"/>
        <w:gridCol w:w="1281"/>
        <w:gridCol w:w="1423"/>
        <w:gridCol w:w="2994"/>
        <w:gridCol w:w="1502"/>
      </w:tblGrid>
      <w:tr w14:paraId="690BC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15BF4262">
            <w:pPr>
              <w:pStyle w:val="951"/>
              <w:rPr>
                <w:rFonts w:eastAsia="宋体"/>
                <w:szCs w:val="22"/>
              </w:rPr>
            </w:pPr>
            <w:r>
              <w:rPr>
                <w:rFonts w:eastAsia="宋体"/>
                <w:szCs w:val="22"/>
              </w:rPr>
              <w:t>编号</w:t>
            </w:r>
          </w:p>
        </w:tc>
        <w:tc>
          <w:tcPr>
            <w:tcW w:w="467" w:type="pct"/>
            <w:noWrap/>
            <w:vAlign w:val="center"/>
          </w:tcPr>
          <w:p w14:paraId="6562707B">
            <w:pPr>
              <w:pStyle w:val="951"/>
              <w:rPr>
                <w:rFonts w:eastAsia="宋体"/>
                <w:szCs w:val="22"/>
              </w:rPr>
            </w:pPr>
            <w:r>
              <w:rPr>
                <w:rFonts w:eastAsia="宋体"/>
                <w:szCs w:val="22"/>
              </w:rPr>
              <w:t>地理位置</w:t>
            </w:r>
          </w:p>
        </w:tc>
        <w:tc>
          <w:tcPr>
            <w:tcW w:w="490" w:type="pct"/>
            <w:noWrap/>
            <w:vAlign w:val="center"/>
          </w:tcPr>
          <w:p w14:paraId="0C821872">
            <w:pPr>
              <w:pStyle w:val="951"/>
              <w:rPr>
                <w:rFonts w:eastAsia="宋体"/>
                <w:szCs w:val="22"/>
              </w:rPr>
            </w:pPr>
            <w:r>
              <w:rPr>
                <w:rFonts w:hint="eastAsia"/>
              </w:rPr>
              <w:t>横坐标</w:t>
            </w:r>
          </w:p>
        </w:tc>
        <w:tc>
          <w:tcPr>
            <w:tcW w:w="446" w:type="pct"/>
            <w:noWrap/>
            <w:vAlign w:val="center"/>
          </w:tcPr>
          <w:p w14:paraId="75F08741">
            <w:pPr>
              <w:pStyle w:val="951"/>
              <w:rPr>
                <w:rFonts w:eastAsia="宋体"/>
                <w:szCs w:val="22"/>
              </w:rPr>
            </w:pPr>
            <w:r>
              <w:rPr>
                <w:rFonts w:hint="eastAsia"/>
              </w:rPr>
              <w:t>纵坐标</w:t>
            </w:r>
          </w:p>
        </w:tc>
        <w:tc>
          <w:tcPr>
            <w:tcW w:w="383" w:type="pct"/>
            <w:vAlign w:val="center"/>
          </w:tcPr>
          <w:p w14:paraId="2781D182">
            <w:pPr>
              <w:pStyle w:val="951"/>
              <w:rPr>
                <w:rFonts w:eastAsia="宋体"/>
                <w:szCs w:val="22"/>
              </w:rPr>
            </w:pPr>
            <w:r>
              <w:rPr>
                <w:rFonts w:eastAsia="宋体"/>
                <w:szCs w:val="22"/>
              </w:rPr>
              <w:t>类型</w:t>
            </w:r>
          </w:p>
        </w:tc>
        <w:tc>
          <w:tcPr>
            <w:tcW w:w="285" w:type="pct"/>
            <w:vAlign w:val="center"/>
          </w:tcPr>
          <w:p w14:paraId="3A4F3CAC">
            <w:pPr>
              <w:pStyle w:val="951"/>
              <w:rPr>
                <w:rFonts w:eastAsia="宋体"/>
                <w:szCs w:val="22"/>
              </w:rPr>
            </w:pPr>
            <w:r>
              <w:rPr>
                <w:rFonts w:eastAsia="宋体"/>
                <w:szCs w:val="22"/>
              </w:rPr>
              <w:t>供水人口/户</w:t>
            </w:r>
          </w:p>
        </w:tc>
        <w:tc>
          <w:tcPr>
            <w:tcW w:w="471" w:type="pct"/>
            <w:vAlign w:val="center"/>
          </w:tcPr>
          <w:p w14:paraId="0CD7612A">
            <w:pPr>
              <w:pStyle w:val="951"/>
              <w:rPr>
                <w:rFonts w:eastAsia="宋体"/>
                <w:szCs w:val="22"/>
              </w:rPr>
            </w:pPr>
            <w:r>
              <w:rPr>
                <w:rFonts w:eastAsia="宋体"/>
                <w:szCs w:val="22"/>
              </w:rPr>
              <w:t>井深/m</w:t>
            </w:r>
          </w:p>
        </w:tc>
        <w:tc>
          <w:tcPr>
            <w:tcW w:w="523" w:type="pct"/>
            <w:noWrap/>
            <w:vAlign w:val="center"/>
          </w:tcPr>
          <w:p w14:paraId="3DB73118">
            <w:pPr>
              <w:pStyle w:val="951"/>
              <w:rPr>
                <w:rFonts w:eastAsia="宋体"/>
                <w:szCs w:val="22"/>
              </w:rPr>
            </w:pPr>
            <w:r>
              <w:rPr>
                <w:rFonts w:eastAsia="宋体"/>
                <w:szCs w:val="22"/>
              </w:rPr>
              <w:t>含水层</w:t>
            </w:r>
          </w:p>
        </w:tc>
        <w:tc>
          <w:tcPr>
            <w:tcW w:w="1100" w:type="pct"/>
            <w:noWrap/>
            <w:vAlign w:val="center"/>
          </w:tcPr>
          <w:p w14:paraId="37E33F55">
            <w:pPr>
              <w:pStyle w:val="951"/>
              <w:rPr>
                <w:rFonts w:eastAsia="宋体"/>
                <w:szCs w:val="22"/>
              </w:rPr>
            </w:pPr>
            <w:r>
              <w:rPr>
                <w:rFonts w:eastAsia="宋体"/>
                <w:szCs w:val="22"/>
              </w:rPr>
              <w:t>与项目位置关系</w:t>
            </w:r>
          </w:p>
        </w:tc>
        <w:tc>
          <w:tcPr>
            <w:tcW w:w="552" w:type="pct"/>
            <w:vAlign w:val="center"/>
          </w:tcPr>
          <w:p w14:paraId="24018303">
            <w:pPr>
              <w:pStyle w:val="951"/>
              <w:rPr>
                <w:rFonts w:eastAsia="宋体"/>
                <w:szCs w:val="22"/>
              </w:rPr>
            </w:pPr>
            <w:r>
              <w:rPr>
                <w:rFonts w:eastAsia="宋体"/>
                <w:szCs w:val="22"/>
              </w:rPr>
              <w:t>开发利用情况</w:t>
            </w:r>
          </w:p>
        </w:tc>
      </w:tr>
      <w:tr w14:paraId="1727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043D40CA">
            <w:pPr>
              <w:widowControl/>
              <w:jc w:val="center"/>
              <w:textAlignment w:val="center"/>
              <w:rPr>
                <w:sz w:val="22"/>
                <w:szCs w:val="22"/>
              </w:rPr>
            </w:pPr>
            <w:r>
              <w:rPr>
                <w:kern w:val="0"/>
                <w:sz w:val="22"/>
                <w:szCs w:val="22"/>
                <w:lang w:bidi="ar"/>
              </w:rPr>
              <w:t>D1</w:t>
            </w:r>
          </w:p>
        </w:tc>
        <w:tc>
          <w:tcPr>
            <w:tcW w:w="467" w:type="pct"/>
            <w:noWrap/>
            <w:vAlign w:val="center"/>
          </w:tcPr>
          <w:p w14:paraId="3CEB3556">
            <w:pPr>
              <w:widowControl/>
              <w:jc w:val="center"/>
              <w:textAlignment w:val="center"/>
              <w:rPr>
                <w:sz w:val="22"/>
                <w:szCs w:val="22"/>
              </w:rPr>
            </w:pPr>
            <w:r>
              <w:rPr>
                <w:rFonts w:hint="eastAsia" w:cs="宋体"/>
                <w:kern w:val="0"/>
                <w:sz w:val="22"/>
                <w:szCs w:val="22"/>
                <w:lang w:bidi="ar"/>
              </w:rPr>
              <w:t>金凤村</w:t>
            </w:r>
          </w:p>
        </w:tc>
        <w:tc>
          <w:tcPr>
            <w:tcW w:w="490" w:type="pct"/>
            <w:noWrap/>
            <w:vAlign w:val="center"/>
          </w:tcPr>
          <w:p w14:paraId="266A07AD">
            <w:pPr>
              <w:pStyle w:val="687"/>
            </w:pPr>
            <w:r>
              <w:rPr>
                <w:rFonts w:hint="eastAsia"/>
              </w:rPr>
              <w:t>635534.1</w:t>
            </w:r>
          </w:p>
        </w:tc>
        <w:tc>
          <w:tcPr>
            <w:tcW w:w="446" w:type="pct"/>
            <w:noWrap/>
            <w:vAlign w:val="center"/>
          </w:tcPr>
          <w:p w14:paraId="4CB52CBF">
            <w:pPr>
              <w:pStyle w:val="687"/>
            </w:pPr>
            <w:r>
              <w:rPr>
                <w:rFonts w:hint="eastAsia"/>
              </w:rPr>
              <w:t>3519468.3</w:t>
            </w:r>
          </w:p>
        </w:tc>
        <w:tc>
          <w:tcPr>
            <w:tcW w:w="383" w:type="pct"/>
            <w:vAlign w:val="center"/>
          </w:tcPr>
          <w:p w14:paraId="5D827E5E">
            <w:pPr>
              <w:pStyle w:val="951"/>
              <w:rPr>
                <w:rFonts w:eastAsia="宋体"/>
                <w:szCs w:val="22"/>
              </w:rPr>
            </w:pPr>
            <w:r>
              <w:rPr>
                <w:rFonts w:eastAsia="宋体"/>
                <w:szCs w:val="22"/>
              </w:rPr>
              <w:t>水井</w:t>
            </w:r>
          </w:p>
        </w:tc>
        <w:tc>
          <w:tcPr>
            <w:tcW w:w="285" w:type="pct"/>
            <w:vAlign w:val="center"/>
          </w:tcPr>
          <w:p w14:paraId="7236B3F6">
            <w:pPr>
              <w:widowControl/>
              <w:jc w:val="center"/>
              <w:textAlignment w:val="center"/>
              <w:rPr>
                <w:sz w:val="22"/>
                <w:szCs w:val="22"/>
              </w:rPr>
            </w:pPr>
            <w:r>
              <w:rPr>
                <w:kern w:val="0"/>
                <w:sz w:val="22"/>
                <w:szCs w:val="22"/>
                <w:lang w:bidi="ar"/>
              </w:rPr>
              <w:t>4</w:t>
            </w:r>
          </w:p>
        </w:tc>
        <w:tc>
          <w:tcPr>
            <w:tcW w:w="471" w:type="pct"/>
            <w:vAlign w:val="center"/>
          </w:tcPr>
          <w:p w14:paraId="37A2E013">
            <w:pPr>
              <w:widowControl/>
              <w:jc w:val="center"/>
              <w:textAlignment w:val="center"/>
              <w:rPr>
                <w:sz w:val="22"/>
                <w:szCs w:val="22"/>
              </w:rPr>
            </w:pPr>
            <w:r>
              <w:rPr>
                <w:kern w:val="0"/>
                <w:sz w:val="22"/>
                <w:szCs w:val="22"/>
                <w:lang w:bidi="ar"/>
              </w:rPr>
              <w:t>25~32</w:t>
            </w:r>
          </w:p>
        </w:tc>
        <w:tc>
          <w:tcPr>
            <w:tcW w:w="523" w:type="pct"/>
            <w:vMerge w:val="restart"/>
            <w:noWrap/>
            <w:vAlign w:val="center"/>
          </w:tcPr>
          <w:p w14:paraId="7E7B0E8B">
            <w:pPr>
              <w:pStyle w:val="951"/>
              <w:rPr>
                <w:rFonts w:eastAsia="宋体"/>
                <w:szCs w:val="22"/>
                <w:lang w:val="en-US"/>
              </w:rPr>
            </w:pPr>
            <w:r>
              <w:rPr>
                <w:rFonts w:eastAsia="宋体"/>
                <w:szCs w:val="22"/>
                <w:lang w:val="en-US"/>
              </w:rPr>
              <w:t>白龙组基岩风化裂隙水</w:t>
            </w:r>
          </w:p>
        </w:tc>
        <w:tc>
          <w:tcPr>
            <w:tcW w:w="1100" w:type="pct"/>
            <w:noWrap/>
            <w:vAlign w:val="center"/>
          </w:tcPr>
          <w:p w14:paraId="51E9DBF0">
            <w:pPr>
              <w:widowControl/>
              <w:jc w:val="center"/>
              <w:textAlignment w:val="center"/>
              <w:rPr>
                <w:sz w:val="22"/>
                <w:szCs w:val="22"/>
              </w:rPr>
            </w:pPr>
            <w:r>
              <w:rPr>
                <w:rFonts w:hint="eastAsia" w:cs="宋体"/>
                <w:kern w:val="0"/>
                <w:sz w:val="22"/>
                <w:szCs w:val="22"/>
                <w:lang w:bidi="ar"/>
              </w:rPr>
              <w:t>站场上游</w:t>
            </w:r>
            <w:r>
              <w:rPr>
                <w:kern w:val="0"/>
                <w:sz w:val="22"/>
                <w:szCs w:val="22"/>
                <w:lang w:bidi="ar"/>
              </w:rPr>
              <w:t>/</w:t>
            </w:r>
            <w:r>
              <w:rPr>
                <w:rFonts w:hint="eastAsia" w:cs="宋体"/>
                <w:kern w:val="0"/>
                <w:sz w:val="22"/>
                <w:szCs w:val="22"/>
                <w:lang w:bidi="ar"/>
              </w:rPr>
              <w:t>东</w:t>
            </w:r>
            <w:r>
              <w:rPr>
                <w:kern w:val="0"/>
                <w:sz w:val="22"/>
                <w:szCs w:val="22"/>
                <w:lang w:bidi="ar"/>
              </w:rPr>
              <w:t>/177m</w:t>
            </w:r>
          </w:p>
        </w:tc>
        <w:tc>
          <w:tcPr>
            <w:tcW w:w="552" w:type="pct"/>
            <w:vMerge w:val="restart"/>
            <w:vAlign w:val="center"/>
          </w:tcPr>
          <w:p w14:paraId="13A76054">
            <w:pPr>
              <w:pStyle w:val="951"/>
              <w:rPr>
                <w:rFonts w:eastAsia="宋体"/>
                <w:szCs w:val="22"/>
              </w:rPr>
            </w:pPr>
            <w:r>
              <w:rPr>
                <w:rFonts w:eastAsia="宋体"/>
                <w:szCs w:val="22"/>
              </w:rPr>
              <w:t>分散式饮用水源、生活用水、备用水源</w:t>
            </w:r>
          </w:p>
        </w:tc>
      </w:tr>
      <w:tr w14:paraId="3FAD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5776C4EE">
            <w:pPr>
              <w:widowControl/>
              <w:jc w:val="center"/>
              <w:textAlignment w:val="center"/>
              <w:rPr>
                <w:sz w:val="22"/>
                <w:szCs w:val="22"/>
              </w:rPr>
            </w:pPr>
            <w:r>
              <w:rPr>
                <w:kern w:val="0"/>
                <w:sz w:val="22"/>
                <w:szCs w:val="22"/>
                <w:lang w:bidi="ar"/>
              </w:rPr>
              <w:t>D2</w:t>
            </w:r>
          </w:p>
        </w:tc>
        <w:tc>
          <w:tcPr>
            <w:tcW w:w="467" w:type="pct"/>
            <w:noWrap/>
            <w:vAlign w:val="center"/>
          </w:tcPr>
          <w:p w14:paraId="026DD48D">
            <w:pPr>
              <w:widowControl/>
              <w:jc w:val="center"/>
              <w:textAlignment w:val="center"/>
              <w:rPr>
                <w:sz w:val="22"/>
                <w:szCs w:val="22"/>
              </w:rPr>
            </w:pPr>
            <w:r>
              <w:rPr>
                <w:rFonts w:hint="eastAsia" w:cs="宋体"/>
                <w:kern w:val="0"/>
                <w:sz w:val="22"/>
                <w:szCs w:val="22"/>
                <w:lang w:bidi="ar"/>
              </w:rPr>
              <w:t>金凤村</w:t>
            </w:r>
          </w:p>
        </w:tc>
        <w:tc>
          <w:tcPr>
            <w:tcW w:w="490" w:type="pct"/>
            <w:noWrap/>
            <w:vAlign w:val="center"/>
          </w:tcPr>
          <w:p w14:paraId="4A7FE2E3">
            <w:pPr>
              <w:pStyle w:val="687"/>
            </w:pPr>
            <w:r>
              <w:rPr>
                <w:rFonts w:hint="eastAsia"/>
              </w:rPr>
              <w:t>635329.7</w:t>
            </w:r>
          </w:p>
        </w:tc>
        <w:tc>
          <w:tcPr>
            <w:tcW w:w="446" w:type="pct"/>
            <w:noWrap/>
            <w:vAlign w:val="center"/>
          </w:tcPr>
          <w:p w14:paraId="27300B1D">
            <w:pPr>
              <w:pStyle w:val="687"/>
            </w:pPr>
            <w:r>
              <w:rPr>
                <w:rFonts w:hint="eastAsia"/>
              </w:rPr>
              <w:t>3519669.7</w:t>
            </w:r>
          </w:p>
        </w:tc>
        <w:tc>
          <w:tcPr>
            <w:tcW w:w="383" w:type="pct"/>
            <w:vAlign w:val="center"/>
          </w:tcPr>
          <w:p w14:paraId="7927308C">
            <w:pPr>
              <w:pStyle w:val="951"/>
              <w:rPr>
                <w:rFonts w:eastAsia="宋体"/>
                <w:szCs w:val="22"/>
              </w:rPr>
            </w:pPr>
            <w:r>
              <w:rPr>
                <w:rFonts w:eastAsia="宋体"/>
                <w:szCs w:val="22"/>
              </w:rPr>
              <w:t>水井</w:t>
            </w:r>
          </w:p>
        </w:tc>
        <w:tc>
          <w:tcPr>
            <w:tcW w:w="285" w:type="pct"/>
            <w:vAlign w:val="center"/>
          </w:tcPr>
          <w:p w14:paraId="6F7E62F8">
            <w:pPr>
              <w:widowControl/>
              <w:jc w:val="center"/>
              <w:textAlignment w:val="center"/>
              <w:rPr>
                <w:sz w:val="22"/>
                <w:szCs w:val="22"/>
              </w:rPr>
            </w:pPr>
            <w:r>
              <w:rPr>
                <w:kern w:val="0"/>
                <w:sz w:val="22"/>
                <w:szCs w:val="22"/>
                <w:lang w:bidi="ar"/>
              </w:rPr>
              <w:t>8</w:t>
            </w:r>
          </w:p>
        </w:tc>
        <w:tc>
          <w:tcPr>
            <w:tcW w:w="471" w:type="pct"/>
            <w:vAlign w:val="center"/>
          </w:tcPr>
          <w:p w14:paraId="5EA7A486">
            <w:pPr>
              <w:widowControl/>
              <w:jc w:val="center"/>
              <w:textAlignment w:val="center"/>
              <w:rPr>
                <w:sz w:val="22"/>
                <w:szCs w:val="22"/>
              </w:rPr>
            </w:pPr>
            <w:r>
              <w:rPr>
                <w:kern w:val="0"/>
                <w:sz w:val="22"/>
                <w:szCs w:val="22"/>
                <w:lang w:bidi="ar"/>
              </w:rPr>
              <w:t>20~30</w:t>
            </w:r>
          </w:p>
        </w:tc>
        <w:tc>
          <w:tcPr>
            <w:tcW w:w="523" w:type="pct"/>
            <w:vMerge w:val="continue"/>
            <w:noWrap/>
            <w:vAlign w:val="center"/>
          </w:tcPr>
          <w:p w14:paraId="605FA030">
            <w:pPr>
              <w:pStyle w:val="951"/>
              <w:rPr>
                <w:rFonts w:eastAsia="宋体"/>
                <w:szCs w:val="22"/>
              </w:rPr>
            </w:pPr>
          </w:p>
        </w:tc>
        <w:tc>
          <w:tcPr>
            <w:tcW w:w="1100" w:type="pct"/>
            <w:noWrap/>
            <w:vAlign w:val="center"/>
          </w:tcPr>
          <w:p w14:paraId="4F9146C6">
            <w:pPr>
              <w:widowControl/>
              <w:jc w:val="center"/>
              <w:textAlignment w:val="center"/>
              <w:rPr>
                <w:sz w:val="22"/>
                <w:szCs w:val="22"/>
              </w:rPr>
            </w:pPr>
            <w:r>
              <w:rPr>
                <w:rFonts w:hint="eastAsia" w:cs="宋体"/>
                <w:kern w:val="0"/>
                <w:sz w:val="22"/>
                <w:szCs w:val="22"/>
                <w:lang w:bidi="ar"/>
              </w:rPr>
              <w:t>站场侧向</w:t>
            </w:r>
            <w:r>
              <w:rPr>
                <w:kern w:val="0"/>
                <w:sz w:val="22"/>
                <w:szCs w:val="22"/>
                <w:lang w:bidi="ar"/>
              </w:rPr>
              <w:t>/</w:t>
            </w:r>
            <w:r>
              <w:rPr>
                <w:rFonts w:hint="eastAsia" w:cs="宋体"/>
                <w:kern w:val="0"/>
                <w:sz w:val="22"/>
                <w:szCs w:val="22"/>
                <w:lang w:bidi="ar"/>
              </w:rPr>
              <w:t>东</w:t>
            </w:r>
            <w:r>
              <w:rPr>
                <w:kern w:val="0"/>
                <w:sz w:val="22"/>
                <w:szCs w:val="22"/>
                <w:lang w:bidi="ar"/>
              </w:rPr>
              <w:t>/200m</w:t>
            </w:r>
          </w:p>
        </w:tc>
        <w:tc>
          <w:tcPr>
            <w:tcW w:w="552" w:type="pct"/>
            <w:vMerge w:val="continue"/>
            <w:vAlign w:val="center"/>
          </w:tcPr>
          <w:p w14:paraId="13550501">
            <w:pPr>
              <w:pStyle w:val="951"/>
              <w:rPr>
                <w:rFonts w:eastAsia="宋体"/>
                <w:szCs w:val="22"/>
              </w:rPr>
            </w:pPr>
          </w:p>
        </w:tc>
      </w:tr>
      <w:tr w14:paraId="0636F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07BE8668">
            <w:pPr>
              <w:widowControl/>
              <w:jc w:val="center"/>
              <w:textAlignment w:val="center"/>
              <w:rPr>
                <w:sz w:val="22"/>
                <w:szCs w:val="22"/>
              </w:rPr>
            </w:pPr>
            <w:r>
              <w:rPr>
                <w:kern w:val="0"/>
                <w:sz w:val="22"/>
                <w:szCs w:val="22"/>
                <w:lang w:bidi="ar"/>
              </w:rPr>
              <w:t>D3</w:t>
            </w:r>
          </w:p>
        </w:tc>
        <w:tc>
          <w:tcPr>
            <w:tcW w:w="467" w:type="pct"/>
            <w:noWrap/>
            <w:vAlign w:val="center"/>
          </w:tcPr>
          <w:p w14:paraId="3336F516">
            <w:pPr>
              <w:widowControl/>
              <w:jc w:val="center"/>
              <w:textAlignment w:val="center"/>
              <w:rPr>
                <w:sz w:val="22"/>
                <w:szCs w:val="22"/>
              </w:rPr>
            </w:pPr>
            <w:r>
              <w:rPr>
                <w:rFonts w:hint="eastAsia" w:cs="宋体"/>
                <w:kern w:val="0"/>
                <w:sz w:val="22"/>
                <w:szCs w:val="22"/>
                <w:lang w:bidi="ar"/>
              </w:rPr>
              <w:t>金凤村</w:t>
            </w:r>
          </w:p>
        </w:tc>
        <w:tc>
          <w:tcPr>
            <w:tcW w:w="490" w:type="pct"/>
            <w:noWrap/>
            <w:vAlign w:val="center"/>
          </w:tcPr>
          <w:p w14:paraId="5E651466">
            <w:pPr>
              <w:pStyle w:val="687"/>
            </w:pPr>
            <w:r>
              <w:rPr>
                <w:rFonts w:hint="eastAsia"/>
              </w:rPr>
              <w:t>635479.5</w:t>
            </w:r>
          </w:p>
        </w:tc>
        <w:tc>
          <w:tcPr>
            <w:tcW w:w="446" w:type="pct"/>
            <w:noWrap/>
            <w:vAlign w:val="center"/>
          </w:tcPr>
          <w:p w14:paraId="66CC6ADD">
            <w:pPr>
              <w:pStyle w:val="687"/>
            </w:pPr>
            <w:r>
              <w:rPr>
                <w:rFonts w:hint="eastAsia"/>
              </w:rPr>
              <w:t>3519153.7</w:t>
            </w:r>
          </w:p>
        </w:tc>
        <w:tc>
          <w:tcPr>
            <w:tcW w:w="383" w:type="pct"/>
            <w:vAlign w:val="center"/>
          </w:tcPr>
          <w:p w14:paraId="4B2C8A02">
            <w:pPr>
              <w:pStyle w:val="951"/>
              <w:rPr>
                <w:rFonts w:eastAsia="宋体"/>
                <w:szCs w:val="22"/>
              </w:rPr>
            </w:pPr>
            <w:r>
              <w:rPr>
                <w:rFonts w:eastAsia="宋体"/>
                <w:szCs w:val="22"/>
              </w:rPr>
              <w:t>水井</w:t>
            </w:r>
          </w:p>
        </w:tc>
        <w:tc>
          <w:tcPr>
            <w:tcW w:w="285" w:type="pct"/>
            <w:vAlign w:val="center"/>
          </w:tcPr>
          <w:p w14:paraId="06B753E2">
            <w:pPr>
              <w:widowControl/>
              <w:jc w:val="center"/>
              <w:textAlignment w:val="center"/>
              <w:rPr>
                <w:sz w:val="22"/>
                <w:szCs w:val="22"/>
              </w:rPr>
            </w:pPr>
            <w:r>
              <w:rPr>
                <w:kern w:val="0"/>
                <w:sz w:val="22"/>
                <w:szCs w:val="22"/>
                <w:lang w:bidi="ar"/>
              </w:rPr>
              <w:t>10</w:t>
            </w:r>
          </w:p>
        </w:tc>
        <w:tc>
          <w:tcPr>
            <w:tcW w:w="471" w:type="pct"/>
            <w:vAlign w:val="center"/>
          </w:tcPr>
          <w:p w14:paraId="4219C0D2">
            <w:pPr>
              <w:widowControl/>
              <w:jc w:val="center"/>
              <w:textAlignment w:val="center"/>
              <w:rPr>
                <w:sz w:val="22"/>
                <w:szCs w:val="22"/>
              </w:rPr>
            </w:pPr>
            <w:r>
              <w:rPr>
                <w:kern w:val="0"/>
                <w:sz w:val="22"/>
                <w:szCs w:val="22"/>
                <w:lang w:bidi="ar"/>
              </w:rPr>
              <w:t>20~30</w:t>
            </w:r>
          </w:p>
        </w:tc>
        <w:tc>
          <w:tcPr>
            <w:tcW w:w="523" w:type="pct"/>
            <w:vMerge w:val="continue"/>
            <w:noWrap/>
            <w:vAlign w:val="center"/>
          </w:tcPr>
          <w:p w14:paraId="71070935">
            <w:pPr>
              <w:pStyle w:val="951"/>
              <w:rPr>
                <w:rFonts w:eastAsia="宋体"/>
                <w:szCs w:val="22"/>
              </w:rPr>
            </w:pPr>
          </w:p>
        </w:tc>
        <w:tc>
          <w:tcPr>
            <w:tcW w:w="1100" w:type="pct"/>
            <w:noWrap/>
            <w:vAlign w:val="center"/>
          </w:tcPr>
          <w:p w14:paraId="35F93D0D">
            <w:pPr>
              <w:widowControl/>
              <w:jc w:val="center"/>
              <w:textAlignment w:val="center"/>
              <w:rPr>
                <w:sz w:val="22"/>
                <w:szCs w:val="22"/>
              </w:rPr>
            </w:pPr>
            <w:r>
              <w:rPr>
                <w:rFonts w:hint="eastAsia" w:cs="宋体"/>
                <w:kern w:val="0"/>
                <w:sz w:val="22"/>
                <w:szCs w:val="22"/>
                <w:lang w:bidi="ar"/>
              </w:rPr>
              <w:t>站场侧向</w:t>
            </w:r>
            <w:r>
              <w:rPr>
                <w:kern w:val="0"/>
                <w:sz w:val="22"/>
                <w:szCs w:val="22"/>
                <w:lang w:bidi="ar"/>
              </w:rPr>
              <w:t>/</w:t>
            </w:r>
            <w:r>
              <w:rPr>
                <w:rFonts w:hint="eastAsia" w:cs="宋体"/>
                <w:kern w:val="0"/>
                <w:sz w:val="22"/>
                <w:szCs w:val="22"/>
                <w:lang w:bidi="ar"/>
              </w:rPr>
              <w:t>东南</w:t>
            </w:r>
            <w:r>
              <w:rPr>
                <w:kern w:val="0"/>
                <w:sz w:val="22"/>
                <w:szCs w:val="22"/>
                <w:lang w:bidi="ar"/>
              </w:rPr>
              <w:t>/339m</w:t>
            </w:r>
          </w:p>
        </w:tc>
        <w:tc>
          <w:tcPr>
            <w:tcW w:w="552" w:type="pct"/>
            <w:vMerge w:val="continue"/>
            <w:vAlign w:val="center"/>
          </w:tcPr>
          <w:p w14:paraId="35A7ECDF">
            <w:pPr>
              <w:pStyle w:val="951"/>
              <w:rPr>
                <w:rFonts w:eastAsia="宋体"/>
                <w:szCs w:val="22"/>
              </w:rPr>
            </w:pPr>
          </w:p>
        </w:tc>
      </w:tr>
      <w:tr w14:paraId="67F0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0587AFA0">
            <w:pPr>
              <w:widowControl/>
              <w:jc w:val="center"/>
              <w:textAlignment w:val="center"/>
              <w:rPr>
                <w:sz w:val="22"/>
                <w:szCs w:val="22"/>
              </w:rPr>
            </w:pPr>
            <w:r>
              <w:rPr>
                <w:kern w:val="0"/>
                <w:sz w:val="22"/>
                <w:szCs w:val="22"/>
                <w:lang w:bidi="ar"/>
              </w:rPr>
              <w:t>D4</w:t>
            </w:r>
          </w:p>
        </w:tc>
        <w:tc>
          <w:tcPr>
            <w:tcW w:w="467" w:type="pct"/>
            <w:noWrap/>
            <w:vAlign w:val="center"/>
          </w:tcPr>
          <w:p w14:paraId="41692FE4">
            <w:pPr>
              <w:widowControl/>
              <w:jc w:val="center"/>
              <w:textAlignment w:val="center"/>
              <w:rPr>
                <w:sz w:val="22"/>
                <w:szCs w:val="22"/>
              </w:rPr>
            </w:pPr>
            <w:r>
              <w:rPr>
                <w:rFonts w:hint="eastAsia" w:cs="宋体"/>
                <w:kern w:val="0"/>
                <w:sz w:val="22"/>
                <w:szCs w:val="22"/>
                <w:lang w:bidi="ar"/>
              </w:rPr>
              <w:t>金凤村</w:t>
            </w:r>
          </w:p>
        </w:tc>
        <w:tc>
          <w:tcPr>
            <w:tcW w:w="490" w:type="pct"/>
            <w:noWrap/>
            <w:vAlign w:val="center"/>
          </w:tcPr>
          <w:p w14:paraId="7B5F2274">
            <w:pPr>
              <w:pStyle w:val="687"/>
            </w:pPr>
            <w:r>
              <w:rPr>
                <w:rFonts w:hint="eastAsia"/>
              </w:rPr>
              <w:t>634960.6</w:t>
            </w:r>
          </w:p>
        </w:tc>
        <w:tc>
          <w:tcPr>
            <w:tcW w:w="446" w:type="pct"/>
            <w:noWrap/>
            <w:vAlign w:val="center"/>
          </w:tcPr>
          <w:p w14:paraId="0BB9BA2C">
            <w:pPr>
              <w:pStyle w:val="687"/>
            </w:pPr>
            <w:r>
              <w:rPr>
                <w:rFonts w:hint="eastAsia"/>
              </w:rPr>
              <w:t>3519567.3</w:t>
            </w:r>
          </w:p>
        </w:tc>
        <w:tc>
          <w:tcPr>
            <w:tcW w:w="383" w:type="pct"/>
            <w:vAlign w:val="center"/>
          </w:tcPr>
          <w:p w14:paraId="6F27F18A">
            <w:pPr>
              <w:pStyle w:val="951"/>
              <w:rPr>
                <w:rFonts w:eastAsia="宋体"/>
                <w:szCs w:val="22"/>
              </w:rPr>
            </w:pPr>
            <w:r>
              <w:rPr>
                <w:rFonts w:eastAsia="宋体"/>
                <w:szCs w:val="22"/>
              </w:rPr>
              <w:t>水井</w:t>
            </w:r>
          </w:p>
        </w:tc>
        <w:tc>
          <w:tcPr>
            <w:tcW w:w="285" w:type="pct"/>
            <w:vAlign w:val="center"/>
          </w:tcPr>
          <w:p w14:paraId="6A6A26E1">
            <w:pPr>
              <w:widowControl/>
              <w:jc w:val="center"/>
              <w:textAlignment w:val="center"/>
              <w:rPr>
                <w:sz w:val="22"/>
                <w:szCs w:val="22"/>
              </w:rPr>
            </w:pPr>
            <w:r>
              <w:rPr>
                <w:kern w:val="0"/>
                <w:sz w:val="22"/>
                <w:szCs w:val="22"/>
                <w:lang w:bidi="ar"/>
              </w:rPr>
              <w:t>8</w:t>
            </w:r>
          </w:p>
        </w:tc>
        <w:tc>
          <w:tcPr>
            <w:tcW w:w="471" w:type="pct"/>
            <w:vAlign w:val="center"/>
          </w:tcPr>
          <w:p w14:paraId="05626760">
            <w:pPr>
              <w:widowControl/>
              <w:jc w:val="center"/>
              <w:textAlignment w:val="center"/>
              <w:rPr>
                <w:sz w:val="22"/>
                <w:szCs w:val="22"/>
              </w:rPr>
            </w:pPr>
            <w:r>
              <w:rPr>
                <w:kern w:val="0"/>
                <w:sz w:val="22"/>
                <w:szCs w:val="22"/>
                <w:lang w:bidi="ar"/>
              </w:rPr>
              <w:t>10~20</w:t>
            </w:r>
          </w:p>
        </w:tc>
        <w:tc>
          <w:tcPr>
            <w:tcW w:w="523" w:type="pct"/>
            <w:vMerge w:val="continue"/>
            <w:noWrap/>
            <w:vAlign w:val="center"/>
          </w:tcPr>
          <w:p w14:paraId="2B2474FD">
            <w:pPr>
              <w:pStyle w:val="951"/>
              <w:rPr>
                <w:rFonts w:eastAsia="宋体"/>
                <w:szCs w:val="22"/>
              </w:rPr>
            </w:pPr>
          </w:p>
        </w:tc>
        <w:tc>
          <w:tcPr>
            <w:tcW w:w="1100" w:type="pct"/>
            <w:noWrap/>
            <w:vAlign w:val="center"/>
          </w:tcPr>
          <w:p w14:paraId="30A8E0B5">
            <w:pPr>
              <w:widowControl/>
              <w:jc w:val="center"/>
              <w:textAlignment w:val="center"/>
              <w:rPr>
                <w:sz w:val="22"/>
                <w:szCs w:val="22"/>
              </w:rPr>
            </w:pPr>
            <w:r>
              <w:rPr>
                <w:rFonts w:hint="eastAsia" w:cs="宋体"/>
                <w:kern w:val="0"/>
                <w:sz w:val="22"/>
                <w:szCs w:val="22"/>
                <w:lang w:bidi="ar"/>
              </w:rPr>
              <w:t>站场下游</w:t>
            </w:r>
            <w:r>
              <w:rPr>
                <w:kern w:val="0"/>
                <w:sz w:val="22"/>
                <w:szCs w:val="22"/>
                <w:lang w:bidi="ar"/>
              </w:rPr>
              <w:t>/</w:t>
            </w:r>
            <w:r>
              <w:rPr>
                <w:rFonts w:hint="eastAsia" w:cs="宋体"/>
                <w:kern w:val="0"/>
                <w:sz w:val="22"/>
                <w:szCs w:val="22"/>
                <w:lang w:bidi="ar"/>
              </w:rPr>
              <w:t>西</w:t>
            </w:r>
            <w:r>
              <w:rPr>
                <w:kern w:val="0"/>
                <w:sz w:val="22"/>
                <w:szCs w:val="22"/>
                <w:lang w:bidi="ar"/>
              </w:rPr>
              <w:t>/407m</w:t>
            </w:r>
          </w:p>
        </w:tc>
        <w:tc>
          <w:tcPr>
            <w:tcW w:w="552" w:type="pct"/>
            <w:vMerge w:val="continue"/>
            <w:vAlign w:val="center"/>
          </w:tcPr>
          <w:p w14:paraId="59C14E94">
            <w:pPr>
              <w:pStyle w:val="951"/>
              <w:rPr>
                <w:rFonts w:eastAsia="宋体"/>
                <w:szCs w:val="22"/>
              </w:rPr>
            </w:pPr>
          </w:p>
        </w:tc>
      </w:tr>
      <w:tr w14:paraId="242C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0BC24F4B">
            <w:pPr>
              <w:widowControl/>
              <w:jc w:val="center"/>
              <w:textAlignment w:val="center"/>
              <w:rPr>
                <w:sz w:val="22"/>
                <w:szCs w:val="22"/>
              </w:rPr>
            </w:pPr>
            <w:r>
              <w:rPr>
                <w:kern w:val="0"/>
                <w:sz w:val="22"/>
                <w:szCs w:val="22"/>
                <w:lang w:bidi="ar"/>
              </w:rPr>
              <w:t>D5</w:t>
            </w:r>
          </w:p>
        </w:tc>
        <w:tc>
          <w:tcPr>
            <w:tcW w:w="467" w:type="pct"/>
            <w:noWrap/>
            <w:vAlign w:val="center"/>
          </w:tcPr>
          <w:p w14:paraId="3868ADC3">
            <w:pPr>
              <w:widowControl/>
              <w:jc w:val="center"/>
              <w:textAlignment w:val="center"/>
              <w:rPr>
                <w:sz w:val="22"/>
                <w:szCs w:val="22"/>
              </w:rPr>
            </w:pPr>
            <w:r>
              <w:rPr>
                <w:rFonts w:hint="eastAsia" w:cs="宋体"/>
                <w:kern w:val="0"/>
                <w:sz w:val="22"/>
                <w:szCs w:val="22"/>
                <w:lang w:bidi="ar"/>
              </w:rPr>
              <w:t>金凤村</w:t>
            </w:r>
          </w:p>
        </w:tc>
        <w:tc>
          <w:tcPr>
            <w:tcW w:w="490" w:type="pct"/>
            <w:noWrap/>
            <w:vAlign w:val="center"/>
          </w:tcPr>
          <w:p w14:paraId="22DEF08D">
            <w:pPr>
              <w:pStyle w:val="687"/>
            </w:pPr>
            <w:r>
              <w:rPr>
                <w:rFonts w:hint="eastAsia"/>
              </w:rPr>
              <w:t>634981.9</w:t>
            </w:r>
          </w:p>
        </w:tc>
        <w:tc>
          <w:tcPr>
            <w:tcW w:w="446" w:type="pct"/>
            <w:noWrap/>
            <w:vAlign w:val="center"/>
          </w:tcPr>
          <w:p w14:paraId="5DBF1B7A">
            <w:pPr>
              <w:pStyle w:val="687"/>
            </w:pPr>
            <w:r>
              <w:rPr>
                <w:rFonts w:hint="eastAsia"/>
              </w:rPr>
              <w:t>3519315.8</w:t>
            </w:r>
          </w:p>
        </w:tc>
        <w:tc>
          <w:tcPr>
            <w:tcW w:w="383" w:type="pct"/>
            <w:vAlign w:val="center"/>
          </w:tcPr>
          <w:p w14:paraId="078DF163">
            <w:pPr>
              <w:pStyle w:val="951"/>
              <w:rPr>
                <w:rFonts w:eastAsia="宋体"/>
                <w:szCs w:val="22"/>
              </w:rPr>
            </w:pPr>
            <w:r>
              <w:rPr>
                <w:rFonts w:eastAsia="宋体"/>
                <w:szCs w:val="22"/>
              </w:rPr>
              <w:t>水井</w:t>
            </w:r>
          </w:p>
        </w:tc>
        <w:tc>
          <w:tcPr>
            <w:tcW w:w="285" w:type="pct"/>
            <w:vAlign w:val="center"/>
          </w:tcPr>
          <w:p w14:paraId="6B72232D">
            <w:pPr>
              <w:widowControl/>
              <w:jc w:val="center"/>
              <w:textAlignment w:val="center"/>
              <w:rPr>
                <w:sz w:val="22"/>
                <w:szCs w:val="22"/>
              </w:rPr>
            </w:pPr>
            <w:r>
              <w:rPr>
                <w:kern w:val="0"/>
                <w:sz w:val="22"/>
                <w:szCs w:val="22"/>
                <w:lang w:bidi="ar"/>
              </w:rPr>
              <w:t>6</w:t>
            </w:r>
          </w:p>
        </w:tc>
        <w:tc>
          <w:tcPr>
            <w:tcW w:w="471" w:type="pct"/>
            <w:vAlign w:val="center"/>
          </w:tcPr>
          <w:p w14:paraId="14BC68BD">
            <w:pPr>
              <w:widowControl/>
              <w:jc w:val="center"/>
              <w:textAlignment w:val="center"/>
              <w:rPr>
                <w:sz w:val="22"/>
                <w:szCs w:val="22"/>
              </w:rPr>
            </w:pPr>
            <w:r>
              <w:rPr>
                <w:kern w:val="0"/>
                <w:sz w:val="22"/>
                <w:szCs w:val="22"/>
                <w:lang w:bidi="ar"/>
              </w:rPr>
              <w:t>8~20</w:t>
            </w:r>
          </w:p>
        </w:tc>
        <w:tc>
          <w:tcPr>
            <w:tcW w:w="523" w:type="pct"/>
            <w:vMerge w:val="continue"/>
            <w:noWrap/>
            <w:vAlign w:val="center"/>
          </w:tcPr>
          <w:p w14:paraId="1B0AEA03">
            <w:pPr>
              <w:pStyle w:val="951"/>
              <w:rPr>
                <w:rFonts w:eastAsia="宋体"/>
                <w:szCs w:val="22"/>
              </w:rPr>
            </w:pPr>
          </w:p>
        </w:tc>
        <w:tc>
          <w:tcPr>
            <w:tcW w:w="1100" w:type="pct"/>
            <w:noWrap/>
            <w:vAlign w:val="center"/>
          </w:tcPr>
          <w:p w14:paraId="0CC03648">
            <w:pPr>
              <w:widowControl/>
              <w:jc w:val="center"/>
              <w:textAlignment w:val="center"/>
              <w:rPr>
                <w:sz w:val="22"/>
                <w:szCs w:val="22"/>
              </w:rPr>
            </w:pPr>
            <w:r>
              <w:rPr>
                <w:rFonts w:hint="eastAsia" w:cs="宋体"/>
                <w:kern w:val="0"/>
                <w:sz w:val="22"/>
                <w:szCs w:val="22"/>
                <w:lang w:bidi="ar"/>
              </w:rPr>
              <w:t>站场下游</w:t>
            </w:r>
            <w:r>
              <w:rPr>
                <w:kern w:val="0"/>
                <w:sz w:val="22"/>
                <w:szCs w:val="22"/>
                <w:lang w:bidi="ar"/>
              </w:rPr>
              <w:t>/</w:t>
            </w:r>
            <w:r>
              <w:rPr>
                <w:rFonts w:hint="eastAsia" w:cs="宋体"/>
                <w:kern w:val="0"/>
                <w:sz w:val="22"/>
                <w:szCs w:val="22"/>
                <w:lang w:bidi="ar"/>
              </w:rPr>
              <w:t>西</w:t>
            </w:r>
            <w:r>
              <w:rPr>
                <w:kern w:val="0"/>
                <w:sz w:val="22"/>
                <w:szCs w:val="22"/>
                <w:lang w:bidi="ar"/>
              </w:rPr>
              <w:t>/405m</w:t>
            </w:r>
          </w:p>
        </w:tc>
        <w:tc>
          <w:tcPr>
            <w:tcW w:w="552" w:type="pct"/>
            <w:vMerge w:val="continue"/>
            <w:vAlign w:val="center"/>
          </w:tcPr>
          <w:p w14:paraId="44EF1CAE">
            <w:pPr>
              <w:pStyle w:val="951"/>
              <w:rPr>
                <w:rFonts w:eastAsia="宋体"/>
                <w:szCs w:val="22"/>
              </w:rPr>
            </w:pPr>
          </w:p>
        </w:tc>
      </w:tr>
      <w:tr w14:paraId="2574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4CAFA38A">
            <w:pPr>
              <w:widowControl/>
              <w:jc w:val="center"/>
              <w:textAlignment w:val="center"/>
              <w:rPr>
                <w:sz w:val="22"/>
                <w:szCs w:val="22"/>
              </w:rPr>
            </w:pPr>
            <w:r>
              <w:rPr>
                <w:kern w:val="0"/>
                <w:sz w:val="22"/>
                <w:szCs w:val="22"/>
                <w:lang w:bidi="ar"/>
              </w:rPr>
              <w:t>D6</w:t>
            </w:r>
          </w:p>
        </w:tc>
        <w:tc>
          <w:tcPr>
            <w:tcW w:w="467" w:type="pct"/>
            <w:noWrap/>
            <w:vAlign w:val="center"/>
          </w:tcPr>
          <w:p w14:paraId="0921B89B">
            <w:pPr>
              <w:widowControl/>
              <w:jc w:val="center"/>
              <w:textAlignment w:val="center"/>
              <w:rPr>
                <w:sz w:val="22"/>
                <w:szCs w:val="22"/>
              </w:rPr>
            </w:pPr>
            <w:r>
              <w:rPr>
                <w:rFonts w:hint="eastAsia" w:cs="宋体"/>
                <w:kern w:val="0"/>
                <w:sz w:val="22"/>
                <w:szCs w:val="22"/>
                <w:lang w:bidi="ar"/>
              </w:rPr>
              <w:t>金凤村</w:t>
            </w:r>
          </w:p>
        </w:tc>
        <w:tc>
          <w:tcPr>
            <w:tcW w:w="490" w:type="pct"/>
            <w:noWrap/>
            <w:vAlign w:val="center"/>
          </w:tcPr>
          <w:p w14:paraId="6DB3D31E">
            <w:pPr>
              <w:pStyle w:val="687"/>
            </w:pPr>
            <w:r>
              <w:rPr>
                <w:rFonts w:hint="eastAsia"/>
              </w:rPr>
              <w:t>635458.5</w:t>
            </w:r>
          </w:p>
        </w:tc>
        <w:tc>
          <w:tcPr>
            <w:tcW w:w="446" w:type="pct"/>
            <w:noWrap/>
            <w:vAlign w:val="center"/>
          </w:tcPr>
          <w:p w14:paraId="26B72AAC">
            <w:pPr>
              <w:pStyle w:val="687"/>
            </w:pPr>
            <w:r>
              <w:rPr>
                <w:rFonts w:hint="eastAsia"/>
              </w:rPr>
              <w:t>3518875.0</w:t>
            </w:r>
          </w:p>
        </w:tc>
        <w:tc>
          <w:tcPr>
            <w:tcW w:w="383" w:type="pct"/>
            <w:vAlign w:val="center"/>
          </w:tcPr>
          <w:p w14:paraId="5BECDD3A">
            <w:pPr>
              <w:pStyle w:val="951"/>
              <w:rPr>
                <w:rFonts w:eastAsia="宋体"/>
                <w:szCs w:val="22"/>
              </w:rPr>
            </w:pPr>
            <w:r>
              <w:rPr>
                <w:rFonts w:eastAsia="宋体"/>
                <w:szCs w:val="22"/>
              </w:rPr>
              <w:t>水井</w:t>
            </w:r>
          </w:p>
        </w:tc>
        <w:tc>
          <w:tcPr>
            <w:tcW w:w="285" w:type="pct"/>
            <w:vAlign w:val="center"/>
          </w:tcPr>
          <w:p w14:paraId="28EFE49F">
            <w:pPr>
              <w:widowControl/>
              <w:jc w:val="center"/>
              <w:textAlignment w:val="center"/>
              <w:rPr>
                <w:sz w:val="22"/>
                <w:szCs w:val="22"/>
              </w:rPr>
            </w:pPr>
            <w:r>
              <w:rPr>
                <w:kern w:val="0"/>
                <w:sz w:val="22"/>
                <w:szCs w:val="22"/>
                <w:lang w:bidi="ar"/>
              </w:rPr>
              <w:t>10</w:t>
            </w:r>
          </w:p>
        </w:tc>
        <w:tc>
          <w:tcPr>
            <w:tcW w:w="471" w:type="pct"/>
            <w:vAlign w:val="center"/>
          </w:tcPr>
          <w:p w14:paraId="1622667B">
            <w:pPr>
              <w:widowControl/>
              <w:jc w:val="center"/>
              <w:textAlignment w:val="center"/>
              <w:rPr>
                <w:sz w:val="22"/>
                <w:szCs w:val="22"/>
              </w:rPr>
            </w:pPr>
            <w:r>
              <w:rPr>
                <w:kern w:val="0"/>
                <w:sz w:val="22"/>
                <w:szCs w:val="22"/>
                <w:lang w:bidi="ar"/>
              </w:rPr>
              <w:t>25~35</w:t>
            </w:r>
          </w:p>
        </w:tc>
        <w:tc>
          <w:tcPr>
            <w:tcW w:w="523" w:type="pct"/>
            <w:vMerge w:val="continue"/>
            <w:noWrap/>
            <w:vAlign w:val="center"/>
          </w:tcPr>
          <w:p w14:paraId="40C2316F">
            <w:pPr>
              <w:pStyle w:val="951"/>
              <w:rPr>
                <w:rFonts w:eastAsia="宋体"/>
                <w:szCs w:val="22"/>
              </w:rPr>
            </w:pPr>
          </w:p>
        </w:tc>
        <w:tc>
          <w:tcPr>
            <w:tcW w:w="1100" w:type="pct"/>
            <w:noWrap/>
            <w:vAlign w:val="center"/>
          </w:tcPr>
          <w:p w14:paraId="74EF445D">
            <w:pPr>
              <w:widowControl/>
              <w:jc w:val="center"/>
              <w:textAlignment w:val="center"/>
              <w:rPr>
                <w:sz w:val="22"/>
                <w:szCs w:val="22"/>
              </w:rPr>
            </w:pPr>
            <w:r>
              <w:rPr>
                <w:rFonts w:hint="eastAsia" w:cs="宋体"/>
                <w:kern w:val="0"/>
                <w:sz w:val="22"/>
                <w:szCs w:val="22"/>
                <w:lang w:bidi="ar"/>
              </w:rPr>
              <w:t>站场侧上游</w:t>
            </w:r>
            <w:r>
              <w:rPr>
                <w:kern w:val="0"/>
                <w:sz w:val="22"/>
                <w:szCs w:val="22"/>
                <w:lang w:bidi="ar"/>
              </w:rPr>
              <w:t>/</w:t>
            </w:r>
            <w:r>
              <w:rPr>
                <w:rFonts w:hint="eastAsia" w:cs="宋体"/>
                <w:kern w:val="0"/>
                <w:sz w:val="22"/>
                <w:szCs w:val="22"/>
                <w:lang w:bidi="ar"/>
              </w:rPr>
              <w:t>南</w:t>
            </w:r>
            <w:r>
              <w:rPr>
                <w:kern w:val="0"/>
                <w:sz w:val="22"/>
                <w:szCs w:val="22"/>
                <w:lang w:bidi="ar"/>
              </w:rPr>
              <w:t>/603m</w:t>
            </w:r>
          </w:p>
        </w:tc>
        <w:tc>
          <w:tcPr>
            <w:tcW w:w="552" w:type="pct"/>
            <w:vMerge w:val="continue"/>
            <w:vAlign w:val="center"/>
          </w:tcPr>
          <w:p w14:paraId="1A1EAA36">
            <w:pPr>
              <w:pStyle w:val="951"/>
              <w:rPr>
                <w:rFonts w:eastAsia="宋体"/>
                <w:szCs w:val="22"/>
              </w:rPr>
            </w:pPr>
          </w:p>
        </w:tc>
      </w:tr>
      <w:tr w14:paraId="32B18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02922C30">
            <w:pPr>
              <w:widowControl/>
              <w:jc w:val="center"/>
              <w:textAlignment w:val="center"/>
              <w:rPr>
                <w:sz w:val="22"/>
                <w:szCs w:val="22"/>
              </w:rPr>
            </w:pPr>
            <w:r>
              <w:rPr>
                <w:kern w:val="0"/>
                <w:sz w:val="22"/>
                <w:szCs w:val="22"/>
                <w:lang w:bidi="ar"/>
              </w:rPr>
              <w:t>D7</w:t>
            </w:r>
          </w:p>
        </w:tc>
        <w:tc>
          <w:tcPr>
            <w:tcW w:w="467" w:type="pct"/>
            <w:noWrap/>
            <w:vAlign w:val="center"/>
          </w:tcPr>
          <w:p w14:paraId="3CB5EC27">
            <w:pPr>
              <w:widowControl/>
              <w:jc w:val="center"/>
              <w:textAlignment w:val="center"/>
              <w:rPr>
                <w:sz w:val="22"/>
                <w:szCs w:val="22"/>
              </w:rPr>
            </w:pPr>
            <w:r>
              <w:rPr>
                <w:rFonts w:hint="eastAsia" w:cs="宋体"/>
                <w:kern w:val="0"/>
                <w:sz w:val="22"/>
                <w:szCs w:val="22"/>
                <w:lang w:bidi="ar"/>
              </w:rPr>
              <w:t>金凤村</w:t>
            </w:r>
          </w:p>
        </w:tc>
        <w:tc>
          <w:tcPr>
            <w:tcW w:w="490" w:type="pct"/>
            <w:noWrap/>
            <w:vAlign w:val="center"/>
          </w:tcPr>
          <w:p w14:paraId="2A316F49">
            <w:pPr>
              <w:pStyle w:val="687"/>
            </w:pPr>
            <w:r>
              <w:rPr>
                <w:rFonts w:hint="eastAsia"/>
              </w:rPr>
              <w:t>634988.0</w:t>
            </w:r>
          </w:p>
        </w:tc>
        <w:tc>
          <w:tcPr>
            <w:tcW w:w="446" w:type="pct"/>
            <w:noWrap/>
            <w:vAlign w:val="center"/>
          </w:tcPr>
          <w:p w14:paraId="45870934">
            <w:pPr>
              <w:pStyle w:val="687"/>
            </w:pPr>
            <w:r>
              <w:rPr>
                <w:rFonts w:hint="eastAsia"/>
              </w:rPr>
              <w:t>3519931.4</w:t>
            </w:r>
          </w:p>
        </w:tc>
        <w:tc>
          <w:tcPr>
            <w:tcW w:w="383" w:type="pct"/>
            <w:vAlign w:val="center"/>
          </w:tcPr>
          <w:p w14:paraId="6878E6E1">
            <w:pPr>
              <w:pStyle w:val="951"/>
              <w:rPr>
                <w:rFonts w:eastAsia="宋体"/>
                <w:szCs w:val="22"/>
              </w:rPr>
            </w:pPr>
            <w:r>
              <w:rPr>
                <w:rFonts w:eastAsia="宋体"/>
                <w:szCs w:val="22"/>
              </w:rPr>
              <w:t>水井</w:t>
            </w:r>
          </w:p>
        </w:tc>
        <w:tc>
          <w:tcPr>
            <w:tcW w:w="285" w:type="pct"/>
            <w:vAlign w:val="center"/>
          </w:tcPr>
          <w:p w14:paraId="013E4186">
            <w:pPr>
              <w:widowControl/>
              <w:jc w:val="center"/>
              <w:textAlignment w:val="center"/>
              <w:rPr>
                <w:sz w:val="22"/>
                <w:szCs w:val="22"/>
              </w:rPr>
            </w:pPr>
            <w:r>
              <w:rPr>
                <w:kern w:val="0"/>
                <w:sz w:val="22"/>
                <w:szCs w:val="22"/>
                <w:lang w:bidi="ar"/>
              </w:rPr>
              <w:t>7</w:t>
            </w:r>
          </w:p>
        </w:tc>
        <w:tc>
          <w:tcPr>
            <w:tcW w:w="471" w:type="pct"/>
            <w:vAlign w:val="center"/>
          </w:tcPr>
          <w:p w14:paraId="4C6467DA">
            <w:pPr>
              <w:widowControl/>
              <w:jc w:val="center"/>
              <w:textAlignment w:val="center"/>
              <w:rPr>
                <w:sz w:val="22"/>
                <w:szCs w:val="22"/>
              </w:rPr>
            </w:pPr>
            <w:r>
              <w:rPr>
                <w:kern w:val="0"/>
                <w:sz w:val="22"/>
                <w:szCs w:val="22"/>
                <w:lang w:bidi="ar"/>
              </w:rPr>
              <w:t>10~15</w:t>
            </w:r>
          </w:p>
        </w:tc>
        <w:tc>
          <w:tcPr>
            <w:tcW w:w="523" w:type="pct"/>
            <w:vMerge w:val="continue"/>
            <w:noWrap/>
            <w:vAlign w:val="center"/>
          </w:tcPr>
          <w:p w14:paraId="42F0FC8C">
            <w:pPr>
              <w:pStyle w:val="951"/>
              <w:rPr>
                <w:rFonts w:eastAsia="宋体"/>
                <w:szCs w:val="22"/>
              </w:rPr>
            </w:pPr>
          </w:p>
        </w:tc>
        <w:tc>
          <w:tcPr>
            <w:tcW w:w="1100" w:type="pct"/>
            <w:noWrap/>
            <w:vAlign w:val="center"/>
          </w:tcPr>
          <w:p w14:paraId="321570CF">
            <w:pPr>
              <w:widowControl/>
              <w:jc w:val="center"/>
              <w:textAlignment w:val="center"/>
              <w:rPr>
                <w:sz w:val="22"/>
                <w:szCs w:val="22"/>
              </w:rPr>
            </w:pPr>
            <w:r>
              <w:rPr>
                <w:rFonts w:hint="eastAsia" w:cs="宋体"/>
                <w:kern w:val="0"/>
                <w:sz w:val="22"/>
                <w:szCs w:val="22"/>
                <w:lang w:bidi="ar"/>
              </w:rPr>
              <w:t>站场下游</w:t>
            </w:r>
            <w:r>
              <w:rPr>
                <w:kern w:val="0"/>
                <w:sz w:val="22"/>
                <w:szCs w:val="22"/>
                <w:lang w:bidi="ar"/>
              </w:rPr>
              <w:t>/</w:t>
            </w:r>
            <w:r>
              <w:rPr>
                <w:rFonts w:hint="eastAsia" w:cs="宋体"/>
                <w:kern w:val="0"/>
                <w:sz w:val="22"/>
                <w:szCs w:val="22"/>
                <w:lang w:bidi="ar"/>
              </w:rPr>
              <w:t>西北</w:t>
            </w:r>
            <w:r>
              <w:rPr>
                <w:kern w:val="0"/>
                <w:sz w:val="22"/>
                <w:szCs w:val="22"/>
                <w:lang w:bidi="ar"/>
              </w:rPr>
              <w:t>/589m</w:t>
            </w:r>
          </w:p>
        </w:tc>
        <w:tc>
          <w:tcPr>
            <w:tcW w:w="552" w:type="pct"/>
            <w:vMerge w:val="continue"/>
            <w:vAlign w:val="center"/>
          </w:tcPr>
          <w:p w14:paraId="7B9588E4">
            <w:pPr>
              <w:pStyle w:val="951"/>
              <w:rPr>
                <w:rFonts w:eastAsia="宋体"/>
                <w:szCs w:val="22"/>
              </w:rPr>
            </w:pPr>
          </w:p>
        </w:tc>
      </w:tr>
      <w:tr w14:paraId="5FD6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60C452B0">
            <w:pPr>
              <w:widowControl/>
              <w:jc w:val="center"/>
              <w:textAlignment w:val="center"/>
              <w:rPr>
                <w:sz w:val="22"/>
                <w:szCs w:val="22"/>
              </w:rPr>
            </w:pPr>
            <w:r>
              <w:rPr>
                <w:kern w:val="0"/>
                <w:sz w:val="22"/>
                <w:szCs w:val="22"/>
                <w:lang w:bidi="ar"/>
              </w:rPr>
              <w:t>D8</w:t>
            </w:r>
          </w:p>
        </w:tc>
        <w:tc>
          <w:tcPr>
            <w:tcW w:w="467" w:type="pct"/>
            <w:noWrap/>
            <w:vAlign w:val="center"/>
          </w:tcPr>
          <w:p w14:paraId="66A5262B">
            <w:pPr>
              <w:widowControl/>
              <w:jc w:val="center"/>
              <w:textAlignment w:val="center"/>
              <w:rPr>
                <w:sz w:val="22"/>
                <w:szCs w:val="22"/>
              </w:rPr>
            </w:pPr>
            <w:r>
              <w:rPr>
                <w:rFonts w:hint="eastAsia" w:cs="宋体"/>
                <w:kern w:val="0"/>
                <w:sz w:val="22"/>
                <w:szCs w:val="22"/>
                <w:lang w:bidi="ar"/>
              </w:rPr>
              <w:t>金凤村</w:t>
            </w:r>
          </w:p>
        </w:tc>
        <w:tc>
          <w:tcPr>
            <w:tcW w:w="490" w:type="pct"/>
            <w:noWrap/>
            <w:vAlign w:val="center"/>
          </w:tcPr>
          <w:p w14:paraId="68B61F9A">
            <w:pPr>
              <w:pStyle w:val="687"/>
            </w:pPr>
            <w:r>
              <w:rPr>
                <w:rFonts w:hint="eastAsia"/>
              </w:rPr>
              <w:t>635110.4</w:t>
            </w:r>
          </w:p>
        </w:tc>
        <w:tc>
          <w:tcPr>
            <w:tcW w:w="446" w:type="pct"/>
            <w:noWrap/>
            <w:vAlign w:val="center"/>
          </w:tcPr>
          <w:p w14:paraId="2DE74AF0">
            <w:pPr>
              <w:pStyle w:val="687"/>
            </w:pPr>
            <w:r>
              <w:rPr>
                <w:rFonts w:hint="eastAsia"/>
              </w:rPr>
              <w:t>3520060.6</w:t>
            </w:r>
          </w:p>
        </w:tc>
        <w:tc>
          <w:tcPr>
            <w:tcW w:w="383" w:type="pct"/>
            <w:vAlign w:val="center"/>
          </w:tcPr>
          <w:p w14:paraId="1D32938F">
            <w:pPr>
              <w:pStyle w:val="951"/>
              <w:rPr>
                <w:rFonts w:eastAsia="宋体"/>
                <w:szCs w:val="22"/>
              </w:rPr>
            </w:pPr>
            <w:r>
              <w:rPr>
                <w:rFonts w:eastAsia="宋体"/>
                <w:szCs w:val="22"/>
              </w:rPr>
              <w:t>水井</w:t>
            </w:r>
          </w:p>
        </w:tc>
        <w:tc>
          <w:tcPr>
            <w:tcW w:w="285" w:type="pct"/>
            <w:vAlign w:val="center"/>
          </w:tcPr>
          <w:p w14:paraId="38539B88">
            <w:pPr>
              <w:widowControl/>
              <w:jc w:val="center"/>
              <w:textAlignment w:val="center"/>
              <w:rPr>
                <w:sz w:val="22"/>
                <w:szCs w:val="22"/>
              </w:rPr>
            </w:pPr>
            <w:r>
              <w:rPr>
                <w:kern w:val="0"/>
                <w:sz w:val="22"/>
                <w:szCs w:val="22"/>
                <w:lang w:bidi="ar"/>
              </w:rPr>
              <w:t>2</w:t>
            </w:r>
          </w:p>
        </w:tc>
        <w:tc>
          <w:tcPr>
            <w:tcW w:w="471" w:type="pct"/>
            <w:vAlign w:val="center"/>
          </w:tcPr>
          <w:p w14:paraId="7A828E4A">
            <w:pPr>
              <w:widowControl/>
              <w:jc w:val="center"/>
              <w:textAlignment w:val="center"/>
              <w:rPr>
                <w:sz w:val="22"/>
                <w:szCs w:val="22"/>
              </w:rPr>
            </w:pPr>
            <w:r>
              <w:rPr>
                <w:kern w:val="0"/>
                <w:sz w:val="22"/>
                <w:szCs w:val="22"/>
                <w:lang w:bidi="ar"/>
              </w:rPr>
              <w:t>10</w:t>
            </w:r>
          </w:p>
        </w:tc>
        <w:tc>
          <w:tcPr>
            <w:tcW w:w="523" w:type="pct"/>
            <w:vMerge w:val="continue"/>
            <w:noWrap/>
            <w:vAlign w:val="center"/>
          </w:tcPr>
          <w:p w14:paraId="7D999D92">
            <w:pPr>
              <w:pStyle w:val="951"/>
              <w:rPr>
                <w:rFonts w:eastAsia="宋体"/>
                <w:szCs w:val="22"/>
              </w:rPr>
            </w:pPr>
          </w:p>
        </w:tc>
        <w:tc>
          <w:tcPr>
            <w:tcW w:w="1100" w:type="pct"/>
            <w:noWrap/>
            <w:vAlign w:val="center"/>
          </w:tcPr>
          <w:p w14:paraId="093EF170">
            <w:pPr>
              <w:widowControl/>
              <w:jc w:val="center"/>
              <w:textAlignment w:val="center"/>
              <w:rPr>
                <w:sz w:val="22"/>
                <w:szCs w:val="22"/>
              </w:rPr>
            </w:pPr>
            <w:r>
              <w:rPr>
                <w:rFonts w:hint="eastAsia" w:cs="宋体"/>
                <w:kern w:val="0"/>
                <w:sz w:val="22"/>
                <w:szCs w:val="22"/>
                <w:lang w:bidi="ar"/>
              </w:rPr>
              <w:t>站场下游</w:t>
            </w:r>
            <w:r>
              <w:rPr>
                <w:kern w:val="0"/>
                <w:sz w:val="22"/>
                <w:szCs w:val="22"/>
                <w:lang w:bidi="ar"/>
              </w:rPr>
              <w:t>/</w:t>
            </w:r>
            <w:r>
              <w:rPr>
                <w:rFonts w:hint="eastAsia" w:cs="宋体"/>
                <w:kern w:val="0"/>
                <w:sz w:val="22"/>
                <w:szCs w:val="22"/>
                <w:lang w:bidi="ar"/>
              </w:rPr>
              <w:t>西北</w:t>
            </w:r>
            <w:r>
              <w:rPr>
                <w:kern w:val="0"/>
                <w:sz w:val="22"/>
                <w:szCs w:val="22"/>
                <w:lang w:bidi="ar"/>
              </w:rPr>
              <w:t>/638m</w:t>
            </w:r>
          </w:p>
        </w:tc>
        <w:tc>
          <w:tcPr>
            <w:tcW w:w="552" w:type="pct"/>
            <w:vMerge w:val="continue"/>
            <w:vAlign w:val="center"/>
          </w:tcPr>
          <w:p w14:paraId="4EC111DB">
            <w:pPr>
              <w:pStyle w:val="951"/>
              <w:rPr>
                <w:rFonts w:eastAsia="宋体"/>
                <w:szCs w:val="22"/>
              </w:rPr>
            </w:pPr>
          </w:p>
        </w:tc>
      </w:tr>
      <w:tr w14:paraId="7DCE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4F66BC2B">
            <w:pPr>
              <w:widowControl/>
              <w:jc w:val="center"/>
              <w:textAlignment w:val="center"/>
              <w:rPr>
                <w:sz w:val="22"/>
                <w:szCs w:val="22"/>
              </w:rPr>
            </w:pPr>
            <w:r>
              <w:rPr>
                <w:kern w:val="0"/>
                <w:sz w:val="22"/>
                <w:szCs w:val="22"/>
                <w:lang w:bidi="ar"/>
              </w:rPr>
              <w:t>D9</w:t>
            </w:r>
          </w:p>
        </w:tc>
        <w:tc>
          <w:tcPr>
            <w:tcW w:w="467" w:type="pct"/>
            <w:noWrap/>
            <w:vAlign w:val="center"/>
          </w:tcPr>
          <w:p w14:paraId="334D90F1">
            <w:pPr>
              <w:widowControl/>
              <w:jc w:val="center"/>
              <w:textAlignment w:val="center"/>
              <w:rPr>
                <w:sz w:val="22"/>
                <w:szCs w:val="22"/>
              </w:rPr>
            </w:pPr>
            <w:r>
              <w:rPr>
                <w:rFonts w:hint="eastAsia" w:cs="宋体"/>
                <w:kern w:val="0"/>
                <w:sz w:val="22"/>
                <w:szCs w:val="22"/>
                <w:lang w:bidi="ar"/>
              </w:rPr>
              <w:t>金凤村</w:t>
            </w:r>
          </w:p>
        </w:tc>
        <w:tc>
          <w:tcPr>
            <w:tcW w:w="490" w:type="pct"/>
            <w:noWrap/>
            <w:vAlign w:val="center"/>
          </w:tcPr>
          <w:p w14:paraId="41BE46CA">
            <w:pPr>
              <w:pStyle w:val="687"/>
            </w:pPr>
            <w:r>
              <w:rPr>
                <w:rFonts w:hint="eastAsia"/>
              </w:rPr>
              <w:t>635143.8</w:t>
            </w:r>
          </w:p>
        </w:tc>
        <w:tc>
          <w:tcPr>
            <w:tcW w:w="446" w:type="pct"/>
            <w:noWrap/>
            <w:vAlign w:val="center"/>
          </w:tcPr>
          <w:p w14:paraId="3BAE9A09">
            <w:pPr>
              <w:pStyle w:val="687"/>
            </w:pPr>
            <w:r>
              <w:rPr>
                <w:rFonts w:hint="eastAsia"/>
              </w:rPr>
              <w:t>3520262.9</w:t>
            </w:r>
          </w:p>
        </w:tc>
        <w:tc>
          <w:tcPr>
            <w:tcW w:w="383" w:type="pct"/>
            <w:vAlign w:val="center"/>
          </w:tcPr>
          <w:p w14:paraId="34581F44">
            <w:pPr>
              <w:pStyle w:val="951"/>
              <w:rPr>
                <w:rFonts w:eastAsia="宋体"/>
                <w:szCs w:val="22"/>
              </w:rPr>
            </w:pPr>
            <w:r>
              <w:rPr>
                <w:rFonts w:eastAsia="宋体"/>
                <w:szCs w:val="22"/>
              </w:rPr>
              <w:t>水井</w:t>
            </w:r>
          </w:p>
        </w:tc>
        <w:tc>
          <w:tcPr>
            <w:tcW w:w="285" w:type="pct"/>
            <w:vAlign w:val="center"/>
          </w:tcPr>
          <w:p w14:paraId="33B43EEF">
            <w:pPr>
              <w:widowControl/>
              <w:jc w:val="center"/>
              <w:textAlignment w:val="center"/>
              <w:rPr>
                <w:sz w:val="22"/>
                <w:szCs w:val="22"/>
              </w:rPr>
            </w:pPr>
            <w:r>
              <w:rPr>
                <w:kern w:val="0"/>
                <w:sz w:val="22"/>
                <w:szCs w:val="22"/>
                <w:lang w:bidi="ar"/>
              </w:rPr>
              <w:t>9</w:t>
            </w:r>
          </w:p>
        </w:tc>
        <w:tc>
          <w:tcPr>
            <w:tcW w:w="471" w:type="pct"/>
            <w:vAlign w:val="center"/>
          </w:tcPr>
          <w:p w14:paraId="24DF1863">
            <w:pPr>
              <w:widowControl/>
              <w:jc w:val="center"/>
              <w:textAlignment w:val="center"/>
              <w:rPr>
                <w:sz w:val="22"/>
                <w:szCs w:val="22"/>
              </w:rPr>
            </w:pPr>
            <w:r>
              <w:rPr>
                <w:kern w:val="0"/>
                <w:sz w:val="22"/>
                <w:szCs w:val="22"/>
                <w:lang w:bidi="ar"/>
              </w:rPr>
              <w:t>8~15</w:t>
            </w:r>
          </w:p>
        </w:tc>
        <w:tc>
          <w:tcPr>
            <w:tcW w:w="523" w:type="pct"/>
            <w:vMerge w:val="continue"/>
            <w:noWrap/>
            <w:vAlign w:val="center"/>
          </w:tcPr>
          <w:p w14:paraId="1DB76555">
            <w:pPr>
              <w:pStyle w:val="951"/>
              <w:rPr>
                <w:rFonts w:eastAsia="宋体"/>
                <w:szCs w:val="22"/>
              </w:rPr>
            </w:pPr>
          </w:p>
        </w:tc>
        <w:tc>
          <w:tcPr>
            <w:tcW w:w="1100" w:type="pct"/>
            <w:noWrap/>
            <w:vAlign w:val="center"/>
          </w:tcPr>
          <w:p w14:paraId="1FB73FC7">
            <w:pPr>
              <w:widowControl/>
              <w:jc w:val="center"/>
              <w:textAlignment w:val="center"/>
              <w:rPr>
                <w:sz w:val="22"/>
                <w:szCs w:val="22"/>
              </w:rPr>
            </w:pPr>
            <w:r>
              <w:rPr>
                <w:rFonts w:hint="eastAsia" w:cs="宋体"/>
                <w:kern w:val="0"/>
                <w:sz w:val="22"/>
                <w:szCs w:val="22"/>
                <w:lang w:bidi="ar"/>
              </w:rPr>
              <w:t>站场下游</w:t>
            </w:r>
            <w:r>
              <w:rPr>
                <w:kern w:val="0"/>
                <w:sz w:val="22"/>
                <w:szCs w:val="22"/>
                <w:lang w:bidi="ar"/>
              </w:rPr>
              <w:t>/</w:t>
            </w:r>
            <w:r>
              <w:rPr>
                <w:rFonts w:hint="eastAsia" w:cs="宋体"/>
                <w:kern w:val="0"/>
                <w:sz w:val="22"/>
                <w:szCs w:val="22"/>
                <w:lang w:bidi="ar"/>
              </w:rPr>
              <w:t>西北</w:t>
            </w:r>
            <w:r>
              <w:rPr>
                <w:kern w:val="0"/>
                <w:sz w:val="22"/>
                <w:szCs w:val="22"/>
                <w:lang w:bidi="ar"/>
              </w:rPr>
              <w:t>/820m</w:t>
            </w:r>
          </w:p>
        </w:tc>
        <w:tc>
          <w:tcPr>
            <w:tcW w:w="552" w:type="pct"/>
            <w:vMerge w:val="continue"/>
            <w:vAlign w:val="center"/>
          </w:tcPr>
          <w:p w14:paraId="54167D39">
            <w:pPr>
              <w:pStyle w:val="951"/>
              <w:rPr>
                <w:rFonts w:eastAsia="宋体"/>
                <w:szCs w:val="22"/>
              </w:rPr>
            </w:pPr>
          </w:p>
        </w:tc>
      </w:tr>
      <w:tr w14:paraId="3C03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03D82CB4">
            <w:pPr>
              <w:widowControl/>
              <w:jc w:val="center"/>
              <w:textAlignment w:val="center"/>
              <w:rPr>
                <w:sz w:val="22"/>
                <w:szCs w:val="22"/>
              </w:rPr>
            </w:pPr>
            <w:r>
              <w:rPr>
                <w:kern w:val="0"/>
                <w:sz w:val="22"/>
                <w:szCs w:val="22"/>
                <w:lang w:bidi="ar"/>
              </w:rPr>
              <w:t>D10</w:t>
            </w:r>
          </w:p>
        </w:tc>
        <w:tc>
          <w:tcPr>
            <w:tcW w:w="467" w:type="pct"/>
            <w:noWrap/>
            <w:vAlign w:val="center"/>
          </w:tcPr>
          <w:p w14:paraId="1737B6F5">
            <w:pPr>
              <w:widowControl/>
              <w:jc w:val="center"/>
              <w:textAlignment w:val="center"/>
              <w:rPr>
                <w:sz w:val="22"/>
                <w:szCs w:val="22"/>
              </w:rPr>
            </w:pPr>
            <w:r>
              <w:rPr>
                <w:rFonts w:hint="eastAsia" w:cs="宋体"/>
                <w:kern w:val="0"/>
                <w:sz w:val="22"/>
                <w:szCs w:val="22"/>
                <w:lang w:bidi="ar"/>
              </w:rPr>
              <w:t>金凤村</w:t>
            </w:r>
          </w:p>
        </w:tc>
        <w:tc>
          <w:tcPr>
            <w:tcW w:w="490" w:type="pct"/>
            <w:noWrap/>
            <w:vAlign w:val="center"/>
          </w:tcPr>
          <w:p w14:paraId="4F728602">
            <w:pPr>
              <w:pStyle w:val="687"/>
            </w:pPr>
            <w:r>
              <w:rPr>
                <w:rFonts w:hint="eastAsia"/>
              </w:rPr>
              <w:t>635422.8</w:t>
            </w:r>
          </w:p>
        </w:tc>
        <w:tc>
          <w:tcPr>
            <w:tcW w:w="446" w:type="pct"/>
            <w:noWrap/>
            <w:vAlign w:val="center"/>
          </w:tcPr>
          <w:p w14:paraId="778BCC9F">
            <w:pPr>
              <w:pStyle w:val="687"/>
            </w:pPr>
            <w:r>
              <w:rPr>
                <w:rFonts w:hint="eastAsia"/>
              </w:rPr>
              <w:t>3519861.7</w:t>
            </w:r>
          </w:p>
        </w:tc>
        <w:tc>
          <w:tcPr>
            <w:tcW w:w="383" w:type="pct"/>
            <w:vAlign w:val="center"/>
          </w:tcPr>
          <w:p w14:paraId="4935DE0E">
            <w:pPr>
              <w:pStyle w:val="951"/>
              <w:rPr>
                <w:rFonts w:eastAsia="宋体"/>
                <w:szCs w:val="22"/>
              </w:rPr>
            </w:pPr>
            <w:r>
              <w:rPr>
                <w:rFonts w:eastAsia="宋体"/>
                <w:szCs w:val="22"/>
              </w:rPr>
              <w:t>水井</w:t>
            </w:r>
          </w:p>
        </w:tc>
        <w:tc>
          <w:tcPr>
            <w:tcW w:w="285" w:type="pct"/>
            <w:vAlign w:val="center"/>
          </w:tcPr>
          <w:p w14:paraId="3294A750">
            <w:pPr>
              <w:widowControl/>
              <w:jc w:val="center"/>
              <w:textAlignment w:val="center"/>
              <w:rPr>
                <w:sz w:val="22"/>
                <w:szCs w:val="22"/>
              </w:rPr>
            </w:pPr>
            <w:r>
              <w:rPr>
                <w:kern w:val="0"/>
                <w:sz w:val="22"/>
                <w:szCs w:val="22"/>
                <w:lang w:bidi="ar"/>
              </w:rPr>
              <w:t>7</w:t>
            </w:r>
          </w:p>
        </w:tc>
        <w:tc>
          <w:tcPr>
            <w:tcW w:w="471" w:type="pct"/>
            <w:vAlign w:val="center"/>
          </w:tcPr>
          <w:p w14:paraId="0BE374F1">
            <w:pPr>
              <w:widowControl/>
              <w:jc w:val="center"/>
              <w:textAlignment w:val="center"/>
              <w:rPr>
                <w:sz w:val="22"/>
                <w:szCs w:val="22"/>
              </w:rPr>
            </w:pPr>
            <w:r>
              <w:rPr>
                <w:kern w:val="0"/>
                <w:sz w:val="22"/>
                <w:szCs w:val="22"/>
                <w:lang w:bidi="ar"/>
              </w:rPr>
              <w:t>20~36</w:t>
            </w:r>
          </w:p>
        </w:tc>
        <w:tc>
          <w:tcPr>
            <w:tcW w:w="523" w:type="pct"/>
            <w:vMerge w:val="continue"/>
            <w:noWrap/>
            <w:vAlign w:val="center"/>
          </w:tcPr>
          <w:p w14:paraId="300A02F7">
            <w:pPr>
              <w:pStyle w:val="951"/>
              <w:rPr>
                <w:rFonts w:eastAsia="宋体"/>
                <w:szCs w:val="22"/>
              </w:rPr>
            </w:pPr>
          </w:p>
        </w:tc>
        <w:tc>
          <w:tcPr>
            <w:tcW w:w="1100" w:type="pct"/>
            <w:noWrap/>
            <w:vAlign w:val="center"/>
          </w:tcPr>
          <w:p w14:paraId="0B20872A">
            <w:pPr>
              <w:widowControl/>
              <w:jc w:val="center"/>
              <w:textAlignment w:val="center"/>
              <w:rPr>
                <w:sz w:val="22"/>
                <w:szCs w:val="22"/>
              </w:rPr>
            </w:pPr>
            <w:r>
              <w:rPr>
                <w:rFonts w:hint="eastAsia" w:cs="宋体"/>
                <w:kern w:val="0"/>
                <w:sz w:val="22"/>
                <w:szCs w:val="22"/>
                <w:lang w:bidi="ar"/>
              </w:rPr>
              <w:t>站场侧向</w:t>
            </w:r>
            <w:r>
              <w:rPr>
                <w:kern w:val="0"/>
                <w:sz w:val="22"/>
                <w:szCs w:val="22"/>
                <w:lang w:bidi="ar"/>
              </w:rPr>
              <w:t>/</w:t>
            </w:r>
            <w:r>
              <w:rPr>
                <w:rFonts w:hint="eastAsia" w:cs="宋体"/>
                <w:kern w:val="0"/>
                <w:sz w:val="22"/>
                <w:szCs w:val="22"/>
                <w:lang w:bidi="ar"/>
              </w:rPr>
              <w:t>北</w:t>
            </w:r>
            <w:r>
              <w:rPr>
                <w:kern w:val="0"/>
                <w:sz w:val="22"/>
                <w:szCs w:val="22"/>
                <w:lang w:bidi="ar"/>
              </w:rPr>
              <w:t>/396m</w:t>
            </w:r>
          </w:p>
        </w:tc>
        <w:tc>
          <w:tcPr>
            <w:tcW w:w="552" w:type="pct"/>
            <w:vMerge w:val="continue"/>
            <w:vAlign w:val="center"/>
          </w:tcPr>
          <w:p w14:paraId="79EE0A08">
            <w:pPr>
              <w:pStyle w:val="951"/>
              <w:rPr>
                <w:rFonts w:eastAsia="宋体"/>
                <w:szCs w:val="22"/>
              </w:rPr>
            </w:pPr>
          </w:p>
        </w:tc>
      </w:tr>
      <w:tr w14:paraId="3AC6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7747A531">
            <w:pPr>
              <w:widowControl/>
              <w:jc w:val="center"/>
              <w:textAlignment w:val="center"/>
              <w:rPr>
                <w:sz w:val="22"/>
                <w:szCs w:val="22"/>
              </w:rPr>
            </w:pPr>
            <w:r>
              <w:rPr>
                <w:kern w:val="0"/>
                <w:sz w:val="22"/>
                <w:szCs w:val="22"/>
                <w:lang w:bidi="ar"/>
              </w:rPr>
              <w:t>D11</w:t>
            </w:r>
          </w:p>
        </w:tc>
        <w:tc>
          <w:tcPr>
            <w:tcW w:w="467" w:type="pct"/>
            <w:noWrap/>
            <w:vAlign w:val="center"/>
          </w:tcPr>
          <w:p w14:paraId="12994CD4">
            <w:pPr>
              <w:widowControl/>
              <w:jc w:val="center"/>
              <w:textAlignment w:val="center"/>
              <w:rPr>
                <w:sz w:val="22"/>
                <w:szCs w:val="22"/>
              </w:rPr>
            </w:pPr>
            <w:r>
              <w:rPr>
                <w:rFonts w:hint="eastAsia" w:cs="宋体"/>
                <w:kern w:val="0"/>
                <w:sz w:val="22"/>
                <w:szCs w:val="22"/>
                <w:lang w:bidi="ar"/>
              </w:rPr>
              <w:t>金凤村</w:t>
            </w:r>
          </w:p>
        </w:tc>
        <w:tc>
          <w:tcPr>
            <w:tcW w:w="490" w:type="pct"/>
            <w:noWrap/>
            <w:vAlign w:val="center"/>
          </w:tcPr>
          <w:p w14:paraId="1E251697">
            <w:pPr>
              <w:pStyle w:val="687"/>
            </w:pPr>
            <w:r>
              <w:rPr>
                <w:rFonts w:hint="eastAsia"/>
              </w:rPr>
              <w:t>635083.6</w:t>
            </w:r>
          </w:p>
        </w:tc>
        <w:tc>
          <w:tcPr>
            <w:tcW w:w="446" w:type="pct"/>
            <w:noWrap/>
            <w:vAlign w:val="center"/>
          </w:tcPr>
          <w:p w14:paraId="0FE073D4">
            <w:pPr>
              <w:pStyle w:val="687"/>
            </w:pPr>
            <w:r>
              <w:rPr>
                <w:rFonts w:hint="eastAsia"/>
              </w:rPr>
              <w:t>3518928.9</w:t>
            </w:r>
          </w:p>
        </w:tc>
        <w:tc>
          <w:tcPr>
            <w:tcW w:w="383" w:type="pct"/>
            <w:vAlign w:val="center"/>
          </w:tcPr>
          <w:p w14:paraId="30C83EBE">
            <w:pPr>
              <w:pStyle w:val="951"/>
              <w:rPr>
                <w:rFonts w:eastAsia="宋体"/>
                <w:szCs w:val="22"/>
              </w:rPr>
            </w:pPr>
            <w:r>
              <w:rPr>
                <w:rFonts w:eastAsia="宋体"/>
                <w:szCs w:val="22"/>
              </w:rPr>
              <w:t>水井</w:t>
            </w:r>
          </w:p>
        </w:tc>
        <w:tc>
          <w:tcPr>
            <w:tcW w:w="285" w:type="pct"/>
            <w:vAlign w:val="center"/>
          </w:tcPr>
          <w:p w14:paraId="0D1BD7BE">
            <w:pPr>
              <w:widowControl/>
              <w:jc w:val="center"/>
              <w:textAlignment w:val="center"/>
              <w:rPr>
                <w:sz w:val="22"/>
                <w:szCs w:val="22"/>
              </w:rPr>
            </w:pPr>
            <w:r>
              <w:rPr>
                <w:kern w:val="0"/>
                <w:sz w:val="22"/>
                <w:szCs w:val="22"/>
                <w:lang w:bidi="ar"/>
              </w:rPr>
              <w:t>2</w:t>
            </w:r>
          </w:p>
        </w:tc>
        <w:tc>
          <w:tcPr>
            <w:tcW w:w="471" w:type="pct"/>
            <w:vAlign w:val="center"/>
          </w:tcPr>
          <w:p w14:paraId="003049E7">
            <w:pPr>
              <w:widowControl/>
              <w:jc w:val="center"/>
              <w:textAlignment w:val="center"/>
              <w:rPr>
                <w:sz w:val="22"/>
                <w:szCs w:val="22"/>
              </w:rPr>
            </w:pPr>
            <w:r>
              <w:rPr>
                <w:kern w:val="0"/>
                <w:sz w:val="22"/>
                <w:szCs w:val="22"/>
                <w:lang w:bidi="ar"/>
              </w:rPr>
              <w:t>15</w:t>
            </w:r>
          </w:p>
        </w:tc>
        <w:tc>
          <w:tcPr>
            <w:tcW w:w="523" w:type="pct"/>
            <w:vMerge w:val="continue"/>
            <w:noWrap/>
            <w:vAlign w:val="center"/>
          </w:tcPr>
          <w:p w14:paraId="578FC708">
            <w:pPr>
              <w:pStyle w:val="951"/>
              <w:rPr>
                <w:rFonts w:eastAsia="宋体"/>
                <w:szCs w:val="22"/>
              </w:rPr>
            </w:pPr>
          </w:p>
        </w:tc>
        <w:tc>
          <w:tcPr>
            <w:tcW w:w="1100" w:type="pct"/>
            <w:noWrap/>
            <w:vAlign w:val="center"/>
          </w:tcPr>
          <w:p w14:paraId="41D36CE0">
            <w:pPr>
              <w:widowControl/>
              <w:jc w:val="center"/>
              <w:textAlignment w:val="center"/>
              <w:rPr>
                <w:sz w:val="22"/>
                <w:szCs w:val="22"/>
              </w:rPr>
            </w:pPr>
            <w:r>
              <w:rPr>
                <w:rFonts w:hint="eastAsia" w:cs="宋体"/>
                <w:kern w:val="0"/>
                <w:sz w:val="22"/>
                <w:szCs w:val="22"/>
                <w:lang w:bidi="ar"/>
              </w:rPr>
              <w:t>站场侧向/西南</w:t>
            </w:r>
            <w:r>
              <w:rPr>
                <w:kern w:val="0"/>
                <w:sz w:val="22"/>
                <w:szCs w:val="22"/>
                <w:lang w:bidi="ar"/>
              </w:rPr>
              <w:t>/606m</w:t>
            </w:r>
          </w:p>
        </w:tc>
        <w:tc>
          <w:tcPr>
            <w:tcW w:w="552" w:type="pct"/>
            <w:vMerge w:val="continue"/>
            <w:vAlign w:val="center"/>
          </w:tcPr>
          <w:p w14:paraId="6704B5F9">
            <w:pPr>
              <w:pStyle w:val="951"/>
              <w:rPr>
                <w:rFonts w:eastAsia="宋体"/>
                <w:szCs w:val="22"/>
              </w:rPr>
            </w:pPr>
          </w:p>
        </w:tc>
      </w:tr>
      <w:tr w14:paraId="36D6D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5927EE84">
            <w:pPr>
              <w:widowControl/>
              <w:jc w:val="center"/>
              <w:textAlignment w:val="center"/>
              <w:rPr>
                <w:sz w:val="22"/>
                <w:szCs w:val="22"/>
              </w:rPr>
            </w:pPr>
            <w:r>
              <w:rPr>
                <w:kern w:val="0"/>
                <w:sz w:val="22"/>
                <w:szCs w:val="22"/>
                <w:lang w:bidi="ar"/>
              </w:rPr>
              <w:t>D12</w:t>
            </w:r>
          </w:p>
        </w:tc>
        <w:tc>
          <w:tcPr>
            <w:tcW w:w="467" w:type="pct"/>
            <w:noWrap/>
            <w:vAlign w:val="center"/>
          </w:tcPr>
          <w:p w14:paraId="6BF62F9E">
            <w:pPr>
              <w:widowControl/>
              <w:jc w:val="center"/>
              <w:textAlignment w:val="center"/>
              <w:rPr>
                <w:sz w:val="22"/>
                <w:szCs w:val="22"/>
              </w:rPr>
            </w:pPr>
            <w:r>
              <w:rPr>
                <w:rFonts w:hint="eastAsia" w:cs="宋体"/>
                <w:kern w:val="0"/>
                <w:sz w:val="22"/>
                <w:szCs w:val="22"/>
                <w:lang w:bidi="ar"/>
              </w:rPr>
              <w:t>金凤村</w:t>
            </w:r>
          </w:p>
        </w:tc>
        <w:tc>
          <w:tcPr>
            <w:tcW w:w="490" w:type="pct"/>
            <w:noWrap/>
            <w:vAlign w:val="center"/>
          </w:tcPr>
          <w:p w14:paraId="5E8DAF4A">
            <w:pPr>
              <w:pStyle w:val="687"/>
            </w:pPr>
            <w:r>
              <w:rPr>
                <w:rFonts w:hint="eastAsia"/>
              </w:rPr>
              <w:t>635342.8</w:t>
            </w:r>
          </w:p>
        </w:tc>
        <w:tc>
          <w:tcPr>
            <w:tcW w:w="446" w:type="pct"/>
            <w:noWrap/>
            <w:vAlign w:val="center"/>
          </w:tcPr>
          <w:p w14:paraId="7C8AA37D">
            <w:pPr>
              <w:pStyle w:val="687"/>
            </w:pPr>
            <w:r>
              <w:rPr>
                <w:rFonts w:hint="eastAsia"/>
              </w:rPr>
              <w:t>3519028.8</w:t>
            </w:r>
          </w:p>
        </w:tc>
        <w:tc>
          <w:tcPr>
            <w:tcW w:w="383" w:type="pct"/>
            <w:vAlign w:val="center"/>
          </w:tcPr>
          <w:p w14:paraId="6DAEEB0B">
            <w:pPr>
              <w:pStyle w:val="951"/>
              <w:rPr>
                <w:rFonts w:eastAsia="宋体"/>
                <w:szCs w:val="22"/>
              </w:rPr>
            </w:pPr>
            <w:r>
              <w:rPr>
                <w:rFonts w:eastAsia="宋体"/>
                <w:szCs w:val="22"/>
              </w:rPr>
              <w:t>水井</w:t>
            </w:r>
          </w:p>
        </w:tc>
        <w:tc>
          <w:tcPr>
            <w:tcW w:w="285" w:type="pct"/>
            <w:vAlign w:val="center"/>
          </w:tcPr>
          <w:p w14:paraId="6A7BEFEB">
            <w:pPr>
              <w:widowControl/>
              <w:jc w:val="center"/>
              <w:textAlignment w:val="center"/>
              <w:rPr>
                <w:sz w:val="22"/>
                <w:szCs w:val="22"/>
              </w:rPr>
            </w:pPr>
            <w:r>
              <w:rPr>
                <w:kern w:val="0"/>
                <w:sz w:val="22"/>
                <w:szCs w:val="22"/>
                <w:lang w:bidi="ar"/>
              </w:rPr>
              <w:t>2</w:t>
            </w:r>
          </w:p>
        </w:tc>
        <w:tc>
          <w:tcPr>
            <w:tcW w:w="471" w:type="pct"/>
            <w:vAlign w:val="center"/>
          </w:tcPr>
          <w:p w14:paraId="2FAFEC01">
            <w:pPr>
              <w:widowControl/>
              <w:jc w:val="center"/>
              <w:textAlignment w:val="center"/>
              <w:rPr>
                <w:sz w:val="22"/>
                <w:szCs w:val="22"/>
              </w:rPr>
            </w:pPr>
            <w:r>
              <w:rPr>
                <w:kern w:val="0"/>
                <w:sz w:val="22"/>
                <w:szCs w:val="22"/>
                <w:lang w:bidi="ar"/>
              </w:rPr>
              <w:t>25</w:t>
            </w:r>
          </w:p>
        </w:tc>
        <w:tc>
          <w:tcPr>
            <w:tcW w:w="523" w:type="pct"/>
            <w:vMerge w:val="continue"/>
            <w:noWrap/>
            <w:vAlign w:val="center"/>
          </w:tcPr>
          <w:p w14:paraId="0AFDAFD8">
            <w:pPr>
              <w:pStyle w:val="951"/>
              <w:rPr>
                <w:rFonts w:eastAsia="宋体"/>
                <w:szCs w:val="22"/>
              </w:rPr>
            </w:pPr>
          </w:p>
        </w:tc>
        <w:tc>
          <w:tcPr>
            <w:tcW w:w="1100" w:type="pct"/>
            <w:noWrap/>
            <w:vAlign w:val="center"/>
          </w:tcPr>
          <w:p w14:paraId="414F9DE7">
            <w:pPr>
              <w:widowControl/>
              <w:jc w:val="center"/>
              <w:textAlignment w:val="center"/>
              <w:rPr>
                <w:sz w:val="22"/>
                <w:szCs w:val="22"/>
              </w:rPr>
            </w:pPr>
            <w:r>
              <w:rPr>
                <w:rFonts w:hint="eastAsia" w:cs="宋体"/>
                <w:kern w:val="0"/>
                <w:sz w:val="22"/>
                <w:szCs w:val="22"/>
                <w:lang w:bidi="ar"/>
              </w:rPr>
              <w:t>站场侧向</w:t>
            </w:r>
            <w:r>
              <w:rPr>
                <w:kern w:val="0"/>
                <w:sz w:val="22"/>
                <w:szCs w:val="22"/>
                <w:lang w:bidi="ar"/>
              </w:rPr>
              <w:t>/</w:t>
            </w:r>
            <w:r>
              <w:rPr>
                <w:rFonts w:hint="eastAsia" w:cs="宋体"/>
                <w:kern w:val="0"/>
                <w:sz w:val="22"/>
                <w:szCs w:val="22"/>
                <w:lang w:bidi="ar"/>
              </w:rPr>
              <w:t>南</w:t>
            </w:r>
            <w:r>
              <w:rPr>
                <w:kern w:val="0"/>
                <w:sz w:val="22"/>
                <w:szCs w:val="22"/>
                <w:lang w:bidi="ar"/>
              </w:rPr>
              <w:t>/441m</w:t>
            </w:r>
          </w:p>
        </w:tc>
        <w:tc>
          <w:tcPr>
            <w:tcW w:w="552" w:type="pct"/>
            <w:vMerge w:val="continue"/>
            <w:vAlign w:val="center"/>
          </w:tcPr>
          <w:p w14:paraId="266975BF">
            <w:pPr>
              <w:pStyle w:val="951"/>
              <w:rPr>
                <w:rFonts w:eastAsia="宋体"/>
                <w:szCs w:val="22"/>
              </w:rPr>
            </w:pPr>
          </w:p>
        </w:tc>
      </w:tr>
      <w:tr w14:paraId="606B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83" w:type="pct"/>
            <w:noWrap/>
            <w:vAlign w:val="center"/>
          </w:tcPr>
          <w:p w14:paraId="6B091144">
            <w:pPr>
              <w:widowControl/>
              <w:jc w:val="center"/>
              <w:textAlignment w:val="center"/>
              <w:rPr>
                <w:kern w:val="0"/>
                <w:sz w:val="22"/>
                <w:szCs w:val="22"/>
                <w:lang w:bidi="ar"/>
              </w:rPr>
            </w:pPr>
            <w:r>
              <w:rPr>
                <w:kern w:val="0"/>
                <w:sz w:val="22"/>
                <w:szCs w:val="22"/>
                <w:lang w:bidi="ar"/>
              </w:rPr>
              <w:t>D13</w:t>
            </w:r>
          </w:p>
        </w:tc>
        <w:tc>
          <w:tcPr>
            <w:tcW w:w="467" w:type="pct"/>
            <w:noWrap/>
            <w:vAlign w:val="center"/>
          </w:tcPr>
          <w:p w14:paraId="55E84195">
            <w:pPr>
              <w:widowControl/>
              <w:jc w:val="center"/>
              <w:textAlignment w:val="center"/>
              <w:rPr>
                <w:kern w:val="0"/>
                <w:sz w:val="22"/>
                <w:szCs w:val="22"/>
                <w:lang w:bidi="ar"/>
              </w:rPr>
            </w:pPr>
            <w:r>
              <w:rPr>
                <w:rFonts w:hint="eastAsia" w:cs="宋体"/>
                <w:kern w:val="0"/>
                <w:sz w:val="22"/>
                <w:szCs w:val="22"/>
                <w:lang w:bidi="ar"/>
              </w:rPr>
              <w:t>金凤村</w:t>
            </w:r>
          </w:p>
        </w:tc>
        <w:tc>
          <w:tcPr>
            <w:tcW w:w="490" w:type="pct"/>
            <w:noWrap/>
            <w:vAlign w:val="center"/>
          </w:tcPr>
          <w:p w14:paraId="4A28CFEA">
            <w:pPr>
              <w:pStyle w:val="687"/>
            </w:pPr>
            <w:r>
              <w:rPr>
                <w:rFonts w:hint="eastAsia"/>
              </w:rPr>
              <w:t>635081.7</w:t>
            </w:r>
          </w:p>
        </w:tc>
        <w:tc>
          <w:tcPr>
            <w:tcW w:w="446" w:type="pct"/>
            <w:noWrap/>
            <w:vAlign w:val="center"/>
          </w:tcPr>
          <w:p w14:paraId="1ABD153C">
            <w:pPr>
              <w:pStyle w:val="687"/>
            </w:pPr>
            <w:r>
              <w:rPr>
                <w:rFonts w:hint="eastAsia"/>
              </w:rPr>
              <w:t>3519146.3</w:t>
            </w:r>
          </w:p>
        </w:tc>
        <w:tc>
          <w:tcPr>
            <w:tcW w:w="383" w:type="pct"/>
            <w:vAlign w:val="center"/>
          </w:tcPr>
          <w:p w14:paraId="62E44E60">
            <w:pPr>
              <w:pStyle w:val="951"/>
              <w:rPr>
                <w:rFonts w:eastAsia="宋体"/>
                <w:szCs w:val="22"/>
              </w:rPr>
            </w:pPr>
            <w:r>
              <w:rPr>
                <w:rFonts w:eastAsia="宋体"/>
                <w:szCs w:val="22"/>
              </w:rPr>
              <w:t>水井</w:t>
            </w:r>
          </w:p>
        </w:tc>
        <w:tc>
          <w:tcPr>
            <w:tcW w:w="285" w:type="pct"/>
            <w:vAlign w:val="center"/>
          </w:tcPr>
          <w:p w14:paraId="6B9F9FD3">
            <w:pPr>
              <w:widowControl/>
              <w:jc w:val="center"/>
              <w:textAlignment w:val="center"/>
              <w:rPr>
                <w:kern w:val="0"/>
                <w:sz w:val="22"/>
                <w:szCs w:val="22"/>
                <w:lang w:bidi="ar"/>
              </w:rPr>
            </w:pPr>
            <w:r>
              <w:rPr>
                <w:kern w:val="0"/>
                <w:sz w:val="22"/>
                <w:szCs w:val="22"/>
                <w:lang w:bidi="ar"/>
              </w:rPr>
              <w:t>3</w:t>
            </w:r>
          </w:p>
        </w:tc>
        <w:tc>
          <w:tcPr>
            <w:tcW w:w="471" w:type="pct"/>
            <w:vAlign w:val="center"/>
          </w:tcPr>
          <w:p w14:paraId="65C35185">
            <w:pPr>
              <w:widowControl/>
              <w:jc w:val="center"/>
              <w:textAlignment w:val="center"/>
              <w:rPr>
                <w:kern w:val="0"/>
                <w:sz w:val="22"/>
                <w:szCs w:val="22"/>
                <w:lang w:bidi="ar"/>
              </w:rPr>
            </w:pPr>
            <w:r>
              <w:rPr>
                <w:kern w:val="0"/>
                <w:sz w:val="22"/>
                <w:szCs w:val="22"/>
                <w:lang w:bidi="ar"/>
              </w:rPr>
              <w:t>10~13</w:t>
            </w:r>
          </w:p>
        </w:tc>
        <w:tc>
          <w:tcPr>
            <w:tcW w:w="523" w:type="pct"/>
            <w:vMerge w:val="continue"/>
            <w:noWrap/>
            <w:vAlign w:val="center"/>
          </w:tcPr>
          <w:p w14:paraId="111B3C80">
            <w:pPr>
              <w:pStyle w:val="951"/>
              <w:rPr>
                <w:rFonts w:eastAsia="宋体"/>
                <w:szCs w:val="22"/>
              </w:rPr>
            </w:pPr>
          </w:p>
        </w:tc>
        <w:tc>
          <w:tcPr>
            <w:tcW w:w="1100" w:type="pct"/>
            <w:noWrap/>
            <w:vAlign w:val="center"/>
          </w:tcPr>
          <w:p w14:paraId="5CECC487">
            <w:pPr>
              <w:widowControl/>
              <w:jc w:val="center"/>
              <w:textAlignment w:val="center"/>
              <w:rPr>
                <w:kern w:val="0"/>
                <w:sz w:val="22"/>
                <w:szCs w:val="22"/>
                <w:lang w:bidi="ar"/>
              </w:rPr>
            </w:pPr>
            <w:r>
              <w:rPr>
                <w:rFonts w:hint="eastAsia" w:cs="宋体"/>
                <w:kern w:val="0"/>
                <w:sz w:val="22"/>
                <w:szCs w:val="22"/>
                <w:lang w:bidi="ar"/>
              </w:rPr>
              <w:t>站场侧向</w:t>
            </w:r>
            <w:r>
              <w:rPr>
                <w:kern w:val="0"/>
                <w:sz w:val="22"/>
                <w:szCs w:val="22"/>
                <w:lang w:bidi="ar"/>
              </w:rPr>
              <w:t>/</w:t>
            </w:r>
            <w:r>
              <w:rPr>
                <w:rFonts w:hint="eastAsia" w:cs="宋体"/>
                <w:kern w:val="0"/>
                <w:sz w:val="22"/>
                <w:szCs w:val="22"/>
                <w:lang w:bidi="ar"/>
              </w:rPr>
              <w:t>西南</w:t>
            </w:r>
            <w:r>
              <w:rPr>
                <w:kern w:val="0"/>
                <w:sz w:val="22"/>
                <w:szCs w:val="22"/>
                <w:lang w:bidi="ar"/>
              </w:rPr>
              <w:t>/425m</w:t>
            </w:r>
          </w:p>
        </w:tc>
        <w:tc>
          <w:tcPr>
            <w:tcW w:w="552" w:type="pct"/>
            <w:vMerge w:val="continue"/>
            <w:vAlign w:val="center"/>
          </w:tcPr>
          <w:p w14:paraId="023C5A92">
            <w:pPr>
              <w:pStyle w:val="951"/>
              <w:rPr>
                <w:rFonts w:eastAsia="宋体"/>
                <w:szCs w:val="22"/>
              </w:rPr>
            </w:pPr>
          </w:p>
        </w:tc>
      </w:tr>
    </w:tbl>
    <w:p w14:paraId="5EEAA03C">
      <w:pPr>
        <w:pStyle w:val="1066"/>
        <w:ind w:firstLine="520"/>
      </w:pPr>
    </w:p>
    <w:p w14:paraId="3FFC2647">
      <w:pPr>
        <w:pStyle w:val="1065"/>
      </w:pPr>
      <w:r>
        <w:rPr>
          <w:rFonts w:hint="eastAsia"/>
        </w:rPr>
        <w:t>1</w:t>
      </w:r>
      <w:r>
        <w:t xml:space="preserve">.8-5  </w:t>
      </w:r>
      <w:r>
        <w:rPr>
          <w:rFonts w:hint="eastAsia"/>
        </w:rPr>
        <w:t>试采站声环境保护目标统计表</w:t>
      </w:r>
    </w:p>
    <w:tbl>
      <w:tblPr>
        <w:tblStyle w:val="88"/>
        <w:tblW w:w="13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61"/>
        <w:gridCol w:w="1833"/>
        <w:gridCol w:w="1687"/>
        <w:gridCol w:w="1074"/>
        <w:gridCol w:w="1302"/>
        <w:gridCol w:w="1242"/>
        <w:gridCol w:w="1136"/>
        <w:gridCol w:w="1074"/>
        <w:gridCol w:w="3750"/>
      </w:tblGrid>
      <w:tr w14:paraId="1060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61" w:type="dxa"/>
            <w:vMerge w:val="restart"/>
            <w:vAlign w:val="center"/>
          </w:tcPr>
          <w:p w14:paraId="47554CFB">
            <w:pPr>
              <w:widowControl/>
              <w:kinsoku w:val="0"/>
              <w:autoSpaceDE w:val="0"/>
              <w:autoSpaceDN w:val="0"/>
              <w:adjustRightInd w:val="0"/>
              <w:snapToGrid w:val="0"/>
              <w:jc w:val="center"/>
              <w:textAlignment w:val="baseline"/>
              <w:rPr>
                <w:sz w:val="22"/>
              </w:rPr>
            </w:pPr>
            <w:r>
              <w:rPr>
                <w:sz w:val="22"/>
              </w:rPr>
              <w:t>序号</w:t>
            </w:r>
          </w:p>
        </w:tc>
        <w:tc>
          <w:tcPr>
            <w:tcW w:w="3520" w:type="dxa"/>
            <w:gridSpan w:val="2"/>
            <w:vAlign w:val="center"/>
          </w:tcPr>
          <w:p w14:paraId="2E771532">
            <w:pPr>
              <w:widowControl/>
              <w:kinsoku w:val="0"/>
              <w:autoSpaceDE w:val="0"/>
              <w:autoSpaceDN w:val="0"/>
              <w:adjustRightInd w:val="0"/>
              <w:snapToGrid w:val="0"/>
              <w:jc w:val="center"/>
              <w:textAlignment w:val="baseline"/>
              <w:rPr>
                <w:sz w:val="22"/>
              </w:rPr>
            </w:pPr>
            <w:r>
              <w:rPr>
                <w:sz w:val="22"/>
              </w:rPr>
              <w:t>坐标</w:t>
            </w:r>
          </w:p>
        </w:tc>
        <w:tc>
          <w:tcPr>
            <w:tcW w:w="1074" w:type="dxa"/>
            <w:vMerge w:val="restart"/>
            <w:vAlign w:val="center"/>
          </w:tcPr>
          <w:p w14:paraId="2974FB1A">
            <w:pPr>
              <w:widowControl/>
              <w:kinsoku w:val="0"/>
              <w:autoSpaceDE w:val="0"/>
              <w:autoSpaceDN w:val="0"/>
              <w:adjustRightInd w:val="0"/>
              <w:snapToGrid w:val="0"/>
              <w:jc w:val="center"/>
              <w:textAlignment w:val="baseline"/>
              <w:rPr>
                <w:sz w:val="22"/>
              </w:rPr>
            </w:pPr>
            <w:r>
              <w:rPr>
                <w:sz w:val="22"/>
              </w:rPr>
              <w:t>保护</w:t>
            </w:r>
          </w:p>
          <w:p w14:paraId="07D1E96B">
            <w:pPr>
              <w:widowControl/>
              <w:kinsoku w:val="0"/>
              <w:autoSpaceDE w:val="0"/>
              <w:autoSpaceDN w:val="0"/>
              <w:adjustRightInd w:val="0"/>
              <w:snapToGrid w:val="0"/>
              <w:jc w:val="center"/>
              <w:textAlignment w:val="baseline"/>
              <w:rPr>
                <w:sz w:val="22"/>
              </w:rPr>
            </w:pPr>
            <w:r>
              <w:rPr>
                <w:sz w:val="22"/>
              </w:rPr>
              <w:t>目标名称</w:t>
            </w:r>
          </w:p>
        </w:tc>
        <w:tc>
          <w:tcPr>
            <w:tcW w:w="3680" w:type="dxa"/>
            <w:gridSpan w:val="3"/>
            <w:vAlign w:val="center"/>
          </w:tcPr>
          <w:p w14:paraId="1AF4609A">
            <w:pPr>
              <w:widowControl/>
              <w:kinsoku w:val="0"/>
              <w:autoSpaceDE w:val="0"/>
              <w:autoSpaceDN w:val="0"/>
              <w:adjustRightInd w:val="0"/>
              <w:snapToGrid w:val="0"/>
              <w:jc w:val="center"/>
              <w:textAlignment w:val="baseline"/>
              <w:rPr>
                <w:sz w:val="22"/>
              </w:rPr>
            </w:pPr>
            <w:r>
              <w:rPr>
                <w:sz w:val="22"/>
              </w:rPr>
              <w:t>空间相对位置/m</w:t>
            </w:r>
          </w:p>
        </w:tc>
        <w:tc>
          <w:tcPr>
            <w:tcW w:w="1074" w:type="dxa"/>
            <w:vMerge w:val="restart"/>
            <w:vAlign w:val="center"/>
          </w:tcPr>
          <w:p w14:paraId="2C2AA64C">
            <w:pPr>
              <w:widowControl/>
              <w:kinsoku w:val="0"/>
              <w:autoSpaceDE w:val="0"/>
              <w:autoSpaceDN w:val="0"/>
              <w:adjustRightInd w:val="0"/>
              <w:snapToGrid w:val="0"/>
              <w:jc w:val="center"/>
              <w:textAlignment w:val="baseline"/>
              <w:rPr>
                <w:sz w:val="22"/>
              </w:rPr>
            </w:pPr>
            <w:r>
              <w:rPr>
                <w:sz w:val="22"/>
              </w:rPr>
              <w:t>相对场界距离（m）</w:t>
            </w:r>
          </w:p>
        </w:tc>
        <w:tc>
          <w:tcPr>
            <w:tcW w:w="3750" w:type="dxa"/>
            <w:vMerge w:val="restart"/>
            <w:vAlign w:val="center"/>
          </w:tcPr>
          <w:p w14:paraId="7B3A8DD8">
            <w:pPr>
              <w:widowControl/>
              <w:kinsoku w:val="0"/>
              <w:autoSpaceDE w:val="0"/>
              <w:autoSpaceDN w:val="0"/>
              <w:adjustRightInd w:val="0"/>
              <w:snapToGrid w:val="0"/>
              <w:jc w:val="center"/>
              <w:textAlignment w:val="baseline"/>
              <w:rPr>
                <w:sz w:val="22"/>
              </w:rPr>
            </w:pPr>
            <w:r>
              <w:rPr>
                <w:sz w:val="22"/>
              </w:rPr>
              <w:t>声环境保护目标情况说明</w:t>
            </w:r>
          </w:p>
        </w:tc>
      </w:tr>
      <w:tr w14:paraId="3093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61" w:type="dxa"/>
            <w:vMerge w:val="continue"/>
            <w:vAlign w:val="center"/>
          </w:tcPr>
          <w:p w14:paraId="625A2DD1">
            <w:pPr>
              <w:widowControl/>
              <w:kinsoku w:val="0"/>
              <w:autoSpaceDE w:val="0"/>
              <w:autoSpaceDN w:val="0"/>
              <w:adjustRightInd w:val="0"/>
              <w:snapToGrid w:val="0"/>
              <w:jc w:val="center"/>
              <w:textAlignment w:val="baseline"/>
              <w:rPr>
                <w:sz w:val="22"/>
              </w:rPr>
            </w:pPr>
          </w:p>
        </w:tc>
        <w:tc>
          <w:tcPr>
            <w:tcW w:w="1833" w:type="dxa"/>
            <w:vAlign w:val="center"/>
          </w:tcPr>
          <w:p w14:paraId="389C9314">
            <w:pPr>
              <w:widowControl/>
              <w:kinsoku w:val="0"/>
              <w:autoSpaceDE w:val="0"/>
              <w:autoSpaceDN w:val="0"/>
              <w:adjustRightInd w:val="0"/>
              <w:snapToGrid w:val="0"/>
              <w:jc w:val="center"/>
              <w:textAlignment w:val="baseline"/>
              <w:rPr>
                <w:sz w:val="22"/>
              </w:rPr>
            </w:pPr>
            <w:r>
              <w:rPr>
                <w:rFonts w:hint="eastAsia"/>
                <w:sz w:val="22"/>
              </w:rPr>
              <w:t>横坐标</w:t>
            </w:r>
          </w:p>
        </w:tc>
        <w:tc>
          <w:tcPr>
            <w:tcW w:w="1687" w:type="dxa"/>
            <w:vAlign w:val="center"/>
          </w:tcPr>
          <w:p w14:paraId="69C32C2C">
            <w:pPr>
              <w:widowControl/>
              <w:kinsoku w:val="0"/>
              <w:autoSpaceDE w:val="0"/>
              <w:autoSpaceDN w:val="0"/>
              <w:adjustRightInd w:val="0"/>
              <w:snapToGrid w:val="0"/>
              <w:jc w:val="center"/>
              <w:textAlignment w:val="baseline"/>
              <w:rPr>
                <w:sz w:val="22"/>
              </w:rPr>
            </w:pPr>
            <w:r>
              <w:rPr>
                <w:rFonts w:hint="eastAsia"/>
                <w:sz w:val="22"/>
              </w:rPr>
              <w:t>纵坐标</w:t>
            </w:r>
          </w:p>
        </w:tc>
        <w:tc>
          <w:tcPr>
            <w:tcW w:w="1074" w:type="dxa"/>
            <w:vMerge w:val="continue"/>
            <w:vAlign w:val="center"/>
          </w:tcPr>
          <w:p w14:paraId="7F827FE1">
            <w:pPr>
              <w:widowControl/>
              <w:kinsoku w:val="0"/>
              <w:autoSpaceDE w:val="0"/>
              <w:autoSpaceDN w:val="0"/>
              <w:adjustRightInd w:val="0"/>
              <w:snapToGrid w:val="0"/>
              <w:jc w:val="center"/>
              <w:textAlignment w:val="baseline"/>
              <w:rPr>
                <w:sz w:val="22"/>
              </w:rPr>
            </w:pPr>
          </w:p>
        </w:tc>
        <w:tc>
          <w:tcPr>
            <w:tcW w:w="1302" w:type="dxa"/>
            <w:vAlign w:val="center"/>
          </w:tcPr>
          <w:p w14:paraId="4C70CA28">
            <w:pPr>
              <w:widowControl/>
              <w:kinsoku w:val="0"/>
              <w:autoSpaceDE w:val="0"/>
              <w:autoSpaceDN w:val="0"/>
              <w:adjustRightInd w:val="0"/>
              <w:snapToGrid w:val="0"/>
              <w:jc w:val="center"/>
              <w:textAlignment w:val="baseline"/>
              <w:rPr>
                <w:sz w:val="22"/>
              </w:rPr>
            </w:pPr>
            <w:r>
              <w:rPr>
                <w:sz w:val="22"/>
              </w:rPr>
              <w:t>X</w:t>
            </w:r>
          </w:p>
        </w:tc>
        <w:tc>
          <w:tcPr>
            <w:tcW w:w="1242" w:type="dxa"/>
            <w:vAlign w:val="center"/>
          </w:tcPr>
          <w:p w14:paraId="1E083E45">
            <w:pPr>
              <w:widowControl/>
              <w:kinsoku w:val="0"/>
              <w:autoSpaceDE w:val="0"/>
              <w:autoSpaceDN w:val="0"/>
              <w:adjustRightInd w:val="0"/>
              <w:snapToGrid w:val="0"/>
              <w:jc w:val="center"/>
              <w:textAlignment w:val="baseline"/>
              <w:rPr>
                <w:sz w:val="22"/>
              </w:rPr>
            </w:pPr>
            <w:r>
              <w:rPr>
                <w:sz w:val="22"/>
              </w:rPr>
              <w:t>Y</w:t>
            </w:r>
          </w:p>
        </w:tc>
        <w:tc>
          <w:tcPr>
            <w:tcW w:w="1136" w:type="dxa"/>
            <w:vAlign w:val="center"/>
          </w:tcPr>
          <w:p w14:paraId="3D499976">
            <w:pPr>
              <w:widowControl/>
              <w:kinsoku w:val="0"/>
              <w:autoSpaceDE w:val="0"/>
              <w:autoSpaceDN w:val="0"/>
              <w:adjustRightInd w:val="0"/>
              <w:snapToGrid w:val="0"/>
              <w:jc w:val="center"/>
              <w:textAlignment w:val="baseline"/>
              <w:rPr>
                <w:sz w:val="22"/>
              </w:rPr>
            </w:pPr>
            <w:r>
              <w:rPr>
                <w:sz w:val="22"/>
              </w:rPr>
              <w:t>Z</w:t>
            </w:r>
          </w:p>
        </w:tc>
        <w:tc>
          <w:tcPr>
            <w:tcW w:w="1074" w:type="dxa"/>
            <w:vMerge w:val="continue"/>
            <w:vAlign w:val="center"/>
          </w:tcPr>
          <w:p w14:paraId="4B9106C7">
            <w:pPr>
              <w:widowControl/>
              <w:kinsoku w:val="0"/>
              <w:autoSpaceDE w:val="0"/>
              <w:autoSpaceDN w:val="0"/>
              <w:adjustRightInd w:val="0"/>
              <w:snapToGrid w:val="0"/>
              <w:jc w:val="center"/>
              <w:textAlignment w:val="baseline"/>
              <w:rPr>
                <w:sz w:val="22"/>
              </w:rPr>
            </w:pPr>
          </w:p>
        </w:tc>
        <w:tc>
          <w:tcPr>
            <w:tcW w:w="3750" w:type="dxa"/>
            <w:vMerge w:val="continue"/>
            <w:vAlign w:val="center"/>
          </w:tcPr>
          <w:p w14:paraId="15BDE201">
            <w:pPr>
              <w:widowControl/>
              <w:kinsoku w:val="0"/>
              <w:autoSpaceDE w:val="0"/>
              <w:autoSpaceDN w:val="0"/>
              <w:adjustRightInd w:val="0"/>
              <w:snapToGrid w:val="0"/>
              <w:jc w:val="center"/>
              <w:textAlignment w:val="baseline"/>
              <w:rPr>
                <w:sz w:val="22"/>
              </w:rPr>
            </w:pPr>
          </w:p>
        </w:tc>
      </w:tr>
      <w:tr w14:paraId="68BB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61" w:type="dxa"/>
            <w:vAlign w:val="center"/>
          </w:tcPr>
          <w:p w14:paraId="362F5A17">
            <w:pPr>
              <w:widowControl/>
              <w:kinsoku w:val="0"/>
              <w:autoSpaceDE w:val="0"/>
              <w:autoSpaceDN w:val="0"/>
              <w:adjustRightInd w:val="0"/>
              <w:snapToGrid w:val="0"/>
              <w:jc w:val="center"/>
              <w:textAlignment w:val="baseline"/>
              <w:rPr>
                <w:snapToGrid w:val="0"/>
                <w:kern w:val="0"/>
                <w:sz w:val="22"/>
              </w:rPr>
            </w:pPr>
            <w:r>
              <w:rPr>
                <w:snapToGrid w:val="0"/>
                <w:kern w:val="0"/>
                <w:sz w:val="22"/>
              </w:rPr>
              <w:t>1</w:t>
            </w:r>
          </w:p>
        </w:tc>
        <w:tc>
          <w:tcPr>
            <w:tcW w:w="1833" w:type="dxa"/>
            <w:vAlign w:val="center"/>
          </w:tcPr>
          <w:p w14:paraId="519FF38E">
            <w:pPr>
              <w:pStyle w:val="1444"/>
            </w:pPr>
            <w:r>
              <w:rPr>
                <w:rFonts w:hint="eastAsia"/>
              </w:rPr>
              <w:t>635412.4</w:t>
            </w:r>
          </w:p>
        </w:tc>
        <w:tc>
          <w:tcPr>
            <w:tcW w:w="1687" w:type="dxa"/>
            <w:vAlign w:val="center"/>
          </w:tcPr>
          <w:p w14:paraId="004F6834">
            <w:pPr>
              <w:pStyle w:val="1444"/>
            </w:pPr>
            <w:r>
              <w:rPr>
                <w:rFonts w:hint="eastAsia"/>
              </w:rPr>
              <w:t>3519288.8</w:t>
            </w:r>
          </w:p>
        </w:tc>
        <w:tc>
          <w:tcPr>
            <w:tcW w:w="1074" w:type="dxa"/>
            <w:vAlign w:val="center"/>
          </w:tcPr>
          <w:p w14:paraId="015D4FA9">
            <w:pPr>
              <w:widowControl/>
              <w:kinsoku w:val="0"/>
              <w:autoSpaceDE w:val="0"/>
              <w:autoSpaceDN w:val="0"/>
              <w:adjustRightInd w:val="0"/>
              <w:snapToGrid w:val="0"/>
              <w:jc w:val="center"/>
              <w:textAlignment w:val="baseline"/>
              <w:rPr>
                <w:snapToGrid w:val="0"/>
                <w:kern w:val="0"/>
                <w:sz w:val="22"/>
              </w:rPr>
            </w:pPr>
            <w:r>
              <w:rPr>
                <w:sz w:val="22"/>
              </w:rPr>
              <w:t>1#居民点</w:t>
            </w:r>
          </w:p>
        </w:tc>
        <w:tc>
          <w:tcPr>
            <w:tcW w:w="1302" w:type="dxa"/>
            <w:vAlign w:val="center"/>
          </w:tcPr>
          <w:p w14:paraId="73C5C5C8">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7</w:t>
            </w:r>
            <w:r>
              <w:rPr>
                <w:snapToGrid w:val="0"/>
                <w:kern w:val="0"/>
                <w:sz w:val="22"/>
              </w:rPr>
              <w:t>3</w:t>
            </w:r>
            <w:r>
              <w:rPr>
                <w:rFonts w:hint="eastAsia"/>
                <w:snapToGrid w:val="0"/>
                <w:kern w:val="0"/>
                <w:sz w:val="22"/>
              </w:rPr>
              <w:t>~</w:t>
            </w:r>
            <w:r>
              <w:rPr>
                <w:snapToGrid w:val="0"/>
                <w:kern w:val="0"/>
                <w:sz w:val="22"/>
              </w:rPr>
              <w:t>102</w:t>
            </w:r>
          </w:p>
        </w:tc>
        <w:tc>
          <w:tcPr>
            <w:tcW w:w="1242" w:type="dxa"/>
            <w:vAlign w:val="center"/>
          </w:tcPr>
          <w:p w14:paraId="05418B7F">
            <w:pPr>
              <w:widowControl/>
              <w:kinsoku w:val="0"/>
              <w:autoSpaceDE w:val="0"/>
              <w:autoSpaceDN w:val="0"/>
              <w:adjustRightInd w:val="0"/>
              <w:snapToGrid w:val="0"/>
              <w:jc w:val="center"/>
              <w:textAlignment w:val="baseline"/>
              <w:rPr>
                <w:sz w:val="22"/>
              </w:rPr>
            </w:pPr>
            <w:r>
              <w:rPr>
                <w:rFonts w:hint="eastAsia"/>
                <w:sz w:val="22"/>
              </w:rPr>
              <w:t>-</w:t>
            </w:r>
            <w:r>
              <w:rPr>
                <w:sz w:val="22"/>
              </w:rPr>
              <w:t>281</w:t>
            </w:r>
            <w:r>
              <w:rPr>
                <w:rFonts w:hint="eastAsia"/>
                <w:sz w:val="22"/>
              </w:rPr>
              <w:t>~</w:t>
            </w:r>
            <w:r>
              <w:rPr>
                <w:sz w:val="22"/>
              </w:rPr>
              <w:t>-214</w:t>
            </w:r>
          </w:p>
        </w:tc>
        <w:tc>
          <w:tcPr>
            <w:tcW w:w="1136" w:type="dxa"/>
            <w:vAlign w:val="center"/>
          </w:tcPr>
          <w:p w14:paraId="3E914D58">
            <w:pPr>
              <w:widowControl/>
              <w:kinsoku w:val="0"/>
              <w:autoSpaceDE w:val="0"/>
              <w:autoSpaceDN w:val="0"/>
              <w:adjustRightInd w:val="0"/>
              <w:snapToGrid w:val="0"/>
              <w:jc w:val="center"/>
              <w:textAlignment w:val="baseline"/>
              <w:rPr>
                <w:sz w:val="22"/>
              </w:rPr>
            </w:pPr>
            <w:r>
              <w:rPr>
                <w:rFonts w:hint="eastAsia"/>
                <w:sz w:val="22"/>
              </w:rPr>
              <w:t>+</w:t>
            </w:r>
            <w:r>
              <w:rPr>
                <w:sz w:val="22"/>
              </w:rPr>
              <w:t>1</w:t>
            </w:r>
            <w:r>
              <w:rPr>
                <w:rFonts w:hint="eastAsia"/>
                <w:sz w:val="22"/>
              </w:rPr>
              <w:t>~+</w:t>
            </w:r>
            <w:r>
              <w:rPr>
                <w:sz w:val="22"/>
              </w:rPr>
              <w:t>2</w:t>
            </w:r>
          </w:p>
        </w:tc>
        <w:tc>
          <w:tcPr>
            <w:tcW w:w="1074" w:type="dxa"/>
            <w:vAlign w:val="center"/>
          </w:tcPr>
          <w:p w14:paraId="67510A60">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1</w:t>
            </w:r>
            <w:r>
              <w:rPr>
                <w:snapToGrid w:val="0"/>
                <w:kern w:val="0"/>
                <w:sz w:val="22"/>
              </w:rPr>
              <w:t>25</w:t>
            </w:r>
          </w:p>
        </w:tc>
        <w:tc>
          <w:tcPr>
            <w:tcW w:w="3750" w:type="dxa"/>
            <w:vAlign w:val="center"/>
          </w:tcPr>
          <w:p w14:paraId="2B07E3D0">
            <w:pPr>
              <w:widowControl/>
              <w:kinsoku w:val="0"/>
              <w:autoSpaceDE w:val="0"/>
              <w:autoSpaceDN w:val="0"/>
              <w:adjustRightInd w:val="0"/>
              <w:snapToGrid w:val="0"/>
              <w:jc w:val="center"/>
              <w:textAlignment w:val="baseline"/>
              <w:rPr>
                <w:snapToGrid w:val="0"/>
                <w:kern w:val="0"/>
                <w:sz w:val="22"/>
              </w:rPr>
            </w:pPr>
            <w:r>
              <w:rPr>
                <w:sz w:val="22"/>
              </w:rPr>
              <w:t>分散居民7户约21人，1~2F砖瓦房</w:t>
            </w:r>
          </w:p>
        </w:tc>
      </w:tr>
      <w:tr w14:paraId="3F52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61" w:type="dxa"/>
            <w:vAlign w:val="center"/>
          </w:tcPr>
          <w:p w14:paraId="76ACA61F">
            <w:pPr>
              <w:widowControl/>
              <w:kinsoku w:val="0"/>
              <w:autoSpaceDE w:val="0"/>
              <w:autoSpaceDN w:val="0"/>
              <w:adjustRightInd w:val="0"/>
              <w:snapToGrid w:val="0"/>
              <w:jc w:val="center"/>
              <w:textAlignment w:val="baseline"/>
              <w:rPr>
                <w:snapToGrid w:val="0"/>
                <w:kern w:val="0"/>
                <w:sz w:val="22"/>
              </w:rPr>
            </w:pPr>
            <w:r>
              <w:rPr>
                <w:snapToGrid w:val="0"/>
                <w:kern w:val="0"/>
                <w:sz w:val="22"/>
              </w:rPr>
              <w:t>2</w:t>
            </w:r>
          </w:p>
        </w:tc>
        <w:tc>
          <w:tcPr>
            <w:tcW w:w="1833" w:type="dxa"/>
            <w:vAlign w:val="center"/>
          </w:tcPr>
          <w:p w14:paraId="586DDAF6">
            <w:pPr>
              <w:pStyle w:val="1444"/>
            </w:pPr>
            <w:r>
              <w:rPr>
                <w:rFonts w:hint="eastAsia"/>
              </w:rPr>
              <w:t>635604.8</w:t>
            </w:r>
          </w:p>
        </w:tc>
        <w:tc>
          <w:tcPr>
            <w:tcW w:w="1687" w:type="dxa"/>
            <w:vAlign w:val="center"/>
          </w:tcPr>
          <w:p w14:paraId="0975F832">
            <w:pPr>
              <w:pStyle w:val="1444"/>
            </w:pPr>
            <w:r>
              <w:rPr>
                <w:rFonts w:hint="eastAsia"/>
              </w:rPr>
              <w:t>3519361.2</w:t>
            </w:r>
          </w:p>
        </w:tc>
        <w:tc>
          <w:tcPr>
            <w:tcW w:w="1074" w:type="dxa"/>
            <w:vAlign w:val="center"/>
          </w:tcPr>
          <w:p w14:paraId="0DBF4E10">
            <w:pPr>
              <w:widowControl/>
              <w:kinsoku w:val="0"/>
              <w:autoSpaceDE w:val="0"/>
              <w:autoSpaceDN w:val="0"/>
              <w:adjustRightInd w:val="0"/>
              <w:snapToGrid w:val="0"/>
              <w:jc w:val="center"/>
              <w:textAlignment w:val="baseline"/>
              <w:rPr>
                <w:sz w:val="22"/>
              </w:rPr>
            </w:pPr>
            <w:r>
              <w:rPr>
                <w:sz w:val="22"/>
              </w:rPr>
              <w:t>2#居民点</w:t>
            </w:r>
          </w:p>
        </w:tc>
        <w:tc>
          <w:tcPr>
            <w:tcW w:w="1302" w:type="dxa"/>
            <w:vAlign w:val="center"/>
          </w:tcPr>
          <w:p w14:paraId="7F22829E">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2</w:t>
            </w:r>
            <w:r>
              <w:rPr>
                <w:snapToGrid w:val="0"/>
                <w:kern w:val="0"/>
                <w:sz w:val="22"/>
              </w:rPr>
              <w:t>48</w:t>
            </w:r>
          </w:p>
        </w:tc>
        <w:tc>
          <w:tcPr>
            <w:tcW w:w="1242" w:type="dxa"/>
            <w:vAlign w:val="center"/>
          </w:tcPr>
          <w:p w14:paraId="69F9DA30">
            <w:pPr>
              <w:widowControl/>
              <w:kinsoku w:val="0"/>
              <w:autoSpaceDE w:val="0"/>
              <w:autoSpaceDN w:val="0"/>
              <w:adjustRightInd w:val="0"/>
              <w:snapToGrid w:val="0"/>
              <w:jc w:val="center"/>
              <w:textAlignment w:val="baseline"/>
              <w:rPr>
                <w:sz w:val="22"/>
              </w:rPr>
            </w:pPr>
            <w:r>
              <w:rPr>
                <w:rFonts w:hint="eastAsia"/>
                <w:sz w:val="22"/>
              </w:rPr>
              <w:t>-</w:t>
            </w:r>
            <w:r>
              <w:rPr>
                <w:sz w:val="22"/>
              </w:rPr>
              <w:t>159</w:t>
            </w:r>
          </w:p>
        </w:tc>
        <w:tc>
          <w:tcPr>
            <w:tcW w:w="1136" w:type="dxa"/>
            <w:vAlign w:val="center"/>
          </w:tcPr>
          <w:p w14:paraId="313447C5">
            <w:pPr>
              <w:widowControl/>
              <w:kinsoku w:val="0"/>
              <w:autoSpaceDE w:val="0"/>
              <w:autoSpaceDN w:val="0"/>
              <w:adjustRightInd w:val="0"/>
              <w:snapToGrid w:val="0"/>
              <w:jc w:val="center"/>
              <w:textAlignment w:val="baseline"/>
              <w:rPr>
                <w:sz w:val="22"/>
              </w:rPr>
            </w:pPr>
            <w:r>
              <w:rPr>
                <w:rFonts w:hint="eastAsia"/>
                <w:sz w:val="22"/>
              </w:rPr>
              <w:t>-</w:t>
            </w:r>
            <w:r>
              <w:rPr>
                <w:sz w:val="22"/>
              </w:rPr>
              <w:t>22</w:t>
            </w:r>
          </w:p>
        </w:tc>
        <w:tc>
          <w:tcPr>
            <w:tcW w:w="1074" w:type="dxa"/>
            <w:vAlign w:val="center"/>
          </w:tcPr>
          <w:p w14:paraId="3DB20C5C">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1</w:t>
            </w:r>
            <w:r>
              <w:rPr>
                <w:snapToGrid w:val="0"/>
                <w:kern w:val="0"/>
                <w:sz w:val="22"/>
              </w:rPr>
              <w:t>82</w:t>
            </w:r>
          </w:p>
        </w:tc>
        <w:tc>
          <w:tcPr>
            <w:tcW w:w="3750" w:type="dxa"/>
            <w:vAlign w:val="center"/>
          </w:tcPr>
          <w:p w14:paraId="7290FD4F">
            <w:pPr>
              <w:widowControl/>
              <w:kinsoku w:val="0"/>
              <w:autoSpaceDE w:val="0"/>
              <w:autoSpaceDN w:val="0"/>
              <w:adjustRightInd w:val="0"/>
              <w:snapToGrid w:val="0"/>
              <w:jc w:val="center"/>
              <w:textAlignment w:val="baseline"/>
              <w:rPr>
                <w:sz w:val="22"/>
              </w:rPr>
            </w:pPr>
            <w:r>
              <w:rPr>
                <w:sz w:val="22"/>
              </w:rPr>
              <w:t>分散居民1户</w:t>
            </w:r>
            <w:r>
              <w:rPr>
                <w:rFonts w:hint="eastAsia"/>
                <w:sz w:val="22"/>
              </w:rPr>
              <w:t>3</w:t>
            </w:r>
            <w:r>
              <w:rPr>
                <w:sz w:val="22"/>
              </w:rPr>
              <w:t>人，2F砖瓦房</w:t>
            </w:r>
          </w:p>
        </w:tc>
      </w:tr>
      <w:tr w14:paraId="0182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61" w:type="dxa"/>
            <w:vAlign w:val="center"/>
          </w:tcPr>
          <w:p w14:paraId="64F7AE52">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3</w:t>
            </w:r>
          </w:p>
        </w:tc>
        <w:tc>
          <w:tcPr>
            <w:tcW w:w="1833" w:type="dxa"/>
            <w:vAlign w:val="center"/>
          </w:tcPr>
          <w:p w14:paraId="0CE76AA4">
            <w:pPr>
              <w:pStyle w:val="1444"/>
            </w:pPr>
            <w:r>
              <w:rPr>
                <w:rFonts w:hint="eastAsia"/>
              </w:rPr>
              <w:t>635464.3</w:t>
            </w:r>
          </w:p>
        </w:tc>
        <w:tc>
          <w:tcPr>
            <w:tcW w:w="1687" w:type="dxa"/>
            <w:vAlign w:val="center"/>
          </w:tcPr>
          <w:p w14:paraId="24F2C9CE">
            <w:pPr>
              <w:pStyle w:val="1444"/>
            </w:pPr>
            <w:r>
              <w:rPr>
                <w:rFonts w:hint="eastAsia"/>
              </w:rPr>
              <w:t>3519410.0</w:t>
            </w:r>
          </w:p>
        </w:tc>
        <w:tc>
          <w:tcPr>
            <w:tcW w:w="1074" w:type="dxa"/>
            <w:vAlign w:val="center"/>
          </w:tcPr>
          <w:p w14:paraId="1134AE78">
            <w:pPr>
              <w:widowControl/>
              <w:kinsoku w:val="0"/>
              <w:autoSpaceDE w:val="0"/>
              <w:autoSpaceDN w:val="0"/>
              <w:adjustRightInd w:val="0"/>
              <w:snapToGrid w:val="0"/>
              <w:jc w:val="center"/>
              <w:textAlignment w:val="baseline"/>
              <w:rPr>
                <w:sz w:val="22"/>
              </w:rPr>
            </w:pPr>
            <w:r>
              <w:rPr>
                <w:rFonts w:hint="eastAsia"/>
                <w:sz w:val="22"/>
              </w:rPr>
              <w:t>3</w:t>
            </w:r>
            <w:r>
              <w:rPr>
                <w:sz w:val="22"/>
              </w:rPr>
              <w:t>#</w:t>
            </w:r>
            <w:r>
              <w:rPr>
                <w:rFonts w:hint="eastAsia"/>
                <w:sz w:val="22"/>
              </w:rPr>
              <w:t>居民点</w:t>
            </w:r>
          </w:p>
        </w:tc>
        <w:tc>
          <w:tcPr>
            <w:tcW w:w="1302" w:type="dxa"/>
            <w:vAlign w:val="center"/>
          </w:tcPr>
          <w:p w14:paraId="2D15E1C6">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1</w:t>
            </w:r>
            <w:r>
              <w:rPr>
                <w:snapToGrid w:val="0"/>
                <w:kern w:val="0"/>
                <w:sz w:val="22"/>
              </w:rPr>
              <w:t>52</w:t>
            </w:r>
            <w:r>
              <w:rPr>
                <w:rFonts w:hint="eastAsia"/>
                <w:snapToGrid w:val="0"/>
                <w:kern w:val="0"/>
                <w:sz w:val="22"/>
              </w:rPr>
              <w:t>~</w:t>
            </w:r>
            <w:r>
              <w:rPr>
                <w:snapToGrid w:val="0"/>
                <w:kern w:val="0"/>
                <w:sz w:val="22"/>
              </w:rPr>
              <w:t>222</w:t>
            </w:r>
          </w:p>
        </w:tc>
        <w:tc>
          <w:tcPr>
            <w:tcW w:w="1242" w:type="dxa"/>
            <w:vAlign w:val="center"/>
          </w:tcPr>
          <w:p w14:paraId="3B833AE7">
            <w:pPr>
              <w:widowControl/>
              <w:kinsoku w:val="0"/>
              <w:autoSpaceDE w:val="0"/>
              <w:autoSpaceDN w:val="0"/>
              <w:adjustRightInd w:val="0"/>
              <w:snapToGrid w:val="0"/>
              <w:jc w:val="center"/>
              <w:textAlignment w:val="baseline"/>
              <w:rPr>
                <w:sz w:val="22"/>
              </w:rPr>
            </w:pPr>
            <w:r>
              <w:rPr>
                <w:rFonts w:hint="eastAsia"/>
                <w:sz w:val="22"/>
              </w:rPr>
              <w:t>-</w:t>
            </w:r>
            <w:r>
              <w:rPr>
                <w:sz w:val="22"/>
              </w:rPr>
              <w:t>110</w:t>
            </w:r>
            <w:r>
              <w:rPr>
                <w:rFonts w:hint="eastAsia"/>
                <w:sz w:val="22"/>
              </w:rPr>
              <w:t>~</w:t>
            </w:r>
            <w:r>
              <w:rPr>
                <w:sz w:val="22"/>
              </w:rPr>
              <w:t>12</w:t>
            </w:r>
          </w:p>
        </w:tc>
        <w:tc>
          <w:tcPr>
            <w:tcW w:w="1136" w:type="dxa"/>
            <w:vAlign w:val="center"/>
          </w:tcPr>
          <w:p w14:paraId="34777ED2">
            <w:pPr>
              <w:widowControl/>
              <w:kinsoku w:val="0"/>
              <w:autoSpaceDE w:val="0"/>
              <w:autoSpaceDN w:val="0"/>
              <w:adjustRightInd w:val="0"/>
              <w:snapToGrid w:val="0"/>
              <w:jc w:val="center"/>
              <w:textAlignment w:val="baseline"/>
              <w:rPr>
                <w:sz w:val="22"/>
              </w:rPr>
            </w:pPr>
            <w:r>
              <w:rPr>
                <w:rFonts w:hint="eastAsia"/>
                <w:sz w:val="22"/>
              </w:rPr>
              <w:t>-</w:t>
            </w:r>
            <w:r>
              <w:rPr>
                <w:sz w:val="22"/>
              </w:rPr>
              <w:t>21</w:t>
            </w:r>
            <w:r>
              <w:rPr>
                <w:rFonts w:hint="eastAsia"/>
                <w:sz w:val="22"/>
              </w:rPr>
              <w:t>~</w:t>
            </w:r>
            <w:r>
              <w:rPr>
                <w:sz w:val="22"/>
              </w:rPr>
              <w:t>-1</w:t>
            </w:r>
          </w:p>
        </w:tc>
        <w:tc>
          <w:tcPr>
            <w:tcW w:w="1074" w:type="dxa"/>
            <w:vAlign w:val="center"/>
          </w:tcPr>
          <w:p w14:paraId="6748FC07">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7</w:t>
            </w:r>
            <w:r>
              <w:rPr>
                <w:snapToGrid w:val="0"/>
                <w:kern w:val="0"/>
                <w:sz w:val="22"/>
              </w:rPr>
              <w:t>0</w:t>
            </w:r>
          </w:p>
        </w:tc>
        <w:tc>
          <w:tcPr>
            <w:tcW w:w="3750" w:type="dxa"/>
            <w:vAlign w:val="center"/>
          </w:tcPr>
          <w:p w14:paraId="75F98C28">
            <w:pPr>
              <w:widowControl/>
              <w:kinsoku w:val="0"/>
              <w:autoSpaceDE w:val="0"/>
              <w:autoSpaceDN w:val="0"/>
              <w:adjustRightInd w:val="0"/>
              <w:snapToGrid w:val="0"/>
              <w:jc w:val="center"/>
              <w:textAlignment w:val="baseline"/>
              <w:rPr>
                <w:sz w:val="22"/>
              </w:rPr>
            </w:pPr>
            <w:r>
              <w:rPr>
                <w:sz w:val="22"/>
              </w:rPr>
              <w:t>分散居民7户约21人，1~2F砖瓦房</w:t>
            </w:r>
          </w:p>
        </w:tc>
      </w:tr>
      <w:tr w14:paraId="247F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61" w:type="dxa"/>
            <w:vAlign w:val="center"/>
          </w:tcPr>
          <w:p w14:paraId="0FDE005C">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4</w:t>
            </w:r>
          </w:p>
        </w:tc>
        <w:tc>
          <w:tcPr>
            <w:tcW w:w="1833" w:type="dxa"/>
            <w:vAlign w:val="center"/>
          </w:tcPr>
          <w:p w14:paraId="52C08D02">
            <w:pPr>
              <w:pStyle w:val="1444"/>
            </w:pPr>
            <w:r>
              <w:rPr>
                <w:rFonts w:hint="eastAsia"/>
              </w:rPr>
              <w:t>635423.1</w:t>
            </w:r>
          </w:p>
        </w:tc>
        <w:tc>
          <w:tcPr>
            <w:tcW w:w="1687" w:type="dxa"/>
            <w:vAlign w:val="center"/>
          </w:tcPr>
          <w:p w14:paraId="3FEE64EC">
            <w:pPr>
              <w:pStyle w:val="1444"/>
            </w:pPr>
            <w:r>
              <w:rPr>
                <w:rFonts w:hint="eastAsia"/>
              </w:rPr>
              <w:t>3519585.6</w:t>
            </w:r>
          </w:p>
        </w:tc>
        <w:tc>
          <w:tcPr>
            <w:tcW w:w="1074" w:type="dxa"/>
            <w:vAlign w:val="center"/>
          </w:tcPr>
          <w:p w14:paraId="37A29624">
            <w:pPr>
              <w:widowControl/>
              <w:kinsoku w:val="0"/>
              <w:autoSpaceDE w:val="0"/>
              <w:autoSpaceDN w:val="0"/>
              <w:adjustRightInd w:val="0"/>
              <w:snapToGrid w:val="0"/>
              <w:jc w:val="center"/>
              <w:textAlignment w:val="baseline"/>
              <w:rPr>
                <w:sz w:val="22"/>
              </w:rPr>
            </w:pPr>
            <w:r>
              <w:rPr>
                <w:sz w:val="22"/>
              </w:rPr>
              <w:t>4</w:t>
            </w:r>
            <w:r>
              <w:rPr>
                <w:rFonts w:hint="eastAsia"/>
                <w:sz w:val="22"/>
              </w:rPr>
              <w:t>#居民点</w:t>
            </w:r>
          </w:p>
        </w:tc>
        <w:tc>
          <w:tcPr>
            <w:tcW w:w="1302" w:type="dxa"/>
            <w:vAlign w:val="center"/>
          </w:tcPr>
          <w:p w14:paraId="7366A5D6">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1</w:t>
            </w:r>
            <w:r>
              <w:rPr>
                <w:snapToGrid w:val="0"/>
                <w:kern w:val="0"/>
                <w:sz w:val="22"/>
              </w:rPr>
              <w:t>03</w:t>
            </w:r>
            <w:r>
              <w:rPr>
                <w:rFonts w:hint="eastAsia"/>
                <w:snapToGrid w:val="0"/>
                <w:kern w:val="0"/>
                <w:sz w:val="22"/>
              </w:rPr>
              <w:t>~</w:t>
            </w:r>
            <w:r>
              <w:rPr>
                <w:snapToGrid w:val="0"/>
                <w:kern w:val="0"/>
                <w:sz w:val="22"/>
              </w:rPr>
              <w:t>137</w:t>
            </w:r>
          </w:p>
        </w:tc>
        <w:tc>
          <w:tcPr>
            <w:tcW w:w="1242" w:type="dxa"/>
            <w:vAlign w:val="center"/>
          </w:tcPr>
          <w:p w14:paraId="43F4FCE0">
            <w:pPr>
              <w:widowControl/>
              <w:kinsoku w:val="0"/>
              <w:autoSpaceDE w:val="0"/>
              <w:autoSpaceDN w:val="0"/>
              <w:adjustRightInd w:val="0"/>
              <w:snapToGrid w:val="0"/>
              <w:jc w:val="center"/>
              <w:textAlignment w:val="baseline"/>
              <w:rPr>
                <w:sz w:val="22"/>
              </w:rPr>
            </w:pPr>
            <w:r>
              <w:rPr>
                <w:rFonts w:hint="eastAsia"/>
                <w:sz w:val="22"/>
              </w:rPr>
              <w:t>2</w:t>
            </w:r>
            <w:r>
              <w:rPr>
                <w:sz w:val="22"/>
              </w:rPr>
              <w:t>8</w:t>
            </w:r>
            <w:r>
              <w:rPr>
                <w:rFonts w:hint="eastAsia"/>
                <w:sz w:val="22"/>
              </w:rPr>
              <w:t>~</w:t>
            </w:r>
            <w:r>
              <w:rPr>
                <w:sz w:val="22"/>
              </w:rPr>
              <w:t>94</w:t>
            </w:r>
          </w:p>
        </w:tc>
        <w:tc>
          <w:tcPr>
            <w:tcW w:w="1136" w:type="dxa"/>
            <w:vAlign w:val="center"/>
          </w:tcPr>
          <w:p w14:paraId="2895FA37">
            <w:pPr>
              <w:widowControl/>
              <w:kinsoku w:val="0"/>
              <w:autoSpaceDE w:val="0"/>
              <w:autoSpaceDN w:val="0"/>
              <w:adjustRightInd w:val="0"/>
              <w:snapToGrid w:val="0"/>
              <w:jc w:val="center"/>
              <w:textAlignment w:val="baseline"/>
              <w:rPr>
                <w:sz w:val="22"/>
              </w:rPr>
            </w:pPr>
            <w:r>
              <w:rPr>
                <w:rFonts w:hint="eastAsia"/>
                <w:sz w:val="22"/>
              </w:rPr>
              <w:t>-</w:t>
            </w:r>
            <w:r>
              <w:rPr>
                <w:sz w:val="22"/>
              </w:rPr>
              <w:t>14</w:t>
            </w:r>
            <w:r>
              <w:rPr>
                <w:rFonts w:hint="eastAsia"/>
                <w:sz w:val="22"/>
              </w:rPr>
              <w:t>~</w:t>
            </w:r>
            <w:r>
              <w:rPr>
                <w:sz w:val="22"/>
              </w:rPr>
              <w:t>-16</w:t>
            </w:r>
          </w:p>
        </w:tc>
        <w:tc>
          <w:tcPr>
            <w:tcW w:w="1074" w:type="dxa"/>
            <w:vAlign w:val="center"/>
          </w:tcPr>
          <w:p w14:paraId="1CACC57B">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7</w:t>
            </w:r>
            <w:r>
              <w:rPr>
                <w:snapToGrid w:val="0"/>
                <w:kern w:val="0"/>
                <w:sz w:val="22"/>
              </w:rPr>
              <w:t>4</w:t>
            </w:r>
          </w:p>
        </w:tc>
        <w:tc>
          <w:tcPr>
            <w:tcW w:w="3750" w:type="dxa"/>
            <w:vAlign w:val="center"/>
          </w:tcPr>
          <w:p w14:paraId="2B20CDAF">
            <w:pPr>
              <w:widowControl/>
              <w:kinsoku w:val="0"/>
              <w:autoSpaceDE w:val="0"/>
              <w:autoSpaceDN w:val="0"/>
              <w:adjustRightInd w:val="0"/>
              <w:snapToGrid w:val="0"/>
              <w:jc w:val="center"/>
              <w:textAlignment w:val="baseline"/>
              <w:rPr>
                <w:sz w:val="22"/>
              </w:rPr>
            </w:pPr>
            <w:r>
              <w:rPr>
                <w:sz w:val="22"/>
              </w:rPr>
              <w:t>分散居民4户约12人，1~2F砖瓦房</w:t>
            </w:r>
          </w:p>
        </w:tc>
      </w:tr>
      <w:tr w14:paraId="7DAA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61" w:type="dxa"/>
            <w:vAlign w:val="center"/>
          </w:tcPr>
          <w:p w14:paraId="5F3CC68E">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5</w:t>
            </w:r>
          </w:p>
        </w:tc>
        <w:tc>
          <w:tcPr>
            <w:tcW w:w="1833" w:type="dxa"/>
            <w:vAlign w:val="center"/>
          </w:tcPr>
          <w:p w14:paraId="399A2A06">
            <w:pPr>
              <w:pStyle w:val="1444"/>
            </w:pPr>
            <w:r>
              <w:rPr>
                <w:rFonts w:hint="eastAsia"/>
              </w:rPr>
              <w:t>635339.5</w:t>
            </w:r>
          </w:p>
        </w:tc>
        <w:tc>
          <w:tcPr>
            <w:tcW w:w="1687" w:type="dxa"/>
            <w:vAlign w:val="center"/>
          </w:tcPr>
          <w:p w14:paraId="6A4B0C5B">
            <w:pPr>
              <w:pStyle w:val="1444"/>
            </w:pPr>
            <w:r>
              <w:rPr>
                <w:rFonts w:hint="eastAsia"/>
              </w:rPr>
              <w:t>3519682.1</w:t>
            </w:r>
          </w:p>
        </w:tc>
        <w:tc>
          <w:tcPr>
            <w:tcW w:w="1074" w:type="dxa"/>
            <w:vAlign w:val="center"/>
          </w:tcPr>
          <w:p w14:paraId="5C25F9A4">
            <w:pPr>
              <w:widowControl/>
              <w:kinsoku w:val="0"/>
              <w:autoSpaceDE w:val="0"/>
              <w:autoSpaceDN w:val="0"/>
              <w:adjustRightInd w:val="0"/>
              <w:snapToGrid w:val="0"/>
              <w:jc w:val="center"/>
              <w:textAlignment w:val="baseline"/>
              <w:rPr>
                <w:sz w:val="22"/>
              </w:rPr>
            </w:pPr>
            <w:r>
              <w:rPr>
                <w:rFonts w:hint="eastAsia"/>
                <w:sz w:val="22"/>
              </w:rPr>
              <w:t>5#居民点</w:t>
            </w:r>
          </w:p>
        </w:tc>
        <w:tc>
          <w:tcPr>
            <w:tcW w:w="1302" w:type="dxa"/>
            <w:vAlign w:val="center"/>
          </w:tcPr>
          <w:p w14:paraId="37E6E8B6">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w:t>
            </w:r>
            <w:r>
              <w:rPr>
                <w:snapToGrid w:val="0"/>
                <w:kern w:val="0"/>
                <w:sz w:val="22"/>
              </w:rPr>
              <w:t>50</w:t>
            </w:r>
            <w:r>
              <w:rPr>
                <w:rFonts w:hint="eastAsia"/>
                <w:snapToGrid w:val="0"/>
                <w:kern w:val="0"/>
                <w:sz w:val="22"/>
              </w:rPr>
              <w:t>~</w:t>
            </w:r>
            <w:r>
              <w:rPr>
                <w:snapToGrid w:val="0"/>
                <w:kern w:val="0"/>
                <w:sz w:val="22"/>
              </w:rPr>
              <w:t>110</w:t>
            </w:r>
          </w:p>
        </w:tc>
        <w:tc>
          <w:tcPr>
            <w:tcW w:w="1242" w:type="dxa"/>
            <w:vAlign w:val="center"/>
          </w:tcPr>
          <w:p w14:paraId="307A69AE">
            <w:pPr>
              <w:widowControl/>
              <w:kinsoku w:val="0"/>
              <w:autoSpaceDE w:val="0"/>
              <w:autoSpaceDN w:val="0"/>
              <w:adjustRightInd w:val="0"/>
              <w:snapToGrid w:val="0"/>
              <w:jc w:val="center"/>
              <w:textAlignment w:val="baseline"/>
              <w:rPr>
                <w:sz w:val="22"/>
              </w:rPr>
            </w:pPr>
            <w:r>
              <w:rPr>
                <w:rFonts w:hint="eastAsia"/>
                <w:sz w:val="22"/>
              </w:rPr>
              <w:t>1</w:t>
            </w:r>
            <w:r>
              <w:rPr>
                <w:sz w:val="22"/>
              </w:rPr>
              <w:t>35</w:t>
            </w:r>
            <w:r>
              <w:rPr>
                <w:rFonts w:hint="eastAsia"/>
                <w:sz w:val="22"/>
              </w:rPr>
              <w:t>~</w:t>
            </w:r>
            <w:r>
              <w:rPr>
                <w:sz w:val="22"/>
              </w:rPr>
              <w:t>218</w:t>
            </w:r>
          </w:p>
        </w:tc>
        <w:tc>
          <w:tcPr>
            <w:tcW w:w="1136" w:type="dxa"/>
            <w:vAlign w:val="center"/>
          </w:tcPr>
          <w:p w14:paraId="633510B3">
            <w:pPr>
              <w:widowControl/>
              <w:kinsoku w:val="0"/>
              <w:autoSpaceDE w:val="0"/>
              <w:autoSpaceDN w:val="0"/>
              <w:adjustRightInd w:val="0"/>
              <w:snapToGrid w:val="0"/>
              <w:jc w:val="center"/>
              <w:textAlignment w:val="baseline"/>
              <w:rPr>
                <w:sz w:val="22"/>
              </w:rPr>
            </w:pPr>
            <w:r>
              <w:rPr>
                <w:rFonts w:hint="eastAsia"/>
                <w:sz w:val="22"/>
              </w:rPr>
              <w:t>-</w:t>
            </w:r>
            <w:r>
              <w:rPr>
                <w:sz w:val="22"/>
              </w:rPr>
              <w:t>32</w:t>
            </w:r>
            <w:r>
              <w:rPr>
                <w:rFonts w:hint="eastAsia"/>
                <w:sz w:val="22"/>
              </w:rPr>
              <w:t>~</w:t>
            </w:r>
            <w:r>
              <w:rPr>
                <w:sz w:val="22"/>
              </w:rPr>
              <w:t>-24</w:t>
            </w:r>
          </w:p>
        </w:tc>
        <w:tc>
          <w:tcPr>
            <w:tcW w:w="1074" w:type="dxa"/>
            <w:vAlign w:val="center"/>
          </w:tcPr>
          <w:p w14:paraId="05CE90BA">
            <w:pPr>
              <w:widowControl/>
              <w:kinsoku w:val="0"/>
              <w:autoSpaceDE w:val="0"/>
              <w:autoSpaceDN w:val="0"/>
              <w:adjustRightInd w:val="0"/>
              <w:snapToGrid w:val="0"/>
              <w:jc w:val="center"/>
              <w:textAlignment w:val="baseline"/>
              <w:rPr>
                <w:snapToGrid w:val="0"/>
                <w:kern w:val="0"/>
                <w:sz w:val="22"/>
              </w:rPr>
            </w:pPr>
            <w:r>
              <w:rPr>
                <w:rFonts w:hint="eastAsia"/>
                <w:snapToGrid w:val="0"/>
                <w:kern w:val="0"/>
                <w:sz w:val="22"/>
              </w:rPr>
              <w:t>1</w:t>
            </w:r>
            <w:r>
              <w:rPr>
                <w:snapToGrid w:val="0"/>
                <w:kern w:val="0"/>
                <w:sz w:val="22"/>
              </w:rPr>
              <w:t>14</w:t>
            </w:r>
          </w:p>
        </w:tc>
        <w:tc>
          <w:tcPr>
            <w:tcW w:w="3750" w:type="dxa"/>
            <w:vAlign w:val="center"/>
          </w:tcPr>
          <w:p w14:paraId="6092E00C">
            <w:pPr>
              <w:widowControl/>
              <w:kinsoku w:val="0"/>
              <w:autoSpaceDE w:val="0"/>
              <w:autoSpaceDN w:val="0"/>
              <w:adjustRightInd w:val="0"/>
              <w:snapToGrid w:val="0"/>
              <w:jc w:val="center"/>
              <w:textAlignment w:val="baseline"/>
              <w:rPr>
                <w:sz w:val="22"/>
              </w:rPr>
            </w:pPr>
            <w:r>
              <w:rPr>
                <w:sz w:val="22"/>
              </w:rPr>
              <w:t>分散居民10户约30人，1~2F砖瓦房</w:t>
            </w:r>
          </w:p>
        </w:tc>
      </w:tr>
    </w:tbl>
    <w:p w14:paraId="4CBBEA5C">
      <w:pPr>
        <w:pStyle w:val="1066"/>
        <w:ind w:firstLine="210" w:firstLineChars="100"/>
      </w:pPr>
      <w:r>
        <w:rPr>
          <w:rFonts w:cs="Times New Roman"/>
          <w:bCs/>
          <w:kern w:val="44"/>
          <w:sz w:val="21"/>
        </w:rPr>
        <w:t>注： XY坐标系</w:t>
      </w:r>
      <w:r>
        <w:rPr>
          <w:rFonts w:cs="Times New Roman"/>
          <w:bCs/>
          <w:sz w:val="21"/>
        </w:rPr>
        <w:t>以</w:t>
      </w:r>
      <w:r>
        <w:rPr>
          <w:rFonts w:hint="eastAsia" w:cs="Times New Roman"/>
          <w:bCs/>
          <w:sz w:val="21"/>
        </w:rPr>
        <w:t>试采站西南角为</w:t>
      </w:r>
      <w:r>
        <w:rPr>
          <w:rFonts w:cs="Times New Roman"/>
          <w:bCs/>
          <w:sz w:val="21"/>
        </w:rPr>
        <w:t>坐标原点（0</w:t>
      </w:r>
      <w:r>
        <w:rPr>
          <w:rFonts w:hint="eastAsia" w:cs="Times New Roman"/>
          <w:bCs/>
          <w:sz w:val="21"/>
        </w:rPr>
        <w:t>，0</w:t>
      </w:r>
      <w:r>
        <w:rPr>
          <w:rFonts w:cs="Times New Roman"/>
          <w:bCs/>
          <w:sz w:val="21"/>
        </w:rPr>
        <w:t>，0）</w:t>
      </w:r>
      <w:r>
        <w:rPr>
          <w:rFonts w:hint="eastAsia" w:cs="Times New Roman"/>
          <w:bCs/>
          <w:sz w:val="21"/>
        </w:rPr>
        <w:t>，</w:t>
      </w:r>
      <w:r>
        <w:rPr>
          <w:rFonts w:hint="eastAsia" w:cs="Times New Roman"/>
          <w:bCs/>
          <w:kern w:val="44"/>
          <w:sz w:val="21"/>
        </w:rPr>
        <w:t>正北方向为Y轴正向</w:t>
      </w:r>
      <w:r>
        <w:rPr>
          <w:rFonts w:cs="Times New Roman"/>
          <w:bCs/>
          <w:kern w:val="44"/>
          <w:sz w:val="21"/>
        </w:rPr>
        <w:t>，正东方向为X轴正向。</w:t>
      </w:r>
    </w:p>
    <w:p w14:paraId="601AAB2E">
      <w:pPr>
        <w:pStyle w:val="1066"/>
        <w:ind w:firstLine="520"/>
      </w:pPr>
    </w:p>
    <w:p w14:paraId="7A25E2CB">
      <w:pPr>
        <w:pStyle w:val="1065"/>
      </w:pPr>
      <w:r>
        <w:t xml:space="preserve">1.8-6  </w:t>
      </w:r>
      <w:r>
        <w:rPr>
          <w:rFonts w:hint="eastAsia"/>
        </w:rPr>
        <w:t>试采站大气环境保护目标统计表</w:t>
      </w:r>
    </w:p>
    <w:tbl>
      <w:tblPr>
        <w:tblStyle w:val="88"/>
        <w:tblW w:w="13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5"/>
        <w:gridCol w:w="1698"/>
        <w:gridCol w:w="2058"/>
        <w:gridCol w:w="1763"/>
        <w:gridCol w:w="873"/>
        <w:gridCol w:w="1421"/>
        <w:gridCol w:w="3910"/>
        <w:gridCol w:w="1191"/>
      </w:tblGrid>
      <w:tr w14:paraId="7882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Merge w:val="restart"/>
            <w:vAlign w:val="center"/>
          </w:tcPr>
          <w:p w14:paraId="1A7A72D8">
            <w:pPr>
              <w:adjustRightInd w:val="0"/>
              <w:snapToGrid w:val="0"/>
              <w:jc w:val="center"/>
              <w:rPr>
                <w:sz w:val="22"/>
              </w:rPr>
            </w:pPr>
            <w:r>
              <w:rPr>
                <w:sz w:val="22"/>
              </w:rPr>
              <w:t>序号</w:t>
            </w:r>
          </w:p>
        </w:tc>
        <w:tc>
          <w:tcPr>
            <w:tcW w:w="3756" w:type="dxa"/>
            <w:gridSpan w:val="2"/>
            <w:vAlign w:val="center"/>
          </w:tcPr>
          <w:p w14:paraId="66948DED">
            <w:pPr>
              <w:adjustRightInd w:val="0"/>
              <w:snapToGrid w:val="0"/>
              <w:jc w:val="center"/>
              <w:rPr>
                <w:sz w:val="22"/>
              </w:rPr>
            </w:pPr>
            <w:r>
              <w:rPr>
                <w:sz w:val="22"/>
              </w:rPr>
              <w:t>坐标</w:t>
            </w:r>
          </w:p>
        </w:tc>
        <w:tc>
          <w:tcPr>
            <w:tcW w:w="1763" w:type="dxa"/>
            <w:vMerge w:val="restart"/>
            <w:vAlign w:val="center"/>
          </w:tcPr>
          <w:p w14:paraId="6C15A58C">
            <w:pPr>
              <w:adjustRightInd w:val="0"/>
              <w:snapToGrid w:val="0"/>
              <w:jc w:val="center"/>
              <w:rPr>
                <w:sz w:val="22"/>
              </w:rPr>
            </w:pPr>
            <w:r>
              <w:rPr>
                <w:sz w:val="22"/>
              </w:rPr>
              <w:t>保护目标名称</w:t>
            </w:r>
          </w:p>
        </w:tc>
        <w:tc>
          <w:tcPr>
            <w:tcW w:w="873" w:type="dxa"/>
            <w:vMerge w:val="restart"/>
            <w:vAlign w:val="center"/>
          </w:tcPr>
          <w:p w14:paraId="157CCDA5">
            <w:pPr>
              <w:adjustRightInd w:val="0"/>
              <w:snapToGrid w:val="0"/>
              <w:jc w:val="center"/>
              <w:rPr>
                <w:sz w:val="22"/>
              </w:rPr>
            </w:pPr>
            <w:r>
              <w:rPr>
                <w:sz w:val="22"/>
              </w:rPr>
              <w:t>方位</w:t>
            </w:r>
          </w:p>
        </w:tc>
        <w:tc>
          <w:tcPr>
            <w:tcW w:w="1421" w:type="dxa"/>
            <w:vMerge w:val="restart"/>
            <w:vAlign w:val="center"/>
          </w:tcPr>
          <w:p w14:paraId="6FE9E810">
            <w:pPr>
              <w:adjustRightInd w:val="0"/>
              <w:snapToGrid w:val="0"/>
              <w:jc w:val="center"/>
              <w:rPr>
                <w:sz w:val="22"/>
              </w:rPr>
            </w:pPr>
            <w:r>
              <w:rPr>
                <w:sz w:val="22"/>
              </w:rPr>
              <w:t>相对距离（m）</w:t>
            </w:r>
          </w:p>
        </w:tc>
        <w:tc>
          <w:tcPr>
            <w:tcW w:w="3910" w:type="dxa"/>
            <w:vMerge w:val="restart"/>
            <w:vAlign w:val="center"/>
          </w:tcPr>
          <w:p w14:paraId="7B78A5B2">
            <w:pPr>
              <w:adjustRightInd w:val="0"/>
              <w:snapToGrid w:val="0"/>
              <w:jc w:val="center"/>
              <w:rPr>
                <w:sz w:val="22"/>
              </w:rPr>
            </w:pPr>
            <w:r>
              <w:rPr>
                <w:sz w:val="22"/>
              </w:rPr>
              <w:t>环境敏感特性</w:t>
            </w:r>
          </w:p>
        </w:tc>
        <w:tc>
          <w:tcPr>
            <w:tcW w:w="1191" w:type="dxa"/>
            <w:vMerge w:val="restart"/>
            <w:vAlign w:val="center"/>
          </w:tcPr>
          <w:p w14:paraId="5E798F7B">
            <w:pPr>
              <w:adjustRightInd w:val="0"/>
              <w:snapToGrid w:val="0"/>
              <w:jc w:val="center"/>
              <w:rPr>
                <w:sz w:val="22"/>
              </w:rPr>
            </w:pPr>
            <w:r>
              <w:rPr>
                <w:sz w:val="22"/>
              </w:rPr>
              <w:t>环境功能区</w:t>
            </w:r>
          </w:p>
        </w:tc>
      </w:tr>
      <w:tr w14:paraId="4EA7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Merge w:val="continue"/>
            <w:vAlign w:val="center"/>
          </w:tcPr>
          <w:p w14:paraId="36B3DB0B">
            <w:pPr>
              <w:adjustRightInd w:val="0"/>
              <w:snapToGrid w:val="0"/>
              <w:jc w:val="center"/>
              <w:rPr>
                <w:sz w:val="22"/>
              </w:rPr>
            </w:pPr>
          </w:p>
        </w:tc>
        <w:tc>
          <w:tcPr>
            <w:tcW w:w="1698" w:type="dxa"/>
            <w:vAlign w:val="center"/>
          </w:tcPr>
          <w:p w14:paraId="2CE7040C">
            <w:pPr>
              <w:widowControl/>
              <w:kinsoku w:val="0"/>
              <w:autoSpaceDE w:val="0"/>
              <w:autoSpaceDN w:val="0"/>
              <w:adjustRightInd w:val="0"/>
              <w:snapToGrid w:val="0"/>
              <w:jc w:val="center"/>
              <w:textAlignment w:val="baseline"/>
              <w:rPr>
                <w:sz w:val="22"/>
              </w:rPr>
            </w:pPr>
            <w:r>
              <w:rPr>
                <w:rFonts w:hint="eastAsia"/>
                <w:sz w:val="22"/>
              </w:rPr>
              <w:t>横坐标</w:t>
            </w:r>
          </w:p>
        </w:tc>
        <w:tc>
          <w:tcPr>
            <w:tcW w:w="2058" w:type="dxa"/>
            <w:vAlign w:val="center"/>
          </w:tcPr>
          <w:p w14:paraId="35930C0A">
            <w:pPr>
              <w:widowControl/>
              <w:kinsoku w:val="0"/>
              <w:autoSpaceDE w:val="0"/>
              <w:autoSpaceDN w:val="0"/>
              <w:adjustRightInd w:val="0"/>
              <w:snapToGrid w:val="0"/>
              <w:jc w:val="center"/>
              <w:textAlignment w:val="baseline"/>
              <w:rPr>
                <w:sz w:val="22"/>
              </w:rPr>
            </w:pPr>
            <w:r>
              <w:rPr>
                <w:rFonts w:hint="eastAsia"/>
                <w:sz w:val="22"/>
              </w:rPr>
              <w:t>纵坐标</w:t>
            </w:r>
          </w:p>
        </w:tc>
        <w:tc>
          <w:tcPr>
            <w:tcW w:w="1763" w:type="dxa"/>
            <w:vMerge w:val="continue"/>
            <w:vAlign w:val="center"/>
          </w:tcPr>
          <w:p w14:paraId="6541A0A4">
            <w:pPr>
              <w:adjustRightInd w:val="0"/>
              <w:snapToGrid w:val="0"/>
              <w:jc w:val="center"/>
              <w:rPr>
                <w:sz w:val="22"/>
              </w:rPr>
            </w:pPr>
          </w:p>
        </w:tc>
        <w:tc>
          <w:tcPr>
            <w:tcW w:w="873" w:type="dxa"/>
            <w:vMerge w:val="continue"/>
            <w:vAlign w:val="center"/>
          </w:tcPr>
          <w:p w14:paraId="21BC9895">
            <w:pPr>
              <w:adjustRightInd w:val="0"/>
              <w:snapToGrid w:val="0"/>
              <w:jc w:val="center"/>
              <w:rPr>
                <w:sz w:val="22"/>
              </w:rPr>
            </w:pPr>
          </w:p>
        </w:tc>
        <w:tc>
          <w:tcPr>
            <w:tcW w:w="1421" w:type="dxa"/>
            <w:vMerge w:val="continue"/>
            <w:vAlign w:val="center"/>
          </w:tcPr>
          <w:p w14:paraId="5B366046">
            <w:pPr>
              <w:adjustRightInd w:val="0"/>
              <w:snapToGrid w:val="0"/>
              <w:jc w:val="center"/>
              <w:rPr>
                <w:sz w:val="22"/>
              </w:rPr>
            </w:pPr>
          </w:p>
        </w:tc>
        <w:tc>
          <w:tcPr>
            <w:tcW w:w="3910" w:type="dxa"/>
            <w:vMerge w:val="continue"/>
            <w:vAlign w:val="center"/>
          </w:tcPr>
          <w:p w14:paraId="50183698">
            <w:pPr>
              <w:adjustRightInd w:val="0"/>
              <w:snapToGrid w:val="0"/>
              <w:jc w:val="center"/>
              <w:rPr>
                <w:sz w:val="22"/>
              </w:rPr>
            </w:pPr>
          </w:p>
        </w:tc>
        <w:tc>
          <w:tcPr>
            <w:tcW w:w="1191" w:type="dxa"/>
            <w:vMerge w:val="continue"/>
            <w:vAlign w:val="center"/>
          </w:tcPr>
          <w:p w14:paraId="4BF344E7">
            <w:pPr>
              <w:adjustRightInd w:val="0"/>
              <w:snapToGrid w:val="0"/>
              <w:jc w:val="center"/>
              <w:rPr>
                <w:sz w:val="22"/>
              </w:rPr>
            </w:pPr>
          </w:p>
        </w:tc>
      </w:tr>
      <w:tr w14:paraId="09CE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 w:hRule="atLeast"/>
          <w:jc w:val="center"/>
        </w:trPr>
        <w:tc>
          <w:tcPr>
            <w:tcW w:w="13559" w:type="dxa"/>
            <w:gridSpan w:val="8"/>
            <w:vAlign w:val="center"/>
          </w:tcPr>
          <w:p w14:paraId="7E04661F">
            <w:pPr>
              <w:adjustRightInd w:val="0"/>
              <w:snapToGrid w:val="0"/>
              <w:jc w:val="center"/>
              <w:rPr>
                <w:sz w:val="22"/>
              </w:rPr>
            </w:pPr>
            <w:r>
              <w:rPr>
                <w:spacing w:val="-2"/>
                <w:sz w:val="22"/>
              </w:rPr>
              <w:t>0~5</w:t>
            </w:r>
            <w:r>
              <w:rPr>
                <w:spacing w:val="-1"/>
                <w:sz w:val="22"/>
              </w:rPr>
              <w:t>00</w:t>
            </w:r>
            <w:r>
              <w:rPr>
                <w:spacing w:val="-2"/>
                <w:sz w:val="22"/>
              </w:rPr>
              <w:t>m范围</w:t>
            </w:r>
          </w:p>
        </w:tc>
      </w:tr>
      <w:tr w14:paraId="6829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56AB71E0">
            <w:pPr>
              <w:adjustRightInd w:val="0"/>
              <w:snapToGrid w:val="0"/>
              <w:jc w:val="center"/>
              <w:rPr>
                <w:snapToGrid w:val="0"/>
                <w:kern w:val="0"/>
                <w:sz w:val="22"/>
              </w:rPr>
            </w:pPr>
            <w:r>
              <w:rPr>
                <w:sz w:val="22"/>
              </w:rPr>
              <w:t>1</w:t>
            </w:r>
          </w:p>
        </w:tc>
        <w:tc>
          <w:tcPr>
            <w:tcW w:w="1698" w:type="dxa"/>
            <w:vAlign w:val="center"/>
          </w:tcPr>
          <w:p w14:paraId="0A3C7C57">
            <w:pPr>
              <w:pStyle w:val="687"/>
            </w:pPr>
            <w:r>
              <w:rPr>
                <w:rFonts w:hint="eastAsia"/>
              </w:rPr>
              <w:t>635412.4</w:t>
            </w:r>
          </w:p>
        </w:tc>
        <w:tc>
          <w:tcPr>
            <w:tcW w:w="2058" w:type="dxa"/>
            <w:vAlign w:val="center"/>
          </w:tcPr>
          <w:p w14:paraId="4D7AC08A">
            <w:pPr>
              <w:pStyle w:val="687"/>
            </w:pPr>
            <w:r>
              <w:rPr>
                <w:rFonts w:hint="eastAsia"/>
              </w:rPr>
              <w:t>3519288.8</w:t>
            </w:r>
          </w:p>
        </w:tc>
        <w:tc>
          <w:tcPr>
            <w:tcW w:w="1763" w:type="dxa"/>
            <w:vAlign w:val="center"/>
          </w:tcPr>
          <w:p w14:paraId="79394B0A">
            <w:pPr>
              <w:adjustRightInd w:val="0"/>
              <w:snapToGrid w:val="0"/>
              <w:jc w:val="center"/>
              <w:rPr>
                <w:snapToGrid w:val="0"/>
                <w:kern w:val="0"/>
                <w:sz w:val="22"/>
              </w:rPr>
            </w:pPr>
            <w:r>
              <w:rPr>
                <w:sz w:val="22"/>
              </w:rPr>
              <w:t>1#居民点</w:t>
            </w:r>
          </w:p>
        </w:tc>
        <w:tc>
          <w:tcPr>
            <w:tcW w:w="873" w:type="dxa"/>
            <w:vAlign w:val="center"/>
          </w:tcPr>
          <w:p w14:paraId="2600C7D4">
            <w:pPr>
              <w:adjustRightInd w:val="0"/>
              <w:snapToGrid w:val="0"/>
              <w:jc w:val="center"/>
              <w:rPr>
                <w:snapToGrid w:val="0"/>
                <w:kern w:val="0"/>
                <w:sz w:val="22"/>
              </w:rPr>
            </w:pPr>
            <w:r>
              <w:rPr>
                <w:rFonts w:hint="eastAsia"/>
                <w:snapToGrid w:val="0"/>
                <w:kern w:val="0"/>
                <w:sz w:val="22"/>
              </w:rPr>
              <w:t>S</w:t>
            </w:r>
          </w:p>
        </w:tc>
        <w:tc>
          <w:tcPr>
            <w:tcW w:w="1421" w:type="dxa"/>
            <w:vAlign w:val="center"/>
          </w:tcPr>
          <w:p w14:paraId="06FED9F9">
            <w:pPr>
              <w:adjustRightInd w:val="0"/>
              <w:snapToGrid w:val="0"/>
              <w:jc w:val="center"/>
              <w:rPr>
                <w:snapToGrid w:val="0"/>
                <w:kern w:val="0"/>
                <w:sz w:val="22"/>
              </w:rPr>
            </w:pPr>
            <w:r>
              <w:rPr>
                <w:rFonts w:hint="eastAsia"/>
                <w:snapToGrid w:val="0"/>
                <w:kern w:val="0"/>
                <w:sz w:val="22"/>
              </w:rPr>
              <w:t>1</w:t>
            </w:r>
            <w:r>
              <w:rPr>
                <w:snapToGrid w:val="0"/>
                <w:kern w:val="0"/>
                <w:sz w:val="22"/>
              </w:rPr>
              <w:t>25</w:t>
            </w:r>
          </w:p>
        </w:tc>
        <w:tc>
          <w:tcPr>
            <w:tcW w:w="3910" w:type="dxa"/>
            <w:vAlign w:val="center"/>
          </w:tcPr>
          <w:p w14:paraId="79FCE3A5">
            <w:pPr>
              <w:adjustRightInd w:val="0"/>
              <w:snapToGrid w:val="0"/>
              <w:jc w:val="center"/>
              <w:rPr>
                <w:snapToGrid w:val="0"/>
                <w:kern w:val="0"/>
                <w:sz w:val="22"/>
              </w:rPr>
            </w:pPr>
            <w:r>
              <w:rPr>
                <w:sz w:val="22"/>
              </w:rPr>
              <w:t>分散居民7户约21人，1~2F砖瓦房</w:t>
            </w:r>
          </w:p>
        </w:tc>
        <w:tc>
          <w:tcPr>
            <w:tcW w:w="1191" w:type="dxa"/>
            <w:vMerge w:val="restart"/>
            <w:vAlign w:val="center"/>
          </w:tcPr>
          <w:p w14:paraId="75B62800">
            <w:pPr>
              <w:adjustRightInd w:val="0"/>
              <w:snapToGrid w:val="0"/>
              <w:jc w:val="center"/>
              <w:rPr>
                <w:snapToGrid w:val="0"/>
                <w:kern w:val="0"/>
                <w:sz w:val="22"/>
              </w:rPr>
            </w:pPr>
            <w:r>
              <w:rPr>
                <w:sz w:val="22"/>
              </w:rPr>
              <w:t>二类</w:t>
            </w:r>
          </w:p>
        </w:tc>
      </w:tr>
      <w:tr w14:paraId="5449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1A38DD36">
            <w:pPr>
              <w:adjustRightInd w:val="0"/>
              <w:snapToGrid w:val="0"/>
              <w:jc w:val="center"/>
              <w:rPr>
                <w:sz w:val="22"/>
              </w:rPr>
            </w:pPr>
            <w:r>
              <w:rPr>
                <w:sz w:val="22"/>
              </w:rPr>
              <w:t>2</w:t>
            </w:r>
          </w:p>
        </w:tc>
        <w:tc>
          <w:tcPr>
            <w:tcW w:w="1698" w:type="dxa"/>
            <w:vAlign w:val="center"/>
          </w:tcPr>
          <w:p w14:paraId="128B2A5A">
            <w:pPr>
              <w:pStyle w:val="687"/>
            </w:pPr>
            <w:r>
              <w:rPr>
                <w:rFonts w:hint="eastAsia"/>
              </w:rPr>
              <w:t>635604.8</w:t>
            </w:r>
          </w:p>
        </w:tc>
        <w:tc>
          <w:tcPr>
            <w:tcW w:w="2058" w:type="dxa"/>
            <w:vAlign w:val="center"/>
          </w:tcPr>
          <w:p w14:paraId="7FE467FA">
            <w:pPr>
              <w:pStyle w:val="687"/>
            </w:pPr>
            <w:r>
              <w:rPr>
                <w:rFonts w:hint="eastAsia"/>
              </w:rPr>
              <w:t>3519361.2</w:t>
            </w:r>
          </w:p>
        </w:tc>
        <w:tc>
          <w:tcPr>
            <w:tcW w:w="1763" w:type="dxa"/>
            <w:vAlign w:val="center"/>
          </w:tcPr>
          <w:p w14:paraId="7875E53E">
            <w:pPr>
              <w:adjustRightInd w:val="0"/>
              <w:snapToGrid w:val="0"/>
              <w:jc w:val="center"/>
              <w:rPr>
                <w:sz w:val="22"/>
              </w:rPr>
            </w:pPr>
            <w:r>
              <w:rPr>
                <w:sz w:val="22"/>
              </w:rPr>
              <w:t>2#居民点</w:t>
            </w:r>
          </w:p>
        </w:tc>
        <w:tc>
          <w:tcPr>
            <w:tcW w:w="873" w:type="dxa"/>
            <w:vAlign w:val="center"/>
          </w:tcPr>
          <w:p w14:paraId="5DE86C70">
            <w:pPr>
              <w:adjustRightInd w:val="0"/>
              <w:snapToGrid w:val="0"/>
              <w:jc w:val="center"/>
              <w:rPr>
                <w:sz w:val="22"/>
              </w:rPr>
            </w:pPr>
            <w:r>
              <w:rPr>
                <w:rFonts w:hint="eastAsia"/>
                <w:sz w:val="22"/>
              </w:rPr>
              <w:t>S</w:t>
            </w:r>
            <w:r>
              <w:rPr>
                <w:sz w:val="22"/>
              </w:rPr>
              <w:t>E</w:t>
            </w:r>
          </w:p>
        </w:tc>
        <w:tc>
          <w:tcPr>
            <w:tcW w:w="1421" w:type="dxa"/>
            <w:vAlign w:val="center"/>
          </w:tcPr>
          <w:p w14:paraId="3894FAB3">
            <w:pPr>
              <w:adjustRightInd w:val="0"/>
              <w:snapToGrid w:val="0"/>
              <w:jc w:val="center"/>
              <w:rPr>
                <w:snapToGrid w:val="0"/>
                <w:kern w:val="0"/>
                <w:sz w:val="22"/>
              </w:rPr>
            </w:pPr>
            <w:r>
              <w:rPr>
                <w:rFonts w:hint="eastAsia"/>
                <w:snapToGrid w:val="0"/>
                <w:kern w:val="0"/>
                <w:sz w:val="22"/>
              </w:rPr>
              <w:t>1</w:t>
            </w:r>
            <w:r>
              <w:rPr>
                <w:snapToGrid w:val="0"/>
                <w:kern w:val="0"/>
                <w:sz w:val="22"/>
              </w:rPr>
              <w:t>82</w:t>
            </w:r>
          </w:p>
        </w:tc>
        <w:tc>
          <w:tcPr>
            <w:tcW w:w="3910" w:type="dxa"/>
            <w:vAlign w:val="center"/>
          </w:tcPr>
          <w:p w14:paraId="46628217">
            <w:pPr>
              <w:adjustRightInd w:val="0"/>
              <w:snapToGrid w:val="0"/>
              <w:jc w:val="center"/>
              <w:rPr>
                <w:sz w:val="22"/>
              </w:rPr>
            </w:pPr>
            <w:r>
              <w:rPr>
                <w:sz w:val="22"/>
              </w:rPr>
              <w:t>分散居民1户</w:t>
            </w:r>
            <w:r>
              <w:rPr>
                <w:rFonts w:hint="eastAsia"/>
                <w:sz w:val="22"/>
              </w:rPr>
              <w:t>3</w:t>
            </w:r>
            <w:r>
              <w:rPr>
                <w:sz w:val="22"/>
              </w:rPr>
              <w:t>人，2F砖瓦房</w:t>
            </w:r>
          </w:p>
        </w:tc>
        <w:tc>
          <w:tcPr>
            <w:tcW w:w="1191" w:type="dxa"/>
            <w:vMerge w:val="continue"/>
            <w:vAlign w:val="center"/>
          </w:tcPr>
          <w:p w14:paraId="4C2576C2">
            <w:pPr>
              <w:adjustRightInd w:val="0"/>
              <w:snapToGrid w:val="0"/>
              <w:jc w:val="center"/>
              <w:rPr>
                <w:sz w:val="22"/>
              </w:rPr>
            </w:pPr>
          </w:p>
        </w:tc>
      </w:tr>
      <w:tr w14:paraId="5F2D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30029EA8">
            <w:pPr>
              <w:adjustRightInd w:val="0"/>
              <w:snapToGrid w:val="0"/>
              <w:jc w:val="center"/>
              <w:rPr>
                <w:snapToGrid w:val="0"/>
                <w:kern w:val="0"/>
                <w:sz w:val="22"/>
              </w:rPr>
            </w:pPr>
            <w:r>
              <w:rPr>
                <w:sz w:val="22"/>
              </w:rPr>
              <w:t>3</w:t>
            </w:r>
          </w:p>
        </w:tc>
        <w:tc>
          <w:tcPr>
            <w:tcW w:w="1698" w:type="dxa"/>
            <w:vAlign w:val="center"/>
          </w:tcPr>
          <w:p w14:paraId="6F8D60CE">
            <w:pPr>
              <w:pStyle w:val="687"/>
            </w:pPr>
            <w:r>
              <w:rPr>
                <w:rFonts w:hint="eastAsia"/>
              </w:rPr>
              <w:t>635464.3</w:t>
            </w:r>
          </w:p>
        </w:tc>
        <w:tc>
          <w:tcPr>
            <w:tcW w:w="2058" w:type="dxa"/>
            <w:vAlign w:val="center"/>
          </w:tcPr>
          <w:p w14:paraId="1DC7AD82">
            <w:pPr>
              <w:pStyle w:val="687"/>
            </w:pPr>
            <w:r>
              <w:rPr>
                <w:rFonts w:hint="eastAsia"/>
              </w:rPr>
              <w:t>3519410.0</w:t>
            </w:r>
          </w:p>
        </w:tc>
        <w:tc>
          <w:tcPr>
            <w:tcW w:w="1763" w:type="dxa"/>
            <w:vAlign w:val="center"/>
          </w:tcPr>
          <w:p w14:paraId="105812A5">
            <w:pPr>
              <w:adjustRightInd w:val="0"/>
              <w:snapToGrid w:val="0"/>
              <w:jc w:val="center"/>
              <w:rPr>
                <w:snapToGrid w:val="0"/>
                <w:kern w:val="0"/>
                <w:sz w:val="22"/>
              </w:rPr>
            </w:pPr>
            <w:r>
              <w:rPr>
                <w:snapToGrid w:val="0"/>
                <w:kern w:val="0"/>
                <w:sz w:val="22"/>
              </w:rPr>
              <w:t>3</w:t>
            </w:r>
            <w:r>
              <w:rPr>
                <w:sz w:val="22"/>
              </w:rPr>
              <w:t>#居民点</w:t>
            </w:r>
          </w:p>
        </w:tc>
        <w:tc>
          <w:tcPr>
            <w:tcW w:w="873" w:type="dxa"/>
            <w:vAlign w:val="center"/>
          </w:tcPr>
          <w:p w14:paraId="1DD0032F">
            <w:pPr>
              <w:adjustRightInd w:val="0"/>
              <w:snapToGrid w:val="0"/>
              <w:jc w:val="center"/>
              <w:rPr>
                <w:snapToGrid w:val="0"/>
                <w:kern w:val="0"/>
                <w:sz w:val="22"/>
              </w:rPr>
            </w:pPr>
            <w:r>
              <w:rPr>
                <w:rFonts w:hint="eastAsia"/>
                <w:snapToGrid w:val="0"/>
                <w:kern w:val="0"/>
                <w:sz w:val="22"/>
              </w:rPr>
              <w:t>E</w:t>
            </w:r>
          </w:p>
        </w:tc>
        <w:tc>
          <w:tcPr>
            <w:tcW w:w="1421" w:type="dxa"/>
            <w:vAlign w:val="center"/>
          </w:tcPr>
          <w:p w14:paraId="5016E13D">
            <w:pPr>
              <w:adjustRightInd w:val="0"/>
              <w:snapToGrid w:val="0"/>
              <w:jc w:val="center"/>
              <w:rPr>
                <w:snapToGrid w:val="0"/>
                <w:kern w:val="0"/>
                <w:sz w:val="22"/>
              </w:rPr>
            </w:pPr>
            <w:r>
              <w:rPr>
                <w:rFonts w:hint="eastAsia"/>
                <w:snapToGrid w:val="0"/>
                <w:kern w:val="0"/>
                <w:sz w:val="22"/>
              </w:rPr>
              <w:t>7</w:t>
            </w:r>
            <w:r>
              <w:rPr>
                <w:snapToGrid w:val="0"/>
                <w:kern w:val="0"/>
                <w:sz w:val="22"/>
              </w:rPr>
              <w:t>0</w:t>
            </w:r>
          </w:p>
        </w:tc>
        <w:tc>
          <w:tcPr>
            <w:tcW w:w="3910" w:type="dxa"/>
            <w:vAlign w:val="center"/>
          </w:tcPr>
          <w:p w14:paraId="18CBBFB9">
            <w:pPr>
              <w:adjustRightInd w:val="0"/>
              <w:snapToGrid w:val="0"/>
              <w:jc w:val="center"/>
              <w:rPr>
                <w:snapToGrid w:val="0"/>
                <w:kern w:val="0"/>
                <w:sz w:val="22"/>
              </w:rPr>
            </w:pPr>
            <w:r>
              <w:rPr>
                <w:sz w:val="22"/>
              </w:rPr>
              <w:t>分散居民7户约21人，1~2F砖瓦房</w:t>
            </w:r>
          </w:p>
        </w:tc>
        <w:tc>
          <w:tcPr>
            <w:tcW w:w="1191" w:type="dxa"/>
            <w:vMerge w:val="continue"/>
            <w:vAlign w:val="center"/>
          </w:tcPr>
          <w:p w14:paraId="5B86D886">
            <w:pPr>
              <w:adjustRightInd w:val="0"/>
              <w:snapToGrid w:val="0"/>
              <w:jc w:val="center"/>
              <w:rPr>
                <w:snapToGrid w:val="0"/>
                <w:kern w:val="0"/>
                <w:sz w:val="22"/>
              </w:rPr>
            </w:pPr>
          </w:p>
        </w:tc>
      </w:tr>
      <w:tr w14:paraId="4ED0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 w:hRule="atLeast"/>
          <w:jc w:val="center"/>
        </w:trPr>
        <w:tc>
          <w:tcPr>
            <w:tcW w:w="645" w:type="dxa"/>
            <w:vAlign w:val="center"/>
          </w:tcPr>
          <w:p w14:paraId="6D079F5F">
            <w:pPr>
              <w:adjustRightInd w:val="0"/>
              <w:snapToGrid w:val="0"/>
              <w:jc w:val="center"/>
              <w:rPr>
                <w:snapToGrid w:val="0"/>
                <w:kern w:val="0"/>
                <w:sz w:val="22"/>
              </w:rPr>
            </w:pPr>
            <w:r>
              <w:rPr>
                <w:sz w:val="22"/>
              </w:rPr>
              <w:t>4</w:t>
            </w:r>
          </w:p>
        </w:tc>
        <w:tc>
          <w:tcPr>
            <w:tcW w:w="1698" w:type="dxa"/>
            <w:vAlign w:val="center"/>
          </w:tcPr>
          <w:p w14:paraId="5879F9F2">
            <w:pPr>
              <w:pStyle w:val="687"/>
            </w:pPr>
            <w:r>
              <w:rPr>
                <w:rFonts w:hint="eastAsia"/>
              </w:rPr>
              <w:t>635423.1</w:t>
            </w:r>
          </w:p>
        </w:tc>
        <w:tc>
          <w:tcPr>
            <w:tcW w:w="2058" w:type="dxa"/>
            <w:vAlign w:val="center"/>
          </w:tcPr>
          <w:p w14:paraId="5A768B42">
            <w:pPr>
              <w:pStyle w:val="687"/>
            </w:pPr>
            <w:r>
              <w:rPr>
                <w:rFonts w:hint="eastAsia"/>
              </w:rPr>
              <w:t>3519585.6</w:t>
            </w:r>
          </w:p>
        </w:tc>
        <w:tc>
          <w:tcPr>
            <w:tcW w:w="1763" w:type="dxa"/>
            <w:vAlign w:val="center"/>
          </w:tcPr>
          <w:p w14:paraId="10C954B9">
            <w:pPr>
              <w:adjustRightInd w:val="0"/>
              <w:snapToGrid w:val="0"/>
              <w:jc w:val="center"/>
              <w:rPr>
                <w:snapToGrid w:val="0"/>
                <w:kern w:val="0"/>
                <w:sz w:val="22"/>
              </w:rPr>
            </w:pPr>
            <w:r>
              <w:rPr>
                <w:sz w:val="22"/>
              </w:rPr>
              <w:t>4#居民点</w:t>
            </w:r>
          </w:p>
        </w:tc>
        <w:tc>
          <w:tcPr>
            <w:tcW w:w="873" w:type="dxa"/>
            <w:vAlign w:val="center"/>
          </w:tcPr>
          <w:p w14:paraId="16C3E658">
            <w:pPr>
              <w:adjustRightInd w:val="0"/>
              <w:snapToGrid w:val="0"/>
              <w:jc w:val="center"/>
              <w:rPr>
                <w:snapToGrid w:val="0"/>
                <w:kern w:val="0"/>
                <w:sz w:val="22"/>
              </w:rPr>
            </w:pPr>
            <w:r>
              <w:rPr>
                <w:rFonts w:hint="eastAsia"/>
                <w:snapToGrid w:val="0"/>
                <w:kern w:val="0"/>
                <w:sz w:val="22"/>
              </w:rPr>
              <w:t>N</w:t>
            </w:r>
            <w:r>
              <w:rPr>
                <w:snapToGrid w:val="0"/>
                <w:kern w:val="0"/>
                <w:sz w:val="22"/>
              </w:rPr>
              <w:t>E</w:t>
            </w:r>
          </w:p>
        </w:tc>
        <w:tc>
          <w:tcPr>
            <w:tcW w:w="1421" w:type="dxa"/>
            <w:vAlign w:val="center"/>
          </w:tcPr>
          <w:p w14:paraId="74688D17">
            <w:pPr>
              <w:adjustRightInd w:val="0"/>
              <w:snapToGrid w:val="0"/>
              <w:jc w:val="center"/>
              <w:rPr>
                <w:snapToGrid w:val="0"/>
                <w:kern w:val="0"/>
                <w:sz w:val="22"/>
              </w:rPr>
            </w:pPr>
            <w:r>
              <w:rPr>
                <w:rFonts w:hint="eastAsia"/>
                <w:snapToGrid w:val="0"/>
                <w:kern w:val="0"/>
                <w:sz w:val="22"/>
              </w:rPr>
              <w:t>7</w:t>
            </w:r>
            <w:r>
              <w:rPr>
                <w:snapToGrid w:val="0"/>
                <w:kern w:val="0"/>
                <w:sz w:val="22"/>
              </w:rPr>
              <w:t>4</w:t>
            </w:r>
          </w:p>
        </w:tc>
        <w:tc>
          <w:tcPr>
            <w:tcW w:w="3910" w:type="dxa"/>
            <w:vAlign w:val="center"/>
          </w:tcPr>
          <w:p w14:paraId="69F9A45D">
            <w:pPr>
              <w:jc w:val="center"/>
            </w:pPr>
            <w:r>
              <w:rPr>
                <w:sz w:val="22"/>
              </w:rPr>
              <w:t>分散居民4户约12人，1~2F砖瓦房</w:t>
            </w:r>
          </w:p>
        </w:tc>
        <w:tc>
          <w:tcPr>
            <w:tcW w:w="1191" w:type="dxa"/>
            <w:vMerge w:val="continue"/>
            <w:vAlign w:val="center"/>
          </w:tcPr>
          <w:p w14:paraId="29236B1D">
            <w:pPr>
              <w:adjustRightInd w:val="0"/>
              <w:snapToGrid w:val="0"/>
              <w:jc w:val="center"/>
              <w:rPr>
                <w:snapToGrid w:val="0"/>
                <w:kern w:val="0"/>
                <w:sz w:val="22"/>
              </w:rPr>
            </w:pPr>
          </w:p>
        </w:tc>
      </w:tr>
      <w:tr w14:paraId="551E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429AA3D2">
            <w:pPr>
              <w:adjustRightInd w:val="0"/>
              <w:snapToGrid w:val="0"/>
              <w:jc w:val="center"/>
              <w:rPr>
                <w:snapToGrid w:val="0"/>
                <w:kern w:val="0"/>
                <w:sz w:val="22"/>
              </w:rPr>
            </w:pPr>
            <w:r>
              <w:rPr>
                <w:sz w:val="22"/>
              </w:rPr>
              <w:t>5</w:t>
            </w:r>
          </w:p>
        </w:tc>
        <w:tc>
          <w:tcPr>
            <w:tcW w:w="1698" w:type="dxa"/>
            <w:vAlign w:val="center"/>
          </w:tcPr>
          <w:p w14:paraId="418B7439">
            <w:pPr>
              <w:pStyle w:val="687"/>
            </w:pPr>
            <w:r>
              <w:rPr>
                <w:rFonts w:hint="eastAsia"/>
              </w:rPr>
              <w:t>635339.5</w:t>
            </w:r>
          </w:p>
        </w:tc>
        <w:tc>
          <w:tcPr>
            <w:tcW w:w="2058" w:type="dxa"/>
            <w:vAlign w:val="center"/>
          </w:tcPr>
          <w:p w14:paraId="1DF68CBF">
            <w:pPr>
              <w:pStyle w:val="687"/>
            </w:pPr>
            <w:r>
              <w:rPr>
                <w:rFonts w:hint="eastAsia"/>
              </w:rPr>
              <w:t>3519682.1</w:t>
            </w:r>
          </w:p>
        </w:tc>
        <w:tc>
          <w:tcPr>
            <w:tcW w:w="1763" w:type="dxa"/>
            <w:vAlign w:val="center"/>
          </w:tcPr>
          <w:p w14:paraId="16822D4B">
            <w:pPr>
              <w:adjustRightInd w:val="0"/>
              <w:snapToGrid w:val="0"/>
              <w:jc w:val="center"/>
              <w:rPr>
                <w:snapToGrid w:val="0"/>
                <w:kern w:val="0"/>
                <w:sz w:val="22"/>
              </w:rPr>
            </w:pPr>
            <w:r>
              <w:rPr>
                <w:sz w:val="22"/>
              </w:rPr>
              <w:t>5#居民点</w:t>
            </w:r>
          </w:p>
        </w:tc>
        <w:tc>
          <w:tcPr>
            <w:tcW w:w="873" w:type="dxa"/>
            <w:vAlign w:val="center"/>
          </w:tcPr>
          <w:p w14:paraId="1B1048AD">
            <w:pPr>
              <w:adjustRightInd w:val="0"/>
              <w:snapToGrid w:val="0"/>
              <w:jc w:val="center"/>
              <w:rPr>
                <w:snapToGrid w:val="0"/>
                <w:kern w:val="0"/>
                <w:sz w:val="22"/>
              </w:rPr>
            </w:pPr>
            <w:r>
              <w:rPr>
                <w:rFonts w:hint="eastAsia"/>
                <w:snapToGrid w:val="0"/>
                <w:kern w:val="0"/>
                <w:sz w:val="22"/>
              </w:rPr>
              <w:t>N</w:t>
            </w:r>
          </w:p>
        </w:tc>
        <w:tc>
          <w:tcPr>
            <w:tcW w:w="1421" w:type="dxa"/>
            <w:vAlign w:val="center"/>
          </w:tcPr>
          <w:p w14:paraId="5AC0D1B0">
            <w:pPr>
              <w:adjustRightInd w:val="0"/>
              <w:snapToGrid w:val="0"/>
              <w:jc w:val="center"/>
              <w:rPr>
                <w:snapToGrid w:val="0"/>
                <w:kern w:val="0"/>
                <w:sz w:val="22"/>
              </w:rPr>
            </w:pPr>
            <w:r>
              <w:rPr>
                <w:rFonts w:hint="eastAsia"/>
                <w:snapToGrid w:val="0"/>
                <w:kern w:val="0"/>
                <w:sz w:val="22"/>
              </w:rPr>
              <w:t>1</w:t>
            </w:r>
            <w:r>
              <w:rPr>
                <w:snapToGrid w:val="0"/>
                <w:kern w:val="0"/>
                <w:sz w:val="22"/>
              </w:rPr>
              <w:t>14</w:t>
            </w:r>
          </w:p>
        </w:tc>
        <w:tc>
          <w:tcPr>
            <w:tcW w:w="3910" w:type="dxa"/>
            <w:vAlign w:val="center"/>
          </w:tcPr>
          <w:p w14:paraId="323939A9">
            <w:pPr>
              <w:jc w:val="center"/>
            </w:pPr>
            <w:r>
              <w:rPr>
                <w:sz w:val="22"/>
              </w:rPr>
              <w:t>分散居民10户约30人，1~2F砖瓦房</w:t>
            </w:r>
          </w:p>
        </w:tc>
        <w:tc>
          <w:tcPr>
            <w:tcW w:w="1191" w:type="dxa"/>
            <w:vMerge w:val="continue"/>
            <w:vAlign w:val="center"/>
          </w:tcPr>
          <w:p w14:paraId="5865D160">
            <w:pPr>
              <w:adjustRightInd w:val="0"/>
              <w:snapToGrid w:val="0"/>
              <w:jc w:val="center"/>
              <w:rPr>
                <w:snapToGrid w:val="0"/>
                <w:kern w:val="0"/>
                <w:sz w:val="22"/>
              </w:rPr>
            </w:pPr>
          </w:p>
        </w:tc>
      </w:tr>
      <w:tr w14:paraId="0AF0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00BA6897">
            <w:pPr>
              <w:adjustRightInd w:val="0"/>
              <w:snapToGrid w:val="0"/>
              <w:jc w:val="center"/>
              <w:rPr>
                <w:sz w:val="22"/>
              </w:rPr>
            </w:pPr>
            <w:r>
              <w:rPr>
                <w:sz w:val="22"/>
              </w:rPr>
              <w:t>6</w:t>
            </w:r>
          </w:p>
        </w:tc>
        <w:tc>
          <w:tcPr>
            <w:tcW w:w="1698" w:type="dxa"/>
            <w:vAlign w:val="center"/>
          </w:tcPr>
          <w:p w14:paraId="0A4B0927">
            <w:pPr>
              <w:pStyle w:val="687"/>
            </w:pPr>
            <w:r>
              <w:rPr>
                <w:rFonts w:hint="eastAsia"/>
              </w:rPr>
              <w:t>635682.2</w:t>
            </w:r>
          </w:p>
        </w:tc>
        <w:tc>
          <w:tcPr>
            <w:tcW w:w="2058" w:type="dxa"/>
            <w:vAlign w:val="center"/>
          </w:tcPr>
          <w:p w14:paraId="7BAADBA8">
            <w:pPr>
              <w:pStyle w:val="687"/>
            </w:pPr>
            <w:r>
              <w:rPr>
                <w:rFonts w:hint="eastAsia"/>
              </w:rPr>
              <w:t>3519651.0</w:t>
            </w:r>
          </w:p>
        </w:tc>
        <w:tc>
          <w:tcPr>
            <w:tcW w:w="1763" w:type="dxa"/>
            <w:vAlign w:val="center"/>
          </w:tcPr>
          <w:p w14:paraId="64B9B41A">
            <w:pPr>
              <w:adjustRightInd w:val="0"/>
              <w:snapToGrid w:val="0"/>
              <w:jc w:val="center"/>
              <w:rPr>
                <w:sz w:val="22"/>
              </w:rPr>
            </w:pPr>
            <w:r>
              <w:rPr>
                <w:sz w:val="22"/>
              </w:rPr>
              <w:t>6#居民点</w:t>
            </w:r>
          </w:p>
        </w:tc>
        <w:tc>
          <w:tcPr>
            <w:tcW w:w="873" w:type="dxa"/>
            <w:vAlign w:val="center"/>
          </w:tcPr>
          <w:p w14:paraId="433F399D">
            <w:pPr>
              <w:adjustRightInd w:val="0"/>
              <w:snapToGrid w:val="0"/>
              <w:jc w:val="center"/>
              <w:rPr>
                <w:snapToGrid w:val="0"/>
                <w:kern w:val="0"/>
                <w:sz w:val="22"/>
              </w:rPr>
            </w:pPr>
            <w:r>
              <w:rPr>
                <w:rFonts w:hint="eastAsia"/>
                <w:snapToGrid w:val="0"/>
                <w:kern w:val="0"/>
                <w:sz w:val="22"/>
              </w:rPr>
              <w:t>N</w:t>
            </w:r>
            <w:r>
              <w:rPr>
                <w:snapToGrid w:val="0"/>
                <w:kern w:val="0"/>
                <w:sz w:val="22"/>
              </w:rPr>
              <w:t>E</w:t>
            </w:r>
          </w:p>
        </w:tc>
        <w:tc>
          <w:tcPr>
            <w:tcW w:w="1421" w:type="dxa"/>
            <w:vAlign w:val="center"/>
          </w:tcPr>
          <w:p w14:paraId="6B9212A6">
            <w:pPr>
              <w:adjustRightInd w:val="0"/>
              <w:snapToGrid w:val="0"/>
              <w:jc w:val="center"/>
              <w:rPr>
                <w:snapToGrid w:val="0"/>
                <w:kern w:val="0"/>
                <w:sz w:val="22"/>
              </w:rPr>
            </w:pPr>
            <w:r>
              <w:rPr>
                <w:rFonts w:hint="eastAsia"/>
                <w:snapToGrid w:val="0"/>
                <w:kern w:val="0"/>
                <w:sz w:val="22"/>
              </w:rPr>
              <w:t>3</w:t>
            </w:r>
            <w:r>
              <w:rPr>
                <w:snapToGrid w:val="0"/>
                <w:kern w:val="0"/>
                <w:sz w:val="22"/>
              </w:rPr>
              <w:t>24</w:t>
            </w:r>
          </w:p>
        </w:tc>
        <w:tc>
          <w:tcPr>
            <w:tcW w:w="3910" w:type="dxa"/>
            <w:vAlign w:val="center"/>
          </w:tcPr>
          <w:p w14:paraId="5DE2699B">
            <w:pPr>
              <w:jc w:val="center"/>
            </w:pPr>
            <w:r>
              <w:rPr>
                <w:sz w:val="22"/>
              </w:rPr>
              <w:t>分散居民1户</w:t>
            </w:r>
            <w:r>
              <w:rPr>
                <w:rFonts w:hint="eastAsia"/>
                <w:sz w:val="22"/>
              </w:rPr>
              <w:t>3</w:t>
            </w:r>
            <w:r>
              <w:rPr>
                <w:sz w:val="22"/>
              </w:rPr>
              <w:t>人，2F砖瓦房</w:t>
            </w:r>
          </w:p>
        </w:tc>
        <w:tc>
          <w:tcPr>
            <w:tcW w:w="1191" w:type="dxa"/>
            <w:vMerge w:val="continue"/>
            <w:vAlign w:val="center"/>
          </w:tcPr>
          <w:p w14:paraId="51FA5086">
            <w:pPr>
              <w:adjustRightInd w:val="0"/>
              <w:snapToGrid w:val="0"/>
              <w:jc w:val="center"/>
              <w:rPr>
                <w:snapToGrid w:val="0"/>
                <w:kern w:val="0"/>
                <w:sz w:val="22"/>
              </w:rPr>
            </w:pPr>
          </w:p>
        </w:tc>
      </w:tr>
      <w:tr w14:paraId="5FAB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36A78799">
            <w:pPr>
              <w:adjustRightInd w:val="0"/>
              <w:snapToGrid w:val="0"/>
              <w:jc w:val="center"/>
              <w:rPr>
                <w:snapToGrid w:val="0"/>
                <w:kern w:val="0"/>
                <w:sz w:val="22"/>
              </w:rPr>
            </w:pPr>
            <w:r>
              <w:rPr>
                <w:sz w:val="22"/>
              </w:rPr>
              <w:t>7</w:t>
            </w:r>
          </w:p>
        </w:tc>
        <w:tc>
          <w:tcPr>
            <w:tcW w:w="1698" w:type="dxa"/>
            <w:vAlign w:val="center"/>
          </w:tcPr>
          <w:p w14:paraId="5409C89B">
            <w:pPr>
              <w:pStyle w:val="687"/>
            </w:pPr>
            <w:r>
              <w:rPr>
                <w:rFonts w:hint="eastAsia"/>
              </w:rPr>
              <w:t>635366.2</w:t>
            </w:r>
          </w:p>
        </w:tc>
        <w:tc>
          <w:tcPr>
            <w:tcW w:w="2058" w:type="dxa"/>
            <w:vAlign w:val="center"/>
          </w:tcPr>
          <w:p w14:paraId="1661BBDA">
            <w:pPr>
              <w:pStyle w:val="687"/>
            </w:pPr>
            <w:r>
              <w:rPr>
                <w:rFonts w:hint="eastAsia"/>
              </w:rPr>
              <w:t>3519836.0</w:t>
            </w:r>
          </w:p>
        </w:tc>
        <w:tc>
          <w:tcPr>
            <w:tcW w:w="1763" w:type="dxa"/>
            <w:vAlign w:val="center"/>
          </w:tcPr>
          <w:p w14:paraId="3E704FFF">
            <w:pPr>
              <w:adjustRightInd w:val="0"/>
              <w:snapToGrid w:val="0"/>
              <w:jc w:val="center"/>
              <w:rPr>
                <w:snapToGrid w:val="0"/>
                <w:kern w:val="0"/>
                <w:sz w:val="22"/>
              </w:rPr>
            </w:pPr>
            <w:r>
              <w:rPr>
                <w:sz w:val="22"/>
              </w:rPr>
              <w:t>7#居民点</w:t>
            </w:r>
          </w:p>
        </w:tc>
        <w:tc>
          <w:tcPr>
            <w:tcW w:w="873" w:type="dxa"/>
            <w:vAlign w:val="center"/>
          </w:tcPr>
          <w:p w14:paraId="75B9AD25">
            <w:pPr>
              <w:adjustRightInd w:val="0"/>
              <w:snapToGrid w:val="0"/>
              <w:jc w:val="center"/>
              <w:rPr>
                <w:snapToGrid w:val="0"/>
                <w:kern w:val="0"/>
                <w:sz w:val="22"/>
              </w:rPr>
            </w:pPr>
            <w:r>
              <w:rPr>
                <w:rFonts w:hint="eastAsia"/>
                <w:snapToGrid w:val="0"/>
                <w:kern w:val="0"/>
                <w:sz w:val="22"/>
              </w:rPr>
              <w:t>N</w:t>
            </w:r>
          </w:p>
        </w:tc>
        <w:tc>
          <w:tcPr>
            <w:tcW w:w="1421" w:type="dxa"/>
            <w:vAlign w:val="center"/>
          </w:tcPr>
          <w:p w14:paraId="6F345787">
            <w:pPr>
              <w:adjustRightInd w:val="0"/>
              <w:snapToGrid w:val="0"/>
              <w:jc w:val="center"/>
              <w:rPr>
                <w:snapToGrid w:val="0"/>
                <w:kern w:val="0"/>
                <w:sz w:val="22"/>
              </w:rPr>
            </w:pPr>
            <w:r>
              <w:rPr>
                <w:rFonts w:hint="eastAsia"/>
                <w:snapToGrid w:val="0"/>
                <w:kern w:val="0"/>
                <w:sz w:val="22"/>
              </w:rPr>
              <w:t>2</w:t>
            </w:r>
            <w:r>
              <w:rPr>
                <w:snapToGrid w:val="0"/>
                <w:kern w:val="0"/>
                <w:sz w:val="22"/>
              </w:rPr>
              <w:t>72</w:t>
            </w:r>
          </w:p>
        </w:tc>
        <w:tc>
          <w:tcPr>
            <w:tcW w:w="3910" w:type="dxa"/>
            <w:vAlign w:val="center"/>
          </w:tcPr>
          <w:p w14:paraId="460ED63F">
            <w:pPr>
              <w:jc w:val="center"/>
            </w:pPr>
            <w:r>
              <w:rPr>
                <w:sz w:val="22"/>
              </w:rPr>
              <w:t>分散居民9户约27人，1~2F砖瓦房</w:t>
            </w:r>
          </w:p>
        </w:tc>
        <w:tc>
          <w:tcPr>
            <w:tcW w:w="1191" w:type="dxa"/>
            <w:vMerge w:val="continue"/>
            <w:vAlign w:val="center"/>
          </w:tcPr>
          <w:p w14:paraId="423E00A2">
            <w:pPr>
              <w:adjustRightInd w:val="0"/>
              <w:snapToGrid w:val="0"/>
              <w:jc w:val="center"/>
              <w:rPr>
                <w:snapToGrid w:val="0"/>
                <w:kern w:val="0"/>
                <w:sz w:val="22"/>
              </w:rPr>
            </w:pPr>
          </w:p>
        </w:tc>
      </w:tr>
      <w:tr w14:paraId="0523E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440C0CB9">
            <w:pPr>
              <w:adjustRightInd w:val="0"/>
              <w:snapToGrid w:val="0"/>
              <w:jc w:val="center"/>
              <w:rPr>
                <w:snapToGrid w:val="0"/>
                <w:kern w:val="0"/>
                <w:sz w:val="22"/>
              </w:rPr>
            </w:pPr>
            <w:r>
              <w:rPr>
                <w:sz w:val="22"/>
              </w:rPr>
              <w:t>8</w:t>
            </w:r>
          </w:p>
        </w:tc>
        <w:tc>
          <w:tcPr>
            <w:tcW w:w="1698" w:type="dxa"/>
            <w:vAlign w:val="center"/>
          </w:tcPr>
          <w:p w14:paraId="1D50E156">
            <w:pPr>
              <w:pStyle w:val="687"/>
            </w:pPr>
            <w:r>
              <w:rPr>
                <w:rFonts w:hint="eastAsia"/>
              </w:rPr>
              <w:t>635040.3</w:t>
            </w:r>
          </w:p>
        </w:tc>
        <w:tc>
          <w:tcPr>
            <w:tcW w:w="2058" w:type="dxa"/>
            <w:vAlign w:val="center"/>
          </w:tcPr>
          <w:p w14:paraId="42E168B3">
            <w:pPr>
              <w:pStyle w:val="687"/>
            </w:pPr>
            <w:r>
              <w:rPr>
                <w:rFonts w:hint="eastAsia"/>
              </w:rPr>
              <w:t>3519929.4</w:t>
            </w:r>
          </w:p>
        </w:tc>
        <w:tc>
          <w:tcPr>
            <w:tcW w:w="1763" w:type="dxa"/>
            <w:vAlign w:val="center"/>
          </w:tcPr>
          <w:p w14:paraId="5C7A674E">
            <w:pPr>
              <w:adjustRightInd w:val="0"/>
              <w:snapToGrid w:val="0"/>
              <w:jc w:val="center"/>
              <w:rPr>
                <w:sz w:val="22"/>
              </w:rPr>
            </w:pPr>
            <w:r>
              <w:rPr>
                <w:sz w:val="22"/>
              </w:rPr>
              <w:t>8#居民点</w:t>
            </w:r>
          </w:p>
        </w:tc>
        <w:tc>
          <w:tcPr>
            <w:tcW w:w="873" w:type="dxa"/>
            <w:vAlign w:val="center"/>
          </w:tcPr>
          <w:p w14:paraId="5ED9F1BA">
            <w:pPr>
              <w:adjustRightInd w:val="0"/>
              <w:snapToGrid w:val="0"/>
              <w:jc w:val="center"/>
              <w:rPr>
                <w:snapToGrid w:val="0"/>
                <w:kern w:val="0"/>
                <w:sz w:val="22"/>
              </w:rPr>
            </w:pPr>
            <w:r>
              <w:rPr>
                <w:rFonts w:hint="eastAsia"/>
                <w:snapToGrid w:val="0"/>
                <w:kern w:val="0"/>
                <w:sz w:val="22"/>
              </w:rPr>
              <w:t>N</w:t>
            </w:r>
            <w:r>
              <w:rPr>
                <w:snapToGrid w:val="0"/>
                <w:kern w:val="0"/>
                <w:sz w:val="22"/>
              </w:rPr>
              <w:t>W</w:t>
            </w:r>
          </w:p>
        </w:tc>
        <w:tc>
          <w:tcPr>
            <w:tcW w:w="1421" w:type="dxa"/>
            <w:vAlign w:val="center"/>
          </w:tcPr>
          <w:p w14:paraId="6A1B56F7">
            <w:pPr>
              <w:adjustRightInd w:val="0"/>
              <w:snapToGrid w:val="0"/>
              <w:jc w:val="center"/>
              <w:rPr>
                <w:snapToGrid w:val="0"/>
                <w:kern w:val="0"/>
                <w:sz w:val="22"/>
              </w:rPr>
            </w:pPr>
            <w:r>
              <w:rPr>
                <w:rFonts w:hint="eastAsia"/>
                <w:snapToGrid w:val="0"/>
                <w:kern w:val="0"/>
                <w:sz w:val="22"/>
              </w:rPr>
              <w:t>4</w:t>
            </w:r>
            <w:r>
              <w:rPr>
                <w:snapToGrid w:val="0"/>
                <w:kern w:val="0"/>
                <w:sz w:val="22"/>
              </w:rPr>
              <w:t>54</w:t>
            </w:r>
          </w:p>
        </w:tc>
        <w:tc>
          <w:tcPr>
            <w:tcW w:w="3910" w:type="dxa"/>
            <w:vAlign w:val="center"/>
          </w:tcPr>
          <w:p w14:paraId="35E43F3C">
            <w:pPr>
              <w:jc w:val="center"/>
              <w:rPr>
                <w:sz w:val="22"/>
                <w:szCs w:val="22"/>
              </w:rPr>
            </w:pPr>
            <w:r>
              <w:rPr>
                <w:sz w:val="22"/>
              </w:rPr>
              <w:t>分散居民4户约12人，1~2F砖瓦房</w:t>
            </w:r>
          </w:p>
        </w:tc>
        <w:tc>
          <w:tcPr>
            <w:tcW w:w="1191" w:type="dxa"/>
            <w:vMerge w:val="continue"/>
            <w:vAlign w:val="center"/>
          </w:tcPr>
          <w:p w14:paraId="105AC428">
            <w:pPr>
              <w:adjustRightInd w:val="0"/>
              <w:snapToGrid w:val="0"/>
              <w:jc w:val="center"/>
              <w:rPr>
                <w:snapToGrid w:val="0"/>
                <w:kern w:val="0"/>
                <w:sz w:val="22"/>
              </w:rPr>
            </w:pPr>
          </w:p>
        </w:tc>
      </w:tr>
      <w:tr w14:paraId="7943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4C66F5F8">
            <w:pPr>
              <w:adjustRightInd w:val="0"/>
              <w:snapToGrid w:val="0"/>
              <w:jc w:val="center"/>
              <w:rPr>
                <w:snapToGrid w:val="0"/>
                <w:kern w:val="0"/>
                <w:sz w:val="22"/>
              </w:rPr>
            </w:pPr>
            <w:r>
              <w:rPr>
                <w:snapToGrid w:val="0"/>
                <w:kern w:val="0"/>
                <w:sz w:val="22"/>
              </w:rPr>
              <w:t>9</w:t>
            </w:r>
          </w:p>
        </w:tc>
        <w:tc>
          <w:tcPr>
            <w:tcW w:w="1698" w:type="dxa"/>
            <w:vAlign w:val="center"/>
          </w:tcPr>
          <w:p w14:paraId="24F70289">
            <w:pPr>
              <w:pStyle w:val="687"/>
            </w:pPr>
            <w:r>
              <w:rPr>
                <w:rFonts w:hint="eastAsia"/>
              </w:rPr>
              <w:t>634957.7</w:t>
            </w:r>
          </w:p>
        </w:tc>
        <w:tc>
          <w:tcPr>
            <w:tcW w:w="2058" w:type="dxa"/>
            <w:vAlign w:val="center"/>
          </w:tcPr>
          <w:p w14:paraId="33291AA3">
            <w:pPr>
              <w:pStyle w:val="687"/>
            </w:pPr>
            <w:r>
              <w:rPr>
                <w:rFonts w:hint="eastAsia"/>
              </w:rPr>
              <w:t>3519562.9</w:t>
            </w:r>
          </w:p>
        </w:tc>
        <w:tc>
          <w:tcPr>
            <w:tcW w:w="1763" w:type="dxa"/>
            <w:vAlign w:val="center"/>
          </w:tcPr>
          <w:p w14:paraId="4AEFA306">
            <w:pPr>
              <w:adjustRightInd w:val="0"/>
              <w:snapToGrid w:val="0"/>
              <w:jc w:val="center"/>
              <w:rPr>
                <w:sz w:val="22"/>
              </w:rPr>
            </w:pPr>
            <w:r>
              <w:rPr>
                <w:sz w:val="22"/>
              </w:rPr>
              <w:t>9#居民点</w:t>
            </w:r>
          </w:p>
        </w:tc>
        <w:tc>
          <w:tcPr>
            <w:tcW w:w="873" w:type="dxa"/>
            <w:vAlign w:val="center"/>
          </w:tcPr>
          <w:p w14:paraId="664E05C7">
            <w:pPr>
              <w:adjustRightInd w:val="0"/>
              <w:snapToGrid w:val="0"/>
              <w:jc w:val="center"/>
              <w:rPr>
                <w:snapToGrid w:val="0"/>
                <w:kern w:val="0"/>
                <w:sz w:val="22"/>
              </w:rPr>
            </w:pPr>
            <w:r>
              <w:rPr>
                <w:rFonts w:hint="eastAsia"/>
                <w:snapToGrid w:val="0"/>
                <w:kern w:val="0"/>
                <w:sz w:val="22"/>
              </w:rPr>
              <w:t>W</w:t>
            </w:r>
          </w:p>
        </w:tc>
        <w:tc>
          <w:tcPr>
            <w:tcW w:w="1421" w:type="dxa"/>
            <w:vAlign w:val="center"/>
          </w:tcPr>
          <w:p w14:paraId="5A409303">
            <w:pPr>
              <w:adjustRightInd w:val="0"/>
              <w:snapToGrid w:val="0"/>
              <w:jc w:val="center"/>
              <w:rPr>
                <w:snapToGrid w:val="0"/>
                <w:kern w:val="0"/>
                <w:sz w:val="22"/>
              </w:rPr>
            </w:pPr>
            <w:r>
              <w:rPr>
                <w:rFonts w:hint="eastAsia"/>
                <w:snapToGrid w:val="0"/>
                <w:kern w:val="0"/>
                <w:sz w:val="22"/>
              </w:rPr>
              <w:t>3</w:t>
            </w:r>
            <w:r>
              <w:rPr>
                <w:snapToGrid w:val="0"/>
                <w:kern w:val="0"/>
                <w:sz w:val="22"/>
              </w:rPr>
              <w:t>25</w:t>
            </w:r>
          </w:p>
        </w:tc>
        <w:tc>
          <w:tcPr>
            <w:tcW w:w="3910" w:type="dxa"/>
            <w:vAlign w:val="center"/>
          </w:tcPr>
          <w:p w14:paraId="7A54AD42">
            <w:pPr>
              <w:jc w:val="center"/>
              <w:rPr>
                <w:sz w:val="22"/>
                <w:szCs w:val="22"/>
              </w:rPr>
            </w:pPr>
            <w:r>
              <w:rPr>
                <w:sz w:val="22"/>
              </w:rPr>
              <w:t>分散居民</w:t>
            </w:r>
            <w:r>
              <w:rPr>
                <w:rFonts w:hint="eastAsia"/>
                <w:sz w:val="22"/>
              </w:rPr>
              <w:t>1</w:t>
            </w:r>
            <w:r>
              <w:rPr>
                <w:sz w:val="22"/>
              </w:rPr>
              <w:t>9户约57人，1~2F砖瓦房</w:t>
            </w:r>
          </w:p>
        </w:tc>
        <w:tc>
          <w:tcPr>
            <w:tcW w:w="1191" w:type="dxa"/>
            <w:vMerge w:val="continue"/>
            <w:vAlign w:val="center"/>
          </w:tcPr>
          <w:p w14:paraId="1D87AEA5">
            <w:pPr>
              <w:adjustRightInd w:val="0"/>
              <w:snapToGrid w:val="0"/>
              <w:jc w:val="center"/>
              <w:rPr>
                <w:snapToGrid w:val="0"/>
                <w:kern w:val="0"/>
                <w:sz w:val="22"/>
              </w:rPr>
            </w:pPr>
          </w:p>
        </w:tc>
      </w:tr>
      <w:tr w14:paraId="06F1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360BAD13">
            <w:pPr>
              <w:adjustRightInd w:val="0"/>
              <w:snapToGrid w:val="0"/>
              <w:jc w:val="center"/>
              <w:rPr>
                <w:snapToGrid w:val="0"/>
                <w:kern w:val="0"/>
                <w:sz w:val="22"/>
              </w:rPr>
            </w:pPr>
            <w:r>
              <w:rPr>
                <w:rFonts w:hint="eastAsia"/>
                <w:sz w:val="22"/>
              </w:rPr>
              <w:t>1</w:t>
            </w:r>
            <w:r>
              <w:rPr>
                <w:sz w:val="22"/>
              </w:rPr>
              <w:t>0</w:t>
            </w:r>
          </w:p>
        </w:tc>
        <w:tc>
          <w:tcPr>
            <w:tcW w:w="1698" w:type="dxa"/>
            <w:vAlign w:val="center"/>
          </w:tcPr>
          <w:p w14:paraId="78FB800D">
            <w:pPr>
              <w:pStyle w:val="687"/>
            </w:pPr>
            <w:r>
              <w:rPr>
                <w:rFonts w:hint="eastAsia"/>
              </w:rPr>
              <w:t>634868.5</w:t>
            </w:r>
          </w:p>
        </w:tc>
        <w:tc>
          <w:tcPr>
            <w:tcW w:w="2058" w:type="dxa"/>
            <w:vAlign w:val="center"/>
          </w:tcPr>
          <w:p w14:paraId="636C5DDE">
            <w:pPr>
              <w:pStyle w:val="687"/>
            </w:pPr>
            <w:r>
              <w:rPr>
                <w:rFonts w:hint="eastAsia"/>
              </w:rPr>
              <w:t>3519426.1</w:t>
            </w:r>
          </w:p>
        </w:tc>
        <w:tc>
          <w:tcPr>
            <w:tcW w:w="1763" w:type="dxa"/>
            <w:vAlign w:val="center"/>
          </w:tcPr>
          <w:p w14:paraId="4F5A0442">
            <w:pPr>
              <w:adjustRightInd w:val="0"/>
              <w:snapToGrid w:val="0"/>
              <w:jc w:val="center"/>
              <w:rPr>
                <w:sz w:val="22"/>
              </w:rPr>
            </w:pPr>
            <w:r>
              <w:rPr>
                <w:sz w:val="22"/>
              </w:rPr>
              <w:t>10#居民点</w:t>
            </w:r>
          </w:p>
        </w:tc>
        <w:tc>
          <w:tcPr>
            <w:tcW w:w="873" w:type="dxa"/>
            <w:vAlign w:val="center"/>
          </w:tcPr>
          <w:p w14:paraId="4B62466C">
            <w:pPr>
              <w:adjustRightInd w:val="0"/>
              <w:snapToGrid w:val="0"/>
              <w:jc w:val="center"/>
              <w:rPr>
                <w:snapToGrid w:val="0"/>
                <w:kern w:val="0"/>
                <w:sz w:val="22"/>
              </w:rPr>
            </w:pPr>
            <w:r>
              <w:rPr>
                <w:rFonts w:hint="eastAsia"/>
                <w:snapToGrid w:val="0"/>
                <w:kern w:val="0"/>
                <w:sz w:val="22"/>
              </w:rPr>
              <w:t>W</w:t>
            </w:r>
          </w:p>
        </w:tc>
        <w:tc>
          <w:tcPr>
            <w:tcW w:w="1421" w:type="dxa"/>
            <w:vAlign w:val="center"/>
          </w:tcPr>
          <w:p w14:paraId="14346D09">
            <w:pPr>
              <w:adjustRightInd w:val="0"/>
              <w:snapToGrid w:val="0"/>
              <w:jc w:val="center"/>
              <w:rPr>
                <w:snapToGrid w:val="0"/>
                <w:kern w:val="0"/>
                <w:sz w:val="22"/>
              </w:rPr>
            </w:pPr>
            <w:r>
              <w:rPr>
                <w:rFonts w:hint="eastAsia"/>
                <w:snapToGrid w:val="0"/>
                <w:kern w:val="0"/>
                <w:sz w:val="22"/>
              </w:rPr>
              <w:t>4</w:t>
            </w:r>
            <w:r>
              <w:rPr>
                <w:snapToGrid w:val="0"/>
                <w:kern w:val="0"/>
                <w:sz w:val="22"/>
              </w:rPr>
              <w:t>51</w:t>
            </w:r>
          </w:p>
        </w:tc>
        <w:tc>
          <w:tcPr>
            <w:tcW w:w="3910" w:type="dxa"/>
            <w:vAlign w:val="center"/>
          </w:tcPr>
          <w:p w14:paraId="3A47B6E8">
            <w:pPr>
              <w:jc w:val="center"/>
              <w:rPr>
                <w:sz w:val="22"/>
                <w:szCs w:val="22"/>
              </w:rPr>
            </w:pPr>
            <w:r>
              <w:rPr>
                <w:sz w:val="22"/>
              </w:rPr>
              <w:t>分散居民3户约9人，1~2F砖瓦房</w:t>
            </w:r>
          </w:p>
        </w:tc>
        <w:tc>
          <w:tcPr>
            <w:tcW w:w="1191" w:type="dxa"/>
            <w:vMerge w:val="continue"/>
            <w:vAlign w:val="center"/>
          </w:tcPr>
          <w:p w14:paraId="6C40A471">
            <w:pPr>
              <w:adjustRightInd w:val="0"/>
              <w:snapToGrid w:val="0"/>
              <w:jc w:val="center"/>
              <w:rPr>
                <w:snapToGrid w:val="0"/>
                <w:kern w:val="0"/>
                <w:sz w:val="22"/>
              </w:rPr>
            </w:pPr>
          </w:p>
        </w:tc>
      </w:tr>
      <w:tr w14:paraId="1D11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76C16EE9">
            <w:pPr>
              <w:adjustRightInd w:val="0"/>
              <w:snapToGrid w:val="0"/>
              <w:jc w:val="center"/>
              <w:rPr>
                <w:snapToGrid w:val="0"/>
                <w:kern w:val="0"/>
                <w:sz w:val="22"/>
              </w:rPr>
            </w:pPr>
            <w:r>
              <w:rPr>
                <w:rFonts w:hint="eastAsia"/>
                <w:sz w:val="22"/>
              </w:rPr>
              <w:t>1</w:t>
            </w:r>
            <w:r>
              <w:rPr>
                <w:sz w:val="22"/>
              </w:rPr>
              <w:t>1</w:t>
            </w:r>
          </w:p>
        </w:tc>
        <w:tc>
          <w:tcPr>
            <w:tcW w:w="1698" w:type="dxa"/>
            <w:vAlign w:val="center"/>
          </w:tcPr>
          <w:p w14:paraId="75C8DFDF">
            <w:pPr>
              <w:pStyle w:val="687"/>
            </w:pPr>
            <w:r>
              <w:rPr>
                <w:rFonts w:hint="eastAsia"/>
              </w:rPr>
              <w:t>634961.2</w:t>
            </w:r>
          </w:p>
        </w:tc>
        <w:tc>
          <w:tcPr>
            <w:tcW w:w="2058" w:type="dxa"/>
            <w:vAlign w:val="center"/>
          </w:tcPr>
          <w:p w14:paraId="36415856">
            <w:pPr>
              <w:pStyle w:val="687"/>
            </w:pPr>
            <w:r>
              <w:rPr>
                <w:rFonts w:hint="eastAsia"/>
              </w:rPr>
              <w:t>3519256.6</w:t>
            </w:r>
          </w:p>
        </w:tc>
        <w:tc>
          <w:tcPr>
            <w:tcW w:w="1763" w:type="dxa"/>
            <w:vAlign w:val="center"/>
          </w:tcPr>
          <w:p w14:paraId="03E6AB7F">
            <w:pPr>
              <w:adjustRightInd w:val="0"/>
              <w:snapToGrid w:val="0"/>
              <w:jc w:val="center"/>
              <w:rPr>
                <w:sz w:val="22"/>
              </w:rPr>
            </w:pPr>
            <w:r>
              <w:rPr>
                <w:sz w:val="22"/>
              </w:rPr>
              <w:t>11#居民点</w:t>
            </w:r>
          </w:p>
        </w:tc>
        <w:tc>
          <w:tcPr>
            <w:tcW w:w="873" w:type="dxa"/>
            <w:vAlign w:val="center"/>
          </w:tcPr>
          <w:p w14:paraId="434DC8DB">
            <w:pPr>
              <w:adjustRightInd w:val="0"/>
              <w:snapToGrid w:val="0"/>
              <w:jc w:val="center"/>
              <w:rPr>
                <w:snapToGrid w:val="0"/>
                <w:kern w:val="0"/>
                <w:sz w:val="22"/>
              </w:rPr>
            </w:pPr>
            <w:r>
              <w:rPr>
                <w:rFonts w:hint="eastAsia"/>
                <w:snapToGrid w:val="0"/>
                <w:kern w:val="0"/>
                <w:sz w:val="22"/>
              </w:rPr>
              <w:t>S</w:t>
            </w:r>
            <w:r>
              <w:rPr>
                <w:snapToGrid w:val="0"/>
                <w:kern w:val="0"/>
                <w:sz w:val="22"/>
              </w:rPr>
              <w:t>W</w:t>
            </w:r>
          </w:p>
        </w:tc>
        <w:tc>
          <w:tcPr>
            <w:tcW w:w="1421" w:type="dxa"/>
            <w:vAlign w:val="center"/>
          </w:tcPr>
          <w:p w14:paraId="1A1F495C">
            <w:pPr>
              <w:adjustRightInd w:val="0"/>
              <w:snapToGrid w:val="0"/>
              <w:jc w:val="center"/>
              <w:rPr>
                <w:snapToGrid w:val="0"/>
                <w:kern w:val="0"/>
                <w:sz w:val="22"/>
              </w:rPr>
            </w:pPr>
            <w:r>
              <w:rPr>
                <w:rFonts w:hint="eastAsia"/>
                <w:snapToGrid w:val="0"/>
                <w:kern w:val="0"/>
                <w:sz w:val="22"/>
              </w:rPr>
              <w:t>2</w:t>
            </w:r>
            <w:r>
              <w:rPr>
                <w:snapToGrid w:val="0"/>
                <w:kern w:val="0"/>
                <w:sz w:val="22"/>
              </w:rPr>
              <w:t>94</w:t>
            </w:r>
          </w:p>
        </w:tc>
        <w:tc>
          <w:tcPr>
            <w:tcW w:w="3910" w:type="dxa"/>
            <w:vAlign w:val="center"/>
          </w:tcPr>
          <w:p w14:paraId="3D4E130F">
            <w:pPr>
              <w:jc w:val="center"/>
              <w:rPr>
                <w:sz w:val="22"/>
                <w:szCs w:val="22"/>
              </w:rPr>
            </w:pPr>
            <w:r>
              <w:rPr>
                <w:sz w:val="22"/>
              </w:rPr>
              <w:t>分散居民11户约33人，1~2F砖瓦房</w:t>
            </w:r>
          </w:p>
        </w:tc>
        <w:tc>
          <w:tcPr>
            <w:tcW w:w="1191" w:type="dxa"/>
            <w:vMerge w:val="continue"/>
            <w:vAlign w:val="center"/>
          </w:tcPr>
          <w:p w14:paraId="773DE89C">
            <w:pPr>
              <w:adjustRightInd w:val="0"/>
              <w:snapToGrid w:val="0"/>
              <w:jc w:val="center"/>
              <w:rPr>
                <w:snapToGrid w:val="0"/>
                <w:kern w:val="0"/>
                <w:sz w:val="22"/>
              </w:rPr>
            </w:pPr>
          </w:p>
        </w:tc>
      </w:tr>
      <w:tr w14:paraId="7032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4604B3AD">
            <w:pPr>
              <w:adjustRightInd w:val="0"/>
              <w:snapToGrid w:val="0"/>
              <w:jc w:val="center"/>
              <w:rPr>
                <w:snapToGrid w:val="0"/>
                <w:kern w:val="0"/>
                <w:sz w:val="22"/>
              </w:rPr>
            </w:pPr>
            <w:r>
              <w:rPr>
                <w:sz w:val="22"/>
              </w:rPr>
              <w:t>12</w:t>
            </w:r>
          </w:p>
        </w:tc>
        <w:tc>
          <w:tcPr>
            <w:tcW w:w="1698" w:type="dxa"/>
            <w:vAlign w:val="center"/>
          </w:tcPr>
          <w:p w14:paraId="3D6DCCB7">
            <w:pPr>
              <w:pStyle w:val="687"/>
            </w:pPr>
            <w:r>
              <w:rPr>
                <w:rFonts w:hint="eastAsia"/>
              </w:rPr>
              <w:t>634950.8</w:t>
            </w:r>
          </w:p>
        </w:tc>
        <w:tc>
          <w:tcPr>
            <w:tcW w:w="2058" w:type="dxa"/>
            <w:vAlign w:val="center"/>
          </w:tcPr>
          <w:p w14:paraId="38534C4B">
            <w:pPr>
              <w:pStyle w:val="687"/>
            </w:pPr>
            <w:r>
              <w:rPr>
                <w:rFonts w:hint="eastAsia"/>
              </w:rPr>
              <w:t>3518847.6</w:t>
            </w:r>
          </w:p>
        </w:tc>
        <w:tc>
          <w:tcPr>
            <w:tcW w:w="1763" w:type="dxa"/>
            <w:vAlign w:val="center"/>
          </w:tcPr>
          <w:p w14:paraId="6EA29B7B">
            <w:pPr>
              <w:adjustRightInd w:val="0"/>
              <w:snapToGrid w:val="0"/>
              <w:jc w:val="center"/>
              <w:rPr>
                <w:sz w:val="22"/>
              </w:rPr>
            </w:pPr>
            <w:r>
              <w:rPr>
                <w:sz w:val="22"/>
              </w:rPr>
              <w:t>12#居民点</w:t>
            </w:r>
          </w:p>
        </w:tc>
        <w:tc>
          <w:tcPr>
            <w:tcW w:w="873" w:type="dxa"/>
            <w:vAlign w:val="center"/>
          </w:tcPr>
          <w:p w14:paraId="6F33AD66">
            <w:pPr>
              <w:adjustRightInd w:val="0"/>
              <w:snapToGrid w:val="0"/>
              <w:jc w:val="center"/>
              <w:rPr>
                <w:snapToGrid w:val="0"/>
                <w:kern w:val="0"/>
                <w:sz w:val="22"/>
              </w:rPr>
            </w:pPr>
            <w:r>
              <w:rPr>
                <w:rFonts w:hint="eastAsia"/>
                <w:snapToGrid w:val="0"/>
                <w:kern w:val="0"/>
                <w:sz w:val="22"/>
              </w:rPr>
              <w:t>S</w:t>
            </w:r>
            <w:r>
              <w:rPr>
                <w:snapToGrid w:val="0"/>
                <w:kern w:val="0"/>
                <w:sz w:val="22"/>
              </w:rPr>
              <w:t>W</w:t>
            </w:r>
          </w:p>
        </w:tc>
        <w:tc>
          <w:tcPr>
            <w:tcW w:w="1421" w:type="dxa"/>
            <w:vAlign w:val="center"/>
          </w:tcPr>
          <w:p w14:paraId="2C901BAA">
            <w:pPr>
              <w:adjustRightInd w:val="0"/>
              <w:snapToGrid w:val="0"/>
              <w:jc w:val="center"/>
              <w:rPr>
                <w:snapToGrid w:val="0"/>
                <w:kern w:val="0"/>
                <w:sz w:val="22"/>
              </w:rPr>
            </w:pPr>
            <w:r>
              <w:rPr>
                <w:rFonts w:hint="eastAsia"/>
                <w:snapToGrid w:val="0"/>
                <w:kern w:val="0"/>
                <w:sz w:val="22"/>
              </w:rPr>
              <w:t>4</w:t>
            </w:r>
            <w:r>
              <w:rPr>
                <w:snapToGrid w:val="0"/>
                <w:kern w:val="0"/>
                <w:sz w:val="22"/>
              </w:rPr>
              <w:t>86</w:t>
            </w:r>
          </w:p>
        </w:tc>
        <w:tc>
          <w:tcPr>
            <w:tcW w:w="3910" w:type="dxa"/>
            <w:vAlign w:val="center"/>
          </w:tcPr>
          <w:p w14:paraId="2F821B1B">
            <w:pPr>
              <w:jc w:val="center"/>
              <w:rPr>
                <w:sz w:val="22"/>
                <w:szCs w:val="22"/>
              </w:rPr>
            </w:pPr>
            <w:r>
              <w:rPr>
                <w:sz w:val="22"/>
              </w:rPr>
              <w:t>分散居民1户</w:t>
            </w:r>
            <w:r>
              <w:rPr>
                <w:rFonts w:hint="eastAsia"/>
                <w:sz w:val="22"/>
              </w:rPr>
              <w:t>3</w:t>
            </w:r>
            <w:r>
              <w:rPr>
                <w:sz w:val="22"/>
              </w:rPr>
              <w:t>人，2F砖瓦房</w:t>
            </w:r>
          </w:p>
        </w:tc>
        <w:tc>
          <w:tcPr>
            <w:tcW w:w="1191" w:type="dxa"/>
            <w:vMerge w:val="continue"/>
            <w:vAlign w:val="center"/>
          </w:tcPr>
          <w:p w14:paraId="2D56A630">
            <w:pPr>
              <w:adjustRightInd w:val="0"/>
              <w:snapToGrid w:val="0"/>
              <w:jc w:val="center"/>
              <w:rPr>
                <w:snapToGrid w:val="0"/>
                <w:kern w:val="0"/>
                <w:sz w:val="22"/>
              </w:rPr>
            </w:pPr>
          </w:p>
        </w:tc>
      </w:tr>
      <w:tr w14:paraId="2827B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550B1C50">
            <w:pPr>
              <w:adjustRightInd w:val="0"/>
              <w:snapToGrid w:val="0"/>
              <w:jc w:val="center"/>
              <w:rPr>
                <w:sz w:val="22"/>
              </w:rPr>
            </w:pPr>
            <w:r>
              <w:rPr>
                <w:rFonts w:hint="eastAsia"/>
                <w:sz w:val="22"/>
              </w:rPr>
              <w:t>1</w:t>
            </w:r>
            <w:r>
              <w:rPr>
                <w:sz w:val="22"/>
              </w:rPr>
              <w:t>3</w:t>
            </w:r>
          </w:p>
        </w:tc>
        <w:tc>
          <w:tcPr>
            <w:tcW w:w="1698" w:type="dxa"/>
            <w:vAlign w:val="center"/>
          </w:tcPr>
          <w:p w14:paraId="2649FBB6">
            <w:pPr>
              <w:pStyle w:val="687"/>
            </w:pPr>
            <w:r>
              <w:rPr>
                <w:rFonts w:hint="eastAsia"/>
              </w:rPr>
              <w:t>635335.8</w:t>
            </w:r>
          </w:p>
        </w:tc>
        <w:tc>
          <w:tcPr>
            <w:tcW w:w="2058" w:type="dxa"/>
            <w:vAlign w:val="center"/>
          </w:tcPr>
          <w:p w14:paraId="7F4A3600">
            <w:pPr>
              <w:pStyle w:val="687"/>
            </w:pPr>
            <w:r>
              <w:rPr>
                <w:rFonts w:hint="eastAsia"/>
              </w:rPr>
              <w:t>3519023.5</w:t>
            </w:r>
          </w:p>
        </w:tc>
        <w:tc>
          <w:tcPr>
            <w:tcW w:w="1763" w:type="dxa"/>
            <w:vAlign w:val="center"/>
          </w:tcPr>
          <w:p w14:paraId="5D06A9BD">
            <w:pPr>
              <w:adjustRightInd w:val="0"/>
              <w:snapToGrid w:val="0"/>
              <w:jc w:val="center"/>
              <w:rPr>
                <w:sz w:val="22"/>
              </w:rPr>
            </w:pPr>
            <w:r>
              <w:rPr>
                <w:sz w:val="22"/>
              </w:rPr>
              <w:t>13#居民点</w:t>
            </w:r>
          </w:p>
        </w:tc>
        <w:tc>
          <w:tcPr>
            <w:tcW w:w="873" w:type="dxa"/>
            <w:vAlign w:val="center"/>
          </w:tcPr>
          <w:p w14:paraId="63AAAEB8">
            <w:pPr>
              <w:adjustRightInd w:val="0"/>
              <w:snapToGrid w:val="0"/>
              <w:jc w:val="center"/>
              <w:rPr>
                <w:snapToGrid w:val="0"/>
                <w:kern w:val="0"/>
                <w:sz w:val="22"/>
              </w:rPr>
            </w:pPr>
            <w:r>
              <w:rPr>
                <w:rFonts w:hint="eastAsia"/>
                <w:snapToGrid w:val="0"/>
                <w:kern w:val="0"/>
                <w:sz w:val="22"/>
              </w:rPr>
              <w:t>S</w:t>
            </w:r>
          </w:p>
        </w:tc>
        <w:tc>
          <w:tcPr>
            <w:tcW w:w="1421" w:type="dxa"/>
            <w:vAlign w:val="center"/>
          </w:tcPr>
          <w:p w14:paraId="25FDBABD">
            <w:pPr>
              <w:adjustRightInd w:val="0"/>
              <w:snapToGrid w:val="0"/>
              <w:jc w:val="center"/>
              <w:rPr>
                <w:snapToGrid w:val="0"/>
                <w:kern w:val="0"/>
                <w:sz w:val="22"/>
              </w:rPr>
            </w:pPr>
            <w:r>
              <w:rPr>
                <w:rFonts w:hint="eastAsia"/>
                <w:snapToGrid w:val="0"/>
                <w:kern w:val="0"/>
                <w:sz w:val="22"/>
              </w:rPr>
              <w:t>3</w:t>
            </w:r>
            <w:r>
              <w:rPr>
                <w:snapToGrid w:val="0"/>
                <w:kern w:val="0"/>
                <w:sz w:val="22"/>
              </w:rPr>
              <w:t>82</w:t>
            </w:r>
          </w:p>
        </w:tc>
        <w:tc>
          <w:tcPr>
            <w:tcW w:w="3910" w:type="dxa"/>
            <w:vAlign w:val="center"/>
          </w:tcPr>
          <w:p w14:paraId="11F19BBC">
            <w:pPr>
              <w:jc w:val="center"/>
              <w:rPr>
                <w:sz w:val="22"/>
                <w:szCs w:val="22"/>
              </w:rPr>
            </w:pPr>
            <w:r>
              <w:rPr>
                <w:sz w:val="22"/>
              </w:rPr>
              <w:t>分散居民4户约12人，1~2F砖瓦房</w:t>
            </w:r>
          </w:p>
        </w:tc>
        <w:tc>
          <w:tcPr>
            <w:tcW w:w="1191" w:type="dxa"/>
            <w:vMerge w:val="continue"/>
            <w:vAlign w:val="center"/>
          </w:tcPr>
          <w:p w14:paraId="7CF0422D">
            <w:pPr>
              <w:adjustRightInd w:val="0"/>
              <w:snapToGrid w:val="0"/>
              <w:jc w:val="center"/>
              <w:rPr>
                <w:snapToGrid w:val="0"/>
                <w:kern w:val="0"/>
                <w:sz w:val="22"/>
              </w:rPr>
            </w:pPr>
          </w:p>
        </w:tc>
      </w:tr>
      <w:tr w14:paraId="286C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15E89618">
            <w:pPr>
              <w:adjustRightInd w:val="0"/>
              <w:snapToGrid w:val="0"/>
              <w:jc w:val="center"/>
              <w:rPr>
                <w:sz w:val="22"/>
              </w:rPr>
            </w:pPr>
            <w:r>
              <w:rPr>
                <w:rFonts w:hint="eastAsia"/>
                <w:sz w:val="22"/>
              </w:rPr>
              <w:t>1</w:t>
            </w:r>
            <w:r>
              <w:rPr>
                <w:sz w:val="22"/>
              </w:rPr>
              <w:t>4</w:t>
            </w:r>
          </w:p>
        </w:tc>
        <w:tc>
          <w:tcPr>
            <w:tcW w:w="1698" w:type="dxa"/>
            <w:vAlign w:val="center"/>
          </w:tcPr>
          <w:p w14:paraId="16D2D9DB">
            <w:pPr>
              <w:pStyle w:val="687"/>
            </w:pPr>
            <w:r>
              <w:rPr>
                <w:rFonts w:hint="eastAsia"/>
              </w:rPr>
              <w:t>635495.4</w:t>
            </w:r>
          </w:p>
        </w:tc>
        <w:tc>
          <w:tcPr>
            <w:tcW w:w="2058" w:type="dxa"/>
            <w:vAlign w:val="center"/>
          </w:tcPr>
          <w:p w14:paraId="31FC76CF">
            <w:pPr>
              <w:pStyle w:val="687"/>
            </w:pPr>
            <w:r>
              <w:rPr>
                <w:rFonts w:hint="eastAsia"/>
              </w:rPr>
              <w:t>3519020.8</w:t>
            </w:r>
          </w:p>
        </w:tc>
        <w:tc>
          <w:tcPr>
            <w:tcW w:w="1763" w:type="dxa"/>
            <w:vAlign w:val="center"/>
          </w:tcPr>
          <w:p w14:paraId="3D66AB48">
            <w:pPr>
              <w:adjustRightInd w:val="0"/>
              <w:snapToGrid w:val="0"/>
              <w:jc w:val="center"/>
              <w:rPr>
                <w:sz w:val="22"/>
              </w:rPr>
            </w:pPr>
            <w:r>
              <w:rPr>
                <w:sz w:val="22"/>
              </w:rPr>
              <w:t>14#居民点</w:t>
            </w:r>
          </w:p>
        </w:tc>
        <w:tc>
          <w:tcPr>
            <w:tcW w:w="873" w:type="dxa"/>
            <w:vAlign w:val="center"/>
          </w:tcPr>
          <w:p w14:paraId="26C5B8F5">
            <w:pPr>
              <w:adjustRightInd w:val="0"/>
              <w:snapToGrid w:val="0"/>
              <w:jc w:val="center"/>
              <w:rPr>
                <w:snapToGrid w:val="0"/>
                <w:kern w:val="0"/>
                <w:sz w:val="22"/>
              </w:rPr>
            </w:pPr>
            <w:r>
              <w:rPr>
                <w:rFonts w:hint="eastAsia"/>
                <w:snapToGrid w:val="0"/>
                <w:kern w:val="0"/>
                <w:sz w:val="22"/>
              </w:rPr>
              <w:t>S</w:t>
            </w:r>
          </w:p>
        </w:tc>
        <w:tc>
          <w:tcPr>
            <w:tcW w:w="1421" w:type="dxa"/>
            <w:vAlign w:val="center"/>
          </w:tcPr>
          <w:p w14:paraId="0A5553A4">
            <w:pPr>
              <w:adjustRightInd w:val="0"/>
              <w:snapToGrid w:val="0"/>
              <w:jc w:val="center"/>
              <w:rPr>
                <w:snapToGrid w:val="0"/>
                <w:kern w:val="0"/>
                <w:sz w:val="22"/>
              </w:rPr>
            </w:pPr>
            <w:r>
              <w:rPr>
                <w:rFonts w:hint="eastAsia"/>
                <w:snapToGrid w:val="0"/>
                <w:kern w:val="0"/>
                <w:sz w:val="22"/>
              </w:rPr>
              <w:t>2</w:t>
            </w:r>
            <w:r>
              <w:rPr>
                <w:snapToGrid w:val="0"/>
                <w:kern w:val="0"/>
                <w:sz w:val="22"/>
              </w:rPr>
              <w:t>44</w:t>
            </w:r>
          </w:p>
        </w:tc>
        <w:tc>
          <w:tcPr>
            <w:tcW w:w="3910" w:type="dxa"/>
            <w:vAlign w:val="center"/>
          </w:tcPr>
          <w:p w14:paraId="06767CBE">
            <w:pPr>
              <w:jc w:val="center"/>
              <w:rPr>
                <w:sz w:val="22"/>
                <w:szCs w:val="22"/>
              </w:rPr>
            </w:pPr>
            <w:r>
              <w:rPr>
                <w:sz w:val="22"/>
              </w:rPr>
              <w:t>分散居民13户约39人，1~2F砖瓦房</w:t>
            </w:r>
          </w:p>
        </w:tc>
        <w:tc>
          <w:tcPr>
            <w:tcW w:w="1191" w:type="dxa"/>
            <w:vMerge w:val="continue"/>
            <w:vAlign w:val="center"/>
          </w:tcPr>
          <w:p w14:paraId="0A9C476A">
            <w:pPr>
              <w:adjustRightInd w:val="0"/>
              <w:snapToGrid w:val="0"/>
              <w:jc w:val="center"/>
              <w:rPr>
                <w:snapToGrid w:val="0"/>
                <w:kern w:val="0"/>
                <w:sz w:val="22"/>
              </w:rPr>
            </w:pPr>
          </w:p>
        </w:tc>
      </w:tr>
      <w:tr w14:paraId="2A45F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2E839BC3">
            <w:pPr>
              <w:adjustRightInd w:val="0"/>
              <w:snapToGrid w:val="0"/>
              <w:jc w:val="center"/>
              <w:rPr>
                <w:sz w:val="22"/>
              </w:rPr>
            </w:pPr>
            <w:r>
              <w:rPr>
                <w:sz w:val="22"/>
              </w:rPr>
              <w:t>15</w:t>
            </w:r>
          </w:p>
        </w:tc>
        <w:tc>
          <w:tcPr>
            <w:tcW w:w="1698" w:type="dxa"/>
            <w:vAlign w:val="center"/>
          </w:tcPr>
          <w:p w14:paraId="09FB59D1">
            <w:pPr>
              <w:pStyle w:val="687"/>
            </w:pPr>
            <w:r>
              <w:rPr>
                <w:rFonts w:hint="eastAsia"/>
              </w:rPr>
              <w:t>635687.8</w:t>
            </w:r>
          </w:p>
        </w:tc>
        <w:tc>
          <w:tcPr>
            <w:tcW w:w="2058" w:type="dxa"/>
            <w:vAlign w:val="center"/>
          </w:tcPr>
          <w:p w14:paraId="0AB14F77">
            <w:pPr>
              <w:pStyle w:val="687"/>
            </w:pPr>
            <w:r>
              <w:rPr>
                <w:rFonts w:hint="eastAsia"/>
              </w:rPr>
              <w:t>3519115.0</w:t>
            </w:r>
          </w:p>
        </w:tc>
        <w:tc>
          <w:tcPr>
            <w:tcW w:w="1763" w:type="dxa"/>
            <w:vAlign w:val="center"/>
          </w:tcPr>
          <w:p w14:paraId="4F4245F9">
            <w:pPr>
              <w:adjustRightInd w:val="0"/>
              <w:snapToGrid w:val="0"/>
              <w:jc w:val="center"/>
              <w:rPr>
                <w:sz w:val="22"/>
              </w:rPr>
            </w:pPr>
            <w:r>
              <w:rPr>
                <w:sz w:val="22"/>
              </w:rPr>
              <w:t>15#居民点</w:t>
            </w:r>
          </w:p>
        </w:tc>
        <w:tc>
          <w:tcPr>
            <w:tcW w:w="873" w:type="dxa"/>
            <w:vAlign w:val="center"/>
          </w:tcPr>
          <w:p w14:paraId="3C832EB5">
            <w:pPr>
              <w:adjustRightInd w:val="0"/>
              <w:snapToGrid w:val="0"/>
              <w:jc w:val="center"/>
              <w:rPr>
                <w:snapToGrid w:val="0"/>
                <w:kern w:val="0"/>
                <w:sz w:val="22"/>
              </w:rPr>
            </w:pPr>
            <w:r>
              <w:rPr>
                <w:rFonts w:hint="eastAsia"/>
                <w:snapToGrid w:val="0"/>
                <w:kern w:val="0"/>
                <w:sz w:val="22"/>
              </w:rPr>
              <w:t>S</w:t>
            </w:r>
            <w:r>
              <w:rPr>
                <w:snapToGrid w:val="0"/>
                <w:kern w:val="0"/>
                <w:sz w:val="22"/>
              </w:rPr>
              <w:t>E</w:t>
            </w:r>
          </w:p>
        </w:tc>
        <w:tc>
          <w:tcPr>
            <w:tcW w:w="1421" w:type="dxa"/>
            <w:vAlign w:val="center"/>
          </w:tcPr>
          <w:p w14:paraId="0FA3BA03">
            <w:pPr>
              <w:adjustRightInd w:val="0"/>
              <w:snapToGrid w:val="0"/>
              <w:jc w:val="center"/>
              <w:rPr>
                <w:snapToGrid w:val="0"/>
                <w:kern w:val="0"/>
                <w:sz w:val="22"/>
              </w:rPr>
            </w:pPr>
            <w:r>
              <w:rPr>
                <w:rFonts w:hint="eastAsia"/>
                <w:snapToGrid w:val="0"/>
                <w:kern w:val="0"/>
                <w:sz w:val="22"/>
              </w:rPr>
              <w:t>4</w:t>
            </w:r>
            <w:r>
              <w:rPr>
                <w:snapToGrid w:val="0"/>
                <w:kern w:val="0"/>
                <w:sz w:val="22"/>
              </w:rPr>
              <w:t>13</w:t>
            </w:r>
          </w:p>
        </w:tc>
        <w:tc>
          <w:tcPr>
            <w:tcW w:w="3910" w:type="dxa"/>
            <w:vAlign w:val="center"/>
          </w:tcPr>
          <w:p w14:paraId="1723B9EB">
            <w:pPr>
              <w:jc w:val="center"/>
              <w:rPr>
                <w:sz w:val="22"/>
              </w:rPr>
            </w:pPr>
            <w:r>
              <w:rPr>
                <w:sz w:val="22"/>
              </w:rPr>
              <w:t>分散居民9户约27人，1~2F砖瓦房</w:t>
            </w:r>
          </w:p>
        </w:tc>
        <w:tc>
          <w:tcPr>
            <w:tcW w:w="1191" w:type="dxa"/>
            <w:vMerge w:val="continue"/>
            <w:vAlign w:val="center"/>
          </w:tcPr>
          <w:p w14:paraId="50A02205">
            <w:pPr>
              <w:adjustRightInd w:val="0"/>
              <w:snapToGrid w:val="0"/>
              <w:jc w:val="center"/>
              <w:rPr>
                <w:snapToGrid w:val="0"/>
                <w:kern w:val="0"/>
                <w:sz w:val="22"/>
              </w:rPr>
            </w:pPr>
          </w:p>
        </w:tc>
      </w:tr>
      <w:tr w14:paraId="60DB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1024486E">
            <w:pPr>
              <w:adjustRightInd w:val="0"/>
              <w:snapToGrid w:val="0"/>
              <w:jc w:val="center"/>
              <w:rPr>
                <w:sz w:val="22"/>
              </w:rPr>
            </w:pPr>
            <w:r>
              <w:rPr>
                <w:sz w:val="22"/>
              </w:rPr>
              <w:t>16</w:t>
            </w:r>
          </w:p>
        </w:tc>
        <w:tc>
          <w:tcPr>
            <w:tcW w:w="1698" w:type="dxa"/>
            <w:vAlign w:val="center"/>
          </w:tcPr>
          <w:p w14:paraId="5AFB5783">
            <w:pPr>
              <w:pStyle w:val="687"/>
            </w:pPr>
            <w:r>
              <w:rPr>
                <w:rFonts w:hint="eastAsia"/>
              </w:rPr>
              <w:t>635706.3</w:t>
            </w:r>
          </w:p>
        </w:tc>
        <w:tc>
          <w:tcPr>
            <w:tcW w:w="2058" w:type="dxa"/>
            <w:vAlign w:val="center"/>
          </w:tcPr>
          <w:p w14:paraId="7759153A">
            <w:pPr>
              <w:pStyle w:val="687"/>
            </w:pPr>
            <w:r>
              <w:rPr>
                <w:rFonts w:hint="eastAsia"/>
              </w:rPr>
              <w:t>3519290.1</w:t>
            </w:r>
          </w:p>
        </w:tc>
        <w:tc>
          <w:tcPr>
            <w:tcW w:w="1763" w:type="dxa"/>
            <w:vAlign w:val="center"/>
          </w:tcPr>
          <w:p w14:paraId="2F904DB4">
            <w:pPr>
              <w:adjustRightInd w:val="0"/>
              <w:snapToGrid w:val="0"/>
              <w:jc w:val="center"/>
              <w:rPr>
                <w:sz w:val="22"/>
              </w:rPr>
            </w:pPr>
            <w:r>
              <w:rPr>
                <w:sz w:val="22"/>
              </w:rPr>
              <w:t>16#居民点</w:t>
            </w:r>
          </w:p>
        </w:tc>
        <w:tc>
          <w:tcPr>
            <w:tcW w:w="873" w:type="dxa"/>
            <w:vAlign w:val="center"/>
          </w:tcPr>
          <w:p w14:paraId="4E01C124">
            <w:pPr>
              <w:adjustRightInd w:val="0"/>
              <w:snapToGrid w:val="0"/>
              <w:jc w:val="center"/>
              <w:rPr>
                <w:snapToGrid w:val="0"/>
                <w:kern w:val="0"/>
                <w:sz w:val="22"/>
              </w:rPr>
            </w:pPr>
            <w:r>
              <w:rPr>
                <w:rFonts w:hint="eastAsia"/>
                <w:snapToGrid w:val="0"/>
                <w:kern w:val="0"/>
                <w:sz w:val="22"/>
              </w:rPr>
              <w:t>S</w:t>
            </w:r>
            <w:r>
              <w:rPr>
                <w:snapToGrid w:val="0"/>
                <w:kern w:val="0"/>
                <w:sz w:val="22"/>
              </w:rPr>
              <w:t>E</w:t>
            </w:r>
          </w:p>
        </w:tc>
        <w:tc>
          <w:tcPr>
            <w:tcW w:w="1421" w:type="dxa"/>
            <w:vAlign w:val="center"/>
          </w:tcPr>
          <w:p w14:paraId="345B583F">
            <w:pPr>
              <w:adjustRightInd w:val="0"/>
              <w:snapToGrid w:val="0"/>
              <w:jc w:val="center"/>
              <w:rPr>
                <w:snapToGrid w:val="0"/>
                <w:kern w:val="0"/>
                <w:sz w:val="22"/>
              </w:rPr>
            </w:pPr>
            <w:r>
              <w:rPr>
                <w:rFonts w:hint="eastAsia"/>
                <w:snapToGrid w:val="0"/>
                <w:kern w:val="0"/>
                <w:sz w:val="22"/>
              </w:rPr>
              <w:t>3</w:t>
            </w:r>
            <w:r>
              <w:rPr>
                <w:snapToGrid w:val="0"/>
                <w:kern w:val="0"/>
                <w:sz w:val="22"/>
              </w:rPr>
              <w:t>30</w:t>
            </w:r>
          </w:p>
        </w:tc>
        <w:tc>
          <w:tcPr>
            <w:tcW w:w="3910" w:type="dxa"/>
            <w:vAlign w:val="center"/>
          </w:tcPr>
          <w:p w14:paraId="2F553E62">
            <w:pPr>
              <w:jc w:val="center"/>
              <w:rPr>
                <w:sz w:val="22"/>
              </w:rPr>
            </w:pPr>
            <w:r>
              <w:rPr>
                <w:sz w:val="22"/>
              </w:rPr>
              <w:t>分散居民3户约9人，1~2F砖瓦房</w:t>
            </w:r>
          </w:p>
        </w:tc>
        <w:tc>
          <w:tcPr>
            <w:tcW w:w="1191" w:type="dxa"/>
            <w:vMerge w:val="continue"/>
            <w:vAlign w:val="center"/>
          </w:tcPr>
          <w:p w14:paraId="7446F2BD">
            <w:pPr>
              <w:adjustRightInd w:val="0"/>
              <w:snapToGrid w:val="0"/>
              <w:jc w:val="center"/>
              <w:rPr>
                <w:snapToGrid w:val="0"/>
                <w:kern w:val="0"/>
                <w:sz w:val="22"/>
              </w:rPr>
            </w:pPr>
          </w:p>
        </w:tc>
      </w:tr>
      <w:tr w14:paraId="3930A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559" w:type="dxa"/>
            <w:gridSpan w:val="8"/>
            <w:vAlign w:val="center"/>
          </w:tcPr>
          <w:p w14:paraId="606FB99D">
            <w:pPr>
              <w:adjustRightInd w:val="0"/>
              <w:snapToGrid w:val="0"/>
              <w:jc w:val="center"/>
              <w:rPr>
                <w:snapToGrid w:val="0"/>
                <w:kern w:val="0"/>
                <w:sz w:val="22"/>
              </w:rPr>
            </w:pPr>
            <w:r>
              <w:rPr>
                <w:spacing w:val="1"/>
                <w:sz w:val="22"/>
              </w:rPr>
              <w:t>5km×5km矩形评价范围内除0~500m以外</w:t>
            </w:r>
            <w:r>
              <w:rPr>
                <w:sz w:val="22"/>
              </w:rPr>
              <w:t>的范围</w:t>
            </w:r>
          </w:p>
        </w:tc>
      </w:tr>
      <w:tr w14:paraId="0C58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1BA159A1">
            <w:pPr>
              <w:adjustRightInd w:val="0"/>
              <w:snapToGrid w:val="0"/>
              <w:jc w:val="center"/>
              <w:rPr>
                <w:sz w:val="22"/>
              </w:rPr>
            </w:pPr>
            <w:r>
              <w:rPr>
                <w:sz w:val="22"/>
              </w:rPr>
              <w:t>17</w:t>
            </w:r>
          </w:p>
        </w:tc>
        <w:tc>
          <w:tcPr>
            <w:tcW w:w="1698" w:type="dxa"/>
            <w:vAlign w:val="center"/>
          </w:tcPr>
          <w:p w14:paraId="17F845E4">
            <w:pPr>
              <w:pStyle w:val="687"/>
              <w:rPr>
                <w:kern w:val="0"/>
              </w:rPr>
            </w:pPr>
            <w:r>
              <w:rPr>
                <w:rFonts w:hint="eastAsia"/>
              </w:rPr>
              <w:t>634736.0</w:t>
            </w:r>
          </w:p>
        </w:tc>
        <w:tc>
          <w:tcPr>
            <w:tcW w:w="2058" w:type="dxa"/>
            <w:vAlign w:val="center"/>
          </w:tcPr>
          <w:p w14:paraId="2A9DEB7C">
            <w:pPr>
              <w:pStyle w:val="687"/>
            </w:pPr>
            <w:r>
              <w:rPr>
                <w:rFonts w:hint="eastAsia"/>
              </w:rPr>
              <w:t>3521705.6</w:t>
            </w:r>
          </w:p>
        </w:tc>
        <w:tc>
          <w:tcPr>
            <w:tcW w:w="1763" w:type="dxa"/>
            <w:vAlign w:val="center"/>
          </w:tcPr>
          <w:p w14:paraId="075FBB9B">
            <w:pPr>
              <w:adjustRightInd w:val="0"/>
              <w:snapToGrid w:val="0"/>
              <w:jc w:val="center"/>
              <w:rPr>
                <w:sz w:val="22"/>
              </w:rPr>
            </w:pPr>
            <w:r>
              <w:rPr>
                <w:rFonts w:hint="eastAsia"/>
                <w:sz w:val="22"/>
              </w:rPr>
              <w:t>寨子村</w:t>
            </w:r>
          </w:p>
        </w:tc>
        <w:tc>
          <w:tcPr>
            <w:tcW w:w="873" w:type="dxa"/>
            <w:vAlign w:val="center"/>
          </w:tcPr>
          <w:p w14:paraId="7EACEEB0">
            <w:pPr>
              <w:adjustRightInd w:val="0"/>
              <w:snapToGrid w:val="0"/>
              <w:jc w:val="center"/>
              <w:rPr>
                <w:sz w:val="22"/>
              </w:rPr>
            </w:pPr>
            <w:r>
              <w:rPr>
                <w:rFonts w:hint="eastAsia"/>
                <w:sz w:val="22"/>
              </w:rPr>
              <w:t>N</w:t>
            </w:r>
            <w:r>
              <w:rPr>
                <w:sz w:val="22"/>
              </w:rPr>
              <w:t>W</w:t>
            </w:r>
          </w:p>
        </w:tc>
        <w:tc>
          <w:tcPr>
            <w:tcW w:w="1421" w:type="dxa"/>
            <w:vAlign w:val="center"/>
          </w:tcPr>
          <w:p w14:paraId="4B4DDDC8">
            <w:pPr>
              <w:adjustRightInd w:val="0"/>
              <w:snapToGrid w:val="0"/>
              <w:jc w:val="center"/>
              <w:rPr>
                <w:sz w:val="22"/>
              </w:rPr>
            </w:pPr>
            <w:r>
              <w:rPr>
                <w:rFonts w:hint="eastAsia"/>
                <w:sz w:val="22"/>
              </w:rPr>
              <w:t>2</w:t>
            </w:r>
            <w:r>
              <w:rPr>
                <w:sz w:val="22"/>
              </w:rPr>
              <w:t>300</w:t>
            </w:r>
          </w:p>
        </w:tc>
        <w:tc>
          <w:tcPr>
            <w:tcW w:w="3910" w:type="dxa"/>
            <w:vAlign w:val="center"/>
          </w:tcPr>
          <w:p w14:paraId="054227A3">
            <w:pPr>
              <w:jc w:val="center"/>
            </w:pPr>
            <w:r>
              <w:rPr>
                <w:sz w:val="22"/>
              </w:rPr>
              <w:t>村落</w:t>
            </w:r>
            <w:r>
              <w:rPr>
                <w:spacing w:val="-10"/>
                <w:sz w:val="22"/>
              </w:rPr>
              <w:t>，</w:t>
            </w:r>
            <w:r>
              <w:rPr>
                <w:rFonts w:hint="eastAsia"/>
                <w:sz w:val="22"/>
              </w:rPr>
              <w:t>约3</w:t>
            </w:r>
            <w:r>
              <w:rPr>
                <w:sz w:val="22"/>
              </w:rPr>
              <w:t>50</w:t>
            </w:r>
            <w:r>
              <w:rPr>
                <w:rFonts w:hint="eastAsia"/>
                <w:sz w:val="22"/>
              </w:rPr>
              <w:t>户，1</w:t>
            </w:r>
            <w:r>
              <w:rPr>
                <w:sz w:val="22"/>
              </w:rPr>
              <w:t>050</w:t>
            </w:r>
            <w:r>
              <w:rPr>
                <w:rFonts w:hint="eastAsia"/>
                <w:sz w:val="22"/>
              </w:rPr>
              <w:t>人</w:t>
            </w:r>
          </w:p>
        </w:tc>
        <w:tc>
          <w:tcPr>
            <w:tcW w:w="1191" w:type="dxa"/>
            <w:vMerge w:val="restart"/>
            <w:vAlign w:val="center"/>
          </w:tcPr>
          <w:p w14:paraId="55F753DB">
            <w:pPr>
              <w:adjustRightInd w:val="0"/>
              <w:snapToGrid w:val="0"/>
              <w:jc w:val="center"/>
              <w:rPr>
                <w:snapToGrid w:val="0"/>
                <w:kern w:val="0"/>
                <w:sz w:val="22"/>
              </w:rPr>
            </w:pPr>
            <w:r>
              <w:rPr>
                <w:sz w:val="22"/>
              </w:rPr>
              <w:t>二类</w:t>
            </w:r>
          </w:p>
        </w:tc>
      </w:tr>
      <w:tr w14:paraId="04DF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 w:hRule="atLeast"/>
          <w:jc w:val="center"/>
        </w:trPr>
        <w:tc>
          <w:tcPr>
            <w:tcW w:w="645" w:type="dxa"/>
            <w:vAlign w:val="center"/>
          </w:tcPr>
          <w:p w14:paraId="49EABDEE">
            <w:pPr>
              <w:adjustRightInd w:val="0"/>
              <w:snapToGrid w:val="0"/>
              <w:jc w:val="center"/>
              <w:rPr>
                <w:sz w:val="22"/>
              </w:rPr>
            </w:pPr>
            <w:r>
              <w:rPr>
                <w:sz w:val="22"/>
              </w:rPr>
              <w:t>18</w:t>
            </w:r>
          </w:p>
        </w:tc>
        <w:tc>
          <w:tcPr>
            <w:tcW w:w="1698" w:type="dxa"/>
            <w:vAlign w:val="center"/>
          </w:tcPr>
          <w:p w14:paraId="4D852429">
            <w:pPr>
              <w:pStyle w:val="687"/>
            </w:pPr>
            <w:r>
              <w:rPr>
                <w:rFonts w:hint="eastAsia"/>
              </w:rPr>
              <w:t>634229.9</w:t>
            </w:r>
          </w:p>
        </w:tc>
        <w:tc>
          <w:tcPr>
            <w:tcW w:w="2058" w:type="dxa"/>
            <w:vAlign w:val="center"/>
          </w:tcPr>
          <w:p w14:paraId="07C9046D">
            <w:pPr>
              <w:pStyle w:val="687"/>
            </w:pPr>
            <w:r>
              <w:rPr>
                <w:rFonts w:hint="eastAsia"/>
              </w:rPr>
              <w:t>3520144.8</w:t>
            </w:r>
          </w:p>
        </w:tc>
        <w:tc>
          <w:tcPr>
            <w:tcW w:w="1763" w:type="dxa"/>
            <w:vAlign w:val="center"/>
          </w:tcPr>
          <w:p w14:paraId="45BB80AC">
            <w:pPr>
              <w:adjustRightInd w:val="0"/>
              <w:snapToGrid w:val="0"/>
              <w:jc w:val="center"/>
              <w:rPr>
                <w:sz w:val="22"/>
              </w:rPr>
            </w:pPr>
            <w:r>
              <w:rPr>
                <w:rFonts w:hint="eastAsia"/>
                <w:sz w:val="22"/>
              </w:rPr>
              <w:t>青山村</w:t>
            </w:r>
          </w:p>
        </w:tc>
        <w:tc>
          <w:tcPr>
            <w:tcW w:w="873" w:type="dxa"/>
            <w:vAlign w:val="center"/>
          </w:tcPr>
          <w:p w14:paraId="45440D5E">
            <w:pPr>
              <w:adjustRightInd w:val="0"/>
              <w:snapToGrid w:val="0"/>
              <w:jc w:val="center"/>
              <w:rPr>
                <w:sz w:val="22"/>
              </w:rPr>
            </w:pPr>
            <w:r>
              <w:rPr>
                <w:rFonts w:hint="eastAsia"/>
                <w:sz w:val="22"/>
              </w:rPr>
              <w:t>N</w:t>
            </w:r>
            <w:r>
              <w:rPr>
                <w:sz w:val="22"/>
              </w:rPr>
              <w:t>W</w:t>
            </w:r>
          </w:p>
        </w:tc>
        <w:tc>
          <w:tcPr>
            <w:tcW w:w="1421" w:type="dxa"/>
            <w:vAlign w:val="center"/>
          </w:tcPr>
          <w:p w14:paraId="5EC1A28B">
            <w:pPr>
              <w:adjustRightInd w:val="0"/>
              <w:snapToGrid w:val="0"/>
              <w:jc w:val="center"/>
              <w:rPr>
                <w:sz w:val="22"/>
              </w:rPr>
            </w:pPr>
            <w:r>
              <w:rPr>
                <w:rFonts w:hint="eastAsia"/>
                <w:sz w:val="22"/>
              </w:rPr>
              <w:t>1</w:t>
            </w:r>
            <w:r>
              <w:rPr>
                <w:sz w:val="22"/>
              </w:rPr>
              <w:t>200</w:t>
            </w:r>
          </w:p>
        </w:tc>
        <w:tc>
          <w:tcPr>
            <w:tcW w:w="3910" w:type="dxa"/>
            <w:vAlign w:val="center"/>
          </w:tcPr>
          <w:p w14:paraId="45858EB4">
            <w:pPr>
              <w:jc w:val="center"/>
            </w:pPr>
            <w:r>
              <w:rPr>
                <w:sz w:val="22"/>
              </w:rPr>
              <w:t>村落</w:t>
            </w:r>
            <w:r>
              <w:rPr>
                <w:spacing w:val="-10"/>
                <w:sz w:val="22"/>
              </w:rPr>
              <w:t>，</w:t>
            </w:r>
            <w:r>
              <w:rPr>
                <w:rFonts w:hint="eastAsia"/>
              </w:rPr>
              <w:t>约4</w:t>
            </w:r>
            <w:r>
              <w:t>70</w:t>
            </w:r>
            <w:r>
              <w:rPr>
                <w:rFonts w:hint="eastAsia"/>
              </w:rPr>
              <w:t>户，1</w:t>
            </w:r>
            <w:r>
              <w:t>410</w:t>
            </w:r>
            <w:r>
              <w:rPr>
                <w:rFonts w:hint="eastAsia"/>
              </w:rPr>
              <w:t>人</w:t>
            </w:r>
          </w:p>
        </w:tc>
        <w:tc>
          <w:tcPr>
            <w:tcW w:w="1191" w:type="dxa"/>
            <w:vMerge w:val="continue"/>
            <w:vAlign w:val="center"/>
          </w:tcPr>
          <w:p w14:paraId="2FC071EC">
            <w:pPr>
              <w:adjustRightInd w:val="0"/>
              <w:snapToGrid w:val="0"/>
              <w:jc w:val="center"/>
              <w:rPr>
                <w:sz w:val="22"/>
              </w:rPr>
            </w:pPr>
          </w:p>
        </w:tc>
      </w:tr>
      <w:tr w14:paraId="01BD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0384B685">
            <w:pPr>
              <w:adjustRightInd w:val="0"/>
              <w:snapToGrid w:val="0"/>
              <w:jc w:val="center"/>
              <w:rPr>
                <w:sz w:val="22"/>
              </w:rPr>
            </w:pPr>
            <w:r>
              <w:rPr>
                <w:rFonts w:hint="eastAsia"/>
                <w:sz w:val="22"/>
              </w:rPr>
              <w:t>1</w:t>
            </w:r>
            <w:r>
              <w:rPr>
                <w:sz w:val="22"/>
              </w:rPr>
              <w:t>9</w:t>
            </w:r>
          </w:p>
        </w:tc>
        <w:tc>
          <w:tcPr>
            <w:tcW w:w="1698" w:type="dxa"/>
            <w:vAlign w:val="center"/>
          </w:tcPr>
          <w:p w14:paraId="155AB947">
            <w:pPr>
              <w:pStyle w:val="687"/>
            </w:pPr>
            <w:r>
              <w:rPr>
                <w:rFonts w:hint="eastAsia"/>
              </w:rPr>
              <w:t>635093.8</w:t>
            </w:r>
          </w:p>
        </w:tc>
        <w:tc>
          <w:tcPr>
            <w:tcW w:w="2058" w:type="dxa"/>
            <w:vAlign w:val="center"/>
          </w:tcPr>
          <w:p w14:paraId="54828BAB">
            <w:pPr>
              <w:pStyle w:val="687"/>
            </w:pPr>
            <w:r>
              <w:rPr>
                <w:rFonts w:hint="eastAsia"/>
              </w:rPr>
              <w:t>3520303.7</w:t>
            </w:r>
          </w:p>
        </w:tc>
        <w:tc>
          <w:tcPr>
            <w:tcW w:w="1763" w:type="dxa"/>
            <w:vAlign w:val="center"/>
          </w:tcPr>
          <w:p w14:paraId="2F3505C6">
            <w:pPr>
              <w:adjustRightInd w:val="0"/>
              <w:snapToGrid w:val="0"/>
              <w:jc w:val="center"/>
              <w:rPr>
                <w:sz w:val="22"/>
              </w:rPr>
            </w:pPr>
            <w:r>
              <w:rPr>
                <w:rFonts w:hint="eastAsia"/>
                <w:sz w:val="22"/>
              </w:rPr>
              <w:t>玉槐村</w:t>
            </w:r>
          </w:p>
        </w:tc>
        <w:tc>
          <w:tcPr>
            <w:tcW w:w="873" w:type="dxa"/>
            <w:vAlign w:val="center"/>
          </w:tcPr>
          <w:p w14:paraId="202B50ED">
            <w:pPr>
              <w:adjustRightInd w:val="0"/>
              <w:snapToGrid w:val="0"/>
              <w:jc w:val="center"/>
              <w:rPr>
                <w:sz w:val="22"/>
              </w:rPr>
            </w:pPr>
            <w:r>
              <w:rPr>
                <w:rFonts w:hint="eastAsia"/>
                <w:sz w:val="22"/>
              </w:rPr>
              <w:t>N</w:t>
            </w:r>
            <w:r>
              <w:rPr>
                <w:sz w:val="22"/>
              </w:rPr>
              <w:t>W</w:t>
            </w:r>
          </w:p>
        </w:tc>
        <w:tc>
          <w:tcPr>
            <w:tcW w:w="1421" w:type="dxa"/>
            <w:vAlign w:val="center"/>
          </w:tcPr>
          <w:p w14:paraId="38CC5F54">
            <w:pPr>
              <w:adjustRightInd w:val="0"/>
              <w:snapToGrid w:val="0"/>
              <w:jc w:val="center"/>
              <w:rPr>
                <w:sz w:val="22"/>
              </w:rPr>
            </w:pPr>
            <w:r>
              <w:rPr>
                <w:rFonts w:hint="eastAsia"/>
                <w:sz w:val="22"/>
              </w:rPr>
              <w:t>8</w:t>
            </w:r>
            <w:r>
              <w:rPr>
                <w:sz w:val="22"/>
              </w:rPr>
              <w:t>00</w:t>
            </w:r>
          </w:p>
        </w:tc>
        <w:tc>
          <w:tcPr>
            <w:tcW w:w="3910" w:type="dxa"/>
            <w:vAlign w:val="center"/>
          </w:tcPr>
          <w:p w14:paraId="1371DB15">
            <w:pPr>
              <w:jc w:val="center"/>
              <w:rPr>
                <w:sz w:val="22"/>
              </w:rPr>
            </w:pPr>
            <w:r>
              <w:rPr>
                <w:sz w:val="22"/>
              </w:rPr>
              <w:t>村落</w:t>
            </w:r>
            <w:r>
              <w:rPr>
                <w:spacing w:val="-10"/>
                <w:sz w:val="22"/>
              </w:rPr>
              <w:t>，</w:t>
            </w:r>
            <w:r>
              <w:rPr>
                <w:rFonts w:hint="eastAsia"/>
                <w:sz w:val="22"/>
              </w:rPr>
              <w:t>约5</w:t>
            </w:r>
            <w:r>
              <w:rPr>
                <w:sz w:val="22"/>
              </w:rPr>
              <w:t>80</w:t>
            </w:r>
            <w:r>
              <w:rPr>
                <w:rFonts w:hint="eastAsia"/>
                <w:sz w:val="22"/>
              </w:rPr>
              <w:t>户，</w:t>
            </w:r>
            <w:r>
              <w:rPr>
                <w:sz w:val="22"/>
              </w:rPr>
              <w:t>1740</w:t>
            </w:r>
            <w:r>
              <w:rPr>
                <w:rFonts w:hint="eastAsia"/>
                <w:sz w:val="22"/>
              </w:rPr>
              <w:t>人</w:t>
            </w:r>
          </w:p>
        </w:tc>
        <w:tc>
          <w:tcPr>
            <w:tcW w:w="1191" w:type="dxa"/>
            <w:vMerge w:val="continue"/>
            <w:vAlign w:val="center"/>
          </w:tcPr>
          <w:p w14:paraId="11EE65A3">
            <w:pPr>
              <w:adjustRightInd w:val="0"/>
              <w:snapToGrid w:val="0"/>
              <w:jc w:val="center"/>
              <w:rPr>
                <w:sz w:val="22"/>
              </w:rPr>
            </w:pPr>
          </w:p>
        </w:tc>
      </w:tr>
      <w:tr w14:paraId="2D89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68F192AE">
            <w:pPr>
              <w:adjustRightInd w:val="0"/>
              <w:snapToGrid w:val="0"/>
              <w:jc w:val="center"/>
              <w:rPr>
                <w:sz w:val="22"/>
              </w:rPr>
            </w:pPr>
            <w:r>
              <w:rPr>
                <w:rFonts w:hint="eastAsia"/>
                <w:sz w:val="22"/>
              </w:rPr>
              <w:t>2</w:t>
            </w:r>
            <w:r>
              <w:rPr>
                <w:sz w:val="22"/>
              </w:rPr>
              <w:t>0</w:t>
            </w:r>
          </w:p>
        </w:tc>
        <w:tc>
          <w:tcPr>
            <w:tcW w:w="1698" w:type="dxa"/>
            <w:vAlign w:val="center"/>
          </w:tcPr>
          <w:p w14:paraId="16950571">
            <w:pPr>
              <w:pStyle w:val="687"/>
            </w:pPr>
            <w:r>
              <w:rPr>
                <w:rFonts w:hint="eastAsia"/>
              </w:rPr>
              <w:t>636874.1</w:t>
            </w:r>
          </w:p>
        </w:tc>
        <w:tc>
          <w:tcPr>
            <w:tcW w:w="2058" w:type="dxa"/>
            <w:vAlign w:val="center"/>
          </w:tcPr>
          <w:p w14:paraId="6DFE7D90">
            <w:pPr>
              <w:pStyle w:val="687"/>
            </w:pPr>
            <w:r>
              <w:rPr>
                <w:rFonts w:hint="eastAsia"/>
              </w:rPr>
              <w:t>3520484.3</w:t>
            </w:r>
          </w:p>
        </w:tc>
        <w:tc>
          <w:tcPr>
            <w:tcW w:w="1763" w:type="dxa"/>
            <w:vAlign w:val="center"/>
          </w:tcPr>
          <w:p w14:paraId="57240262">
            <w:pPr>
              <w:adjustRightInd w:val="0"/>
              <w:snapToGrid w:val="0"/>
              <w:jc w:val="center"/>
              <w:rPr>
                <w:sz w:val="22"/>
              </w:rPr>
            </w:pPr>
            <w:r>
              <w:rPr>
                <w:rFonts w:hint="eastAsia"/>
                <w:sz w:val="22"/>
              </w:rPr>
              <w:t>酒店社区</w:t>
            </w:r>
          </w:p>
        </w:tc>
        <w:tc>
          <w:tcPr>
            <w:tcW w:w="873" w:type="dxa"/>
            <w:vAlign w:val="center"/>
          </w:tcPr>
          <w:p w14:paraId="1B7C5A39">
            <w:pPr>
              <w:adjustRightInd w:val="0"/>
              <w:snapToGrid w:val="0"/>
              <w:jc w:val="center"/>
              <w:rPr>
                <w:sz w:val="22"/>
              </w:rPr>
            </w:pPr>
            <w:r>
              <w:rPr>
                <w:rFonts w:hint="eastAsia"/>
                <w:sz w:val="22"/>
              </w:rPr>
              <w:t>N</w:t>
            </w:r>
            <w:r>
              <w:rPr>
                <w:sz w:val="22"/>
              </w:rPr>
              <w:t>E</w:t>
            </w:r>
          </w:p>
        </w:tc>
        <w:tc>
          <w:tcPr>
            <w:tcW w:w="1421" w:type="dxa"/>
            <w:vAlign w:val="center"/>
          </w:tcPr>
          <w:p w14:paraId="0C9DF069">
            <w:pPr>
              <w:adjustRightInd w:val="0"/>
              <w:snapToGrid w:val="0"/>
              <w:jc w:val="center"/>
              <w:rPr>
                <w:sz w:val="22"/>
              </w:rPr>
            </w:pPr>
            <w:r>
              <w:rPr>
                <w:rFonts w:hint="eastAsia"/>
                <w:sz w:val="22"/>
              </w:rPr>
              <w:t>1</w:t>
            </w:r>
            <w:r>
              <w:rPr>
                <w:sz w:val="22"/>
              </w:rPr>
              <w:t>900</w:t>
            </w:r>
          </w:p>
        </w:tc>
        <w:tc>
          <w:tcPr>
            <w:tcW w:w="3910" w:type="dxa"/>
            <w:vAlign w:val="center"/>
          </w:tcPr>
          <w:p w14:paraId="221CAC5C">
            <w:pPr>
              <w:jc w:val="center"/>
            </w:pPr>
            <w:r>
              <w:rPr>
                <w:sz w:val="22"/>
              </w:rPr>
              <w:t>村落</w:t>
            </w:r>
            <w:r>
              <w:rPr>
                <w:spacing w:val="-10"/>
                <w:sz w:val="22"/>
              </w:rPr>
              <w:t>，</w:t>
            </w:r>
            <w:r>
              <w:rPr>
                <w:rFonts w:hint="eastAsia"/>
              </w:rPr>
              <w:t>约24</w:t>
            </w:r>
            <w:r>
              <w:t>0</w:t>
            </w:r>
            <w:r>
              <w:rPr>
                <w:rFonts w:hint="eastAsia"/>
              </w:rPr>
              <w:t>户，</w:t>
            </w:r>
            <w:r>
              <w:t>720</w:t>
            </w:r>
            <w:r>
              <w:rPr>
                <w:rFonts w:hint="eastAsia"/>
              </w:rPr>
              <w:t>人</w:t>
            </w:r>
          </w:p>
        </w:tc>
        <w:tc>
          <w:tcPr>
            <w:tcW w:w="1191" w:type="dxa"/>
            <w:vMerge w:val="continue"/>
            <w:vAlign w:val="center"/>
          </w:tcPr>
          <w:p w14:paraId="410D1273">
            <w:pPr>
              <w:adjustRightInd w:val="0"/>
              <w:snapToGrid w:val="0"/>
              <w:jc w:val="center"/>
              <w:rPr>
                <w:sz w:val="22"/>
              </w:rPr>
            </w:pPr>
          </w:p>
        </w:tc>
      </w:tr>
      <w:tr w14:paraId="452D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122AD42E">
            <w:pPr>
              <w:adjustRightInd w:val="0"/>
              <w:snapToGrid w:val="0"/>
              <w:jc w:val="center"/>
              <w:rPr>
                <w:sz w:val="22"/>
              </w:rPr>
            </w:pPr>
            <w:r>
              <w:rPr>
                <w:rFonts w:hint="eastAsia"/>
                <w:sz w:val="22"/>
              </w:rPr>
              <w:t>2</w:t>
            </w:r>
            <w:r>
              <w:rPr>
                <w:sz w:val="22"/>
              </w:rPr>
              <w:t>1</w:t>
            </w:r>
          </w:p>
        </w:tc>
        <w:tc>
          <w:tcPr>
            <w:tcW w:w="1698" w:type="dxa"/>
            <w:vAlign w:val="center"/>
          </w:tcPr>
          <w:p w14:paraId="101A9D3D">
            <w:pPr>
              <w:pStyle w:val="687"/>
            </w:pPr>
            <w:r>
              <w:rPr>
                <w:rFonts w:hint="eastAsia"/>
              </w:rPr>
              <w:t>633471.7</w:t>
            </w:r>
          </w:p>
        </w:tc>
        <w:tc>
          <w:tcPr>
            <w:tcW w:w="2058" w:type="dxa"/>
            <w:vAlign w:val="center"/>
          </w:tcPr>
          <w:p w14:paraId="680EED4C">
            <w:pPr>
              <w:pStyle w:val="687"/>
            </w:pPr>
            <w:r>
              <w:rPr>
                <w:rFonts w:hint="eastAsia"/>
              </w:rPr>
              <w:t>3518266.7</w:t>
            </w:r>
          </w:p>
        </w:tc>
        <w:tc>
          <w:tcPr>
            <w:tcW w:w="1763" w:type="dxa"/>
            <w:vAlign w:val="center"/>
          </w:tcPr>
          <w:p w14:paraId="1FB26908">
            <w:pPr>
              <w:adjustRightInd w:val="0"/>
              <w:snapToGrid w:val="0"/>
              <w:jc w:val="center"/>
              <w:rPr>
                <w:sz w:val="22"/>
              </w:rPr>
            </w:pPr>
            <w:r>
              <w:rPr>
                <w:rFonts w:hint="eastAsia"/>
              </w:rPr>
              <w:t>花台村</w:t>
            </w:r>
          </w:p>
        </w:tc>
        <w:tc>
          <w:tcPr>
            <w:tcW w:w="873" w:type="dxa"/>
            <w:vAlign w:val="center"/>
          </w:tcPr>
          <w:p w14:paraId="1A742B61">
            <w:pPr>
              <w:adjustRightInd w:val="0"/>
              <w:snapToGrid w:val="0"/>
              <w:jc w:val="center"/>
              <w:rPr>
                <w:sz w:val="22"/>
              </w:rPr>
            </w:pPr>
            <w:r>
              <w:rPr>
                <w:rFonts w:hint="eastAsia"/>
                <w:sz w:val="22"/>
              </w:rPr>
              <w:t>S</w:t>
            </w:r>
            <w:r>
              <w:rPr>
                <w:sz w:val="22"/>
              </w:rPr>
              <w:t>W</w:t>
            </w:r>
          </w:p>
        </w:tc>
        <w:tc>
          <w:tcPr>
            <w:tcW w:w="1421" w:type="dxa"/>
            <w:vAlign w:val="center"/>
          </w:tcPr>
          <w:p w14:paraId="75B0E90C">
            <w:pPr>
              <w:adjustRightInd w:val="0"/>
              <w:snapToGrid w:val="0"/>
              <w:jc w:val="center"/>
              <w:rPr>
                <w:sz w:val="22"/>
              </w:rPr>
            </w:pPr>
            <w:r>
              <w:rPr>
                <w:rFonts w:hint="eastAsia"/>
                <w:sz w:val="22"/>
              </w:rPr>
              <w:t>1</w:t>
            </w:r>
            <w:r>
              <w:rPr>
                <w:sz w:val="22"/>
              </w:rPr>
              <w:t>700</w:t>
            </w:r>
          </w:p>
        </w:tc>
        <w:tc>
          <w:tcPr>
            <w:tcW w:w="3910" w:type="dxa"/>
          </w:tcPr>
          <w:p w14:paraId="1EE97622">
            <w:pPr>
              <w:jc w:val="center"/>
              <w:rPr>
                <w:sz w:val="22"/>
              </w:rPr>
            </w:pPr>
            <w:r>
              <w:rPr>
                <w:sz w:val="22"/>
              </w:rPr>
              <w:t>村落</w:t>
            </w:r>
            <w:r>
              <w:rPr>
                <w:spacing w:val="-10"/>
                <w:sz w:val="22"/>
              </w:rPr>
              <w:t>，</w:t>
            </w:r>
            <w:r>
              <w:rPr>
                <w:rFonts w:hint="eastAsia"/>
                <w:sz w:val="22"/>
              </w:rPr>
              <w:t>约22</w:t>
            </w:r>
            <w:r>
              <w:rPr>
                <w:sz w:val="22"/>
              </w:rPr>
              <w:t>0</w:t>
            </w:r>
            <w:r>
              <w:rPr>
                <w:rFonts w:hint="eastAsia"/>
                <w:sz w:val="22"/>
              </w:rPr>
              <w:t>户，</w:t>
            </w:r>
            <w:r>
              <w:rPr>
                <w:sz w:val="22"/>
              </w:rPr>
              <w:t>660</w:t>
            </w:r>
            <w:r>
              <w:rPr>
                <w:rFonts w:hint="eastAsia"/>
                <w:sz w:val="22"/>
              </w:rPr>
              <w:t>人</w:t>
            </w:r>
          </w:p>
        </w:tc>
        <w:tc>
          <w:tcPr>
            <w:tcW w:w="1191" w:type="dxa"/>
            <w:vMerge w:val="continue"/>
            <w:vAlign w:val="center"/>
          </w:tcPr>
          <w:p w14:paraId="7D65CB18">
            <w:pPr>
              <w:adjustRightInd w:val="0"/>
              <w:snapToGrid w:val="0"/>
              <w:jc w:val="center"/>
              <w:rPr>
                <w:sz w:val="22"/>
              </w:rPr>
            </w:pPr>
          </w:p>
        </w:tc>
      </w:tr>
      <w:tr w14:paraId="28F8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45" w:type="dxa"/>
            <w:vAlign w:val="center"/>
          </w:tcPr>
          <w:p w14:paraId="62F77FFC">
            <w:pPr>
              <w:adjustRightInd w:val="0"/>
              <w:snapToGrid w:val="0"/>
              <w:jc w:val="center"/>
              <w:rPr>
                <w:sz w:val="22"/>
              </w:rPr>
            </w:pPr>
            <w:r>
              <w:rPr>
                <w:rFonts w:hint="eastAsia"/>
                <w:sz w:val="22"/>
              </w:rPr>
              <w:t>2</w:t>
            </w:r>
            <w:r>
              <w:rPr>
                <w:sz w:val="22"/>
              </w:rPr>
              <w:t>2</w:t>
            </w:r>
          </w:p>
        </w:tc>
        <w:tc>
          <w:tcPr>
            <w:tcW w:w="1698" w:type="dxa"/>
            <w:vAlign w:val="center"/>
          </w:tcPr>
          <w:p w14:paraId="4BF5C196">
            <w:pPr>
              <w:pStyle w:val="687"/>
            </w:pPr>
            <w:r>
              <w:rPr>
                <w:rFonts w:hint="eastAsia"/>
              </w:rPr>
              <w:t>635512.4</w:t>
            </w:r>
          </w:p>
        </w:tc>
        <w:tc>
          <w:tcPr>
            <w:tcW w:w="2058" w:type="dxa"/>
            <w:vAlign w:val="center"/>
          </w:tcPr>
          <w:p w14:paraId="2E106592">
            <w:pPr>
              <w:pStyle w:val="687"/>
            </w:pPr>
            <w:r>
              <w:rPr>
                <w:rFonts w:hint="eastAsia"/>
              </w:rPr>
              <w:t>3518921.7</w:t>
            </w:r>
          </w:p>
        </w:tc>
        <w:tc>
          <w:tcPr>
            <w:tcW w:w="1763" w:type="dxa"/>
            <w:vAlign w:val="center"/>
          </w:tcPr>
          <w:p w14:paraId="46154FDB">
            <w:pPr>
              <w:adjustRightInd w:val="0"/>
              <w:snapToGrid w:val="0"/>
              <w:jc w:val="center"/>
              <w:rPr>
                <w:snapToGrid w:val="0"/>
                <w:kern w:val="0"/>
                <w:sz w:val="22"/>
              </w:rPr>
            </w:pPr>
            <w:r>
              <w:rPr>
                <w:rFonts w:hint="eastAsia"/>
                <w:snapToGrid w:val="0"/>
                <w:kern w:val="0"/>
                <w:sz w:val="22"/>
              </w:rPr>
              <w:t>金凤村</w:t>
            </w:r>
          </w:p>
        </w:tc>
        <w:tc>
          <w:tcPr>
            <w:tcW w:w="873" w:type="dxa"/>
            <w:vAlign w:val="center"/>
          </w:tcPr>
          <w:p w14:paraId="3AA558C7">
            <w:pPr>
              <w:adjustRightInd w:val="0"/>
              <w:snapToGrid w:val="0"/>
              <w:jc w:val="center"/>
              <w:rPr>
                <w:sz w:val="22"/>
              </w:rPr>
            </w:pPr>
            <w:r>
              <w:rPr>
                <w:rFonts w:hint="eastAsia"/>
                <w:sz w:val="22"/>
              </w:rPr>
              <w:t>S</w:t>
            </w:r>
            <w:r>
              <w:rPr>
                <w:sz w:val="22"/>
              </w:rPr>
              <w:t>E</w:t>
            </w:r>
          </w:p>
        </w:tc>
        <w:tc>
          <w:tcPr>
            <w:tcW w:w="1421" w:type="dxa"/>
            <w:vAlign w:val="center"/>
          </w:tcPr>
          <w:p w14:paraId="744BAA6C">
            <w:pPr>
              <w:adjustRightInd w:val="0"/>
              <w:snapToGrid w:val="0"/>
              <w:jc w:val="center"/>
              <w:rPr>
                <w:sz w:val="22"/>
              </w:rPr>
            </w:pPr>
            <w:r>
              <w:rPr>
                <w:rFonts w:hint="eastAsia"/>
                <w:sz w:val="22"/>
              </w:rPr>
              <w:t>5</w:t>
            </w:r>
            <w:r>
              <w:rPr>
                <w:sz w:val="22"/>
              </w:rPr>
              <w:t>30</w:t>
            </w:r>
          </w:p>
        </w:tc>
        <w:tc>
          <w:tcPr>
            <w:tcW w:w="3910" w:type="dxa"/>
          </w:tcPr>
          <w:p w14:paraId="15D5F32A">
            <w:pPr>
              <w:jc w:val="center"/>
              <w:rPr>
                <w:sz w:val="22"/>
              </w:rPr>
            </w:pPr>
            <w:r>
              <w:rPr>
                <w:rFonts w:hint="eastAsia"/>
                <w:sz w:val="22"/>
              </w:rPr>
              <w:t>村落，约</w:t>
            </w:r>
            <w:r>
              <w:rPr>
                <w:sz w:val="22"/>
              </w:rPr>
              <w:t>320</w:t>
            </w:r>
            <w:r>
              <w:rPr>
                <w:rFonts w:hint="eastAsia"/>
                <w:sz w:val="22"/>
              </w:rPr>
              <w:t>户，</w:t>
            </w:r>
            <w:r>
              <w:rPr>
                <w:sz w:val="22"/>
              </w:rPr>
              <w:t>960</w:t>
            </w:r>
            <w:r>
              <w:rPr>
                <w:rFonts w:hint="eastAsia"/>
                <w:sz w:val="22"/>
              </w:rPr>
              <w:t>人</w:t>
            </w:r>
          </w:p>
        </w:tc>
        <w:tc>
          <w:tcPr>
            <w:tcW w:w="1191" w:type="dxa"/>
            <w:vMerge w:val="continue"/>
            <w:vAlign w:val="center"/>
          </w:tcPr>
          <w:p w14:paraId="4BDE4489">
            <w:pPr>
              <w:adjustRightInd w:val="0"/>
              <w:snapToGrid w:val="0"/>
              <w:jc w:val="center"/>
              <w:rPr>
                <w:sz w:val="22"/>
              </w:rPr>
            </w:pPr>
          </w:p>
        </w:tc>
      </w:tr>
    </w:tbl>
    <w:p w14:paraId="74540FEE">
      <w:pPr>
        <w:pStyle w:val="1066"/>
        <w:ind w:firstLine="520"/>
      </w:pPr>
    </w:p>
    <w:p w14:paraId="57F40682">
      <w:pPr>
        <w:jc w:val="center"/>
      </w:pPr>
      <w:r>
        <w:rPr>
          <w:rFonts w:hint="eastAsia"/>
          <w:sz w:val="26"/>
          <w:szCs w:val="26"/>
        </w:rPr>
        <w:t>1</w:t>
      </w:r>
      <w:r>
        <w:rPr>
          <w:sz w:val="26"/>
          <w:szCs w:val="26"/>
        </w:rPr>
        <w:t xml:space="preserve">.8-7  </w:t>
      </w:r>
      <w:r>
        <w:rPr>
          <w:rFonts w:hint="eastAsia"/>
          <w:sz w:val="26"/>
          <w:szCs w:val="26"/>
        </w:rPr>
        <w:t>试采站大气环境风险保护目标统计表</w:t>
      </w:r>
    </w:p>
    <w:tbl>
      <w:tblPr>
        <w:tblStyle w:val="88"/>
        <w:tblW w:w="13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5"/>
        <w:gridCol w:w="2892"/>
        <w:gridCol w:w="1777"/>
        <w:gridCol w:w="2258"/>
        <w:gridCol w:w="2694"/>
        <w:gridCol w:w="2819"/>
      </w:tblGrid>
      <w:tr w14:paraId="54A8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47AA9C8B">
            <w:pPr>
              <w:autoSpaceDE w:val="0"/>
              <w:autoSpaceDN w:val="0"/>
              <w:adjustRightInd w:val="0"/>
              <w:snapToGrid w:val="0"/>
              <w:jc w:val="center"/>
              <w:textAlignment w:val="baseline"/>
              <w:rPr>
                <w:sz w:val="22"/>
              </w:rPr>
            </w:pPr>
            <w:r>
              <w:rPr>
                <w:sz w:val="22"/>
              </w:rPr>
              <w:t>序号</w:t>
            </w:r>
          </w:p>
        </w:tc>
        <w:tc>
          <w:tcPr>
            <w:tcW w:w="2892" w:type="dxa"/>
            <w:vAlign w:val="center"/>
          </w:tcPr>
          <w:p w14:paraId="774448E0">
            <w:pPr>
              <w:autoSpaceDE w:val="0"/>
              <w:autoSpaceDN w:val="0"/>
              <w:adjustRightInd w:val="0"/>
              <w:snapToGrid w:val="0"/>
              <w:jc w:val="center"/>
              <w:textAlignment w:val="baseline"/>
              <w:rPr>
                <w:sz w:val="22"/>
              </w:rPr>
            </w:pPr>
            <w:r>
              <w:rPr>
                <w:sz w:val="22"/>
              </w:rPr>
              <w:t>敏感目标名称</w:t>
            </w:r>
          </w:p>
        </w:tc>
        <w:tc>
          <w:tcPr>
            <w:tcW w:w="1777" w:type="dxa"/>
            <w:vAlign w:val="center"/>
          </w:tcPr>
          <w:p w14:paraId="11ACA50D">
            <w:pPr>
              <w:autoSpaceDE w:val="0"/>
              <w:autoSpaceDN w:val="0"/>
              <w:adjustRightInd w:val="0"/>
              <w:snapToGrid w:val="0"/>
              <w:jc w:val="center"/>
              <w:textAlignment w:val="baseline"/>
              <w:rPr>
                <w:sz w:val="22"/>
              </w:rPr>
            </w:pPr>
            <w:r>
              <w:rPr>
                <w:sz w:val="22"/>
              </w:rPr>
              <w:t>相对方位</w:t>
            </w:r>
          </w:p>
        </w:tc>
        <w:tc>
          <w:tcPr>
            <w:tcW w:w="2258" w:type="dxa"/>
            <w:vAlign w:val="center"/>
          </w:tcPr>
          <w:p w14:paraId="274497F3">
            <w:pPr>
              <w:autoSpaceDE w:val="0"/>
              <w:autoSpaceDN w:val="0"/>
              <w:adjustRightInd w:val="0"/>
              <w:snapToGrid w:val="0"/>
              <w:jc w:val="center"/>
              <w:textAlignment w:val="baseline"/>
              <w:rPr>
                <w:sz w:val="22"/>
              </w:rPr>
            </w:pPr>
            <w:r>
              <w:rPr>
                <w:sz w:val="22"/>
              </w:rPr>
              <w:t>距离/m</w:t>
            </w:r>
          </w:p>
        </w:tc>
        <w:tc>
          <w:tcPr>
            <w:tcW w:w="2694" w:type="dxa"/>
            <w:vAlign w:val="center"/>
          </w:tcPr>
          <w:p w14:paraId="0D860FE9">
            <w:pPr>
              <w:autoSpaceDE w:val="0"/>
              <w:autoSpaceDN w:val="0"/>
              <w:adjustRightInd w:val="0"/>
              <w:snapToGrid w:val="0"/>
              <w:jc w:val="center"/>
              <w:textAlignment w:val="baseline"/>
              <w:rPr>
                <w:sz w:val="22"/>
              </w:rPr>
            </w:pPr>
            <w:r>
              <w:rPr>
                <w:sz w:val="22"/>
              </w:rPr>
              <w:t>名称</w:t>
            </w:r>
          </w:p>
        </w:tc>
        <w:tc>
          <w:tcPr>
            <w:tcW w:w="2819" w:type="dxa"/>
            <w:vAlign w:val="center"/>
          </w:tcPr>
          <w:p w14:paraId="6B1D0DD2">
            <w:pPr>
              <w:autoSpaceDE w:val="0"/>
              <w:autoSpaceDN w:val="0"/>
              <w:adjustRightInd w:val="0"/>
              <w:snapToGrid w:val="0"/>
              <w:jc w:val="center"/>
              <w:textAlignment w:val="baseline"/>
              <w:rPr>
                <w:sz w:val="22"/>
              </w:rPr>
            </w:pPr>
            <w:r>
              <w:rPr>
                <w:sz w:val="22"/>
              </w:rPr>
              <w:t>属性</w:t>
            </w:r>
          </w:p>
        </w:tc>
      </w:tr>
      <w:tr w14:paraId="4CC09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 w:hRule="atLeast"/>
          <w:jc w:val="center"/>
        </w:trPr>
        <w:tc>
          <w:tcPr>
            <w:tcW w:w="1165" w:type="dxa"/>
            <w:vAlign w:val="center"/>
          </w:tcPr>
          <w:p w14:paraId="5251AE2C">
            <w:pPr>
              <w:adjustRightInd w:val="0"/>
              <w:snapToGrid w:val="0"/>
              <w:jc w:val="center"/>
              <w:rPr>
                <w:sz w:val="22"/>
              </w:rPr>
            </w:pPr>
            <w:r>
              <w:rPr>
                <w:sz w:val="22"/>
              </w:rPr>
              <w:t>1</w:t>
            </w:r>
          </w:p>
        </w:tc>
        <w:tc>
          <w:tcPr>
            <w:tcW w:w="2892" w:type="dxa"/>
            <w:vAlign w:val="center"/>
          </w:tcPr>
          <w:p w14:paraId="2293C007">
            <w:pPr>
              <w:adjustRightInd w:val="0"/>
              <w:snapToGrid w:val="0"/>
              <w:jc w:val="center"/>
              <w:rPr>
                <w:snapToGrid w:val="0"/>
                <w:kern w:val="0"/>
                <w:sz w:val="22"/>
              </w:rPr>
            </w:pPr>
            <w:r>
              <w:rPr>
                <w:sz w:val="22"/>
              </w:rPr>
              <w:t>1#居民点</w:t>
            </w:r>
          </w:p>
        </w:tc>
        <w:tc>
          <w:tcPr>
            <w:tcW w:w="1777" w:type="dxa"/>
            <w:vAlign w:val="center"/>
          </w:tcPr>
          <w:p w14:paraId="193A918E">
            <w:pPr>
              <w:adjustRightInd w:val="0"/>
              <w:snapToGrid w:val="0"/>
              <w:jc w:val="center"/>
              <w:rPr>
                <w:snapToGrid w:val="0"/>
                <w:kern w:val="0"/>
                <w:sz w:val="22"/>
              </w:rPr>
            </w:pPr>
            <w:r>
              <w:rPr>
                <w:rFonts w:hint="eastAsia"/>
                <w:snapToGrid w:val="0"/>
                <w:kern w:val="0"/>
                <w:sz w:val="22"/>
              </w:rPr>
              <w:t>S</w:t>
            </w:r>
          </w:p>
        </w:tc>
        <w:tc>
          <w:tcPr>
            <w:tcW w:w="2258" w:type="dxa"/>
            <w:vAlign w:val="center"/>
          </w:tcPr>
          <w:p w14:paraId="76EEB339">
            <w:pPr>
              <w:adjustRightInd w:val="0"/>
              <w:snapToGrid w:val="0"/>
              <w:jc w:val="center"/>
              <w:rPr>
                <w:snapToGrid w:val="0"/>
                <w:kern w:val="0"/>
                <w:sz w:val="22"/>
              </w:rPr>
            </w:pPr>
            <w:r>
              <w:rPr>
                <w:rFonts w:hint="eastAsia"/>
                <w:snapToGrid w:val="0"/>
                <w:kern w:val="0"/>
                <w:sz w:val="22"/>
              </w:rPr>
              <w:t>1</w:t>
            </w:r>
            <w:r>
              <w:rPr>
                <w:snapToGrid w:val="0"/>
                <w:kern w:val="0"/>
                <w:sz w:val="22"/>
              </w:rPr>
              <w:t>25</w:t>
            </w:r>
          </w:p>
        </w:tc>
        <w:tc>
          <w:tcPr>
            <w:tcW w:w="2694" w:type="dxa"/>
            <w:vAlign w:val="center"/>
          </w:tcPr>
          <w:p w14:paraId="3E5E8C37">
            <w:pPr>
              <w:widowControl/>
              <w:kinsoku w:val="0"/>
              <w:autoSpaceDE w:val="0"/>
              <w:autoSpaceDN w:val="0"/>
              <w:adjustRightInd w:val="0"/>
              <w:snapToGrid w:val="0"/>
              <w:jc w:val="center"/>
              <w:textAlignment w:val="baseline"/>
              <w:rPr>
                <w:snapToGrid w:val="0"/>
                <w:kern w:val="0"/>
                <w:sz w:val="22"/>
              </w:rPr>
            </w:pPr>
            <w:r>
              <w:rPr>
                <w:sz w:val="22"/>
              </w:rPr>
              <w:t>分散居民点</w:t>
            </w:r>
          </w:p>
        </w:tc>
        <w:tc>
          <w:tcPr>
            <w:tcW w:w="2819" w:type="dxa"/>
            <w:vAlign w:val="center"/>
          </w:tcPr>
          <w:p w14:paraId="4C35F338">
            <w:pPr>
              <w:autoSpaceDE w:val="0"/>
              <w:autoSpaceDN w:val="0"/>
              <w:adjustRightInd w:val="0"/>
              <w:snapToGrid w:val="0"/>
              <w:jc w:val="center"/>
              <w:textAlignment w:val="baseline"/>
              <w:rPr>
                <w:sz w:val="22"/>
              </w:rPr>
            </w:pPr>
            <w:r>
              <w:rPr>
                <w:rFonts w:hint="eastAsia"/>
                <w:sz w:val="22"/>
              </w:rPr>
              <w:t>人口约</w:t>
            </w:r>
            <w:r>
              <w:rPr>
                <w:sz w:val="22"/>
              </w:rPr>
              <w:t>21人</w:t>
            </w:r>
          </w:p>
        </w:tc>
      </w:tr>
      <w:tr w14:paraId="2D59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12ADB7A2">
            <w:pPr>
              <w:adjustRightInd w:val="0"/>
              <w:snapToGrid w:val="0"/>
              <w:jc w:val="center"/>
              <w:rPr>
                <w:sz w:val="22"/>
              </w:rPr>
            </w:pPr>
            <w:r>
              <w:rPr>
                <w:sz w:val="22"/>
              </w:rPr>
              <w:t>2</w:t>
            </w:r>
          </w:p>
        </w:tc>
        <w:tc>
          <w:tcPr>
            <w:tcW w:w="2892" w:type="dxa"/>
            <w:vAlign w:val="center"/>
          </w:tcPr>
          <w:p w14:paraId="2D6A8D15">
            <w:pPr>
              <w:adjustRightInd w:val="0"/>
              <w:snapToGrid w:val="0"/>
              <w:jc w:val="center"/>
              <w:rPr>
                <w:sz w:val="22"/>
              </w:rPr>
            </w:pPr>
            <w:r>
              <w:rPr>
                <w:sz w:val="22"/>
              </w:rPr>
              <w:t>2#居民点</w:t>
            </w:r>
          </w:p>
        </w:tc>
        <w:tc>
          <w:tcPr>
            <w:tcW w:w="1777" w:type="dxa"/>
            <w:vAlign w:val="center"/>
          </w:tcPr>
          <w:p w14:paraId="6BB32030">
            <w:pPr>
              <w:adjustRightInd w:val="0"/>
              <w:snapToGrid w:val="0"/>
              <w:jc w:val="center"/>
              <w:rPr>
                <w:sz w:val="22"/>
              </w:rPr>
            </w:pPr>
            <w:r>
              <w:rPr>
                <w:rFonts w:hint="eastAsia"/>
                <w:sz w:val="22"/>
              </w:rPr>
              <w:t>S</w:t>
            </w:r>
            <w:r>
              <w:rPr>
                <w:sz w:val="22"/>
              </w:rPr>
              <w:t>E</w:t>
            </w:r>
          </w:p>
        </w:tc>
        <w:tc>
          <w:tcPr>
            <w:tcW w:w="2258" w:type="dxa"/>
            <w:vAlign w:val="center"/>
          </w:tcPr>
          <w:p w14:paraId="51E6CF2B">
            <w:pPr>
              <w:adjustRightInd w:val="0"/>
              <w:snapToGrid w:val="0"/>
              <w:jc w:val="center"/>
              <w:rPr>
                <w:snapToGrid w:val="0"/>
                <w:kern w:val="0"/>
                <w:sz w:val="22"/>
              </w:rPr>
            </w:pPr>
            <w:r>
              <w:rPr>
                <w:rFonts w:hint="eastAsia"/>
                <w:snapToGrid w:val="0"/>
                <w:kern w:val="0"/>
                <w:sz w:val="22"/>
              </w:rPr>
              <w:t>1</w:t>
            </w:r>
            <w:r>
              <w:rPr>
                <w:snapToGrid w:val="0"/>
                <w:kern w:val="0"/>
                <w:sz w:val="22"/>
              </w:rPr>
              <w:t>82</w:t>
            </w:r>
          </w:p>
        </w:tc>
        <w:tc>
          <w:tcPr>
            <w:tcW w:w="2694" w:type="dxa"/>
            <w:vAlign w:val="center"/>
          </w:tcPr>
          <w:p w14:paraId="1EA676AC">
            <w:pPr>
              <w:widowControl/>
              <w:kinsoku w:val="0"/>
              <w:autoSpaceDE w:val="0"/>
              <w:autoSpaceDN w:val="0"/>
              <w:adjustRightInd w:val="0"/>
              <w:snapToGrid w:val="0"/>
              <w:jc w:val="center"/>
              <w:textAlignment w:val="baseline"/>
              <w:rPr>
                <w:sz w:val="22"/>
              </w:rPr>
            </w:pPr>
            <w:r>
              <w:rPr>
                <w:sz w:val="22"/>
              </w:rPr>
              <w:t>分散居民点</w:t>
            </w:r>
          </w:p>
        </w:tc>
        <w:tc>
          <w:tcPr>
            <w:tcW w:w="2819" w:type="dxa"/>
            <w:vAlign w:val="center"/>
          </w:tcPr>
          <w:p w14:paraId="732353FC">
            <w:pPr>
              <w:autoSpaceDE w:val="0"/>
              <w:autoSpaceDN w:val="0"/>
              <w:adjustRightInd w:val="0"/>
              <w:snapToGrid w:val="0"/>
              <w:jc w:val="center"/>
              <w:textAlignment w:val="baseline"/>
              <w:rPr>
                <w:sz w:val="22"/>
              </w:rPr>
            </w:pPr>
            <w:r>
              <w:rPr>
                <w:rFonts w:hint="eastAsia"/>
                <w:sz w:val="22"/>
              </w:rPr>
              <w:t>人口约</w:t>
            </w:r>
            <w:r>
              <w:rPr>
                <w:sz w:val="22"/>
              </w:rPr>
              <w:t>3人</w:t>
            </w:r>
          </w:p>
        </w:tc>
      </w:tr>
      <w:tr w14:paraId="5468A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6E7B4EE4">
            <w:pPr>
              <w:adjustRightInd w:val="0"/>
              <w:snapToGrid w:val="0"/>
              <w:jc w:val="center"/>
              <w:rPr>
                <w:sz w:val="22"/>
              </w:rPr>
            </w:pPr>
            <w:r>
              <w:rPr>
                <w:sz w:val="22"/>
              </w:rPr>
              <w:t>3</w:t>
            </w:r>
          </w:p>
        </w:tc>
        <w:tc>
          <w:tcPr>
            <w:tcW w:w="2892" w:type="dxa"/>
            <w:vAlign w:val="center"/>
          </w:tcPr>
          <w:p w14:paraId="0B8E6888">
            <w:pPr>
              <w:adjustRightInd w:val="0"/>
              <w:snapToGrid w:val="0"/>
              <w:jc w:val="center"/>
              <w:rPr>
                <w:snapToGrid w:val="0"/>
                <w:kern w:val="0"/>
                <w:sz w:val="22"/>
              </w:rPr>
            </w:pPr>
            <w:r>
              <w:rPr>
                <w:snapToGrid w:val="0"/>
                <w:kern w:val="0"/>
                <w:sz w:val="22"/>
              </w:rPr>
              <w:t>3</w:t>
            </w:r>
            <w:r>
              <w:rPr>
                <w:sz w:val="22"/>
              </w:rPr>
              <w:t>#居民点</w:t>
            </w:r>
          </w:p>
        </w:tc>
        <w:tc>
          <w:tcPr>
            <w:tcW w:w="1777" w:type="dxa"/>
            <w:vAlign w:val="center"/>
          </w:tcPr>
          <w:p w14:paraId="714CEBDD">
            <w:pPr>
              <w:adjustRightInd w:val="0"/>
              <w:snapToGrid w:val="0"/>
              <w:jc w:val="center"/>
              <w:rPr>
                <w:snapToGrid w:val="0"/>
                <w:kern w:val="0"/>
                <w:sz w:val="22"/>
              </w:rPr>
            </w:pPr>
            <w:r>
              <w:rPr>
                <w:rFonts w:hint="eastAsia"/>
                <w:snapToGrid w:val="0"/>
                <w:kern w:val="0"/>
                <w:sz w:val="22"/>
              </w:rPr>
              <w:t>E</w:t>
            </w:r>
          </w:p>
        </w:tc>
        <w:tc>
          <w:tcPr>
            <w:tcW w:w="2258" w:type="dxa"/>
            <w:vAlign w:val="center"/>
          </w:tcPr>
          <w:p w14:paraId="2F0181E9">
            <w:pPr>
              <w:adjustRightInd w:val="0"/>
              <w:snapToGrid w:val="0"/>
              <w:jc w:val="center"/>
              <w:rPr>
                <w:snapToGrid w:val="0"/>
                <w:kern w:val="0"/>
                <w:sz w:val="22"/>
              </w:rPr>
            </w:pPr>
            <w:r>
              <w:rPr>
                <w:rFonts w:hint="eastAsia"/>
                <w:snapToGrid w:val="0"/>
                <w:kern w:val="0"/>
                <w:sz w:val="22"/>
              </w:rPr>
              <w:t>7</w:t>
            </w:r>
            <w:r>
              <w:rPr>
                <w:snapToGrid w:val="0"/>
                <w:kern w:val="0"/>
                <w:sz w:val="22"/>
              </w:rPr>
              <w:t>0</w:t>
            </w:r>
          </w:p>
        </w:tc>
        <w:tc>
          <w:tcPr>
            <w:tcW w:w="2694" w:type="dxa"/>
            <w:vAlign w:val="center"/>
          </w:tcPr>
          <w:p w14:paraId="67E18E99">
            <w:pPr>
              <w:widowControl/>
              <w:kinsoku w:val="0"/>
              <w:autoSpaceDE w:val="0"/>
              <w:autoSpaceDN w:val="0"/>
              <w:adjustRightInd w:val="0"/>
              <w:snapToGrid w:val="0"/>
              <w:jc w:val="center"/>
              <w:textAlignment w:val="baseline"/>
              <w:rPr>
                <w:snapToGrid w:val="0"/>
                <w:kern w:val="0"/>
                <w:sz w:val="22"/>
              </w:rPr>
            </w:pPr>
            <w:r>
              <w:rPr>
                <w:sz w:val="22"/>
              </w:rPr>
              <w:t>分散居民点</w:t>
            </w:r>
          </w:p>
        </w:tc>
        <w:tc>
          <w:tcPr>
            <w:tcW w:w="2819" w:type="dxa"/>
            <w:vAlign w:val="center"/>
          </w:tcPr>
          <w:p w14:paraId="5328844F">
            <w:pPr>
              <w:autoSpaceDE w:val="0"/>
              <w:autoSpaceDN w:val="0"/>
              <w:adjustRightInd w:val="0"/>
              <w:snapToGrid w:val="0"/>
              <w:jc w:val="center"/>
              <w:textAlignment w:val="baseline"/>
              <w:rPr>
                <w:sz w:val="22"/>
              </w:rPr>
            </w:pPr>
            <w:r>
              <w:rPr>
                <w:rFonts w:hint="eastAsia"/>
                <w:sz w:val="22"/>
              </w:rPr>
              <w:t>人口约</w:t>
            </w:r>
            <w:r>
              <w:rPr>
                <w:sz w:val="22"/>
              </w:rPr>
              <w:t>21人</w:t>
            </w:r>
          </w:p>
        </w:tc>
      </w:tr>
      <w:tr w14:paraId="3C228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4DD34FED">
            <w:pPr>
              <w:adjustRightInd w:val="0"/>
              <w:snapToGrid w:val="0"/>
              <w:jc w:val="center"/>
              <w:rPr>
                <w:sz w:val="22"/>
              </w:rPr>
            </w:pPr>
            <w:r>
              <w:rPr>
                <w:sz w:val="22"/>
              </w:rPr>
              <w:t>4</w:t>
            </w:r>
          </w:p>
        </w:tc>
        <w:tc>
          <w:tcPr>
            <w:tcW w:w="2892" w:type="dxa"/>
            <w:vAlign w:val="center"/>
          </w:tcPr>
          <w:p w14:paraId="3EAE07F2">
            <w:pPr>
              <w:adjustRightInd w:val="0"/>
              <w:snapToGrid w:val="0"/>
              <w:jc w:val="center"/>
              <w:rPr>
                <w:snapToGrid w:val="0"/>
                <w:kern w:val="0"/>
                <w:sz w:val="22"/>
              </w:rPr>
            </w:pPr>
            <w:r>
              <w:rPr>
                <w:sz w:val="22"/>
              </w:rPr>
              <w:t>4#居民点</w:t>
            </w:r>
          </w:p>
        </w:tc>
        <w:tc>
          <w:tcPr>
            <w:tcW w:w="1777" w:type="dxa"/>
            <w:vAlign w:val="center"/>
          </w:tcPr>
          <w:p w14:paraId="3573A861">
            <w:pPr>
              <w:adjustRightInd w:val="0"/>
              <w:snapToGrid w:val="0"/>
              <w:jc w:val="center"/>
              <w:rPr>
                <w:snapToGrid w:val="0"/>
                <w:kern w:val="0"/>
                <w:sz w:val="22"/>
              </w:rPr>
            </w:pPr>
            <w:r>
              <w:rPr>
                <w:rFonts w:hint="eastAsia"/>
                <w:snapToGrid w:val="0"/>
                <w:kern w:val="0"/>
                <w:sz w:val="22"/>
              </w:rPr>
              <w:t>N</w:t>
            </w:r>
            <w:r>
              <w:rPr>
                <w:snapToGrid w:val="0"/>
                <w:kern w:val="0"/>
                <w:sz w:val="22"/>
              </w:rPr>
              <w:t>E</w:t>
            </w:r>
          </w:p>
        </w:tc>
        <w:tc>
          <w:tcPr>
            <w:tcW w:w="2258" w:type="dxa"/>
            <w:vAlign w:val="center"/>
          </w:tcPr>
          <w:p w14:paraId="310F666F">
            <w:pPr>
              <w:adjustRightInd w:val="0"/>
              <w:snapToGrid w:val="0"/>
              <w:jc w:val="center"/>
              <w:rPr>
                <w:snapToGrid w:val="0"/>
                <w:kern w:val="0"/>
                <w:sz w:val="22"/>
              </w:rPr>
            </w:pPr>
            <w:r>
              <w:rPr>
                <w:rFonts w:hint="eastAsia"/>
                <w:snapToGrid w:val="0"/>
                <w:kern w:val="0"/>
                <w:sz w:val="22"/>
              </w:rPr>
              <w:t>7</w:t>
            </w:r>
            <w:r>
              <w:rPr>
                <w:snapToGrid w:val="0"/>
                <w:kern w:val="0"/>
                <w:sz w:val="22"/>
              </w:rPr>
              <w:t>4</w:t>
            </w:r>
          </w:p>
        </w:tc>
        <w:tc>
          <w:tcPr>
            <w:tcW w:w="2694" w:type="dxa"/>
            <w:vAlign w:val="center"/>
          </w:tcPr>
          <w:p w14:paraId="36D977F5">
            <w:pPr>
              <w:widowControl/>
              <w:kinsoku w:val="0"/>
              <w:autoSpaceDE w:val="0"/>
              <w:autoSpaceDN w:val="0"/>
              <w:adjustRightInd w:val="0"/>
              <w:snapToGrid w:val="0"/>
              <w:jc w:val="center"/>
              <w:textAlignment w:val="baseline"/>
              <w:rPr>
                <w:snapToGrid w:val="0"/>
                <w:kern w:val="0"/>
                <w:sz w:val="22"/>
              </w:rPr>
            </w:pPr>
            <w:r>
              <w:rPr>
                <w:sz w:val="22"/>
              </w:rPr>
              <w:t>分散居民点</w:t>
            </w:r>
          </w:p>
        </w:tc>
        <w:tc>
          <w:tcPr>
            <w:tcW w:w="2819" w:type="dxa"/>
            <w:vAlign w:val="center"/>
          </w:tcPr>
          <w:p w14:paraId="4FDBBE5B">
            <w:pPr>
              <w:adjustRightInd w:val="0"/>
              <w:snapToGrid w:val="0"/>
              <w:jc w:val="center"/>
              <w:rPr>
                <w:sz w:val="22"/>
              </w:rPr>
            </w:pPr>
            <w:r>
              <w:rPr>
                <w:rFonts w:hint="eastAsia"/>
                <w:sz w:val="22"/>
              </w:rPr>
              <w:t>人口约1</w:t>
            </w:r>
            <w:r>
              <w:rPr>
                <w:sz w:val="22"/>
              </w:rPr>
              <w:t>2人</w:t>
            </w:r>
          </w:p>
        </w:tc>
      </w:tr>
      <w:tr w14:paraId="0356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138B9D27">
            <w:pPr>
              <w:autoSpaceDE w:val="0"/>
              <w:autoSpaceDN w:val="0"/>
              <w:adjustRightInd w:val="0"/>
              <w:snapToGrid w:val="0"/>
              <w:jc w:val="center"/>
              <w:textAlignment w:val="baseline"/>
              <w:rPr>
                <w:sz w:val="22"/>
              </w:rPr>
            </w:pPr>
            <w:r>
              <w:rPr>
                <w:sz w:val="22"/>
              </w:rPr>
              <w:t>5</w:t>
            </w:r>
          </w:p>
        </w:tc>
        <w:tc>
          <w:tcPr>
            <w:tcW w:w="2892" w:type="dxa"/>
            <w:vAlign w:val="center"/>
          </w:tcPr>
          <w:p w14:paraId="6E189252">
            <w:pPr>
              <w:adjustRightInd w:val="0"/>
              <w:snapToGrid w:val="0"/>
              <w:jc w:val="center"/>
              <w:rPr>
                <w:snapToGrid w:val="0"/>
                <w:kern w:val="0"/>
                <w:sz w:val="22"/>
              </w:rPr>
            </w:pPr>
            <w:r>
              <w:rPr>
                <w:sz w:val="22"/>
              </w:rPr>
              <w:t>5#居民点</w:t>
            </w:r>
          </w:p>
        </w:tc>
        <w:tc>
          <w:tcPr>
            <w:tcW w:w="1777" w:type="dxa"/>
            <w:vAlign w:val="center"/>
          </w:tcPr>
          <w:p w14:paraId="3FB2339F">
            <w:pPr>
              <w:adjustRightInd w:val="0"/>
              <w:snapToGrid w:val="0"/>
              <w:jc w:val="center"/>
              <w:rPr>
                <w:snapToGrid w:val="0"/>
                <w:kern w:val="0"/>
                <w:sz w:val="22"/>
              </w:rPr>
            </w:pPr>
            <w:r>
              <w:rPr>
                <w:rFonts w:hint="eastAsia"/>
                <w:snapToGrid w:val="0"/>
                <w:kern w:val="0"/>
                <w:sz w:val="22"/>
              </w:rPr>
              <w:t>N</w:t>
            </w:r>
          </w:p>
        </w:tc>
        <w:tc>
          <w:tcPr>
            <w:tcW w:w="2258" w:type="dxa"/>
            <w:vAlign w:val="center"/>
          </w:tcPr>
          <w:p w14:paraId="327340E4">
            <w:pPr>
              <w:adjustRightInd w:val="0"/>
              <w:snapToGrid w:val="0"/>
              <w:jc w:val="center"/>
              <w:rPr>
                <w:snapToGrid w:val="0"/>
                <w:kern w:val="0"/>
                <w:sz w:val="22"/>
              </w:rPr>
            </w:pPr>
            <w:r>
              <w:rPr>
                <w:rFonts w:hint="eastAsia"/>
                <w:snapToGrid w:val="0"/>
                <w:kern w:val="0"/>
                <w:sz w:val="22"/>
              </w:rPr>
              <w:t>1</w:t>
            </w:r>
            <w:r>
              <w:rPr>
                <w:snapToGrid w:val="0"/>
                <w:kern w:val="0"/>
                <w:sz w:val="22"/>
              </w:rPr>
              <w:t>14</w:t>
            </w:r>
          </w:p>
        </w:tc>
        <w:tc>
          <w:tcPr>
            <w:tcW w:w="2694" w:type="dxa"/>
            <w:vAlign w:val="center"/>
          </w:tcPr>
          <w:p w14:paraId="0A8D3469">
            <w:pPr>
              <w:adjustRightInd w:val="0"/>
              <w:snapToGrid w:val="0"/>
              <w:jc w:val="center"/>
              <w:rPr>
                <w:snapToGrid w:val="0"/>
                <w:kern w:val="0"/>
                <w:sz w:val="22"/>
              </w:rPr>
            </w:pPr>
            <w:r>
              <w:rPr>
                <w:sz w:val="22"/>
              </w:rPr>
              <w:t>分散居民点</w:t>
            </w:r>
          </w:p>
        </w:tc>
        <w:tc>
          <w:tcPr>
            <w:tcW w:w="2819" w:type="dxa"/>
          </w:tcPr>
          <w:p w14:paraId="662061DB">
            <w:pPr>
              <w:adjustRightInd w:val="0"/>
              <w:snapToGrid w:val="0"/>
              <w:jc w:val="center"/>
              <w:rPr>
                <w:sz w:val="22"/>
              </w:rPr>
            </w:pPr>
            <w:r>
              <w:rPr>
                <w:rFonts w:hint="eastAsia"/>
                <w:sz w:val="22"/>
              </w:rPr>
              <w:t>人口约</w:t>
            </w:r>
            <w:r>
              <w:rPr>
                <w:sz w:val="22"/>
              </w:rPr>
              <w:t>30</w:t>
            </w:r>
            <w:r>
              <w:rPr>
                <w:rFonts w:hint="eastAsia"/>
                <w:sz w:val="22"/>
              </w:rPr>
              <w:t>人</w:t>
            </w:r>
          </w:p>
        </w:tc>
      </w:tr>
      <w:tr w14:paraId="5727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39D62EF1">
            <w:pPr>
              <w:autoSpaceDE w:val="0"/>
              <w:autoSpaceDN w:val="0"/>
              <w:adjustRightInd w:val="0"/>
              <w:snapToGrid w:val="0"/>
              <w:jc w:val="center"/>
              <w:textAlignment w:val="baseline"/>
              <w:rPr>
                <w:sz w:val="22"/>
              </w:rPr>
            </w:pPr>
            <w:r>
              <w:rPr>
                <w:sz w:val="22"/>
              </w:rPr>
              <w:t>6</w:t>
            </w:r>
          </w:p>
        </w:tc>
        <w:tc>
          <w:tcPr>
            <w:tcW w:w="2892" w:type="dxa"/>
            <w:vAlign w:val="center"/>
          </w:tcPr>
          <w:p w14:paraId="68D39C3B">
            <w:pPr>
              <w:adjustRightInd w:val="0"/>
              <w:snapToGrid w:val="0"/>
              <w:jc w:val="center"/>
              <w:rPr>
                <w:snapToGrid w:val="0"/>
                <w:kern w:val="0"/>
                <w:sz w:val="22"/>
              </w:rPr>
            </w:pPr>
            <w:r>
              <w:rPr>
                <w:sz w:val="22"/>
              </w:rPr>
              <w:t>6#居民点</w:t>
            </w:r>
          </w:p>
        </w:tc>
        <w:tc>
          <w:tcPr>
            <w:tcW w:w="1777" w:type="dxa"/>
            <w:vAlign w:val="center"/>
          </w:tcPr>
          <w:p w14:paraId="191D649E">
            <w:pPr>
              <w:adjustRightInd w:val="0"/>
              <w:snapToGrid w:val="0"/>
              <w:jc w:val="center"/>
              <w:rPr>
                <w:snapToGrid w:val="0"/>
                <w:kern w:val="0"/>
                <w:sz w:val="22"/>
              </w:rPr>
            </w:pPr>
            <w:r>
              <w:rPr>
                <w:rFonts w:hint="eastAsia"/>
                <w:snapToGrid w:val="0"/>
                <w:kern w:val="0"/>
                <w:sz w:val="22"/>
              </w:rPr>
              <w:t>N</w:t>
            </w:r>
            <w:r>
              <w:rPr>
                <w:snapToGrid w:val="0"/>
                <w:kern w:val="0"/>
                <w:sz w:val="22"/>
              </w:rPr>
              <w:t>E</w:t>
            </w:r>
          </w:p>
        </w:tc>
        <w:tc>
          <w:tcPr>
            <w:tcW w:w="2258" w:type="dxa"/>
            <w:vAlign w:val="center"/>
          </w:tcPr>
          <w:p w14:paraId="17A9CB6E">
            <w:pPr>
              <w:adjustRightInd w:val="0"/>
              <w:snapToGrid w:val="0"/>
              <w:jc w:val="center"/>
              <w:rPr>
                <w:snapToGrid w:val="0"/>
                <w:kern w:val="0"/>
                <w:sz w:val="22"/>
              </w:rPr>
            </w:pPr>
            <w:r>
              <w:rPr>
                <w:rFonts w:hint="eastAsia"/>
                <w:snapToGrid w:val="0"/>
                <w:kern w:val="0"/>
                <w:sz w:val="22"/>
              </w:rPr>
              <w:t>3</w:t>
            </w:r>
            <w:r>
              <w:rPr>
                <w:snapToGrid w:val="0"/>
                <w:kern w:val="0"/>
                <w:sz w:val="22"/>
              </w:rPr>
              <w:t>24</w:t>
            </w:r>
          </w:p>
        </w:tc>
        <w:tc>
          <w:tcPr>
            <w:tcW w:w="2694" w:type="dxa"/>
            <w:vAlign w:val="center"/>
          </w:tcPr>
          <w:p w14:paraId="67EE001E">
            <w:pPr>
              <w:adjustRightInd w:val="0"/>
              <w:snapToGrid w:val="0"/>
              <w:jc w:val="center"/>
              <w:rPr>
                <w:snapToGrid w:val="0"/>
                <w:kern w:val="0"/>
                <w:sz w:val="22"/>
              </w:rPr>
            </w:pPr>
            <w:r>
              <w:rPr>
                <w:sz w:val="22"/>
              </w:rPr>
              <w:t>分散居民点</w:t>
            </w:r>
          </w:p>
        </w:tc>
        <w:tc>
          <w:tcPr>
            <w:tcW w:w="2819" w:type="dxa"/>
          </w:tcPr>
          <w:p w14:paraId="308771D7">
            <w:pPr>
              <w:adjustRightInd w:val="0"/>
              <w:snapToGrid w:val="0"/>
              <w:jc w:val="center"/>
              <w:rPr>
                <w:sz w:val="22"/>
              </w:rPr>
            </w:pPr>
            <w:r>
              <w:rPr>
                <w:rFonts w:hint="eastAsia"/>
                <w:sz w:val="22"/>
              </w:rPr>
              <w:t>人口约</w:t>
            </w:r>
            <w:r>
              <w:rPr>
                <w:sz w:val="22"/>
              </w:rPr>
              <w:t>3</w:t>
            </w:r>
            <w:r>
              <w:rPr>
                <w:rFonts w:hint="eastAsia"/>
                <w:sz w:val="22"/>
              </w:rPr>
              <w:t>人</w:t>
            </w:r>
          </w:p>
        </w:tc>
      </w:tr>
      <w:tr w14:paraId="444EC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10C453A5">
            <w:pPr>
              <w:autoSpaceDE w:val="0"/>
              <w:autoSpaceDN w:val="0"/>
              <w:adjustRightInd w:val="0"/>
              <w:snapToGrid w:val="0"/>
              <w:jc w:val="center"/>
              <w:textAlignment w:val="baseline"/>
              <w:rPr>
                <w:sz w:val="22"/>
              </w:rPr>
            </w:pPr>
            <w:r>
              <w:rPr>
                <w:sz w:val="22"/>
              </w:rPr>
              <w:t>7</w:t>
            </w:r>
          </w:p>
        </w:tc>
        <w:tc>
          <w:tcPr>
            <w:tcW w:w="2892" w:type="dxa"/>
            <w:vAlign w:val="center"/>
          </w:tcPr>
          <w:p w14:paraId="56C99338">
            <w:pPr>
              <w:adjustRightInd w:val="0"/>
              <w:snapToGrid w:val="0"/>
              <w:jc w:val="center"/>
              <w:rPr>
                <w:snapToGrid w:val="0"/>
                <w:kern w:val="0"/>
                <w:sz w:val="22"/>
              </w:rPr>
            </w:pPr>
            <w:r>
              <w:rPr>
                <w:sz w:val="22"/>
              </w:rPr>
              <w:t>7#居民点</w:t>
            </w:r>
          </w:p>
        </w:tc>
        <w:tc>
          <w:tcPr>
            <w:tcW w:w="1777" w:type="dxa"/>
            <w:vAlign w:val="center"/>
          </w:tcPr>
          <w:p w14:paraId="0E21A09E">
            <w:pPr>
              <w:adjustRightInd w:val="0"/>
              <w:snapToGrid w:val="0"/>
              <w:jc w:val="center"/>
              <w:rPr>
                <w:snapToGrid w:val="0"/>
                <w:kern w:val="0"/>
                <w:sz w:val="22"/>
              </w:rPr>
            </w:pPr>
            <w:r>
              <w:rPr>
                <w:rFonts w:hint="eastAsia"/>
                <w:snapToGrid w:val="0"/>
                <w:kern w:val="0"/>
                <w:sz w:val="22"/>
              </w:rPr>
              <w:t>N</w:t>
            </w:r>
          </w:p>
        </w:tc>
        <w:tc>
          <w:tcPr>
            <w:tcW w:w="2258" w:type="dxa"/>
            <w:vAlign w:val="center"/>
          </w:tcPr>
          <w:p w14:paraId="3B1B75A3">
            <w:pPr>
              <w:adjustRightInd w:val="0"/>
              <w:snapToGrid w:val="0"/>
              <w:jc w:val="center"/>
              <w:rPr>
                <w:snapToGrid w:val="0"/>
                <w:kern w:val="0"/>
                <w:sz w:val="22"/>
              </w:rPr>
            </w:pPr>
            <w:r>
              <w:rPr>
                <w:rFonts w:hint="eastAsia"/>
                <w:snapToGrid w:val="0"/>
                <w:kern w:val="0"/>
                <w:sz w:val="22"/>
              </w:rPr>
              <w:t>2</w:t>
            </w:r>
            <w:r>
              <w:rPr>
                <w:snapToGrid w:val="0"/>
                <w:kern w:val="0"/>
                <w:sz w:val="22"/>
              </w:rPr>
              <w:t>72</w:t>
            </w:r>
          </w:p>
        </w:tc>
        <w:tc>
          <w:tcPr>
            <w:tcW w:w="2694" w:type="dxa"/>
            <w:vAlign w:val="center"/>
          </w:tcPr>
          <w:p w14:paraId="277CB673">
            <w:pPr>
              <w:adjustRightInd w:val="0"/>
              <w:snapToGrid w:val="0"/>
              <w:jc w:val="center"/>
              <w:rPr>
                <w:snapToGrid w:val="0"/>
                <w:kern w:val="0"/>
                <w:sz w:val="22"/>
              </w:rPr>
            </w:pPr>
            <w:r>
              <w:rPr>
                <w:sz w:val="22"/>
              </w:rPr>
              <w:t>分散居民点</w:t>
            </w:r>
          </w:p>
        </w:tc>
        <w:tc>
          <w:tcPr>
            <w:tcW w:w="2819" w:type="dxa"/>
          </w:tcPr>
          <w:p w14:paraId="76701125">
            <w:pPr>
              <w:adjustRightInd w:val="0"/>
              <w:snapToGrid w:val="0"/>
              <w:jc w:val="center"/>
              <w:rPr>
                <w:sz w:val="22"/>
              </w:rPr>
            </w:pPr>
            <w:r>
              <w:rPr>
                <w:rFonts w:hint="eastAsia"/>
                <w:sz w:val="22"/>
              </w:rPr>
              <w:t>人口约</w:t>
            </w:r>
            <w:r>
              <w:rPr>
                <w:sz w:val="22"/>
              </w:rPr>
              <w:t>27</w:t>
            </w:r>
            <w:r>
              <w:rPr>
                <w:rFonts w:hint="eastAsia"/>
                <w:sz w:val="22"/>
              </w:rPr>
              <w:t>人</w:t>
            </w:r>
          </w:p>
        </w:tc>
      </w:tr>
      <w:tr w14:paraId="5953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1C647460">
            <w:pPr>
              <w:autoSpaceDE w:val="0"/>
              <w:autoSpaceDN w:val="0"/>
              <w:adjustRightInd w:val="0"/>
              <w:snapToGrid w:val="0"/>
              <w:jc w:val="center"/>
              <w:textAlignment w:val="baseline"/>
              <w:rPr>
                <w:sz w:val="22"/>
              </w:rPr>
            </w:pPr>
            <w:r>
              <w:rPr>
                <w:sz w:val="22"/>
              </w:rPr>
              <w:t>8</w:t>
            </w:r>
          </w:p>
        </w:tc>
        <w:tc>
          <w:tcPr>
            <w:tcW w:w="2892" w:type="dxa"/>
            <w:vAlign w:val="center"/>
          </w:tcPr>
          <w:p w14:paraId="54D15027">
            <w:pPr>
              <w:adjustRightInd w:val="0"/>
              <w:snapToGrid w:val="0"/>
              <w:jc w:val="center"/>
              <w:rPr>
                <w:snapToGrid w:val="0"/>
                <w:kern w:val="0"/>
                <w:sz w:val="22"/>
              </w:rPr>
            </w:pPr>
            <w:r>
              <w:rPr>
                <w:sz w:val="22"/>
              </w:rPr>
              <w:t>8#居民点</w:t>
            </w:r>
          </w:p>
        </w:tc>
        <w:tc>
          <w:tcPr>
            <w:tcW w:w="1777" w:type="dxa"/>
            <w:vAlign w:val="center"/>
          </w:tcPr>
          <w:p w14:paraId="7CFCDABB">
            <w:pPr>
              <w:adjustRightInd w:val="0"/>
              <w:snapToGrid w:val="0"/>
              <w:jc w:val="center"/>
              <w:rPr>
                <w:snapToGrid w:val="0"/>
                <w:kern w:val="0"/>
                <w:sz w:val="22"/>
              </w:rPr>
            </w:pPr>
            <w:r>
              <w:rPr>
                <w:rFonts w:hint="eastAsia"/>
                <w:snapToGrid w:val="0"/>
                <w:kern w:val="0"/>
                <w:sz w:val="22"/>
              </w:rPr>
              <w:t>N</w:t>
            </w:r>
            <w:r>
              <w:rPr>
                <w:snapToGrid w:val="0"/>
                <w:kern w:val="0"/>
                <w:sz w:val="22"/>
              </w:rPr>
              <w:t>W</w:t>
            </w:r>
          </w:p>
        </w:tc>
        <w:tc>
          <w:tcPr>
            <w:tcW w:w="2258" w:type="dxa"/>
            <w:vAlign w:val="center"/>
          </w:tcPr>
          <w:p w14:paraId="0B602DB9">
            <w:pPr>
              <w:adjustRightInd w:val="0"/>
              <w:snapToGrid w:val="0"/>
              <w:jc w:val="center"/>
              <w:rPr>
                <w:snapToGrid w:val="0"/>
                <w:kern w:val="0"/>
                <w:sz w:val="22"/>
              </w:rPr>
            </w:pPr>
            <w:r>
              <w:rPr>
                <w:rFonts w:hint="eastAsia"/>
                <w:snapToGrid w:val="0"/>
                <w:kern w:val="0"/>
                <w:sz w:val="22"/>
              </w:rPr>
              <w:t>4</w:t>
            </w:r>
            <w:r>
              <w:rPr>
                <w:snapToGrid w:val="0"/>
                <w:kern w:val="0"/>
                <w:sz w:val="22"/>
              </w:rPr>
              <w:t>54</w:t>
            </w:r>
          </w:p>
        </w:tc>
        <w:tc>
          <w:tcPr>
            <w:tcW w:w="2694" w:type="dxa"/>
            <w:vAlign w:val="center"/>
          </w:tcPr>
          <w:p w14:paraId="03C6DA5E">
            <w:pPr>
              <w:adjustRightInd w:val="0"/>
              <w:snapToGrid w:val="0"/>
              <w:jc w:val="center"/>
              <w:rPr>
                <w:snapToGrid w:val="0"/>
                <w:kern w:val="0"/>
                <w:sz w:val="22"/>
              </w:rPr>
            </w:pPr>
            <w:r>
              <w:rPr>
                <w:sz w:val="22"/>
              </w:rPr>
              <w:t>分散居民点</w:t>
            </w:r>
          </w:p>
        </w:tc>
        <w:tc>
          <w:tcPr>
            <w:tcW w:w="2819" w:type="dxa"/>
          </w:tcPr>
          <w:p w14:paraId="7EB3F88C">
            <w:pPr>
              <w:adjustRightInd w:val="0"/>
              <w:snapToGrid w:val="0"/>
              <w:jc w:val="center"/>
              <w:rPr>
                <w:sz w:val="22"/>
              </w:rPr>
            </w:pPr>
            <w:r>
              <w:rPr>
                <w:rFonts w:hint="eastAsia"/>
                <w:sz w:val="22"/>
              </w:rPr>
              <w:t>人口约</w:t>
            </w:r>
            <w:r>
              <w:rPr>
                <w:sz w:val="22"/>
              </w:rPr>
              <w:t>12</w:t>
            </w:r>
            <w:r>
              <w:rPr>
                <w:rFonts w:hint="eastAsia"/>
                <w:sz w:val="22"/>
              </w:rPr>
              <w:t>人</w:t>
            </w:r>
          </w:p>
        </w:tc>
      </w:tr>
      <w:tr w14:paraId="685E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6503480E">
            <w:pPr>
              <w:autoSpaceDE w:val="0"/>
              <w:autoSpaceDN w:val="0"/>
              <w:adjustRightInd w:val="0"/>
              <w:snapToGrid w:val="0"/>
              <w:jc w:val="center"/>
              <w:textAlignment w:val="baseline"/>
              <w:rPr>
                <w:sz w:val="22"/>
              </w:rPr>
            </w:pPr>
            <w:r>
              <w:rPr>
                <w:snapToGrid w:val="0"/>
                <w:kern w:val="0"/>
                <w:sz w:val="22"/>
              </w:rPr>
              <w:t>9</w:t>
            </w:r>
          </w:p>
        </w:tc>
        <w:tc>
          <w:tcPr>
            <w:tcW w:w="2892" w:type="dxa"/>
            <w:vAlign w:val="center"/>
          </w:tcPr>
          <w:p w14:paraId="49F02D48">
            <w:pPr>
              <w:adjustRightInd w:val="0"/>
              <w:snapToGrid w:val="0"/>
              <w:jc w:val="center"/>
              <w:rPr>
                <w:snapToGrid w:val="0"/>
                <w:kern w:val="0"/>
                <w:sz w:val="22"/>
              </w:rPr>
            </w:pPr>
            <w:r>
              <w:rPr>
                <w:sz w:val="22"/>
              </w:rPr>
              <w:t>9#居民点</w:t>
            </w:r>
          </w:p>
        </w:tc>
        <w:tc>
          <w:tcPr>
            <w:tcW w:w="1777" w:type="dxa"/>
            <w:vAlign w:val="center"/>
          </w:tcPr>
          <w:p w14:paraId="1E060816">
            <w:pPr>
              <w:adjustRightInd w:val="0"/>
              <w:snapToGrid w:val="0"/>
              <w:jc w:val="center"/>
              <w:rPr>
                <w:snapToGrid w:val="0"/>
                <w:kern w:val="0"/>
                <w:sz w:val="22"/>
              </w:rPr>
            </w:pPr>
            <w:r>
              <w:rPr>
                <w:rFonts w:hint="eastAsia"/>
                <w:snapToGrid w:val="0"/>
                <w:kern w:val="0"/>
                <w:sz w:val="22"/>
              </w:rPr>
              <w:t>W</w:t>
            </w:r>
          </w:p>
        </w:tc>
        <w:tc>
          <w:tcPr>
            <w:tcW w:w="2258" w:type="dxa"/>
            <w:vAlign w:val="center"/>
          </w:tcPr>
          <w:p w14:paraId="6871012B">
            <w:pPr>
              <w:adjustRightInd w:val="0"/>
              <w:snapToGrid w:val="0"/>
              <w:jc w:val="center"/>
              <w:rPr>
                <w:snapToGrid w:val="0"/>
                <w:kern w:val="0"/>
                <w:sz w:val="22"/>
              </w:rPr>
            </w:pPr>
            <w:r>
              <w:rPr>
                <w:rFonts w:hint="eastAsia"/>
                <w:snapToGrid w:val="0"/>
                <w:kern w:val="0"/>
                <w:sz w:val="22"/>
              </w:rPr>
              <w:t>3</w:t>
            </w:r>
            <w:r>
              <w:rPr>
                <w:snapToGrid w:val="0"/>
                <w:kern w:val="0"/>
                <w:sz w:val="22"/>
              </w:rPr>
              <w:t>25</w:t>
            </w:r>
          </w:p>
        </w:tc>
        <w:tc>
          <w:tcPr>
            <w:tcW w:w="2694" w:type="dxa"/>
            <w:vAlign w:val="center"/>
          </w:tcPr>
          <w:p w14:paraId="5246ABE8">
            <w:pPr>
              <w:adjustRightInd w:val="0"/>
              <w:snapToGrid w:val="0"/>
              <w:jc w:val="center"/>
              <w:rPr>
                <w:snapToGrid w:val="0"/>
                <w:kern w:val="0"/>
                <w:sz w:val="22"/>
              </w:rPr>
            </w:pPr>
            <w:r>
              <w:rPr>
                <w:sz w:val="22"/>
              </w:rPr>
              <w:t>分散居民点</w:t>
            </w:r>
          </w:p>
        </w:tc>
        <w:tc>
          <w:tcPr>
            <w:tcW w:w="2819" w:type="dxa"/>
          </w:tcPr>
          <w:p w14:paraId="7C3DC296">
            <w:pPr>
              <w:adjustRightInd w:val="0"/>
              <w:snapToGrid w:val="0"/>
              <w:jc w:val="center"/>
              <w:rPr>
                <w:sz w:val="22"/>
              </w:rPr>
            </w:pPr>
            <w:r>
              <w:rPr>
                <w:rFonts w:hint="eastAsia"/>
                <w:sz w:val="22"/>
              </w:rPr>
              <w:t>人口约</w:t>
            </w:r>
            <w:r>
              <w:rPr>
                <w:sz w:val="22"/>
              </w:rPr>
              <w:t>59</w:t>
            </w:r>
            <w:r>
              <w:rPr>
                <w:rFonts w:hint="eastAsia"/>
                <w:sz w:val="22"/>
              </w:rPr>
              <w:t>人</w:t>
            </w:r>
          </w:p>
        </w:tc>
      </w:tr>
      <w:tr w14:paraId="16CA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1E231F4F">
            <w:pPr>
              <w:autoSpaceDE w:val="0"/>
              <w:autoSpaceDN w:val="0"/>
              <w:adjustRightInd w:val="0"/>
              <w:snapToGrid w:val="0"/>
              <w:jc w:val="center"/>
              <w:textAlignment w:val="baseline"/>
              <w:rPr>
                <w:sz w:val="22"/>
              </w:rPr>
            </w:pPr>
            <w:r>
              <w:rPr>
                <w:rFonts w:hint="eastAsia"/>
                <w:sz w:val="22"/>
              </w:rPr>
              <w:t>1</w:t>
            </w:r>
            <w:r>
              <w:rPr>
                <w:sz w:val="22"/>
              </w:rPr>
              <w:t>0</w:t>
            </w:r>
          </w:p>
        </w:tc>
        <w:tc>
          <w:tcPr>
            <w:tcW w:w="2892" w:type="dxa"/>
            <w:vAlign w:val="center"/>
          </w:tcPr>
          <w:p w14:paraId="4474E3E1">
            <w:pPr>
              <w:adjustRightInd w:val="0"/>
              <w:snapToGrid w:val="0"/>
              <w:jc w:val="center"/>
              <w:rPr>
                <w:snapToGrid w:val="0"/>
                <w:kern w:val="0"/>
                <w:sz w:val="22"/>
              </w:rPr>
            </w:pPr>
            <w:r>
              <w:rPr>
                <w:sz w:val="22"/>
              </w:rPr>
              <w:t>10#居民点</w:t>
            </w:r>
          </w:p>
        </w:tc>
        <w:tc>
          <w:tcPr>
            <w:tcW w:w="1777" w:type="dxa"/>
            <w:vAlign w:val="center"/>
          </w:tcPr>
          <w:p w14:paraId="535701D5">
            <w:pPr>
              <w:adjustRightInd w:val="0"/>
              <w:snapToGrid w:val="0"/>
              <w:jc w:val="center"/>
              <w:rPr>
                <w:snapToGrid w:val="0"/>
                <w:kern w:val="0"/>
                <w:sz w:val="22"/>
              </w:rPr>
            </w:pPr>
            <w:r>
              <w:rPr>
                <w:rFonts w:hint="eastAsia"/>
                <w:snapToGrid w:val="0"/>
                <w:kern w:val="0"/>
                <w:sz w:val="22"/>
              </w:rPr>
              <w:t>W</w:t>
            </w:r>
          </w:p>
        </w:tc>
        <w:tc>
          <w:tcPr>
            <w:tcW w:w="2258" w:type="dxa"/>
            <w:vAlign w:val="center"/>
          </w:tcPr>
          <w:p w14:paraId="4BEE3314">
            <w:pPr>
              <w:adjustRightInd w:val="0"/>
              <w:snapToGrid w:val="0"/>
              <w:jc w:val="center"/>
              <w:rPr>
                <w:snapToGrid w:val="0"/>
                <w:kern w:val="0"/>
                <w:sz w:val="22"/>
              </w:rPr>
            </w:pPr>
            <w:r>
              <w:rPr>
                <w:rFonts w:hint="eastAsia"/>
                <w:snapToGrid w:val="0"/>
                <w:kern w:val="0"/>
                <w:sz w:val="22"/>
              </w:rPr>
              <w:t>4</w:t>
            </w:r>
            <w:r>
              <w:rPr>
                <w:snapToGrid w:val="0"/>
                <w:kern w:val="0"/>
                <w:sz w:val="22"/>
              </w:rPr>
              <w:t>51</w:t>
            </w:r>
          </w:p>
        </w:tc>
        <w:tc>
          <w:tcPr>
            <w:tcW w:w="2694" w:type="dxa"/>
            <w:vAlign w:val="center"/>
          </w:tcPr>
          <w:p w14:paraId="0C2A52EC">
            <w:pPr>
              <w:adjustRightInd w:val="0"/>
              <w:snapToGrid w:val="0"/>
              <w:jc w:val="center"/>
              <w:rPr>
                <w:sz w:val="22"/>
              </w:rPr>
            </w:pPr>
            <w:r>
              <w:rPr>
                <w:sz w:val="22"/>
              </w:rPr>
              <w:t>分散居民点</w:t>
            </w:r>
          </w:p>
        </w:tc>
        <w:tc>
          <w:tcPr>
            <w:tcW w:w="2819" w:type="dxa"/>
          </w:tcPr>
          <w:p w14:paraId="4EBBD43E">
            <w:pPr>
              <w:adjustRightInd w:val="0"/>
              <w:snapToGrid w:val="0"/>
              <w:jc w:val="center"/>
              <w:rPr>
                <w:sz w:val="22"/>
              </w:rPr>
            </w:pPr>
            <w:r>
              <w:rPr>
                <w:rFonts w:hint="eastAsia"/>
                <w:sz w:val="22"/>
              </w:rPr>
              <w:t>人口约</w:t>
            </w:r>
            <w:r>
              <w:rPr>
                <w:sz w:val="22"/>
              </w:rPr>
              <w:t>9</w:t>
            </w:r>
            <w:r>
              <w:rPr>
                <w:rFonts w:hint="eastAsia"/>
                <w:sz w:val="22"/>
              </w:rPr>
              <w:t>人</w:t>
            </w:r>
          </w:p>
        </w:tc>
      </w:tr>
      <w:tr w14:paraId="592B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63E01070">
            <w:pPr>
              <w:autoSpaceDE w:val="0"/>
              <w:autoSpaceDN w:val="0"/>
              <w:adjustRightInd w:val="0"/>
              <w:snapToGrid w:val="0"/>
              <w:jc w:val="center"/>
              <w:textAlignment w:val="baseline"/>
              <w:rPr>
                <w:sz w:val="22"/>
              </w:rPr>
            </w:pPr>
            <w:r>
              <w:rPr>
                <w:rFonts w:hint="eastAsia"/>
                <w:sz w:val="22"/>
              </w:rPr>
              <w:t>1</w:t>
            </w:r>
            <w:r>
              <w:rPr>
                <w:sz w:val="22"/>
              </w:rPr>
              <w:t>1</w:t>
            </w:r>
          </w:p>
        </w:tc>
        <w:tc>
          <w:tcPr>
            <w:tcW w:w="2892" w:type="dxa"/>
            <w:vAlign w:val="center"/>
          </w:tcPr>
          <w:p w14:paraId="25E390CD">
            <w:pPr>
              <w:adjustRightInd w:val="0"/>
              <w:snapToGrid w:val="0"/>
              <w:jc w:val="center"/>
              <w:rPr>
                <w:snapToGrid w:val="0"/>
                <w:kern w:val="0"/>
                <w:sz w:val="22"/>
              </w:rPr>
            </w:pPr>
            <w:r>
              <w:rPr>
                <w:sz w:val="22"/>
              </w:rPr>
              <w:t>11#居民点</w:t>
            </w:r>
          </w:p>
        </w:tc>
        <w:tc>
          <w:tcPr>
            <w:tcW w:w="1777" w:type="dxa"/>
            <w:vAlign w:val="center"/>
          </w:tcPr>
          <w:p w14:paraId="2636C278">
            <w:pPr>
              <w:adjustRightInd w:val="0"/>
              <w:snapToGrid w:val="0"/>
              <w:jc w:val="center"/>
              <w:rPr>
                <w:snapToGrid w:val="0"/>
                <w:kern w:val="0"/>
                <w:sz w:val="22"/>
              </w:rPr>
            </w:pPr>
            <w:r>
              <w:rPr>
                <w:rFonts w:hint="eastAsia"/>
                <w:snapToGrid w:val="0"/>
                <w:kern w:val="0"/>
                <w:sz w:val="22"/>
              </w:rPr>
              <w:t>S</w:t>
            </w:r>
            <w:r>
              <w:rPr>
                <w:snapToGrid w:val="0"/>
                <w:kern w:val="0"/>
                <w:sz w:val="22"/>
              </w:rPr>
              <w:t>W</w:t>
            </w:r>
          </w:p>
        </w:tc>
        <w:tc>
          <w:tcPr>
            <w:tcW w:w="2258" w:type="dxa"/>
            <w:vAlign w:val="center"/>
          </w:tcPr>
          <w:p w14:paraId="1DCF3FB3">
            <w:pPr>
              <w:adjustRightInd w:val="0"/>
              <w:snapToGrid w:val="0"/>
              <w:jc w:val="center"/>
              <w:rPr>
                <w:snapToGrid w:val="0"/>
                <w:kern w:val="0"/>
                <w:sz w:val="22"/>
              </w:rPr>
            </w:pPr>
            <w:r>
              <w:rPr>
                <w:rFonts w:hint="eastAsia"/>
                <w:snapToGrid w:val="0"/>
                <w:kern w:val="0"/>
                <w:sz w:val="22"/>
              </w:rPr>
              <w:t>2</w:t>
            </w:r>
            <w:r>
              <w:rPr>
                <w:snapToGrid w:val="0"/>
                <w:kern w:val="0"/>
                <w:sz w:val="22"/>
              </w:rPr>
              <w:t>94</w:t>
            </w:r>
          </w:p>
        </w:tc>
        <w:tc>
          <w:tcPr>
            <w:tcW w:w="2694" w:type="dxa"/>
            <w:vAlign w:val="center"/>
          </w:tcPr>
          <w:p w14:paraId="32CB8228">
            <w:pPr>
              <w:adjustRightInd w:val="0"/>
              <w:snapToGrid w:val="0"/>
              <w:jc w:val="center"/>
              <w:rPr>
                <w:sz w:val="22"/>
              </w:rPr>
            </w:pPr>
            <w:r>
              <w:rPr>
                <w:sz w:val="22"/>
              </w:rPr>
              <w:t>分散居民点</w:t>
            </w:r>
          </w:p>
        </w:tc>
        <w:tc>
          <w:tcPr>
            <w:tcW w:w="2819" w:type="dxa"/>
          </w:tcPr>
          <w:p w14:paraId="444D00FD">
            <w:pPr>
              <w:adjustRightInd w:val="0"/>
              <w:snapToGrid w:val="0"/>
              <w:jc w:val="center"/>
              <w:rPr>
                <w:sz w:val="22"/>
              </w:rPr>
            </w:pPr>
            <w:r>
              <w:rPr>
                <w:rFonts w:hint="eastAsia"/>
                <w:sz w:val="22"/>
              </w:rPr>
              <w:t>人口约</w:t>
            </w:r>
            <w:r>
              <w:rPr>
                <w:sz w:val="22"/>
              </w:rPr>
              <w:t>33</w:t>
            </w:r>
            <w:r>
              <w:rPr>
                <w:rFonts w:hint="eastAsia"/>
                <w:sz w:val="22"/>
              </w:rPr>
              <w:t>人</w:t>
            </w:r>
          </w:p>
        </w:tc>
      </w:tr>
      <w:tr w14:paraId="3D26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7CF925D4">
            <w:pPr>
              <w:autoSpaceDE w:val="0"/>
              <w:autoSpaceDN w:val="0"/>
              <w:adjustRightInd w:val="0"/>
              <w:snapToGrid w:val="0"/>
              <w:jc w:val="center"/>
              <w:textAlignment w:val="baseline"/>
              <w:rPr>
                <w:sz w:val="22"/>
              </w:rPr>
            </w:pPr>
            <w:r>
              <w:rPr>
                <w:sz w:val="22"/>
              </w:rPr>
              <w:t>12</w:t>
            </w:r>
          </w:p>
        </w:tc>
        <w:tc>
          <w:tcPr>
            <w:tcW w:w="2892" w:type="dxa"/>
            <w:vAlign w:val="center"/>
          </w:tcPr>
          <w:p w14:paraId="7D2D2069">
            <w:pPr>
              <w:adjustRightInd w:val="0"/>
              <w:snapToGrid w:val="0"/>
              <w:jc w:val="center"/>
              <w:rPr>
                <w:snapToGrid w:val="0"/>
                <w:kern w:val="0"/>
                <w:sz w:val="22"/>
              </w:rPr>
            </w:pPr>
            <w:r>
              <w:rPr>
                <w:sz w:val="22"/>
              </w:rPr>
              <w:t>12#居民点</w:t>
            </w:r>
          </w:p>
        </w:tc>
        <w:tc>
          <w:tcPr>
            <w:tcW w:w="1777" w:type="dxa"/>
            <w:vAlign w:val="center"/>
          </w:tcPr>
          <w:p w14:paraId="474159A6">
            <w:pPr>
              <w:adjustRightInd w:val="0"/>
              <w:snapToGrid w:val="0"/>
              <w:jc w:val="center"/>
              <w:rPr>
                <w:snapToGrid w:val="0"/>
                <w:kern w:val="0"/>
                <w:sz w:val="22"/>
              </w:rPr>
            </w:pPr>
            <w:r>
              <w:rPr>
                <w:rFonts w:hint="eastAsia"/>
                <w:snapToGrid w:val="0"/>
                <w:kern w:val="0"/>
                <w:sz w:val="22"/>
              </w:rPr>
              <w:t>S</w:t>
            </w:r>
            <w:r>
              <w:rPr>
                <w:snapToGrid w:val="0"/>
                <w:kern w:val="0"/>
                <w:sz w:val="22"/>
              </w:rPr>
              <w:t>W</w:t>
            </w:r>
          </w:p>
        </w:tc>
        <w:tc>
          <w:tcPr>
            <w:tcW w:w="2258" w:type="dxa"/>
            <w:vAlign w:val="center"/>
          </w:tcPr>
          <w:p w14:paraId="311918BC">
            <w:pPr>
              <w:adjustRightInd w:val="0"/>
              <w:snapToGrid w:val="0"/>
              <w:jc w:val="center"/>
              <w:rPr>
                <w:snapToGrid w:val="0"/>
                <w:kern w:val="0"/>
                <w:sz w:val="22"/>
              </w:rPr>
            </w:pPr>
            <w:r>
              <w:rPr>
                <w:rFonts w:hint="eastAsia"/>
                <w:snapToGrid w:val="0"/>
                <w:kern w:val="0"/>
                <w:sz w:val="22"/>
              </w:rPr>
              <w:t>4</w:t>
            </w:r>
            <w:r>
              <w:rPr>
                <w:snapToGrid w:val="0"/>
                <w:kern w:val="0"/>
                <w:sz w:val="22"/>
              </w:rPr>
              <w:t>86</w:t>
            </w:r>
          </w:p>
        </w:tc>
        <w:tc>
          <w:tcPr>
            <w:tcW w:w="2694" w:type="dxa"/>
            <w:vAlign w:val="center"/>
          </w:tcPr>
          <w:p w14:paraId="2AD6BF90">
            <w:pPr>
              <w:adjustRightInd w:val="0"/>
              <w:snapToGrid w:val="0"/>
              <w:jc w:val="center"/>
              <w:rPr>
                <w:sz w:val="22"/>
              </w:rPr>
            </w:pPr>
            <w:r>
              <w:rPr>
                <w:sz w:val="22"/>
              </w:rPr>
              <w:t>分散居民点</w:t>
            </w:r>
          </w:p>
        </w:tc>
        <w:tc>
          <w:tcPr>
            <w:tcW w:w="2819" w:type="dxa"/>
          </w:tcPr>
          <w:p w14:paraId="0B7FB3EF">
            <w:pPr>
              <w:adjustRightInd w:val="0"/>
              <w:snapToGrid w:val="0"/>
              <w:jc w:val="center"/>
              <w:rPr>
                <w:sz w:val="22"/>
              </w:rPr>
            </w:pPr>
            <w:r>
              <w:rPr>
                <w:rFonts w:hint="eastAsia"/>
                <w:sz w:val="22"/>
              </w:rPr>
              <w:t>人口约</w:t>
            </w:r>
            <w:r>
              <w:rPr>
                <w:sz w:val="22"/>
              </w:rPr>
              <w:t>3</w:t>
            </w:r>
            <w:r>
              <w:rPr>
                <w:rFonts w:hint="eastAsia"/>
                <w:sz w:val="22"/>
              </w:rPr>
              <w:t>人</w:t>
            </w:r>
          </w:p>
        </w:tc>
      </w:tr>
      <w:tr w14:paraId="53EF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0A6D3E24">
            <w:pPr>
              <w:autoSpaceDE w:val="0"/>
              <w:autoSpaceDN w:val="0"/>
              <w:adjustRightInd w:val="0"/>
              <w:snapToGrid w:val="0"/>
              <w:jc w:val="center"/>
              <w:textAlignment w:val="baseline"/>
              <w:rPr>
                <w:sz w:val="22"/>
              </w:rPr>
            </w:pPr>
            <w:r>
              <w:rPr>
                <w:rFonts w:hint="eastAsia"/>
                <w:sz w:val="22"/>
              </w:rPr>
              <w:t>1</w:t>
            </w:r>
            <w:r>
              <w:rPr>
                <w:sz w:val="22"/>
              </w:rPr>
              <w:t>3</w:t>
            </w:r>
          </w:p>
        </w:tc>
        <w:tc>
          <w:tcPr>
            <w:tcW w:w="2892" w:type="dxa"/>
            <w:vAlign w:val="center"/>
          </w:tcPr>
          <w:p w14:paraId="1BF59A49">
            <w:pPr>
              <w:adjustRightInd w:val="0"/>
              <w:snapToGrid w:val="0"/>
              <w:jc w:val="center"/>
              <w:rPr>
                <w:sz w:val="22"/>
              </w:rPr>
            </w:pPr>
            <w:r>
              <w:rPr>
                <w:sz w:val="22"/>
              </w:rPr>
              <w:t>13#居民点</w:t>
            </w:r>
          </w:p>
        </w:tc>
        <w:tc>
          <w:tcPr>
            <w:tcW w:w="1777" w:type="dxa"/>
            <w:vAlign w:val="center"/>
          </w:tcPr>
          <w:p w14:paraId="382CA6A1">
            <w:pPr>
              <w:adjustRightInd w:val="0"/>
              <w:snapToGrid w:val="0"/>
              <w:jc w:val="center"/>
              <w:rPr>
                <w:snapToGrid w:val="0"/>
                <w:kern w:val="0"/>
                <w:sz w:val="22"/>
              </w:rPr>
            </w:pPr>
            <w:r>
              <w:rPr>
                <w:rFonts w:hint="eastAsia"/>
                <w:snapToGrid w:val="0"/>
                <w:kern w:val="0"/>
                <w:sz w:val="22"/>
              </w:rPr>
              <w:t>S</w:t>
            </w:r>
          </w:p>
        </w:tc>
        <w:tc>
          <w:tcPr>
            <w:tcW w:w="2258" w:type="dxa"/>
            <w:vAlign w:val="center"/>
          </w:tcPr>
          <w:p w14:paraId="24014C9A">
            <w:pPr>
              <w:adjustRightInd w:val="0"/>
              <w:snapToGrid w:val="0"/>
              <w:jc w:val="center"/>
              <w:rPr>
                <w:snapToGrid w:val="0"/>
                <w:kern w:val="0"/>
                <w:sz w:val="22"/>
              </w:rPr>
            </w:pPr>
            <w:r>
              <w:rPr>
                <w:rFonts w:hint="eastAsia"/>
                <w:snapToGrid w:val="0"/>
                <w:kern w:val="0"/>
                <w:sz w:val="22"/>
              </w:rPr>
              <w:t>3</w:t>
            </w:r>
            <w:r>
              <w:rPr>
                <w:snapToGrid w:val="0"/>
                <w:kern w:val="0"/>
                <w:sz w:val="22"/>
              </w:rPr>
              <w:t>82</w:t>
            </w:r>
          </w:p>
        </w:tc>
        <w:tc>
          <w:tcPr>
            <w:tcW w:w="2694" w:type="dxa"/>
            <w:vAlign w:val="center"/>
          </w:tcPr>
          <w:p w14:paraId="60E468D0">
            <w:pPr>
              <w:adjustRightInd w:val="0"/>
              <w:snapToGrid w:val="0"/>
              <w:jc w:val="center"/>
              <w:rPr>
                <w:sz w:val="22"/>
              </w:rPr>
            </w:pPr>
            <w:r>
              <w:rPr>
                <w:sz w:val="22"/>
              </w:rPr>
              <w:t>分散居民点</w:t>
            </w:r>
          </w:p>
        </w:tc>
        <w:tc>
          <w:tcPr>
            <w:tcW w:w="2819" w:type="dxa"/>
          </w:tcPr>
          <w:p w14:paraId="3595EE99">
            <w:pPr>
              <w:adjustRightInd w:val="0"/>
              <w:snapToGrid w:val="0"/>
              <w:jc w:val="center"/>
              <w:rPr>
                <w:sz w:val="22"/>
              </w:rPr>
            </w:pPr>
            <w:r>
              <w:rPr>
                <w:rFonts w:hint="eastAsia"/>
                <w:sz w:val="22"/>
              </w:rPr>
              <w:t>人口约</w:t>
            </w:r>
            <w:r>
              <w:rPr>
                <w:sz w:val="22"/>
              </w:rPr>
              <w:t>12</w:t>
            </w:r>
            <w:r>
              <w:rPr>
                <w:rFonts w:hint="eastAsia"/>
                <w:sz w:val="22"/>
              </w:rPr>
              <w:t>人</w:t>
            </w:r>
          </w:p>
        </w:tc>
      </w:tr>
      <w:tr w14:paraId="1120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17CA1B50">
            <w:pPr>
              <w:autoSpaceDE w:val="0"/>
              <w:autoSpaceDN w:val="0"/>
              <w:adjustRightInd w:val="0"/>
              <w:snapToGrid w:val="0"/>
              <w:jc w:val="center"/>
              <w:textAlignment w:val="baseline"/>
              <w:rPr>
                <w:sz w:val="22"/>
              </w:rPr>
            </w:pPr>
            <w:r>
              <w:rPr>
                <w:rFonts w:hint="eastAsia"/>
                <w:sz w:val="22"/>
              </w:rPr>
              <w:t>1</w:t>
            </w:r>
            <w:r>
              <w:rPr>
                <w:sz w:val="22"/>
              </w:rPr>
              <w:t>4</w:t>
            </w:r>
          </w:p>
        </w:tc>
        <w:tc>
          <w:tcPr>
            <w:tcW w:w="2892" w:type="dxa"/>
            <w:vAlign w:val="center"/>
          </w:tcPr>
          <w:p w14:paraId="3F868070">
            <w:pPr>
              <w:adjustRightInd w:val="0"/>
              <w:snapToGrid w:val="0"/>
              <w:jc w:val="center"/>
              <w:rPr>
                <w:sz w:val="22"/>
              </w:rPr>
            </w:pPr>
            <w:r>
              <w:rPr>
                <w:sz w:val="22"/>
              </w:rPr>
              <w:t>14#居民点</w:t>
            </w:r>
          </w:p>
        </w:tc>
        <w:tc>
          <w:tcPr>
            <w:tcW w:w="1777" w:type="dxa"/>
            <w:vAlign w:val="center"/>
          </w:tcPr>
          <w:p w14:paraId="25FA2141">
            <w:pPr>
              <w:adjustRightInd w:val="0"/>
              <w:snapToGrid w:val="0"/>
              <w:jc w:val="center"/>
              <w:rPr>
                <w:snapToGrid w:val="0"/>
                <w:kern w:val="0"/>
                <w:sz w:val="22"/>
              </w:rPr>
            </w:pPr>
            <w:r>
              <w:rPr>
                <w:rFonts w:hint="eastAsia"/>
                <w:snapToGrid w:val="0"/>
                <w:kern w:val="0"/>
                <w:sz w:val="22"/>
              </w:rPr>
              <w:t>S</w:t>
            </w:r>
          </w:p>
        </w:tc>
        <w:tc>
          <w:tcPr>
            <w:tcW w:w="2258" w:type="dxa"/>
            <w:vAlign w:val="center"/>
          </w:tcPr>
          <w:p w14:paraId="07DA88EB">
            <w:pPr>
              <w:adjustRightInd w:val="0"/>
              <w:snapToGrid w:val="0"/>
              <w:jc w:val="center"/>
              <w:rPr>
                <w:snapToGrid w:val="0"/>
                <w:kern w:val="0"/>
                <w:sz w:val="22"/>
              </w:rPr>
            </w:pPr>
            <w:r>
              <w:rPr>
                <w:rFonts w:hint="eastAsia"/>
                <w:snapToGrid w:val="0"/>
                <w:kern w:val="0"/>
                <w:sz w:val="22"/>
              </w:rPr>
              <w:t>2</w:t>
            </w:r>
            <w:r>
              <w:rPr>
                <w:snapToGrid w:val="0"/>
                <w:kern w:val="0"/>
                <w:sz w:val="22"/>
              </w:rPr>
              <w:t>44</w:t>
            </w:r>
          </w:p>
        </w:tc>
        <w:tc>
          <w:tcPr>
            <w:tcW w:w="2694" w:type="dxa"/>
            <w:vAlign w:val="center"/>
          </w:tcPr>
          <w:p w14:paraId="65C34BBA">
            <w:pPr>
              <w:adjustRightInd w:val="0"/>
              <w:snapToGrid w:val="0"/>
              <w:jc w:val="center"/>
              <w:rPr>
                <w:sz w:val="22"/>
              </w:rPr>
            </w:pPr>
            <w:r>
              <w:rPr>
                <w:sz w:val="22"/>
              </w:rPr>
              <w:t>分散居民点</w:t>
            </w:r>
          </w:p>
        </w:tc>
        <w:tc>
          <w:tcPr>
            <w:tcW w:w="2819" w:type="dxa"/>
          </w:tcPr>
          <w:p w14:paraId="103D0CCB">
            <w:pPr>
              <w:adjustRightInd w:val="0"/>
              <w:snapToGrid w:val="0"/>
              <w:jc w:val="center"/>
              <w:rPr>
                <w:sz w:val="22"/>
              </w:rPr>
            </w:pPr>
            <w:r>
              <w:rPr>
                <w:rFonts w:hint="eastAsia"/>
                <w:sz w:val="22"/>
              </w:rPr>
              <w:t>人口约</w:t>
            </w:r>
            <w:r>
              <w:rPr>
                <w:sz w:val="22"/>
              </w:rPr>
              <w:t>39</w:t>
            </w:r>
            <w:r>
              <w:rPr>
                <w:rFonts w:hint="eastAsia"/>
                <w:sz w:val="22"/>
              </w:rPr>
              <w:t>人</w:t>
            </w:r>
          </w:p>
        </w:tc>
      </w:tr>
      <w:tr w14:paraId="118C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6C0AEDC4">
            <w:pPr>
              <w:autoSpaceDE w:val="0"/>
              <w:autoSpaceDN w:val="0"/>
              <w:adjustRightInd w:val="0"/>
              <w:snapToGrid w:val="0"/>
              <w:jc w:val="center"/>
              <w:textAlignment w:val="baseline"/>
              <w:rPr>
                <w:sz w:val="22"/>
              </w:rPr>
            </w:pPr>
            <w:r>
              <w:rPr>
                <w:rFonts w:hint="eastAsia"/>
                <w:sz w:val="22"/>
              </w:rPr>
              <w:t>1</w:t>
            </w:r>
            <w:r>
              <w:rPr>
                <w:sz w:val="22"/>
              </w:rPr>
              <w:t>5</w:t>
            </w:r>
          </w:p>
        </w:tc>
        <w:tc>
          <w:tcPr>
            <w:tcW w:w="2892" w:type="dxa"/>
            <w:vAlign w:val="center"/>
          </w:tcPr>
          <w:p w14:paraId="7A505BB4">
            <w:pPr>
              <w:adjustRightInd w:val="0"/>
              <w:snapToGrid w:val="0"/>
              <w:jc w:val="center"/>
              <w:rPr>
                <w:sz w:val="22"/>
              </w:rPr>
            </w:pPr>
            <w:r>
              <w:rPr>
                <w:sz w:val="22"/>
              </w:rPr>
              <w:t>15#居民点</w:t>
            </w:r>
          </w:p>
        </w:tc>
        <w:tc>
          <w:tcPr>
            <w:tcW w:w="1777" w:type="dxa"/>
            <w:vAlign w:val="center"/>
          </w:tcPr>
          <w:p w14:paraId="77DB10FB">
            <w:pPr>
              <w:adjustRightInd w:val="0"/>
              <w:snapToGrid w:val="0"/>
              <w:jc w:val="center"/>
              <w:rPr>
                <w:snapToGrid w:val="0"/>
                <w:kern w:val="0"/>
                <w:sz w:val="22"/>
              </w:rPr>
            </w:pPr>
            <w:r>
              <w:rPr>
                <w:rFonts w:hint="eastAsia"/>
                <w:snapToGrid w:val="0"/>
                <w:kern w:val="0"/>
                <w:sz w:val="22"/>
              </w:rPr>
              <w:t>S</w:t>
            </w:r>
            <w:r>
              <w:rPr>
                <w:snapToGrid w:val="0"/>
                <w:kern w:val="0"/>
                <w:sz w:val="22"/>
              </w:rPr>
              <w:t>E</w:t>
            </w:r>
          </w:p>
        </w:tc>
        <w:tc>
          <w:tcPr>
            <w:tcW w:w="2258" w:type="dxa"/>
            <w:vAlign w:val="center"/>
          </w:tcPr>
          <w:p w14:paraId="2A27727C">
            <w:pPr>
              <w:adjustRightInd w:val="0"/>
              <w:snapToGrid w:val="0"/>
              <w:jc w:val="center"/>
              <w:rPr>
                <w:snapToGrid w:val="0"/>
                <w:kern w:val="0"/>
                <w:sz w:val="22"/>
              </w:rPr>
            </w:pPr>
            <w:r>
              <w:rPr>
                <w:rFonts w:hint="eastAsia"/>
                <w:snapToGrid w:val="0"/>
                <w:kern w:val="0"/>
                <w:sz w:val="22"/>
              </w:rPr>
              <w:t>4</w:t>
            </w:r>
            <w:r>
              <w:rPr>
                <w:snapToGrid w:val="0"/>
                <w:kern w:val="0"/>
                <w:sz w:val="22"/>
              </w:rPr>
              <w:t>13</w:t>
            </w:r>
          </w:p>
        </w:tc>
        <w:tc>
          <w:tcPr>
            <w:tcW w:w="2694" w:type="dxa"/>
            <w:vAlign w:val="center"/>
          </w:tcPr>
          <w:p w14:paraId="465FB7EB">
            <w:pPr>
              <w:adjustRightInd w:val="0"/>
              <w:snapToGrid w:val="0"/>
              <w:jc w:val="center"/>
              <w:rPr>
                <w:sz w:val="22"/>
              </w:rPr>
            </w:pPr>
            <w:r>
              <w:rPr>
                <w:sz w:val="22"/>
              </w:rPr>
              <w:t>分散居民点</w:t>
            </w:r>
          </w:p>
        </w:tc>
        <w:tc>
          <w:tcPr>
            <w:tcW w:w="2819" w:type="dxa"/>
          </w:tcPr>
          <w:p w14:paraId="611F870A">
            <w:pPr>
              <w:adjustRightInd w:val="0"/>
              <w:snapToGrid w:val="0"/>
              <w:jc w:val="center"/>
              <w:rPr>
                <w:sz w:val="22"/>
              </w:rPr>
            </w:pPr>
            <w:r>
              <w:rPr>
                <w:rFonts w:hint="eastAsia"/>
                <w:sz w:val="22"/>
              </w:rPr>
              <w:t>人口约</w:t>
            </w:r>
            <w:r>
              <w:rPr>
                <w:sz w:val="22"/>
              </w:rPr>
              <w:t>27</w:t>
            </w:r>
            <w:r>
              <w:rPr>
                <w:rFonts w:hint="eastAsia"/>
                <w:sz w:val="22"/>
              </w:rPr>
              <w:t>人</w:t>
            </w:r>
          </w:p>
        </w:tc>
      </w:tr>
      <w:tr w14:paraId="4416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5" w:type="dxa"/>
            <w:vAlign w:val="center"/>
          </w:tcPr>
          <w:p w14:paraId="379908E3">
            <w:pPr>
              <w:autoSpaceDE w:val="0"/>
              <w:autoSpaceDN w:val="0"/>
              <w:adjustRightInd w:val="0"/>
              <w:snapToGrid w:val="0"/>
              <w:jc w:val="center"/>
              <w:textAlignment w:val="baseline"/>
              <w:rPr>
                <w:sz w:val="22"/>
              </w:rPr>
            </w:pPr>
            <w:r>
              <w:rPr>
                <w:rFonts w:hint="eastAsia"/>
                <w:sz w:val="22"/>
              </w:rPr>
              <w:t>1</w:t>
            </w:r>
            <w:r>
              <w:rPr>
                <w:sz w:val="22"/>
              </w:rPr>
              <w:t>6</w:t>
            </w:r>
          </w:p>
        </w:tc>
        <w:tc>
          <w:tcPr>
            <w:tcW w:w="2892" w:type="dxa"/>
            <w:vAlign w:val="center"/>
          </w:tcPr>
          <w:p w14:paraId="04F6C2DC">
            <w:pPr>
              <w:adjustRightInd w:val="0"/>
              <w:snapToGrid w:val="0"/>
              <w:jc w:val="center"/>
              <w:rPr>
                <w:sz w:val="22"/>
              </w:rPr>
            </w:pPr>
            <w:r>
              <w:rPr>
                <w:sz w:val="22"/>
              </w:rPr>
              <w:t>16#居民点</w:t>
            </w:r>
          </w:p>
        </w:tc>
        <w:tc>
          <w:tcPr>
            <w:tcW w:w="1777" w:type="dxa"/>
            <w:vAlign w:val="center"/>
          </w:tcPr>
          <w:p w14:paraId="099E35F6">
            <w:pPr>
              <w:adjustRightInd w:val="0"/>
              <w:snapToGrid w:val="0"/>
              <w:jc w:val="center"/>
              <w:rPr>
                <w:snapToGrid w:val="0"/>
                <w:kern w:val="0"/>
                <w:sz w:val="22"/>
              </w:rPr>
            </w:pPr>
            <w:r>
              <w:rPr>
                <w:rFonts w:hint="eastAsia"/>
                <w:snapToGrid w:val="0"/>
                <w:kern w:val="0"/>
                <w:sz w:val="22"/>
              </w:rPr>
              <w:t>S</w:t>
            </w:r>
            <w:r>
              <w:rPr>
                <w:snapToGrid w:val="0"/>
                <w:kern w:val="0"/>
                <w:sz w:val="22"/>
              </w:rPr>
              <w:t>E</w:t>
            </w:r>
          </w:p>
        </w:tc>
        <w:tc>
          <w:tcPr>
            <w:tcW w:w="2258" w:type="dxa"/>
            <w:vAlign w:val="center"/>
          </w:tcPr>
          <w:p w14:paraId="1588CF26">
            <w:pPr>
              <w:adjustRightInd w:val="0"/>
              <w:snapToGrid w:val="0"/>
              <w:jc w:val="center"/>
              <w:rPr>
                <w:snapToGrid w:val="0"/>
                <w:kern w:val="0"/>
                <w:sz w:val="22"/>
              </w:rPr>
            </w:pPr>
            <w:r>
              <w:rPr>
                <w:rFonts w:hint="eastAsia"/>
                <w:snapToGrid w:val="0"/>
                <w:kern w:val="0"/>
                <w:sz w:val="22"/>
              </w:rPr>
              <w:t>3</w:t>
            </w:r>
            <w:r>
              <w:rPr>
                <w:snapToGrid w:val="0"/>
                <w:kern w:val="0"/>
                <w:sz w:val="22"/>
              </w:rPr>
              <w:t>30</w:t>
            </w:r>
          </w:p>
        </w:tc>
        <w:tc>
          <w:tcPr>
            <w:tcW w:w="2694" w:type="dxa"/>
            <w:vAlign w:val="center"/>
          </w:tcPr>
          <w:p w14:paraId="3C7FA1CC">
            <w:pPr>
              <w:adjustRightInd w:val="0"/>
              <w:snapToGrid w:val="0"/>
              <w:jc w:val="center"/>
              <w:rPr>
                <w:sz w:val="22"/>
              </w:rPr>
            </w:pPr>
            <w:r>
              <w:rPr>
                <w:sz w:val="22"/>
              </w:rPr>
              <w:t>分散居民点</w:t>
            </w:r>
          </w:p>
        </w:tc>
        <w:tc>
          <w:tcPr>
            <w:tcW w:w="2819" w:type="dxa"/>
          </w:tcPr>
          <w:p w14:paraId="076EE368">
            <w:pPr>
              <w:adjustRightInd w:val="0"/>
              <w:snapToGrid w:val="0"/>
              <w:jc w:val="center"/>
              <w:rPr>
                <w:sz w:val="22"/>
              </w:rPr>
            </w:pPr>
            <w:r>
              <w:rPr>
                <w:rFonts w:hint="eastAsia"/>
                <w:sz w:val="22"/>
              </w:rPr>
              <w:t>人口约</w:t>
            </w:r>
            <w:r>
              <w:rPr>
                <w:sz w:val="22"/>
              </w:rPr>
              <w:t>9</w:t>
            </w:r>
            <w:r>
              <w:rPr>
                <w:rFonts w:hint="eastAsia"/>
                <w:sz w:val="22"/>
              </w:rPr>
              <w:t>人</w:t>
            </w:r>
          </w:p>
        </w:tc>
      </w:tr>
    </w:tbl>
    <w:p w14:paraId="27409E94">
      <w:pPr>
        <w:pStyle w:val="1066"/>
        <w:ind w:firstLine="520"/>
      </w:pPr>
    </w:p>
    <w:p w14:paraId="751054CD">
      <w:pPr>
        <w:pStyle w:val="1066"/>
        <w:ind w:firstLine="520"/>
      </w:pPr>
    </w:p>
    <w:p w14:paraId="0E922FCA">
      <w:pPr>
        <w:pStyle w:val="702"/>
        <w:ind w:firstLine="520"/>
        <w:rPr>
          <w:rFonts w:cs="Times New Roman"/>
        </w:rPr>
        <w:sectPr>
          <w:pgSz w:w="16838" w:h="11906" w:orient="landscape"/>
          <w:pgMar w:top="1588" w:right="1701" w:bottom="1588" w:left="1588" w:header="1304" w:footer="1247" w:gutter="0"/>
          <w:cols w:space="720" w:num="1"/>
          <w:docGrid w:linePitch="312" w:charSpace="0"/>
        </w:sectPr>
      </w:pPr>
    </w:p>
    <w:bookmarkEnd w:id="93"/>
    <w:bookmarkEnd w:id="94"/>
    <w:bookmarkEnd w:id="95"/>
    <w:p w14:paraId="194020D7">
      <w:pPr>
        <w:adjustRightInd w:val="0"/>
        <w:snapToGrid w:val="0"/>
        <w:spacing w:before="240" w:beforeLines="100" w:after="240" w:afterLines="100"/>
        <w:jc w:val="center"/>
        <w:outlineLvl w:val="0"/>
        <w:rPr>
          <w:b/>
          <w:sz w:val="32"/>
          <w:szCs w:val="32"/>
        </w:rPr>
      </w:pPr>
      <w:bookmarkStart w:id="116" w:name="_Toc165809679"/>
      <w:bookmarkStart w:id="117" w:name="_Toc220170971"/>
      <w:bookmarkStart w:id="118" w:name="_Toc219907629"/>
      <w:bookmarkStart w:id="119" w:name="_Toc164084308"/>
      <w:bookmarkStart w:id="120" w:name="_Toc165810480"/>
      <w:r>
        <w:rPr>
          <w:b/>
          <w:sz w:val="32"/>
          <w:szCs w:val="32"/>
        </w:rPr>
        <w:t>2 工程概况</w:t>
      </w:r>
      <w:bookmarkEnd w:id="116"/>
      <w:bookmarkEnd w:id="117"/>
      <w:bookmarkEnd w:id="118"/>
      <w:bookmarkEnd w:id="119"/>
      <w:bookmarkEnd w:id="120"/>
    </w:p>
    <w:p w14:paraId="4C38A462">
      <w:pPr>
        <w:spacing w:line="460" w:lineRule="exact"/>
        <w:ind w:firstLine="522" w:firstLineChars="200"/>
        <w:outlineLvl w:val="1"/>
        <w:rPr>
          <w:b/>
          <w:bCs/>
          <w:sz w:val="26"/>
          <w:szCs w:val="26"/>
        </w:rPr>
      </w:pPr>
      <w:bookmarkStart w:id="121" w:name="_Toc165809680"/>
      <w:bookmarkStart w:id="122" w:name="_Toc219907630"/>
      <w:bookmarkStart w:id="123" w:name="_Toc165810481"/>
      <w:bookmarkStart w:id="124" w:name="_Toc220170972"/>
      <w:bookmarkStart w:id="125" w:name="_Toc164084309"/>
      <w:r>
        <w:rPr>
          <w:rFonts w:hint="eastAsia"/>
          <w:b/>
          <w:bCs/>
          <w:sz w:val="26"/>
          <w:szCs w:val="26"/>
        </w:rPr>
        <w:t>2</w:t>
      </w:r>
      <w:r>
        <w:rPr>
          <w:b/>
          <w:bCs/>
          <w:sz w:val="26"/>
          <w:szCs w:val="26"/>
        </w:rPr>
        <w:t xml:space="preserve">.1 </w:t>
      </w:r>
      <w:r>
        <w:rPr>
          <w:rFonts w:hint="eastAsia"/>
          <w:b/>
          <w:bCs/>
          <w:sz w:val="26"/>
          <w:szCs w:val="26"/>
        </w:rPr>
        <w:t>建设项目基本情况</w:t>
      </w:r>
      <w:bookmarkEnd w:id="121"/>
      <w:bookmarkEnd w:id="122"/>
      <w:bookmarkEnd w:id="123"/>
    </w:p>
    <w:p w14:paraId="340719FF">
      <w:pPr>
        <w:adjustRightInd w:val="0"/>
        <w:snapToGrid w:val="0"/>
        <w:spacing w:line="480" w:lineRule="exact"/>
        <w:ind w:firstLine="520" w:firstLineChars="200"/>
        <w:rPr>
          <w:sz w:val="26"/>
          <w:szCs w:val="26"/>
        </w:rPr>
      </w:pPr>
      <w:r>
        <w:rPr>
          <w:rFonts w:hint="eastAsia"/>
          <w:sz w:val="26"/>
          <w:szCs w:val="26"/>
        </w:rPr>
        <w:t>项目名称：巴中2HF井地面工程；</w:t>
      </w:r>
    </w:p>
    <w:p w14:paraId="0F7D0FAD">
      <w:pPr>
        <w:adjustRightInd w:val="0"/>
        <w:snapToGrid w:val="0"/>
        <w:spacing w:line="480" w:lineRule="exact"/>
        <w:ind w:firstLine="520" w:firstLineChars="200"/>
        <w:rPr>
          <w:sz w:val="26"/>
          <w:szCs w:val="26"/>
        </w:rPr>
      </w:pPr>
      <w:r>
        <w:rPr>
          <w:rFonts w:hint="eastAsia"/>
          <w:sz w:val="26"/>
          <w:szCs w:val="26"/>
        </w:rPr>
        <w:t>建设单位：</w:t>
      </w:r>
      <w:bookmarkStart w:id="126" w:name="OLE_LINK50"/>
      <w:bookmarkStart w:id="127" w:name="OLE_LINK51"/>
      <w:r>
        <w:rPr>
          <w:rFonts w:hint="eastAsia"/>
          <w:sz w:val="26"/>
          <w:szCs w:val="26"/>
        </w:rPr>
        <w:t>中国石油化工股份有限公司西南油气分公司采气二厂</w:t>
      </w:r>
      <w:bookmarkEnd w:id="126"/>
      <w:bookmarkEnd w:id="127"/>
      <w:r>
        <w:rPr>
          <w:rFonts w:hint="eastAsia"/>
          <w:sz w:val="26"/>
          <w:szCs w:val="26"/>
        </w:rPr>
        <w:t>；</w:t>
      </w:r>
    </w:p>
    <w:p w14:paraId="4BCF10A0">
      <w:pPr>
        <w:adjustRightInd w:val="0"/>
        <w:snapToGrid w:val="0"/>
        <w:spacing w:line="480" w:lineRule="exact"/>
        <w:ind w:firstLine="520" w:firstLineChars="200"/>
        <w:rPr>
          <w:sz w:val="26"/>
          <w:szCs w:val="26"/>
        </w:rPr>
      </w:pPr>
      <w:r>
        <w:rPr>
          <w:rFonts w:hint="eastAsia"/>
          <w:sz w:val="26"/>
          <w:szCs w:val="26"/>
        </w:rPr>
        <w:t>建设性质：新建；</w:t>
      </w:r>
    </w:p>
    <w:p w14:paraId="61BDAD7A">
      <w:pPr>
        <w:adjustRightInd w:val="0"/>
        <w:snapToGrid w:val="0"/>
        <w:spacing w:line="480" w:lineRule="exact"/>
        <w:ind w:firstLine="520" w:firstLineChars="200"/>
        <w:rPr>
          <w:sz w:val="26"/>
          <w:szCs w:val="26"/>
        </w:rPr>
      </w:pPr>
      <w:bookmarkStart w:id="128" w:name="_Hlk117347416"/>
      <w:r>
        <w:rPr>
          <w:rFonts w:hint="eastAsia"/>
          <w:sz w:val="26"/>
          <w:szCs w:val="26"/>
        </w:rPr>
        <w:t>开发矿种：天然气，不含H</w:t>
      </w:r>
      <w:r>
        <w:rPr>
          <w:rFonts w:hint="eastAsia"/>
          <w:sz w:val="26"/>
          <w:szCs w:val="26"/>
          <w:vertAlign w:val="subscript"/>
        </w:rPr>
        <w:t>2</w:t>
      </w:r>
      <w:r>
        <w:rPr>
          <w:rFonts w:hint="eastAsia"/>
          <w:sz w:val="26"/>
          <w:szCs w:val="26"/>
        </w:rPr>
        <w:t>S；</w:t>
      </w:r>
      <w:bookmarkEnd w:id="128"/>
    </w:p>
    <w:p w14:paraId="44B51BFA">
      <w:pPr>
        <w:adjustRightInd w:val="0"/>
        <w:snapToGrid w:val="0"/>
        <w:spacing w:line="460" w:lineRule="exact"/>
        <w:ind w:firstLine="520" w:firstLineChars="200"/>
        <w:rPr>
          <w:sz w:val="26"/>
          <w:szCs w:val="26"/>
        </w:rPr>
      </w:pPr>
      <w:r>
        <w:rPr>
          <w:rFonts w:hint="eastAsia"/>
          <w:sz w:val="26"/>
          <w:szCs w:val="26"/>
        </w:rPr>
        <w:t>建设地点：四川省巴中市恩阳区渔溪镇；</w:t>
      </w:r>
    </w:p>
    <w:p w14:paraId="72FF2CEB">
      <w:pPr>
        <w:adjustRightInd w:val="0"/>
        <w:snapToGrid w:val="0"/>
        <w:spacing w:line="480" w:lineRule="exact"/>
        <w:ind w:firstLine="520" w:firstLineChars="200"/>
        <w:rPr>
          <w:sz w:val="26"/>
          <w:szCs w:val="26"/>
        </w:rPr>
      </w:pPr>
      <w:bookmarkStart w:id="129" w:name="_Hlk117347427"/>
      <w:r>
        <w:rPr>
          <w:rFonts w:hint="eastAsia"/>
          <w:sz w:val="26"/>
          <w:szCs w:val="26"/>
        </w:rPr>
        <w:t>试采层位：***；</w:t>
      </w:r>
    </w:p>
    <w:p w14:paraId="426B312D">
      <w:pPr>
        <w:adjustRightInd w:val="0"/>
        <w:snapToGrid w:val="0"/>
        <w:spacing w:line="480" w:lineRule="exact"/>
        <w:ind w:firstLine="520" w:firstLineChars="200"/>
        <w:rPr>
          <w:sz w:val="26"/>
          <w:szCs w:val="26"/>
        </w:rPr>
      </w:pPr>
      <w:r>
        <w:rPr>
          <w:rFonts w:hint="eastAsia"/>
          <w:sz w:val="26"/>
          <w:szCs w:val="26"/>
        </w:rPr>
        <w:t>试采年限：原则上不超过2年；</w:t>
      </w:r>
    </w:p>
    <w:p w14:paraId="254A644A">
      <w:pPr>
        <w:adjustRightInd w:val="0"/>
        <w:snapToGrid w:val="0"/>
        <w:spacing w:line="480" w:lineRule="exact"/>
        <w:ind w:firstLine="520" w:firstLineChars="200"/>
        <w:rPr>
          <w:sz w:val="26"/>
          <w:szCs w:val="26"/>
        </w:rPr>
      </w:pPr>
      <w:r>
        <w:rPr>
          <w:rFonts w:hint="eastAsia"/>
          <w:sz w:val="26"/>
          <w:szCs w:val="26"/>
        </w:rPr>
        <w:t>占地面积：</w:t>
      </w:r>
      <w:r>
        <w:rPr>
          <w:sz w:val="26"/>
          <w:szCs w:val="26"/>
        </w:rPr>
        <w:t>5016m</w:t>
      </w:r>
      <w:r>
        <w:rPr>
          <w:sz w:val="26"/>
          <w:szCs w:val="26"/>
          <w:vertAlign w:val="superscript"/>
        </w:rPr>
        <w:t>2</w:t>
      </w:r>
      <w:r>
        <w:rPr>
          <w:rFonts w:hint="eastAsia"/>
          <w:b/>
          <w:sz w:val="26"/>
          <w:szCs w:val="26"/>
        </w:rPr>
        <w:t>（位于已有井场内，不新增占地）</w:t>
      </w:r>
      <w:r>
        <w:rPr>
          <w:rFonts w:hint="eastAsia"/>
          <w:sz w:val="26"/>
          <w:szCs w:val="26"/>
        </w:rPr>
        <w:t>，均为临时占地；</w:t>
      </w:r>
    </w:p>
    <w:bookmarkEnd w:id="129"/>
    <w:p w14:paraId="2D17E333">
      <w:pPr>
        <w:pStyle w:val="1381"/>
        <w:ind w:firstLine="520"/>
      </w:pPr>
      <w:r>
        <w:rPr>
          <w:rFonts w:hint="eastAsia"/>
        </w:rPr>
        <w:t>建设内容：</w:t>
      </w:r>
      <w:bookmarkStart w:id="130" w:name="OLE_LINK11"/>
      <w:bookmarkStart w:id="131" w:name="OLE_LINK9"/>
      <w:r>
        <w:rPr>
          <w:rFonts w:hint="eastAsia"/>
        </w:rPr>
        <w:t>新建1座试采站场，对巴中2HF井和巴页2</w:t>
      </w:r>
      <w:r>
        <w:t>HF</w:t>
      </w:r>
      <w:r>
        <w:rPr>
          <w:rFonts w:hint="eastAsia"/>
        </w:rPr>
        <w:t>井进行试采；巴中2HF井设计采气规模</w:t>
      </w:r>
      <w:r>
        <w:t>0.5</w:t>
      </w:r>
      <w:r>
        <w:rPr>
          <w:rFonts w:hint="eastAsia"/>
        </w:rPr>
        <w:t>万m</w:t>
      </w:r>
      <w:r>
        <w:rPr>
          <w:rFonts w:hint="eastAsia"/>
          <w:vertAlign w:val="superscript"/>
        </w:rPr>
        <w:t>3</w:t>
      </w:r>
      <w:r>
        <w:rPr>
          <w:rFonts w:hint="eastAsia"/>
        </w:rPr>
        <w:t>/d，产凝析油规模</w:t>
      </w:r>
      <w:r>
        <w:t>6</w:t>
      </w:r>
      <w:r>
        <w:rPr>
          <w:rFonts w:hint="eastAsia"/>
        </w:rPr>
        <w:t>m</w:t>
      </w:r>
      <w:r>
        <w:rPr>
          <w:rFonts w:hint="eastAsia"/>
          <w:vertAlign w:val="superscript"/>
        </w:rPr>
        <w:t>3</w:t>
      </w:r>
      <w:r>
        <w:rPr>
          <w:rFonts w:hint="eastAsia"/>
        </w:rPr>
        <w:t>/d；巴页2HF井设计采气规模</w:t>
      </w:r>
      <w:r>
        <w:t>1.5</w:t>
      </w:r>
      <w:r>
        <w:rPr>
          <w:rFonts w:hint="eastAsia"/>
        </w:rPr>
        <w:t>万m</w:t>
      </w:r>
      <w:r>
        <w:rPr>
          <w:rFonts w:hint="eastAsia"/>
          <w:vertAlign w:val="superscript"/>
        </w:rPr>
        <w:t>3</w:t>
      </w:r>
      <w:r>
        <w:rPr>
          <w:rFonts w:hint="eastAsia"/>
        </w:rPr>
        <w:t>/d，产凝析油规模</w:t>
      </w:r>
      <w:r>
        <w:t>6</w:t>
      </w:r>
      <w:r>
        <w:rPr>
          <w:rFonts w:hint="eastAsia"/>
        </w:rPr>
        <w:t>m</w:t>
      </w:r>
      <w:r>
        <w:rPr>
          <w:rFonts w:hint="eastAsia"/>
          <w:vertAlign w:val="superscript"/>
        </w:rPr>
        <w:t>3</w:t>
      </w:r>
      <w:r>
        <w:rPr>
          <w:rFonts w:hint="eastAsia"/>
        </w:rPr>
        <w:t>/d；天然气采用加热节流、分离过滤、计量的工艺，处理后的天然气经脱水、增压后采用CNG方式外售；站场混烃采用加热微正压闪蒸的工艺，稳定后的凝析油作为副产品通过罐车拉运外销；同步建设站内配套管网以及相应的公辅工程。</w:t>
      </w:r>
    </w:p>
    <w:bookmarkEnd w:id="130"/>
    <w:bookmarkEnd w:id="131"/>
    <w:p w14:paraId="4D7578DF">
      <w:pPr>
        <w:adjustRightInd w:val="0"/>
        <w:snapToGrid w:val="0"/>
        <w:spacing w:line="460" w:lineRule="exact"/>
        <w:ind w:firstLine="520" w:firstLineChars="200"/>
        <w:rPr>
          <w:sz w:val="26"/>
          <w:szCs w:val="26"/>
        </w:rPr>
      </w:pPr>
      <w:bookmarkStart w:id="132" w:name="OLE_LINK8"/>
      <w:r>
        <w:rPr>
          <w:rFonts w:hint="eastAsia"/>
          <w:sz w:val="26"/>
          <w:szCs w:val="26"/>
        </w:rPr>
        <w:t>项目投资</w:t>
      </w:r>
      <w:r>
        <w:rPr>
          <w:sz w:val="26"/>
          <w:szCs w:val="26"/>
        </w:rPr>
        <w:t>***</w:t>
      </w:r>
      <w:r>
        <w:rPr>
          <w:rFonts w:hint="eastAsia"/>
          <w:sz w:val="26"/>
          <w:szCs w:val="26"/>
        </w:rPr>
        <w:t>万元，全部由建设单位自筹。其中环保投资</w:t>
      </w:r>
      <w:r>
        <w:rPr>
          <w:sz w:val="26"/>
          <w:szCs w:val="26"/>
        </w:rPr>
        <w:t>***</w:t>
      </w:r>
      <w:r>
        <w:rPr>
          <w:rFonts w:hint="eastAsia"/>
          <w:sz w:val="26"/>
          <w:szCs w:val="26"/>
        </w:rPr>
        <w:t>万元，占总投资的</w:t>
      </w:r>
      <w:r>
        <w:rPr>
          <w:sz w:val="26"/>
          <w:szCs w:val="26"/>
        </w:rPr>
        <w:t>***</w:t>
      </w:r>
      <w:r>
        <w:rPr>
          <w:rFonts w:hint="eastAsia"/>
          <w:sz w:val="26"/>
          <w:szCs w:val="26"/>
        </w:rPr>
        <w:t>。</w:t>
      </w:r>
    </w:p>
    <w:bookmarkEnd w:id="132"/>
    <w:p w14:paraId="2EAAF31B">
      <w:pPr>
        <w:spacing w:line="460" w:lineRule="exact"/>
        <w:ind w:firstLine="522" w:firstLineChars="200"/>
        <w:outlineLvl w:val="1"/>
        <w:rPr>
          <w:b/>
          <w:bCs/>
          <w:sz w:val="26"/>
          <w:szCs w:val="26"/>
        </w:rPr>
      </w:pPr>
      <w:bookmarkStart w:id="133" w:name="_Toc219907631"/>
      <w:bookmarkStart w:id="134" w:name="_Toc165809681"/>
      <w:bookmarkStart w:id="135" w:name="_Toc165810482"/>
      <w:r>
        <w:rPr>
          <w:rFonts w:hint="eastAsia"/>
          <w:b/>
          <w:bCs/>
          <w:sz w:val="26"/>
          <w:szCs w:val="26"/>
        </w:rPr>
        <w:t>2</w:t>
      </w:r>
      <w:r>
        <w:rPr>
          <w:b/>
          <w:bCs/>
          <w:sz w:val="26"/>
          <w:szCs w:val="26"/>
        </w:rPr>
        <w:t xml:space="preserve">.2 </w:t>
      </w:r>
      <w:r>
        <w:rPr>
          <w:rFonts w:hint="eastAsia"/>
          <w:b/>
          <w:bCs/>
          <w:sz w:val="26"/>
          <w:szCs w:val="26"/>
        </w:rPr>
        <w:t>依托工程</w:t>
      </w:r>
      <w:bookmarkEnd w:id="133"/>
      <w:bookmarkEnd w:id="134"/>
      <w:bookmarkEnd w:id="135"/>
    </w:p>
    <w:p w14:paraId="6F3D2274">
      <w:pPr>
        <w:pStyle w:val="1068"/>
      </w:pPr>
      <w:r>
        <w:rPr>
          <w:rFonts w:hint="eastAsia"/>
        </w:rPr>
        <w:t>2</w:t>
      </w:r>
      <w:r>
        <w:t xml:space="preserve">.2.1 </w:t>
      </w:r>
      <w:r>
        <w:rPr>
          <w:rFonts w:hint="eastAsia"/>
        </w:rPr>
        <w:t>环保手续执行情况</w:t>
      </w:r>
    </w:p>
    <w:p w14:paraId="175FBF91">
      <w:pPr>
        <w:pStyle w:val="1381"/>
        <w:ind w:firstLine="520"/>
        <w:rPr>
          <w:b/>
          <w:bCs/>
        </w:rPr>
      </w:pPr>
      <w:r>
        <w:rPr>
          <w:rFonts w:hint="eastAsia"/>
        </w:rPr>
        <w:t>（1）</w:t>
      </w:r>
      <w:r>
        <w:t>巴中2HF井钻探工程</w:t>
      </w:r>
    </w:p>
    <w:p w14:paraId="4F44E83B">
      <w:pPr>
        <w:spacing w:line="460" w:lineRule="exact"/>
        <w:ind w:firstLine="520" w:firstLineChars="200"/>
        <w:rPr>
          <w:sz w:val="26"/>
          <w:szCs w:val="26"/>
        </w:rPr>
      </w:pPr>
      <w:r>
        <w:rPr>
          <w:sz w:val="26"/>
          <w:szCs w:val="26"/>
        </w:rPr>
        <w:t>“巴中2HF井钻探工程”于</w:t>
      </w:r>
      <w:r>
        <w:rPr>
          <w:kern w:val="0"/>
          <w:sz w:val="26"/>
          <w:szCs w:val="26"/>
        </w:rPr>
        <w:t>2023年10月23日取得环评批复文件“</w:t>
      </w:r>
      <w:r>
        <w:rPr>
          <w:rFonts w:hint="eastAsia"/>
          <w:kern w:val="0"/>
          <w:sz w:val="26"/>
          <w:szCs w:val="26"/>
        </w:rPr>
        <w:t>恩</w:t>
      </w:r>
      <w:r>
        <w:rPr>
          <w:kern w:val="0"/>
          <w:sz w:val="26"/>
          <w:szCs w:val="26"/>
        </w:rPr>
        <w:t>环境</w:t>
      </w:r>
      <w:r>
        <w:rPr>
          <w:rFonts w:hint="eastAsia"/>
          <w:kern w:val="0"/>
          <w:sz w:val="26"/>
          <w:szCs w:val="26"/>
        </w:rPr>
        <w:t>函</w:t>
      </w:r>
      <w:r>
        <w:rPr>
          <w:kern w:val="0"/>
          <w:sz w:val="26"/>
          <w:szCs w:val="26"/>
        </w:rPr>
        <w:t>〔2023〕29号”，包括1口天然气勘探井，井型为导眼井+水平井，目的层为***（不含硫化氢）。</w:t>
      </w:r>
      <w:r>
        <w:rPr>
          <w:rFonts w:hint="eastAsia"/>
          <w:kern w:val="0"/>
          <w:sz w:val="26"/>
          <w:szCs w:val="26"/>
        </w:rPr>
        <w:t>目前，</w:t>
      </w:r>
      <w:r>
        <w:rPr>
          <w:sz w:val="26"/>
          <w:szCs w:val="26"/>
        </w:rPr>
        <w:t>巴中2HF井钻探工程</w:t>
      </w:r>
      <w:r>
        <w:rPr>
          <w:rFonts w:hint="eastAsia"/>
          <w:sz w:val="26"/>
          <w:szCs w:val="26"/>
        </w:rPr>
        <w:t>已完工，正在进行竣工环保验收。</w:t>
      </w:r>
    </w:p>
    <w:p w14:paraId="1CA744E8">
      <w:pPr>
        <w:spacing w:line="460" w:lineRule="exact"/>
        <w:ind w:firstLine="520" w:firstLineChars="200"/>
        <w:rPr>
          <w:sz w:val="26"/>
          <w:szCs w:val="26"/>
        </w:rPr>
      </w:pPr>
      <w:r>
        <w:rPr>
          <w:rFonts w:hint="eastAsia"/>
          <w:sz w:val="26"/>
          <w:szCs w:val="26"/>
        </w:rPr>
        <w:t>（2）巴页2HF井钻探工程</w:t>
      </w:r>
    </w:p>
    <w:p w14:paraId="0CBBF8BF">
      <w:pPr>
        <w:spacing w:line="460" w:lineRule="exact"/>
        <w:ind w:firstLine="520" w:firstLineChars="200"/>
        <w:rPr>
          <w:sz w:val="26"/>
          <w:szCs w:val="26"/>
        </w:rPr>
      </w:pPr>
      <w:r>
        <w:rPr>
          <w:sz w:val="26"/>
          <w:szCs w:val="26"/>
        </w:rPr>
        <w:t>“巴</w:t>
      </w:r>
      <w:r>
        <w:rPr>
          <w:rFonts w:hint="eastAsia"/>
          <w:sz w:val="26"/>
          <w:szCs w:val="26"/>
        </w:rPr>
        <w:t>页</w:t>
      </w:r>
      <w:r>
        <w:rPr>
          <w:sz w:val="26"/>
          <w:szCs w:val="26"/>
        </w:rPr>
        <w:t>2HF井钻探工程”于</w:t>
      </w:r>
      <w:r>
        <w:rPr>
          <w:kern w:val="0"/>
          <w:sz w:val="26"/>
          <w:szCs w:val="26"/>
        </w:rPr>
        <w:t>2024年9月18日取得环评批复文件“</w:t>
      </w:r>
      <w:r>
        <w:rPr>
          <w:rFonts w:hint="eastAsia"/>
          <w:kern w:val="0"/>
          <w:sz w:val="26"/>
          <w:szCs w:val="26"/>
        </w:rPr>
        <w:t>恩</w:t>
      </w:r>
      <w:r>
        <w:rPr>
          <w:kern w:val="0"/>
          <w:sz w:val="26"/>
          <w:szCs w:val="26"/>
        </w:rPr>
        <w:t>环境</w:t>
      </w:r>
      <w:r>
        <w:rPr>
          <w:rFonts w:hint="eastAsia"/>
          <w:kern w:val="0"/>
          <w:sz w:val="26"/>
          <w:szCs w:val="26"/>
        </w:rPr>
        <w:t>函</w:t>
      </w:r>
      <w:r>
        <w:rPr>
          <w:kern w:val="0"/>
          <w:sz w:val="26"/>
          <w:szCs w:val="26"/>
        </w:rPr>
        <w:t>〔2024〕61号”，包括1口天然气勘探井，井型为水平井，</w:t>
      </w:r>
      <w:r>
        <w:rPr>
          <w:rFonts w:hint="eastAsia"/>
          <w:kern w:val="0"/>
          <w:sz w:val="26"/>
          <w:szCs w:val="26"/>
        </w:rPr>
        <w:t>与</w:t>
      </w:r>
      <w:r>
        <w:rPr>
          <w:sz w:val="26"/>
          <w:szCs w:val="26"/>
        </w:rPr>
        <w:t>巴中2HF井</w:t>
      </w:r>
      <w:r>
        <w:rPr>
          <w:rFonts w:hint="eastAsia"/>
          <w:sz w:val="26"/>
          <w:szCs w:val="26"/>
        </w:rPr>
        <w:t>同井场</w:t>
      </w:r>
      <w:r>
        <w:rPr>
          <w:rFonts w:hint="eastAsia"/>
          <w:kern w:val="0"/>
          <w:sz w:val="26"/>
          <w:szCs w:val="26"/>
        </w:rPr>
        <w:t>，</w:t>
      </w:r>
      <w:r>
        <w:rPr>
          <w:kern w:val="0"/>
          <w:sz w:val="26"/>
          <w:szCs w:val="26"/>
        </w:rPr>
        <w:t>目的层为***（不含硫化氢）。</w:t>
      </w:r>
      <w:r>
        <w:rPr>
          <w:rFonts w:hint="eastAsia"/>
          <w:kern w:val="0"/>
          <w:sz w:val="26"/>
          <w:szCs w:val="26"/>
        </w:rPr>
        <w:t>目前，</w:t>
      </w:r>
      <w:r>
        <w:rPr>
          <w:sz w:val="26"/>
          <w:szCs w:val="26"/>
        </w:rPr>
        <w:t>巴</w:t>
      </w:r>
      <w:r>
        <w:rPr>
          <w:rFonts w:hint="eastAsia"/>
          <w:sz w:val="26"/>
          <w:szCs w:val="26"/>
        </w:rPr>
        <w:t>页</w:t>
      </w:r>
      <w:r>
        <w:rPr>
          <w:sz w:val="26"/>
          <w:szCs w:val="26"/>
        </w:rPr>
        <w:t>2HF井钻探工程</w:t>
      </w:r>
      <w:r>
        <w:rPr>
          <w:rFonts w:hint="eastAsia"/>
          <w:sz w:val="26"/>
          <w:szCs w:val="26"/>
        </w:rPr>
        <w:t>已完工，正在进行竣工环保验收。</w:t>
      </w:r>
    </w:p>
    <w:p w14:paraId="54E147D0">
      <w:pPr>
        <w:pStyle w:val="1068"/>
      </w:pPr>
      <w:r>
        <w:rPr>
          <w:rFonts w:hint="eastAsia"/>
        </w:rPr>
        <w:t>2</w:t>
      </w:r>
      <w:r>
        <w:t xml:space="preserve">.2.2 </w:t>
      </w:r>
      <w:r>
        <w:rPr>
          <w:rFonts w:hint="eastAsia"/>
        </w:rPr>
        <w:t>钻井井场现状</w:t>
      </w:r>
    </w:p>
    <w:p w14:paraId="618CDE30">
      <w:pPr>
        <w:spacing w:line="460" w:lineRule="exact"/>
        <w:ind w:firstLine="520" w:firstLineChars="200"/>
        <w:rPr>
          <w:sz w:val="26"/>
          <w:szCs w:val="26"/>
        </w:rPr>
      </w:pPr>
      <w:r>
        <w:rPr>
          <w:rFonts w:hint="eastAsia"/>
          <w:sz w:val="26"/>
          <w:szCs w:val="26"/>
        </w:rPr>
        <w:t>根据现场踏勘和资料收集，巴中2HF井已建设完成1</w:t>
      </w:r>
      <w:r>
        <w:rPr>
          <w:sz w:val="26"/>
          <w:szCs w:val="26"/>
        </w:rPr>
        <w:t>30m</w:t>
      </w:r>
      <w:r>
        <w:rPr>
          <w:rFonts w:hint="eastAsia"/>
          <w:sz w:val="26"/>
          <w:szCs w:val="26"/>
        </w:rPr>
        <w:t>×</w:t>
      </w:r>
      <w:r>
        <w:rPr>
          <w:sz w:val="26"/>
          <w:szCs w:val="26"/>
        </w:rPr>
        <w:t>60</w:t>
      </w:r>
      <w:r>
        <w:rPr>
          <w:rFonts w:hint="eastAsia"/>
          <w:sz w:val="26"/>
          <w:szCs w:val="26"/>
        </w:rPr>
        <w:t>m井场一座，平台北侧和西南侧分别修建1座3</w:t>
      </w:r>
      <w:r>
        <w:rPr>
          <w:sz w:val="26"/>
          <w:szCs w:val="26"/>
        </w:rPr>
        <w:t>00</w:t>
      </w:r>
      <w:r>
        <w:rPr>
          <w:rFonts w:hint="eastAsia"/>
          <w:sz w:val="26"/>
          <w:szCs w:val="26"/>
        </w:rPr>
        <w:t>m</w:t>
      </w:r>
      <w:r>
        <w:rPr>
          <w:sz w:val="26"/>
          <w:szCs w:val="26"/>
          <w:vertAlign w:val="superscript"/>
        </w:rPr>
        <w:t>3</w:t>
      </w:r>
      <w:r>
        <w:rPr>
          <w:rFonts w:hint="eastAsia"/>
          <w:sz w:val="26"/>
          <w:szCs w:val="26"/>
        </w:rPr>
        <w:t>放喷池，平台东北侧修建了</w:t>
      </w:r>
      <w:r>
        <w:rPr>
          <w:sz w:val="26"/>
          <w:szCs w:val="26"/>
        </w:rPr>
        <w:t>1</w:t>
      </w:r>
      <w:r>
        <w:rPr>
          <w:rFonts w:hint="eastAsia"/>
          <w:sz w:val="26"/>
          <w:szCs w:val="26"/>
        </w:rPr>
        <w:t>座1</w:t>
      </w:r>
      <w:r>
        <w:rPr>
          <w:sz w:val="26"/>
          <w:szCs w:val="26"/>
        </w:rPr>
        <w:t>000</w:t>
      </w:r>
      <w:r>
        <w:rPr>
          <w:rFonts w:hint="eastAsia"/>
          <w:sz w:val="26"/>
          <w:szCs w:val="26"/>
        </w:rPr>
        <w:t>m</w:t>
      </w:r>
      <w:r>
        <w:rPr>
          <w:sz w:val="26"/>
          <w:szCs w:val="26"/>
          <w:vertAlign w:val="superscript"/>
        </w:rPr>
        <w:t>3</w:t>
      </w:r>
      <w:r>
        <w:rPr>
          <w:rFonts w:hint="eastAsia"/>
          <w:sz w:val="26"/>
          <w:szCs w:val="26"/>
        </w:rPr>
        <w:t>污水池和1</w:t>
      </w:r>
      <w:r>
        <w:rPr>
          <w:sz w:val="26"/>
          <w:szCs w:val="26"/>
        </w:rPr>
        <w:t>000</w:t>
      </w:r>
      <w:r>
        <w:rPr>
          <w:rFonts w:hint="eastAsia"/>
          <w:sz w:val="26"/>
          <w:szCs w:val="26"/>
        </w:rPr>
        <w:t>m</w:t>
      </w:r>
      <w:r>
        <w:rPr>
          <w:sz w:val="26"/>
          <w:szCs w:val="26"/>
          <w:vertAlign w:val="superscript"/>
        </w:rPr>
        <w:t>3</w:t>
      </w:r>
      <w:r>
        <w:rPr>
          <w:rFonts w:hint="eastAsia"/>
          <w:sz w:val="26"/>
          <w:szCs w:val="26"/>
        </w:rPr>
        <w:t>应急池（</w:t>
      </w:r>
      <w:r>
        <w:rPr>
          <w:rFonts w:hint="eastAsia" w:ascii="宋体" w:cs="宋体"/>
          <w:kern w:val="0"/>
          <w:sz w:val="24"/>
        </w:rPr>
        <w:t>污水池和应急池合建</w:t>
      </w:r>
      <w:r>
        <w:rPr>
          <w:rFonts w:hint="eastAsia"/>
          <w:sz w:val="26"/>
          <w:szCs w:val="26"/>
        </w:rPr>
        <w:t>），井场东南侧修建</w:t>
      </w:r>
      <w:r>
        <w:rPr>
          <w:sz w:val="26"/>
          <w:szCs w:val="26"/>
        </w:rPr>
        <w:t>65</w:t>
      </w:r>
      <w:r>
        <w:rPr>
          <w:rFonts w:hint="eastAsia"/>
          <w:sz w:val="26"/>
          <w:szCs w:val="26"/>
        </w:rPr>
        <w:t>m进场道路，道路宽度4m。巴页2</w:t>
      </w:r>
      <w:r>
        <w:rPr>
          <w:sz w:val="26"/>
          <w:szCs w:val="26"/>
        </w:rPr>
        <w:t>HF</w:t>
      </w:r>
      <w:r>
        <w:rPr>
          <w:rFonts w:hint="eastAsia"/>
          <w:sz w:val="26"/>
          <w:szCs w:val="26"/>
        </w:rPr>
        <w:t>井</w:t>
      </w:r>
      <w:r>
        <w:rPr>
          <w:rFonts w:hint="eastAsia"/>
          <w:kern w:val="0"/>
          <w:sz w:val="26"/>
          <w:szCs w:val="26"/>
        </w:rPr>
        <w:t>除方井和井架基础外，其余工程均依托巴中2</w:t>
      </w:r>
      <w:r>
        <w:rPr>
          <w:kern w:val="0"/>
          <w:sz w:val="26"/>
          <w:szCs w:val="26"/>
        </w:rPr>
        <w:t>HF</w:t>
      </w:r>
      <w:r>
        <w:rPr>
          <w:rFonts w:hint="eastAsia"/>
          <w:kern w:val="0"/>
          <w:sz w:val="26"/>
          <w:szCs w:val="26"/>
        </w:rPr>
        <w:t>钻探工程。</w:t>
      </w:r>
    </w:p>
    <w:p w14:paraId="25B554A1">
      <w:pPr>
        <w:spacing w:line="460" w:lineRule="exact"/>
        <w:ind w:firstLine="520" w:firstLineChars="200"/>
        <w:rPr>
          <w:sz w:val="26"/>
          <w:szCs w:val="26"/>
        </w:rPr>
      </w:pPr>
      <w:r>
        <w:rPr>
          <w:rFonts w:hint="eastAsia"/>
          <w:sz w:val="26"/>
          <w:szCs w:val="26"/>
        </w:rPr>
        <w:t>本项目在现有平台内建设试采站场，平台现状见</w:t>
      </w:r>
      <w:r>
        <w:rPr>
          <w:rFonts w:hint="eastAsia"/>
          <w:sz w:val="26"/>
          <w:szCs w:val="26"/>
          <w:u w:val="single"/>
        </w:rPr>
        <w:t>图2</w:t>
      </w:r>
      <w:r>
        <w:rPr>
          <w:sz w:val="26"/>
          <w:szCs w:val="26"/>
          <w:u w:val="single"/>
        </w:rPr>
        <w:t>.2-1</w:t>
      </w:r>
      <w:r>
        <w:rPr>
          <w:rFonts w:hint="eastAsia"/>
          <w:sz w:val="26"/>
          <w:szCs w:val="26"/>
        </w:rPr>
        <w:t>。</w:t>
      </w:r>
    </w:p>
    <w:p w14:paraId="387C6AFF">
      <w:pPr>
        <w:pStyle w:val="1379"/>
        <w:ind w:firstLine="440"/>
      </w:pPr>
    </w:p>
    <w:tbl>
      <w:tblPr>
        <w:tblStyle w:val="89"/>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0"/>
        <w:gridCol w:w="4360"/>
      </w:tblGrid>
      <w:tr w14:paraId="7B32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0" w:type="dxa"/>
          </w:tcPr>
          <w:p w14:paraId="18218F8E">
            <w:pPr>
              <w:pStyle w:val="687"/>
            </w:pPr>
            <w:r>
              <w:drawing>
                <wp:inline distT="0" distB="0" distL="0" distR="0">
                  <wp:extent cx="2631440" cy="1976755"/>
                  <wp:effectExtent l="0" t="0" r="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8"/>
                          <a:stretch>
                            <a:fillRect/>
                          </a:stretch>
                        </pic:blipFill>
                        <pic:spPr>
                          <a:xfrm>
                            <a:off x="0" y="0"/>
                            <a:ext cx="2631440" cy="1976755"/>
                          </a:xfrm>
                          <a:prstGeom prst="rect">
                            <a:avLst/>
                          </a:prstGeom>
                        </pic:spPr>
                      </pic:pic>
                    </a:graphicData>
                  </a:graphic>
                </wp:inline>
              </w:drawing>
            </w:r>
          </w:p>
          <w:p w14:paraId="5A8D0909">
            <w:pPr>
              <w:pStyle w:val="687"/>
            </w:pPr>
            <w:r>
              <w:rPr>
                <w:rFonts w:hint="eastAsia"/>
              </w:rPr>
              <w:t>井场全貌</w:t>
            </w:r>
          </w:p>
        </w:tc>
        <w:tc>
          <w:tcPr>
            <w:tcW w:w="4360" w:type="dxa"/>
          </w:tcPr>
          <w:p w14:paraId="6FA07EED">
            <w:pPr>
              <w:pStyle w:val="687"/>
            </w:pPr>
            <w:r>
              <w:drawing>
                <wp:inline distT="0" distB="0" distL="0" distR="0">
                  <wp:extent cx="2632075" cy="196913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9"/>
                          <a:stretch>
                            <a:fillRect/>
                          </a:stretch>
                        </pic:blipFill>
                        <pic:spPr>
                          <a:xfrm>
                            <a:off x="0" y="0"/>
                            <a:ext cx="2632075" cy="1969135"/>
                          </a:xfrm>
                          <a:prstGeom prst="rect">
                            <a:avLst/>
                          </a:prstGeom>
                        </pic:spPr>
                      </pic:pic>
                    </a:graphicData>
                  </a:graphic>
                </wp:inline>
              </w:drawing>
            </w:r>
            <w:r>
              <w:rPr>
                <w:rFonts w:hint="eastAsia"/>
              </w:rPr>
              <w:t>井口区域</w:t>
            </w:r>
          </w:p>
        </w:tc>
      </w:tr>
      <w:tr w14:paraId="7A14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0" w:type="dxa"/>
          </w:tcPr>
          <w:p w14:paraId="4F6B2AFC">
            <w:pPr>
              <w:pStyle w:val="687"/>
            </w:pPr>
            <w:r>
              <w:drawing>
                <wp:inline distT="0" distB="0" distL="0" distR="0">
                  <wp:extent cx="2632075" cy="197485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0"/>
                          <a:stretch>
                            <a:fillRect/>
                          </a:stretch>
                        </pic:blipFill>
                        <pic:spPr>
                          <a:xfrm>
                            <a:off x="0" y="0"/>
                            <a:ext cx="2632075" cy="1974850"/>
                          </a:xfrm>
                          <a:prstGeom prst="rect">
                            <a:avLst/>
                          </a:prstGeom>
                        </pic:spPr>
                      </pic:pic>
                    </a:graphicData>
                  </a:graphic>
                </wp:inline>
              </w:drawing>
            </w:r>
          </w:p>
          <w:p w14:paraId="5D5CD68B">
            <w:pPr>
              <w:pStyle w:val="687"/>
            </w:pPr>
            <w:r>
              <w:rPr>
                <w:rFonts w:hint="eastAsia"/>
              </w:rPr>
              <w:t>放喷池</w:t>
            </w:r>
          </w:p>
        </w:tc>
        <w:tc>
          <w:tcPr>
            <w:tcW w:w="4360" w:type="dxa"/>
          </w:tcPr>
          <w:p w14:paraId="4DB52D93">
            <w:pPr>
              <w:pStyle w:val="687"/>
            </w:pPr>
            <w:r>
              <w:drawing>
                <wp:inline distT="0" distB="0" distL="0" distR="0">
                  <wp:extent cx="2631440" cy="196405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1"/>
                          <a:stretch>
                            <a:fillRect/>
                          </a:stretch>
                        </pic:blipFill>
                        <pic:spPr>
                          <a:xfrm>
                            <a:off x="0" y="0"/>
                            <a:ext cx="2631440" cy="1964055"/>
                          </a:xfrm>
                          <a:prstGeom prst="rect">
                            <a:avLst/>
                          </a:prstGeom>
                        </pic:spPr>
                      </pic:pic>
                    </a:graphicData>
                  </a:graphic>
                </wp:inline>
              </w:drawing>
            </w:r>
          </w:p>
          <w:p w14:paraId="4D9F79E6">
            <w:pPr>
              <w:pStyle w:val="687"/>
            </w:pPr>
            <w:r>
              <w:rPr>
                <w:rFonts w:hint="eastAsia"/>
              </w:rPr>
              <w:t>清水池和应急池</w:t>
            </w:r>
          </w:p>
        </w:tc>
      </w:tr>
    </w:tbl>
    <w:p w14:paraId="74EEF89B">
      <w:pPr>
        <w:pStyle w:val="1065"/>
      </w:pPr>
      <w:r>
        <w:rPr>
          <w:rFonts w:hint="eastAsia"/>
        </w:rPr>
        <w:t>图2</w:t>
      </w:r>
      <w:r>
        <w:t xml:space="preserve">.2-1  </w:t>
      </w:r>
      <w:r>
        <w:rPr>
          <w:rFonts w:hint="eastAsia"/>
        </w:rPr>
        <w:t>巴中2HF井场现状图</w:t>
      </w:r>
    </w:p>
    <w:p w14:paraId="0EC43E22">
      <w:pPr>
        <w:pStyle w:val="1379"/>
        <w:ind w:firstLine="440"/>
      </w:pPr>
    </w:p>
    <w:p w14:paraId="19906084">
      <w:pPr>
        <w:pStyle w:val="1068"/>
      </w:pPr>
      <w:r>
        <w:rPr>
          <w:rFonts w:hint="eastAsia"/>
        </w:rPr>
        <w:t>2</w:t>
      </w:r>
      <w:r>
        <w:t xml:space="preserve">.2.3 </w:t>
      </w:r>
      <w:r>
        <w:rPr>
          <w:rFonts w:hint="eastAsia"/>
        </w:rPr>
        <w:t>钻井工程回顾性分析</w:t>
      </w:r>
    </w:p>
    <w:p w14:paraId="52D36A57">
      <w:pPr>
        <w:spacing w:line="460" w:lineRule="exact"/>
        <w:ind w:firstLine="520" w:firstLineChars="200"/>
        <w:rPr>
          <w:sz w:val="26"/>
          <w:szCs w:val="26"/>
        </w:rPr>
      </w:pPr>
      <w:r>
        <w:rPr>
          <w:rFonts w:hint="eastAsia"/>
          <w:sz w:val="26"/>
          <w:szCs w:val="26"/>
        </w:rPr>
        <w:t>（1）井身结构</w:t>
      </w:r>
    </w:p>
    <w:p w14:paraId="2C77ACBF">
      <w:pPr>
        <w:spacing w:line="460" w:lineRule="exact"/>
        <w:ind w:firstLine="520" w:firstLineChars="200"/>
        <w:rPr>
          <w:sz w:val="26"/>
          <w:szCs w:val="26"/>
        </w:rPr>
      </w:pPr>
      <w:r>
        <w:rPr>
          <w:rFonts w:hint="eastAsia"/>
          <w:sz w:val="26"/>
          <w:szCs w:val="26"/>
        </w:rPr>
        <w:t>巴中2HF井和巴页2HF井目的层均为</w:t>
      </w:r>
      <w:r>
        <w:rPr>
          <w:rFonts w:hint="eastAsia" w:ascii="宋体" w:cs="宋体"/>
          <w:kern w:val="0"/>
          <w:sz w:val="26"/>
          <w:szCs w:val="26"/>
        </w:rPr>
        <w:t>***，其井身结构如下：</w:t>
      </w:r>
    </w:p>
    <w:p w14:paraId="13A362E6">
      <w:pPr>
        <w:pStyle w:val="1379"/>
        <w:ind w:firstLine="440"/>
      </w:pPr>
    </w:p>
    <w:p w14:paraId="7E15DC7B">
      <w:pPr>
        <w:jc w:val="center"/>
        <w:rPr>
          <w:sz w:val="26"/>
          <w:szCs w:val="26"/>
        </w:rPr>
      </w:pPr>
      <w:r>
        <w:rPr>
          <w:rFonts w:hint="eastAsia"/>
          <w:sz w:val="26"/>
          <w:szCs w:val="26"/>
        </w:rPr>
        <w:t>***</w:t>
      </w:r>
    </w:p>
    <w:p w14:paraId="27B84D1A">
      <w:pPr>
        <w:pStyle w:val="1065"/>
      </w:pPr>
      <w:r>
        <w:rPr>
          <w:rFonts w:hint="eastAsia"/>
        </w:rPr>
        <w:t>图2</w:t>
      </w:r>
      <w:r>
        <w:t xml:space="preserve">.2-2   </w:t>
      </w:r>
      <w:r>
        <w:rPr>
          <w:rFonts w:hint="eastAsia"/>
        </w:rPr>
        <w:t>巴中2HF井井身结构示意图</w:t>
      </w:r>
    </w:p>
    <w:p w14:paraId="6472A001">
      <w:pPr>
        <w:pStyle w:val="1379"/>
        <w:ind w:firstLine="440"/>
      </w:pPr>
    </w:p>
    <w:p w14:paraId="767CB603">
      <w:pPr>
        <w:pStyle w:val="1065"/>
      </w:pPr>
      <w:r>
        <w:rPr>
          <w:rFonts w:hint="eastAsia"/>
          <w:bCs/>
        </w:rPr>
        <w:t>***</w:t>
      </w:r>
    </w:p>
    <w:p w14:paraId="569ECDFD">
      <w:pPr>
        <w:pStyle w:val="1065"/>
      </w:pPr>
      <w:r>
        <w:rPr>
          <w:rFonts w:hint="eastAsia"/>
        </w:rPr>
        <w:t>图2</w:t>
      </w:r>
      <w:r>
        <w:t xml:space="preserve">.2-3   </w:t>
      </w:r>
      <w:r>
        <w:rPr>
          <w:rFonts w:hint="eastAsia"/>
        </w:rPr>
        <w:t>巴页2HF井井身结构示意图</w:t>
      </w:r>
    </w:p>
    <w:p w14:paraId="0F7381F8">
      <w:pPr>
        <w:pStyle w:val="1379"/>
        <w:ind w:firstLine="440"/>
      </w:pPr>
    </w:p>
    <w:p w14:paraId="1C714418">
      <w:pPr>
        <w:spacing w:line="460" w:lineRule="exact"/>
        <w:ind w:firstLine="520" w:firstLineChars="200"/>
        <w:rPr>
          <w:sz w:val="26"/>
          <w:szCs w:val="26"/>
        </w:rPr>
      </w:pPr>
      <w:r>
        <w:rPr>
          <w:rFonts w:hint="eastAsia"/>
          <w:sz w:val="26"/>
          <w:szCs w:val="26"/>
        </w:rPr>
        <w:t>（2）钻井液类型</w:t>
      </w:r>
    </w:p>
    <w:p w14:paraId="404E1E9E">
      <w:pPr>
        <w:spacing w:line="460" w:lineRule="exact"/>
        <w:ind w:firstLine="520" w:firstLineChars="200"/>
        <w:rPr>
          <w:sz w:val="26"/>
          <w:szCs w:val="26"/>
        </w:rPr>
      </w:pPr>
      <w:r>
        <w:rPr>
          <w:rFonts w:hint="eastAsia"/>
          <w:sz w:val="26"/>
          <w:szCs w:val="26"/>
        </w:rPr>
        <w:t>巴中2HF井、巴页2</w:t>
      </w:r>
      <w:r>
        <w:rPr>
          <w:sz w:val="26"/>
          <w:szCs w:val="26"/>
        </w:rPr>
        <w:t>HF</w:t>
      </w:r>
      <w:r>
        <w:rPr>
          <w:rFonts w:hint="eastAsia"/>
          <w:sz w:val="26"/>
          <w:szCs w:val="26"/>
        </w:rPr>
        <w:t>井</w:t>
      </w:r>
      <w:r>
        <w:rPr>
          <w:rFonts w:hint="eastAsia" w:ascii="宋体" w:cs="宋体"/>
          <w:kern w:val="0"/>
          <w:sz w:val="26"/>
          <w:szCs w:val="26"/>
        </w:rPr>
        <w:t>导管采用清水钻进，一开、二开采用水基泥浆钻进，三开水平井以上采用水基钻井液钻进，三开水平井部分使用油基钻井液钻进</w:t>
      </w:r>
      <w:r>
        <w:rPr>
          <w:rFonts w:hint="eastAsia"/>
          <w:sz w:val="26"/>
          <w:szCs w:val="26"/>
        </w:rPr>
        <w:t>，钻井液基础配方如下表：</w:t>
      </w:r>
    </w:p>
    <w:p w14:paraId="0FF95B55">
      <w:pPr>
        <w:pStyle w:val="1379"/>
        <w:ind w:firstLine="440"/>
      </w:pPr>
    </w:p>
    <w:p w14:paraId="6C318DBD">
      <w:pPr>
        <w:pStyle w:val="1065"/>
        <w:keepNext/>
      </w:pPr>
      <w:r>
        <w:rPr>
          <w:rFonts w:hint="eastAsia"/>
        </w:rPr>
        <w:t>表2</w:t>
      </w:r>
      <w:r>
        <w:t xml:space="preserve">.2-1   </w:t>
      </w:r>
      <w:r>
        <w:rPr>
          <w:rFonts w:hint="eastAsia"/>
        </w:rPr>
        <w:t>钻井液基础配方</w:t>
      </w:r>
    </w:p>
    <w:p w14:paraId="66072FCA">
      <w:pPr>
        <w:pStyle w:val="1065"/>
        <w:keepNext/>
      </w:pPr>
      <w:r>
        <w:rPr>
          <w:rFonts w:hint="eastAsia"/>
        </w:rPr>
        <w:t>***</w:t>
      </w:r>
    </w:p>
    <w:p w14:paraId="3CC1330C">
      <w:pPr>
        <w:spacing w:line="460" w:lineRule="exact"/>
        <w:ind w:firstLine="520" w:firstLineChars="200"/>
        <w:jc w:val="left"/>
        <w:rPr>
          <w:sz w:val="26"/>
          <w:szCs w:val="26"/>
        </w:rPr>
      </w:pPr>
      <w:r>
        <w:rPr>
          <w:rFonts w:hint="eastAsia"/>
          <w:sz w:val="26"/>
          <w:szCs w:val="26"/>
        </w:rPr>
        <w:t>（3）压裂规模</w:t>
      </w:r>
    </w:p>
    <w:p w14:paraId="47688B7D">
      <w:pPr>
        <w:spacing w:line="460" w:lineRule="exact"/>
        <w:ind w:firstLine="520" w:firstLineChars="200"/>
        <w:rPr>
          <w:sz w:val="26"/>
          <w:szCs w:val="26"/>
        </w:rPr>
      </w:pPr>
      <w:r>
        <w:rPr>
          <w:rFonts w:hint="eastAsia"/>
          <w:sz w:val="26"/>
          <w:szCs w:val="26"/>
        </w:rPr>
        <w:t>巴中2HF井和巴页2</w:t>
      </w:r>
      <w:r>
        <w:rPr>
          <w:sz w:val="26"/>
          <w:szCs w:val="26"/>
        </w:rPr>
        <w:t>HF</w:t>
      </w:r>
      <w:r>
        <w:rPr>
          <w:rFonts w:hint="eastAsia"/>
          <w:sz w:val="26"/>
          <w:szCs w:val="26"/>
        </w:rPr>
        <w:t>井均采用水力压裂，根据建设单位提供的数据：巴中2HF井压裂液累积使用量约</w:t>
      </w:r>
      <w:r>
        <w:rPr>
          <w:sz w:val="26"/>
          <w:szCs w:val="26"/>
        </w:rPr>
        <w:t>49480</w:t>
      </w:r>
      <w:r>
        <w:rPr>
          <w:rFonts w:hint="eastAsia"/>
          <w:sz w:val="26"/>
          <w:szCs w:val="26"/>
        </w:rPr>
        <w:t>m</w:t>
      </w:r>
      <w:r>
        <w:rPr>
          <w:sz w:val="26"/>
          <w:szCs w:val="26"/>
          <w:vertAlign w:val="superscript"/>
        </w:rPr>
        <w:t>3</w:t>
      </w:r>
      <w:r>
        <w:rPr>
          <w:rFonts w:hint="eastAsia"/>
          <w:sz w:val="26"/>
          <w:szCs w:val="26"/>
        </w:rPr>
        <w:t>，累积返液量约</w:t>
      </w:r>
      <w:r>
        <w:rPr>
          <w:sz w:val="26"/>
          <w:szCs w:val="26"/>
        </w:rPr>
        <w:t>8828</w:t>
      </w:r>
      <w:r>
        <w:rPr>
          <w:rFonts w:hint="eastAsia"/>
          <w:sz w:val="26"/>
          <w:szCs w:val="26"/>
        </w:rPr>
        <w:t>m</w:t>
      </w:r>
      <w:r>
        <w:rPr>
          <w:sz w:val="26"/>
          <w:szCs w:val="26"/>
          <w:vertAlign w:val="superscript"/>
        </w:rPr>
        <w:t>3</w:t>
      </w:r>
      <w:r>
        <w:rPr>
          <w:rFonts w:hint="eastAsia"/>
          <w:sz w:val="26"/>
          <w:szCs w:val="26"/>
        </w:rPr>
        <w:t>，压裂液返排率</w:t>
      </w:r>
      <w:r>
        <w:rPr>
          <w:sz w:val="26"/>
          <w:szCs w:val="26"/>
        </w:rPr>
        <w:t>17.77</w:t>
      </w:r>
      <w:r>
        <w:rPr>
          <w:rFonts w:hint="eastAsia"/>
          <w:sz w:val="26"/>
          <w:szCs w:val="26"/>
        </w:rPr>
        <w:t>%；巴页2HF井压裂液累积使用量约</w:t>
      </w:r>
      <w:r>
        <w:rPr>
          <w:sz w:val="26"/>
          <w:szCs w:val="26"/>
        </w:rPr>
        <w:t>36480</w:t>
      </w:r>
      <w:r>
        <w:rPr>
          <w:rFonts w:hint="eastAsia"/>
          <w:sz w:val="26"/>
          <w:szCs w:val="26"/>
        </w:rPr>
        <w:t>m</w:t>
      </w:r>
      <w:r>
        <w:rPr>
          <w:sz w:val="26"/>
          <w:szCs w:val="26"/>
          <w:vertAlign w:val="superscript"/>
        </w:rPr>
        <w:t>3</w:t>
      </w:r>
      <w:r>
        <w:rPr>
          <w:rFonts w:hint="eastAsia"/>
          <w:sz w:val="26"/>
          <w:szCs w:val="26"/>
        </w:rPr>
        <w:t>，累积返液量约</w:t>
      </w:r>
      <w:r>
        <w:rPr>
          <w:sz w:val="26"/>
          <w:szCs w:val="26"/>
        </w:rPr>
        <w:t>6516</w:t>
      </w:r>
      <w:r>
        <w:rPr>
          <w:rFonts w:hint="eastAsia"/>
          <w:sz w:val="26"/>
          <w:szCs w:val="26"/>
        </w:rPr>
        <w:t>m</w:t>
      </w:r>
      <w:r>
        <w:rPr>
          <w:sz w:val="26"/>
          <w:szCs w:val="26"/>
          <w:vertAlign w:val="superscript"/>
        </w:rPr>
        <w:t>3</w:t>
      </w:r>
      <w:r>
        <w:rPr>
          <w:rFonts w:hint="eastAsia"/>
          <w:sz w:val="26"/>
          <w:szCs w:val="26"/>
        </w:rPr>
        <w:t>，压裂液返排率</w:t>
      </w:r>
      <w:r>
        <w:rPr>
          <w:sz w:val="26"/>
          <w:szCs w:val="26"/>
        </w:rPr>
        <w:t>17.86</w:t>
      </w:r>
      <w:r>
        <w:rPr>
          <w:rFonts w:hint="eastAsia"/>
          <w:sz w:val="26"/>
          <w:szCs w:val="26"/>
        </w:rPr>
        <w:t>%。</w:t>
      </w:r>
    </w:p>
    <w:p w14:paraId="7E269D6C">
      <w:pPr>
        <w:spacing w:line="460" w:lineRule="exact"/>
        <w:ind w:firstLine="520" w:firstLineChars="200"/>
        <w:rPr>
          <w:sz w:val="26"/>
          <w:szCs w:val="26"/>
        </w:rPr>
      </w:pPr>
      <w:r>
        <w:rPr>
          <w:rFonts w:hint="eastAsia"/>
          <w:sz w:val="26"/>
          <w:szCs w:val="26"/>
        </w:rPr>
        <w:t>（4）求产数据</w:t>
      </w:r>
    </w:p>
    <w:p w14:paraId="44ECFA7E">
      <w:pPr>
        <w:spacing w:line="460" w:lineRule="exact"/>
        <w:ind w:firstLine="520" w:firstLineChars="200"/>
        <w:rPr>
          <w:sz w:val="26"/>
          <w:szCs w:val="26"/>
        </w:rPr>
      </w:pPr>
      <w:r>
        <w:rPr>
          <w:rFonts w:hint="eastAsia"/>
          <w:sz w:val="26"/>
          <w:szCs w:val="26"/>
        </w:rPr>
        <w:t>***</w:t>
      </w:r>
    </w:p>
    <w:p w14:paraId="79CC7F5D">
      <w:pPr>
        <w:pStyle w:val="1068"/>
      </w:pPr>
      <w:r>
        <w:rPr>
          <w:rFonts w:hint="eastAsia"/>
        </w:rPr>
        <w:t>2</w:t>
      </w:r>
      <w:r>
        <w:t>.2.4</w:t>
      </w:r>
      <w:r>
        <w:rPr>
          <w:rFonts w:hint="eastAsia"/>
        </w:rPr>
        <w:t>污染物排放情况及污染防治措施</w:t>
      </w:r>
    </w:p>
    <w:p w14:paraId="353F0F9E">
      <w:pPr>
        <w:spacing w:line="460" w:lineRule="exact"/>
        <w:ind w:firstLine="520" w:firstLineChars="200"/>
        <w:rPr>
          <w:sz w:val="26"/>
          <w:szCs w:val="26"/>
        </w:rPr>
      </w:pPr>
      <w:r>
        <w:rPr>
          <w:rFonts w:hint="eastAsia"/>
          <w:sz w:val="26"/>
          <w:szCs w:val="26"/>
        </w:rPr>
        <w:t>根据调查，巴中2HF井和巴页2HF井位于同一井场，施工单位相同，采取的污染防治措施相同，详见下表。</w:t>
      </w:r>
    </w:p>
    <w:p w14:paraId="4F46EB8D">
      <w:pPr>
        <w:pStyle w:val="1379"/>
        <w:ind w:firstLine="440"/>
      </w:pPr>
    </w:p>
    <w:p w14:paraId="6EC7612D">
      <w:pPr>
        <w:pStyle w:val="1065"/>
      </w:pPr>
      <w:r>
        <w:rPr>
          <w:rFonts w:hint="eastAsia"/>
        </w:rPr>
        <w:t>表2</w:t>
      </w:r>
      <w:r>
        <w:t xml:space="preserve">.2-2   </w:t>
      </w:r>
      <w:r>
        <w:rPr>
          <w:rFonts w:hint="eastAsia"/>
        </w:rPr>
        <w:t>钻井工程污染防治措施一览表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60" w:type="dxa"/>
        </w:tblCellMar>
      </w:tblPr>
      <w:tblGrid>
        <w:gridCol w:w="721"/>
        <w:gridCol w:w="1152"/>
        <w:gridCol w:w="1152"/>
        <w:gridCol w:w="5793"/>
      </w:tblGrid>
      <w:tr w14:paraId="72F32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1715" w:type="pct"/>
            <w:gridSpan w:val="3"/>
            <w:vAlign w:val="center"/>
          </w:tcPr>
          <w:p w14:paraId="71E7FD32">
            <w:pPr>
              <w:pStyle w:val="687"/>
            </w:pPr>
            <w:r>
              <w:rPr>
                <w:rFonts w:hint="eastAsia"/>
              </w:rPr>
              <w:t>污染物类别</w:t>
            </w:r>
          </w:p>
        </w:tc>
        <w:tc>
          <w:tcPr>
            <w:tcW w:w="3285" w:type="pct"/>
            <w:vAlign w:val="center"/>
          </w:tcPr>
          <w:p w14:paraId="6BE95F1F">
            <w:pPr>
              <w:pStyle w:val="687"/>
            </w:pPr>
            <w:r>
              <w:rPr>
                <w:rFonts w:hint="eastAsia"/>
              </w:rPr>
              <w:t>污染防治措施</w:t>
            </w:r>
          </w:p>
        </w:tc>
      </w:tr>
      <w:tr w14:paraId="531F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restart"/>
            <w:vAlign w:val="center"/>
          </w:tcPr>
          <w:p w14:paraId="744A7BA6">
            <w:pPr>
              <w:pStyle w:val="687"/>
            </w:pPr>
            <w:r>
              <w:rPr>
                <w:rFonts w:hint="eastAsia"/>
              </w:rPr>
              <w:t>水污染物</w:t>
            </w:r>
          </w:p>
        </w:tc>
        <w:tc>
          <w:tcPr>
            <w:tcW w:w="653" w:type="pct"/>
            <w:vMerge w:val="restart"/>
            <w:vAlign w:val="center"/>
          </w:tcPr>
          <w:p w14:paraId="687683F7">
            <w:pPr>
              <w:pStyle w:val="687"/>
            </w:pPr>
            <w:r>
              <w:rPr>
                <w:rFonts w:hint="eastAsia"/>
              </w:rPr>
              <w:t>钻前工程</w:t>
            </w:r>
          </w:p>
        </w:tc>
        <w:tc>
          <w:tcPr>
            <w:tcW w:w="653" w:type="pct"/>
            <w:vAlign w:val="center"/>
          </w:tcPr>
          <w:p w14:paraId="25B193E4">
            <w:pPr>
              <w:pStyle w:val="687"/>
            </w:pPr>
            <w:r>
              <w:rPr>
                <w:rFonts w:hint="eastAsia"/>
              </w:rPr>
              <w:t>施工废水</w:t>
            </w:r>
          </w:p>
        </w:tc>
        <w:tc>
          <w:tcPr>
            <w:tcW w:w="3285" w:type="pct"/>
            <w:vAlign w:val="center"/>
          </w:tcPr>
          <w:p w14:paraId="288360A8">
            <w:pPr>
              <w:pStyle w:val="687"/>
              <w:jc w:val="both"/>
            </w:pPr>
            <w:r>
              <w:rPr>
                <w:rFonts w:hint="eastAsia"/>
              </w:rPr>
              <w:t>修建了隔油沉淀池，废水经沉淀后用于洒水降尘。</w:t>
            </w:r>
          </w:p>
        </w:tc>
      </w:tr>
      <w:tr w14:paraId="6F102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04A78736">
            <w:pPr>
              <w:pStyle w:val="687"/>
            </w:pPr>
          </w:p>
        </w:tc>
        <w:tc>
          <w:tcPr>
            <w:tcW w:w="653" w:type="pct"/>
            <w:vMerge w:val="continue"/>
            <w:vAlign w:val="center"/>
          </w:tcPr>
          <w:p w14:paraId="29FAE023">
            <w:pPr>
              <w:pStyle w:val="687"/>
            </w:pPr>
          </w:p>
        </w:tc>
        <w:tc>
          <w:tcPr>
            <w:tcW w:w="653" w:type="pct"/>
            <w:vAlign w:val="center"/>
          </w:tcPr>
          <w:p w14:paraId="18755710">
            <w:pPr>
              <w:pStyle w:val="687"/>
            </w:pPr>
            <w:r>
              <w:rPr>
                <w:rFonts w:hint="eastAsia"/>
              </w:rPr>
              <w:t>生活污水</w:t>
            </w:r>
          </w:p>
        </w:tc>
        <w:tc>
          <w:tcPr>
            <w:tcW w:w="3285" w:type="pct"/>
            <w:vAlign w:val="center"/>
          </w:tcPr>
          <w:p w14:paraId="6899CB10">
            <w:pPr>
              <w:pStyle w:val="687"/>
              <w:jc w:val="both"/>
            </w:pPr>
            <w:r>
              <w:rPr>
                <w:rFonts w:hint="eastAsia" w:ascii="宋体" w:cs="宋体"/>
                <w:kern w:val="0"/>
                <w:szCs w:val="21"/>
              </w:rPr>
              <w:t>利用周边农户旱厕收集作农肥用，不外排。</w:t>
            </w:r>
          </w:p>
        </w:tc>
      </w:tr>
      <w:tr w14:paraId="13B4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59717BBC">
            <w:pPr>
              <w:pStyle w:val="687"/>
            </w:pPr>
          </w:p>
        </w:tc>
        <w:tc>
          <w:tcPr>
            <w:tcW w:w="653" w:type="pct"/>
            <w:vMerge w:val="restart"/>
            <w:vAlign w:val="center"/>
          </w:tcPr>
          <w:p w14:paraId="71A4CEC2">
            <w:pPr>
              <w:pStyle w:val="687"/>
            </w:pPr>
            <w:r>
              <w:rPr>
                <w:rFonts w:hint="eastAsia"/>
              </w:rPr>
              <w:t>钻井及储层改造工程</w:t>
            </w:r>
          </w:p>
        </w:tc>
        <w:tc>
          <w:tcPr>
            <w:tcW w:w="653" w:type="pct"/>
            <w:vAlign w:val="center"/>
          </w:tcPr>
          <w:p w14:paraId="5A9CE528">
            <w:pPr>
              <w:pStyle w:val="687"/>
            </w:pPr>
            <w:r>
              <w:rPr>
                <w:rFonts w:hint="eastAsia"/>
              </w:rPr>
              <w:t>钻井废水</w:t>
            </w:r>
          </w:p>
        </w:tc>
        <w:tc>
          <w:tcPr>
            <w:tcW w:w="3285" w:type="pct"/>
            <w:vAlign w:val="center"/>
          </w:tcPr>
          <w:p w14:paraId="501012F6">
            <w:pPr>
              <w:pStyle w:val="687"/>
              <w:jc w:val="both"/>
            </w:pPr>
            <w:r>
              <w:t>经“不落地系统”处理后，</w:t>
            </w:r>
            <w:r>
              <w:rPr>
                <w:rFonts w:hint="eastAsia"/>
              </w:rPr>
              <w:t>暂存于废水收集罐，</w:t>
            </w:r>
            <w:r>
              <w:rPr>
                <w:rFonts w:hint="eastAsia"/>
                <w:bCs/>
              </w:rPr>
              <w:t>定期转运至</w:t>
            </w:r>
            <w:r>
              <w:rPr>
                <w:rFonts w:hint="eastAsia" w:ascii="宋体" w:cs="宋体"/>
                <w:kern w:val="0"/>
                <w:szCs w:val="21"/>
              </w:rPr>
              <w:t>四川鑫泓钻井废水处理厂集中处理</w:t>
            </w:r>
            <w:r>
              <w:rPr>
                <w:rFonts w:hint="eastAsia"/>
                <w:bCs/>
              </w:rPr>
              <w:t>处置</w:t>
            </w:r>
            <w:r>
              <w:rPr>
                <w:rFonts w:hint="eastAsia"/>
              </w:rPr>
              <w:t>。</w:t>
            </w:r>
          </w:p>
        </w:tc>
      </w:tr>
      <w:tr w14:paraId="21BC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056CFD79">
            <w:pPr>
              <w:pStyle w:val="687"/>
            </w:pPr>
          </w:p>
        </w:tc>
        <w:tc>
          <w:tcPr>
            <w:tcW w:w="653" w:type="pct"/>
            <w:vMerge w:val="continue"/>
            <w:vAlign w:val="center"/>
          </w:tcPr>
          <w:p w14:paraId="4144BC69">
            <w:pPr>
              <w:pStyle w:val="687"/>
            </w:pPr>
          </w:p>
        </w:tc>
        <w:tc>
          <w:tcPr>
            <w:tcW w:w="653" w:type="pct"/>
            <w:vAlign w:val="center"/>
          </w:tcPr>
          <w:p w14:paraId="04FCDD7E">
            <w:pPr>
              <w:pStyle w:val="687"/>
            </w:pPr>
            <w:r>
              <w:rPr>
                <w:rFonts w:hint="eastAsia"/>
              </w:rPr>
              <w:t>洗井废水</w:t>
            </w:r>
          </w:p>
        </w:tc>
        <w:tc>
          <w:tcPr>
            <w:tcW w:w="3285" w:type="pct"/>
            <w:vAlign w:val="center"/>
          </w:tcPr>
          <w:p w14:paraId="73C9D9FA">
            <w:pPr>
              <w:pStyle w:val="687"/>
              <w:jc w:val="both"/>
            </w:pPr>
            <w:r>
              <w:t>洗井废水收集于废水罐</w:t>
            </w:r>
            <w:r>
              <w:rPr>
                <w:rFonts w:hint="eastAsia"/>
              </w:rPr>
              <w:t>，</w:t>
            </w:r>
            <w:r>
              <w:rPr>
                <w:rFonts w:hint="eastAsia"/>
                <w:bCs/>
              </w:rPr>
              <w:t>定期转运至</w:t>
            </w:r>
            <w:r>
              <w:rPr>
                <w:rFonts w:hint="eastAsia" w:ascii="宋体" w:cs="宋体"/>
                <w:kern w:val="0"/>
                <w:szCs w:val="21"/>
              </w:rPr>
              <w:t>四川鑫泓钻井废水处理厂集中处理</w:t>
            </w:r>
            <w:r>
              <w:rPr>
                <w:rFonts w:hint="eastAsia"/>
                <w:bCs/>
              </w:rPr>
              <w:t>处置</w:t>
            </w:r>
            <w:r>
              <w:rPr>
                <w:rFonts w:hint="eastAsia"/>
              </w:rPr>
              <w:t>。</w:t>
            </w:r>
          </w:p>
        </w:tc>
      </w:tr>
      <w:tr w14:paraId="155F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4C7BB96E">
            <w:pPr>
              <w:pStyle w:val="687"/>
            </w:pPr>
          </w:p>
        </w:tc>
        <w:tc>
          <w:tcPr>
            <w:tcW w:w="653" w:type="pct"/>
            <w:vMerge w:val="continue"/>
            <w:vAlign w:val="center"/>
          </w:tcPr>
          <w:p w14:paraId="4185972A">
            <w:pPr>
              <w:pStyle w:val="687"/>
            </w:pPr>
          </w:p>
        </w:tc>
        <w:tc>
          <w:tcPr>
            <w:tcW w:w="653" w:type="pct"/>
            <w:vAlign w:val="center"/>
          </w:tcPr>
          <w:p w14:paraId="3D04F6CE">
            <w:pPr>
              <w:pStyle w:val="687"/>
            </w:pPr>
            <w:r>
              <w:rPr>
                <w:rFonts w:hint="eastAsia"/>
              </w:rPr>
              <w:t>压裂返排液</w:t>
            </w:r>
          </w:p>
        </w:tc>
        <w:tc>
          <w:tcPr>
            <w:tcW w:w="3285" w:type="pct"/>
            <w:vAlign w:val="center"/>
          </w:tcPr>
          <w:p w14:paraId="027D20CB">
            <w:pPr>
              <w:pStyle w:val="687"/>
              <w:jc w:val="both"/>
            </w:pPr>
            <w:r>
              <w:rPr>
                <w:rFonts w:hint="eastAsia"/>
              </w:rPr>
              <w:t>暂存于污水池，</w:t>
            </w:r>
            <w:r>
              <w:rPr>
                <w:rFonts w:hint="eastAsia"/>
                <w:bCs/>
              </w:rPr>
              <w:t>定期转运至</w:t>
            </w:r>
            <w:r>
              <w:rPr>
                <w:rFonts w:hint="eastAsia" w:ascii="宋体" w:cs="宋体"/>
                <w:kern w:val="0"/>
                <w:szCs w:val="21"/>
              </w:rPr>
              <w:t>四川鑫泓钻井废水处理厂集中处理</w:t>
            </w:r>
            <w:r>
              <w:rPr>
                <w:rFonts w:hint="eastAsia"/>
                <w:bCs/>
              </w:rPr>
              <w:t>处置</w:t>
            </w:r>
            <w:r>
              <w:rPr>
                <w:rFonts w:hint="eastAsia"/>
              </w:rPr>
              <w:t>。</w:t>
            </w:r>
          </w:p>
        </w:tc>
      </w:tr>
      <w:tr w14:paraId="0CCD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16FDEAF3">
            <w:pPr>
              <w:pStyle w:val="687"/>
            </w:pPr>
          </w:p>
        </w:tc>
        <w:tc>
          <w:tcPr>
            <w:tcW w:w="653" w:type="pct"/>
            <w:vMerge w:val="continue"/>
            <w:vAlign w:val="center"/>
          </w:tcPr>
          <w:p w14:paraId="262B375B">
            <w:pPr>
              <w:pStyle w:val="687"/>
            </w:pPr>
          </w:p>
        </w:tc>
        <w:tc>
          <w:tcPr>
            <w:tcW w:w="653" w:type="pct"/>
            <w:vAlign w:val="center"/>
          </w:tcPr>
          <w:p w14:paraId="62F7780C">
            <w:pPr>
              <w:pStyle w:val="687"/>
            </w:pPr>
            <w:r>
              <w:rPr>
                <w:rFonts w:hint="eastAsia"/>
              </w:rPr>
              <w:t>方井雨水</w:t>
            </w:r>
          </w:p>
        </w:tc>
        <w:tc>
          <w:tcPr>
            <w:tcW w:w="3285" w:type="pct"/>
            <w:vAlign w:val="center"/>
          </w:tcPr>
          <w:p w14:paraId="4AC543F8">
            <w:pPr>
              <w:pStyle w:val="687"/>
              <w:jc w:val="both"/>
              <w:rPr>
                <w:bCs/>
              </w:rPr>
            </w:pPr>
            <w:r>
              <w:rPr>
                <w:rFonts w:hint="eastAsia" w:ascii="宋体" w:cs="宋体"/>
                <w:kern w:val="0"/>
                <w:szCs w:val="21"/>
              </w:rPr>
              <w:t>通过污水泵泵入污水池，</w:t>
            </w:r>
            <w:r>
              <w:rPr>
                <w:rFonts w:hint="eastAsia"/>
                <w:bCs/>
              </w:rPr>
              <w:t>定期转运至</w:t>
            </w:r>
            <w:r>
              <w:rPr>
                <w:rFonts w:hint="eastAsia" w:ascii="宋体" w:cs="宋体"/>
                <w:kern w:val="0"/>
                <w:szCs w:val="21"/>
              </w:rPr>
              <w:t>四川鑫泓钻井废水处理厂集中处理</w:t>
            </w:r>
            <w:r>
              <w:rPr>
                <w:rFonts w:hint="eastAsia"/>
                <w:bCs/>
              </w:rPr>
              <w:t>处置</w:t>
            </w:r>
            <w:r>
              <w:rPr>
                <w:rFonts w:hint="eastAsia"/>
              </w:rPr>
              <w:t>。</w:t>
            </w:r>
          </w:p>
        </w:tc>
      </w:tr>
      <w:tr w14:paraId="355C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3BD8E380">
            <w:pPr>
              <w:pStyle w:val="687"/>
            </w:pPr>
          </w:p>
        </w:tc>
        <w:tc>
          <w:tcPr>
            <w:tcW w:w="653" w:type="pct"/>
            <w:vMerge w:val="continue"/>
            <w:vAlign w:val="center"/>
          </w:tcPr>
          <w:p w14:paraId="0A9C6A36">
            <w:pPr>
              <w:pStyle w:val="687"/>
            </w:pPr>
          </w:p>
        </w:tc>
        <w:tc>
          <w:tcPr>
            <w:tcW w:w="653" w:type="pct"/>
            <w:vAlign w:val="center"/>
          </w:tcPr>
          <w:p w14:paraId="2DA362C0">
            <w:pPr>
              <w:pStyle w:val="687"/>
            </w:pPr>
            <w:r>
              <w:rPr>
                <w:rFonts w:hint="eastAsia"/>
              </w:rPr>
              <w:t>生活污水</w:t>
            </w:r>
          </w:p>
        </w:tc>
        <w:tc>
          <w:tcPr>
            <w:tcW w:w="3285" w:type="pct"/>
            <w:vAlign w:val="center"/>
          </w:tcPr>
          <w:p w14:paraId="70101E03">
            <w:pPr>
              <w:pStyle w:val="687"/>
              <w:jc w:val="both"/>
            </w:pPr>
            <w:r>
              <w:rPr>
                <w:rFonts w:hint="eastAsia"/>
              </w:rPr>
              <w:t>转运附近乡镇污水处理厂处置。</w:t>
            </w:r>
          </w:p>
        </w:tc>
      </w:tr>
      <w:tr w14:paraId="2B13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328707D2">
            <w:pPr>
              <w:pStyle w:val="687"/>
            </w:pPr>
          </w:p>
        </w:tc>
        <w:tc>
          <w:tcPr>
            <w:tcW w:w="653" w:type="pct"/>
            <w:vMerge w:val="continue"/>
            <w:vAlign w:val="center"/>
          </w:tcPr>
          <w:p w14:paraId="0143C8AD">
            <w:pPr>
              <w:pStyle w:val="687"/>
            </w:pPr>
          </w:p>
        </w:tc>
        <w:tc>
          <w:tcPr>
            <w:tcW w:w="653" w:type="pct"/>
            <w:vAlign w:val="center"/>
          </w:tcPr>
          <w:p w14:paraId="20764FF8">
            <w:pPr>
              <w:pStyle w:val="687"/>
            </w:pPr>
            <w:r>
              <w:rPr>
                <w:rFonts w:hint="eastAsia"/>
              </w:rPr>
              <w:t>清污分流</w:t>
            </w:r>
          </w:p>
        </w:tc>
        <w:tc>
          <w:tcPr>
            <w:tcW w:w="3285" w:type="pct"/>
            <w:vAlign w:val="center"/>
          </w:tcPr>
          <w:p w14:paraId="75E69CA2">
            <w:pPr>
              <w:pStyle w:val="687"/>
              <w:jc w:val="both"/>
            </w:pPr>
            <w:r>
              <w:rPr>
                <w:rFonts w:hint="eastAsia"/>
              </w:rPr>
              <w:t>井场通过设置的横坡排水，井场四周设边沟，用于排泄井场的雨水，在清水沟出水口设置监控池，</w:t>
            </w:r>
            <w:r>
              <w:rPr>
                <w:rFonts w:hint="eastAsia" w:ascii="宋体" w:cs="宋体"/>
                <w:kern w:val="0"/>
                <w:szCs w:val="21"/>
              </w:rPr>
              <w:t>雨水由雨水沟排入场外沟渠。</w:t>
            </w:r>
          </w:p>
        </w:tc>
      </w:tr>
      <w:tr w14:paraId="53F9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trHeight w:val="542" w:hRule="atLeast"/>
          <w:jc w:val="center"/>
        </w:trPr>
        <w:tc>
          <w:tcPr>
            <w:tcW w:w="409" w:type="pct"/>
            <w:vMerge w:val="restart"/>
            <w:vAlign w:val="center"/>
          </w:tcPr>
          <w:p w14:paraId="3387AE2A">
            <w:pPr>
              <w:pStyle w:val="687"/>
            </w:pPr>
            <w:r>
              <w:rPr>
                <w:rFonts w:hint="eastAsia"/>
              </w:rPr>
              <w:t>大气污染物</w:t>
            </w:r>
          </w:p>
        </w:tc>
        <w:tc>
          <w:tcPr>
            <w:tcW w:w="653" w:type="pct"/>
            <w:vMerge w:val="restart"/>
            <w:vAlign w:val="center"/>
          </w:tcPr>
          <w:p w14:paraId="77315D1E">
            <w:pPr>
              <w:pStyle w:val="687"/>
            </w:pPr>
            <w:r>
              <w:rPr>
                <w:rFonts w:hint="eastAsia"/>
              </w:rPr>
              <w:t>钻前工程</w:t>
            </w:r>
          </w:p>
        </w:tc>
        <w:tc>
          <w:tcPr>
            <w:tcW w:w="653" w:type="pct"/>
            <w:vAlign w:val="center"/>
          </w:tcPr>
          <w:p w14:paraId="3BCE3C43">
            <w:pPr>
              <w:pStyle w:val="687"/>
            </w:pPr>
            <w:r>
              <w:rPr>
                <w:rFonts w:hint="eastAsia"/>
              </w:rPr>
              <w:t>扬尘</w:t>
            </w:r>
          </w:p>
        </w:tc>
        <w:tc>
          <w:tcPr>
            <w:tcW w:w="3285" w:type="pct"/>
            <w:vAlign w:val="center"/>
          </w:tcPr>
          <w:p w14:paraId="71EAB39F">
            <w:pPr>
              <w:pStyle w:val="687"/>
              <w:jc w:val="both"/>
            </w:pPr>
            <w:r>
              <w:rPr>
                <w:rFonts w:hint="eastAsia"/>
              </w:rPr>
              <w:t>采取了</w:t>
            </w:r>
            <w:r>
              <w:t>及时清扫、洒水抑尘</w:t>
            </w:r>
            <w:r>
              <w:rPr>
                <w:rFonts w:hint="eastAsia"/>
              </w:rPr>
              <w:t>等措施。</w:t>
            </w:r>
          </w:p>
        </w:tc>
      </w:tr>
      <w:tr w14:paraId="4884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3423DDF6">
            <w:pPr>
              <w:pStyle w:val="687"/>
            </w:pPr>
          </w:p>
        </w:tc>
        <w:tc>
          <w:tcPr>
            <w:tcW w:w="653" w:type="pct"/>
            <w:vMerge w:val="continue"/>
            <w:vAlign w:val="center"/>
          </w:tcPr>
          <w:p w14:paraId="5F0705D3">
            <w:pPr>
              <w:pStyle w:val="687"/>
            </w:pPr>
          </w:p>
        </w:tc>
        <w:tc>
          <w:tcPr>
            <w:tcW w:w="653" w:type="pct"/>
            <w:vAlign w:val="center"/>
          </w:tcPr>
          <w:p w14:paraId="2B77593A">
            <w:pPr>
              <w:pStyle w:val="687"/>
            </w:pPr>
            <w:r>
              <w:rPr>
                <w:rFonts w:hint="eastAsia"/>
              </w:rPr>
              <w:t>机械尾气</w:t>
            </w:r>
          </w:p>
        </w:tc>
        <w:tc>
          <w:tcPr>
            <w:tcW w:w="3285" w:type="pct"/>
            <w:vAlign w:val="center"/>
          </w:tcPr>
          <w:p w14:paraId="1CA6DD4A">
            <w:pPr>
              <w:pStyle w:val="687"/>
              <w:jc w:val="both"/>
            </w:pPr>
            <w:r>
              <w:rPr>
                <w:rFonts w:hint="eastAsia"/>
              </w:rPr>
              <w:t>使用优质燃料，</w:t>
            </w:r>
            <w:r>
              <w:t>尾气经设备自带的排气筒排放</w:t>
            </w:r>
            <w:r>
              <w:rPr>
                <w:rFonts w:hint="eastAsia"/>
              </w:rPr>
              <w:t>。</w:t>
            </w:r>
          </w:p>
        </w:tc>
      </w:tr>
      <w:tr w14:paraId="3A42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105FE5A5">
            <w:pPr>
              <w:pStyle w:val="687"/>
            </w:pPr>
          </w:p>
        </w:tc>
        <w:tc>
          <w:tcPr>
            <w:tcW w:w="653" w:type="pct"/>
            <w:vMerge w:val="restart"/>
            <w:vAlign w:val="center"/>
          </w:tcPr>
          <w:p w14:paraId="49F9AC0E">
            <w:pPr>
              <w:pStyle w:val="687"/>
            </w:pPr>
            <w:r>
              <w:rPr>
                <w:rFonts w:hint="eastAsia"/>
              </w:rPr>
              <w:t>钻井、储层改造期间</w:t>
            </w:r>
          </w:p>
        </w:tc>
        <w:tc>
          <w:tcPr>
            <w:tcW w:w="653" w:type="pct"/>
            <w:vAlign w:val="center"/>
          </w:tcPr>
          <w:p w14:paraId="0A4A6902">
            <w:pPr>
              <w:pStyle w:val="687"/>
            </w:pPr>
            <w:r>
              <w:rPr>
                <w:rFonts w:hint="eastAsia"/>
              </w:rPr>
              <w:t>柴油机废气</w:t>
            </w:r>
          </w:p>
        </w:tc>
        <w:tc>
          <w:tcPr>
            <w:tcW w:w="3285" w:type="pct"/>
            <w:vAlign w:val="center"/>
          </w:tcPr>
          <w:p w14:paraId="63AB35FC">
            <w:pPr>
              <w:pStyle w:val="687"/>
              <w:jc w:val="both"/>
            </w:pPr>
            <w:r>
              <w:rPr>
                <w:rFonts w:hint="eastAsia"/>
              </w:rPr>
              <w:t>钻井正常情况下用网电，发电机仅为备用，使用轻质柴油，</w:t>
            </w:r>
            <w:r>
              <w:t>尾气经设备自带的排气筒排放</w:t>
            </w:r>
            <w:r>
              <w:rPr>
                <w:rFonts w:hint="eastAsia"/>
              </w:rPr>
              <w:t>。</w:t>
            </w:r>
          </w:p>
        </w:tc>
      </w:tr>
      <w:tr w14:paraId="6BF2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3514CE36">
            <w:pPr>
              <w:pStyle w:val="687"/>
            </w:pPr>
          </w:p>
        </w:tc>
        <w:tc>
          <w:tcPr>
            <w:tcW w:w="653" w:type="pct"/>
            <w:vMerge w:val="continue"/>
            <w:vAlign w:val="center"/>
          </w:tcPr>
          <w:p w14:paraId="7A37C308">
            <w:pPr>
              <w:pStyle w:val="687"/>
            </w:pPr>
          </w:p>
        </w:tc>
        <w:tc>
          <w:tcPr>
            <w:tcW w:w="653" w:type="pct"/>
            <w:vAlign w:val="center"/>
          </w:tcPr>
          <w:p w14:paraId="48420CCE">
            <w:pPr>
              <w:pStyle w:val="687"/>
            </w:pPr>
            <w:r>
              <w:rPr>
                <w:rFonts w:hint="eastAsia"/>
              </w:rPr>
              <w:t>放喷废气</w:t>
            </w:r>
          </w:p>
        </w:tc>
        <w:tc>
          <w:tcPr>
            <w:tcW w:w="3285" w:type="pct"/>
            <w:vAlign w:val="center"/>
          </w:tcPr>
          <w:p w14:paraId="28F22144">
            <w:pPr>
              <w:pStyle w:val="687"/>
              <w:jc w:val="both"/>
            </w:pPr>
            <w:r>
              <w:rPr>
                <w:rFonts w:hint="eastAsia"/>
              </w:rPr>
              <w:t>已建放喷池，放喷废气导排至</w:t>
            </w:r>
            <w:r>
              <w:t>放喷池燃烧后排放</w:t>
            </w:r>
            <w:r>
              <w:rPr>
                <w:rFonts w:hint="eastAsia"/>
              </w:rPr>
              <w:t>。</w:t>
            </w:r>
          </w:p>
        </w:tc>
      </w:tr>
      <w:tr w14:paraId="3F0F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restart"/>
            <w:vAlign w:val="center"/>
          </w:tcPr>
          <w:p w14:paraId="6172FF56">
            <w:pPr>
              <w:pStyle w:val="687"/>
            </w:pPr>
            <w:r>
              <w:rPr>
                <w:rFonts w:hint="eastAsia"/>
              </w:rPr>
              <w:t>噪声</w:t>
            </w:r>
          </w:p>
        </w:tc>
        <w:tc>
          <w:tcPr>
            <w:tcW w:w="653" w:type="pct"/>
            <w:vAlign w:val="center"/>
          </w:tcPr>
          <w:p w14:paraId="13BA6D1F">
            <w:pPr>
              <w:pStyle w:val="687"/>
            </w:pPr>
            <w:r>
              <w:rPr>
                <w:rFonts w:hint="eastAsia"/>
              </w:rPr>
              <w:t>钻前工程</w:t>
            </w:r>
          </w:p>
        </w:tc>
        <w:tc>
          <w:tcPr>
            <w:tcW w:w="653" w:type="pct"/>
            <w:vAlign w:val="center"/>
          </w:tcPr>
          <w:p w14:paraId="71F900CC">
            <w:pPr>
              <w:pStyle w:val="687"/>
            </w:pPr>
            <w:r>
              <w:rPr>
                <w:rFonts w:hint="eastAsia"/>
              </w:rPr>
              <w:t>施工噪声</w:t>
            </w:r>
          </w:p>
        </w:tc>
        <w:tc>
          <w:tcPr>
            <w:tcW w:w="3285" w:type="pct"/>
            <w:vAlign w:val="center"/>
          </w:tcPr>
          <w:p w14:paraId="78A07756">
            <w:pPr>
              <w:pStyle w:val="687"/>
            </w:pPr>
            <w:r>
              <w:rPr>
                <w:rFonts w:hint="eastAsia"/>
              </w:rPr>
              <w:t>文明施工、加强设备维护、合理安排时间、加强管理。</w:t>
            </w:r>
          </w:p>
        </w:tc>
      </w:tr>
      <w:tr w14:paraId="67CB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3E9A74FE">
            <w:pPr>
              <w:pStyle w:val="687"/>
            </w:pPr>
          </w:p>
        </w:tc>
        <w:tc>
          <w:tcPr>
            <w:tcW w:w="653" w:type="pct"/>
            <w:vAlign w:val="center"/>
          </w:tcPr>
          <w:p w14:paraId="468717EE">
            <w:pPr>
              <w:pStyle w:val="687"/>
            </w:pPr>
            <w:r>
              <w:rPr>
                <w:rFonts w:hint="eastAsia"/>
              </w:rPr>
              <w:t>钻井及储层改造期间</w:t>
            </w:r>
          </w:p>
        </w:tc>
        <w:tc>
          <w:tcPr>
            <w:tcW w:w="653" w:type="pct"/>
            <w:vAlign w:val="center"/>
          </w:tcPr>
          <w:p w14:paraId="47ADCF44">
            <w:pPr>
              <w:pStyle w:val="687"/>
            </w:pPr>
            <w:r>
              <w:rPr>
                <w:rFonts w:hint="eastAsia"/>
              </w:rPr>
              <w:t>工艺噪声</w:t>
            </w:r>
          </w:p>
        </w:tc>
        <w:tc>
          <w:tcPr>
            <w:tcW w:w="3285" w:type="pct"/>
            <w:vAlign w:val="center"/>
          </w:tcPr>
          <w:p w14:paraId="71F53A51">
            <w:pPr>
              <w:pStyle w:val="687"/>
              <w:jc w:val="both"/>
            </w:pPr>
            <w:r>
              <w:rPr>
                <w:rFonts w:hint="eastAsia"/>
              </w:rPr>
              <w:t>选用低噪声的施工机械和工艺，加强各类施工设备的维护和保养；柴油发电机组布置于发电机房内，采取隔声、吸声等降噪措施，并对柴油发电机组设置减振基础、安装消声器等；对震动较大的固定机械设备加装基座减震。</w:t>
            </w:r>
          </w:p>
        </w:tc>
      </w:tr>
      <w:tr w14:paraId="02AF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restart"/>
            <w:vAlign w:val="center"/>
          </w:tcPr>
          <w:p w14:paraId="79B2B4C9">
            <w:pPr>
              <w:pStyle w:val="687"/>
            </w:pPr>
            <w:r>
              <w:rPr>
                <w:rFonts w:hint="eastAsia"/>
              </w:rPr>
              <w:t>固废</w:t>
            </w:r>
          </w:p>
        </w:tc>
        <w:tc>
          <w:tcPr>
            <w:tcW w:w="653" w:type="pct"/>
            <w:vAlign w:val="center"/>
          </w:tcPr>
          <w:p w14:paraId="57CE6E77">
            <w:pPr>
              <w:pStyle w:val="687"/>
            </w:pPr>
            <w:r>
              <w:rPr>
                <w:rFonts w:hint="eastAsia"/>
              </w:rPr>
              <w:t>钻前工程</w:t>
            </w:r>
          </w:p>
        </w:tc>
        <w:tc>
          <w:tcPr>
            <w:tcW w:w="653" w:type="pct"/>
            <w:vAlign w:val="center"/>
          </w:tcPr>
          <w:p w14:paraId="2570B75B">
            <w:pPr>
              <w:pStyle w:val="687"/>
            </w:pPr>
            <w:r>
              <w:rPr>
                <w:rFonts w:hint="eastAsia"/>
              </w:rPr>
              <w:t>生活垃圾</w:t>
            </w:r>
          </w:p>
        </w:tc>
        <w:tc>
          <w:tcPr>
            <w:tcW w:w="3285" w:type="pct"/>
            <w:vAlign w:val="center"/>
          </w:tcPr>
          <w:p w14:paraId="7036D5A7">
            <w:pPr>
              <w:pStyle w:val="687"/>
              <w:jc w:val="both"/>
            </w:pPr>
            <w:r>
              <w:rPr>
                <w:rFonts w:hint="eastAsia"/>
              </w:rPr>
              <w:t>依托附近农户设施处理。</w:t>
            </w:r>
          </w:p>
        </w:tc>
      </w:tr>
      <w:tr w14:paraId="6A20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1CE8F681">
            <w:pPr>
              <w:pStyle w:val="687"/>
            </w:pPr>
          </w:p>
        </w:tc>
        <w:tc>
          <w:tcPr>
            <w:tcW w:w="653" w:type="pct"/>
            <w:vMerge w:val="restart"/>
            <w:vAlign w:val="center"/>
          </w:tcPr>
          <w:p w14:paraId="3045764D">
            <w:pPr>
              <w:pStyle w:val="687"/>
            </w:pPr>
            <w:r>
              <w:rPr>
                <w:rFonts w:hint="eastAsia"/>
              </w:rPr>
              <w:t>钻井及储层改造期间</w:t>
            </w:r>
          </w:p>
        </w:tc>
        <w:tc>
          <w:tcPr>
            <w:tcW w:w="653" w:type="pct"/>
            <w:vAlign w:val="center"/>
          </w:tcPr>
          <w:p w14:paraId="73D844BB">
            <w:pPr>
              <w:pStyle w:val="687"/>
            </w:pPr>
            <w:r>
              <w:rPr>
                <w:rFonts w:hint="eastAsia"/>
              </w:rPr>
              <w:t>水基钻井固废</w:t>
            </w:r>
          </w:p>
        </w:tc>
        <w:tc>
          <w:tcPr>
            <w:tcW w:w="3285" w:type="pct"/>
            <w:vAlign w:val="center"/>
          </w:tcPr>
          <w:p w14:paraId="4AD1B531">
            <w:pPr>
              <w:pStyle w:val="687"/>
              <w:jc w:val="both"/>
            </w:pPr>
            <w:r>
              <w:rPr>
                <w:rFonts w:hint="eastAsia"/>
              </w:rPr>
              <w:t>建设1套“不落地”随钻处理系统，水基岩屑转运至四川勇辉新型建材商贸有限公司烧结制砖资源化利用。</w:t>
            </w:r>
          </w:p>
        </w:tc>
      </w:tr>
      <w:tr w14:paraId="06C6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0BE41C72">
            <w:pPr>
              <w:pStyle w:val="687"/>
            </w:pPr>
          </w:p>
        </w:tc>
        <w:tc>
          <w:tcPr>
            <w:tcW w:w="653" w:type="pct"/>
            <w:vMerge w:val="continue"/>
            <w:vAlign w:val="center"/>
          </w:tcPr>
          <w:p w14:paraId="4923F2CB">
            <w:pPr>
              <w:pStyle w:val="687"/>
            </w:pPr>
          </w:p>
        </w:tc>
        <w:tc>
          <w:tcPr>
            <w:tcW w:w="653" w:type="pct"/>
            <w:vAlign w:val="center"/>
          </w:tcPr>
          <w:p w14:paraId="03262420">
            <w:pPr>
              <w:pStyle w:val="687"/>
            </w:pPr>
            <w:r>
              <w:rPr>
                <w:rFonts w:hint="eastAsia"/>
              </w:rPr>
              <w:t>油基钻井固废</w:t>
            </w:r>
          </w:p>
        </w:tc>
        <w:tc>
          <w:tcPr>
            <w:tcW w:w="3285" w:type="pct"/>
            <w:vAlign w:val="center"/>
          </w:tcPr>
          <w:p w14:paraId="694492F3">
            <w:pPr>
              <w:pStyle w:val="687"/>
              <w:jc w:val="both"/>
            </w:pPr>
            <w:r>
              <w:rPr>
                <w:rFonts w:hint="eastAsia"/>
              </w:rPr>
              <w:t>油基岩屑由有资质的处理单位四川永津环保科技有限公司处理。</w:t>
            </w:r>
          </w:p>
        </w:tc>
      </w:tr>
      <w:tr w14:paraId="4FB7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031F8183">
            <w:pPr>
              <w:pStyle w:val="687"/>
            </w:pPr>
          </w:p>
        </w:tc>
        <w:tc>
          <w:tcPr>
            <w:tcW w:w="653" w:type="pct"/>
            <w:vMerge w:val="continue"/>
            <w:vAlign w:val="center"/>
          </w:tcPr>
          <w:p w14:paraId="6AB842FF">
            <w:pPr>
              <w:pStyle w:val="687"/>
            </w:pPr>
          </w:p>
        </w:tc>
        <w:tc>
          <w:tcPr>
            <w:tcW w:w="653" w:type="pct"/>
            <w:vAlign w:val="center"/>
          </w:tcPr>
          <w:p w14:paraId="39EF2A9F">
            <w:pPr>
              <w:pStyle w:val="687"/>
            </w:pPr>
            <w:r>
              <w:rPr>
                <w:rFonts w:hint="eastAsia"/>
              </w:rPr>
              <w:t>废矿物油、含油沾染物、油漆桶、废油桶</w:t>
            </w:r>
          </w:p>
        </w:tc>
        <w:tc>
          <w:tcPr>
            <w:tcW w:w="3285" w:type="pct"/>
            <w:vAlign w:val="center"/>
          </w:tcPr>
          <w:p w14:paraId="2742FB84">
            <w:pPr>
              <w:pStyle w:val="687"/>
              <w:jc w:val="both"/>
            </w:pPr>
            <w:r>
              <w:rPr>
                <w:rFonts w:hint="eastAsia"/>
              </w:rPr>
              <w:t>由有资质的处理单位四川永津环保科技有限公司处理。</w:t>
            </w:r>
          </w:p>
        </w:tc>
      </w:tr>
      <w:tr w14:paraId="08EE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409" w:type="pct"/>
            <w:vMerge w:val="continue"/>
            <w:vAlign w:val="center"/>
          </w:tcPr>
          <w:p w14:paraId="57E92367">
            <w:pPr>
              <w:pStyle w:val="687"/>
            </w:pPr>
          </w:p>
        </w:tc>
        <w:tc>
          <w:tcPr>
            <w:tcW w:w="653" w:type="pct"/>
            <w:vMerge w:val="continue"/>
            <w:vAlign w:val="center"/>
          </w:tcPr>
          <w:p w14:paraId="260009DA">
            <w:pPr>
              <w:pStyle w:val="687"/>
            </w:pPr>
          </w:p>
        </w:tc>
        <w:tc>
          <w:tcPr>
            <w:tcW w:w="653" w:type="pct"/>
            <w:vAlign w:val="center"/>
          </w:tcPr>
          <w:p w14:paraId="6A86A518">
            <w:pPr>
              <w:pStyle w:val="687"/>
            </w:pPr>
            <w:r>
              <w:rPr>
                <w:rFonts w:hint="eastAsia"/>
              </w:rPr>
              <w:t>生活垃圾</w:t>
            </w:r>
          </w:p>
        </w:tc>
        <w:tc>
          <w:tcPr>
            <w:tcW w:w="3285" w:type="pct"/>
            <w:vAlign w:val="center"/>
          </w:tcPr>
          <w:p w14:paraId="4A786CB3">
            <w:pPr>
              <w:pStyle w:val="687"/>
              <w:jc w:val="both"/>
            </w:pPr>
            <w:r>
              <w:rPr>
                <w:rFonts w:hint="eastAsia"/>
              </w:rPr>
              <w:t>转运至地方环卫部门处置。</w:t>
            </w:r>
          </w:p>
        </w:tc>
      </w:tr>
      <w:tr w14:paraId="32DB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1062" w:type="pct"/>
            <w:gridSpan w:val="2"/>
            <w:vMerge w:val="restart"/>
            <w:vAlign w:val="center"/>
          </w:tcPr>
          <w:p w14:paraId="501AC1D0">
            <w:pPr>
              <w:pStyle w:val="687"/>
            </w:pPr>
            <w:r>
              <w:rPr>
                <w:rFonts w:hint="eastAsia"/>
              </w:rPr>
              <w:t>地下水保护</w:t>
            </w:r>
          </w:p>
        </w:tc>
        <w:tc>
          <w:tcPr>
            <w:tcW w:w="653" w:type="pct"/>
            <w:vAlign w:val="center"/>
          </w:tcPr>
          <w:p w14:paraId="2D8A1E22">
            <w:pPr>
              <w:pStyle w:val="687"/>
            </w:pPr>
            <w:r>
              <w:rPr>
                <w:rFonts w:hint="eastAsia"/>
              </w:rPr>
              <w:t>固井措施</w:t>
            </w:r>
          </w:p>
        </w:tc>
        <w:tc>
          <w:tcPr>
            <w:tcW w:w="3285" w:type="pct"/>
            <w:vAlign w:val="center"/>
          </w:tcPr>
          <w:p w14:paraId="26B2C277">
            <w:pPr>
              <w:pStyle w:val="687"/>
              <w:jc w:val="both"/>
            </w:pPr>
            <w:r>
              <w:t>使用了套管和水泥固井，</w:t>
            </w:r>
            <w:r>
              <w:rPr>
                <w:rFonts w:hint="eastAsia"/>
              </w:rPr>
              <w:t>防止发生井漏。</w:t>
            </w:r>
          </w:p>
        </w:tc>
      </w:tr>
      <w:tr w14:paraId="6628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1062" w:type="pct"/>
            <w:gridSpan w:val="2"/>
            <w:vMerge w:val="continue"/>
            <w:vAlign w:val="center"/>
          </w:tcPr>
          <w:p w14:paraId="17A7840F">
            <w:pPr>
              <w:pStyle w:val="687"/>
            </w:pPr>
          </w:p>
        </w:tc>
        <w:tc>
          <w:tcPr>
            <w:tcW w:w="653" w:type="pct"/>
            <w:vAlign w:val="center"/>
          </w:tcPr>
          <w:p w14:paraId="1081E1C2">
            <w:pPr>
              <w:pStyle w:val="687"/>
            </w:pPr>
            <w:r>
              <w:rPr>
                <w:rFonts w:hint="eastAsia"/>
              </w:rPr>
              <w:t>分区防渗</w:t>
            </w:r>
          </w:p>
        </w:tc>
        <w:tc>
          <w:tcPr>
            <w:tcW w:w="3285" w:type="pct"/>
            <w:vAlign w:val="center"/>
          </w:tcPr>
          <w:p w14:paraId="61BE8CB1">
            <w:pPr>
              <w:pStyle w:val="687"/>
              <w:jc w:val="both"/>
            </w:pPr>
            <w:r>
              <w:rPr>
                <w:rFonts w:hint="eastAsia"/>
              </w:rPr>
              <w:t>井口区域、泥浆循环系统基础、泵房基础、污水池、应急池、放喷池、发电机房基础、柴油罐基础、环保装置区、危废暂存间等重点防渗；</w:t>
            </w:r>
            <w:r>
              <w:rPr>
                <w:rFonts w:hint="eastAsia" w:ascii="宋体" w:cs="宋体"/>
                <w:kern w:val="0"/>
                <w:szCs w:val="21"/>
              </w:rPr>
              <w:t>办公生活设施区域采取简单防渗；其他区域采取一般防渗措施</w:t>
            </w:r>
            <w:r>
              <w:rPr>
                <w:rFonts w:hint="eastAsia"/>
              </w:rPr>
              <w:t>。</w:t>
            </w:r>
          </w:p>
        </w:tc>
      </w:tr>
      <w:tr w14:paraId="7CAC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1062" w:type="pct"/>
            <w:gridSpan w:val="2"/>
            <w:vAlign w:val="center"/>
          </w:tcPr>
          <w:p w14:paraId="32E5483D">
            <w:pPr>
              <w:pStyle w:val="687"/>
            </w:pPr>
            <w:r>
              <w:rPr>
                <w:rFonts w:hint="eastAsia"/>
              </w:rPr>
              <w:t>生态保护</w:t>
            </w:r>
          </w:p>
        </w:tc>
        <w:tc>
          <w:tcPr>
            <w:tcW w:w="653" w:type="pct"/>
            <w:vAlign w:val="center"/>
          </w:tcPr>
          <w:p w14:paraId="211124BA">
            <w:pPr>
              <w:pStyle w:val="687"/>
            </w:pPr>
            <w:r>
              <w:rPr>
                <w:rFonts w:hint="eastAsia"/>
              </w:rPr>
              <w:t>表土保存</w:t>
            </w:r>
          </w:p>
        </w:tc>
        <w:tc>
          <w:tcPr>
            <w:tcW w:w="3285" w:type="pct"/>
            <w:vAlign w:val="center"/>
          </w:tcPr>
          <w:p w14:paraId="29BAC1DF">
            <w:pPr>
              <w:pStyle w:val="687"/>
              <w:jc w:val="both"/>
            </w:pPr>
            <w:r>
              <w:rPr>
                <w:rFonts w:hint="eastAsia"/>
              </w:rPr>
              <w:t>基础开挖前，进行了表土剥离，在井场北部设置表土堆场，采用篷布进行了遮盖。</w:t>
            </w:r>
          </w:p>
        </w:tc>
      </w:tr>
      <w:tr w14:paraId="5548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1062" w:type="pct"/>
            <w:gridSpan w:val="2"/>
            <w:vAlign w:val="center"/>
          </w:tcPr>
          <w:p w14:paraId="7B21A626">
            <w:pPr>
              <w:pStyle w:val="687"/>
            </w:pPr>
            <w:r>
              <w:rPr>
                <w:rFonts w:hint="eastAsia"/>
              </w:rPr>
              <w:t>环境风险</w:t>
            </w:r>
          </w:p>
        </w:tc>
        <w:tc>
          <w:tcPr>
            <w:tcW w:w="653" w:type="pct"/>
            <w:vAlign w:val="center"/>
          </w:tcPr>
          <w:p w14:paraId="54F00780">
            <w:pPr>
              <w:pStyle w:val="687"/>
            </w:pPr>
            <w:r>
              <w:rPr>
                <w:rFonts w:hint="eastAsia"/>
              </w:rPr>
              <w:t>环境风险防范</w:t>
            </w:r>
          </w:p>
        </w:tc>
        <w:tc>
          <w:tcPr>
            <w:tcW w:w="3285" w:type="pct"/>
            <w:vAlign w:val="center"/>
          </w:tcPr>
          <w:p w14:paraId="175C918B">
            <w:pPr>
              <w:pStyle w:val="687"/>
              <w:jc w:val="both"/>
            </w:pPr>
            <w:r>
              <w:rPr>
                <w:rFonts w:hint="eastAsia"/>
              </w:rPr>
              <w:t>设置了风向标、燃气报警设施，制定了环境风险应急预案。</w:t>
            </w:r>
          </w:p>
        </w:tc>
      </w:tr>
      <w:tr w14:paraId="117C6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60" w:type="dxa"/>
          </w:tblCellMar>
        </w:tblPrEx>
        <w:trPr>
          <w:jc w:val="center"/>
        </w:trPr>
        <w:tc>
          <w:tcPr>
            <w:tcW w:w="1715" w:type="pct"/>
            <w:gridSpan w:val="3"/>
            <w:vAlign w:val="center"/>
          </w:tcPr>
          <w:p w14:paraId="509A89CE">
            <w:pPr>
              <w:pStyle w:val="687"/>
            </w:pPr>
            <w:r>
              <w:rPr>
                <w:rFonts w:hint="eastAsia"/>
              </w:rPr>
              <w:t>拆迁安置</w:t>
            </w:r>
          </w:p>
        </w:tc>
        <w:tc>
          <w:tcPr>
            <w:tcW w:w="3285" w:type="pct"/>
            <w:vAlign w:val="center"/>
          </w:tcPr>
          <w:p w14:paraId="53A58F6F">
            <w:pPr>
              <w:pStyle w:val="687"/>
              <w:jc w:val="both"/>
            </w:pPr>
            <w:r>
              <w:rPr>
                <w:rFonts w:hint="eastAsia"/>
              </w:rPr>
              <w:t>原钻井井口1</w:t>
            </w:r>
            <w:r>
              <w:t>00</w:t>
            </w:r>
            <w:r>
              <w:rPr>
                <w:rFonts w:hint="eastAsia"/>
              </w:rPr>
              <w:t>m范围内分布</w:t>
            </w:r>
            <w:r>
              <w:t>5</w:t>
            </w:r>
            <w:r>
              <w:rPr>
                <w:rFonts w:hint="eastAsia"/>
              </w:rPr>
              <w:t>户居民，放喷池5</w:t>
            </w:r>
            <w:r>
              <w:t>0</w:t>
            </w:r>
            <w:r>
              <w:rPr>
                <w:rFonts w:hint="eastAsia"/>
              </w:rPr>
              <w:t>m范围内有1户居民，钻井工程采取了搬迁措施，目前钻井井口1</w:t>
            </w:r>
            <w:r>
              <w:t>00</w:t>
            </w:r>
            <w:r>
              <w:rPr>
                <w:rFonts w:hint="eastAsia"/>
              </w:rPr>
              <w:t>m范围、放喷池5</w:t>
            </w:r>
            <w:r>
              <w:t>0</w:t>
            </w:r>
            <w:r>
              <w:rPr>
                <w:rFonts w:hint="eastAsia"/>
              </w:rPr>
              <w:t>m范围内无居民分布。</w:t>
            </w:r>
          </w:p>
        </w:tc>
      </w:tr>
    </w:tbl>
    <w:p w14:paraId="6CCFFACA">
      <w:pPr>
        <w:pStyle w:val="1379"/>
        <w:ind w:firstLine="440"/>
      </w:pPr>
    </w:p>
    <w:p w14:paraId="1FC626AE">
      <w:pPr>
        <w:pStyle w:val="1068"/>
      </w:pPr>
      <w:bookmarkStart w:id="136" w:name="_Toc165810484"/>
      <w:r>
        <w:t>2.2..5 存在的环保问题及整改措施</w:t>
      </w:r>
      <w:bookmarkEnd w:id="136"/>
    </w:p>
    <w:p w14:paraId="0FC6A9D2">
      <w:pPr>
        <w:spacing w:line="460" w:lineRule="exact"/>
        <w:ind w:firstLine="520" w:firstLineChars="200"/>
        <w:rPr>
          <w:sz w:val="26"/>
          <w:szCs w:val="26"/>
        </w:rPr>
      </w:pPr>
      <w:r>
        <w:rPr>
          <w:rFonts w:hint="eastAsia"/>
          <w:sz w:val="26"/>
          <w:szCs w:val="26"/>
        </w:rPr>
        <w:t>巴中2HF井和巴页</w:t>
      </w:r>
      <w:r>
        <w:rPr>
          <w:sz w:val="26"/>
          <w:szCs w:val="26"/>
        </w:rPr>
        <w:t>2HF</w:t>
      </w:r>
      <w:r>
        <w:rPr>
          <w:rFonts w:hint="eastAsia"/>
          <w:sz w:val="26"/>
          <w:szCs w:val="26"/>
        </w:rPr>
        <w:t>井</w:t>
      </w:r>
      <w:r>
        <w:rPr>
          <w:sz w:val="26"/>
          <w:szCs w:val="26"/>
        </w:rPr>
        <w:t>在施工过程中产生的“三废”均按照环评</w:t>
      </w:r>
      <w:r>
        <w:rPr>
          <w:rFonts w:hint="eastAsia"/>
          <w:sz w:val="26"/>
          <w:szCs w:val="26"/>
        </w:rPr>
        <w:t>提出</w:t>
      </w:r>
      <w:r>
        <w:rPr>
          <w:sz w:val="26"/>
          <w:szCs w:val="26"/>
        </w:rPr>
        <w:t>的措施进行落实，</w:t>
      </w:r>
      <w:r>
        <w:rPr>
          <w:rFonts w:hint="eastAsia"/>
          <w:sz w:val="26"/>
          <w:szCs w:val="26"/>
        </w:rPr>
        <w:t>根据本次环评对包气带的监测结果，井场包气带未受污染。由于巴中2HF井和巴页</w:t>
      </w:r>
      <w:r>
        <w:rPr>
          <w:sz w:val="26"/>
          <w:szCs w:val="26"/>
        </w:rPr>
        <w:t>2HF</w:t>
      </w:r>
      <w:r>
        <w:rPr>
          <w:rFonts w:hint="eastAsia"/>
          <w:sz w:val="26"/>
          <w:szCs w:val="26"/>
        </w:rPr>
        <w:t>井需开展试采工作以确定是否具有开发价值，暂未对临时占地进行复垦，</w:t>
      </w:r>
      <w:r>
        <w:rPr>
          <w:sz w:val="26"/>
          <w:szCs w:val="26"/>
        </w:rPr>
        <w:t>除临时占地生态恢复外，其余污染防治措施与生态保护措施基本有效，未对周围环境产生明显不利影响，无环境遗留问题。同时，钻井施工期间建设单位</w:t>
      </w:r>
      <w:r>
        <w:rPr>
          <w:rFonts w:hint="eastAsia"/>
          <w:sz w:val="26"/>
          <w:szCs w:val="26"/>
        </w:rPr>
        <w:t>和当地环境主管部门均</w:t>
      </w:r>
      <w:r>
        <w:rPr>
          <w:sz w:val="26"/>
          <w:szCs w:val="26"/>
        </w:rPr>
        <w:t>未收到环保投诉。</w:t>
      </w:r>
    </w:p>
    <w:p w14:paraId="536D9123">
      <w:pPr>
        <w:pStyle w:val="1068"/>
      </w:pPr>
      <w:r>
        <w:rPr>
          <w:rFonts w:hint="eastAsia"/>
        </w:rPr>
        <w:t>2</w:t>
      </w:r>
      <w:r>
        <w:t xml:space="preserve">.2.6 </w:t>
      </w:r>
      <w:r>
        <w:rPr>
          <w:rFonts w:hint="eastAsia"/>
        </w:rPr>
        <w:t>依托情况</w:t>
      </w:r>
    </w:p>
    <w:p w14:paraId="2D65E03B">
      <w:pPr>
        <w:spacing w:line="460" w:lineRule="exact"/>
        <w:ind w:firstLine="520" w:firstLineChars="200"/>
        <w:rPr>
          <w:sz w:val="26"/>
          <w:szCs w:val="26"/>
        </w:rPr>
      </w:pPr>
      <w:r>
        <w:rPr>
          <w:rFonts w:hint="eastAsia"/>
          <w:sz w:val="26"/>
          <w:szCs w:val="26"/>
        </w:rPr>
        <w:t>本项目在原钻井井场占地范围内建设，本次依托原钻井工程具体如下：</w:t>
      </w:r>
    </w:p>
    <w:p w14:paraId="3857FC38">
      <w:pPr>
        <w:pStyle w:val="1379"/>
        <w:ind w:firstLine="440"/>
      </w:pPr>
    </w:p>
    <w:p w14:paraId="2273C072">
      <w:pPr>
        <w:spacing w:line="460" w:lineRule="exact"/>
        <w:ind w:firstLine="520" w:firstLineChars="200"/>
        <w:jc w:val="center"/>
        <w:rPr>
          <w:sz w:val="26"/>
          <w:szCs w:val="26"/>
        </w:rPr>
      </w:pPr>
      <w:r>
        <w:rPr>
          <w:rFonts w:hint="eastAsia"/>
          <w:sz w:val="26"/>
          <w:szCs w:val="26"/>
        </w:rPr>
        <w:t>表2.</w:t>
      </w:r>
      <w:r>
        <w:rPr>
          <w:sz w:val="26"/>
          <w:szCs w:val="26"/>
        </w:rPr>
        <w:t>2</w:t>
      </w:r>
      <w:r>
        <w:rPr>
          <w:rFonts w:hint="eastAsia"/>
          <w:sz w:val="26"/>
          <w:szCs w:val="26"/>
        </w:rPr>
        <w:t>-</w:t>
      </w:r>
      <w:r>
        <w:rPr>
          <w:sz w:val="26"/>
          <w:szCs w:val="26"/>
        </w:rPr>
        <w:t>3</w:t>
      </w:r>
      <w:r>
        <w:rPr>
          <w:rFonts w:hint="eastAsia"/>
          <w:sz w:val="26"/>
          <w:szCs w:val="26"/>
        </w:rPr>
        <w:t xml:space="preserve">   本项目依托原钻井工程统计表</w:t>
      </w:r>
    </w:p>
    <w:tbl>
      <w:tblPr>
        <w:tblStyle w:val="88"/>
        <w:tblW w:w="8607"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4536"/>
        <w:gridCol w:w="2913"/>
      </w:tblGrid>
      <w:tr w14:paraId="3EE7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58" w:type="dxa"/>
            <w:vAlign w:val="center"/>
          </w:tcPr>
          <w:p w14:paraId="4DAA8F8F">
            <w:pPr>
              <w:pStyle w:val="1444"/>
            </w:pPr>
            <w:r>
              <w:rPr>
                <w:rFonts w:hint="eastAsia"/>
              </w:rPr>
              <w:t>内容</w:t>
            </w:r>
          </w:p>
        </w:tc>
        <w:tc>
          <w:tcPr>
            <w:tcW w:w="4536" w:type="dxa"/>
            <w:vAlign w:val="center"/>
          </w:tcPr>
          <w:p w14:paraId="235238FE">
            <w:pPr>
              <w:pStyle w:val="1444"/>
            </w:pPr>
            <w:r>
              <w:rPr>
                <w:rFonts w:hint="eastAsia"/>
              </w:rPr>
              <w:t>依托工程概况</w:t>
            </w:r>
          </w:p>
        </w:tc>
        <w:tc>
          <w:tcPr>
            <w:tcW w:w="2913" w:type="dxa"/>
            <w:vAlign w:val="center"/>
          </w:tcPr>
          <w:p w14:paraId="24612C29">
            <w:pPr>
              <w:pStyle w:val="1444"/>
            </w:pPr>
            <w:r>
              <w:rPr>
                <w:rFonts w:hint="eastAsia"/>
              </w:rPr>
              <w:t>依托可行性</w:t>
            </w:r>
          </w:p>
        </w:tc>
      </w:tr>
      <w:tr w14:paraId="679EE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620CACAD">
            <w:pPr>
              <w:pStyle w:val="1444"/>
            </w:pPr>
            <w:r>
              <w:rPr>
                <w:rFonts w:hint="eastAsia"/>
              </w:rPr>
              <w:t>钻井井场</w:t>
            </w:r>
          </w:p>
        </w:tc>
        <w:tc>
          <w:tcPr>
            <w:tcW w:w="4536" w:type="dxa"/>
            <w:vAlign w:val="center"/>
          </w:tcPr>
          <w:p w14:paraId="1B4962C2">
            <w:pPr>
              <w:pStyle w:val="1444"/>
              <w:jc w:val="both"/>
            </w:pPr>
            <w:r>
              <w:rPr>
                <w:rFonts w:hint="eastAsia"/>
              </w:rPr>
              <w:t>原钻井工程已建井场1座，本次依托井口区域及周边区域。</w:t>
            </w:r>
          </w:p>
        </w:tc>
        <w:tc>
          <w:tcPr>
            <w:tcW w:w="2913" w:type="dxa"/>
            <w:vAlign w:val="center"/>
          </w:tcPr>
          <w:p w14:paraId="695E7441">
            <w:pPr>
              <w:pStyle w:val="1444"/>
              <w:jc w:val="both"/>
            </w:pPr>
            <w:r>
              <w:rPr>
                <w:rFonts w:hint="eastAsia"/>
              </w:rPr>
              <w:t>原场地地面已分区防渗处理，依托可行。</w:t>
            </w:r>
          </w:p>
        </w:tc>
      </w:tr>
      <w:tr w14:paraId="084A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555B1FD2">
            <w:pPr>
              <w:pStyle w:val="1444"/>
            </w:pPr>
            <w:r>
              <w:rPr>
                <w:rFonts w:hint="eastAsia"/>
              </w:rPr>
              <w:t>采气树</w:t>
            </w:r>
          </w:p>
        </w:tc>
        <w:tc>
          <w:tcPr>
            <w:tcW w:w="4536" w:type="dxa"/>
            <w:vAlign w:val="center"/>
          </w:tcPr>
          <w:p w14:paraId="23E0A251">
            <w:pPr>
              <w:pStyle w:val="687"/>
              <w:jc w:val="both"/>
            </w:pPr>
            <w:r>
              <w:rPr>
                <w:rFonts w:hint="eastAsia"/>
              </w:rPr>
              <w:t>依托钻井工程井口安装采气树，型号</w:t>
            </w:r>
            <w:r>
              <w:t>KYS78/65-140F-00</w:t>
            </w:r>
            <w:r>
              <w:rPr>
                <w:rFonts w:hint="eastAsia"/>
              </w:rPr>
              <w:t>。</w:t>
            </w:r>
          </w:p>
        </w:tc>
        <w:tc>
          <w:tcPr>
            <w:tcW w:w="2913" w:type="dxa"/>
            <w:vAlign w:val="center"/>
          </w:tcPr>
          <w:p w14:paraId="7BBFCDE5">
            <w:pPr>
              <w:pStyle w:val="1444"/>
              <w:jc w:val="both"/>
            </w:pPr>
            <w:r>
              <w:rPr>
                <w:rFonts w:hint="eastAsia"/>
              </w:rPr>
              <w:t>钻井工程已完成压裂试气，采气树已安装完成，依托可行。</w:t>
            </w:r>
          </w:p>
        </w:tc>
      </w:tr>
      <w:tr w14:paraId="0DA1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38BC1102">
            <w:pPr>
              <w:pStyle w:val="1444"/>
            </w:pPr>
            <w:r>
              <w:rPr>
                <w:rFonts w:hint="eastAsia"/>
              </w:rPr>
              <w:t>进场道路</w:t>
            </w:r>
          </w:p>
        </w:tc>
        <w:tc>
          <w:tcPr>
            <w:tcW w:w="4536" w:type="dxa"/>
            <w:vAlign w:val="center"/>
          </w:tcPr>
          <w:p w14:paraId="21E54675">
            <w:pPr>
              <w:pStyle w:val="1444"/>
            </w:pPr>
            <w:r>
              <w:rPr>
                <w:rFonts w:hint="eastAsia"/>
              </w:rPr>
              <w:t>原钻井工程已修建宽4</w:t>
            </w:r>
            <w:r>
              <w:t>m</w:t>
            </w:r>
            <w:r>
              <w:rPr>
                <w:rFonts w:hint="eastAsia"/>
              </w:rPr>
              <w:t>、长</w:t>
            </w:r>
            <w:r>
              <w:t>65m</w:t>
            </w:r>
            <w:r>
              <w:rPr>
                <w:rFonts w:hint="eastAsia"/>
              </w:rPr>
              <w:t>的进场道路，运输车辆可通过该道路进入试采站场。</w:t>
            </w:r>
          </w:p>
        </w:tc>
        <w:tc>
          <w:tcPr>
            <w:tcW w:w="2913" w:type="dxa"/>
            <w:vAlign w:val="center"/>
          </w:tcPr>
          <w:p w14:paraId="73CCA9FA">
            <w:pPr>
              <w:pStyle w:val="1444"/>
            </w:pPr>
            <w:r>
              <w:rPr>
                <w:rFonts w:hint="eastAsia"/>
              </w:rPr>
              <w:t>依托可行。</w:t>
            </w:r>
          </w:p>
        </w:tc>
      </w:tr>
    </w:tbl>
    <w:p w14:paraId="1449521A">
      <w:pPr>
        <w:pStyle w:val="1379"/>
        <w:ind w:firstLine="440"/>
      </w:pPr>
    </w:p>
    <w:p w14:paraId="2594407F">
      <w:pPr>
        <w:pStyle w:val="1059"/>
      </w:pPr>
      <w:bookmarkStart w:id="137" w:name="_Toc219907632"/>
      <w:r>
        <w:rPr>
          <w:rFonts w:hint="eastAsia"/>
        </w:rPr>
        <w:t>2</w:t>
      </w:r>
      <w:r>
        <w:t xml:space="preserve">.3 </w:t>
      </w:r>
      <w:r>
        <w:rPr>
          <w:rFonts w:hint="eastAsia"/>
        </w:rPr>
        <w:t>项目概况</w:t>
      </w:r>
      <w:bookmarkEnd w:id="137"/>
    </w:p>
    <w:p w14:paraId="437B19CF">
      <w:pPr>
        <w:pStyle w:val="1068"/>
        <w:rPr>
          <w:rFonts w:cs="Times New Roman"/>
        </w:rPr>
      </w:pPr>
      <w:bookmarkStart w:id="138" w:name="_Toc165810488"/>
      <w:r>
        <w:rPr>
          <w:rFonts w:cs="Times New Roman"/>
        </w:rPr>
        <w:t>2.3.1 项目组成及主要环境影响</w:t>
      </w:r>
      <w:bookmarkEnd w:id="138"/>
    </w:p>
    <w:p w14:paraId="6499F396">
      <w:pPr>
        <w:pStyle w:val="702"/>
        <w:ind w:firstLine="520"/>
        <w:rPr>
          <w:rFonts w:cs="Times New Roman"/>
        </w:rPr>
      </w:pPr>
      <w:r>
        <w:rPr>
          <w:rFonts w:hint="eastAsia" w:cs="Times New Roman"/>
        </w:rPr>
        <w:t>本项目组成主要包括主体工程、辅助工程、公用工程、临时工程和环保工程，项目组成及其主要环境影响见</w:t>
      </w:r>
      <w:r>
        <w:rPr>
          <w:rFonts w:hint="eastAsia" w:cs="Times New Roman"/>
          <w:u w:val="single"/>
        </w:rPr>
        <w:t>表2.</w:t>
      </w:r>
      <w:r>
        <w:rPr>
          <w:rFonts w:cs="Times New Roman"/>
          <w:u w:val="single"/>
        </w:rPr>
        <w:t>3</w:t>
      </w:r>
      <w:r>
        <w:rPr>
          <w:rFonts w:hint="eastAsia" w:cs="Times New Roman"/>
          <w:u w:val="single"/>
        </w:rPr>
        <w:t>-1</w:t>
      </w:r>
      <w:r>
        <w:rPr>
          <w:rFonts w:hint="eastAsia" w:cs="Times New Roman"/>
        </w:rPr>
        <w:t>。</w:t>
      </w:r>
    </w:p>
    <w:p w14:paraId="0122B616">
      <w:pPr>
        <w:pStyle w:val="1379"/>
        <w:ind w:firstLine="440"/>
      </w:pPr>
    </w:p>
    <w:p w14:paraId="2BB00F62">
      <w:pPr>
        <w:pStyle w:val="702"/>
        <w:ind w:firstLine="520"/>
        <w:jc w:val="center"/>
        <w:rPr>
          <w:rFonts w:cs="Times New Roman"/>
        </w:rPr>
      </w:pPr>
      <w:r>
        <w:rPr>
          <w:rFonts w:hint="eastAsia" w:cs="Times New Roman"/>
        </w:rPr>
        <w:t>表2</w:t>
      </w:r>
      <w:r>
        <w:rPr>
          <w:rFonts w:cs="Times New Roman"/>
        </w:rPr>
        <w:t xml:space="preserve">.3-1  </w:t>
      </w:r>
      <w:r>
        <w:rPr>
          <w:rFonts w:hint="eastAsia" w:cs="Times New Roman"/>
        </w:rPr>
        <w:t>项目组成及主要环境影响一览表</w:t>
      </w:r>
    </w:p>
    <w:tbl>
      <w:tblPr>
        <w:tblStyle w:val="8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560"/>
        <w:gridCol w:w="436"/>
        <w:gridCol w:w="859"/>
        <w:gridCol w:w="5365"/>
        <w:gridCol w:w="654"/>
        <w:gridCol w:w="791"/>
        <w:gridCol w:w="51"/>
        <w:gridCol w:w="70"/>
      </w:tblGrid>
      <w:tr w14:paraId="33C46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gridAfter w:val="2"/>
          <w:wAfter w:w="120" w:type="dxa"/>
          <w:trHeight w:val="369" w:hRule="atLeast"/>
          <w:jc w:val="center"/>
        </w:trPr>
        <w:tc>
          <w:tcPr>
            <w:tcW w:w="1842" w:type="dxa"/>
            <w:gridSpan w:val="3"/>
            <w:vMerge w:val="restart"/>
            <w:vAlign w:val="center"/>
          </w:tcPr>
          <w:p w14:paraId="1C4AEE95">
            <w:pPr>
              <w:pStyle w:val="1429"/>
            </w:pPr>
            <w:r>
              <w:t>工程类别</w:t>
            </w:r>
          </w:p>
        </w:tc>
        <w:tc>
          <w:tcPr>
            <w:tcW w:w="5324" w:type="dxa"/>
            <w:vMerge w:val="restart"/>
            <w:vAlign w:val="center"/>
          </w:tcPr>
          <w:p w14:paraId="01AF9027">
            <w:pPr>
              <w:pStyle w:val="1429"/>
            </w:pPr>
            <w:r>
              <w:t>工程内容及规模</w:t>
            </w:r>
          </w:p>
        </w:tc>
        <w:tc>
          <w:tcPr>
            <w:tcW w:w="1434" w:type="dxa"/>
            <w:gridSpan w:val="2"/>
            <w:vAlign w:val="center"/>
          </w:tcPr>
          <w:p w14:paraId="4739E4F9">
            <w:pPr>
              <w:pStyle w:val="1429"/>
            </w:pPr>
            <w:r>
              <w:t>可能产生的</w:t>
            </w:r>
          </w:p>
          <w:p w14:paraId="1311FA85">
            <w:pPr>
              <w:pStyle w:val="1429"/>
            </w:pPr>
            <w:r>
              <w:t>环境影响</w:t>
            </w:r>
          </w:p>
        </w:tc>
      </w:tr>
      <w:tr w14:paraId="3B85D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gridAfter w:val="2"/>
          <w:wAfter w:w="120" w:type="dxa"/>
          <w:trHeight w:val="369" w:hRule="atLeast"/>
          <w:jc w:val="center"/>
        </w:trPr>
        <w:tc>
          <w:tcPr>
            <w:tcW w:w="1842" w:type="dxa"/>
            <w:gridSpan w:val="3"/>
            <w:vMerge w:val="continue"/>
            <w:vAlign w:val="center"/>
          </w:tcPr>
          <w:p w14:paraId="10F4776F">
            <w:pPr>
              <w:pStyle w:val="1429"/>
            </w:pPr>
          </w:p>
        </w:tc>
        <w:tc>
          <w:tcPr>
            <w:tcW w:w="5324" w:type="dxa"/>
            <w:vMerge w:val="continue"/>
            <w:vAlign w:val="center"/>
          </w:tcPr>
          <w:p w14:paraId="0D968856">
            <w:pPr>
              <w:pStyle w:val="1429"/>
            </w:pPr>
          </w:p>
        </w:tc>
        <w:tc>
          <w:tcPr>
            <w:tcW w:w="649" w:type="dxa"/>
            <w:vAlign w:val="center"/>
          </w:tcPr>
          <w:p w14:paraId="62F908C2">
            <w:pPr>
              <w:pStyle w:val="1429"/>
            </w:pPr>
            <w:r>
              <w:t>施工期</w:t>
            </w:r>
          </w:p>
        </w:tc>
        <w:tc>
          <w:tcPr>
            <w:tcW w:w="785" w:type="dxa"/>
            <w:vAlign w:val="center"/>
          </w:tcPr>
          <w:p w14:paraId="06D1D931">
            <w:pPr>
              <w:pStyle w:val="1429"/>
            </w:pPr>
            <w:r>
              <w:t>试采期</w:t>
            </w:r>
          </w:p>
        </w:tc>
      </w:tr>
      <w:tr w14:paraId="5A267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gridAfter w:val="2"/>
          <w:wAfter w:w="120" w:type="dxa"/>
          <w:trHeight w:val="369" w:hRule="atLeast"/>
          <w:jc w:val="center"/>
        </w:trPr>
        <w:tc>
          <w:tcPr>
            <w:tcW w:w="556" w:type="dxa"/>
            <w:vAlign w:val="center"/>
          </w:tcPr>
          <w:p w14:paraId="17A3F05E">
            <w:pPr>
              <w:pStyle w:val="1429"/>
            </w:pPr>
            <w:r>
              <w:t>主体工程</w:t>
            </w:r>
          </w:p>
        </w:tc>
        <w:tc>
          <w:tcPr>
            <w:tcW w:w="1286" w:type="dxa"/>
            <w:gridSpan w:val="2"/>
            <w:tcBorders>
              <w:bottom w:val="single" w:color="auto" w:sz="4" w:space="0"/>
            </w:tcBorders>
            <w:vAlign w:val="center"/>
          </w:tcPr>
          <w:p w14:paraId="0749065E">
            <w:pPr>
              <w:pStyle w:val="1429"/>
            </w:pPr>
            <w:r>
              <w:t>站场工程</w:t>
            </w:r>
          </w:p>
        </w:tc>
        <w:tc>
          <w:tcPr>
            <w:tcW w:w="5324" w:type="dxa"/>
            <w:vAlign w:val="center"/>
          </w:tcPr>
          <w:p w14:paraId="1785EAD0">
            <w:pPr>
              <w:pStyle w:val="1429"/>
              <w:jc w:val="both"/>
            </w:pPr>
            <w:r>
              <w:rPr>
                <w:rFonts w:hint="eastAsia"/>
              </w:rPr>
              <w:t>新建巴中2HF井试采站场，占地面积约</w:t>
            </w:r>
            <w:r>
              <w:t>5016m</w:t>
            </w:r>
            <w:r>
              <w:rPr>
                <w:vertAlign w:val="superscript"/>
              </w:rPr>
              <w:t>2</w:t>
            </w:r>
            <w:r>
              <w:rPr>
                <w:rFonts w:hint="eastAsia"/>
              </w:rPr>
              <w:t>，对巴中2HF井和巴页2</w:t>
            </w:r>
            <w:r>
              <w:t>HF</w:t>
            </w:r>
            <w:r>
              <w:rPr>
                <w:rFonts w:hint="eastAsia"/>
              </w:rPr>
              <w:t>井进行试采，巴中2HF井设计采气规模</w:t>
            </w:r>
            <w:r>
              <w:t>0.5万</w:t>
            </w:r>
            <w:r>
              <w:rPr>
                <w:rFonts w:hint="eastAsia"/>
              </w:rPr>
              <w:t>m</w:t>
            </w:r>
            <w:r>
              <w:rPr>
                <w:rFonts w:hint="eastAsia"/>
                <w:vertAlign w:val="superscript"/>
              </w:rPr>
              <w:t>3</w:t>
            </w:r>
            <w:r>
              <w:rPr>
                <w:rFonts w:hint="eastAsia"/>
              </w:rPr>
              <w:t>/d，产凝析油规模</w:t>
            </w:r>
            <w:r>
              <w:t>6</w:t>
            </w:r>
            <w:r>
              <w:rPr>
                <w:rFonts w:hint="eastAsia"/>
              </w:rPr>
              <w:t>m</w:t>
            </w:r>
            <w:r>
              <w:rPr>
                <w:rFonts w:hint="eastAsia"/>
                <w:vertAlign w:val="superscript"/>
              </w:rPr>
              <w:t>3</w:t>
            </w:r>
            <w:r>
              <w:rPr>
                <w:rFonts w:hint="eastAsia"/>
              </w:rPr>
              <w:t>/d，巴页2HF井设计采气规模</w:t>
            </w:r>
            <w:r>
              <w:t>1.5万</w:t>
            </w:r>
            <w:r>
              <w:rPr>
                <w:rFonts w:hint="eastAsia"/>
              </w:rPr>
              <w:t>m</w:t>
            </w:r>
            <w:r>
              <w:rPr>
                <w:rFonts w:hint="eastAsia"/>
                <w:vertAlign w:val="superscript"/>
              </w:rPr>
              <w:t>3</w:t>
            </w:r>
            <w:r>
              <w:rPr>
                <w:rFonts w:hint="eastAsia"/>
              </w:rPr>
              <w:t>/d，产凝析油规模</w:t>
            </w:r>
            <w:r>
              <w:t>6</w:t>
            </w:r>
            <w:r>
              <w:rPr>
                <w:rFonts w:hint="eastAsia"/>
              </w:rPr>
              <w:t>m</w:t>
            </w:r>
            <w:r>
              <w:rPr>
                <w:rFonts w:hint="eastAsia"/>
                <w:vertAlign w:val="superscript"/>
              </w:rPr>
              <w:t>3</w:t>
            </w:r>
            <w:r>
              <w:rPr>
                <w:rFonts w:hint="eastAsia"/>
              </w:rPr>
              <w:t>/d</w:t>
            </w:r>
            <w:r>
              <w:rPr>
                <w:rFonts w:hint="eastAsia"/>
                <w:szCs w:val="26"/>
              </w:rPr>
              <w:t>，站内天然气经加热节流、三相分离、聚结过滤、计量、</w:t>
            </w:r>
            <w:r>
              <w:rPr>
                <w:rFonts w:hint="eastAsia"/>
              </w:rPr>
              <w:t>脱水、增压后采用CNG方式外售</w:t>
            </w:r>
            <w:r>
              <w:rPr>
                <w:rFonts w:hint="eastAsia"/>
                <w:szCs w:val="26"/>
              </w:rPr>
              <w:t>，站场混烃采用加热微正压闪蒸的工艺，稳定后的凝析油作为副产品通过罐车拉运外销。天然气开采区主要设备：水</w:t>
            </w:r>
            <w:r>
              <w:rPr>
                <w:rFonts w:cs="Times New Roman"/>
                <w:szCs w:val="21"/>
              </w:rPr>
              <w:t>套加热炉橇</w:t>
            </w:r>
            <w:r>
              <w:rPr>
                <w:rFonts w:hint="eastAsia" w:cs="Times New Roman"/>
                <w:szCs w:val="21"/>
              </w:rPr>
              <w:t>1套，三相分离器</w:t>
            </w:r>
            <w:r>
              <w:rPr>
                <w:rFonts w:cs="Times New Roman"/>
                <w:szCs w:val="21"/>
              </w:rPr>
              <w:t>橇</w:t>
            </w:r>
            <w:r>
              <w:rPr>
                <w:rFonts w:hint="eastAsia" w:cs="Times New Roman"/>
                <w:szCs w:val="21"/>
              </w:rPr>
              <w:t>1套，闪蒸三相分离器橇1套，聚结过滤分离器橇1套，放空分液罐1套，燃料气分液包橇1套，放空立管1座；C</w:t>
            </w:r>
            <w:r>
              <w:rPr>
                <w:rFonts w:cs="Times New Roman"/>
                <w:szCs w:val="21"/>
              </w:rPr>
              <w:t>NG</w:t>
            </w:r>
            <w:r>
              <w:rPr>
                <w:rFonts w:hint="eastAsia" w:cs="Times New Roman"/>
                <w:szCs w:val="21"/>
              </w:rPr>
              <w:t>充装区主要设备：</w:t>
            </w:r>
            <w:r>
              <w:rPr>
                <w:rFonts w:cs="Times New Roman"/>
                <w:szCs w:val="21"/>
              </w:rPr>
              <w:t>脱水压缩橇</w:t>
            </w:r>
            <w:r>
              <w:rPr>
                <w:rFonts w:hint="eastAsia" w:cs="Times New Roman"/>
                <w:szCs w:val="21"/>
              </w:rPr>
              <w:t>1套，加气柱2套。</w:t>
            </w:r>
            <w:r>
              <w:rPr>
                <w:rFonts w:hint="eastAsia"/>
              </w:rPr>
              <w:t>并建设配套的公辅工程和站内管线，连接站内各采气设备。</w:t>
            </w:r>
          </w:p>
        </w:tc>
        <w:tc>
          <w:tcPr>
            <w:tcW w:w="649" w:type="dxa"/>
            <w:vAlign w:val="center"/>
          </w:tcPr>
          <w:p w14:paraId="078DFCEA">
            <w:pPr>
              <w:pStyle w:val="1429"/>
              <w:jc w:val="both"/>
            </w:pPr>
            <w:r>
              <w:t>废气、废水、噪声、固废等</w:t>
            </w:r>
          </w:p>
        </w:tc>
        <w:tc>
          <w:tcPr>
            <w:tcW w:w="785" w:type="dxa"/>
            <w:vAlign w:val="center"/>
          </w:tcPr>
          <w:p w14:paraId="6D2C5E31">
            <w:pPr>
              <w:pStyle w:val="1429"/>
              <w:jc w:val="both"/>
            </w:pPr>
            <w:r>
              <w:t>废气、噪声、废水、固废的影响，环境风险影响</w:t>
            </w:r>
          </w:p>
        </w:tc>
      </w:tr>
      <w:tr w14:paraId="5F6DE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gridAfter w:val="2"/>
          <w:wAfter w:w="120" w:type="dxa"/>
          <w:trHeight w:val="369" w:hRule="atLeast"/>
          <w:jc w:val="center"/>
        </w:trPr>
        <w:tc>
          <w:tcPr>
            <w:tcW w:w="556" w:type="dxa"/>
            <w:vMerge w:val="restart"/>
            <w:tcBorders>
              <w:top w:val="single" w:color="auto" w:sz="4" w:space="0"/>
            </w:tcBorders>
            <w:vAlign w:val="center"/>
          </w:tcPr>
          <w:p w14:paraId="11E4FC4D">
            <w:pPr>
              <w:pStyle w:val="1429"/>
            </w:pPr>
            <w:r>
              <w:rPr>
                <w:rFonts w:hint="eastAsia"/>
              </w:rPr>
              <w:t>辅助</w:t>
            </w:r>
          </w:p>
          <w:p w14:paraId="18AFE300">
            <w:pPr>
              <w:pStyle w:val="1429"/>
            </w:pPr>
            <w:r>
              <w:rPr>
                <w:rFonts w:hint="eastAsia"/>
              </w:rPr>
              <w:t>工程</w:t>
            </w:r>
          </w:p>
        </w:tc>
        <w:tc>
          <w:tcPr>
            <w:tcW w:w="1286" w:type="dxa"/>
            <w:gridSpan w:val="2"/>
            <w:tcBorders>
              <w:top w:val="single" w:color="auto" w:sz="4" w:space="0"/>
              <w:bottom w:val="single" w:color="auto" w:sz="4" w:space="0"/>
            </w:tcBorders>
            <w:vAlign w:val="center"/>
          </w:tcPr>
          <w:p w14:paraId="2EA4465A">
            <w:pPr>
              <w:jc w:val="center"/>
              <w:rPr>
                <w:sz w:val="22"/>
                <w:szCs w:val="22"/>
              </w:rPr>
            </w:pPr>
            <w:r>
              <w:rPr>
                <w:sz w:val="22"/>
                <w:szCs w:val="22"/>
              </w:rPr>
              <w:t>通信</w:t>
            </w:r>
          </w:p>
        </w:tc>
        <w:tc>
          <w:tcPr>
            <w:tcW w:w="5324" w:type="dxa"/>
            <w:vAlign w:val="center"/>
          </w:tcPr>
          <w:p w14:paraId="6F2BABE1">
            <w:pPr>
              <w:jc w:val="left"/>
              <w:rPr>
                <w:spacing w:val="-4"/>
                <w:sz w:val="22"/>
                <w:szCs w:val="22"/>
              </w:rPr>
            </w:pPr>
            <w:r>
              <w:rPr>
                <w:rFonts w:hint="eastAsia"/>
                <w:spacing w:val="-4"/>
                <w:sz w:val="22"/>
                <w:szCs w:val="22"/>
              </w:rPr>
              <w:t>包括工业电视监控系统及语音喊话、周界报警系统、数据传输系统和PCS系统扩容。</w:t>
            </w:r>
          </w:p>
        </w:tc>
        <w:tc>
          <w:tcPr>
            <w:tcW w:w="649" w:type="dxa"/>
            <w:vAlign w:val="center"/>
          </w:tcPr>
          <w:p w14:paraId="796DD7FD">
            <w:pPr>
              <w:pStyle w:val="1429"/>
            </w:pPr>
            <w:r>
              <w:rPr>
                <w:rFonts w:hint="eastAsia"/>
              </w:rPr>
              <w:t>/</w:t>
            </w:r>
          </w:p>
        </w:tc>
        <w:tc>
          <w:tcPr>
            <w:tcW w:w="785" w:type="dxa"/>
            <w:vAlign w:val="center"/>
          </w:tcPr>
          <w:p w14:paraId="0603EB7E">
            <w:pPr>
              <w:pStyle w:val="1429"/>
            </w:pPr>
            <w:r>
              <w:rPr>
                <w:rFonts w:hint="eastAsia"/>
              </w:rPr>
              <w:t>/</w:t>
            </w:r>
          </w:p>
        </w:tc>
      </w:tr>
      <w:tr w14:paraId="7D7C4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gridAfter w:val="2"/>
          <w:wAfter w:w="120" w:type="dxa"/>
          <w:trHeight w:val="369" w:hRule="atLeast"/>
          <w:jc w:val="center"/>
        </w:trPr>
        <w:tc>
          <w:tcPr>
            <w:tcW w:w="556" w:type="dxa"/>
            <w:vMerge w:val="continue"/>
            <w:tcBorders>
              <w:top w:val="single" w:color="auto" w:sz="4" w:space="0"/>
            </w:tcBorders>
            <w:vAlign w:val="center"/>
          </w:tcPr>
          <w:p w14:paraId="165762E9">
            <w:pPr>
              <w:pStyle w:val="1429"/>
            </w:pPr>
          </w:p>
        </w:tc>
        <w:tc>
          <w:tcPr>
            <w:tcW w:w="1286" w:type="dxa"/>
            <w:gridSpan w:val="2"/>
            <w:tcBorders>
              <w:top w:val="single" w:color="auto" w:sz="4" w:space="0"/>
              <w:bottom w:val="single" w:color="auto" w:sz="4" w:space="0"/>
            </w:tcBorders>
            <w:vAlign w:val="center"/>
          </w:tcPr>
          <w:p w14:paraId="317A41B6">
            <w:pPr>
              <w:jc w:val="center"/>
              <w:rPr>
                <w:sz w:val="22"/>
                <w:szCs w:val="22"/>
              </w:rPr>
            </w:pPr>
            <w:r>
              <w:rPr>
                <w:rFonts w:hint="eastAsia"/>
                <w:sz w:val="22"/>
                <w:szCs w:val="22"/>
              </w:rPr>
              <w:t>防腐</w:t>
            </w:r>
          </w:p>
        </w:tc>
        <w:tc>
          <w:tcPr>
            <w:tcW w:w="5324" w:type="dxa"/>
            <w:vAlign w:val="center"/>
          </w:tcPr>
          <w:p w14:paraId="3A37BE61">
            <w:pPr>
              <w:jc w:val="left"/>
              <w:rPr>
                <w:spacing w:val="-4"/>
                <w:sz w:val="22"/>
                <w:szCs w:val="22"/>
              </w:rPr>
            </w:pPr>
            <w:r>
              <w:rPr>
                <w:rFonts w:hint="eastAsia"/>
                <w:spacing w:val="-4"/>
                <w:sz w:val="22"/>
                <w:szCs w:val="22"/>
              </w:rPr>
              <w:t>针对不同腐蚀环境采用防腐涂层对管道进行保护，涂层使用寿命不低于15年。</w:t>
            </w:r>
          </w:p>
        </w:tc>
        <w:tc>
          <w:tcPr>
            <w:tcW w:w="649" w:type="dxa"/>
            <w:vAlign w:val="center"/>
          </w:tcPr>
          <w:p w14:paraId="078F7239">
            <w:pPr>
              <w:pStyle w:val="1429"/>
            </w:pPr>
            <w:r>
              <w:rPr>
                <w:rFonts w:hint="eastAsia"/>
              </w:rPr>
              <w:t>/</w:t>
            </w:r>
          </w:p>
        </w:tc>
        <w:tc>
          <w:tcPr>
            <w:tcW w:w="785" w:type="dxa"/>
            <w:vAlign w:val="center"/>
          </w:tcPr>
          <w:p w14:paraId="251DA629">
            <w:pPr>
              <w:pStyle w:val="1429"/>
            </w:pPr>
            <w:r>
              <w:rPr>
                <w:rFonts w:hint="eastAsia"/>
              </w:rPr>
              <w:t>/</w:t>
            </w:r>
          </w:p>
        </w:tc>
      </w:tr>
      <w:tr w14:paraId="4D5FE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gridAfter w:val="2"/>
          <w:wAfter w:w="120" w:type="dxa"/>
          <w:trHeight w:val="369" w:hRule="atLeast"/>
          <w:jc w:val="center"/>
        </w:trPr>
        <w:tc>
          <w:tcPr>
            <w:tcW w:w="556" w:type="dxa"/>
            <w:vMerge w:val="continue"/>
            <w:vAlign w:val="center"/>
          </w:tcPr>
          <w:p w14:paraId="23EC21BB">
            <w:pPr>
              <w:pStyle w:val="1429"/>
            </w:pPr>
          </w:p>
        </w:tc>
        <w:tc>
          <w:tcPr>
            <w:tcW w:w="1286" w:type="dxa"/>
            <w:gridSpan w:val="2"/>
            <w:tcBorders>
              <w:top w:val="single" w:color="auto" w:sz="4" w:space="0"/>
              <w:bottom w:val="single" w:color="auto" w:sz="4" w:space="0"/>
            </w:tcBorders>
            <w:vAlign w:val="center"/>
          </w:tcPr>
          <w:p w14:paraId="34D6C732">
            <w:pPr>
              <w:jc w:val="center"/>
              <w:rPr>
                <w:sz w:val="22"/>
                <w:szCs w:val="22"/>
              </w:rPr>
            </w:pPr>
            <w:r>
              <w:rPr>
                <w:rFonts w:hint="eastAsia"/>
                <w:sz w:val="22"/>
                <w:szCs w:val="22"/>
              </w:rPr>
              <w:t>消防</w:t>
            </w:r>
          </w:p>
        </w:tc>
        <w:tc>
          <w:tcPr>
            <w:tcW w:w="5324" w:type="dxa"/>
            <w:vAlign w:val="center"/>
          </w:tcPr>
          <w:p w14:paraId="2EA48ED9">
            <w:pPr>
              <w:jc w:val="left"/>
              <w:rPr>
                <w:spacing w:val="-4"/>
                <w:sz w:val="22"/>
                <w:szCs w:val="22"/>
              </w:rPr>
            </w:pPr>
            <w:r>
              <w:rPr>
                <w:rFonts w:hint="eastAsia"/>
                <w:spacing w:val="-4"/>
                <w:sz w:val="22"/>
                <w:szCs w:val="22"/>
              </w:rPr>
              <w:t>包括推车式磷酸铵盐干粉灭火器4辆，手提式磷酸铵盐干粉灭火器MF/ABCE8共16具，落地式灭火器箱XMDDD-42共1</w:t>
            </w:r>
            <w:r>
              <w:rPr>
                <w:spacing w:val="-4"/>
                <w:sz w:val="22"/>
                <w:szCs w:val="22"/>
              </w:rPr>
              <w:t>0</w:t>
            </w:r>
            <w:r>
              <w:rPr>
                <w:rFonts w:hint="eastAsia"/>
                <w:spacing w:val="-4"/>
                <w:sz w:val="22"/>
                <w:szCs w:val="22"/>
              </w:rPr>
              <w:t>个</w:t>
            </w:r>
            <w:r>
              <w:rPr>
                <w:rFonts w:hint="eastAsia"/>
                <w:sz w:val="22"/>
                <w:szCs w:val="22"/>
              </w:rPr>
              <w:t>。</w:t>
            </w:r>
          </w:p>
        </w:tc>
        <w:tc>
          <w:tcPr>
            <w:tcW w:w="649" w:type="dxa"/>
            <w:vAlign w:val="center"/>
          </w:tcPr>
          <w:p w14:paraId="7A08F1D2">
            <w:pPr>
              <w:pStyle w:val="1429"/>
            </w:pPr>
            <w:r>
              <w:rPr>
                <w:rFonts w:hint="eastAsia"/>
              </w:rPr>
              <w:t>/</w:t>
            </w:r>
          </w:p>
        </w:tc>
        <w:tc>
          <w:tcPr>
            <w:tcW w:w="785" w:type="dxa"/>
            <w:vAlign w:val="center"/>
          </w:tcPr>
          <w:p w14:paraId="44320112">
            <w:pPr>
              <w:pStyle w:val="1429"/>
            </w:pPr>
            <w:r>
              <w:rPr>
                <w:rFonts w:hint="eastAsia"/>
              </w:rPr>
              <w:t>/</w:t>
            </w:r>
          </w:p>
        </w:tc>
      </w:tr>
      <w:tr w14:paraId="73B26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gridAfter w:val="2"/>
          <w:wAfter w:w="120" w:type="dxa"/>
          <w:trHeight w:val="369" w:hRule="atLeast"/>
          <w:jc w:val="center"/>
        </w:trPr>
        <w:tc>
          <w:tcPr>
            <w:tcW w:w="556" w:type="dxa"/>
            <w:vMerge w:val="continue"/>
            <w:vAlign w:val="center"/>
          </w:tcPr>
          <w:p w14:paraId="73F07B40">
            <w:pPr>
              <w:pStyle w:val="1429"/>
            </w:pPr>
          </w:p>
        </w:tc>
        <w:tc>
          <w:tcPr>
            <w:tcW w:w="1286" w:type="dxa"/>
            <w:gridSpan w:val="2"/>
            <w:tcBorders>
              <w:top w:val="single" w:color="auto" w:sz="4" w:space="0"/>
            </w:tcBorders>
            <w:vAlign w:val="center"/>
          </w:tcPr>
          <w:p w14:paraId="6BB54B18">
            <w:pPr>
              <w:jc w:val="center"/>
              <w:rPr>
                <w:sz w:val="22"/>
                <w:szCs w:val="22"/>
              </w:rPr>
            </w:pPr>
            <w:r>
              <w:rPr>
                <w:rFonts w:hint="eastAsia"/>
                <w:sz w:val="22"/>
                <w:szCs w:val="22"/>
              </w:rPr>
              <w:t>自控</w:t>
            </w:r>
          </w:p>
        </w:tc>
        <w:tc>
          <w:tcPr>
            <w:tcW w:w="5324" w:type="dxa"/>
            <w:vAlign w:val="center"/>
          </w:tcPr>
          <w:p w14:paraId="250ED9DF">
            <w:pPr>
              <w:pStyle w:val="687"/>
              <w:jc w:val="both"/>
              <w:rPr>
                <w:spacing w:val="-4"/>
                <w:szCs w:val="22"/>
              </w:rPr>
            </w:pPr>
            <w:r>
              <w:rPr>
                <w:rFonts w:hint="eastAsia"/>
                <w:spacing w:val="-4"/>
                <w:szCs w:val="22"/>
              </w:rPr>
              <w:t>新建一套PLC系统作为</w:t>
            </w:r>
            <w:r>
              <w:rPr>
                <w:rFonts w:hint="eastAsia"/>
              </w:rPr>
              <w:t>站控系统</w:t>
            </w:r>
            <w:r>
              <w:rPr>
                <w:rFonts w:hint="eastAsia"/>
                <w:spacing w:val="-4"/>
                <w:szCs w:val="22"/>
              </w:rPr>
              <w:t>。</w:t>
            </w:r>
          </w:p>
        </w:tc>
        <w:tc>
          <w:tcPr>
            <w:tcW w:w="649" w:type="dxa"/>
            <w:vAlign w:val="center"/>
          </w:tcPr>
          <w:p w14:paraId="45C9071E">
            <w:pPr>
              <w:pStyle w:val="1429"/>
            </w:pPr>
            <w:r>
              <w:rPr>
                <w:rFonts w:hint="eastAsia"/>
              </w:rPr>
              <w:t>/</w:t>
            </w:r>
          </w:p>
        </w:tc>
        <w:tc>
          <w:tcPr>
            <w:tcW w:w="785" w:type="dxa"/>
            <w:vAlign w:val="center"/>
          </w:tcPr>
          <w:p w14:paraId="4C22F233">
            <w:pPr>
              <w:pStyle w:val="1429"/>
            </w:pPr>
            <w:r>
              <w:rPr>
                <w:rFonts w:hint="eastAsia"/>
              </w:rPr>
              <w:t>/</w:t>
            </w:r>
          </w:p>
        </w:tc>
      </w:tr>
      <w:tr w14:paraId="24A73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gridAfter w:val="2"/>
          <w:wAfter w:w="120" w:type="dxa"/>
          <w:trHeight w:val="369" w:hRule="atLeast"/>
          <w:jc w:val="center"/>
        </w:trPr>
        <w:tc>
          <w:tcPr>
            <w:tcW w:w="556" w:type="dxa"/>
            <w:vMerge w:val="restart"/>
            <w:vAlign w:val="center"/>
          </w:tcPr>
          <w:p w14:paraId="1D74BA2B">
            <w:pPr>
              <w:pStyle w:val="1429"/>
            </w:pPr>
            <w:r>
              <w:rPr>
                <w:rFonts w:hint="eastAsia"/>
              </w:rPr>
              <w:t>公用工程</w:t>
            </w:r>
          </w:p>
        </w:tc>
        <w:tc>
          <w:tcPr>
            <w:tcW w:w="1286" w:type="dxa"/>
            <w:gridSpan w:val="2"/>
            <w:vAlign w:val="center"/>
          </w:tcPr>
          <w:p w14:paraId="2216CD94">
            <w:pPr>
              <w:jc w:val="center"/>
              <w:rPr>
                <w:sz w:val="22"/>
                <w:szCs w:val="22"/>
              </w:rPr>
            </w:pPr>
            <w:r>
              <w:rPr>
                <w:rFonts w:hint="eastAsia"/>
                <w:sz w:val="22"/>
                <w:szCs w:val="22"/>
              </w:rPr>
              <w:t>供配电</w:t>
            </w:r>
          </w:p>
        </w:tc>
        <w:tc>
          <w:tcPr>
            <w:tcW w:w="5324" w:type="dxa"/>
            <w:vAlign w:val="center"/>
          </w:tcPr>
          <w:p w14:paraId="5FD964F4">
            <w:pPr>
              <w:rPr>
                <w:sz w:val="22"/>
                <w:szCs w:val="22"/>
              </w:rPr>
            </w:pPr>
            <w:r>
              <w:rPr>
                <w:rFonts w:hint="eastAsia"/>
                <w:sz w:val="22"/>
                <w:szCs w:val="22"/>
              </w:rPr>
              <w:t>依托附近地方市政电网接入。</w:t>
            </w:r>
          </w:p>
        </w:tc>
        <w:tc>
          <w:tcPr>
            <w:tcW w:w="649" w:type="dxa"/>
            <w:vAlign w:val="center"/>
          </w:tcPr>
          <w:p w14:paraId="3202DBB4">
            <w:pPr>
              <w:pStyle w:val="1429"/>
            </w:pPr>
            <w:r>
              <w:rPr>
                <w:rFonts w:hint="eastAsia"/>
              </w:rPr>
              <w:t>/</w:t>
            </w:r>
          </w:p>
        </w:tc>
        <w:tc>
          <w:tcPr>
            <w:tcW w:w="785" w:type="dxa"/>
            <w:vAlign w:val="center"/>
          </w:tcPr>
          <w:p w14:paraId="32B353EB">
            <w:pPr>
              <w:pStyle w:val="1429"/>
            </w:pPr>
            <w:r>
              <w:rPr>
                <w:rFonts w:hint="eastAsia"/>
              </w:rPr>
              <w:t>/</w:t>
            </w:r>
          </w:p>
        </w:tc>
      </w:tr>
      <w:tr w14:paraId="6DC56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gridAfter w:val="2"/>
          <w:wAfter w:w="120" w:type="dxa"/>
          <w:trHeight w:val="369" w:hRule="atLeast"/>
          <w:jc w:val="center"/>
        </w:trPr>
        <w:tc>
          <w:tcPr>
            <w:tcW w:w="556" w:type="dxa"/>
            <w:vMerge w:val="continue"/>
            <w:vAlign w:val="center"/>
          </w:tcPr>
          <w:p w14:paraId="3EAE3B15">
            <w:pPr>
              <w:pStyle w:val="1429"/>
            </w:pPr>
          </w:p>
        </w:tc>
        <w:tc>
          <w:tcPr>
            <w:tcW w:w="1286" w:type="dxa"/>
            <w:gridSpan w:val="2"/>
            <w:vAlign w:val="center"/>
          </w:tcPr>
          <w:p w14:paraId="3D1D6806">
            <w:pPr>
              <w:jc w:val="center"/>
              <w:rPr>
                <w:sz w:val="22"/>
                <w:szCs w:val="22"/>
              </w:rPr>
            </w:pPr>
            <w:r>
              <w:rPr>
                <w:rFonts w:hint="eastAsia"/>
                <w:sz w:val="22"/>
                <w:szCs w:val="22"/>
              </w:rPr>
              <w:t>给水</w:t>
            </w:r>
          </w:p>
        </w:tc>
        <w:tc>
          <w:tcPr>
            <w:tcW w:w="5324" w:type="dxa"/>
            <w:vAlign w:val="center"/>
          </w:tcPr>
          <w:p w14:paraId="2C2C8E64">
            <w:pPr>
              <w:rPr>
                <w:sz w:val="22"/>
                <w:szCs w:val="22"/>
              </w:rPr>
            </w:pPr>
            <w:r>
              <w:rPr>
                <w:rFonts w:hint="eastAsia"/>
                <w:sz w:val="22"/>
                <w:szCs w:val="22"/>
              </w:rPr>
              <w:t>采用清水罐车拉运供给，水源为阆巴管理区自来水。</w:t>
            </w:r>
          </w:p>
        </w:tc>
        <w:tc>
          <w:tcPr>
            <w:tcW w:w="649" w:type="dxa"/>
            <w:vAlign w:val="center"/>
          </w:tcPr>
          <w:p w14:paraId="445F4E7F">
            <w:pPr>
              <w:pStyle w:val="1429"/>
            </w:pPr>
            <w:r>
              <w:rPr>
                <w:rFonts w:hint="eastAsia"/>
              </w:rPr>
              <w:t>/</w:t>
            </w:r>
          </w:p>
        </w:tc>
        <w:tc>
          <w:tcPr>
            <w:tcW w:w="785" w:type="dxa"/>
            <w:vAlign w:val="center"/>
          </w:tcPr>
          <w:p w14:paraId="17533282">
            <w:pPr>
              <w:pStyle w:val="1429"/>
            </w:pPr>
            <w:r>
              <w:rPr>
                <w:rFonts w:hint="eastAsia"/>
              </w:rPr>
              <w:t>/</w:t>
            </w:r>
          </w:p>
        </w:tc>
      </w:tr>
      <w:tr w14:paraId="11919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gridAfter w:val="2"/>
          <w:wAfter w:w="120" w:type="dxa"/>
          <w:trHeight w:val="369" w:hRule="atLeast"/>
          <w:jc w:val="center"/>
        </w:trPr>
        <w:tc>
          <w:tcPr>
            <w:tcW w:w="556" w:type="dxa"/>
            <w:vMerge w:val="continue"/>
            <w:vAlign w:val="center"/>
          </w:tcPr>
          <w:p w14:paraId="49F0E025">
            <w:pPr>
              <w:pStyle w:val="1429"/>
            </w:pPr>
          </w:p>
        </w:tc>
        <w:tc>
          <w:tcPr>
            <w:tcW w:w="1286" w:type="dxa"/>
            <w:gridSpan w:val="2"/>
            <w:vAlign w:val="center"/>
          </w:tcPr>
          <w:p w14:paraId="38D3C4AF">
            <w:pPr>
              <w:jc w:val="center"/>
              <w:rPr>
                <w:sz w:val="22"/>
                <w:szCs w:val="22"/>
              </w:rPr>
            </w:pPr>
            <w:r>
              <w:rPr>
                <w:rFonts w:hint="eastAsia"/>
                <w:sz w:val="22"/>
                <w:szCs w:val="22"/>
              </w:rPr>
              <w:t>排水</w:t>
            </w:r>
          </w:p>
        </w:tc>
        <w:tc>
          <w:tcPr>
            <w:tcW w:w="5324" w:type="dxa"/>
            <w:vAlign w:val="center"/>
          </w:tcPr>
          <w:p w14:paraId="2F2D2DDD">
            <w:pPr>
              <w:rPr>
                <w:sz w:val="22"/>
                <w:szCs w:val="22"/>
              </w:rPr>
            </w:pPr>
            <w:r>
              <w:rPr>
                <w:rFonts w:hint="eastAsia"/>
                <w:sz w:val="22"/>
                <w:szCs w:val="22"/>
              </w:rPr>
              <w:t>采取雨污分流，站外排水沟、站内排污沟均采用60cm×60cm明沟排水，水泥砂浆抹面防渗处理。场外雨水由站外排水沟汇集后外排附近溪沟；场内排污沟主要对平台内雨水进行收集，沉淀处理后用于绿化用水，不外排。</w:t>
            </w:r>
          </w:p>
        </w:tc>
        <w:tc>
          <w:tcPr>
            <w:tcW w:w="649" w:type="dxa"/>
            <w:vAlign w:val="center"/>
          </w:tcPr>
          <w:p w14:paraId="73454B47">
            <w:pPr>
              <w:pStyle w:val="1429"/>
              <w:jc w:val="both"/>
            </w:pPr>
            <w:r>
              <w:rPr>
                <w:rFonts w:hint="eastAsia"/>
              </w:rPr>
              <w:t>废水</w:t>
            </w:r>
          </w:p>
        </w:tc>
        <w:tc>
          <w:tcPr>
            <w:tcW w:w="785" w:type="dxa"/>
            <w:vAlign w:val="center"/>
          </w:tcPr>
          <w:p w14:paraId="4465D462">
            <w:pPr>
              <w:pStyle w:val="1429"/>
            </w:pPr>
            <w:r>
              <w:rPr>
                <w:rFonts w:hint="eastAsia"/>
              </w:rPr>
              <w:t>废水</w:t>
            </w:r>
          </w:p>
        </w:tc>
      </w:tr>
      <w:tr w14:paraId="2689A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gridAfter w:val="1"/>
          <w:wAfter w:w="69" w:type="dxa"/>
          <w:trHeight w:val="369" w:hRule="atLeast"/>
          <w:jc w:val="center"/>
        </w:trPr>
        <w:tc>
          <w:tcPr>
            <w:tcW w:w="556" w:type="dxa"/>
            <w:vMerge w:val="restart"/>
            <w:vAlign w:val="center"/>
          </w:tcPr>
          <w:p w14:paraId="1A086169">
            <w:pPr>
              <w:pStyle w:val="1429"/>
            </w:pPr>
            <w:r>
              <w:rPr>
                <w:rFonts w:hint="eastAsia"/>
              </w:rPr>
              <w:t>环保工程</w:t>
            </w:r>
          </w:p>
        </w:tc>
        <w:tc>
          <w:tcPr>
            <w:tcW w:w="433" w:type="dxa"/>
            <w:vMerge w:val="restart"/>
            <w:vAlign w:val="center"/>
          </w:tcPr>
          <w:p w14:paraId="4E8DCB0A">
            <w:pPr>
              <w:pStyle w:val="1429"/>
            </w:pPr>
            <w:r>
              <w:rPr>
                <w:rFonts w:hint="eastAsia"/>
              </w:rPr>
              <w:t>废气</w:t>
            </w:r>
          </w:p>
        </w:tc>
        <w:tc>
          <w:tcPr>
            <w:tcW w:w="853" w:type="dxa"/>
            <w:vAlign w:val="center"/>
          </w:tcPr>
          <w:p w14:paraId="30B32CEE">
            <w:pPr>
              <w:pStyle w:val="1429"/>
            </w:pPr>
            <w:r>
              <w:rPr>
                <w:rFonts w:hint="eastAsia"/>
              </w:rPr>
              <w:t>水套炉燃烧废气</w:t>
            </w:r>
          </w:p>
        </w:tc>
        <w:tc>
          <w:tcPr>
            <w:tcW w:w="5324" w:type="dxa"/>
            <w:vAlign w:val="center"/>
          </w:tcPr>
          <w:p w14:paraId="64CF6852">
            <w:pPr>
              <w:rPr>
                <w:sz w:val="22"/>
                <w:szCs w:val="22"/>
              </w:rPr>
            </w:pPr>
            <w:r>
              <w:rPr>
                <w:rFonts w:hint="eastAsia"/>
                <w:sz w:val="22"/>
                <w:szCs w:val="22"/>
              </w:rPr>
              <w:t>经自带高8m的排气筒排放。</w:t>
            </w:r>
          </w:p>
        </w:tc>
        <w:tc>
          <w:tcPr>
            <w:tcW w:w="649" w:type="dxa"/>
            <w:vAlign w:val="center"/>
          </w:tcPr>
          <w:p w14:paraId="03E20508">
            <w:pPr>
              <w:pStyle w:val="1429"/>
            </w:pPr>
            <w:r>
              <w:rPr>
                <w:rFonts w:hint="eastAsia"/>
              </w:rPr>
              <w:t>/</w:t>
            </w:r>
          </w:p>
        </w:tc>
        <w:tc>
          <w:tcPr>
            <w:tcW w:w="836" w:type="dxa"/>
            <w:gridSpan w:val="2"/>
            <w:vAlign w:val="center"/>
          </w:tcPr>
          <w:p w14:paraId="10E7C552">
            <w:pPr>
              <w:pStyle w:val="1429"/>
            </w:pPr>
            <w:r>
              <w:rPr>
                <w:rFonts w:hint="eastAsia"/>
              </w:rPr>
              <w:t>废气</w:t>
            </w:r>
          </w:p>
        </w:tc>
      </w:tr>
      <w:tr w14:paraId="6510B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56" w:type="dxa"/>
            <w:vMerge w:val="continue"/>
            <w:vAlign w:val="center"/>
          </w:tcPr>
          <w:p w14:paraId="096DD27C">
            <w:pPr>
              <w:pStyle w:val="1429"/>
            </w:pPr>
          </w:p>
        </w:tc>
        <w:tc>
          <w:tcPr>
            <w:tcW w:w="433" w:type="dxa"/>
            <w:vMerge w:val="continue"/>
            <w:vAlign w:val="center"/>
          </w:tcPr>
          <w:p w14:paraId="5530A63A">
            <w:pPr>
              <w:pStyle w:val="1429"/>
            </w:pPr>
          </w:p>
        </w:tc>
        <w:tc>
          <w:tcPr>
            <w:tcW w:w="853" w:type="dxa"/>
            <w:vAlign w:val="center"/>
          </w:tcPr>
          <w:p w14:paraId="4665EE57">
            <w:pPr>
              <w:pStyle w:val="1429"/>
            </w:pPr>
            <w:r>
              <w:rPr>
                <w:rFonts w:hint="eastAsia"/>
              </w:rPr>
              <w:t>凝析油储罐呼吸废气</w:t>
            </w:r>
          </w:p>
        </w:tc>
        <w:tc>
          <w:tcPr>
            <w:tcW w:w="5324" w:type="dxa"/>
            <w:vAlign w:val="center"/>
          </w:tcPr>
          <w:p w14:paraId="4F754F54">
            <w:pPr>
              <w:rPr>
                <w:sz w:val="22"/>
                <w:szCs w:val="22"/>
              </w:rPr>
            </w:pPr>
            <w:r>
              <w:rPr>
                <w:rFonts w:hint="eastAsia"/>
                <w:sz w:val="22"/>
                <w:szCs w:val="22"/>
              </w:rPr>
              <w:t>设置调压阀，大小呼吸废气接入放空立管燃烧排放。</w:t>
            </w:r>
          </w:p>
        </w:tc>
        <w:tc>
          <w:tcPr>
            <w:tcW w:w="649" w:type="dxa"/>
            <w:vAlign w:val="center"/>
          </w:tcPr>
          <w:p w14:paraId="62712D8B">
            <w:pPr>
              <w:pStyle w:val="1429"/>
            </w:pPr>
            <w:r>
              <w:rPr>
                <w:rFonts w:hint="eastAsia"/>
              </w:rPr>
              <w:t>/</w:t>
            </w:r>
          </w:p>
        </w:tc>
        <w:tc>
          <w:tcPr>
            <w:tcW w:w="905" w:type="dxa"/>
            <w:gridSpan w:val="3"/>
            <w:vAlign w:val="center"/>
          </w:tcPr>
          <w:p w14:paraId="2AED1A25">
            <w:pPr>
              <w:pStyle w:val="1429"/>
            </w:pPr>
            <w:r>
              <w:rPr>
                <w:rFonts w:hint="eastAsia"/>
              </w:rPr>
              <w:t>废气</w:t>
            </w:r>
          </w:p>
        </w:tc>
      </w:tr>
      <w:tr w14:paraId="45484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56" w:type="dxa"/>
            <w:vMerge w:val="continue"/>
            <w:vAlign w:val="center"/>
          </w:tcPr>
          <w:p w14:paraId="4E8D9FF4">
            <w:pPr>
              <w:pStyle w:val="1429"/>
            </w:pPr>
          </w:p>
        </w:tc>
        <w:tc>
          <w:tcPr>
            <w:tcW w:w="433" w:type="dxa"/>
            <w:vMerge w:val="continue"/>
            <w:vAlign w:val="center"/>
          </w:tcPr>
          <w:p w14:paraId="2A3E332D">
            <w:pPr>
              <w:pStyle w:val="1429"/>
            </w:pPr>
          </w:p>
        </w:tc>
        <w:tc>
          <w:tcPr>
            <w:tcW w:w="853" w:type="dxa"/>
            <w:vAlign w:val="center"/>
          </w:tcPr>
          <w:p w14:paraId="2F3E0F87">
            <w:pPr>
              <w:pStyle w:val="1429"/>
            </w:pPr>
            <w:r>
              <w:rPr>
                <w:rFonts w:hint="eastAsia"/>
              </w:rPr>
              <w:t>无组织逸散废气</w:t>
            </w:r>
          </w:p>
        </w:tc>
        <w:tc>
          <w:tcPr>
            <w:tcW w:w="5324" w:type="dxa"/>
            <w:vAlign w:val="center"/>
          </w:tcPr>
          <w:p w14:paraId="7AE68123">
            <w:pPr>
              <w:rPr>
                <w:sz w:val="22"/>
                <w:szCs w:val="22"/>
              </w:rPr>
            </w:pPr>
            <w:r>
              <w:rPr>
                <w:rFonts w:hint="eastAsia"/>
                <w:sz w:val="22"/>
                <w:szCs w:val="22"/>
              </w:rPr>
              <w:t>试采站加强密闭，加强管理，定期检修，减少无组织废气排放。</w:t>
            </w:r>
          </w:p>
        </w:tc>
        <w:tc>
          <w:tcPr>
            <w:tcW w:w="649" w:type="dxa"/>
            <w:vAlign w:val="center"/>
          </w:tcPr>
          <w:p w14:paraId="77F50669">
            <w:pPr>
              <w:pStyle w:val="1429"/>
            </w:pPr>
            <w:r>
              <w:rPr>
                <w:rFonts w:hint="eastAsia"/>
              </w:rPr>
              <w:t>/</w:t>
            </w:r>
          </w:p>
        </w:tc>
        <w:tc>
          <w:tcPr>
            <w:tcW w:w="905" w:type="dxa"/>
            <w:gridSpan w:val="3"/>
            <w:vAlign w:val="center"/>
          </w:tcPr>
          <w:p w14:paraId="0E03DD2A">
            <w:pPr>
              <w:pStyle w:val="1429"/>
            </w:pPr>
            <w:r>
              <w:rPr>
                <w:rFonts w:hint="eastAsia"/>
              </w:rPr>
              <w:t>废气</w:t>
            </w:r>
          </w:p>
        </w:tc>
      </w:tr>
      <w:tr w14:paraId="5DFFC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56" w:type="dxa"/>
            <w:vMerge w:val="continue"/>
            <w:vAlign w:val="center"/>
          </w:tcPr>
          <w:p w14:paraId="7FEC54DD">
            <w:pPr>
              <w:pStyle w:val="1429"/>
            </w:pPr>
          </w:p>
        </w:tc>
        <w:tc>
          <w:tcPr>
            <w:tcW w:w="433" w:type="dxa"/>
            <w:vMerge w:val="continue"/>
            <w:vAlign w:val="center"/>
          </w:tcPr>
          <w:p w14:paraId="28809D8B">
            <w:pPr>
              <w:pStyle w:val="1429"/>
            </w:pPr>
          </w:p>
        </w:tc>
        <w:tc>
          <w:tcPr>
            <w:tcW w:w="853" w:type="dxa"/>
            <w:vAlign w:val="center"/>
          </w:tcPr>
          <w:p w14:paraId="6928AFB1">
            <w:pPr>
              <w:pStyle w:val="1429"/>
            </w:pPr>
            <w:r>
              <w:rPr>
                <w:rFonts w:hint="eastAsia"/>
              </w:rPr>
              <w:t>放空废气</w:t>
            </w:r>
          </w:p>
        </w:tc>
        <w:tc>
          <w:tcPr>
            <w:tcW w:w="5324" w:type="dxa"/>
            <w:vAlign w:val="center"/>
          </w:tcPr>
          <w:p w14:paraId="58E8FD1B">
            <w:pPr>
              <w:rPr>
                <w:sz w:val="22"/>
                <w:szCs w:val="22"/>
              </w:rPr>
            </w:pPr>
            <w:r>
              <w:rPr>
                <w:rFonts w:hint="eastAsia"/>
                <w:sz w:val="22"/>
                <w:szCs w:val="22"/>
              </w:rPr>
              <w:t>通过放空区1</w:t>
            </w:r>
            <w:r>
              <w:rPr>
                <w:sz w:val="22"/>
                <w:szCs w:val="22"/>
              </w:rPr>
              <w:t>5</w:t>
            </w:r>
            <w:r>
              <w:rPr>
                <w:rFonts w:hint="eastAsia"/>
                <w:sz w:val="22"/>
                <w:szCs w:val="22"/>
              </w:rPr>
              <w:t>m高放空立管燃烧放空。</w:t>
            </w:r>
          </w:p>
        </w:tc>
        <w:tc>
          <w:tcPr>
            <w:tcW w:w="649" w:type="dxa"/>
            <w:vAlign w:val="center"/>
          </w:tcPr>
          <w:p w14:paraId="7D42CC8C">
            <w:pPr>
              <w:pStyle w:val="1429"/>
            </w:pPr>
            <w:r>
              <w:rPr>
                <w:rFonts w:hint="eastAsia"/>
              </w:rPr>
              <w:t>/</w:t>
            </w:r>
          </w:p>
        </w:tc>
        <w:tc>
          <w:tcPr>
            <w:tcW w:w="905" w:type="dxa"/>
            <w:gridSpan w:val="3"/>
            <w:vAlign w:val="center"/>
          </w:tcPr>
          <w:p w14:paraId="06AE0B9A">
            <w:pPr>
              <w:pStyle w:val="1429"/>
            </w:pPr>
            <w:r>
              <w:rPr>
                <w:rFonts w:hint="eastAsia"/>
              </w:rPr>
              <w:t>废气</w:t>
            </w:r>
          </w:p>
        </w:tc>
      </w:tr>
      <w:tr w14:paraId="0026C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56" w:type="dxa"/>
            <w:vMerge w:val="continue"/>
            <w:vAlign w:val="center"/>
          </w:tcPr>
          <w:p w14:paraId="386BEEE8">
            <w:pPr>
              <w:pStyle w:val="1429"/>
            </w:pPr>
          </w:p>
        </w:tc>
        <w:tc>
          <w:tcPr>
            <w:tcW w:w="433" w:type="dxa"/>
            <w:vMerge w:val="restart"/>
            <w:vAlign w:val="center"/>
          </w:tcPr>
          <w:p w14:paraId="1FB913AC">
            <w:pPr>
              <w:pStyle w:val="1429"/>
            </w:pPr>
            <w:r>
              <w:rPr>
                <w:rFonts w:hint="eastAsia"/>
              </w:rPr>
              <w:t>废水</w:t>
            </w:r>
          </w:p>
        </w:tc>
        <w:tc>
          <w:tcPr>
            <w:tcW w:w="853" w:type="dxa"/>
            <w:vAlign w:val="center"/>
          </w:tcPr>
          <w:p w14:paraId="1A347BB6">
            <w:pPr>
              <w:pStyle w:val="1429"/>
            </w:pPr>
            <w:r>
              <w:rPr>
                <w:rFonts w:hint="eastAsia"/>
              </w:rPr>
              <w:t>生产废水</w:t>
            </w:r>
          </w:p>
        </w:tc>
        <w:tc>
          <w:tcPr>
            <w:tcW w:w="5324" w:type="dxa"/>
            <w:vAlign w:val="center"/>
          </w:tcPr>
          <w:p w14:paraId="6A7AC0DE">
            <w:pPr>
              <w:rPr>
                <w:sz w:val="22"/>
                <w:szCs w:val="22"/>
              </w:rPr>
            </w:pPr>
            <w:r>
              <w:rPr>
                <w:rFonts w:hint="eastAsia"/>
                <w:sz w:val="22"/>
                <w:szCs w:val="22"/>
              </w:rPr>
              <w:t>试采期产生的气田水、放空分离液、分子筛冷凝水和检修废水暂存于气田水储罐，定期由罐车运输至四川洁安环境科技有限公司油气田废水处理站、四川兴澳环境技术服务有限公司油气井地下水处理站处置，或区域内有合法资质且有处理能力的第三方单位处置。</w:t>
            </w:r>
          </w:p>
        </w:tc>
        <w:tc>
          <w:tcPr>
            <w:tcW w:w="649" w:type="dxa"/>
            <w:vAlign w:val="center"/>
          </w:tcPr>
          <w:p w14:paraId="0245F6FE">
            <w:pPr>
              <w:pStyle w:val="1429"/>
            </w:pPr>
            <w:r>
              <w:rPr>
                <w:rFonts w:hint="eastAsia"/>
              </w:rPr>
              <w:t>/</w:t>
            </w:r>
          </w:p>
        </w:tc>
        <w:tc>
          <w:tcPr>
            <w:tcW w:w="905" w:type="dxa"/>
            <w:gridSpan w:val="3"/>
            <w:vAlign w:val="center"/>
          </w:tcPr>
          <w:p w14:paraId="512128CB">
            <w:pPr>
              <w:pStyle w:val="1429"/>
            </w:pPr>
            <w:r>
              <w:rPr>
                <w:rFonts w:hint="eastAsia"/>
              </w:rPr>
              <w:t>废水</w:t>
            </w:r>
          </w:p>
        </w:tc>
      </w:tr>
      <w:tr w14:paraId="6F5C2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56" w:type="dxa"/>
            <w:vMerge w:val="continue"/>
            <w:vAlign w:val="center"/>
          </w:tcPr>
          <w:p w14:paraId="6ADDC559">
            <w:pPr>
              <w:pStyle w:val="1429"/>
            </w:pPr>
          </w:p>
        </w:tc>
        <w:tc>
          <w:tcPr>
            <w:tcW w:w="433" w:type="dxa"/>
            <w:vMerge w:val="continue"/>
            <w:vAlign w:val="center"/>
          </w:tcPr>
          <w:p w14:paraId="58E8CFB5">
            <w:pPr>
              <w:pStyle w:val="1429"/>
            </w:pPr>
          </w:p>
        </w:tc>
        <w:tc>
          <w:tcPr>
            <w:tcW w:w="853" w:type="dxa"/>
            <w:vAlign w:val="center"/>
          </w:tcPr>
          <w:p w14:paraId="76753C06">
            <w:pPr>
              <w:pStyle w:val="1429"/>
            </w:pPr>
            <w:r>
              <w:rPr>
                <w:rFonts w:hint="eastAsia"/>
              </w:rPr>
              <w:t>生活污水</w:t>
            </w:r>
          </w:p>
        </w:tc>
        <w:tc>
          <w:tcPr>
            <w:tcW w:w="5324" w:type="dxa"/>
            <w:vAlign w:val="center"/>
          </w:tcPr>
          <w:p w14:paraId="0A8CBA41">
            <w:pPr>
              <w:rPr>
                <w:sz w:val="22"/>
                <w:szCs w:val="22"/>
              </w:rPr>
            </w:pPr>
            <w:r>
              <w:rPr>
                <w:rFonts w:hint="eastAsia"/>
                <w:sz w:val="22"/>
                <w:szCs w:val="22"/>
              </w:rPr>
              <w:t>生活污水经环保厕所收集后定期外运附近城镇生活污水处理厂处置，不外排。</w:t>
            </w:r>
          </w:p>
        </w:tc>
        <w:tc>
          <w:tcPr>
            <w:tcW w:w="649" w:type="dxa"/>
            <w:vAlign w:val="center"/>
          </w:tcPr>
          <w:p w14:paraId="53D1FDB1">
            <w:pPr>
              <w:pStyle w:val="1429"/>
            </w:pPr>
            <w:r>
              <w:rPr>
                <w:rFonts w:hint="eastAsia"/>
              </w:rPr>
              <w:t>/</w:t>
            </w:r>
          </w:p>
        </w:tc>
        <w:tc>
          <w:tcPr>
            <w:tcW w:w="905" w:type="dxa"/>
            <w:gridSpan w:val="3"/>
            <w:vAlign w:val="center"/>
          </w:tcPr>
          <w:p w14:paraId="39FE6457">
            <w:pPr>
              <w:pStyle w:val="1429"/>
            </w:pPr>
            <w:r>
              <w:rPr>
                <w:rFonts w:hint="eastAsia"/>
              </w:rPr>
              <w:t>废水</w:t>
            </w:r>
          </w:p>
        </w:tc>
      </w:tr>
      <w:tr w14:paraId="59987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56" w:type="dxa"/>
            <w:vMerge w:val="continue"/>
            <w:vAlign w:val="center"/>
          </w:tcPr>
          <w:p w14:paraId="3E2FB473">
            <w:pPr>
              <w:pStyle w:val="1429"/>
            </w:pPr>
          </w:p>
        </w:tc>
        <w:tc>
          <w:tcPr>
            <w:tcW w:w="1286" w:type="dxa"/>
            <w:gridSpan w:val="2"/>
            <w:vAlign w:val="center"/>
          </w:tcPr>
          <w:p w14:paraId="472A82E8">
            <w:pPr>
              <w:pStyle w:val="1429"/>
            </w:pPr>
            <w:r>
              <w:rPr>
                <w:rFonts w:hint="eastAsia"/>
              </w:rPr>
              <w:t>噪声</w:t>
            </w:r>
          </w:p>
        </w:tc>
        <w:tc>
          <w:tcPr>
            <w:tcW w:w="5324" w:type="dxa"/>
            <w:vAlign w:val="center"/>
          </w:tcPr>
          <w:p w14:paraId="44ECE409">
            <w:pPr>
              <w:rPr>
                <w:sz w:val="22"/>
                <w:szCs w:val="22"/>
              </w:rPr>
            </w:pPr>
            <w:r>
              <w:rPr>
                <w:rFonts w:hint="eastAsia"/>
                <w:sz w:val="22"/>
                <w:szCs w:val="22"/>
              </w:rPr>
              <w:t>站场设备选用低噪声设备，基础减震，压缩机安装隔声罩。</w:t>
            </w:r>
          </w:p>
        </w:tc>
        <w:tc>
          <w:tcPr>
            <w:tcW w:w="649" w:type="dxa"/>
            <w:vAlign w:val="center"/>
          </w:tcPr>
          <w:p w14:paraId="4EF4FA5F">
            <w:pPr>
              <w:pStyle w:val="1429"/>
            </w:pPr>
            <w:r>
              <w:rPr>
                <w:rFonts w:hint="eastAsia"/>
              </w:rPr>
              <w:t>/</w:t>
            </w:r>
          </w:p>
        </w:tc>
        <w:tc>
          <w:tcPr>
            <w:tcW w:w="905" w:type="dxa"/>
            <w:gridSpan w:val="3"/>
            <w:vAlign w:val="center"/>
          </w:tcPr>
          <w:p w14:paraId="2735E4D5">
            <w:pPr>
              <w:pStyle w:val="1429"/>
            </w:pPr>
            <w:r>
              <w:rPr>
                <w:rFonts w:hint="eastAsia"/>
              </w:rPr>
              <w:t>噪声</w:t>
            </w:r>
          </w:p>
        </w:tc>
      </w:tr>
      <w:tr w14:paraId="4739A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54" w:hRule="atLeast"/>
          <w:jc w:val="center"/>
        </w:trPr>
        <w:tc>
          <w:tcPr>
            <w:tcW w:w="556" w:type="dxa"/>
            <w:vMerge w:val="continue"/>
            <w:vAlign w:val="center"/>
          </w:tcPr>
          <w:p w14:paraId="49EAFCAD">
            <w:pPr>
              <w:pStyle w:val="1429"/>
            </w:pPr>
          </w:p>
        </w:tc>
        <w:tc>
          <w:tcPr>
            <w:tcW w:w="433" w:type="dxa"/>
            <w:vMerge w:val="restart"/>
            <w:vAlign w:val="center"/>
          </w:tcPr>
          <w:p w14:paraId="56EC5BD4">
            <w:pPr>
              <w:pStyle w:val="1429"/>
            </w:pPr>
            <w:r>
              <w:rPr>
                <w:rFonts w:hint="eastAsia"/>
              </w:rPr>
              <w:t>固废</w:t>
            </w:r>
          </w:p>
        </w:tc>
        <w:tc>
          <w:tcPr>
            <w:tcW w:w="853" w:type="dxa"/>
            <w:vAlign w:val="center"/>
          </w:tcPr>
          <w:p w14:paraId="448BABD5">
            <w:pPr>
              <w:pStyle w:val="1429"/>
            </w:pPr>
            <w:r>
              <w:rPr>
                <w:rFonts w:hint="eastAsia"/>
              </w:rPr>
              <w:t>生活垃圾</w:t>
            </w:r>
          </w:p>
        </w:tc>
        <w:tc>
          <w:tcPr>
            <w:tcW w:w="5324" w:type="dxa"/>
            <w:vAlign w:val="center"/>
          </w:tcPr>
          <w:p w14:paraId="3D4BDFB9">
            <w:pPr>
              <w:rPr>
                <w:sz w:val="22"/>
                <w:szCs w:val="22"/>
              </w:rPr>
            </w:pPr>
            <w:r>
              <w:rPr>
                <w:rFonts w:hint="eastAsia"/>
                <w:sz w:val="22"/>
                <w:szCs w:val="22"/>
              </w:rPr>
              <w:t>值守人员产生的生活垃圾定点堆放，交当地市政环卫部门收运处置。</w:t>
            </w:r>
          </w:p>
        </w:tc>
        <w:tc>
          <w:tcPr>
            <w:tcW w:w="649" w:type="dxa"/>
            <w:vMerge w:val="restart"/>
            <w:vAlign w:val="center"/>
          </w:tcPr>
          <w:p w14:paraId="22D291C7">
            <w:pPr>
              <w:pStyle w:val="1429"/>
            </w:pPr>
            <w:r>
              <w:rPr>
                <w:rFonts w:hint="eastAsia"/>
              </w:rPr>
              <w:t>/</w:t>
            </w:r>
          </w:p>
        </w:tc>
        <w:tc>
          <w:tcPr>
            <w:tcW w:w="905" w:type="dxa"/>
            <w:gridSpan w:val="3"/>
            <w:vMerge w:val="restart"/>
            <w:vAlign w:val="center"/>
          </w:tcPr>
          <w:p w14:paraId="032F4368">
            <w:pPr>
              <w:pStyle w:val="1429"/>
            </w:pPr>
            <w:r>
              <w:rPr>
                <w:rFonts w:hint="eastAsia"/>
              </w:rPr>
              <w:t>固废</w:t>
            </w:r>
          </w:p>
        </w:tc>
      </w:tr>
      <w:tr w14:paraId="363E6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53" w:hRule="atLeast"/>
          <w:jc w:val="center"/>
        </w:trPr>
        <w:tc>
          <w:tcPr>
            <w:tcW w:w="556" w:type="dxa"/>
            <w:vMerge w:val="continue"/>
            <w:vAlign w:val="center"/>
          </w:tcPr>
          <w:p w14:paraId="0969AE48">
            <w:pPr>
              <w:pStyle w:val="1429"/>
            </w:pPr>
          </w:p>
        </w:tc>
        <w:tc>
          <w:tcPr>
            <w:tcW w:w="433" w:type="dxa"/>
            <w:vMerge w:val="continue"/>
            <w:vAlign w:val="center"/>
          </w:tcPr>
          <w:p w14:paraId="364FC577">
            <w:pPr>
              <w:pStyle w:val="1429"/>
            </w:pPr>
          </w:p>
        </w:tc>
        <w:tc>
          <w:tcPr>
            <w:tcW w:w="853" w:type="dxa"/>
            <w:vAlign w:val="center"/>
          </w:tcPr>
          <w:p w14:paraId="2D5740BF">
            <w:pPr>
              <w:pStyle w:val="1429"/>
            </w:pPr>
            <w:r>
              <w:rPr>
                <w:rFonts w:hint="eastAsia"/>
              </w:rPr>
              <w:t>一般工业固废</w:t>
            </w:r>
          </w:p>
        </w:tc>
        <w:tc>
          <w:tcPr>
            <w:tcW w:w="5324" w:type="dxa"/>
            <w:vAlign w:val="center"/>
          </w:tcPr>
          <w:p w14:paraId="075BA30D">
            <w:pPr>
              <w:rPr>
                <w:sz w:val="22"/>
                <w:szCs w:val="22"/>
              </w:rPr>
            </w:pPr>
            <w:r>
              <w:rPr>
                <w:rFonts w:hint="eastAsia"/>
                <w:sz w:val="22"/>
                <w:szCs w:val="22"/>
              </w:rPr>
              <w:t>聚结过滤器产生的废滤芯和脱水压缩撬产生的废分子筛均由厂家回收处置，不在站内贮存。</w:t>
            </w:r>
          </w:p>
        </w:tc>
        <w:tc>
          <w:tcPr>
            <w:tcW w:w="649" w:type="dxa"/>
            <w:vMerge w:val="continue"/>
            <w:vAlign w:val="center"/>
          </w:tcPr>
          <w:p w14:paraId="618ADE05">
            <w:pPr>
              <w:pStyle w:val="1429"/>
            </w:pPr>
          </w:p>
        </w:tc>
        <w:tc>
          <w:tcPr>
            <w:tcW w:w="905" w:type="dxa"/>
            <w:gridSpan w:val="3"/>
            <w:vMerge w:val="continue"/>
            <w:vAlign w:val="center"/>
          </w:tcPr>
          <w:p w14:paraId="27745DC7">
            <w:pPr>
              <w:pStyle w:val="1429"/>
            </w:pPr>
          </w:p>
        </w:tc>
      </w:tr>
      <w:tr w14:paraId="1271B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53" w:hRule="atLeast"/>
          <w:jc w:val="center"/>
        </w:trPr>
        <w:tc>
          <w:tcPr>
            <w:tcW w:w="556" w:type="dxa"/>
            <w:vMerge w:val="continue"/>
            <w:vAlign w:val="center"/>
          </w:tcPr>
          <w:p w14:paraId="1403D7D4">
            <w:pPr>
              <w:pStyle w:val="1429"/>
            </w:pPr>
          </w:p>
        </w:tc>
        <w:tc>
          <w:tcPr>
            <w:tcW w:w="433" w:type="dxa"/>
            <w:vMerge w:val="continue"/>
            <w:vAlign w:val="center"/>
          </w:tcPr>
          <w:p w14:paraId="727BAB64">
            <w:pPr>
              <w:pStyle w:val="1429"/>
            </w:pPr>
          </w:p>
        </w:tc>
        <w:tc>
          <w:tcPr>
            <w:tcW w:w="853" w:type="dxa"/>
            <w:vAlign w:val="center"/>
          </w:tcPr>
          <w:p w14:paraId="0D6B1132">
            <w:pPr>
              <w:pStyle w:val="1429"/>
            </w:pPr>
            <w:r>
              <w:rPr>
                <w:rFonts w:hint="eastAsia"/>
              </w:rPr>
              <w:t>危险废物</w:t>
            </w:r>
          </w:p>
        </w:tc>
        <w:tc>
          <w:tcPr>
            <w:tcW w:w="5324" w:type="dxa"/>
            <w:vAlign w:val="center"/>
          </w:tcPr>
          <w:p w14:paraId="5F7F5400">
            <w:pPr>
              <w:pStyle w:val="687"/>
              <w:jc w:val="both"/>
              <w:rPr>
                <w:szCs w:val="22"/>
              </w:rPr>
            </w:pPr>
            <w:r>
              <w:rPr>
                <w:rFonts w:hint="eastAsia"/>
                <w:szCs w:val="22"/>
              </w:rPr>
              <w:t>储罐清掏沉渣、</w:t>
            </w:r>
            <w:r>
              <w:rPr>
                <w:rFonts w:hint="eastAsia"/>
              </w:rPr>
              <w:t>检修废渣、废油、废油桶、含</w:t>
            </w:r>
            <w:r>
              <w:rPr>
                <w:szCs w:val="22"/>
              </w:rPr>
              <w:t>油抹布及手套</w:t>
            </w:r>
            <w:r>
              <w:rPr>
                <w:rFonts w:hint="eastAsia"/>
              </w:rPr>
              <w:t>等危废即产即运</w:t>
            </w:r>
            <w:r>
              <w:rPr>
                <w:rFonts w:hint="eastAsia"/>
                <w:b/>
              </w:rPr>
              <w:t>，</w:t>
            </w:r>
            <w:r>
              <w:rPr>
                <w:rFonts w:hint="eastAsia"/>
              </w:rPr>
              <w:t>由作业区人员统一收集，暂存于河飞2</w:t>
            </w:r>
            <w:r>
              <w:t>03</w:t>
            </w:r>
            <w:r>
              <w:rPr>
                <w:rFonts w:hint="eastAsia"/>
              </w:rPr>
              <w:t>中心站危废暂存间（2</w:t>
            </w:r>
            <w:r>
              <w:t>0</w:t>
            </w:r>
            <w:r>
              <w:rPr>
                <w:rFonts w:hint="eastAsia"/>
              </w:rPr>
              <w:t>m</w:t>
            </w:r>
            <w:r>
              <w:rPr>
                <w:vertAlign w:val="superscript"/>
              </w:rPr>
              <w:t>2</w:t>
            </w:r>
            <w:r>
              <w:rPr>
                <w:rFonts w:hint="eastAsia"/>
              </w:rPr>
              <w:t>），统一交由资质单位处置。</w:t>
            </w:r>
          </w:p>
        </w:tc>
        <w:tc>
          <w:tcPr>
            <w:tcW w:w="649" w:type="dxa"/>
            <w:vMerge w:val="continue"/>
            <w:vAlign w:val="center"/>
          </w:tcPr>
          <w:p w14:paraId="32C65D9E">
            <w:pPr>
              <w:pStyle w:val="1429"/>
            </w:pPr>
          </w:p>
        </w:tc>
        <w:tc>
          <w:tcPr>
            <w:tcW w:w="905" w:type="dxa"/>
            <w:gridSpan w:val="3"/>
            <w:vMerge w:val="continue"/>
            <w:vAlign w:val="center"/>
          </w:tcPr>
          <w:p w14:paraId="7F023329">
            <w:pPr>
              <w:pStyle w:val="1429"/>
            </w:pPr>
          </w:p>
        </w:tc>
      </w:tr>
      <w:tr w14:paraId="2C6E0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56" w:type="dxa"/>
            <w:vMerge w:val="restart"/>
            <w:vAlign w:val="center"/>
          </w:tcPr>
          <w:p w14:paraId="2FAD1858">
            <w:pPr>
              <w:pStyle w:val="1429"/>
            </w:pPr>
            <w:r>
              <w:rPr>
                <w:rFonts w:hint="eastAsia"/>
              </w:rPr>
              <w:t>依托工程</w:t>
            </w:r>
          </w:p>
        </w:tc>
        <w:tc>
          <w:tcPr>
            <w:tcW w:w="1286" w:type="dxa"/>
            <w:gridSpan w:val="2"/>
            <w:vAlign w:val="center"/>
          </w:tcPr>
          <w:p w14:paraId="1E8BA5DD">
            <w:pPr>
              <w:pStyle w:val="1444"/>
            </w:pPr>
            <w:r>
              <w:rPr>
                <w:rFonts w:hint="eastAsia"/>
              </w:rPr>
              <w:t>钻井井场</w:t>
            </w:r>
          </w:p>
        </w:tc>
        <w:tc>
          <w:tcPr>
            <w:tcW w:w="5324" w:type="dxa"/>
            <w:vAlign w:val="center"/>
          </w:tcPr>
          <w:p w14:paraId="6E66C41B">
            <w:pPr>
              <w:pStyle w:val="1444"/>
              <w:jc w:val="both"/>
            </w:pPr>
            <w:r>
              <w:rPr>
                <w:rFonts w:hint="eastAsia"/>
              </w:rPr>
              <w:t>依托钻井工程井口区域及周边区域，场地地面已分区防渗处理。</w:t>
            </w:r>
          </w:p>
        </w:tc>
        <w:tc>
          <w:tcPr>
            <w:tcW w:w="649" w:type="dxa"/>
            <w:vAlign w:val="center"/>
          </w:tcPr>
          <w:p w14:paraId="777E422E">
            <w:pPr>
              <w:pStyle w:val="1429"/>
            </w:pPr>
            <w:r>
              <w:rPr>
                <w:rFonts w:hint="eastAsia"/>
              </w:rPr>
              <w:t>/</w:t>
            </w:r>
          </w:p>
        </w:tc>
        <w:tc>
          <w:tcPr>
            <w:tcW w:w="905" w:type="dxa"/>
            <w:gridSpan w:val="3"/>
            <w:vAlign w:val="center"/>
          </w:tcPr>
          <w:p w14:paraId="41BDE103">
            <w:pPr>
              <w:pStyle w:val="1429"/>
            </w:pPr>
            <w:r>
              <w:rPr>
                <w:rFonts w:hint="eastAsia"/>
              </w:rPr>
              <w:t>/</w:t>
            </w:r>
          </w:p>
        </w:tc>
      </w:tr>
      <w:tr w14:paraId="76195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56" w:type="dxa"/>
            <w:vMerge w:val="continue"/>
            <w:vAlign w:val="center"/>
          </w:tcPr>
          <w:p w14:paraId="13C7C96A">
            <w:pPr>
              <w:pStyle w:val="1429"/>
            </w:pPr>
          </w:p>
        </w:tc>
        <w:tc>
          <w:tcPr>
            <w:tcW w:w="1286" w:type="dxa"/>
            <w:gridSpan w:val="2"/>
            <w:vAlign w:val="center"/>
          </w:tcPr>
          <w:p w14:paraId="728695BC">
            <w:pPr>
              <w:pStyle w:val="1429"/>
            </w:pPr>
            <w:r>
              <w:rPr>
                <w:rFonts w:hint="eastAsia"/>
              </w:rPr>
              <w:t>采气树</w:t>
            </w:r>
          </w:p>
        </w:tc>
        <w:tc>
          <w:tcPr>
            <w:tcW w:w="5324" w:type="dxa"/>
            <w:vAlign w:val="center"/>
          </w:tcPr>
          <w:p w14:paraId="302B5046">
            <w:pPr>
              <w:rPr>
                <w:sz w:val="22"/>
                <w:szCs w:val="22"/>
              </w:rPr>
            </w:pPr>
            <w:r>
              <w:rPr>
                <w:rFonts w:hint="eastAsia"/>
                <w:sz w:val="22"/>
                <w:szCs w:val="22"/>
              </w:rPr>
              <w:t>依托井口采气树，钻井工程已完成压裂试气，</w:t>
            </w:r>
            <w:r>
              <w:rPr>
                <w:sz w:val="22"/>
                <w:szCs w:val="22"/>
              </w:rPr>
              <w:t>采气树已安装完成</w:t>
            </w:r>
            <w:r>
              <w:rPr>
                <w:rFonts w:hint="eastAsia"/>
                <w:sz w:val="22"/>
                <w:szCs w:val="22"/>
              </w:rPr>
              <w:t>。</w:t>
            </w:r>
          </w:p>
        </w:tc>
        <w:tc>
          <w:tcPr>
            <w:tcW w:w="649" w:type="dxa"/>
            <w:vAlign w:val="center"/>
          </w:tcPr>
          <w:p w14:paraId="08B35464">
            <w:pPr>
              <w:pStyle w:val="1429"/>
            </w:pPr>
            <w:r>
              <w:rPr>
                <w:rFonts w:hint="eastAsia"/>
              </w:rPr>
              <w:t>/</w:t>
            </w:r>
          </w:p>
        </w:tc>
        <w:tc>
          <w:tcPr>
            <w:tcW w:w="905" w:type="dxa"/>
            <w:gridSpan w:val="3"/>
            <w:vAlign w:val="center"/>
          </w:tcPr>
          <w:p w14:paraId="62B93454">
            <w:pPr>
              <w:pStyle w:val="1429"/>
            </w:pPr>
            <w:r>
              <w:rPr>
                <w:rFonts w:hint="eastAsia"/>
              </w:rPr>
              <w:t>/</w:t>
            </w:r>
          </w:p>
        </w:tc>
      </w:tr>
      <w:tr w14:paraId="0C8BB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56" w:type="dxa"/>
            <w:vMerge w:val="continue"/>
            <w:vAlign w:val="center"/>
          </w:tcPr>
          <w:p w14:paraId="451C34DA">
            <w:pPr>
              <w:pStyle w:val="1429"/>
            </w:pPr>
          </w:p>
        </w:tc>
        <w:tc>
          <w:tcPr>
            <w:tcW w:w="1286" w:type="dxa"/>
            <w:gridSpan w:val="2"/>
            <w:vAlign w:val="center"/>
          </w:tcPr>
          <w:p w14:paraId="6624600A">
            <w:pPr>
              <w:pStyle w:val="1429"/>
            </w:pPr>
            <w:r>
              <w:rPr>
                <w:rFonts w:hint="eastAsia"/>
              </w:rPr>
              <w:t>进场道路</w:t>
            </w:r>
          </w:p>
        </w:tc>
        <w:tc>
          <w:tcPr>
            <w:tcW w:w="5324" w:type="dxa"/>
            <w:vAlign w:val="center"/>
          </w:tcPr>
          <w:p w14:paraId="1C855F77">
            <w:pPr>
              <w:rPr>
                <w:sz w:val="22"/>
                <w:szCs w:val="22"/>
              </w:rPr>
            </w:pPr>
            <w:r>
              <w:rPr>
                <w:rFonts w:hint="eastAsia"/>
                <w:sz w:val="22"/>
                <w:szCs w:val="22"/>
              </w:rPr>
              <w:t>依托原钻井工程修建的井场道路，道路采用水泥铺设（长度约</w:t>
            </w:r>
            <w:r>
              <w:rPr>
                <w:sz w:val="22"/>
                <w:szCs w:val="22"/>
              </w:rPr>
              <w:t>65</w:t>
            </w:r>
            <w:r>
              <w:rPr>
                <w:rFonts w:hint="eastAsia"/>
                <w:sz w:val="22"/>
                <w:szCs w:val="22"/>
              </w:rPr>
              <w:t>m）。</w:t>
            </w:r>
          </w:p>
        </w:tc>
        <w:tc>
          <w:tcPr>
            <w:tcW w:w="649" w:type="dxa"/>
            <w:vAlign w:val="center"/>
          </w:tcPr>
          <w:p w14:paraId="43AC0710">
            <w:pPr>
              <w:pStyle w:val="1429"/>
            </w:pPr>
            <w:r>
              <w:rPr>
                <w:rFonts w:hint="eastAsia"/>
              </w:rPr>
              <w:t>/</w:t>
            </w:r>
          </w:p>
        </w:tc>
        <w:tc>
          <w:tcPr>
            <w:tcW w:w="905" w:type="dxa"/>
            <w:gridSpan w:val="3"/>
            <w:vAlign w:val="center"/>
          </w:tcPr>
          <w:p w14:paraId="3997B872">
            <w:pPr>
              <w:pStyle w:val="1429"/>
            </w:pPr>
            <w:r>
              <w:rPr>
                <w:rFonts w:hint="eastAsia"/>
              </w:rPr>
              <w:t>/</w:t>
            </w:r>
          </w:p>
        </w:tc>
      </w:tr>
    </w:tbl>
    <w:p w14:paraId="67627190">
      <w:pPr>
        <w:pStyle w:val="1379"/>
        <w:ind w:firstLine="440"/>
      </w:pPr>
    </w:p>
    <w:p w14:paraId="46AB8797">
      <w:pPr>
        <w:pStyle w:val="1068"/>
      </w:pPr>
      <w:r>
        <w:t xml:space="preserve">2.3.2 </w:t>
      </w:r>
      <w:r>
        <w:rPr>
          <w:rFonts w:hint="eastAsia"/>
        </w:rPr>
        <w:t>产品方案</w:t>
      </w:r>
    </w:p>
    <w:p w14:paraId="4AA4639A">
      <w:pPr>
        <w:pStyle w:val="702"/>
        <w:ind w:firstLine="520"/>
        <w:rPr>
          <w:rFonts w:cs="Times New Roman"/>
        </w:rPr>
      </w:pPr>
      <w:r>
        <w:rPr>
          <w:rFonts w:hint="eastAsia" w:cs="Times New Roman"/>
        </w:rPr>
        <w:t>（1）天然气</w:t>
      </w:r>
    </w:p>
    <w:p w14:paraId="141F22A3">
      <w:pPr>
        <w:pStyle w:val="702"/>
        <w:ind w:firstLine="520"/>
        <w:rPr>
          <w:rFonts w:cs="Times New Roman"/>
        </w:rPr>
      </w:pPr>
      <w:r>
        <w:rPr>
          <w:rFonts w:hint="eastAsia"/>
          <w:szCs w:val="26"/>
        </w:rPr>
        <w:t>本项目产品为成品天然气，产品质量标准达到《天然气》（</w:t>
      </w:r>
      <w:r>
        <w:rPr>
          <w:szCs w:val="26"/>
        </w:rPr>
        <w:t>GB17820-2018</w:t>
      </w:r>
      <w:r>
        <w:rPr>
          <w:rFonts w:hint="eastAsia"/>
          <w:szCs w:val="26"/>
        </w:rPr>
        <w:t>）表</w:t>
      </w:r>
      <w:r>
        <w:rPr>
          <w:szCs w:val="26"/>
        </w:rPr>
        <w:t>1</w:t>
      </w:r>
      <w:r>
        <w:rPr>
          <w:rFonts w:hint="eastAsia"/>
          <w:szCs w:val="26"/>
        </w:rPr>
        <w:t>天然气质量要求中一类指标。</w:t>
      </w:r>
    </w:p>
    <w:p w14:paraId="2DE96F95">
      <w:pPr>
        <w:pStyle w:val="702"/>
        <w:ind w:firstLine="520"/>
        <w:rPr>
          <w:rFonts w:cs="Times New Roman"/>
        </w:rPr>
      </w:pPr>
      <w:r>
        <w:rPr>
          <w:rFonts w:hint="eastAsia" w:cs="Times New Roman"/>
        </w:rPr>
        <w:t>（2）C</w:t>
      </w:r>
      <w:r>
        <w:rPr>
          <w:rFonts w:cs="Times New Roman"/>
        </w:rPr>
        <w:t>NG</w:t>
      </w:r>
    </w:p>
    <w:p w14:paraId="5701D60F">
      <w:pPr>
        <w:adjustRightInd w:val="0"/>
        <w:snapToGrid w:val="0"/>
        <w:spacing w:line="460" w:lineRule="exact"/>
        <w:ind w:firstLine="520" w:firstLineChars="200"/>
        <w:rPr>
          <w:sz w:val="26"/>
          <w:szCs w:val="26"/>
        </w:rPr>
      </w:pPr>
      <w:r>
        <w:rPr>
          <w:rFonts w:hint="eastAsia"/>
          <w:sz w:val="26"/>
          <w:szCs w:val="26"/>
        </w:rPr>
        <w:t>本项目不设置固定</w:t>
      </w:r>
      <w:r>
        <w:rPr>
          <w:sz w:val="26"/>
          <w:szCs w:val="26"/>
        </w:rPr>
        <w:t>CNG</w:t>
      </w:r>
      <w:r>
        <w:rPr>
          <w:rFonts w:hint="eastAsia"/>
          <w:sz w:val="26"/>
          <w:szCs w:val="26"/>
        </w:rPr>
        <w:t>储罐，产品</w:t>
      </w:r>
      <w:r>
        <w:rPr>
          <w:sz w:val="26"/>
          <w:szCs w:val="26"/>
        </w:rPr>
        <w:t>CNG</w:t>
      </w:r>
      <w:r>
        <w:rPr>
          <w:rFonts w:hint="eastAsia"/>
          <w:sz w:val="26"/>
          <w:szCs w:val="26"/>
        </w:rPr>
        <w:t>不在站内储存，直接通过加气柱充装至</w:t>
      </w:r>
      <w:r>
        <w:rPr>
          <w:sz w:val="26"/>
          <w:szCs w:val="26"/>
        </w:rPr>
        <w:t>CNG</w:t>
      </w:r>
      <w:r>
        <w:rPr>
          <w:rFonts w:hint="eastAsia"/>
          <w:sz w:val="26"/>
          <w:szCs w:val="26"/>
        </w:rPr>
        <w:t>管束车外运，根据建设单位提供资料，一辆CNG管束车最大装载辆约为4000~5000Nm</w:t>
      </w:r>
      <w:r>
        <w:rPr>
          <w:rFonts w:hint="eastAsia"/>
          <w:sz w:val="26"/>
          <w:szCs w:val="26"/>
          <w:vertAlign w:val="superscript"/>
        </w:rPr>
        <w:t>3</w:t>
      </w:r>
      <w:r>
        <w:rPr>
          <w:rFonts w:hint="eastAsia"/>
          <w:sz w:val="26"/>
          <w:szCs w:val="26"/>
        </w:rPr>
        <w:t>/车。</w:t>
      </w:r>
      <w:r>
        <w:rPr>
          <w:sz w:val="26"/>
          <w:szCs w:val="26"/>
        </w:rPr>
        <w:t>CNG</w:t>
      </w:r>
      <w:r>
        <w:rPr>
          <w:rFonts w:hint="eastAsia"/>
          <w:sz w:val="26"/>
          <w:szCs w:val="26"/>
        </w:rPr>
        <w:t>由专业危化品运输公司使用专用危化品运输车运输。</w:t>
      </w:r>
    </w:p>
    <w:p w14:paraId="7C7DEEF6">
      <w:pPr>
        <w:pStyle w:val="1379"/>
        <w:ind w:firstLine="440"/>
      </w:pPr>
    </w:p>
    <w:p w14:paraId="06455AB1">
      <w:pPr>
        <w:adjustRightInd w:val="0"/>
        <w:snapToGrid w:val="0"/>
        <w:jc w:val="center"/>
        <w:rPr>
          <w:sz w:val="26"/>
          <w:szCs w:val="26"/>
        </w:rPr>
      </w:pPr>
      <w:r>
        <w:rPr>
          <w:rFonts w:hint="eastAsia"/>
          <w:sz w:val="26"/>
          <w:szCs w:val="26"/>
        </w:rPr>
        <w:t>表2.3-</w:t>
      </w:r>
      <w:r>
        <w:rPr>
          <w:sz w:val="26"/>
          <w:szCs w:val="26"/>
        </w:rPr>
        <w:t>2</w:t>
      </w:r>
      <w:r>
        <w:rPr>
          <w:rFonts w:hint="eastAsia"/>
          <w:sz w:val="26"/>
          <w:szCs w:val="26"/>
        </w:rPr>
        <w:t xml:space="preserve">  CNG装车周转情况表</w:t>
      </w:r>
    </w:p>
    <w:tbl>
      <w:tblPr>
        <w:tblStyle w:val="89"/>
        <w:tblW w:w="48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4"/>
        <w:gridCol w:w="1270"/>
        <w:gridCol w:w="1216"/>
        <w:gridCol w:w="1248"/>
        <w:gridCol w:w="1256"/>
        <w:gridCol w:w="1043"/>
        <w:gridCol w:w="1411"/>
      </w:tblGrid>
      <w:tr w14:paraId="3A822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3" w:type="dxa"/>
            <w:vAlign w:val="center"/>
          </w:tcPr>
          <w:p w14:paraId="2DB4ED94">
            <w:pPr>
              <w:adjustRightInd w:val="0"/>
              <w:snapToGrid w:val="0"/>
              <w:jc w:val="center"/>
              <w:rPr>
                <w:sz w:val="22"/>
                <w:szCs w:val="22"/>
              </w:rPr>
            </w:pPr>
            <w:r>
              <w:rPr>
                <w:rFonts w:hint="eastAsia"/>
                <w:sz w:val="22"/>
                <w:szCs w:val="22"/>
              </w:rPr>
              <w:t>装车介质</w:t>
            </w:r>
          </w:p>
        </w:tc>
        <w:tc>
          <w:tcPr>
            <w:tcW w:w="1238" w:type="dxa"/>
            <w:vAlign w:val="center"/>
          </w:tcPr>
          <w:p w14:paraId="110AFFDD">
            <w:pPr>
              <w:adjustRightInd w:val="0"/>
              <w:snapToGrid w:val="0"/>
              <w:jc w:val="center"/>
              <w:rPr>
                <w:sz w:val="22"/>
                <w:szCs w:val="22"/>
              </w:rPr>
            </w:pPr>
            <w:r>
              <w:rPr>
                <w:rFonts w:hint="eastAsia"/>
                <w:sz w:val="22"/>
                <w:szCs w:val="22"/>
              </w:rPr>
              <w:t>日装车量</w:t>
            </w:r>
          </w:p>
        </w:tc>
        <w:tc>
          <w:tcPr>
            <w:tcW w:w="1185" w:type="dxa"/>
            <w:vAlign w:val="center"/>
          </w:tcPr>
          <w:p w14:paraId="6E06847E">
            <w:pPr>
              <w:adjustRightInd w:val="0"/>
              <w:snapToGrid w:val="0"/>
              <w:jc w:val="center"/>
              <w:rPr>
                <w:sz w:val="22"/>
                <w:szCs w:val="22"/>
              </w:rPr>
            </w:pPr>
            <w:r>
              <w:rPr>
                <w:rFonts w:hint="eastAsia"/>
                <w:sz w:val="22"/>
                <w:szCs w:val="22"/>
              </w:rPr>
              <w:t>日装车辆</w:t>
            </w:r>
          </w:p>
        </w:tc>
        <w:tc>
          <w:tcPr>
            <w:tcW w:w="1216" w:type="dxa"/>
            <w:vAlign w:val="center"/>
          </w:tcPr>
          <w:p w14:paraId="0B15D35B">
            <w:pPr>
              <w:adjustRightInd w:val="0"/>
              <w:snapToGrid w:val="0"/>
              <w:jc w:val="center"/>
              <w:rPr>
                <w:sz w:val="22"/>
                <w:szCs w:val="22"/>
              </w:rPr>
            </w:pPr>
            <w:r>
              <w:rPr>
                <w:rFonts w:hint="eastAsia"/>
                <w:sz w:val="22"/>
                <w:szCs w:val="22"/>
              </w:rPr>
              <w:t>净装车时间</w:t>
            </w:r>
          </w:p>
        </w:tc>
        <w:tc>
          <w:tcPr>
            <w:tcW w:w="1224" w:type="dxa"/>
            <w:vAlign w:val="center"/>
          </w:tcPr>
          <w:p w14:paraId="5F5A0E04">
            <w:pPr>
              <w:adjustRightInd w:val="0"/>
              <w:snapToGrid w:val="0"/>
              <w:jc w:val="center"/>
              <w:rPr>
                <w:sz w:val="22"/>
                <w:szCs w:val="22"/>
              </w:rPr>
            </w:pPr>
            <w:r>
              <w:rPr>
                <w:rFonts w:hint="eastAsia"/>
                <w:sz w:val="22"/>
                <w:szCs w:val="22"/>
              </w:rPr>
              <w:t>总装车时间</w:t>
            </w:r>
          </w:p>
        </w:tc>
        <w:tc>
          <w:tcPr>
            <w:tcW w:w="1017" w:type="dxa"/>
            <w:vAlign w:val="center"/>
          </w:tcPr>
          <w:p w14:paraId="1CD8A5FE">
            <w:pPr>
              <w:adjustRightInd w:val="0"/>
              <w:snapToGrid w:val="0"/>
              <w:jc w:val="center"/>
              <w:rPr>
                <w:sz w:val="22"/>
                <w:szCs w:val="22"/>
              </w:rPr>
            </w:pPr>
            <w:r>
              <w:rPr>
                <w:rFonts w:hint="eastAsia"/>
                <w:sz w:val="22"/>
                <w:szCs w:val="22"/>
              </w:rPr>
              <w:t>加气柱</w:t>
            </w:r>
          </w:p>
        </w:tc>
        <w:tc>
          <w:tcPr>
            <w:tcW w:w="1375" w:type="dxa"/>
            <w:vAlign w:val="center"/>
          </w:tcPr>
          <w:p w14:paraId="3E64C263">
            <w:pPr>
              <w:adjustRightInd w:val="0"/>
              <w:snapToGrid w:val="0"/>
              <w:jc w:val="center"/>
              <w:rPr>
                <w:sz w:val="22"/>
                <w:szCs w:val="22"/>
              </w:rPr>
            </w:pPr>
            <w:r>
              <w:rPr>
                <w:rFonts w:hint="eastAsia"/>
                <w:sz w:val="22"/>
                <w:szCs w:val="22"/>
              </w:rPr>
              <w:t>单套加气柱工作时间</w:t>
            </w:r>
          </w:p>
        </w:tc>
      </w:tr>
      <w:tr w14:paraId="0325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3" w:type="dxa"/>
            <w:vAlign w:val="center"/>
          </w:tcPr>
          <w:p w14:paraId="2DA77FBA">
            <w:pPr>
              <w:adjustRightInd w:val="0"/>
              <w:snapToGrid w:val="0"/>
              <w:jc w:val="center"/>
              <w:rPr>
                <w:sz w:val="22"/>
                <w:szCs w:val="22"/>
              </w:rPr>
            </w:pPr>
            <w:r>
              <w:rPr>
                <w:rFonts w:hint="eastAsia"/>
                <w:sz w:val="22"/>
                <w:szCs w:val="22"/>
              </w:rPr>
              <w:t>CNG</w:t>
            </w:r>
          </w:p>
        </w:tc>
        <w:tc>
          <w:tcPr>
            <w:tcW w:w="1238" w:type="dxa"/>
            <w:vAlign w:val="center"/>
          </w:tcPr>
          <w:p w14:paraId="0DDBC842">
            <w:pPr>
              <w:adjustRightInd w:val="0"/>
              <w:snapToGrid w:val="0"/>
              <w:jc w:val="center"/>
              <w:rPr>
                <w:sz w:val="22"/>
                <w:szCs w:val="22"/>
              </w:rPr>
            </w:pPr>
            <w:r>
              <w:rPr>
                <w:sz w:val="22"/>
                <w:szCs w:val="22"/>
              </w:rPr>
              <w:t>2×10</w:t>
            </w:r>
            <w:r>
              <w:rPr>
                <w:sz w:val="22"/>
                <w:szCs w:val="22"/>
                <w:vertAlign w:val="superscript"/>
              </w:rPr>
              <w:t>4</w:t>
            </w:r>
            <w:r>
              <w:rPr>
                <w:sz w:val="22"/>
                <w:szCs w:val="22"/>
              </w:rPr>
              <w:t>m</w:t>
            </w:r>
            <w:r>
              <w:rPr>
                <w:sz w:val="22"/>
                <w:szCs w:val="22"/>
                <w:vertAlign w:val="superscript"/>
              </w:rPr>
              <w:t>3</w:t>
            </w:r>
            <w:r>
              <w:rPr>
                <w:sz w:val="22"/>
                <w:szCs w:val="22"/>
              </w:rPr>
              <w:t>/d</w:t>
            </w:r>
          </w:p>
        </w:tc>
        <w:tc>
          <w:tcPr>
            <w:tcW w:w="1185" w:type="dxa"/>
            <w:vAlign w:val="center"/>
          </w:tcPr>
          <w:p w14:paraId="439E3C9B">
            <w:pPr>
              <w:adjustRightInd w:val="0"/>
              <w:snapToGrid w:val="0"/>
              <w:jc w:val="center"/>
              <w:rPr>
                <w:sz w:val="22"/>
                <w:szCs w:val="22"/>
              </w:rPr>
            </w:pPr>
            <w:r>
              <w:rPr>
                <w:sz w:val="22"/>
                <w:szCs w:val="22"/>
              </w:rPr>
              <w:t>5</w:t>
            </w:r>
            <w:r>
              <w:rPr>
                <w:rFonts w:hint="eastAsia"/>
                <w:sz w:val="22"/>
                <w:szCs w:val="22"/>
              </w:rPr>
              <w:t>辆/d</w:t>
            </w:r>
          </w:p>
        </w:tc>
        <w:tc>
          <w:tcPr>
            <w:tcW w:w="1216" w:type="dxa"/>
            <w:vAlign w:val="center"/>
          </w:tcPr>
          <w:p w14:paraId="2887DBBB">
            <w:pPr>
              <w:adjustRightInd w:val="0"/>
              <w:snapToGrid w:val="0"/>
              <w:jc w:val="center"/>
              <w:rPr>
                <w:sz w:val="22"/>
                <w:szCs w:val="22"/>
              </w:rPr>
            </w:pPr>
            <w:r>
              <w:rPr>
                <w:rFonts w:hint="eastAsia"/>
                <w:sz w:val="22"/>
                <w:szCs w:val="22"/>
              </w:rPr>
              <w:t>70min/辆</w:t>
            </w:r>
          </w:p>
        </w:tc>
        <w:tc>
          <w:tcPr>
            <w:tcW w:w="1224" w:type="dxa"/>
            <w:vAlign w:val="center"/>
          </w:tcPr>
          <w:p w14:paraId="7F054B1A">
            <w:pPr>
              <w:adjustRightInd w:val="0"/>
              <w:snapToGrid w:val="0"/>
              <w:jc w:val="center"/>
              <w:rPr>
                <w:sz w:val="22"/>
                <w:szCs w:val="22"/>
              </w:rPr>
            </w:pPr>
            <w:r>
              <w:rPr>
                <w:rFonts w:hint="eastAsia"/>
                <w:sz w:val="22"/>
                <w:szCs w:val="22"/>
              </w:rPr>
              <w:t>120min/辆</w:t>
            </w:r>
          </w:p>
        </w:tc>
        <w:tc>
          <w:tcPr>
            <w:tcW w:w="1017" w:type="dxa"/>
            <w:vAlign w:val="center"/>
          </w:tcPr>
          <w:p w14:paraId="091F312A">
            <w:pPr>
              <w:adjustRightInd w:val="0"/>
              <w:snapToGrid w:val="0"/>
              <w:jc w:val="center"/>
              <w:rPr>
                <w:sz w:val="22"/>
                <w:szCs w:val="22"/>
              </w:rPr>
            </w:pPr>
            <w:r>
              <w:rPr>
                <w:rFonts w:hint="eastAsia"/>
                <w:sz w:val="22"/>
                <w:szCs w:val="22"/>
              </w:rPr>
              <w:t>2套</w:t>
            </w:r>
          </w:p>
        </w:tc>
        <w:tc>
          <w:tcPr>
            <w:tcW w:w="1375" w:type="dxa"/>
            <w:vAlign w:val="center"/>
          </w:tcPr>
          <w:p w14:paraId="0CADD088">
            <w:pPr>
              <w:adjustRightInd w:val="0"/>
              <w:snapToGrid w:val="0"/>
              <w:jc w:val="center"/>
              <w:rPr>
                <w:sz w:val="22"/>
                <w:szCs w:val="22"/>
              </w:rPr>
            </w:pPr>
            <w:r>
              <w:rPr>
                <w:sz w:val="22"/>
                <w:szCs w:val="22"/>
              </w:rPr>
              <w:t>6</w:t>
            </w:r>
            <w:r>
              <w:rPr>
                <w:rFonts w:hint="eastAsia"/>
                <w:sz w:val="22"/>
                <w:szCs w:val="22"/>
              </w:rPr>
              <w:t>h/d</w:t>
            </w:r>
          </w:p>
        </w:tc>
      </w:tr>
    </w:tbl>
    <w:p w14:paraId="5891C87C">
      <w:pPr>
        <w:pStyle w:val="1379"/>
        <w:ind w:firstLine="440"/>
      </w:pPr>
    </w:p>
    <w:p w14:paraId="0DF61A85">
      <w:pPr>
        <w:pStyle w:val="702"/>
        <w:ind w:firstLine="520"/>
        <w:rPr>
          <w:rFonts w:cs="Times New Roman"/>
        </w:rPr>
      </w:pPr>
      <w:r>
        <w:rPr>
          <w:rFonts w:hint="eastAsia" w:cs="Times New Roman"/>
        </w:rPr>
        <w:t>（3）凝析油副产品</w:t>
      </w:r>
    </w:p>
    <w:p w14:paraId="356428FF">
      <w:pPr>
        <w:pStyle w:val="702"/>
        <w:adjustRightInd w:val="0"/>
        <w:snapToGrid w:val="0"/>
        <w:spacing w:line="440" w:lineRule="exact"/>
        <w:ind w:firstLine="520"/>
        <w:rPr>
          <w:rFonts w:cs="Times New Roman"/>
          <w:bCs/>
          <w:szCs w:val="24"/>
        </w:rPr>
      </w:pPr>
      <w:r>
        <w:rPr>
          <w:rFonts w:hint="eastAsia" w:cs="Times New Roman"/>
        </w:rPr>
        <w:t>本项目开采目的层为***，试采过程会产生副产品凝析油，凝析油产量2口井共计为</w:t>
      </w:r>
      <w:r>
        <w:rPr>
          <w:rFonts w:cs="Times New Roman"/>
        </w:rPr>
        <w:t>12</w:t>
      </w:r>
      <w:r>
        <w:rPr>
          <w:rFonts w:hint="eastAsia" w:cs="Times New Roman"/>
        </w:rPr>
        <w:t>m</w:t>
      </w:r>
      <w:r>
        <w:rPr>
          <w:rFonts w:cs="Times New Roman"/>
          <w:vertAlign w:val="superscript"/>
        </w:rPr>
        <w:t>3</w:t>
      </w:r>
      <w:r>
        <w:rPr>
          <w:rFonts w:cs="Times New Roman"/>
        </w:rPr>
        <w:t>/d</w:t>
      </w:r>
      <w:r>
        <w:rPr>
          <w:rFonts w:hint="eastAsia" w:cs="Times New Roman"/>
        </w:rPr>
        <w:t>，暂存于凝析油储罐，由罐车定期外售彭州石化</w:t>
      </w:r>
      <w:r>
        <w:rPr>
          <w:bCs/>
          <w:szCs w:val="26"/>
        </w:rPr>
        <w:t>。</w:t>
      </w:r>
      <w:r>
        <w:rPr>
          <w:rFonts w:hint="eastAsia" w:cs="Times New Roman"/>
        </w:rPr>
        <w:t>副产品需满足</w:t>
      </w:r>
      <w:r>
        <w:rPr>
          <w:rFonts w:hint="eastAsia" w:cs="Times New Roman"/>
          <w:bCs/>
          <w:szCs w:val="24"/>
        </w:rPr>
        <w:t>《出矿原油技术条件》（SY/T 7513-1988）的要求。</w:t>
      </w:r>
    </w:p>
    <w:p w14:paraId="1218374B">
      <w:pPr>
        <w:pStyle w:val="1068"/>
      </w:pPr>
      <w:r>
        <w:rPr>
          <w:rFonts w:hint="eastAsia"/>
        </w:rPr>
        <w:t>2</w:t>
      </w:r>
      <w:r>
        <w:t xml:space="preserve">.3.3 </w:t>
      </w:r>
      <w:r>
        <w:rPr>
          <w:rFonts w:hint="eastAsia"/>
        </w:rPr>
        <w:t>流体性质</w:t>
      </w:r>
    </w:p>
    <w:p w14:paraId="40DF4EDA">
      <w:pPr>
        <w:pStyle w:val="702"/>
        <w:ind w:firstLine="520"/>
        <w:rPr>
          <w:rFonts w:cs="Times New Roman"/>
        </w:rPr>
      </w:pPr>
      <w:r>
        <w:rPr>
          <w:rFonts w:hint="eastAsia" w:cs="Times New Roman"/>
        </w:rPr>
        <w:t>（</w:t>
      </w:r>
      <w:r>
        <w:rPr>
          <w:rFonts w:cs="Times New Roman"/>
        </w:rPr>
        <w:t>1</w:t>
      </w:r>
      <w:r>
        <w:rPr>
          <w:rFonts w:hint="eastAsia" w:cs="Times New Roman"/>
        </w:rPr>
        <w:t>）天然气产品</w:t>
      </w:r>
    </w:p>
    <w:p w14:paraId="51E0E2D3">
      <w:pPr>
        <w:pStyle w:val="702"/>
        <w:ind w:firstLine="520"/>
        <w:rPr>
          <w:rFonts w:cs="Times New Roman"/>
        </w:rPr>
      </w:pPr>
      <w:r>
        <w:rPr>
          <w:rFonts w:hint="eastAsia" w:cs="Times New Roman"/>
        </w:rPr>
        <w:t>本项目巴中2</w:t>
      </w:r>
      <w:r>
        <w:rPr>
          <w:rFonts w:cs="Times New Roman"/>
        </w:rPr>
        <w:t>HF</w:t>
      </w:r>
      <w:r>
        <w:rPr>
          <w:rFonts w:hint="eastAsia" w:cs="Times New Roman"/>
        </w:rPr>
        <w:t>和巴页2</w:t>
      </w:r>
      <w:r>
        <w:rPr>
          <w:rFonts w:cs="Times New Roman"/>
        </w:rPr>
        <w:t>HF</w:t>
      </w:r>
      <w:r>
        <w:rPr>
          <w:rFonts w:hint="eastAsia" w:cs="Times New Roman"/>
        </w:rPr>
        <w:t>井目的层均为***，参考巴中地区巴中1</w:t>
      </w:r>
      <w:r>
        <w:rPr>
          <w:rFonts w:cs="Times New Roman"/>
        </w:rPr>
        <w:t>01HF</w:t>
      </w:r>
      <w:r>
        <w:rPr>
          <w:rFonts w:hint="eastAsia" w:cs="Times New Roman"/>
        </w:rPr>
        <w:t>井（距离约4</w:t>
      </w:r>
      <w:r>
        <w:rPr>
          <w:rFonts w:cs="Times New Roman"/>
        </w:rPr>
        <w:t>6</w:t>
      </w:r>
      <w:r>
        <w:rPr>
          <w:rFonts w:hint="eastAsia" w:cs="Times New Roman"/>
        </w:rPr>
        <w:t>km，目的层为***）的气质报告，天然气气质组分见下表。</w:t>
      </w:r>
    </w:p>
    <w:p w14:paraId="3B6AAC7E">
      <w:pPr>
        <w:pStyle w:val="1379"/>
        <w:ind w:firstLine="440"/>
      </w:pPr>
    </w:p>
    <w:p w14:paraId="06683093">
      <w:pPr>
        <w:pStyle w:val="1065"/>
        <w:keepNext/>
      </w:pPr>
      <w:r>
        <w:t>表2.3-3  天然气主要成分表</w:t>
      </w:r>
    </w:p>
    <w:p w14:paraId="32B5BE5E">
      <w:pPr>
        <w:pStyle w:val="1065"/>
        <w:keepNext/>
      </w:pPr>
      <w:r>
        <w:rPr>
          <w:rFonts w:hint="eastAsia"/>
        </w:rPr>
        <w:t>***</w:t>
      </w:r>
      <w:r>
        <w:rPr>
          <w:rFonts w:hint="eastAsia"/>
          <w:sz w:val="21"/>
        </w:rPr>
        <w:t>。</w:t>
      </w:r>
    </w:p>
    <w:p w14:paraId="0154DF70">
      <w:pPr>
        <w:pStyle w:val="1379"/>
        <w:ind w:firstLine="440"/>
      </w:pPr>
    </w:p>
    <w:p w14:paraId="300C8383">
      <w:pPr>
        <w:pStyle w:val="1381"/>
        <w:ind w:firstLine="520"/>
      </w:pPr>
      <w:r>
        <w:rPr>
          <w:rFonts w:hint="eastAsia"/>
        </w:rPr>
        <w:t>由上表可知，本项目天然气主要成分为甲烷，不含硫化氢。</w:t>
      </w:r>
    </w:p>
    <w:p w14:paraId="01C0281E">
      <w:pPr>
        <w:pStyle w:val="702"/>
        <w:adjustRightInd w:val="0"/>
        <w:snapToGrid w:val="0"/>
        <w:spacing w:line="440" w:lineRule="exact"/>
        <w:ind w:firstLine="520"/>
        <w:rPr>
          <w:rFonts w:cs="Times New Roman"/>
          <w:bCs/>
          <w:szCs w:val="24"/>
        </w:rPr>
      </w:pPr>
      <w:r>
        <w:rPr>
          <w:rFonts w:hint="eastAsia" w:cs="Times New Roman"/>
          <w:bCs/>
          <w:szCs w:val="24"/>
        </w:rPr>
        <w:t>（2）气田水</w:t>
      </w:r>
    </w:p>
    <w:p w14:paraId="5CAA9E37">
      <w:pPr>
        <w:adjustRightInd w:val="0"/>
        <w:snapToGrid w:val="0"/>
        <w:spacing w:line="480" w:lineRule="exact"/>
        <w:ind w:firstLine="520" w:firstLineChars="200"/>
        <w:rPr>
          <w:sz w:val="26"/>
          <w:szCs w:val="26"/>
        </w:rPr>
      </w:pPr>
      <w:r>
        <w:rPr>
          <w:rFonts w:hint="eastAsia"/>
          <w:sz w:val="26"/>
          <w:szCs w:val="26"/>
        </w:rPr>
        <w:t>本次环评参照四川洁安环境科技有限公司油气田废水处理站、四川兴澳环境技术服务有限公司油气井地下水处理站处置的进水水质监测结果和项目所在巴中地区周边相似地层气田水水质数据、环评报告，综合确定本次环评各类污染物浓度，见</w:t>
      </w:r>
      <w:r>
        <w:rPr>
          <w:rFonts w:hint="eastAsia"/>
          <w:sz w:val="26"/>
          <w:szCs w:val="26"/>
          <w:u w:val="single"/>
        </w:rPr>
        <w:t>表</w:t>
      </w:r>
      <w:r>
        <w:rPr>
          <w:sz w:val="26"/>
          <w:szCs w:val="26"/>
          <w:u w:val="single"/>
        </w:rPr>
        <w:t>2</w:t>
      </w:r>
      <w:r>
        <w:rPr>
          <w:rFonts w:hint="eastAsia"/>
          <w:sz w:val="26"/>
          <w:szCs w:val="26"/>
          <w:u w:val="single"/>
        </w:rPr>
        <w:t>.</w:t>
      </w:r>
      <w:r>
        <w:rPr>
          <w:sz w:val="26"/>
          <w:szCs w:val="26"/>
          <w:u w:val="single"/>
        </w:rPr>
        <w:t>3</w:t>
      </w:r>
      <w:r>
        <w:rPr>
          <w:rFonts w:hint="eastAsia"/>
          <w:sz w:val="26"/>
          <w:szCs w:val="26"/>
          <w:u w:val="single"/>
        </w:rPr>
        <w:t>-</w:t>
      </w:r>
      <w:r>
        <w:rPr>
          <w:sz w:val="26"/>
          <w:szCs w:val="26"/>
          <w:u w:val="single"/>
        </w:rPr>
        <w:t>4</w:t>
      </w:r>
      <w:r>
        <w:rPr>
          <w:rFonts w:hint="eastAsia"/>
          <w:sz w:val="26"/>
          <w:szCs w:val="26"/>
        </w:rPr>
        <w:t>。</w:t>
      </w:r>
    </w:p>
    <w:p w14:paraId="18847D4C">
      <w:pPr>
        <w:pStyle w:val="1379"/>
        <w:ind w:firstLine="440"/>
      </w:pPr>
    </w:p>
    <w:p w14:paraId="2DC793DE">
      <w:pPr>
        <w:keepNext/>
        <w:adjustRightInd w:val="0"/>
        <w:snapToGrid w:val="0"/>
        <w:ind w:firstLine="520" w:firstLineChars="200"/>
        <w:jc w:val="center"/>
        <w:rPr>
          <w:sz w:val="26"/>
          <w:szCs w:val="26"/>
        </w:rPr>
      </w:pPr>
      <w:r>
        <w:rPr>
          <w:rFonts w:hint="eastAsia"/>
          <w:sz w:val="26"/>
          <w:szCs w:val="26"/>
        </w:rPr>
        <w:t>表</w:t>
      </w:r>
      <w:r>
        <w:rPr>
          <w:sz w:val="26"/>
          <w:szCs w:val="26"/>
        </w:rPr>
        <w:t>2</w:t>
      </w:r>
      <w:r>
        <w:rPr>
          <w:rFonts w:hint="eastAsia"/>
          <w:sz w:val="26"/>
          <w:szCs w:val="26"/>
        </w:rPr>
        <w:t>.</w:t>
      </w:r>
      <w:r>
        <w:rPr>
          <w:sz w:val="26"/>
          <w:szCs w:val="26"/>
        </w:rPr>
        <w:t>3</w:t>
      </w:r>
      <w:r>
        <w:rPr>
          <w:rFonts w:hint="eastAsia"/>
          <w:sz w:val="26"/>
          <w:szCs w:val="26"/>
        </w:rPr>
        <w:t>-</w:t>
      </w:r>
      <w:r>
        <w:rPr>
          <w:sz w:val="26"/>
          <w:szCs w:val="26"/>
        </w:rPr>
        <w:t>4</w:t>
      </w:r>
      <w:r>
        <w:rPr>
          <w:rFonts w:hint="eastAsia"/>
          <w:sz w:val="26"/>
          <w:szCs w:val="26"/>
        </w:rPr>
        <w:t xml:space="preserve">  各环节产生污染物浓度统计表</w:t>
      </w:r>
    </w:p>
    <w:tbl>
      <w:tblPr>
        <w:tblStyle w:val="89"/>
        <w:tblW w:w="48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4"/>
        <w:gridCol w:w="2882"/>
        <w:gridCol w:w="2932"/>
      </w:tblGrid>
      <w:tr w14:paraId="385A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1" w:type="dxa"/>
            <w:vAlign w:val="center"/>
          </w:tcPr>
          <w:p w14:paraId="5C807B85">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rPr>
              <w:t>预测情景</w:t>
            </w:r>
          </w:p>
        </w:tc>
        <w:tc>
          <w:tcPr>
            <w:tcW w:w="2809" w:type="dxa"/>
            <w:vAlign w:val="center"/>
          </w:tcPr>
          <w:p w14:paraId="480F8F48">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rPr>
              <w:t>污染物种类</w:t>
            </w:r>
          </w:p>
        </w:tc>
        <w:tc>
          <w:tcPr>
            <w:tcW w:w="2858" w:type="dxa"/>
            <w:vAlign w:val="center"/>
          </w:tcPr>
          <w:p w14:paraId="17F8A190">
            <w:pPr>
              <w:adjustRightInd w:val="0"/>
              <w:snapToGrid w:val="0"/>
              <w:jc w:val="center"/>
              <w:rPr>
                <w:sz w:val="26"/>
                <w:szCs w:val="26"/>
              </w:rPr>
            </w:pPr>
            <w:r>
              <w:rPr>
                <w:rFonts w:hint="eastAsia"/>
                <w:sz w:val="26"/>
                <w:szCs w:val="26"/>
              </w:rPr>
              <w:t>污染物浓度（mg/L）</w:t>
            </w:r>
          </w:p>
        </w:tc>
      </w:tr>
      <w:tr w14:paraId="5E07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1" w:type="dxa"/>
            <w:vMerge w:val="restart"/>
            <w:vAlign w:val="center"/>
          </w:tcPr>
          <w:p w14:paraId="0F86B0AD">
            <w:pPr>
              <w:adjustRightInd w:val="0"/>
              <w:snapToGrid w:val="0"/>
              <w:jc w:val="center"/>
              <w:rPr>
                <w:sz w:val="26"/>
                <w:szCs w:val="26"/>
              </w:rPr>
            </w:pPr>
            <w:r>
              <w:rPr>
                <w:sz w:val="22"/>
                <w:szCs w:val="22"/>
              </w:rPr>
              <w:t>气田水罐</w:t>
            </w:r>
          </w:p>
        </w:tc>
        <w:tc>
          <w:tcPr>
            <w:tcW w:w="2809" w:type="dxa"/>
            <w:vAlign w:val="center"/>
          </w:tcPr>
          <w:p w14:paraId="3D34932C">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lang w:bidi="ar"/>
              </w:rPr>
              <w:t>COD</w:t>
            </w:r>
          </w:p>
        </w:tc>
        <w:tc>
          <w:tcPr>
            <w:tcW w:w="2858" w:type="dxa"/>
            <w:vAlign w:val="center"/>
          </w:tcPr>
          <w:p w14:paraId="24FECCE9">
            <w:pPr>
              <w:pStyle w:val="59"/>
              <w:adjustRightInd w:val="0"/>
              <w:snapToGrid w:val="0"/>
              <w:spacing w:before="0"/>
              <w:jc w:val="center"/>
              <w:rPr>
                <w:rFonts w:ascii="Times New Roman" w:eastAsia="宋体"/>
                <w:b w:val="0"/>
                <w:bCs w:val="0"/>
                <w:sz w:val="22"/>
                <w:szCs w:val="22"/>
              </w:rPr>
            </w:pPr>
            <w:r>
              <w:rPr>
                <w:rFonts w:ascii="Times New Roman" w:eastAsia="宋体"/>
                <w:b w:val="0"/>
                <w:bCs w:val="0"/>
                <w:kern w:val="0"/>
                <w:sz w:val="22"/>
                <w:szCs w:val="22"/>
                <w:lang w:bidi="ar"/>
              </w:rPr>
              <w:t>3000</w:t>
            </w:r>
            <w:r>
              <w:rPr>
                <w:rFonts w:hint="eastAsia" w:ascii="Times New Roman" w:eastAsia="宋体"/>
                <w:b w:val="0"/>
                <w:bCs w:val="0"/>
                <w:kern w:val="0"/>
                <w:sz w:val="22"/>
                <w:szCs w:val="22"/>
                <w:lang w:bidi="ar"/>
              </w:rPr>
              <w:t>~5000</w:t>
            </w:r>
          </w:p>
        </w:tc>
      </w:tr>
      <w:tr w14:paraId="3F6E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1" w:type="dxa"/>
            <w:vMerge w:val="continue"/>
            <w:vAlign w:val="center"/>
          </w:tcPr>
          <w:p w14:paraId="6EB1CCED">
            <w:pPr>
              <w:adjustRightInd w:val="0"/>
              <w:snapToGrid w:val="0"/>
              <w:jc w:val="center"/>
              <w:rPr>
                <w:sz w:val="26"/>
                <w:szCs w:val="26"/>
              </w:rPr>
            </w:pPr>
          </w:p>
        </w:tc>
        <w:tc>
          <w:tcPr>
            <w:tcW w:w="2809" w:type="dxa"/>
            <w:vAlign w:val="center"/>
          </w:tcPr>
          <w:p w14:paraId="360F7F7B">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rPr>
              <w:t>石油类</w:t>
            </w:r>
          </w:p>
        </w:tc>
        <w:tc>
          <w:tcPr>
            <w:tcW w:w="2858" w:type="dxa"/>
            <w:vAlign w:val="center"/>
          </w:tcPr>
          <w:p w14:paraId="0B9A745E">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rPr>
              <w:t>50</w:t>
            </w:r>
            <w:r>
              <w:rPr>
                <w:rFonts w:hint="eastAsia" w:ascii="Times New Roman" w:eastAsia="宋体"/>
                <w:b w:val="0"/>
                <w:bCs w:val="0"/>
                <w:sz w:val="22"/>
                <w:szCs w:val="22"/>
              </w:rPr>
              <w:t>~70</w:t>
            </w:r>
          </w:p>
        </w:tc>
      </w:tr>
      <w:tr w14:paraId="7C7E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1" w:type="dxa"/>
            <w:vMerge w:val="continue"/>
            <w:vAlign w:val="center"/>
          </w:tcPr>
          <w:p w14:paraId="1EE3B62F">
            <w:pPr>
              <w:adjustRightInd w:val="0"/>
              <w:snapToGrid w:val="0"/>
              <w:jc w:val="center"/>
              <w:rPr>
                <w:sz w:val="26"/>
                <w:szCs w:val="26"/>
              </w:rPr>
            </w:pPr>
          </w:p>
        </w:tc>
        <w:tc>
          <w:tcPr>
            <w:tcW w:w="2809" w:type="dxa"/>
            <w:vAlign w:val="center"/>
          </w:tcPr>
          <w:p w14:paraId="20D0FD25">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lang w:bidi="ar"/>
              </w:rPr>
              <w:t>氯化物</w:t>
            </w:r>
          </w:p>
        </w:tc>
        <w:tc>
          <w:tcPr>
            <w:tcW w:w="2858" w:type="dxa"/>
            <w:vAlign w:val="center"/>
          </w:tcPr>
          <w:p w14:paraId="0C8C46A4">
            <w:pPr>
              <w:pStyle w:val="59"/>
              <w:adjustRightInd w:val="0"/>
              <w:snapToGrid w:val="0"/>
              <w:spacing w:before="0"/>
              <w:jc w:val="center"/>
              <w:rPr>
                <w:rFonts w:ascii="Times New Roman" w:eastAsia="宋体"/>
                <w:b w:val="0"/>
                <w:bCs w:val="0"/>
                <w:sz w:val="22"/>
                <w:szCs w:val="22"/>
              </w:rPr>
            </w:pPr>
            <w:r>
              <w:rPr>
                <w:rFonts w:ascii="Times New Roman" w:eastAsia="宋体"/>
                <w:b w:val="0"/>
                <w:bCs w:val="0"/>
                <w:kern w:val="0"/>
                <w:sz w:val="22"/>
                <w:szCs w:val="22"/>
                <w:lang w:bidi="ar"/>
              </w:rPr>
              <w:t>6000</w:t>
            </w:r>
            <w:r>
              <w:rPr>
                <w:rFonts w:hint="eastAsia" w:ascii="Times New Roman" w:eastAsia="宋体"/>
                <w:b w:val="0"/>
                <w:bCs w:val="0"/>
                <w:kern w:val="0"/>
                <w:sz w:val="22"/>
                <w:szCs w:val="22"/>
                <w:lang w:bidi="ar"/>
              </w:rPr>
              <w:t>~10000</w:t>
            </w:r>
          </w:p>
        </w:tc>
      </w:tr>
      <w:tr w14:paraId="1735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1" w:type="dxa"/>
            <w:vMerge w:val="continue"/>
            <w:vAlign w:val="center"/>
          </w:tcPr>
          <w:p w14:paraId="2572FA8F">
            <w:pPr>
              <w:adjustRightInd w:val="0"/>
              <w:snapToGrid w:val="0"/>
              <w:jc w:val="center"/>
              <w:rPr>
                <w:sz w:val="26"/>
                <w:szCs w:val="26"/>
              </w:rPr>
            </w:pPr>
          </w:p>
        </w:tc>
        <w:tc>
          <w:tcPr>
            <w:tcW w:w="2809" w:type="dxa"/>
            <w:vAlign w:val="center"/>
          </w:tcPr>
          <w:p w14:paraId="47030E66">
            <w:pPr>
              <w:pStyle w:val="59"/>
              <w:adjustRightInd w:val="0"/>
              <w:snapToGrid w:val="0"/>
              <w:spacing w:before="0"/>
              <w:jc w:val="center"/>
              <w:rPr>
                <w:rFonts w:ascii="Times New Roman" w:eastAsia="宋体"/>
                <w:b w:val="0"/>
                <w:bCs w:val="0"/>
                <w:sz w:val="22"/>
                <w:szCs w:val="22"/>
                <w:lang w:bidi="ar"/>
              </w:rPr>
            </w:pPr>
            <w:r>
              <w:rPr>
                <w:rFonts w:ascii="Times New Roman" w:eastAsia="宋体"/>
                <w:b w:val="0"/>
                <w:bCs w:val="0"/>
                <w:sz w:val="22"/>
                <w:szCs w:val="22"/>
              </w:rPr>
              <w:t>钡离子</w:t>
            </w:r>
          </w:p>
        </w:tc>
        <w:tc>
          <w:tcPr>
            <w:tcW w:w="2858" w:type="dxa"/>
            <w:vAlign w:val="center"/>
          </w:tcPr>
          <w:p w14:paraId="5B4C3FB6">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rPr>
              <w:t>90</w:t>
            </w:r>
            <w:r>
              <w:rPr>
                <w:rFonts w:hint="eastAsia" w:ascii="Times New Roman" w:eastAsia="宋体"/>
                <w:b w:val="0"/>
                <w:bCs w:val="0"/>
                <w:sz w:val="22"/>
                <w:szCs w:val="22"/>
              </w:rPr>
              <w:t>~110</w:t>
            </w:r>
          </w:p>
        </w:tc>
      </w:tr>
    </w:tbl>
    <w:p w14:paraId="31B0F877">
      <w:pPr>
        <w:pStyle w:val="1379"/>
        <w:ind w:firstLine="440"/>
      </w:pPr>
    </w:p>
    <w:p w14:paraId="38B787AA">
      <w:pPr>
        <w:pStyle w:val="1059"/>
      </w:pPr>
      <w:bookmarkStart w:id="139" w:name="_Toc219907633"/>
      <w:r>
        <w:rPr>
          <w:rFonts w:hint="eastAsia"/>
        </w:rPr>
        <w:t>2</w:t>
      </w:r>
      <w:r>
        <w:t xml:space="preserve">.4 </w:t>
      </w:r>
      <w:r>
        <w:rPr>
          <w:rFonts w:hint="eastAsia"/>
        </w:rPr>
        <w:t>试采站场</w:t>
      </w:r>
      <w:bookmarkEnd w:id="139"/>
    </w:p>
    <w:p w14:paraId="73DC5F1E">
      <w:pPr>
        <w:pStyle w:val="1068"/>
      </w:pPr>
      <w:r>
        <w:rPr>
          <w:rFonts w:hint="eastAsia"/>
        </w:rPr>
        <w:t>2</w:t>
      </w:r>
      <w:r>
        <w:t xml:space="preserve">.4.1 </w:t>
      </w:r>
      <w:r>
        <w:rPr>
          <w:rFonts w:hint="eastAsia"/>
        </w:rPr>
        <w:t>工程概况</w:t>
      </w:r>
    </w:p>
    <w:p w14:paraId="683A0459">
      <w:pPr>
        <w:pStyle w:val="702"/>
        <w:ind w:firstLine="520"/>
      </w:pPr>
      <w:r>
        <w:rPr>
          <w:rFonts w:hint="eastAsia"/>
        </w:rPr>
        <w:t>本项目新建巴中2HF试采站，对巴中2HF井和巴页2</w:t>
      </w:r>
      <w:r>
        <w:t>HF</w:t>
      </w:r>
      <w:r>
        <w:rPr>
          <w:rFonts w:hint="eastAsia"/>
        </w:rPr>
        <w:t>井进行试采，</w:t>
      </w:r>
      <w:r>
        <w:rPr>
          <w:rFonts w:hint="eastAsia"/>
          <w:szCs w:val="26"/>
        </w:rPr>
        <w:t>站内天然气经加热节流、三相分离、聚结过滤、计量、</w:t>
      </w:r>
      <w:r>
        <w:rPr>
          <w:rFonts w:hint="eastAsia"/>
        </w:rPr>
        <w:t>脱水、增压后采用CNG方式外售</w:t>
      </w:r>
      <w:r>
        <w:rPr>
          <w:rFonts w:hint="eastAsia"/>
          <w:szCs w:val="26"/>
        </w:rPr>
        <w:t>，站场混烃采用加热微正压闪蒸的工艺，稳定后的凝析油作为副产品通过罐车拉运外销</w:t>
      </w:r>
      <w:r>
        <w:rPr>
          <w:rFonts w:hint="eastAsia"/>
        </w:rPr>
        <w:t>。</w:t>
      </w:r>
    </w:p>
    <w:p w14:paraId="14C5AD51">
      <w:pPr>
        <w:pStyle w:val="1068"/>
      </w:pPr>
      <w:r>
        <w:rPr>
          <w:rFonts w:hint="eastAsia"/>
        </w:rPr>
        <w:t>2</w:t>
      </w:r>
      <w:r>
        <w:t xml:space="preserve">.4.2 </w:t>
      </w:r>
      <w:r>
        <w:rPr>
          <w:rFonts w:hint="eastAsia"/>
        </w:rPr>
        <w:t>设计压力</w:t>
      </w:r>
    </w:p>
    <w:p w14:paraId="7E96ADE0">
      <w:pPr>
        <w:pStyle w:val="1381"/>
        <w:ind w:firstLine="520"/>
      </w:pPr>
      <w:bookmarkStart w:id="140" w:name="_Toc385354282"/>
      <w:bookmarkStart w:id="141" w:name="_Toc379897497"/>
      <w:bookmarkStart w:id="142" w:name="_Toc386470393"/>
      <w:bookmarkStart w:id="143" w:name="_Toc380140068"/>
      <w:bookmarkStart w:id="144" w:name="_Toc385354638"/>
      <w:r>
        <w:t>巴中2HF</w:t>
      </w:r>
      <w:r>
        <w:rPr>
          <w:rFonts w:hint="eastAsia"/>
        </w:rPr>
        <w:t>试采站</w:t>
      </w:r>
      <w:r>
        <w:t>设计压力见</w:t>
      </w:r>
      <w:r>
        <w:rPr>
          <w:u w:val="single"/>
        </w:rPr>
        <w:t>表2.4-1</w:t>
      </w:r>
      <w:r>
        <w:t>。</w:t>
      </w:r>
      <w:bookmarkEnd w:id="140"/>
      <w:bookmarkEnd w:id="141"/>
      <w:bookmarkEnd w:id="142"/>
      <w:bookmarkEnd w:id="143"/>
      <w:bookmarkEnd w:id="144"/>
    </w:p>
    <w:p w14:paraId="75996614">
      <w:pPr>
        <w:pStyle w:val="1379"/>
        <w:ind w:firstLine="440"/>
      </w:pPr>
      <w:bookmarkStart w:id="145" w:name="_Toc192929709"/>
      <w:bookmarkStart w:id="146" w:name="_Toc232306897"/>
    </w:p>
    <w:p w14:paraId="18EE0946">
      <w:pPr>
        <w:pStyle w:val="1065"/>
      </w:pPr>
      <w:r>
        <w:t>表2.4-1  巴中2HF</w:t>
      </w:r>
      <w:r>
        <w:rPr>
          <w:rFonts w:hint="eastAsia"/>
        </w:rPr>
        <w:t>试采站</w:t>
      </w:r>
      <w:r>
        <w:t>设计压力</w:t>
      </w:r>
    </w:p>
    <w:p w14:paraId="55D68D90">
      <w:pPr>
        <w:pStyle w:val="1065"/>
      </w:pPr>
      <w:r>
        <w:rPr>
          <w:rFonts w:hint="eastAsia"/>
        </w:rPr>
        <w:t>***</w:t>
      </w:r>
      <w:bookmarkEnd w:id="145"/>
      <w:bookmarkEnd w:id="146"/>
    </w:p>
    <w:p w14:paraId="2301A07C">
      <w:pPr>
        <w:pStyle w:val="1068"/>
      </w:pPr>
      <w:r>
        <w:rPr>
          <w:rFonts w:hint="eastAsia"/>
        </w:rPr>
        <w:t>2</w:t>
      </w:r>
      <w:r>
        <w:t xml:space="preserve">.4.3 </w:t>
      </w:r>
      <w:r>
        <w:rPr>
          <w:rFonts w:hint="eastAsia"/>
        </w:rPr>
        <w:t>平面布置</w:t>
      </w:r>
    </w:p>
    <w:p w14:paraId="1076805A">
      <w:pPr>
        <w:pStyle w:val="702"/>
        <w:ind w:firstLine="520"/>
        <w:rPr>
          <w:rFonts w:cs="Times New Roman"/>
        </w:rPr>
      </w:pPr>
      <w:r>
        <w:rPr>
          <w:rFonts w:hint="eastAsia" w:cs="Times New Roman"/>
        </w:rPr>
        <w:t>巴中2HF试采站属于五级站场，按《石油天然气工程设计防火规范》（GB50183-2015）第5.2.3条要求，在满足相关功能要求的前提下，本着节约用地和提高土地利用系数的原则严格进行布置，分为采气站场区和C</w:t>
      </w:r>
      <w:r>
        <w:rPr>
          <w:rFonts w:cs="Times New Roman"/>
        </w:rPr>
        <w:t>NG</w:t>
      </w:r>
      <w:r>
        <w:rPr>
          <w:rFonts w:hint="eastAsia" w:cs="Times New Roman"/>
        </w:rPr>
        <w:t>装置区，C</w:t>
      </w:r>
      <w:r>
        <w:rPr>
          <w:rFonts w:cs="Times New Roman"/>
        </w:rPr>
        <w:t>NG</w:t>
      </w:r>
      <w:r>
        <w:rPr>
          <w:rFonts w:hint="eastAsia" w:cs="Times New Roman"/>
        </w:rPr>
        <w:t>装置区位于采气站场区南侧。采气站场区中，辅助生产区位于站场的东侧，工艺装置区位于站场的西侧，储罐区位于站场的北侧，装车区位于站场的东侧，放空立管位于站场的西侧。C</w:t>
      </w:r>
      <w:r>
        <w:rPr>
          <w:rFonts w:cs="Times New Roman"/>
        </w:rPr>
        <w:t>NG</w:t>
      </w:r>
      <w:r>
        <w:rPr>
          <w:rFonts w:hint="eastAsia" w:cs="Times New Roman"/>
        </w:rPr>
        <w:t>装置区中，脱水压缩撬位于C</w:t>
      </w:r>
      <w:r>
        <w:rPr>
          <w:rFonts w:cs="Times New Roman"/>
        </w:rPr>
        <w:t>NG</w:t>
      </w:r>
      <w:r>
        <w:rPr>
          <w:rFonts w:hint="eastAsia" w:cs="Times New Roman"/>
        </w:rPr>
        <w:t>装置区西北侧，C</w:t>
      </w:r>
      <w:r>
        <w:rPr>
          <w:rFonts w:cs="Times New Roman"/>
        </w:rPr>
        <w:t>NG</w:t>
      </w:r>
      <w:r>
        <w:rPr>
          <w:rFonts w:hint="eastAsia" w:cs="Times New Roman"/>
        </w:rPr>
        <w:t>加气柱位于C</w:t>
      </w:r>
      <w:r>
        <w:rPr>
          <w:rFonts w:cs="Times New Roman"/>
        </w:rPr>
        <w:t>NG</w:t>
      </w:r>
      <w:r>
        <w:rPr>
          <w:rFonts w:hint="eastAsia" w:cs="Times New Roman"/>
        </w:rPr>
        <w:t>装置区东侧，机柜间位于C</w:t>
      </w:r>
      <w:r>
        <w:rPr>
          <w:rFonts w:cs="Times New Roman"/>
        </w:rPr>
        <w:t>NG</w:t>
      </w:r>
      <w:r>
        <w:rPr>
          <w:rFonts w:hint="eastAsia" w:cs="Times New Roman"/>
        </w:rPr>
        <w:t>装置区北侧。</w:t>
      </w:r>
    </w:p>
    <w:p w14:paraId="2D26C53A">
      <w:pPr>
        <w:pStyle w:val="702"/>
        <w:ind w:firstLine="520"/>
        <w:rPr>
          <w:rFonts w:cs="Times New Roman"/>
        </w:rPr>
      </w:pPr>
      <w:r>
        <w:rPr>
          <w:rFonts w:hint="eastAsia" w:cs="Times New Roman"/>
        </w:rPr>
        <w:t>站场设置值班人员值守，同时通过中心站巡视和远程监控实现各项污染物处置和环境风险控制。从环境可接受性分析，试采站场平面布置合理，平面布置详见</w:t>
      </w:r>
      <w:r>
        <w:rPr>
          <w:rFonts w:hint="eastAsia" w:cs="Times New Roman"/>
          <w:u w:val="single"/>
        </w:rPr>
        <w:t>附图2</w:t>
      </w:r>
      <w:r>
        <w:rPr>
          <w:rFonts w:hint="eastAsia" w:cs="Times New Roman"/>
        </w:rPr>
        <w:t>。</w:t>
      </w:r>
    </w:p>
    <w:p w14:paraId="43691551">
      <w:pPr>
        <w:pStyle w:val="1068"/>
      </w:pPr>
      <w:r>
        <w:rPr>
          <w:rFonts w:hint="eastAsia"/>
        </w:rPr>
        <w:t>2</w:t>
      </w:r>
      <w:r>
        <w:t xml:space="preserve">.4.4 </w:t>
      </w:r>
      <w:r>
        <w:rPr>
          <w:rFonts w:hint="eastAsia"/>
        </w:rPr>
        <w:t>放空系统</w:t>
      </w:r>
    </w:p>
    <w:p w14:paraId="316396B3">
      <w:pPr>
        <w:pStyle w:val="1381"/>
        <w:ind w:firstLine="520"/>
      </w:pPr>
      <w:r>
        <w:rPr>
          <w:rFonts w:hint="eastAsia"/>
        </w:rPr>
        <w:t>按《石油天然气工程设计防火规范》（GB50183-2015）和《气田集输设计规范》（GB50349-2015）有关规定，巴中2HF试采站在站场西北侧设置放空区，设置一根DN100、H=15m的放空立管，用于设备检修和事故状态燃烧放空。</w:t>
      </w:r>
    </w:p>
    <w:p w14:paraId="54991570">
      <w:pPr>
        <w:pStyle w:val="1068"/>
      </w:pPr>
      <w:bookmarkStart w:id="147" w:name="_Toc128320903"/>
      <w:bookmarkStart w:id="148" w:name="_Toc165809684"/>
      <w:bookmarkStart w:id="149" w:name="_Toc165810492"/>
      <w:r>
        <w:t xml:space="preserve">2.4.5 </w:t>
      </w:r>
      <w:r>
        <w:rPr>
          <w:rFonts w:hint="eastAsia"/>
        </w:rPr>
        <w:t>防腐工程</w:t>
      </w:r>
      <w:bookmarkEnd w:id="147"/>
      <w:bookmarkEnd w:id="148"/>
      <w:bookmarkEnd w:id="149"/>
    </w:p>
    <w:p w14:paraId="0FD83D50">
      <w:pPr>
        <w:pStyle w:val="1381"/>
        <w:ind w:firstLine="520"/>
      </w:pPr>
      <w:r>
        <w:rPr>
          <w:rFonts w:hint="eastAsia"/>
        </w:rPr>
        <w:t>为使管道免受大气、水等腐蚀环境的腐蚀破坏，针对不同腐蚀环境采用防腐涂层对管道进行保护，以下涂层厚度均指干膜厚度，且涂层使用寿命不低于15年。</w:t>
      </w:r>
    </w:p>
    <w:p w14:paraId="75B4CE72">
      <w:pPr>
        <w:pStyle w:val="1381"/>
        <w:ind w:firstLine="520"/>
        <w:rPr>
          <w:rFonts w:cs="宋体"/>
          <w:kern w:val="10"/>
          <w:szCs w:val="26"/>
        </w:rPr>
      </w:pPr>
      <w:r>
        <w:rPr>
          <w:rFonts w:hint="eastAsia" w:cs="宋体"/>
          <w:kern w:val="10"/>
          <w:szCs w:val="26"/>
        </w:rPr>
        <w:t>（1）</w:t>
      </w:r>
      <w:r>
        <w:t>不保温管线、钢结构外防腐</w:t>
      </w:r>
      <w:r>
        <w:rPr>
          <w:rFonts w:cs="宋体"/>
          <w:kern w:val="10"/>
          <w:szCs w:val="26"/>
        </w:rPr>
        <w:t xml:space="preserve"> </w:t>
      </w:r>
    </w:p>
    <w:p w14:paraId="3460E7F2">
      <w:pPr>
        <w:pStyle w:val="1381"/>
        <w:ind w:firstLine="520"/>
        <w:rPr>
          <w:rFonts w:cs="宋体"/>
          <w:kern w:val="10"/>
          <w:szCs w:val="26"/>
        </w:rPr>
      </w:pPr>
      <w:r>
        <w:rPr>
          <w:rFonts w:hint="eastAsia"/>
          <w:kern w:val="10"/>
          <w:szCs w:val="26"/>
        </w:rPr>
        <w:t>外防腐涂料面漆涂色、管线标识按标准SY/T 0043执行。防腐涂层结构如下表所示：</w:t>
      </w:r>
    </w:p>
    <w:p w14:paraId="04AF0490">
      <w:pPr>
        <w:pStyle w:val="1379"/>
        <w:ind w:firstLine="440"/>
      </w:pPr>
    </w:p>
    <w:p w14:paraId="494EAD07">
      <w:pPr>
        <w:pStyle w:val="1065"/>
      </w:pPr>
      <w:r>
        <w:rPr>
          <w:rFonts w:hint="eastAsia"/>
        </w:rPr>
        <w:t>表2</w:t>
      </w:r>
      <w:r>
        <w:t>.4-2  防腐涂层结构表</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7"/>
        <w:gridCol w:w="1351"/>
        <w:gridCol w:w="2028"/>
        <w:gridCol w:w="1104"/>
        <w:gridCol w:w="1636"/>
      </w:tblGrid>
      <w:tr w14:paraId="1E17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827" w:type="dxa"/>
            <w:vAlign w:val="center"/>
          </w:tcPr>
          <w:p w14:paraId="6A50BF88">
            <w:pPr>
              <w:jc w:val="center"/>
              <w:rPr>
                <w:szCs w:val="21"/>
              </w:rPr>
            </w:pPr>
            <w:r>
              <w:rPr>
                <w:szCs w:val="21"/>
              </w:rPr>
              <w:t>管线名称</w:t>
            </w:r>
          </w:p>
        </w:tc>
        <w:tc>
          <w:tcPr>
            <w:tcW w:w="1351" w:type="dxa"/>
            <w:vAlign w:val="center"/>
          </w:tcPr>
          <w:p w14:paraId="36D0A404">
            <w:pPr>
              <w:jc w:val="center"/>
              <w:rPr>
                <w:szCs w:val="21"/>
              </w:rPr>
            </w:pPr>
            <w:r>
              <w:rPr>
                <w:szCs w:val="21"/>
              </w:rPr>
              <w:t>防腐部位</w:t>
            </w:r>
          </w:p>
        </w:tc>
        <w:tc>
          <w:tcPr>
            <w:tcW w:w="2028" w:type="dxa"/>
            <w:vAlign w:val="center"/>
          </w:tcPr>
          <w:p w14:paraId="7D30FE99">
            <w:pPr>
              <w:jc w:val="center"/>
              <w:rPr>
                <w:szCs w:val="21"/>
              </w:rPr>
            </w:pPr>
            <w:r>
              <w:rPr>
                <w:szCs w:val="21"/>
              </w:rPr>
              <w:t>防腐涂料</w:t>
            </w:r>
          </w:p>
        </w:tc>
        <w:tc>
          <w:tcPr>
            <w:tcW w:w="1104" w:type="dxa"/>
            <w:vAlign w:val="center"/>
          </w:tcPr>
          <w:p w14:paraId="5BA428EB">
            <w:pPr>
              <w:jc w:val="center"/>
              <w:rPr>
                <w:szCs w:val="21"/>
              </w:rPr>
            </w:pPr>
            <w:r>
              <w:rPr>
                <w:szCs w:val="21"/>
              </w:rPr>
              <w:t>涂刷道数</w:t>
            </w:r>
          </w:p>
        </w:tc>
        <w:tc>
          <w:tcPr>
            <w:tcW w:w="1636" w:type="dxa"/>
            <w:vAlign w:val="center"/>
          </w:tcPr>
          <w:p w14:paraId="43C2AA98">
            <w:pPr>
              <w:jc w:val="center"/>
              <w:rPr>
                <w:szCs w:val="21"/>
              </w:rPr>
            </w:pPr>
            <w:r>
              <w:rPr>
                <w:szCs w:val="21"/>
              </w:rPr>
              <w:t>干膜厚度（</w:t>
            </w:r>
            <w:r>
              <w:rPr>
                <w:szCs w:val="21"/>
              </w:rPr>
              <w:sym w:font="Symbol" w:char="F06D"/>
            </w:r>
            <w:r>
              <w:rPr>
                <w:szCs w:val="21"/>
              </w:rPr>
              <w:t>m）</w:t>
            </w:r>
          </w:p>
        </w:tc>
      </w:tr>
      <w:tr w14:paraId="132D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827" w:type="dxa"/>
            <w:vMerge w:val="restart"/>
            <w:vAlign w:val="center"/>
          </w:tcPr>
          <w:p w14:paraId="01D5ACE9">
            <w:pPr>
              <w:tabs>
                <w:tab w:val="left" w:pos="4680"/>
              </w:tabs>
              <w:jc w:val="center"/>
              <w:rPr>
                <w:szCs w:val="21"/>
              </w:rPr>
            </w:pPr>
            <w:r>
              <w:rPr>
                <w:szCs w:val="21"/>
              </w:rPr>
              <w:t>地上管线、钢结构</w:t>
            </w:r>
          </w:p>
          <w:p w14:paraId="7D5718B1">
            <w:pPr>
              <w:tabs>
                <w:tab w:val="left" w:pos="4680"/>
              </w:tabs>
              <w:jc w:val="center"/>
              <w:rPr>
                <w:szCs w:val="21"/>
              </w:rPr>
            </w:pPr>
            <w:r>
              <w:rPr>
                <w:szCs w:val="21"/>
              </w:rPr>
              <w:t>（介质温度T≤60℃）</w:t>
            </w:r>
          </w:p>
        </w:tc>
        <w:tc>
          <w:tcPr>
            <w:tcW w:w="1351" w:type="dxa"/>
            <w:vMerge w:val="restart"/>
            <w:vAlign w:val="center"/>
          </w:tcPr>
          <w:p w14:paraId="115B4B65">
            <w:pPr>
              <w:jc w:val="center"/>
              <w:rPr>
                <w:szCs w:val="21"/>
              </w:rPr>
            </w:pPr>
            <w:r>
              <w:rPr>
                <w:szCs w:val="21"/>
              </w:rPr>
              <w:t>外表面</w:t>
            </w:r>
          </w:p>
        </w:tc>
        <w:tc>
          <w:tcPr>
            <w:tcW w:w="2028" w:type="dxa"/>
            <w:vAlign w:val="center"/>
          </w:tcPr>
          <w:p w14:paraId="76682D4B">
            <w:pPr>
              <w:jc w:val="center"/>
              <w:rPr>
                <w:szCs w:val="21"/>
              </w:rPr>
            </w:pPr>
            <w:r>
              <w:rPr>
                <w:szCs w:val="21"/>
              </w:rPr>
              <w:t>环氧富锌底漆</w:t>
            </w:r>
          </w:p>
        </w:tc>
        <w:tc>
          <w:tcPr>
            <w:tcW w:w="1104" w:type="dxa"/>
            <w:vAlign w:val="center"/>
          </w:tcPr>
          <w:p w14:paraId="159E7AA7">
            <w:pPr>
              <w:snapToGrid w:val="0"/>
              <w:jc w:val="center"/>
              <w:rPr>
                <w:szCs w:val="21"/>
              </w:rPr>
            </w:pPr>
            <w:r>
              <w:rPr>
                <w:szCs w:val="21"/>
              </w:rPr>
              <w:t>1</w:t>
            </w:r>
          </w:p>
        </w:tc>
        <w:tc>
          <w:tcPr>
            <w:tcW w:w="1636" w:type="dxa"/>
            <w:vAlign w:val="center"/>
          </w:tcPr>
          <w:p w14:paraId="7BD41B6D">
            <w:pPr>
              <w:snapToGrid w:val="0"/>
              <w:jc w:val="center"/>
              <w:rPr>
                <w:szCs w:val="21"/>
              </w:rPr>
            </w:pPr>
            <w:r>
              <w:rPr>
                <w:szCs w:val="21"/>
              </w:rPr>
              <w:t>≥80</w:t>
            </w:r>
          </w:p>
        </w:tc>
      </w:tr>
      <w:tr w14:paraId="52DEE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827" w:type="dxa"/>
            <w:vMerge w:val="continue"/>
            <w:vAlign w:val="center"/>
          </w:tcPr>
          <w:p w14:paraId="4500C8C5">
            <w:pPr>
              <w:tabs>
                <w:tab w:val="left" w:pos="4680"/>
              </w:tabs>
              <w:jc w:val="center"/>
              <w:rPr>
                <w:szCs w:val="21"/>
              </w:rPr>
            </w:pPr>
          </w:p>
        </w:tc>
        <w:tc>
          <w:tcPr>
            <w:tcW w:w="1351" w:type="dxa"/>
            <w:vMerge w:val="continue"/>
            <w:vAlign w:val="center"/>
          </w:tcPr>
          <w:p w14:paraId="4A23096E">
            <w:pPr>
              <w:jc w:val="center"/>
              <w:rPr>
                <w:szCs w:val="21"/>
              </w:rPr>
            </w:pPr>
          </w:p>
        </w:tc>
        <w:tc>
          <w:tcPr>
            <w:tcW w:w="2028" w:type="dxa"/>
            <w:vAlign w:val="center"/>
          </w:tcPr>
          <w:p w14:paraId="3D2D8EF6">
            <w:pPr>
              <w:jc w:val="center"/>
              <w:rPr>
                <w:szCs w:val="21"/>
              </w:rPr>
            </w:pPr>
            <w:r>
              <w:rPr>
                <w:szCs w:val="21"/>
              </w:rPr>
              <w:t>环氧云铁中间漆</w:t>
            </w:r>
          </w:p>
        </w:tc>
        <w:tc>
          <w:tcPr>
            <w:tcW w:w="1104" w:type="dxa"/>
            <w:vAlign w:val="center"/>
          </w:tcPr>
          <w:p w14:paraId="17D25095">
            <w:pPr>
              <w:snapToGrid w:val="0"/>
              <w:jc w:val="center"/>
              <w:rPr>
                <w:szCs w:val="21"/>
              </w:rPr>
            </w:pPr>
            <w:r>
              <w:rPr>
                <w:szCs w:val="21"/>
              </w:rPr>
              <w:t>2</w:t>
            </w:r>
          </w:p>
        </w:tc>
        <w:tc>
          <w:tcPr>
            <w:tcW w:w="1636" w:type="dxa"/>
            <w:vAlign w:val="center"/>
          </w:tcPr>
          <w:p w14:paraId="7A6A161A">
            <w:pPr>
              <w:snapToGrid w:val="0"/>
              <w:jc w:val="center"/>
              <w:rPr>
                <w:szCs w:val="21"/>
              </w:rPr>
            </w:pPr>
            <w:r>
              <w:rPr>
                <w:szCs w:val="21"/>
              </w:rPr>
              <w:t>≥120</w:t>
            </w:r>
          </w:p>
        </w:tc>
      </w:tr>
      <w:tr w14:paraId="75FF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827" w:type="dxa"/>
            <w:vMerge w:val="continue"/>
            <w:vAlign w:val="center"/>
          </w:tcPr>
          <w:p w14:paraId="4CB33EE9">
            <w:pPr>
              <w:tabs>
                <w:tab w:val="left" w:pos="4680"/>
              </w:tabs>
              <w:jc w:val="center"/>
              <w:rPr>
                <w:szCs w:val="21"/>
              </w:rPr>
            </w:pPr>
          </w:p>
        </w:tc>
        <w:tc>
          <w:tcPr>
            <w:tcW w:w="1351" w:type="dxa"/>
            <w:vMerge w:val="continue"/>
            <w:vAlign w:val="center"/>
          </w:tcPr>
          <w:p w14:paraId="13814551">
            <w:pPr>
              <w:jc w:val="center"/>
              <w:rPr>
                <w:szCs w:val="21"/>
              </w:rPr>
            </w:pPr>
          </w:p>
        </w:tc>
        <w:tc>
          <w:tcPr>
            <w:tcW w:w="2028" w:type="dxa"/>
            <w:vAlign w:val="center"/>
          </w:tcPr>
          <w:p w14:paraId="614CF1A4">
            <w:pPr>
              <w:jc w:val="center"/>
              <w:rPr>
                <w:szCs w:val="21"/>
              </w:rPr>
            </w:pPr>
            <w:r>
              <w:rPr>
                <w:szCs w:val="21"/>
              </w:rPr>
              <w:t>氟碳面漆</w:t>
            </w:r>
          </w:p>
        </w:tc>
        <w:tc>
          <w:tcPr>
            <w:tcW w:w="1104" w:type="dxa"/>
            <w:vAlign w:val="center"/>
          </w:tcPr>
          <w:p w14:paraId="5FDF09C7">
            <w:pPr>
              <w:snapToGrid w:val="0"/>
              <w:jc w:val="center"/>
              <w:rPr>
                <w:szCs w:val="21"/>
              </w:rPr>
            </w:pPr>
            <w:r>
              <w:rPr>
                <w:szCs w:val="21"/>
              </w:rPr>
              <w:t>2</w:t>
            </w:r>
          </w:p>
        </w:tc>
        <w:tc>
          <w:tcPr>
            <w:tcW w:w="1636" w:type="dxa"/>
            <w:vAlign w:val="center"/>
          </w:tcPr>
          <w:p w14:paraId="0A86F209">
            <w:pPr>
              <w:snapToGrid w:val="0"/>
              <w:jc w:val="center"/>
              <w:rPr>
                <w:szCs w:val="21"/>
              </w:rPr>
            </w:pPr>
            <w:r>
              <w:rPr>
                <w:szCs w:val="21"/>
              </w:rPr>
              <w:t>≥80</w:t>
            </w:r>
          </w:p>
        </w:tc>
      </w:tr>
    </w:tbl>
    <w:p w14:paraId="7778F141">
      <w:pPr>
        <w:pStyle w:val="1379"/>
        <w:ind w:firstLine="440"/>
      </w:pPr>
    </w:p>
    <w:p w14:paraId="75CC43C5">
      <w:pPr>
        <w:pStyle w:val="1381"/>
        <w:ind w:firstLine="520"/>
        <w:rPr>
          <w:rFonts w:cs="宋体"/>
          <w:kern w:val="10"/>
          <w:szCs w:val="26"/>
        </w:rPr>
      </w:pPr>
      <w:r>
        <w:rPr>
          <w:rFonts w:hint="eastAsia" w:cs="宋体"/>
          <w:kern w:val="10"/>
          <w:szCs w:val="26"/>
        </w:rPr>
        <w:t>（2）</w:t>
      </w:r>
      <w:r>
        <w:t>保温管线外防腐</w:t>
      </w:r>
      <w:r>
        <w:rPr>
          <w:rFonts w:cs="宋体"/>
          <w:kern w:val="10"/>
          <w:szCs w:val="26"/>
        </w:rPr>
        <w:t xml:space="preserve"> </w:t>
      </w:r>
    </w:p>
    <w:p w14:paraId="3850D1D4">
      <w:pPr>
        <w:pStyle w:val="1381"/>
        <w:ind w:firstLine="520"/>
        <w:rPr>
          <w:rFonts w:cs="宋体"/>
          <w:kern w:val="10"/>
          <w:szCs w:val="26"/>
        </w:rPr>
      </w:pPr>
      <w:r>
        <w:t>防腐涂层采用无溶剂液体环氧涂料，1道，干膜厚度≥350</w:t>
      </w:r>
      <w:r>
        <w:rPr/>
        <w:sym w:font="Symbol" w:char="F06D"/>
      </w:r>
      <w:r>
        <w:t>m。</w:t>
      </w:r>
    </w:p>
    <w:p w14:paraId="0F8E9633">
      <w:pPr>
        <w:pStyle w:val="1068"/>
      </w:pPr>
      <w:bookmarkStart w:id="150" w:name="_Toc109319843"/>
      <w:bookmarkStart w:id="151" w:name="_Toc165809685"/>
      <w:bookmarkStart w:id="152" w:name="_Toc165810495"/>
      <w:bookmarkStart w:id="153" w:name="_Toc128320904"/>
      <w:r>
        <w:t>2.4.6 主要生产设备</w:t>
      </w:r>
      <w:bookmarkEnd w:id="150"/>
      <w:r>
        <w:t>及原辅材料</w:t>
      </w:r>
      <w:bookmarkEnd w:id="151"/>
      <w:bookmarkEnd w:id="152"/>
      <w:bookmarkEnd w:id="153"/>
    </w:p>
    <w:p w14:paraId="6C24D062">
      <w:pPr>
        <w:pStyle w:val="1381"/>
        <w:ind w:firstLine="522"/>
        <w:rPr>
          <w:b/>
        </w:rPr>
      </w:pPr>
      <w:bookmarkStart w:id="154" w:name="_Toc165810496"/>
      <w:r>
        <w:rPr>
          <w:rFonts w:hint="eastAsia"/>
          <w:b/>
        </w:rPr>
        <w:t>（1）</w:t>
      </w:r>
      <w:r>
        <w:rPr>
          <w:b/>
        </w:rPr>
        <w:t>生产设备</w:t>
      </w:r>
      <w:bookmarkEnd w:id="154"/>
    </w:p>
    <w:p w14:paraId="5B5B1FBC">
      <w:pPr>
        <w:pStyle w:val="702"/>
        <w:ind w:firstLine="520"/>
        <w:rPr>
          <w:rFonts w:cs="Times New Roman"/>
        </w:rPr>
      </w:pPr>
      <w:r>
        <w:rPr>
          <w:rFonts w:cs="Times New Roman"/>
        </w:rPr>
        <w:t>本项目</w:t>
      </w:r>
      <w:r>
        <w:rPr>
          <w:rFonts w:hint="eastAsia" w:cs="Times New Roman"/>
        </w:rPr>
        <w:t>试采站主要设备包括工艺流程设备、放空设备以及辅助生产设备等</w:t>
      </w:r>
      <w:r>
        <w:rPr>
          <w:rFonts w:cs="Times New Roman"/>
        </w:rPr>
        <w:t>，具体见</w:t>
      </w:r>
      <w:r>
        <w:rPr>
          <w:rFonts w:cs="Times New Roman"/>
          <w:u w:val="single"/>
        </w:rPr>
        <w:t>表2.4-3</w:t>
      </w:r>
      <w:r>
        <w:rPr>
          <w:rFonts w:cs="Times New Roman"/>
        </w:rPr>
        <w:t>。</w:t>
      </w:r>
    </w:p>
    <w:p w14:paraId="51DD4AEF">
      <w:pPr>
        <w:pStyle w:val="1379"/>
        <w:ind w:firstLine="440"/>
      </w:pPr>
    </w:p>
    <w:p w14:paraId="31909249">
      <w:pPr>
        <w:pStyle w:val="1441"/>
      </w:pPr>
      <w:r>
        <w:t xml:space="preserve">表2.4-3  </w:t>
      </w:r>
      <w:r>
        <w:rPr>
          <w:rFonts w:hint="eastAsia"/>
        </w:rPr>
        <w:t>试采站</w:t>
      </w:r>
      <w:r>
        <w:t>主要设备一览表</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598"/>
        <w:gridCol w:w="4219"/>
        <w:gridCol w:w="728"/>
        <w:gridCol w:w="726"/>
        <w:gridCol w:w="952"/>
      </w:tblGrid>
      <w:tr w14:paraId="12CB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23" w:type="dxa"/>
            <w:vAlign w:val="center"/>
          </w:tcPr>
          <w:p w14:paraId="1248BDBC">
            <w:pPr>
              <w:snapToGrid w:val="0"/>
              <w:jc w:val="center"/>
              <w:rPr>
                <w:szCs w:val="21"/>
              </w:rPr>
            </w:pPr>
            <w:r>
              <w:rPr>
                <w:szCs w:val="21"/>
              </w:rPr>
              <w:t>序号</w:t>
            </w:r>
          </w:p>
        </w:tc>
        <w:tc>
          <w:tcPr>
            <w:tcW w:w="1598" w:type="dxa"/>
            <w:vAlign w:val="center"/>
          </w:tcPr>
          <w:p w14:paraId="0BA38627">
            <w:pPr>
              <w:snapToGrid w:val="0"/>
              <w:jc w:val="center"/>
              <w:rPr>
                <w:szCs w:val="21"/>
              </w:rPr>
            </w:pPr>
            <w:r>
              <w:rPr>
                <w:bCs/>
                <w:szCs w:val="21"/>
              </w:rPr>
              <w:t>设备编号</w:t>
            </w:r>
          </w:p>
        </w:tc>
        <w:tc>
          <w:tcPr>
            <w:tcW w:w="4219" w:type="dxa"/>
            <w:vAlign w:val="center"/>
          </w:tcPr>
          <w:p w14:paraId="1B5E4A21">
            <w:pPr>
              <w:snapToGrid w:val="0"/>
              <w:jc w:val="center"/>
              <w:rPr>
                <w:szCs w:val="21"/>
              </w:rPr>
            </w:pPr>
            <w:r>
              <w:rPr>
                <w:szCs w:val="21"/>
              </w:rPr>
              <w:t>设 备 名 称 及 规 格</w:t>
            </w:r>
          </w:p>
        </w:tc>
        <w:tc>
          <w:tcPr>
            <w:tcW w:w="728" w:type="dxa"/>
            <w:vAlign w:val="center"/>
          </w:tcPr>
          <w:p w14:paraId="0B4EA42A">
            <w:pPr>
              <w:snapToGrid w:val="0"/>
              <w:jc w:val="center"/>
              <w:rPr>
                <w:szCs w:val="21"/>
              </w:rPr>
            </w:pPr>
            <w:r>
              <w:rPr>
                <w:szCs w:val="21"/>
              </w:rPr>
              <w:t>单位</w:t>
            </w:r>
          </w:p>
        </w:tc>
        <w:tc>
          <w:tcPr>
            <w:tcW w:w="726" w:type="dxa"/>
            <w:vAlign w:val="center"/>
          </w:tcPr>
          <w:p w14:paraId="62FCA05E">
            <w:pPr>
              <w:snapToGrid w:val="0"/>
              <w:jc w:val="center"/>
              <w:rPr>
                <w:szCs w:val="21"/>
              </w:rPr>
            </w:pPr>
            <w:r>
              <w:rPr>
                <w:szCs w:val="21"/>
              </w:rPr>
              <w:t>数量</w:t>
            </w:r>
          </w:p>
        </w:tc>
        <w:tc>
          <w:tcPr>
            <w:tcW w:w="952" w:type="dxa"/>
            <w:vAlign w:val="center"/>
          </w:tcPr>
          <w:p w14:paraId="10A1306F">
            <w:pPr>
              <w:snapToGrid w:val="0"/>
              <w:jc w:val="center"/>
              <w:rPr>
                <w:szCs w:val="21"/>
              </w:rPr>
            </w:pPr>
            <w:r>
              <w:rPr>
                <w:rFonts w:hint="eastAsia"/>
                <w:szCs w:val="21"/>
              </w:rPr>
              <w:t>备注</w:t>
            </w:r>
          </w:p>
        </w:tc>
      </w:tr>
      <w:tr w14:paraId="4BE4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946" w:type="dxa"/>
            <w:gridSpan w:val="6"/>
            <w:vAlign w:val="center"/>
          </w:tcPr>
          <w:p w14:paraId="278246DA">
            <w:pPr>
              <w:jc w:val="center"/>
              <w:rPr>
                <w:szCs w:val="21"/>
              </w:rPr>
            </w:pPr>
            <w:r>
              <w:rPr>
                <w:rFonts w:hint="eastAsia"/>
                <w:szCs w:val="21"/>
              </w:rPr>
              <w:t>一、采气站场区</w:t>
            </w:r>
          </w:p>
        </w:tc>
      </w:tr>
      <w:tr w14:paraId="1E2F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30F3FE2D">
            <w:pPr>
              <w:snapToGrid w:val="0"/>
              <w:jc w:val="center"/>
              <w:rPr>
                <w:szCs w:val="21"/>
              </w:rPr>
            </w:pPr>
            <w:r>
              <w:rPr>
                <w:szCs w:val="21"/>
              </w:rPr>
              <w:t>1</w:t>
            </w:r>
          </w:p>
        </w:tc>
        <w:tc>
          <w:tcPr>
            <w:tcW w:w="1598" w:type="dxa"/>
            <w:vAlign w:val="center"/>
          </w:tcPr>
          <w:p w14:paraId="1B6ADB58">
            <w:pPr>
              <w:adjustRightInd w:val="0"/>
              <w:snapToGrid w:val="0"/>
              <w:spacing w:line="240" w:lineRule="atLeast"/>
              <w:jc w:val="center"/>
              <w:textAlignment w:val="baseline"/>
              <w:rPr>
                <w:szCs w:val="21"/>
              </w:rPr>
            </w:pPr>
            <w:r>
              <w:rPr>
                <w:rFonts w:hint="eastAsia"/>
                <w:szCs w:val="21"/>
              </w:rPr>
              <w:t>Z-0001</w:t>
            </w:r>
          </w:p>
        </w:tc>
        <w:tc>
          <w:tcPr>
            <w:tcW w:w="4219" w:type="dxa"/>
            <w:vAlign w:val="center"/>
          </w:tcPr>
          <w:p w14:paraId="6D6D6E05">
            <w:pPr>
              <w:adjustRightInd w:val="0"/>
              <w:snapToGrid w:val="0"/>
              <w:spacing w:line="240" w:lineRule="atLeast"/>
              <w:jc w:val="center"/>
              <w:textAlignment w:val="baseline"/>
              <w:rPr>
                <w:szCs w:val="21"/>
              </w:rPr>
            </w:pPr>
            <w:r>
              <w:rPr>
                <w:szCs w:val="21"/>
              </w:rPr>
              <w:t>水套加热炉橇</w:t>
            </w:r>
            <w:r>
              <w:rPr>
                <w:rFonts w:hint="eastAsia"/>
                <w:szCs w:val="21"/>
              </w:rPr>
              <w:t xml:space="preserve">     34.5MPa  </w:t>
            </w:r>
            <w:r>
              <w:rPr>
                <w:szCs w:val="21"/>
              </w:rPr>
              <w:t>250</w:t>
            </w:r>
            <w:r>
              <w:rPr>
                <w:rFonts w:hint="eastAsia"/>
                <w:szCs w:val="21"/>
              </w:rPr>
              <w:t>kW</w:t>
            </w:r>
          </w:p>
        </w:tc>
        <w:tc>
          <w:tcPr>
            <w:tcW w:w="728" w:type="dxa"/>
            <w:vAlign w:val="center"/>
          </w:tcPr>
          <w:p w14:paraId="1A22B8B8">
            <w:pPr>
              <w:snapToGrid w:val="0"/>
              <w:jc w:val="center"/>
              <w:rPr>
                <w:szCs w:val="21"/>
              </w:rPr>
            </w:pPr>
            <w:r>
              <w:rPr>
                <w:szCs w:val="21"/>
              </w:rPr>
              <w:t>套</w:t>
            </w:r>
          </w:p>
        </w:tc>
        <w:tc>
          <w:tcPr>
            <w:tcW w:w="726" w:type="dxa"/>
            <w:vAlign w:val="center"/>
          </w:tcPr>
          <w:p w14:paraId="41152AE8">
            <w:pPr>
              <w:adjustRightInd w:val="0"/>
              <w:snapToGrid w:val="0"/>
              <w:spacing w:line="240" w:lineRule="atLeast"/>
              <w:jc w:val="center"/>
              <w:textAlignment w:val="baseline"/>
              <w:rPr>
                <w:szCs w:val="21"/>
              </w:rPr>
            </w:pPr>
            <w:r>
              <w:rPr>
                <w:szCs w:val="21"/>
              </w:rPr>
              <w:t>1</w:t>
            </w:r>
          </w:p>
        </w:tc>
        <w:tc>
          <w:tcPr>
            <w:tcW w:w="952" w:type="dxa"/>
            <w:vAlign w:val="center"/>
          </w:tcPr>
          <w:p w14:paraId="641BEBBB">
            <w:pPr>
              <w:jc w:val="center"/>
            </w:pPr>
            <w:r>
              <w:rPr>
                <w:rFonts w:hint="eastAsia"/>
                <w:szCs w:val="21"/>
              </w:rPr>
              <w:t>新建</w:t>
            </w:r>
          </w:p>
        </w:tc>
      </w:tr>
      <w:tr w14:paraId="54B3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1AF18545">
            <w:pPr>
              <w:jc w:val="center"/>
              <w:rPr>
                <w:szCs w:val="21"/>
              </w:rPr>
            </w:pPr>
            <w:r>
              <w:rPr>
                <w:szCs w:val="21"/>
              </w:rPr>
              <w:t>2</w:t>
            </w:r>
          </w:p>
        </w:tc>
        <w:tc>
          <w:tcPr>
            <w:tcW w:w="1598" w:type="dxa"/>
            <w:vAlign w:val="center"/>
          </w:tcPr>
          <w:p w14:paraId="3E9263A3">
            <w:pPr>
              <w:adjustRightInd w:val="0"/>
              <w:snapToGrid w:val="0"/>
              <w:spacing w:line="240" w:lineRule="atLeast"/>
              <w:jc w:val="center"/>
              <w:textAlignment w:val="baseline"/>
              <w:rPr>
                <w:szCs w:val="21"/>
              </w:rPr>
            </w:pPr>
            <w:r>
              <w:rPr>
                <w:rFonts w:hint="eastAsia"/>
                <w:szCs w:val="21"/>
              </w:rPr>
              <w:t>Z-0002</w:t>
            </w:r>
          </w:p>
        </w:tc>
        <w:tc>
          <w:tcPr>
            <w:tcW w:w="4219" w:type="dxa"/>
            <w:vAlign w:val="center"/>
          </w:tcPr>
          <w:p w14:paraId="11052734">
            <w:pPr>
              <w:adjustRightInd w:val="0"/>
              <w:snapToGrid w:val="0"/>
              <w:spacing w:line="240" w:lineRule="atLeast"/>
              <w:jc w:val="center"/>
              <w:textAlignment w:val="baseline"/>
              <w:rPr>
                <w:szCs w:val="21"/>
              </w:rPr>
            </w:pPr>
            <w:r>
              <w:rPr>
                <w:rFonts w:hint="eastAsia"/>
                <w:szCs w:val="21"/>
              </w:rPr>
              <w:t>三相分离器</w:t>
            </w:r>
            <w:r>
              <w:rPr>
                <w:szCs w:val="21"/>
              </w:rPr>
              <w:t>橇</w:t>
            </w:r>
            <w:r>
              <w:rPr>
                <w:rFonts w:hint="eastAsia"/>
                <w:szCs w:val="21"/>
              </w:rPr>
              <w:t xml:space="preserve">     6.3MPa  DN1200</w:t>
            </w:r>
          </w:p>
        </w:tc>
        <w:tc>
          <w:tcPr>
            <w:tcW w:w="728" w:type="dxa"/>
            <w:vAlign w:val="center"/>
          </w:tcPr>
          <w:p w14:paraId="0DBDB835">
            <w:pPr>
              <w:snapToGrid w:val="0"/>
              <w:jc w:val="center"/>
              <w:rPr>
                <w:szCs w:val="21"/>
              </w:rPr>
            </w:pPr>
            <w:r>
              <w:rPr>
                <w:rFonts w:hint="eastAsia"/>
                <w:szCs w:val="21"/>
              </w:rPr>
              <w:t>套</w:t>
            </w:r>
          </w:p>
        </w:tc>
        <w:tc>
          <w:tcPr>
            <w:tcW w:w="726" w:type="dxa"/>
            <w:vAlign w:val="center"/>
          </w:tcPr>
          <w:p w14:paraId="42507337">
            <w:pPr>
              <w:adjustRightInd w:val="0"/>
              <w:snapToGrid w:val="0"/>
              <w:spacing w:line="240" w:lineRule="atLeast"/>
              <w:jc w:val="center"/>
              <w:textAlignment w:val="baseline"/>
              <w:rPr>
                <w:szCs w:val="21"/>
              </w:rPr>
            </w:pPr>
            <w:r>
              <w:rPr>
                <w:szCs w:val="21"/>
              </w:rPr>
              <w:t>1</w:t>
            </w:r>
          </w:p>
        </w:tc>
        <w:tc>
          <w:tcPr>
            <w:tcW w:w="952" w:type="dxa"/>
            <w:vAlign w:val="center"/>
          </w:tcPr>
          <w:p w14:paraId="2360D408">
            <w:pPr>
              <w:jc w:val="center"/>
            </w:pPr>
            <w:r>
              <w:rPr>
                <w:rFonts w:hint="eastAsia"/>
                <w:szCs w:val="21"/>
              </w:rPr>
              <w:t>新建</w:t>
            </w:r>
          </w:p>
        </w:tc>
      </w:tr>
      <w:tr w14:paraId="1AB8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7276F980">
            <w:pPr>
              <w:jc w:val="center"/>
              <w:rPr>
                <w:szCs w:val="21"/>
              </w:rPr>
            </w:pPr>
            <w:r>
              <w:rPr>
                <w:szCs w:val="21"/>
              </w:rPr>
              <w:t>3</w:t>
            </w:r>
          </w:p>
        </w:tc>
        <w:tc>
          <w:tcPr>
            <w:tcW w:w="1598" w:type="dxa"/>
            <w:vAlign w:val="center"/>
          </w:tcPr>
          <w:p w14:paraId="594E8881">
            <w:pPr>
              <w:adjustRightInd w:val="0"/>
              <w:snapToGrid w:val="0"/>
              <w:spacing w:line="240" w:lineRule="atLeast"/>
              <w:jc w:val="center"/>
              <w:textAlignment w:val="baseline"/>
              <w:rPr>
                <w:szCs w:val="21"/>
              </w:rPr>
            </w:pPr>
            <w:r>
              <w:rPr>
                <w:rFonts w:hint="eastAsia"/>
                <w:szCs w:val="21"/>
              </w:rPr>
              <w:t>Z-0003</w:t>
            </w:r>
          </w:p>
        </w:tc>
        <w:tc>
          <w:tcPr>
            <w:tcW w:w="4219" w:type="dxa"/>
            <w:vAlign w:val="center"/>
          </w:tcPr>
          <w:p w14:paraId="34D79102">
            <w:pPr>
              <w:adjustRightInd w:val="0"/>
              <w:snapToGrid w:val="0"/>
              <w:spacing w:line="240" w:lineRule="atLeast"/>
              <w:jc w:val="center"/>
              <w:textAlignment w:val="baseline"/>
              <w:rPr>
                <w:szCs w:val="21"/>
              </w:rPr>
            </w:pPr>
            <w:r>
              <w:rPr>
                <w:rFonts w:hint="eastAsia"/>
                <w:szCs w:val="21"/>
              </w:rPr>
              <w:t xml:space="preserve">聚结过滤分离器橇 </w:t>
            </w:r>
            <w:r>
              <w:rPr>
                <w:szCs w:val="21"/>
              </w:rPr>
              <w:t xml:space="preserve"> </w:t>
            </w:r>
            <w:r>
              <w:rPr>
                <w:rFonts w:hint="eastAsia"/>
                <w:szCs w:val="21"/>
              </w:rPr>
              <w:t>6.3MPa  DN400</w:t>
            </w:r>
          </w:p>
        </w:tc>
        <w:tc>
          <w:tcPr>
            <w:tcW w:w="728" w:type="dxa"/>
            <w:vAlign w:val="center"/>
          </w:tcPr>
          <w:p w14:paraId="4CE2D2E4">
            <w:pPr>
              <w:snapToGrid w:val="0"/>
              <w:jc w:val="center"/>
              <w:rPr>
                <w:szCs w:val="21"/>
              </w:rPr>
            </w:pPr>
            <w:r>
              <w:rPr>
                <w:szCs w:val="21"/>
              </w:rPr>
              <w:t>套</w:t>
            </w:r>
          </w:p>
        </w:tc>
        <w:tc>
          <w:tcPr>
            <w:tcW w:w="726" w:type="dxa"/>
            <w:vAlign w:val="center"/>
          </w:tcPr>
          <w:p w14:paraId="34C15483">
            <w:pPr>
              <w:adjustRightInd w:val="0"/>
              <w:snapToGrid w:val="0"/>
              <w:spacing w:line="240" w:lineRule="atLeast"/>
              <w:jc w:val="center"/>
              <w:textAlignment w:val="baseline"/>
              <w:rPr>
                <w:szCs w:val="21"/>
              </w:rPr>
            </w:pPr>
            <w:r>
              <w:rPr>
                <w:rFonts w:hint="eastAsia"/>
                <w:szCs w:val="21"/>
              </w:rPr>
              <w:t>1</w:t>
            </w:r>
          </w:p>
        </w:tc>
        <w:tc>
          <w:tcPr>
            <w:tcW w:w="952" w:type="dxa"/>
            <w:vAlign w:val="center"/>
          </w:tcPr>
          <w:p w14:paraId="77D3FDB4">
            <w:pPr>
              <w:jc w:val="center"/>
            </w:pPr>
            <w:r>
              <w:rPr>
                <w:rFonts w:hint="eastAsia"/>
                <w:szCs w:val="21"/>
              </w:rPr>
              <w:t>新建</w:t>
            </w:r>
          </w:p>
        </w:tc>
      </w:tr>
      <w:tr w14:paraId="13DD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3F9ACCD5">
            <w:pPr>
              <w:jc w:val="center"/>
              <w:rPr>
                <w:szCs w:val="21"/>
              </w:rPr>
            </w:pPr>
            <w:r>
              <w:rPr>
                <w:szCs w:val="21"/>
              </w:rPr>
              <w:t>4</w:t>
            </w:r>
          </w:p>
        </w:tc>
        <w:tc>
          <w:tcPr>
            <w:tcW w:w="1598" w:type="dxa"/>
            <w:vAlign w:val="center"/>
          </w:tcPr>
          <w:p w14:paraId="30B0D3F5">
            <w:pPr>
              <w:adjustRightInd w:val="0"/>
              <w:snapToGrid w:val="0"/>
              <w:spacing w:line="240" w:lineRule="atLeast"/>
              <w:jc w:val="center"/>
              <w:textAlignment w:val="baseline"/>
              <w:rPr>
                <w:szCs w:val="21"/>
              </w:rPr>
            </w:pPr>
            <w:r>
              <w:rPr>
                <w:rFonts w:hint="eastAsia"/>
                <w:szCs w:val="21"/>
              </w:rPr>
              <w:t>Z-0004</w:t>
            </w:r>
          </w:p>
        </w:tc>
        <w:tc>
          <w:tcPr>
            <w:tcW w:w="4219" w:type="dxa"/>
            <w:vAlign w:val="center"/>
          </w:tcPr>
          <w:p w14:paraId="0AC029E9">
            <w:pPr>
              <w:adjustRightInd w:val="0"/>
              <w:snapToGrid w:val="0"/>
              <w:spacing w:line="240" w:lineRule="atLeast"/>
              <w:jc w:val="center"/>
              <w:textAlignment w:val="baseline"/>
              <w:rPr>
                <w:szCs w:val="21"/>
              </w:rPr>
            </w:pPr>
            <w:r>
              <w:rPr>
                <w:rFonts w:hint="eastAsia"/>
                <w:szCs w:val="21"/>
              </w:rPr>
              <w:t>闪蒸三相分离器橇     6.3MPa  DN1200</w:t>
            </w:r>
          </w:p>
        </w:tc>
        <w:tc>
          <w:tcPr>
            <w:tcW w:w="728" w:type="dxa"/>
            <w:vAlign w:val="center"/>
          </w:tcPr>
          <w:p w14:paraId="09148333">
            <w:pPr>
              <w:pStyle w:val="66"/>
              <w:ind w:left="420" w:hanging="420"/>
              <w:jc w:val="center"/>
              <w:rPr>
                <w:szCs w:val="21"/>
              </w:rPr>
            </w:pPr>
            <w:r>
              <w:rPr>
                <w:szCs w:val="21"/>
              </w:rPr>
              <w:t>套</w:t>
            </w:r>
          </w:p>
        </w:tc>
        <w:tc>
          <w:tcPr>
            <w:tcW w:w="726" w:type="dxa"/>
            <w:vAlign w:val="center"/>
          </w:tcPr>
          <w:p w14:paraId="72F9EDCD">
            <w:pPr>
              <w:adjustRightInd w:val="0"/>
              <w:snapToGrid w:val="0"/>
              <w:spacing w:line="240" w:lineRule="atLeast"/>
              <w:jc w:val="center"/>
              <w:textAlignment w:val="baseline"/>
              <w:rPr>
                <w:szCs w:val="21"/>
              </w:rPr>
            </w:pPr>
            <w:r>
              <w:rPr>
                <w:rFonts w:hint="eastAsia"/>
                <w:szCs w:val="21"/>
              </w:rPr>
              <w:t>1</w:t>
            </w:r>
          </w:p>
        </w:tc>
        <w:tc>
          <w:tcPr>
            <w:tcW w:w="952" w:type="dxa"/>
            <w:vAlign w:val="center"/>
          </w:tcPr>
          <w:p w14:paraId="7924CD1A">
            <w:pPr>
              <w:jc w:val="center"/>
            </w:pPr>
            <w:r>
              <w:rPr>
                <w:rFonts w:hint="eastAsia"/>
                <w:szCs w:val="21"/>
              </w:rPr>
              <w:t>新建</w:t>
            </w:r>
          </w:p>
        </w:tc>
      </w:tr>
      <w:tr w14:paraId="3BE5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2CDB6B31">
            <w:pPr>
              <w:jc w:val="center"/>
              <w:rPr>
                <w:szCs w:val="21"/>
              </w:rPr>
            </w:pPr>
            <w:r>
              <w:rPr>
                <w:szCs w:val="21"/>
              </w:rPr>
              <w:t>5</w:t>
            </w:r>
          </w:p>
        </w:tc>
        <w:tc>
          <w:tcPr>
            <w:tcW w:w="1598" w:type="dxa"/>
            <w:vAlign w:val="center"/>
          </w:tcPr>
          <w:p w14:paraId="78AC1342">
            <w:pPr>
              <w:adjustRightInd w:val="0"/>
              <w:snapToGrid w:val="0"/>
              <w:spacing w:line="240" w:lineRule="atLeast"/>
              <w:jc w:val="center"/>
              <w:textAlignment w:val="baseline"/>
              <w:rPr>
                <w:szCs w:val="21"/>
              </w:rPr>
            </w:pPr>
            <w:r>
              <w:rPr>
                <w:rFonts w:hint="eastAsia"/>
                <w:szCs w:val="21"/>
              </w:rPr>
              <w:t>Z-0005A/B</w:t>
            </w:r>
          </w:p>
        </w:tc>
        <w:tc>
          <w:tcPr>
            <w:tcW w:w="4219" w:type="dxa"/>
            <w:vAlign w:val="center"/>
          </w:tcPr>
          <w:p w14:paraId="7C6BD0B8">
            <w:pPr>
              <w:adjustRightInd w:val="0"/>
              <w:snapToGrid w:val="0"/>
              <w:spacing w:line="240" w:lineRule="atLeast"/>
              <w:jc w:val="center"/>
              <w:textAlignment w:val="baseline"/>
              <w:rPr>
                <w:szCs w:val="21"/>
              </w:rPr>
            </w:pPr>
            <w:r>
              <w:rPr>
                <w:rFonts w:hint="eastAsia"/>
                <w:szCs w:val="21"/>
              </w:rPr>
              <w:t>凝析油储罐橇       1.0MPa  50m</w:t>
            </w:r>
            <w:r>
              <w:rPr>
                <w:rFonts w:hint="eastAsia"/>
                <w:szCs w:val="21"/>
                <w:vertAlign w:val="superscript"/>
              </w:rPr>
              <w:t>3</w:t>
            </w:r>
          </w:p>
        </w:tc>
        <w:tc>
          <w:tcPr>
            <w:tcW w:w="728" w:type="dxa"/>
            <w:vAlign w:val="center"/>
          </w:tcPr>
          <w:p w14:paraId="4F332BE3">
            <w:pPr>
              <w:pStyle w:val="66"/>
              <w:ind w:left="420" w:hanging="420"/>
              <w:jc w:val="center"/>
              <w:rPr>
                <w:szCs w:val="21"/>
              </w:rPr>
            </w:pPr>
            <w:r>
              <w:rPr>
                <w:szCs w:val="21"/>
              </w:rPr>
              <w:t>套</w:t>
            </w:r>
          </w:p>
        </w:tc>
        <w:tc>
          <w:tcPr>
            <w:tcW w:w="726" w:type="dxa"/>
            <w:vAlign w:val="center"/>
          </w:tcPr>
          <w:p w14:paraId="792785D8">
            <w:pPr>
              <w:adjustRightInd w:val="0"/>
              <w:snapToGrid w:val="0"/>
              <w:spacing w:line="240" w:lineRule="atLeast"/>
              <w:jc w:val="center"/>
              <w:textAlignment w:val="baseline"/>
              <w:rPr>
                <w:szCs w:val="21"/>
              </w:rPr>
            </w:pPr>
            <w:r>
              <w:rPr>
                <w:rFonts w:hint="eastAsia"/>
              </w:rPr>
              <w:t>2</w:t>
            </w:r>
          </w:p>
        </w:tc>
        <w:tc>
          <w:tcPr>
            <w:tcW w:w="952" w:type="dxa"/>
            <w:vAlign w:val="center"/>
          </w:tcPr>
          <w:p w14:paraId="7C469C43">
            <w:pPr>
              <w:jc w:val="center"/>
            </w:pPr>
            <w:r>
              <w:rPr>
                <w:rFonts w:hint="eastAsia"/>
                <w:szCs w:val="21"/>
              </w:rPr>
              <w:t>新建</w:t>
            </w:r>
          </w:p>
        </w:tc>
      </w:tr>
      <w:tr w14:paraId="2316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751D5550">
            <w:pPr>
              <w:jc w:val="center"/>
              <w:rPr>
                <w:szCs w:val="21"/>
              </w:rPr>
            </w:pPr>
            <w:r>
              <w:rPr>
                <w:szCs w:val="21"/>
              </w:rPr>
              <w:t>6</w:t>
            </w:r>
          </w:p>
        </w:tc>
        <w:tc>
          <w:tcPr>
            <w:tcW w:w="1598" w:type="dxa"/>
            <w:vAlign w:val="center"/>
          </w:tcPr>
          <w:p w14:paraId="015EC551">
            <w:pPr>
              <w:adjustRightInd w:val="0"/>
              <w:snapToGrid w:val="0"/>
              <w:spacing w:line="240" w:lineRule="atLeast"/>
              <w:jc w:val="center"/>
              <w:textAlignment w:val="baseline"/>
              <w:rPr>
                <w:szCs w:val="21"/>
              </w:rPr>
            </w:pPr>
            <w:r>
              <w:rPr>
                <w:rFonts w:hint="eastAsia"/>
                <w:szCs w:val="21"/>
              </w:rPr>
              <w:t>Z-0006</w:t>
            </w:r>
          </w:p>
        </w:tc>
        <w:tc>
          <w:tcPr>
            <w:tcW w:w="4219" w:type="dxa"/>
            <w:vAlign w:val="center"/>
          </w:tcPr>
          <w:p w14:paraId="2BC47398">
            <w:pPr>
              <w:adjustRightInd w:val="0"/>
              <w:snapToGrid w:val="0"/>
              <w:spacing w:line="240" w:lineRule="atLeast"/>
              <w:jc w:val="center"/>
              <w:textAlignment w:val="baseline"/>
              <w:rPr>
                <w:szCs w:val="21"/>
              </w:rPr>
            </w:pPr>
            <w:r>
              <w:rPr>
                <w:rFonts w:hint="eastAsia"/>
                <w:szCs w:val="21"/>
              </w:rPr>
              <w:t>凝析油装车泵橇     54m</w:t>
            </w:r>
            <w:r>
              <w:rPr>
                <w:rFonts w:hint="eastAsia"/>
                <w:szCs w:val="21"/>
                <w:vertAlign w:val="superscript"/>
              </w:rPr>
              <w:t>3</w:t>
            </w:r>
            <w:r>
              <w:rPr>
                <w:rFonts w:hint="eastAsia"/>
                <w:szCs w:val="21"/>
              </w:rPr>
              <w:t>/h H=30m</w:t>
            </w:r>
          </w:p>
        </w:tc>
        <w:tc>
          <w:tcPr>
            <w:tcW w:w="728" w:type="dxa"/>
            <w:vAlign w:val="center"/>
          </w:tcPr>
          <w:p w14:paraId="2A93466B">
            <w:pPr>
              <w:pStyle w:val="66"/>
              <w:ind w:left="420" w:hanging="420"/>
              <w:jc w:val="center"/>
              <w:rPr>
                <w:szCs w:val="21"/>
              </w:rPr>
            </w:pPr>
            <w:r>
              <w:rPr>
                <w:szCs w:val="21"/>
              </w:rPr>
              <w:t>套</w:t>
            </w:r>
          </w:p>
        </w:tc>
        <w:tc>
          <w:tcPr>
            <w:tcW w:w="726" w:type="dxa"/>
            <w:vAlign w:val="center"/>
          </w:tcPr>
          <w:p w14:paraId="6F013EB0">
            <w:pPr>
              <w:adjustRightInd w:val="0"/>
              <w:snapToGrid w:val="0"/>
              <w:spacing w:line="240" w:lineRule="atLeast"/>
              <w:jc w:val="center"/>
              <w:textAlignment w:val="baseline"/>
            </w:pPr>
            <w:r>
              <w:rPr>
                <w:rFonts w:hint="eastAsia"/>
              </w:rPr>
              <w:t>1</w:t>
            </w:r>
          </w:p>
        </w:tc>
        <w:tc>
          <w:tcPr>
            <w:tcW w:w="952" w:type="dxa"/>
            <w:vAlign w:val="center"/>
          </w:tcPr>
          <w:p w14:paraId="1DCED6E5">
            <w:pPr>
              <w:jc w:val="center"/>
            </w:pPr>
            <w:r>
              <w:rPr>
                <w:rFonts w:hint="eastAsia"/>
                <w:szCs w:val="21"/>
              </w:rPr>
              <w:t>新建</w:t>
            </w:r>
          </w:p>
        </w:tc>
      </w:tr>
      <w:tr w14:paraId="258B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3D141653">
            <w:pPr>
              <w:jc w:val="center"/>
              <w:rPr>
                <w:szCs w:val="21"/>
              </w:rPr>
            </w:pPr>
            <w:r>
              <w:rPr>
                <w:szCs w:val="21"/>
              </w:rPr>
              <w:t>7</w:t>
            </w:r>
          </w:p>
        </w:tc>
        <w:tc>
          <w:tcPr>
            <w:tcW w:w="1598" w:type="dxa"/>
            <w:vAlign w:val="center"/>
          </w:tcPr>
          <w:p w14:paraId="46A94DFC">
            <w:pPr>
              <w:adjustRightInd w:val="0"/>
              <w:snapToGrid w:val="0"/>
              <w:spacing w:line="240" w:lineRule="atLeast"/>
              <w:jc w:val="center"/>
              <w:textAlignment w:val="baseline"/>
              <w:rPr>
                <w:szCs w:val="21"/>
              </w:rPr>
            </w:pPr>
            <w:r>
              <w:rPr>
                <w:rFonts w:hint="eastAsia"/>
                <w:szCs w:val="21"/>
              </w:rPr>
              <w:t>Z-0008</w:t>
            </w:r>
          </w:p>
        </w:tc>
        <w:tc>
          <w:tcPr>
            <w:tcW w:w="4219" w:type="dxa"/>
            <w:vAlign w:val="center"/>
          </w:tcPr>
          <w:p w14:paraId="6821A299">
            <w:pPr>
              <w:adjustRightInd w:val="0"/>
              <w:snapToGrid w:val="0"/>
              <w:spacing w:line="240" w:lineRule="atLeast"/>
              <w:jc w:val="center"/>
              <w:textAlignment w:val="baseline"/>
              <w:rPr>
                <w:szCs w:val="21"/>
              </w:rPr>
            </w:pPr>
            <w:r>
              <w:rPr>
                <w:rFonts w:hint="eastAsia"/>
                <w:szCs w:val="21"/>
              </w:rPr>
              <w:t>放空分液罐       1.0MPa  DN600</w:t>
            </w:r>
          </w:p>
        </w:tc>
        <w:tc>
          <w:tcPr>
            <w:tcW w:w="728" w:type="dxa"/>
            <w:vAlign w:val="center"/>
          </w:tcPr>
          <w:p w14:paraId="6D67B08E">
            <w:pPr>
              <w:pStyle w:val="66"/>
              <w:ind w:left="420" w:hanging="420"/>
              <w:jc w:val="center"/>
              <w:rPr>
                <w:szCs w:val="21"/>
              </w:rPr>
            </w:pPr>
            <w:r>
              <w:rPr>
                <w:szCs w:val="21"/>
              </w:rPr>
              <w:t>套</w:t>
            </w:r>
          </w:p>
        </w:tc>
        <w:tc>
          <w:tcPr>
            <w:tcW w:w="726" w:type="dxa"/>
            <w:vAlign w:val="center"/>
          </w:tcPr>
          <w:p w14:paraId="3DED23C8">
            <w:pPr>
              <w:adjustRightInd w:val="0"/>
              <w:snapToGrid w:val="0"/>
              <w:spacing w:line="240" w:lineRule="atLeast"/>
              <w:jc w:val="center"/>
              <w:textAlignment w:val="baseline"/>
            </w:pPr>
            <w:r>
              <w:rPr>
                <w:rFonts w:hint="eastAsia"/>
              </w:rPr>
              <w:t>1</w:t>
            </w:r>
          </w:p>
        </w:tc>
        <w:tc>
          <w:tcPr>
            <w:tcW w:w="952" w:type="dxa"/>
            <w:vAlign w:val="center"/>
          </w:tcPr>
          <w:p w14:paraId="4D829496">
            <w:pPr>
              <w:jc w:val="center"/>
            </w:pPr>
            <w:r>
              <w:rPr>
                <w:rFonts w:hint="eastAsia"/>
                <w:szCs w:val="21"/>
              </w:rPr>
              <w:t>新建</w:t>
            </w:r>
          </w:p>
        </w:tc>
      </w:tr>
      <w:tr w14:paraId="1502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624B7C68">
            <w:pPr>
              <w:jc w:val="center"/>
              <w:rPr>
                <w:szCs w:val="21"/>
              </w:rPr>
            </w:pPr>
            <w:r>
              <w:rPr>
                <w:szCs w:val="21"/>
              </w:rPr>
              <w:t>8</w:t>
            </w:r>
          </w:p>
        </w:tc>
        <w:tc>
          <w:tcPr>
            <w:tcW w:w="1598" w:type="dxa"/>
            <w:vAlign w:val="center"/>
          </w:tcPr>
          <w:p w14:paraId="04F08118">
            <w:pPr>
              <w:adjustRightInd w:val="0"/>
              <w:snapToGrid w:val="0"/>
              <w:spacing w:line="240" w:lineRule="atLeast"/>
              <w:jc w:val="center"/>
              <w:textAlignment w:val="baseline"/>
              <w:rPr>
                <w:szCs w:val="21"/>
              </w:rPr>
            </w:pPr>
            <w:r>
              <w:rPr>
                <w:rFonts w:hint="eastAsia"/>
                <w:szCs w:val="21"/>
              </w:rPr>
              <w:t>Z-0010</w:t>
            </w:r>
          </w:p>
        </w:tc>
        <w:tc>
          <w:tcPr>
            <w:tcW w:w="4219" w:type="dxa"/>
            <w:vAlign w:val="center"/>
          </w:tcPr>
          <w:p w14:paraId="19952AFF">
            <w:pPr>
              <w:adjustRightInd w:val="0"/>
              <w:snapToGrid w:val="0"/>
              <w:spacing w:line="240" w:lineRule="atLeast"/>
              <w:jc w:val="center"/>
              <w:textAlignment w:val="baseline"/>
              <w:rPr>
                <w:szCs w:val="21"/>
              </w:rPr>
            </w:pPr>
            <w:r>
              <w:rPr>
                <w:rFonts w:hint="eastAsia"/>
                <w:szCs w:val="21"/>
              </w:rPr>
              <w:t>燃料气分液包橇   1.0MPa  DN400</w:t>
            </w:r>
          </w:p>
        </w:tc>
        <w:tc>
          <w:tcPr>
            <w:tcW w:w="728" w:type="dxa"/>
            <w:vAlign w:val="center"/>
          </w:tcPr>
          <w:p w14:paraId="0A9F31BC">
            <w:pPr>
              <w:pStyle w:val="66"/>
              <w:ind w:left="420" w:hanging="420"/>
              <w:jc w:val="center"/>
              <w:rPr>
                <w:szCs w:val="21"/>
              </w:rPr>
            </w:pPr>
            <w:r>
              <w:rPr>
                <w:szCs w:val="21"/>
              </w:rPr>
              <w:t>套</w:t>
            </w:r>
          </w:p>
        </w:tc>
        <w:tc>
          <w:tcPr>
            <w:tcW w:w="726" w:type="dxa"/>
            <w:vAlign w:val="center"/>
          </w:tcPr>
          <w:p w14:paraId="1843BC83">
            <w:pPr>
              <w:adjustRightInd w:val="0"/>
              <w:snapToGrid w:val="0"/>
              <w:spacing w:line="240" w:lineRule="atLeast"/>
              <w:jc w:val="center"/>
              <w:textAlignment w:val="baseline"/>
            </w:pPr>
            <w:r>
              <w:rPr>
                <w:rFonts w:hint="eastAsia"/>
              </w:rPr>
              <w:t>1</w:t>
            </w:r>
          </w:p>
        </w:tc>
        <w:tc>
          <w:tcPr>
            <w:tcW w:w="952" w:type="dxa"/>
            <w:vAlign w:val="center"/>
          </w:tcPr>
          <w:p w14:paraId="79A39E71">
            <w:pPr>
              <w:jc w:val="center"/>
            </w:pPr>
            <w:r>
              <w:rPr>
                <w:rFonts w:hint="eastAsia"/>
                <w:szCs w:val="21"/>
              </w:rPr>
              <w:t>新建</w:t>
            </w:r>
          </w:p>
        </w:tc>
      </w:tr>
      <w:tr w14:paraId="3223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12461620">
            <w:pPr>
              <w:jc w:val="center"/>
              <w:rPr>
                <w:szCs w:val="21"/>
              </w:rPr>
            </w:pPr>
            <w:r>
              <w:rPr>
                <w:szCs w:val="21"/>
              </w:rPr>
              <w:t>9</w:t>
            </w:r>
          </w:p>
        </w:tc>
        <w:tc>
          <w:tcPr>
            <w:tcW w:w="1598" w:type="dxa"/>
            <w:vAlign w:val="center"/>
          </w:tcPr>
          <w:p w14:paraId="25CB91B5">
            <w:pPr>
              <w:adjustRightInd w:val="0"/>
              <w:snapToGrid w:val="0"/>
              <w:spacing w:line="240" w:lineRule="atLeast"/>
              <w:jc w:val="center"/>
              <w:textAlignment w:val="baseline"/>
              <w:rPr>
                <w:szCs w:val="21"/>
              </w:rPr>
            </w:pPr>
            <w:r>
              <w:rPr>
                <w:rFonts w:hint="eastAsia"/>
                <w:szCs w:val="21"/>
              </w:rPr>
              <w:t>ARM-0001</w:t>
            </w:r>
          </w:p>
        </w:tc>
        <w:tc>
          <w:tcPr>
            <w:tcW w:w="4219" w:type="dxa"/>
            <w:vAlign w:val="center"/>
          </w:tcPr>
          <w:p w14:paraId="0DA19C8E">
            <w:pPr>
              <w:adjustRightInd w:val="0"/>
              <w:snapToGrid w:val="0"/>
              <w:spacing w:line="240" w:lineRule="atLeast"/>
              <w:jc w:val="center"/>
              <w:textAlignment w:val="baseline"/>
              <w:rPr>
                <w:szCs w:val="21"/>
              </w:rPr>
            </w:pPr>
            <w:r>
              <w:rPr>
                <w:rFonts w:hint="eastAsia"/>
                <w:szCs w:val="21"/>
              </w:rPr>
              <w:t>凝析油装车鹤管橇   1.0MPa  DN80</w:t>
            </w:r>
          </w:p>
        </w:tc>
        <w:tc>
          <w:tcPr>
            <w:tcW w:w="728" w:type="dxa"/>
            <w:vAlign w:val="center"/>
          </w:tcPr>
          <w:p w14:paraId="0BFFB839">
            <w:pPr>
              <w:pStyle w:val="66"/>
              <w:ind w:left="420" w:hanging="420"/>
              <w:jc w:val="center"/>
              <w:rPr>
                <w:szCs w:val="21"/>
              </w:rPr>
            </w:pPr>
            <w:r>
              <w:rPr>
                <w:szCs w:val="21"/>
              </w:rPr>
              <w:t>套</w:t>
            </w:r>
          </w:p>
        </w:tc>
        <w:tc>
          <w:tcPr>
            <w:tcW w:w="726" w:type="dxa"/>
            <w:vAlign w:val="center"/>
          </w:tcPr>
          <w:p w14:paraId="6C4B24DE">
            <w:pPr>
              <w:adjustRightInd w:val="0"/>
              <w:snapToGrid w:val="0"/>
              <w:spacing w:line="240" w:lineRule="atLeast"/>
              <w:jc w:val="center"/>
              <w:textAlignment w:val="baseline"/>
            </w:pPr>
            <w:r>
              <w:rPr>
                <w:rFonts w:hint="eastAsia"/>
              </w:rPr>
              <w:t>1</w:t>
            </w:r>
          </w:p>
        </w:tc>
        <w:tc>
          <w:tcPr>
            <w:tcW w:w="952" w:type="dxa"/>
            <w:vAlign w:val="center"/>
          </w:tcPr>
          <w:p w14:paraId="19D24167">
            <w:pPr>
              <w:jc w:val="center"/>
            </w:pPr>
            <w:r>
              <w:rPr>
                <w:rFonts w:hint="eastAsia"/>
                <w:szCs w:val="21"/>
              </w:rPr>
              <w:t>新建</w:t>
            </w:r>
          </w:p>
        </w:tc>
      </w:tr>
      <w:tr w14:paraId="3CA0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20298A01">
            <w:pPr>
              <w:jc w:val="center"/>
              <w:rPr>
                <w:szCs w:val="21"/>
              </w:rPr>
            </w:pPr>
            <w:r>
              <w:rPr>
                <w:szCs w:val="21"/>
              </w:rPr>
              <w:t>10</w:t>
            </w:r>
          </w:p>
        </w:tc>
        <w:tc>
          <w:tcPr>
            <w:tcW w:w="1598" w:type="dxa"/>
            <w:vAlign w:val="center"/>
          </w:tcPr>
          <w:p w14:paraId="74A00C2C">
            <w:pPr>
              <w:adjustRightInd w:val="0"/>
              <w:snapToGrid w:val="0"/>
              <w:spacing w:line="240" w:lineRule="atLeast"/>
              <w:jc w:val="center"/>
              <w:textAlignment w:val="baseline"/>
              <w:rPr>
                <w:szCs w:val="21"/>
              </w:rPr>
            </w:pPr>
            <w:r>
              <w:rPr>
                <w:rFonts w:hint="eastAsia"/>
                <w:szCs w:val="21"/>
              </w:rPr>
              <w:t>TN-0002</w:t>
            </w:r>
          </w:p>
        </w:tc>
        <w:tc>
          <w:tcPr>
            <w:tcW w:w="4219" w:type="dxa"/>
            <w:vAlign w:val="center"/>
          </w:tcPr>
          <w:p w14:paraId="3AFFDC96">
            <w:pPr>
              <w:adjustRightInd w:val="0"/>
              <w:snapToGrid w:val="0"/>
              <w:spacing w:line="240" w:lineRule="atLeast"/>
              <w:jc w:val="center"/>
              <w:textAlignment w:val="baseline"/>
              <w:rPr>
                <w:szCs w:val="21"/>
              </w:rPr>
            </w:pPr>
            <w:r>
              <w:rPr>
                <w:rFonts w:hint="eastAsia"/>
                <w:szCs w:val="21"/>
              </w:rPr>
              <w:t>钢制气田水储罐     1.0MPa  50m</w:t>
            </w:r>
            <w:r>
              <w:rPr>
                <w:rFonts w:hint="eastAsia"/>
                <w:szCs w:val="21"/>
                <w:vertAlign w:val="superscript"/>
              </w:rPr>
              <w:t>3</w:t>
            </w:r>
          </w:p>
        </w:tc>
        <w:tc>
          <w:tcPr>
            <w:tcW w:w="728" w:type="dxa"/>
            <w:vAlign w:val="center"/>
          </w:tcPr>
          <w:p w14:paraId="04BE2FDA">
            <w:pPr>
              <w:pStyle w:val="66"/>
              <w:ind w:left="420" w:hanging="420"/>
              <w:jc w:val="center"/>
              <w:rPr>
                <w:szCs w:val="21"/>
              </w:rPr>
            </w:pPr>
            <w:r>
              <w:rPr>
                <w:szCs w:val="21"/>
              </w:rPr>
              <w:t>套</w:t>
            </w:r>
          </w:p>
        </w:tc>
        <w:tc>
          <w:tcPr>
            <w:tcW w:w="726" w:type="dxa"/>
            <w:vAlign w:val="center"/>
          </w:tcPr>
          <w:p w14:paraId="0F3E6B01">
            <w:pPr>
              <w:adjustRightInd w:val="0"/>
              <w:snapToGrid w:val="0"/>
              <w:spacing w:line="240" w:lineRule="atLeast"/>
              <w:jc w:val="center"/>
              <w:textAlignment w:val="baseline"/>
            </w:pPr>
            <w:r>
              <w:t>2</w:t>
            </w:r>
          </w:p>
        </w:tc>
        <w:tc>
          <w:tcPr>
            <w:tcW w:w="952" w:type="dxa"/>
            <w:vAlign w:val="center"/>
          </w:tcPr>
          <w:p w14:paraId="689BD0AA">
            <w:pPr>
              <w:jc w:val="center"/>
            </w:pPr>
            <w:r>
              <w:rPr>
                <w:rFonts w:hint="eastAsia"/>
                <w:szCs w:val="21"/>
              </w:rPr>
              <w:t>新建</w:t>
            </w:r>
          </w:p>
        </w:tc>
      </w:tr>
      <w:tr w14:paraId="2B13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066FF1EB">
            <w:pPr>
              <w:jc w:val="center"/>
              <w:rPr>
                <w:szCs w:val="21"/>
              </w:rPr>
            </w:pPr>
            <w:r>
              <w:rPr>
                <w:szCs w:val="21"/>
              </w:rPr>
              <w:t>11</w:t>
            </w:r>
          </w:p>
        </w:tc>
        <w:tc>
          <w:tcPr>
            <w:tcW w:w="1598" w:type="dxa"/>
            <w:vAlign w:val="center"/>
          </w:tcPr>
          <w:p w14:paraId="0FA07048">
            <w:pPr>
              <w:adjustRightInd w:val="0"/>
              <w:snapToGrid w:val="0"/>
              <w:spacing w:line="240" w:lineRule="atLeast"/>
              <w:jc w:val="center"/>
              <w:textAlignment w:val="baseline"/>
              <w:rPr>
                <w:szCs w:val="21"/>
              </w:rPr>
            </w:pPr>
            <w:r>
              <w:rPr>
                <w:rFonts w:hint="eastAsia"/>
                <w:szCs w:val="21"/>
              </w:rPr>
              <w:t>FL-0001</w:t>
            </w:r>
          </w:p>
        </w:tc>
        <w:tc>
          <w:tcPr>
            <w:tcW w:w="4219" w:type="dxa"/>
            <w:vAlign w:val="center"/>
          </w:tcPr>
          <w:p w14:paraId="19003E92">
            <w:pPr>
              <w:adjustRightInd w:val="0"/>
              <w:snapToGrid w:val="0"/>
              <w:spacing w:line="240" w:lineRule="atLeast"/>
              <w:jc w:val="center"/>
              <w:textAlignment w:val="baseline"/>
              <w:rPr>
                <w:szCs w:val="21"/>
              </w:rPr>
            </w:pPr>
            <w:r>
              <w:rPr>
                <w:rFonts w:hint="eastAsia"/>
                <w:szCs w:val="21"/>
              </w:rPr>
              <w:t>放空立管         DN100   H=15m</w:t>
            </w:r>
          </w:p>
        </w:tc>
        <w:tc>
          <w:tcPr>
            <w:tcW w:w="728" w:type="dxa"/>
            <w:vAlign w:val="center"/>
          </w:tcPr>
          <w:p w14:paraId="396D144C">
            <w:pPr>
              <w:pStyle w:val="66"/>
              <w:ind w:left="420" w:hanging="420"/>
              <w:jc w:val="center"/>
              <w:rPr>
                <w:szCs w:val="21"/>
              </w:rPr>
            </w:pPr>
            <w:r>
              <w:rPr>
                <w:szCs w:val="21"/>
              </w:rPr>
              <w:t>套</w:t>
            </w:r>
          </w:p>
        </w:tc>
        <w:tc>
          <w:tcPr>
            <w:tcW w:w="726" w:type="dxa"/>
            <w:vAlign w:val="center"/>
          </w:tcPr>
          <w:p w14:paraId="28B0765C">
            <w:pPr>
              <w:adjustRightInd w:val="0"/>
              <w:snapToGrid w:val="0"/>
              <w:spacing w:line="240" w:lineRule="atLeast"/>
              <w:jc w:val="center"/>
              <w:textAlignment w:val="baseline"/>
            </w:pPr>
            <w:r>
              <w:rPr>
                <w:rFonts w:hint="eastAsia"/>
              </w:rPr>
              <w:t>1</w:t>
            </w:r>
          </w:p>
        </w:tc>
        <w:tc>
          <w:tcPr>
            <w:tcW w:w="952" w:type="dxa"/>
            <w:vAlign w:val="center"/>
          </w:tcPr>
          <w:p w14:paraId="14B97D98">
            <w:pPr>
              <w:jc w:val="center"/>
            </w:pPr>
            <w:r>
              <w:rPr>
                <w:rFonts w:hint="eastAsia"/>
                <w:szCs w:val="21"/>
              </w:rPr>
              <w:t>新建</w:t>
            </w:r>
          </w:p>
        </w:tc>
      </w:tr>
      <w:tr w14:paraId="0083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6EE3A564">
            <w:pPr>
              <w:jc w:val="center"/>
              <w:rPr>
                <w:szCs w:val="21"/>
              </w:rPr>
            </w:pPr>
            <w:r>
              <w:rPr>
                <w:rFonts w:hint="eastAsia"/>
                <w:szCs w:val="21"/>
              </w:rPr>
              <w:t>1</w:t>
            </w:r>
            <w:r>
              <w:rPr>
                <w:szCs w:val="21"/>
              </w:rPr>
              <w:t>2</w:t>
            </w:r>
          </w:p>
        </w:tc>
        <w:tc>
          <w:tcPr>
            <w:tcW w:w="1598" w:type="dxa"/>
            <w:vAlign w:val="center"/>
          </w:tcPr>
          <w:p w14:paraId="2E4CD0FC">
            <w:pPr>
              <w:adjustRightInd w:val="0"/>
              <w:snapToGrid w:val="0"/>
              <w:spacing w:line="240" w:lineRule="atLeast"/>
              <w:jc w:val="center"/>
              <w:textAlignment w:val="baseline"/>
              <w:rPr>
                <w:szCs w:val="21"/>
              </w:rPr>
            </w:pPr>
            <w:r>
              <w:rPr>
                <w:szCs w:val="21"/>
              </w:rPr>
              <w:t>辅助生产板房</w:t>
            </w:r>
          </w:p>
        </w:tc>
        <w:tc>
          <w:tcPr>
            <w:tcW w:w="4219" w:type="dxa"/>
            <w:vAlign w:val="center"/>
          </w:tcPr>
          <w:p w14:paraId="53FA1D80">
            <w:pPr>
              <w:adjustRightInd w:val="0"/>
              <w:snapToGrid w:val="0"/>
              <w:spacing w:line="240" w:lineRule="atLeast"/>
              <w:jc w:val="center"/>
              <w:textAlignment w:val="baseline"/>
              <w:rPr>
                <w:szCs w:val="21"/>
              </w:rPr>
            </w:pPr>
            <w:r>
              <w:rPr>
                <w:szCs w:val="21"/>
              </w:rPr>
              <w:t>3.0m×</w:t>
            </w:r>
            <w:r>
              <w:rPr>
                <w:rFonts w:hint="eastAsia"/>
                <w:szCs w:val="21"/>
              </w:rPr>
              <w:t>10.</w:t>
            </w:r>
            <w:r>
              <w:rPr>
                <w:szCs w:val="21"/>
              </w:rPr>
              <w:t>0m</w:t>
            </w:r>
            <w:r>
              <w:rPr>
                <w:szCs w:val="21"/>
                <w:lang w:val="sv-SE"/>
              </w:rPr>
              <w:t>，</w:t>
            </w:r>
            <w:r>
              <w:rPr>
                <w:rFonts w:hint="eastAsia"/>
                <w:szCs w:val="21"/>
              </w:rPr>
              <w:t>两</w:t>
            </w:r>
            <w:r>
              <w:rPr>
                <w:szCs w:val="21"/>
                <w:lang w:val="sv-SE"/>
              </w:rPr>
              <w:t>间式</w:t>
            </w:r>
          </w:p>
        </w:tc>
        <w:tc>
          <w:tcPr>
            <w:tcW w:w="728" w:type="dxa"/>
            <w:vAlign w:val="center"/>
          </w:tcPr>
          <w:p w14:paraId="3D4A9C0E">
            <w:pPr>
              <w:pStyle w:val="66"/>
              <w:ind w:left="420" w:hanging="420"/>
              <w:jc w:val="center"/>
              <w:rPr>
                <w:szCs w:val="21"/>
              </w:rPr>
            </w:pPr>
            <w:r>
              <w:rPr>
                <w:szCs w:val="21"/>
              </w:rPr>
              <w:t>座</w:t>
            </w:r>
          </w:p>
        </w:tc>
        <w:tc>
          <w:tcPr>
            <w:tcW w:w="726" w:type="dxa"/>
            <w:vAlign w:val="center"/>
          </w:tcPr>
          <w:p w14:paraId="725195C8">
            <w:pPr>
              <w:adjustRightInd w:val="0"/>
              <w:snapToGrid w:val="0"/>
              <w:spacing w:line="240" w:lineRule="atLeast"/>
              <w:jc w:val="center"/>
              <w:textAlignment w:val="baseline"/>
            </w:pPr>
            <w:r>
              <w:rPr>
                <w:szCs w:val="21"/>
              </w:rPr>
              <w:t>1</w:t>
            </w:r>
          </w:p>
        </w:tc>
        <w:tc>
          <w:tcPr>
            <w:tcW w:w="952" w:type="dxa"/>
            <w:vAlign w:val="center"/>
          </w:tcPr>
          <w:p w14:paraId="3EEC0B8C">
            <w:pPr>
              <w:jc w:val="center"/>
              <w:rPr>
                <w:szCs w:val="21"/>
              </w:rPr>
            </w:pPr>
            <w:r>
              <w:rPr>
                <w:rFonts w:hint="eastAsia"/>
                <w:szCs w:val="21"/>
              </w:rPr>
              <w:t>新建</w:t>
            </w:r>
          </w:p>
        </w:tc>
      </w:tr>
      <w:tr w14:paraId="170B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1B281BBA">
            <w:pPr>
              <w:jc w:val="center"/>
              <w:rPr>
                <w:szCs w:val="21"/>
              </w:rPr>
            </w:pPr>
            <w:r>
              <w:rPr>
                <w:rFonts w:hint="eastAsia"/>
                <w:szCs w:val="21"/>
              </w:rPr>
              <w:t>1</w:t>
            </w:r>
            <w:r>
              <w:rPr>
                <w:szCs w:val="21"/>
              </w:rPr>
              <w:t>3</w:t>
            </w:r>
          </w:p>
        </w:tc>
        <w:tc>
          <w:tcPr>
            <w:tcW w:w="1598" w:type="dxa"/>
            <w:vAlign w:val="center"/>
          </w:tcPr>
          <w:p w14:paraId="6CBC6C62">
            <w:pPr>
              <w:adjustRightInd w:val="0"/>
              <w:snapToGrid w:val="0"/>
              <w:spacing w:line="240" w:lineRule="atLeast"/>
              <w:jc w:val="center"/>
              <w:textAlignment w:val="baseline"/>
              <w:rPr>
                <w:szCs w:val="21"/>
              </w:rPr>
            </w:pPr>
            <w:r>
              <w:rPr>
                <w:rFonts w:hint="eastAsia"/>
                <w:szCs w:val="21"/>
              </w:rPr>
              <w:t>移动厕所</w:t>
            </w:r>
          </w:p>
        </w:tc>
        <w:tc>
          <w:tcPr>
            <w:tcW w:w="4219" w:type="dxa"/>
            <w:vAlign w:val="center"/>
          </w:tcPr>
          <w:p w14:paraId="1396E630">
            <w:pPr>
              <w:adjustRightInd w:val="0"/>
              <w:snapToGrid w:val="0"/>
              <w:spacing w:line="240" w:lineRule="atLeast"/>
              <w:jc w:val="center"/>
              <w:textAlignment w:val="baseline"/>
              <w:rPr>
                <w:szCs w:val="21"/>
              </w:rPr>
            </w:pPr>
            <w:r>
              <w:rPr>
                <w:szCs w:val="21"/>
              </w:rPr>
              <w:t>3.0m×2.4m×3.0m</w:t>
            </w:r>
          </w:p>
        </w:tc>
        <w:tc>
          <w:tcPr>
            <w:tcW w:w="728" w:type="dxa"/>
            <w:vAlign w:val="center"/>
          </w:tcPr>
          <w:p w14:paraId="1F097936">
            <w:pPr>
              <w:pStyle w:val="66"/>
              <w:ind w:left="420" w:hanging="420"/>
              <w:jc w:val="center"/>
              <w:rPr>
                <w:szCs w:val="21"/>
              </w:rPr>
            </w:pPr>
            <w:r>
              <w:rPr>
                <w:szCs w:val="21"/>
              </w:rPr>
              <w:t>座</w:t>
            </w:r>
          </w:p>
        </w:tc>
        <w:tc>
          <w:tcPr>
            <w:tcW w:w="726" w:type="dxa"/>
            <w:vAlign w:val="center"/>
          </w:tcPr>
          <w:p w14:paraId="497BC1D1">
            <w:pPr>
              <w:adjustRightInd w:val="0"/>
              <w:snapToGrid w:val="0"/>
              <w:spacing w:line="240" w:lineRule="atLeast"/>
              <w:jc w:val="center"/>
              <w:textAlignment w:val="baseline"/>
            </w:pPr>
            <w:r>
              <w:rPr>
                <w:szCs w:val="21"/>
              </w:rPr>
              <w:t>1</w:t>
            </w:r>
          </w:p>
        </w:tc>
        <w:tc>
          <w:tcPr>
            <w:tcW w:w="952" w:type="dxa"/>
            <w:vAlign w:val="center"/>
          </w:tcPr>
          <w:p w14:paraId="2BC7476B">
            <w:pPr>
              <w:jc w:val="center"/>
              <w:rPr>
                <w:szCs w:val="21"/>
              </w:rPr>
            </w:pPr>
            <w:r>
              <w:rPr>
                <w:rFonts w:hint="eastAsia"/>
                <w:szCs w:val="21"/>
              </w:rPr>
              <w:t>新建</w:t>
            </w:r>
          </w:p>
        </w:tc>
      </w:tr>
      <w:tr w14:paraId="5237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946" w:type="dxa"/>
            <w:gridSpan w:val="6"/>
            <w:vAlign w:val="center"/>
          </w:tcPr>
          <w:p w14:paraId="3754FB40">
            <w:pPr>
              <w:jc w:val="center"/>
              <w:rPr>
                <w:szCs w:val="21"/>
              </w:rPr>
            </w:pPr>
            <w:r>
              <w:rPr>
                <w:rFonts w:hint="eastAsia"/>
                <w:szCs w:val="21"/>
              </w:rPr>
              <w:t>二、C</w:t>
            </w:r>
            <w:r>
              <w:rPr>
                <w:szCs w:val="21"/>
              </w:rPr>
              <w:t>NG</w:t>
            </w:r>
            <w:r>
              <w:rPr>
                <w:rFonts w:hint="eastAsia"/>
                <w:szCs w:val="21"/>
              </w:rPr>
              <w:t>装置区</w:t>
            </w:r>
          </w:p>
        </w:tc>
      </w:tr>
      <w:tr w14:paraId="53BA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320032D9">
            <w:pPr>
              <w:jc w:val="center"/>
              <w:rPr>
                <w:szCs w:val="21"/>
              </w:rPr>
            </w:pPr>
            <w:r>
              <w:rPr>
                <w:szCs w:val="21"/>
              </w:rPr>
              <w:t>1</w:t>
            </w:r>
          </w:p>
        </w:tc>
        <w:tc>
          <w:tcPr>
            <w:tcW w:w="1598" w:type="dxa"/>
            <w:vAlign w:val="center"/>
          </w:tcPr>
          <w:p w14:paraId="4CAB866C">
            <w:pPr>
              <w:adjustRightInd w:val="0"/>
              <w:snapToGrid w:val="0"/>
              <w:spacing w:line="240" w:lineRule="atLeast"/>
              <w:jc w:val="center"/>
              <w:textAlignment w:val="baseline"/>
              <w:rPr>
                <w:szCs w:val="21"/>
              </w:rPr>
            </w:pPr>
            <w:r>
              <w:rPr>
                <w:rFonts w:hint="eastAsia"/>
                <w:szCs w:val="21"/>
              </w:rPr>
              <w:t>X</w:t>
            </w:r>
            <w:r>
              <w:rPr>
                <w:szCs w:val="21"/>
              </w:rPr>
              <w:t>-0101</w:t>
            </w:r>
          </w:p>
        </w:tc>
        <w:tc>
          <w:tcPr>
            <w:tcW w:w="4219" w:type="dxa"/>
            <w:vAlign w:val="center"/>
          </w:tcPr>
          <w:p w14:paraId="6B50C409">
            <w:pPr>
              <w:adjustRightInd w:val="0"/>
              <w:snapToGrid w:val="0"/>
              <w:spacing w:line="240" w:lineRule="atLeast"/>
              <w:jc w:val="center"/>
              <w:textAlignment w:val="baseline"/>
              <w:rPr>
                <w:szCs w:val="21"/>
              </w:rPr>
            </w:pPr>
            <w:r>
              <w:rPr>
                <w:szCs w:val="21"/>
              </w:rPr>
              <w:t>脱水压缩橇</w:t>
            </w:r>
            <w:r>
              <w:rPr>
                <w:rFonts w:hint="eastAsia"/>
                <w:szCs w:val="21"/>
              </w:rPr>
              <w:t xml:space="preserve"> </w:t>
            </w:r>
            <w:r>
              <w:rPr>
                <w:szCs w:val="21"/>
              </w:rPr>
              <w:t xml:space="preserve">  25MPa  11.5m×3m</w:t>
            </w:r>
          </w:p>
        </w:tc>
        <w:tc>
          <w:tcPr>
            <w:tcW w:w="728" w:type="dxa"/>
            <w:vAlign w:val="center"/>
          </w:tcPr>
          <w:p w14:paraId="147D6F34">
            <w:pPr>
              <w:pStyle w:val="66"/>
              <w:ind w:left="420" w:hanging="420"/>
              <w:jc w:val="center"/>
              <w:rPr>
                <w:szCs w:val="21"/>
              </w:rPr>
            </w:pPr>
            <w:r>
              <w:rPr>
                <w:szCs w:val="21"/>
              </w:rPr>
              <w:t>套</w:t>
            </w:r>
          </w:p>
        </w:tc>
        <w:tc>
          <w:tcPr>
            <w:tcW w:w="726" w:type="dxa"/>
            <w:vAlign w:val="center"/>
          </w:tcPr>
          <w:p w14:paraId="2B1FE0F4">
            <w:pPr>
              <w:adjustRightInd w:val="0"/>
              <w:snapToGrid w:val="0"/>
              <w:spacing w:line="240" w:lineRule="atLeast"/>
              <w:jc w:val="center"/>
              <w:textAlignment w:val="baseline"/>
            </w:pPr>
            <w:r>
              <w:rPr>
                <w:rFonts w:hint="eastAsia"/>
              </w:rPr>
              <w:t>1</w:t>
            </w:r>
          </w:p>
        </w:tc>
        <w:tc>
          <w:tcPr>
            <w:tcW w:w="952" w:type="dxa"/>
            <w:vAlign w:val="center"/>
          </w:tcPr>
          <w:p w14:paraId="0105B9ED">
            <w:pPr>
              <w:jc w:val="center"/>
              <w:rPr>
                <w:szCs w:val="21"/>
              </w:rPr>
            </w:pPr>
            <w:r>
              <w:rPr>
                <w:rFonts w:hint="eastAsia"/>
                <w:szCs w:val="21"/>
              </w:rPr>
              <w:t>新建</w:t>
            </w:r>
          </w:p>
        </w:tc>
      </w:tr>
      <w:tr w14:paraId="5D83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5EC258BB">
            <w:pPr>
              <w:jc w:val="center"/>
              <w:rPr>
                <w:szCs w:val="21"/>
              </w:rPr>
            </w:pPr>
            <w:r>
              <w:rPr>
                <w:szCs w:val="21"/>
              </w:rPr>
              <w:t>2</w:t>
            </w:r>
          </w:p>
        </w:tc>
        <w:tc>
          <w:tcPr>
            <w:tcW w:w="1598" w:type="dxa"/>
            <w:vAlign w:val="center"/>
          </w:tcPr>
          <w:p w14:paraId="60D2E243">
            <w:pPr>
              <w:adjustRightInd w:val="0"/>
              <w:snapToGrid w:val="0"/>
              <w:spacing w:line="240" w:lineRule="atLeast"/>
              <w:jc w:val="center"/>
              <w:textAlignment w:val="baseline"/>
              <w:rPr>
                <w:szCs w:val="21"/>
              </w:rPr>
            </w:pPr>
            <w:r>
              <w:rPr>
                <w:szCs w:val="21"/>
              </w:rPr>
              <w:t>TN-0101</w:t>
            </w:r>
          </w:p>
        </w:tc>
        <w:tc>
          <w:tcPr>
            <w:tcW w:w="4219" w:type="dxa"/>
            <w:vAlign w:val="center"/>
          </w:tcPr>
          <w:p w14:paraId="153F0680">
            <w:pPr>
              <w:adjustRightInd w:val="0"/>
              <w:snapToGrid w:val="0"/>
              <w:spacing w:line="240" w:lineRule="atLeast"/>
              <w:jc w:val="center"/>
              <w:textAlignment w:val="baseline"/>
              <w:rPr>
                <w:szCs w:val="21"/>
              </w:rPr>
            </w:pPr>
            <w:r>
              <w:rPr>
                <w:szCs w:val="21"/>
              </w:rPr>
              <w:t>钢制污水罐</w:t>
            </w:r>
            <w:r>
              <w:rPr>
                <w:rFonts w:hint="eastAsia"/>
                <w:szCs w:val="21"/>
              </w:rPr>
              <w:t xml:space="preserve"> </w:t>
            </w:r>
            <w:r>
              <w:rPr>
                <w:szCs w:val="21"/>
              </w:rPr>
              <w:t xml:space="preserve"> 1.6MPa  2</w:t>
            </w:r>
            <w:r>
              <w:rPr>
                <w:rFonts w:hint="eastAsia"/>
                <w:szCs w:val="21"/>
              </w:rPr>
              <w:t>0m</w:t>
            </w:r>
            <w:r>
              <w:rPr>
                <w:rFonts w:hint="eastAsia"/>
                <w:szCs w:val="21"/>
                <w:vertAlign w:val="superscript"/>
              </w:rPr>
              <w:t>3</w:t>
            </w:r>
          </w:p>
        </w:tc>
        <w:tc>
          <w:tcPr>
            <w:tcW w:w="728" w:type="dxa"/>
            <w:vAlign w:val="center"/>
          </w:tcPr>
          <w:p w14:paraId="2DE90E07">
            <w:pPr>
              <w:pStyle w:val="66"/>
              <w:ind w:left="420" w:hanging="420"/>
              <w:jc w:val="center"/>
              <w:rPr>
                <w:szCs w:val="21"/>
              </w:rPr>
            </w:pPr>
            <w:r>
              <w:rPr>
                <w:szCs w:val="21"/>
              </w:rPr>
              <w:t>套</w:t>
            </w:r>
          </w:p>
        </w:tc>
        <w:tc>
          <w:tcPr>
            <w:tcW w:w="726" w:type="dxa"/>
            <w:vAlign w:val="center"/>
          </w:tcPr>
          <w:p w14:paraId="60CBFEDA">
            <w:pPr>
              <w:adjustRightInd w:val="0"/>
              <w:snapToGrid w:val="0"/>
              <w:spacing w:line="240" w:lineRule="atLeast"/>
              <w:jc w:val="center"/>
              <w:textAlignment w:val="baseline"/>
            </w:pPr>
            <w:r>
              <w:rPr>
                <w:rFonts w:hint="eastAsia"/>
              </w:rPr>
              <w:t>1</w:t>
            </w:r>
          </w:p>
        </w:tc>
        <w:tc>
          <w:tcPr>
            <w:tcW w:w="952" w:type="dxa"/>
            <w:vAlign w:val="center"/>
          </w:tcPr>
          <w:p w14:paraId="0CFCE902">
            <w:pPr>
              <w:jc w:val="center"/>
              <w:rPr>
                <w:szCs w:val="21"/>
              </w:rPr>
            </w:pPr>
            <w:r>
              <w:rPr>
                <w:rFonts w:hint="eastAsia"/>
                <w:szCs w:val="21"/>
              </w:rPr>
              <w:t>新建</w:t>
            </w:r>
          </w:p>
        </w:tc>
      </w:tr>
      <w:tr w14:paraId="6D3B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32549329">
            <w:pPr>
              <w:jc w:val="center"/>
              <w:rPr>
                <w:szCs w:val="21"/>
              </w:rPr>
            </w:pPr>
            <w:r>
              <w:rPr>
                <w:rFonts w:hint="eastAsia"/>
                <w:szCs w:val="21"/>
              </w:rPr>
              <w:t>3</w:t>
            </w:r>
          </w:p>
        </w:tc>
        <w:tc>
          <w:tcPr>
            <w:tcW w:w="1598" w:type="dxa"/>
            <w:vAlign w:val="center"/>
          </w:tcPr>
          <w:p w14:paraId="719E5FD0">
            <w:pPr>
              <w:adjustRightInd w:val="0"/>
              <w:snapToGrid w:val="0"/>
              <w:spacing w:line="240" w:lineRule="atLeast"/>
              <w:jc w:val="center"/>
              <w:textAlignment w:val="baseline"/>
              <w:rPr>
                <w:szCs w:val="21"/>
              </w:rPr>
            </w:pPr>
            <w:r>
              <w:rPr>
                <w:rFonts w:hint="eastAsia"/>
                <w:szCs w:val="21"/>
              </w:rPr>
              <w:t>X</w:t>
            </w:r>
            <w:r>
              <w:rPr>
                <w:szCs w:val="21"/>
              </w:rPr>
              <w:t>-0102</w:t>
            </w:r>
            <w:r>
              <w:rPr>
                <w:rFonts w:hint="eastAsia"/>
                <w:szCs w:val="21"/>
              </w:rPr>
              <w:t>/X</w:t>
            </w:r>
            <w:r>
              <w:rPr>
                <w:szCs w:val="21"/>
              </w:rPr>
              <w:t>-010</w:t>
            </w:r>
            <w:r>
              <w:rPr>
                <w:rFonts w:hint="eastAsia"/>
                <w:szCs w:val="21"/>
              </w:rPr>
              <w:t>3</w:t>
            </w:r>
          </w:p>
        </w:tc>
        <w:tc>
          <w:tcPr>
            <w:tcW w:w="4219" w:type="dxa"/>
            <w:vAlign w:val="center"/>
          </w:tcPr>
          <w:p w14:paraId="63CE992F">
            <w:pPr>
              <w:adjustRightInd w:val="0"/>
              <w:snapToGrid w:val="0"/>
              <w:spacing w:line="240" w:lineRule="atLeast"/>
              <w:jc w:val="center"/>
              <w:textAlignment w:val="baseline"/>
              <w:rPr>
                <w:szCs w:val="21"/>
              </w:rPr>
            </w:pPr>
            <w:r>
              <w:rPr>
                <w:szCs w:val="21"/>
              </w:rPr>
              <w:t>加气柱</w:t>
            </w:r>
            <w:r>
              <w:rPr>
                <w:rFonts w:hint="eastAsia"/>
                <w:szCs w:val="21"/>
              </w:rPr>
              <w:t xml:space="preserve"> </w:t>
            </w:r>
            <w:r>
              <w:rPr>
                <w:szCs w:val="21"/>
              </w:rPr>
              <w:t xml:space="preserve">  </w:t>
            </w:r>
            <w:r>
              <w:rPr>
                <w:kern w:val="0"/>
                <w:szCs w:val="21"/>
              </w:rPr>
              <w:t>0.5m</w:t>
            </w:r>
            <w:r>
              <w:rPr>
                <w:kern w:val="0"/>
                <w:szCs w:val="21"/>
                <w:vertAlign w:val="superscript"/>
              </w:rPr>
              <w:t>3</w:t>
            </w:r>
            <w:r>
              <w:rPr>
                <w:kern w:val="0"/>
                <w:szCs w:val="21"/>
              </w:rPr>
              <w:t>/min</w:t>
            </w:r>
          </w:p>
        </w:tc>
        <w:tc>
          <w:tcPr>
            <w:tcW w:w="728" w:type="dxa"/>
            <w:vAlign w:val="center"/>
          </w:tcPr>
          <w:p w14:paraId="07D78C33">
            <w:pPr>
              <w:pStyle w:val="66"/>
              <w:ind w:left="420" w:hanging="420"/>
              <w:jc w:val="center"/>
              <w:rPr>
                <w:szCs w:val="21"/>
              </w:rPr>
            </w:pPr>
            <w:r>
              <w:rPr>
                <w:szCs w:val="21"/>
              </w:rPr>
              <w:t>套</w:t>
            </w:r>
          </w:p>
        </w:tc>
        <w:tc>
          <w:tcPr>
            <w:tcW w:w="726" w:type="dxa"/>
            <w:vAlign w:val="center"/>
          </w:tcPr>
          <w:p w14:paraId="732A381F">
            <w:pPr>
              <w:adjustRightInd w:val="0"/>
              <w:snapToGrid w:val="0"/>
              <w:spacing w:line="240" w:lineRule="atLeast"/>
              <w:jc w:val="center"/>
              <w:textAlignment w:val="baseline"/>
            </w:pPr>
            <w:r>
              <w:t>2</w:t>
            </w:r>
          </w:p>
        </w:tc>
        <w:tc>
          <w:tcPr>
            <w:tcW w:w="952" w:type="dxa"/>
            <w:vAlign w:val="center"/>
          </w:tcPr>
          <w:p w14:paraId="35B7F4EC">
            <w:pPr>
              <w:jc w:val="center"/>
              <w:rPr>
                <w:szCs w:val="21"/>
              </w:rPr>
            </w:pPr>
            <w:r>
              <w:rPr>
                <w:rFonts w:hint="eastAsia"/>
                <w:szCs w:val="21"/>
              </w:rPr>
              <w:t>新建</w:t>
            </w:r>
          </w:p>
        </w:tc>
      </w:tr>
      <w:tr w14:paraId="4D8F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346C3CD6">
            <w:pPr>
              <w:jc w:val="center"/>
              <w:rPr>
                <w:szCs w:val="21"/>
              </w:rPr>
            </w:pPr>
            <w:bookmarkStart w:id="155" w:name="OLE_LINK35"/>
            <w:bookmarkStart w:id="156" w:name="OLE_LINK34"/>
            <w:r>
              <w:rPr>
                <w:rFonts w:hint="eastAsia"/>
                <w:szCs w:val="21"/>
              </w:rPr>
              <w:t>4</w:t>
            </w:r>
          </w:p>
        </w:tc>
        <w:tc>
          <w:tcPr>
            <w:tcW w:w="1598" w:type="dxa"/>
            <w:vAlign w:val="center"/>
          </w:tcPr>
          <w:p w14:paraId="3766BFF9">
            <w:pPr>
              <w:jc w:val="center"/>
              <w:rPr>
                <w:szCs w:val="21"/>
              </w:rPr>
            </w:pPr>
            <w:r>
              <w:rPr>
                <w:szCs w:val="21"/>
              </w:rPr>
              <w:t>值班室</w:t>
            </w:r>
          </w:p>
        </w:tc>
        <w:tc>
          <w:tcPr>
            <w:tcW w:w="4219" w:type="dxa"/>
            <w:vAlign w:val="center"/>
          </w:tcPr>
          <w:p w14:paraId="7BDF9250">
            <w:pPr>
              <w:jc w:val="center"/>
              <w:rPr>
                <w:szCs w:val="21"/>
              </w:rPr>
            </w:pPr>
            <w:r>
              <w:rPr>
                <w:szCs w:val="21"/>
              </w:rPr>
              <w:t>7.1m×3m</w:t>
            </w:r>
          </w:p>
        </w:tc>
        <w:tc>
          <w:tcPr>
            <w:tcW w:w="728" w:type="dxa"/>
            <w:vAlign w:val="center"/>
          </w:tcPr>
          <w:p w14:paraId="4AFD059E">
            <w:pPr>
              <w:snapToGrid w:val="0"/>
              <w:jc w:val="center"/>
              <w:rPr>
                <w:szCs w:val="21"/>
              </w:rPr>
            </w:pPr>
            <w:r>
              <w:rPr>
                <w:szCs w:val="21"/>
              </w:rPr>
              <w:t>套</w:t>
            </w:r>
          </w:p>
        </w:tc>
        <w:tc>
          <w:tcPr>
            <w:tcW w:w="726" w:type="dxa"/>
            <w:vAlign w:val="center"/>
          </w:tcPr>
          <w:p w14:paraId="67CD504B">
            <w:pPr>
              <w:snapToGrid w:val="0"/>
              <w:jc w:val="center"/>
              <w:rPr>
                <w:szCs w:val="21"/>
              </w:rPr>
            </w:pPr>
            <w:r>
              <w:rPr>
                <w:rFonts w:hint="eastAsia"/>
              </w:rPr>
              <w:t>1</w:t>
            </w:r>
          </w:p>
        </w:tc>
        <w:tc>
          <w:tcPr>
            <w:tcW w:w="952" w:type="dxa"/>
            <w:vAlign w:val="center"/>
          </w:tcPr>
          <w:p w14:paraId="4A8E3B8A">
            <w:pPr>
              <w:snapToGrid w:val="0"/>
              <w:jc w:val="center"/>
              <w:rPr>
                <w:szCs w:val="21"/>
              </w:rPr>
            </w:pPr>
            <w:r>
              <w:rPr>
                <w:rFonts w:hint="eastAsia"/>
                <w:szCs w:val="21"/>
              </w:rPr>
              <w:t>新建</w:t>
            </w:r>
          </w:p>
        </w:tc>
      </w:tr>
      <w:tr w14:paraId="72A72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02CD674D">
            <w:pPr>
              <w:jc w:val="center"/>
              <w:rPr>
                <w:szCs w:val="21"/>
              </w:rPr>
            </w:pPr>
            <w:r>
              <w:rPr>
                <w:rFonts w:hint="eastAsia"/>
                <w:szCs w:val="21"/>
              </w:rPr>
              <w:t>5</w:t>
            </w:r>
          </w:p>
        </w:tc>
        <w:tc>
          <w:tcPr>
            <w:tcW w:w="1598" w:type="dxa"/>
            <w:vAlign w:val="center"/>
          </w:tcPr>
          <w:p w14:paraId="1D00B663">
            <w:pPr>
              <w:jc w:val="center"/>
              <w:rPr>
                <w:szCs w:val="21"/>
              </w:rPr>
            </w:pPr>
            <w:r>
              <w:rPr>
                <w:szCs w:val="21"/>
              </w:rPr>
              <w:t>厕所</w:t>
            </w:r>
          </w:p>
        </w:tc>
        <w:tc>
          <w:tcPr>
            <w:tcW w:w="4219" w:type="dxa"/>
            <w:vAlign w:val="center"/>
          </w:tcPr>
          <w:p w14:paraId="3F61BD66">
            <w:pPr>
              <w:jc w:val="center"/>
              <w:rPr>
                <w:szCs w:val="21"/>
              </w:rPr>
            </w:pPr>
            <w:r>
              <w:rPr>
                <w:szCs w:val="21"/>
              </w:rPr>
              <w:t>3.0m×2.4m×3.0m</w:t>
            </w:r>
          </w:p>
        </w:tc>
        <w:tc>
          <w:tcPr>
            <w:tcW w:w="728" w:type="dxa"/>
            <w:vAlign w:val="center"/>
          </w:tcPr>
          <w:p w14:paraId="23ABBCD6">
            <w:pPr>
              <w:snapToGrid w:val="0"/>
              <w:jc w:val="center"/>
              <w:rPr>
                <w:szCs w:val="21"/>
              </w:rPr>
            </w:pPr>
            <w:r>
              <w:rPr>
                <w:szCs w:val="21"/>
              </w:rPr>
              <w:t>套</w:t>
            </w:r>
          </w:p>
        </w:tc>
        <w:tc>
          <w:tcPr>
            <w:tcW w:w="726" w:type="dxa"/>
            <w:vAlign w:val="center"/>
          </w:tcPr>
          <w:p w14:paraId="0E781BDC">
            <w:pPr>
              <w:snapToGrid w:val="0"/>
              <w:jc w:val="center"/>
              <w:rPr>
                <w:szCs w:val="21"/>
              </w:rPr>
            </w:pPr>
            <w:r>
              <w:rPr>
                <w:szCs w:val="21"/>
              </w:rPr>
              <w:t>1</w:t>
            </w:r>
          </w:p>
        </w:tc>
        <w:tc>
          <w:tcPr>
            <w:tcW w:w="952" w:type="dxa"/>
            <w:vAlign w:val="center"/>
          </w:tcPr>
          <w:p w14:paraId="30D190A7">
            <w:pPr>
              <w:snapToGrid w:val="0"/>
              <w:jc w:val="center"/>
              <w:rPr>
                <w:szCs w:val="21"/>
              </w:rPr>
            </w:pPr>
            <w:r>
              <w:rPr>
                <w:rFonts w:hint="eastAsia"/>
                <w:szCs w:val="21"/>
              </w:rPr>
              <w:t>新建</w:t>
            </w:r>
          </w:p>
        </w:tc>
      </w:tr>
      <w:tr w14:paraId="23B0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23" w:type="dxa"/>
            <w:vAlign w:val="center"/>
          </w:tcPr>
          <w:p w14:paraId="1175CE7D">
            <w:pPr>
              <w:jc w:val="center"/>
              <w:rPr>
                <w:szCs w:val="21"/>
              </w:rPr>
            </w:pPr>
            <w:r>
              <w:rPr>
                <w:szCs w:val="21"/>
              </w:rPr>
              <w:t>6</w:t>
            </w:r>
          </w:p>
        </w:tc>
        <w:tc>
          <w:tcPr>
            <w:tcW w:w="1598" w:type="dxa"/>
            <w:vAlign w:val="center"/>
          </w:tcPr>
          <w:p w14:paraId="6F7F5BF6">
            <w:pPr>
              <w:jc w:val="center"/>
              <w:rPr>
                <w:szCs w:val="21"/>
              </w:rPr>
            </w:pPr>
            <w:r>
              <w:rPr>
                <w:szCs w:val="21"/>
              </w:rPr>
              <w:t>化粪池</w:t>
            </w:r>
          </w:p>
        </w:tc>
        <w:tc>
          <w:tcPr>
            <w:tcW w:w="4219" w:type="dxa"/>
            <w:vAlign w:val="center"/>
          </w:tcPr>
          <w:p w14:paraId="03F7E24F">
            <w:pPr>
              <w:jc w:val="center"/>
              <w:rPr>
                <w:szCs w:val="21"/>
              </w:rPr>
            </w:pPr>
            <w:r>
              <w:rPr>
                <w:szCs w:val="21"/>
              </w:rPr>
              <w:t>2</w:t>
            </w:r>
            <w:r>
              <w:rPr>
                <w:rFonts w:hint="eastAsia"/>
                <w:szCs w:val="21"/>
              </w:rPr>
              <w:t>.</w:t>
            </w:r>
            <w:r>
              <w:rPr>
                <w:szCs w:val="21"/>
              </w:rPr>
              <w:t>9</w:t>
            </w:r>
            <w:r>
              <w:rPr>
                <w:rFonts w:hint="eastAsia"/>
                <w:szCs w:val="21"/>
              </w:rPr>
              <w:t>m</w:t>
            </w:r>
            <w:r>
              <w:rPr>
                <w:szCs w:val="21"/>
              </w:rPr>
              <w:t>×1</w:t>
            </w:r>
            <w:r>
              <w:rPr>
                <w:rFonts w:hint="eastAsia"/>
                <w:szCs w:val="21"/>
              </w:rPr>
              <w:t>.</w:t>
            </w:r>
            <w:r>
              <w:rPr>
                <w:szCs w:val="21"/>
              </w:rPr>
              <w:t>5</w:t>
            </w:r>
            <w:r>
              <w:rPr>
                <w:rFonts w:hint="eastAsia"/>
                <w:szCs w:val="21"/>
              </w:rPr>
              <w:t>m</w:t>
            </w:r>
          </w:p>
        </w:tc>
        <w:tc>
          <w:tcPr>
            <w:tcW w:w="728" w:type="dxa"/>
            <w:vAlign w:val="center"/>
          </w:tcPr>
          <w:p w14:paraId="57B1A094">
            <w:pPr>
              <w:snapToGrid w:val="0"/>
              <w:jc w:val="center"/>
              <w:rPr>
                <w:szCs w:val="21"/>
              </w:rPr>
            </w:pPr>
            <w:r>
              <w:rPr>
                <w:szCs w:val="21"/>
              </w:rPr>
              <w:t>套</w:t>
            </w:r>
          </w:p>
        </w:tc>
        <w:tc>
          <w:tcPr>
            <w:tcW w:w="726" w:type="dxa"/>
            <w:vAlign w:val="center"/>
          </w:tcPr>
          <w:p w14:paraId="546A2A3A">
            <w:pPr>
              <w:snapToGrid w:val="0"/>
              <w:jc w:val="center"/>
              <w:rPr>
                <w:szCs w:val="21"/>
              </w:rPr>
            </w:pPr>
            <w:r>
              <w:rPr>
                <w:szCs w:val="21"/>
              </w:rPr>
              <w:t>1</w:t>
            </w:r>
          </w:p>
        </w:tc>
        <w:tc>
          <w:tcPr>
            <w:tcW w:w="952" w:type="dxa"/>
            <w:vAlign w:val="center"/>
          </w:tcPr>
          <w:p w14:paraId="07E2D275">
            <w:pPr>
              <w:snapToGrid w:val="0"/>
              <w:jc w:val="center"/>
              <w:rPr>
                <w:szCs w:val="21"/>
              </w:rPr>
            </w:pPr>
            <w:r>
              <w:rPr>
                <w:rFonts w:hint="eastAsia"/>
                <w:szCs w:val="21"/>
              </w:rPr>
              <w:t>新建</w:t>
            </w:r>
          </w:p>
        </w:tc>
      </w:tr>
      <w:bookmarkEnd w:id="155"/>
      <w:bookmarkEnd w:id="156"/>
    </w:tbl>
    <w:p w14:paraId="476110B9">
      <w:pPr>
        <w:pStyle w:val="1379"/>
        <w:ind w:firstLine="440"/>
      </w:pPr>
    </w:p>
    <w:p w14:paraId="71CB7327">
      <w:pPr>
        <w:pStyle w:val="1381"/>
        <w:ind w:firstLine="522"/>
        <w:rPr>
          <w:b/>
        </w:rPr>
      </w:pPr>
      <w:r>
        <w:rPr>
          <w:rFonts w:hint="eastAsia"/>
          <w:b/>
        </w:rPr>
        <w:t>（2）能源消耗</w:t>
      </w:r>
    </w:p>
    <w:p w14:paraId="250D993A">
      <w:pPr>
        <w:pStyle w:val="1441"/>
        <w:spacing w:line="460" w:lineRule="exact"/>
        <w:ind w:firstLine="520" w:firstLineChars="200"/>
        <w:jc w:val="both"/>
      </w:pPr>
      <w:r>
        <w:rPr>
          <w:rFonts w:hint="eastAsia"/>
        </w:rPr>
        <w:t>本项目水套加热炉采用试采站自产天然气作为燃料，项目能源消耗见</w:t>
      </w:r>
      <w:r>
        <w:rPr>
          <w:rFonts w:hint="eastAsia"/>
          <w:u w:val="single"/>
        </w:rPr>
        <w:t>表2.</w:t>
      </w:r>
      <w:r>
        <w:rPr>
          <w:u w:val="single"/>
        </w:rPr>
        <w:t>4</w:t>
      </w:r>
      <w:r>
        <w:rPr>
          <w:rFonts w:hint="eastAsia"/>
          <w:u w:val="single"/>
        </w:rPr>
        <w:t>-</w:t>
      </w:r>
      <w:r>
        <w:rPr>
          <w:u w:val="single"/>
        </w:rPr>
        <w:t>3</w:t>
      </w:r>
      <w:r>
        <w:rPr>
          <w:rFonts w:hint="eastAsia"/>
        </w:rPr>
        <w:t>。</w:t>
      </w:r>
    </w:p>
    <w:p w14:paraId="15BC1BDE">
      <w:pPr>
        <w:pStyle w:val="1379"/>
        <w:ind w:firstLine="440"/>
      </w:pPr>
    </w:p>
    <w:p w14:paraId="6C85C64C">
      <w:pPr>
        <w:pStyle w:val="1441"/>
        <w:spacing w:line="460" w:lineRule="exact"/>
        <w:ind w:firstLine="520" w:firstLineChars="200"/>
      </w:pPr>
      <w:r>
        <w:rPr>
          <w:rFonts w:hint="eastAsia"/>
        </w:rPr>
        <w:t>表2</w:t>
      </w:r>
      <w:r>
        <w:t xml:space="preserve">.4-3   </w:t>
      </w:r>
      <w:r>
        <w:rPr>
          <w:rFonts w:hint="eastAsia"/>
        </w:rPr>
        <w:t>项目能源消耗表</w:t>
      </w:r>
    </w:p>
    <w:tbl>
      <w:tblPr>
        <w:tblStyle w:val="88"/>
        <w:tblW w:w="8866"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812"/>
        <w:gridCol w:w="2472"/>
        <w:gridCol w:w="3766"/>
        <w:gridCol w:w="1816"/>
      </w:tblGrid>
      <w:tr w14:paraId="72183DEF">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12" w:type="dxa"/>
            <w:tcBorders>
              <w:top w:val="single" w:color="auto" w:sz="2" w:space="0"/>
              <w:left w:val="single" w:color="auto" w:sz="6" w:space="0"/>
              <w:bottom w:val="single" w:color="auto" w:sz="6" w:space="0"/>
              <w:right w:val="single" w:color="auto" w:sz="6" w:space="0"/>
            </w:tcBorders>
            <w:tcMar>
              <w:top w:w="28" w:type="dxa"/>
              <w:left w:w="28" w:type="dxa"/>
              <w:bottom w:w="28" w:type="dxa"/>
              <w:right w:w="28" w:type="dxa"/>
            </w:tcMar>
            <w:vAlign w:val="center"/>
          </w:tcPr>
          <w:p w14:paraId="631549B8">
            <w:pPr>
              <w:adjustRightInd w:val="0"/>
              <w:snapToGrid w:val="0"/>
              <w:jc w:val="center"/>
              <w:rPr>
                <w:sz w:val="22"/>
                <w:szCs w:val="22"/>
              </w:rPr>
            </w:pPr>
            <w:r>
              <w:rPr>
                <w:rFonts w:hint="eastAsia"/>
                <w:sz w:val="22"/>
                <w:szCs w:val="22"/>
              </w:rPr>
              <w:t>序号</w:t>
            </w:r>
          </w:p>
        </w:tc>
        <w:tc>
          <w:tcPr>
            <w:tcW w:w="2472" w:type="dxa"/>
            <w:tcBorders>
              <w:top w:val="single" w:color="auto" w:sz="2" w:space="0"/>
              <w:left w:val="nil"/>
              <w:bottom w:val="single" w:color="auto" w:sz="6" w:space="0"/>
              <w:right w:val="single" w:color="auto" w:sz="6" w:space="0"/>
            </w:tcBorders>
            <w:tcMar>
              <w:top w:w="28" w:type="dxa"/>
              <w:left w:w="28" w:type="dxa"/>
              <w:bottom w:w="28" w:type="dxa"/>
              <w:right w:w="28" w:type="dxa"/>
            </w:tcMar>
            <w:vAlign w:val="center"/>
          </w:tcPr>
          <w:p w14:paraId="42B9F847">
            <w:pPr>
              <w:adjustRightInd w:val="0"/>
              <w:snapToGrid w:val="0"/>
              <w:jc w:val="center"/>
              <w:rPr>
                <w:sz w:val="22"/>
                <w:szCs w:val="22"/>
              </w:rPr>
            </w:pPr>
            <w:r>
              <w:rPr>
                <w:rFonts w:hint="eastAsia"/>
                <w:sz w:val="22"/>
                <w:szCs w:val="22"/>
              </w:rPr>
              <w:t>名称</w:t>
            </w:r>
          </w:p>
        </w:tc>
        <w:tc>
          <w:tcPr>
            <w:tcW w:w="3766" w:type="dxa"/>
            <w:tcBorders>
              <w:top w:val="single" w:color="auto" w:sz="2" w:space="0"/>
              <w:left w:val="nil"/>
              <w:bottom w:val="single" w:color="auto" w:sz="6" w:space="0"/>
              <w:right w:val="single" w:color="auto" w:sz="2" w:space="0"/>
            </w:tcBorders>
            <w:tcMar>
              <w:top w:w="28" w:type="dxa"/>
              <w:left w:w="28" w:type="dxa"/>
              <w:bottom w:w="28" w:type="dxa"/>
              <w:right w:w="28" w:type="dxa"/>
            </w:tcMar>
            <w:vAlign w:val="center"/>
          </w:tcPr>
          <w:p w14:paraId="73768CDD">
            <w:pPr>
              <w:adjustRightInd w:val="0"/>
              <w:snapToGrid w:val="0"/>
              <w:jc w:val="center"/>
              <w:rPr>
                <w:sz w:val="22"/>
                <w:szCs w:val="22"/>
              </w:rPr>
            </w:pPr>
            <w:r>
              <w:rPr>
                <w:rFonts w:hint="eastAsia"/>
                <w:sz w:val="22"/>
                <w:szCs w:val="22"/>
              </w:rPr>
              <w:t>试采站场用量</w:t>
            </w:r>
          </w:p>
        </w:tc>
        <w:tc>
          <w:tcPr>
            <w:tcW w:w="1816" w:type="dxa"/>
            <w:tcBorders>
              <w:top w:val="single" w:color="auto" w:sz="2" w:space="0"/>
              <w:left w:val="single" w:color="auto" w:sz="6" w:space="0"/>
              <w:bottom w:val="single" w:color="auto" w:sz="6" w:space="0"/>
              <w:right w:val="single" w:color="auto" w:sz="2" w:space="0"/>
            </w:tcBorders>
            <w:vAlign w:val="center"/>
          </w:tcPr>
          <w:p w14:paraId="2606E8A8">
            <w:pPr>
              <w:adjustRightInd w:val="0"/>
              <w:snapToGrid w:val="0"/>
              <w:jc w:val="center"/>
              <w:rPr>
                <w:sz w:val="22"/>
                <w:szCs w:val="22"/>
              </w:rPr>
            </w:pPr>
            <w:r>
              <w:rPr>
                <w:rFonts w:hint="eastAsia"/>
                <w:sz w:val="22"/>
                <w:szCs w:val="22"/>
              </w:rPr>
              <w:t>备注</w:t>
            </w:r>
          </w:p>
        </w:tc>
      </w:tr>
      <w:tr w14:paraId="2813AC9A">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80" w:hRule="atLeast"/>
          <w:jc w:val="center"/>
        </w:trPr>
        <w:tc>
          <w:tcPr>
            <w:tcW w:w="812" w:type="dxa"/>
            <w:tcBorders>
              <w:top w:val="single" w:color="auto" w:sz="6" w:space="0"/>
              <w:left w:val="single" w:color="auto" w:sz="6" w:space="0"/>
              <w:bottom w:val="single" w:color="auto" w:sz="6" w:space="0"/>
              <w:right w:val="single" w:color="auto" w:sz="6" w:space="0"/>
            </w:tcBorders>
            <w:tcMar>
              <w:top w:w="28" w:type="dxa"/>
              <w:left w:w="28" w:type="dxa"/>
              <w:bottom w:w="28" w:type="dxa"/>
              <w:right w:w="28" w:type="dxa"/>
            </w:tcMar>
            <w:vAlign w:val="center"/>
          </w:tcPr>
          <w:p w14:paraId="270CEFEA">
            <w:pPr>
              <w:adjustRightInd w:val="0"/>
              <w:snapToGrid w:val="0"/>
              <w:jc w:val="center"/>
              <w:rPr>
                <w:sz w:val="22"/>
                <w:szCs w:val="22"/>
              </w:rPr>
            </w:pPr>
            <w:r>
              <w:rPr>
                <w:sz w:val="22"/>
                <w:szCs w:val="22"/>
              </w:rPr>
              <w:t>1</w:t>
            </w:r>
          </w:p>
        </w:tc>
        <w:tc>
          <w:tcPr>
            <w:tcW w:w="2472" w:type="dxa"/>
            <w:tcBorders>
              <w:top w:val="single" w:color="auto" w:sz="6" w:space="0"/>
              <w:left w:val="nil"/>
              <w:bottom w:val="single" w:color="auto" w:sz="6" w:space="0"/>
              <w:right w:val="single" w:color="auto" w:sz="6" w:space="0"/>
            </w:tcBorders>
            <w:tcMar>
              <w:top w:w="28" w:type="dxa"/>
              <w:left w:w="28" w:type="dxa"/>
              <w:bottom w:w="28" w:type="dxa"/>
              <w:right w:w="28" w:type="dxa"/>
            </w:tcMar>
            <w:vAlign w:val="center"/>
          </w:tcPr>
          <w:p w14:paraId="365CA1AD">
            <w:pPr>
              <w:adjustRightInd w:val="0"/>
              <w:snapToGrid w:val="0"/>
              <w:jc w:val="center"/>
              <w:rPr>
                <w:sz w:val="22"/>
                <w:szCs w:val="22"/>
              </w:rPr>
            </w:pPr>
            <w:r>
              <w:rPr>
                <w:rFonts w:hint="eastAsia"/>
                <w:sz w:val="22"/>
                <w:szCs w:val="22"/>
              </w:rPr>
              <w:t>燃料气耗量</w:t>
            </w:r>
          </w:p>
        </w:tc>
        <w:tc>
          <w:tcPr>
            <w:tcW w:w="3766" w:type="dxa"/>
            <w:tcBorders>
              <w:top w:val="single" w:color="auto" w:sz="6" w:space="0"/>
              <w:left w:val="nil"/>
              <w:bottom w:val="single" w:color="auto" w:sz="6" w:space="0"/>
              <w:right w:val="single" w:color="auto" w:sz="2" w:space="0"/>
            </w:tcBorders>
            <w:tcMar>
              <w:top w:w="28" w:type="dxa"/>
              <w:left w:w="28" w:type="dxa"/>
              <w:bottom w:w="28" w:type="dxa"/>
              <w:right w:w="28" w:type="dxa"/>
            </w:tcMar>
            <w:vAlign w:val="center"/>
          </w:tcPr>
          <w:p w14:paraId="1AB33022">
            <w:pPr>
              <w:adjustRightInd w:val="0"/>
              <w:snapToGrid w:val="0"/>
              <w:jc w:val="center"/>
              <w:rPr>
                <w:sz w:val="22"/>
                <w:szCs w:val="22"/>
              </w:rPr>
            </w:pPr>
            <w:r>
              <w:rPr>
                <w:sz w:val="22"/>
                <w:szCs w:val="22"/>
              </w:rPr>
              <w:t>336m</w:t>
            </w:r>
            <w:r>
              <w:rPr>
                <w:sz w:val="22"/>
                <w:szCs w:val="22"/>
                <w:vertAlign w:val="superscript"/>
              </w:rPr>
              <w:t>3</w:t>
            </w:r>
            <w:r>
              <w:rPr>
                <w:sz w:val="22"/>
                <w:szCs w:val="22"/>
              </w:rPr>
              <w:t>/d</w:t>
            </w:r>
            <w:r>
              <w:rPr>
                <w:rFonts w:hint="eastAsia"/>
                <w:sz w:val="22"/>
                <w:szCs w:val="22"/>
              </w:rPr>
              <w:t>（</w:t>
            </w:r>
            <w:r>
              <w:rPr>
                <w:sz w:val="22"/>
                <w:szCs w:val="22"/>
              </w:rPr>
              <w:t>30240m</w:t>
            </w:r>
            <w:r>
              <w:rPr>
                <w:sz w:val="22"/>
                <w:szCs w:val="22"/>
                <w:vertAlign w:val="superscript"/>
              </w:rPr>
              <w:t>3</w:t>
            </w:r>
            <w:r>
              <w:rPr>
                <w:sz w:val="22"/>
                <w:szCs w:val="22"/>
              </w:rPr>
              <w:t>/a</w:t>
            </w:r>
            <w:r>
              <w:rPr>
                <w:rFonts w:hint="eastAsia"/>
                <w:sz w:val="22"/>
                <w:szCs w:val="22"/>
              </w:rPr>
              <w:t>）</w:t>
            </w:r>
          </w:p>
        </w:tc>
        <w:tc>
          <w:tcPr>
            <w:tcW w:w="1816" w:type="dxa"/>
            <w:tcBorders>
              <w:top w:val="single" w:color="auto" w:sz="6" w:space="0"/>
              <w:left w:val="single" w:color="auto" w:sz="6" w:space="0"/>
              <w:bottom w:val="single" w:color="auto" w:sz="6" w:space="0"/>
              <w:right w:val="single" w:color="auto" w:sz="2" w:space="0"/>
            </w:tcBorders>
            <w:vAlign w:val="center"/>
          </w:tcPr>
          <w:p w14:paraId="674A4A5C">
            <w:pPr>
              <w:adjustRightInd w:val="0"/>
              <w:snapToGrid w:val="0"/>
              <w:jc w:val="center"/>
              <w:rPr>
                <w:sz w:val="22"/>
                <w:szCs w:val="22"/>
              </w:rPr>
            </w:pPr>
            <w:r>
              <w:rPr>
                <w:rFonts w:hint="eastAsia"/>
                <w:sz w:val="22"/>
                <w:szCs w:val="22"/>
              </w:rPr>
              <w:t>平台自产</w:t>
            </w:r>
          </w:p>
        </w:tc>
      </w:tr>
    </w:tbl>
    <w:p w14:paraId="15D1491E">
      <w:pPr>
        <w:pStyle w:val="1379"/>
        <w:ind w:firstLine="210" w:firstLineChars="100"/>
        <w:rPr>
          <w:sz w:val="21"/>
        </w:rPr>
      </w:pPr>
      <w:r>
        <w:rPr>
          <w:rFonts w:hint="eastAsia"/>
          <w:sz w:val="21"/>
          <w:szCs w:val="22"/>
        </w:rPr>
        <w:t>备注：水套加热炉使用时间约3个月。</w:t>
      </w:r>
    </w:p>
    <w:p w14:paraId="18EECE15">
      <w:pPr>
        <w:pStyle w:val="1379"/>
        <w:ind w:firstLine="440"/>
      </w:pPr>
    </w:p>
    <w:p w14:paraId="1C64A85D">
      <w:pPr>
        <w:pStyle w:val="1442"/>
        <w:rPr>
          <w:rFonts w:ascii="Times New Roman" w:hAnsi="Times New Roman" w:eastAsia="宋体" w:cs="Times New Roman"/>
        </w:rPr>
      </w:pPr>
      <w:bookmarkStart w:id="157" w:name="_Toc109319844"/>
      <w:bookmarkStart w:id="158" w:name="_Toc128320905"/>
      <w:bookmarkStart w:id="159" w:name="_Toc165810498"/>
      <w:bookmarkStart w:id="160" w:name="_Toc219907634"/>
      <w:bookmarkStart w:id="161" w:name="_Toc165809686"/>
      <w:r>
        <w:rPr>
          <w:rFonts w:ascii="Times New Roman" w:hAnsi="Times New Roman" w:eastAsia="宋体" w:cs="Times New Roman"/>
        </w:rPr>
        <w:t xml:space="preserve">2.5 </w:t>
      </w:r>
      <w:bookmarkEnd w:id="157"/>
      <w:r>
        <w:rPr>
          <w:rFonts w:ascii="Times New Roman" w:hAnsi="Times New Roman" w:eastAsia="宋体" w:cs="Times New Roman"/>
        </w:rPr>
        <w:t>施工方案及施工组织</w:t>
      </w:r>
      <w:bookmarkEnd w:id="158"/>
      <w:bookmarkEnd w:id="159"/>
      <w:bookmarkEnd w:id="160"/>
      <w:bookmarkEnd w:id="161"/>
    </w:p>
    <w:p w14:paraId="5C9BBC1E">
      <w:pPr>
        <w:pStyle w:val="1443"/>
        <w:ind w:firstLine="522"/>
        <w:rPr>
          <w:szCs w:val="26"/>
        </w:rPr>
      </w:pPr>
      <w:bookmarkStart w:id="162" w:name="_Toc165810499"/>
      <w:r>
        <w:rPr>
          <w:rFonts w:cs="Times New Roman"/>
        </w:rPr>
        <w:t>2.5.1 施工时间</w:t>
      </w:r>
      <w:bookmarkEnd w:id="162"/>
    </w:p>
    <w:p w14:paraId="5D8CBDE9">
      <w:pPr>
        <w:spacing w:line="460" w:lineRule="exact"/>
        <w:ind w:firstLine="520" w:firstLineChars="200"/>
        <w:rPr>
          <w:sz w:val="26"/>
          <w:szCs w:val="26"/>
        </w:rPr>
      </w:pPr>
      <w:r>
        <w:rPr>
          <w:sz w:val="26"/>
          <w:szCs w:val="26"/>
        </w:rPr>
        <w:t>项目预计2026年7月开工建设，施工期约1个月，站场建设施工人数为20人。</w:t>
      </w:r>
    </w:p>
    <w:p w14:paraId="7B5E8CE0">
      <w:pPr>
        <w:spacing w:line="460" w:lineRule="exact"/>
        <w:ind w:firstLine="522"/>
        <w:outlineLvl w:val="2"/>
        <w:rPr>
          <w:b/>
          <w:sz w:val="26"/>
          <w:szCs w:val="26"/>
        </w:rPr>
      </w:pPr>
      <w:bookmarkStart w:id="163" w:name="_Toc165810501"/>
      <w:r>
        <w:rPr>
          <w:b/>
          <w:sz w:val="26"/>
          <w:szCs w:val="26"/>
        </w:rPr>
        <w:t>2.5.2 施工营地（施工生活区）</w:t>
      </w:r>
      <w:bookmarkEnd w:id="163"/>
    </w:p>
    <w:p w14:paraId="754F6987">
      <w:pPr>
        <w:spacing w:line="460" w:lineRule="exact"/>
        <w:ind w:firstLine="520" w:firstLineChars="200"/>
      </w:pPr>
      <w:r>
        <w:rPr>
          <w:sz w:val="26"/>
          <w:szCs w:val="26"/>
        </w:rPr>
        <w:t>本项目不单独设置施工营地，施工人员</w:t>
      </w:r>
      <w:r>
        <w:rPr>
          <w:rFonts w:hint="eastAsia"/>
          <w:sz w:val="26"/>
          <w:szCs w:val="26"/>
        </w:rPr>
        <w:t>在镇上旅馆食宿。</w:t>
      </w:r>
    </w:p>
    <w:p w14:paraId="02905F80">
      <w:pPr>
        <w:pStyle w:val="702"/>
        <w:ind w:firstLine="522"/>
        <w:outlineLvl w:val="1"/>
        <w:rPr>
          <w:rFonts w:cs="Times New Roman"/>
          <w:b/>
          <w:bCs/>
        </w:rPr>
      </w:pPr>
      <w:bookmarkStart w:id="164" w:name="_Toc165810504"/>
      <w:bookmarkStart w:id="165" w:name="_Toc165809687"/>
      <w:bookmarkStart w:id="166" w:name="_Toc219907635"/>
      <w:r>
        <w:rPr>
          <w:rFonts w:hint="eastAsia" w:cs="Times New Roman"/>
          <w:b/>
          <w:bCs/>
        </w:rPr>
        <w:t>2</w:t>
      </w:r>
      <w:r>
        <w:rPr>
          <w:rFonts w:cs="Times New Roman"/>
          <w:b/>
          <w:bCs/>
        </w:rPr>
        <w:t xml:space="preserve">.6 </w:t>
      </w:r>
      <w:r>
        <w:rPr>
          <w:rFonts w:hint="eastAsia" w:cs="Times New Roman"/>
          <w:b/>
          <w:bCs/>
        </w:rPr>
        <w:t>工程占地及土石方</w:t>
      </w:r>
      <w:bookmarkEnd w:id="164"/>
      <w:bookmarkEnd w:id="165"/>
      <w:r>
        <w:rPr>
          <w:rFonts w:hint="eastAsia" w:cs="Times New Roman"/>
          <w:b/>
          <w:bCs/>
        </w:rPr>
        <w:t>平衡</w:t>
      </w:r>
      <w:bookmarkEnd w:id="166"/>
    </w:p>
    <w:p w14:paraId="77AC63EC">
      <w:pPr>
        <w:pStyle w:val="702"/>
        <w:ind w:firstLine="522"/>
        <w:outlineLvl w:val="2"/>
        <w:rPr>
          <w:rFonts w:cs="Times New Roman"/>
          <w:b/>
          <w:bCs/>
        </w:rPr>
      </w:pPr>
      <w:bookmarkStart w:id="167" w:name="_Toc165810505"/>
      <w:r>
        <w:rPr>
          <w:rFonts w:hint="eastAsia" w:cs="Times New Roman"/>
          <w:b/>
          <w:bCs/>
        </w:rPr>
        <w:t>2.</w:t>
      </w:r>
      <w:r>
        <w:rPr>
          <w:rFonts w:cs="Times New Roman"/>
          <w:b/>
          <w:bCs/>
        </w:rPr>
        <w:t>6</w:t>
      </w:r>
      <w:r>
        <w:rPr>
          <w:rFonts w:hint="eastAsia" w:cs="Times New Roman"/>
          <w:b/>
          <w:bCs/>
        </w:rPr>
        <w:t>.1 工程占地</w:t>
      </w:r>
      <w:bookmarkEnd w:id="167"/>
    </w:p>
    <w:p w14:paraId="2B825E4E">
      <w:pPr>
        <w:pStyle w:val="702"/>
        <w:ind w:firstLine="520"/>
        <w:rPr>
          <w:rFonts w:cs="Times New Roman"/>
        </w:rPr>
      </w:pPr>
      <w:r>
        <w:rPr>
          <w:rFonts w:hint="eastAsia" w:cs="Times New Roman"/>
        </w:rPr>
        <w:t>（1）占地面积</w:t>
      </w:r>
    </w:p>
    <w:p w14:paraId="4368B3C6">
      <w:pPr>
        <w:pStyle w:val="702"/>
        <w:ind w:firstLine="520"/>
        <w:rPr>
          <w:rFonts w:cs="Times New Roman"/>
        </w:rPr>
      </w:pPr>
      <w:r>
        <w:rPr>
          <w:rFonts w:hint="eastAsia" w:cs="Times New Roman"/>
        </w:rPr>
        <w:t>本项目为天然气试采工程，位于已有站场内，</w:t>
      </w:r>
      <w:r>
        <w:rPr>
          <w:rFonts w:hint="eastAsia" w:cs="Times New Roman"/>
          <w:b/>
        </w:rPr>
        <w:t>不新增占地</w:t>
      </w:r>
      <w:r>
        <w:rPr>
          <w:rFonts w:hint="eastAsia" w:cs="Times New Roman"/>
        </w:rPr>
        <w:t>，项目占地统计如下：</w:t>
      </w:r>
    </w:p>
    <w:p w14:paraId="22C579D0">
      <w:pPr>
        <w:pStyle w:val="1379"/>
        <w:ind w:firstLine="440"/>
      </w:pPr>
    </w:p>
    <w:p w14:paraId="0CDEF3F6">
      <w:pPr>
        <w:pStyle w:val="1065"/>
      </w:pPr>
      <w:r>
        <w:rPr>
          <w:rFonts w:hint="eastAsia"/>
        </w:rPr>
        <w:t>表</w:t>
      </w:r>
      <w:r>
        <w:t xml:space="preserve">2.6-1    </w:t>
      </w:r>
      <w:r>
        <w:rPr>
          <w:rFonts w:hint="eastAsia"/>
        </w:rPr>
        <w:t xml:space="preserve">项目占地面积一览表 </w:t>
      </w:r>
      <w:r>
        <w:t xml:space="preserve">   </w:t>
      </w:r>
      <w:r>
        <w:rPr>
          <w:rFonts w:hint="eastAsia"/>
        </w:rPr>
        <w:t>单位：m</w:t>
      </w:r>
      <w:r>
        <w:rPr>
          <w:vertAlign w:val="superscript"/>
        </w:rPr>
        <w:t>2</w:t>
      </w:r>
      <w:r>
        <w:t xml:space="preserve"> </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9"/>
        <w:gridCol w:w="1594"/>
        <w:gridCol w:w="1913"/>
        <w:gridCol w:w="2340"/>
      </w:tblGrid>
      <w:tr w14:paraId="4775D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99" w:type="dxa"/>
            <w:vMerge w:val="restart"/>
            <w:vAlign w:val="center"/>
          </w:tcPr>
          <w:p w14:paraId="6041DE36">
            <w:pPr>
              <w:snapToGrid w:val="0"/>
              <w:jc w:val="center"/>
              <w:rPr>
                <w:kern w:val="0"/>
                <w:sz w:val="22"/>
                <w:szCs w:val="22"/>
              </w:rPr>
            </w:pPr>
            <w:r>
              <w:rPr>
                <w:kern w:val="0"/>
                <w:sz w:val="22"/>
                <w:szCs w:val="22"/>
              </w:rPr>
              <w:t>工程</w:t>
            </w:r>
            <w:r>
              <w:rPr>
                <w:rFonts w:hint="eastAsia"/>
                <w:kern w:val="0"/>
                <w:sz w:val="22"/>
                <w:szCs w:val="22"/>
              </w:rPr>
              <w:t>内容</w:t>
            </w:r>
          </w:p>
        </w:tc>
        <w:tc>
          <w:tcPr>
            <w:tcW w:w="3507" w:type="dxa"/>
            <w:gridSpan w:val="2"/>
            <w:vAlign w:val="center"/>
          </w:tcPr>
          <w:p w14:paraId="59F6A026">
            <w:pPr>
              <w:snapToGrid w:val="0"/>
              <w:jc w:val="center"/>
              <w:rPr>
                <w:kern w:val="0"/>
                <w:sz w:val="22"/>
                <w:szCs w:val="22"/>
              </w:rPr>
            </w:pPr>
            <w:r>
              <w:rPr>
                <w:kern w:val="0"/>
                <w:sz w:val="22"/>
                <w:szCs w:val="22"/>
              </w:rPr>
              <w:t>占地面积(m</w:t>
            </w:r>
            <w:r>
              <w:rPr>
                <w:kern w:val="0"/>
                <w:sz w:val="22"/>
                <w:szCs w:val="22"/>
                <w:vertAlign w:val="superscript"/>
              </w:rPr>
              <w:t>2</w:t>
            </w:r>
            <w:r>
              <w:rPr>
                <w:kern w:val="0"/>
                <w:sz w:val="22"/>
                <w:szCs w:val="22"/>
              </w:rPr>
              <w:t>)</w:t>
            </w:r>
          </w:p>
        </w:tc>
        <w:tc>
          <w:tcPr>
            <w:tcW w:w="2340" w:type="dxa"/>
            <w:vMerge w:val="restart"/>
            <w:vAlign w:val="center"/>
          </w:tcPr>
          <w:p w14:paraId="656AA62C">
            <w:pPr>
              <w:snapToGrid w:val="0"/>
              <w:jc w:val="center"/>
              <w:rPr>
                <w:kern w:val="0"/>
                <w:sz w:val="22"/>
                <w:szCs w:val="22"/>
              </w:rPr>
            </w:pPr>
            <w:r>
              <w:rPr>
                <w:kern w:val="0"/>
                <w:sz w:val="22"/>
                <w:szCs w:val="22"/>
              </w:rPr>
              <w:t>备注</w:t>
            </w:r>
          </w:p>
        </w:tc>
      </w:tr>
      <w:tr w14:paraId="4E87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99" w:type="dxa"/>
            <w:vMerge w:val="continue"/>
            <w:vAlign w:val="center"/>
          </w:tcPr>
          <w:p w14:paraId="0E54F069">
            <w:pPr>
              <w:snapToGrid w:val="0"/>
              <w:jc w:val="center"/>
              <w:rPr>
                <w:kern w:val="0"/>
                <w:sz w:val="22"/>
                <w:szCs w:val="22"/>
              </w:rPr>
            </w:pPr>
          </w:p>
        </w:tc>
        <w:tc>
          <w:tcPr>
            <w:tcW w:w="1594" w:type="dxa"/>
            <w:vAlign w:val="center"/>
          </w:tcPr>
          <w:p w14:paraId="6B979F05">
            <w:pPr>
              <w:snapToGrid w:val="0"/>
              <w:jc w:val="center"/>
              <w:rPr>
                <w:kern w:val="0"/>
                <w:sz w:val="22"/>
                <w:szCs w:val="22"/>
              </w:rPr>
            </w:pPr>
            <w:r>
              <w:rPr>
                <w:kern w:val="0"/>
                <w:sz w:val="22"/>
                <w:szCs w:val="22"/>
              </w:rPr>
              <w:t>临时</w:t>
            </w:r>
            <w:r>
              <w:rPr>
                <w:rFonts w:hint="eastAsia"/>
                <w:kern w:val="0"/>
                <w:sz w:val="22"/>
                <w:szCs w:val="22"/>
              </w:rPr>
              <w:t>占地</w:t>
            </w:r>
          </w:p>
        </w:tc>
        <w:tc>
          <w:tcPr>
            <w:tcW w:w="1913" w:type="dxa"/>
            <w:vAlign w:val="center"/>
          </w:tcPr>
          <w:p w14:paraId="32BC6978">
            <w:pPr>
              <w:snapToGrid w:val="0"/>
              <w:jc w:val="center"/>
              <w:rPr>
                <w:kern w:val="0"/>
                <w:sz w:val="22"/>
                <w:szCs w:val="22"/>
              </w:rPr>
            </w:pPr>
            <w:r>
              <w:rPr>
                <w:kern w:val="0"/>
                <w:sz w:val="22"/>
                <w:szCs w:val="22"/>
              </w:rPr>
              <w:t>永久占地</w:t>
            </w:r>
          </w:p>
        </w:tc>
        <w:tc>
          <w:tcPr>
            <w:tcW w:w="2340" w:type="dxa"/>
            <w:vMerge w:val="continue"/>
            <w:vAlign w:val="center"/>
          </w:tcPr>
          <w:p w14:paraId="0126F4BE">
            <w:pPr>
              <w:snapToGrid w:val="0"/>
              <w:jc w:val="center"/>
              <w:rPr>
                <w:kern w:val="0"/>
                <w:sz w:val="22"/>
                <w:szCs w:val="22"/>
              </w:rPr>
            </w:pPr>
          </w:p>
        </w:tc>
      </w:tr>
      <w:tr w14:paraId="7239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99" w:type="dxa"/>
            <w:vAlign w:val="center"/>
          </w:tcPr>
          <w:p w14:paraId="4B3CB156">
            <w:pPr>
              <w:snapToGrid w:val="0"/>
              <w:jc w:val="center"/>
              <w:rPr>
                <w:kern w:val="0"/>
                <w:sz w:val="22"/>
                <w:szCs w:val="22"/>
              </w:rPr>
            </w:pPr>
            <w:r>
              <w:rPr>
                <w:rFonts w:hint="eastAsia"/>
                <w:kern w:val="0"/>
                <w:sz w:val="22"/>
                <w:szCs w:val="22"/>
              </w:rPr>
              <w:t>巴中2HF试采</w:t>
            </w:r>
            <w:r>
              <w:rPr>
                <w:kern w:val="0"/>
                <w:sz w:val="22"/>
                <w:szCs w:val="22"/>
              </w:rPr>
              <w:t>站场</w:t>
            </w:r>
          </w:p>
        </w:tc>
        <w:tc>
          <w:tcPr>
            <w:tcW w:w="1594" w:type="dxa"/>
            <w:vAlign w:val="center"/>
          </w:tcPr>
          <w:p w14:paraId="726C13D2">
            <w:pPr>
              <w:snapToGrid w:val="0"/>
              <w:jc w:val="center"/>
              <w:rPr>
                <w:sz w:val="22"/>
                <w:szCs w:val="22"/>
              </w:rPr>
            </w:pPr>
            <w:r>
              <w:rPr>
                <w:sz w:val="22"/>
                <w:szCs w:val="22"/>
              </w:rPr>
              <w:t>5016</w:t>
            </w:r>
          </w:p>
        </w:tc>
        <w:tc>
          <w:tcPr>
            <w:tcW w:w="1913" w:type="dxa"/>
            <w:vAlign w:val="center"/>
          </w:tcPr>
          <w:p w14:paraId="3741487D">
            <w:pPr>
              <w:snapToGrid w:val="0"/>
              <w:jc w:val="center"/>
              <w:rPr>
                <w:sz w:val="22"/>
                <w:szCs w:val="22"/>
              </w:rPr>
            </w:pPr>
            <w:r>
              <w:rPr>
                <w:rFonts w:hint="eastAsia"/>
                <w:sz w:val="22"/>
                <w:szCs w:val="22"/>
              </w:rPr>
              <w:t>/</w:t>
            </w:r>
          </w:p>
        </w:tc>
        <w:tc>
          <w:tcPr>
            <w:tcW w:w="2340" w:type="dxa"/>
            <w:vAlign w:val="center"/>
          </w:tcPr>
          <w:p w14:paraId="5E86BE26">
            <w:pPr>
              <w:snapToGrid w:val="0"/>
              <w:jc w:val="center"/>
              <w:rPr>
                <w:kern w:val="0"/>
                <w:sz w:val="22"/>
                <w:szCs w:val="22"/>
              </w:rPr>
            </w:pPr>
            <w:r>
              <w:rPr>
                <w:rFonts w:hint="eastAsia"/>
                <w:kern w:val="0"/>
                <w:sz w:val="22"/>
                <w:szCs w:val="22"/>
              </w:rPr>
              <w:t>试采结束后，纳入区块环评。</w:t>
            </w:r>
          </w:p>
        </w:tc>
      </w:tr>
    </w:tbl>
    <w:p w14:paraId="25645AD0">
      <w:pPr>
        <w:pStyle w:val="1379"/>
        <w:ind w:firstLine="440"/>
      </w:pPr>
    </w:p>
    <w:p w14:paraId="15FCB05C">
      <w:pPr>
        <w:pStyle w:val="702"/>
        <w:ind w:firstLine="520"/>
        <w:rPr>
          <w:rFonts w:cs="Times New Roman"/>
        </w:rPr>
      </w:pPr>
      <w:r>
        <w:rPr>
          <w:rFonts w:hint="eastAsia" w:cs="Times New Roman"/>
        </w:rPr>
        <w:t>（2）占地类型</w:t>
      </w:r>
    </w:p>
    <w:p w14:paraId="1A068840">
      <w:pPr>
        <w:pStyle w:val="702"/>
        <w:ind w:firstLine="520"/>
        <w:rPr>
          <w:rFonts w:cs="Times New Roman"/>
        </w:rPr>
      </w:pPr>
      <w:r>
        <w:rPr>
          <w:rFonts w:hint="eastAsia" w:cs="Times New Roman"/>
        </w:rPr>
        <w:t>本项目在原巴中2HF钻井井场内建设，占地类型为旱地，占地类型面积详见</w:t>
      </w:r>
      <w:r>
        <w:rPr>
          <w:rFonts w:hint="eastAsia" w:cs="Times New Roman"/>
          <w:u w:val="single"/>
        </w:rPr>
        <w:t>表2.</w:t>
      </w:r>
      <w:r>
        <w:rPr>
          <w:rFonts w:cs="Times New Roman"/>
          <w:u w:val="single"/>
        </w:rPr>
        <w:t>6</w:t>
      </w:r>
      <w:r>
        <w:rPr>
          <w:rFonts w:hint="eastAsia" w:cs="Times New Roman"/>
          <w:u w:val="single"/>
        </w:rPr>
        <w:t>-2</w:t>
      </w:r>
      <w:r>
        <w:rPr>
          <w:rFonts w:hint="eastAsia" w:cs="Times New Roman"/>
        </w:rPr>
        <w:t>，永久基本农田占用情况见</w:t>
      </w:r>
      <w:r>
        <w:rPr>
          <w:rFonts w:hint="eastAsia" w:cs="Times New Roman"/>
          <w:u w:val="single"/>
        </w:rPr>
        <w:t>表2</w:t>
      </w:r>
      <w:r>
        <w:rPr>
          <w:rFonts w:cs="Times New Roman"/>
          <w:u w:val="single"/>
        </w:rPr>
        <w:t>.6-3</w:t>
      </w:r>
      <w:r>
        <w:rPr>
          <w:rFonts w:hint="eastAsia" w:cs="Times New Roman"/>
        </w:rPr>
        <w:t>。</w:t>
      </w:r>
    </w:p>
    <w:p w14:paraId="07A5B607">
      <w:pPr>
        <w:pStyle w:val="1379"/>
        <w:ind w:firstLine="440"/>
      </w:pPr>
    </w:p>
    <w:p w14:paraId="7B44D58C">
      <w:pPr>
        <w:pStyle w:val="1065"/>
      </w:pPr>
      <w:r>
        <w:rPr>
          <w:rFonts w:hint="eastAsia"/>
        </w:rPr>
        <w:t>表</w:t>
      </w:r>
      <w:r>
        <w:t>2.6-2   项目占地类型统计表</w:t>
      </w:r>
      <w:r>
        <w:rPr>
          <w:rFonts w:hint="eastAsia"/>
        </w:rPr>
        <w:t xml:space="preserve"> </w:t>
      </w:r>
      <w:r>
        <w:t xml:space="preserve">   </w:t>
      </w:r>
      <w:r>
        <w:rPr>
          <w:rFonts w:hint="eastAsia"/>
        </w:rPr>
        <w:t>单位：m</w:t>
      </w:r>
      <w:r>
        <w:rPr>
          <w:vertAlign w:val="superscript"/>
        </w:rPr>
        <w:t>2</w:t>
      </w:r>
      <w:bookmarkStart w:id="168" w:name="_Toc165810506"/>
      <w:r>
        <w:t xml:space="preserve"> </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28"/>
        <w:gridCol w:w="937"/>
        <w:gridCol w:w="764"/>
        <w:gridCol w:w="891"/>
        <w:gridCol w:w="891"/>
        <w:gridCol w:w="1148"/>
        <w:gridCol w:w="1194"/>
        <w:gridCol w:w="788"/>
      </w:tblGrid>
      <w:tr w14:paraId="2291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2127" w:type="dxa"/>
            <w:vMerge w:val="restart"/>
            <w:vAlign w:val="center"/>
          </w:tcPr>
          <w:p w14:paraId="1AC1661B">
            <w:pPr>
              <w:pStyle w:val="687"/>
            </w:pPr>
            <w:r>
              <w:t>工程内容</w:t>
            </w:r>
          </w:p>
        </w:tc>
        <w:tc>
          <w:tcPr>
            <w:tcW w:w="1701" w:type="dxa"/>
            <w:gridSpan w:val="2"/>
            <w:vAlign w:val="center"/>
          </w:tcPr>
          <w:p w14:paraId="0876D23C">
            <w:pPr>
              <w:pStyle w:val="687"/>
            </w:pPr>
            <w:r>
              <w:rPr>
                <w:rFonts w:hint="eastAsia"/>
              </w:rPr>
              <w:t>0</w:t>
            </w:r>
            <w:r>
              <w:t>1</w:t>
            </w:r>
            <w:r>
              <w:rPr>
                <w:rFonts w:hint="eastAsia"/>
              </w:rPr>
              <w:t>耕地</w:t>
            </w:r>
          </w:p>
        </w:tc>
        <w:tc>
          <w:tcPr>
            <w:tcW w:w="891" w:type="dxa"/>
            <w:vAlign w:val="center"/>
          </w:tcPr>
          <w:p w14:paraId="516BF2A8">
            <w:pPr>
              <w:pStyle w:val="687"/>
            </w:pPr>
            <w:r>
              <w:t>02</w:t>
            </w:r>
            <w:r>
              <w:rPr>
                <w:rFonts w:hint="eastAsia"/>
              </w:rPr>
              <w:t>园地</w:t>
            </w:r>
          </w:p>
        </w:tc>
        <w:tc>
          <w:tcPr>
            <w:tcW w:w="891" w:type="dxa"/>
            <w:vMerge w:val="restart"/>
            <w:vAlign w:val="center"/>
          </w:tcPr>
          <w:p w14:paraId="3548ECFA">
            <w:pPr>
              <w:pStyle w:val="687"/>
            </w:pPr>
            <w:r>
              <w:rPr>
                <w:rFonts w:hint="eastAsia"/>
              </w:rPr>
              <w:t>0</w:t>
            </w:r>
            <w:r>
              <w:t>3</w:t>
            </w:r>
          </w:p>
          <w:p w14:paraId="49B7F369">
            <w:pPr>
              <w:pStyle w:val="687"/>
            </w:pPr>
            <w:r>
              <w:t>林地</w:t>
            </w:r>
          </w:p>
        </w:tc>
        <w:tc>
          <w:tcPr>
            <w:tcW w:w="1148" w:type="dxa"/>
            <w:vMerge w:val="restart"/>
            <w:vAlign w:val="center"/>
          </w:tcPr>
          <w:p w14:paraId="3101CCA7">
            <w:pPr>
              <w:pStyle w:val="687"/>
            </w:pPr>
            <w:r>
              <w:t>10</w:t>
            </w:r>
          </w:p>
          <w:p w14:paraId="2D14DD6A">
            <w:pPr>
              <w:pStyle w:val="687"/>
            </w:pPr>
            <w:r>
              <w:rPr>
                <w:rFonts w:hint="eastAsia"/>
              </w:rPr>
              <w:t>交通运输用地</w:t>
            </w:r>
          </w:p>
        </w:tc>
        <w:tc>
          <w:tcPr>
            <w:tcW w:w="1194" w:type="dxa"/>
            <w:vMerge w:val="restart"/>
            <w:vAlign w:val="center"/>
          </w:tcPr>
          <w:p w14:paraId="147EEE92">
            <w:pPr>
              <w:pStyle w:val="687"/>
            </w:pPr>
            <w:r>
              <w:rPr>
                <w:rFonts w:hint="eastAsia"/>
              </w:rPr>
              <w:t>11</w:t>
            </w:r>
          </w:p>
          <w:p w14:paraId="64932051">
            <w:pPr>
              <w:pStyle w:val="687"/>
            </w:pPr>
            <w:r>
              <w:rPr>
                <w:rFonts w:hint="eastAsia"/>
              </w:rPr>
              <w:t>水域及水利设施用地</w:t>
            </w:r>
          </w:p>
        </w:tc>
        <w:tc>
          <w:tcPr>
            <w:tcW w:w="788" w:type="dxa"/>
            <w:vMerge w:val="restart"/>
            <w:vAlign w:val="center"/>
          </w:tcPr>
          <w:p w14:paraId="7B4BB5FD">
            <w:pPr>
              <w:pStyle w:val="687"/>
            </w:pPr>
            <w:r>
              <w:t>合计</w:t>
            </w:r>
          </w:p>
        </w:tc>
      </w:tr>
      <w:tr w14:paraId="16DF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2127" w:type="dxa"/>
            <w:vMerge w:val="continue"/>
            <w:vAlign w:val="center"/>
          </w:tcPr>
          <w:p w14:paraId="47CEBB2F">
            <w:pPr>
              <w:pStyle w:val="687"/>
            </w:pPr>
          </w:p>
        </w:tc>
        <w:tc>
          <w:tcPr>
            <w:tcW w:w="937" w:type="dxa"/>
            <w:vAlign w:val="center"/>
          </w:tcPr>
          <w:p w14:paraId="60EFD0D7">
            <w:pPr>
              <w:pStyle w:val="687"/>
            </w:pPr>
            <w:r>
              <w:rPr>
                <w:rFonts w:hint="eastAsia"/>
              </w:rPr>
              <w:t>0</w:t>
            </w:r>
            <w:r>
              <w:t>103</w:t>
            </w:r>
          </w:p>
          <w:p w14:paraId="6B2BAEFB">
            <w:pPr>
              <w:pStyle w:val="687"/>
            </w:pPr>
            <w:r>
              <w:t>旱地</w:t>
            </w:r>
          </w:p>
        </w:tc>
        <w:tc>
          <w:tcPr>
            <w:tcW w:w="764" w:type="dxa"/>
            <w:vAlign w:val="center"/>
          </w:tcPr>
          <w:p w14:paraId="05E4BC16">
            <w:pPr>
              <w:pStyle w:val="687"/>
            </w:pPr>
            <w:r>
              <w:rPr>
                <w:rFonts w:hint="eastAsia"/>
              </w:rPr>
              <w:t>0</w:t>
            </w:r>
            <w:r>
              <w:t>101</w:t>
            </w:r>
          </w:p>
          <w:p w14:paraId="331056DC">
            <w:pPr>
              <w:pStyle w:val="687"/>
            </w:pPr>
            <w:r>
              <w:t>水田</w:t>
            </w:r>
          </w:p>
        </w:tc>
        <w:tc>
          <w:tcPr>
            <w:tcW w:w="891" w:type="dxa"/>
            <w:vAlign w:val="center"/>
          </w:tcPr>
          <w:p w14:paraId="14E0F89C">
            <w:pPr>
              <w:pStyle w:val="687"/>
            </w:pPr>
            <w:r>
              <w:rPr>
                <w:rFonts w:hint="eastAsia"/>
              </w:rPr>
              <w:t>0</w:t>
            </w:r>
            <w:r>
              <w:t>201</w:t>
            </w:r>
          </w:p>
          <w:p w14:paraId="15AE457A">
            <w:pPr>
              <w:pStyle w:val="687"/>
            </w:pPr>
            <w:r>
              <w:rPr>
                <w:rFonts w:hint="eastAsia"/>
              </w:rPr>
              <w:t>果园</w:t>
            </w:r>
          </w:p>
        </w:tc>
        <w:tc>
          <w:tcPr>
            <w:tcW w:w="891" w:type="dxa"/>
            <w:vMerge w:val="continue"/>
            <w:vAlign w:val="center"/>
          </w:tcPr>
          <w:p w14:paraId="59AC13C3">
            <w:pPr>
              <w:pStyle w:val="687"/>
            </w:pPr>
          </w:p>
        </w:tc>
        <w:tc>
          <w:tcPr>
            <w:tcW w:w="1148" w:type="dxa"/>
            <w:vMerge w:val="continue"/>
            <w:vAlign w:val="center"/>
          </w:tcPr>
          <w:p w14:paraId="397F13C1">
            <w:pPr>
              <w:pStyle w:val="687"/>
            </w:pPr>
          </w:p>
        </w:tc>
        <w:tc>
          <w:tcPr>
            <w:tcW w:w="1194" w:type="dxa"/>
            <w:vMerge w:val="continue"/>
            <w:vAlign w:val="center"/>
          </w:tcPr>
          <w:p w14:paraId="5B25ACE0">
            <w:pPr>
              <w:pStyle w:val="687"/>
            </w:pPr>
          </w:p>
        </w:tc>
        <w:tc>
          <w:tcPr>
            <w:tcW w:w="788" w:type="dxa"/>
            <w:vMerge w:val="continue"/>
            <w:vAlign w:val="center"/>
          </w:tcPr>
          <w:p w14:paraId="4F65FE71">
            <w:pPr>
              <w:pStyle w:val="687"/>
            </w:pPr>
          </w:p>
        </w:tc>
      </w:tr>
      <w:tr w14:paraId="3D0A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27" w:type="dxa"/>
            <w:vAlign w:val="center"/>
          </w:tcPr>
          <w:p w14:paraId="06D7EC2B">
            <w:pPr>
              <w:pStyle w:val="687"/>
            </w:pPr>
            <w:r>
              <w:rPr>
                <w:rFonts w:hint="eastAsia"/>
                <w:kern w:val="0"/>
                <w:szCs w:val="22"/>
              </w:rPr>
              <w:t>巴中2HF试采</w:t>
            </w:r>
            <w:r>
              <w:rPr>
                <w:kern w:val="0"/>
                <w:szCs w:val="22"/>
              </w:rPr>
              <w:t>站场</w:t>
            </w:r>
          </w:p>
        </w:tc>
        <w:tc>
          <w:tcPr>
            <w:tcW w:w="937" w:type="dxa"/>
            <w:vAlign w:val="center"/>
          </w:tcPr>
          <w:p w14:paraId="248BD689">
            <w:pPr>
              <w:pStyle w:val="687"/>
            </w:pPr>
            <w:r>
              <w:t>5016</w:t>
            </w:r>
          </w:p>
        </w:tc>
        <w:tc>
          <w:tcPr>
            <w:tcW w:w="764" w:type="dxa"/>
            <w:vAlign w:val="center"/>
          </w:tcPr>
          <w:p w14:paraId="23B1FFFE">
            <w:pPr>
              <w:pStyle w:val="687"/>
            </w:pPr>
            <w:r>
              <w:rPr>
                <w:rFonts w:hint="eastAsia"/>
              </w:rPr>
              <w:t>0</w:t>
            </w:r>
          </w:p>
        </w:tc>
        <w:tc>
          <w:tcPr>
            <w:tcW w:w="891" w:type="dxa"/>
            <w:vAlign w:val="center"/>
          </w:tcPr>
          <w:p w14:paraId="7EB66BEA">
            <w:pPr>
              <w:pStyle w:val="687"/>
            </w:pPr>
            <w:r>
              <w:rPr>
                <w:rFonts w:hint="eastAsia"/>
              </w:rPr>
              <w:t>0</w:t>
            </w:r>
          </w:p>
        </w:tc>
        <w:tc>
          <w:tcPr>
            <w:tcW w:w="891" w:type="dxa"/>
            <w:vAlign w:val="center"/>
          </w:tcPr>
          <w:p w14:paraId="3756FC80">
            <w:pPr>
              <w:pStyle w:val="687"/>
            </w:pPr>
            <w:r>
              <w:rPr>
                <w:rFonts w:hint="eastAsia"/>
              </w:rPr>
              <w:t>0</w:t>
            </w:r>
          </w:p>
        </w:tc>
        <w:tc>
          <w:tcPr>
            <w:tcW w:w="1148" w:type="dxa"/>
            <w:vAlign w:val="center"/>
          </w:tcPr>
          <w:p w14:paraId="1F218428">
            <w:pPr>
              <w:pStyle w:val="687"/>
            </w:pPr>
            <w:r>
              <w:rPr>
                <w:rFonts w:hint="eastAsia"/>
              </w:rPr>
              <w:t>0</w:t>
            </w:r>
          </w:p>
        </w:tc>
        <w:tc>
          <w:tcPr>
            <w:tcW w:w="1194" w:type="dxa"/>
            <w:vAlign w:val="center"/>
          </w:tcPr>
          <w:p w14:paraId="63D7BB36">
            <w:pPr>
              <w:pStyle w:val="687"/>
            </w:pPr>
            <w:r>
              <w:rPr>
                <w:rFonts w:hint="eastAsia"/>
              </w:rPr>
              <w:t>0</w:t>
            </w:r>
          </w:p>
        </w:tc>
        <w:tc>
          <w:tcPr>
            <w:tcW w:w="788" w:type="dxa"/>
            <w:vAlign w:val="center"/>
          </w:tcPr>
          <w:p w14:paraId="6635E7CC">
            <w:pPr>
              <w:pStyle w:val="687"/>
            </w:pPr>
            <w:r>
              <w:t>5016</w:t>
            </w:r>
          </w:p>
        </w:tc>
      </w:tr>
    </w:tbl>
    <w:p w14:paraId="5417B305">
      <w:pPr>
        <w:pStyle w:val="1379"/>
        <w:ind w:firstLine="440"/>
      </w:pPr>
    </w:p>
    <w:p w14:paraId="2C3BB9C2">
      <w:pPr>
        <w:pStyle w:val="1065"/>
        <w:keepNext/>
        <w:rPr>
          <w:vertAlign w:val="superscript"/>
        </w:rPr>
      </w:pPr>
      <w:r>
        <w:rPr>
          <w:rFonts w:hint="eastAsia"/>
        </w:rPr>
        <w:t>表</w:t>
      </w:r>
      <w:r>
        <w:t xml:space="preserve">2.6-3  </w:t>
      </w:r>
      <w:r>
        <w:rPr>
          <w:rFonts w:hint="eastAsia"/>
        </w:rPr>
        <w:t xml:space="preserve">永久基本农田占用情况统计表 </w:t>
      </w:r>
      <w:r>
        <w:t xml:space="preserve">  </w:t>
      </w:r>
      <w:r>
        <w:rPr>
          <w:rFonts w:hint="eastAsia"/>
        </w:rPr>
        <w:t>单位：m</w:t>
      </w:r>
      <w:r>
        <w:rPr>
          <w:vertAlign w:val="superscript"/>
        </w:rPr>
        <w:t>2</w:t>
      </w:r>
    </w:p>
    <w:tbl>
      <w:tblPr>
        <w:tblStyle w:val="8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68"/>
        <w:gridCol w:w="3212"/>
        <w:gridCol w:w="3265"/>
      </w:tblGrid>
      <w:tr w14:paraId="101FE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jc w:val="center"/>
        </w:trPr>
        <w:tc>
          <w:tcPr>
            <w:tcW w:w="2467" w:type="dxa"/>
            <w:vAlign w:val="center"/>
          </w:tcPr>
          <w:p w14:paraId="0A521362">
            <w:pPr>
              <w:pStyle w:val="687"/>
            </w:pPr>
            <w:r>
              <w:t>工程内容</w:t>
            </w:r>
          </w:p>
        </w:tc>
        <w:tc>
          <w:tcPr>
            <w:tcW w:w="3213" w:type="dxa"/>
            <w:vAlign w:val="center"/>
          </w:tcPr>
          <w:p w14:paraId="09BE4A28">
            <w:pPr>
              <w:pStyle w:val="687"/>
            </w:pPr>
            <w:r>
              <w:rPr>
                <w:rFonts w:hint="eastAsia"/>
              </w:rPr>
              <w:t>占用面积</w:t>
            </w:r>
          </w:p>
        </w:tc>
        <w:tc>
          <w:tcPr>
            <w:tcW w:w="3266" w:type="dxa"/>
            <w:vAlign w:val="center"/>
          </w:tcPr>
          <w:p w14:paraId="642F92CE">
            <w:pPr>
              <w:pStyle w:val="687"/>
            </w:pPr>
            <w:r>
              <w:t>占地性质</w:t>
            </w:r>
          </w:p>
        </w:tc>
      </w:tr>
      <w:tr w14:paraId="23114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467" w:type="dxa"/>
            <w:vAlign w:val="center"/>
          </w:tcPr>
          <w:p w14:paraId="328C9E32">
            <w:pPr>
              <w:pStyle w:val="687"/>
            </w:pPr>
            <w:r>
              <w:rPr>
                <w:rFonts w:hint="eastAsia"/>
              </w:rPr>
              <w:t>巴中2HF试采</w:t>
            </w:r>
            <w:r>
              <w:t>站场</w:t>
            </w:r>
          </w:p>
        </w:tc>
        <w:tc>
          <w:tcPr>
            <w:tcW w:w="3213" w:type="dxa"/>
            <w:vAlign w:val="center"/>
          </w:tcPr>
          <w:p w14:paraId="579DAC65">
            <w:pPr>
              <w:pStyle w:val="687"/>
            </w:pPr>
            <w:r>
              <w:t>4712</w:t>
            </w:r>
          </w:p>
        </w:tc>
        <w:tc>
          <w:tcPr>
            <w:tcW w:w="3266" w:type="dxa"/>
            <w:vAlign w:val="center"/>
          </w:tcPr>
          <w:p w14:paraId="56EB7C6D">
            <w:pPr>
              <w:pStyle w:val="687"/>
            </w:pPr>
            <w:r>
              <w:rPr>
                <w:rFonts w:hint="eastAsia"/>
              </w:rPr>
              <w:t>临时占用</w:t>
            </w:r>
          </w:p>
        </w:tc>
      </w:tr>
    </w:tbl>
    <w:p w14:paraId="687819F8">
      <w:pPr>
        <w:pStyle w:val="1379"/>
        <w:ind w:firstLine="440"/>
      </w:pPr>
    </w:p>
    <w:p w14:paraId="628920CC">
      <w:pPr>
        <w:pStyle w:val="702"/>
        <w:ind w:firstLine="522"/>
        <w:outlineLvl w:val="2"/>
        <w:rPr>
          <w:rFonts w:cs="Times New Roman"/>
          <w:b/>
          <w:bCs/>
        </w:rPr>
      </w:pPr>
      <w:r>
        <w:rPr>
          <w:rFonts w:cs="Times New Roman"/>
          <w:b/>
          <w:bCs/>
        </w:rPr>
        <w:t xml:space="preserve">2.6.2 </w:t>
      </w:r>
      <w:r>
        <w:rPr>
          <w:rFonts w:hint="eastAsia" w:cs="Times New Roman"/>
          <w:b/>
          <w:bCs/>
        </w:rPr>
        <w:t>土石方</w:t>
      </w:r>
      <w:bookmarkEnd w:id="168"/>
      <w:r>
        <w:rPr>
          <w:rFonts w:hint="eastAsia" w:cs="Times New Roman"/>
          <w:b/>
          <w:bCs/>
        </w:rPr>
        <w:t>平衡</w:t>
      </w:r>
    </w:p>
    <w:p w14:paraId="41BC2CEB">
      <w:pPr>
        <w:pStyle w:val="702"/>
        <w:ind w:firstLine="520"/>
        <w:rPr>
          <w:rFonts w:cs="Times New Roman"/>
        </w:rPr>
      </w:pPr>
      <w:r>
        <w:rPr>
          <w:rFonts w:hint="eastAsia" w:cs="Times New Roman"/>
        </w:rPr>
        <w:t>本项目在原巴中2HF钻井井场内建设，土石方量很小，施工过程土石方主要来自设备基础开挖。根据本项目初步设计，本项目土石方开挖总量约5m</w:t>
      </w:r>
      <w:r>
        <w:rPr>
          <w:rFonts w:hint="eastAsia" w:cs="Times New Roman"/>
          <w:vertAlign w:val="superscript"/>
        </w:rPr>
        <w:t>3</w:t>
      </w:r>
      <w:r>
        <w:rPr>
          <w:rFonts w:hint="eastAsia" w:cs="Times New Roman"/>
        </w:rPr>
        <w:t>，产生的土石方平铺在井场内，无弃方产生。</w:t>
      </w:r>
    </w:p>
    <w:p w14:paraId="6B14020B">
      <w:pPr>
        <w:adjustRightInd w:val="0"/>
        <w:snapToGrid w:val="0"/>
        <w:spacing w:line="460" w:lineRule="exact"/>
        <w:ind w:firstLine="522" w:firstLineChars="200"/>
        <w:outlineLvl w:val="1"/>
        <w:rPr>
          <w:b/>
          <w:bCs/>
          <w:sz w:val="26"/>
          <w:szCs w:val="26"/>
        </w:rPr>
      </w:pPr>
      <w:bookmarkStart w:id="169" w:name="_Toc104907123"/>
      <w:bookmarkStart w:id="170" w:name="_Toc219907636"/>
      <w:bookmarkStart w:id="171" w:name="_Toc165810507"/>
      <w:bookmarkStart w:id="172" w:name="_Toc128320907"/>
      <w:bookmarkStart w:id="173" w:name="_Toc165809688"/>
      <w:r>
        <w:rPr>
          <w:b/>
          <w:bCs/>
          <w:sz w:val="26"/>
          <w:szCs w:val="26"/>
        </w:rPr>
        <w:t xml:space="preserve">2.7 </w:t>
      </w:r>
      <w:r>
        <w:rPr>
          <w:rFonts w:hint="eastAsia"/>
          <w:b/>
          <w:bCs/>
          <w:sz w:val="26"/>
          <w:szCs w:val="26"/>
        </w:rPr>
        <w:t>劳动定员</w:t>
      </w:r>
      <w:bookmarkEnd w:id="169"/>
      <w:r>
        <w:rPr>
          <w:rFonts w:hint="eastAsia"/>
          <w:b/>
          <w:bCs/>
          <w:sz w:val="26"/>
          <w:szCs w:val="26"/>
        </w:rPr>
        <w:t>及工作制度</w:t>
      </w:r>
      <w:bookmarkEnd w:id="170"/>
      <w:bookmarkEnd w:id="171"/>
      <w:bookmarkEnd w:id="172"/>
      <w:bookmarkEnd w:id="173"/>
    </w:p>
    <w:p w14:paraId="799F558E">
      <w:pPr>
        <w:pStyle w:val="702"/>
        <w:adjustRightInd w:val="0"/>
        <w:snapToGrid w:val="0"/>
        <w:ind w:firstLine="520"/>
      </w:pPr>
      <w:r>
        <w:rPr>
          <w:rFonts w:hint="eastAsia"/>
        </w:rPr>
        <w:t>（1）施工期</w:t>
      </w:r>
    </w:p>
    <w:p w14:paraId="70A228A3">
      <w:pPr>
        <w:pStyle w:val="702"/>
        <w:adjustRightInd w:val="0"/>
        <w:snapToGrid w:val="0"/>
        <w:ind w:firstLine="520"/>
      </w:pPr>
      <w:r>
        <w:t>施工期约30天，工程高峰时日上工人数约20人，人员由专业施工队伍组成。</w:t>
      </w:r>
    </w:p>
    <w:p w14:paraId="17FDDF64">
      <w:pPr>
        <w:pStyle w:val="702"/>
        <w:adjustRightInd w:val="0"/>
        <w:snapToGrid w:val="0"/>
        <w:ind w:firstLine="520"/>
      </w:pPr>
      <w:r>
        <w:rPr>
          <w:rFonts w:hint="eastAsia"/>
        </w:rPr>
        <w:t>（2）试采期</w:t>
      </w:r>
    </w:p>
    <w:p w14:paraId="016FC1A5">
      <w:pPr>
        <w:adjustRightInd w:val="0"/>
        <w:snapToGrid w:val="0"/>
        <w:spacing w:line="460" w:lineRule="exact"/>
        <w:ind w:firstLine="520" w:firstLineChars="200"/>
        <w:rPr>
          <w:sz w:val="26"/>
          <w:szCs w:val="26"/>
        </w:rPr>
      </w:pPr>
      <w:r>
        <w:rPr>
          <w:rFonts w:hint="eastAsia"/>
          <w:sz w:val="26"/>
          <w:szCs w:val="26"/>
        </w:rPr>
        <w:t>试采站场设置2名值守人员，2人一班进行值守，每个月进行一次换班调休。</w:t>
      </w:r>
    </w:p>
    <w:p w14:paraId="376480E7">
      <w:pPr>
        <w:adjustRightInd w:val="0"/>
        <w:snapToGrid w:val="0"/>
        <w:spacing w:line="460" w:lineRule="exact"/>
        <w:ind w:firstLine="522" w:firstLineChars="200"/>
        <w:outlineLvl w:val="1"/>
        <w:rPr>
          <w:b/>
          <w:bCs/>
          <w:sz w:val="26"/>
          <w:szCs w:val="26"/>
        </w:rPr>
      </w:pPr>
      <w:bookmarkStart w:id="174" w:name="_Toc165809689"/>
      <w:bookmarkStart w:id="175" w:name="_Toc219907637"/>
      <w:bookmarkStart w:id="176" w:name="_Toc104907124"/>
      <w:bookmarkStart w:id="177" w:name="_Toc128320908"/>
      <w:bookmarkStart w:id="178" w:name="_Toc165810508"/>
      <w:r>
        <w:rPr>
          <w:b/>
          <w:bCs/>
          <w:sz w:val="26"/>
          <w:szCs w:val="26"/>
        </w:rPr>
        <w:t xml:space="preserve">2.8 </w:t>
      </w:r>
      <w:r>
        <w:rPr>
          <w:rFonts w:hint="eastAsia"/>
          <w:b/>
          <w:bCs/>
          <w:sz w:val="26"/>
          <w:szCs w:val="26"/>
        </w:rPr>
        <w:t>主要技术经济指标</w:t>
      </w:r>
      <w:bookmarkEnd w:id="174"/>
      <w:bookmarkEnd w:id="175"/>
      <w:bookmarkEnd w:id="176"/>
      <w:bookmarkEnd w:id="177"/>
      <w:bookmarkEnd w:id="178"/>
    </w:p>
    <w:p w14:paraId="25B1ECF8">
      <w:pPr>
        <w:adjustRightInd w:val="0"/>
        <w:snapToGrid w:val="0"/>
        <w:spacing w:line="460" w:lineRule="exact"/>
        <w:ind w:firstLine="520"/>
        <w:rPr>
          <w:sz w:val="26"/>
          <w:szCs w:val="26"/>
        </w:rPr>
      </w:pPr>
      <w:r>
        <w:rPr>
          <w:rFonts w:hint="eastAsia"/>
          <w:sz w:val="26"/>
          <w:szCs w:val="26"/>
        </w:rPr>
        <w:t>本项目主要技术指标见</w:t>
      </w:r>
      <w:r>
        <w:rPr>
          <w:rFonts w:hint="eastAsia"/>
          <w:sz w:val="26"/>
          <w:szCs w:val="26"/>
          <w:u w:val="single"/>
        </w:rPr>
        <w:t>表</w:t>
      </w:r>
      <w:r>
        <w:rPr>
          <w:sz w:val="26"/>
          <w:szCs w:val="26"/>
          <w:u w:val="single"/>
        </w:rPr>
        <w:t>2.8-1</w:t>
      </w:r>
      <w:r>
        <w:rPr>
          <w:rFonts w:hint="eastAsia"/>
          <w:sz w:val="26"/>
          <w:szCs w:val="26"/>
        </w:rPr>
        <w:t>。</w:t>
      </w:r>
    </w:p>
    <w:p w14:paraId="35DCBD3C">
      <w:pPr>
        <w:pStyle w:val="1379"/>
        <w:ind w:firstLine="440"/>
      </w:pPr>
    </w:p>
    <w:p w14:paraId="70548A26">
      <w:pPr>
        <w:keepNext/>
        <w:ind w:firstLine="522"/>
        <w:jc w:val="center"/>
        <w:rPr>
          <w:sz w:val="26"/>
          <w:szCs w:val="26"/>
        </w:rPr>
      </w:pPr>
      <w:r>
        <w:rPr>
          <w:rFonts w:hint="eastAsia"/>
          <w:sz w:val="26"/>
          <w:szCs w:val="26"/>
        </w:rPr>
        <w:t>表</w:t>
      </w:r>
      <w:r>
        <w:rPr>
          <w:sz w:val="26"/>
          <w:szCs w:val="26"/>
        </w:rPr>
        <w:t xml:space="preserve">2.8-1  </w:t>
      </w:r>
      <w:r>
        <w:rPr>
          <w:rFonts w:hint="eastAsia"/>
          <w:sz w:val="26"/>
          <w:szCs w:val="26"/>
        </w:rPr>
        <w:t xml:space="preserve">  本项目主要技术指标</w:t>
      </w:r>
    </w:p>
    <w:tbl>
      <w:tblPr>
        <w:tblStyle w:val="88"/>
        <w:tblW w:w="86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0"/>
        <w:gridCol w:w="2853"/>
        <w:gridCol w:w="1549"/>
        <w:gridCol w:w="3005"/>
      </w:tblGrid>
      <w:tr w14:paraId="1826A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exact"/>
          <w:jc w:val="center"/>
        </w:trPr>
        <w:tc>
          <w:tcPr>
            <w:tcW w:w="1270" w:type="dxa"/>
            <w:vMerge w:val="restart"/>
            <w:vAlign w:val="center"/>
          </w:tcPr>
          <w:p w14:paraId="7644CE76">
            <w:pPr>
              <w:jc w:val="center"/>
              <w:rPr>
                <w:sz w:val="22"/>
                <w:szCs w:val="21"/>
              </w:rPr>
            </w:pPr>
            <w:r>
              <w:rPr>
                <w:sz w:val="22"/>
                <w:szCs w:val="21"/>
              </w:rPr>
              <w:t>序号</w:t>
            </w:r>
          </w:p>
        </w:tc>
        <w:tc>
          <w:tcPr>
            <w:tcW w:w="2853" w:type="dxa"/>
            <w:vMerge w:val="restart"/>
            <w:vAlign w:val="center"/>
          </w:tcPr>
          <w:p w14:paraId="48B16C0B">
            <w:pPr>
              <w:jc w:val="center"/>
              <w:rPr>
                <w:sz w:val="22"/>
                <w:szCs w:val="21"/>
              </w:rPr>
            </w:pPr>
            <w:r>
              <w:rPr>
                <w:sz w:val="22"/>
                <w:szCs w:val="21"/>
              </w:rPr>
              <w:t>工程内容</w:t>
            </w:r>
          </w:p>
        </w:tc>
        <w:tc>
          <w:tcPr>
            <w:tcW w:w="1549" w:type="dxa"/>
            <w:vMerge w:val="restart"/>
            <w:vAlign w:val="center"/>
          </w:tcPr>
          <w:p w14:paraId="598AC07B">
            <w:pPr>
              <w:jc w:val="center"/>
              <w:rPr>
                <w:sz w:val="22"/>
                <w:szCs w:val="21"/>
              </w:rPr>
            </w:pPr>
            <w:r>
              <w:rPr>
                <w:sz w:val="22"/>
                <w:szCs w:val="21"/>
              </w:rPr>
              <w:t>单位</w:t>
            </w:r>
          </w:p>
        </w:tc>
        <w:tc>
          <w:tcPr>
            <w:tcW w:w="3005" w:type="dxa"/>
            <w:vMerge w:val="restart"/>
            <w:vAlign w:val="center"/>
          </w:tcPr>
          <w:p w14:paraId="3B070A65">
            <w:pPr>
              <w:jc w:val="center"/>
              <w:rPr>
                <w:sz w:val="22"/>
                <w:szCs w:val="21"/>
              </w:rPr>
            </w:pPr>
            <w:r>
              <w:rPr>
                <w:sz w:val="22"/>
                <w:szCs w:val="21"/>
              </w:rPr>
              <w:t>数量</w:t>
            </w:r>
          </w:p>
        </w:tc>
      </w:tr>
      <w:tr w14:paraId="61148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 w:hRule="exact"/>
          <w:jc w:val="center"/>
        </w:trPr>
        <w:tc>
          <w:tcPr>
            <w:tcW w:w="1270" w:type="dxa"/>
            <w:vMerge w:val="continue"/>
            <w:vAlign w:val="center"/>
          </w:tcPr>
          <w:p w14:paraId="1E7F835B">
            <w:pPr>
              <w:jc w:val="center"/>
              <w:rPr>
                <w:sz w:val="22"/>
                <w:szCs w:val="21"/>
              </w:rPr>
            </w:pPr>
          </w:p>
        </w:tc>
        <w:tc>
          <w:tcPr>
            <w:tcW w:w="2853" w:type="dxa"/>
            <w:vMerge w:val="continue"/>
            <w:vAlign w:val="center"/>
          </w:tcPr>
          <w:p w14:paraId="1CDEEB4A">
            <w:pPr>
              <w:jc w:val="center"/>
              <w:rPr>
                <w:sz w:val="22"/>
                <w:szCs w:val="21"/>
              </w:rPr>
            </w:pPr>
          </w:p>
        </w:tc>
        <w:tc>
          <w:tcPr>
            <w:tcW w:w="1549" w:type="dxa"/>
            <w:vMerge w:val="continue"/>
            <w:vAlign w:val="center"/>
          </w:tcPr>
          <w:p w14:paraId="2EF53653">
            <w:pPr>
              <w:jc w:val="center"/>
              <w:rPr>
                <w:sz w:val="22"/>
                <w:szCs w:val="21"/>
              </w:rPr>
            </w:pPr>
          </w:p>
        </w:tc>
        <w:tc>
          <w:tcPr>
            <w:tcW w:w="3005" w:type="dxa"/>
            <w:vMerge w:val="continue"/>
            <w:vAlign w:val="center"/>
          </w:tcPr>
          <w:p w14:paraId="1031C9B9">
            <w:pPr>
              <w:jc w:val="center"/>
              <w:rPr>
                <w:sz w:val="22"/>
                <w:szCs w:val="21"/>
              </w:rPr>
            </w:pPr>
          </w:p>
        </w:tc>
      </w:tr>
      <w:tr w14:paraId="7F67D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exact"/>
          <w:jc w:val="center"/>
        </w:trPr>
        <w:tc>
          <w:tcPr>
            <w:tcW w:w="1270" w:type="dxa"/>
            <w:vAlign w:val="center"/>
          </w:tcPr>
          <w:p w14:paraId="6AAD1D79">
            <w:pPr>
              <w:jc w:val="center"/>
              <w:rPr>
                <w:sz w:val="22"/>
                <w:szCs w:val="22"/>
              </w:rPr>
            </w:pPr>
            <w:r>
              <w:rPr>
                <w:sz w:val="22"/>
                <w:szCs w:val="22"/>
              </w:rPr>
              <w:t>1</w:t>
            </w:r>
          </w:p>
        </w:tc>
        <w:tc>
          <w:tcPr>
            <w:tcW w:w="2853" w:type="dxa"/>
            <w:vAlign w:val="center"/>
          </w:tcPr>
          <w:p w14:paraId="0E50A1A6">
            <w:pPr>
              <w:jc w:val="center"/>
              <w:rPr>
                <w:sz w:val="22"/>
                <w:szCs w:val="22"/>
              </w:rPr>
            </w:pPr>
            <w:r>
              <w:rPr>
                <w:sz w:val="22"/>
                <w:szCs w:val="22"/>
              </w:rPr>
              <w:t>采气规模</w:t>
            </w:r>
          </w:p>
        </w:tc>
        <w:tc>
          <w:tcPr>
            <w:tcW w:w="1549" w:type="dxa"/>
            <w:vAlign w:val="center"/>
          </w:tcPr>
          <w:p w14:paraId="465605FE">
            <w:pPr>
              <w:jc w:val="center"/>
              <w:rPr>
                <w:sz w:val="22"/>
                <w:szCs w:val="22"/>
              </w:rPr>
            </w:pPr>
            <w:r>
              <w:rPr>
                <w:sz w:val="22"/>
                <w:szCs w:val="22"/>
              </w:rPr>
              <w:t>万m</w:t>
            </w:r>
            <w:r>
              <w:rPr>
                <w:sz w:val="22"/>
                <w:szCs w:val="22"/>
                <w:vertAlign w:val="superscript"/>
              </w:rPr>
              <w:t>3</w:t>
            </w:r>
            <w:r>
              <w:rPr>
                <w:sz w:val="22"/>
                <w:szCs w:val="22"/>
              </w:rPr>
              <w:t>/d</w:t>
            </w:r>
          </w:p>
        </w:tc>
        <w:tc>
          <w:tcPr>
            <w:tcW w:w="3005" w:type="dxa"/>
            <w:vAlign w:val="center"/>
          </w:tcPr>
          <w:p w14:paraId="6D30ACF3">
            <w:pPr>
              <w:jc w:val="center"/>
              <w:rPr>
                <w:sz w:val="22"/>
                <w:szCs w:val="22"/>
                <w:vertAlign w:val="superscript"/>
              </w:rPr>
            </w:pPr>
            <w:r>
              <w:rPr>
                <w:sz w:val="22"/>
                <w:szCs w:val="22"/>
              </w:rPr>
              <w:t>2</w:t>
            </w:r>
          </w:p>
        </w:tc>
      </w:tr>
      <w:tr w14:paraId="6B492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exact"/>
          <w:jc w:val="center"/>
        </w:trPr>
        <w:tc>
          <w:tcPr>
            <w:tcW w:w="1270" w:type="dxa"/>
            <w:vAlign w:val="center"/>
          </w:tcPr>
          <w:p w14:paraId="4CE2B262">
            <w:pPr>
              <w:pStyle w:val="995"/>
              <w:adjustRightInd w:val="0"/>
              <w:snapToGrid w:val="0"/>
              <w:spacing w:line="240" w:lineRule="auto"/>
              <w:ind w:firstLine="0" w:firstLineChars="0"/>
              <w:jc w:val="center"/>
              <w:rPr>
                <w:rFonts w:ascii="Times New Roman" w:hAnsi="Times New Roman" w:eastAsia="宋体"/>
                <w:sz w:val="22"/>
                <w:szCs w:val="22"/>
              </w:rPr>
            </w:pPr>
            <w:r>
              <w:rPr>
                <w:rFonts w:ascii="Times New Roman" w:hAnsi="Times New Roman" w:eastAsia="宋体"/>
                <w:sz w:val="22"/>
                <w:szCs w:val="22"/>
              </w:rPr>
              <w:t>2</w:t>
            </w:r>
          </w:p>
        </w:tc>
        <w:tc>
          <w:tcPr>
            <w:tcW w:w="2853" w:type="dxa"/>
            <w:vAlign w:val="center"/>
          </w:tcPr>
          <w:p w14:paraId="2FE234CA">
            <w:pPr>
              <w:pStyle w:val="995"/>
              <w:adjustRightInd w:val="0"/>
              <w:snapToGrid w:val="0"/>
              <w:spacing w:line="240" w:lineRule="auto"/>
              <w:ind w:firstLine="0" w:firstLineChars="0"/>
              <w:jc w:val="center"/>
              <w:rPr>
                <w:rFonts w:ascii="Times New Roman" w:hAnsi="Times New Roman" w:eastAsia="宋体"/>
                <w:sz w:val="22"/>
                <w:szCs w:val="22"/>
              </w:rPr>
            </w:pPr>
            <w:r>
              <w:rPr>
                <w:rFonts w:ascii="Times New Roman" w:hAnsi="Times New Roman" w:eastAsia="宋体"/>
                <w:sz w:val="22"/>
                <w:szCs w:val="22"/>
              </w:rPr>
              <w:t>采气平台</w:t>
            </w:r>
          </w:p>
        </w:tc>
        <w:tc>
          <w:tcPr>
            <w:tcW w:w="1549" w:type="dxa"/>
            <w:vAlign w:val="center"/>
          </w:tcPr>
          <w:p w14:paraId="14100566">
            <w:pPr>
              <w:jc w:val="center"/>
              <w:rPr>
                <w:sz w:val="22"/>
                <w:szCs w:val="22"/>
              </w:rPr>
            </w:pPr>
            <w:r>
              <w:rPr>
                <w:sz w:val="22"/>
                <w:szCs w:val="22"/>
              </w:rPr>
              <w:t>座</w:t>
            </w:r>
          </w:p>
        </w:tc>
        <w:tc>
          <w:tcPr>
            <w:tcW w:w="3005" w:type="dxa"/>
            <w:vAlign w:val="center"/>
          </w:tcPr>
          <w:p w14:paraId="45ABCFA1">
            <w:pPr>
              <w:jc w:val="center"/>
              <w:rPr>
                <w:sz w:val="22"/>
                <w:szCs w:val="22"/>
              </w:rPr>
            </w:pPr>
            <w:r>
              <w:rPr>
                <w:sz w:val="22"/>
                <w:szCs w:val="22"/>
              </w:rPr>
              <w:t>1座</w:t>
            </w:r>
          </w:p>
        </w:tc>
      </w:tr>
      <w:tr w14:paraId="20185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exact"/>
          <w:jc w:val="center"/>
        </w:trPr>
        <w:tc>
          <w:tcPr>
            <w:tcW w:w="1270" w:type="dxa"/>
            <w:vAlign w:val="center"/>
          </w:tcPr>
          <w:p w14:paraId="70A1E997">
            <w:pPr>
              <w:pStyle w:val="995"/>
              <w:adjustRightInd w:val="0"/>
              <w:snapToGrid w:val="0"/>
              <w:spacing w:line="240" w:lineRule="auto"/>
              <w:ind w:firstLine="0" w:firstLineChars="0"/>
              <w:jc w:val="center"/>
              <w:rPr>
                <w:rFonts w:ascii="Times New Roman" w:hAnsi="Times New Roman" w:eastAsia="宋体"/>
                <w:sz w:val="22"/>
                <w:szCs w:val="22"/>
              </w:rPr>
            </w:pPr>
            <w:r>
              <w:rPr>
                <w:rFonts w:ascii="Times New Roman" w:hAnsi="Times New Roman" w:eastAsia="宋体"/>
                <w:sz w:val="22"/>
                <w:szCs w:val="22"/>
              </w:rPr>
              <w:t>3</w:t>
            </w:r>
          </w:p>
        </w:tc>
        <w:tc>
          <w:tcPr>
            <w:tcW w:w="2853" w:type="dxa"/>
            <w:vAlign w:val="center"/>
          </w:tcPr>
          <w:p w14:paraId="0E8B4503">
            <w:pPr>
              <w:pStyle w:val="995"/>
              <w:adjustRightInd w:val="0"/>
              <w:snapToGrid w:val="0"/>
              <w:spacing w:line="240" w:lineRule="auto"/>
              <w:ind w:firstLine="0" w:firstLineChars="0"/>
              <w:jc w:val="center"/>
              <w:rPr>
                <w:rFonts w:ascii="Times New Roman" w:hAnsi="Times New Roman" w:eastAsia="宋体"/>
                <w:sz w:val="22"/>
                <w:szCs w:val="22"/>
              </w:rPr>
            </w:pPr>
            <w:r>
              <w:rPr>
                <w:rFonts w:ascii="Times New Roman" w:hAnsi="Times New Roman" w:eastAsia="宋体"/>
                <w:sz w:val="22"/>
                <w:szCs w:val="22"/>
              </w:rPr>
              <w:t>总占地面积</w:t>
            </w:r>
          </w:p>
        </w:tc>
        <w:tc>
          <w:tcPr>
            <w:tcW w:w="1549" w:type="dxa"/>
            <w:vAlign w:val="center"/>
          </w:tcPr>
          <w:p w14:paraId="0FE34103">
            <w:pPr>
              <w:jc w:val="center"/>
              <w:rPr>
                <w:sz w:val="22"/>
                <w:szCs w:val="22"/>
              </w:rPr>
            </w:pPr>
            <w:r>
              <w:rPr>
                <w:sz w:val="22"/>
                <w:szCs w:val="22"/>
              </w:rPr>
              <w:t>m</w:t>
            </w:r>
            <w:r>
              <w:rPr>
                <w:sz w:val="22"/>
                <w:szCs w:val="22"/>
                <w:vertAlign w:val="superscript"/>
              </w:rPr>
              <w:t>2</w:t>
            </w:r>
          </w:p>
        </w:tc>
        <w:tc>
          <w:tcPr>
            <w:tcW w:w="3005" w:type="dxa"/>
            <w:vAlign w:val="center"/>
          </w:tcPr>
          <w:p w14:paraId="1C41B70E">
            <w:pPr>
              <w:jc w:val="center"/>
              <w:rPr>
                <w:sz w:val="22"/>
                <w:szCs w:val="22"/>
              </w:rPr>
            </w:pPr>
            <w:r>
              <w:rPr>
                <w:sz w:val="22"/>
                <w:szCs w:val="22"/>
              </w:rPr>
              <w:t>5016</w:t>
            </w:r>
            <w:r>
              <w:rPr>
                <w:rFonts w:hint="eastAsia"/>
                <w:sz w:val="22"/>
                <w:szCs w:val="22"/>
              </w:rPr>
              <w:t>（临时占地）</w:t>
            </w:r>
          </w:p>
        </w:tc>
      </w:tr>
      <w:tr w14:paraId="38F09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exact"/>
          <w:jc w:val="center"/>
        </w:trPr>
        <w:tc>
          <w:tcPr>
            <w:tcW w:w="1270" w:type="dxa"/>
            <w:vAlign w:val="center"/>
          </w:tcPr>
          <w:p w14:paraId="611912FB">
            <w:pPr>
              <w:pStyle w:val="995"/>
              <w:adjustRightInd w:val="0"/>
              <w:snapToGrid w:val="0"/>
              <w:spacing w:line="240" w:lineRule="auto"/>
              <w:ind w:firstLine="0" w:firstLineChars="0"/>
              <w:jc w:val="center"/>
              <w:rPr>
                <w:rFonts w:ascii="Times New Roman" w:hAnsi="Times New Roman" w:eastAsia="宋体"/>
                <w:sz w:val="22"/>
                <w:szCs w:val="22"/>
              </w:rPr>
            </w:pPr>
            <w:r>
              <w:rPr>
                <w:rFonts w:ascii="Times New Roman" w:hAnsi="Times New Roman" w:eastAsia="宋体"/>
                <w:sz w:val="22"/>
                <w:szCs w:val="22"/>
              </w:rPr>
              <w:t>4</w:t>
            </w:r>
          </w:p>
        </w:tc>
        <w:tc>
          <w:tcPr>
            <w:tcW w:w="2853" w:type="dxa"/>
            <w:vAlign w:val="center"/>
          </w:tcPr>
          <w:p w14:paraId="19FA0393">
            <w:pPr>
              <w:pStyle w:val="995"/>
              <w:adjustRightInd w:val="0"/>
              <w:snapToGrid w:val="0"/>
              <w:spacing w:line="240" w:lineRule="auto"/>
              <w:ind w:firstLine="0" w:firstLineChars="0"/>
              <w:jc w:val="center"/>
              <w:rPr>
                <w:rFonts w:ascii="Times New Roman" w:hAnsi="Times New Roman" w:eastAsia="宋体"/>
                <w:sz w:val="22"/>
                <w:szCs w:val="22"/>
              </w:rPr>
            </w:pPr>
            <w:r>
              <w:rPr>
                <w:rFonts w:ascii="Times New Roman" w:hAnsi="Times New Roman" w:eastAsia="宋体"/>
                <w:sz w:val="22"/>
                <w:szCs w:val="22"/>
              </w:rPr>
              <w:t>劳动定员</w:t>
            </w:r>
          </w:p>
        </w:tc>
        <w:tc>
          <w:tcPr>
            <w:tcW w:w="1549" w:type="dxa"/>
            <w:vAlign w:val="center"/>
          </w:tcPr>
          <w:p w14:paraId="2767D075">
            <w:pPr>
              <w:jc w:val="center"/>
              <w:rPr>
                <w:sz w:val="22"/>
                <w:szCs w:val="22"/>
              </w:rPr>
            </w:pPr>
            <w:r>
              <w:rPr>
                <w:sz w:val="22"/>
                <w:szCs w:val="22"/>
              </w:rPr>
              <w:t>人</w:t>
            </w:r>
          </w:p>
        </w:tc>
        <w:tc>
          <w:tcPr>
            <w:tcW w:w="3005" w:type="dxa"/>
            <w:vAlign w:val="center"/>
          </w:tcPr>
          <w:p w14:paraId="54B4D8DE">
            <w:pPr>
              <w:jc w:val="center"/>
              <w:rPr>
                <w:sz w:val="22"/>
                <w:szCs w:val="22"/>
              </w:rPr>
            </w:pPr>
            <w:r>
              <w:rPr>
                <w:sz w:val="22"/>
                <w:szCs w:val="22"/>
              </w:rPr>
              <w:t>2</w:t>
            </w:r>
          </w:p>
        </w:tc>
      </w:tr>
      <w:tr w14:paraId="0846C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exact"/>
          <w:jc w:val="center"/>
        </w:trPr>
        <w:tc>
          <w:tcPr>
            <w:tcW w:w="1270" w:type="dxa"/>
            <w:vAlign w:val="center"/>
          </w:tcPr>
          <w:p w14:paraId="00F52925">
            <w:pPr>
              <w:pStyle w:val="995"/>
              <w:adjustRightInd w:val="0"/>
              <w:snapToGrid w:val="0"/>
              <w:spacing w:line="240" w:lineRule="auto"/>
              <w:ind w:firstLine="0" w:firstLineChars="0"/>
              <w:jc w:val="center"/>
              <w:rPr>
                <w:rFonts w:ascii="Times New Roman" w:hAnsi="Times New Roman" w:eastAsia="宋体"/>
                <w:sz w:val="22"/>
                <w:szCs w:val="22"/>
              </w:rPr>
            </w:pPr>
            <w:r>
              <w:rPr>
                <w:rFonts w:ascii="Times New Roman" w:hAnsi="Times New Roman" w:eastAsia="宋体"/>
                <w:sz w:val="22"/>
                <w:szCs w:val="22"/>
              </w:rPr>
              <w:t>5</w:t>
            </w:r>
          </w:p>
        </w:tc>
        <w:tc>
          <w:tcPr>
            <w:tcW w:w="2853" w:type="dxa"/>
            <w:vAlign w:val="center"/>
          </w:tcPr>
          <w:p w14:paraId="58383261">
            <w:pPr>
              <w:pStyle w:val="995"/>
              <w:adjustRightInd w:val="0"/>
              <w:snapToGrid w:val="0"/>
              <w:spacing w:line="240" w:lineRule="auto"/>
              <w:ind w:firstLine="0" w:firstLineChars="0"/>
              <w:jc w:val="center"/>
              <w:rPr>
                <w:rFonts w:ascii="Times New Roman" w:hAnsi="Times New Roman" w:eastAsia="宋体"/>
                <w:sz w:val="22"/>
                <w:szCs w:val="22"/>
              </w:rPr>
            </w:pPr>
            <w:r>
              <w:rPr>
                <w:rFonts w:ascii="Times New Roman" w:hAnsi="Times New Roman" w:eastAsia="宋体"/>
                <w:sz w:val="22"/>
                <w:szCs w:val="22"/>
              </w:rPr>
              <w:t>站场类型</w:t>
            </w:r>
          </w:p>
        </w:tc>
        <w:tc>
          <w:tcPr>
            <w:tcW w:w="1549" w:type="dxa"/>
            <w:vAlign w:val="center"/>
          </w:tcPr>
          <w:p w14:paraId="7EF18715">
            <w:pPr>
              <w:jc w:val="center"/>
              <w:rPr>
                <w:sz w:val="22"/>
                <w:szCs w:val="22"/>
              </w:rPr>
            </w:pPr>
            <w:r>
              <w:rPr>
                <w:sz w:val="22"/>
                <w:szCs w:val="22"/>
              </w:rPr>
              <w:t>/</w:t>
            </w:r>
          </w:p>
        </w:tc>
        <w:tc>
          <w:tcPr>
            <w:tcW w:w="3005" w:type="dxa"/>
            <w:vAlign w:val="center"/>
          </w:tcPr>
          <w:p w14:paraId="12D81FC0">
            <w:pPr>
              <w:jc w:val="center"/>
              <w:rPr>
                <w:sz w:val="22"/>
                <w:szCs w:val="22"/>
              </w:rPr>
            </w:pPr>
            <w:r>
              <w:rPr>
                <w:sz w:val="22"/>
                <w:szCs w:val="22"/>
              </w:rPr>
              <w:t>五级站场</w:t>
            </w:r>
          </w:p>
        </w:tc>
      </w:tr>
      <w:tr w14:paraId="6F30F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exact"/>
          <w:jc w:val="center"/>
        </w:trPr>
        <w:tc>
          <w:tcPr>
            <w:tcW w:w="1270" w:type="dxa"/>
            <w:vAlign w:val="center"/>
          </w:tcPr>
          <w:p w14:paraId="1ED7B5EA">
            <w:pPr>
              <w:pStyle w:val="995"/>
              <w:adjustRightInd w:val="0"/>
              <w:snapToGrid w:val="0"/>
              <w:spacing w:line="240" w:lineRule="auto"/>
              <w:ind w:firstLine="0" w:firstLineChars="0"/>
              <w:jc w:val="center"/>
              <w:rPr>
                <w:rFonts w:ascii="Times New Roman" w:hAnsi="Times New Roman" w:eastAsia="宋体"/>
                <w:sz w:val="22"/>
                <w:szCs w:val="22"/>
              </w:rPr>
            </w:pPr>
            <w:r>
              <w:rPr>
                <w:rFonts w:ascii="Times New Roman" w:hAnsi="Times New Roman" w:eastAsia="宋体"/>
                <w:sz w:val="22"/>
                <w:szCs w:val="22"/>
              </w:rPr>
              <w:t>6</w:t>
            </w:r>
          </w:p>
        </w:tc>
        <w:tc>
          <w:tcPr>
            <w:tcW w:w="2853" w:type="dxa"/>
            <w:vAlign w:val="center"/>
          </w:tcPr>
          <w:p w14:paraId="546A936B">
            <w:pPr>
              <w:pStyle w:val="995"/>
              <w:adjustRightInd w:val="0"/>
              <w:snapToGrid w:val="0"/>
              <w:spacing w:line="240" w:lineRule="auto"/>
              <w:ind w:firstLine="0" w:firstLineChars="0"/>
              <w:jc w:val="center"/>
              <w:rPr>
                <w:rFonts w:ascii="Times New Roman" w:hAnsi="Times New Roman" w:eastAsia="宋体"/>
                <w:sz w:val="22"/>
                <w:szCs w:val="22"/>
              </w:rPr>
            </w:pPr>
            <w:r>
              <w:rPr>
                <w:rFonts w:ascii="Times New Roman" w:hAnsi="Times New Roman" w:eastAsia="宋体"/>
                <w:sz w:val="22"/>
                <w:szCs w:val="22"/>
              </w:rPr>
              <w:t>工程总投资</w:t>
            </w:r>
          </w:p>
        </w:tc>
        <w:tc>
          <w:tcPr>
            <w:tcW w:w="1549" w:type="dxa"/>
            <w:vAlign w:val="center"/>
          </w:tcPr>
          <w:p w14:paraId="17A65FAB">
            <w:pPr>
              <w:pStyle w:val="997"/>
              <w:adjustRightInd w:val="0"/>
              <w:snapToGrid w:val="0"/>
              <w:ind w:firstLine="442"/>
              <w:jc w:val="both"/>
              <w:rPr>
                <w:rFonts w:ascii="Times New Roman" w:hAnsi="Times New Roman" w:eastAsia="宋体"/>
                <w:sz w:val="22"/>
                <w:szCs w:val="22"/>
              </w:rPr>
            </w:pPr>
            <w:r>
              <w:rPr>
                <w:rFonts w:ascii="Times New Roman" w:hAnsi="Times New Roman" w:eastAsia="宋体"/>
                <w:sz w:val="22"/>
                <w:szCs w:val="22"/>
              </w:rPr>
              <w:t>万元</w:t>
            </w:r>
          </w:p>
        </w:tc>
        <w:tc>
          <w:tcPr>
            <w:tcW w:w="3005" w:type="dxa"/>
            <w:vAlign w:val="center"/>
          </w:tcPr>
          <w:p w14:paraId="64B0D6E5">
            <w:pPr>
              <w:pStyle w:val="997"/>
              <w:adjustRightInd w:val="0"/>
              <w:snapToGrid w:val="0"/>
              <w:rPr>
                <w:rFonts w:ascii="Times New Roman" w:hAnsi="Times New Roman" w:eastAsia="宋体"/>
                <w:sz w:val="22"/>
                <w:szCs w:val="22"/>
              </w:rPr>
            </w:pPr>
            <w:r>
              <w:rPr>
                <w:rFonts w:ascii="Times New Roman" w:hAnsi="Times New Roman" w:eastAsia="宋体"/>
                <w:sz w:val="22"/>
                <w:szCs w:val="22"/>
              </w:rPr>
              <w:t>***</w:t>
            </w:r>
          </w:p>
        </w:tc>
      </w:tr>
      <w:tr w14:paraId="08909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exact"/>
          <w:jc w:val="center"/>
        </w:trPr>
        <w:tc>
          <w:tcPr>
            <w:tcW w:w="1270" w:type="dxa"/>
            <w:vAlign w:val="center"/>
          </w:tcPr>
          <w:p w14:paraId="455CA791">
            <w:pPr>
              <w:pStyle w:val="995"/>
              <w:adjustRightInd w:val="0"/>
              <w:snapToGrid w:val="0"/>
              <w:spacing w:line="240" w:lineRule="auto"/>
              <w:ind w:firstLine="0" w:firstLineChars="0"/>
              <w:jc w:val="center"/>
              <w:rPr>
                <w:rFonts w:ascii="Times New Roman" w:hAnsi="Times New Roman" w:eastAsia="宋体"/>
                <w:sz w:val="22"/>
                <w:szCs w:val="22"/>
              </w:rPr>
            </w:pPr>
            <w:r>
              <w:rPr>
                <w:rFonts w:ascii="Times New Roman" w:hAnsi="Times New Roman" w:eastAsia="宋体"/>
                <w:sz w:val="22"/>
                <w:szCs w:val="22"/>
              </w:rPr>
              <w:t>7</w:t>
            </w:r>
          </w:p>
        </w:tc>
        <w:tc>
          <w:tcPr>
            <w:tcW w:w="2853" w:type="dxa"/>
            <w:vAlign w:val="center"/>
          </w:tcPr>
          <w:p w14:paraId="0E95357A">
            <w:pPr>
              <w:pStyle w:val="995"/>
              <w:adjustRightInd w:val="0"/>
              <w:snapToGrid w:val="0"/>
              <w:spacing w:line="240" w:lineRule="auto"/>
              <w:ind w:firstLine="0" w:firstLineChars="0"/>
              <w:jc w:val="center"/>
              <w:rPr>
                <w:rFonts w:ascii="Times New Roman" w:hAnsi="Times New Roman" w:eastAsia="宋体"/>
                <w:sz w:val="22"/>
                <w:szCs w:val="22"/>
              </w:rPr>
            </w:pPr>
            <w:r>
              <w:rPr>
                <w:rFonts w:ascii="Times New Roman" w:hAnsi="Times New Roman" w:eastAsia="宋体"/>
                <w:sz w:val="22"/>
                <w:szCs w:val="22"/>
              </w:rPr>
              <w:t>环保投资</w:t>
            </w:r>
          </w:p>
        </w:tc>
        <w:tc>
          <w:tcPr>
            <w:tcW w:w="1549" w:type="dxa"/>
            <w:vAlign w:val="center"/>
          </w:tcPr>
          <w:p w14:paraId="0D314DF5">
            <w:pPr>
              <w:pStyle w:val="997"/>
              <w:adjustRightInd w:val="0"/>
              <w:snapToGrid w:val="0"/>
              <w:ind w:firstLine="442"/>
              <w:jc w:val="both"/>
              <w:rPr>
                <w:rFonts w:ascii="Times New Roman" w:hAnsi="Times New Roman" w:eastAsia="宋体"/>
                <w:sz w:val="22"/>
                <w:szCs w:val="22"/>
              </w:rPr>
            </w:pPr>
            <w:r>
              <w:rPr>
                <w:rFonts w:ascii="Times New Roman" w:hAnsi="Times New Roman" w:eastAsia="宋体"/>
                <w:sz w:val="22"/>
                <w:szCs w:val="22"/>
              </w:rPr>
              <w:t>万元</w:t>
            </w:r>
          </w:p>
        </w:tc>
        <w:tc>
          <w:tcPr>
            <w:tcW w:w="3005" w:type="dxa"/>
            <w:vAlign w:val="center"/>
          </w:tcPr>
          <w:p w14:paraId="3788722B">
            <w:pPr>
              <w:pStyle w:val="997"/>
              <w:adjustRightInd w:val="0"/>
              <w:snapToGrid w:val="0"/>
              <w:rPr>
                <w:rFonts w:ascii="Times New Roman" w:hAnsi="Times New Roman" w:eastAsia="宋体"/>
                <w:sz w:val="22"/>
                <w:szCs w:val="22"/>
              </w:rPr>
            </w:pPr>
            <w:r>
              <w:rPr>
                <w:rFonts w:ascii="Times New Roman" w:hAnsi="Times New Roman" w:eastAsia="宋体"/>
                <w:sz w:val="22"/>
                <w:szCs w:val="22"/>
              </w:rPr>
              <w:t>***</w:t>
            </w:r>
          </w:p>
        </w:tc>
      </w:tr>
      <w:bookmarkEnd w:id="124"/>
      <w:bookmarkEnd w:id="125"/>
    </w:tbl>
    <w:p w14:paraId="2F0A8A05">
      <w:pPr>
        <w:spacing w:line="480" w:lineRule="exact"/>
        <w:ind w:firstLine="520" w:firstLineChars="200"/>
        <w:rPr>
          <w:sz w:val="26"/>
          <w:szCs w:val="26"/>
        </w:rPr>
        <w:sectPr>
          <w:pgSz w:w="11906" w:h="16838"/>
          <w:pgMar w:top="1701" w:right="1588" w:bottom="1588" w:left="1588" w:header="1304" w:footer="1247" w:gutter="0"/>
          <w:cols w:space="720" w:num="1"/>
          <w:docGrid w:linePitch="312" w:charSpace="0"/>
        </w:sectPr>
      </w:pPr>
      <w:bookmarkStart w:id="179" w:name="_Toc220170984"/>
      <w:bookmarkStart w:id="180" w:name="_Toc164084313"/>
    </w:p>
    <w:p w14:paraId="425DACBF">
      <w:pPr>
        <w:adjustRightInd w:val="0"/>
        <w:snapToGrid w:val="0"/>
        <w:spacing w:before="240" w:beforeLines="100" w:after="240" w:afterLines="100"/>
        <w:jc w:val="center"/>
        <w:outlineLvl w:val="0"/>
        <w:rPr>
          <w:b/>
          <w:sz w:val="32"/>
          <w:szCs w:val="32"/>
        </w:rPr>
      </w:pPr>
      <w:bookmarkStart w:id="181" w:name="_Toc165809690"/>
      <w:bookmarkStart w:id="182" w:name="_Toc165810509"/>
      <w:bookmarkStart w:id="183" w:name="_Toc219907638"/>
      <w:r>
        <w:rPr>
          <w:b/>
          <w:sz w:val="32"/>
          <w:szCs w:val="32"/>
        </w:rPr>
        <w:t>3 工程分析</w:t>
      </w:r>
      <w:bookmarkEnd w:id="179"/>
      <w:bookmarkEnd w:id="180"/>
      <w:bookmarkEnd w:id="181"/>
      <w:bookmarkEnd w:id="182"/>
      <w:bookmarkEnd w:id="183"/>
    </w:p>
    <w:p w14:paraId="1EB8E771">
      <w:pPr>
        <w:adjustRightInd w:val="0"/>
        <w:snapToGrid w:val="0"/>
        <w:spacing w:line="460" w:lineRule="exact"/>
        <w:ind w:firstLine="520" w:firstLineChars="200"/>
        <w:rPr>
          <w:bCs/>
          <w:sz w:val="26"/>
          <w:szCs w:val="26"/>
        </w:rPr>
      </w:pPr>
      <w:r>
        <w:rPr>
          <w:bCs/>
          <w:sz w:val="26"/>
          <w:szCs w:val="26"/>
        </w:rPr>
        <w:t>本项目为</w:t>
      </w:r>
      <w:r>
        <w:rPr>
          <w:rFonts w:hint="eastAsia"/>
          <w:bCs/>
          <w:sz w:val="26"/>
          <w:szCs w:val="26"/>
        </w:rPr>
        <w:t>天然气试采</w:t>
      </w:r>
      <w:r>
        <w:rPr>
          <w:bCs/>
          <w:sz w:val="26"/>
          <w:szCs w:val="26"/>
        </w:rPr>
        <w:t>地面建设工程，根据的工程特点，可将项目实施分为</w:t>
      </w:r>
      <w:r>
        <w:rPr>
          <w:rFonts w:hint="eastAsia"/>
          <w:bCs/>
          <w:sz w:val="26"/>
          <w:szCs w:val="26"/>
        </w:rPr>
        <w:t>三</w:t>
      </w:r>
      <w:r>
        <w:rPr>
          <w:bCs/>
          <w:sz w:val="26"/>
          <w:szCs w:val="26"/>
        </w:rPr>
        <w:t>个阶段：施工期</w:t>
      </w:r>
      <w:r>
        <w:rPr>
          <w:rFonts w:hint="eastAsia"/>
          <w:bCs/>
          <w:sz w:val="26"/>
          <w:szCs w:val="26"/>
        </w:rPr>
        <w:t>、</w:t>
      </w:r>
      <w:r>
        <w:rPr>
          <w:bCs/>
          <w:sz w:val="26"/>
          <w:szCs w:val="26"/>
        </w:rPr>
        <w:t>试采期</w:t>
      </w:r>
      <w:r>
        <w:rPr>
          <w:rFonts w:hint="eastAsia"/>
          <w:bCs/>
          <w:sz w:val="26"/>
          <w:szCs w:val="26"/>
        </w:rPr>
        <w:t>和退役期</w:t>
      </w:r>
      <w:r>
        <w:rPr>
          <w:bCs/>
          <w:sz w:val="26"/>
          <w:szCs w:val="26"/>
        </w:rPr>
        <w:t>。其中在施工期内的主要工程活动是</w:t>
      </w:r>
      <w:r>
        <w:rPr>
          <w:rFonts w:hint="eastAsia"/>
          <w:bCs/>
          <w:sz w:val="26"/>
          <w:szCs w:val="26"/>
        </w:rPr>
        <w:t>试采</w:t>
      </w:r>
      <w:r>
        <w:rPr>
          <w:bCs/>
          <w:sz w:val="26"/>
          <w:szCs w:val="26"/>
        </w:rPr>
        <w:t>站及相关辅助工程的建设</w:t>
      </w:r>
      <w:r>
        <w:rPr>
          <w:rFonts w:hint="eastAsia"/>
          <w:bCs/>
          <w:sz w:val="26"/>
          <w:szCs w:val="26"/>
        </w:rPr>
        <w:t>，</w:t>
      </w:r>
      <w:r>
        <w:rPr>
          <w:bCs/>
          <w:sz w:val="26"/>
          <w:szCs w:val="26"/>
        </w:rPr>
        <w:t>试采期的生产活动则主要是</w:t>
      </w:r>
      <w:r>
        <w:rPr>
          <w:rFonts w:hint="eastAsia"/>
          <w:bCs/>
          <w:sz w:val="26"/>
          <w:szCs w:val="26"/>
        </w:rPr>
        <w:t>天然气</w:t>
      </w:r>
      <w:r>
        <w:rPr>
          <w:bCs/>
          <w:sz w:val="26"/>
          <w:szCs w:val="26"/>
        </w:rPr>
        <w:t>试采过程</w:t>
      </w:r>
      <w:r>
        <w:rPr>
          <w:rFonts w:hint="eastAsia"/>
          <w:bCs/>
          <w:sz w:val="26"/>
          <w:szCs w:val="26"/>
        </w:rPr>
        <w:t>，</w:t>
      </w:r>
      <w:r>
        <w:rPr>
          <w:bCs/>
          <w:sz w:val="26"/>
          <w:szCs w:val="26"/>
        </w:rPr>
        <w:t>退役期期主要是对已建</w:t>
      </w:r>
      <w:r>
        <w:rPr>
          <w:rFonts w:hint="eastAsia"/>
          <w:bCs/>
          <w:sz w:val="26"/>
          <w:szCs w:val="26"/>
        </w:rPr>
        <w:t>站场的拆除和土地恢复</w:t>
      </w:r>
      <w:r>
        <w:rPr>
          <w:bCs/>
          <w:sz w:val="26"/>
          <w:szCs w:val="26"/>
        </w:rPr>
        <w:t>。</w:t>
      </w:r>
    </w:p>
    <w:p w14:paraId="36939B8A">
      <w:pPr>
        <w:pStyle w:val="1059"/>
        <w:rPr>
          <w:rFonts w:cs="Times New Roman"/>
        </w:rPr>
      </w:pPr>
      <w:bookmarkStart w:id="184" w:name="_Toc165810510"/>
      <w:bookmarkStart w:id="185" w:name="_Toc165809691"/>
      <w:bookmarkStart w:id="186" w:name="_Toc219907639"/>
      <w:r>
        <w:rPr>
          <w:rFonts w:cs="Times New Roman"/>
        </w:rPr>
        <w:t xml:space="preserve">3.1 </w:t>
      </w:r>
      <w:r>
        <w:rPr>
          <w:rFonts w:hint="eastAsia" w:cs="Times New Roman"/>
        </w:rPr>
        <w:t>施工期环境影响因素分析</w:t>
      </w:r>
      <w:bookmarkEnd w:id="184"/>
      <w:bookmarkEnd w:id="185"/>
      <w:bookmarkEnd w:id="186"/>
    </w:p>
    <w:p w14:paraId="57C2CD88">
      <w:pPr>
        <w:pStyle w:val="1068"/>
        <w:rPr>
          <w:rFonts w:cs="Times New Roman"/>
        </w:rPr>
      </w:pPr>
      <w:bookmarkStart w:id="187" w:name="_Toc165810511"/>
      <w:r>
        <w:rPr>
          <w:rFonts w:cs="Times New Roman"/>
        </w:rPr>
        <w:t>3.1.1 施工期工艺流程及产污分析</w:t>
      </w:r>
      <w:bookmarkEnd w:id="187"/>
    </w:p>
    <w:p w14:paraId="6753B06C">
      <w:pPr>
        <w:pStyle w:val="702"/>
        <w:ind w:firstLine="520"/>
        <w:rPr>
          <w:rFonts w:cs="Times New Roman"/>
        </w:rPr>
      </w:pPr>
      <w:r>
        <w:rPr>
          <w:rFonts w:hint="eastAsia" w:cs="Times New Roman"/>
          <w:bCs/>
        </w:rPr>
        <w:t>试采站施工内容包括场地平整、基础开挖、设备安装等，站场工程管道、设备出厂前均进行了相应的防腐处理，主要施工工序及产污环节</w:t>
      </w:r>
      <w:r>
        <w:rPr>
          <w:rFonts w:cs="Times New Roman"/>
        </w:rPr>
        <w:t>如下图所示。</w:t>
      </w:r>
    </w:p>
    <w:p w14:paraId="10A40D28">
      <w:pPr>
        <w:pStyle w:val="1066"/>
        <w:ind w:firstLine="0" w:firstLineChars="0"/>
        <w:jc w:val="center"/>
        <w:rPr>
          <w:rFonts w:cs="Times New Roman"/>
          <w:bCs/>
          <w:szCs w:val="26"/>
        </w:rPr>
      </w:pPr>
      <w:r>
        <w:drawing>
          <wp:inline distT="0" distB="0" distL="0" distR="0">
            <wp:extent cx="5543550" cy="1726565"/>
            <wp:effectExtent l="0" t="0" r="0"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543550" cy="1726680"/>
                    </a:xfrm>
                    <a:prstGeom prst="rect">
                      <a:avLst/>
                    </a:prstGeom>
                    <a:noFill/>
                    <a:ln>
                      <a:noFill/>
                    </a:ln>
                  </pic:spPr>
                </pic:pic>
              </a:graphicData>
            </a:graphic>
          </wp:inline>
        </w:drawing>
      </w:r>
    </w:p>
    <w:p w14:paraId="00997CEB">
      <w:pPr>
        <w:pStyle w:val="1065"/>
      </w:pPr>
      <w:r>
        <w:t>图3.1-1  施工期工艺流程及产污节点图</w:t>
      </w:r>
    </w:p>
    <w:p w14:paraId="1B59FE7E">
      <w:pPr>
        <w:pStyle w:val="1066"/>
        <w:ind w:firstLine="520"/>
        <w:rPr>
          <w:rFonts w:cs="Times New Roman"/>
        </w:rPr>
      </w:pPr>
    </w:p>
    <w:p w14:paraId="6684E750">
      <w:pPr>
        <w:adjustRightInd w:val="0"/>
        <w:snapToGrid w:val="0"/>
        <w:spacing w:line="460" w:lineRule="exact"/>
        <w:ind w:firstLine="520" w:firstLineChars="200"/>
        <w:rPr>
          <w:bCs/>
          <w:sz w:val="26"/>
          <w:szCs w:val="26"/>
        </w:rPr>
      </w:pPr>
      <w:r>
        <w:rPr>
          <w:rFonts w:hint="eastAsia"/>
          <w:bCs/>
          <w:sz w:val="26"/>
          <w:szCs w:val="26"/>
        </w:rPr>
        <w:t>（1）基础开挖</w:t>
      </w:r>
    </w:p>
    <w:p w14:paraId="13AACE9B">
      <w:pPr>
        <w:adjustRightInd w:val="0"/>
        <w:snapToGrid w:val="0"/>
        <w:spacing w:line="460" w:lineRule="exact"/>
        <w:ind w:firstLine="520" w:firstLineChars="200"/>
        <w:rPr>
          <w:bCs/>
          <w:sz w:val="26"/>
          <w:szCs w:val="26"/>
        </w:rPr>
      </w:pPr>
      <w:r>
        <w:rPr>
          <w:rFonts w:hint="eastAsia"/>
          <w:bCs/>
          <w:sz w:val="26"/>
          <w:szCs w:val="26"/>
        </w:rPr>
        <w:t>施工单位对设备基础进行开挖。</w:t>
      </w:r>
    </w:p>
    <w:p w14:paraId="1AC4C6B6">
      <w:pPr>
        <w:adjustRightInd w:val="0"/>
        <w:snapToGrid w:val="0"/>
        <w:spacing w:line="460" w:lineRule="exact"/>
        <w:ind w:firstLine="520" w:firstLineChars="200"/>
        <w:rPr>
          <w:bCs/>
          <w:sz w:val="26"/>
          <w:szCs w:val="26"/>
        </w:rPr>
      </w:pPr>
      <w:r>
        <w:rPr>
          <w:rFonts w:hint="eastAsia"/>
          <w:bCs/>
          <w:sz w:val="26"/>
          <w:szCs w:val="26"/>
        </w:rPr>
        <w:t>（2）设备基础清理</w:t>
      </w:r>
    </w:p>
    <w:p w14:paraId="0A07E2A7">
      <w:pPr>
        <w:adjustRightInd w:val="0"/>
        <w:snapToGrid w:val="0"/>
        <w:spacing w:line="460" w:lineRule="exact"/>
        <w:ind w:firstLine="520" w:firstLineChars="200"/>
        <w:rPr>
          <w:bCs/>
          <w:sz w:val="26"/>
          <w:szCs w:val="26"/>
        </w:rPr>
      </w:pPr>
      <w:r>
        <w:rPr>
          <w:rFonts w:hint="eastAsia"/>
          <w:bCs/>
          <w:sz w:val="26"/>
          <w:szCs w:val="26"/>
        </w:rPr>
        <w:t>施工前对工程设备基础布设区域进行清理及地面防渗检查，确保满足设备建设所需。</w:t>
      </w:r>
    </w:p>
    <w:p w14:paraId="6B8ECC6C">
      <w:pPr>
        <w:adjustRightInd w:val="0"/>
        <w:snapToGrid w:val="0"/>
        <w:spacing w:line="460" w:lineRule="exact"/>
        <w:ind w:firstLine="520" w:firstLineChars="200"/>
        <w:rPr>
          <w:bCs/>
          <w:sz w:val="26"/>
          <w:szCs w:val="26"/>
        </w:rPr>
      </w:pPr>
      <w:r>
        <w:rPr>
          <w:rFonts w:hint="eastAsia"/>
          <w:bCs/>
          <w:sz w:val="26"/>
          <w:szCs w:val="26"/>
        </w:rPr>
        <w:t>（3）设备安装、焊接及检验</w:t>
      </w:r>
    </w:p>
    <w:p w14:paraId="60454E6F">
      <w:pPr>
        <w:adjustRightInd w:val="0"/>
        <w:snapToGrid w:val="0"/>
        <w:spacing w:line="460" w:lineRule="exact"/>
        <w:ind w:firstLine="520" w:firstLineChars="200"/>
        <w:rPr>
          <w:bCs/>
          <w:sz w:val="26"/>
          <w:szCs w:val="26"/>
        </w:rPr>
      </w:pPr>
      <w:r>
        <w:rPr>
          <w:rFonts w:hint="eastAsia"/>
          <w:bCs/>
          <w:sz w:val="26"/>
          <w:szCs w:val="26"/>
        </w:rPr>
        <w:t>①设备安装</w:t>
      </w:r>
    </w:p>
    <w:p w14:paraId="5DDED442">
      <w:pPr>
        <w:adjustRightInd w:val="0"/>
        <w:snapToGrid w:val="0"/>
        <w:spacing w:line="460" w:lineRule="exact"/>
        <w:ind w:firstLine="520" w:firstLineChars="200"/>
        <w:rPr>
          <w:bCs/>
          <w:sz w:val="26"/>
          <w:szCs w:val="26"/>
        </w:rPr>
      </w:pPr>
      <w:r>
        <w:rPr>
          <w:rFonts w:hint="eastAsia"/>
          <w:bCs/>
          <w:sz w:val="26"/>
          <w:szCs w:val="26"/>
        </w:rPr>
        <w:t>将站内工艺流程设施和连接管道等安装于场地内基础中。</w:t>
      </w:r>
    </w:p>
    <w:p w14:paraId="4881E34F">
      <w:pPr>
        <w:adjustRightInd w:val="0"/>
        <w:snapToGrid w:val="0"/>
        <w:spacing w:line="460" w:lineRule="exact"/>
        <w:ind w:firstLine="520" w:firstLineChars="200"/>
        <w:rPr>
          <w:bCs/>
          <w:sz w:val="26"/>
          <w:szCs w:val="26"/>
        </w:rPr>
      </w:pPr>
      <w:r>
        <w:rPr>
          <w:rFonts w:hint="eastAsia"/>
          <w:bCs/>
          <w:sz w:val="26"/>
          <w:szCs w:val="26"/>
        </w:rPr>
        <w:t>②焊接与检验</w:t>
      </w:r>
    </w:p>
    <w:p w14:paraId="39FA26CA">
      <w:pPr>
        <w:adjustRightInd w:val="0"/>
        <w:snapToGrid w:val="0"/>
        <w:spacing w:line="460" w:lineRule="exact"/>
        <w:ind w:firstLine="520" w:firstLineChars="200"/>
        <w:rPr>
          <w:bCs/>
          <w:sz w:val="26"/>
          <w:szCs w:val="26"/>
        </w:rPr>
      </w:pPr>
      <w:r>
        <w:rPr>
          <w:rFonts w:hint="eastAsia"/>
          <w:bCs/>
          <w:sz w:val="26"/>
          <w:szCs w:val="26"/>
        </w:rPr>
        <w:t>根据设计资料，焊接完成后首先进行外观检查，检查合格后根据不同管线设计压力大小，分别进行超声波探伤及射线探伤。本工程管道环向焊缝应先进行100%射线探伤检查，然后进行</w:t>
      </w:r>
      <w:r>
        <w:rPr>
          <w:bCs/>
          <w:sz w:val="26"/>
          <w:szCs w:val="26"/>
        </w:rPr>
        <w:t>10</w:t>
      </w:r>
      <w:r>
        <w:rPr>
          <w:rFonts w:hint="eastAsia"/>
          <w:bCs/>
          <w:sz w:val="26"/>
          <w:szCs w:val="26"/>
        </w:rPr>
        <w:t>0%超声波复验，建设单位应委托具有辐射相关资质的第三方单位进行管道探伤</w:t>
      </w:r>
      <w:r>
        <w:rPr>
          <w:rFonts w:hint="eastAsia"/>
          <w:bCs/>
          <w:sz w:val="26"/>
          <w:szCs w:val="26"/>
          <w:lang w:eastAsia="zh-CN"/>
        </w:rPr>
        <w:t>检查</w:t>
      </w:r>
      <w:r>
        <w:rPr>
          <w:rFonts w:hint="eastAsia"/>
          <w:bCs/>
          <w:sz w:val="26"/>
          <w:szCs w:val="26"/>
        </w:rPr>
        <w:t>，并加强管理，确保放射源不遗失。</w:t>
      </w:r>
    </w:p>
    <w:p w14:paraId="4CAEEC19">
      <w:pPr>
        <w:adjustRightInd w:val="0"/>
        <w:snapToGrid w:val="0"/>
        <w:spacing w:line="460" w:lineRule="exact"/>
        <w:ind w:firstLine="520" w:firstLineChars="200"/>
        <w:rPr>
          <w:bCs/>
          <w:sz w:val="26"/>
          <w:szCs w:val="26"/>
        </w:rPr>
      </w:pPr>
      <w:r>
        <w:rPr>
          <w:rFonts w:hint="eastAsia"/>
          <w:bCs/>
          <w:sz w:val="26"/>
          <w:szCs w:val="26"/>
        </w:rPr>
        <w:t>③防腐补口</w:t>
      </w:r>
    </w:p>
    <w:p w14:paraId="6DA45751">
      <w:pPr>
        <w:adjustRightInd w:val="0"/>
        <w:snapToGrid w:val="0"/>
        <w:spacing w:line="460" w:lineRule="exact"/>
        <w:ind w:firstLine="520" w:firstLineChars="200"/>
        <w:rPr>
          <w:bCs/>
          <w:sz w:val="26"/>
          <w:szCs w:val="26"/>
        </w:rPr>
      </w:pPr>
      <w:r>
        <w:rPr>
          <w:rFonts w:hint="eastAsia"/>
          <w:bCs/>
          <w:sz w:val="26"/>
          <w:szCs w:val="26"/>
        </w:rPr>
        <w:t>本项目采用“无溶剂液体环氧涂料+聚乙烯热收缩带”的补口方式，热收缩带补口结构为底漆+热熔胶+聚乙烯三层结构，与三层PE防腐层结构相近、相容性好，是三层PE防腐层补口的首选形式，是目前国内外管道补口最常用的方式，经验成熟。</w:t>
      </w:r>
    </w:p>
    <w:p w14:paraId="54B6AF44">
      <w:pPr>
        <w:adjustRightInd w:val="0"/>
        <w:snapToGrid w:val="0"/>
        <w:spacing w:line="460" w:lineRule="exact"/>
        <w:ind w:firstLine="520" w:firstLineChars="200"/>
        <w:rPr>
          <w:bCs/>
          <w:sz w:val="26"/>
          <w:szCs w:val="26"/>
        </w:rPr>
      </w:pPr>
      <w:r>
        <w:rPr>
          <w:rFonts w:hint="eastAsia"/>
          <w:bCs/>
          <w:sz w:val="26"/>
          <w:szCs w:val="26"/>
        </w:rPr>
        <w:t>（</w:t>
      </w:r>
      <w:r>
        <w:rPr>
          <w:bCs/>
          <w:sz w:val="26"/>
          <w:szCs w:val="26"/>
        </w:rPr>
        <w:t>4</w:t>
      </w:r>
      <w:r>
        <w:rPr>
          <w:rFonts w:hint="eastAsia"/>
          <w:bCs/>
          <w:sz w:val="26"/>
          <w:szCs w:val="26"/>
        </w:rPr>
        <w:t>）清管、试压和置换</w:t>
      </w:r>
    </w:p>
    <w:p w14:paraId="7F6EB2D1">
      <w:pPr>
        <w:adjustRightInd w:val="0"/>
        <w:snapToGrid w:val="0"/>
        <w:spacing w:line="460" w:lineRule="exact"/>
        <w:ind w:firstLine="520" w:firstLineChars="200"/>
        <w:rPr>
          <w:bCs/>
          <w:sz w:val="26"/>
          <w:szCs w:val="26"/>
        </w:rPr>
      </w:pPr>
      <w:r>
        <w:rPr>
          <w:rFonts w:hint="eastAsia"/>
          <w:bCs/>
          <w:sz w:val="26"/>
          <w:szCs w:val="26"/>
        </w:rPr>
        <w:t>①清管：站场内设备及管道组装完毕，焊缝质量检验合格后将对各管线进行清管，清管过程采用压缩空气作为吹扫介质，吹扫过程要求管道中空气流速不低于20m/s，直至吹出的气体无铁锈、尘土、石块、水等赃物时为合格，并及时封堵出口。</w:t>
      </w:r>
    </w:p>
    <w:p w14:paraId="54CF0A70">
      <w:pPr>
        <w:adjustRightInd w:val="0"/>
        <w:snapToGrid w:val="0"/>
        <w:spacing w:line="460" w:lineRule="exact"/>
        <w:ind w:firstLine="520" w:firstLineChars="200"/>
        <w:rPr>
          <w:bCs/>
          <w:sz w:val="26"/>
          <w:szCs w:val="26"/>
        </w:rPr>
      </w:pPr>
      <w:r>
        <w:rPr>
          <w:rFonts w:hint="eastAsia"/>
          <w:bCs/>
          <w:sz w:val="26"/>
          <w:szCs w:val="26"/>
        </w:rPr>
        <w:t>②试压</w:t>
      </w:r>
    </w:p>
    <w:p w14:paraId="25D0571C">
      <w:pPr>
        <w:adjustRightInd w:val="0"/>
        <w:snapToGrid w:val="0"/>
        <w:spacing w:line="460" w:lineRule="exact"/>
        <w:ind w:firstLine="520" w:firstLineChars="200"/>
        <w:rPr>
          <w:bCs/>
          <w:sz w:val="26"/>
          <w:szCs w:val="26"/>
        </w:rPr>
      </w:pPr>
      <w:r>
        <w:rPr>
          <w:rFonts w:hint="eastAsia"/>
          <w:bCs/>
          <w:sz w:val="26"/>
          <w:szCs w:val="26"/>
        </w:rPr>
        <w:t>强度试压介质、严密性试压介质为清水。强度试压压力为设计压力的1.5倍，严密性试压按设计压力进行。试压时升压应缓慢，达到试验压力后，严密性稳压</w:t>
      </w:r>
      <w:r>
        <w:rPr>
          <w:bCs/>
          <w:sz w:val="26"/>
          <w:szCs w:val="26"/>
        </w:rPr>
        <w:t>4h</w:t>
      </w:r>
      <w:r>
        <w:rPr>
          <w:rFonts w:hint="eastAsia"/>
          <w:bCs/>
          <w:sz w:val="26"/>
          <w:szCs w:val="26"/>
        </w:rPr>
        <w:t>。稳压期间沿管道系统进行检查，以无变形、无渗漏、无压降为合格。试压中有泄漏时，不得带压修理。缺陷修补后应重新进行试压，直至合格。</w:t>
      </w:r>
    </w:p>
    <w:p w14:paraId="44AAA0A4">
      <w:pPr>
        <w:adjustRightInd w:val="0"/>
        <w:snapToGrid w:val="0"/>
        <w:spacing w:line="460" w:lineRule="exact"/>
        <w:ind w:firstLine="520" w:firstLineChars="200"/>
        <w:rPr>
          <w:bCs/>
          <w:sz w:val="26"/>
          <w:szCs w:val="26"/>
        </w:rPr>
      </w:pPr>
      <w:r>
        <w:rPr>
          <w:rFonts w:hint="eastAsia"/>
          <w:bCs/>
          <w:sz w:val="26"/>
          <w:szCs w:val="26"/>
        </w:rPr>
        <w:t>③置换</w:t>
      </w:r>
    </w:p>
    <w:p w14:paraId="60E19AC1">
      <w:pPr>
        <w:pStyle w:val="1381"/>
        <w:ind w:firstLine="520"/>
        <w:rPr>
          <w:bCs/>
          <w:szCs w:val="26"/>
        </w:rPr>
      </w:pPr>
      <w:r>
        <w:rPr>
          <w:rFonts w:hint="eastAsia"/>
          <w:bCs/>
          <w:szCs w:val="26"/>
        </w:rPr>
        <w:t>使用液氮车以低压氮气为介质，将站间全线置换。置换时管道末端及站场应配备气体含量检测设备，置换管道末端放空管口气体含氧量不大于2%时为置换合格。当天然气置换氮气时，置换过程中管道内气流速度不应大于5m/s；同时，置换管道末端以及站场配备甲烷气体含量检测设备，在末站放空口取样，甲烷含量与首站进口处含量一致，且连续三次（每次间隔5分钟）都一致时为合格。</w:t>
      </w:r>
    </w:p>
    <w:p w14:paraId="49FABC86">
      <w:pPr>
        <w:adjustRightInd w:val="0"/>
        <w:snapToGrid w:val="0"/>
        <w:spacing w:line="460" w:lineRule="exact"/>
        <w:ind w:firstLine="522" w:firstLineChars="200"/>
        <w:outlineLvl w:val="2"/>
        <w:rPr>
          <w:b/>
          <w:sz w:val="26"/>
          <w:szCs w:val="26"/>
        </w:rPr>
      </w:pPr>
      <w:bookmarkStart w:id="188" w:name="_Toc165810512"/>
      <w:r>
        <w:rPr>
          <w:rFonts w:hint="eastAsia"/>
          <w:b/>
          <w:sz w:val="26"/>
          <w:szCs w:val="26"/>
        </w:rPr>
        <w:t>3</w:t>
      </w:r>
      <w:r>
        <w:rPr>
          <w:b/>
          <w:sz w:val="26"/>
          <w:szCs w:val="26"/>
        </w:rPr>
        <w:t xml:space="preserve">.1.2 </w:t>
      </w:r>
      <w:r>
        <w:rPr>
          <w:rFonts w:hint="eastAsia"/>
          <w:b/>
          <w:sz w:val="26"/>
          <w:szCs w:val="26"/>
        </w:rPr>
        <w:t>施工期污染物产排情况</w:t>
      </w:r>
      <w:bookmarkEnd w:id="188"/>
    </w:p>
    <w:p w14:paraId="331F356D">
      <w:pPr>
        <w:adjustRightInd w:val="0"/>
        <w:snapToGrid w:val="0"/>
        <w:spacing w:line="460" w:lineRule="exact"/>
        <w:ind w:firstLine="520" w:firstLineChars="200"/>
        <w:rPr>
          <w:bCs/>
          <w:sz w:val="26"/>
          <w:szCs w:val="26"/>
        </w:rPr>
      </w:pPr>
      <w:r>
        <w:rPr>
          <w:rFonts w:hint="eastAsia"/>
          <w:bCs/>
          <w:sz w:val="26"/>
          <w:szCs w:val="26"/>
        </w:rPr>
        <w:t>本项目在原巴中2HF钻井井场内建设，施工过程不新增占地，施工过程对环境的影响主要体现在废水、废气、噪声及固体废物四个方面。</w:t>
      </w:r>
    </w:p>
    <w:p w14:paraId="4F515AC8">
      <w:pPr>
        <w:adjustRightInd w:val="0"/>
        <w:snapToGrid w:val="0"/>
        <w:spacing w:line="460" w:lineRule="exact"/>
        <w:ind w:firstLine="520" w:firstLineChars="200"/>
        <w:rPr>
          <w:bCs/>
          <w:sz w:val="26"/>
          <w:szCs w:val="26"/>
        </w:rPr>
      </w:pPr>
      <w:r>
        <w:rPr>
          <w:rFonts w:hint="eastAsia"/>
          <w:bCs/>
          <w:sz w:val="26"/>
          <w:szCs w:val="26"/>
        </w:rPr>
        <w:t>（</w:t>
      </w:r>
      <w:r>
        <w:rPr>
          <w:bCs/>
          <w:sz w:val="26"/>
          <w:szCs w:val="26"/>
        </w:rPr>
        <w:t>1</w:t>
      </w:r>
      <w:r>
        <w:rPr>
          <w:rFonts w:hint="eastAsia"/>
          <w:bCs/>
          <w:sz w:val="26"/>
          <w:szCs w:val="26"/>
        </w:rPr>
        <w:t>）废气</w:t>
      </w:r>
    </w:p>
    <w:p w14:paraId="7F148FBB">
      <w:pPr>
        <w:adjustRightInd w:val="0"/>
        <w:snapToGrid w:val="0"/>
        <w:spacing w:line="460" w:lineRule="exact"/>
        <w:ind w:firstLine="520" w:firstLineChars="200"/>
        <w:rPr>
          <w:bCs/>
          <w:sz w:val="26"/>
          <w:szCs w:val="26"/>
        </w:rPr>
      </w:pPr>
      <w:r>
        <w:rPr>
          <w:rFonts w:hint="eastAsia"/>
          <w:bCs/>
          <w:sz w:val="26"/>
          <w:szCs w:val="26"/>
        </w:rPr>
        <w:t>站场施工期产生的废气主要为施工扬尘、施工机具尾气以及焊接烟尘。</w:t>
      </w:r>
    </w:p>
    <w:p w14:paraId="52DAFA69">
      <w:pPr>
        <w:adjustRightInd w:val="0"/>
        <w:snapToGrid w:val="0"/>
        <w:spacing w:line="460" w:lineRule="exact"/>
        <w:ind w:firstLine="520" w:firstLineChars="200"/>
        <w:rPr>
          <w:bCs/>
          <w:sz w:val="26"/>
          <w:szCs w:val="26"/>
        </w:rPr>
      </w:pPr>
      <w:r>
        <w:rPr>
          <w:rFonts w:hint="eastAsia"/>
          <w:bCs/>
          <w:sz w:val="26"/>
          <w:szCs w:val="26"/>
        </w:rPr>
        <w:t>①施工扬尘</w:t>
      </w:r>
    </w:p>
    <w:p w14:paraId="35C56330">
      <w:pPr>
        <w:adjustRightInd w:val="0"/>
        <w:snapToGrid w:val="0"/>
        <w:spacing w:line="460" w:lineRule="exact"/>
        <w:ind w:firstLine="520" w:firstLineChars="200"/>
        <w:rPr>
          <w:bCs/>
          <w:sz w:val="26"/>
          <w:szCs w:val="26"/>
        </w:rPr>
      </w:pPr>
      <w:r>
        <w:rPr>
          <w:rFonts w:hint="eastAsia"/>
          <w:bCs/>
          <w:sz w:val="26"/>
          <w:szCs w:val="26"/>
        </w:rPr>
        <w:t>扬尘主要来源于井场生产设备基础施工，以及施工材料的堆放、搬运、装卸、车辆运输等。施工扬尘的起尘量与许多因素有关，主要有挖填方量、土石方临时堆存量、施工材料搬运量、采取的防护措施、空气湿度、风速等。由于试采站场挖填方量小、施工材料临时堆存量较小、施工期短，产生的扬尘量也较小。</w:t>
      </w:r>
    </w:p>
    <w:p w14:paraId="707B087E">
      <w:pPr>
        <w:adjustRightInd w:val="0"/>
        <w:snapToGrid w:val="0"/>
        <w:spacing w:line="440" w:lineRule="exact"/>
        <w:ind w:firstLine="520" w:firstLineChars="200"/>
        <w:rPr>
          <w:sz w:val="26"/>
          <w:szCs w:val="26"/>
        </w:rPr>
      </w:pPr>
      <w:r>
        <w:rPr>
          <w:rFonts w:hint="eastAsia"/>
          <w:sz w:val="26"/>
          <w:szCs w:val="26"/>
        </w:rPr>
        <w:t>②机具尾气</w:t>
      </w:r>
    </w:p>
    <w:p w14:paraId="3B01C4BB">
      <w:pPr>
        <w:adjustRightInd w:val="0"/>
        <w:snapToGrid w:val="0"/>
        <w:spacing w:line="440" w:lineRule="exact"/>
        <w:ind w:firstLine="520" w:firstLineChars="200"/>
        <w:rPr>
          <w:sz w:val="26"/>
          <w:szCs w:val="26"/>
        </w:rPr>
      </w:pPr>
      <w:r>
        <w:rPr>
          <w:rFonts w:hint="eastAsia"/>
          <w:sz w:val="26"/>
          <w:szCs w:val="26"/>
        </w:rPr>
        <w:t>运输车辆、施工机具排出的尾气主要污染物是CO、NOx等，由于施工期较短，施工机械较少，产生的废气量较小，试采站场施工现场位于开阔地带，有利于废气扩散，且废气污染源具有间歇性和流动性，因此对局部地区的环境影响较轻。</w:t>
      </w:r>
    </w:p>
    <w:p w14:paraId="4DE5169F">
      <w:pPr>
        <w:adjustRightInd w:val="0"/>
        <w:snapToGrid w:val="0"/>
        <w:spacing w:line="440" w:lineRule="exact"/>
        <w:ind w:firstLine="520" w:firstLineChars="200"/>
        <w:rPr>
          <w:sz w:val="26"/>
          <w:szCs w:val="26"/>
        </w:rPr>
      </w:pPr>
      <w:r>
        <w:rPr>
          <w:rFonts w:hint="eastAsia"/>
          <w:sz w:val="26"/>
          <w:szCs w:val="26"/>
        </w:rPr>
        <w:t>③焊接烟尘</w:t>
      </w:r>
    </w:p>
    <w:p w14:paraId="68A19FAF">
      <w:pPr>
        <w:adjustRightInd w:val="0"/>
        <w:snapToGrid w:val="0"/>
        <w:spacing w:line="440" w:lineRule="exact"/>
        <w:ind w:firstLine="520" w:firstLineChars="200"/>
        <w:rPr>
          <w:sz w:val="26"/>
          <w:szCs w:val="26"/>
        </w:rPr>
      </w:pPr>
      <w:r>
        <w:rPr>
          <w:rFonts w:hint="eastAsia"/>
          <w:sz w:val="26"/>
          <w:szCs w:val="26"/>
        </w:rPr>
        <w:t>试采站场设备、管道组装采取人工电弧焊接工艺。焊接过程会产生少量的焊接烟尘，焊接过程位于开阔地带，有利于废气扩散，对局部地区的环境影响较轻。</w:t>
      </w:r>
    </w:p>
    <w:p w14:paraId="1B77F92F">
      <w:pPr>
        <w:adjustRightInd w:val="0"/>
        <w:snapToGrid w:val="0"/>
        <w:spacing w:line="440" w:lineRule="exact"/>
        <w:ind w:firstLine="520" w:firstLineChars="200"/>
        <w:rPr>
          <w:sz w:val="26"/>
          <w:szCs w:val="26"/>
        </w:rPr>
      </w:pPr>
      <w:r>
        <w:rPr>
          <w:rFonts w:hint="eastAsia"/>
          <w:sz w:val="26"/>
          <w:szCs w:val="26"/>
        </w:rPr>
        <w:t>（</w:t>
      </w:r>
      <w:r>
        <w:rPr>
          <w:sz w:val="26"/>
          <w:szCs w:val="26"/>
        </w:rPr>
        <w:t>2</w:t>
      </w:r>
      <w:r>
        <w:rPr>
          <w:rFonts w:hint="eastAsia"/>
          <w:sz w:val="26"/>
          <w:szCs w:val="26"/>
        </w:rPr>
        <w:t>）废水</w:t>
      </w:r>
    </w:p>
    <w:p w14:paraId="649F362C">
      <w:pPr>
        <w:adjustRightInd w:val="0"/>
        <w:snapToGrid w:val="0"/>
        <w:spacing w:line="440" w:lineRule="exact"/>
        <w:ind w:firstLine="520" w:firstLineChars="200"/>
        <w:rPr>
          <w:sz w:val="26"/>
          <w:szCs w:val="26"/>
        </w:rPr>
      </w:pPr>
      <w:r>
        <w:rPr>
          <w:rFonts w:hint="eastAsia"/>
          <w:sz w:val="26"/>
          <w:szCs w:val="26"/>
        </w:rPr>
        <w:t>施工期废水包括试压废水、站场施工废水和施工人员生活污水。</w:t>
      </w:r>
    </w:p>
    <w:p w14:paraId="4AEE155E">
      <w:pPr>
        <w:adjustRightInd w:val="0"/>
        <w:snapToGrid w:val="0"/>
        <w:spacing w:line="440" w:lineRule="exact"/>
        <w:ind w:firstLine="520" w:firstLineChars="200"/>
        <w:rPr>
          <w:sz w:val="26"/>
          <w:szCs w:val="26"/>
        </w:rPr>
      </w:pPr>
      <w:r>
        <w:rPr>
          <w:rFonts w:hint="eastAsia"/>
          <w:sz w:val="26"/>
          <w:szCs w:val="26"/>
        </w:rPr>
        <w:t>①试压废水</w:t>
      </w:r>
    </w:p>
    <w:p w14:paraId="2AB699C1">
      <w:pPr>
        <w:autoSpaceDE w:val="0"/>
        <w:autoSpaceDN w:val="0"/>
        <w:adjustRightInd w:val="0"/>
        <w:snapToGrid w:val="0"/>
        <w:spacing w:line="440" w:lineRule="exact"/>
        <w:ind w:firstLine="520" w:firstLineChars="200"/>
        <w:textAlignment w:val="baseline"/>
        <w:rPr>
          <w:sz w:val="26"/>
          <w:szCs w:val="26"/>
        </w:rPr>
      </w:pPr>
      <w:r>
        <w:rPr>
          <w:rFonts w:hint="eastAsia"/>
          <w:sz w:val="26"/>
          <w:szCs w:val="26"/>
        </w:rPr>
        <w:t>试采</w:t>
      </w:r>
      <w:r>
        <w:rPr>
          <w:sz w:val="26"/>
          <w:szCs w:val="26"/>
        </w:rPr>
        <w:t>站工程设备、管道的强度及严密性试压均采用无腐蚀性洁净水为试压介质进行试压，试压结束后排放试压废水，主要污染物为管道内残留的少量杂质形成的颗粒物（悬浮物）。根据管道、设备的技术参数，试压用水量约2.5m</w:t>
      </w:r>
      <w:r>
        <w:rPr>
          <w:sz w:val="26"/>
          <w:szCs w:val="26"/>
          <w:vertAlign w:val="superscript"/>
        </w:rPr>
        <w:t>3</w:t>
      </w:r>
      <w:r>
        <w:rPr>
          <w:sz w:val="26"/>
          <w:szCs w:val="26"/>
        </w:rPr>
        <w:t>，产生的试压废水量约2.5m</w:t>
      </w:r>
      <w:r>
        <w:rPr>
          <w:sz w:val="26"/>
          <w:szCs w:val="26"/>
          <w:vertAlign w:val="superscript"/>
        </w:rPr>
        <w:t>3</w:t>
      </w:r>
      <w:r>
        <w:rPr>
          <w:sz w:val="26"/>
          <w:szCs w:val="26"/>
        </w:rPr>
        <w:t>，其经简易沉淀后用于区域绿化和洒水抑尘。</w:t>
      </w:r>
    </w:p>
    <w:p w14:paraId="3A355C74">
      <w:pPr>
        <w:adjustRightInd w:val="0"/>
        <w:snapToGrid w:val="0"/>
        <w:spacing w:line="440" w:lineRule="exact"/>
        <w:ind w:firstLine="520" w:firstLineChars="200"/>
        <w:rPr>
          <w:sz w:val="26"/>
          <w:szCs w:val="26"/>
        </w:rPr>
      </w:pPr>
      <w:r>
        <w:rPr>
          <w:rFonts w:hint="eastAsia"/>
          <w:sz w:val="26"/>
          <w:szCs w:val="26"/>
        </w:rPr>
        <w:t>②施工废水</w:t>
      </w:r>
    </w:p>
    <w:p w14:paraId="2C2891BA">
      <w:pPr>
        <w:adjustRightInd w:val="0"/>
        <w:snapToGrid w:val="0"/>
        <w:spacing w:line="440" w:lineRule="exact"/>
        <w:ind w:firstLine="520" w:firstLineChars="200"/>
        <w:rPr>
          <w:sz w:val="26"/>
          <w:szCs w:val="26"/>
        </w:rPr>
      </w:pPr>
      <w:r>
        <w:rPr>
          <w:rFonts w:hint="eastAsia"/>
          <w:sz w:val="26"/>
          <w:szCs w:val="26"/>
        </w:rPr>
        <w:t>试采站场施工工程量较少，产生的施工废水较少，产生量约6m</w:t>
      </w:r>
      <w:r>
        <w:rPr>
          <w:rFonts w:hint="eastAsia"/>
          <w:sz w:val="26"/>
          <w:szCs w:val="26"/>
          <w:vertAlign w:val="superscript"/>
        </w:rPr>
        <w:t>3</w:t>
      </w:r>
      <w:r>
        <w:rPr>
          <w:rFonts w:hint="eastAsia"/>
          <w:sz w:val="26"/>
          <w:szCs w:val="26"/>
        </w:rPr>
        <w:t>，主要污染物为SS，在场地内沉淀后用于场地洒水抑尘，不外排。</w:t>
      </w:r>
    </w:p>
    <w:p w14:paraId="2B6B6044">
      <w:pPr>
        <w:adjustRightInd w:val="0"/>
        <w:snapToGrid w:val="0"/>
        <w:spacing w:line="440" w:lineRule="exact"/>
        <w:ind w:firstLine="520" w:firstLineChars="200"/>
        <w:rPr>
          <w:sz w:val="26"/>
          <w:szCs w:val="26"/>
        </w:rPr>
      </w:pPr>
      <w:r>
        <w:rPr>
          <w:rFonts w:hint="eastAsia"/>
          <w:sz w:val="26"/>
          <w:szCs w:val="26"/>
        </w:rPr>
        <w:t>③生活污水</w:t>
      </w:r>
    </w:p>
    <w:p w14:paraId="5158E66C">
      <w:pPr>
        <w:adjustRightInd w:val="0"/>
        <w:snapToGrid w:val="0"/>
        <w:spacing w:line="440" w:lineRule="exact"/>
        <w:ind w:firstLine="520" w:firstLineChars="200"/>
        <w:rPr>
          <w:sz w:val="26"/>
          <w:szCs w:val="26"/>
        </w:rPr>
      </w:pPr>
      <w:r>
        <w:rPr>
          <w:rFonts w:hint="eastAsia"/>
          <w:sz w:val="26"/>
          <w:szCs w:val="26"/>
        </w:rPr>
        <w:t>试采站场施工人员约20人，生活污水以每人100L/d计，产污系数为0.9，则施工期生活污水产生量为1.8m</w:t>
      </w:r>
      <w:r>
        <w:rPr>
          <w:rFonts w:hint="eastAsia"/>
          <w:sz w:val="26"/>
          <w:szCs w:val="26"/>
          <w:vertAlign w:val="superscript"/>
        </w:rPr>
        <w:t>3</w:t>
      </w:r>
      <w:r>
        <w:rPr>
          <w:rFonts w:hint="eastAsia"/>
          <w:sz w:val="26"/>
          <w:szCs w:val="26"/>
        </w:rPr>
        <w:t>/d，生活污水依托井场周边居民厕所以及所住旅馆厕所处置。</w:t>
      </w:r>
    </w:p>
    <w:p w14:paraId="5A8C8F48">
      <w:pPr>
        <w:adjustRightInd w:val="0"/>
        <w:snapToGrid w:val="0"/>
        <w:spacing w:line="440" w:lineRule="exact"/>
        <w:ind w:firstLine="520" w:firstLineChars="200"/>
        <w:rPr>
          <w:bCs/>
          <w:sz w:val="26"/>
          <w:szCs w:val="26"/>
        </w:rPr>
      </w:pPr>
      <w:r>
        <w:rPr>
          <w:rFonts w:hint="eastAsia"/>
          <w:bCs/>
          <w:sz w:val="26"/>
          <w:szCs w:val="26"/>
        </w:rPr>
        <w:t>（</w:t>
      </w:r>
      <w:r>
        <w:rPr>
          <w:bCs/>
          <w:sz w:val="26"/>
          <w:szCs w:val="26"/>
        </w:rPr>
        <w:t>3</w:t>
      </w:r>
      <w:r>
        <w:rPr>
          <w:rFonts w:hint="eastAsia"/>
          <w:bCs/>
          <w:sz w:val="26"/>
          <w:szCs w:val="26"/>
        </w:rPr>
        <w:t>）噪声</w:t>
      </w:r>
    </w:p>
    <w:p w14:paraId="5D619306">
      <w:pPr>
        <w:adjustRightInd w:val="0"/>
        <w:snapToGrid w:val="0"/>
        <w:spacing w:line="440" w:lineRule="exact"/>
        <w:ind w:firstLine="520" w:firstLineChars="200"/>
        <w:rPr>
          <w:sz w:val="26"/>
          <w:szCs w:val="26"/>
        </w:rPr>
      </w:pPr>
      <w:r>
        <w:rPr>
          <w:rFonts w:hint="eastAsia"/>
          <w:sz w:val="26"/>
          <w:szCs w:val="26"/>
        </w:rPr>
        <w:t>试采站</w:t>
      </w:r>
      <w:r>
        <w:rPr>
          <w:sz w:val="26"/>
          <w:szCs w:val="26"/>
        </w:rPr>
        <w:t>施工过程中噪声主要来自挖掘机、推土机、载重汽车、装载机等施工机具作业时产生的噪声，噪声源强参照《环境噪声与振动控制工程技术导则》（HJ 2034-2013），其噪声源强见</w:t>
      </w:r>
      <w:r>
        <w:rPr>
          <w:rFonts w:hint="eastAsia"/>
          <w:sz w:val="26"/>
          <w:szCs w:val="26"/>
          <w:u w:val="single"/>
        </w:rPr>
        <w:t>表3</w:t>
      </w:r>
      <w:r>
        <w:rPr>
          <w:sz w:val="26"/>
          <w:szCs w:val="26"/>
          <w:u w:val="single"/>
        </w:rPr>
        <w:t>.1-1</w:t>
      </w:r>
      <w:r>
        <w:rPr>
          <w:sz w:val="26"/>
          <w:szCs w:val="26"/>
        </w:rPr>
        <w:t>。</w:t>
      </w:r>
    </w:p>
    <w:p w14:paraId="03522D2B">
      <w:pPr>
        <w:pStyle w:val="1379"/>
        <w:ind w:firstLine="440"/>
      </w:pPr>
    </w:p>
    <w:p w14:paraId="029B71E3">
      <w:pPr>
        <w:adjustRightInd w:val="0"/>
        <w:snapToGrid w:val="0"/>
        <w:jc w:val="center"/>
        <w:rPr>
          <w:bCs/>
          <w:sz w:val="26"/>
          <w:szCs w:val="26"/>
        </w:rPr>
      </w:pPr>
      <w:r>
        <w:rPr>
          <w:sz w:val="26"/>
          <w:szCs w:val="26"/>
        </w:rPr>
        <w:t xml:space="preserve">表3.1-1   </w:t>
      </w:r>
      <w:r>
        <w:rPr>
          <w:rFonts w:hint="eastAsia"/>
          <w:sz w:val="26"/>
          <w:szCs w:val="26"/>
        </w:rPr>
        <w:t>试采站</w:t>
      </w:r>
      <w:r>
        <w:rPr>
          <w:sz w:val="26"/>
          <w:szCs w:val="26"/>
        </w:rPr>
        <w:t>施工主要施工机具噪声源特征</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1850"/>
        <w:gridCol w:w="730"/>
        <w:gridCol w:w="1999"/>
        <w:gridCol w:w="1675"/>
        <w:gridCol w:w="1838"/>
      </w:tblGrid>
      <w:tr w14:paraId="1362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Align w:val="center"/>
          </w:tcPr>
          <w:p w14:paraId="206CCBD7">
            <w:pPr>
              <w:adjustRightInd w:val="0"/>
              <w:jc w:val="center"/>
              <w:textAlignment w:val="center"/>
              <w:rPr>
                <w:smallCaps/>
                <w:sz w:val="22"/>
              </w:rPr>
            </w:pPr>
            <w:r>
              <w:rPr>
                <w:smallCaps/>
                <w:sz w:val="22"/>
              </w:rPr>
              <w:t>序号</w:t>
            </w:r>
          </w:p>
        </w:tc>
        <w:tc>
          <w:tcPr>
            <w:tcW w:w="1850" w:type="dxa"/>
            <w:vAlign w:val="center"/>
          </w:tcPr>
          <w:p w14:paraId="08D4AE54">
            <w:pPr>
              <w:adjustRightInd w:val="0"/>
              <w:jc w:val="center"/>
              <w:textAlignment w:val="center"/>
              <w:rPr>
                <w:smallCaps/>
                <w:sz w:val="22"/>
              </w:rPr>
            </w:pPr>
            <w:r>
              <w:rPr>
                <w:smallCaps/>
                <w:sz w:val="22"/>
              </w:rPr>
              <w:t>设备名称</w:t>
            </w:r>
          </w:p>
        </w:tc>
        <w:tc>
          <w:tcPr>
            <w:tcW w:w="730" w:type="dxa"/>
            <w:vAlign w:val="center"/>
          </w:tcPr>
          <w:p w14:paraId="62307354">
            <w:pPr>
              <w:adjustRightInd w:val="0"/>
              <w:jc w:val="center"/>
              <w:textAlignment w:val="center"/>
              <w:rPr>
                <w:smallCaps/>
                <w:sz w:val="22"/>
              </w:rPr>
            </w:pPr>
            <w:r>
              <w:rPr>
                <w:smallCaps/>
                <w:sz w:val="22"/>
              </w:rPr>
              <w:t>数量</w:t>
            </w:r>
          </w:p>
        </w:tc>
        <w:tc>
          <w:tcPr>
            <w:tcW w:w="1999" w:type="dxa"/>
            <w:vAlign w:val="center"/>
          </w:tcPr>
          <w:p w14:paraId="77C53ACC">
            <w:pPr>
              <w:adjustRightInd w:val="0"/>
              <w:jc w:val="center"/>
              <w:textAlignment w:val="center"/>
              <w:rPr>
                <w:smallCaps/>
                <w:sz w:val="22"/>
              </w:rPr>
            </w:pPr>
            <w:r>
              <w:rPr>
                <w:smallCaps/>
                <w:sz w:val="22"/>
              </w:rPr>
              <w:t>声源（</w:t>
            </w:r>
            <w:r>
              <w:rPr>
                <w:sz w:val="22"/>
              </w:rPr>
              <w:t>dB）/参考距离（m）</w:t>
            </w:r>
          </w:p>
        </w:tc>
        <w:tc>
          <w:tcPr>
            <w:tcW w:w="1675" w:type="dxa"/>
            <w:vAlign w:val="center"/>
          </w:tcPr>
          <w:p w14:paraId="646DA9C8">
            <w:pPr>
              <w:adjustRightInd w:val="0"/>
              <w:jc w:val="center"/>
              <w:textAlignment w:val="center"/>
              <w:rPr>
                <w:smallCaps/>
                <w:sz w:val="22"/>
              </w:rPr>
            </w:pPr>
            <w:r>
              <w:rPr>
                <w:rFonts w:hint="eastAsia"/>
                <w:smallCaps/>
                <w:sz w:val="22"/>
              </w:rPr>
              <w:t>运行方式</w:t>
            </w:r>
          </w:p>
        </w:tc>
        <w:tc>
          <w:tcPr>
            <w:tcW w:w="1838" w:type="dxa"/>
            <w:vAlign w:val="center"/>
          </w:tcPr>
          <w:p w14:paraId="5E17394B">
            <w:pPr>
              <w:adjustRightInd w:val="0"/>
              <w:jc w:val="center"/>
              <w:textAlignment w:val="center"/>
              <w:rPr>
                <w:smallCaps/>
                <w:sz w:val="22"/>
              </w:rPr>
            </w:pPr>
            <w:r>
              <w:rPr>
                <w:rFonts w:hint="eastAsia"/>
                <w:smallCaps/>
                <w:sz w:val="22"/>
              </w:rPr>
              <w:t>运行时间</w:t>
            </w:r>
          </w:p>
          <w:p w14:paraId="3BFDD1B5">
            <w:pPr>
              <w:adjustRightInd w:val="0"/>
              <w:jc w:val="center"/>
              <w:textAlignment w:val="center"/>
              <w:rPr>
                <w:smallCaps/>
                <w:sz w:val="22"/>
              </w:rPr>
            </w:pPr>
            <w:r>
              <w:rPr>
                <w:rFonts w:hint="eastAsia"/>
                <w:smallCaps/>
                <w:sz w:val="22"/>
              </w:rPr>
              <w:t>（小时）</w:t>
            </w:r>
          </w:p>
        </w:tc>
      </w:tr>
      <w:tr w14:paraId="1450A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Align w:val="center"/>
          </w:tcPr>
          <w:p w14:paraId="50D10DF2">
            <w:pPr>
              <w:adjustRightInd w:val="0"/>
              <w:jc w:val="center"/>
              <w:textAlignment w:val="center"/>
              <w:rPr>
                <w:sz w:val="22"/>
              </w:rPr>
            </w:pPr>
            <w:r>
              <w:rPr>
                <w:sz w:val="22"/>
              </w:rPr>
              <w:t>1</w:t>
            </w:r>
          </w:p>
        </w:tc>
        <w:tc>
          <w:tcPr>
            <w:tcW w:w="1850" w:type="dxa"/>
            <w:vAlign w:val="center"/>
          </w:tcPr>
          <w:p w14:paraId="7F10E73C">
            <w:pPr>
              <w:adjustRightInd w:val="0"/>
              <w:jc w:val="center"/>
              <w:textAlignment w:val="center"/>
              <w:rPr>
                <w:sz w:val="22"/>
              </w:rPr>
            </w:pPr>
            <w:r>
              <w:rPr>
                <w:sz w:val="22"/>
              </w:rPr>
              <w:t>装载机</w:t>
            </w:r>
          </w:p>
        </w:tc>
        <w:tc>
          <w:tcPr>
            <w:tcW w:w="730" w:type="dxa"/>
            <w:vAlign w:val="center"/>
          </w:tcPr>
          <w:p w14:paraId="4683DF55">
            <w:pPr>
              <w:adjustRightInd w:val="0"/>
              <w:jc w:val="center"/>
              <w:textAlignment w:val="center"/>
              <w:rPr>
                <w:sz w:val="22"/>
              </w:rPr>
            </w:pPr>
            <w:r>
              <w:rPr>
                <w:sz w:val="22"/>
              </w:rPr>
              <w:t>2</w:t>
            </w:r>
          </w:p>
        </w:tc>
        <w:tc>
          <w:tcPr>
            <w:tcW w:w="1999" w:type="dxa"/>
            <w:vAlign w:val="center"/>
          </w:tcPr>
          <w:p w14:paraId="4C1BA781">
            <w:pPr>
              <w:adjustRightInd w:val="0"/>
              <w:jc w:val="center"/>
              <w:textAlignment w:val="center"/>
              <w:rPr>
                <w:sz w:val="22"/>
              </w:rPr>
            </w:pPr>
            <w:r>
              <w:rPr>
                <w:sz w:val="22"/>
              </w:rPr>
              <w:t>90/5</w:t>
            </w:r>
          </w:p>
        </w:tc>
        <w:tc>
          <w:tcPr>
            <w:tcW w:w="1675" w:type="dxa"/>
            <w:vAlign w:val="center"/>
          </w:tcPr>
          <w:p w14:paraId="5BF5E1B8">
            <w:pPr>
              <w:adjustRightInd w:val="0"/>
              <w:jc w:val="center"/>
              <w:textAlignment w:val="center"/>
              <w:rPr>
                <w:sz w:val="22"/>
              </w:rPr>
            </w:pPr>
            <w:r>
              <w:rPr>
                <w:rFonts w:hint="eastAsia"/>
                <w:sz w:val="22"/>
              </w:rPr>
              <w:t>间歇运行</w:t>
            </w:r>
          </w:p>
        </w:tc>
        <w:tc>
          <w:tcPr>
            <w:tcW w:w="1838" w:type="dxa"/>
            <w:vAlign w:val="center"/>
          </w:tcPr>
          <w:p w14:paraId="02E1323B">
            <w:pPr>
              <w:adjustRightInd w:val="0"/>
              <w:jc w:val="center"/>
              <w:textAlignment w:val="center"/>
              <w:rPr>
                <w:sz w:val="22"/>
              </w:rPr>
            </w:pPr>
            <w:r>
              <w:rPr>
                <w:rFonts w:hint="eastAsia"/>
                <w:sz w:val="22"/>
              </w:rPr>
              <w:t>间断，＜2</w:t>
            </w:r>
          </w:p>
        </w:tc>
      </w:tr>
      <w:tr w14:paraId="1A4A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Align w:val="center"/>
          </w:tcPr>
          <w:p w14:paraId="7450A1D0">
            <w:pPr>
              <w:adjustRightInd w:val="0"/>
              <w:jc w:val="center"/>
              <w:textAlignment w:val="center"/>
              <w:rPr>
                <w:sz w:val="22"/>
              </w:rPr>
            </w:pPr>
            <w:r>
              <w:rPr>
                <w:sz w:val="22"/>
              </w:rPr>
              <w:t>2</w:t>
            </w:r>
          </w:p>
        </w:tc>
        <w:tc>
          <w:tcPr>
            <w:tcW w:w="1850" w:type="dxa"/>
            <w:vAlign w:val="center"/>
          </w:tcPr>
          <w:p w14:paraId="545C9223">
            <w:pPr>
              <w:adjustRightInd w:val="0"/>
              <w:jc w:val="center"/>
              <w:textAlignment w:val="center"/>
              <w:rPr>
                <w:sz w:val="22"/>
              </w:rPr>
            </w:pPr>
            <w:r>
              <w:rPr>
                <w:sz w:val="22"/>
              </w:rPr>
              <w:t>推土机</w:t>
            </w:r>
          </w:p>
        </w:tc>
        <w:tc>
          <w:tcPr>
            <w:tcW w:w="730" w:type="dxa"/>
            <w:vAlign w:val="center"/>
          </w:tcPr>
          <w:p w14:paraId="7E5F2001">
            <w:pPr>
              <w:adjustRightInd w:val="0"/>
              <w:jc w:val="center"/>
              <w:textAlignment w:val="center"/>
              <w:rPr>
                <w:sz w:val="22"/>
              </w:rPr>
            </w:pPr>
            <w:r>
              <w:rPr>
                <w:sz w:val="22"/>
              </w:rPr>
              <w:t>1</w:t>
            </w:r>
          </w:p>
        </w:tc>
        <w:tc>
          <w:tcPr>
            <w:tcW w:w="1999" w:type="dxa"/>
            <w:vAlign w:val="center"/>
          </w:tcPr>
          <w:p w14:paraId="225BB7A8">
            <w:pPr>
              <w:adjustRightInd w:val="0"/>
              <w:jc w:val="center"/>
              <w:textAlignment w:val="center"/>
              <w:rPr>
                <w:sz w:val="22"/>
              </w:rPr>
            </w:pPr>
            <w:r>
              <w:rPr>
                <w:sz w:val="22"/>
              </w:rPr>
              <w:t>86/5</w:t>
            </w:r>
          </w:p>
        </w:tc>
        <w:tc>
          <w:tcPr>
            <w:tcW w:w="1675" w:type="dxa"/>
            <w:vAlign w:val="center"/>
          </w:tcPr>
          <w:p w14:paraId="33A17416">
            <w:pPr>
              <w:adjustRightInd w:val="0"/>
              <w:jc w:val="center"/>
              <w:textAlignment w:val="center"/>
              <w:rPr>
                <w:sz w:val="22"/>
              </w:rPr>
            </w:pPr>
            <w:r>
              <w:rPr>
                <w:rFonts w:hint="eastAsia"/>
                <w:sz w:val="22"/>
              </w:rPr>
              <w:t>间歇运行</w:t>
            </w:r>
          </w:p>
        </w:tc>
        <w:tc>
          <w:tcPr>
            <w:tcW w:w="1838" w:type="dxa"/>
            <w:vAlign w:val="center"/>
          </w:tcPr>
          <w:p w14:paraId="53EF317B">
            <w:pPr>
              <w:adjustRightInd w:val="0"/>
              <w:jc w:val="center"/>
              <w:textAlignment w:val="center"/>
              <w:rPr>
                <w:sz w:val="22"/>
              </w:rPr>
            </w:pPr>
            <w:r>
              <w:rPr>
                <w:rFonts w:hint="eastAsia"/>
                <w:sz w:val="22"/>
              </w:rPr>
              <w:t>间断，＜2</w:t>
            </w:r>
          </w:p>
        </w:tc>
      </w:tr>
      <w:tr w14:paraId="25F1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Align w:val="center"/>
          </w:tcPr>
          <w:p w14:paraId="25BE57A6">
            <w:pPr>
              <w:adjustRightInd w:val="0"/>
              <w:jc w:val="center"/>
              <w:textAlignment w:val="center"/>
              <w:rPr>
                <w:sz w:val="22"/>
              </w:rPr>
            </w:pPr>
            <w:r>
              <w:rPr>
                <w:rFonts w:hint="eastAsia"/>
                <w:sz w:val="22"/>
              </w:rPr>
              <w:t>3</w:t>
            </w:r>
          </w:p>
        </w:tc>
        <w:tc>
          <w:tcPr>
            <w:tcW w:w="1850" w:type="dxa"/>
            <w:vAlign w:val="center"/>
          </w:tcPr>
          <w:p w14:paraId="123542DD">
            <w:pPr>
              <w:adjustRightInd w:val="0"/>
              <w:jc w:val="center"/>
              <w:textAlignment w:val="center"/>
              <w:rPr>
                <w:sz w:val="22"/>
              </w:rPr>
            </w:pPr>
            <w:r>
              <w:rPr>
                <w:sz w:val="22"/>
              </w:rPr>
              <w:t>挖掘机</w:t>
            </w:r>
          </w:p>
        </w:tc>
        <w:tc>
          <w:tcPr>
            <w:tcW w:w="730" w:type="dxa"/>
            <w:vAlign w:val="center"/>
          </w:tcPr>
          <w:p w14:paraId="2052DDAC">
            <w:pPr>
              <w:adjustRightInd w:val="0"/>
              <w:jc w:val="center"/>
              <w:textAlignment w:val="center"/>
              <w:rPr>
                <w:sz w:val="22"/>
              </w:rPr>
            </w:pPr>
            <w:r>
              <w:rPr>
                <w:sz w:val="22"/>
              </w:rPr>
              <w:t>2</w:t>
            </w:r>
          </w:p>
        </w:tc>
        <w:tc>
          <w:tcPr>
            <w:tcW w:w="1999" w:type="dxa"/>
            <w:vAlign w:val="center"/>
          </w:tcPr>
          <w:p w14:paraId="260ECA9B">
            <w:pPr>
              <w:adjustRightInd w:val="0"/>
              <w:jc w:val="center"/>
              <w:textAlignment w:val="center"/>
              <w:rPr>
                <w:sz w:val="22"/>
              </w:rPr>
            </w:pPr>
            <w:r>
              <w:rPr>
                <w:sz w:val="22"/>
              </w:rPr>
              <w:t>84/5</w:t>
            </w:r>
          </w:p>
        </w:tc>
        <w:tc>
          <w:tcPr>
            <w:tcW w:w="1675" w:type="dxa"/>
            <w:vAlign w:val="center"/>
          </w:tcPr>
          <w:p w14:paraId="207F5BDA">
            <w:pPr>
              <w:adjustRightInd w:val="0"/>
              <w:jc w:val="center"/>
              <w:textAlignment w:val="center"/>
              <w:rPr>
                <w:sz w:val="22"/>
              </w:rPr>
            </w:pPr>
            <w:r>
              <w:rPr>
                <w:rFonts w:hint="eastAsia"/>
                <w:sz w:val="22"/>
              </w:rPr>
              <w:t>间歇运行</w:t>
            </w:r>
          </w:p>
        </w:tc>
        <w:tc>
          <w:tcPr>
            <w:tcW w:w="1838" w:type="dxa"/>
            <w:vAlign w:val="center"/>
          </w:tcPr>
          <w:p w14:paraId="50F36EDF">
            <w:pPr>
              <w:adjustRightInd w:val="0"/>
              <w:jc w:val="center"/>
              <w:textAlignment w:val="center"/>
              <w:rPr>
                <w:sz w:val="22"/>
              </w:rPr>
            </w:pPr>
            <w:r>
              <w:rPr>
                <w:rFonts w:hint="eastAsia"/>
                <w:sz w:val="22"/>
              </w:rPr>
              <w:t>间断，＜2</w:t>
            </w:r>
          </w:p>
        </w:tc>
      </w:tr>
      <w:tr w14:paraId="3646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Align w:val="center"/>
          </w:tcPr>
          <w:p w14:paraId="30A8432C">
            <w:pPr>
              <w:adjustRightInd w:val="0"/>
              <w:jc w:val="center"/>
              <w:textAlignment w:val="center"/>
              <w:rPr>
                <w:sz w:val="22"/>
              </w:rPr>
            </w:pPr>
            <w:r>
              <w:rPr>
                <w:sz w:val="22"/>
              </w:rPr>
              <w:t>4</w:t>
            </w:r>
          </w:p>
        </w:tc>
        <w:tc>
          <w:tcPr>
            <w:tcW w:w="1850" w:type="dxa"/>
            <w:vAlign w:val="center"/>
          </w:tcPr>
          <w:p w14:paraId="4225C334">
            <w:pPr>
              <w:adjustRightInd w:val="0"/>
              <w:jc w:val="center"/>
              <w:textAlignment w:val="center"/>
              <w:rPr>
                <w:sz w:val="22"/>
              </w:rPr>
            </w:pPr>
            <w:r>
              <w:rPr>
                <w:sz w:val="22"/>
              </w:rPr>
              <w:t>重型碾压机</w:t>
            </w:r>
          </w:p>
        </w:tc>
        <w:tc>
          <w:tcPr>
            <w:tcW w:w="730" w:type="dxa"/>
            <w:vAlign w:val="center"/>
          </w:tcPr>
          <w:p w14:paraId="3DBE8206">
            <w:pPr>
              <w:adjustRightInd w:val="0"/>
              <w:jc w:val="center"/>
              <w:textAlignment w:val="center"/>
              <w:rPr>
                <w:sz w:val="22"/>
              </w:rPr>
            </w:pPr>
            <w:r>
              <w:rPr>
                <w:sz w:val="22"/>
              </w:rPr>
              <w:t>1</w:t>
            </w:r>
          </w:p>
        </w:tc>
        <w:tc>
          <w:tcPr>
            <w:tcW w:w="1999" w:type="dxa"/>
            <w:vAlign w:val="center"/>
          </w:tcPr>
          <w:p w14:paraId="508EFBBE">
            <w:pPr>
              <w:adjustRightInd w:val="0"/>
              <w:jc w:val="center"/>
              <w:textAlignment w:val="center"/>
              <w:rPr>
                <w:sz w:val="22"/>
              </w:rPr>
            </w:pPr>
            <w:r>
              <w:rPr>
                <w:sz w:val="22"/>
              </w:rPr>
              <w:t>86/5</w:t>
            </w:r>
          </w:p>
        </w:tc>
        <w:tc>
          <w:tcPr>
            <w:tcW w:w="1675" w:type="dxa"/>
            <w:vAlign w:val="center"/>
          </w:tcPr>
          <w:p w14:paraId="185C8084">
            <w:pPr>
              <w:adjustRightInd w:val="0"/>
              <w:jc w:val="center"/>
              <w:textAlignment w:val="center"/>
              <w:rPr>
                <w:sz w:val="22"/>
              </w:rPr>
            </w:pPr>
            <w:r>
              <w:rPr>
                <w:rFonts w:hint="eastAsia"/>
                <w:sz w:val="22"/>
              </w:rPr>
              <w:t>间歇运行</w:t>
            </w:r>
          </w:p>
        </w:tc>
        <w:tc>
          <w:tcPr>
            <w:tcW w:w="1838" w:type="dxa"/>
            <w:vAlign w:val="center"/>
          </w:tcPr>
          <w:p w14:paraId="2FBB0F49">
            <w:pPr>
              <w:adjustRightInd w:val="0"/>
              <w:jc w:val="center"/>
              <w:textAlignment w:val="center"/>
              <w:rPr>
                <w:sz w:val="22"/>
              </w:rPr>
            </w:pPr>
            <w:r>
              <w:rPr>
                <w:rFonts w:hint="eastAsia"/>
                <w:sz w:val="22"/>
              </w:rPr>
              <w:t>间断，＜2</w:t>
            </w:r>
          </w:p>
        </w:tc>
      </w:tr>
      <w:tr w14:paraId="2A2F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Align w:val="center"/>
          </w:tcPr>
          <w:p w14:paraId="3F39C944">
            <w:pPr>
              <w:adjustRightInd w:val="0"/>
              <w:jc w:val="center"/>
              <w:textAlignment w:val="center"/>
              <w:rPr>
                <w:sz w:val="22"/>
              </w:rPr>
            </w:pPr>
            <w:r>
              <w:rPr>
                <w:sz w:val="22"/>
              </w:rPr>
              <w:t>5</w:t>
            </w:r>
          </w:p>
        </w:tc>
        <w:tc>
          <w:tcPr>
            <w:tcW w:w="1850" w:type="dxa"/>
            <w:vAlign w:val="center"/>
          </w:tcPr>
          <w:p w14:paraId="26EB1A7C">
            <w:pPr>
              <w:adjustRightInd w:val="0"/>
              <w:jc w:val="center"/>
              <w:textAlignment w:val="center"/>
              <w:rPr>
                <w:sz w:val="22"/>
              </w:rPr>
            </w:pPr>
            <w:r>
              <w:rPr>
                <w:sz w:val="22"/>
              </w:rPr>
              <w:t>电锯</w:t>
            </w:r>
          </w:p>
        </w:tc>
        <w:tc>
          <w:tcPr>
            <w:tcW w:w="730" w:type="dxa"/>
            <w:vAlign w:val="center"/>
          </w:tcPr>
          <w:p w14:paraId="2463C64A">
            <w:pPr>
              <w:adjustRightInd w:val="0"/>
              <w:jc w:val="center"/>
              <w:textAlignment w:val="center"/>
              <w:rPr>
                <w:sz w:val="22"/>
              </w:rPr>
            </w:pPr>
            <w:r>
              <w:rPr>
                <w:sz w:val="22"/>
              </w:rPr>
              <w:t>2</w:t>
            </w:r>
          </w:p>
        </w:tc>
        <w:tc>
          <w:tcPr>
            <w:tcW w:w="1999" w:type="dxa"/>
            <w:vAlign w:val="center"/>
          </w:tcPr>
          <w:p w14:paraId="22BAC40D">
            <w:pPr>
              <w:adjustRightInd w:val="0"/>
              <w:jc w:val="center"/>
              <w:textAlignment w:val="center"/>
              <w:rPr>
                <w:sz w:val="22"/>
              </w:rPr>
            </w:pPr>
            <w:r>
              <w:rPr>
                <w:sz w:val="22"/>
              </w:rPr>
              <w:t>93/5</w:t>
            </w:r>
          </w:p>
        </w:tc>
        <w:tc>
          <w:tcPr>
            <w:tcW w:w="1675" w:type="dxa"/>
            <w:vAlign w:val="center"/>
          </w:tcPr>
          <w:p w14:paraId="71FFDEEB">
            <w:pPr>
              <w:adjustRightInd w:val="0"/>
              <w:jc w:val="center"/>
              <w:textAlignment w:val="center"/>
              <w:rPr>
                <w:sz w:val="22"/>
              </w:rPr>
            </w:pPr>
            <w:r>
              <w:rPr>
                <w:rFonts w:hint="eastAsia"/>
                <w:sz w:val="22"/>
              </w:rPr>
              <w:t>间歇运行</w:t>
            </w:r>
          </w:p>
        </w:tc>
        <w:tc>
          <w:tcPr>
            <w:tcW w:w="1838" w:type="dxa"/>
            <w:vAlign w:val="center"/>
          </w:tcPr>
          <w:p w14:paraId="0017C00E">
            <w:pPr>
              <w:adjustRightInd w:val="0"/>
              <w:jc w:val="center"/>
              <w:textAlignment w:val="center"/>
              <w:rPr>
                <w:sz w:val="22"/>
              </w:rPr>
            </w:pPr>
            <w:r>
              <w:rPr>
                <w:rFonts w:hint="eastAsia"/>
                <w:sz w:val="22"/>
              </w:rPr>
              <w:t>间断，＜2</w:t>
            </w:r>
          </w:p>
        </w:tc>
      </w:tr>
      <w:tr w14:paraId="4086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Align w:val="center"/>
          </w:tcPr>
          <w:p w14:paraId="7E77F33D">
            <w:pPr>
              <w:adjustRightInd w:val="0"/>
              <w:jc w:val="center"/>
              <w:textAlignment w:val="center"/>
              <w:rPr>
                <w:sz w:val="22"/>
              </w:rPr>
            </w:pPr>
            <w:r>
              <w:rPr>
                <w:sz w:val="22"/>
              </w:rPr>
              <w:t>6</w:t>
            </w:r>
          </w:p>
        </w:tc>
        <w:tc>
          <w:tcPr>
            <w:tcW w:w="1850" w:type="dxa"/>
            <w:vAlign w:val="center"/>
          </w:tcPr>
          <w:p w14:paraId="5ABB6F1C">
            <w:pPr>
              <w:adjustRightInd w:val="0"/>
              <w:jc w:val="center"/>
              <w:textAlignment w:val="center"/>
              <w:rPr>
                <w:sz w:val="22"/>
              </w:rPr>
            </w:pPr>
            <w:r>
              <w:rPr>
                <w:sz w:val="22"/>
              </w:rPr>
              <w:t>载重汽车</w:t>
            </w:r>
          </w:p>
        </w:tc>
        <w:tc>
          <w:tcPr>
            <w:tcW w:w="730" w:type="dxa"/>
            <w:vAlign w:val="center"/>
          </w:tcPr>
          <w:p w14:paraId="63A25A10">
            <w:pPr>
              <w:adjustRightInd w:val="0"/>
              <w:jc w:val="center"/>
              <w:textAlignment w:val="center"/>
              <w:rPr>
                <w:sz w:val="22"/>
              </w:rPr>
            </w:pPr>
            <w:r>
              <w:rPr>
                <w:sz w:val="22"/>
              </w:rPr>
              <w:t>2</w:t>
            </w:r>
          </w:p>
        </w:tc>
        <w:tc>
          <w:tcPr>
            <w:tcW w:w="1999" w:type="dxa"/>
            <w:vAlign w:val="center"/>
          </w:tcPr>
          <w:p w14:paraId="6666104C">
            <w:pPr>
              <w:adjustRightInd w:val="0"/>
              <w:jc w:val="center"/>
              <w:textAlignment w:val="center"/>
              <w:rPr>
                <w:sz w:val="22"/>
              </w:rPr>
            </w:pPr>
            <w:r>
              <w:rPr>
                <w:sz w:val="22"/>
              </w:rPr>
              <w:t>85/5</w:t>
            </w:r>
          </w:p>
        </w:tc>
        <w:tc>
          <w:tcPr>
            <w:tcW w:w="1675" w:type="dxa"/>
            <w:vAlign w:val="center"/>
          </w:tcPr>
          <w:p w14:paraId="748C1071">
            <w:pPr>
              <w:adjustRightInd w:val="0"/>
              <w:jc w:val="center"/>
              <w:textAlignment w:val="center"/>
              <w:rPr>
                <w:sz w:val="22"/>
              </w:rPr>
            </w:pPr>
            <w:r>
              <w:rPr>
                <w:rFonts w:hint="eastAsia"/>
                <w:sz w:val="22"/>
              </w:rPr>
              <w:t>间歇运行</w:t>
            </w:r>
          </w:p>
        </w:tc>
        <w:tc>
          <w:tcPr>
            <w:tcW w:w="1838" w:type="dxa"/>
            <w:vAlign w:val="center"/>
          </w:tcPr>
          <w:p w14:paraId="3C5FC147">
            <w:pPr>
              <w:adjustRightInd w:val="0"/>
              <w:jc w:val="center"/>
              <w:textAlignment w:val="center"/>
              <w:rPr>
                <w:sz w:val="22"/>
              </w:rPr>
            </w:pPr>
            <w:r>
              <w:rPr>
                <w:rFonts w:hint="eastAsia"/>
                <w:sz w:val="22"/>
              </w:rPr>
              <w:t>间断，＜2</w:t>
            </w:r>
          </w:p>
        </w:tc>
      </w:tr>
    </w:tbl>
    <w:p w14:paraId="05269EB4">
      <w:pPr>
        <w:pStyle w:val="1379"/>
        <w:ind w:firstLine="440"/>
      </w:pPr>
    </w:p>
    <w:p w14:paraId="35A30920">
      <w:pPr>
        <w:adjustRightInd w:val="0"/>
        <w:snapToGrid w:val="0"/>
        <w:spacing w:line="460" w:lineRule="exact"/>
        <w:ind w:firstLine="520" w:firstLineChars="200"/>
        <w:rPr>
          <w:bCs/>
          <w:sz w:val="26"/>
          <w:szCs w:val="26"/>
        </w:rPr>
      </w:pPr>
      <w:r>
        <w:rPr>
          <w:rFonts w:hint="eastAsia"/>
          <w:bCs/>
          <w:sz w:val="26"/>
          <w:szCs w:val="26"/>
        </w:rPr>
        <w:t>试采站场施工期各类噪声是间断性的，且仅在昼间施工，持续时间短，施工噪声对环境的影响小，待施工结束后，噪声影响随之消失。</w:t>
      </w:r>
    </w:p>
    <w:p w14:paraId="4AA1F122">
      <w:pPr>
        <w:adjustRightInd w:val="0"/>
        <w:snapToGrid w:val="0"/>
        <w:spacing w:line="460" w:lineRule="exact"/>
        <w:ind w:firstLine="520" w:firstLineChars="200"/>
        <w:rPr>
          <w:bCs/>
          <w:sz w:val="26"/>
          <w:szCs w:val="26"/>
        </w:rPr>
      </w:pPr>
      <w:r>
        <w:rPr>
          <w:rFonts w:hint="eastAsia"/>
          <w:bCs/>
          <w:sz w:val="26"/>
          <w:szCs w:val="26"/>
        </w:rPr>
        <w:t>（</w:t>
      </w:r>
      <w:r>
        <w:rPr>
          <w:bCs/>
          <w:sz w:val="26"/>
          <w:szCs w:val="26"/>
        </w:rPr>
        <w:t>4</w:t>
      </w:r>
      <w:r>
        <w:rPr>
          <w:rFonts w:hint="eastAsia"/>
          <w:bCs/>
          <w:sz w:val="26"/>
          <w:szCs w:val="26"/>
        </w:rPr>
        <w:t>）固体废物</w:t>
      </w:r>
    </w:p>
    <w:p w14:paraId="41AC7D64">
      <w:pPr>
        <w:adjustRightInd w:val="0"/>
        <w:snapToGrid w:val="0"/>
        <w:spacing w:line="460" w:lineRule="exact"/>
        <w:ind w:firstLine="520" w:firstLineChars="200"/>
        <w:rPr>
          <w:bCs/>
          <w:sz w:val="26"/>
          <w:szCs w:val="26"/>
        </w:rPr>
      </w:pPr>
      <w:r>
        <w:rPr>
          <w:rFonts w:hint="eastAsia"/>
          <w:bCs/>
          <w:sz w:val="26"/>
          <w:szCs w:val="26"/>
        </w:rPr>
        <w:t>施工期产生的固体废物主要是施工人员生活垃圾、施工废料和开挖产生的土石方等。</w:t>
      </w:r>
    </w:p>
    <w:p w14:paraId="11534F94">
      <w:pPr>
        <w:adjustRightInd w:val="0"/>
        <w:snapToGrid w:val="0"/>
        <w:spacing w:line="460" w:lineRule="exact"/>
        <w:ind w:firstLine="520" w:firstLineChars="200"/>
        <w:rPr>
          <w:bCs/>
          <w:sz w:val="26"/>
          <w:szCs w:val="26"/>
        </w:rPr>
      </w:pPr>
      <w:r>
        <w:rPr>
          <w:rFonts w:hint="eastAsia"/>
          <w:bCs/>
          <w:sz w:val="26"/>
          <w:szCs w:val="26"/>
        </w:rPr>
        <w:t>①生活垃圾</w:t>
      </w:r>
    </w:p>
    <w:p w14:paraId="4420A9F8">
      <w:pPr>
        <w:spacing w:line="460" w:lineRule="exact"/>
        <w:ind w:firstLine="520" w:firstLineChars="200"/>
        <w:rPr>
          <w:bCs/>
          <w:sz w:val="26"/>
          <w:szCs w:val="26"/>
        </w:rPr>
      </w:pPr>
      <w:r>
        <w:rPr>
          <w:bCs/>
          <w:sz w:val="26"/>
          <w:szCs w:val="26"/>
        </w:rPr>
        <w:t>施工期每人每天产生生活垃圾0.5kg计，考虑每天施工人员为20人，则生活垃圾产生量约10kg/d；施工人员的生活垃圾采取分类收集，定期交当地环卫部门处理。</w:t>
      </w:r>
    </w:p>
    <w:p w14:paraId="34257AB1">
      <w:pPr>
        <w:adjustRightInd w:val="0"/>
        <w:snapToGrid w:val="0"/>
        <w:spacing w:line="460" w:lineRule="exact"/>
        <w:ind w:firstLine="520" w:firstLineChars="200"/>
        <w:rPr>
          <w:bCs/>
          <w:sz w:val="26"/>
          <w:szCs w:val="26"/>
        </w:rPr>
      </w:pPr>
      <w:r>
        <w:rPr>
          <w:rFonts w:hint="eastAsia"/>
          <w:bCs/>
          <w:sz w:val="26"/>
          <w:szCs w:val="26"/>
        </w:rPr>
        <w:t>②施工废料</w:t>
      </w:r>
    </w:p>
    <w:p w14:paraId="1CE0ABD9">
      <w:pPr>
        <w:adjustRightInd w:val="0"/>
        <w:snapToGrid w:val="0"/>
        <w:spacing w:line="460" w:lineRule="exact"/>
        <w:ind w:firstLine="520" w:firstLineChars="200"/>
        <w:rPr>
          <w:bCs/>
          <w:sz w:val="26"/>
          <w:szCs w:val="26"/>
        </w:rPr>
      </w:pPr>
      <w:r>
        <w:rPr>
          <w:rFonts w:hint="eastAsia"/>
          <w:bCs/>
          <w:sz w:val="26"/>
          <w:szCs w:val="26"/>
        </w:rPr>
        <w:t>本项目使用的管道、设备出厂前已进行了相应的防腐处理，施工废料主要包括焊接作业中产生的废焊条、废包装材料，吹扫清管所产生的少量铁屑，防腐补口产生的少量粉尘、废渣，以及施工过程中产生的废金属等。根据类比调查，本项目施工过程中产生的施工废料量约0.05t，可回收的施工废料可由施工单位回收或外售废品回收站处置，不可回收施工废料收集后送当地建筑渣场处置。</w:t>
      </w:r>
    </w:p>
    <w:p w14:paraId="722D6B9C">
      <w:pPr>
        <w:adjustRightInd w:val="0"/>
        <w:snapToGrid w:val="0"/>
        <w:spacing w:line="460" w:lineRule="exact"/>
        <w:ind w:firstLine="520" w:firstLineChars="200"/>
        <w:rPr>
          <w:bCs/>
          <w:sz w:val="26"/>
          <w:szCs w:val="26"/>
        </w:rPr>
      </w:pPr>
      <w:r>
        <w:rPr>
          <w:rFonts w:hint="eastAsia"/>
          <w:bCs/>
          <w:sz w:val="26"/>
          <w:szCs w:val="26"/>
        </w:rPr>
        <w:t>③土石方</w:t>
      </w:r>
    </w:p>
    <w:p w14:paraId="53864053">
      <w:pPr>
        <w:adjustRightInd w:val="0"/>
        <w:snapToGrid w:val="0"/>
        <w:spacing w:line="460" w:lineRule="exact"/>
        <w:ind w:firstLine="520" w:firstLineChars="200"/>
        <w:rPr>
          <w:bCs/>
          <w:sz w:val="26"/>
          <w:szCs w:val="26"/>
        </w:rPr>
      </w:pPr>
      <w:r>
        <w:rPr>
          <w:rFonts w:hint="eastAsia"/>
          <w:bCs/>
          <w:sz w:val="26"/>
          <w:szCs w:val="26"/>
        </w:rPr>
        <w:t>本项目试采站位于原井场占地范围内，原井场范围内表土已经剥离堆存至井场北侧的表土临时堆场。本项目设备基础开挖产生的土石方约5m</w:t>
      </w:r>
      <w:r>
        <w:rPr>
          <w:rFonts w:hint="eastAsia"/>
          <w:bCs/>
          <w:sz w:val="26"/>
          <w:szCs w:val="26"/>
          <w:vertAlign w:val="superscript"/>
        </w:rPr>
        <w:t>3</w:t>
      </w:r>
      <w:r>
        <w:rPr>
          <w:rFonts w:hint="eastAsia"/>
          <w:bCs/>
          <w:sz w:val="26"/>
          <w:szCs w:val="26"/>
        </w:rPr>
        <w:t>，不含表土层，临时堆放在场地内，采取洒水抑尘措施，施工结束后土石方平铺在井场内，无弃方产生。</w:t>
      </w:r>
    </w:p>
    <w:p w14:paraId="605E8558">
      <w:pPr>
        <w:pStyle w:val="1068"/>
        <w:rPr>
          <w:rFonts w:cs="Times New Roman"/>
        </w:rPr>
      </w:pPr>
      <w:bookmarkStart w:id="189" w:name="_Toc165810513"/>
      <w:r>
        <w:rPr>
          <w:rFonts w:cs="Times New Roman"/>
        </w:rPr>
        <w:t>3.1.3 施工期</w:t>
      </w:r>
      <w:r>
        <w:rPr>
          <w:rFonts w:hint="eastAsia" w:cs="Times New Roman"/>
        </w:rPr>
        <w:t>“三废”及噪声排放情况汇总</w:t>
      </w:r>
      <w:bookmarkEnd w:id="189"/>
    </w:p>
    <w:p w14:paraId="252E6EF7">
      <w:pPr>
        <w:pStyle w:val="702"/>
        <w:ind w:firstLine="520"/>
        <w:rPr>
          <w:rFonts w:cs="Times New Roman"/>
        </w:rPr>
      </w:pPr>
      <w:r>
        <w:rPr>
          <w:rFonts w:hint="eastAsia" w:cs="Times New Roman"/>
        </w:rPr>
        <w:t>施工期主要污染物产、排情况见</w:t>
      </w:r>
      <w:r>
        <w:rPr>
          <w:rFonts w:hint="eastAsia" w:cs="Times New Roman"/>
          <w:u w:val="single"/>
        </w:rPr>
        <w:t>表3.1-</w:t>
      </w:r>
      <w:r>
        <w:rPr>
          <w:rFonts w:cs="Times New Roman"/>
          <w:u w:val="single"/>
        </w:rPr>
        <w:t>2</w:t>
      </w:r>
      <w:r>
        <w:rPr>
          <w:rFonts w:hint="eastAsia" w:cs="Times New Roman"/>
        </w:rPr>
        <w:t>。</w:t>
      </w:r>
    </w:p>
    <w:p w14:paraId="0163C616">
      <w:pPr>
        <w:pStyle w:val="1379"/>
        <w:ind w:firstLine="440"/>
      </w:pPr>
    </w:p>
    <w:p w14:paraId="6BB2F0FD">
      <w:pPr>
        <w:keepNext/>
        <w:snapToGrid w:val="0"/>
        <w:spacing w:line="460" w:lineRule="exact"/>
        <w:ind w:firstLine="520" w:firstLineChars="200"/>
        <w:jc w:val="center"/>
        <w:rPr>
          <w:sz w:val="26"/>
          <w:szCs w:val="26"/>
        </w:rPr>
      </w:pPr>
      <w:r>
        <w:rPr>
          <w:rFonts w:hint="eastAsia"/>
          <w:sz w:val="26"/>
          <w:szCs w:val="26"/>
        </w:rPr>
        <w:t>表</w:t>
      </w:r>
      <w:r>
        <w:rPr>
          <w:sz w:val="26"/>
          <w:szCs w:val="26"/>
        </w:rPr>
        <w:t xml:space="preserve">3.1-2   </w:t>
      </w:r>
      <w:r>
        <w:rPr>
          <w:rFonts w:hint="eastAsia"/>
          <w:sz w:val="26"/>
          <w:szCs w:val="26"/>
        </w:rPr>
        <w:t>施工期“三废”及噪声排放统计表</w:t>
      </w:r>
    </w:p>
    <w:tbl>
      <w:tblPr>
        <w:tblStyle w:val="88"/>
        <w:tblW w:w="8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82"/>
        <w:gridCol w:w="842"/>
        <w:gridCol w:w="1429"/>
        <w:gridCol w:w="1142"/>
        <w:gridCol w:w="1000"/>
        <w:gridCol w:w="1856"/>
        <w:gridCol w:w="1935"/>
      </w:tblGrid>
      <w:tr w14:paraId="0F7B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2" w:type="dxa"/>
            <w:vAlign w:val="center"/>
          </w:tcPr>
          <w:p w14:paraId="4AD40030">
            <w:pPr>
              <w:snapToGrid w:val="0"/>
              <w:jc w:val="center"/>
              <w:rPr>
                <w:sz w:val="22"/>
                <w:szCs w:val="22"/>
              </w:rPr>
            </w:pPr>
            <w:r>
              <w:rPr>
                <w:rFonts w:hint="eastAsia"/>
                <w:sz w:val="22"/>
                <w:szCs w:val="22"/>
              </w:rPr>
              <w:t>工程</w:t>
            </w:r>
          </w:p>
          <w:p w14:paraId="42181491">
            <w:pPr>
              <w:snapToGrid w:val="0"/>
              <w:jc w:val="center"/>
              <w:rPr>
                <w:sz w:val="22"/>
                <w:szCs w:val="22"/>
              </w:rPr>
            </w:pPr>
            <w:r>
              <w:rPr>
                <w:rFonts w:hint="eastAsia"/>
                <w:sz w:val="22"/>
                <w:szCs w:val="22"/>
              </w:rPr>
              <w:t>阶段</w:t>
            </w:r>
          </w:p>
        </w:tc>
        <w:tc>
          <w:tcPr>
            <w:tcW w:w="842" w:type="dxa"/>
            <w:vAlign w:val="center"/>
          </w:tcPr>
          <w:p w14:paraId="30D9E46E">
            <w:pPr>
              <w:snapToGrid w:val="0"/>
              <w:jc w:val="center"/>
              <w:rPr>
                <w:sz w:val="22"/>
                <w:szCs w:val="22"/>
              </w:rPr>
            </w:pPr>
            <w:r>
              <w:rPr>
                <w:sz w:val="22"/>
                <w:szCs w:val="22"/>
              </w:rPr>
              <w:t>污染物类型</w:t>
            </w:r>
          </w:p>
        </w:tc>
        <w:tc>
          <w:tcPr>
            <w:tcW w:w="1429" w:type="dxa"/>
            <w:vAlign w:val="center"/>
          </w:tcPr>
          <w:p w14:paraId="321D1D10">
            <w:pPr>
              <w:snapToGrid w:val="0"/>
              <w:jc w:val="center"/>
              <w:rPr>
                <w:sz w:val="22"/>
                <w:szCs w:val="22"/>
              </w:rPr>
            </w:pPr>
            <w:r>
              <w:rPr>
                <w:sz w:val="22"/>
                <w:szCs w:val="22"/>
              </w:rPr>
              <w:t>污染源</w:t>
            </w:r>
          </w:p>
        </w:tc>
        <w:tc>
          <w:tcPr>
            <w:tcW w:w="1142" w:type="dxa"/>
            <w:vAlign w:val="center"/>
          </w:tcPr>
          <w:p w14:paraId="21F0C522">
            <w:pPr>
              <w:snapToGrid w:val="0"/>
              <w:jc w:val="center"/>
              <w:rPr>
                <w:sz w:val="22"/>
                <w:szCs w:val="22"/>
              </w:rPr>
            </w:pPr>
            <w:r>
              <w:rPr>
                <w:sz w:val="22"/>
                <w:szCs w:val="22"/>
              </w:rPr>
              <w:t>排放量</w:t>
            </w:r>
          </w:p>
        </w:tc>
        <w:tc>
          <w:tcPr>
            <w:tcW w:w="1000" w:type="dxa"/>
            <w:vAlign w:val="center"/>
          </w:tcPr>
          <w:p w14:paraId="2CC7666B">
            <w:pPr>
              <w:snapToGrid w:val="0"/>
              <w:jc w:val="center"/>
              <w:rPr>
                <w:sz w:val="22"/>
                <w:szCs w:val="22"/>
              </w:rPr>
            </w:pPr>
            <w:r>
              <w:rPr>
                <w:sz w:val="22"/>
                <w:szCs w:val="22"/>
              </w:rPr>
              <w:t>排放方式</w:t>
            </w:r>
          </w:p>
        </w:tc>
        <w:tc>
          <w:tcPr>
            <w:tcW w:w="1856" w:type="dxa"/>
            <w:vAlign w:val="center"/>
          </w:tcPr>
          <w:p w14:paraId="78B0F221">
            <w:pPr>
              <w:snapToGrid w:val="0"/>
              <w:jc w:val="center"/>
              <w:rPr>
                <w:sz w:val="22"/>
                <w:szCs w:val="22"/>
              </w:rPr>
            </w:pPr>
            <w:r>
              <w:rPr>
                <w:sz w:val="22"/>
                <w:szCs w:val="22"/>
              </w:rPr>
              <w:t>主要污染物</w:t>
            </w:r>
          </w:p>
        </w:tc>
        <w:tc>
          <w:tcPr>
            <w:tcW w:w="1935" w:type="dxa"/>
            <w:vAlign w:val="center"/>
          </w:tcPr>
          <w:p w14:paraId="3745E555">
            <w:pPr>
              <w:snapToGrid w:val="0"/>
              <w:jc w:val="center"/>
              <w:rPr>
                <w:sz w:val="22"/>
                <w:szCs w:val="22"/>
              </w:rPr>
            </w:pPr>
            <w:r>
              <w:rPr>
                <w:sz w:val="22"/>
                <w:szCs w:val="22"/>
              </w:rPr>
              <w:t>排放去向</w:t>
            </w:r>
          </w:p>
        </w:tc>
      </w:tr>
      <w:tr w14:paraId="58EF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2" w:type="dxa"/>
            <w:vMerge w:val="restart"/>
            <w:vAlign w:val="center"/>
          </w:tcPr>
          <w:p w14:paraId="1A5EF2E1">
            <w:pPr>
              <w:snapToGrid w:val="0"/>
              <w:jc w:val="center"/>
              <w:rPr>
                <w:sz w:val="22"/>
                <w:szCs w:val="22"/>
              </w:rPr>
            </w:pPr>
            <w:r>
              <w:rPr>
                <w:rFonts w:hint="eastAsia"/>
                <w:sz w:val="22"/>
                <w:szCs w:val="22"/>
              </w:rPr>
              <w:t>施工期</w:t>
            </w:r>
          </w:p>
        </w:tc>
        <w:tc>
          <w:tcPr>
            <w:tcW w:w="842" w:type="dxa"/>
            <w:vMerge w:val="restart"/>
            <w:vAlign w:val="center"/>
          </w:tcPr>
          <w:p w14:paraId="4798732F">
            <w:pPr>
              <w:snapToGrid w:val="0"/>
              <w:jc w:val="center"/>
              <w:rPr>
                <w:sz w:val="22"/>
                <w:szCs w:val="22"/>
              </w:rPr>
            </w:pPr>
            <w:r>
              <w:rPr>
                <w:rFonts w:hint="eastAsia"/>
                <w:sz w:val="22"/>
                <w:szCs w:val="22"/>
              </w:rPr>
              <w:t>废水</w:t>
            </w:r>
          </w:p>
        </w:tc>
        <w:tc>
          <w:tcPr>
            <w:tcW w:w="1429" w:type="dxa"/>
            <w:vAlign w:val="center"/>
          </w:tcPr>
          <w:p w14:paraId="3E87BCEC">
            <w:pPr>
              <w:snapToGrid w:val="0"/>
              <w:jc w:val="center"/>
              <w:rPr>
                <w:sz w:val="22"/>
                <w:szCs w:val="22"/>
              </w:rPr>
            </w:pPr>
            <w:r>
              <w:rPr>
                <w:rFonts w:hint="eastAsia"/>
                <w:sz w:val="22"/>
                <w:szCs w:val="22"/>
              </w:rPr>
              <w:t>试压废水</w:t>
            </w:r>
          </w:p>
        </w:tc>
        <w:tc>
          <w:tcPr>
            <w:tcW w:w="1142" w:type="dxa"/>
            <w:vAlign w:val="center"/>
          </w:tcPr>
          <w:p w14:paraId="78678452">
            <w:pPr>
              <w:snapToGrid w:val="0"/>
              <w:jc w:val="center"/>
              <w:rPr>
                <w:sz w:val="22"/>
                <w:szCs w:val="22"/>
              </w:rPr>
            </w:pPr>
            <w:r>
              <w:rPr>
                <w:sz w:val="22"/>
                <w:szCs w:val="22"/>
              </w:rPr>
              <w:t>2.5m</w:t>
            </w:r>
            <w:r>
              <w:rPr>
                <w:sz w:val="22"/>
                <w:szCs w:val="22"/>
                <w:vertAlign w:val="superscript"/>
              </w:rPr>
              <w:t>3</w:t>
            </w:r>
          </w:p>
        </w:tc>
        <w:tc>
          <w:tcPr>
            <w:tcW w:w="1000" w:type="dxa"/>
            <w:vAlign w:val="center"/>
          </w:tcPr>
          <w:p w14:paraId="364C2EC8">
            <w:pPr>
              <w:snapToGrid w:val="0"/>
              <w:jc w:val="center"/>
              <w:rPr>
                <w:sz w:val="22"/>
                <w:szCs w:val="22"/>
              </w:rPr>
            </w:pPr>
            <w:r>
              <w:rPr>
                <w:rFonts w:hint="eastAsia"/>
                <w:sz w:val="22"/>
                <w:szCs w:val="22"/>
              </w:rPr>
              <w:t>间断</w:t>
            </w:r>
          </w:p>
        </w:tc>
        <w:tc>
          <w:tcPr>
            <w:tcW w:w="1856" w:type="dxa"/>
            <w:vAlign w:val="center"/>
          </w:tcPr>
          <w:p w14:paraId="23AB8533">
            <w:pPr>
              <w:snapToGrid w:val="0"/>
              <w:jc w:val="center"/>
              <w:rPr>
                <w:sz w:val="22"/>
                <w:szCs w:val="22"/>
              </w:rPr>
            </w:pPr>
            <w:r>
              <w:rPr>
                <w:rFonts w:hint="eastAsia"/>
                <w:sz w:val="22"/>
                <w:szCs w:val="22"/>
              </w:rPr>
              <w:t>S</w:t>
            </w:r>
            <w:r>
              <w:rPr>
                <w:sz w:val="22"/>
                <w:szCs w:val="22"/>
              </w:rPr>
              <w:t>S</w:t>
            </w:r>
          </w:p>
        </w:tc>
        <w:tc>
          <w:tcPr>
            <w:tcW w:w="1935" w:type="dxa"/>
            <w:vAlign w:val="center"/>
          </w:tcPr>
          <w:p w14:paraId="0621C781">
            <w:pPr>
              <w:snapToGrid w:val="0"/>
              <w:jc w:val="center"/>
              <w:rPr>
                <w:sz w:val="22"/>
                <w:szCs w:val="22"/>
              </w:rPr>
            </w:pPr>
            <w:r>
              <w:rPr>
                <w:sz w:val="22"/>
                <w:szCs w:val="22"/>
              </w:rPr>
              <w:t>经沉淀后</w:t>
            </w:r>
            <w:r>
              <w:rPr>
                <w:rFonts w:hint="eastAsia"/>
                <w:sz w:val="22"/>
                <w:szCs w:val="22"/>
              </w:rPr>
              <w:t>，用于场地洒水抑尘和绿化</w:t>
            </w:r>
          </w:p>
        </w:tc>
      </w:tr>
      <w:tr w14:paraId="41BA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2" w:type="dxa"/>
            <w:vMerge w:val="continue"/>
            <w:vAlign w:val="center"/>
          </w:tcPr>
          <w:p w14:paraId="6EB95528">
            <w:pPr>
              <w:snapToGrid w:val="0"/>
              <w:jc w:val="center"/>
              <w:rPr>
                <w:sz w:val="22"/>
                <w:szCs w:val="22"/>
              </w:rPr>
            </w:pPr>
          </w:p>
        </w:tc>
        <w:tc>
          <w:tcPr>
            <w:tcW w:w="842" w:type="dxa"/>
            <w:vMerge w:val="continue"/>
            <w:vAlign w:val="center"/>
          </w:tcPr>
          <w:p w14:paraId="5704D325">
            <w:pPr>
              <w:snapToGrid w:val="0"/>
              <w:jc w:val="center"/>
              <w:rPr>
                <w:sz w:val="22"/>
                <w:szCs w:val="22"/>
              </w:rPr>
            </w:pPr>
          </w:p>
        </w:tc>
        <w:tc>
          <w:tcPr>
            <w:tcW w:w="1429" w:type="dxa"/>
            <w:vAlign w:val="center"/>
          </w:tcPr>
          <w:p w14:paraId="6F2516C5">
            <w:pPr>
              <w:snapToGrid w:val="0"/>
              <w:jc w:val="center"/>
              <w:rPr>
                <w:sz w:val="22"/>
                <w:szCs w:val="22"/>
              </w:rPr>
            </w:pPr>
            <w:r>
              <w:rPr>
                <w:rFonts w:hint="eastAsia"/>
                <w:sz w:val="22"/>
                <w:szCs w:val="22"/>
              </w:rPr>
              <w:t>施工废水</w:t>
            </w:r>
          </w:p>
        </w:tc>
        <w:tc>
          <w:tcPr>
            <w:tcW w:w="1142" w:type="dxa"/>
            <w:vAlign w:val="center"/>
          </w:tcPr>
          <w:p w14:paraId="7CE765B8">
            <w:pPr>
              <w:snapToGrid w:val="0"/>
              <w:jc w:val="center"/>
              <w:rPr>
                <w:sz w:val="22"/>
                <w:szCs w:val="22"/>
              </w:rPr>
            </w:pPr>
            <w:r>
              <w:rPr>
                <w:sz w:val="22"/>
                <w:szCs w:val="22"/>
              </w:rPr>
              <w:t>6m</w:t>
            </w:r>
            <w:r>
              <w:rPr>
                <w:sz w:val="22"/>
                <w:szCs w:val="22"/>
                <w:vertAlign w:val="superscript"/>
              </w:rPr>
              <w:t>3</w:t>
            </w:r>
          </w:p>
        </w:tc>
        <w:tc>
          <w:tcPr>
            <w:tcW w:w="1000" w:type="dxa"/>
            <w:vAlign w:val="center"/>
          </w:tcPr>
          <w:p w14:paraId="5436423F">
            <w:pPr>
              <w:snapToGrid w:val="0"/>
              <w:jc w:val="center"/>
              <w:rPr>
                <w:sz w:val="22"/>
                <w:szCs w:val="22"/>
              </w:rPr>
            </w:pPr>
            <w:r>
              <w:rPr>
                <w:rFonts w:hint="eastAsia"/>
                <w:sz w:val="22"/>
                <w:szCs w:val="22"/>
              </w:rPr>
              <w:t>间断</w:t>
            </w:r>
          </w:p>
        </w:tc>
        <w:tc>
          <w:tcPr>
            <w:tcW w:w="1856" w:type="dxa"/>
            <w:vAlign w:val="center"/>
          </w:tcPr>
          <w:p w14:paraId="2F09C8CB">
            <w:pPr>
              <w:snapToGrid w:val="0"/>
              <w:jc w:val="center"/>
              <w:rPr>
                <w:sz w:val="22"/>
                <w:szCs w:val="22"/>
              </w:rPr>
            </w:pPr>
            <w:r>
              <w:rPr>
                <w:rFonts w:hint="eastAsia"/>
                <w:sz w:val="22"/>
                <w:szCs w:val="22"/>
              </w:rPr>
              <w:t>S</w:t>
            </w:r>
            <w:r>
              <w:rPr>
                <w:sz w:val="22"/>
                <w:szCs w:val="22"/>
              </w:rPr>
              <w:t>S</w:t>
            </w:r>
            <w:r>
              <w:rPr>
                <w:rFonts w:hint="eastAsia"/>
                <w:sz w:val="22"/>
                <w:szCs w:val="22"/>
              </w:rPr>
              <w:t>：2</w:t>
            </w:r>
            <w:r>
              <w:rPr>
                <w:sz w:val="22"/>
                <w:szCs w:val="22"/>
              </w:rPr>
              <w:t>000mg/L</w:t>
            </w:r>
            <w:r>
              <w:rPr>
                <w:rFonts w:hint="eastAsia"/>
                <w:sz w:val="22"/>
                <w:szCs w:val="22"/>
              </w:rPr>
              <w:t>；</w:t>
            </w:r>
          </w:p>
        </w:tc>
        <w:tc>
          <w:tcPr>
            <w:tcW w:w="1935" w:type="dxa"/>
            <w:vAlign w:val="center"/>
          </w:tcPr>
          <w:p w14:paraId="2568D4DC">
            <w:pPr>
              <w:snapToGrid w:val="0"/>
              <w:jc w:val="center"/>
              <w:rPr>
                <w:sz w:val="22"/>
                <w:szCs w:val="22"/>
              </w:rPr>
            </w:pPr>
            <w:r>
              <w:rPr>
                <w:rFonts w:hint="eastAsia"/>
                <w:sz w:val="22"/>
                <w:szCs w:val="22"/>
              </w:rPr>
              <w:t>经沉淀后，用于场地洒水抑尘</w:t>
            </w:r>
          </w:p>
        </w:tc>
      </w:tr>
      <w:tr w14:paraId="1111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2" w:type="dxa"/>
            <w:vMerge w:val="continue"/>
            <w:vAlign w:val="center"/>
          </w:tcPr>
          <w:p w14:paraId="36C455BB">
            <w:pPr>
              <w:snapToGrid w:val="0"/>
              <w:jc w:val="center"/>
              <w:rPr>
                <w:sz w:val="22"/>
                <w:szCs w:val="22"/>
              </w:rPr>
            </w:pPr>
          </w:p>
        </w:tc>
        <w:tc>
          <w:tcPr>
            <w:tcW w:w="842" w:type="dxa"/>
            <w:vMerge w:val="continue"/>
            <w:vAlign w:val="center"/>
          </w:tcPr>
          <w:p w14:paraId="2519AC9E">
            <w:pPr>
              <w:snapToGrid w:val="0"/>
              <w:jc w:val="center"/>
              <w:rPr>
                <w:sz w:val="22"/>
                <w:szCs w:val="22"/>
              </w:rPr>
            </w:pPr>
          </w:p>
        </w:tc>
        <w:tc>
          <w:tcPr>
            <w:tcW w:w="1429" w:type="dxa"/>
            <w:vAlign w:val="center"/>
          </w:tcPr>
          <w:p w14:paraId="65000063">
            <w:pPr>
              <w:snapToGrid w:val="0"/>
              <w:jc w:val="center"/>
              <w:rPr>
                <w:sz w:val="22"/>
                <w:szCs w:val="22"/>
              </w:rPr>
            </w:pPr>
            <w:r>
              <w:rPr>
                <w:rFonts w:hint="eastAsia"/>
                <w:sz w:val="22"/>
                <w:szCs w:val="22"/>
              </w:rPr>
              <w:t>生活污水</w:t>
            </w:r>
          </w:p>
        </w:tc>
        <w:tc>
          <w:tcPr>
            <w:tcW w:w="1142" w:type="dxa"/>
            <w:vAlign w:val="center"/>
          </w:tcPr>
          <w:p w14:paraId="4C1BD1BF">
            <w:pPr>
              <w:snapToGrid w:val="0"/>
              <w:jc w:val="center"/>
              <w:rPr>
                <w:sz w:val="22"/>
                <w:szCs w:val="22"/>
              </w:rPr>
            </w:pPr>
            <w:r>
              <w:rPr>
                <w:sz w:val="22"/>
                <w:szCs w:val="22"/>
              </w:rPr>
              <w:t>1.8</w:t>
            </w:r>
            <w:r>
              <w:rPr>
                <w:rFonts w:hint="eastAsia"/>
                <w:sz w:val="22"/>
                <w:szCs w:val="22"/>
              </w:rPr>
              <w:t>m</w:t>
            </w:r>
            <w:r>
              <w:rPr>
                <w:sz w:val="22"/>
                <w:szCs w:val="22"/>
                <w:vertAlign w:val="superscript"/>
              </w:rPr>
              <w:t>3</w:t>
            </w:r>
            <w:r>
              <w:rPr>
                <w:sz w:val="22"/>
                <w:szCs w:val="22"/>
              </w:rPr>
              <w:t>/d</w:t>
            </w:r>
          </w:p>
        </w:tc>
        <w:tc>
          <w:tcPr>
            <w:tcW w:w="1000" w:type="dxa"/>
            <w:vAlign w:val="center"/>
          </w:tcPr>
          <w:p w14:paraId="624A68EC">
            <w:pPr>
              <w:snapToGrid w:val="0"/>
              <w:jc w:val="center"/>
              <w:rPr>
                <w:sz w:val="22"/>
                <w:szCs w:val="22"/>
              </w:rPr>
            </w:pPr>
            <w:r>
              <w:rPr>
                <w:rFonts w:hint="eastAsia"/>
                <w:sz w:val="22"/>
                <w:szCs w:val="22"/>
              </w:rPr>
              <w:t>间断</w:t>
            </w:r>
          </w:p>
        </w:tc>
        <w:tc>
          <w:tcPr>
            <w:tcW w:w="1856" w:type="dxa"/>
            <w:vAlign w:val="center"/>
          </w:tcPr>
          <w:p w14:paraId="5BA80C16">
            <w:pPr>
              <w:snapToGrid w:val="0"/>
              <w:jc w:val="center"/>
              <w:rPr>
                <w:sz w:val="22"/>
                <w:szCs w:val="22"/>
              </w:rPr>
            </w:pPr>
            <w:r>
              <w:rPr>
                <w:sz w:val="22"/>
                <w:szCs w:val="22"/>
              </w:rPr>
              <w:t>COD：</w:t>
            </w:r>
            <w:r>
              <w:rPr>
                <w:rFonts w:hint="eastAsia"/>
                <w:sz w:val="22"/>
                <w:szCs w:val="22"/>
              </w:rPr>
              <w:t>3</w:t>
            </w:r>
            <w:r>
              <w:rPr>
                <w:sz w:val="22"/>
                <w:szCs w:val="22"/>
              </w:rPr>
              <w:t>0</w:t>
            </w:r>
            <w:r>
              <w:rPr>
                <w:rFonts w:hint="eastAsia"/>
                <w:sz w:val="22"/>
                <w:szCs w:val="22"/>
              </w:rPr>
              <w:t>0mg</w:t>
            </w:r>
            <w:r>
              <w:rPr>
                <w:sz w:val="22"/>
                <w:szCs w:val="22"/>
              </w:rPr>
              <w:t>/L；</w:t>
            </w:r>
          </w:p>
          <w:p w14:paraId="58E4867A">
            <w:pPr>
              <w:snapToGrid w:val="0"/>
              <w:jc w:val="center"/>
              <w:rPr>
                <w:sz w:val="22"/>
                <w:szCs w:val="22"/>
              </w:rPr>
            </w:pPr>
            <w:r>
              <w:rPr>
                <w:sz w:val="22"/>
                <w:szCs w:val="22"/>
              </w:rPr>
              <w:t>NH</w:t>
            </w:r>
            <w:r>
              <w:rPr>
                <w:sz w:val="22"/>
                <w:szCs w:val="22"/>
                <w:vertAlign w:val="subscript"/>
              </w:rPr>
              <w:t>3</w:t>
            </w:r>
            <w:r>
              <w:rPr>
                <w:sz w:val="22"/>
                <w:szCs w:val="22"/>
              </w:rPr>
              <w:t>-N：</w:t>
            </w:r>
            <w:r>
              <w:rPr>
                <w:rFonts w:hint="eastAsia"/>
                <w:sz w:val="22"/>
                <w:szCs w:val="22"/>
              </w:rPr>
              <w:t>30mg</w:t>
            </w:r>
            <w:r>
              <w:rPr>
                <w:sz w:val="22"/>
                <w:szCs w:val="22"/>
              </w:rPr>
              <w:t>/L</w:t>
            </w:r>
          </w:p>
        </w:tc>
        <w:tc>
          <w:tcPr>
            <w:tcW w:w="1935" w:type="dxa"/>
            <w:vAlign w:val="center"/>
          </w:tcPr>
          <w:p w14:paraId="5207D208">
            <w:pPr>
              <w:snapToGrid w:val="0"/>
              <w:jc w:val="center"/>
              <w:rPr>
                <w:sz w:val="22"/>
                <w:szCs w:val="22"/>
              </w:rPr>
            </w:pPr>
            <w:r>
              <w:rPr>
                <w:rFonts w:hint="eastAsia"/>
                <w:sz w:val="22"/>
                <w:szCs w:val="22"/>
              </w:rPr>
              <w:t>依托井场周边居民厕所以及所住旅馆厕所处置</w:t>
            </w:r>
          </w:p>
        </w:tc>
      </w:tr>
      <w:tr w14:paraId="14F3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2" w:type="dxa"/>
            <w:vMerge w:val="continue"/>
            <w:vAlign w:val="center"/>
          </w:tcPr>
          <w:p w14:paraId="631C9954">
            <w:pPr>
              <w:snapToGrid w:val="0"/>
              <w:jc w:val="center"/>
              <w:rPr>
                <w:sz w:val="22"/>
                <w:szCs w:val="22"/>
              </w:rPr>
            </w:pPr>
          </w:p>
        </w:tc>
        <w:tc>
          <w:tcPr>
            <w:tcW w:w="842" w:type="dxa"/>
            <w:vMerge w:val="restart"/>
            <w:vAlign w:val="center"/>
          </w:tcPr>
          <w:p w14:paraId="5B332978">
            <w:pPr>
              <w:snapToGrid w:val="0"/>
              <w:jc w:val="center"/>
              <w:rPr>
                <w:sz w:val="22"/>
                <w:szCs w:val="22"/>
              </w:rPr>
            </w:pPr>
            <w:r>
              <w:rPr>
                <w:rFonts w:hint="eastAsia"/>
                <w:sz w:val="22"/>
                <w:szCs w:val="22"/>
              </w:rPr>
              <w:t>废气</w:t>
            </w:r>
          </w:p>
        </w:tc>
        <w:tc>
          <w:tcPr>
            <w:tcW w:w="1429" w:type="dxa"/>
            <w:vAlign w:val="center"/>
          </w:tcPr>
          <w:p w14:paraId="54CAC765">
            <w:pPr>
              <w:snapToGrid w:val="0"/>
              <w:jc w:val="center"/>
              <w:rPr>
                <w:sz w:val="22"/>
                <w:szCs w:val="22"/>
              </w:rPr>
            </w:pPr>
            <w:r>
              <w:rPr>
                <w:sz w:val="22"/>
                <w:szCs w:val="22"/>
              </w:rPr>
              <w:t>施工扬尘</w:t>
            </w:r>
          </w:p>
        </w:tc>
        <w:tc>
          <w:tcPr>
            <w:tcW w:w="1142" w:type="dxa"/>
            <w:vAlign w:val="center"/>
          </w:tcPr>
          <w:p w14:paraId="02504FA0">
            <w:pPr>
              <w:snapToGrid w:val="0"/>
              <w:jc w:val="center"/>
              <w:rPr>
                <w:sz w:val="22"/>
                <w:szCs w:val="22"/>
              </w:rPr>
            </w:pPr>
            <w:r>
              <w:rPr>
                <w:sz w:val="22"/>
                <w:szCs w:val="22"/>
              </w:rPr>
              <w:t>少量</w:t>
            </w:r>
          </w:p>
        </w:tc>
        <w:tc>
          <w:tcPr>
            <w:tcW w:w="1000" w:type="dxa"/>
            <w:vAlign w:val="center"/>
          </w:tcPr>
          <w:p w14:paraId="5E0B701C">
            <w:pPr>
              <w:snapToGrid w:val="0"/>
              <w:jc w:val="center"/>
              <w:rPr>
                <w:sz w:val="22"/>
                <w:szCs w:val="22"/>
              </w:rPr>
            </w:pPr>
            <w:r>
              <w:rPr>
                <w:sz w:val="22"/>
                <w:szCs w:val="22"/>
              </w:rPr>
              <w:t>间断</w:t>
            </w:r>
          </w:p>
        </w:tc>
        <w:tc>
          <w:tcPr>
            <w:tcW w:w="1856" w:type="dxa"/>
            <w:vAlign w:val="center"/>
          </w:tcPr>
          <w:p w14:paraId="77D8CAD9">
            <w:pPr>
              <w:snapToGrid w:val="0"/>
              <w:jc w:val="center"/>
              <w:rPr>
                <w:sz w:val="22"/>
                <w:szCs w:val="22"/>
              </w:rPr>
            </w:pPr>
            <w:r>
              <w:rPr>
                <w:sz w:val="22"/>
                <w:szCs w:val="22"/>
              </w:rPr>
              <w:t>粉尘</w:t>
            </w:r>
          </w:p>
        </w:tc>
        <w:tc>
          <w:tcPr>
            <w:tcW w:w="1935" w:type="dxa"/>
            <w:vAlign w:val="center"/>
          </w:tcPr>
          <w:p w14:paraId="52EACE28">
            <w:pPr>
              <w:snapToGrid w:val="0"/>
              <w:jc w:val="center"/>
              <w:rPr>
                <w:sz w:val="22"/>
                <w:szCs w:val="22"/>
              </w:rPr>
            </w:pPr>
            <w:r>
              <w:rPr>
                <w:sz w:val="22"/>
                <w:szCs w:val="22"/>
              </w:rPr>
              <w:t>环境</w:t>
            </w:r>
          </w:p>
        </w:tc>
      </w:tr>
      <w:tr w14:paraId="73C3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2" w:type="dxa"/>
            <w:vMerge w:val="continue"/>
            <w:vAlign w:val="center"/>
          </w:tcPr>
          <w:p w14:paraId="663E241C">
            <w:pPr>
              <w:snapToGrid w:val="0"/>
              <w:jc w:val="center"/>
              <w:rPr>
                <w:sz w:val="22"/>
                <w:szCs w:val="22"/>
              </w:rPr>
            </w:pPr>
          </w:p>
        </w:tc>
        <w:tc>
          <w:tcPr>
            <w:tcW w:w="842" w:type="dxa"/>
            <w:vMerge w:val="continue"/>
            <w:vAlign w:val="center"/>
          </w:tcPr>
          <w:p w14:paraId="78FC2D58">
            <w:pPr>
              <w:snapToGrid w:val="0"/>
              <w:jc w:val="center"/>
              <w:rPr>
                <w:sz w:val="22"/>
                <w:szCs w:val="22"/>
              </w:rPr>
            </w:pPr>
          </w:p>
        </w:tc>
        <w:tc>
          <w:tcPr>
            <w:tcW w:w="1429" w:type="dxa"/>
            <w:vAlign w:val="center"/>
          </w:tcPr>
          <w:p w14:paraId="7D648DBD">
            <w:pPr>
              <w:snapToGrid w:val="0"/>
              <w:jc w:val="center"/>
              <w:rPr>
                <w:sz w:val="22"/>
                <w:szCs w:val="22"/>
              </w:rPr>
            </w:pPr>
            <w:r>
              <w:rPr>
                <w:rFonts w:hint="eastAsia"/>
                <w:sz w:val="22"/>
                <w:szCs w:val="22"/>
              </w:rPr>
              <w:t>焊接废气</w:t>
            </w:r>
          </w:p>
        </w:tc>
        <w:tc>
          <w:tcPr>
            <w:tcW w:w="1142" w:type="dxa"/>
            <w:vAlign w:val="center"/>
          </w:tcPr>
          <w:p w14:paraId="159E86C5">
            <w:pPr>
              <w:snapToGrid w:val="0"/>
              <w:jc w:val="center"/>
              <w:rPr>
                <w:sz w:val="22"/>
                <w:szCs w:val="22"/>
              </w:rPr>
            </w:pPr>
            <w:r>
              <w:rPr>
                <w:rFonts w:hint="eastAsia"/>
                <w:sz w:val="22"/>
                <w:szCs w:val="22"/>
              </w:rPr>
              <w:t>少量</w:t>
            </w:r>
          </w:p>
        </w:tc>
        <w:tc>
          <w:tcPr>
            <w:tcW w:w="1000" w:type="dxa"/>
            <w:vAlign w:val="center"/>
          </w:tcPr>
          <w:p w14:paraId="7DA4F7D3">
            <w:pPr>
              <w:snapToGrid w:val="0"/>
              <w:jc w:val="center"/>
              <w:rPr>
                <w:sz w:val="22"/>
                <w:szCs w:val="22"/>
              </w:rPr>
            </w:pPr>
            <w:r>
              <w:rPr>
                <w:rFonts w:hint="eastAsia"/>
                <w:sz w:val="22"/>
                <w:szCs w:val="22"/>
              </w:rPr>
              <w:t>间断</w:t>
            </w:r>
          </w:p>
        </w:tc>
        <w:tc>
          <w:tcPr>
            <w:tcW w:w="1856" w:type="dxa"/>
            <w:vAlign w:val="center"/>
          </w:tcPr>
          <w:p w14:paraId="3CC445B3">
            <w:pPr>
              <w:snapToGrid w:val="0"/>
              <w:jc w:val="center"/>
              <w:rPr>
                <w:sz w:val="22"/>
                <w:szCs w:val="22"/>
              </w:rPr>
            </w:pPr>
            <w:r>
              <w:rPr>
                <w:rFonts w:hint="eastAsia"/>
                <w:sz w:val="22"/>
                <w:szCs w:val="22"/>
              </w:rPr>
              <w:t>焊接烟尘</w:t>
            </w:r>
          </w:p>
        </w:tc>
        <w:tc>
          <w:tcPr>
            <w:tcW w:w="1935" w:type="dxa"/>
            <w:vAlign w:val="center"/>
          </w:tcPr>
          <w:p w14:paraId="50B2BB2B">
            <w:pPr>
              <w:snapToGrid w:val="0"/>
              <w:jc w:val="center"/>
              <w:rPr>
                <w:sz w:val="22"/>
                <w:szCs w:val="22"/>
              </w:rPr>
            </w:pPr>
            <w:r>
              <w:rPr>
                <w:rFonts w:hint="eastAsia"/>
                <w:sz w:val="22"/>
                <w:szCs w:val="22"/>
              </w:rPr>
              <w:t>环境</w:t>
            </w:r>
          </w:p>
        </w:tc>
      </w:tr>
      <w:tr w14:paraId="285C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2" w:type="dxa"/>
            <w:vMerge w:val="continue"/>
            <w:vAlign w:val="center"/>
          </w:tcPr>
          <w:p w14:paraId="2513A21E">
            <w:pPr>
              <w:snapToGrid w:val="0"/>
              <w:jc w:val="center"/>
              <w:rPr>
                <w:sz w:val="22"/>
                <w:szCs w:val="22"/>
              </w:rPr>
            </w:pPr>
          </w:p>
        </w:tc>
        <w:tc>
          <w:tcPr>
            <w:tcW w:w="842" w:type="dxa"/>
            <w:vMerge w:val="continue"/>
            <w:vAlign w:val="center"/>
          </w:tcPr>
          <w:p w14:paraId="7D3F19B5">
            <w:pPr>
              <w:snapToGrid w:val="0"/>
              <w:jc w:val="center"/>
              <w:rPr>
                <w:sz w:val="22"/>
                <w:szCs w:val="22"/>
              </w:rPr>
            </w:pPr>
          </w:p>
        </w:tc>
        <w:tc>
          <w:tcPr>
            <w:tcW w:w="1429" w:type="dxa"/>
            <w:vAlign w:val="center"/>
          </w:tcPr>
          <w:p w14:paraId="78CA3986">
            <w:pPr>
              <w:snapToGrid w:val="0"/>
              <w:jc w:val="center"/>
              <w:rPr>
                <w:sz w:val="22"/>
                <w:szCs w:val="22"/>
              </w:rPr>
            </w:pPr>
            <w:r>
              <w:rPr>
                <w:sz w:val="22"/>
                <w:szCs w:val="22"/>
              </w:rPr>
              <w:t>机械尾气</w:t>
            </w:r>
          </w:p>
        </w:tc>
        <w:tc>
          <w:tcPr>
            <w:tcW w:w="1142" w:type="dxa"/>
            <w:vAlign w:val="center"/>
          </w:tcPr>
          <w:p w14:paraId="010DC4CB">
            <w:pPr>
              <w:snapToGrid w:val="0"/>
              <w:jc w:val="center"/>
              <w:rPr>
                <w:sz w:val="22"/>
                <w:szCs w:val="22"/>
              </w:rPr>
            </w:pPr>
            <w:r>
              <w:rPr>
                <w:sz w:val="22"/>
                <w:szCs w:val="22"/>
              </w:rPr>
              <w:t>少量</w:t>
            </w:r>
          </w:p>
        </w:tc>
        <w:tc>
          <w:tcPr>
            <w:tcW w:w="1000" w:type="dxa"/>
            <w:vAlign w:val="center"/>
          </w:tcPr>
          <w:p w14:paraId="08433DA5">
            <w:pPr>
              <w:snapToGrid w:val="0"/>
              <w:jc w:val="center"/>
              <w:rPr>
                <w:sz w:val="22"/>
                <w:szCs w:val="22"/>
              </w:rPr>
            </w:pPr>
            <w:r>
              <w:rPr>
                <w:sz w:val="22"/>
                <w:szCs w:val="22"/>
              </w:rPr>
              <w:t>间断</w:t>
            </w:r>
          </w:p>
        </w:tc>
        <w:tc>
          <w:tcPr>
            <w:tcW w:w="1856" w:type="dxa"/>
            <w:vAlign w:val="center"/>
          </w:tcPr>
          <w:p w14:paraId="16A0A8A1">
            <w:pPr>
              <w:snapToGrid w:val="0"/>
              <w:jc w:val="center"/>
              <w:rPr>
                <w:sz w:val="22"/>
                <w:szCs w:val="22"/>
              </w:rPr>
            </w:pPr>
            <w:r>
              <w:rPr>
                <w:sz w:val="22"/>
                <w:szCs w:val="22"/>
              </w:rPr>
              <w:t>C</w:t>
            </w:r>
            <w:r>
              <w:rPr>
                <w:sz w:val="22"/>
                <w:szCs w:val="22"/>
                <w:vertAlign w:val="subscript"/>
              </w:rPr>
              <w:t>m</w:t>
            </w:r>
            <w:r>
              <w:rPr>
                <w:sz w:val="22"/>
                <w:szCs w:val="22"/>
              </w:rPr>
              <w:t>H</w:t>
            </w:r>
            <w:r>
              <w:rPr>
                <w:sz w:val="22"/>
                <w:szCs w:val="22"/>
                <w:vertAlign w:val="subscript"/>
              </w:rPr>
              <w:t>n</w:t>
            </w:r>
            <w:r>
              <w:rPr>
                <w:sz w:val="22"/>
                <w:szCs w:val="22"/>
              </w:rPr>
              <w:t>、CO、NO</w:t>
            </w:r>
            <w:r>
              <w:rPr>
                <w:sz w:val="22"/>
                <w:szCs w:val="22"/>
                <w:vertAlign w:val="subscript"/>
              </w:rPr>
              <w:t>x</w:t>
            </w:r>
          </w:p>
        </w:tc>
        <w:tc>
          <w:tcPr>
            <w:tcW w:w="1935" w:type="dxa"/>
            <w:vAlign w:val="center"/>
          </w:tcPr>
          <w:p w14:paraId="2C71E49F">
            <w:pPr>
              <w:snapToGrid w:val="0"/>
              <w:jc w:val="center"/>
              <w:rPr>
                <w:sz w:val="22"/>
                <w:szCs w:val="22"/>
              </w:rPr>
            </w:pPr>
            <w:r>
              <w:rPr>
                <w:sz w:val="22"/>
                <w:szCs w:val="22"/>
              </w:rPr>
              <w:t>环境</w:t>
            </w:r>
          </w:p>
        </w:tc>
      </w:tr>
      <w:tr w14:paraId="7D7E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2" w:type="dxa"/>
            <w:vMerge w:val="continue"/>
            <w:vAlign w:val="center"/>
          </w:tcPr>
          <w:p w14:paraId="7BAD632D">
            <w:pPr>
              <w:snapToGrid w:val="0"/>
              <w:jc w:val="center"/>
              <w:rPr>
                <w:sz w:val="22"/>
                <w:szCs w:val="22"/>
              </w:rPr>
            </w:pPr>
          </w:p>
        </w:tc>
        <w:tc>
          <w:tcPr>
            <w:tcW w:w="842" w:type="dxa"/>
            <w:vAlign w:val="center"/>
          </w:tcPr>
          <w:p w14:paraId="45C2AED8">
            <w:pPr>
              <w:snapToGrid w:val="0"/>
              <w:jc w:val="center"/>
              <w:rPr>
                <w:sz w:val="22"/>
                <w:szCs w:val="22"/>
              </w:rPr>
            </w:pPr>
            <w:r>
              <w:rPr>
                <w:rFonts w:hint="eastAsia"/>
                <w:sz w:val="22"/>
                <w:szCs w:val="22"/>
              </w:rPr>
              <w:t>噪声</w:t>
            </w:r>
          </w:p>
        </w:tc>
        <w:tc>
          <w:tcPr>
            <w:tcW w:w="1429" w:type="dxa"/>
            <w:vAlign w:val="center"/>
          </w:tcPr>
          <w:p w14:paraId="58BA6F81">
            <w:pPr>
              <w:snapToGrid w:val="0"/>
              <w:jc w:val="center"/>
              <w:rPr>
                <w:sz w:val="22"/>
                <w:szCs w:val="22"/>
              </w:rPr>
            </w:pPr>
            <w:r>
              <w:rPr>
                <w:sz w:val="22"/>
                <w:szCs w:val="22"/>
              </w:rPr>
              <w:t>施工机械、运输车辆等噪声</w:t>
            </w:r>
          </w:p>
        </w:tc>
        <w:tc>
          <w:tcPr>
            <w:tcW w:w="1142" w:type="dxa"/>
            <w:vAlign w:val="center"/>
          </w:tcPr>
          <w:p w14:paraId="03549C4E">
            <w:pPr>
              <w:snapToGrid w:val="0"/>
              <w:jc w:val="center"/>
              <w:rPr>
                <w:sz w:val="22"/>
                <w:szCs w:val="22"/>
              </w:rPr>
            </w:pPr>
            <w:r>
              <w:rPr>
                <w:sz w:val="22"/>
                <w:szCs w:val="22"/>
              </w:rPr>
              <w:t>84</w:t>
            </w:r>
            <w:r>
              <w:rPr>
                <w:rFonts w:hint="eastAsia"/>
                <w:sz w:val="22"/>
                <w:szCs w:val="22"/>
              </w:rPr>
              <w:t>~</w:t>
            </w:r>
            <w:r>
              <w:rPr>
                <w:sz w:val="22"/>
                <w:szCs w:val="22"/>
              </w:rPr>
              <w:t>93dB</w:t>
            </w:r>
          </w:p>
        </w:tc>
        <w:tc>
          <w:tcPr>
            <w:tcW w:w="1000" w:type="dxa"/>
            <w:vAlign w:val="center"/>
          </w:tcPr>
          <w:p w14:paraId="5FFD1A26">
            <w:pPr>
              <w:snapToGrid w:val="0"/>
              <w:jc w:val="center"/>
              <w:rPr>
                <w:sz w:val="22"/>
                <w:szCs w:val="22"/>
              </w:rPr>
            </w:pPr>
            <w:r>
              <w:rPr>
                <w:sz w:val="22"/>
                <w:szCs w:val="22"/>
              </w:rPr>
              <w:t>间断</w:t>
            </w:r>
          </w:p>
        </w:tc>
        <w:tc>
          <w:tcPr>
            <w:tcW w:w="1856" w:type="dxa"/>
            <w:vAlign w:val="center"/>
          </w:tcPr>
          <w:p w14:paraId="0BE11E65">
            <w:pPr>
              <w:snapToGrid w:val="0"/>
              <w:jc w:val="center"/>
              <w:rPr>
                <w:sz w:val="22"/>
                <w:szCs w:val="22"/>
              </w:rPr>
            </w:pPr>
            <w:r>
              <w:rPr>
                <w:sz w:val="22"/>
                <w:szCs w:val="22"/>
              </w:rPr>
              <w:t>噪声</w:t>
            </w:r>
          </w:p>
        </w:tc>
        <w:tc>
          <w:tcPr>
            <w:tcW w:w="1935" w:type="dxa"/>
            <w:vAlign w:val="center"/>
          </w:tcPr>
          <w:p w14:paraId="5657B31A">
            <w:pPr>
              <w:snapToGrid w:val="0"/>
              <w:jc w:val="center"/>
              <w:rPr>
                <w:sz w:val="22"/>
                <w:szCs w:val="22"/>
              </w:rPr>
            </w:pPr>
            <w:r>
              <w:rPr>
                <w:sz w:val="22"/>
                <w:szCs w:val="22"/>
              </w:rPr>
              <w:t>环境</w:t>
            </w:r>
          </w:p>
        </w:tc>
      </w:tr>
      <w:tr w14:paraId="37C6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2" w:type="dxa"/>
            <w:vMerge w:val="continue"/>
            <w:vAlign w:val="center"/>
          </w:tcPr>
          <w:p w14:paraId="026FFCDF">
            <w:pPr>
              <w:snapToGrid w:val="0"/>
              <w:jc w:val="center"/>
              <w:rPr>
                <w:sz w:val="22"/>
                <w:szCs w:val="22"/>
              </w:rPr>
            </w:pPr>
          </w:p>
        </w:tc>
        <w:tc>
          <w:tcPr>
            <w:tcW w:w="842" w:type="dxa"/>
            <w:vMerge w:val="restart"/>
            <w:vAlign w:val="center"/>
          </w:tcPr>
          <w:p w14:paraId="1D4497E8">
            <w:pPr>
              <w:snapToGrid w:val="0"/>
              <w:jc w:val="center"/>
              <w:rPr>
                <w:sz w:val="22"/>
                <w:szCs w:val="22"/>
              </w:rPr>
            </w:pPr>
            <w:r>
              <w:rPr>
                <w:rFonts w:hint="eastAsia"/>
                <w:sz w:val="22"/>
                <w:szCs w:val="22"/>
              </w:rPr>
              <w:t>固废</w:t>
            </w:r>
          </w:p>
        </w:tc>
        <w:tc>
          <w:tcPr>
            <w:tcW w:w="1429" w:type="dxa"/>
            <w:vAlign w:val="center"/>
          </w:tcPr>
          <w:p w14:paraId="6B846F28">
            <w:pPr>
              <w:snapToGrid w:val="0"/>
              <w:jc w:val="center"/>
              <w:rPr>
                <w:sz w:val="22"/>
                <w:szCs w:val="22"/>
              </w:rPr>
            </w:pPr>
            <w:r>
              <w:rPr>
                <w:rFonts w:hint="eastAsia"/>
                <w:sz w:val="22"/>
                <w:szCs w:val="22"/>
              </w:rPr>
              <w:t>生活垃圾</w:t>
            </w:r>
          </w:p>
        </w:tc>
        <w:tc>
          <w:tcPr>
            <w:tcW w:w="1142" w:type="dxa"/>
            <w:vAlign w:val="center"/>
          </w:tcPr>
          <w:p w14:paraId="52A93423">
            <w:pPr>
              <w:snapToGrid w:val="0"/>
              <w:jc w:val="center"/>
              <w:rPr>
                <w:sz w:val="22"/>
                <w:szCs w:val="22"/>
              </w:rPr>
            </w:pPr>
            <w:r>
              <w:rPr>
                <w:sz w:val="22"/>
                <w:szCs w:val="22"/>
              </w:rPr>
              <w:t>10</w:t>
            </w:r>
            <w:r>
              <w:rPr>
                <w:rFonts w:hint="eastAsia"/>
                <w:sz w:val="22"/>
                <w:szCs w:val="22"/>
              </w:rPr>
              <w:t>kg</w:t>
            </w:r>
            <w:r>
              <w:rPr>
                <w:sz w:val="22"/>
                <w:szCs w:val="22"/>
              </w:rPr>
              <w:t>/d</w:t>
            </w:r>
          </w:p>
        </w:tc>
        <w:tc>
          <w:tcPr>
            <w:tcW w:w="1000" w:type="dxa"/>
            <w:vAlign w:val="center"/>
          </w:tcPr>
          <w:p w14:paraId="4041FE0E">
            <w:pPr>
              <w:snapToGrid w:val="0"/>
              <w:jc w:val="center"/>
              <w:rPr>
                <w:sz w:val="22"/>
                <w:szCs w:val="22"/>
              </w:rPr>
            </w:pPr>
            <w:r>
              <w:rPr>
                <w:sz w:val="22"/>
                <w:szCs w:val="22"/>
              </w:rPr>
              <w:t>间断</w:t>
            </w:r>
          </w:p>
        </w:tc>
        <w:tc>
          <w:tcPr>
            <w:tcW w:w="1856" w:type="dxa"/>
            <w:vAlign w:val="center"/>
          </w:tcPr>
          <w:p w14:paraId="3EBC22AC">
            <w:pPr>
              <w:snapToGrid w:val="0"/>
              <w:jc w:val="center"/>
              <w:rPr>
                <w:sz w:val="22"/>
                <w:szCs w:val="22"/>
              </w:rPr>
            </w:pPr>
            <w:r>
              <w:rPr>
                <w:rFonts w:hint="eastAsia"/>
                <w:sz w:val="22"/>
                <w:szCs w:val="22"/>
              </w:rPr>
              <w:t>/</w:t>
            </w:r>
          </w:p>
        </w:tc>
        <w:tc>
          <w:tcPr>
            <w:tcW w:w="1935" w:type="dxa"/>
            <w:vAlign w:val="center"/>
          </w:tcPr>
          <w:p w14:paraId="528AF42E">
            <w:pPr>
              <w:snapToGrid w:val="0"/>
              <w:jc w:val="center"/>
              <w:rPr>
                <w:sz w:val="22"/>
                <w:szCs w:val="22"/>
              </w:rPr>
            </w:pPr>
            <w:r>
              <w:rPr>
                <w:sz w:val="22"/>
                <w:szCs w:val="22"/>
              </w:rPr>
              <w:t>交环卫部门处理</w:t>
            </w:r>
          </w:p>
        </w:tc>
      </w:tr>
      <w:tr w14:paraId="7F0B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2" w:type="dxa"/>
            <w:vMerge w:val="continue"/>
            <w:vAlign w:val="center"/>
          </w:tcPr>
          <w:p w14:paraId="50217402">
            <w:pPr>
              <w:snapToGrid w:val="0"/>
              <w:jc w:val="center"/>
              <w:rPr>
                <w:sz w:val="22"/>
                <w:szCs w:val="22"/>
              </w:rPr>
            </w:pPr>
          </w:p>
        </w:tc>
        <w:tc>
          <w:tcPr>
            <w:tcW w:w="842" w:type="dxa"/>
            <w:vMerge w:val="continue"/>
            <w:vAlign w:val="center"/>
          </w:tcPr>
          <w:p w14:paraId="2E6C4699">
            <w:pPr>
              <w:snapToGrid w:val="0"/>
              <w:jc w:val="center"/>
              <w:rPr>
                <w:sz w:val="22"/>
                <w:szCs w:val="22"/>
              </w:rPr>
            </w:pPr>
          </w:p>
        </w:tc>
        <w:tc>
          <w:tcPr>
            <w:tcW w:w="1429" w:type="dxa"/>
            <w:vAlign w:val="center"/>
          </w:tcPr>
          <w:p w14:paraId="0ADD1535">
            <w:pPr>
              <w:snapToGrid w:val="0"/>
              <w:jc w:val="center"/>
              <w:rPr>
                <w:sz w:val="22"/>
                <w:szCs w:val="22"/>
              </w:rPr>
            </w:pPr>
            <w:r>
              <w:rPr>
                <w:rFonts w:hint="eastAsia"/>
                <w:sz w:val="22"/>
                <w:szCs w:val="22"/>
              </w:rPr>
              <w:t>施工废料</w:t>
            </w:r>
          </w:p>
        </w:tc>
        <w:tc>
          <w:tcPr>
            <w:tcW w:w="1142" w:type="dxa"/>
            <w:vAlign w:val="center"/>
          </w:tcPr>
          <w:p w14:paraId="5E833984">
            <w:pPr>
              <w:snapToGrid w:val="0"/>
              <w:jc w:val="center"/>
              <w:rPr>
                <w:sz w:val="22"/>
                <w:szCs w:val="22"/>
              </w:rPr>
            </w:pPr>
            <w:r>
              <w:rPr>
                <w:sz w:val="22"/>
                <w:szCs w:val="22"/>
              </w:rPr>
              <w:t>0.05</w:t>
            </w:r>
            <w:r>
              <w:rPr>
                <w:rFonts w:hint="eastAsia"/>
                <w:sz w:val="22"/>
                <w:szCs w:val="22"/>
              </w:rPr>
              <w:t>t</w:t>
            </w:r>
          </w:p>
        </w:tc>
        <w:tc>
          <w:tcPr>
            <w:tcW w:w="1000" w:type="dxa"/>
            <w:vAlign w:val="center"/>
          </w:tcPr>
          <w:p w14:paraId="6B425DAF">
            <w:pPr>
              <w:snapToGrid w:val="0"/>
              <w:jc w:val="center"/>
              <w:rPr>
                <w:sz w:val="22"/>
                <w:szCs w:val="22"/>
              </w:rPr>
            </w:pPr>
            <w:r>
              <w:rPr>
                <w:sz w:val="22"/>
                <w:szCs w:val="22"/>
              </w:rPr>
              <w:t>间断</w:t>
            </w:r>
          </w:p>
        </w:tc>
        <w:tc>
          <w:tcPr>
            <w:tcW w:w="1856" w:type="dxa"/>
            <w:vAlign w:val="center"/>
          </w:tcPr>
          <w:p w14:paraId="6C10EF85">
            <w:pPr>
              <w:snapToGrid w:val="0"/>
              <w:jc w:val="center"/>
              <w:rPr>
                <w:sz w:val="22"/>
                <w:szCs w:val="22"/>
              </w:rPr>
            </w:pPr>
            <w:r>
              <w:rPr>
                <w:sz w:val="22"/>
                <w:szCs w:val="22"/>
              </w:rPr>
              <w:t>废包装材料、废焊条等</w:t>
            </w:r>
          </w:p>
        </w:tc>
        <w:tc>
          <w:tcPr>
            <w:tcW w:w="1935" w:type="dxa"/>
            <w:vAlign w:val="center"/>
          </w:tcPr>
          <w:p w14:paraId="60C19F5A">
            <w:pPr>
              <w:snapToGrid w:val="0"/>
              <w:jc w:val="center"/>
              <w:rPr>
                <w:sz w:val="22"/>
                <w:szCs w:val="22"/>
              </w:rPr>
            </w:pPr>
            <w:r>
              <w:rPr>
                <w:rFonts w:hint="eastAsia"/>
                <w:sz w:val="22"/>
                <w:szCs w:val="22"/>
              </w:rPr>
              <w:t>可回收施工废料可由施工单位回收或外售废品回收站回收处置，不可回收施工废料收集后送当地建筑渣场处置</w:t>
            </w:r>
          </w:p>
        </w:tc>
      </w:tr>
      <w:tr w14:paraId="3819F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82" w:type="dxa"/>
            <w:vMerge w:val="continue"/>
            <w:vAlign w:val="center"/>
          </w:tcPr>
          <w:p w14:paraId="67A5F107">
            <w:pPr>
              <w:snapToGrid w:val="0"/>
              <w:jc w:val="center"/>
              <w:rPr>
                <w:sz w:val="22"/>
                <w:szCs w:val="22"/>
              </w:rPr>
            </w:pPr>
          </w:p>
        </w:tc>
        <w:tc>
          <w:tcPr>
            <w:tcW w:w="842" w:type="dxa"/>
            <w:vMerge w:val="continue"/>
            <w:vAlign w:val="center"/>
          </w:tcPr>
          <w:p w14:paraId="641C78C6">
            <w:pPr>
              <w:snapToGrid w:val="0"/>
              <w:jc w:val="center"/>
              <w:rPr>
                <w:sz w:val="22"/>
                <w:szCs w:val="22"/>
              </w:rPr>
            </w:pPr>
          </w:p>
        </w:tc>
        <w:tc>
          <w:tcPr>
            <w:tcW w:w="1429" w:type="dxa"/>
            <w:vAlign w:val="center"/>
          </w:tcPr>
          <w:p w14:paraId="33523EF7">
            <w:pPr>
              <w:snapToGrid w:val="0"/>
              <w:jc w:val="center"/>
              <w:rPr>
                <w:sz w:val="22"/>
                <w:szCs w:val="22"/>
              </w:rPr>
            </w:pPr>
            <w:r>
              <w:rPr>
                <w:rFonts w:hint="eastAsia"/>
                <w:sz w:val="22"/>
                <w:szCs w:val="22"/>
              </w:rPr>
              <w:t>土石方</w:t>
            </w:r>
          </w:p>
        </w:tc>
        <w:tc>
          <w:tcPr>
            <w:tcW w:w="1142" w:type="dxa"/>
            <w:vAlign w:val="center"/>
          </w:tcPr>
          <w:p w14:paraId="754646F2">
            <w:pPr>
              <w:snapToGrid w:val="0"/>
              <w:jc w:val="center"/>
              <w:rPr>
                <w:sz w:val="22"/>
                <w:szCs w:val="22"/>
              </w:rPr>
            </w:pPr>
            <w:r>
              <w:rPr>
                <w:sz w:val="22"/>
                <w:szCs w:val="22"/>
              </w:rPr>
              <w:t>5</w:t>
            </w:r>
            <w:r>
              <w:rPr>
                <w:rFonts w:hint="eastAsia"/>
                <w:sz w:val="22"/>
                <w:szCs w:val="22"/>
              </w:rPr>
              <w:t>m</w:t>
            </w:r>
            <w:r>
              <w:rPr>
                <w:sz w:val="22"/>
                <w:szCs w:val="22"/>
                <w:vertAlign w:val="superscript"/>
              </w:rPr>
              <w:t>3</w:t>
            </w:r>
          </w:p>
        </w:tc>
        <w:tc>
          <w:tcPr>
            <w:tcW w:w="1000" w:type="dxa"/>
            <w:vAlign w:val="center"/>
          </w:tcPr>
          <w:p w14:paraId="241C9B1E">
            <w:pPr>
              <w:snapToGrid w:val="0"/>
              <w:jc w:val="center"/>
              <w:rPr>
                <w:sz w:val="22"/>
                <w:szCs w:val="22"/>
              </w:rPr>
            </w:pPr>
            <w:r>
              <w:rPr>
                <w:rFonts w:hint="eastAsia"/>
                <w:sz w:val="22"/>
                <w:szCs w:val="22"/>
              </w:rPr>
              <w:t>间断</w:t>
            </w:r>
          </w:p>
        </w:tc>
        <w:tc>
          <w:tcPr>
            <w:tcW w:w="1856" w:type="dxa"/>
            <w:vAlign w:val="center"/>
          </w:tcPr>
          <w:p w14:paraId="78778245">
            <w:pPr>
              <w:snapToGrid w:val="0"/>
              <w:jc w:val="center"/>
              <w:rPr>
                <w:sz w:val="22"/>
                <w:szCs w:val="22"/>
              </w:rPr>
            </w:pPr>
            <w:r>
              <w:rPr>
                <w:rFonts w:hint="eastAsia"/>
                <w:sz w:val="22"/>
                <w:szCs w:val="22"/>
              </w:rPr>
              <w:t>/</w:t>
            </w:r>
          </w:p>
        </w:tc>
        <w:tc>
          <w:tcPr>
            <w:tcW w:w="1935" w:type="dxa"/>
            <w:vAlign w:val="center"/>
          </w:tcPr>
          <w:p w14:paraId="1BCD8FFF">
            <w:pPr>
              <w:snapToGrid w:val="0"/>
              <w:jc w:val="center"/>
              <w:rPr>
                <w:sz w:val="22"/>
                <w:szCs w:val="22"/>
              </w:rPr>
            </w:pPr>
            <w:r>
              <w:rPr>
                <w:rFonts w:hint="eastAsia"/>
                <w:sz w:val="22"/>
                <w:szCs w:val="22"/>
              </w:rPr>
              <w:t>井场平铺</w:t>
            </w:r>
          </w:p>
        </w:tc>
      </w:tr>
    </w:tbl>
    <w:p w14:paraId="574F44A6">
      <w:pPr>
        <w:pStyle w:val="1379"/>
        <w:ind w:firstLine="440"/>
      </w:pPr>
      <w:bookmarkStart w:id="190" w:name="_Toc165809692"/>
      <w:bookmarkStart w:id="191" w:name="_Toc165810514"/>
    </w:p>
    <w:p w14:paraId="17097A49">
      <w:pPr>
        <w:pStyle w:val="1059"/>
      </w:pPr>
      <w:bookmarkStart w:id="192" w:name="_Toc219907640"/>
      <w:r>
        <w:t xml:space="preserve">3.2 </w:t>
      </w:r>
      <w:r>
        <w:rPr>
          <w:rFonts w:hint="eastAsia"/>
        </w:rPr>
        <w:t>试采期</w:t>
      </w:r>
      <w:r>
        <w:rPr>
          <w:rFonts w:hint="eastAsia" w:cs="Times New Roman"/>
        </w:rPr>
        <w:t>环境影响因素分析</w:t>
      </w:r>
      <w:bookmarkEnd w:id="190"/>
      <w:bookmarkEnd w:id="191"/>
      <w:bookmarkEnd w:id="192"/>
    </w:p>
    <w:p w14:paraId="61A4FE29">
      <w:pPr>
        <w:pStyle w:val="1068"/>
      </w:pPr>
      <w:bookmarkStart w:id="193" w:name="_Toc165810515"/>
      <w:r>
        <w:rPr>
          <w:rFonts w:hint="eastAsia"/>
        </w:rPr>
        <w:t>3</w:t>
      </w:r>
      <w:r>
        <w:t xml:space="preserve">.2.1 </w:t>
      </w:r>
      <w:r>
        <w:rPr>
          <w:rFonts w:hint="eastAsia"/>
        </w:rPr>
        <w:t>试采期</w:t>
      </w:r>
      <w:r>
        <w:t>工艺流程及产污分析</w:t>
      </w:r>
      <w:bookmarkEnd w:id="193"/>
    </w:p>
    <w:p w14:paraId="11B75B37">
      <w:pPr>
        <w:pStyle w:val="702"/>
        <w:ind w:firstLine="520"/>
        <w:rPr>
          <w:rFonts w:cs="Times New Roman"/>
        </w:rPr>
      </w:pPr>
      <w:r>
        <w:rPr>
          <w:rFonts w:hint="eastAsia" w:cs="Times New Roman"/>
        </w:rPr>
        <w:t>本项目试采期的工艺流程及产物环节见</w:t>
      </w:r>
      <w:r>
        <w:rPr>
          <w:rFonts w:hint="eastAsia" w:cs="Times New Roman"/>
          <w:u w:val="single"/>
        </w:rPr>
        <w:t>图3</w:t>
      </w:r>
      <w:r>
        <w:rPr>
          <w:rFonts w:cs="Times New Roman"/>
          <w:u w:val="single"/>
        </w:rPr>
        <w:t>.2</w:t>
      </w:r>
      <w:r>
        <w:rPr>
          <w:rFonts w:hint="eastAsia" w:cs="Times New Roman"/>
          <w:u w:val="single"/>
        </w:rPr>
        <w:t>-</w:t>
      </w:r>
      <w:r>
        <w:rPr>
          <w:rFonts w:cs="Times New Roman"/>
          <w:u w:val="single"/>
        </w:rPr>
        <w:t>1</w:t>
      </w:r>
      <w:r>
        <w:rPr>
          <w:rFonts w:hint="eastAsia" w:cs="Times New Roman"/>
        </w:rPr>
        <w:t>。</w:t>
      </w:r>
    </w:p>
    <w:p w14:paraId="42330B2C">
      <w:pPr>
        <w:pStyle w:val="1379"/>
        <w:ind w:firstLine="440"/>
      </w:pPr>
    </w:p>
    <w:p w14:paraId="3B4067AF">
      <w:pPr>
        <w:pStyle w:val="702"/>
        <w:ind w:firstLine="520"/>
        <w:rPr>
          <w:rFonts w:cs="Times New Roman"/>
        </w:rPr>
        <w:sectPr>
          <w:pgSz w:w="11906" w:h="16838"/>
          <w:pgMar w:top="1701" w:right="1588" w:bottom="1588" w:left="1588" w:header="1304" w:footer="1247" w:gutter="0"/>
          <w:cols w:space="720" w:num="1"/>
          <w:docGrid w:linePitch="312" w:charSpace="0"/>
        </w:sectPr>
      </w:pPr>
    </w:p>
    <w:p w14:paraId="30D6701A">
      <w:pPr>
        <w:pStyle w:val="1065"/>
        <w:spacing w:before="120" w:beforeLines="50" w:after="120" w:afterLines="50"/>
      </w:pPr>
      <w:r>
        <w:rPr>
          <w:rFonts w:hint="eastAsia"/>
        </w:rPr>
        <w:t>***</w:t>
      </w:r>
    </w:p>
    <w:p w14:paraId="2D9772E2">
      <w:pPr>
        <w:pStyle w:val="1065"/>
      </w:pPr>
      <w:r>
        <w:rPr>
          <w:rFonts w:hint="eastAsia"/>
        </w:rPr>
        <w:t>图3.2-1   试采期工艺流程及产污环节示意图</w:t>
      </w:r>
    </w:p>
    <w:p w14:paraId="261F0EFC">
      <w:pPr>
        <w:pStyle w:val="1379"/>
        <w:ind w:firstLine="440"/>
      </w:pPr>
    </w:p>
    <w:p w14:paraId="108EACF2">
      <w:pPr>
        <w:pStyle w:val="702"/>
        <w:ind w:firstLine="522"/>
        <w:jc w:val="center"/>
        <w:rPr>
          <w:rFonts w:cs="Times New Roman"/>
          <w:b/>
          <w:bCs/>
          <w:u w:val="single"/>
        </w:rPr>
        <w:sectPr>
          <w:pgSz w:w="16838" w:h="11906" w:orient="landscape"/>
          <w:pgMar w:top="1588" w:right="1701" w:bottom="1588" w:left="1588" w:header="1304" w:footer="1247" w:gutter="0"/>
          <w:cols w:space="720" w:num="1"/>
          <w:docGrid w:linePitch="312" w:charSpace="0"/>
        </w:sectPr>
      </w:pPr>
    </w:p>
    <w:p w14:paraId="4C8D79C2">
      <w:pPr>
        <w:pStyle w:val="702"/>
        <w:ind w:firstLine="520"/>
        <w:rPr>
          <w:rFonts w:cs="Times New Roman"/>
          <w:szCs w:val="26"/>
        </w:rPr>
      </w:pPr>
      <w:r>
        <w:rPr>
          <w:rFonts w:hint="eastAsia" w:cs="Times New Roman"/>
          <w:szCs w:val="26"/>
        </w:rPr>
        <w:t>本项目设计天然气产量为</w:t>
      </w:r>
      <w:r>
        <w:rPr>
          <w:rFonts w:cs="Times New Roman"/>
          <w:szCs w:val="26"/>
        </w:rPr>
        <w:t>2</w:t>
      </w:r>
      <w:r>
        <w:rPr>
          <w:rFonts w:hint="eastAsia" w:cs="Times New Roman"/>
          <w:szCs w:val="26"/>
        </w:rPr>
        <w:t>万m</w:t>
      </w:r>
      <w:r>
        <w:rPr>
          <w:rFonts w:cs="Times New Roman"/>
          <w:szCs w:val="26"/>
          <w:vertAlign w:val="superscript"/>
        </w:rPr>
        <w:t>3</w:t>
      </w:r>
      <w:r>
        <w:rPr>
          <w:rFonts w:cs="Times New Roman"/>
          <w:szCs w:val="26"/>
        </w:rPr>
        <w:t>/d</w:t>
      </w:r>
      <w:r>
        <w:rPr>
          <w:rFonts w:hint="eastAsia" w:cs="Times New Roman"/>
          <w:szCs w:val="26"/>
        </w:rPr>
        <w:t>，副产品凝析油产量</w:t>
      </w:r>
      <w:r>
        <w:rPr>
          <w:rFonts w:cs="Times New Roman"/>
          <w:szCs w:val="26"/>
        </w:rPr>
        <w:t>12</w:t>
      </w:r>
      <w:r>
        <w:rPr>
          <w:rFonts w:hint="eastAsia" w:cs="Times New Roman"/>
          <w:szCs w:val="26"/>
        </w:rPr>
        <w:t>m</w:t>
      </w:r>
      <w:r>
        <w:rPr>
          <w:rFonts w:cs="Times New Roman"/>
          <w:szCs w:val="26"/>
          <w:vertAlign w:val="superscript"/>
        </w:rPr>
        <w:t>3</w:t>
      </w:r>
      <w:r>
        <w:rPr>
          <w:rFonts w:cs="Times New Roman"/>
          <w:szCs w:val="26"/>
        </w:rPr>
        <w:t>/d</w:t>
      </w:r>
      <w:r>
        <w:rPr>
          <w:rFonts w:hint="eastAsia" w:cs="Times New Roman"/>
          <w:szCs w:val="26"/>
        </w:rPr>
        <w:t>，天然气采用“加热节流、三相分离、聚结过滤、计量外输”的工艺，</w:t>
      </w:r>
      <w:r>
        <w:rPr>
          <w:rFonts w:hint="eastAsia"/>
          <w:szCs w:val="26"/>
        </w:rPr>
        <w:t>处理后的天然气经脱水、增压后采用CNG方式外售</w:t>
      </w:r>
      <w:r>
        <w:rPr>
          <w:rFonts w:hint="eastAsia" w:cs="Times New Roman"/>
          <w:szCs w:val="26"/>
        </w:rPr>
        <w:t>。本项目井口压力为3</w:t>
      </w:r>
      <w:r>
        <w:rPr>
          <w:rFonts w:cs="Times New Roman"/>
          <w:szCs w:val="26"/>
        </w:rPr>
        <w:t>0MP</w:t>
      </w:r>
      <w:r>
        <w:rPr>
          <w:rFonts w:hint="eastAsia" w:cs="Times New Roman"/>
          <w:szCs w:val="26"/>
        </w:rPr>
        <w:t>a，经井口采气树自带节流阀调压至约1</w:t>
      </w:r>
      <w:r>
        <w:rPr>
          <w:rFonts w:cs="Times New Roman"/>
          <w:szCs w:val="26"/>
        </w:rPr>
        <w:t>2MP</w:t>
      </w:r>
      <w:r>
        <w:rPr>
          <w:rFonts w:hint="eastAsia" w:cs="Times New Roman"/>
          <w:szCs w:val="26"/>
        </w:rPr>
        <w:t>a进入水套加热炉，水套加热炉一级节流至约3</w:t>
      </w:r>
      <w:r>
        <w:rPr>
          <w:rFonts w:cs="Times New Roman"/>
          <w:szCs w:val="26"/>
        </w:rPr>
        <w:t>MP</w:t>
      </w:r>
      <w:r>
        <w:rPr>
          <w:rFonts w:hint="eastAsia" w:cs="Times New Roman"/>
          <w:szCs w:val="26"/>
        </w:rPr>
        <w:t>a进入三相分离器，三相分离器分离出的天然气进入聚结过滤器，经气水分离后外输。本项目混烃采用加热微正压闪蒸的工艺，混烃经水套加热炉加热后进入闪蒸三相分离器，分离后稳定的凝析油进入凝析油储罐储存外售，分离出的天然气经气液分离后用作燃料气。</w:t>
      </w:r>
    </w:p>
    <w:p w14:paraId="6A84EA01">
      <w:pPr>
        <w:pStyle w:val="1381"/>
        <w:ind w:firstLine="522"/>
      </w:pPr>
      <w:r>
        <w:rPr>
          <w:rFonts w:hint="eastAsia"/>
          <w:b/>
        </w:rPr>
        <w:t>井口安全截断系统</w:t>
      </w:r>
      <w:r>
        <w:rPr>
          <w:rFonts w:hint="eastAsia"/>
        </w:rPr>
        <w:t>：井口采气树自带截断系统，当输气压力超过（低于）设定压力或发生火警时，装置将迅速自动关闭切断阀，截断井口气源，从而达到保护站场设备的目的。</w:t>
      </w:r>
    </w:p>
    <w:p w14:paraId="08122319">
      <w:pPr>
        <w:pStyle w:val="702"/>
        <w:ind w:firstLine="522"/>
        <w:rPr>
          <w:rFonts w:cs="Times New Roman"/>
          <w:szCs w:val="26"/>
        </w:rPr>
      </w:pPr>
      <w:r>
        <w:rPr>
          <w:rFonts w:hint="eastAsia" w:cs="Times New Roman"/>
          <w:b/>
          <w:szCs w:val="26"/>
        </w:rPr>
        <w:t>水套加热炉</w:t>
      </w:r>
      <w:r>
        <w:rPr>
          <w:rFonts w:hint="eastAsia" w:cs="Times New Roman"/>
          <w:szCs w:val="26"/>
        </w:rPr>
        <w:t>：在运行期地下天然气温度较低时，为防止天然气在节流过程中形成水合物，需对地下采出的天然气进行加热，水套加热炉每年通常运行3个月，本项目使用低氮燃烧工艺（安装低氮燃烧器）的水套加热炉，双进双出，使用本项目自产天然气为燃料。</w:t>
      </w:r>
    </w:p>
    <w:p w14:paraId="3AD93DCA">
      <w:pPr>
        <w:pStyle w:val="702"/>
        <w:ind w:firstLine="522"/>
        <w:rPr>
          <w:rFonts w:cs="Times New Roman"/>
        </w:rPr>
      </w:pPr>
      <w:r>
        <w:rPr>
          <w:rFonts w:hint="eastAsia" w:cs="Times New Roman"/>
          <w:b/>
        </w:rPr>
        <w:t>三相分离器</w:t>
      </w:r>
      <w:r>
        <w:rPr>
          <w:rFonts w:hint="eastAsia" w:cs="Times New Roman"/>
        </w:rPr>
        <w:t>：利用物理原理，将混合流中密度不同的物质分离出来，本项目设置停留时间为5min，实现水、气、混烃的分离。三相分离器分离出的天然气进入聚结过滤器进行气液分离，分离出的混烃经水套加热炉再加热后进入闪蒸三相分离器再次分离，分离出的气田水存入气田水储罐。</w:t>
      </w:r>
    </w:p>
    <w:p w14:paraId="3B2441B4">
      <w:pPr>
        <w:pStyle w:val="1381"/>
        <w:ind w:firstLine="522"/>
      </w:pPr>
      <w:r>
        <w:rPr>
          <w:rFonts w:hint="eastAsia"/>
          <w:b/>
        </w:rPr>
        <w:t>聚结过滤器</w:t>
      </w:r>
      <w:r>
        <w:rPr>
          <w:rFonts w:hint="eastAsia"/>
        </w:rPr>
        <w:t>：在滤芯作用下将天然气与液滴进行分离，实现天然气干燥作用，聚结过滤器运行期间会产生废滤芯。</w:t>
      </w:r>
    </w:p>
    <w:p w14:paraId="78F96FA1">
      <w:pPr>
        <w:pStyle w:val="1381"/>
        <w:ind w:firstLine="522"/>
      </w:pPr>
      <w:r>
        <w:rPr>
          <w:rFonts w:hint="eastAsia" w:cs="Times New Roman"/>
          <w:b/>
        </w:rPr>
        <w:t>闪蒸三相分离器</w:t>
      </w:r>
      <w:r>
        <w:rPr>
          <w:rFonts w:hint="eastAsia" w:cs="Times New Roman"/>
        </w:rPr>
        <w:t>：结合三相分离和闪蒸的技术原理，</w:t>
      </w:r>
      <w:r>
        <w:rPr>
          <w:rFonts w:hint="eastAsia"/>
        </w:rPr>
        <w:t>闪蒸压力控制在120kPa，混合物料需加热至48℃后闪蒸，闪蒸后油品在37.8℃时实际蒸气压为195.7kPa，</w:t>
      </w:r>
      <w:r>
        <w:t>稳定之后的</w:t>
      </w:r>
      <w:r>
        <w:rPr>
          <w:rFonts w:hint="eastAsia"/>
        </w:rPr>
        <w:t>凝析油</w:t>
      </w:r>
      <w:r>
        <w:t>进入储罐储存后装车外运</w:t>
      </w:r>
      <w:r>
        <w:rPr>
          <w:rFonts w:hint="eastAsia"/>
        </w:rPr>
        <w:t>，闪蒸气调压至0.12M</w:t>
      </w:r>
      <w:r>
        <w:t>p</w:t>
      </w:r>
      <w:r>
        <w:rPr>
          <w:rFonts w:hint="eastAsia"/>
        </w:rPr>
        <w:t>a，用作燃料气。</w:t>
      </w:r>
    </w:p>
    <w:p w14:paraId="1D0A063A">
      <w:pPr>
        <w:pStyle w:val="1381"/>
        <w:ind w:firstLine="522"/>
      </w:pPr>
      <w:r>
        <w:rPr>
          <w:rFonts w:hint="eastAsia"/>
          <w:b/>
          <w:szCs w:val="26"/>
        </w:rPr>
        <w:t>脱水压缩撬</w:t>
      </w:r>
      <w:r>
        <w:rPr>
          <w:rFonts w:hint="eastAsia"/>
          <w:szCs w:val="26"/>
        </w:rPr>
        <w:t>：</w:t>
      </w:r>
      <w:r>
        <w:rPr>
          <w:rFonts w:hint="eastAsia"/>
        </w:rPr>
        <w:t>本项目脱水压缩撬为集成分子筛脱水和压缩功能为一体的撬装设施，通过分子筛吸附剂去除气体中的饱和水蒸气，使天然气露点降至要求指标以下，防止后续增压及输送过程中产生水合物。分子筛脱水采用一塔吸附脱水、一塔再生的双塔流程。分子筛脱水塔一个操作周期内吸附时间约</w:t>
      </w:r>
      <w:r>
        <w:t>8</w:t>
      </w:r>
      <w:r>
        <w:rPr>
          <w:rFonts w:hint="eastAsia"/>
        </w:rPr>
        <w:t>小时，加热再生约</w:t>
      </w:r>
      <w:r>
        <w:t>4</w:t>
      </w:r>
      <w:r>
        <w:rPr>
          <w:rFonts w:hint="eastAsia"/>
        </w:rPr>
        <w:t>小时，冷吹时间约</w:t>
      </w:r>
      <w:r>
        <w:t>4</w:t>
      </w:r>
      <w:r>
        <w:rPr>
          <w:rFonts w:hint="eastAsia"/>
        </w:rPr>
        <w:t>小时。分子筛约1年更换</w:t>
      </w:r>
      <w:r>
        <w:t>1</w:t>
      </w:r>
      <w:r>
        <w:rPr>
          <w:rFonts w:hint="eastAsia"/>
        </w:rPr>
        <w:t>次，每次更换量约为</w:t>
      </w:r>
      <w:r>
        <w:t>1.0</w:t>
      </w:r>
      <w:r>
        <w:rPr>
          <w:rFonts w:hint="eastAsia"/>
        </w:rPr>
        <w:t>t。脱水后的干气再进入压缩机橇进行增压，提升至所需压力等级后，进入CNG站供加气柱使用。</w:t>
      </w:r>
    </w:p>
    <w:p w14:paraId="53391259">
      <w:pPr>
        <w:pStyle w:val="702"/>
        <w:ind w:firstLine="522"/>
        <w:rPr>
          <w:rFonts w:cs="Times New Roman"/>
        </w:rPr>
      </w:pPr>
      <w:r>
        <w:rPr>
          <w:rFonts w:hint="eastAsia"/>
          <w:b/>
        </w:rPr>
        <w:t>C</w:t>
      </w:r>
      <w:r>
        <w:rPr>
          <w:b/>
        </w:rPr>
        <w:t>NG</w:t>
      </w:r>
      <w:r>
        <w:rPr>
          <w:rFonts w:hint="eastAsia"/>
          <w:b/>
        </w:rPr>
        <w:t>充装</w:t>
      </w:r>
      <w:r>
        <w:rPr>
          <w:rFonts w:hint="eastAsia"/>
        </w:rPr>
        <w:t>：天然气进入CNG压缩机增压至25MPa，再通过加气柱将压缩后的天然气注入CNG管束车外售</w:t>
      </w:r>
      <w:r>
        <w:rPr>
          <w:rFonts w:hint="eastAsia" w:cs="Times New Roman"/>
        </w:rPr>
        <w:t>，CNG</w:t>
      </w:r>
      <w:r>
        <w:rPr>
          <w:rFonts w:hint="eastAsia"/>
        </w:rPr>
        <w:t>管束车</w:t>
      </w:r>
      <w:r>
        <w:rPr>
          <w:rFonts w:hint="eastAsia" w:cs="Times New Roman"/>
        </w:rPr>
        <w:t>储气压力达到20MPa后不再加气。根据加气柱加气流量及CNG</w:t>
      </w:r>
      <w:r>
        <w:rPr>
          <w:rFonts w:hint="eastAsia"/>
        </w:rPr>
        <w:t>管束车容积，CNG管束车一般拉运量为4000-5000Nm</w:t>
      </w:r>
      <w:r>
        <w:rPr>
          <w:rFonts w:hint="eastAsia"/>
          <w:vertAlign w:val="superscript"/>
        </w:rPr>
        <w:t>3</w:t>
      </w:r>
      <w:r>
        <w:rPr>
          <w:rFonts w:hint="eastAsia"/>
        </w:rPr>
        <w:t>/车，则每天拉运</w:t>
      </w:r>
      <w:r>
        <w:t>5</w:t>
      </w:r>
      <w:r>
        <w:rPr>
          <w:rFonts w:hint="eastAsia"/>
        </w:rPr>
        <w:t>车，每天充装时间约</w:t>
      </w:r>
      <w:r>
        <w:t>6</w:t>
      </w:r>
      <w:r>
        <w:rPr>
          <w:rFonts w:hint="eastAsia"/>
        </w:rPr>
        <w:t>h。</w:t>
      </w:r>
    </w:p>
    <w:p w14:paraId="143C5A25">
      <w:pPr>
        <w:pStyle w:val="1381"/>
        <w:ind w:firstLine="522"/>
      </w:pPr>
      <w:r>
        <w:rPr>
          <w:rFonts w:hint="eastAsia"/>
          <w:b/>
        </w:rPr>
        <w:t>放空管</w:t>
      </w:r>
      <w:r>
        <w:rPr>
          <w:rFonts w:hint="eastAsia"/>
        </w:rPr>
        <w:t>：</w:t>
      </w:r>
      <w:r>
        <w:t>放空</w:t>
      </w:r>
      <w:r>
        <w:rPr>
          <w:rFonts w:hint="eastAsia"/>
        </w:rPr>
        <w:t>管</w:t>
      </w:r>
      <w:r>
        <w:t>为用来保证所有工艺装置在正常、事故、紧急和非正常工况下产生的易燃气体能够及时、安全、可靠地放空燃烧，以保护站内人员和装置的安全性，并满足相关的环保和安全要求。井场设置放空系统1套，高度H=15m，进气管道设置有紧急切断阀，当出现事故时可以自动或手动紧急切断。进站紧急切断阀后设手动放空阀，当出现事故时可手动放空泄压。</w:t>
      </w:r>
    </w:p>
    <w:p w14:paraId="6A5AEB38">
      <w:pPr>
        <w:pStyle w:val="702"/>
        <w:ind w:firstLine="522"/>
        <w:outlineLvl w:val="2"/>
        <w:rPr>
          <w:rFonts w:cs="Times New Roman"/>
          <w:b/>
          <w:bCs/>
        </w:rPr>
      </w:pPr>
      <w:bookmarkStart w:id="194" w:name="_Toc165810516"/>
      <w:r>
        <w:rPr>
          <w:rFonts w:hint="eastAsia" w:cs="Times New Roman"/>
          <w:b/>
          <w:bCs/>
        </w:rPr>
        <w:t>3</w:t>
      </w:r>
      <w:r>
        <w:rPr>
          <w:rFonts w:cs="Times New Roman"/>
          <w:b/>
          <w:bCs/>
        </w:rPr>
        <w:t xml:space="preserve">.2.2 </w:t>
      </w:r>
      <w:r>
        <w:rPr>
          <w:rFonts w:hint="eastAsia" w:cs="Times New Roman"/>
          <w:b/>
          <w:bCs/>
        </w:rPr>
        <w:t>试采期污染物产排情况</w:t>
      </w:r>
      <w:bookmarkEnd w:id="194"/>
    </w:p>
    <w:p w14:paraId="3CFEC2DF">
      <w:pPr>
        <w:pStyle w:val="702"/>
        <w:ind w:firstLine="522"/>
        <w:rPr>
          <w:rFonts w:cs="Times New Roman"/>
          <w:b/>
        </w:rPr>
      </w:pPr>
      <w:r>
        <w:rPr>
          <w:rFonts w:hint="eastAsia" w:cs="Times New Roman"/>
          <w:b/>
        </w:rPr>
        <w:t>（1）废水</w:t>
      </w:r>
    </w:p>
    <w:p w14:paraId="1486C4B3">
      <w:pPr>
        <w:pStyle w:val="702"/>
        <w:ind w:firstLine="520"/>
        <w:rPr>
          <w:rFonts w:cs="Times New Roman"/>
        </w:rPr>
      </w:pPr>
      <w:r>
        <w:rPr>
          <w:rFonts w:hint="eastAsia" w:cs="Times New Roman"/>
        </w:rPr>
        <w:t>巴中2HF试采站为有人值守站场，试采期废水主要为分离的</w:t>
      </w:r>
      <w:bookmarkStart w:id="195" w:name="_Hlk164349184"/>
      <w:r>
        <w:rPr>
          <w:rFonts w:hint="eastAsia" w:cs="Times New Roman"/>
        </w:rPr>
        <w:t>气田水、放空分离液、分子筛脱水冷凝水、生活污水和检修废水。</w:t>
      </w:r>
    </w:p>
    <w:bookmarkEnd w:id="195"/>
    <w:p w14:paraId="1134B8C8">
      <w:pPr>
        <w:pStyle w:val="702"/>
        <w:ind w:firstLine="522"/>
        <w:rPr>
          <w:rFonts w:cs="Times New Roman"/>
          <w:b/>
        </w:rPr>
      </w:pPr>
      <w:r>
        <w:rPr>
          <w:rFonts w:cs="Times New Roman"/>
          <w:b/>
        </w:rPr>
        <w:fldChar w:fldCharType="begin"/>
      </w:r>
      <w:r>
        <w:rPr>
          <w:rFonts w:cs="Times New Roman"/>
          <w:b/>
        </w:rPr>
        <w:instrText xml:space="preserve"> </w:instrText>
      </w:r>
      <w:r>
        <w:rPr>
          <w:rFonts w:hint="eastAsia" w:cs="Times New Roman"/>
          <w:b/>
        </w:rPr>
        <w:instrText xml:space="preserve">= 1 \* GB3</w:instrText>
      </w:r>
      <w:r>
        <w:rPr>
          <w:rFonts w:cs="Times New Roman"/>
          <w:b/>
        </w:rPr>
        <w:instrText xml:space="preserve"> </w:instrText>
      </w:r>
      <w:r>
        <w:rPr>
          <w:rFonts w:cs="Times New Roman"/>
          <w:b/>
        </w:rPr>
        <w:fldChar w:fldCharType="separate"/>
      </w:r>
      <w:r>
        <w:rPr>
          <w:rFonts w:hint="eastAsia" w:cs="Times New Roman"/>
          <w:b/>
        </w:rPr>
        <w:t>①</w:t>
      </w:r>
      <w:r>
        <w:rPr>
          <w:rFonts w:cs="Times New Roman"/>
          <w:b/>
        </w:rPr>
        <w:fldChar w:fldCharType="end"/>
      </w:r>
      <w:r>
        <w:rPr>
          <w:rFonts w:hint="eastAsia" w:cs="Times New Roman"/>
          <w:b/>
        </w:rPr>
        <w:t>气田水</w:t>
      </w:r>
    </w:p>
    <w:p w14:paraId="2EA19B83">
      <w:pPr>
        <w:pStyle w:val="702"/>
        <w:ind w:firstLine="520"/>
        <w:rPr>
          <w:rFonts w:cs="Times New Roman"/>
        </w:rPr>
      </w:pPr>
      <w:r>
        <w:rPr>
          <w:rFonts w:hint="eastAsia" w:cs="Times New Roman"/>
        </w:rPr>
        <w:t>试采期正常工况下，三相分离器、闪蒸三相分离器、聚结过滤器以及燃料气分液包等会分离出气田水，凝析油储罐静置后也会分离出气田水。其中聚结过滤器和燃料气分液包气液分离出的混烃（含气田水）经水套加热炉加热后进入闪蒸三相分离器再次进行分离，三相分离器、闪蒸三相分离器分离出的气田水存入气田水储罐（2个，单个容积5</w:t>
      </w:r>
      <w:r>
        <w:rPr>
          <w:rFonts w:cs="Times New Roman"/>
        </w:rPr>
        <w:t>0</w:t>
      </w:r>
      <w:r>
        <w:rPr>
          <w:rFonts w:hint="eastAsia" w:cs="Times New Roman"/>
        </w:rPr>
        <w:t>m</w:t>
      </w:r>
      <w:r>
        <w:rPr>
          <w:rFonts w:cs="Times New Roman"/>
          <w:vertAlign w:val="superscript"/>
        </w:rPr>
        <w:t>3</w:t>
      </w:r>
      <w:r>
        <w:rPr>
          <w:rFonts w:hint="eastAsia" w:cs="Times New Roman"/>
        </w:rPr>
        <w:t>）暂存；凝析油储罐静置后会油水分离，分离出的气田水存入气田水储罐暂存。本项目分离的气田水定期由罐车运输至四川洁安环境科技有限公司油气田废水处理站、四川兴澳环境技术服务有限公司油气井地下水处理站处置。后期如因生产调整，建设单位可根据实际情况进行调整，选择区域内有合法资质且有处理能力的第三方单位处理。</w:t>
      </w:r>
    </w:p>
    <w:p w14:paraId="08D7B5AD">
      <w:pPr>
        <w:pStyle w:val="702"/>
        <w:ind w:firstLine="520"/>
        <w:rPr>
          <w:rFonts w:cs="Times New Roman"/>
        </w:rPr>
      </w:pPr>
      <w:r>
        <w:rPr>
          <w:rFonts w:hint="eastAsia" w:cs="Times New Roman"/>
        </w:rPr>
        <w:t>根据建设单位提供的川东北地区天然气开采数据，试采初期</w:t>
      </w:r>
      <w:r>
        <w:rPr>
          <w:rFonts w:hint="eastAsia" w:cs="Times New Roman"/>
          <w:bCs/>
          <w:szCs w:val="21"/>
        </w:rPr>
        <w:t>（约1个月）</w:t>
      </w:r>
      <w:r>
        <w:rPr>
          <w:rFonts w:hint="eastAsia" w:cs="Times New Roman"/>
        </w:rPr>
        <w:t>本项目巴中2</w:t>
      </w:r>
      <w:r>
        <w:rPr>
          <w:rFonts w:cs="Times New Roman"/>
        </w:rPr>
        <w:t>HF</w:t>
      </w:r>
      <w:r>
        <w:rPr>
          <w:rFonts w:hint="eastAsia" w:cs="Times New Roman"/>
        </w:rPr>
        <w:t>井和巴页2</w:t>
      </w:r>
      <w:r>
        <w:rPr>
          <w:rFonts w:cs="Times New Roman"/>
        </w:rPr>
        <w:t>HF</w:t>
      </w:r>
      <w:r>
        <w:rPr>
          <w:rFonts w:hint="eastAsia" w:cs="Times New Roman"/>
        </w:rPr>
        <w:t>井两口井产生的气田水总量约为</w:t>
      </w:r>
      <w:r>
        <w:rPr>
          <w:rFonts w:cs="Times New Roman"/>
        </w:rPr>
        <w:t>40m</w:t>
      </w:r>
      <w:r>
        <w:rPr>
          <w:rFonts w:cs="Times New Roman"/>
          <w:vertAlign w:val="superscript"/>
        </w:rPr>
        <w:t>3</w:t>
      </w:r>
      <w:r>
        <w:rPr>
          <w:rFonts w:cs="Times New Roman"/>
        </w:rPr>
        <w:t>/d~60</w:t>
      </w:r>
      <w:r>
        <w:rPr>
          <w:rFonts w:hint="eastAsia" w:cs="Times New Roman"/>
        </w:rPr>
        <w:t>m</w:t>
      </w:r>
      <w:r>
        <w:rPr>
          <w:rFonts w:hint="eastAsia" w:cs="Times New Roman"/>
          <w:vertAlign w:val="superscript"/>
        </w:rPr>
        <w:t>3</w:t>
      </w:r>
      <w:r>
        <w:rPr>
          <w:rFonts w:hint="eastAsia" w:cs="Times New Roman"/>
        </w:rPr>
        <w:t>/d（本次环评按最不利情况考虑，气田水产生量取</w:t>
      </w:r>
      <w:r>
        <w:rPr>
          <w:rFonts w:cs="Times New Roman"/>
        </w:rPr>
        <w:t>6</w:t>
      </w:r>
      <w:r>
        <w:rPr>
          <w:rFonts w:hint="eastAsia" w:cs="Times New Roman"/>
        </w:rPr>
        <w:t>0m</w:t>
      </w:r>
      <w:r>
        <w:rPr>
          <w:rFonts w:hint="eastAsia" w:cs="Times New Roman"/>
          <w:vertAlign w:val="superscript"/>
        </w:rPr>
        <w:t>3</w:t>
      </w:r>
      <w:r>
        <w:rPr>
          <w:rFonts w:hint="eastAsia" w:cs="Times New Roman"/>
        </w:rPr>
        <w:t>/d），随着采气开展，气田水产生量随之逐渐减少，后期两口井气田水产生总量将稳定在</w:t>
      </w:r>
      <w:r>
        <w:rPr>
          <w:rFonts w:cs="Times New Roman"/>
        </w:rPr>
        <w:t>10</w:t>
      </w:r>
      <w:r>
        <w:rPr>
          <w:rFonts w:hint="eastAsia" w:cs="Times New Roman"/>
        </w:rPr>
        <w:t>m</w:t>
      </w:r>
      <w:r>
        <w:rPr>
          <w:rFonts w:hint="eastAsia" w:cs="Times New Roman"/>
          <w:vertAlign w:val="superscript"/>
        </w:rPr>
        <w:t>3</w:t>
      </w:r>
      <w:r>
        <w:rPr>
          <w:rFonts w:hint="eastAsia" w:cs="Times New Roman"/>
        </w:rPr>
        <w:t>/d，试采前期气田水坚持每天转运，后期约1</w:t>
      </w:r>
      <w:r>
        <w:rPr>
          <w:rFonts w:cs="Times New Roman"/>
        </w:rPr>
        <w:t>0</w:t>
      </w:r>
      <w:r>
        <w:rPr>
          <w:rFonts w:hint="eastAsia" w:cs="Times New Roman"/>
        </w:rPr>
        <w:t>天转运1次。</w:t>
      </w:r>
    </w:p>
    <w:p w14:paraId="56617374">
      <w:pPr>
        <w:pStyle w:val="702"/>
        <w:ind w:firstLine="522"/>
        <w:rPr>
          <w:rFonts w:cs="Times New Roman"/>
          <w:b/>
        </w:rPr>
      </w:pPr>
      <w:r>
        <w:rPr>
          <w:rFonts w:cs="Times New Roman"/>
          <w:b/>
        </w:rPr>
        <w:fldChar w:fldCharType="begin"/>
      </w:r>
      <w:r>
        <w:rPr>
          <w:rFonts w:cs="Times New Roman"/>
          <w:b/>
        </w:rPr>
        <w:instrText xml:space="preserve"> </w:instrText>
      </w:r>
      <w:r>
        <w:rPr>
          <w:rFonts w:hint="eastAsia" w:cs="Times New Roman"/>
          <w:b/>
        </w:rPr>
        <w:instrText xml:space="preserve">= 2 \* GB3</w:instrText>
      </w:r>
      <w:r>
        <w:rPr>
          <w:rFonts w:cs="Times New Roman"/>
          <w:b/>
        </w:rPr>
        <w:instrText xml:space="preserve"> </w:instrText>
      </w:r>
      <w:r>
        <w:rPr>
          <w:rFonts w:cs="Times New Roman"/>
          <w:b/>
        </w:rPr>
        <w:fldChar w:fldCharType="separate"/>
      </w:r>
      <w:r>
        <w:rPr>
          <w:rFonts w:hint="eastAsia" w:cs="Times New Roman"/>
          <w:b/>
        </w:rPr>
        <w:t>②</w:t>
      </w:r>
      <w:r>
        <w:rPr>
          <w:rFonts w:cs="Times New Roman"/>
          <w:b/>
        </w:rPr>
        <w:fldChar w:fldCharType="end"/>
      </w:r>
      <w:r>
        <w:rPr>
          <w:rFonts w:hint="eastAsia" w:cs="Times New Roman"/>
          <w:b/>
        </w:rPr>
        <w:t>放空分离液</w:t>
      </w:r>
    </w:p>
    <w:p w14:paraId="73971F86">
      <w:pPr>
        <w:pStyle w:val="702"/>
        <w:ind w:firstLine="520"/>
        <w:rPr>
          <w:rFonts w:cs="Times New Roman"/>
        </w:rPr>
      </w:pPr>
      <w:r>
        <w:rPr>
          <w:rFonts w:hint="eastAsia" w:cs="Times New Roman"/>
        </w:rPr>
        <w:t>巴中2HF试采站新建一套放空系统，检修时为保证检修过程的安全，需排空装置及管道内的残留天然气，残留天然气通过放空分离器进行气液分离后进入放空区排放。试采站设备检修预计每年约1～2次，放空分离液产生量约为0.1m</w:t>
      </w:r>
      <w:r>
        <w:rPr>
          <w:rFonts w:hint="eastAsia" w:cs="Times New Roman"/>
          <w:vertAlign w:val="superscript"/>
        </w:rPr>
        <w:t>3</w:t>
      </w:r>
      <w:r>
        <w:rPr>
          <w:rFonts w:hint="eastAsia" w:cs="Times New Roman"/>
        </w:rPr>
        <w:t>（0.05m</w:t>
      </w:r>
      <w:r>
        <w:rPr>
          <w:rFonts w:hint="eastAsia" w:cs="Times New Roman"/>
          <w:vertAlign w:val="superscript"/>
        </w:rPr>
        <w:t>3</w:t>
      </w:r>
      <w:r>
        <w:rPr>
          <w:rFonts w:hint="eastAsia" w:cs="Times New Roman"/>
        </w:rPr>
        <w:t>/次），经水套加热炉加热后进入闪蒸三相分离器再次进行分离，产生的气田水存入气田水储罐（2个，单个容积5</w:t>
      </w:r>
      <w:r>
        <w:rPr>
          <w:rFonts w:cs="Times New Roman"/>
        </w:rPr>
        <w:t>0</w:t>
      </w:r>
      <w:r>
        <w:rPr>
          <w:rFonts w:hint="eastAsia" w:cs="Times New Roman"/>
        </w:rPr>
        <w:t>m</w:t>
      </w:r>
      <w:r>
        <w:rPr>
          <w:rFonts w:cs="Times New Roman"/>
          <w:vertAlign w:val="superscript"/>
        </w:rPr>
        <w:t>3</w:t>
      </w:r>
      <w:r>
        <w:rPr>
          <w:rFonts w:hint="eastAsia" w:cs="Times New Roman"/>
        </w:rPr>
        <w:t>），定期由罐车运输至四川洁安环境科技有限公司油气田废水处理站、四川兴澳环境技术服务有限公司油气井地下水处理站处置，或区域内有合法资质且有处理能力的第三方单位处置。</w:t>
      </w:r>
    </w:p>
    <w:p w14:paraId="30751419">
      <w:pPr>
        <w:pStyle w:val="702"/>
        <w:ind w:firstLine="522"/>
        <w:rPr>
          <w:rFonts w:cs="Times New Roman"/>
        </w:rPr>
      </w:pPr>
      <w:r>
        <w:rPr>
          <w:rFonts w:cs="Times New Roman"/>
          <w:b/>
        </w:rPr>
        <w:fldChar w:fldCharType="begin"/>
      </w:r>
      <w:r>
        <w:rPr>
          <w:rFonts w:cs="Times New Roman"/>
          <w:b/>
        </w:rPr>
        <w:instrText xml:space="preserve"> </w:instrText>
      </w:r>
      <w:r>
        <w:rPr>
          <w:rFonts w:hint="eastAsia" w:cs="Times New Roman"/>
          <w:b/>
        </w:rPr>
        <w:instrText xml:space="preserve">= 3 \* GB3</w:instrText>
      </w:r>
      <w:r>
        <w:rPr>
          <w:rFonts w:cs="Times New Roman"/>
          <w:b/>
        </w:rPr>
        <w:instrText xml:space="preserve"> </w:instrText>
      </w:r>
      <w:r>
        <w:rPr>
          <w:rFonts w:cs="Times New Roman"/>
          <w:b/>
        </w:rPr>
        <w:fldChar w:fldCharType="separate"/>
      </w:r>
      <w:r>
        <w:rPr>
          <w:rFonts w:hint="eastAsia" w:cs="Times New Roman"/>
          <w:b/>
        </w:rPr>
        <w:t>③</w:t>
      </w:r>
      <w:r>
        <w:rPr>
          <w:rFonts w:cs="Times New Roman"/>
          <w:b/>
        </w:rPr>
        <w:fldChar w:fldCharType="end"/>
      </w:r>
      <w:r>
        <w:rPr>
          <w:rFonts w:hint="eastAsia" w:cs="Times New Roman"/>
          <w:b/>
        </w:rPr>
        <w:t>分子筛冷凝水</w:t>
      </w:r>
    </w:p>
    <w:p w14:paraId="65D78BEE">
      <w:pPr>
        <w:pStyle w:val="702"/>
        <w:ind w:firstLine="520"/>
        <w:rPr>
          <w:rFonts w:cs="Times New Roman"/>
        </w:rPr>
      </w:pPr>
      <w:r>
        <w:rPr>
          <w:rFonts w:hint="eastAsia" w:cs="Times New Roman"/>
        </w:rPr>
        <w:t>本项目脱水压缩撬内设置分子筛进行脱水，来气已经过三相分离器和聚结过滤器进行气水分离，</w:t>
      </w:r>
      <w:r>
        <w:rPr>
          <w:rFonts w:hint="eastAsia" w:cs="Times New Roman"/>
          <w:bCs/>
          <w:szCs w:val="21"/>
        </w:rPr>
        <w:t>分子筛主要吸附气态水，产水量较少，根据川东北地区天然气开发实际资料，分子筛脱水撬每处理</w:t>
      </w:r>
      <w:r>
        <w:rPr>
          <w:rFonts w:cs="Times New Roman"/>
          <w:bCs/>
          <w:szCs w:val="21"/>
        </w:rPr>
        <w:t>10</w:t>
      </w:r>
      <w:r>
        <w:rPr>
          <w:rFonts w:hint="eastAsia" w:cs="Times New Roman"/>
          <w:bCs/>
          <w:szCs w:val="21"/>
        </w:rPr>
        <w:t>万</w:t>
      </w:r>
      <w:r>
        <w:rPr>
          <w:rFonts w:cs="Times New Roman"/>
          <w:bCs/>
          <w:szCs w:val="21"/>
        </w:rPr>
        <w:t>m</w:t>
      </w:r>
      <w:r>
        <w:rPr>
          <w:rFonts w:cs="Times New Roman"/>
          <w:bCs/>
          <w:szCs w:val="21"/>
          <w:vertAlign w:val="superscript"/>
        </w:rPr>
        <w:t>3</w:t>
      </w:r>
      <w:r>
        <w:rPr>
          <w:rFonts w:cs="Times New Roman"/>
          <w:bCs/>
          <w:szCs w:val="21"/>
        </w:rPr>
        <w:t>/d</w:t>
      </w:r>
      <w:r>
        <w:rPr>
          <w:rFonts w:hint="eastAsia" w:cs="Times New Roman"/>
          <w:bCs/>
          <w:szCs w:val="21"/>
        </w:rPr>
        <w:t>天然气产生约1</w:t>
      </w:r>
      <w:r>
        <w:rPr>
          <w:rFonts w:cs="Times New Roman"/>
          <w:bCs/>
          <w:szCs w:val="21"/>
        </w:rPr>
        <w:t>00L</w:t>
      </w:r>
      <w:r>
        <w:rPr>
          <w:rFonts w:hint="eastAsia" w:cs="Times New Roman"/>
          <w:bCs/>
          <w:szCs w:val="21"/>
        </w:rPr>
        <w:t>气田水，本项目天然气试采规模为2万</w:t>
      </w:r>
      <w:r>
        <w:rPr>
          <w:rFonts w:cs="Times New Roman"/>
          <w:bCs/>
          <w:szCs w:val="21"/>
        </w:rPr>
        <w:t>m</w:t>
      </w:r>
      <w:r>
        <w:rPr>
          <w:rFonts w:cs="Times New Roman"/>
          <w:bCs/>
          <w:szCs w:val="21"/>
          <w:vertAlign w:val="superscript"/>
        </w:rPr>
        <w:t>3</w:t>
      </w:r>
      <w:r>
        <w:rPr>
          <w:rFonts w:cs="Times New Roman"/>
          <w:bCs/>
          <w:szCs w:val="21"/>
        </w:rPr>
        <w:t>/d</w:t>
      </w:r>
      <w:r>
        <w:rPr>
          <w:rFonts w:hint="eastAsia" w:cs="Times New Roman"/>
          <w:bCs/>
          <w:szCs w:val="21"/>
        </w:rPr>
        <w:t>，气田水产生量0</w:t>
      </w:r>
      <w:r>
        <w:rPr>
          <w:rFonts w:cs="Times New Roman"/>
          <w:bCs/>
          <w:szCs w:val="21"/>
        </w:rPr>
        <w:t>.02m</w:t>
      </w:r>
      <w:r>
        <w:rPr>
          <w:rFonts w:cs="Times New Roman"/>
          <w:bCs/>
          <w:szCs w:val="21"/>
          <w:vertAlign w:val="superscript"/>
        </w:rPr>
        <w:t>3</w:t>
      </w:r>
      <w:r>
        <w:rPr>
          <w:rFonts w:cs="Times New Roman"/>
          <w:bCs/>
          <w:szCs w:val="21"/>
        </w:rPr>
        <w:t>/d</w:t>
      </w:r>
      <w:r>
        <w:rPr>
          <w:rFonts w:hint="eastAsia" w:cs="Times New Roman"/>
          <w:bCs/>
          <w:szCs w:val="21"/>
        </w:rPr>
        <w:t>，产生的气田水由管道流入C</w:t>
      </w:r>
      <w:r>
        <w:rPr>
          <w:rFonts w:cs="Times New Roman"/>
          <w:bCs/>
          <w:szCs w:val="21"/>
        </w:rPr>
        <w:t>NG</w:t>
      </w:r>
      <w:r>
        <w:rPr>
          <w:rFonts w:hint="eastAsia" w:cs="Times New Roman"/>
          <w:bCs/>
          <w:szCs w:val="21"/>
        </w:rPr>
        <w:t>充装区气田水储罐（1个，容积2</w:t>
      </w:r>
      <w:r>
        <w:rPr>
          <w:rFonts w:cs="Times New Roman"/>
          <w:bCs/>
          <w:szCs w:val="21"/>
        </w:rPr>
        <w:t>0m</w:t>
      </w:r>
      <w:r>
        <w:rPr>
          <w:rFonts w:cs="Times New Roman"/>
          <w:bCs/>
          <w:szCs w:val="21"/>
          <w:vertAlign w:val="superscript"/>
        </w:rPr>
        <w:t>3</w:t>
      </w:r>
      <w:r>
        <w:rPr>
          <w:rFonts w:hint="eastAsia" w:cs="Times New Roman"/>
          <w:bCs/>
          <w:szCs w:val="21"/>
        </w:rPr>
        <w:t>），</w:t>
      </w:r>
      <w:r>
        <w:rPr>
          <w:rFonts w:hint="eastAsia" w:cs="Times New Roman"/>
        </w:rPr>
        <w:t>定期由罐车运输至四川洁安环境科技有限公司油气田废水处理站、四川兴澳环境技术服务有限公司油气井地下水处理站处置，或区域内有合法资质且有处理能力的第三方单位处置。</w:t>
      </w:r>
    </w:p>
    <w:p w14:paraId="07A15796">
      <w:pPr>
        <w:pStyle w:val="702"/>
        <w:ind w:firstLine="522"/>
        <w:rPr>
          <w:rFonts w:cs="Times New Roman"/>
          <w:b/>
        </w:rPr>
      </w:pPr>
      <w:r>
        <w:rPr>
          <w:rFonts w:cs="Times New Roman"/>
          <w:b/>
        </w:rPr>
        <w:fldChar w:fldCharType="begin"/>
      </w:r>
      <w:r>
        <w:rPr>
          <w:rFonts w:cs="Times New Roman"/>
          <w:b/>
        </w:rPr>
        <w:instrText xml:space="preserve"> </w:instrText>
      </w:r>
      <w:r>
        <w:rPr>
          <w:rFonts w:hint="eastAsia" w:cs="Times New Roman"/>
          <w:b/>
        </w:rPr>
        <w:instrText xml:space="preserve">= 4 \* GB3</w:instrText>
      </w:r>
      <w:r>
        <w:rPr>
          <w:rFonts w:cs="Times New Roman"/>
          <w:b/>
        </w:rPr>
        <w:instrText xml:space="preserve"> </w:instrText>
      </w:r>
      <w:r>
        <w:rPr>
          <w:rFonts w:cs="Times New Roman"/>
          <w:b/>
        </w:rPr>
        <w:fldChar w:fldCharType="separate"/>
      </w:r>
      <w:r>
        <w:rPr>
          <w:rFonts w:hint="eastAsia" w:cs="Times New Roman"/>
          <w:b/>
        </w:rPr>
        <w:t>④</w:t>
      </w:r>
      <w:r>
        <w:rPr>
          <w:rFonts w:cs="Times New Roman"/>
          <w:b/>
        </w:rPr>
        <w:fldChar w:fldCharType="end"/>
      </w:r>
      <w:r>
        <w:rPr>
          <w:rFonts w:hint="eastAsia" w:cs="Times New Roman"/>
          <w:b/>
        </w:rPr>
        <w:t>生活污水</w:t>
      </w:r>
    </w:p>
    <w:p w14:paraId="53A9CB5D">
      <w:pPr>
        <w:pStyle w:val="702"/>
        <w:ind w:firstLine="520"/>
        <w:rPr>
          <w:rFonts w:cs="Times New Roman"/>
        </w:rPr>
      </w:pPr>
      <w:r>
        <w:rPr>
          <w:rFonts w:hint="eastAsia" w:cs="Times New Roman"/>
        </w:rPr>
        <w:t>试采站试采期每天值守人员</w:t>
      </w:r>
      <w:r>
        <w:rPr>
          <w:rFonts w:cs="Times New Roman"/>
        </w:rPr>
        <w:t>2</w:t>
      </w:r>
      <w:r>
        <w:rPr>
          <w:rFonts w:hint="eastAsia" w:cs="Times New Roman"/>
        </w:rPr>
        <w:t>人，用水量按1</w:t>
      </w:r>
      <w:r>
        <w:rPr>
          <w:rFonts w:cs="Times New Roman"/>
        </w:rPr>
        <w:t>0</w:t>
      </w:r>
      <w:r>
        <w:rPr>
          <w:rFonts w:hint="eastAsia" w:cs="Times New Roman"/>
        </w:rPr>
        <w:t>0L/人·d计，排污系数取0.</w:t>
      </w:r>
      <w:r>
        <w:rPr>
          <w:rFonts w:cs="Times New Roman"/>
        </w:rPr>
        <w:t>9</w:t>
      </w:r>
      <w:r>
        <w:rPr>
          <w:rFonts w:hint="eastAsia" w:cs="Times New Roman"/>
        </w:rPr>
        <w:t>，则用水量为0.</w:t>
      </w:r>
      <w:r>
        <w:rPr>
          <w:rFonts w:cs="Times New Roman"/>
        </w:rPr>
        <w:t>2</w:t>
      </w:r>
      <w:r>
        <w:rPr>
          <w:rFonts w:hint="eastAsia" w:cs="Times New Roman"/>
        </w:rPr>
        <w:t>m</w:t>
      </w:r>
      <w:r>
        <w:rPr>
          <w:rFonts w:hint="eastAsia" w:cs="Times New Roman"/>
          <w:vertAlign w:val="superscript"/>
        </w:rPr>
        <w:t>3</w:t>
      </w:r>
      <w:r>
        <w:rPr>
          <w:rFonts w:hint="eastAsia" w:cs="Times New Roman"/>
        </w:rPr>
        <w:t>/d，排放量为0.</w:t>
      </w:r>
      <w:r>
        <w:rPr>
          <w:rFonts w:cs="Times New Roman"/>
        </w:rPr>
        <w:t>18</w:t>
      </w:r>
      <w:r>
        <w:rPr>
          <w:rFonts w:hint="eastAsia" w:cs="Times New Roman"/>
        </w:rPr>
        <w:t>m</w:t>
      </w:r>
      <w:r>
        <w:rPr>
          <w:rFonts w:hint="eastAsia" w:cs="Times New Roman"/>
          <w:vertAlign w:val="superscript"/>
        </w:rPr>
        <w:t>3</w:t>
      </w:r>
      <w:r>
        <w:rPr>
          <w:rFonts w:hint="eastAsia" w:cs="Times New Roman"/>
        </w:rPr>
        <w:t>/d。生活污水经环保厕所收集后定期外运附近城镇生活污水处理厂处置。</w:t>
      </w:r>
    </w:p>
    <w:p w14:paraId="33EB9FA1">
      <w:pPr>
        <w:pStyle w:val="702"/>
        <w:ind w:firstLine="522"/>
        <w:rPr>
          <w:rFonts w:cs="Times New Roman"/>
          <w:b/>
        </w:rPr>
      </w:pPr>
      <w:r>
        <w:rPr>
          <w:rFonts w:cs="Times New Roman"/>
          <w:b/>
        </w:rPr>
        <w:fldChar w:fldCharType="begin"/>
      </w:r>
      <w:r>
        <w:rPr>
          <w:rFonts w:cs="Times New Roman"/>
          <w:b/>
        </w:rPr>
        <w:instrText xml:space="preserve"> </w:instrText>
      </w:r>
      <w:r>
        <w:rPr>
          <w:rFonts w:hint="eastAsia" w:cs="Times New Roman"/>
          <w:b/>
        </w:rPr>
        <w:instrText xml:space="preserve">= 5 \* GB3</w:instrText>
      </w:r>
      <w:r>
        <w:rPr>
          <w:rFonts w:cs="Times New Roman"/>
          <w:b/>
        </w:rPr>
        <w:instrText xml:space="preserve"> </w:instrText>
      </w:r>
      <w:r>
        <w:rPr>
          <w:rFonts w:cs="Times New Roman"/>
          <w:b/>
        </w:rPr>
        <w:fldChar w:fldCharType="separate"/>
      </w:r>
      <w:r>
        <w:rPr>
          <w:rFonts w:hint="eastAsia" w:cs="Times New Roman"/>
          <w:b/>
        </w:rPr>
        <w:t>⑤</w:t>
      </w:r>
      <w:r>
        <w:rPr>
          <w:rFonts w:cs="Times New Roman"/>
          <w:b/>
        </w:rPr>
        <w:fldChar w:fldCharType="end"/>
      </w:r>
      <w:r>
        <w:rPr>
          <w:rFonts w:hint="eastAsia" w:cs="Times New Roman"/>
          <w:b/>
        </w:rPr>
        <w:t>检修废水</w:t>
      </w:r>
    </w:p>
    <w:p w14:paraId="7157AC17">
      <w:pPr>
        <w:pStyle w:val="702"/>
        <w:ind w:firstLine="520"/>
        <w:rPr>
          <w:rFonts w:cs="Times New Roman"/>
        </w:rPr>
      </w:pPr>
      <w:r>
        <w:rPr>
          <w:rFonts w:hint="eastAsia" w:cs="Times New Roman"/>
        </w:rPr>
        <w:t>根据类别调查，试采站检修作业约每年1~</w:t>
      </w:r>
      <w:r>
        <w:rPr>
          <w:rFonts w:cs="Times New Roman"/>
        </w:rPr>
        <w:t>2</w:t>
      </w:r>
      <w:r>
        <w:rPr>
          <w:rFonts w:hint="eastAsia" w:cs="Times New Roman"/>
        </w:rPr>
        <w:t>次，检修废水产生量约为2m</w:t>
      </w:r>
      <w:r>
        <w:rPr>
          <w:rFonts w:hint="eastAsia" w:cs="Times New Roman"/>
          <w:vertAlign w:val="superscript"/>
        </w:rPr>
        <w:t>3</w:t>
      </w:r>
      <w:r>
        <w:rPr>
          <w:rFonts w:hint="eastAsia" w:cs="Times New Roman"/>
        </w:rPr>
        <w:t>/a，</w:t>
      </w:r>
      <w:r>
        <w:rPr>
          <w:rFonts w:cs="Times New Roman"/>
          <w:bCs/>
        </w:rPr>
        <w:t>主要污染物有SS、石油类</w:t>
      </w:r>
      <w:r>
        <w:rPr>
          <w:rFonts w:hint="eastAsia" w:cs="Times New Roman"/>
        </w:rPr>
        <w:t>。检修废水与气田水暂存气田水罐内，</w:t>
      </w:r>
      <w:bookmarkStart w:id="196" w:name="OLE_LINK7"/>
      <w:r>
        <w:rPr>
          <w:rFonts w:hint="eastAsia" w:cs="Times New Roman"/>
        </w:rPr>
        <w:t>定期由罐车运输至四川洁安环境科技有限公司油气田废水处理站、四川兴澳环境技术服务有限公司油气井地下水处理站处置，或区域内有合法资质且有处理能力的第三方单位处置。</w:t>
      </w:r>
    </w:p>
    <w:bookmarkEnd w:id="196"/>
    <w:p w14:paraId="4B71EEEF">
      <w:pPr>
        <w:pStyle w:val="702"/>
        <w:ind w:firstLine="522"/>
        <w:rPr>
          <w:rFonts w:cs="Times New Roman"/>
          <w:b/>
        </w:rPr>
      </w:pPr>
      <w:r>
        <w:rPr>
          <w:rFonts w:hint="eastAsia" w:cs="Times New Roman"/>
          <w:b/>
        </w:rPr>
        <w:t>（2）废气</w:t>
      </w:r>
    </w:p>
    <w:p w14:paraId="6CE814F9">
      <w:pPr>
        <w:pStyle w:val="702"/>
        <w:ind w:firstLine="520"/>
        <w:rPr>
          <w:rFonts w:cs="Times New Roman"/>
        </w:rPr>
      </w:pPr>
      <w:r>
        <w:rPr>
          <w:rFonts w:hint="eastAsia" w:cs="Times New Roman"/>
        </w:rPr>
        <w:t>本项目试采期正常工况主要包括水套加热炉燃烧废气、储罐呼吸废气、各工艺装置区天然气泄漏产生的非甲烷总烃；另外站场检修、事故等非正常工况下将产生放空废气。</w:t>
      </w:r>
    </w:p>
    <w:p w14:paraId="1E797F9B">
      <w:pPr>
        <w:pStyle w:val="702"/>
        <w:ind w:firstLine="522"/>
        <w:rPr>
          <w:rFonts w:cs="Times New Roman"/>
          <w:b/>
          <w:kern w:val="2"/>
        </w:rPr>
      </w:pPr>
      <w:r>
        <w:rPr>
          <w:rFonts w:cs="Times New Roman"/>
          <w:b/>
          <w:kern w:val="2"/>
        </w:rPr>
        <w:fldChar w:fldCharType="begin"/>
      </w:r>
      <w:r>
        <w:rPr>
          <w:rFonts w:cs="Times New Roman"/>
          <w:b/>
          <w:kern w:val="2"/>
        </w:rPr>
        <w:instrText xml:space="preserve"> </w:instrText>
      </w:r>
      <w:r>
        <w:rPr>
          <w:rFonts w:hint="eastAsia" w:cs="Times New Roman"/>
          <w:b/>
          <w:kern w:val="2"/>
        </w:rPr>
        <w:instrText xml:space="preserve">= 1 \* GB3</w:instrText>
      </w:r>
      <w:r>
        <w:rPr>
          <w:rFonts w:cs="Times New Roman"/>
          <w:b/>
          <w:kern w:val="2"/>
        </w:rPr>
        <w:instrText xml:space="preserve"> </w:instrText>
      </w:r>
      <w:r>
        <w:rPr>
          <w:rFonts w:cs="Times New Roman"/>
          <w:b/>
          <w:kern w:val="2"/>
        </w:rPr>
        <w:fldChar w:fldCharType="separate"/>
      </w:r>
      <w:r>
        <w:rPr>
          <w:rFonts w:hint="eastAsia" w:cs="Times New Roman"/>
          <w:b/>
          <w:kern w:val="2"/>
        </w:rPr>
        <w:t>①</w:t>
      </w:r>
      <w:r>
        <w:rPr>
          <w:rFonts w:cs="Times New Roman"/>
          <w:b/>
          <w:kern w:val="2"/>
        </w:rPr>
        <w:fldChar w:fldCharType="end"/>
      </w:r>
      <w:r>
        <w:rPr>
          <w:rFonts w:cs="Times New Roman"/>
          <w:b/>
          <w:kern w:val="2"/>
        </w:rPr>
        <w:t>水套加热炉燃烧废气</w:t>
      </w:r>
    </w:p>
    <w:p w14:paraId="36212D8F">
      <w:pPr>
        <w:adjustRightInd w:val="0"/>
        <w:snapToGrid w:val="0"/>
        <w:spacing w:line="460" w:lineRule="exact"/>
        <w:ind w:firstLine="520" w:firstLineChars="200"/>
        <w:rPr>
          <w:snapToGrid w:val="0"/>
          <w:sz w:val="26"/>
          <w:szCs w:val="26"/>
        </w:rPr>
      </w:pPr>
      <w:r>
        <w:rPr>
          <w:rFonts w:hint="eastAsia"/>
          <w:snapToGrid w:val="0"/>
          <w:sz w:val="26"/>
          <w:szCs w:val="26"/>
        </w:rPr>
        <w:t>本项目使用低氮燃烧工艺（安装低氮燃烧器）的水套加热炉，水套加热炉主要用于试采初期，年使用时长约3个月。根据《污染源源强核算技术指南 锅炉》（H</w:t>
      </w:r>
      <w:r>
        <w:rPr>
          <w:snapToGrid w:val="0"/>
          <w:sz w:val="26"/>
          <w:szCs w:val="26"/>
        </w:rPr>
        <w:t>J991-2018</w:t>
      </w:r>
      <w:r>
        <w:rPr>
          <w:rFonts w:hint="eastAsia"/>
          <w:snapToGrid w:val="0"/>
          <w:sz w:val="26"/>
          <w:szCs w:val="26"/>
        </w:rPr>
        <w:t>），并结合《排污许可证申请与核发技术规范 锅炉》（H</w:t>
      </w:r>
      <w:r>
        <w:rPr>
          <w:snapToGrid w:val="0"/>
          <w:sz w:val="26"/>
          <w:szCs w:val="26"/>
        </w:rPr>
        <w:t>J953-2018</w:t>
      </w:r>
      <w:r>
        <w:rPr>
          <w:rFonts w:hint="eastAsia"/>
          <w:snapToGrid w:val="0"/>
          <w:sz w:val="26"/>
          <w:szCs w:val="26"/>
        </w:rPr>
        <w:t>）核算水套加热炉燃烧废气污染物产生情况。</w:t>
      </w:r>
    </w:p>
    <w:p w14:paraId="31DD8F08">
      <w:pPr>
        <w:adjustRightInd w:val="0"/>
        <w:snapToGrid w:val="0"/>
        <w:spacing w:line="460" w:lineRule="exact"/>
        <w:ind w:firstLine="520" w:firstLineChars="200"/>
        <w:rPr>
          <w:snapToGrid w:val="0"/>
          <w:sz w:val="26"/>
          <w:szCs w:val="26"/>
        </w:rPr>
      </w:pPr>
      <w:r>
        <w:rPr>
          <w:rFonts w:hint="eastAsia"/>
          <w:snapToGrid w:val="0"/>
          <w:sz w:val="26"/>
          <w:szCs w:val="26"/>
        </w:rPr>
        <w:t>本项目水套加热炉使用巴中2HF井自产天然气作为燃料，燃料气消耗量为3</w:t>
      </w:r>
      <w:r>
        <w:rPr>
          <w:snapToGrid w:val="0"/>
          <w:sz w:val="26"/>
          <w:szCs w:val="26"/>
        </w:rPr>
        <w:t>36</w:t>
      </w:r>
      <w:r>
        <w:rPr>
          <w:rFonts w:hint="eastAsia"/>
          <w:snapToGrid w:val="0"/>
          <w:sz w:val="26"/>
          <w:szCs w:val="26"/>
        </w:rPr>
        <w:t>m</w:t>
      </w:r>
      <w:r>
        <w:rPr>
          <w:snapToGrid w:val="0"/>
          <w:sz w:val="26"/>
          <w:szCs w:val="26"/>
          <w:vertAlign w:val="superscript"/>
        </w:rPr>
        <w:t>3</w:t>
      </w:r>
      <w:r>
        <w:rPr>
          <w:snapToGrid w:val="0"/>
          <w:sz w:val="26"/>
          <w:szCs w:val="26"/>
        </w:rPr>
        <w:t>/</w:t>
      </w:r>
      <w:r>
        <w:rPr>
          <w:rFonts w:hint="eastAsia"/>
          <w:snapToGrid w:val="0"/>
          <w:sz w:val="26"/>
          <w:szCs w:val="26"/>
        </w:rPr>
        <w:t>d，水套加热炉在试采阶段每年运行时间约为3个月（90d），则试采工程燃气消耗量为30240m</w:t>
      </w:r>
      <w:r>
        <w:rPr>
          <w:snapToGrid w:val="0"/>
          <w:sz w:val="26"/>
          <w:szCs w:val="26"/>
          <w:vertAlign w:val="superscript"/>
        </w:rPr>
        <w:t>3</w:t>
      </w:r>
      <w:r>
        <w:rPr>
          <w:rFonts w:hint="eastAsia"/>
          <w:snapToGrid w:val="0"/>
          <w:sz w:val="26"/>
          <w:szCs w:val="26"/>
        </w:rPr>
        <w:t>。参照《排污许可证申请与核发技术规范 锅炉》（H</w:t>
      </w:r>
      <w:r>
        <w:rPr>
          <w:snapToGrid w:val="0"/>
          <w:sz w:val="26"/>
          <w:szCs w:val="26"/>
        </w:rPr>
        <w:t>J953-2018</w:t>
      </w:r>
      <w:r>
        <w:rPr>
          <w:rFonts w:hint="eastAsia"/>
          <w:snapToGrid w:val="0"/>
          <w:sz w:val="26"/>
          <w:szCs w:val="26"/>
        </w:rPr>
        <w:t>），燃气锅炉单位气体燃料燃烧所需的理论空气量按下式计算：</w:t>
      </w:r>
    </w:p>
    <w:p w14:paraId="1BC4F5B5">
      <w:pPr>
        <w:adjustRightInd w:val="0"/>
        <w:snapToGrid w:val="0"/>
        <w:spacing w:before="240" w:beforeLines="100" w:after="240" w:afterLines="100"/>
        <w:jc w:val="center"/>
        <w:rPr>
          <w:snapToGrid w:val="0"/>
          <w:sz w:val="26"/>
          <w:szCs w:val="26"/>
        </w:rPr>
      </w:pPr>
      <w:r>
        <w:rPr>
          <w:snapToGrid w:val="0"/>
          <w:sz w:val="26"/>
          <w:szCs w:val="26"/>
        </w:rPr>
        <w:drawing>
          <wp:inline distT="0" distB="0" distL="0" distR="0">
            <wp:extent cx="5166995" cy="569595"/>
            <wp:effectExtent l="0" t="0" r="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166995" cy="569595"/>
                    </a:xfrm>
                    <a:prstGeom prst="rect">
                      <a:avLst/>
                    </a:prstGeom>
                    <a:noFill/>
                    <a:ln>
                      <a:noFill/>
                    </a:ln>
                  </pic:spPr>
                </pic:pic>
              </a:graphicData>
            </a:graphic>
          </wp:inline>
        </w:drawing>
      </w:r>
    </w:p>
    <w:p w14:paraId="6E12E563">
      <w:pPr>
        <w:adjustRightInd w:val="0"/>
        <w:snapToGrid w:val="0"/>
        <w:spacing w:line="460" w:lineRule="exact"/>
        <w:ind w:firstLine="520" w:firstLineChars="200"/>
        <w:rPr>
          <w:snapToGrid w:val="0"/>
          <w:sz w:val="26"/>
          <w:szCs w:val="26"/>
        </w:rPr>
      </w:pPr>
      <w:r>
        <w:rPr>
          <w:rFonts w:hint="eastAsia"/>
          <w:snapToGrid w:val="0"/>
          <w:sz w:val="26"/>
          <w:szCs w:val="26"/>
        </w:rPr>
        <w:t>基准烟气量计算公式如下：</w:t>
      </w:r>
    </w:p>
    <w:p w14:paraId="65F6EF7D">
      <w:pPr>
        <w:adjustRightInd w:val="0"/>
        <w:snapToGrid w:val="0"/>
        <w:spacing w:before="240" w:beforeLines="100" w:after="240" w:afterLines="100"/>
        <w:jc w:val="center"/>
        <w:rPr>
          <w:snapToGrid w:val="0"/>
          <w:sz w:val="26"/>
          <w:szCs w:val="26"/>
        </w:rPr>
      </w:pPr>
      <w:r>
        <w:rPr>
          <w:snapToGrid w:val="0"/>
          <w:sz w:val="26"/>
          <w:szCs w:val="26"/>
        </w:rPr>
        <w:drawing>
          <wp:inline distT="0" distB="0" distL="0" distR="0">
            <wp:extent cx="5175885" cy="379730"/>
            <wp:effectExtent l="0" t="0" r="5715" b="1270"/>
            <wp:docPr id="1277009430" name="图片 1277009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09430" name="图片 12770094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175885" cy="379730"/>
                    </a:xfrm>
                    <a:prstGeom prst="rect">
                      <a:avLst/>
                    </a:prstGeom>
                    <a:noFill/>
                    <a:ln>
                      <a:noFill/>
                    </a:ln>
                  </pic:spPr>
                </pic:pic>
              </a:graphicData>
            </a:graphic>
          </wp:inline>
        </w:drawing>
      </w:r>
    </w:p>
    <w:p w14:paraId="4D4E773C">
      <w:pPr>
        <w:adjustRightInd w:val="0"/>
        <w:snapToGrid w:val="0"/>
        <w:spacing w:line="460" w:lineRule="exact"/>
        <w:ind w:firstLine="520" w:firstLineChars="200"/>
        <w:rPr>
          <w:snapToGrid w:val="0"/>
          <w:sz w:val="26"/>
          <w:szCs w:val="26"/>
        </w:rPr>
      </w:pPr>
      <w:r>
        <w:rPr>
          <w:rFonts w:hint="eastAsia"/>
          <w:snapToGrid w:val="0"/>
          <w:sz w:val="26"/>
          <w:szCs w:val="26"/>
        </w:rPr>
        <w:t>式中：V</w:t>
      </w:r>
      <w:r>
        <w:rPr>
          <w:snapToGrid w:val="0"/>
          <w:sz w:val="26"/>
          <w:szCs w:val="26"/>
          <w:vertAlign w:val="subscript"/>
        </w:rPr>
        <w:t>0</w:t>
      </w:r>
      <w:r>
        <w:rPr>
          <w:rFonts w:hint="eastAsia"/>
          <w:snapToGrid w:val="0"/>
          <w:sz w:val="26"/>
          <w:szCs w:val="26"/>
        </w:rPr>
        <w:t>——理论空气量，表立方米/立方米；</w:t>
      </w:r>
    </w:p>
    <w:p w14:paraId="5641170E">
      <w:pPr>
        <w:adjustRightInd w:val="0"/>
        <w:snapToGrid w:val="0"/>
        <w:spacing w:line="460" w:lineRule="exact"/>
        <w:ind w:firstLine="1300" w:firstLineChars="500"/>
        <w:rPr>
          <w:snapToGrid w:val="0"/>
          <w:sz w:val="26"/>
          <w:szCs w:val="26"/>
        </w:rPr>
      </w:pPr>
      <w:r>
        <w:rPr>
          <w:snapToGrid w:val="0"/>
          <w:sz w:val="26"/>
          <w:szCs w:val="26"/>
        </w:rPr>
        <w:t>V</w:t>
      </w:r>
      <w:r>
        <w:rPr>
          <w:rFonts w:hint="eastAsia"/>
          <w:snapToGrid w:val="0"/>
          <w:sz w:val="26"/>
          <w:szCs w:val="26"/>
          <w:vertAlign w:val="subscript"/>
        </w:rPr>
        <w:t>gy</w:t>
      </w:r>
      <w:r>
        <w:rPr>
          <w:rFonts w:hint="eastAsia"/>
          <w:snapToGrid w:val="0"/>
          <w:sz w:val="26"/>
          <w:szCs w:val="26"/>
        </w:rPr>
        <w:t>——基准烟气量，标立方米/立方米；</w:t>
      </w:r>
    </w:p>
    <w:p w14:paraId="1A1E6142">
      <w:pPr>
        <w:adjustRightInd w:val="0"/>
        <w:snapToGrid w:val="0"/>
        <w:spacing w:line="460" w:lineRule="exact"/>
        <w:ind w:firstLine="1300" w:firstLineChars="500"/>
        <w:rPr>
          <w:snapToGrid w:val="0"/>
          <w:sz w:val="26"/>
          <w:szCs w:val="26"/>
        </w:rPr>
      </w:pPr>
      <w:r>
        <w:rPr>
          <w:rFonts w:hint="eastAsia"/>
          <w:kern w:val="0"/>
          <w:sz w:val="26"/>
          <w:szCs w:val="26"/>
        </w:rPr>
        <w:t>(</w:t>
      </w:r>
      <w:r>
        <w:rPr>
          <w:kern w:val="0"/>
          <w:sz w:val="26"/>
          <w:szCs w:val="26"/>
        </w:rPr>
        <w:t>CO</w:t>
      </w:r>
      <w:r>
        <w:rPr>
          <w:kern w:val="0"/>
          <w:sz w:val="26"/>
          <w:szCs w:val="26"/>
          <w:vertAlign w:val="subscript"/>
        </w:rPr>
        <w:t>2</w:t>
      </w:r>
      <w:r>
        <w:rPr>
          <w:kern w:val="0"/>
          <w:sz w:val="26"/>
          <w:szCs w:val="26"/>
        </w:rPr>
        <w:t>)</w:t>
      </w:r>
      <w:r>
        <w:rPr>
          <w:rFonts w:hint="eastAsia" w:ascii="TimesNewRomanPS-ItalicMT" w:eastAsia="TimesNewRomanPS-ItalicMT" w:cs="TimesNewRomanPS-ItalicMT"/>
          <w:kern w:val="0"/>
          <w:sz w:val="26"/>
          <w:szCs w:val="26"/>
        </w:rPr>
        <w:t>——</w:t>
      </w:r>
      <w:r>
        <w:rPr>
          <w:rFonts w:hint="eastAsia"/>
          <w:snapToGrid w:val="0"/>
          <w:sz w:val="26"/>
          <w:szCs w:val="26"/>
        </w:rPr>
        <w:t>二氧化碳体积百分数，百分比；</w:t>
      </w:r>
    </w:p>
    <w:p w14:paraId="1A85ED68">
      <w:pPr>
        <w:adjustRightInd w:val="0"/>
        <w:snapToGrid w:val="0"/>
        <w:spacing w:line="460" w:lineRule="exact"/>
        <w:ind w:firstLine="1300" w:firstLineChars="500"/>
        <w:rPr>
          <w:kern w:val="0"/>
          <w:sz w:val="26"/>
          <w:szCs w:val="26"/>
        </w:rPr>
      </w:pPr>
      <w:r>
        <w:rPr>
          <w:rFonts w:hint="eastAsia" w:ascii="TimesNewRomanPS-ItalicMT" w:eastAsia="TimesNewRomanPS-ItalicMT" w:cs="TimesNewRomanPS-ItalicMT"/>
          <w:i/>
          <w:iCs/>
          <w:kern w:val="0"/>
          <w:sz w:val="26"/>
          <w:szCs w:val="26"/>
        </w:rPr>
        <w:t>φ</w:t>
      </w:r>
      <w:r>
        <w:rPr>
          <w:rFonts w:hint="eastAsia"/>
          <w:kern w:val="0"/>
          <w:sz w:val="26"/>
          <w:szCs w:val="26"/>
        </w:rPr>
        <w:t>(</w:t>
      </w:r>
      <w:r>
        <w:rPr>
          <w:kern w:val="0"/>
          <w:sz w:val="26"/>
          <w:szCs w:val="26"/>
        </w:rPr>
        <w:t>N</w:t>
      </w:r>
      <w:r>
        <w:rPr>
          <w:kern w:val="0"/>
          <w:sz w:val="26"/>
          <w:szCs w:val="26"/>
          <w:vertAlign w:val="subscript"/>
        </w:rPr>
        <w:t>2</w:t>
      </w:r>
      <w:r>
        <w:rPr>
          <w:kern w:val="0"/>
          <w:sz w:val="26"/>
          <w:szCs w:val="26"/>
        </w:rPr>
        <w:t>)——</w:t>
      </w:r>
      <w:r>
        <w:rPr>
          <w:rFonts w:hint="eastAsia"/>
          <w:kern w:val="0"/>
          <w:sz w:val="26"/>
          <w:szCs w:val="26"/>
        </w:rPr>
        <w:t>氮体积百分数，百分比；</w:t>
      </w:r>
    </w:p>
    <w:p w14:paraId="1EF16CC0">
      <w:pPr>
        <w:adjustRightInd w:val="0"/>
        <w:snapToGrid w:val="0"/>
        <w:spacing w:line="460" w:lineRule="exact"/>
        <w:ind w:firstLine="1300" w:firstLineChars="500"/>
        <w:rPr>
          <w:snapToGrid w:val="0"/>
          <w:sz w:val="26"/>
          <w:szCs w:val="26"/>
        </w:rPr>
      </w:pPr>
      <w:r>
        <w:rPr>
          <w:rFonts w:hint="eastAsia" w:ascii="TimesNewRomanPS-ItalicMT" w:eastAsia="TimesNewRomanPS-ItalicMT" w:cs="TimesNewRomanPS-ItalicMT"/>
          <w:i/>
          <w:iCs/>
          <w:kern w:val="0"/>
          <w:sz w:val="26"/>
          <w:szCs w:val="26"/>
        </w:rPr>
        <w:t>φ</w:t>
      </w:r>
      <w:r>
        <w:rPr>
          <w:rFonts w:hint="eastAsia"/>
          <w:kern w:val="0"/>
          <w:sz w:val="26"/>
          <w:szCs w:val="26"/>
        </w:rPr>
        <w:t>(</w:t>
      </w:r>
      <w:r>
        <w:rPr>
          <w:kern w:val="0"/>
          <w:sz w:val="26"/>
          <w:szCs w:val="26"/>
        </w:rPr>
        <w:t>CO)</w:t>
      </w:r>
      <w:r>
        <w:rPr>
          <w:rFonts w:hint="eastAsia" w:ascii="TimesNewRomanPS-ItalicMT" w:eastAsia="TimesNewRomanPS-ItalicMT" w:cs="TimesNewRomanPS-ItalicMT"/>
          <w:kern w:val="0"/>
          <w:sz w:val="26"/>
          <w:szCs w:val="26"/>
        </w:rPr>
        <w:t>——</w:t>
      </w:r>
      <w:r>
        <w:rPr>
          <w:rFonts w:hint="eastAsia"/>
          <w:snapToGrid w:val="0"/>
          <w:sz w:val="26"/>
          <w:szCs w:val="26"/>
        </w:rPr>
        <w:t>一氧化碳体积百分数，百分比；</w:t>
      </w:r>
    </w:p>
    <w:p w14:paraId="2EE5BD8B">
      <w:pPr>
        <w:adjustRightInd w:val="0"/>
        <w:snapToGrid w:val="0"/>
        <w:spacing w:line="460" w:lineRule="exact"/>
        <w:ind w:firstLine="1300" w:firstLineChars="500"/>
        <w:rPr>
          <w:kern w:val="0"/>
          <w:sz w:val="26"/>
          <w:szCs w:val="26"/>
        </w:rPr>
      </w:pPr>
      <w:r>
        <w:rPr>
          <w:rFonts w:hint="eastAsia" w:ascii="TimesNewRomanPS-ItalicMT" w:eastAsia="TimesNewRomanPS-ItalicMT" w:cs="TimesNewRomanPS-ItalicMT"/>
          <w:i/>
          <w:iCs/>
          <w:kern w:val="0"/>
          <w:sz w:val="26"/>
          <w:szCs w:val="26"/>
        </w:rPr>
        <w:t>φ</w:t>
      </w:r>
      <w:r>
        <w:rPr>
          <w:rFonts w:hint="eastAsia"/>
          <w:kern w:val="0"/>
          <w:sz w:val="26"/>
          <w:szCs w:val="26"/>
        </w:rPr>
        <w:t>(</w:t>
      </w:r>
      <w:r>
        <w:rPr>
          <w:kern w:val="0"/>
          <w:sz w:val="26"/>
          <w:szCs w:val="26"/>
        </w:rPr>
        <w:t>H</w:t>
      </w:r>
      <w:r>
        <w:rPr>
          <w:kern w:val="0"/>
          <w:sz w:val="26"/>
          <w:szCs w:val="26"/>
          <w:vertAlign w:val="subscript"/>
        </w:rPr>
        <w:t>2</w:t>
      </w:r>
      <w:r>
        <w:rPr>
          <w:kern w:val="0"/>
          <w:sz w:val="26"/>
          <w:szCs w:val="26"/>
        </w:rPr>
        <w:t>)——</w:t>
      </w:r>
      <w:r>
        <w:rPr>
          <w:rFonts w:hint="eastAsia"/>
          <w:kern w:val="0"/>
          <w:sz w:val="26"/>
          <w:szCs w:val="26"/>
        </w:rPr>
        <w:t>氢体积百分数，百分比；</w:t>
      </w:r>
    </w:p>
    <w:p w14:paraId="3EA55563">
      <w:pPr>
        <w:adjustRightInd w:val="0"/>
        <w:snapToGrid w:val="0"/>
        <w:spacing w:line="460" w:lineRule="exact"/>
        <w:ind w:firstLine="1300" w:firstLineChars="500"/>
        <w:rPr>
          <w:snapToGrid w:val="0"/>
          <w:sz w:val="26"/>
          <w:szCs w:val="26"/>
        </w:rPr>
      </w:pPr>
      <w:r>
        <w:rPr>
          <w:rFonts w:hint="eastAsia" w:ascii="TimesNewRomanPS-ItalicMT" w:eastAsia="TimesNewRomanPS-ItalicMT" w:cs="TimesNewRomanPS-ItalicMT"/>
          <w:i/>
          <w:iCs/>
          <w:kern w:val="0"/>
          <w:sz w:val="26"/>
          <w:szCs w:val="26"/>
        </w:rPr>
        <w:t>φ</w:t>
      </w:r>
      <w:r>
        <w:rPr>
          <w:rFonts w:hint="eastAsia"/>
          <w:kern w:val="0"/>
          <w:sz w:val="26"/>
          <w:szCs w:val="26"/>
        </w:rPr>
        <w:t>(</w:t>
      </w:r>
      <w:r>
        <w:rPr>
          <w:kern w:val="0"/>
          <w:sz w:val="26"/>
          <w:szCs w:val="26"/>
        </w:rPr>
        <w:t>H</w:t>
      </w:r>
      <w:r>
        <w:rPr>
          <w:kern w:val="0"/>
          <w:sz w:val="26"/>
          <w:szCs w:val="26"/>
          <w:vertAlign w:val="subscript"/>
        </w:rPr>
        <w:t>2</w:t>
      </w:r>
      <w:r>
        <w:rPr>
          <w:kern w:val="0"/>
          <w:sz w:val="26"/>
          <w:szCs w:val="26"/>
        </w:rPr>
        <w:t>S)</w:t>
      </w:r>
      <w:r>
        <w:rPr>
          <w:rFonts w:hint="eastAsia" w:ascii="TimesNewRomanPS-ItalicMT" w:eastAsia="TimesNewRomanPS-ItalicMT" w:cs="TimesNewRomanPS-ItalicMT"/>
          <w:kern w:val="0"/>
          <w:sz w:val="26"/>
          <w:szCs w:val="26"/>
        </w:rPr>
        <w:t>——</w:t>
      </w:r>
      <w:r>
        <w:rPr>
          <w:rFonts w:hint="eastAsia"/>
          <w:snapToGrid w:val="0"/>
          <w:sz w:val="26"/>
          <w:szCs w:val="26"/>
        </w:rPr>
        <w:t>硫化氢体积百分数，百分比；</w:t>
      </w:r>
    </w:p>
    <w:p w14:paraId="67C99346">
      <w:pPr>
        <w:adjustRightInd w:val="0"/>
        <w:snapToGrid w:val="0"/>
        <w:spacing w:line="460" w:lineRule="exact"/>
        <w:ind w:firstLine="1300" w:firstLineChars="500"/>
        <w:rPr>
          <w:snapToGrid w:val="0"/>
          <w:sz w:val="26"/>
          <w:szCs w:val="26"/>
        </w:rPr>
      </w:pPr>
      <w:r>
        <w:rPr>
          <w:rFonts w:hint="eastAsia" w:ascii="TimesNewRomanPS-ItalicMT" w:eastAsia="TimesNewRomanPS-ItalicMT" w:cs="TimesNewRomanPS-ItalicMT"/>
          <w:i/>
          <w:iCs/>
          <w:kern w:val="0"/>
          <w:sz w:val="26"/>
          <w:szCs w:val="26"/>
        </w:rPr>
        <w:t>φ</w:t>
      </w:r>
      <w:r>
        <w:rPr>
          <w:rFonts w:hint="eastAsia"/>
          <w:kern w:val="0"/>
          <w:sz w:val="26"/>
          <w:szCs w:val="26"/>
        </w:rPr>
        <w:t>(</w:t>
      </w:r>
      <w:r>
        <w:rPr>
          <w:kern w:val="0"/>
          <w:sz w:val="26"/>
          <w:szCs w:val="26"/>
        </w:rPr>
        <w:t>C</w:t>
      </w:r>
      <w:r>
        <w:rPr>
          <w:rFonts w:hint="eastAsia"/>
          <w:kern w:val="0"/>
          <w:sz w:val="26"/>
          <w:szCs w:val="26"/>
          <w:vertAlign w:val="subscript"/>
        </w:rPr>
        <w:t>m</w:t>
      </w:r>
      <w:r>
        <w:rPr>
          <w:kern w:val="0"/>
          <w:sz w:val="26"/>
          <w:szCs w:val="26"/>
        </w:rPr>
        <w:t>H</w:t>
      </w:r>
      <w:r>
        <w:rPr>
          <w:rFonts w:hint="eastAsia"/>
          <w:kern w:val="0"/>
          <w:sz w:val="26"/>
          <w:szCs w:val="26"/>
          <w:vertAlign w:val="subscript"/>
        </w:rPr>
        <w:t>n</w:t>
      </w:r>
      <w:r>
        <w:rPr>
          <w:kern w:val="0"/>
          <w:sz w:val="26"/>
          <w:szCs w:val="26"/>
        </w:rPr>
        <w:t>)</w:t>
      </w:r>
      <w:r>
        <w:rPr>
          <w:rFonts w:hint="eastAsia" w:ascii="TimesNewRomanPS-ItalicMT" w:eastAsia="TimesNewRomanPS-ItalicMT" w:cs="TimesNewRomanPS-ItalicMT"/>
          <w:kern w:val="0"/>
          <w:sz w:val="26"/>
          <w:szCs w:val="26"/>
        </w:rPr>
        <w:t>——</w:t>
      </w:r>
      <w:r>
        <w:rPr>
          <w:rFonts w:hint="eastAsia"/>
          <w:snapToGrid w:val="0"/>
          <w:sz w:val="26"/>
          <w:szCs w:val="26"/>
        </w:rPr>
        <w:t>烃类体积百分数，百分比；</w:t>
      </w:r>
    </w:p>
    <w:p w14:paraId="3B23DC3E">
      <w:pPr>
        <w:adjustRightInd w:val="0"/>
        <w:snapToGrid w:val="0"/>
        <w:spacing w:line="460" w:lineRule="exact"/>
        <w:ind w:firstLine="1300" w:firstLineChars="500"/>
        <w:rPr>
          <w:kern w:val="0"/>
          <w:sz w:val="26"/>
          <w:szCs w:val="26"/>
        </w:rPr>
      </w:pPr>
      <w:r>
        <w:rPr>
          <w:rFonts w:hint="eastAsia" w:ascii="TimesNewRomanPS-ItalicMT" w:eastAsia="TimesNewRomanPS-ItalicMT" w:cs="TimesNewRomanPS-ItalicMT"/>
          <w:i/>
          <w:iCs/>
          <w:kern w:val="0"/>
          <w:sz w:val="26"/>
          <w:szCs w:val="26"/>
        </w:rPr>
        <w:t>φ</w:t>
      </w:r>
      <w:r>
        <w:rPr>
          <w:rFonts w:hint="eastAsia"/>
          <w:kern w:val="0"/>
          <w:sz w:val="26"/>
          <w:szCs w:val="26"/>
        </w:rPr>
        <w:t>(</w:t>
      </w:r>
      <w:r>
        <w:rPr>
          <w:kern w:val="0"/>
          <w:sz w:val="26"/>
          <w:szCs w:val="26"/>
        </w:rPr>
        <w:t>O</w:t>
      </w:r>
      <w:r>
        <w:rPr>
          <w:kern w:val="0"/>
          <w:sz w:val="26"/>
          <w:szCs w:val="26"/>
          <w:vertAlign w:val="subscript"/>
        </w:rPr>
        <w:t>2</w:t>
      </w:r>
      <w:r>
        <w:rPr>
          <w:kern w:val="0"/>
          <w:sz w:val="26"/>
          <w:szCs w:val="26"/>
        </w:rPr>
        <w:t>)——</w:t>
      </w:r>
      <w:r>
        <w:rPr>
          <w:rFonts w:hint="eastAsia"/>
          <w:kern w:val="0"/>
          <w:sz w:val="26"/>
          <w:szCs w:val="26"/>
        </w:rPr>
        <w:t>氧气体积百分数，百分比；</w:t>
      </w:r>
    </w:p>
    <w:p w14:paraId="69C4FB01">
      <w:pPr>
        <w:adjustRightInd w:val="0"/>
        <w:snapToGrid w:val="0"/>
        <w:spacing w:line="460" w:lineRule="exact"/>
        <w:ind w:firstLine="1305" w:firstLineChars="500"/>
        <w:rPr>
          <w:kern w:val="0"/>
          <w:sz w:val="26"/>
          <w:szCs w:val="26"/>
        </w:rPr>
      </w:pPr>
      <w:r>
        <w:rPr>
          <w:rFonts w:hint="eastAsia"/>
          <w:b/>
          <w:bCs/>
          <w:kern w:val="0"/>
          <w:sz w:val="26"/>
          <w:szCs w:val="26"/>
        </w:rPr>
        <w:t>α</w:t>
      </w:r>
      <w:r>
        <w:rPr>
          <w:rFonts w:hint="eastAsia"/>
          <w:kern w:val="0"/>
          <w:sz w:val="26"/>
          <w:szCs w:val="26"/>
        </w:rPr>
        <w:t>——过量空气系数，燃料燃烧时实际空气供给量与理论空气需要量之比值，燃气锅炉的过量空气系数为1.2，对应基准氧含量为3.5%。</w:t>
      </w:r>
    </w:p>
    <w:p w14:paraId="44DE5651">
      <w:pPr>
        <w:adjustRightInd w:val="0"/>
        <w:snapToGrid w:val="0"/>
        <w:spacing w:line="460" w:lineRule="exact"/>
        <w:ind w:firstLine="520" w:firstLineChars="200"/>
        <w:rPr>
          <w:kern w:val="0"/>
          <w:sz w:val="26"/>
          <w:szCs w:val="26"/>
        </w:rPr>
      </w:pPr>
      <w:r>
        <w:rPr>
          <w:rFonts w:hint="eastAsia"/>
          <w:kern w:val="0"/>
          <w:sz w:val="26"/>
          <w:szCs w:val="26"/>
        </w:rPr>
        <w:t>根据前文气质组分预测结果，结合上述计算可知项目基准烟气量</w:t>
      </w:r>
      <w:r>
        <w:rPr>
          <w:snapToGrid w:val="0"/>
          <w:sz w:val="26"/>
          <w:szCs w:val="26"/>
        </w:rPr>
        <w:t>V</w:t>
      </w:r>
      <w:r>
        <w:rPr>
          <w:rFonts w:hint="eastAsia"/>
          <w:snapToGrid w:val="0"/>
          <w:sz w:val="26"/>
          <w:szCs w:val="26"/>
          <w:vertAlign w:val="subscript"/>
        </w:rPr>
        <w:t>gy</w:t>
      </w:r>
      <w:r>
        <w:rPr>
          <w:rFonts w:hint="eastAsia"/>
          <w:snapToGrid w:val="0"/>
          <w:sz w:val="26"/>
          <w:szCs w:val="26"/>
        </w:rPr>
        <w:t>约</w:t>
      </w:r>
      <w:r>
        <w:rPr>
          <w:rFonts w:hint="eastAsia"/>
          <w:kern w:val="0"/>
          <w:sz w:val="26"/>
          <w:szCs w:val="26"/>
        </w:rPr>
        <w:t>为1</w:t>
      </w:r>
      <w:r>
        <w:rPr>
          <w:kern w:val="0"/>
          <w:sz w:val="26"/>
          <w:szCs w:val="26"/>
        </w:rPr>
        <w:t>3.15</w:t>
      </w:r>
      <w:r>
        <w:rPr>
          <w:rFonts w:hint="eastAsia"/>
          <w:kern w:val="0"/>
          <w:sz w:val="26"/>
          <w:szCs w:val="26"/>
        </w:rPr>
        <w:t>标立方米/立方米。</w:t>
      </w:r>
    </w:p>
    <w:p w14:paraId="20A22C0E">
      <w:pPr>
        <w:adjustRightInd w:val="0"/>
        <w:snapToGrid w:val="0"/>
        <w:spacing w:line="460" w:lineRule="exact"/>
        <w:ind w:firstLine="520" w:firstLineChars="200"/>
        <w:rPr>
          <w:b/>
          <w:bCs/>
          <w:snapToGrid w:val="0"/>
          <w:sz w:val="26"/>
          <w:szCs w:val="26"/>
        </w:rPr>
      </w:pPr>
      <w:r>
        <w:rPr>
          <w:rFonts w:hint="eastAsia"/>
          <w:snapToGrid w:val="0"/>
          <w:sz w:val="26"/>
          <w:szCs w:val="26"/>
        </w:rPr>
        <w:t>根据《污染源源强核算技术指南</w:t>
      </w:r>
      <w:r>
        <w:rPr>
          <w:rFonts w:hint="eastAsia"/>
          <w:b/>
          <w:bCs/>
          <w:snapToGrid w:val="0"/>
          <w:sz w:val="26"/>
          <w:szCs w:val="26"/>
        </w:rPr>
        <w:t xml:space="preserve"> </w:t>
      </w:r>
      <w:r>
        <w:rPr>
          <w:rFonts w:hint="eastAsia"/>
          <w:snapToGrid w:val="0"/>
          <w:sz w:val="26"/>
          <w:szCs w:val="26"/>
        </w:rPr>
        <w:t>锅炉》（H</w:t>
      </w:r>
      <w:r>
        <w:rPr>
          <w:snapToGrid w:val="0"/>
          <w:sz w:val="26"/>
          <w:szCs w:val="26"/>
        </w:rPr>
        <w:t>J991-2018</w:t>
      </w:r>
      <w:r>
        <w:rPr>
          <w:rFonts w:hint="eastAsia"/>
          <w:snapToGrid w:val="0"/>
          <w:sz w:val="26"/>
          <w:szCs w:val="26"/>
        </w:rPr>
        <w:t>），燃烧废气主要污染物为颗粒物、二氧化硫和氮氧化物。颗粒物参照《环境保护实用数据手册》。SO</w:t>
      </w:r>
      <w:r>
        <w:rPr>
          <w:rFonts w:hint="eastAsia"/>
          <w:snapToGrid w:val="0"/>
          <w:sz w:val="26"/>
          <w:szCs w:val="26"/>
          <w:vertAlign w:val="subscript"/>
        </w:rPr>
        <w:t>2</w:t>
      </w:r>
      <w:r>
        <w:rPr>
          <w:rFonts w:hint="eastAsia"/>
          <w:snapToGrid w:val="0"/>
          <w:sz w:val="26"/>
          <w:szCs w:val="26"/>
        </w:rPr>
        <w:t>浓度参考《第二次全国污染源普查产排污核算系数手册》，氮氧化物参照《第二次全国污染源普查工业污染源产排污系数手册》 4430 工业锅炉（热力生产和供应行业）。根据气质分析，本项目为不含硫井，其中硫化氢未检出（本次评价；硫含量以0计）。污染物产污系数见下表。</w:t>
      </w:r>
    </w:p>
    <w:p w14:paraId="0880EBA2">
      <w:pPr>
        <w:pStyle w:val="1379"/>
        <w:ind w:firstLine="440"/>
      </w:pPr>
    </w:p>
    <w:p w14:paraId="54DC5175">
      <w:pPr>
        <w:keepNext/>
        <w:snapToGrid w:val="0"/>
        <w:spacing w:line="480" w:lineRule="exact"/>
        <w:ind w:firstLine="520" w:firstLineChars="200"/>
        <w:jc w:val="center"/>
        <w:rPr>
          <w:sz w:val="26"/>
          <w:szCs w:val="26"/>
        </w:rPr>
      </w:pPr>
      <w:r>
        <w:rPr>
          <w:rFonts w:hint="eastAsia"/>
          <w:sz w:val="26"/>
          <w:szCs w:val="26"/>
        </w:rPr>
        <w:t>表3.2-1  锅炉燃烧废气主要污染物排放系数</w:t>
      </w:r>
    </w:p>
    <w:tbl>
      <w:tblPr>
        <w:tblStyle w:val="88"/>
        <w:tblW w:w="8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4"/>
        <w:gridCol w:w="1280"/>
        <w:gridCol w:w="1136"/>
        <w:gridCol w:w="3924"/>
        <w:gridCol w:w="1126"/>
      </w:tblGrid>
      <w:tr w14:paraId="5B0D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274" w:type="dxa"/>
            <w:vAlign w:val="center"/>
          </w:tcPr>
          <w:p w14:paraId="232DEAC5">
            <w:pPr>
              <w:adjustRightInd w:val="0"/>
              <w:snapToGrid w:val="0"/>
              <w:jc w:val="center"/>
              <w:rPr>
                <w:snapToGrid w:val="0"/>
                <w:sz w:val="22"/>
                <w:szCs w:val="22"/>
              </w:rPr>
            </w:pPr>
            <w:r>
              <w:rPr>
                <w:rFonts w:hint="eastAsia"/>
                <w:snapToGrid w:val="0"/>
                <w:sz w:val="22"/>
                <w:szCs w:val="22"/>
              </w:rPr>
              <w:t>污染物指标</w:t>
            </w:r>
          </w:p>
        </w:tc>
        <w:tc>
          <w:tcPr>
            <w:tcW w:w="1280" w:type="dxa"/>
            <w:vAlign w:val="center"/>
          </w:tcPr>
          <w:p w14:paraId="3394454F">
            <w:pPr>
              <w:adjustRightInd w:val="0"/>
              <w:snapToGrid w:val="0"/>
              <w:jc w:val="center"/>
              <w:rPr>
                <w:snapToGrid w:val="0"/>
                <w:sz w:val="22"/>
                <w:szCs w:val="22"/>
              </w:rPr>
            </w:pPr>
            <w:r>
              <w:rPr>
                <w:rFonts w:hint="eastAsia"/>
                <w:snapToGrid w:val="0"/>
                <w:sz w:val="22"/>
                <w:szCs w:val="22"/>
              </w:rPr>
              <w:t>单位</w:t>
            </w:r>
          </w:p>
        </w:tc>
        <w:tc>
          <w:tcPr>
            <w:tcW w:w="1136" w:type="dxa"/>
            <w:vAlign w:val="center"/>
          </w:tcPr>
          <w:p w14:paraId="5A33B4F3">
            <w:pPr>
              <w:adjustRightInd w:val="0"/>
              <w:snapToGrid w:val="0"/>
              <w:jc w:val="center"/>
              <w:rPr>
                <w:snapToGrid w:val="0"/>
                <w:sz w:val="22"/>
                <w:szCs w:val="22"/>
              </w:rPr>
            </w:pPr>
            <w:r>
              <w:rPr>
                <w:rFonts w:hint="eastAsia"/>
                <w:snapToGrid w:val="0"/>
                <w:sz w:val="22"/>
                <w:szCs w:val="22"/>
              </w:rPr>
              <w:t>产污系数</w:t>
            </w:r>
          </w:p>
        </w:tc>
        <w:tc>
          <w:tcPr>
            <w:tcW w:w="3924" w:type="dxa"/>
            <w:vAlign w:val="center"/>
          </w:tcPr>
          <w:p w14:paraId="0CB1B289">
            <w:pPr>
              <w:adjustRightInd w:val="0"/>
              <w:snapToGrid w:val="0"/>
              <w:jc w:val="center"/>
              <w:rPr>
                <w:snapToGrid w:val="0"/>
                <w:sz w:val="22"/>
                <w:szCs w:val="22"/>
              </w:rPr>
            </w:pPr>
            <w:r>
              <w:rPr>
                <w:rFonts w:hint="eastAsia"/>
                <w:snapToGrid w:val="0"/>
                <w:sz w:val="22"/>
                <w:szCs w:val="22"/>
              </w:rPr>
              <w:t>依据</w:t>
            </w:r>
          </w:p>
        </w:tc>
        <w:tc>
          <w:tcPr>
            <w:tcW w:w="1126" w:type="dxa"/>
            <w:vAlign w:val="center"/>
          </w:tcPr>
          <w:p w14:paraId="181AE699">
            <w:pPr>
              <w:adjustRightInd w:val="0"/>
              <w:snapToGrid w:val="0"/>
              <w:jc w:val="center"/>
              <w:rPr>
                <w:snapToGrid w:val="0"/>
                <w:sz w:val="22"/>
                <w:szCs w:val="22"/>
              </w:rPr>
            </w:pPr>
            <w:r>
              <w:rPr>
                <w:rFonts w:hint="eastAsia"/>
                <w:snapToGrid w:val="0"/>
                <w:sz w:val="22"/>
                <w:szCs w:val="22"/>
              </w:rPr>
              <w:t>备注</w:t>
            </w:r>
          </w:p>
        </w:tc>
      </w:tr>
      <w:tr w14:paraId="0CC3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274" w:type="dxa"/>
            <w:vAlign w:val="center"/>
          </w:tcPr>
          <w:p w14:paraId="2426805F">
            <w:pPr>
              <w:adjustRightInd w:val="0"/>
              <w:snapToGrid w:val="0"/>
              <w:jc w:val="center"/>
              <w:rPr>
                <w:snapToGrid w:val="0"/>
                <w:sz w:val="22"/>
                <w:szCs w:val="22"/>
              </w:rPr>
            </w:pPr>
            <w:r>
              <w:rPr>
                <w:rFonts w:hint="eastAsia"/>
                <w:snapToGrid w:val="0"/>
                <w:sz w:val="22"/>
                <w:szCs w:val="22"/>
              </w:rPr>
              <w:t>废气量</w:t>
            </w:r>
          </w:p>
        </w:tc>
        <w:tc>
          <w:tcPr>
            <w:tcW w:w="1280" w:type="dxa"/>
            <w:vAlign w:val="center"/>
          </w:tcPr>
          <w:p w14:paraId="7417917A">
            <w:pPr>
              <w:adjustRightInd w:val="0"/>
              <w:snapToGrid w:val="0"/>
              <w:jc w:val="center"/>
              <w:rPr>
                <w:snapToGrid w:val="0"/>
                <w:sz w:val="22"/>
                <w:szCs w:val="22"/>
              </w:rPr>
            </w:pPr>
            <w:r>
              <w:rPr>
                <w:rFonts w:hint="eastAsia"/>
                <w:snapToGrid w:val="0"/>
                <w:sz w:val="22"/>
                <w:szCs w:val="22"/>
              </w:rPr>
              <w:t>Nm</w:t>
            </w:r>
            <w:r>
              <w:rPr>
                <w:rFonts w:hint="eastAsia"/>
                <w:snapToGrid w:val="0"/>
                <w:sz w:val="22"/>
                <w:szCs w:val="22"/>
                <w:vertAlign w:val="superscript"/>
              </w:rPr>
              <w:t>3</w:t>
            </w:r>
            <w:r>
              <w:rPr>
                <w:rFonts w:hint="eastAsia"/>
                <w:snapToGrid w:val="0"/>
                <w:sz w:val="22"/>
                <w:szCs w:val="22"/>
              </w:rPr>
              <w:t>/m</w:t>
            </w:r>
            <w:r>
              <w:rPr>
                <w:rFonts w:hint="eastAsia"/>
                <w:snapToGrid w:val="0"/>
                <w:sz w:val="22"/>
                <w:szCs w:val="22"/>
                <w:vertAlign w:val="superscript"/>
              </w:rPr>
              <w:t>3</w:t>
            </w:r>
          </w:p>
        </w:tc>
        <w:tc>
          <w:tcPr>
            <w:tcW w:w="1136" w:type="dxa"/>
            <w:vAlign w:val="center"/>
          </w:tcPr>
          <w:p w14:paraId="4734F4C6">
            <w:pPr>
              <w:adjustRightInd w:val="0"/>
              <w:snapToGrid w:val="0"/>
              <w:jc w:val="center"/>
              <w:rPr>
                <w:snapToGrid w:val="0"/>
                <w:sz w:val="22"/>
                <w:szCs w:val="22"/>
              </w:rPr>
            </w:pPr>
            <w:r>
              <w:rPr>
                <w:rFonts w:hint="eastAsia"/>
                <w:snapToGrid w:val="0"/>
                <w:sz w:val="22"/>
                <w:szCs w:val="22"/>
              </w:rPr>
              <w:t>1</w:t>
            </w:r>
            <w:r>
              <w:rPr>
                <w:snapToGrid w:val="0"/>
                <w:sz w:val="22"/>
                <w:szCs w:val="22"/>
              </w:rPr>
              <w:t>3.15</w:t>
            </w:r>
          </w:p>
        </w:tc>
        <w:tc>
          <w:tcPr>
            <w:tcW w:w="3924" w:type="dxa"/>
            <w:vAlign w:val="center"/>
          </w:tcPr>
          <w:p w14:paraId="559F28B8">
            <w:pPr>
              <w:adjustRightInd w:val="0"/>
              <w:snapToGrid w:val="0"/>
              <w:jc w:val="center"/>
              <w:rPr>
                <w:snapToGrid w:val="0"/>
                <w:sz w:val="22"/>
                <w:szCs w:val="22"/>
              </w:rPr>
            </w:pPr>
            <w:r>
              <w:rPr>
                <w:rFonts w:hint="eastAsia"/>
                <w:snapToGrid w:val="0"/>
                <w:sz w:val="22"/>
                <w:szCs w:val="22"/>
              </w:rPr>
              <w:t>H</w:t>
            </w:r>
            <w:r>
              <w:rPr>
                <w:snapToGrid w:val="0"/>
                <w:sz w:val="22"/>
                <w:szCs w:val="22"/>
              </w:rPr>
              <w:t>J953-2018</w:t>
            </w:r>
            <w:r>
              <w:rPr>
                <w:rFonts w:hint="eastAsia"/>
                <w:snapToGrid w:val="0"/>
                <w:sz w:val="22"/>
                <w:szCs w:val="22"/>
              </w:rPr>
              <w:t>、H</w:t>
            </w:r>
            <w:r>
              <w:rPr>
                <w:snapToGrid w:val="0"/>
                <w:sz w:val="22"/>
                <w:szCs w:val="22"/>
              </w:rPr>
              <w:t>J991-2018</w:t>
            </w:r>
          </w:p>
        </w:tc>
        <w:tc>
          <w:tcPr>
            <w:tcW w:w="1126" w:type="dxa"/>
            <w:vAlign w:val="center"/>
          </w:tcPr>
          <w:p w14:paraId="55E9FE0C">
            <w:pPr>
              <w:adjustRightInd w:val="0"/>
              <w:snapToGrid w:val="0"/>
              <w:jc w:val="center"/>
              <w:rPr>
                <w:snapToGrid w:val="0"/>
                <w:sz w:val="22"/>
                <w:szCs w:val="22"/>
              </w:rPr>
            </w:pPr>
            <w:r>
              <w:rPr>
                <w:rFonts w:hint="eastAsia"/>
                <w:snapToGrid w:val="0"/>
                <w:sz w:val="22"/>
                <w:szCs w:val="22"/>
              </w:rPr>
              <w:t>/</w:t>
            </w:r>
          </w:p>
        </w:tc>
      </w:tr>
      <w:tr w14:paraId="1DCD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1274" w:type="dxa"/>
            <w:vAlign w:val="center"/>
          </w:tcPr>
          <w:p w14:paraId="561D919C">
            <w:pPr>
              <w:adjustRightInd w:val="0"/>
              <w:snapToGrid w:val="0"/>
              <w:jc w:val="center"/>
              <w:rPr>
                <w:snapToGrid w:val="0"/>
                <w:sz w:val="22"/>
                <w:szCs w:val="22"/>
              </w:rPr>
            </w:pPr>
            <w:r>
              <w:rPr>
                <w:rFonts w:hint="eastAsia"/>
                <w:snapToGrid w:val="0"/>
                <w:sz w:val="22"/>
                <w:szCs w:val="22"/>
              </w:rPr>
              <w:t>S</w:t>
            </w:r>
            <w:r>
              <w:rPr>
                <w:snapToGrid w:val="0"/>
                <w:sz w:val="22"/>
                <w:szCs w:val="22"/>
              </w:rPr>
              <w:t>O</w:t>
            </w:r>
            <w:r>
              <w:rPr>
                <w:snapToGrid w:val="0"/>
                <w:sz w:val="22"/>
                <w:szCs w:val="22"/>
                <w:vertAlign w:val="subscript"/>
              </w:rPr>
              <w:t>2</w:t>
            </w:r>
          </w:p>
        </w:tc>
        <w:tc>
          <w:tcPr>
            <w:tcW w:w="1280" w:type="dxa"/>
            <w:vAlign w:val="center"/>
          </w:tcPr>
          <w:p w14:paraId="4767E45D">
            <w:pPr>
              <w:adjustRightInd w:val="0"/>
              <w:snapToGrid w:val="0"/>
              <w:jc w:val="center"/>
              <w:rPr>
                <w:snapToGrid w:val="0"/>
                <w:sz w:val="22"/>
                <w:szCs w:val="22"/>
              </w:rPr>
            </w:pPr>
            <w:r>
              <w:rPr>
                <w:rFonts w:hint="eastAsia"/>
                <w:snapToGrid w:val="0"/>
                <w:sz w:val="22"/>
                <w:szCs w:val="22"/>
              </w:rPr>
              <w:t>g</w:t>
            </w:r>
            <w:r>
              <w:rPr>
                <w:snapToGrid w:val="0"/>
                <w:sz w:val="22"/>
                <w:szCs w:val="22"/>
              </w:rPr>
              <w:t>/</w:t>
            </w:r>
            <w:r>
              <w:rPr>
                <w:rFonts w:hint="eastAsia"/>
                <w:snapToGrid w:val="0"/>
                <w:sz w:val="22"/>
                <w:szCs w:val="22"/>
              </w:rPr>
              <w:t>万m</w:t>
            </w:r>
            <w:r>
              <w:rPr>
                <w:snapToGrid w:val="0"/>
                <w:sz w:val="22"/>
                <w:szCs w:val="22"/>
                <w:vertAlign w:val="superscript"/>
              </w:rPr>
              <w:t>3</w:t>
            </w:r>
            <w:r>
              <w:rPr>
                <w:snapToGrid w:val="0"/>
                <w:sz w:val="22"/>
                <w:szCs w:val="22"/>
              </w:rPr>
              <w:t>-</w:t>
            </w:r>
            <w:r>
              <w:rPr>
                <w:rFonts w:hint="eastAsia"/>
                <w:snapToGrid w:val="0"/>
                <w:sz w:val="22"/>
                <w:szCs w:val="22"/>
              </w:rPr>
              <w:t>原料</w:t>
            </w:r>
          </w:p>
        </w:tc>
        <w:tc>
          <w:tcPr>
            <w:tcW w:w="1136" w:type="dxa"/>
            <w:vAlign w:val="center"/>
          </w:tcPr>
          <w:p w14:paraId="77B0A3B1">
            <w:pPr>
              <w:adjustRightInd w:val="0"/>
              <w:snapToGrid w:val="0"/>
              <w:jc w:val="center"/>
              <w:rPr>
                <w:snapToGrid w:val="0"/>
                <w:sz w:val="22"/>
                <w:szCs w:val="22"/>
              </w:rPr>
            </w:pPr>
            <w:r>
              <w:rPr>
                <w:rFonts w:hint="eastAsia"/>
                <w:snapToGrid w:val="0"/>
                <w:sz w:val="22"/>
                <w:szCs w:val="22"/>
              </w:rPr>
              <w:t>0</w:t>
            </w:r>
            <w:r>
              <w:rPr>
                <w:snapToGrid w:val="0"/>
                <w:sz w:val="22"/>
                <w:szCs w:val="22"/>
              </w:rPr>
              <w:t>.02S</w:t>
            </w:r>
          </w:p>
        </w:tc>
        <w:tc>
          <w:tcPr>
            <w:tcW w:w="3924" w:type="dxa"/>
            <w:vAlign w:val="center"/>
          </w:tcPr>
          <w:p w14:paraId="4E84AA52">
            <w:pPr>
              <w:adjustRightInd w:val="0"/>
              <w:snapToGrid w:val="0"/>
              <w:jc w:val="center"/>
              <w:rPr>
                <w:snapToGrid w:val="0"/>
                <w:sz w:val="22"/>
                <w:szCs w:val="22"/>
              </w:rPr>
            </w:pPr>
            <w:r>
              <w:rPr>
                <w:rFonts w:hint="eastAsia"/>
                <w:snapToGrid w:val="0"/>
                <w:sz w:val="22"/>
                <w:szCs w:val="22"/>
              </w:rPr>
              <w:t>《第二次全国污染源普查产排污核算系数手册》中燃气锅炉</w:t>
            </w:r>
          </w:p>
        </w:tc>
        <w:tc>
          <w:tcPr>
            <w:tcW w:w="1126" w:type="dxa"/>
            <w:vAlign w:val="center"/>
          </w:tcPr>
          <w:p w14:paraId="5286F0B7">
            <w:pPr>
              <w:adjustRightInd w:val="0"/>
              <w:snapToGrid w:val="0"/>
              <w:jc w:val="center"/>
              <w:rPr>
                <w:snapToGrid w:val="0"/>
                <w:sz w:val="22"/>
                <w:szCs w:val="22"/>
              </w:rPr>
            </w:pPr>
            <w:r>
              <w:rPr>
                <w:rFonts w:hint="eastAsia"/>
                <w:snapToGrid w:val="0"/>
                <w:sz w:val="22"/>
                <w:szCs w:val="22"/>
              </w:rPr>
              <w:t>本项目燃料气不含硫S</w:t>
            </w:r>
          </w:p>
        </w:tc>
      </w:tr>
      <w:tr w14:paraId="3E6D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1274" w:type="dxa"/>
            <w:vAlign w:val="center"/>
          </w:tcPr>
          <w:p w14:paraId="721AED19">
            <w:pPr>
              <w:adjustRightInd w:val="0"/>
              <w:snapToGrid w:val="0"/>
              <w:jc w:val="center"/>
              <w:rPr>
                <w:snapToGrid w:val="0"/>
                <w:sz w:val="22"/>
                <w:szCs w:val="22"/>
              </w:rPr>
            </w:pPr>
            <w:r>
              <w:rPr>
                <w:rFonts w:hint="eastAsia"/>
                <w:snapToGrid w:val="0"/>
                <w:sz w:val="22"/>
                <w:szCs w:val="22"/>
              </w:rPr>
              <w:t>颗粒物</w:t>
            </w:r>
          </w:p>
        </w:tc>
        <w:tc>
          <w:tcPr>
            <w:tcW w:w="1280" w:type="dxa"/>
            <w:vAlign w:val="center"/>
          </w:tcPr>
          <w:p w14:paraId="0E06DDC2">
            <w:pPr>
              <w:adjustRightInd w:val="0"/>
              <w:snapToGrid w:val="0"/>
              <w:jc w:val="center"/>
              <w:rPr>
                <w:snapToGrid w:val="0"/>
                <w:sz w:val="22"/>
                <w:szCs w:val="22"/>
              </w:rPr>
            </w:pPr>
            <w:r>
              <w:rPr>
                <w:rFonts w:hint="eastAsia"/>
                <w:snapToGrid w:val="0"/>
                <w:sz w:val="22"/>
                <w:szCs w:val="22"/>
              </w:rPr>
              <w:t>kg</w:t>
            </w:r>
            <w:r>
              <w:rPr>
                <w:snapToGrid w:val="0"/>
                <w:sz w:val="22"/>
                <w:szCs w:val="22"/>
              </w:rPr>
              <w:t>/</w:t>
            </w:r>
            <w:r>
              <w:rPr>
                <w:rFonts w:hint="eastAsia"/>
                <w:snapToGrid w:val="0"/>
                <w:sz w:val="22"/>
                <w:szCs w:val="22"/>
              </w:rPr>
              <w:t>万m</w:t>
            </w:r>
            <w:r>
              <w:rPr>
                <w:snapToGrid w:val="0"/>
                <w:sz w:val="22"/>
                <w:szCs w:val="22"/>
                <w:vertAlign w:val="superscript"/>
              </w:rPr>
              <w:t>3</w:t>
            </w:r>
            <w:r>
              <w:rPr>
                <w:snapToGrid w:val="0"/>
                <w:sz w:val="22"/>
                <w:szCs w:val="22"/>
              </w:rPr>
              <w:t>-</w:t>
            </w:r>
            <w:r>
              <w:rPr>
                <w:rFonts w:hint="eastAsia"/>
                <w:snapToGrid w:val="0"/>
                <w:sz w:val="22"/>
                <w:szCs w:val="22"/>
              </w:rPr>
              <w:t>原料</w:t>
            </w:r>
          </w:p>
        </w:tc>
        <w:tc>
          <w:tcPr>
            <w:tcW w:w="1136" w:type="dxa"/>
            <w:vAlign w:val="center"/>
          </w:tcPr>
          <w:p w14:paraId="387610C0">
            <w:pPr>
              <w:adjustRightInd w:val="0"/>
              <w:snapToGrid w:val="0"/>
              <w:jc w:val="center"/>
              <w:rPr>
                <w:snapToGrid w:val="0"/>
                <w:sz w:val="22"/>
                <w:szCs w:val="22"/>
              </w:rPr>
            </w:pPr>
            <w:r>
              <w:rPr>
                <w:rFonts w:hint="eastAsia"/>
                <w:snapToGrid w:val="0"/>
                <w:sz w:val="22"/>
                <w:szCs w:val="22"/>
              </w:rPr>
              <w:t>2</w:t>
            </w:r>
            <w:r>
              <w:rPr>
                <w:snapToGrid w:val="0"/>
                <w:sz w:val="22"/>
                <w:szCs w:val="22"/>
              </w:rPr>
              <w:t>.4</w:t>
            </w:r>
          </w:p>
        </w:tc>
        <w:tc>
          <w:tcPr>
            <w:tcW w:w="3924" w:type="dxa"/>
            <w:vAlign w:val="center"/>
          </w:tcPr>
          <w:p w14:paraId="246D7536">
            <w:pPr>
              <w:adjustRightInd w:val="0"/>
              <w:snapToGrid w:val="0"/>
              <w:jc w:val="center"/>
              <w:rPr>
                <w:snapToGrid w:val="0"/>
                <w:sz w:val="22"/>
                <w:szCs w:val="22"/>
              </w:rPr>
            </w:pPr>
            <w:r>
              <w:rPr>
                <w:rFonts w:hint="eastAsia"/>
                <w:snapToGrid w:val="0"/>
                <w:sz w:val="22"/>
                <w:szCs w:val="22"/>
              </w:rPr>
              <w:t>《环境保护使用数据手册》（表2</w:t>
            </w:r>
            <w:r>
              <w:rPr>
                <w:snapToGrid w:val="0"/>
                <w:sz w:val="22"/>
                <w:szCs w:val="22"/>
              </w:rPr>
              <w:t>-63</w:t>
            </w:r>
            <w:r>
              <w:rPr>
                <w:rFonts w:hint="eastAsia"/>
                <w:snapToGrid w:val="0"/>
                <w:sz w:val="22"/>
                <w:szCs w:val="22"/>
              </w:rPr>
              <w:t>）</w:t>
            </w:r>
          </w:p>
        </w:tc>
        <w:tc>
          <w:tcPr>
            <w:tcW w:w="1126" w:type="dxa"/>
            <w:vAlign w:val="center"/>
          </w:tcPr>
          <w:p w14:paraId="16365BD5">
            <w:pPr>
              <w:adjustRightInd w:val="0"/>
              <w:snapToGrid w:val="0"/>
              <w:jc w:val="center"/>
              <w:rPr>
                <w:snapToGrid w:val="0"/>
                <w:sz w:val="22"/>
                <w:szCs w:val="22"/>
              </w:rPr>
            </w:pPr>
            <w:r>
              <w:rPr>
                <w:rFonts w:hint="eastAsia"/>
                <w:snapToGrid w:val="0"/>
                <w:sz w:val="22"/>
                <w:szCs w:val="22"/>
              </w:rPr>
              <w:t>/</w:t>
            </w:r>
          </w:p>
        </w:tc>
      </w:tr>
      <w:tr w14:paraId="64BB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1274" w:type="dxa"/>
            <w:vAlign w:val="center"/>
          </w:tcPr>
          <w:p w14:paraId="104EE0C3">
            <w:pPr>
              <w:adjustRightInd w:val="0"/>
              <w:snapToGrid w:val="0"/>
              <w:jc w:val="center"/>
              <w:rPr>
                <w:snapToGrid w:val="0"/>
                <w:sz w:val="22"/>
                <w:szCs w:val="22"/>
              </w:rPr>
            </w:pPr>
            <w:r>
              <w:rPr>
                <w:rFonts w:hint="eastAsia"/>
                <w:snapToGrid w:val="0"/>
                <w:sz w:val="22"/>
                <w:szCs w:val="22"/>
              </w:rPr>
              <w:t>氮氧化物</w:t>
            </w:r>
          </w:p>
        </w:tc>
        <w:tc>
          <w:tcPr>
            <w:tcW w:w="1280" w:type="dxa"/>
            <w:vAlign w:val="center"/>
          </w:tcPr>
          <w:p w14:paraId="3D1142A6">
            <w:pPr>
              <w:adjustRightInd w:val="0"/>
              <w:snapToGrid w:val="0"/>
              <w:jc w:val="center"/>
              <w:rPr>
                <w:snapToGrid w:val="0"/>
                <w:sz w:val="22"/>
                <w:szCs w:val="22"/>
              </w:rPr>
            </w:pPr>
            <w:r>
              <w:rPr>
                <w:rFonts w:hint="eastAsia"/>
                <w:snapToGrid w:val="0"/>
                <w:sz w:val="22"/>
                <w:szCs w:val="22"/>
              </w:rPr>
              <w:t>kg</w:t>
            </w:r>
            <w:r>
              <w:rPr>
                <w:snapToGrid w:val="0"/>
                <w:sz w:val="22"/>
                <w:szCs w:val="22"/>
              </w:rPr>
              <w:t>/</w:t>
            </w:r>
            <w:r>
              <w:rPr>
                <w:rFonts w:hint="eastAsia"/>
                <w:snapToGrid w:val="0"/>
                <w:sz w:val="22"/>
                <w:szCs w:val="22"/>
              </w:rPr>
              <w:t>万m</w:t>
            </w:r>
            <w:r>
              <w:rPr>
                <w:snapToGrid w:val="0"/>
                <w:sz w:val="22"/>
                <w:szCs w:val="22"/>
                <w:vertAlign w:val="superscript"/>
              </w:rPr>
              <w:t>3</w:t>
            </w:r>
            <w:r>
              <w:rPr>
                <w:snapToGrid w:val="0"/>
                <w:sz w:val="22"/>
                <w:szCs w:val="22"/>
              </w:rPr>
              <w:t>-</w:t>
            </w:r>
            <w:r>
              <w:rPr>
                <w:rFonts w:hint="eastAsia"/>
                <w:snapToGrid w:val="0"/>
                <w:sz w:val="22"/>
                <w:szCs w:val="22"/>
              </w:rPr>
              <w:t>原料</w:t>
            </w:r>
          </w:p>
        </w:tc>
        <w:tc>
          <w:tcPr>
            <w:tcW w:w="1136" w:type="dxa"/>
            <w:vAlign w:val="center"/>
          </w:tcPr>
          <w:p w14:paraId="5A36C1C8">
            <w:pPr>
              <w:adjustRightInd w:val="0"/>
              <w:snapToGrid w:val="0"/>
              <w:jc w:val="center"/>
              <w:rPr>
                <w:snapToGrid w:val="0"/>
                <w:sz w:val="22"/>
                <w:szCs w:val="22"/>
              </w:rPr>
            </w:pPr>
            <w:r>
              <w:rPr>
                <w:snapToGrid w:val="0"/>
                <w:sz w:val="22"/>
                <w:szCs w:val="22"/>
              </w:rPr>
              <w:t>3.03</w:t>
            </w:r>
          </w:p>
        </w:tc>
        <w:tc>
          <w:tcPr>
            <w:tcW w:w="3924" w:type="dxa"/>
            <w:vAlign w:val="center"/>
          </w:tcPr>
          <w:p w14:paraId="01B4E994">
            <w:pPr>
              <w:adjustRightInd w:val="0"/>
              <w:snapToGrid w:val="0"/>
              <w:jc w:val="center"/>
              <w:rPr>
                <w:snapToGrid w:val="0"/>
                <w:sz w:val="22"/>
                <w:szCs w:val="22"/>
              </w:rPr>
            </w:pPr>
            <w:r>
              <w:rPr>
                <w:rFonts w:hint="eastAsia"/>
                <w:snapToGrid w:val="0"/>
                <w:sz w:val="22"/>
                <w:szCs w:val="22"/>
              </w:rPr>
              <w:t>《第二次全国污染源普查产排污核算系数手册》</w:t>
            </w:r>
          </w:p>
        </w:tc>
        <w:tc>
          <w:tcPr>
            <w:tcW w:w="1126" w:type="dxa"/>
            <w:vAlign w:val="center"/>
          </w:tcPr>
          <w:p w14:paraId="14719707">
            <w:pPr>
              <w:adjustRightInd w:val="0"/>
              <w:snapToGrid w:val="0"/>
              <w:jc w:val="center"/>
              <w:rPr>
                <w:snapToGrid w:val="0"/>
                <w:sz w:val="22"/>
                <w:szCs w:val="22"/>
              </w:rPr>
            </w:pPr>
            <w:r>
              <w:rPr>
                <w:rFonts w:hint="eastAsia"/>
                <w:snapToGrid w:val="0"/>
                <w:sz w:val="22"/>
                <w:szCs w:val="22"/>
              </w:rPr>
              <w:t>/</w:t>
            </w:r>
          </w:p>
        </w:tc>
      </w:tr>
      <w:tr w14:paraId="6097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8740" w:type="dxa"/>
            <w:gridSpan w:val="5"/>
            <w:vAlign w:val="center"/>
          </w:tcPr>
          <w:p w14:paraId="0EF17812">
            <w:pPr>
              <w:adjustRightInd w:val="0"/>
              <w:snapToGrid w:val="0"/>
              <w:rPr>
                <w:snapToGrid w:val="0"/>
                <w:sz w:val="22"/>
                <w:szCs w:val="22"/>
              </w:rPr>
            </w:pPr>
            <w:r>
              <w:rPr>
                <w:rFonts w:hint="eastAsia"/>
                <w:snapToGrid w:val="0"/>
                <w:sz w:val="22"/>
                <w:szCs w:val="22"/>
              </w:rPr>
              <w:t>注：</w:t>
            </w:r>
            <w:r>
              <w:t>低氮燃烧-国际领先技术的天然气锅炉设计NOx排放控制要求一般小于60mg/m</w:t>
            </w:r>
            <w:r>
              <w:rPr>
                <w:vertAlign w:val="superscript"/>
              </w:rPr>
              <w:t>3</w:t>
            </w:r>
            <w:r>
              <w:t>（@3.5%O</w:t>
            </w:r>
            <w:r>
              <w:rPr>
                <w:vertAlign w:val="subscript"/>
              </w:rPr>
              <w:t>2</w:t>
            </w:r>
            <w:r>
              <w:t>）；低氮燃烧-国内一般技术的天然气锅炉设计NOx排放控制要求一般介于100mg/m</w:t>
            </w:r>
            <w:r>
              <w:rPr>
                <w:vertAlign w:val="superscript"/>
              </w:rPr>
              <w:t>3</w:t>
            </w:r>
            <w:r>
              <w:t>（@3.5%O</w:t>
            </w:r>
            <w:r>
              <w:rPr>
                <w:vertAlign w:val="subscript"/>
              </w:rPr>
              <w:t>2</w:t>
            </w:r>
            <w:r>
              <w:t>）~200 mg/m</w:t>
            </w:r>
            <w:r>
              <w:rPr>
                <w:vertAlign w:val="superscript"/>
              </w:rPr>
              <w:t>3</w:t>
            </w:r>
            <w:r>
              <w:t>（@3.5%O</w:t>
            </w:r>
            <w:r>
              <w:rPr>
                <w:vertAlign w:val="subscript"/>
              </w:rPr>
              <w:t>2</w:t>
            </w:r>
            <w:r>
              <w:t>）</w:t>
            </w:r>
          </w:p>
        </w:tc>
      </w:tr>
    </w:tbl>
    <w:p w14:paraId="3FF34867">
      <w:pPr>
        <w:pStyle w:val="1379"/>
        <w:ind w:firstLine="440"/>
      </w:pPr>
    </w:p>
    <w:p w14:paraId="732D7DB1">
      <w:pPr>
        <w:snapToGrid w:val="0"/>
        <w:spacing w:line="480" w:lineRule="exact"/>
        <w:ind w:firstLine="520" w:firstLineChars="200"/>
        <w:rPr>
          <w:sz w:val="26"/>
          <w:szCs w:val="26"/>
        </w:rPr>
      </w:pPr>
      <w:r>
        <w:rPr>
          <w:rFonts w:hint="eastAsia"/>
          <w:sz w:val="26"/>
          <w:szCs w:val="26"/>
        </w:rPr>
        <w:t>本项目水套炉废气中NOx、颗粒物产生浓度以</w:t>
      </w:r>
      <w:r>
        <w:rPr>
          <w:rFonts w:hint="eastAsia"/>
          <w:sz w:val="26"/>
          <w:szCs w:val="26"/>
          <w:u w:val="single"/>
        </w:rPr>
        <w:t>表3.2-1</w:t>
      </w:r>
      <w:r>
        <w:rPr>
          <w:rFonts w:hint="eastAsia"/>
          <w:sz w:val="26"/>
          <w:szCs w:val="26"/>
        </w:rPr>
        <w:t>中产污系数核算。则本项目水套加热炉燃烧过程大气污染物源强如下表所示：</w:t>
      </w:r>
    </w:p>
    <w:p w14:paraId="333BED2E">
      <w:pPr>
        <w:pStyle w:val="1379"/>
        <w:ind w:firstLine="440"/>
      </w:pPr>
    </w:p>
    <w:p w14:paraId="1D06DD8C">
      <w:pPr>
        <w:keepNext/>
        <w:snapToGrid w:val="0"/>
        <w:spacing w:line="480" w:lineRule="exact"/>
        <w:ind w:firstLine="520" w:firstLineChars="200"/>
        <w:jc w:val="center"/>
        <w:rPr>
          <w:sz w:val="26"/>
          <w:szCs w:val="26"/>
        </w:rPr>
      </w:pPr>
      <w:r>
        <w:rPr>
          <w:rFonts w:hint="eastAsia"/>
          <w:sz w:val="26"/>
          <w:szCs w:val="26"/>
        </w:rPr>
        <w:t>表3.2-2  水套加热炉废气污染源强核算结果一览表</w:t>
      </w:r>
    </w:p>
    <w:tbl>
      <w:tblPr>
        <w:tblStyle w:val="88"/>
        <w:tblW w:w="8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468"/>
        <w:gridCol w:w="780"/>
        <w:gridCol w:w="701"/>
        <w:gridCol w:w="739"/>
        <w:gridCol w:w="742"/>
        <w:gridCol w:w="780"/>
        <w:gridCol w:w="467"/>
        <w:gridCol w:w="467"/>
        <w:gridCol w:w="671"/>
        <w:gridCol w:w="620"/>
        <w:gridCol w:w="620"/>
        <w:gridCol w:w="680"/>
        <w:gridCol w:w="559"/>
      </w:tblGrid>
      <w:tr w14:paraId="1544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86" w:type="dxa"/>
            <w:vMerge w:val="restart"/>
            <w:vAlign w:val="center"/>
          </w:tcPr>
          <w:p w14:paraId="2B6E038D">
            <w:pPr>
              <w:adjustRightInd w:val="0"/>
              <w:snapToGrid w:val="0"/>
              <w:jc w:val="center"/>
              <w:rPr>
                <w:snapToGrid w:val="0"/>
                <w:sz w:val="18"/>
                <w:szCs w:val="18"/>
              </w:rPr>
            </w:pPr>
            <w:r>
              <w:rPr>
                <w:rFonts w:hint="eastAsia"/>
                <w:snapToGrid w:val="0"/>
                <w:sz w:val="18"/>
                <w:szCs w:val="18"/>
              </w:rPr>
              <w:t>装置</w:t>
            </w:r>
          </w:p>
        </w:tc>
        <w:tc>
          <w:tcPr>
            <w:tcW w:w="468" w:type="dxa"/>
            <w:vMerge w:val="restart"/>
            <w:vAlign w:val="center"/>
          </w:tcPr>
          <w:p w14:paraId="368AFAD6">
            <w:pPr>
              <w:adjustRightInd w:val="0"/>
              <w:snapToGrid w:val="0"/>
              <w:jc w:val="center"/>
              <w:rPr>
                <w:snapToGrid w:val="0"/>
                <w:sz w:val="18"/>
                <w:szCs w:val="18"/>
              </w:rPr>
            </w:pPr>
            <w:r>
              <w:rPr>
                <w:rFonts w:hint="eastAsia"/>
                <w:snapToGrid w:val="0"/>
                <w:sz w:val="18"/>
                <w:szCs w:val="18"/>
              </w:rPr>
              <w:t>污染源</w:t>
            </w:r>
          </w:p>
        </w:tc>
        <w:tc>
          <w:tcPr>
            <w:tcW w:w="780" w:type="dxa"/>
            <w:vMerge w:val="restart"/>
            <w:vAlign w:val="center"/>
          </w:tcPr>
          <w:p w14:paraId="0CC5A994">
            <w:pPr>
              <w:adjustRightInd w:val="0"/>
              <w:snapToGrid w:val="0"/>
              <w:jc w:val="center"/>
              <w:rPr>
                <w:snapToGrid w:val="0"/>
                <w:sz w:val="18"/>
                <w:szCs w:val="18"/>
              </w:rPr>
            </w:pPr>
            <w:r>
              <w:rPr>
                <w:rFonts w:hint="eastAsia"/>
                <w:snapToGrid w:val="0"/>
                <w:sz w:val="18"/>
                <w:szCs w:val="18"/>
              </w:rPr>
              <w:t>污染物</w:t>
            </w:r>
          </w:p>
        </w:tc>
        <w:tc>
          <w:tcPr>
            <w:tcW w:w="2962" w:type="dxa"/>
            <w:gridSpan w:val="4"/>
            <w:vAlign w:val="center"/>
          </w:tcPr>
          <w:p w14:paraId="16075155">
            <w:pPr>
              <w:adjustRightInd w:val="0"/>
              <w:snapToGrid w:val="0"/>
              <w:jc w:val="center"/>
              <w:rPr>
                <w:snapToGrid w:val="0"/>
                <w:sz w:val="18"/>
                <w:szCs w:val="18"/>
              </w:rPr>
            </w:pPr>
            <w:r>
              <w:rPr>
                <w:rFonts w:hint="eastAsia"/>
                <w:snapToGrid w:val="0"/>
                <w:sz w:val="18"/>
                <w:szCs w:val="18"/>
              </w:rPr>
              <w:t>污染物产生</w:t>
            </w:r>
          </w:p>
        </w:tc>
        <w:tc>
          <w:tcPr>
            <w:tcW w:w="934" w:type="dxa"/>
            <w:gridSpan w:val="2"/>
            <w:vAlign w:val="center"/>
          </w:tcPr>
          <w:p w14:paraId="31C7F70E">
            <w:pPr>
              <w:adjustRightInd w:val="0"/>
              <w:snapToGrid w:val="0"/>
              <w:jc w:val="center"/>
              <w:rPr>
                <w:snapToGrid w:val="0"/>
                <w:sz w:val="18"/>
                <w:szCs w:val="18"/>
              </w:rPr>
            </w:pPr>
            <w:r>
              <w:rPr>
                <w:rFonts w:hint="eastAsia"/>
                <w:snapToGrid w:val="0"/>
                <w:sz w:val="18"/>
                <w:szCs w:val="18"/>
              </w:rPr>
              <w:t>治理措施</w:t>
            </w:r>
          </w:p>
        </w:tc>
        <w:tc>
          <w:tcPr>
            <w:tcW w:w="2591" w:type="dxa"/>
            <w:gridSpan w:val="4"/>
            <w:vAlign w:val="center"/>
          </w:tcPr>
          <w:p w14:paraId="5F5DB15F">
            <w:pPr>
              <w:adjustRightInd w:val="0"/>
              <w:snapToGrid w:val="0"/>
              <w:jc w:val="center"/>
              <w:rPr>
                <w:snapToGrid w:val="0"/>
                <w:sz w:val="18"/>
                <w:szCs w:val="18"/>
              </w:rPr>
            </w:pPr>
            <w:r>
              <w:rPr>
                <w:rFonts w:hint="eastAsia"/>
                <w:snapToGrid w:val="0"/>
                <w:sz w:val="18"/>
                <w:szCs w:val="18"/>
              </w:rPr>
              <w:t>污染物排放</w:t>
            </w:r>
          </w:p>
        </w:tc>
        <w:tc>
          <w:tcPr>
            <w:tcW w:w="559" w:type="dxa"/>
            <w:vMerge w:val="restart"/>
            <w:vAlign w:val="center"/>
          </w:tcPr>
          <w:p w14:paraId="286A68D3">
            <w:pPr>
              <w:adjustRightInd w:val="0"/>
              <w:snapToGrid w:val="0"/>
              <w:jc w:val="center"/>
              <w:rPr>
                <w:snapToGrid w:val="0"/>
                <w:sz w:val="18"/>
                <w:szCs w:val="18"/>
              </w:rPr>
            </w:pPr>
            <w:r>
              <w:rPr>
                <w:rFonts w:hint="eastAsia"/>
                <w:snapToGrid w:val="0"/>
                <w:sz w:val="18"/>
                <w:szCs w:val="18"/>
              </w:rPr>
              <w:t>排放时间/</w:t>
            </w:r>
            <w:r>
              <w:rPr>
                <w:snapToGrid w:val="0"/>
                <w:sz w:val="18"/>
                <w:szCs w:val="18"/>
              </w:rPr>
              <w:t>h</w:t>
            </w:r>
          </w:p>
        </w:tc>
      </w:tr>
      <w:tr w14:paraId="4F9DC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86" w:type="dxa"/>
            <w:vMerge w:val="continue"/>
            <w:vAlign w:val="center"/>
          </w:tcPr>
          <w:p w14:paraId="70F0328E">
            <w:pPr>
              <w:adjustRightInd w:val="0"/>
              <w:snapToGrid w:val="0"/>
              <w:jc w:val="center"/>
              <w:rPr>
                <w:snapToGrid w:val="0"/>
                <w:sz w:val="18"/>
                <w:szCs w:val="18"/>
              </w:rPr>
            </w:pPr>
          </w:p>
        </w:tc>
        <w:tc>
          <w:tcPr>
            <w:tcW w:w="468" w:type="dxa"/>
            <w:vMerge w:val="continue"/>
            <w:vAlign w:val="center"/>
          </w:tcPr>
          <w:p w14:paraId="49D05B29">
            <w:pPr>
              <w:adjustRightInd w:val="0"/>
              <w:snapToGrid w:val="0"/>
              <w:jc w:val="center"/>
              <w:rPr>
                <w:snapToGrid w:val="0"/>
                <w:sz w:val="18"/>
                <w:szCs w:val="18"/>
              </w:rPr>
            </w:pPr>
          </w:p>
        </w:tc>
        <w:tc>
          <w:tcPr>
            <w:tcW w:w="780" w:type="dxa"/>
            <w:vMerge w:val="continue"/>
            <w:vAlign w:val="center"/>
          </w:tcPr>
          <w:p w14:paraId="59460B2F">
            <w:pPr>
              <w:adjustRightInd w:val="0"/>
              <w:snapToGrid w:val="0"/>
              <w:jc w:val="center"/>
              <w:rPr>
                <w:snapToGrid w:val="0"/>
                <w:sz w:val="18"/>
                <w:szCs w:val="18"/>
              </w:rPr>
            </w:pPr>
          </w:p>
        </w:tc>
        <w:tc>
          <w:tcPr>
            <w:tcW w:w="701" w:type="dxa"/>
            <w:vAlign w:val="center"/>
          </w:tcPr>
          <w:p w14:paraId="6F27FB5D">
            <w:pPr>
              <w:adjustRightInd w:val="0"/>
              <w:snapToGrid w:val="0"/>
              <w:jc w:val="center"/>
              <w:rPr>
                <w:snapToGrid w:val="0"/>
                <w:sz w:val="18"/>
                <w:szCs w:val="18"/>
              </w:rPr>
            </w:pPr>
            <w:r>
              <w:rPr>
                <w:rFonts w:hint="eastAsia"/>
                <w:snapToGrid w:val="0"/>
                <w:sz w:val="18"/>
                <w:szCs w:val="18"/>
              </w:rPr>
              <w:t>核算方法</w:t>
            </w:r>
          </w:p>
        </w:tc>
        <w:tc>
          <w:tcPr>
            <w:tcW w:w="739" w:type="dxa"/>
            <w:vAlign w:val="center"/>
          </w:tcPr>
          <w:p w14:paraId="6BE31133">
            <w:pPr>
              <w:adjustRightInd w:val="0"/>
              <w:snapToGrid w:val="0"/>
              <w:jc w:val="center"/>
              <w:rPr>
                <w:snapToGrid w:val="0"/>
                <w:sz w:val="18"/>
                <w:szCs w:val="18"/>
              </w:rPr>
            </w:pPr>
            <w:r>
              <w:rPr>
                <w:rFonts w:hint="eastAsia"/>
                <w:snapToGrid w:val="0"/>
                <w:sz w:val="18"/>
                <w:szCs w:val="18"/>
              </w:rPr>
              <w:t>烟气量(m</w:t>
            </w:r>
            <w:r>
              <w:rPr>
                <w:snapToGrid w:val="0"/>
                <w:sz w:val="18"/>
                <w:szCs w:val="18"/>
                <w:vertAlign w:val="superscript"/>
              </w:rPr>
              <w:t>3</w:t>
            </w:r>
            <w:r>
              <w:rPr>
                <w:snapToGrid w:val="0"/>
                <w:sz w:val="18"/>
                <w:szCs w:val="18"/>
              </w:rPr>
              <w:t>/</w:t>
            </w:r>
            <w:r>
              <w:rPr>
                <w:rFonts w:hint="eastAsia"/>
                <w:snapToGrid w:val="0"/>
                <w:sz w:val="18"/>
                <w:szCs w:val="18"/>
              </w:rPr>
              <w:t>a)</w:t>
            </w:r>
          </w:p>
        </w:tc>
        <w:tc>
          <w:tcPr>
            <w:tcW w:w="742" w:type="dxa"/>
            <w:vAlign w:val="center"/>
          </w:tcPr>
          <w:p w14:paraId="0117B975">
            <w:pPr>
              <w:adjustRightInd w:val="0"/>
              <w:snapToGrid w:val="0"/>
              <w:jc w:val="center"/>
              <w:rPr>
                <w:snapToGrid w:val="0"/>
                <w:sz w:val="18"/>
                <w:szCs w:val="18"/>
              </w:rPr>
            </w:pPr>
            <w:r>
              <w:rPr>
                <w:rFonts w:hint="eastAsia"/>
                <w:snapToGrid w:val="0"/>
                <w:sz w:val="18"/>
                <w:szCs w:val="18"/>
              </w:rPr>
              <w:t>质量浓度（mg/m</w:t>
            </w:r>
            <w:r>
              <w:rPr>
                <w:snapToGrid w:val="0"/>
                <w:sz w:val="18"/>
                <w:szCs w:val="18"/>
                <w:vertAlign w:val="superscript"/>
              </w:rPr>
              <w:t>3</w:t>
            </w:r>
            <w:r>
              <w:rPr>
                <w:rFonts w:hint="eastAsia"/>
                <w:snapToGrid w:val="0"/>
                <w:sz w:val="18"/>
                <w:szCs w:val="18"/>
              </w:rPr>
              <w:t>）</w:t>
            </w:r>
          </w:p>
        </w:tc>
        <w:tc>
          <w:tcPr>
            <w:tcW w:w="780" w:type="dxa"/>
            <w:vAlign w:val="center"/>
          </w:tcPr>
          <w:p w14:paraId="06326E96">
            <w:pPr>
              <w:adjustRightInd w:val="0"/>
              <w:snapToGrid w:val="0"/>
              <w:jc w:val="center"/>
              <w:rPr>
                <w:snapToGrid w:val="0"/>
                <w:sz w:val="18"/>
                <w:szCs w:val="18"/>
              </w:rPr>
            </w:pPr>
            <w:r>
              <w:rPr>
                <w:rFonts w:hint="eastAsia"/>
                <w:snapToGrid w:val="0"/>
                <w:sz w:val="18"/>
                <w:szCs w:val="18"/>
              </w:rPr>
              <w:t>产生量(kg</w:t>
            </w:r>
            <w:r>
              <w:rPr>
                <w:snapToGrid w:val="0"/>
                <w:sz w:val="18"/>
                <w:szCs w:val="18"/>
              </w:rPr>
              <w:t>/</w:t>
            </w:r>
            <w:r>
              <w:rPr>
                <w:rFonts w:hint="eastAsia"/>
                <w:snapToGrid w:val="0"/>
                <w:sz w:val="18"/>
                <w:szCs w:val="18"/>
              </w:rPr>
              <w:t>a)</w:t>
            </w:r>
          </w:p>
        </w:tc>
        <w:tc>
          <w:tcPr>
            <w:tcW w:w="467" w:type="dxa"/>
            <w:vAlign w:val="center"/>
          </w:tcPr>
          <w:p w14:paraId="57C922FE">
            <w:pPr>
              <w:adjustRightInd w:val="0"/>
              <w:snapToGrid w:val="0"/>
              <w:jc w:val="center"/>
              <w:rPr>
                <w:snapToGrid w:val="0"/>
                <w:sz w:val="18"/>
                <w:szCs w:val="18"/>
              </w:rPr>
            </w:pPr>
            <w:r>
              <w:rPr>
                <w:rFonts w:hint="eastAsia"/>
                <w:snapToGrid w:val="0"/>
                <w:sz w:val="18"/>
                <w:szCs w:val="18"/>
              </w:rPr>
              <w:t>工艺</w:t>
            </w:r>
          </w:p>
        </w:tc>
        <w:tc>
          <w:tcPr>
            <w:tcW w:w="467" w:type="dxa"/>
            <w:vAlign w:val="center"/>
          </w:tcPr>
          <w:p w14:paraId="5A505FF1">
            <w:pPr>
              <w:adjustRightInd w:val="0"/>
              <w:snapToGrid w:val="0"/>
              <w:jc w:val="center"/>
              <w:rPr>
                <w:snapToGrid w:val="0"/>
                <w:sz w:val="18"/>
                <w:szCs w:val="18"/>
              </w:rPr>
            </w:pPr>
            <w:r>
              <w:rPr>
                <w:rFonts w:hint="eastAsia"/>
                <w:snapToGrid w:val="0"/>
                <w:sz w:val="18"/>
                <w:szCs w:val="18"/>
              </w:rPr>
              <w:t>效率</w:t>
            </w:r>
          </w:p>
        </w:tc>
        <w:tc>
          <w:tcPr>
            <w:tcW w:w="671" w:type="dxa"/>
            <w:vAlign w:val="center"/>
          </w:tcPr>
          <w:p w14:paraId="587D9031">
            <w:pPr>
              <w:adjustRightInd w:val="0"/>
              <w:snapToGrid w:val="0"/>
              <w:jc w:val="center"/>
              <w:rPr>
                <w:snapToGrid w:val="0"/>
                <w:sz w:val="18"/>
                <w:szCs w:val="18"/>
              </w:rPr>
            </w:pPr>
            <w:r>
              <w:rPr>
                <w:rFonts w:hint="eastAsia"/>
                <w:snapToGrid w:val="0"/>
                <w:sz w:val="18"/>
                <w:szCs w:val="18"/>
              </w:rPr>
              <w:t>核算方法</w:t>
            </w:r>
          </w:p>
        </w:tc>
        <w:tc>
          <w:tcPr>
            <w:tcW w:w="620" w:type="dxa"/>
            <w:vAlign w:val="center"/>
          </w:tcPr>
          <w:p w14:paraId="64119A5D">
            <w:pPr>
              <w:adjustRightInd w:val="0"/>
              <w:snapToGrid w:val="0"/>
              <w:jc w:val="center"/>
              <w:rPr>
                <w:snapToGrid w:val="0"/>
                <w:sz w:val="18"/>
                <w:szCs w:val="18"/>
              </w:rPr>
            </w:pPr>
            <w:r>
              <w:rPr>
                <w:rFonts w:hint="eastAsia"/>
                <w:snapToGrid w:val="0"/>
                <w:sz w:val="18"/>
                <w:szCs w:val="18"/>
              </w:rPr>
              <w:t>烟气量(m</w:t>
            </w:r>
            <w:r>
              <w:rPr>
                <w:snapToGrid w:val="0"/>
                <w:sz w:val="18"/>
                <w:szCs w:val="18"/>
                <w:vertAlign w:val="superscript"/>
              </w:rPr>
              <w:t>3</w:t>
            </w:r>
            <w:r>
              <w:rPr>
                <w:snapToGrid w:val="0"/>
                <w:sz w:val="18"/>
                <w:szCs w:val="18"/>
              </w:rPr>
              <w:t>/</w:t>
            </w:r>
            <w:r>
              <w:rPr>
                <w:rFonts w:hint="eastAsia"/>
                <w:snapToGrid w:val="0"/>
                <w:sz w:val="18"/>
                <w:szCs w:val="18"/>
              </w:rPr>
              <w:t>a</w:t>
            </w:r>
            <w:r>
              <w:rPr>
                <w:snapToGrid w:val="0"/>
                <w:sz w:val="18"/>
                <w:szCs w:val="18"/>
              </w:rPr>
              <w:t>)</w:t>
            </w:r>
          </w:p>
        </w:tc>
        <w:tc>
          <w:tcPr>
            <w:tcW w:w="620" w:type="dxa"/>
            <w:vAlign w:val="center"/>
          </w:tcPr>
          <w:p w14:paraId="125BD793">
            <w:pPr>
              <w:adjustRightInd w:val="0"/>
              <w:snapToGrid w:val="0"/>
              <w:jc w:val="center"/>
              <w:rPr>
                <w:snapToGrid w:val="0"/>
                <w:sz w:val="18"/>
                <w:szCs w:val="18"/>
              </w:rPr>
            </w:pPr>
            <w:r>
              <w:rPr>
                <w:rFonts w:hint="eastAsia"/>
                <w:snapToGrid w:val="0"/>
                <w:sz w:val="18"/>
                <w:szCs w:val="18"/>
              </w:rPr>
              <w:t>质量浓度(mg/m</w:t>
            </w:r>
            <w:r>
              <w:rPr>
                <w:snapToGrid w:val="0"/>
                <w:sz w:val="18"/>
                <w:szCs w:val="18"/>
                <w:vertAlign w:val="superscript"/>
              </w:rPr>
              <w:t>3</w:t>
            </w:r>
            <w:r>
              <w:rPr>
                <w:snapToGrid w:val="0"/>
                <w:sz w:val="18"/>
                <w:szCs w:val="18"/>
              </w:rPr>
              <w:t>)</w:t>
            </w:r>
          </w:p>
        </w:tc>
        <w:tc>
          <w:tcPr>
            <w:tcW w:w="680" w:type="dxa"/>
            <w:vAlign w:val="center"/>
          </w:tcPr>
          <w:p w14:paraId="6869EA8E">
            <w:pPr>
              <w:adjustRightInd w:val="0"/>
              <w:snapToGrid w:val="0"/>
              <w:jc w:val="center"/>
              <w:rPr>
                <w:snapToGrid w:val="0"/>
                <w:sz w:val="18"/>
                <w:szCs w:val="18"/>
              </w:rPr>
            </w:pPr>
            <w:r>
              <w:rPr>
                <w:rFonts w:hint="eastAsia"/>
                <w:snapToGrid w:val="0"/>
                <w:sz w:val="18"/>
                <w:szCs w:val="18"/>
              </w:rPr>
              <w:t>产生量(kg</w:t>
            </w:r>
            <w:r>
              <w:rPr>
                <w:snapToGrid w:val="0"/>
                <w:sz w:val="18"/>
                <w:szCs w:val="18"/>
              </w:rPr>
              <w:t>/</w:t>
            </w:r>
            <w:r>
              <w:rPr>
                <w:rFonts w:hint="eastAsia"/>
                <w:snapToGrid w:val="0"/>
                <w:sz w:val="18"/>
                <w:szCs w:val="18"/>
              </w:rPr>
              <w:t>a)</w:t>
            </w:r>
          </w:p>
        </w:tc>
        <w:tc>
          <w:tcPr>
            <w:tcW w:w="559" w:type="dxa"/>
            <w:vMerge w:val="continue"/>
            <w:vAlign w:val="center"/>
          </w:tcPr>
          <w:p w14:paraId="425846B7">
            <w:pPr>
              <w:adjustRightInd w:val="0"/>
              <w:snapToGrid w:val="0"/>
              <w:jc w:val="center"/>
              <w:rPr>
                <w:snapToGrid w:val="0"/>
                <w:sz w:val="18"/>
                <w:szCs w:val="18"/>
              </w:rPr>
            </w:pPr>
          </w:p>
        </w:tc>
      </w:tr>
      <w:tr w14:paraId="04CA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86" w:type="dxa"/>
            <w:vMerge w:val="restart"/>
            <w:vAlign w:val="center"/>
          </w:tcPr>
          <w:p w14:paraId="720FA8F5">
            <w:pPr>
              <w:adjustRightInd w:val="0"/>
              <w:snapToGrid w:val="0"/>
              <w:jc w:val="center"/>
              <w:rPr>
                <w:snapToGrid w:val="0"/>
                <w:sz w:val="18"/>
                <w:szCs w:val="18"/>
              </w:rPr>
            </w:pPr>
            <w:r>
              <w:rPr>
                <w:rFonts w:hint="eastAsia"/>
                <w:snapToGrid w:val="0"/>
                <w:sz w:val="18"/>
                <w:szCs w:val="18"/>
              </w:rPr>
              <w:t>水套加热炉</w:t>
            </w:r>
          </w:p>
        </w:tc>
        <w:tc>
          <w:tcPr>
            <w:tcW w:w="468" w:type="dxa"/>
            <w:vMerge w:val="restart"/>
            <w:vAlign w:val="center"/>
          </w:tcPr>
          <w:p w14:paraId="5DD1A43B">
            <w:pPr>
              <w:adjustRightInd w:val="0"/>
              <w:snapToGrid w:val="0"/>
              <w:jc w:val="center"/>
              <w:rPr>
                <w:snapToGrid w:val="0"/>
                <w:sz w:val="18"/>
                <w:szCs w:val="18"/>
              </w:rPr>
            </w:pPr>
            <w:r>
              <w:rPr>
                <w:rFonts w:hint="eastAsia"/>
                <w:snapToGrid w:val="0"/>
                <w:sz w:val="18"/>
                <w:szCs w:val="18"/>
              </w:rPr>
              <w:t>锅炉烟囱</w:t>
            </w:r>
          </w:p>
        </w:tc>
        <w:tc>
          <w:tcPr>
            <w:tcW w:w="780" w:type="dxa"/>
            <w:vAlign w:val="center"/>
          </w:tcPr>
          <w:p w14:paraId="4E96548F">
            <w:pPr>
              <w:adjustRightInd w:val="0"/>
              <w:snapToGrid w:val="0"/>
              <w:jc w:val="center"/>
              <w:rPr>
                <w:snapToGrid w:val="0"/>
                <w:sz w:val="18"/>
                <w:szCs w:val="18"/>
              </w:rPr>
            </w:pPr>
            <w:r>
              <w:rPr>
                <w:rFonts w:hint="eastAsia"/>
                <w:snapToGrid w:val="0"/>
                <w:sz w:val="18"/>
                <w:szCs w:val="18"/>
              </w:rPr>
              <w:t>颗粒物</w:t>
            </w:r>
          </w:p>
        </w:tc>
        <w:tc>
          <w:tcPr>
            <w:tcW w:w="701" w:type="dxa"/>
            <w:vMerge w:val="restart"/>
            <w:vAlign w:val="center"/>
          </w:tcPr>
          <w:p w14:paraId="7836C5B7">
            <w:pPr>
              <w:adjustRightInd w:val="0"/>
              <w:snapToGrid w:val="0"/>
              <w:jc w:val="center"/>
              <w:rPr>
                <w:snapToGrid w:val="0"/>
                <w:sz w:val="18"/>
                <w:szCs w:val="18"/>
              </w:rPr>
            </w:pPr>
            <w:r>
              <w:rPr>
                <w:rFonts w:hint="eastAsia"/>
                <w:snapToGrid w:val="0"/>
                <w:sz w:val="18"/>
                <w:szCs w:val="18"/>
              </w:rPr>
              <w:t>物料衡算、产污系数法</w:t>
            </w:r>
          </w:p>
        </w:tc>
        <w:tc>
          <w:tcPr>
            <w:tcW w:w="739" w:type="dxa"/>
            <w:vMerge w:val="restart"/>
            <w:vAlign w:val="center"/>
          </w:tcPr>
          <w:p w14:paraId="684C0087">
            <w:pPr>
              <w:adjustRightInd w:val="0"/>
              <w:snapToGrid w:val="0"/>
              <w:jc w:val="center"/>
              <w:rPr>
                <w:snapToGrid w:val="0"/>
                <w:sz w:val="18"/>
                <w:szCs w:val="18"/>
              </w:rPr>
            </w:pPr>
            <w:r>
              <w:rPr>
                <w:rFonts w:hint="eastAsia"/>
                <w:snapToGrid w:val="0"/>
                <w:sz w:val="18"/>
                <w:szCs w:val="18"/>
              </w:rPr>
              <w:t>397656</w:t>
            </w:r>
          </w:p>
        </w:tc>
        <w:tc>
          <w:tcPr>
            <w:tcW w:w="742" w:type="dxa"/>
            <w:vAlign w:val="center"/>
          </w:tcPr>
          <w:p w14:paraId="46BD2F68">
            <w:pPr>
              <w:adjustRightInd w:val="0"/>
              <w:snapToGrid w:val="0"/>
              <w:jc w:val="center"/>
              <w:rPr>
                <w:snapToGrid w:val="0"/>
                <w:sz w:val="18"/>
                <w:szCs w:val="18"/>
              </w:rPr>
            </w:pPr>
            <w:r>
              <w:rPr>
                <w:rFonts w:hint="eastAsia"/>
                <w:snapToGrid w:val="0"/>
                <w:sz w:val="20"/>
                <w:szCs w:val="20"/>
              </w:rPr>
              <w:t>1</w:t>
            </w:r>
            <w:r>
              <w:rPr>
                <w:snapToGrid w:val="0"/>
                <w:sz w:val="20"/>
                <w:szCs w:val="20"/>
              </w:rPr>
              <w:t>8.25</w:t>
            </w:r>
          </w:p>
        </w:tc>
        <w:tc>
          <w:tcPr>
            <w:tcW w:w="780" w:type="dxa"/>
            <w:vAlign w:val="center"/>
          </w:tcPr>
          <w:p w14:paraId="62D085FE">
            <w:pPr>
              <w:adjustRightInd w:val="0"/>
              <w:snapToGrid w:val="0"/>
              <w:jc w:val="center"/>
              <w:rPr>
                <w:snapToGrid w:val="0"/>
                <w:sz w:val="18"/>
                <w:szCs w:val="18"/>
              </w:rPr>
            </w:pPr>
            <w:r>
              <w:rPr>
                <w:rFonts w:hint="eastAsia"/>
                <w:snapToGrid w:val="0"/>
                <w:sz w:val="20"/>
                <w:szCs w:val="20"/>
              </w:rPr>
              <w:t>7.2</w:t>
            </w:r>
            <w:r>
              <w:rPr>
                <w:snapToGrid w:val="0"/>
                <w:sz w:val="20"/>
                <w:szCs w:val="20"/>
              </w:rPr>
              <w:t>6</w:t>
            </w:r>
          </w:p>
        </w:tc>
        <w:tc>
          <w:tcPr>
            <w:tcW w:w="467" w:type="dxa"/>
            <w:vMerge w:val="restart"/>
            <w:vAlign w:val="center"/>
          </w:tcPr>
          <w:p w14:paraId="74B1399C">
            <w:pPr>
              <w:adjustRightInd w:val="0"/>
              <w:snapToGrid w:val="0"/>
              <w:jc w:val="center"/>
              <w:rPr>
                <w:snapToGrid w:val="0"/>
                <w:sz w:val="18"/>
                <w:szCs w:val="18"/>
              </w:rPr>
            </w:pPr>
            <w:r>
              <w:rPr>
                <w:rFonts w:hint="eastAsia"/>
                <w:snapToGrid w:val="0"/>
                <w:sz w:val="18"/>
                <w:szCs w:val="18"/>
              </w:rPr>
              <w:t>/</w:t>
            </w:r>
          </w:p>
        </w:tc>
        <w:tc>
          <w:tcPr>
            <w:tcW w:w="467" w:type="dxa"/>
            <w:vMerge w:val="restart"/>
            <w:vAlign w:val="center"/>
          </w:tcPr>
          <w:p w14:paraId="4DFC1BCB">
            <w:pPr>
              <w:adjustRightInd w:val="0"/>
              <w:snapToGrid w:val="0"/>
              <w:jc w:val="center"/>
              <w:rPr>
                <w:snapToGrid w:val="0"/>
                <w:sz w:val="18"/>
                <w:szCs w:val="18"/>
              </w:rPr>
            </w:pPr>
            <w:r>
              <w:rPr>
                <w:rFonts w:hint="eastAsia"/>
                <w:snapToGrid w:val="0"/>
                <w:sz w:val="18"/>
                <w:szCs w:val="18"/>
              </w:rPr>
              <w:t>/</w:t>
            </w:r>
          </w:p>
        </w:tc>
        <w:tc>
          <w:tcPr>
            <w:tcW w:w="671" w:type="dxa"/>
            <w:vMerge w:val="restart"/>
            <w:vAlign w:val="center"/>
          </w:tcPr>
          <w:p w14:paraId="5BC319FB">
            <w:pPr>
              <w:adjustRightInd w:val="0"/>
              <w:snapToGrid w:val="0"/>
              <w:jc w:val="center"/>
              <w:rPr>
                <w:snapToGrid w:val="0"/>
                <w:sz w:val="18"/>
                <w:szCs w:val="18"/>
              </w:rPr>
            </w:pPr>
            <w:r>
              <w:rPr>
                <w:rFonts w:hint="eastAsia"/>
                <w:snapToGrid w:val="0"/>
                <w:sz w:val="18"/>
                <w:szCs w:val="18"/>
              </w:rPr>
              <w:t>物料衡算、产污系数法</w:t>
            </w:r>
          </w:p>
        </w:tc>
        <w:tc>
          <w:tcPr>
            <w:tcW w:w="620" w:type="dxa"/>
            <w:vMerge w:val="restart"/>
            <w:vAlign w:val="center"/>
          </w:tcPr>
          <w:p w14:paraId="66C886DA">
            <w:pPr>
              <w:adjustRightInd w:val="0"/>
              <w:snapToGrid w:val="0"/>
              <w:jc w:val="center"/>
              <w:rPr>
                <w:snapToGrid w:val="0"/>
                <w:sz w:val="18"/>
                <w:szCs w:val="18"/>
              </w:rPr>
            </w:pPr>
            <w:r>
              <w:rPr>
                <w:rFonts w:hint="eastAsia"/>
                <w:snapToGrid w:val="0"/>
                <w:sz w:val="18"/>
                <w:szCs w:val="18"/>
              </w:rPr>
              <w:t>397656</w:t>
            </w:r>
          </w:p>
        </w:tc>
        <w:tc>
          <w:tcPr>
            <w:tcW w:w="620" w:type="dxa"/>
            <w:vAlign w:val="center"/>
          </w:tcPr>
          <w:p w14:paraId="35EA3CC7">
            <w:pPr>
              <w:adjustRightInd w:val="0"/>
              <w:snapToGrid w:val="0"/>
              <w:jc w:val="center"/>
              <w:rPr>
                <w:snapToGrid w:val="0"/>
                <w:sz w:val="18"/>
                <w:szCs w:val="18"/>
              </w:rPr>
            </w:pPr>
            <w:r>
              <w:rPr>
                <w:rFonts w:hint="eastAsia"/>
                <w:snapToGrid w:val="0"/>
                <w:sz w:val="20"/>
                <w:szCs w:val="20"/>
              </w:rPr>
              <w:t>1</w:t>
            </w:r>
            <w:r>
              <w:rPr>
                <w:snapToGrid w:val="0"/>
                <w:sz w:val="20"/>
                <w:szCs w:val="20"/>
              </w:rPr>
              <w:t>8.25</w:t>
            </w:r>
          </w:p>
        </w:tc>
        <w:tc>
          <w:tcPr>
            <w:tcW w:w="680" w:type="dxa"/>
            <w:vAlign w:val="center"/>
          </w:tcPr>
          <w:p w14:paraId="762A6120">
            <w:pPr>
              <w:adjustRightInd w:val="0"/>
              <w:snapToGrid w:val="0"/>
              <w:jc w:val="center"/>
              <w:rPr>
                <w:snapToGrid w:val="0"/>
                <w:sz w:val="18"/>
                <w:szCs w:val="18"/>
              </w:rPr>
            </w:pPr>
            <w:r>
              <w:rPr>
                <w:rFonts w:hint="eastAsia"/>
                <w:snapToGrid w:val="0"/>
                <w:sz w:val="20"/>
                <w:szCs w:val="20"/>
              </w:rPr>
              <w:t>7.2</w:t>
            </w:r>
            <w:r>
              <w:rPr>
                <w:snapToGrid w:val="0"/>
                <w:sz w:val="20"/>
                <w:szCs w:val="20"/>
              </w:rPr>
              <w:t>6</w:t>
            </w:r>
          </w:p>
        </w:tc>
        <w:tc>
          <w:tcPr>
            <w:tcW w:w="559" w:type="dxa"/>
            <w:vMerge w:val="restart"/>
            <w:vAlign w:val="center"/>
          </w:tcPr>
          <w:p w14:paraId="52DD09BA">
            <w:pPr>
              <w:adjustRightInd w:val="0"/>
              <w:snapToGrid w:val="0"/>
              <w:jc w:val="center"/>
              <w:rPr>
                <w:snapToGrid w:val="0"/>
                <w:sz w:val="18"/>
                <w:szCs w:val="18"/>
              </w:rPr>
            </w:pPr>
            <w:r>
              <w:rPr>
                <w:rFonts w:hint="eastAsia"/>
                <w:snapToGrid w:val="0"/>
                <w:sz w:val="18"/>
                <w:szCs w:val="18"/>
              </w:rPr>
              <w:t>2160</w:t>
            </w:r>
          </w:p>
        </w:tc>
      </w:tr>
      <w:tr w14:paraId="1B0A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86" w:type="dxa"/>
            <w:vMerge w:val="continue"/>
            <w:vAlign w:val="center"/>
          </w:tcPr>
          <w:p w14:paraId="7A60D5E2">
            <w:pPr>
              <w:adjustRightInd w:val="0"/>
              <w:snapToGrid w:val="0"/>
              <w:jc w:val="center"/>
              <w:rPr>
                <w:snapToGrid w:val="0"/>
                <w:sz w:val="18"/>
                <w:szCs w:val="18"/>
              </w:rPr>
            </w:pPr>
          </w:p>
        </w:tc>
        <w:tc>
          <w:tcPr>
            <w:tcW w:w="468" w:type="dxa"/>
            <w:vMerge w:val="continue"/>
            <w:vAlign w:val="center"/>
          </w:tcPr>
          <w:p w14:paraId="6FFA3410">
            <w:pPr>
              <w:adjustRightInd w:val="0"/>
              <w:snapToGrid w:val="0"/>
              <w:jc w:val="center"/>
              <w:rPr>
                <w:snapToGrid w:val="0"/>
                <w:sz w:val="18"/>
                <w:szCs w:val="18"/>
              </w:rPr>
            </w:pPr>
          </w:p>
        </w:tc>
        <w:tc>
          <w:tcPr>
            <w:tcW w:w="780" w:type="dxa"/>
            <w:vAlign w:val="center"/>
          </w:tcPr>
          <w:p w14:paraId="6CAC387B">
            <w:pPr>
              <w:adjustRightInd w:val="0"/>
              <w:snapToGrid w:val="0"/>
              <w:jc w:val="center"/>
              <w:rPr>
                <w:snapToGrid w:val="0"/>
                <w:sz w:val="18"/>
                <w:szCs w:val="18"/>
              </w:rPr>
            </w:pPr>
            <w:r>
              <w:rPr>
                <w:rFonts w:hint="eastAsia"/>
                <w:snapToGrid w:val="0"/>
                <w:sz w:val="18"/>
                <w:szCs w:val="18"/>
              </w:rPr>
              <w:t>氮氧化物</w:t>
            </w:r>
          </w:p>
        </w:tc>
        <w:tc>
          <w:tcPr>
            <w:tcW w:w="701" w:type="dxa"/>
            <w:vMerge w:val="continue"/>
            <w:vAlign w:val="center"/>
          </w:tcPr>
          <w:p w14:paraId="25FFAB77">
            <w:pPr>
              <w:adjustRightInd w:val="0"/>
              <w:snapToGrid w:val="0"/>
              <w:jc w:val="center"/>
              <w:rPr>
                <w:snapToGrid w:val="0"/>
                <w:sz w:val="18"/>
                <w:szCs w:val="18"/>
              </w:rPr>
            </w:pPr>
          </w:p>
        </w:tc>
        <w:tc>
          <w:tcPr>
            <w:tcW w:w="739" w:type="dxa"/>
            <w:vMerge w:val="continue"/>
            <w:vAlign w:val="center"/>
          </w:tcPr>
          <w:p w14:paraId="5C61B38B">
            <w:pPr>
              <w:adjustRightInd w:val="0"/>
              <w:snapToGrid w:val="0"/>
              <w:jc w:val="center"/>
              <w:rPr>
                <w:snapToGrid w:val="0"/>
                <w:sz w:val="18"/>
                <w:szCs w:val="18"/>
              </w:rPr>
            </w:pPr>
          </w:p>
        </w:tc>
        <w:tc>
          <w:tcPr>
            <w:tcW w:w="742" w:type="dxa"/>
            <w:vAlign w:val="center"/>
          </w:tcPr>
          <w:p w14:paraId="2B31C7FE">
            <w:pPr>
              <w:adjustRightInd w:val="0"/>
              <w:snapToGrid w:val="0"/>
              <w:jc w:val="center"/>
              <w:rPr>
                <w:snapToGrid w:val="0"/>
                <w:sz w:val="18"/>
                <w:szCs w:val="18"/>
              </w:rPr>
            </w:pPr>
            <w:r>
              <w:rPr>
                <w:snapToGrid w:val="0"/>
                <w:sz w:val="20"/>
                <w:szCs w:val="20"/>
              </w:rPr>
              <w:t>23.04</w:t>
            </w:r>
          </w:p>
        </w:tc>
        <w:tc>
          <w:tcPr>
            <w:tcW w:w="780" w:type="dxa"/>
            <w:vAlign w:val="center"/>
          </w:tcPr>
          <w:p w14:paraId="2FD235B7">
            <w:pPr>
              <w:adjustRightInd w:val="0"/>
              <w:snapToGrid w:val="0"/>
              <w:jc w:val="center"/>
              <w:rPr>
                <w:snapToGrid w:val="0"/>
                <w:sz w:val="18"/>
                <w:szCs w:val="18"/>
              </w:rPr>
            </w:pPr>
            <w:r>
              <w:rPr>
                <w:snapToGrid w:val="0"/>
                <w:sz w:val="20"/>
                <w:szCs w:val="20"/>
              </w:rPr>
              <w:t>9.16</w:t>
            </w:r>
          </w:p>
        </w:tc>
        <w:tc>
          <w:tcPr>
            <w:tcW w:w="467" w:type="dxa"/>
            <w:vMerge w:val="continue"/>
            <w:vAlign w:val="center"/>
          </w:tcPr>
          <w:p w14:paraId="2E636A2C">
            <w:pPr>
              <w:adjustRightInd w:val="0"/>
              <w:snapToGrid w:val="0"/>
              <w:jc w:val="center"/>
              <w:rPr>
                <w:snapToGrid w:val="0"/>
                <w:sz w:val="18"/>
                <w:szCs w:val="18"/>
              </w:rPr>
            </w:pPr>
          </w:p>
        </w:tc>
        <w:tc>
          <w:tcPr>
            <w:tcW w:w="467" w:type="dxa"/>
            <w:vMerge w:val="continue"/>
            <w:vAlign w:val="center"/>
          </w:tcPr>
          <w:p w14:paraId="36ECF8C5">
            <w:pPr>
              <w:adjustRightInd w:val="0"/>
              <w:snapToGrid w:val="0"/>
              <w:jc w:val="center"/>
              <w:rPr>
                <w:snapToGrid w:val="0"/>
                <w:sz w:val="18"/>
                <w:szCs w:val="18"/>
              </w:rPr>
            </w:pPr>
          </w:p>
        </w:tc>
        <w:tc>
          <w:tcPr>
            <w:tcW w:w="671" w:type="dxa"/>
            <w:vMerge w:val="continue"/>
            <w:vAlign w:val="center"/>
          </w:tcPr>
          <w:p w14:paraId="3C106ECA">
            <w:pPr>
              <w:adjustRightInd w:val="0"/>
              <w:snapToGrid w:val="0"/>
              <w:jc w:val="center"/>
              <w:rPr>
                <w:snapToGrid w:val="0"/>
                <w:sz w:val="18"/>
                <w:szCs w:val="18"/>
              </w:rPr>
            </w:pPr>
          </w:p>
        </w:tc>
        <w:tc>
          <w:tcPr>
            <w:tcW w:w="620" w:type="dxa"/>
            <w:vMerge w:val="continue"/>
            <w:vAlign w:val="center"/>
          </w:tcPr>
          <w:p w14:paraId="5D771153">
            <w:pPr>
              <w:adjustRightInd w:val="0"/>
              <w:snapToGrid w:val="0"/>
              <w:jc w:val="center"/>
              <w:rPr>
                <w:snapToGrid w:val="0"/>
                <w:sz w:val="18"/>
                <w:szCs w:val="18"/>
              </w:rPr>
            </w:pPr>
          </w:p>
        </w:tc>
        <w:tc>
          <w:tcPr>
            <w:tcW w:w="620" w:type="dxa"/>
            <w:vAlign w:val="center"/>
          </w:tcPr>
          <w:p w14:paraId="3BE0841B">
            <w:pPr>
              <w:adjustRightInd w:val="0"/>
              <w:snapToGrid w:val="0"/>
              <w:jc w:val="center"/>
              <w:rPr>
                <w:snapToGrid w:val="0"/>
                <w:sz w:val="18"/>
                <w:szCs w:val="18"/>
              </w:rPr>
            </w:pPr>
            <w:r>
              <w:rPr>
                <w:snapToGrid w:val="0"/>
                <w:sz w:val="20"/>
                <w:szCs w:val="20"/>
              </w:rPr>
              <w:t>23.04</w:t>
            </w:r>
          </w:p>
        </w:tc>
        <w:tc>
          <w:tcPr>
            <w:tcW w:w="680" w:type="dxa"/>
            <w:vAlign w:val="center"/>
          </w:tcPr>
          <w:p w14:paraId="2F38C951">
            <w:pPr>
              <w:adjustRightInd w:val="0"/>
              <w:snapToGrid w:val="0"/>
              <w:jc w:val="center"/>
              <w:rPr>
                <w:snapToGrid w:val="0"/>
                <w:sz w:val="18"/>
                <w:szCs w:val="18"/>
              </w:rPr>
            </w:pPr>
            <w:r>
              <w:rPr>
                <w:snapToGrid w:val="0"/>
                <w:sz w:val="20"/>
                <w:szCs w:val="20"/>
              </w:rPr>
              <w:t>9.16</w:t>
            </w:r>
          </w:p>
        </w:tc>
        <w:tc>
          <w:tcPr>
            <w:tcW w:w="559" w:type="dxa"/>
            <w:vMerge w:val="continue"/>
            <w:vAlign w:val="center"/>
          </w:tcPr>
          <w:p w14:paraId="308FE32C">
            <w:pPr>
              <w:adjustRightInd w:val="0"/>
              <w:snapToGrid w:val="0"/>
              <w:jc w:val="center"/>
              <w:rPr>
                <w:snapToGrid w:val="0"/>
                <w:sz w:val="18"/>
                <w:szCs w:val="18"/>
              </w:rPr>
            </w:pPr>
          </w:p>
        </w:tc>
      </w:tr>
    </w:tbl>
    <w:p w14:paraId="0928DFA5">
      <w:pPr>
        <w:pStyle w:val="1379"/>
        <w:ind w:firstLine="440"/>
      </w:pPr>
    </w:p>
    <w:p w14:paraId="001862C9">
      <w:pPr>
        <w:snapToGrid w:val="0"/>
        <w:spacing w:line="480" w:lineRule="exact"/>
        <w:ind w:firstLine="520" w:firstLineChars="200"/>
        <w:rPr>
          <w:sz w:val="26"/>
          <w:szCs w:val="26"/>
        </w:rPr>
      </w:pPr>
      <w:r>
        <w:rPr>
          <w:rFonts w:hint="eastAsia"/>
          <w:sz w:val="26"/>
          <w:szCs w:val="26"/>
        </w:rPr>
        <w:t>由上述分析可知，本项目试采工程水套加热炉使用期间各大气污染物产排情况详见</w:t>
      </w:r>
      <w:r>
        <w:rPr>
          <w:rFonts w:hint="eastAsia"/>
          <w:sz w:val="26"/>
          <w:szCs w:val="26"/>
          <w:u w:val="single"/>
        </w:rPr>
        <w:t>表3.2-3</w:t>
      </w:r>
      <w:r>
        <w:rPr>
          <w:rFonts w:hint="eastAsia"/>
          <w:sz w:val="26"/>
          <w:szCs w:val="26"/>
        </w:rPr>
        <w:t>。</w:t>
      </w:r>
    </w:p>
    <w:p w14:paraId="42926215">
      <w:pPr>
        <w:pStyle w:val="1066"/>
        <w:ind w:firstLine="520"/>
      </w:pPr>
    </w:p>
    <w:p w14:paraId="04C987CA">
      <w:pPr>
        <w:snapToGrid w:val="0"/>
        <w:spacing w:line="480" w:lineRule="exact"/>
        <w:ind w:firstLine="520" w:firstLineChars="200"/>
        <w:jc w:val="center"/>
        <w:rPr>
          <w:sz w:val="26"/>
          <w:szCs w:val="26"/>
        </w:rPr>
      </w:pPr>
      <w:r>
        <w:rPr>
          <w:rFonts w:hint="eastAsia"/>
          <w:sz w:val="26"/>
          <w:szCs w:val="26"/>
        </w:rPr>
        <w:t xml:space="preserve">表3.2-3 </w:t>
      </w:r>
      <w:r>
        <w:rPr>
          <w:sz w:val="26"/>
          <w:szCs w:val="26"/>
        </w:rPr>
        <w:t xml:space="preserve"> </w:t>
      </w:r>
      <w:r>
        <w:rPr>
          <w:rFonts w:hint="eastAsia"/>
          <w:sz w:val="26"/>
          <w:szCs w:val="26"/>
        </w:rPr>
        <w:t xml:space="preserve"> 试采期水套加热炉使用期间各污染物产排情况</w:t>
      </w:r>
    </w:p>
    <w:tbl>
      <w:tblPr>
        <w:tblStyle w:val="88"/>
        <w:tblW w:w="86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1238"/>
        <w:gridCol w:w="1239"/>
        <w:gridCol w:w="1239"/>
        <w:gridCol w:w="1240"/>
        <w:gridCol w:w="1240"/>
        <w:gridCol w:w="1240"/>
      </w:tblGrid>
      <w:tr w14:paraId="548A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39" w:type="dxa"/>
            <w:vAlign w:val="center"/>
          </w:tcPr>
          <w:p w14:paraId="426B0E6C">
            <w:pPr>
              <w:adjustRightInd w:val="0"/>
              <w:snapToGrid w:val="0"/>
              <w:jc w:val="center"/>
              <w:rPr>
                <w:snapToGrid w:val="0"/>
                <w:sz w:val="22"/>
                <w:szCs w:val="22"/>
              </w:rPr>
            </w:pPr>
            <w:r>
              <w:rPr>
                <w:rFonts w:hint="eastAsia"/>
                <w:snapToGrid w:val="0"/>
                <w:sz w:val="22"/>
                <w:szCs w:val="22"/>
              </w:rPr>
              <w:t>污染源</w:t>
            </w:r>
          </w:p>
        </w:tc>
        <w:tc>
          <w:tcPr>
            <w:tcW w:w="1238" w:type="dxa"/>
            <w:vAlign w:val="center"/>
          </w:tcPr>
          <w:p w14:paraId="20152E5C">
            <w:pPr>
              <w:adjustRightInd w:val="0"/>
              <w:snapToGrid w:val="0"/>
              <w:jc w:val="center"/>
              <w:rPr>
                <w:snapToGrid w:val="0"/>
                <w:sz w:val="22"/>
                <w:szCs w:val="22"/>
              </w:rPr>
            </w:pPr>
            <w:r>
              <w:rPr>
                <w:rFonts w:hint="eastAsia"/>
                <w:snapToGrid w:val="0"/>
                <w:sz w:val="22"/>
                <w:szCs w:val="22"/>
              </w:rPr>
              <w:t>污染物</w:t>
            </w:r>
          </w:p>
        </w:tc>
        <w:tc>
          <w:tcPr>
            <w:tcW w:w="1239" w:type="dxa"/>
            <w:vAlign w:val="center"/>
          </w:tcPr>
          <w:p w14:paraId="67A05331">
            <w:pPr>
              <w:adjustRightInd w:val="0"/>
              <w:snapToGrid w:val="0"/>
              <w:jc w:val="center"/>
              <w:rPr>
                <w:snapToGrid w:val="0"/>
                <w:sz w:val="22"/>
                <w:szCs w:val="22"/>
              </w:rPr>
            </w:pPr>
            <w:r>
              <w:rPr>
                <w:rFonts w:hint="eastAsia"/>
                <w:snapToGrid w:val="0"/>
                <w:sz w:val="22"/>
                <w:szCs w:val="22"/>
              </w:rPr>
              <w:t>产生量（t</w:t>
            </w:r>
            <w:r>
              <w:rPr>
                <w:snapToGrid w:val="0"/>
                <w:sz w:val="22"/>
                <w:szCs w:val="22"/>
              </w:rPr>
              <w:t>/</w:t>
            </w:r>
            <w:r>
              <w:rPr>
                <w:rFonts w:hint="eastAsia"/>
                <w:snapToGrid w:val="0"/>
                <w:sz w:val="22"/>
                <w:szCs w:val="22"/>
              </w:rPr>
              <w:t>a）</w:t>
            </w:r>
          </w:p>
        </w:tc>
        <w:tc>
          <w:tcPr>
            <w:tcW w:w="1239" w:type="dxa"/>
            <w:vAlign w:val="center"/>
          </w:tcPr>
          <w:p w14:paraId="0CA45B7E">
            <w:pPr>
              <w:adjustRightInd w:val="0"/>
              <w:snapToGrid w:val="0"/>
              <w:jc w:val="center"/>
              <w:rPr>
                <w:snapToGrid w:val="0"/>
                <w:sz w:val="22"/>
                <w:szCs w:val="22"/>
              </w:rPr>
            </w:pPr>
            <w:r>
              <w:rPr>
                <w:rFonts w:hint="eastAsia"/>
                <w:snapToGrid w:val="0"/>
                <w:sz w:val="22"/>
                <w:szCs w:val="22"/>
              </w:rPr>
              <w:t>排放浓度</w:t>
            </w:r>
          </w:p>
        </w:tc>
        <w:tc>
          <w:tcPr>
            <w:tcW w:w="1240" w:type="dxa"/>
            <w:vAlign w:val="center"/>
          </w:tcPr>
          <w:p w14:paraId="18569857">
            <w:pPr>
              <w:adjustRightInd w:val="0"/>
              <w:snapToGrid w:val="0"/>
              <w:jc w:val="center"/>
              <w:rPr>
                <w:snapToGrid w:val="0"/>
                <w:sz w:val="22"/>
                <w:szCs w:val="22"/>
              </w:rPr>
            </w:pPr>
            <w:r>
              <w:rPr>
                <w:rFonts w:hint="eastAsia"/>
                <w:snapToGrid w:val="0"/>
                <w:sz w:val="22"/>
                <w:szCs w:val="22"/>
              </w:rPr>
              <w:t>排放标准</w:t>
            </w:r>
          </w:p>
        </w:tc>
        <w:tc>
          <w:tcPr>
            <w:tcW w:w="1240" w:type="dxa"/>
            <w:vAlign w:val="center"/>
          </w:tcPr>
          <w:p w14:paraId="4D1EF17C">
            <w:pPr>
              <w:adjustRightInd w:val="0"/>
              <w:snapToGrid w:val="0"/>
              <w:jc w:val="center"/>
              <w:rPr>
                <w:snapToGrid w:val="0"/>
                <w:sz w:val="22"/>
                <w:szCs w:val="22"/>
              </w:rPr>
            </w:pPr>
            <w:r>
              <w:rPr>
                <w:rFonts w:hint="eastAsia"/>
                <w:snapToGrid w:val="0"/>
                <w:sz w:val="22"/>
                <w:szCs w:val="22"/>
              </w:rPr>
              <w:t>达标情况</w:t>
            </w:r>
          </w:p>
        </w:tc>
        <w:tc>
          <w:tcPr>
            <w:tcW w:w="1240" w:type="dxa"/>
            <w:vAlign w:val="center"/>
          </w:tcPr>
          <w:p w14:paraId="3722FE82">
            <w:pPr>
              <w:adjustRightInd w:val="0"/>
              <w:snapToGrid w:val="0"/>
              <w:jc w:val="center"/>
              <w:rPr>
                <w:snapToGrid w:val="0"/>
                <w:sz w:val="22"/>
                <w:szCs w:val="22"/>
              </w:rPr>
            </w:pPr>
            <w:r>
              <w:rPr>
                <w:rFonts w:hint="eastAsia"/>
                <w:snapToGrid w:val="0"/>
                <w:sz w:val="22"/>
                <w:szCs w:val="22"/>
              </w:rPr>
              <w:t>排气筒</w:t>
            </w:r>
          </w:p>
        </w:tc>
      </w:tr>
      <w:tr w14:paraId="6FAE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39" w:type="dxa"/>
            <w:vMerge w:val="restart"/>
            <w:vAlign w:val="center"/>
          </w:tcPr>
          <w:p w14:paraId="65406347">
            <w:pPr>
              <w:adjustRightInd w:val="0"/>
              <w:snapToGrid w:val="0"/>
              <w:jc w:val="center"/>
              <w:rPr>
                <w:snapToGrid w:val="0"/>
                <w:sz w:val="22"/>
                <w:szCs w:val="22"/>
              </w:rPr>
            </w:pPr>
            <w:r>
              <w:rPr>
                <w:rFonts w:hint="eastAsia"/>
                <w:snapToGrid w:val="0"/>
                <w:sz w:val="22"/>
                <w:szCs w:val="22"/>
              </w:rPr>
              <w:t>水套</w:t>
            </w:r>
          </w:p>
          <w:p w14:paraId="722D7621">
            <w:pPr>
              <w:adjustRightInd w:val="0"/>
              <w:snapToGrid w:val="0"/>
              <w:jc w:val="center"/>
              <w:rPr>
                <w:snapToGrid w:val="0"/>
                <w:sz w:val="22"/>
                <w:szCs w:val="22"/>
              </w:rPr>
            </w:pPr>
            <w:r>
              <w:rPr>
                <w:rFonts w:hint="eastAsia"/>
                <w:snapToGrid w:val="0"/>
                <w:sz w:val="22"/>
                <w:szCs w:val="22"/>
              </w:rPr>
              <w:t>加热炉</w:t>
            </w:r>
          </w:p>
        </w:tc>
        <w:tc>
          <w:tcPr>
            <w:tcW w:w="1238" w:type="dxa"/>
            <w:vAlign w:val="center"/>
          </w:tcPr>
          <w:p w14:paraId="5519B9F0">
            <w:pPr>
              <w:adjustRightInd w:val="0"/>
              <w:snapToGrid w:val="0"/>
              <w:jc w:val="center"/>
              <w:rPr>
                <w:snapToGrid w:val="0"/>
                <w:sz w:val="22"/>
                <w:szCs w:val="22"/>
              </w:rPr>
            </w:pPr>
            <w:r>
              <w:rPr>
                <w:rFonts w:hint="eastAsia"/>
                <w:snapToGrid w:val="0"/>
                <w:sz w:val="22"/>
                <w:szCs w:val="22"/>
              </w:rPr>
              <w:t>颗粒物</w:t>
            </w:r>
          </w:p>
        </w:tc>
        <w:tc>
          <w:tcPr>
            <w:tcW w:w="1239" w:type="dxa"/>
            <w:vAlign w:val="center"/>
          </w:tcPr>
          <w:p w14:paraId="56FF0008">
            <w:pPr>
              <w:adjustRightInd w:val="0"/>
              <w:snapToGrid w:val="0"/>
              <w:jc w:val="center"/>
              <w:rPr>
                <w:snapToGrid w:val="0"/>
                <w:sz w:val="22"/>
                <w:szCs w:val="22"/>
              </w:rPr>
            </w:pPr>
            <w:r>
              <w:rPr>
                <w:rFonts w:hint="eastAsia"/>
                <w:snapToGrid w:val="0"/>
                <w:sz w:val="22"/>
                <w:szCs w:val="22"/>
              </w:rPr>
              <w:t>7.</w:t>
            </w:r>
            <w:r>
              <w:rPr>
                <w:snapToGrid w:val="0"/>
                <w:sz w:val="22"/>
                <w:szCs w:val="22"/>
              </w:rPr>
              <w:t>3×10</w:t>
            </w:r>
            <w:r>
              <w:rPr>
                <w:snapToGrid w:val="0"/>
                <w:sz w:val="22"/>
                <w:szCs w:val="22"/>
                <w:vertAlign w:val="superscript"/>
              </w:rPr>
              <w:t>-3</w:t>
            </w:r>
          </w:p>
        </w:tc>
        <w:tc>
          <w:tcPr>
            <w:tcW w:w="1239" w:type="dxa"/>
            <w:vAlign w:val="center"/>
          </w:tcPr>
          <w:p w14:paraId="0FB11690">
            <w:pPr>
              <w:adjustRightInd w:val="0"/>
              <w:snapToGrid w:val="0"/>
              <w:jc w:val="center"/>
              <w:rPr>
                <w:snapToGrid w:val="0"/>
                <w:sz w:val="22"/>
                <w:szCs w:val="22"/>
              </w:rPr>
            </w:pPr>
            <w:r>
              <w:rPr>
                <w:rFonts w:hint="eastAsia"/>
                <w:snapToGrid w:val="0"/>
                <w:sz w:val="22"/>
                <w:szCs w:val="22"/>
              </w:rPr>
              <w:t>1</w:t>
            </w:r>
            <w:r>
              <w:rPr>
                <w:snapToGrid w:val="0"/>
                <w:sz w:val="22"/>
                <w:szCs w:val="22"/>
              </w:rPr>
              <w:t>8.25</w:t>
            </w:r>
          </w:p>
        </w:tc>
        <w:tc>
          <w:tcPr>
            <w:tcW w:w="1240" w:type="dxa"/>
            <w:vAlign w:val="center"/>
          </w:tcPr>
          <w:p w14:paraId="17BB5C1F">
            <w:pPr>
              <w:adjustRightInd w:val="0"/>
              <w:snapToGrid w:val="0"/>
              <w:jc w:val="center"/>
              <w:rPr>
                <w:snapToGrid w:val="0"/>
                <w:sz w:val="22"/>
                <w:szCs w:val="22"/>
              </w:rPr>
            </w:pPr>
            <w:r>
              <w:rPr>
                <w:rFonts w:hint="eastAsia"/>
                <w:snapToGrid w:val="0"/>
                <w:sz w:val="22"/>
                <w:szCs w:val="22"/>
              </w:rPr>
              <w:t>≤2</w:t>
            </w:r>
            <w:r>
              <w:rPr>
                <w:snapToGrid w:val="0"/>
                <w:sz w:val="22"/>
                <w:szCs w:val="22"/>
              </w:rPr>
              <w:t>0</w:t>
            </w:r>
          </w:p>
        </w:tc>
        <w:tc>
          <w:tcPr>
            <w:tcW w:w="1240" w:type="dxa"/>
            <w:vAlign w:val="center"/>
          </w:tcPr>
          <w:p w14:paraId="09C9C185">
            <w:pPr>
              <w:adjustRightInd w:val="0"/>
              <w:snapToGrid w:val="0"/>
              <w:jc w:val="center"/>
              <w:rPr>
                <w:snapToGrid w:val="0"/>
                <w:sz w:val="22"/>
                <w:szCs w:val="22"/>
              </w:rPr>
            </w:pPr>
            <w:r>
              <w:rPr>
                <w:rFonts w:hint="eastAsia"/>
                <w:snapToGrid w:val="0"/>
                <w:sz w:val="22"/>
                <w:szCs w:val="22"/>
              </w:rPr>
              <w:t>达标</w:t>
            </w:r>
          </w:p>
        </w:tc>
        <w:tc>
          <w:tcPr>
            <w:tcW w:w="1240" w:type="dxa"/>
            <w:vMerge w:val="restart"/>
            <w:vAlign w:val="center"/>
          </w:tcPr>
          <w:p w14:paraId="1C11BDE5">
            <w:pPr>
              <w:adjustRightInd w:val="0"/>
              <w:snapToGrid w:val="0"/>
              <w:jc w:val="center"/>
              <w:rPr>
                <w:snapToGrid w:val="0"/>
                <w:sz w:val="22"/>
                <w:szCs w:val="22"/>
              </w:rPr>
            </w:pPr>
            <w:r>
              <w:rPr>
                <w:rFonts w:hint="eastAsia"/>
                <w:snapToGrid w:val="0"/>
                <w:sz w:val="22"/>
                <w:szCs w:val="22"/>
              </w:rPr>
              <w:t>8m，D</w:t>
            </w:r>
            <w:r>
              <w:rPr>
                <w:snapToGrid w:val="0"/>
                <w:sz w:val="22"/>
                <w:szCs w:val="22"/>
              </w:rPr>
              <w:t>N200</w:t>
            </w:r>
          </w:p>
        </w:tc>
      </w:tr>
      <w:tr w14:paraId="36D4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39" w:type="dxa"/>
            <w:vMerge w:val="continue"/>
            <w:vAlign w:val="center"/>
          </w:tcPr>
          <w:p w14:paraId="1EC74293">
            <w:pPr>
              <w:adjustRightInd w:val="0"/>
              <w:snapToGrid w:val="0"/>
              <w:jc w:val="center"/>
              <w:rPr>
                <w:snapToGrid w:val="0"/>
                <w:sz w:val="22"/>
                <w:szCs w:val="22"/>
              </w:rPr>
            </w:pPr>
          </w:p>
        </w:tc>
        <w:tc>
          <w:tcPr>
            <w:tcW w:w="1238" w:type="dxa"/>
            <w:vAlign w:val="center"/>
          </w:tcPr>
          <w:p w14:paraId="5D51CB35">
            <w:pPr>
              <w:adjustRightInd w:val="0"/>
              <w:snapToGrid w:val="0"/>
              <w:jc w:val="center"/>
              <w:rPr>
                <w:snapToGrid w:val="0"/>
                <w:sz w:val="22"/>
                <w:szCs w:val="22"/>
              </w:rPr>
            </w:pPr>
            <w:r>
              <w:rPr>
                <w:rFonts w:hint="eastAsia"/>
                <w:snapToGrid w:val="0"/>
                <w:sz w:val="22"/>
                <w:szCs w:val="22"/>
              </w:rPr>
              <w:t>二氧化硫</w:t>
            </w:r>
          </w:p>
        </w:tc>
        <w:tc>
          <w:tcPr>
            <w:tcW w:w="1239" w:type="dxa"/>
            <w:vAlign w:val="center"/>
          </w:tcPr>
          <w:p w14:paraId="25ED86DF">
            <w:pPr>
              <w:adjustRightInd w:val="0"/>
              <w:snapToGrid w:val="0"/>
              <w:jc w:val="center"/>
              <w:rPr>
                <w:snapToGrid w:val="0"/>
                <w:sz w:val="22"/>
                <w:szCs w:val="22"/>
              </w:rPr>
            </w:pPr>
            <w:r>
              <w:rPr>
                <w:snapToGrid w:val="0"/>
                <w:sz w:val="22"/>
                <w:szCs w:val="22"/>
              </w:rPr>
              <w:t>0</w:t>
            </w:r>
          </w:p>
        </w:tc>
        <w:tc>
          <w:tcPr>
            <w:tcW w:w="1239" w:type="dxa"/>
            <w:vAlign w:val="center"/>
          </w:tcPr>
          <w:p w14:paraId="245BF1F4">
            <w:pPr>
              <w:adjustRightInd w:val="0"/>
              <w:snapToGrid w:val="0"/>
              <w:jc w:val="center"/>
              <w:rPr>
                <w:snapToGrid w:val="0"/>
                <w:sz w:val="22"/>
                <w:szCs w:val="22"/>
              </w:rPr>
            </w:pPr>
            <w:r>
              <w:rPr>
                <w:snapToGrid w:val="0"/>
                <w:sz w:val="22"/>
                <w:szCs w:val="22"/>
              </w:rPr>
              <w:t>0</w:t>
            </w:r>
          </w:p>
        </w:tc>
        <w:tc>
          <w:tcPr>
            <w:tcW w:w="1240" w:type="dxa"/>
            <w:vAlign w:val="center"/>
          </w:tcPr>
          <w:p w14:paraId="765DE86B">
            <w:pPr>
              <w:adjustRightInd w:val="0"/>
              <w:snapToGrid w:val="0"/>
              <w:jc w:val="center"/>
              <w:rPr>
                <w:snapToGrid w:val="0"/>
                <w:sz w:val="22"/>
                <w:szCs w:val="22"/>
              </w:rPr>
            </w:pPr>
            <w:r>
              <w:rPr>
                <w:rFonts w:hint="eastAsia"/>
                <w:snapToGrid w:val="0"/>
                <w:sz w:val="22"/>
                <w:szCs w:val="22"/>
              </w:rPr>
              <w:t>≤</w:t>
            </w:r>
            <w:r>
              <w:rPr>
                <w:snapToGrid w:val="0"/>
                <w:sz w:val="22"/>
                <w:szCs w:val="22"/>
              </w:rPr>
              <w:t>50</w:t>
            </w:r>
          </w:p>
        </w:tc>
        <w:tc>
          <w:tcPr>
            <w:tcW w:w="1240" w:type="dxa"/>
            <w:vAlign w:val="center"/>
          </w:tcPr>
          <w:p w14:paraId="0BAA355A">
            <w:pPr>
              <w:adjustRightInd w:val="0"/>
              <w:snapToGrid w:val="0"/>
              <w:jc w:val="center"/>
              <w:rPr>
                <w:snapToGrid w:val="0"/>
                <w:sz w:val="22"/>
                <w:szCs w:val="22"/>
              </w:rPr>
            </w:pPr>
            <w:r>
              <w:rPr>
                <w:rFonts w:hint="eastAsia"/>
                <w:snapToGrid w:val="0"/>
                <w:sz w:val="22"/>
                <w:szCs w:val="22"/>
              </w:rPr>
              <w:t>达标</w:t>
            </w:r>
          </w:p>
        </w:tc>
        <w:tc>
          <w:tcPr>
            <w:tcW w:w="1240" w:type="dxa"/>
            <w:vMerge w:val="continue"/>
            <w:vAlign w:val="center"/>
          </w:tcPr>
          <w:p w14:paraId="1BCD8781">
            <w:pPr>
              <w:adjustRightInd w:val="0"/>
              <w:snapToGrid w:val="0"/>
              <w:jc w:val="center"/>
              <w:rPr>
                <w:snapToGrid w:val="0"/>
                <w:sz w:val="22"/>
                <w:szCs w:val="22"/>
              </w:rPr>
            </w:pPr>
          </w:p>
        </w:tc>
      </w:tr>
      <w:tr w14:paraId="34F51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39" w:type="dxa"/>
            <w:vMerge w:val="continue"/>
            <w:vAlign w:val="center"/>
          </w:tcPr>
          <w:p w14:paraId="007B27D8">
            <w:pPr>
              <w:adjustRightInd w:val="0"/>
              <w:snapToGrid w:val="0"/>
              <w:jc w:val="center"/>
              <w:rPr>
                <w:snapToGrid w:val="0"/>
                <w:sz w:val="22"/>
                <w:szCs w:val="22"/>
              </w:rPr>
            </w:pPr>
          </w:p>
        </w:tc>
        <w:tc>
          <w:tcPr>
            <w:tcW w:w="1238" w:type="dxa"/>
            <w:vAlign w:val="center"/>
          </w:tcPr>
          <w:p w14:paraId="0FB42DE3">
            <w:pPr>
              <w:adjustRightInd w:val="0"/>
              <w:snapToGrid w:val="0"/>
              <w:jc w:val="center"/>
              <w:rPr>
                <w:snapToGrid w:val="0"/>
                <w:sz w:val="22"/>
                <w:szCs w:val="22"/>
              </w:rPr>
            </w:pPr>
            <w:r>
              <w:rPr>
                <w:rFonts w:hint="eastAsia"/>
                <w:snapToGrid w:val="0"/>
                <w:sz w:val="22"/>
                <w:szCs w:val="22"/>
              </w:rPr>
              <w:t>氮氧化物</w:t>
            </w:r>
          </w:p>
        </w:tc>
        <w:tc>
          <w:tcPr>
            <w:tcW w:w="1239" w:type="dxa"/>
            <w:vAlign w:val="center"/>
          </w:tcPr>
          <w:p w14:paraId="0E511B96">
            <w:pPr>
              <w:adjustRightInd w:val="0"/>
              <w:snapToGrid w:val="0"/>
              <w:jc w:val="center"/>
              <w:rPr>
                <w:snapToGrid w:val="0"/>
                <w:sz w:val="22"/>
                <w:szCs w:val="22"/>
                <w:vertAlign w:val="superscript"/>
              </w:rPr>
            </w:pPr>
            <w:r>
              <w:rPr>
                <w:snapToGrid w:val="0"/>
                <w:sz w:val="22"/>
                <w:szCs w:val="22"/>
              </w:rPr>
              <w:t>9.2×10</w:t>
            </w:r>
            <w:r>
              <w:rPr>
                <w:snapToGrid w:val="0"/>
                <w:sz w:val="22"/>
                <w:szCs w:val="22"/>
                <w:vertAlign w:val="superscript"/>
              </w:rPr>
              <w:t>-3</w:t>
            </w:r>
          </w:p>
        </w:tc>
        <w:tc>
          <w:tcPr>
            <w:tcW w:w="1239" w:type="dxa"/>
            <w:vAlign w:val="center"/>
          </w:tcPr>
          <w:p w14:paraId="589BF85C">
            <w:pPr>
              <w:adjustRightInd w:val="0"/>
              <w:snapToGrid w:val="0"/>
              <w:jc w:val="center"/>
              <w:rPr>
                <w:snapToGrid w:val="0"/>
                <w:sz w:val="22"/>
                <w:szCs w:val="22"/>
              </w:rPr>
            </w:pPr>
            <w:r>
              <w:rPr>
                <w:snapToGrid w:val="0"/>
                <w:sz w:val="22"/>
                <w:szCs w:val="22"/>
              </w:rPr>
              <w:t>23.01</w:t>
            </w:r>
          </w:p>
        </w:tc>
        <w:tc>
          <w:tcPr>
            <w:tcW w:w="1240" w:type="dxa"/>
            <w:vAlign w:val="center"/>
          </w:tcPr>
          <w:p w14:paraId="7293BFB7">
            <w:pPr>
              <w:adjustRightInd w:val="0"/>
              <w:snapToGrid w:val="0"/>
              <w:jc w:val="center"/>
              <w:rPr>
                <w:snapToGrid w:val="0"/>
                <w:sz w:val="22"/>
                <w:szCs w:val="22"/>
              </w:rPr>
            </w:pPr>
            <w:r>
              <w:rPr>
                <w:rFonts w:hint="eastAsia"/>
                <w:snapToGrid w:val="0"/>
                <w:sz w:val="22"/>
                <w:szCs w:val="22"/>
              </w:rPr>
              <w:t>≤</w:t>
            </w:r>
            <w:r>
              <w:rPr>
                <w:snapToGrid w:val="0"/>
                <w:sz w:val="22"/>
                <w:szCs w:val="22"/>
              </w:rPr>
              <w:t>200</w:t>
            </w:r>
          </w:p>
        </w:tc>
        <w:tc>
          <w:tcPr>
            <w:tcW w:w="1240" w:type="dxa"/>
            <w:vAlign w:val="center"/>
          </w:tcPr>
          <w:p w14:paraId="292ED35B">
            <w:pPr>
              <w:adjustRightInd w:val="0"/>
              <w:snapToGrid w:val="0"/>
              <w:jc w:val="center"/>
              <w:rPr>
                <w:snapToGrid w:val="0"/>
                <w:sz w:val="22"/>
                <w:szCs w:val="22"/>
              </w:rPr>
            </w:pPr>
            <w:r>
              <w:rPr>
                <w:rFonts w:hint="eastAsia"/>
                <w:snapToGrid w:val="0"/>
                <w:sz w:val="22"/>
                <w:szCs w:val="22"/>
              </w:rPr>
              <w:t>达标</w:t>
            </w:r>
          </w:p>
        </w:tc>
        <w:tc>
          <w:tcPr>
            <w:tcW w:w="1240" w:type="dxa"/>
            <w:vMerge w:val="continue"/>
            <w:vAlign w:val="center"/>
          </w:tcPr>
          <w:p w14:paraId="046F17EA">
            <w:pPr>
              <w:adjustRightInd w:val="0"/>
              <w:snapToGrid w:val="0"/>
              <w:jc w:val="center"/>
              <w:rPr>
                <w:snapToGrid w:val="0"/>
                <w:sz w:val="22"/>
                <w:szCs w:val="22"/>
              </w:rPr>
            </w:pPr>
          </w:p>
        </w:tc>
      </w:tr>
    </w:tbl>
    <w:p w14:paraId="39305BF4">
      <w:pPr>
        <w:pStyle w:val="1379"/>
        <w:ind w:firstLine="440"/>
      </w:pPr>
    </w:p>
    <w:p w14:paraId="0F447EA7">
      <w:pPr>
        <w:snapToGrid w:val="0"/>
        <w:spacing w:line="480" w:lineRule="exact"/>
        <w:ind w:firstLine="520" w:firstLineChars="200"/>
        <w:rPr>
          <w:sz w:val="26"/>
          <w:szCs w:val="26"/>
        </w:rPr>
      </w:pPr>
      <w:r>
        <w:rPr>
          <w:rFonts w:hint="eastAsia"/>
          <w:sz w:val="26"/>
          <w:szCs w:val="26"/>
        </w:rPr>
        <w:t>根据</w:t>
      </w:r>
      <w:r>
        <w:rPr>
          <w:rFonts w:hint="eastAsia"/>
          <w:sz w:val="26"/>
          <w:szCs w:val="26"/>
          <w:u w:val="single"/>
        </w:rPr>
        <w:t>表3.2-3</w:t>
      </w:r>
      <w:r>
        <w:rPr>
          <w:rFonts w:hint="eastAsia"/>
          <w:sz w:val="26"/>
          <w:szCs w:val="26"/>
        </w:rPr>
        <w:t>可知，项目水套加热炉使用期间各大气污染物浓度均能够满足《锅炉大气污染物排放标准》（GB13271-2014）表3新建锅炉大气污染物排放浓度限值，对周边环境空气影响较小。</w:t>
      </w:r>
    </w:p>
    <w:p w14:paraId="51BB8C6E">
      <w:pPr>
        <w:snapToGrid w:val="0"/>
        <w:spacing w:line="460" w:lineRule="exact"/>
        <w:ind w:firstLine="522" w:firstLineChars="200"/>
        <w:rPr>
          <w:b/>
          <w:sz w:val="26"/>
          <w:szCs w:val="26"/>
        </w:rPr>
      </w:pPr>
      <w:r>
        <w:rPr>
          <w:b/>
          <w:sz w:val="26"/>
          <w:szCs w:val="26"/>
        </w:rPr>
        <w:fldChar w:fldCharType="begin"/>
      </w:r>
      <w:r>
        <w:rPr>
          <w:b/>
          <w:sz w:val="26"/>
          <w:szCs w:val="26"/>
        </w:rPr>
        <w:instrText xml:space="preserve"> </w:instrText>
      </w:r>
      <w:r>
        <w:rPr>
          <w:rFonts w:hint="eastAsia"/>
          <w:b/>
          <w:sz w:val="26"/>
          <w:szCs w:val="26"/>
        </w:rPr>
        <w:instrText xml:space="preserve">= 2 \* GB3</w:instrText>
      </w:r>
      <w:r>
        <w:rPr>
          <w:b/>
          <w:sz w:val="26"/>
          <w:szCs w:val="26"/>
        </w:rPr>
        <w:instrText xml:space="preserve"> </w:instrText>
      </w:r>
      <w:r>
        <w:rPr>
          <w:b/>
          <w:sz w:val="26"/>
          <w:szCs w:val="26"/>
        </w:rPr>
        <w:fldChar w:fldCharType="separate"/>
      </w:r>
      <w:r>
        <w:rPr>
          <w:rFonts w:hint="eastAsia"/>
          <w:b/>
          <w:sz w:val="26"/>
          <w:szCs w:val="26"/>
        </w:rPr>
        <w:t>②</w:t>
      </w:r>
      <w:r>
        <w:rPr>
          <w:b/>
          <w:sz w:val="26"/>
          <w:szCs w:val="26"/>
        </w:rPr>
        <w:fldChar w:fldCharType="end"/>
      </w:r>
      <w:r>
        <w:rPr>
          <w:rFonts w:hint="eastAsia"/>
          <w:b/>
          <w:sz w:val="26"/>
          <w:szCs w:val="26"/>
        </w:rPr>
        <w:t>储罐呼吸废气</w:t>
      </w:r>
    </w:p>
    <w:p w14:paraId="230747E8">
      <w:pPr>
        <w:pStyle w:val="1381"/>
        <w:ind w:firstLine="520"/>
        <w:rPr>
          <w:szCs w:val="26"/>
        </w:rPr>
      </w:pPr>
      <w:r>
        <w:rPr>
          <w:rFonts w:hint="eastAsia"/>
          <w:szCs w:val="26"/>
        </w:rPr>
        <w:t>本项目设置</w:t>
      </w:r>
      <w:r>
        <w:rPr>
          <w:szCs w:val="26"/>
        </w:rPr>
        <w:t>2</w:t>
      </w:r>
      <w:r>
        <w:rPr>
          <w:rFonts w:hint="eastAsia"/>
          <w:szCs w:val="26"/>
        </w:rPr>
        <w:t>个凝析油储罐和</w:t>
      </w:r>
      <w:r>
        <w:rPr>
          <w:szCs w:val="26"/>
        </w:rPr>
        <w:t>3</w:t>
      </w:r>
      <w:r>
        <w:rPr>
          <w:rFonts w:hint="eastAsia"/>
          <w:szCs w:val="26"/>
        </w:rPr>
        <w:t>个气田水储罐，由于气田水储罐储存的是经油水分离后的气田水，</w:t>
      </w:r>
      <w:r>
        <w:rPr>
          <w:rFonts w:hint="eastAsia"/>
        </w:rPr>
        <w:t>含油量很低，本次评价主要分析凝析油储罐大小呼吸产生的有机废气。</w:t>
      </w:r>
    </w:p>
    <w:p w14:paraId="695E50FE">
      <w:pPr>
        <w:snapToGrid w:val="0"/>
        <w:spacing w:line="460" w:lineRule="exact"/>
        <w:ind w:firstLine="522" w:firstLineChars="200"/>
        <w:rPr>
          <w:b/>
          <w:sz w:val="26"/>
          <w:szCs w:val="26"/>
        </w:rPr>
      </w:pPr>
      <w:r>
        <w:rPr>
          <w:rFonts w:hint="eastAsia"/>
          <w:b/>
          <w:sz w:val="26"/>
          <w:szCs w:val="26"/>
        </w:rPr>
        <w:t>A、大呼吸废气</w:t>
      </w:r>
    </w:p>
    <w:p w14:paraId="62560593">
      <w:pPr>
        <w:pStyle w:val="1381"/>
        <w:ind w:firstLine="520"/>
      </w:pPr>
      <w:r>
        <w:rPr>
          <w:rFonts w:hint="eastAsia"/>
        </w:rPr>
        <w:t>根据《环境保护计算手册》，凝析油储罐大呼吸废气计算公式如下：</w:t>
      </w:r>
    </w:p>
    <w:p w14:paraId="1920C86C">
      <w:pPr>
        <w:pStyle w:val="1381"/>
        <w:spacing w:before="240" w:beforeLines="100"/>
        <w:ind w:firstLine="0" w:firstLineChars="0"/>
        <w:jc w:val="center"/>
      </w:pPr>
      <w:r>
        <w:pict>
          <v:shape id="_x0000_i1026" o:spt="75" type="#_x0000_t75" style="height:21.75pt;width:201.75pt;" filled="f" o:preferrelative="t" stroked="f" coordsize="21600,21600"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20&quot;/&gt;&lt;w:characterSpacingControl w:val=&quot;CompressPunctuation&quot;/&gt;&lt;w:documentProtection w:enforcement=&quot;off&quot;/&gt;&lt;w:doNotEmbedSystemFonts/&gt;&lt;w:defaultTabStop w:val=&quot;420&quot;/&gt;&lt;w:drawingGridHorizontalSpacing w:val=&quot;106&quot;/&gt;&lt;w:drawingGridVerticalSpacing w:val=&quot;161&quot;/&gt;&lt;w:displayHorizontalDrawingGridEvery w:val=&quot;1&quot;/&gt;&lt;w:displayVerticalDrawingGridEvery w:val=&quot;1&quot;/&gt;&lt;w:compat&gt;&lt;w:adjustLineHeightInTable/&gt;&lt;w:doNotExpandShiftReturn/&gt;&lt;w:balanceSingleByteDoubleByteWidth/&gt;&lt;w:spaceForUL/&gt;&lt;w:breakWrappedTables/&gt;&lt;w:dontGrowAutofit/&gt;&lt;w:useFELayout/&gt;&lt;/w:compat&gt;&lt;/w:docPr&gt;&lt;w:body&gt;&lt;wx:sect&gt;&lt;w:p&gt;&lt;m:oMathPara&gt;&lt;m:oMath&gt;&lt;m:sSub&gt;&lt;m:sSubPr&gt;&lt;m:ctrlPr&gt;&lt;w:rPr&gt;&lt;w:rFonts w:ascii=&quot;Cambria Math&quot; w:h-ansi=&quot;Cambria Math&quot; w:cs=&quot;Times New Roman&quot; w:hint=&quot;default&quot;/&gt;&lt;w:i/&gt;&lt;w:color w:val=&quot;auto&quot;/&gt;&lt;w:sz w:val=&quot;24&quot;/&gt;&lt;w:sz-cs w:val=&quot;24&quot;/&gt;&lt;w:lang w:val=&quot;EN-US&quot;/&gt;&lt;/w:rPr&gt;&lt;/m:ctrlPr&gt;&lt;/m:sSubPr&gt;&lt;m:e&gt;&lt;m:r&gt;&lt;m:rPr&gt;&lt;m:scr m:val=&quot;roman&quot;/&gt;&lt;/m:rPr&gt;&lt;w:rPr&gt;&lt;w:rFonts w:ascii=&quot;Cambria Math&quot; w:h-ansi=&quot;Cambria Math&quot; w:cs=&quot;Times New Roman&quot; w:hint=&quot;default&quot;/&gt;&lt;w:color w:val=&quot;auto&quot;/&gt;&lt;w:sz w:val=&quot;24&quot;/&gt;&lt;w:sz-cs w:val=&quot;24&quot;/&gt;&lt;w:lang w:val=&quot;EN-US&quot; w:fareast=&quot;ZH-CN&quot;/&gt;&lt;/w:rPr&gt;&lt;m:t&gt;L&lt;/m:t&gt;&lt;/m:r&gt;&lt;m:ctrlPr&gt;&lt;w:rPr&gt;&lt;w:rFonts w:ascii=&quot;Cambria Math&quot; w:h-ansi=&quot;Cambria Math&quot; w:cs=&quot;Times New Roman&quot; w:hint=&quot;default&quot;/&gt;&lt;w:i/&gt;&lt;w:color w:val=&quot;auto&quot;/&gt;&lt;w:sz w:val=&quot;24&quot;/&gt;&lt;w:sz-cs w:val=&quot;24&quot;/&gt;&lt;w:lang w:val=&quot;EN-US&quot;/&gt;&lt;/w:rPr&gt;&lt;/m:ctrlPr&gt;&lt;/m:e&gt;&lt;m:sub&gt;&lt;m:r&gt;&lt;m:rPr&gt;&lt;m:scr m:val=&quot;roman&quot;/&gt;&lt;/m:rPr&gt;&lt;w:rPr&gt;&lt;w:rFonts w:ascii=&quot;Cambria Math&quot; w:h-ansi=&quot;Cambria Math&quot; w:cs=&quot;Times New Roman&quot; w:hint=&quot;default&quot;/&gt;&lt;w:color w:val=&quot;auto&quot;/&gt;&lt;w:sz w:val=&quot;24&quot;/&gt;&lt;w:sz-cs w:val=&quot;24&quot;/&gt;&lt;w:lang w:val=&quot;EN-US&quot; w:fareast=&quot;ZH-CN&quot;/&gt;&lt;/w:rPr&gt;&lt;m:t&gt;W&lt;/m:t&gt;&lt;/m:r&gt;&lt;m:ctrlPr&gt;&lt;w:rPr&gt;&lt;w:rFonts w:ascii=&quot;Cambria Math&quot; w:h-ansi=&quot;Cambria Math&quot; w:cs=&quot;Times New Roman&quot; w:hint=&quot;default&quot;/&gt;&lt;w:i/&gt;&lt;w:color w:val=&quot;auto&quot;/&gt;&lt;w:sz w:val=&quot;24&quot;/&gt;&lt;w:sz-cs w:val=&quot;24&quot;/&gt;&lt;w:lang w:val=&quot;EN-US&quot;/&gt;&lt;/w:rPr&gt;&lt;/m:ctrlPr&gt;&lt;/m:sub&gt;&lt;/m:sSub&gt;&lt;m:r&gt;&lt;m:rPr&gt;&lt;m:scr m:val=&quot;roman&quot;/&gt;&lt;/m:rPr&gt;&lt;w:rPr&gt;&lt;w:rFonts w:ascii=&quot;Cambria Math&quot; w:h-ansi=&quot;Cambria Math&quot; w:cs=&quot;Times New Roman&quot; w:hint=&quot;default&quot;/&gt;&lt;w:color w:val=&quot;auto&quot;/&gt;&lt;w:sz w:val=&quot;24&quot;/&gt;&lt;w:sz-cs w:val=&quot;24&quot;/&gt;&lt;w:lang w:val=&quot;EN-US&quot; w:fareast=&quot;ZH-CN&quot;/&gt;&lt;/w:rPr&gt;&lt;m:t&gt;=4.188脳&lt;/m:t&gt;&lt;/m===================================================================================================================================================:r&gt;&lt;m:sSup&gt;&lt;m:sSupPr&gt;&lt;m:ctrlPr&gt;&lt;w:rPr&gt;&lt;w:rFonts w:ascii=&quot;Cambria Math&quot; w:h-ansi=&quot;Cambria Math&quot; w:cs=&quot;Times New Roman&quot; w:hint=&quot;default&quot;/&gt;&lt;w:i/&gt;&lt;w:color w:val=&quot;auto&quot;/&gt;&lt;w:sz w:val=&quot;24&quot;/&gt;&lt;w:sz-cs w:val=&quot;24&quot;/&gt;&lt;w:lang w:val=&quot;EN-US&quot; w:fareast=&quot;ZH-CN&quot;/&gt;&lt;/w:rPr&gt;&lt;/m:ctrlPr&gt;&lt;/m:sSupPr&gt;&lt;m:e&gt;&lt;m:r&gt;&lt;m:rPr&gt;&lt;m:scr m:val=&quot;roman&quot;/&gt;&lt;/m:rPr&gt;&lt;w:rPr&gt;&lt;w:rFonts w:ascii=&quot;Cambria Math&quot; w:h-ansi=&quot;Cambria Math&quot; w:cs=&quot;Times New Roman&quot; w:hint=&quot;default&quot;/&gt;&lt;w:color w:val=&quot;auto&quot;/&gt;&lt;w:sz w:val=&quot;24&quot;/&gt;&lt;w:sz-cs w:val=&quot;24&quot;/&gt;&lt;w:lang w:val=&quot;EN-US&quot; w:fareast=&quot;ZH-CN&quot;/&gt;&lt;/w:rPr&gt;&lt;m:t&gt;10&lt;/m:t&gt;&lt;/m:r&gt;&lt;m:ctrlPr&gt;&lt;w:rPr&gt;&lt;w:rFonts w:ascii=&quot;Cambria Math&quot; w:h-ansi=&quot;Cambria Math&quot; w:cs=&quot;Times New Roman&quot; w:hint=&quot;default&quot;/&gt;&lt;w:i/&gt;&lt;w:color w:val=&quot;auto&quot;/&gt;&lt;w:sz w:val=&quot;24&quot;/&gt;&lt;w:sz-cs w:val=&quot;24&quot;/&gt;&lt;w:lang w:val=&quot;EN-US&quot; w:fareast=&quot;ZH-CN&quot;/&gt;&lt;/w:rPr&gt;&lt;/m:ctrlPr&gt;&lt;/m:e&gt;&lt;m:sup&gt;&lt;m:r&gt;&lt;m:rPr&gt;&lt;m:scr m:val=&quot;roman&quot;/&gt;&lt;/m:rPr&gt;&lt;w:rPr&gt;&lt;w:rFonts w:ascii=&quot;Cambria Math&quot; w:h-ansi=&quot;Cambria Math&quot; w:cs=&quot;Times New Roman&quot; w:hint=&quot;default&quot;/&gt;&lt;w:color w:val=&quot;auto&quot;/&gt;&lt;w:sz w:val=&quot;24&quot;/&gt;&lt;w:sz-cs w:val=&quot;24&quot;/&gt;&lt;w:lang w:val=&quot;EN-US&quot; w:fareast=&quot;ZH-CN&quot;/&gt;&lt;/w:rPr&gt;&lt;m:t&gt;鈭?&lt;/m:t&gt;&lt;/m:r&gt;&lt;m:ctrlPr&gt;&lt;w:rPr&gt;&lt;w:rFonts w:ascii=&quot;Ca:mabsrciiai =M&quot;aCtahm&quot;b rwi:ah -Maantshi&quot;= &quot;wC:ahm-barnisai =M&quot;aCtahm&quot;b rwi:ac sM=a&quot;tThi&quot;m ews: cNse=w&quot; TRiommeasn &quot;N eww: hRionmta=n&quot;&quot;d ewf:ahuilntt&quot;=/&quot;&gt;d&lt;ewf:aiu/l&gt;t&lt;&quot;w/:&gt;c&lt;owl:ocro lwo:rv awl:=v&quot;aalu=t&quot;oa&quot;u/t&gt;o&lt;&quot;w/:&gt;s&lt;zw :ws:zv awl:=v&quot;a2l4=&quot;&quot;/2&gt;4&lt;&quot;w/:&gt;s&lt;zw-:cssz -wc:sv awl:=v&quot;a2l4=&quot;&quot;/2&gt;44&quot;&lt;w:lang w:val=&quot;EN-US&quot; w:fareast=&quot;ZH-CN&quot;/&gt;&lt;/w:rPr&gt;&lt;/m:ctrlPr&gt;&lt;/m:sup&gt;&lt;/m:sSup&gt;&lt;m:r&gt;&lt;m:rPr&gt;&lt;m:scr m:val=&quot;roman&quot;/&gt;&lt;/m:rPr&gt;&lt;w:rPr&gt;&lt;w:rFonts w:ascii=&quot;Cambria Math&quot; w:h-ansi=&quot;Cambria Math&quot; w:cs=&quot;Times New Roman&quot; w:hint=&quot;default&quot;/&gt;&lt;w:color w:val=&quot;auto&quot;/&gt;&lt;w:sz w:val=&quot;24&quot;/&gt;&lt;w:sz-cs w:val=&quot;24&quot;/&gt;&lt;w:lang w:val=&quot;EN-US&quot; w:fareast=&quot;ZH-CN&quot;/&gt;&lt;/w:rPr&gt;&lt;m:t&gt;脳PM?&gt;桺&lt;m脳m:s&lt;/scrm:r mt&gt;m:v&lt;/valm:l=&quot;r&gt;&quot;ro&lt;moma:san&quot;Su&quot;/&gt;b&gt;&gt;&lt;/&lt;m/m::s:rPSuPr&gt;bP&gt;&lt;wr&gt;w:r&lt;mrPr:cr&gt;&lt;tr&lt;w:lP:rFr&gt;Fon&lt;wnts:rs wPrw:a&gt;&lt;aefascaulw:lt&quot;ci&quot;/&gt;ir&gt;&lt;wFiw:c=&quot;colonlor&quot;Cr watw:vsavalmbl=&quot; w&quot;aubrutoi:o&quot;/ai/&gt;&lt;a &lt;w:sc:sz Mz waiw:viavalthl=&quot;=&quot;&quot;24h&quot;4&quot;/ C/&gt;&lt;a &lt;w:w::szmbz-c:hcs -r w:i-:vaanal=a =&quot;2ns24&quot;iM&quot;/&gt;ai&gt;&lt;w=&quot;w:lthlan&quot;Cng a&quot; w: a:vambal=w:=&quot;EbrEN-ih-US-iS&quot; a  w:an:fa Mareaseasiast=th=&quot;Z=&quot;ZH-h&quot;-CN CN&quot;/a /&gt;&lt;w:&lt;/wmbw:r:crPrsrr&gt;&lt;is&lt;m:=&quot;:t&gt;a &quot;脳&quot;PTiM?u&gt;aimeomthes/ &quot;  N&lt;ew:ew: cs Rzo=&quot;omwaTianv&quot;me&quot; lws w:&quot;hNehi4nw nt/=Ro=&quot;&lt;dmade:fn&quot;fazu wulct:ht&quot; /in/&gt;:&lt;t=&lt;wa:&quot;d:c=oefol2oauor&quot; lt w&gt;:&quot;/:vwa&gt;&lt;all=w:=&quot;nai/au t&gt;&lt;to:&quot;w:&quot;/a&gt;co&gt;&lt;=wlow:Esr sz- w: wS:Zval= -&quot;autoN:&quot;/&gt;&lt;/wa:sz&lt; we:vwal=s&quot;r24&quot;/=r&gt;&lt;w:s&lt;Zz-cs: -w:v&gt;alN=&quot;24&quot;//&gt;&lt;w:&lt;lang ww:valr=&quot;EN-rUS&quot; w&lt;:fare:ast=&quot;&gt;ZH-CN&quot;/&gt;&lt;/w:rPr&gt;&lt;/m:ctrlPr&gt;&lt;/m:sSubPr&gt;&lt;m:e&gt;&lt;m:r&gt;&lt;m:rPr&gt;&lt;m:scr m:val=&quot;roman&quot;/&gt;&lt;/m:rPr&gt;&lt;w:rPr&gt;&lt;w:rFonts w:ascii=&quot;Cambria Math&quot; w:h-ansi=&quot;Cambria Math&quot; w:cs=&quot;Times New Roman&quot; w:hint=&quot;default&quot;/&gt;&lt;w:color w:val=&quot;auto&quot;/&gt;&lt;w:sz w:val=&quot;24&quot;/&gt;&lt;w:sz-cs w:val=&quot;24&quot;/&gt;&lt;w:lang w:val=&quot;EN-US&quot; w:fareast=&quot;ZH-CN&quot;/&gt;&lt;/w:rPr&gt;&lt;m:t&gt;K&lt;/m:t&gt;&lt;/m:r&gt;&lt;m:ctrlPr&gt;&lt;w:rPr&gt;&lt;w:rFonts w:ascii=&quot;Cambria Math&quot; w:h-ansi=&quot;Cambria Math&quot; w:cs=&quot;Times New Roman&quot; w:hint=&quot;default&quot;/&gt;&lt;w:i/&gt;&lt;w:color w:val=&quot;auto&quot;/&gt;&lt;w:sz w:val=&quot;24&quot;/&gt;&lt;w:sz-cs w:val=&quot;24&quot;/&gt;&lt;w:lang w:val=&quot;EN-US&quot; w:fareast=&quot;ZH-CN&quot;/&gt;&lt;/w:rPr&gt;&lt;/m:ctrlPr&gt;&lt;/m:e&gt;&lt;m:sub&gt;&lt;m:r&gt;&lt;m:rPr&gt;&lt;m:scr m:val=&quot;roman&quot;/&gt;&lt;/m:rPr&gt;&lt;w:rPr&gt;&lt;w:rFonts w:ascii=&quot;Cambria Math&quot; w:h-ansi=&quot;Cambria Math&quot; w:cs=&quot;Times New Roman&quot; w:hint=&quot;default&quot;/&gt;&lt;w:color w:val=&quot;auto&quot;/&gt;&lt;w:sz w:val=&quot;24&quot;/&gt;&lt;w:sz-cs w:val=&quot;24&quot;/&gt;&lt;w:lang w:val=&quot;EN-US&quot; w:fareast=&quot;ZH-CN&quot;/&gt;&lt;/w:rPr&gt;&lt;m:t&gt;N&lt;/m:t&gt;&lt;/m:r&gt;&lt;m:ctrlPr&gt;&lt;w:rPr&gt;&lt;w:rFonts w:ascii=&quot;Cambria Math&quot; w:h-ansi=&quot;Cambria Math&quot; w:cs=&quot;Times New Roman&quot; w:hint=&quot;default&quot;/&gt;&lt;w:i/&gt;&lt;w:color w:val=&quot;auto&quot;/&gt;&lt;w:sz w:val=&quot;24&quot;/&gt;&lt;w:sz-cs w:val=&quot;24&quot;/&gt;&lt;w:lang w:val=&quot;EN-US&quot; w:fareast=&quot;ZH-CN&quot;/&gt;&lt;/w:rPr&gt;&lt;/m:ctrlPr&gt;&lt;/m:sub&gt;&lt;/m:sSub&gt;&lt;m:r&gt;&lt;m:rPr&gt;&lt;m:scr m:val=&quot;roman&quot;/&gt;&lt;/m:rPr&gt;&lt;w:rPr&gt;&lt;w:rFonts w:ascii=&quot;Cambria Math&quot; w:h-ansi=&quot;Cambria Math&quot; w:cs=&quot;Times New Roman&quot; w:hint=&quot;default&quot;/&gt;&lt;w:color w:val=&quot;auto&quot;/&gt;&lt;w:sz w:val=&quot;24&quot;/&gt;&lt;w:sz-cs w:val=&quot;24&quot;/&gt;&lt;w:lang w:val=&quot;EN-US&quot; w:fareast=&quot;ZH-CN&quot;/&gt;&lt;/w:rPr&gt;&lt;m:t&gt;脳PP&lt;/mm::t:&gt;m&lt;/mm:m&quot;r&gt;=&lt;m:&quot;=saSub:&gt;a&lt;&lt;m:wsSPr&lt;ub&lt;Pr :&gt;P&lt;nmi:&lt;ct:amrloPr&gt;M&quot;&lt;&lt;ww:wriPoirs&gt;&lt;hw:amwrF-onMatis&quot; wwh:aaiTschii=Nha&quot;iCammsbhmr:iae M &quot;ath &quot; l&quot;w:h&quot;-wasnsinr=&quot;mCamlfbreiao /Mamt:h&quot;o wwv:cs:=&quot;4tTimae:sf Ne&gt; w &quot;Roz=man:&quot;a&gt; w:hr4nint=&quot;waadefac-uult&quot;v:/&gt;&gt;&lt;w2s:i/z&gt;&lt;-&lt;w:can&lt;olor vr4w:vaE&gt;lw=&quot;a&quot;utco&quot;a/&gt;&lt;vwt:sz 2-w:val&gt;&lt;=&quot;24r&quot;n/&gt;&lt;mw:vsz-csE w:va&quot;l=&quot;24a&quot;/&gt;&lt;wt:lang- w:va&gt;l=&quot;ENr-US&quot; mw:fareast=&quot;ZH-CN&quot;/&gt;&lt;/w:rPr&gt;&lt;/m:ctrlPr&gt;&lt;/m:sSubPr&gt;&lt;m:e&gt;&lt;m:r&gt;&lt;m:rPr&gt;&lt;m:scr m:val=&quot;roman&quot;/&gt;&lt;/m:rPr&gt;&lt;w:rPr&gt;&lt;w:rFonts w:ascii=&quot;Cambria Math&quot; w:h-ansi=&quot;Cambria Math&quot; w:cs=&quot;Times New Roman&quot; w:hint=&quot;default&quot;/&gt;&lt;w:color w:val=&quot;auto&quot;/&gt;&lt;w:sz w:val=&quot;24&quot;/&gt;&lt;w:sz-cs w:val=&quot;24&quot;/&gt;&lt;w:lang w:val=&quot;EN-US&quot; w:fareast=&quot;ZH-CN&quot;/&gt;&lt;/w:rPr&gt;&lt;m:t&gt;K&lt;/m:t&gt;&lt;/m:r&gt;&lt;m:ctrlPr&gt;&lt;w:rPr&gt;&lt;w:rFonts w:ascii=&quot;Cambria Math&quot; w:h-ansi=&quot;Cambria Math&quot; w:cs=&quot;Times New Roman&quot; w:hint=&quot;default&quot;/&gt;&lt;w:i/&gt;&lt;w:color w:val=&quot;auto&quot;/&gt;&lt;w:sz w:val=&quot;24&quot;/&gt;&lt;w:sz-cs w:val=&quot;24&quot;/&gt;&lt;w:lang w:val=&quot;EN-US&quot; w:fareast=&quot;ZH-CN&quot;/&gt;&lt;/w:rPr&gt;&lt;/m:ctrlPr&gt;&lt;/m:e&gt;&lt;m:sub&gt;&lt;m:r&gt;&lt;m:rPr&gt;&lt;m:scr m:val=&quot;roman&quot;/&gt;&lt;/m:rPr&gt;&lt;w:rPr&gt;&lt;w:rFonts w:ascii=&quot;Cambria Math&quot; w:h-ansi=&quot;Cambria Math&quot; w:cs=&quot;Times New Roman&quot; w:hint=&quot;default&quot;/&gt;&lt;w:color w:val=&quot;auto&quot;/&gt;&lt;w:sz w:val=&quot;24&quot;/&gt;&lt;w:sz-cs w:val=&quot;24&quot;/&gt;&lt;w:lang w:val=&quot;EN-US&quot; w:fareast=&quot;ZH-CN&quot;/&gt;&lt;/w:rPr&gt;&lt;m:t&gt;C&lt;/m:t&gt;&lt;/m:r&gt;&lt;m:ctrlPr&gt;&lt;w:rPr&gt;&lt;w:rFonts w:ascii=&quot;Cambria Math&quot; w:h-ansi=&quot;Cambria Math&quot; w:cs=&quot;Times New Roman&quot; w:hint=&quot;default&quot;/&gt;&lt;w:i/&gt;&lt;w:color w:val=&quot;auto&quot;/&gt;&lt;w:sz w:val=&quot;24&quot;/&gt;&lt;w:sz-cs w:val=&quot;24&quot;/&gt;&lt;w:lang w:val=&quot;EN-US&quot; w:fareast=&quot;ZH-CN&quot;/&gt;&lt;/w:rPr&gt;&lt;/m:ctrlPr&gt;&lt;/m:sub&gt;&lt;/m:sSub&gt;&lt;/m:oMath&gt;&lt;/m:oMathPara&gt;&lt;/w:p&gt;&lt;/wx:sect&gt;&lt;/w:body&gt;&lt;/w:wordDocument">
            <v:path/>
            <v:fill on="f" focussize="0,0"/>
            <v:stroke on="f" joinstyle="miter"/>
            <v:imagedata r:id="rId25" o:title=""/>
            <o:lock v:ext="edit" aspectratio="f"/>
            <w10:wrap type="none"/>
            <w10:anchorlock/>
          </v:shape>
        </w:pict>
      </w:r>
    </w:p>
    <w:p w14:paraId="19B59FEB">
      <w:pPr>
        <w:pStyle w:val="1381"/>
        <w:ind w:firstLine="520"/>
      </w:pPr>
      <w:r>
        <w:rPr>
          <w:rFonts w:hint="eastAsia"/>
        </w:rPr>
        <w:t>式中：</w:t>
      </w:r>
    </w:p>
    <w:p w14:paraId="67C4B530">
      <w:pPr>
        <w:pStyle w:val="1381"/>
        <w:ind w:firstLine="520"/>
      </w:pPr>
      <w:r>
        <w:rPr>
          <w:rFonts w:hint="eastAsia"/>
        </w:rPr>
        <w:t>L</w:t>
      </w:r>
      <w:r>
        <w:rPr>
          <w:rFonts w:hint="eastAsia"/>
          <w:vertAlign w:val="subscript"/>
        </w:rPr>
        <w:t>W</w:t>
      </w:r>
      <w:r>
        <w:rPr>
          <w:rFonts w:hint="eastAsia"/>
        </w:rPr>
        <w:t>—储罐的工作损失，即年大呼吸损耗量（kg/m³投入量）；</w:t>
      </w:r>
    </w:p>
    <w:p w14:paraId="0067E2D6">
      <w:pPr>
        <w:pStyle w:val="81"/>
        <w:tabs>
          <w:tab w:val="left" w:pos="567"/>
        </w:tabs>
        <w:spacing w:before="0" w:beforeAutospacing="0" w:after="0" w:afterAutospacing="0" w:line="460" w:lineRule="exact"/>
        <w:ind w:firstLine="480" w:firstLineChars="200"/>
        <w:rPr>
          <w:rFonts w:hint="eastAsia"/>
        </w:rPr>
      </w:pPr>
      <w:r>
        <w:rPr>
          <w:rFonts w:hint="eastAsia"/>
        </w:rPr>
        <w:t>M—储罐内蒸汽的分子量，凝析油分子量取最易挥发的戊烷的分子量72；</w:t>
      </w:r>
    </w:p>
    <w:p w14:paraId="2C75CA8A">
      <w:pPr>
        <w:pStyle w:val="81"/>
        <w:tabs>
          <w:tab w:val="left" w:pos="567"/>
        </w:tabs>
        <w:spacing w:before="0" w:beforeAutospacing="0" w:after="0" w:afterAutospacing="0" w:line="460" w:lineRule="exact"/>
        <w:ind w:firstLine="480" w:firstLineChars="200"/>
        <w:rPr>
          <w:rFonts w:hint="eastAsia"/>
        </w:rPr>
      </w:pPr>
      <w:r>
        <w:rPr>
          <w:rFonts w:hint="eastAsia"/>
        </w:rPr>
        <w:t>P——在大量液体状态下，真实的蒸气压力（Pa），本项目所产凝析油的真实蒸汽压约为</w:t>
      </w:r>
      <w:r>
        <w:t>6</w:t>
      </w:r>
      <w:r>
        <w:rPr>
          <w:rFonts w:hint="eastAsia"/>
        </w:rPr>
        <w:t>kPa；</w:t>
      </w:r>
    </w:p>
    <w:p w14:paraId="3DE7DCB6">
      <w:pPr>
        <w:pStyle w:val="81"/>
        <w:tabs>
          <w:tab w:val="left" w:pos="567"/>
        </w:tabs>
        <w:spacing w:before="0" w:beforeAutospacing="0" w:after="0" w:afterAutospacing="0" w:line="460" w:lineRule="exact"/>
        <w:ind w:firstLine="480" w:firstLineChars="200"/>
        <w:rPr>
          <w:rFonts w:hint="eastAsia"/>
        </w:rPr>
      </w:pPr>
      <w:r>
        <w:rPr>
          <w:rFonts w:hint="eastAsia"/>
        </w:rPr>
        <w:t>K</w:t>
      </w:r>
      <w:r>
        <w:rPr>
          <w:rFonts w:hint="eastAsia"/>
          <w:vertAlign w:val="subscript"/>
        </w:rPr>
        <w:t>N</w:t>
      </w:r>
      <w:r>
        <w:rPr>
          <w:rFonts w:hint="eastAsia"/>
        </w:rPr>
        <w:t>——周转因子（无量纲），取值按周转次数确定，即K≤36，K</w:t>
      </w:r>
      <w:r>
        <w:rPr>
          <w:rFonts w:hint="eastAsia"/>
          <w:vertAlign w:val="subscript"/>
        </w:rPr>
        <w:t>N</w:t>
      </w:r>
      <w:r>
        <w:rPr>
          <w:rFonts w:hint="eastAsia"/>
        </w:rPr>
        <w:t>=1；36＜K≤220，K</w:t>
      </w:r>
      <w:r>
        <w:rPr>
          <w:rFonts w:hint="eastAsia"/>
          <w:vertAlign w:val="subscript"/>
        </w:rPr>
        <w:t>N</w:t>
      </w:r>
      <w:r>
        <w:rPr>
          <w:rFonts w:hint="eastAsia"/>
        </w:rPr>
        <w:t>=11.467×K</w:t>
      </w:r>
      <w:r>
        <w:rPr>
          <w:rFonts w:hint="eastAsia"/>
          <w:vertAlign w:val="superscript"/>
        </w:rPr>
        <w:t>-0.7026</w:t>
      </w:r>
      <w:r>
        <w:rPr>
          <w:rFonts w:hint="eastAsia"/>
        </w:rPr>
        <w:t>；K＞220，K</w:t>
      </w:r>
      <w:r>
        <w:rPr>
          <w:rFonts w:hint="eastAsia"/>
          <w:vertAlign w:val="subscript"/>
        </w:rPr>
        <w:t>N</w:t>
      </w:r>
      <w:r>
        <w:rPr>
          <w:rFonts w:hint="eastAsia"/>
        </w:rPr>
        <w:t>=0.26；</w:t>
      </w:r>
    </w:p>
    <w:p w14:paraId="030B0C69">
      <w:pPr>
        <w:pStyle w:val="81"/>
        <w:tabs>
          <w:tab w:val="left" w:pos="567"/>
        </w:tabs>
        <w:spacing w:before="0" w:beforeAutospacing="0" w:after="0" w:afterAutospacing="0" w:line="460" w:lineRule="exact"/>
        <w:ind w:firstLine="480" w:firstLineChars="200"/>
        <w:rPr>
          <w:rFonts w:hint="eastAsia"/>
        </w:rPr>
      </w:pPr>
      <w:r>
        <w:rPr>
          <w:rFonts w:hint="eastAsia"/>
        </w:rPr>
        <w:t>K</w:t>
      </w:r>
      <w:r>
        <w:rPr>
          <w:rFonts w:hint="eastAsia"/>
          <w:vertAlign w:val="subscript"/>
        </w:rPr>
        <w:t>C</w:t>
      </w:r>
      <w:r>
        <w:rPr>
          <w:rFonts w:hint="eastAsia"/>
        </w:rPr>
        <w:t>——产品因子（石油原油Kc取0.65，其他的有机液体取1.0）。</w:t>
      </w:r>
    </w:p>
    <w:p w14:paraId="59E7C6E6">
      <w:pPr>
        <w:pStyle w:val="1381"/>
        <w:ind w:firstLine="520"/>
        <w:rPr>
          <w:szCs w:val="26"/>
        </w:rPr>
      </w:pPr>
      <w:r>
        <w:rPr>
          <w:rFonts w:hint="eastAsia"/>
        </w:rPr>
        <w:t>试采期凝析油储罐大呼吸废气主要参数取值和计算结果见下表。</w:t>
      </w:r>
    </w:p>
    <w:p w14:paraId="2BC64C96">
      <w:pPr>
        <w:pStyle w:val="1379"/>
        <w:ind w:firstLine="440"/>
      </w:pPr>
    </w:p>
    <w:p w14:paraId="7174D79A">
      <w:pPr>
        <w:pStyle w:val="1065"/>
        <w:keepNext/>
      </w:pPr>
      <w:r>
        <w:rPr>
          <w:rFonts w:hint="eastAsia"/>
        </w:rPr>
        <w:t>表3</w:t>
      </w:r>
      <w:r>
        <w:t xml:space="preserve">.2-4  </w:t>
      </w:r>
      <w:r>
        <w:rPr>
          <w:rFonts w:hint="eastAsia"/>
        </w:rPr>
        <w:t>储罐大呼吸废气主要参数取值和计算结果表</w:t>
      </w:r>
    </w:p>
    <w:tbl>
      <w:tblPr>
        <w:tblStyle w:val="88"/>
        <w:tblW w:w="8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78"/>
        <w:gridCol w:w="878"/>
        <w:gridCol w:w="878"/>
        <w:gridCol w:w="878"/>
        <w:gridCol w:w="878"/>
        <w:gridCol w:w="794"/>
        <w:gridCol w:w="750"/>
        <w:gridCol w:w="729"/>
        <w:gridCol w:w="1015"/>
        <w:gridCol w:w="1103"/>
      </w:tblGrid>
      <w:tr w14:paraId="07AF3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878" w:type="dxa"/>
            <w:vAlign w:val="center"/>
          </w:tcPr>
          <w:p w14:paraId="2A80293B">
            <w:pPr>
              <w:pStyle w:val="81"/>
              <w:tabs>
                <w:tab w:val="left" w:pos="567"/>
              </w:tabs>
              <w:spacing w:before="0" w:beforeAutospacing="0" w:after="0" w:afterAutospacing="0"/>
              <w:jc w:val="center"/>
              <w:rPr>
                <w:rFonts w:hint="eastAsia"/>
                <w:bCs/>
                <w:sz w:val="22"/>
                <w:szCs w:val="21"/>
              </w:rPr>
            </w:pPr>
            <w:r>
              <w:rPr>
                <w:rFonts w:hint="eastAsia"/>
                <w:bCs/>
                <w:sz w:val="22"/>
                <w:szCs w:val="21"/>
              </w:rPr>
              <w:t>名称</w:t>
            </w:r>
          </w:p>
        </w:tc>
        <w:tc>
          <w:tcPr>
            <w:tcW w:w="878" w:type="dxa"/>
            <w:vAlign w:val="center"/>
          </w:tcPr>
          <w:p w14:paraId="11BA80B2">
            <w:pPr>
              <w:pStyle w:val="81"/>
              <w:tabs>
                <w:tab w:val="left" w:pos="567"/>
              </w:tabs>
              <w:spacing w:before="0" w:beforeAutospacing="0" w:after="0" w:afterAutospacing="0"/>
              <w:jc w:val="center"/>
              <w:rPr>
                <w:rFonts w:hint="eastAsia"/>
                <w:bCs/>
                <w:sz w:val="22"/>
                <w:szCs w:val="21"/>
              </w:rPr>
            </w:pPr>
            <w:r>
              <w:rPr>
                <w:rFonts w:hint="eastAsia"/>
                <w:bCs/>
                <w:sz w:val="22"/>
                <w:szCs w:val="21"/>
              </w:rPr>
              <w:t>储存物料</w:t>
            </w:r>
          </w:p>
        </w:tc>
        <w:tc>
          <w:tcPr>
            <w:tcW w:w="878" w:type="dxa"/>
            <w:vAlign w:val="center"/>
          </w:tcPr>
          <w:p w14:paraId="3AE7F259">
            <w:pPr>
              <w:pStyle w:val="81"/>
              <w:tabs>
                <w:tab w:val="left" w:pos="567"/>
              </w:tabs>
              <w:spacing w:before="0" w:beforeAutospacing="0" w:after="0" w:afterAutospacing="0"/>
              <w:jc w:val="center"/>
              <w:rPr>
                <w:rFonts w:hint="eastAsia"/>
                <w:bCs/>
                <w:sz w:val="22"/>
                <w:szCs w:val="21"/>
              </w:rPr>
            </w:pPr>
            <w:r>
              <w:rPr>
                <w:rFonts w:hint="eastAsia"/>
                <w:bCs/>
                <w:sz w:val="22"/>
                <w:szCs w:val="21"/>
              </w:rPr>
              <w:t>规格（m</w:t>
            </w:r>
            <w:r>
              <w:rPr>
                <w:rFonts w:hint="eastAsia"/>
                <w:bCs/>
                <w:sz w:val="22"/>
                <w:szCs w:val="21"/>
                <w:vertAlign w:val="superscript"/>
              </w:rPr>
              <w:t>3</w:t>
            </w:r>
            <w:r>
              <w:rPr>
                <w:rFonts w:hint="eastAsia"/>
                <w:bCs/>
                <w:sz w:val="22"/>
                <w:szCs w:val="21"/>
              </w:rPr>
              <w:t>）</w:t>
            </w:r>
          </w:p>
        </w:tc>
        <w:tc>
          <w:tcPr>
            <w:tcW w:w="878" w:type="dxa"/>
            <w:vAlign w:val="center"/>
          </w:tcPr>
          <w:p w14:paraId="6F491752">
            <w:pPr>
              <w:pStyle w:val="81"/>
              <w:tabs>
                <w:tab w:val="left" w:pos="567"/>
              </w:tabs>
              <w:spacing w:before="0" w:beforeAutospacing="0" w:after="0" w:afterAutospacing="0"/>
              <w:jc w:val="center"/>
              <w:rPr>
                <w:rFonts w:hint="eastAsia"/>
                <w:bCs/>
                <w:sz w:val="22"/>
                <w:szCs w:val="21"/>
              </w:rPr>
            </w:pPr>
            <w:r>
              <w:rPr>
                <w:rFonts w:hint="eastAsia"/>
                <w:bCs/>
                <w:sz w:val="22"/>
                <w:szCs w:val="21"/>
              </w:rPr>
              <w:t>数量（个）</w:t>
            </w:r>
          </w:p>
        </w:tc>
        <w:tc>
          <w:tcPr>
            <w:tcW w:w="878" w:type="dxa"/>
            <w:vAlign w:val="center"/>
          </w:tcPr>
          <w:p w14:paraId="6210A092">
            <w:pPr>
              <w:pStyle w:val="81"/>
              <w:tabs>
                <w:tab w:val="left" w:pos="567"/>
              </w:tabs>
              <w:spacing w:before="0" w:beforeAutospacing="0" w:after="0" w:afterAutospacing="0"/>
              <w:jc w:val="center"/>
              <w:rPr>
                <w:rFonts w:hint="eastAsia"/>
                <w:bCs/>
                <w:sz w:val="22"/>
                <w:szCs w:val="21"/>
              </w:rPr>
            </w:pPr>
            <w:r>
              <w:rPr>
                <w:rFonts w:hint="eastAsia"/>
                <w:bCs/>
                <w:sz w:val="22"/>
                <w:szCs w:val="21"/>
              </w:rPr>
              <w:t>分子量（M）</w:t>
            </w:r>
          </w:p>
        </w:tc>
        <w:tc>
          <w:tcPr>
            <w:tcW w:w="794" w:type="dxa"/>
            <w:vAlign w:val="center"/>
          </w:tcPr>
          <w:p w14:paraId="32ECDD94">
            <w:pPr>
              <w:pStyle w:val="81"/>
              <w:tabs>
                <w:tab w:val="left" w:pos="567"/>
              </w:tabs>
              <w:spacing w:before="0" w:beforeAutospacing="0" w:after="0" w:afterAutospacing="0"/>
              <w:jc w:val="center"/>
              <w:rPr>
                <w:rFonts w:hint="eastAsia"/>
                <w:bCs/>
                <w:sz w:val="22"/>
                <w:szCs w:val="21"/>
              </w:rPr>
            </w:pPr>
            <w:r>
              <w:rPr>
                <w:rFonts w:hint="eastAsia"/>
                <w:bCs/>
                <w:sz w:val="22"/>
                <w:szCs w:val="21"/>
              </w:rPr>
              <w:t>P（Pa）</w:t>
            </w:r>
          </w:p>
        </w:tc>
        <w:tc>
          <w:tcPr>
            <w:tcW w:w="750" w:type="dxa"/>
            <w:vAlign w:val="center"/>
          </w:tcPr>
          <w:p w14:paraId="43FD36C1">
            <w:pPr>
              <w:pStyle w:val="81"/>
              <w:tabs>
                <w:tab w:val="left" w:pos="567"/>
              </w:tabs>
              <w:spacing w:before="0" w:beforeAutospacing="0" w:after="0" w:afterAutospacing="0"/>
              <w:jc w:val="center"/>
              <w:rPr>
                <w:rFonts w:hint="eastAsia"/>
                <w:bCs/>
                <w:sz w:val="22"/>
                <w:szCs w:val="21"/>
              </w:rPr>
            </w:pPr>
            <w:r>
              <w:rPr>
                <w:rFonts w:hint="eastAsia"/>
                <w:bCs/>
                <w:sz w:val="22"/>
                <w:szCs w:val="21"/>
              </w:rPr>
              <w:t>K</w:t>
            </w:r>
            <w:r>
              <w:rPr>
                <w:rFonts w:hint="eastAsia"/>
                <w:bCs/>
                <w:sz w:val="22"/>
                <w:szCs w:val="21"/>
                <w:vertAlign w:val="subscript"/>
              </w:rPr>
              <w:t>N</w:t>
            </w:r>
          </w:p>
        </w:tc>
        <w:tc>
          <w:tcPr>
            <w:tcW w:w="729" w:type="dxa"/>
            <w:vAlign w:val="center"/>
          </w:tcPr>
          <w:p w14:paraId="642A6899">
            <w:pPr>
              <w:pStyle w:val="81"/>
              <w:tabs>
                <w:tab w:val="left" w:pos="567"/>
              </w:tabs>
              <w:spacing w:before="0" w:beforeAutospacing="0" w:after="0" w:afterAutospacing="0"/>
              <w:jc w:val="center"/>
              <w:rPr>
                <w:rFonts w:hint="eastAsia"/>
                <w:bCs/>
                <w:sz w:val="22"/>
                <w:szCs w:val="21"/>
              </w:rPr>
            </w:pPr>
            <w:r>
              <w:rPr>
                <w:rFonts w:hint="eastAsia"/>
                <w:bCs/>
                <w:sz w:val="22"/>
                <w:szCs w:val="21"/>
              </w:rPr>
              <w:t>Kc</w:t>
            </w:r>
          </w:p>
        </w:tc>
        <w:tc>
          <w:tcPr>
            <w:tcW w:w="1015" w:type="dxa"/>
            <w:vAlign w:val="center"/>
          </w:tcPr>
          <w:p w14:paraId="49FB914B">
            <w:pPr>
              <w:pStyle w:val="81"/>
              <w:tabs>
                <w:tab w:val="left" w:pos="567"/>
              </w:tabs>
              <w:spacing w:before="0" w:beforeAutospacing="0" w:after="0" w:afterAutospacing="0"/>
              <w:jc w:val="center"/>
              <w:rPr>
                <w:rFonts w:hint="eastAsia"/>
                <w:bCs/>
                <w:sz w:val="22"/>
                <w:szCs w:val="21"/>
              </w:rPr>
            </w:pPr>
            <w:r>
              <w:rPr>
                <w:rFonts w:hint="eastAsia"/>
                <w:bCs/>
                <w:sz w:val="22"/>
                <w:szCs w:val="21"/>
              </w:rPr>
              <w:t>L</w:t>
            </w:r>
            <w:r>
              <w:rPr>
                <w:rFonts w:hint="eastAsia"/>
                <w:bCs/>
                <w:sz w:val="22"/>
                <w:szCs w:val="21"/>
                <w:vertAlign w:val="subscript"/>
              </w:rPr>
              <w:t>W</w:t>
            </w:r>
            <w:r>
              <w:rPr>
                <w:rFonts w:hint="eastAsia"/>
                <w:bCs/>
                <w:sz w:val="22"/>
                <w:szCs w:val="21"/>
              </w:rPr>
              <w:t>（kg/m</w:t>
            </w:r>
            <w:r>
              <w:rPr>
                <w:rFonts w:hint="eastAsia"/>
                <w:bCs/>
                <w:sz w:val="22"/>
                <w:szCs w:val="21"/>
                <w:vertAlign w:val="superscript"/>
              </w:rPr>
              <w:t>3</w:t>
            </w:r>
            <w:r>
              <w:rPr>
                <w:rFonts w:hint="eastAsia"/>
                <w:bCs/>
                <w:sz w:val="22"/>
                <w:szCs w:val="21"/>
              </w:rPr>
              <w:t>投入量）</w:t>
            </w:r>
          </w:p>
        </w:tc>
        <w:tc>
          <w:tcPr>
            <w:tcW w:w="1103" w:type="dxa"/>
            <w:vAlign w:val="center"/>
          </w:tcPr>
          <w:p w14:paraId="5301D0AC">
            <w:pPr>
              <w:pStyle w:val="81"/>
              <w:tabs>
                <w:tab w:val="left" w:pos="567"/>
              </w:tabs>
              <w:spacing w:before="0" w:beforeAutospacing="0" w:after="0" w:afterAutospacing="0"/>
              <w:jc w:val="center"/>
              <w:rPr>
                <w:rFonts w:hint="eastAsia"/>
                <w:bCs/>
                <w:sz w:val="22"/>
                <w:szCs w:val="21"/>
              </w:rPr>
            </w:pPr>
            <w:r>
              <w:rPr>
                <w:rFonts w:hint="eastAsia"/>
                <w:bCs/>
                <w:sz w:val="22"/>
                <w:szCs w:val="21"/>
              </w:rPr>
              <w:t>有机废气产生量（kg/a）</w:t>
            </w:r>
          </w:p>
        </w:tc>
      </w:tr>
      <w:tr w14:paraId="6BC7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2" w:hRule="atLeast"/>
          <w:jc w:val="center"/>
        </w:trPr>
        <w:tc>
          <w:tcPr>
            <w:tcW w:w="878" w:type="dxa"/>
            <w:vAlign w:val="center"/>
          </w:tcPr>
          <w:p w14:paraId="689B3DC7">
            <w:pPr>
              <w:pStyle w:val="81"/>
              <w:tabs>
                <w:tab w:val="left" w:pos="567"/>
              </w:tabs>
              <w:spacing w:before="0" w:beforeAutospacing="0" w:after="0" w:afterAutospacing="0"/>
              <w:jc w:val="center"/>
              <w:rPr>
                <w:rFonts w:hint="eastAsia"/>
                <w:sz w:val="22"/>
                <w:szCs w:val="21"/>
              </w:rPr>
            </w:pPr>
            <w:r>
              <w:rPr>
                <w:rFonts w:hint="eastAsia"/>
                <w:sz w:val="22"/>
                <w:szCs w:val="21"/>
              </w:rPr>
              <w:t>凝析油储罐</w:t>
            </w:r>
          </w:p>
        </w:tc>
        <w:tc>
          <w:tcPr>
            <w:tcW w:w="878" w:type="dxa"/>
            <w:vAlign w:val="center"/>
          </w:tcPr>
          <w:p w14:paraId="269DE219">
            <w:pPr>
              <w:pStyle w:val="81"/>
              <w:tabs>
                <w:tab w:val="left" w:pos="567"/>
              </w:tabs>
              <w:spacing w:before="0" w:beforeAutospacing="0" w:after="0" w:afterAutospacing="0"/>
              <w:jc w:val="center"/>
              <w:rPr>
                <w:rFonts w:hint="eastAsia"/>
                <w:sz w:val="22"/>
                <w:szCs w:val="21"/>
              </w:rPr>
            </w:pPr>
            <w:r>
              <w:rPr>
                <w:rFonts w:hint="eastAsia"/>
                <w:sz w:val="22"/>
                <w:szCs w:val="21"/>
              </w:rPr>
              <w:t>凝析油</w:t>
            </w:r>
          </w:p>
        </w:tc>
        <w:tc>
          <w:tcPr>
            <w:tcW w:w="878" w:type="dxa"/>
            <w:vAlign w:val="center"/>
          </w:tcPr>
          <w:p w14:paraId="11F794A7">
            <w:pPr>
              <w:pStyle w:val="81"/>
              <w:tabs>
                <w:tab w:val="left" w:pos="567"/>
              </w:tabs>
              <w:spacing w:before="0" w:beforeAutospacing="0" w:after="0" w:afterAutospacing="0"/>
              <w:jc w:val="center"/>
              <w:rPr>
                <w:rFonts w:hint="eastAsia"/>
                <w:sz w:val="22"/>
                <w:szCs w:val="21"/>
              </w:rPr>
            </w:pPr>
            <w:r>
              <w:rPr>
                <w:sz w:val="22"/>
                <w:szCs w:val="21"/>
              </w:rPr>
              <w:t>5</w:t>
            </w:r>
            <w:r>
              <w:rPr>
                <w:rFonts w:hint="eastAsia"/>
                <w:sz w:val="22"/>
                <w:szCs w:val="21"/>
              </w:rPr>
              <w:t>0</w:t>
            </w:r>
          </w:p>
        </w:tc>
        <w:tc>
          <w:tcPr>
            <w:tcW w:w="878" w:type="dxa"/>
            <w:vAlign w:val="center"/>
          </w:tcPr>
          <w:p w14:paraId="620E8DA7">
            <w:pPr>
              <w:pStyle w:val="81"/>
              <w:tabs>
                <w:tab w:val="left" w:pos="567"/>
              </w:tabs>
              <w:spacing w:before="0" w:beforeAutospacing="0" w:after="0" w:afterAutospacing="0"/>
              <w:jc w:val="center"/>
              <w:rPr>
                <w:rFonts w:hint="eastAsia"/>
                <w:sz w:val="22"/>
                <w:szCs w:val="21"/>
              </w:rPr>
            </w:pPr>
            <w:r>
              <w:rPr>
                <w:sz w:val="22"/>
                <w:szCs w:val="21"/>
              </w:rPr>
              <w:t>2</w:t>
            </w:r>
          </w:p>
        </w:tc>
        <w:tc>
          <w:tcPr>
            <w:tcW w:w="878" w:type="dxa"/>
            <w:vAlign w:val="center"/>
          </w:tcPr>
          <w:p w14:paraId="635D2857">
            <w:pPr>
              <w:pStyle w:val="81"/>
              <w:tabs>
                <w:tab w:val="left" w:pos="567"/>
              </w:tabs>
              <w:spacing w:before="0" w:beforeAutospacing="0" w:after="0" w:afterAutospacing="0"/>
              <w:jc w:val="center"/>
              <w:rPr>
                <w:rFonts w:hint="eastAsia"/>
                <w:sz w:val="22"/>
                <w:szCs w:val="21"/>
              </w:rPr>
            </w:pPr>
            <w:r>
              <w:rPr>
                <w:rFonts w:hint="eastAsia"/>
                <w:sz w:val="22"/>
                <w:szCs w:val="21"/>
              </w:rPr>
              <w:t>72</w:t>
            </w:r>
          </w:p>
        </w:tc>
        <w:tc>
          <w:tcPr>
            <w:tcW w:w="794" w:type="dxa"/>
            <w:vAlign w:val="center"/>
          </w:tcPr>
          <w:p w14:paraId="07E1884C">
            <w:pPr>
              <w:pStyle w:val="81"/>
              <w:tabs>
                <w:tab w:val="left" w:pos="567"/>
              </w:tabs>
              <w:spacing w:before="0" w:beforeAutospacing="0" w:after="0" w:afterAutospacing="0"/>
              <w:jc w:val="center"/>
              <w:rPr>
                <w:rFonts w:hint="eastAsia"/>
                <w:sz w:val="22"/>
                <w:szCs w:val="21"/>
              </w:rPr>
            </w:pPr>
            <w:r>
              <w:rPr>
                <w:sz w:val="22"/>
                <w:szCs w:val="21"/>
              </w:rPr>
              <w:t>6</w:t>
            </w:r>
            <w:r>
              <w:rPr>
                <w:rFonts w:hint="eastAsia"/>
                <w:sz w:val="22"/>
                <w:szCs w:val="21"/>
              </w:rPr>
              <w:t>000</w:t>
            </w:r>
          </w:p>
        </w:tc>
        <w:tc>
          <w:tcPr>
            <w:tcW w:w="750" w:type="dxa"/>
            <w:vAlign w:val="center"/>
          </w:tcPr>
          <w:p w14:paraId="7236744B">
            <w:pPr>
              <w:pStyle w:val="81"/>
              <w:tabs>
                <w:tab w:val="left" w:pos="567"/>
              </w:tabs>
              <w:spacing w:before="0" w:beforeAutospacing="0" w:after="0" w:afterAutospacing="0"/>
              <w:jc w:val="center"/>
              <w:rPr>
                <w:rFonts w:hint="eastAsia"/>
                <w:sz w:val="22"/>
                <w:szCs w:val="21"/>
              </w:rPr>
            </w:pPr>
            <w:r>
              <w:rPr>
                <w:rFonts w:hint="eastAsia"/>
                <w:sz w:val="22"/>
                <w:szCs w:val="21"/>
              </w:rPr>
              <w:t>0.26</w:t>
            </w:r>
          </w:p>
        </w:tc>
        <w:tc>
          <w:tcPr>
            <w:tcW w:w="729" w:type="dxa"/>
            <w:vAlign w:val="center"/>
          </w:tcPr>
          <w:p w14:paraId="2E18534A">
            <w:pPr>
              <w:pStyle w:val="81"/>
              <w:tabs>
                <w:tab w:val="left" w:pos="567"/>
              </w:tabs>
              <w:spacing w:before="0" w:beforeAutospacing="0" w:after="0" w:afterAutospacing="0"/>
              <w:jc w:val="center"/>
              <w:rPr>
                <w:rFonts w:hint="eastAsia"/>
                <w:sz w:val="22"/>
                <w:szCs w:val="21"/>
              </w:rPr>
            </w:pPr>
            <w:r>
              <w:rPr>
                <w:rFonts w:hint="eastAsia"/>
                <w:sz w:val="22"/>
                <w:szCs w:val="21"/>
              </w:rPr>
              <w:t>0.65</w:t>
            </w:r>
          </w:p>
        </w:tc>
        <w:tc>
          <w:tcPr>
            <w:tcW w:w="1015" w:type="dxa"/>
            <w:vAlign w:val="center"/>
          </w:tcPr>
          <w:p w14:paraId="7640030A">
            <w:pPr>
              <w:widowControl/>
              <w:jc w:val="center"/>
              <w:textAlignment w:val="center"/>
              <w:rPr>
                <w:kern w:val="0"/>
                <w:sz w:val="22"/>
                <w:szCs w:val="21"/>
              </w:rPr>
            </w:pPr>
            <w:r>
              <w:rPr>
                <w:rFonts w:hint="eastAsia"/>
                <w:kern w:val="0"/>
                <w:sz w:val="22"/>
                <w:szCs w:val="21"/>
              </w:rPr>
              <w:t>0</w:t>
            </w:r>
            <w:r>
              <w:rPr>
                <w:kern w:val="0"/>
                <w:sz w:val="22"/>
                <w:szCs w:val="21"/>
              </w:rPr>
              <w:t>.0306</w:t>
            </w:r>
          </w:p>
        </w:tc>
        <w:tc>
          <w:tcPr>
            <w:tcW w:w="1103" w:type="dxa"/>
            <w:vAlign w:val="center"/>
          </w:tcPr>
          <w:p w14:paraId="10C18993">
            <w:pPr>
              <w:widowControl/>
              <w:jc w:val="center"/>
              <w:textAlignment w:val="center"/>
              <w:rPr>
                <w:kern w:val="0"/>
                <w:sz w:val="22"/>
                <w:szCs w:val="21"/>
              </w:rPr>
            </w:pPr>
            <w:r>
              <w:rPr>
                <w:kern w:val="0"/>
                <w:sz w:val="22"/>
                <w:szCs w:val="21"/>
              </w:rPr>
              <w:t>134.028</w:t>
            </w:r>
          </w:p>
        </w:tc>
      </w:tr>
    </w:tbl>
    <w:p w14:paraId="633081FD">
      <w:pPr>
        <w:pStyle w:val="1379"/>
        <w:ind w:firstLine="440"/>
      </w:pPr>
    </w:p>
    <w:p w14:paraId="56F7BDD2">
      <w:pPr>
        <w:pStyle w:val="1381"/>
        <w:ind w:firstLine="522"/>
        <w:rPr>
          <w:b/>
        </w:rPr>
      </w:pPr>
      <w:r>
        <w:rPr>
          <w:rFonts w:hint="eastAsia"/>
          <w:b/>
        </w:rPr>
        <w:t>B、小呼吸废气</w:t>
      </w:r>
    </w:p>
    <w:p w14:paraId="793A053E">
      <w:pPr>
        <w:pStyle w:val="1381"/>
        <w:ind w:firstLine="520"/>
      </w:pPr>
      <w:r>
        <w:rPr>
          <w:rFonts w:hint="eastAsia"/>
        </w:rPr>
        <w:t>根据《环境保护计算手册》推荐的罐区小呼吸气计算公式计算出凝析油储罐小呼吸挥发性有机废气产生情况如下：</w:t>
      </w:r>
    </w:p>
    <w:p w14:paraId="41E80134">
      <w:pPr>
        <w:pStyle w:val="1381"/>
        <w:adjustRightInd w:val="0"/>
        <w:snapToGrid w:val="0"/>
        <w:spacing w:before="360" w:beforeLines="150"/>
        <w:ind w:firstLine="0" w:firstLineChars="0"/>
        <w:jc w:val="center"/>
      </w:pPr>
      <w:r>
        <w:pict>
          <v:shape id="_x0000_i1027" o:spt="75" type="#_x0000_t75" style="height:27.85pt;width:322.65pt;" filled="f" o:preferrelative="t" stroked="f" coordsize="21600,21600"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20&quot;/&gt;&lt;w:characterSpacingControl w:val=&quot;CompressPunctuation&quot;/&gt;&lt;w:documentProtection w:enforcement=&quot;off&quot;/&gt;&lt;w:doNotEmbedSystemFonts/&gt;&lt;w:defaultTabStop w:val=&quot;420&quot;/&gt;&lt;w:drawingGridHorizontalSpacing w:val=&quot;106&quot;/&gt;&lt;w:drawingGridVerticalSpacing w:val=&quot;161&quot;/&gt;&lt;w:displayHorizontalDrawingGridEvery w:val=&quot;1&quot;/&gt;&lt;w:displayVerticalDrawingGridEvery w:val=&quot;2&quot;/&gt;&lt;w:compat&gt;&lt;w:adjustLineHeightInTable/&gt;&lt;w:doNotExpandShiftReturn/&gt;&lt;w:balanceSingleByteDoubleByteWidth/&gt;&lt;w:spaceForUL/&gt;&lt;w:breakWrappedTables/&gt;&lt;w:dontGrowAutofit/&gt;&lt;w:useFELayout/&gt;&lt;/w:compat&gt;&lt;/w:docPr&gt;&lt;w:body&gt;&lt;wx:sect&gt;&lt;w:p&gt;&lt;m:oMathPara&gt;&lt;m:oMath&gt;&lt;m:sSub&gt;&lt;m:sSubPr&gt;&lt;m:ctrlPr&gt;&lt;w:rPr&gt;&lt;w:rFonts w:ascii=&quot;Cambria Math&quot; w:h-ansi=&quot;Cambria Math&quot; w:hint=&quot;default&quot;/&gt;&lt;w:i/&gt;&lt;w:lang w:val=&quot;EN-US&quot;/&gt;&lt;/w:rPr&gt;&lt;/m:ctrlPr&gt;&lt;/m:sSubPr&gt;&lt;m:e&gt;&lt;m:r&gt;&lt;m:rPr&gt;&lt;m:scr m:val=&quot;roman&quot;/&gt;&lt;/m:rPr&gt;&lt;w:rPr&gt;&lt;w:rFonts w:ascii=&quot;Cambria Math&quot; w:h-ansi=&quot;Cambria Math&quot; w:hint=&quot;default&quot;/&gt;&lt;w:lang w:val=&quot;EN-US&quot; w:fareast=&quot;ZH-CN&quot;/&gt;&lt;/w:rPr&gt;&lt;m:t&gt;L&lt;/m:t&gt;&lt;/m:r&gt;&lt;m:ctrlPr&gt;&lt;w:rPr&gt;&lt;w:rFonts w:ascii=&quot;Cambria Math&quot; w:h-ansi=&quot;Cambria Math&quot; w:hint=&quot;default&quot;/&gt;&lt;w:i/&gt;&lt;w:lang w:val=&quot;EN-US&quot;/&gt;&lt;/w:rPr&gt;&lt;/m:ctrlPr&gt;&lt;/m:e&gt;&lt;m:sub&gt;&lt;m:r&gt;&lt;m:rPr&gt;&lt;m:scr m:val=&quot;roman&quot;/&gt;&lt;/m:rPr&gt;&lt;w:rPr&gt;&lt;w:rFonts w:ascii=&quot;Cambria Math&quot; w:h-ansi=&quot;Cambria Math&quot; w:hint=&quot;default&quot;/&gt;&lt;w:lang w:val=&quot;EN-US&quot; w:fareast=&quot;ZH-CN&quot;/&gt;&lt;/w:rPr&gt;&lt;m:t&gt;B&lt;/m:t&gt;&lt;/m:r&gt;&lt;m:ctrlPr&gt;&lt;w:rPr&gt;&lt;w:rFonts w:ascii=&quot;Cambria Math&quot; w:h-ansi=&quot;Cambria Math&quot; w:hint=&quot;default&quot;/&gt;&lt;w:i/&gt;&lt;w:lang w:val=&quot;EN-US&quot;/&gt;&lt;/w:rPr&gt;&lt;/m:ctrlPr&gt;&lt;/m:sub&gt;&lt;/m:sSub&gt;&lt;m:r&gt;&lt;m:rPr&gt;&lt;m:scr m:val=&quot;roman&quot;/&gt;&lt;/m:rPr&gt;&lt;w:rPr&gt;&lt;w:rFonts w:ascii=&quot;Cambria Math&quot; w:h-ansi=&quot;Cambria Math&quot; w:hint=&quot;default&quot;/&gt;&lt;w:lang w:val=&quot;EN-US&quot; w:fareast=&quot;ZH-CN&quot;/&gt;&lt;/w:rPr&gt;&lt;m:t&gt;=0.191&lt;/m:t&gt;&lt;/m:r&gt;&lt;m:r&gt;&lt;m:rPr&gt;&lt;m:scr m:val=&quot;roman&quot;/&gt;&lt;/m:rPr&gt;&lt;w:rPr&gt;&lt;w:rFonts w:ascii=&quot;Cambria Math&quot; w:h-ansi=&quot;Cambria Math&quot; w:hint=&quot;fareast&quot;/&gt;&lt;w:lang w:val=&quot;EN-US&quot; w:fareast=&quot;ZH-CN&quot;/&gt;&lt;/w:rPr&gt;&lt;m:t&gt;路&lt;/m:t&gt;&lt;/m:r&gt;&lt;m:r&gt;&lt;m:rPr&gt;&lt;m:scr m:val=&quot;roman&quot;/&gt;&lt;/m:rPr&gt;&lt;w:rPr&gt;&lt;w:rFonts w:arrrrrrrrrrrrrrrrrrrrrrrrrrrrrrrrrrrrrrrrrrrrrrrrrrrrrrrrrrrrrrrrrrrrrrrrrrrrrrrrrrrrrrrrrrrrrrrrrrrrrrrrrrrrrrrrrrrrrrrrrrrrrrrrrrrrrrrrrrrrrrrrrrrscii=&quot;Cambria Math&quot; w:h-ansi=&quot;Cambria Math&quot; w:hint=&quot;default&quot;/&gt;&lt;w:lang w:val=&quot;EN-US&quot; w:fareast=&quot;ZH-CN&quot;/&gt;&lt;/w:rPr&gt;&lt;m:t&gt;M&lt;/m:t&gt;&lt;/m:r&gt;&lt;m:sSup&gt;&lt;m:sSupPr&gt;&lt;m:ctrlPr&gt;&lt;w:rPr&gt;&lt;w:rFonts w:ascii=&quot;Cambria Math&quot; w:h-ansi=&quot;Cambria Math&quot; w:hint=&quot;default&quot;/&gt;&lt;w:i/&gt;&lt;w:lang w:val=&quot;EN-US&quot; w:fareast=&quot;ZH-CN&quot;/&gt;&lt;/w:rPr&gt;&lt;/m:ctrlPr&gt;&lt;/m:sSupPr&gt;&lt;m:e&gt;&lt;m:r&gt;&lt;m:rPr&gt;&lt;m:scr m:val=&quot;roman&quot;/&gt;&lt;/m:rPr&gt;&lt;w:rPr&gt;&lt;w:rFonts w:ascii=&quot;Cambria Math&quot; w:h-ansi=&quot;Cambria Math&quot; w:hint=&quot;fareast&quot;/&gt;&lt;w:lang w:val=&quot;EN-US&quot; w:fareast=&quot;ZH-CN&quot;/&gt;&lt;/w:rPr&gt;&lt;m:t&gt;???w紈:?:l/laman:ngtg &gt; w w:&lt;/m:r&gt;&lt;m:f&gt;&lt;m:fPr&gt;&lt;m:ctrlPr&gt;&lt;w:rPr&gt;&lt;w:rFonts w:ascii=&quot;Cambria Math&quot; w:h-ansi=&quot;Cambria Math&quot; &lt;ww::hriPnrt&gt;=&lt;&quot;wf:arrFeoanstts&quot; /w&gt;:&lt;aws:cii/i&gt;=&lt;&quot;wC:almabnrgi aw :Mvaatlh=&quot;&quot; EwN:-hU-Sa&quot;n swi:=f&quot;aCraemabsrti=a&quot; ZMHa-tChN&quot;&quot; /w&gt;:&lt;h/iwn:tr=P&quot;rf&gt;a&lt;r/ema:sctt&quot;r/l&gt;P&lt;rw&gt;:&lt;l/amn:gf Pwr:&gt;v&lt;aml:=n&quot;uEmN&gt;-&lt;UmS:&quot;r &gt;w&lt;:mf:arrPera&gt;s&lt;tm=:&quot;sZcHr- CmN:&quot;v/a&gt;l&lt;=/&quot;wr:ormParn&gt;&quot;&lt;/m&gt;:&lt;t/&gt;&gt;?m:&lt;rPwr&gt;&lt;w:rPr&gt;&lt;w:rFonts w:ascii=&quot;Cambria Math&quot; w:h-ansi=&quot;Cambria Math&quot; w:hint=&quot;default&quot;/&gt;&lt;w:lang w:val=&quot;EN-US&quot; w:fareast=&quot;ZH-CN&quot;/&gt;&lt;/w:rPr&gt;&lt;m:t&gt;P&lt;/m:t&gt;&lt;/m:r&gt;&lt;m:ctrlPr&gt;&lt;w:rPr&gt;&lt;w:rFonts w:ascii=&quot;Cambria Math&quot; w:h-ansi=&quot;Cambria Math&quot; w:hint=&quot;fareast&quot;/&gt;&lt;w:i/&gt;&lt;w:lang w:val=&quot;EN-US&quot; w:fareast=&quot;ZH-CN&quot;/&gt;&lt;/w:rPr&gt;&lt;/m:ctrlPr&gt;&lt;/m:num&gt;&lt;m:den&gt;&lt;m:r&gt;&lt;m:rPr&gt;&lt;m:scr m:val=&quot;roman&quot;/&gt;&lt;/m:rPr&gt;&lt;w:rPr&gt;&lt;w:rFonts w:ascii=&quot;Cambria Math&quot; w:h-ansi=&quot;Cambria Math&quot; w:hint=&quot;default&quot;/&gt;&lt;w:lang w:val=&quot;EN-US&quot; w:fareast=&quot;ZH-CN&quot;/&gt;&lt;/w:rPr&gt;&lt;m:t&gt;100910?坣g扨 w&lt; :vw/alm:=&quot;vaENt&gt;-U&lt;=S&quot;&quot;/ wm::fN-arr&gt;ea&lt;Sst&quot;m=&quot;:cZHw:-CtrN&quot;la/&gt;rP&lt;/r&gt;w:asrP&lt;wr&gt;:r&lt;/Prm:&gt;&lt;ctw:rlrFPron&gt;&lt;ts/m w:n:aumsc&gt;&lt;iim:=&quot;deCan&gt;mb&lt;mri:ra &gt;&lt;Mam:thrP&quot; r&gt;w:&lt;mh-:sancrsi m=&quot;:vCaalmb=&quot;riroa maMan&quot;th/&gt;&quot; &lt;/w:m:hirPntr&gt;=&quot;&lt;wfa:rreN&quot;Pr/&gt;as&lt;/&gt;&lt;w:t&quot;rPw:r&gt;/&gt;&lt;mrF:t&lt;w&gt;1on00:i91ts0?/&gt; gw&lt;w:a:lscaniig =&quot;w:Cavambl=ri&quot;Ea N-MaUSth&quot; &quot; w:w:fah-reanassit==&quot;&quot;ZCaH-mbCNri&quot;/a &gt;&lt;Ma/wth:r&quot; Prw:&gt;&lt;hi/mnt:c=&quot;trdelPfar&gt;ul&lt;/t&quot;m:/&gt;de&lt;wn&gt;:l&lt;/anm:g f&gt;w:&lt;mva:rl=&gt;&lt;&quot;Em:N-rPUSr&gt;&quot; &lt;mw::sfacrre mas:vt=al&quot;Z=&quot;H-roCNma&quot;/n&quot;&gt;&lt;/&gt;/w&lt;/:rm:PrrP&gt;&lt;r&gt;m:&lt;wt&gt;:r10Pr&gt;91&lt;w:rnFonts w:ascii=&quot;Cambria Math&quot; w:h-ansi=&quot;Cambria Math&quot; w:hint=&quot;fareast&quot;/&gt;&lt;w:lang w:val=&quot;EN-US&quot; w:fareast=&quot;ZH-CN&quot;/&gt;&lt;/w:rPr&gt;&lt;m:t&gt;锛?t/&quot;m:/t&gt;&gt;&lt;&lt;/m:w:r&gt;&lt;mal:ctgrnlPwr&gt; &lt;vw:r:lPr&gt;&lt;&quot;aw:rNF=onUtsE &quot;w:a-wsciifS=&quot;Cra mbaria:at &quot;Maa&quot;&gt;th&quot; /Hew::hC-sPan&quot;s&gt;i==&gt;w&quot;CaZr/mbrri:-a&lt; MPanNth&gt;t&quot; /w:m:hii&lt;tntC=&quot;1wrdef&gt;Marul&quot;wt&quot;rh/F&gt;&lt;sw&lt;s:Ci/&gt;ar:&lt;w:Mil&gt;a&quot;nag h0wi:=valar1=&quot;Et N-n&lt;U-S&quot;a wisw:faalresaNist=&quot;&quot;a&quot;ZfH- CaNr&quot;i&quot;/&gt;&lt;/C&quot;aw:&gt;rePr:w&gt;&quot;&lt;&gt;/m:wtnctrnl&quot;CP:r&gt;&lt;/=m:e&gt;-&lt;m:s up&gt;&lt;am:r&gt;s&lt;m:rZPr&gt;&lt;Nm:sc&lt;r m:rval=&lt;&quot;rom&gt;an&quot;/&gt;&lt;/m:rPr&gt;&lt;w:rPr&gt;&lt;w:rFonts w:ascii=&quot;Cambria Math&quot; w:h-ansi=&quot;Cambria Math&quot; w:hint=&quot;default&quot;/&gt;&lt;w:lang w:val=&quot;EN-US&quot; w:fareast=&quot;ZH-CN&quot;/&gt;&lt;/w:rPr&gt;&lt;m:t&gt;0.68&lt;/m:t&gt;&lt;/m:r&gt;&lt;m:ctrlPr&gt;&lt;w:rPr&gt;&lt;w:rFonts w:ascii=&quot;Cambria Math&quot; w:h-ansi=&quot;Cambria Math&quot; w:hint=&quot;default&quot;/&gt;&lt;w:i/&gt;&lt;w:lang w:val=&quot;EN-US&quot; w:fareast=&quot;ZH-CN&quot;/&gt;&lt;/w:rPr&gt;&lt;/m:ctrlPr&gt;&lt;/m:sup&gt;&lt;/m:sSup&gt;&lt;m:r&gt;&lt;m:rPr&gt;&lt;m:scr m:val=&quot;roman&quot;/&gt;&lt;/m:rPr&gt;&lt;w:rPr&gt;&lt;w:rFonts w:ascii=&quot;Cambria Math&quot; w:h-ansi=&quot;Cambria Math&quot; w:hint=&quot;fareast&quot;/&gt;&lt;w:lang w:val=&quot;EN-US&quot; w:fareast=&quot;ZH-CN&quot;/&gt;&lt;/w:rPr&gt;&lt;m:t&gt;路www&lt;/mg:gtg&gt;a&lt;/am:Nar&gt;N&lt; m:Ns rSup&gt; =r&lt;m:sCS=rup&lt;PrC&gt;=P&lt;m:&lt;cmtCrlPlPr&gt;&lt;&lt;/mw:rPpPlr&gt;&lt;:w:/mr&gt;Fonpt&gt;ls w:P:a/sc:&gt;ii=pm&quot;&gt;Cam=b:Priaa M:&gt;&lt;ath&quot;mP &gt;w:h:=-aPn&lt;sai=&quot;o:C&lt;amwbrmPiia Ma:a=th&quot; a&lt;wa:hhiont&lt;h=&quot;wdeifPaiumlt&quot;:a /&gt;&lt;w:&quot;a&lt;i/&gt;i&lt;hawo:fltahngs-w wi:&gt;&lt;vailrmn=&quot;EmN-v mUS&quot;E &quot;w:M&quot;faireaaswftt=&quot;ZHs--sCN&quot;&gt;&lt;/&gt;&lt;mr/nw:rmPrvM&gt;&lt;/mE:cwtr&quot;lPr&gt;=a&lt;/m:stSaupP-r&gt;&lt;&lt;m&gt;:e&gt;&lt;mr:r&gt;&lt;mm:rPr&gt;&lt;m:scr m:val=&quot;roman&quot;/&gt;&lt;/m:rPr&gt;&lt;w:rPr&gt;&lt;w:rFonts w:ascii=&quot;Cambria Math&quot; w:h-ansi=&quot;Cambria Math&quot; w:hint=&quot;default&quot;/&gt;&lt;w:lang w:val=&quot;EN-US&quot; w:fareast=&quot;ZH-CN&quot;/&gt;&lt;/w:rPr&gt;&lt;m:t&gt;D&lt;/m:t&gt;&lt;/m:r&gt;&lt;m:ctrlPr&gt;&lt;w:rPr&gt;&lt;w:rFonts w:ascii=&quot;Cambria Math&quot; w:h-ansi=&quot;Cambria Math&quot; w:hint=&quot;default&quot;/&gt;&lt;w:i/&gt;&lt;w:lang w:val=&quot;EN-US&quot; w:fareast=&quot;ZH-CN&quot;/&gt;&lt;/w:rPr&gt;&lt;/m:ctrlPr&gt;&lt;/m:e&gt;&lt;m:sup&gt;&lt;m:r&gt;&lt;m:rPr&gt;&lt;m:scr m:val=&quot;roman&quot;/&gt;&lt;/m:rPr&gt;&lt;w:rPr&gt;&lt;w:rFonts w:ascii=&quot;Cambria Math&quot; w:h-ansi=&quot;Cambria Math&quot; w:hint=&quot;default&quot;/&gt;&lt;w:lang w:val=&quot;EN-US&quot; w:fareast=&quot;ZH-CN&quot;/&gt;&lt;/w:rPr&gt;&lt;m:t&gt;0.68&lt;/m:t&gt;&lt;/m:r&gt;&lt;m:ctrlPr&gt;&lt;w:rPr&gt;&lt;w:rFonts w:ascii=&quot;Cambria Math&quot; w:h-ansi=&quot;Cambria Math&quot; w:hint=&quot;default&quot;/&gt;&lt;w:i/&gt;&lt;w:lang w:val=&quot;EN-US&quot; w:fareast=&quot;ZH-CN&quot;/&gt;&lt;/w:rPr&gt;&lt;/m:ctrlPr&gt;&lt;/m:sup&gt;&lt;/m:sSup&gt;&lt;m:r&gt;&lt;m:rPr&gt;&lt;m:scr m:val=&quot;roman&quot;/&gt;&lt;/m:rPr&gt;&lt;w:rPr&gt;&lt;w:rFonts w:ascii=&quot;Cambria Math&quot; w:h-ansi=&quot;Cambria Math&quot; w:hint=&quot;fareast&quot;/&gt;&lt;w:lang w:val=&quot;EN-US&quot; w:fareast=&quot;ZH-CN&quot;/&gt;&lt;/w:rPr&gt;&lt;m:t&gt;??/m:tg&gt;&lt;/m:rl&gt;&lt;m:sSUup&gt;&lt;m:fsSupPrt&gt;&lt;m:ctCrlPr&gt;&lt;ww:rPr&gt;&lt;w/:rFontsP w:ascisi=&quot;Camb:ria Matmh&quot; w:h-ransi=&quot;Csambria aMath&quot; wa:hint=&quot;default&quot;/&gt;&lt;w:i/&gt;&lt;w:lang w:val=&quot;EN-US&quot; w:fareast=&quot;ZH-CN&quot;/&gt;&lt;/w:rPr&gt;&lt;/m:ctrlPr&gt;&lt;/m:sSupPr&gt;&lt;m:e&gt;&lt;m:r&gt;&lt;m:rPr&gt;&lt;m:scr m:val=&quot;roman&quot;/&gt;?&lt;/m:rPr&gt;&lt;w:rPr&gt;&lt;w:rFonts w:ascii=&quot;Cambria Math&quot; w:h-ansi=&quot;Cambria Math&quot; w:hint=&quot;default&quot;/&gt;&lt;w:lang w:val=&quot;EN-US&quot; w:fareast=&quot;ZH-CN&quot;/&gt;&lt;/w:rPr&gt;&lt;m:t&gt;H&lt;/m:t&gt;&lt;/m:r&gt;&lt;m:ctrlPr&gt;&lt;w:rPr&gt;&lt;w:rFonts w:ascii=&quot;Cambria Math&quot; w:h-ansi=&quot;Cambria Math&quot; w:hint=&quot;default&quot;/&gt;&lt;w:i/&gt;&lt;w:lang w:val=&quot;EN-US&quot; w:fareast=&quot;ZH-CN&quot;/&gt;&lt;/w:rPr&gt;&lt;/m:ctrlPr&gt;&lt;/m:e&gt;&lt;m:sup&gt;&lt;m:r&gt;&lt;m:rPr&gt;&lt;m:scr m:val=&quot;roman&quot;/&gt;&lt;/m:rPr&gt;&lt;w:rPr&gt;&lt;w:rFonts w:ascii=&quot;Cambria Math&quot; w:h-ansi=&quot;Cambria Math&quot; w:hint=&quot;default&quot;/&gt;&lt;w:lang w:val=&quot;EN-US&quot; w:fareast=&quot;ZH-CN&quot;/&gt;&lt;/w:rPr&gt;&lt;m:t&gt;1.73&lt;/m:t&gt;&lt;/m:r&gt;&lt;m:ctrlPr&gt;&lt;w:rPr&gt;&lt;w:rFonts w:ascii=&quot;Cambria Math&quot; w:h-ansi=&quot;Cambria Math&quot; w:hint=&quot;default&quot;/&gt;&lt;w:i/&gt;&lt;w:lang w:val=&quot;EN-US&quot; w:fareast=&quot;ZH-CN&quot;/&gt;&lt;/w:rPr&gt;&lt;/m:ctrlPr&gt;&lt;/m:sup&gt;&lt;/m:sSup&gt;&lt;m:r&gt;&lt;m:rPr&gt;&lt;m:scr m:val=&quot;roman&quot;/&gt;&lt;/m:rPr&gt;&lt;w:rPr&gt;&lt;w:rFonts w:ascii=&quot;Cambria Math&quot; w:h-ansi=&quot;Cambria Math&quot; w:hint=&quot;fareast&quot;/&gt;&lt;w:lang w:val=&quot;EN-US&quot; w:fareast=&quot;ZH-CN&quot;/&gt;&lt;/w:rPr&gt;&lt;m:t&gt;??/lm:gt&gt;&lt;/m:lar&gt;&lt;m:UsSup&gt;&lt;fm:sSuptPr&gt;&lt;m:CctrlPr/&gt;&lt;w:rP&gt;r&gt;&lt;w:rtFonts &lt;w:ascipi=&quot;Camsbria Mmath&quot; w::h-ansmi=&quot;Cammbria M&quot;ath&quot; w&quot;:hint=:&quot;defauwlt&quot;/&gt;&lt;&lt;w:i/&gt;&lt;nw:langa w:val&quot;=&quot;EN-USa&quot; w:far east=&quot;ZsH-CN&quot;/&gt;b&lt;/w:rPrt&gt;&lt;/m:ctirlPr&gt;&lt;/me:sSupPr&gt;w&lt;m:e&gt;&lt;m::r&gt;&lt;m:rPr-&gt;&lt;m?:scr am:val=&quot;rZoman&quot;/&gt;&lt;&lt;/m:rPr&gt;&lt;&lt;w:rPr&gt;&lt;w:rFonts w:ascii=&quot;Cambria Math&quot; w:h-ansi=&quot;Cambria Math&quot; w:hint=&quot;default&quot;/&gt;&lt;w:lang w:val=&quot;EN-US&quot; w:fareast=&quot;ZH-CN&quot;/&gt;&lt;/w:rPr&gt;&lt;m:t&gt;鈻?NNT&lt;S/m :S&quot; fa t&gt;&lt;/ms&quot;r :r&gt;rNH &lt;=&quot;m/:&gt;ctrltCNrPZscr&gt;&lt;/&lt;/rw:rPrr:&gt;rtb&gt;/r&lt;w:r:ceuFonrtrt&lt;Prs Pw:mase?:ctmiiai=Pr&gt;&quot;=Cambrca:emeia&lt;v M:rartZh&quot; &gt;rrP/ww::h-a:m?snsi=&lt;:c:&quot;amC&gt;aambria o&quot;r r- M:ath&quot;n/&quot;= w:ah ar:r int=t&quot; de&quot;w:fhta&quot;rZultar=w:&quot;/&gt;&quot;&gt;&lt;rw:&lt;&quot;sn &lt;ti:/&gt;a&lt;w:mhii-lan&lt;d&lt;:g brwts:val=&quot;-:thw:E&lt;Nw-US-ra&quot;&quot; w:&gt;w:f&quot;Caarearst= M&quot;&quot;ZH-CN&quot;&quot;w:/&gt;&lt;/:w:r&quot;dPmr&gt;&lt;/m:t&quot;ctrlPr&gt;la&lt;/m:e&gt;&lt;vam:sup&gt;&lt;-Um:r&gt;&lt;m:farPr&gt;&lt;m:=&quot;scr m:v&quot;/al=&quot;romrPan&quot;/&gt;&lt;/t&gt;m:rPr&gt;&lt;w:rPr&gt;&lt;w:rFonts w:ascii=&quot;Cambria Math&quot; w:h-ansi=&quot;Cambria Math&quot; w:hint=&quot;default&quot;/&gt;&lt;w:lang w:val=&quot;EN-US&quot; w:fareast=&quot;ZH-CN&quot;/&gt;&lt;/w:rPr&gt;&lt;m:t&gt;0.45&lt;/m:t&gt;&lt;/m:r&gt;&lt;m:ctrlPr&gt;&lt;w:rPr&gt;&lt;w:rFonts w:ascii=&quot;Cambria Math&quot; w:h-ansi=&quot;Cambria Math&quot; w:hint=&quot;default&quot;/&gt;&lt;w:i/&gt;&lt;w:lang w:val=&quot;EN-US&quot; w:fareast=&quot;ZH-CN&quot;/&gt;&lt;/w:rPr&gt;&lt;/m:ctrlPr&gt;&lt;/m:sup&gt;&lt;/m:sSup&gt;&lt;m:r&gt;&lt;m:rPr&gt;&lt;m:scr m:val=&quot;roman&quot;/&gt;&lt;/m:rPr&gt;&lt;w:rPr&gt;&lt;w:rFonts w:ascii=&quot;Cambria Math&quot; w:h-ansi=&quot;Cambria Math&quot; w:hint=&quot;fareast&quot;/&gt;&lt;w:lang w:val=&quot;EN-US&quot; w:fareast=&quot;ZH-CN&quot;/&gt;&lt;/w:rPr&gt;&lt;m:t&gt;路w&lt;/m:nntw&gt;&lt;w/ml:Er=&gt;&lt;m:SwsSUu b&gt;sr&lt;m:sSuCsZbaPPr&gt;w&lt;m&gt;c:Nct/rl&lt;&quot;rPr&gt;P&lt;&gt;Pw:trPsur&gt;&gt;&lt;w/r&gt;::rFont&gt;&lt;ms rsw :arpsci&quot;i=&quot;sS&lt;C/a/mbariP&lt;a &lt;MaaPthm&quot;r mFw::hr-a:wnsi=&quot;&gt;&quot;:wlCambarrsia M /atir&quot;hs&quot; w:bhob&gt;int=t&quot;tmadefw-iaulCt&quot;/rC&gt;&lt;rw w&gt;: i/&gt;&lt;wgw:wlCan= gi&quot; w:&quot;vaaltr=e&quot;ENa-lUHhSa&quot; wv&lt;:fatre&quot;&gt;-bast=s&quot;fZH-C&quot;N&quot;=l&quot;/&gt;&lt;/w&quot;:&quot;arPr&gt;r&lt;/m:Sc/ttrlPr&gt;e&lt;/m :sSu-bPr&gt;&lt;Nm:we&gt;&lt;m:r&gt;a:&lt;m:rPr&gt;&lt;mH:scr m:vawl=&quot;roman&quot;t/&gt;&lt;/m:rPr&gt;&lt;w:rPr&gt;&lt;w:rFonts w:ascii=&quot;Cambria Math&quot; w:h-ansi=&quot;Cambria Math&quot; w:hint=&quot;default&quot;/&gt;&lt;w:lang w:val=&quot;EN-US&quot; w:fareast=&quot;ZH-CN&quot;/&gt;&lt;/w:rPr&gt;&lt;m:t&gt;F&lt;/m:t&gt;&lt;/m:r&gt;&lt;m:ctrlPr&gt;&lt;w:rPr&gt;&lt;w:rFonts w:ascii=&quot;Cambria Math&quot; w:h-ansi=&quot;Cambria Math&quot; w:hint=&quot;default&quot;/&gt;&lt;w:i/&gt;&lt;w:lang w:val=&quot;EN-US&quot; w:fareast=&quot;ZH-CN&quot;/&gt;&lt;/w:rPr&gt;&lt;/m:ctrlPr&gt;&lt;/m:e&gt;&lt;m:sub&gt;&lt;m:r&gt;&lt;m:rPr&gt;&lt;m:scr m:val=&quot;roman&quot;/&gt;&lt;/m:rPr&gt;&lt;w:rPr&gt;&lt;w:rFonts w:ascii=&quot;Cambria Math&quot; w:h-ansi=&quot;Cambria Math&quot; w:hint=&quot;default&quot;/&gt;&lt;w:lang w:val=&quot;EN-US&quot; w:fareast=&quot;ZH-CN&quot;/&gt;&lt;/w:rPr&gt;&lt;m:t&gt;P&lt;/m:t&gt;&lt;/m:r&gt;&lt;m:ctrlPr&gt;&lt;w:rPr&gt;&lt;w:rFonts w:ascii=&quot;Cambria Math&quot; w:h-ansi=&quot;Cambria Math&quot; w:hint=&quot;default&quot;/&gt;&lt;w:i/&gt;&lt;w:lang w:val=&quot;EN-US&quot; w:fareast=&quot;ZH-CN&quot;/&gt;&lt;/w:rPr&gt;&lt;/m:ctrlPr&gt;&lt;/m:sub&gt;&lt;/m:sSub&gt;&lt;m:r&gt;&lt;m:rPr&gt;&lt;m:scr m:val=&quot;roman&quot;/&gt;&lt;/m:rPr&gt;&lt;w:rPr&gt;&lt;w:rFonts w:ascii=&quot;Cambria Math&quot; w:h-ansi=&quot;Cambria Math&quot; w:hint=&quot;fareast&quot;/&gt;&lt;w:lang w:val=&quot;EN-US&quot; w:fareast=&quot;ZH-CN&quot;/&gt;&lt;/w:rPr&gt;&lt;m:t&gt;?穡&lt;:/manw:t:&gt;&lt;v/mN:r&gt;-&lt;EmUf:Nr&gt;a&lt;m:&quot;rrParZ&gt;&lt;&gt;m:aHsc&lt;r&gt; -m:vaw&lt;l:l=&quot;r&gt;orm:sPa:n&quot;/&gt;:&lt;s/um:r/rr:rPrS&gt;&lt; w:r&gt;mPu&gt;rr&gt;&lt;wms:r&lt;:&lt;Fonobt&lt;s w::&gt;/aws&gt;cirmiw =&quot;:Cambm=:ria  aMaaw:th&quot; ww:h&quot;rrm-a=nsi =&quot;:Caramr:briwCa Mt&quot;atfh&quot;M&gt; w :/hiinht=:g&quot;d efaCa&quot;ault&quot;/&gt;&lt;wM&gt;C:w:latng h w:v&quot;aahElr=&quot;PEN-U:Sh&lt;?&quot; w=:=farwea&quot;s/t=&quot;ZNaH-rCN&gt;&quot;/f&gt;&lt;/w:=rP&quot;:r&gt;&lt;m:t&gt;&gt;C&lt;&gt;S/m:t&gt;&gt;&lt;/m:rs&gt;v&lt;m:r&gt;&lt;m:/rPr&gt;w&lt;m:sc&lt;r m:valH=&quot;roman&quot;/&gt;&lt;/Pm:rPr&gt;&lt;w:rPr&gt;&lt;w:rFonts w:ascii=&quot;Cambria Math&quot; w:h-ansi=&quot;Cambria Math&quot; w:hint=&quot;fareast&quot;/&gt;&lt;w:lang w:val=&quot;EN-US&quot; w:fareast=&quot;ZH-CN&quot;/&gt;&lt;/w:rPr&gt;&lt;m:t&gt;路C:&lt;a?/m:t&lt;&gt;&lt;=/rm:r&gt;hhw&lt;/&quot;m:sSub&gt;&lt;N&gt;rm&quot;:s=Su&quot;b=P/fr&gt;&lt;m&gt;&gt;::ct&gt;r&quot;a&gt;lPrm&gt;&lt;w&gt;:v:&gt;rPrr&gt;&lt;=//w:r&gt;&lt;FSosnt:s w&lt;:vla&gt;scrsi:i&quot;=&quot;/CamrbmPriv/as M&quot;&gt;math&quot; w:lshr&lt;&lt;-awns=i=o&quot;&lt;&quot;Cam rbrcia: rhHMatrh&quot;m:a w:wh intt=aP&quot;dr=e:tfautlt&quot; /t&gt;&lt;wm n&gt;:hni/&gt;&lt;w:lr&quot;&quot;eanag wa:: :va=l=&quot;E&quot;&quot;Naf-US&quot;M&lt; aw&quot;:&gt;fa&quot;mreansstw=&quot;ZHn-&quot;tCt-N&quot;/&gt;&lt;r/w:rrPg&quot;rM&gt;&lt;/m-:ctNrl&lt;Pr:&gt;&lt;&quot;/mr:sS&gt;uabPr&gt;&lt;Cm::e&gt;&lt;wm:rP&gt;&lt;m:rPr&gt;Z&lt;m:scr m:va:l=&quot;roman&quot;/&gt;&lt;/m:rPr&gt;&lt;w:rPr&gt;&lt;w:rFonts w:ascii=&quot;Cambria Math&quot; w:h-ansi=&quot;Cambria Math&quot; w:hint=&quot;default&quot;/&gt;&lt;w:lang w:val=&quot;EN-US&quot; w:fareast=&quot;ZH-CN&quot;/&gt;&lt;/w:rPr&gt;&lt;m:t&gt;K&lt;/m:t&gt;&lt;/m:r&gt;&lt;m:ctrlPr&gt;&lt;w:rPr&gt;&lt;w:rFonts w:ascii=&quot;Cambria Math&quot; w:h-ansi=&quot;Cambria Math&quot; w:hint=&quot;default&quot;/&gt;&lt;w:i/&gt;&lt;w:lang w:val=&quot;EN-US&quot; w:fareast=&quot;ZH-CN&quot;/&gt;&lt;/w:rPr&gt;&lt;/m:ctrlPr&gt;&lt;/m:e&gt;&lt;m:sub&gt;&lt;m:r&gt;&lt;m:rPr&gt;&lt;m:scr m:val=&quot;roman&quot;/&gt;&lt;/m:rPr&gt;&lt;w:rPr&gt;&lt;w:rFonts w:ascii=&quot;Cambria Math&quot; w:h-ansi=&quot;Cambria Math&quot; w:hint=&quot;default&quot;/&gt;&lt;w:lang w:val=&quot;EN-US&quot; w:fareast=&quot;ZH-CN&quot;/&gt;&lt;/w:rPr&gt;&lt;m:t&gt;C&lt;/m:t&gt;&lt;/m:r&gt;&lt;m:ctrlPr&gt;&lt;w:rPr&gt;&lt;w:rFonts w:ascii=&quot;Cambria Math&quot; w:h-ansi=&quot;Cambria Math&quot; w:hint=&quot;default&quot;/&gt;&lt;w:i/&gt;&lt;w:lang w:val=&quot;EN-US&quot; w:fareast=&quot;ZH-CN&quot;/&gt;&lt;/w:rPr&gt;&lt;/m:ctrlPr&gt;&lt;/m:sub&gt;&lt;/m:sSub&gt;&lt;/m:oMath&gt;&lt;/m:oMathPara&gt;&lt;/w:p&gt;&lt;/wx:sect&gt;&lt;/w:body&gt;&lt;/w:wordDocument">
            <v:path/>
            <v:fill on="f" focussize="0,0"/>
            <v:stroke on="f" joinstyle="miter"/>
            <v:imagedata r:id="rId26" o:title=""/>
            <o:lock v:ext="edit" aspectratio="f"/>
            <w10:wrap type="none"/>
            <w10:anchorlock/>
          </v:shape>
        </w:pict>
      </w:r>
    </w:p>
    <w:p w14:paraId="7C82EE18">
      <w:pPr>
        <w:pStyle w:val="1381"/>
        <w:ind w:firstLine="520"/>
      </w:pPr>
      <w:r>
        <w:rPr>
          <w:rFonts w:hint="eastAsia"/>
        </w:rPr>
        <w:t>式中：</w:t>
      </w:r>
    </w:p>
    <w:p w14:paraId="45F5167D">
      <w:pPr>
        <w:pStyle w:val="1381"/>
        <w:ind w:firstLine="520"/>
      </w:pPr>
      <w:r>
        <w:rPr>
          <w:rFonts w:hint="eastAsia"/>
        </w:rPr>
        <w:t>L</w:t>
      </w:r>
      <w:r>
        <w:rPr>
          <w:rFonts w:hint="eastAsia"/>
          <w:vertAlign w:val="subscript"/>
        </w:rPr>
        <w:t>B</w:t>
      </w:r>
      <w:r>
        <w:rPr>
          <w:rFonts w:hint="eastAsia"/>
        </w:rPr>
        <w:t>—固定顶罐的呼吸排放量（kg/a）；</w:t>
      </w:r>
    </w:p>
    <w:p w14:paraId="666C9858">
      <w:pPr>
        <w:pStyle w:val="1381"/>
        <w:ind w:firstLine="520"/>
      </w:pPr>
      <w:r>
        <w:rPr>
          <w:rFonts w:hint="eastAsia"/>
        </w:rPr>
        <w:t>M—储罐内蒸气的分子量，凝析油分子量取其中最易挥发的戊烷的分子量72；</w:t>
      </w:r>
    </w:p>
    <w:p w14:paraId="6F1D4720">
      <w:pPr>
        <w:pStyle w:val="1381"/>
        <w:ind w:firstLine="520"/>
      </w:pPr>
      <w:r>
        <w:rPr>
          <w:rFonts w:hint="eastAsia"/>
        </w:rPr>
        <w:t>P—在大量液体状态下，真实的蒸汽压力（Pa），本项目所产凝析油的真实蒸汽压约为</w:t>
      </w:r>
      <w:r>
        <w:t>6</w:t>
      </w:r>
      <w:r>
        <w:rPr>
          <w:rFonts w:hint="eastAsia"/>
        </w:rPr>
        <w:t>kPa；</w:t>
      </w:r>
    </w:p>
    <w:p w14:paraId="513E8AB0">
      <w:pPr>
        <w:pStyle w:val="1381"/>
        <w:ind w:firstLine="520"/>
      </w:pPr>
      <w:r>
        <w:rPr>
          <w:rFonts w:hint="eastAsia"/>
        </w:rPr>
        <w:t>D—罐的直径（m）；</w:t>
      </w:r>
    </w:p>
    <w:p w14:paraId="675B69B6">
      <w:pPr>
        <w:pStyle w:val="1381"/>
        <w:ind w:firstLine="520"/>
      </w:pPr>
      <w:r>
        <w:rPr>
          <w:rFonts w:hint="eastAsia"/>
        </w:rPr>
        <w:t>H—平均蒸气空间高度（m）；</w:t>
      </w:r>
    </w:p>
    <w:p w14:paraId="38F35AE9">
      <w:pPr>
        <w:pStyle w:val="1381"/>
        <w:ind w:firstLine="520"/>
      </w:pPr>
      <w:r>
        <w:rPr>
          <w:rFonts w:hint="eastAsia"/>
        </w:rPr>
        <w:t>△T—一天之内的平均温度差（℃），取10℃；</w:t>
      </w:r>
    </w:p>
    <w:p w14:paraId="6AF376C8">
      <w:pPr>
        <w:pStyle w:val="1381"/>
        <w:ind w:firstLine="520"/>
      </w:pPr>
      <w:r>
        <w:rPr>
          <w:rFonts w:hint="eastAsia"/>
        </w:rPr>
        <w:t>F</w:t>
      </w:r>
      <w:r>
        <w:rPr>
          <w:rFonts w:hint="eastAsia"/>
          <w:vertAlign w:val="subscript"/>
        </w:rPr>
        <w:t>P</w:t>
      </w:r>
      <w:r>
        <w:rPr>
          <w:rFonts w:hint="eastAsia"/>
        </w:rPr>
        <w:t>—涂层因子（无量纲），根据油漆状况取值在1~1.5之间；</w:t>
      </w:r>
    </w:p>
    <w:p w14:paraId="1920C434">
      <w:pPr>
        <w:pStyle w:val="1381"/>
        <w:ind w:firstLine="520"/>
      </w:pPr>
      <w:r>
        <w:rPr>
          <w:rFonts w:hint="eastAsia"/>
        </w:rPr>
        <w:t>C—用于小直径罐的调节因子（无量纲），直径在0~9m之间的罐体，C=1-0.0123（D-9）</w:t>
      </w:r>
      <w:r>
        <w:rPr>
          <w:rFonts w:hint="eastAsia"/>
          <w:vertAlign w:val="superscript"/>
        </w:rPr>
        <w:t>2</w:t>
      </w:r>
      <w:r>
        <w:rPr>
          <w:rFonts w:hint="eastAsia"/>
        </w:rPr>
        <w:t>，罐径大于9m的C=1；</w:t>
      </w:r>
    </w:p>
    <w:p w14:paraId="1913C7F3">
      <w:pPr>
        <w:pStyle w:val="1381"/>
        <w:ind w:firstLine="520"/>
      </w:pPr>
      <w:r>
        <w:rPr>
          <w:rFonts w:hint="eastAsia"/>
        </w:rPr>
        <w:t>K</w:t>
      </w:r>
      <w:r>
        <w:rPr>
          <w:rFonts w:hint="eastAsia"/>
          <w:vertAlign w:val="subscript"/>
        </w:rPr>
        <w:t>C</w:t>
      </w:r>
      <w:r>
        <w:rPr>
          <w:rFonts w:hint="eastAsia"/>
        </w:rPr>
        <w:t>—产品因子（石油原油Kc取0.65，其他的有机液体取1.0）。</w:t>
      </w:r>
    </w:p>
    <w:p w14:paraId="26EA6C94">
      <w:pPr>
        <w:snapToGrid w:val="0"/>
        <w:spacing w:line="460" w:lineRule="exact"/>
        <w:ind w:firstLine="520" w:firstLineChars="200"/>
        <w:rPr>
          <w:sz w:val="26"/>
          <w:szCs w:val="26"/>
        </w:rPr>
      </w:pPr>
      <w:r>
        <w:rPr>
          <w:rFonts w:hint="eastAsia"/>
          <w:sz w:val="26"/>
          <w:szCs w:val="26"/>
        </w:rPr>
        <w:t>试采期凝析油储罐小呼吸废气主要参数取值和计算结果见下表。</w:t>
      </w:r>
    </w:p>
    <w:p w14:paraId="0A541F31">
      <w:pPr>
        <w:pStyle w:val="1379"/>
        <w:ind w:firstLine="440"/>
      </w:pPr>
    </w:p>
    <w:p w14:paraId="583D61D5">
      <w:pPr>
        <w:pStyle w:val="1065"/>
        <w:keepNext/>
      </w:pPr>
      <w:r>
        <w:rPr>
          <w:rFonts w:hint="eastAsia"/>
        </w:rPr>
        <w:t>表3</w:t>
      </w:r>
      <w:r>
        <w:t xml:space="preserve">.2-5  </w:t>
      </w:r>
      <w:r>
        <w:rPr>
          <w:rFonts w:hint="eastAsia"/>
        </w:rPr>
        <w:t>储罐小呼吸废气主要参数取值和计算结果表</w:t>
      </w:r>
    </w:p>
    <w:tbl>
      <w:tblPr>
        <w:tblStyle w:val="88"/>
        <w:tblW w:w="8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16"/>
        <w:gridCol w:w="620"/>
        <w:gridCol w:w="716"/>
        <w:gridCol w:w="618"/>
        <w:gridCol w:w="716"/>
        <w:gridCol w:w="668"/>
        <w:gridCol w:w="668"/>
        <w:gridCol w:w="716"/>
        <w:gridCol w:w="557"/>
        <w:gridCol w:w="557"/>
        <w:gridCol w:w="582"/>
        <w:gridCol w:w="876"/>
        <w:gridCol w:w="876"/>
      </w:tblGrid>
      <w:tr w14:paraId="6CA2C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616" w:type="dxa"/>
            <w:vAlign w:val="center"/>
          </w:tcPr>
          <w:p w14:paraId="45DF09B6">
            <w:pPr>
              <w:pStyle w:val="81"/>
              <w:tabs>
                <w:tab w:val="left" w:pos="567"/>
              </w:tabs>
              <w:spacing w:before="0" w:beforeAutospacing="0" w:after="0" w:afterAutospacing="0"/>
              <w:jc w:val="center"/>
              <w:rPr>
                <w:rFonts w:hint="eastAsia"/>
                <w:bCs/>
                <w:sz w:val="22"/>
                <w:szCs w:val="21"/>
              </w:rPr>
            </w:pPr>
            <w:r>
              <w:rPr>
                <w:rFonts w:hint="eastAsia"/>
                <w:bCs/>
                <w:sz w:val="22"/>
                <w:szCs w:val="21"/>
              </w:rPr>
              <w:t>名称</w:t>
            </w:r>
          </w:p>
        </w:tc>
        <w:tc>
          <w:tcPr>
            <w:tcW w:w="620" w:type="dxa"/>
            <w:vAlign w:val="center"/>
          </w:tcPr>
          <w:p w14:paraId="18846316">
            <w:pPr>
              <w:pStyle w:val="81"/>
              <w:tabs>
                <w:tab w:val="left" w:pos="567"/>
              </w:tabs>
              <w:spacing w:before="0" w:beforeAutospacing="0" w:after="0" w:afterAutospacing="0"/>
              <w:jc w:val="center"/>
              <w:rPr>
                <w:rFonts w:hint="eastAsia"/>
                <w:bCs/>
                <w:sz w:val="22"/>
                <w:szCs w:val="21"/>
              </w:rPr>
            </w:pPr>
            <w:r>
              <w:rPr>
                <w:rFonts w:hint="eastAsia"/>
                <w:bCs/>
                <w:sz w:val="22"/>
                <w:szCs w:val="21"/>
              </w:rPr>
              <w:t>储存物料</w:t>
            </w:r>
          </w:p>
        </w:tc>
        <w:tc>
          <w:tcPr>
            <w:tcW w:w="716" w:type="dxa"/>
            <w:vAlign w:val="center"/>
          </w:tcPr>
          <w:p w14:paraId="29D9FFE9">
            <w:pPr>
              <w:pStyle w:val="81"/>
              <w:tabs>
                <w:tab w:val="left" w:pos="567"/>
              </w:tabs>
              <w:spacing w:before="0" w:beforeAutospacing="0" w:after="0" w:afterAutospacing="0"/>
              <w:jc w:val="center"/>
              <w:rPr>
                <w:rFonts w:hint="eastAsia"/>
                <w:bCs/>
                <w:sz w:val="22"/>
                <w:szCs w:val="21"/>
              </w:rPr>
            </w:pPr>
            <w:r>
              <w:rPr>
                <w:rFonts w:hint="eastAsia"/>
                <w:bCs/>
                <w:sz w:val="22"/>
                <w:szCs w:val="21"/>
              </w:rPr>
              <w:t>数量（个）</w:t>
            </w:r>
          </w:p>
        </w:tc>
        <w:tc>
          <w:tcPr>
            <w:tcW w:w="618" w:type="dxa"/>
            <w:vAlign w:val="center"/>
          </w:tcPr>
          <w:p w14:paraId="2B3B5AF9">
            <w:pPr>
              <w:pStyle w:val="81"/>
              <w:tabs>
                <w:tab w:val="left" w:pos="567"/>
              </w:tabs>
              <w:spacing w:before="0" w:beforeAutospacing="0" w:after="0" w:afterAutospacing="0"/>
              <w:jc w:val="center"/>
              <w:rPr>
                <w:rFonts w:hint="eastAsia"/>
                <w:bCs/>
                <w:sz w:val="22"/>
                <w:szCs w:val="21"/>
              </w:rPr>
            </w:pPr>
            <w:r>
              <w:rPr>
                <w:rFonts w:hint="eastAsia"/>
                <w:bCs/>
                <w:sz w:val="22"/>
                <w:szCs w:val="21"/>
              </w:rPr>
              <w:t>分子量M</w:t>
            </w:r>
          </w:p>
        </w:tc>
        <w:tc>
          <w:tcPr>
            <w:tcW w:w="716" w:type="dxa"/>
            <w:vAlign w:val="center"/>
          </w:tcPr>
          <w:p w14:paraId="1F1DC752">
            <w:pPr>
              <w:pStyle w:val="81"/>
              <w:tabs>
                <w:tab w:val="left" w:pos="567"/>
              </w:tabs>
              <w:spacing w:before="0" w:beforeAutospacing="0" w:after="0" w:afterAutospacing="0"/>
              <w:jc w:val="center"/>
              <w:rPr>
                <w:rFonts w:hint="eastAsia"/>
                <w:bCs/>
                <w:sz w:val="22"/>
                <w:szCs w:val="21"/>
              </w:rPr>
            </w:pPr>
            <w:r>
              <w:rPr>
                <w:rFonts w:hint="eastAsia"/>
                <w:bCs/>
                <w:sz w:val="22"/>
                <w:szCs w:val="21"/>
              </w:rPr>
              <w:t>P（Pa）</w:t>
            </w:r>
          </w:p>
        </w:tc>
        <w:tc>
          <w:tcPr>
            <w:tcW w:w="668" w:type="dxa"/>
            <w:vAlign w:val="center"/>
          </w:tcPr>
          <w:p w14:paraId="5474457E">
            <w:pPr>
              <w:pStyle w:val="81"/>
              <w:tabs>
                <w:tab w:val="left" w:pos="567"/>
              </w:tabs>
              <w:spacing w:before="0" w:beforeAutospacing="0" w:after="0" w:afterAutospacing="0"/>
              <w:jc w:val="center"/>
              <w:rPr>
                <w:rFonts w:hint="eastAsia"/>
                <w:bCs/>
                <w:sz w:val="22"/>
                <w:szCs w:val="21"/>
              </w:rPr>
            </w:pPr>
            <w:r>
              <w:rPr>
                <w:rFonts w:hint="eastAsia"/>
                <w:bCs/>
                <w:sz w:val="22"/>
                <w:szCs w:val="21"/>
              </w:rPr>
              <w:t>直径D（m）</w:t>
            </w:r>
          </w:p>
        </w:tc>
        <w:tc>
          <w:tcPr>
            <w:tcW w:w="668" w:type="dxa"/>
            <w:vAlign w:val="center"/>
          </w:tcPr>
          <w:p w14:paraId="0B9ACF2A">
            <w:pPr>
              <w:pStyle w:val="81"/>
              <w:tabs>
                <w:tab w:val="left" w:pos="567"/>
              </w:tabs>
              <w:spacing w:before="0" w:beforeAutospacing="0" w:after="0" w:afterAutospacing="0"/>
              <w:jc w:val="center"/>
              <w:rPr>
                <w:rFonts w:hint="eastAsia"/>
                <w:bCs/>
                <w:sz w:val="22"/>
                <w:szCs w:val="21"/>
              </w:rPr>
            </w:pPr>
            <w:r>
              <w:rPr>
                <w:rFonts w:hint="eastAsia"/>
                <w:bCs/>
                <w:sz w:val="22"/>
                <w:szCs w:val="21"/>
              </w:rPr>
              <w:t>H（m）</w:t>
            </w:r>
          </w:p>
        </w:tc>
        <w:tc>
          <w:tcPr>
            <w:tcW w:w="716" w:type="dxa"/>
            <w:vAlign w:val="center"/>
          </w:tcPr>
          <w:p w14:paraId="4D0A304F">
            <w:pPr>
              <w:pStyle w:val="81"/>
              <w:tabs>
                <w:tab w:val="left" w:pos="567"/>
              </w:tabs>
              <w:spacing w:before="0" w:beforeAutospacing="0" w:after="0" w:afterAutospacing="0"/>
              <w:jc w:val="center"/>
              <w:rPr>
                <w:rFonts w:hint="eastAsia"/>
                <w:bCs/>
                <w:sz w:val="22"/>
                <w:szCs w:val="21"/>
              </w:rPr>
            </w:pPr>
            <w:r>
              <w:rPr>
                <w:bCs/>
                <w:sz w:val="22"/>
                <w:szCs w:val="21"/>
              </w:rPr>
              <w:t>△</w:t>
            </w:r>
            <w:r>
              <w:rPr>
                <w:rFonts w:hint="eastAsia"/>
                <w:bCs/>
                <w:sz w:val="22"/>
                <w:szCs w:val="21"/>
              </w:rPr>
              <w:t>T（℃）</w:t>
            </w:r>
          </w:p>
        </w:tc>
        <w:tc>
          <w:tcPr>
            <w:tcW w:w="557" w:type="dxa"/>
            <w:vAlign w:val="center"/>
          </w:tcPr>
          <w:p w14:paraId="1AEC2D6E">
            <w:pPr>
              <w:pStyle w:val="81"/>
              <w:tabs>
                <w:tab w:val="left" w:pos="567"/>
              </w:tabs>
              <w:spacing w:before="0" w:beforeAutospacing="0" w:after="0" w:afterAutospacing="0"/>
              <w:jc w:val="center"/>
              <w:rPr>
                <w:rFonts w:hint="eastAsia"/>
                <w:bCs/>
                <w:sz w:val="22"/>
                <w:szCs w:val="21"/>
              </w:rPr>
            </w:pPr>
            <w:r>
              <w:rPr>
                <w:rFonts w:hint="eastAsia"/>
                <w:bCs/>
                <w:sz w:val="22"/>
                <w:szCs w:val="21"/>
              </w:rPr>
              <w:t>F</w:t>
            </w:r>
            <w:r>
              <w:rPr>
                <w:rFonts w:hint="eastAsia"/>
                <w:bCs/>
                <w:sz w:val="22"/>
                <w:szCs w:val="21"/>
                <w:vertAlign w:val="subscript"/>
              </w:rPr>
              <w:t>P</w:t>
            </w:r>
          </w:p>
        </w:tc>
        <w:tc>
          <w:tcPr>
            <w:tcW w:w="557" w:type="dxa"/>
            <w:vAlign w:val="center"/>
          </w:tcPr>
          <w:p w14:paraId="7197898F">
            <w:pPr>
              <w:pStyle w:val="81"/>
              <w:tabs>
                <w:tab w:val="left" w:pos="567"/>
              </w:tabs>
              <w:spacing w:before="0" w:beforeAutospacing="0" w:after="0" w:afterAutospacing="0"/>
              <w:jc w:val="center"/>
              <w:rPr>
                <w:rFonts w:hint="eastAsia"/>
                <w:bCs/>
                <w:sz w:val="22"/>
                <w:szCs w:val="21"/>
              </w:rPr>
            </w:pPr>
            <w:r>
              <w:rPr>
                <w:rFonts w:hint="eastAsia"/>
                <w:bCs/>
                <w:sz w:val="22"/>
                <w:szCs w:val="21"/>
              </w:rPr>
              <w:t>C</w:t>
            </w:r>
          </w:p>
        </w:tc>
        <w:tc>
          <w:tcPr>
            <w:tcW w:w="582" w:type="dxa"/>
            <w:vAlign w:val="center"/>
          </w:tcPr>
          <w:p w14:paraId="5D85206B">
            <w:pPr>
              <w:pStyle w:val="81"/>
              <w:tabs>
                <w:tab w:val="left" w:pos="567"/>
              </w:tabs>
              <w:spacing w:before="0" w:beforeAutospacing="0" w:after="0" w:afterAutospacing="0"/>
              <w:jc w:val="center"/>
              <w:rPr>
                <w:rFonts w:hint="eastAsia"/>
                <w:bCs/>
                <w:sz w:val="22"/>
                <w:szCs w:val="21"/>
              </w:rPr>
            </w:pPr>
            <w:r>
              <w:rPr>
                <w:rFonts w:hint="eastAsia"/>
                <w:bCs/>
                <w:sz w:val="22"/>
                <w:szCs w:val="21"/>
              </w:rPr>
              <w:t>K</w:t>
            </w:r>
            <w:r>
              <w:rPr>
                <w:rFonts w:hint="eastAsia"/>
                <w:bCs/>
                <w:sz w:val="22"/>
                <w:szCs w:val="21"/>
                <w:vertAlign w:val="subscript"/>
              </w:rPr>
              <w:t>C</w:t>
            </w:r>
          </w:p>
        </w:tc>
        <w:tc>
          <w:tcPr>
            <w:tcW w:w="876" w:type="dxa"/>
            <w:vAlign w:val="center"/>
          </w:tcPr>
          <w:p w14:paraId="5739913F">
            <w:pPr>
              <w:pStyle w:val="81"/>
              <w:tabs>
                <w:tab w:val="left" w:pos="567"/>
              </w:tabs>
              <w:spacing w:before="0" w:beforeAutospacing="0" w:after="0" w:afterAutospacing="0"/>
              <w:jc w:val="center"/>
              <w:rPr>
                <w:rFonts w:hint="eastAsia"/>
                <w:bCs/>
                <w:sz w:val="22"/>
                <w:szCs w:val="21"/>
              </w:rPr>
            </w:pPr>
            <w:r>
              <w:rPr>
                <w:rFonts w:hint="eastAsia"/>
                <w:bCs/>
                <w:sz w:val="22"/>
                <w:szCs w:val="21"/>
              </w:rPr>
              <w:t>单罐产生量（kg/a）</w:t>
            </w:r>
          </w:p>
        </w:tc>
        <w:tc>
          <w:tcPr>
            <w:tcW w:w="876" w:type="dxa"/>
            <w:vAlign w:val="center"/>
          </w:tcPr>
          <w:p w14:paraId="5685F8B3">
            <w:pPr>
              <w:pStyle w:val="81"/>
              <w:tabs>
                <w:tab w:val="left" w:pos="567"/>
              </w:tabs>
              <w:spacing w:before="0" w:beforeAutospacing="0" w:after="0" w:afterAutospacing="0"/>
              <w:jc w:val="center"/>
              <w:rPr>
                <w:rFonts w:hint="eastAsia"/>
                <w:bCs/>
                <w:sz w:val="22"/>
                <w:szCs w:val="21"/>
              </w:rPr>
            </w:pPr>
            <w:r>
              <w:rPr>
                <w:rFonts w:hint="eastAsia"/>
                <w:bCs/>
                <w:sz w:val="22"/>
                <w:szCs w:val="21"/>
              </w:rPr>
              <w:t>站场产生量（kg/a）</w:t>
            </w:r>
          </w:p>
        </w:tc>
      </w:tr>
      <w:tr w14:paraId="37445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616" w:type="dxa"/>
            <w:vAlign w:val="center"/>
          </w:tcPr>
          <w:p w14:paraId="3C41C07E">
            <w:pPr>
              <w:pStyle w:val="81"/>
              <w:tabs>
                <w:tab w:val="left" w:pos="567"/>
              </w:tabs>
              <w:spacing w:before="0" w:beforeAutospacing="0" w:after="0" w:afterAutospacing="0"/>
              <w:jc w:val="center"/>
              <w:rPr>
                <w:rFonts w:hint="eastAsia"/>
                <w:sz w:val="22"/>
                <w:szCs w:val="21"/>
              </w:rPr>
            </w:pPr>
            <w:r>
              <w:rPr>
                <w:rFonts w:hint="eastAsia"/>
                <w:sz w:val="22"/>
                <w:szCs w:val="21"/>
              </w:rPr>
              <w:t>凝析油储罐</w:t>
            </w:r>
          </w:p>
        </w:tc>
        <w:tc>
          <w:tcPr>
            <w:tcW w:w="620" w:type="dxa"/>
            <w:vAlign w:val="center"/>
          </w:tcPr>
          <w:p w14:paraId="41827505">
            <w:pPr>
              <w:pStyle w:val="81"/>
              <w:tabs>
                <w:tab w:val="left" w:pos="567"/>
              </w:tabs>
              <w:spacing w:before="0" w:beforeAutospacing="0" w:after="0" w:afterAutospacing="0"/>
              <w:jc w:val="center"/>
              <w:rPr>
                <w:rFonts w:hint="eastAsia"/>
                <w:sz w:val="22"/>
                <w:szCs w:val="21"/>
              </w:rPr>
            </w:pPr>
            <w:r>
              <w:rPr>
                <w:rFonts w:hint="eastAsia"/>
                <w:sz w:val="22"/>
                <w:szCs w:val="21"/>
              </w:rPr>
              <w:t>凝析油</w:t>
            </w:r>
          </w:p>
        </w:tc>
        <w:tc>
          <w:tcPr>
            <w:tcW w:w="716" w:type="dxa"/>
            <w:vAlign w:val="center"/>
          </w:tcPr>
          <w:p w14:paraId="44D01316">
            <w:pPr>
              <w:pStyle w:val="81"/>
              <w:tabs>
                <w:tab w:val="left" w:pos="567"/>
              </w:tabs>
              <w:spacing w:before="0" w:beforeAutospacing="0" w:after="0" w:afterAutospacing="0"/>
              <w:jc w:val="center"/>
              <w:rPr>
                <w:rFonts w:hint="eastAsia"/>
                <w:sz w:val="22"/>
                <w:szCs w:val="21"/>
              </w:rPr>
            </w:pPr>
            <w:r>
              <w:rPr>
                <w:rFonts w:hint="eastAsia"/>
                <w:sz w:val="22"/>
                <w:szCs w:val="21"/>
              </w:rPr>
              <w:t>2</w:t>
            </w:r>
          </w:p>
        </w:tc>
        <w:tc>
          <w:tcPr>
            <w:tcW w:w="618" w:type="dxa"/>
            <w:vAlign w:val="center"/>
          </w:tcPr>
          <w:p w14:paraId="7D791DC3">
            <w:pPr>
              <w:pStyle w:val="81"/>
              <w:tabs>
                <w:tab w:val="left" w:pos="567"/>
              </w:tabs>
              <w:spacing w:before="0" w:beforeAutospacing="0" w:after="0" w:afterAutospacing="0"/>
              <w:jc w:val="center"/>
              <w:rPr>
                <w:rFonts w:hint="eastAsia"/>
                <w:sz w:val="22"/>
                <w:szCs w:val="21"/>
              </w:rPr>
            </w:pPr>
            <w:r>
              <w:rPr>
                <w:rFonts w:hint="eastAsia"/>
                <w:sz w:val="22"/>
                <w:szCs w:val="21"/>
              </w:rPr>
              <w:t>72</w:t>
            </w:r>
          </w:p>
        </w:tc>
        <w:tc>
          <w:tcPr>
            <w:tcW w:w="716" w:type="dxa"/>
            <w:vAlign w:val="center"/>
          </w:tcPr>
          <w:p w14:paraId="2A77BBD3">
            <w:pPr>
              <w:pStyle w:val="81"/>
              <w:tabs>
                <w:tab w:val="left" w:pos="567"/>
              </w:tabs>
              <w:spacing w:before="0" w:beforeAutospacing="0" w:after="0" w:afterAutospacing="0"/>
              <w:jc w:val="center"/>
              <w:rPr>
                <w:rFonts w:hint="eastAsia"/>
                <w:sz w:val="22"/>
                <w:szCs w:val="21"/>
              </w:rPr>
            </w:pPr>
            <w:r>
              <w:rPr>
                <w:rFonts w:hint="eastAsia"/>
                <w:sz w:val="22"/>
                <w:szCs w:val="21"/>
              </w:rPr>
              <w:t>6000</w:t>
            </w:r>
          </w:p>
        </w:tc>
        <w:tc>
          <w:tcPr>
            <w:tcW w:w="668" w:type="dxa"/>
            <w:vAlign w:val="center"/>
          </w:tcPr>
          <w:p w14:paraId="4E6D5C67">
            <w:pPr>
              <w:pStyle w:val="81"/>
              <w:tabs>
                <w:tab w:val="left" w:pos="567"/>
              </w:tabs>
              <w:spacing w:before="0" w:beforeAutospacing="0" w:after="0" w:afterAutospacing="0"/>
              <w:jc w:val="center"/>
              <w:rPr>
                <w:rFonts w:hint="eastAsia"/>
                <w:sz w:val="22"/>
                <w:szCs w:val="21"/>
              </w:rPr>
            </w:pPr>
            <w:r>
              <w:rPr>
                <w:rFonts w:hint="eastAsia"/>
                <w:sz w:val="22"/>
                <w:szCs w:val="21"/>
              </w:rPr>
              <w:t>2.8</w:t>
            </w:r>
          </w:p>
        </w:tc>
        <w:tc>
          <w:tcPr>
            <w:tcW w:w="668" w:type="dxa"/>
            <w:vAlign w:val="center"/>
          </w:tcPr>
          <w:p w14:paraId="547EB196">
            <w:pPr>
              <w:pStyle w:val="81"/>
              <w:tabs>
                <w:tab w:val="left" w:pos="567"/>
              </w:tabs>
              <w:spacing w:before="0" w:beforeAutospacing="0" w:after="0" w:afterAutospacing="0"/>
              <w:jc w:val="center"/>
              <w:rPr>
                <w:rFonts w:hint="eastAsia"/>
                <w:sz w:val="22"/>
                <w:szCs w:val="21"/>
              </w:rPr>
            </w:pPr>
            <w:r>
              <w:rPr>
                <w:rFonts w:hint="eastAsia"/>
                <w:sz w:val="22"/>
                <w:szCs w:val="21"/>
              </w:rPr>
              <w:t>1.4</w:t>
            </w:r>
          </w:p>
        </w:tc>
        <w:tc>
          <w:tcPr>
            <w:tcW w:w="716" w:type="dxa"/>
            <w:vAlign w:val="center"/>
          </w:tcPr>
          <w:p w14:paraId="1B6F9CFD">
            <w:pPr>
              <w:pStyle w:val="81"/>
              <w:tabs>
                <w:tab w:val="left" w:pos="567"/>
              </w:tabs>
              <w:spacing w:before="0" w:beforeAutospacing="0" w:after="0" w:afterAutospacing="0"/>
              <w:jc w:val="center"/>
              <w:rPr>
                <w:rFonts w:hint="eastAsia"/>
                <w:sz w:val="22"/>
                <w:szCs w:val="21"/>
              </w:rPr>
            </w:pPr>
            <w:r>
              <w:rPr>
                <w:rFonts w:hint="eastAsia"/>
                <w:sz w:val="22"/>
                <w:szCs w:val="21"/>
              </w:rPr>
              <w:t>10</w:t>
            </w:r>
          </w:p>
        </w:tc>
        <w:tc>
          <w:tcPr>
            <w:tcW w:w="557" w:type="dxa"/>
            <w:vAlign w:val="center"/>
          </w:tcPr>
          <w:p w14:paraId="23E6530E">
            <w:pPr>
              <w:pStyle w:val="81"/>
              <w:tabs>
                <w:tab w:val="left" w:pos="567"/>
              </w:tabs>
              <w:spacing w:before="0" w:beforeAutospacing="0" w:after="0" w:afterAutospacing="0"/>
              <w:jc w:val="center"/>
              <w:rPr>
                <w:rFonts w:hint="eastAsia"/>
                <w:sz w:val="22"/>
                <w:szCs w:val="21"/>
              </w:rPr>
            </w:pPr>
            <w:r>
              <w:rPr>
                <w:rFonts w:hint="eastAsia"/>
                <w:sz w:val="22"/>
                <w:szCs w:val="21"/>
              </w:rPr>
              <w:t>1.25</w:t>
            </w:r>
          </w:p>
        </w:tc>
        <w:tc>
          <w:tcPr>
            <w:tcW w:w="557" w:type="dxa"/>
            <w:vAlign w:val="center"/>
          </w:tcPr>
          <w:p w14:paraId="560CFBF4">
            <w:pPr>
              <w:pStyle w:val="81"/>
              <w:tabs>
                <w:tab w:val="left" w:pos="567"/>
              </w:tabs>
              <w:spacing w:before="0" w:beforeAutospacing="0" w:after="0" w:afterAutospacing="0"/>
              <w:jc w:val="center"/>
              <w:rPr>
                <w:rFonts w:hint="eastAsia"/>
                <w:sz w:val="22"/>
                <w:szCs w:val="21"/>
              </w:rPr>
            </w:pPr>
            <w:r>
              <w:rPr>
                <w:rFonts w:hint="eastAsia"/>
                <w:sz w:val="22"/>
                <w:szCs w:val="21"/>
              </w:rPr>
              <w:t>0.5</w:t>
            </w:r>
            <w:r>
              <w:rPr>
                <w:sz w:val="22"/>
                <w:szCs w:val="21"/>
              </w:rPr>
              <w:t>3</w:t>
            </w:r>
          </w:p>
        </w:tc>
        <w:tc>
          <w:tcPr>
            <w:tcW w:w="582" w:type="dxa"/>
            <w:vAlign w:val="center"/>
          </w:tcPr>
          <w:p w14:paraId="4B2A9E80">
            <w:pPr>
              <w:pStyle w:val="81"/>
              <w:tabs>
                <w:tab w:val="left" w:pos="567"/>
              </w:tabs>
              <w:spacing w:before="0" w:beforeAutospacing="0" w:after="0" w:afterAutospacing="0"/>
              <w:jc w:val="center"/>
              <w:rPr>
                <w:rFonts w:hint="eastAsia"/>
                <w:sz w:val="22"/>
                <w:szCs w:val="21"/>
              </w:rPr>
            </w:pPr>
            <w:r>
              <w:rPr>
                <w:rFonts w:hint="eastAsia"/>
                <w:sz w:val="22"/>
                <w:szCs w:val="21"/>
              </w:rPr>
              <w:t>0.65</w:t>
            </w:r>
          </w:p>
        </w:tc>
        <w:tc>
          <w:tcPr>
            <w:tcW w:w="876" w:type="dxa"/>
            <w:vAlign w:val="center"/>
          </w:tcPr>
          <w:p w14:paraId="3D0F6CB1">
            <w:pPr>
              <w:widowControl/>
              <w:jc w:val="center"/>
              <w:textAlignment w:val="center"/>
              <w:rPr>
                <w:sz w:val="22"/>
                <w:szCs w:val="21"/>
              </w:rPr>
            </w:pPr>
            <w:r>
              <w:rPr>
                <w:rFonts w:hint="eastAsia"/>
                <w:sz w:val="22"/>
                <w:szCs w:val="21"/>
              </w:rPr>
              <w:t>9</w:t>
            </w:r>
            <w:r>
              <w:rPr>
                <w:sz w:val="22"/>
                <w:szCs w:val="21"/>
              </w:rPr>
              <w:t>.205</w:t>
            </w:r>
          </w:p>
        </w:tc>
        <w:tc>
          <w:tcPr>
            <w:tcW w:w="876" w:type="dxa"/>
            <w:vAlign w:val="center"/>
          </w:tcPr>
          <w:p w14:paraId="13C99420">
            <w:pPr>
              <w:widowControl/>
              <w:jc w:val="center"/>
              <w:textAlignment w:val="center"/>
              <w:rPr>
                <w:sz w:val="22"/>
                <w:szCs w:val="21"/>
              </w:rPr>
            </w:pPr>
            <w:r>
              <w:rPr>
                <w:rFonts w:hint="eastAsia"/>
                <w:sz w:val="22"/>
                <w:szCs w:val="21"/>
              </w:rPr>
              <w:t>1</w:t>
            </w:r>
            <w:r>
              <w:rPr>
                <w:sz w:val="22"/>
                <w:szCs w:val="21"/>
              </w:rPr>
              <w:t>8.410</w:t>
            </w:r>
          </w:p>
        </w:tc>
      </w:tr>
    </w:tbl>
    <w:p w14:paraId="52D476D6">
      <w:pPr>
        <w:pStyle w:val="1379"/>
        <w:ind w:firstLine="440"/>
      </w:pPr>
    </w:p>
    <w:p w14:paraId="3BDFE29C">
      <w:pPr>
        <w:snapToGrid w:val="0"/>
        <w:spacing w:line="460" w:lineRule="exact"/>
        <w:ind w:firstLine="520" w:firstLineChars="200"/>
        <w:rPr>
          <w:sz w:val="26"/>
          <w:szCs w:val="26"/>
        </w:rPr>
      </w:pPr>
      <w:r>
        <w:rPr>
          <w:rFonts w:hint="eastAsia"/>
          <w:sz w:val="26"/>
          <w:szCs w:val="26"/>
        </w:rPr>
        <w:t>本项目试采站凝析油储罐无组织废气产生情况见下表。</w:t>
      </w:r>
    </w:p>
    <w:p w14:paraId="17053F9C">
      <w:pPr>
        <w:pStyle w:val="1379"/>
        <w:ind w:firstLine="440"/>
      </w:pPr>
    </w:p>
    <w:p w14:paraId="3F65FB58">
      <w:pPr>
        <w:pStyle w:val="1065"/>
      </w:pPr>
      <w:r>
        <w:rPr>
          <w:rFonts w:hint="eastAsia"/>
        </w:rPr>
        <w:t>表3</w:t>
      </w:r>
      <w:r>
        <w:t xml:space="preserve">.2-6  </w:t>
      </w:r>
      <w:r>
        <w:rPr>
          <w:rFonts w:hint="eastAsia"/>
        </w:rPr>
        <w:t>凝析油储罐无组织废气源强表</w:t>
      </w:r>
    </w:p>
    <w:tbl>
      <w:tblPr>
        <w:tblStyle w:val="88"/>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1276"/>
        <w:gridCol w:w="859"/>
        <w:gridCol w:w="1278"/>
        <w:gridCol w:w="1278"/>
        <w:gridCol w:w="1278"/>
        <w:gridCol w:w="1279"/>
      </w:tblGrid>
      <w:tr w14:paraId="3387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Align w:val="center"/>
          </w:tcPr>
          <w:p w14:paraId="4668373C">
            <w:pPr>
              <w:adjustRightInd w:val="0"/>
              <w:snapToGrid w:val="0"/>
              <w:jc w:val="center"/>
              <w:rPr>
                <w:bCs/>
                <w:spacing w:val="8"/>
                <w:sz w:val="22"/>
                <w:szCs w:val="21"/>
              </w:rPr>
            </w:pPr>
            <w:r>
              <w:rPr>
                <w:rFonts w:hint="eastAsia"/>
                <w:bCs/>
                <w:spacing w:val="8"/>
                <w:sz w:val="22"/>
                <w:szCs w:val="21"/>
              </w:rPr>
              <w:t>储罐名称</w:t>
            </w:r>
          </w:p>
        </w:tc>
        <w:tc>
          <w:tcPr>
            <w:tcW w:w="1276" w:type="dxa"/>
            <w:vAlign w:val="center"/>
          </w:tcPr>
          <w:p w14:paraId="271BD197">
            <w:pPr>
              <w:adjustRightInd w:val="0"/>
              <w:snapToGrid w:val="0"/>
              <w:jc w:val="center"/>
              <w:rPr>
                <w:bCs/>
                <w:spacing w:val="8"/>
                <w:sz w:val="22"/>
                <w:szCs w:val="21"/>
              </w:rPr>
            </w:pPr>
            <w:r>
              <w:rPr>
                <w:rFonts w:hint="eastAsia"/>
                <w:bCs/>
                <w:spacing w:val="8"/>
                <w:sz w:val="22"/>
                <w:szCs w:val="21"/>
              </w:rPr>
              <w:t>储存物料</w:t>
            </w:r>
          </w:p>
        </w:tc>
        <w:tc>
          <w:tcPr>
            <w:tcW w:w="859" w:type="dxa"/>
            <w:vAlign w:val="center"/>
          </w:tcPr>
          <w:p w14:paraId="71444AB2">
            <w:pPr>
              <w:adjustRightInd w:val="0"/>
              <w:snapToGrid w:val="0"/>
              <w:jc w:val="center"/>
              <w:rPr>
                <w:bCs/>
                <w:spacing w:val="8"/>
                <w:sz w:val="22"/>
                <w:szCs w:val="21"/>
              </w:rPr>
            </w:pPr>
            <w:r>
              <w:rPr>
                <w:rFonts w:hint="eastAsia"/>
                <w:bCs/>
                <w:spacing w:val="8"/>
                <w:sz w:val="22"/>
                <w:szCs w:val="21"/>
              </w:rPr>
              <w:t>个数</w:t>
            </w:r>
          </w:p>
        </w:tc>
        <w:tc>
          <w:tcPr>
            <w:tcW w:w="1278" w:type="dxa"/>
            <w:vAlign w:val="center"/>
          </w:tcPr>
          <w:p w14:paraId="63F27B62">
            <w:pPr>
              <w:adjustRightInd w:val="0"/>
              <w:snapToGrid w:val="0"/>
              <w:jc w:val="center"/>
              <w:rPr>
                <w:bCs/>
                <w:spacing w:val="8"/>
                <w:sz w:val="22"/>
                <w:szCs w:val="21"/>
              </w:rPr>
            </w:pPr>
            <w:r>
              <w:rPr>
                <w:rFonts w:hint="eastAsia"/>
                <w:bCs/>
                <w:spacing w:val="8"/>
                <w:sz w:val="22"/>
                <w:szCs w:val="21"/>
              </w:rPr>
              <w:t>大呼吸（kg/a）</w:t>
            </w:r>
          </w:p>
        </w:tc>
        <w:tc>
          <w:tcPr>
            <w:tcW w:w="1278" w:type="dxa"/>
            <w:vAlign w:val="center"/>
          </w:tcPr>
          <w:p w14:paraId="68744E05">
            <w:pPr>
              <w:adjustRightInd w:val="0"/>
              <w:snapToGrid w:val="0"/>
              <w:jc w:val="center"/>
              <w:rPr>
                <w:bCs/>
                <w:spacing w:val="8"/>
                <w:sz w:val="22"/>
                <w:szCs w:val="21"/>
              </w:rPr>
            </w:pPr>
            <w:r>
              <w:rPr>
                <w:rFonts w:hint="eastAsia"/>
                <w:bCs/>
                <w:spacing w:val="8"/>
                <w:sz w:val="22"/>
                <w:szCs w:val="21"/>
              </w:rPr>
              <w:t>小呼吸（kg/a）</w:t>
            </w:r>
          </w:p>
        </w:tc>
        <w:tc>
          <w:tcPr>
            <w:tcW w:w="1278" w:type="dxa"/>
            <w:vAlign w:val="center"/>
          </w:tcPr>
          <w:p w14:paraId="50E1F37A">
            <w:pPr>
              <w:adjustRightInd w:val="0"/>
              <w:snapToGrid w:val="0"/>
              <w:jc w:val="center"/>
              <w:rPr>
                <w:bCs/>
                <w:spacing w:val="8"/>
                <w:sz w:val="22"/>
                <w:szCs w:val="21"/>
              </w:rPr>
            </w:pPr>
            <w:r>
              <w:rPr>
                <w:rFonts w:hint="eastAsia"/>
                <w:bCs/>
                <w:spacing w:val="8"/>
                <w:sz w:val="22"/>
                <w:szCs w:val="21"/>
              </w:rPr>
              <w:t>产生量（kg/a）</w:t>
            </w:r>
          </w:p>
        </w:tc>
        <w:tc>
          <w:tcPr>
            <w:tcW w:w="1279" w:type="dxa"/>
            <w:vAlign w:val="center"/>
          </w:tcPr>
          <w:p w14:paraId="07466B1C">
            <w:pPr>
              <w:adjustRightInd w:val="0"/>
              <w:snapToGrid w:val="0"/>
              <w:jc w:val="center"/>
              <w:rPr>
                <w:bCs/>
                <w:spacing w:val="8"/>
                <w:sz w:val="22"/>
                <w:szCs w:val="21"/>
              </w:rPr>
            </w:pPr>
            <w:r>
              <w:rPr>
                <w:rFonts w:hint="eastAsia"/>
                <w:bCs/>
                <w:spacing w:val="8"/>
                <w:sz w:val="22"/>
                <w:szCs w:val="21"/>
              </w:rPr>
              <w:t>产生速率（kg/h）</w:t>
            </w:r>
          </w:p>
        </w:tc>
      </w:tr>
      <w:tr w14:paraId="4A33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Align w:val="center"/>
          </w:tcPr>
          <w:p w14:paraId="7D7E2438">
            <w:pPr>
              <w:adjustRightInd w:val="0"/>
              <w:snapToGrid w:val="0"/>
              <w:jc w:val="center"/>
              <w:rPr>
                <w:spacing w:val="8"/>
                <w:sz w:val="22"/>
                <w:szCs w:val="21"/>
              </w:rPr>
            </w:pPr>
            <w:r>
              <w:rPr>
                <w:rFonts w:hint="eastAsia"/>
                <w:spacing w:val="8"/>
                <w:sz w:val="22"/>
                <w:szCs w:val="21"/>
              </w:rPr>
              <w:t>凝析油储罐</w:t>
            </w:r>
          </w:p>
        </w:tc>
        <w:tc>
          <w:tcPr>
            <w:tcW w:w="1276" w:type="dxa"/>
            <w:vAlign w:val="center"/>
          </w:tcPr>
          <w:p w14:paraId="6B4076AC">
            <w:pPr>
              <w:adjustRightInd w:val="0"/>
              <w:snapToGrid w:val="0"/>
              <w:jc w:val="center"/>
              <w:rPr>
                <w:spacing w:val="8"/>
                <w:sz w:val="22"/>
                <w:szCs w:val="21"/>
              </w:rPr>
            </w:pPr>
            <w:r>
              <w:rPr>
                <w:rFonts w:hint="eastAsia"/>
                <w:spacing w:val="8"/>
                <w:sz w:val="22"/>
                <w:szCs w:val="21"/>
              </w:rPr>
              <w:t>凝析油</w:t>
            </w:r>
          </w:p>
        </w:tc>
        <w:tc>
          <w:tcPr>
            <w:tcW w:w="859" w:type="dxa"/>
            <w:vAlign w:val="center"/>
          </w:tcPr>
          <w:p w14:paraId="231587EB">
            <w:pPr>
              <w:adjustRightInd w:val="0"/>
              <w:snapToGrid w:val="0"/>
              <w:jc w:val="center"/>
              <w:rPr>
                <w:spacing w:val="8"/>
                <w:sz w:val="22"/>
                <w:szCs w:val="21"/>
              </w:rPr>
            </w:pPr>
            <w:r>
              <w:rPr>
                <w:rFonts w:hint="eastAsia"/>
                <w:spacing w:val="8"/>
                <w:sz w:val="22"/>
                <w:szCs w:val="21"/>
              </w:rPr>
              <w:t>2</w:t>
            </w:r>
          </w:p>
        </w:tc>
        <w:tc>
          <w:tcPr>
            <w:tcW w:w="1278" w:type="dxa"/>
            <w:vAlign w:val="center"/>
          </w:tcPr>
          <w:p w14:paraId="0C0BF759">
            <w:pPr>
              <w:widowControl/>
              <w:jc w:val="center"/>
              <w:textAlignment w:val="center"/>
              <w:rPr>
                <w:spacing w:val="8"/>
                <w:sz w:val="22"/>
                <w:szCs w:val="21"/>
              </w:rPr>
            </w:pPr>
            <w:r>
              <w:rPr>
                <w:kern w:val="0"/>
                <w:sz w:val="22"/>
                <w:szCs w:val="21"/>
              </w:rPr>
              <w:t>134.028</w:t>
            </w:r>
          </w:p>
        </w:tc>
        <w:tc>
          <w:tcPr>
            <w:tcW w:w="1278" w:type="dxa"/>
            <w:vAlign w:val="center"/>
          </w:tcPr>
          <w:p w14:paraId="421CD4EB">
            <w:pPr>
              <w:widowControl/>
              <w:jc w:val="center"/>
              <w:textAlignment w:val="center"/>
              <w:rPr>
                <w:sz w:val="22"/>
                <w:szCs w:val="21"/>
              </w:rPr>
            </w:pPr>
            <w:r>
              <w:rPr>
                <w:rFonts w:hint="eastAsia"/>
                <w:sz w:val="22"/>
                <w:szCs w:val="21"/>
              </w:rPr>
              <w:t>1</w:t>
            </w:r>
            <w:r>
              <w:rPr>
                <w:sz w:val="22"/>
                <w:szCs w:val="21"/>
              </w:rPr>
              <w:t>8.410</w:t>
            </w:r>
          </w:p>
        </w:tc>
        <w:tc>
          <w:tcPr>
            <w:tcW w:w="1278" w:type="dxa"/>
            <w:vAlign w:val="center"/>
          </w:tcPr>
          <w:p w14:paraId="67210F10">
            <w:pPr>
              <w:widowControl/>
              <w:jc w:val="center"/>
              <w:textAlignment w:val="center"/>
              <w:rPr>
                <w:spacing w:val="8"/>
                <w:sz w:val="22"/>
                <w:szCs w:val="21"/>
              </w:rPr>
            </w:pPr>
            <w:r>
              <w:rPr>
                <w:spacing w:val="8"/>
                <w:sz w:val="22"/>
                <w:szCs w:val="21"/>
              </w:rPr>
              <w:t>152.438</w:t>
            </w:r>
          </w:p>
        </w:tc>
        <w:tc>
          <w:tcPr>
            <w:tcW w:w="1279" w:type="dxa"/>
            <w:vAlign w:val="center"/>
          </w:tcPr>
          <w:p w14:paraId="7A4BD4E4">
            <w:pPr>
              <w:widowControl/>
              <w:jc w:val="center"/>
              <w:textAlignment w:val="center"/>
              <w:rPr>
                <w:spacing w:val="8"/>
                <w:sz w:val="22"/>
                <w:szCs w:val="21"/>
              </w:rPr>
            </w:pPr>
            <w:r>
              <w:rPr>
                <w:rFonts w:hint="eastAsia"/>
                <w:spacing w:val="8"/>
                <w:sz w:val="22"/>
                <w:szCs w:val="21"/>
              </w:rPr>
              <w:t>0</w:t>
            </w:r>
            <w:r>
              <w:rPr>
                <w:spacing w:val="8"/>
                <w:sz w:val="22"/>
                <w:szCs w:val="21"/>
              </w:rPr>
              <w:t>.0174</w:t>
            </w:r>
          </w:p>
        </w:tc>
      </w:tr>
    </w:tbl>
    <w:p w14:paraId="2775251B">
      <w:pPr>
        <w:pStyle w:val="1379"/>
        <w:ind w:firstLine="440"/>
      </w:pPr>
    </w:p>
    <w:p w14:paraId="541D3D65">
      <w:pPr>
        <w:pStyle w:val="1381"/>
        <w:ind w:firstLine="520"/>
        <w:rPr>
          <w:b/>
          <w:bCs/>
        </w:rPr>
      </w:pPr>
      <w:r>
        <w:rPr>
          <w:rFonts w:hint="eastAsia"/>
        </w:rPr>
        <w:t>本项目凝析储罐大小呼吸产生的非甲烷总烃量为</w:t>
      </w:r>
      <w:r>
        <w:t>0.152</w:t>
      </w:r>
      <w:r>
        <w:rPr>
          <w:rFonts w:hint="eastAsia"/>
        </w:rPr>
        <w:t>t/a，凝析油储罐设置调压阀，超过设定压力（5</w:t>
      </w:r>
      <w:r>
        <w:t>0</w:t>
      </w:r>
      <w:r>
        <w:rPr>
          <w:rFonts w:hint="eastAsia"/>
        </w:rPr>
        <w:t>k</w:t>
      </w:r>
      <w:r>
        <w:t>Pa</w:t>
      </w:r>
      <w:r>
        <w:rPr>
          <w:rFonts w:hint="eastAsia"/>
        </w:rPr>
        <w:t>）后，罐内废气经管道输送至放空立管燃烧排放，燃烧后生成CO</w:t>
      </w:r>
      <w:r>
        <w:rPr>
          <w:rFonts w:hint="eastAsia"/>
          <w:vertAlign w:val="subscript"/>
        </w:rPr>
        <w:t>2</w:t>
      </w:r>
      <w:r>
        <w:rPr>
          <w:rFonts w:hint="eastAsia"/>
        </w:rPr>
        <w:t>和H</w:t>
      </w:r>
      <w:r>
        <w:rPr>
          <w:rFonts w:hint="eastAsia"/>
          <w:vertAlign w:val="subscript"/>
        </w:rPr>
        <w:t>2</w:t>
      </w:r>
      <w:r>
        <w:rPr>
          <w:rFonts w:hint="eastAsia"/>
        </w:rPr>
        <w:t>O，对周边外环境影响较小。同时，建设单位对凝析油及时转运，减少非甲烷总烃排放频次。</w:t>
      </w:r>
    </w:p>
    <w:p w14:paraId="00C93B90">
      <w:pPr>
        <w:snapToGrid w:val="0"/>
        <w:spacing w:line="460" w:lineRule="exact"/>
        <w:ind w:firstLine="522" w:firstLineChars="200"/>
        <w:rPr>
          <w:b/>
          <w:sz w:val="26"/>
          <w:szCs w:val="26"/>
        </w:rPr>
      </w:pPr>
      <w:r>
        <w:rPr>
          <w:b/>
          <w:sz w:val="26"/>
          <w:szCs w:val="26"/>
        </w:rPr>
        <w:fldChar w:fldCharType="begin"/>
      </w:r>
      <w:r>
        <w:rPr>
          <w:b/>
          <w:sz w:val="26"/>
          <w:szCs w:val="26"/>
        </w:rPr>
        <w:instrText xml:space="preserve"> </w:instrText>
      </w:r>
      <w:r>
        <w:rPr>
          <w:rFonts w:hint="eastAsia"/>
          <w:b/>
          <w:sz w:val="26"/>
          <w:szCs w:val="26"/>
        </w:rPr>
        <w:instrText xml:space="preserve">= 3 \* GB3</w:instrText>
      </w:r>
      <w:r>
        <w:rPr>
          <w:b/>
          <w:sz w:val="26"/>
          <w:szCs w:val="26"/>
        </w:rPr>
        <w:instrText xml:space="preserve"> </w:instrText>
      </w:r>
      <w:r>
        <w:rPr>
          <w:b/>
          <w:sz w:val="26"/>
          <w:szCs w:val="26"/>
        </w:rPr>
        <w:fldChar w:fldCharType="separate"/>
      </w:r>
      <w:r>
        <w:rPr>
          <w:rFonts w:hint="eastAsia"/>
          <w:b/>
          <w:sz w:val="26"/>
          <w:szCs w:val="26"/>
        </w:rPr>
        <w:t>③</w:t>
      </w:r>
      <w:r>
        <w:rPr>
          <w:b/>
          <w:sz w:val="26"/>
          <w:szCs w:val="26"/>
        </w:rPr>
        <w:fldChar w:fldCharType="end"/>
      </w:r>
      <w:r>
        <w:rPr>
          <w:rFonts w:hint="eastAsia"/>
          <w:b/>
          <w:sz w:val="26"/>
          <w:szCs w:val="26"/>
        </w:rPr>
        <w:t>试采设备无组织逸散废气</w:t>
      </w:r>
    </w:p>
    <w:p w14:paraId="42FEBE0E">
      <w:pPr>
        <w:pStyle w:val="702"/>
        <w:ind w:firstLine="520"/>
        <w:rPr>
          <w:rFonts w:cs="Times New Roman"/>
          <w:kern w:val="2"/>
        </w:rPr>
      </w:pPr>
      <w:r>
        <w:rPr>
          <w:rFonts w:hint="eastAsia" w:cs="Times New Roman"/>
          <w:kern w:val="2"/>
        </w:rPr>
        <w:t>试采期正常工况下，考虑到站场阀门以及设备等不严密，存在天然气的无组织排放，污染物以非甲烷总烃计。本次评价参照《石化行业建设项目挥发性有机物（VOCs）排放估算方法技术指南（试行）》中3.3.3 机泵、阀门、法兰等生产设备泄漏速率公式计算采气站阀门逸散的无组织废气，计算公式如下：</w:t>
      </w:r>
    </w:p>
    <w:p w14:paraId="41CE0883">
      <w:pPr>
        <w:pStyle w:val="1065"/>
        <w:spacing w:before="240" w:beforeLines="100" w:after="240" w:afterLines="100"/>
        <w:ind w:firstLine="480"/>
      </w:pPr>
      <w:r>
        <w:rPr>
          <w:rFonts w:hint="eastAsia"/>
        </w:rPr>
        <w:t>E</w:t>
      </w:r>
      <w:r>
        <w:rPr>
          <w:rFonts w:hint="eastAsia"/>
          <w:vertAlign w:val="subscript"/>
        </w:rPr>
        <w:t>设备</w:t>
      </w:r>
      <w:r>
        <w:rPr>
          <w:rFonts w:hint="eastAsia"/>
        </w:rPr>
        <w:t>=</w:t>
      </w:r>
      <w:r>
        <w:t>H/1000</w:t>
      </w:r>
      <w:r>
        <w:rPr>
          <w:rFonts w:hint="eastAsia"/>
        </w:rPr>
        <w:t>×E</w:t>
      </w:r>
      <w:r>
        <w:rPr>
          <w:rFonts w:hint="eastAsia"/>
          <w:vertAlign w:val="subscript"/>
        </w:rPr>
        <w:t>TOC</w:t>
      </w:r>
    </w:p>
    <w:p w14:paraId="18295E56">
      <w:pPr>
        <w:pStyle w:val="702"/>
        <w:ind w:firstLine="520"/>
        <w:rPr>
          <w:rFonts w:cs="Times New Roman"/>
          <w:kern w:val="2"/>
        </w:rPr>
      </w:pPr>
      <w:r>
        <w:rPr>
          <w:rFonts w:hint="eastAsia" w:cs="Times New Roman"/>
          <w:kern w:val="2"/>
        </w:rPr>
        <w:t>式中：E</w:t>
      </w:r>
      <w:r>
        <w:rPr>
          <w:rFonts w:hint="eastAsia" w:cs="Times New Roman"/>
          <w:kern w:val="2"/>
          <w:vertAlign w:val="subscript"/>
        </w:rPr>
        <w:t>设备</w:t>
      </w:r>
      <w:r>
        <w:rPr>
          <w:rFonts w:hint="eastAsia" w:cs="Times New Roman"/>
          <w:kern w:val="2"/>
        </w:rPr>
        <w:t>—生产设备VOCs泄漏量，t/a；</w:t>
      </w:r>
    </w:p>
    <w:p w14:paraId="0614CD6E">
      <w:pPr>
        <w:pStyle w:val="702"/>
        <w:ind w:firstLine="520"/>
        <w:rPr>
          <w:rFonts w:cs="Times New Roman"/>
          <w:kern w:val="2"/>
        </w:rPr>
      </w:pPr>
      <w:r>
        <w:rPr>
          <w:rFonts w:hint="eastAsia" w:cs="Times New Roman"/>
          <w:kern w:val="2"/>
        </w:rPr>
        <w:t>E</w:t>
      </w:r>
      <w:r>
        <w:rPr>
          <w:rFonts w:hint="eastAsia" w:cs="Times New Roman"/>
          <w:kern w:val="2"/>
          <w:vertAlign w:val="subscript"/>
        </w:rPr>
        <w:t>TOC</w:t>
      </w:r>
      <w:r>
        <w:rPr>
          <w:rFonts w:hint="eastAsia" w:cs="Times New Roman"/>
          <w:kern w:val="2"/>
        </w:rPr>
        <w:t>—压缩机、泵、阀门、法兰等某种特定设备类型的TOC排放速率，kg/h；</w:t>
      </w:r>
    </w:p>
    <w:p w14:paraId="6719B3AD">
      <w:pPr>
        <w:pStyle w:val="702"/>
        <w:ind w:firstLine="520"/>
        <w:rPr>
          <w:rFonts w:cs="Times New Roman"/>
          <w:kern w:val="2"/>
        </w:rPr>
      </w:pPr>
      <w:r>
        <w:rPr>
          <w:rFonts w:hint="eastAsia" w:cs="Times New Roman"/>
          <w:kern w:val="2"/>
        </w:rPr>
        <w:t>H—年工作时间，取8760h/a。</w:t>
      </w:r>
    </w:p>
    <w:p w14:paraId="600ECEF5">
      <w:pPr>
        <w:pStyle w:val="702"/>
        <w:ind w:firstLine="520"/>
        <w:rPr>
          <w:rFonts w:cs="Times New Roman"/>
          <w:kern w:val="2"/>
        </w:rPr>
      </w:pPr>
      <w:r>
        <w:rPr>
          <w:rFonts w:hint="eastAsia" w:cs="Times New Roman"/>
          <w:kern w:val="2"/>
        </w:rPr>
        <w:t>E</w:t>
      </w:r>
      <w:r>
        <w:rPr>
          <w:rFonts w:hint="eastAsia" w:cs="Times New Roman"/>
          <w:kern w:val="2"/>
          <w:vertAlign w:val="subscript"/>
        </w:rPr>
        <w:t>TOC</w:t>
      </w:r>
      <w:r>
        <w:rPr>
          <w:rFonts w:hint="eastAsia" w:cs="Times New Roman"/>
          <w:kern w:val="2"/>
        </w:rPr>
        <w:t>采用平均系数法进行计算，计算公式如下：</w:t>
      </w:r>
    </w:p>
    <w:p w14:paraId="33268869">
      <w:pPr>
        <w:pStyle w:val="1065"/>
        <w:spacing w:before="240" w:beforeLines="100" w:after="240" w:afterLines="100"/>
        <w:ind w:firstLine="480"/>
      </w:pPr>
      <w:r>
        <w:rPr>
          <w:rFonts w:hint="eastAsia"/>
        </w:rPr>
        <w:t>E</w:t>
      </w:r>
      <w:r>
        <w:rPr>
          <w:rFonts w:hint="eastAsia"/>
          <w:vertAlign w:val="subscript"/>
        </w:rPr>
        <w:t>TOC</w:t>
      </w:r>
      <w:r>
        <w:t>= FA×WF</w:t>
      </w:r>
      <w:r>
        <w:rPr>
          <w:vertAlign w:val="subscript"/>
        </w:rPr>
        <w:t>TOC</w:t>
      </w:r>
      <w:r>
        <w:t>×N</w:t>
      </w:r>
    </w:p>
    <w:p w14:paraId="684C0433">
      <w:pPr>
        <w:pStyle w:val="702"/>
        <w:ind w:firstLine="520"/>
        <w:rPr>
          <w:rFonts w:cs="Times New Roman"/>
          <w:kern w:val="2"/>
        </w:rPr>
      </w:pPr>
      <w:r>
        <w:rPr>
          <w:rFonts w:hint="eastAsia" w:cs="Times New Roman"/>
          <w:kern w:val="2"/>
        </w:rPr>
        <w:t>式中：：E</w:t>
      </w:r>
      <w:r>
        <w:rPr>
          <w:rFonts w:hint="eastAsia" w:cs="Times New Roman"/>
          <w:kern w:val="2"/>
          <w:vertAlign w:val="subscript"/>
        </w:rPr>
        <w:t>TOC</w:t>
      </w:r>
      <w:r>
        <w:rPr>
          <w:rFonts w:hint="eastAsia" w:cs="Times New Roman"/>
          <w:kern w:val="2"/>
        </w:rPr>
        <w:t>—特定设备类型的TOC排放速率，kg/h；</w:t>
      </w:r>
    </w:p>
    <w:p w14:paraId="474A137C">
      <w:pPr>
        <w:pStyle w:val="702"/>
        <w:ind w:firstLine="520"/>
        <w:rPr>
          <w:rFonts w:cs="Times New Roman"/>
          <w:kern w:val="2"/>
        </w:rPr>
      </w:pPr>
      <w:r>
        <w:rPr>
          <w:rFonts w:hint="eastAsia" w:cs="Times New Roman"/>
          <w:kern w:val="2"/>
        </w:rPr>
        <w:t>FA—适用设备类型的平均排放系数，kg/（h·源），参照合成有机化工行业气体阀门平均排放系数，本项目试采站阀门排放系数取0.00597kg/（h·源）；</w:t>
      </w:r>
    </w:p>
    <w:p w14:paraId="7FDA58A8">
      <w:pPr>
        <w:pStyle w:val="702"/>
        <w:ind w:firstLine="520"/>
        <w:rPr>
          <w:rFonts w:cs="Times New Roman"/>
          <w:kern w:val="2"/>
        </w:rPr>
      </w:pPr>
      <w:r>
        <w:rPr>
          <w:rFonts w:hint="eastAsia" w:cs="Times New Roman"/>
          <w:kern w:val="2"/>
        </w:rPr>
        <w:t>WF</w:t>
      </w:r>
      <w:r>
        <w:rPr>
          <w:rFonts w:hint="eastAsia" w:cs="Times New Roman"/>
          <w:kern w:val="2"/>
          <w:vertAlign w:val="subscript"/>
        </w:rPr>
        <w:t>TOC</w:t>
      </w:r>
      <w:r>
        <w:rPr>
          <w:rFonts w:hint="eastAsia" w:cs="Times New Roman"/>
          <w:kern w:val="2"/>
        </w:rPr>
        <w:t>—物料中含TOC的平均质量分数（扣除不属于VOCs的氮气、氢气、氦气及二氧化碳等，如无法获取该数据，可按保守的100%计算）；根据本项目气质分析报告，WF</w:t>
      </w:r>
      <w:r>
        <w:rPr>
          <w:rFonts w:hint="eastAsia" w:cs="Times New Roman"/>
          <w:kern w:val="2"/>
          <w:vertAlign w:val="subscript"/>
        </w:rPr>
        <w:t>TOC</w:t>
      </w:r>
      <w:r>
        <w:rPr>
          <w:rFonts w:hint="eastAsia" w:cs="Times New Roman"/>
          <w:kern w:val="2"/>
        </w:rPr>
        <w:t>取</w:t>
      </w:r>
      <w:r>
        <w:rPr>
          <w:rFonts w:cs="Times New Roman"/>
          <w:kern w:val="2"/>
        </w:rPr>
        <w:t>3.27</w:t>
      </w:r>
      <w:r>
        <w:rPr>
          <w:rFonts w:hint="eastAsia" w:cs="Times New Roman"/>
          <w:kern w:val="2"/>
        </w:rPr>
        <w:t>%；</w:t>
      </w:r>
    </w:p>
    <w:p w14:paraId="76881259">
      <w:pPr>
        <w:pStyle w:val="702"/>
        <w:ind w:firstLine="520"/>
        <w:rPr>
          <w:rFonts w:cs="Times New Roman"/>
        </w:rPr>
      </w:pPr>
      <w:r>
        <w:rPr>
          <w:rFonts w:hint="eastAsia" w:cs="Times New Roman"/>
        </w:rPr>
        <w:t>N—每类设备的设备数量。</w:t>
      </w:r>
    </w:p>
    <w:p w14:paraId="5D34E122">
      <w:pPr>
        <w:pStyle w:val="1381"/>
        <w:ind w:firstLine="520"/>
      </w:pPr>
      <w:r>
        <w:rPr>
          <w:rFonts w:hint="eastAsia"/>
        </w:rPr>
        <w:t>经计算，本项目设备阀门逸散废气详见下表。</w:t>
      </w:r>
    </w:p>
    <w:p w14:paraId="50ADB87B">
      <w:pPr>
        <w:pStyle w:val="1066"/>
        <w:ind w:firstLine="520"/>
      </w:pPr>
    </w:p>
    <w:p w14:paraId="338B2C70">
      <w:pPr>
        <w:pStyle w:val="1065"/>
        <w:ind w:firstLine="480"/>
        <w:rPr>
          <w:sz w:val="20"/>
          <w:szCs w:val="22"/>
          <w:vertAlign w:val="superscript"/>
        </w:rPr>
      </w:pPr>
      <w:r>
        <w:rPr>
          <w:rFonts w:hint="eastAsia"/>
        </w:rPr>
        <w:t>表3</w:t>
      </w:r>
      <w:r>
        <w:t xml:space="preserve">.2-7   </w:t>
      </w:r>
      <w:r>
        <w:rPr>
          <w:rFonts w:hint="eastAsia"/>
        </w:rPr>
        <w:t>无组织排放源强统计表</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1308"/>
        <w:gridCol w:w="1310"/>
        <w:gridCol w:w="2326"/>
        <w:gridCol w:w="2406"/>
      </w:tblGrid>
      <w:tr w14:paraId="5E57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96" w:type="dxa"/>
            <w:vAlign w:val="center"/>
          </w:tcPr>
          <w:p w14:paraId="7D3491C9">
            <w:pPr>
              <w:adjustRightInd w:val="0"/>
              <w:snapToGrid w:val="0"/>
              <w:jc w:val="center"/>
              <w:rPr>
                <w:sz w:val="22"/>
                <w:szCs w:val="22"/>
              </w:rPr>
            </w:pPr>
            <w:r>
              <w:rPr>
                <w:sz w:val="22"/>
                <w:szCs w:val="22"/>
              </w:rPr>
              <w:t>排放源</w:t>
            </w:r>
          </w:p>
        </w:tc>
        <w:tc>
          <w:tcPr>
            <w:tcW w:w="1308" w:type="dxa"/>
            <w:vAlign w:val="center"/>
          </w:tcPr>
          <w:p w14:paraId="64C9C8B3">
            <w:pPr>
              <w:adjustRightInd w:val="0"/>
              <w:snapToGrid w:val="0"/>
              <w:jc w:val="center"/>
              <w:rPr>
                <w:sz w:val="22"/>
                <w:szCs w:val="22"/>
              </w:rPr>
            </w:pPr>
            <w:r>
              <w:rPr>
                <w:rFonts w:hint="eastAsia"/>
                <w:sz w:val="22"/>
                <w:szCs w:val="22"/>
              </w:rPr>
              <w:t>阀组数量（个）</w:t>
            </w:r>
          </w:p>
        </w:tc>
        <w:tc>
          <w:tcPr>
            <w:tcW w:w="1310" w:type="dxa"/>
            <w:vAlign w:val="center"/>
          </w:tcPr>
          <w:p w14:paraId="2C255E75">
            <w:pPr>
              <w:adjustRightInd w:val="0"/>
              <w:snapToGrid w:val="0"/>
              <w:jc w:val="center"/>
              <w:rPr>
                <w:sz w:val="22"/>
                <w:szCs w:val="22"/>
              </w:rPr>
            </w:pPr>
            <w:r>
              <w:rPr>
                <w:rFonts w:hint="eastAsia"/>
                <w:sz w:val="22"/>
                <w:szCs w:val="22"/>
              </w:rPr>
              <w:t>工作时间（h）</w:t>
            </w:r>
          </w:p>
        </w:tc>
        <w:tc>
          <w:tcPr>
            <w:tcW w:w="2326" w:type="dxa"/>
            <w:vAlign w:val="center"/>
          </w:tcPr>
          <w:p w14:paraId="30A589C5">
            <w:pPr>
              <w:adjustRightInd w:val="0"/>
              <w:snapToGrid w:val="0"/>
              <w:jc w:val="center"/>
              <w:rPr>
                <w:sz w:val="22"/>
                <w:szCs w:val="22"/>
              </w:rPr>
            </w:pPr>
            <w:r>
              <w:rPr>
                <w:rFonts w:hint="eastAsia"/>
                <w:sz w:val="22"/>
                <w:szCs w:val="22"/>
              </w:rPr>
              <w:t>E设备泄漏速率（k</w:t>
            </w:r>
            <w:r>
              <w:rPr>
                <w:sz w:val="22"/>
                <w:szCs w:val="22"/>
              </w:rPr>
              <w:t>g/h</w:t>
            </w:r>
            <w:r>
              <w:rPr>
                <w:rFonts w:hint="eastAsia"/>
                <w:sz w:val="22"/>
                <w:szCs w:val="22"/>
              </w:rPr>
              <w:t>）</w:t>
            </w:r>
          </w:p>
        </w:tc>
        <w:tc>
          <w:tcPr>
            <w:tcW w:w="2406" w:type="dxa"/>
            <w:vAlign w:val="center"/>
          </w:tcPr>
          <w:p w14:paraId="59A3072F">
            <w:pPr>
              <w:adjustRightInd w:val="0"/>
              <w:snapToGrid w:val="0"/>
              <w:jc w:val="center"/>
              <w:rPr>
                <w:sz w:val="22"/>
                <w:szCs w:val="22"/>
              </w:rPr>
            </w:pPr>
            <w:r>
              <w:rPr>
                <w:rFonts w:hint="eastAsia"/>
                <w:sz w:val="22"/>
                <w:szCs w:val="22"/>
              </w:rPr>
              <w:t>NMHC无组织排放量（t/a）</w:t>
            </w:r>
          </w:p>
        </w:tc>
      </w:tr>
      <w:tr w14:paraId="0EAC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96" w:type="dxa"/>
            <w:vAlign w:val="center"/>
          </w:tcPr>
          <w:p w14:paraId="5B1F992C">
            <w:pPr>
              <w:adjustRightInd w:val="0"/>
              <w:snapToGrid w:val="0"/>
              <w:jc w:val="center"/>
              <w:rPr>
                <w:sz w:val="22"/>
                <w:szCs w:val="22"/>
              </w:rPr>
            </w:pPr>
            <w:r>
              <w:rPr>
                <w:rFonts w:hint="eastAsia"/>
                <w:sz w:val="22"/>
                <w:szCs w:val="22"/>
              </w:rPr>
              <w:t>巴中2HF站场</w:t>
            </w:r>
          </w:p>
        </w:tc>
        <w:tc>
          <w:tcPr>
            <w:tcW w:w="1308" w:type="dxa"/>
            <w:vAlign w:val="center"/>
          </w:tcPr>
          <w:p w14:paraId="6644028D">
            <w:pPr>
              <w:adjustRightInd w:val="0"/>
              <w:snapToGrid w:val="0"/>
              <w:jc w:val="center"/>
              <w:rPr>
                <w:sz w:val="22"/>
                <w:szCs w:val="22"/>
              </w:rPr>
            </w:pPr>
            <w:r>
              <w:rPr>
                <w:sz w:val="22"/>
                <w:szCs w:val="22"/>
              </w:rPr>
              <w:t>24</w:t>
            </w:r>
          </w:p>
        </w:tc>
        <w:tc>
          <w:tcPr>
            <w:tcW w:w="1310" w:type="dxa"/>
            <w:vAlign w:val="center"/>
          </w:tcPr>
          <w:p w14:paraId="5A22C5B2">
            <w:pPr>
              <w:adjustRightInd w:val="0"/>
              <w:snapToGrid w:val="0"/>
              <w:jc w:val="center"/>
              <w:rPr>
                <w:sz w:val="22"/>
                <w:szCs w:val="22"/>
              </w:rPr>
            </w:pPr>
            <w:r>
              <w:rPr>
                <w:rFonts w:hint="eastAsia"/>
                <w:sz w:val="22"/>
                <w:szCs w:val="22"/>
              </w:rPr>
              <w:t>8</w:t>
            </w:r>
            <w:r>
              <w:rPr>
                <w:sz w:val="22"/>
                <w:szCs w:val="22"/>
              </w:rPr>
              <w:t>760</w:t>
            </w:r>
          </w:p>
        </w:tc>
        <w:tc>
          <w:tcPr>
            <w:tcW w:w="2326" w:type="dxa"/>
            <w:vAlign w:val="center"/>
          </w:tcPr>
          <w:p w14:paraId="03071BC7">
            <w:pPr>
              <w:adjustRightInd w:val="0"/>
              <w:snapToGrid w:val="0"/>
              <w:jc w:val="center"/>
              <w:rPr>
                <w:sz w:val="22"/>
                <w:szCs w:val="22"/>
              </w:rPr>
            </w:pPr>
            <w:r>
              <w:rPr>
                <w:sz w:val="22"/>
                <w:szCs w:val="22"/>
              </w:rPr>
              <w:t>5.86</w:t>
            </w:r>
            <w:r>
              <w:rPr>
                <w:kern w:val="0"/>
                <w:sz w:val="24"/>
                <w:lang w:bidi="ar"/>
              </w:rPr>
              <w:t>×</w:t>
            </w:r>
            <w:r>
              <w:rPr>
                <w:sz w:val="22"/>
                <w:szCs w:val="22"/>
              </w:rPr>
              <w:t>10</w:t>
            </w:r>
            <w:r>
              <w:rPr>
                <w:rFonts w:hint="eastAsia"/>
                <w:sz w:val="22"/>
                <w:szCs w:val="22"/>
                <w:vertAlign w:val="superscript"/>
              </w:rPr>
              <w:t>-</w:t>
            </w:r>
            <w:r>
              <w:rPr>
                <w:sz w:val="22"/>
                <w:szCs w:val="22"/>
                <w:vertAlign w:val="superscript"/>
              </w:rPr>
              <w:t>3</w:t>
            </w:r>
          </w:p>
        </w:tc>
        <w:tc>
          <w:tcPr>
            <w:tcW w:w="2406" w:type="dxa"/>
            <w:vAlign w:val="center"/>
          </w:tcPr>
          <w:p w14:paraId="42C15A2A">
            <w:pPr>
              <w:pStyle w:val="687"/>
            </w:pPr>
            <w:r>
              <w:rPr>
                <w:szCs w:val="22"/>
              </w:rPr>
              <w:t>5.13</w:t>
            </w:r>
            <w:r>
              <w:rPr>
                <w:kern w:val="0"/>
                <w:sz w:val="24"/>
                <w:lang w:bidi="ar"/>
              </w:rPr>
              <w:t>×</w:t>
            </w:r>
            <w:r>
              <w:rPr>
                <w:szCs w:val="22"/>
              </w:rPr>
              <w:t>10</w:t>
            </w:r>
            <w:r>
              <w:rPr>
                <w:rFonts w:hint="eastAsia"/>
                <w:szCs w:val="22"/>
                <w:vertAlign w:val="superscript"/>
              </w:rPr>
              <w:t>-</w:t>
            </w:r>
            <w:r>
              <w:rPr>
                <w:szCs w:val="22"/>
                <w:vertAlign w:val="superscript"/>
              </w:rPr>
              <w:t>2</w:t>
            </w:r>
          </w:p>
        </w:tc>
      </w:tr>
    </w:tbl>
    <w:p w14:paraId="16FE6BAF">
      <w:pPr>
        <w:pStyle w:val="1066"/>
        <w:ind w:firstLine="520"/>
      </w:pPr>
    </w:p>
    <w:p w14:paraId="3975D258">
      <w:pPr>
        <w:pStyle w:val="1381"/>
        <w:ind w:firstLine="520"/>
      </w:pPr>
      <w:r>
        <w:rPr>
          <w:rFonts w:hint="eastAsia"/>
        </w:rPr>
        <w:t>本项目试采站通过加强各设备、阀门的密闭性，加强管理等措施降低试采设备无组织N</w:t>
      </w:r>
      <w:r>
        <w:t>MHC</w:t>
      </w:r>
      <w:r>
        <w:rPr>
          <w:rFonts w:hint="eastAsia"/>
        </w:rPr>
        <w:t>的排放量。</w:t>
      </w:r>
    </w:p>
    <w:p w14:paraId="78135587">
      <w:pPr>
        <w:snapToGrid w:val="0"/>
        <w:spacing w:line="460" w:lineRule="exact"/>
        <w:ind w:firstLine="522" w:firstLineChars="200"/>
        <w:rPr>
          <w:b/>
          <w:sz w:val="26"/>
          <w:szCs w:val="26"/>
        </w:rPr>
      </w:pPr>
      <w:r>
        <w:rPr>
          <w:b/>
          <w:sz w:val="26"/>
          <w:szCs w:val="26"/>
        </w:rPr>
        <w:fldChar w:fldCharType="begin"/>
      </w:r>
      <w:r>
        <w:rPr>
          <w:b/>
          <w:sz w:val="26"/>
          <w:szCs w:val="26"/>
        </w:rPr>
        <w:instrText xml:space="preserve"> </w:instrText>
      </w:r>
      <w:r>
        <w:rPr>
          <w:rFonts w:hint="eastAsia"/>
          <w:b/>
          <w:sz w:val="26"/>
          <w:szCs w:val="26"/>
        </w:rPr>
        <w:instrText xml:space="preserve">= 4 \* GB3</w:instrText>
      </w:r>
      <w:r>
        <w:rPr>
          <w:b/>
          <w:sz w:val="26"/>
          <w:szCs w:val="26"/>
        </w:rPr>
        <w:instrText xml:space="preserve"> </w:instrText>
      </w:r>
      <w:r>
        <w:rPr>
          <w:b/>
          <w:sz w:val="26"/>
          <w:szCs w:val="26"/>
        </w:rPr>
        <w:fldChar w:fldCharType="separate"/>
      </w:r>
      <w:r>
        <w:rPr>
          <w:rFonts w:hint="eastAsia"/>
          <w:b/>
          <w:sz w:val="26"/>
          <w:szCs w:val="26"/>
        </w:rPr>
        <w:t>④</w:t>
      </w:r>
      <w:r>
        <w:rPr>
          <w:b/>
          <w:sz w:val="26"/>
          <w:szCs w:val="26"/>
        </w:rPr>
        <w:fldChar w:fldCharType="end"/>
      </w:r>
      <w:r>
        <w:rPr>
          <w:rFonts w:hint="eastAsia"/>
          <w:b/>
          <w:sz w:val="26"/>
          <w:szCs w:val="26"/>
        </w:rPr>
        <w:t>非正常工况放空废气</w:t>
      </w:r>
    </w:p>
    <w:p w14:paraId="18C51AE6">
      <w:pPr>
        <w:pStyle w:val="702"/>
        <w:ind w:firstLine="520"/>
      </w:pPr>
      <w:r>
        <w:rPr>
          <w:rFonts w:hint="eastAsia"/>
        </w:rPr>
        <w:t>试采站</w:t>
      </w:r>
      <w:r>
        <w:t>检修或事故时，将相关设备及管线中</w:t>
      </w:r>
      <w:r>
        <w:rPr>
          <w:rFonts w:hint="eastAsia"/>
        </w:rPr>
        <w:t>天然</w:t>
      </w:r>
      <w:r>
        <w:t>气通过放空系统进行放</w:t>
      </w:r>
      <w:r>
        <w:rPr>
          <w:rFonts w:hint="eastAsia"/>
        </w:rPr>
        <w:t>空</w:t>
      </w:r>
      <w:r>
        <w:t>，排放时间为几分钟至几十分钟。</w:t>
      </w:r>
    </w:p>
    <w:p w14:paraId="5CA5B0F6">
      <w:pPr>
        <w:pStyle w:val="702"/>
        <w:ind w:firstLine="520"/>
      </w:pPr>
      <w:r>
        <w:rPr>
          <w:rFonts w:hint="eastAsia"/>
        </w:rPr>
        <w:t>试采站</w:t>
      </w:r>
      <w:r>
        <w:rPr>
          <w:rFonts w:hint="eastAsia"/>
          <w:bCs/>
        </w:rPr>
        <w:t>每年</w:t>
      </w:r>
      <w:r>
        <w:rPr>
          <w:bCs/>
        </w:rPr>
        <w:t>1~2</w:t>
      </w:r>
      <w:r>
        <w:rPr>
          <w:rFonts w:hint="eastAsia"/>
          <w:bCs/>
        </w:rPr>
        <w:t>次定期检修，设备检修排放的少量天然气通过</w:t>
      </w:r>
      <w:r>
        <w:rPr>
          <w:bCs/>
        </w:rPr>
        <w:t>15m</w:t>
      </w:r>
      <w:r>
        <w:rPr>
          <w:rFonts w:hint="eastAsia"/>
          <w:bCs/>
        </w:rPr>
        <w:t>高放空系统燃烧后排放。事故产生时，站场内安装有自动截断阀，能够在短时间内迅速关闭阀门，根据类比分析，试采站采用平稳泄压方式减少废气放空气量，每次排放量约为</w:t>
      </w:r>
      <w:r>
        <w:rPr>
          <w:bCs/>
        </w:rPr>
        <w:t>200m</w:t>
      </w:r>
      <w:r>
        <w:rPr>
          <w:bCs/>
          <w:vertAlign w:val="superscript"/>
        </w:rPr>
        <w:t>3</w:t>
      </w:r>
      <w:r>
        <w:rPr>
          <w:bCs/>
        </w:rPr>
        <w:t>/</w:t>
      </w:r>
      <w:r>
        <w:rPr>
          <w:rFonts w:hint="eastAsia"/>
          <w:bCs/>
        </w:rPr>
        <w:t>次。</w:t>
      </w:r>
    </w:p>
    <w:p w14:paraId="5B82AB2D">
      <w:pPr>
        <w:pStyle w:val="702"/>
        <w:ind w:firstLine="520"/>
      </w:pPr>
      <w:r>
        <w:rPr>
          <w:rFonts w:hint="eastAsia"/>
        </w:rPr>
        <w:t>本项目天然气不含硫化氢，且属于清洁能源，燃烧后的污染物主要为NOx和颗粒物，对环境影响较小。</w:t>
      </w:r>
    </w:p>
    <w:p w14:paraId="3EEDC712">
      <w:pPr>
        <w:pStyle w:val="702"/>
        <w:ind w:firstLine="520"/>
        <w:rPr>
          <w:rFonts w:cs="Times New Roman"/>
        </w:rPr>
      </w:pPr>
      <w:r>
        <w:rPr>
          <w:rFonts w:hint="eastAsia"/>
          <w:szCs w:val="26"/>
        </w:rPr>
        <w:t>综上，本项目试采站场废气产排情况见</w:t>
      </w:r>
      <w:r>
        <w:rPr>
          <w:rFonts w:hint="eastAsia"/>
          <w:szCs w:val="26"/>
          <w:u w:val="single"/>
        </w:rPr>
        <w:t>表</w:t>
      </w:r>
      <w:r>
        <w:rPr>
          <w:szCs w:val="26"/>
          <w:u w:val="single"/>
        </w:rPr>
        <w:t>3.2-8</w:t>
      </w:r>
      <w:r>
        <w:rPr>
          <w:rFonts w:hint="eastAsia"/>
          <w:szCs w:val="26"/>
        </w:rPr>
        <w:t>。</w:t>
      </w:r>
    </w:p>
    <w:p w14:paraId="42FAE2B1">
      <w:pPr>
        <w:pStyle w:val="1379"/>
        <w:ind w:firstLine="440"/>
      </w:pPr>
    </w:p>
    <w:p w14:paraId="2DD78262">
      <w:pPr>
        <w:pStyle w:val="1441"/>
      </w:pPr>
      <w:r>
        <w:t>表3.2-8  本项目废气产排情况一览表</w:t>
      </w:r>
    </w:p>
    <w:tbl>
      <w:tblPr>
        <w:tblStyle w:val="88"/>
        <w:tblW w:w="87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87"/>
        <w:gridCol w:w="1752"/>
        <w:gridCol w:w="1302"/>
        <w:gridCol w:w="1302"/>
        <w:gridCol w:w="2602"/>
        <w:gridCol w:w="1241"/>
      </w:tblGrid>
      <w:tr w14:paraId="320A9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587" w:type="dxa"/>
            <w:vAlign w:val="center"/>
          </w:tcPr>
          <w:p w14:paraId="3FB1BA86">
            <w:pPr>
              <w:pStyle w:val="687"/>
            </w:pPr>
            <w:r>
              <w:t>序号</w:t>
            </w:r>
          </w:p>
        </w:tc>
        <w:tc>
          <w:tcPr>
            <w:tcW w:w="1752" w:type="dxa"/>
            <w:vAlign w:val="center"/>
          </w:tcPr>
          <w:p w14:paraId="204D871D">
            <w:pPr>
              <w:pStyle w:val="687"/>
            </w:pPr>
            <w:r>
              <w:t>废气类别</w:t>
            </w:r>
          </w:p>
        </w:tc>
        <w:tc>
          <w:tcPr>
            <w:tcW w:w="1302" w:type="dxa"/>
            <w:vAlign w:val="center"/>
          </w:tcPr>
          <w:p w14:paraId="5945349B">
            <w:pPr>
              <w:pStyle w:val="687"/>
            </w:pPr>
            <w:r>
              <w:t>主要污染物</w:t>
            </w:r>
          </w:p>
        </w:tc>
        <w:tc>
          <w:tcPr>
            <w:tcW w:w="1302" w:type="dxa"/>
            <w:vAlign w:val="center"/>
          </w:tcPr>
          <w:p w14:paraId="4F000CAD">
            <w:pPr>
              <w:pStyle w:val="687"/>
            </w:pPr>
            <w:r>
              <w:t>产生量</w:t>
            </w:r>
          </w:p>
        </w:tc>
        <w:tc>
          <w:tcPr>
            <w:tcW w:w="2602" w:type="dxa"/>
            <w:vAlign w:val="center"/>
          </w:tcPr>
          <w:p w14:paraId="4FF3380A">
            <w:pPr>
              <w:pStyle w:val="687"/>
            </w:pPr>
            <w:r>
              <w:t>处置措施</w:t>
            </w:r>
          </w:p>
        </w:tc>
        <w:tc>
          <w:tcPr>
            <w:tcW w:w="1241" w:type="dxa"/>
            <w:vAlign w:val="center"/>
          </w:tcPr>
          <w:p w14:paraId="40B9C6C0">
            <w:pPr>
              <w:pStyle w:val="687"/>
            </w:pPr>
            <w:r>
              <w:t>排放量</w:t>
            </w:r>
          </w:p>
        </w:tc>
      </w:tr>
      <w:tr w14:paraId="31B16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587" w:type="dxa"/>
            <w:vMerge w:val="restart"/>
            <w:vAlign w:val="center"/>
          </w:tcPr>
          <w:p w14:paraId="5C0BB2D3">
            <w:pPr>
              <w:pStyle w:val="687"/>
            </w:pPr>
            <w:r>
              <w:t>1</w:t>
            </w:r>
          </w:p>
        </w:tc>
        <w:tc>
          <w:tcPr>
            <w:tcW w:w="1752" w:type="dxa"/>
            <w:vMerge w:val="restart"/>
            <w:vAlign w:val="center"/>
          </w:tcPr>
          <w:p w14:paraId="47D8348D">
            <w:pPr>
              <w:pStyle w:val="687"/>
            </w:pPr>
            <w:r>
              <w:t>水套加热炉燃烧废气</w:t>
            </w:r>
          </w:p>
        </w:tc>
        <w:tc>
          <w:tcPr>
            <w:tcW w:w="1302" w:type="dxa"/>
            <w:vAlign w:val="center"/>
          </w:tcPr>
          <w:p w14:paraId="4C64CE47">
            <w:pPr>
              <w:pStyle w:val="687"/>
            </w:pPr>
            <w:r>
              <w:t>NOx</w:t>
            </w:r>
          </w:p>
        </w:tc>
        <w:tc>
          <w:tcPr>
            <w:tcW w:w="1302" w:type="dxa"/>
            <w:vAlign w:val="center"/>
          </w:tcPr>
          <w:p w14:paraId="524A5774">
            <w:pPr>
              <w:pStyle w:val="687"/>
            </w:pPr>
            <w:r>
              <w:rPr>
                <w:snapToGrid w:val="0"/>
              </w:rPr>
              <w:t>9.2×10</w:t>
            </w:r>
            <w:r>
              <w:rPr>
                <w:snapToGrid w:val="0"/>
                <w:vertAlign w:val="superscript"/>
              </w:rPr>
              <w:t>-3</w:t>
            </w:r>
            <w:r>
              <w:t>t/a</w:t>
            </w:r>
          </w:p>
        </w:tc>
        <w:tc>
          <w:tcPr>
            <w:tcW w:w="2602" w:type="dxa"/>
            <w:vMerge w:val="restart"/>
            <w:vAlign w:val="center"/>
          </w:tcPr>
          <w:p w14:paraId="0909D8EE">
            <w:pPr>
              <w:pStyle w:val="687"/>
            </w:pPr>
            <w:r>
              <w:t>通过8m高排气筒有组织排放</w:t>
            </w:r>
          </w:p>
        </w:tc>
        <w:tc>
          <w:tcPr>
            <w:tcW w:w="1241" w:type="dxa"/>
            <w:vAlign w:val="center"/>
          </w:tcPr>
          <w:p w14:paraId="59D3E97E">
            <w:pPr>
              <w:pStyle w:val="687"/>
            </w:pPr>
            <w:r>
              <w:rPr>
                <w:snapToGrid w:val="0"/>
              </w:rPr>
              <w:t>9.2×10</w:t>
            </w:r>
            <w:r>
              <w:rPr>
                <w:snapToGrid w:val="0"/>
                <w:vertAlign w:val="superscript"/>
              </w:rPr>
              <w:t>-3</w:t>
            </w:r>
            <w:r>
              <w:t>t/a</w:t>
            </w:r>
          </w:p>
        </w:tc>
      </w:tr>
      <w:tr w14:paraId="768D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587" w:type="dxa"/>
            <w:vMerge w:val="continue"/>
            <w:vAlign w:val="center"/>
          </w:tcPr>
          <w:p w14:paraId="7DF3ABC5">
            <w:pPr>
              <w:pStyle w:val="687"/>
            </w:pPr>
          </w:p>
        </w:tc>
        <w:tc>
          <w:tcPr>
            <w:tcW w:w="1752" w:type="dxa"/>
            <w:vMerge w:val="continue"/>
            <w:vAlign w:val="center"/>
          </w:tcPr>
          <w:p w14:paraId="0811AE37">
            <w:pPr>
              <w:pStyle w:val="687"/>
            </w:pPr>
          </w:p>
        </w:tc>
        <w:tc>
          <w:tcPr>
            <w:tcW w:w="1302" w:type="dxa"/>
            <w:vAlign w:val="center"/>
          </w:tcPr>
          <w:p w14:paraId="29551B05">
            <w:pPr>
              <w:pStyle w:val="687"/>
            </w:pPr>
            <w:r>
              <w:t>颗粒物</w:t>
            </w:r>
          </w:p>
        </w:tc>
        <w:tc>
          <w:tcPr>
            <w:tcW w:w="1302" w:type="dxa"/>
            <w:vAlign w:val="center"/>
          </w:tcPr>
          <w:p w14:paraId="40FA5AA5">
            <w:pPr>
              <w:pStyle w:val="687"/>
            </w:pPr>
            <w:r>
              <w:rPr>
                <w:snapToGrid w:val="0"/>
              </w:rPr>
              <w:t>7.3×10</w:t>
            </w:r>
            <w:r>
              <w:rPr>
                <w:snapToGrid w:val="0"/>
                <w:vertAlign w:val="superscript"/>
              </w:rPr>
              <w:t>-3</w:t>
            </w:r>
            <w:r>
              <w:t>t/a</w:t>
            </w:r>
          </w:p>
        </w:tc>
        <w:tc>
          <w:tcPr>
            <w:tcW w:w="2602" w:type="dxa"/>
            <w:vMerge w:val="continue"/>
            <w:vAlign w:val="center"/>
          </w:tcPr>
          <w:p w14:paraId="5F743EE3">
            <w:pPr>
              <w:pStyle w:val="687"/>
            </w:pPr>
          </w:p>
        </w:tc>
        <w:tc>
          <w:tcPr>
            <w:tcW w:w="1241" w:type="dxa"/>
            <w:vAlign w:val="center"/>
          </w:tcPr>
          <w:p w14:paraId="099D673B">
            <w:pPr>
              <w:pStyle w:val="687"/>
            </w:pPr>
            <w:r>
              <w:rPr>
                <w:snapToGrid w:val="0"/>
              </w:rPr>
              <w:t>7.3×10</w:t>
            </w:r>
            <w:r>
              <w:rPr>
                <w:snapToGrid w:val="0"/>
                <w:vertAlign w:val="superscript"/>
              </w:rPr>
              <w:t>-3</w:t>
            </w:r>
            <w:r>
              <w:t>t/a</w:t>
            </w:r>
          </w:p>
        </w:tc>
      </w:tr>
      <w:tr w14:paraId="4DED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587" w:type="dxa"/>
            <w:vAlign w:val="center"/>
          </w:tcPr>
          <w:p w14:paraId="3E6205DA">
            <w:pPr>
              <w:pStyle w:val="687"/>
            </w:pPr>
            <w:r>
              <w:t>2</w:t>
            </w:r>
          </w:p>
        </w:tc>
        <w:tc>
          <w:tcPr>
            <w:tcW w:w="1752" w:type="dxa"/>
            <w:vAlign w:val="center"/>
          </w:tcPr>
          <w:p w14:paraId="51875908">
            <w:pPr>
              <w:pStyle w:val="687"/>
            </w:pPr>
            <w:r>
              <w:rPr>
                <w:rFonts w:hint="eastAsia"/>
              </w:rPr>
              <w:t>凝析油储罐呼吸废气</w:t>
            </w:r>
          </w:p>
        </w:tc>
        <w:tc>
          <w:tcPr>
            <w:tcW w:w="1302" w:type="dxa"/>
            <w:vAlign w:val="center"/>
          </w:tcPr>
          <w:p w14:paraId="506F63C5">
            <w:pPr>
              <w:pStyle w:val="687"/>
            </w:pPr>
            <w:r>
              <w:rPr>
                <w:rFonts w:hint="eastAsia"/>
              </w:rPr>
              <w:t>N</w:t>
            </w:r>
            <w:r>
              <w:t>MHC</w:t>
            </w:r>
          </w:p>
        </w:tc>
        <w:tc>
          <w:tcPr>
            <w:tcW w:w="1302" w:type="dxa"/>
            <w:vAlign w:val="center"/>
          </w:tcPr>
          <w:p w14:paraId="5C534A91">
            <w:pPr>
              <w:pStyle w:val="687"/>
            </w:pPr>
            <w:r>
              <w:t>0.152t/a</w:t>
            </w:r>
          </w:p>
        </w:tc>
        <w:tc>
          <w:tcPr>
            <w:tcW w:w="2602" w:type="dxa"/>
            <w:vAlign w:val="center"/>
          </w:tcPr>
          <w:p w14:paraId="026079E4">
            <w:pPr>
              <w:pStyle w:val="687"/>
            </w:pPr>
            <w:r>
              <w:rPr>
                <w:rFonts w:hint="eastAsia"/>
              </w:rPr>
              <w:t>通过管道输送至放空立管燃烧排放</w:t>
            </w:r>
          </w:p>
        </w:tc>
        <w:tc>
          <w:tcPr>
            <w:tcW w:w="1241" w:type="dxa"/>
            <w:vAlign w:val="center"/>
          </w:tcPr>
          <w:p w14:paraId="4A30D1CE">
            <w:pPr>
              <w:pStyle w:val="687"/>
            </w:pPr>
            <w:r>
              <w:rPr>
                <w:rFonts w:hint="eastAsia"/>
              </w:rPr>
              <w:t>少量CO</w:t>
            </w:r>
            <w:r>
              <w:rPr>
                <w:rFonts w:hint="eastAsia"/>
                <w:vertAlign w:val="subscript"/>
              </w:rPr>
              <w:t>2</w:t>
            </w:r>
            <w:r>
              <w:rPr>
                <w:rFonts w:hint="eastAsia"/>
              </w:rPr>
              <w:t>和H</w:t>
            </w:r>
            <w:r>
              <w:rPr>
                <w:rFonts w:hint="eastAsia"/>
                <w:vertAlign w:val="subscript"/>
              </w:rPr>
              <w:t>2</w:t>
            </w:r>
            <w:r>
              <w:rPr>
                <w:rFonts w:hint="eastAsia"/>
              </w:rPr>
              <w:t>O</w:t>
            </w:r>
          </w:p>
        </w:tc>
      </w:tr>
      <w:tr w14:paraId="286A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587" w:type="dxa"/>
            <w:vAlign w:val="center"/>
          </w:tcPr>
          <w:p w14:paraId="31DCDC4F">
            <w:pPr>
              <w:pStyle w:val="687"/>
            </w:pPr>
            <w:r>
              <w:rPr>
                <w:rFonts w:hint="eastAsia"/>
              </w:rPr>
              <w:t>3</w:t>
            </w:r>
          </w:p>
        </w:tc>
        <w:tc>
          <w:tcPr>
            <w:tcW w:w="1752" w:type="dxa"/>
            <w:vAlign w:val="center"/>
          </w:tcPr>
          <w:p w14:paraId="00FC805F">
            <w:pPr>
              <w:pStyle w:val="687"/>
            </w:pPr>
            <w:r>
              <w:rPr>
                <w:rFonts w:hint="eastAsia"/>
              </w:rPr>
              <w:t>设备阀门无组织逸散废气</w:t>
            </w:r>
          </w:p>
        </w:tc>
        <w:tc>
          <w:tcPr>
            <w:tcW w:w="1302" w:type="dxa"/>
            <w:vAlign w:val="center"/>
          </w:tcPr>
          <w:p w14:paraId="71D55C6E">
            <w:pPr>
              <w:pStyle w:val="687"/>
            </w:pPr>
            <w:r>
              <w:rPr>
                <w:rFonts w:hint="eastAsia"/>
              </w:rPr>
              <w:t>N</w:t>
            </w:r>
            <w:r>
              <w:t>MHC</w:t>
            </w:r>
          </w:p>
        </w:tc>
        <w:tc>
          <w:tcPr>
            <w:tcW w:w="1302" w:type="dxa"/>
            <w:vAlign w:val="center"/>
          </w:tcPr>
          <w:p w14:paraId="2147D057">
            <w:pPr>
              <w:pStyle w:val="687"/>
            </w:pPr>
            <w:r>
              <w:rPr>
                <w:szCs w:val="22"/>
              </w:rPr>
              <w:t>0.051</w:t>
            </w:r>
            <w:r>
              <w:t>t/a</w:t>
            </w:r>
          </w:p>
        </w:tc>
        <w:tc>
          <w:tcPr>
            <w:tcW w:w="2602" w:type="dxa"/>
            <w:vAlign w:val="center"/>
          </w:tcPr>
          <w:p w14:paraId="5B1059AB">
            <w:pPr>
              <w:pStyle w:val="687"/>
            </w:pPr>
            <w:r>
              <w:rPr>
                <w:rFonts w:hint="eastAsia"/>
              </w:rPr>
              <w:t>加强密闭，加强管理，废气自然扩散</w:t>
            </w:r>
          </w:p>
        </w:tc>
        <w:tc>
          <w:tcPr>
            <w:tcW w:w="1241" w:type="dxa"/>
            <w:vAlign w:val="center"/>
          </w:tcPr>
          <w:p w14:paraId="1D4CDA94">
            <w:pPr>
              <w:pStyle w:val="687"/>
            </w:pPr>
            <w:r>
              <w:rPr>
                <w:szCs w:val="22"/>
              </w:rPr>
              <w:t>0.051</w:t>
            </w:r>
            <w:r>
              <w:t>t/a</w:t>
            </w:r>
          </w:p>
        </w:tc>
      </w:tr>
      <w:tr w14:paraId="27BD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587" w:type="dxa"/>
            <w:vAlign w:val="center"/>
          </w:tcPr>
          <w:p w14:paraId="081AC714">
            <w:pPr>
              <w:pStyle w:val="687"/>
            </w:pPr>
            <w:r>
              <w:t>4</w:t>
            </w:r>
          </w:p>
        </w:tc>
        <w:tc>
          <w:tcPr>
            <w:tcW w:w="1752" w:type="dxa"/>
            <w:vAlign w:val="center"/>
          </w:tcPr>
          <w:p w14:paraId="065405D6">
            <w:pPr>
              <w:pStyle w:val="687"/>
            </w:pPr>
            <w:r>
              <w:t>检修、事故废气</w:t>
            </w:r>
          </w:p>
        </w:tc>
        <w:tc>
          <w:tcPr>
            <w:tcW w:w="1302" w:type="dxa"/>
            <w:vAlign w:val="center"/>
          </w:tcPr>
          <w:p w14:paraId="6070A5BA">
            <w:pPr>
              <w:pStyle w:val="687"/>
            </w:pPr>
            <w:r>
              <w:rPr>
                <w:rFonts w:hint="eastAsia"/>
              </w:rPr>
              <w:t>N</w:t>
            </w:r>
            <w:r>
              <w:t>MHC</w:t>
            </w:r>
          </w:p>
        </w:tc>
        <w:tc>
          <w:tcPr>
            <w:tcW w:w="1302" w:type="dxa"/>
            <w:vAlign w:val="center"/>
          </w:tcPr>
          <w:p w14:paraId="5C92B93E">
            <w:pPr>
              <w:pStyle w:val="687"/>
            </w:pPr>
            <w:r>
              <w:rPr>
                <w:rFonts w:hint="eastAsia"/>
              </w:rPr>
              <w:t>少量</w:t>
            </w:r>
          </w:p>
        </w:tc>
        <w:tc>
          <w:tcPr>
            <w:tcW w:w="2602" w:type="dxa"/>
            <w:vAlign w:val="center"/>
          </w:tcPr>
          <w:p w14:paraId="03D97637">
            <w:pPr>
              <w:pStyle w:val="687"/>
            </w:pPr>
            <w:r>
              <w:t>15m高放空管</w:t>
            </w:r>
            <w:r>
              <w:rPr>
                <w:rFonts w:hint="eastAsia"/>
              </w:rPr>
              <w:t>燃烧排放</w:t>
            </w:r>
          </w:p>
        </w:tc>
        <w:tc>
          <w:tcPr>
            <w:tcW w:w="1241" w:type="dxa"/>
            <w:vAlign w:val="center"/>
          </w:tcPr>
          <w:p w14:paraId="4898C4AB">
            <w:pPr>
              <w:pStyle w:val="687"/>
            </w:pPr>
            <w:r>
              <w:rPr>
                <w:rFonts w:hint="eastAsia"/>
              </w:rPr>
              <w:t>少量NOx和颗粒物</w:t>
            </w:r>
          </w:p>
        </w:tc>
      </w:tr>
    </w:tbl>
    <w:p w14:paraId="30A8407C">
      <w:pPr>
        <w:pStyle w:val="1379"/>
        <w:ind w:firstLine="440"/>
      </w:pPr>
    </w:p>
    <w:p w14:paraId="41BE93B0">
      <w:pPr>
        <w:snapToGrid w:val="0"/>
        <w:spacing w:line="480" w:lineRule="exact"/>
        <w:ind w:firstLine="520" w:firstLineChars="200"/>
        <w:rPr>
          <w:sz w:val="26"/>
          <w:szCs w:val="26"/>
        </w:rPr>
      </w:pPr>
      <w:r>
        <w:rPr>
          <w:rFonts w:hint="eastAsia"/>
          <w:sz w:val="26"/>
          <w:szCs w:val="26"/>
        </w:rPr>
        <w:t>（3）噪声</w:t>
      </w:r>
    </w:p>
    <w:p w14:paraId="47349B15">
      <w:pPr>
        <w:adjustRightInd w:val="0"/>
        <w:snapToGrid w:val="0"/>
        <w:spacing w:line="460" w:lineRule="exact"/>
        <w:ind w:firstLine="520" w:firstLineChars="200"/>
        <w:rPr>
          <w:sz w:val="26"/>
          <w:szCs w:val="26"/>
        </w:rPr>
      </w:pPr>
      <w:r>
        <w:rPr>
          <w:bCs/>
          <w:sz w:val="26"/>
          <w:szCs w:val="26"/>
        </w:rPr>
        <w:t>本项目正常工况下主要噪声源为站场的设备运行噪声</w:t>
      </w:r>
      <w:r>
        <w:rPr>
          <w:rFonts w:hint="eastAsia"/>
          <w:bCs/>
          <w:sz w:val="26"/>
          <w:szCs w:val="26"/>
        </w:rPr>
        <w:t>，站场检修或事故时，放空区将产生放空噪声，其噪声值一般约为</w:t>
      </w:r>
      <w:r>
        <w:rPr>
          <w:bCs/>
          <w:sz w:val="26"/>
          <w:szCs w:val="26"/>
        </w:rPr>
        <w:t>100~110dB(A)</w:t>
      </w:r>
      <w:r>
        <w:rPr>
          <w:rFonts w:hint="eastAsia"/>
          <w:bCs/>
          <w:sz w:val="26"/>
          <w:szCs w:val="26"/>
        </w:rPr>
        <w:t>，但每次持续时间较短。本项目</w:t>
      </w:r>
      <w:r>
        <w:rPr>
          <w:sz w:val="26"/>
          <w:szCs w:val="26"/>
        </w:rPr>
        <w:t>主要设备噪声源强见</w:t>
      </w:r>
      <w:r>
        <w:rPr>
          <w:sz w:val="26"/>
          <w:szCs w:val="26"/>
          <w:u w:val="single"/>
        </w:rPr>
        <w:t>表3.2-9</w:t>
      </w:r>
      <w:r>
        <w:rPr>
          <w:sz w:val="26"/>
          <w:szCs w:val="26"/>
        </w:rPr>
        <w:t>。</w:t>
      </w:r>
    </w:p>
    <w:p w14:paraId="482E4DCB">
      <w:pPr>
        <w:pStyle w:val="1379"/>
        <w:ind w:firstLine="440"/>
      </w:pPr>
    </w:p>
    <w:p w14:paraId="55D4C3D7">
      <w:pPr>
        <w:pStyle w:val="1065"/>
      </w:pPr>
      <w:r>
        <w:rPr>
          <w:bCs/>
        </w:rPr>
        <w:t xml:space="preserve">表3.2-9   </w:t>
      </w:r>
      <w:r>
        <w:rPr>
          <w:rFonts w:hint="eastAsia"/>
          <w:bCs/>
        </w:rPr>
        <w:t>试采站主要噪声源及声值</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577"/>
        <w:gridCol w:w="2216"/>
        <w:gridCol w:w="1042"/>
        <w:gridCol w:w="1891"/>
        <w:gridCol w:w="1513"/>
        <w:gridCol w:w="1513"/>
      </w:tblGrid>
      <w:tr w14:paraId="705C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330" w:type="pct"/>
            <w:vAlign w:val="center"/>
          </w:tcPr>
          <w:p w14:paraId="6EF79641">
            <w:pPr>
              <w:pStyle w:val="687"/>
            </w:pPr>
            <w:r>
              <w:t>序号</w:t>
            </w:r>
          </w:p>
        </w:tc>
        <w:tc>
          <w:tcPr>
            <w:tcW w:w="1266" w:type="pct"/>
            <w:vAlign w:val="center"/>
          </w:tcPr>
          <w:p w14:paraId="2B4C40EA">
            <w:pPr>
              <w:pStyle w:val="687"/>
            </w:pPr>
            <w:r>
              <w:t>主要噪声设备</w:t>
            </w:r>
          </w:p>
        </w:tc>
        <w:tc>
          <w:tcPr>
            <w:tcW w:w="595" w:type="pct"/>
            <w:vAlign w:val="center"/>
          </w:tcPr>
          <w:p w14:paraId="2534665D">
            <w:pPr>
              <w:pStyle w:val="687"/>
            </w:pPr>
            <w:r>
              <w:rPr>
                <w:rFonts w:hint="eastAsia"/>
              </w:rPr>
              <w:t>声源源强</w:t>
            </w:r>
            <w:r>
              <w:t>(dB(A))</w:t>
            </w:r>
          </w:p>
        </w:tc>
        <w:tc>
          <w:tcPr>
            <w:tcW w:w="1080" w:type="pct"/>
            <w:vAlign w:val="center"/>
          </w:tcPr>
          <w:p w14:paraId="6647C09F">
            <w:pPr>
              <w:pStyle w:val="687"/>
            </w:pPr>
            <w:r>
              <w:t>声源控制措施</w:t>
            </w:r>
          </w:p>
        </w:tc>
        <w:tc>
          <w:tcPr>
            <w:tcW w:w="864" w:type="pct"/>
            <w:vAlign w:val="center"/>
          </w:tcPr>
          <w:p w14:paraId="7C26E955">
            <w:pPr>
              <w:pStyle w:val="687"/>
            </w:pPr>
            <w:r>
              <w:rPr>
                <w:rFonts w:hint="eastAsia"/>
              </w:rPr>
              <w:t>治理后源强</w:t>
            </w:r>
            <w:r>
              <w:t>(dB(A))</w:t>
            </w:r>
          </w:p>
        </w:tc>
        <w:tc>
          <w:tcPr>
            <w:tcW w:w="864" w:type="pct"/>
            <w:vAlign w:val="center"/>
          </w:tcPr>
          <w:p w14:paraId="69B56E7F">
            <w:pPr>
              <w:pStyle w:val="687"/>
            </w:pPr>
            <w:r>
              <w:t>运行时段</w:t>
            </w:r>
          </w:p>
        </w:tc>
      </w:tr>
      <w:tr w14:paraId="6148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330" w:type="pct"/>
            <w:vAlign w:val="center"/>
          </w:tcPr>
          <w:p w14:paraId="3A65437A">
            <w:pPr>
              <w:pStyle w:val="687"/>
            </w:pPr>
            <w:r>
              <w:t>1</w:t>
            </w:r>
          </w:p>
        </w:tc>
        <w:tc>
          <w:tcPr>
            <w:tcW w:w="1266" w:type="pct"/>
            <w:vAlign w:val="center"/>
          </w:tcPr>
          <w:p w14:paraId="59DA721D">
            <w:pPr>
              <w:pStyle w:val="687"/>
            </w:pPr>
            <w:r>
              <w:rPr>
                <w:rFonts w:hint="eastAsia"/>
              </w:rPr>
              <w:t>水套加热炉</w:t>
            </w:r>
          </w:p>
        </w:tc>
        <w:tc>
          <w:tcPr>
            <w:tcW w:w="595" w:type="pct"/>
            <w:vAlign w:val="center"/>
          </w:tcPr>
          <w:p w14:paraId="58DF2E57">
            <w:pPr>
              <w:pStyle w:val="687"/>
            </w:pPr>
            <w:r>
              <w:rPr>
                <w:rFonts w:hint="eastAsia"/>
              </w:rPr>
              <w:t>6</w:t>
            </w:r>
            <w:r>
              <w:t>0</w:t>
            </w:r>
          </w:p>
        </w:tc>
        <w:tc>
          <w:tcPr>
            <w:tcW w:w="1080" w:type="pct"/>
            <w:vMerge w:val="restart"/>
            <w:vAlign w:val="center"/>
          </w:tcPr>
          <w:p w14:paraId="0501A37D">
            <w:pPr>
              <w:pStyle w:val="687"/>
            </w:pPr>
            <w:r>
              <w:rPr>
                <w:rFonts w:hint="eastAsia"/>
              </w:rPr>
              <w:t>选用低噪声设备，合理布局，基础减震，控制气流速度；脱水压缩撬安装隔声罩（双层隔声板+高密度吸音棉+密封设计）</w:t>
            </w:r>
          </w:p>
        </w:tc>
        <w:tc>
          <w:tcPr>
            <w:tcW w:w="864" w:type="pct"/>
            <w:vAlign w:val="center"/>
          </w:tcPr>
          <w:p w14:paraId="505A3957">
            <w:pPr>
              <w:pStyle w:val="687"/>
            </w:pPr>
            <w:r>
              <w:t>55</w:t>
            </w:r>
          </w:p>
        </w:tc>
        <w:tc>
          <w:tcPr>
            <w:tcW w:w="864" w:type="pct"/>
            <w:vMerge w:val="restart"/>
            <w:vAlign w:val="center"/>
          </w:tcPr>
          <w:p w14:paraId="2AE9AAC2">
            <w:pPr>
              <w:pStyle w:val="687"/>
            </w:pPr>
            <w:r>
              <w:t>连续噪声</w:t>
            </w:r>
          </w:p>
        </w:tc>
      </w:tr>
      <w:tr w14:paraId="6A0F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330" w:type="pct"/>
            <w:vAlign w:val="center"/>
          </w:tcPr>
          <w:p w14:paraId="39FE4600">
            <w:pPr>
              <w:pStyle w:val="687"/>
            </w:pPr>
            <w:r>
              <w:rPr>
                <w:rFonts w:hint="eastAsia"/>
              </w:rPr>
              <w:t>2</w:t>
            </w:r>
          </w:p>
        </w:tc>
        <w:tc>
          <w:tcPr>
            <w:tcW w:w="1266" w:type="pct"/>
            <w:vAlign w:val="center"/>
          </w:tcPr>
          <w:p w14:paraId="6AD02E36">
            <w:pPr>
              <w:pStyle w:val="687"/>
            </w:pPr>
            <w:r>
              <w:rPr>
                <w:rFonts w:hint="eastAsia"/>
                <w:szCs w:val="21"/>
              </w:rPr>
              <w:t>三相分离器</w:t>
            </w:r>
            <w:r>
              <w:rPr>
                <w:szCs w:val="21"/>
              </w:rPr>
              <w:t>橇</w:t>
            </w:r>
          </w:p>
        </w:tc>
        <w:tc>
          <w:tcPr>
            <w:tcW w:w="595" w:type="pct"/>
            <w:vAlign w:val="center"/>
          </w:tcPr>
          <w:p w14:paraId="06A07575">
            <w:pPr>
              <w:pStyle w:val="687"/>
            </w:pPr>
            <w:r>
              <w:rPr>
                <w:rFonts w:hint="eastAsia"/>
              </w:rPr>
              <w:t>6</w:t>
            </w:r>
            <w:r>
              <w:t>5</w:t>
            </w:r>
          </w:p>
        </w:tc>
        <w:tc>
          <w:tcPr>
            <w:tcW w:w="1080" w:type="pct"/>
            <w:vMerge w:val="continue"/>
            <w:vAlign w:val="center"/>
          </w:tcPr>
          <w:p w14:paraId="54C6BE2D">
            <w:pPr>
              <w:pStyle w:val="687"/>
            </w:pPr>
          </w:p>
        </w:tc>
        <w:tc>
          <w:tcPr>
            <w:tcW w:w="864" w:type="pct"/>
            <w:vAlign w:val="center"/>
          </w:tcPr>
          <w:p w14:paraId="0499254C">
            <w:pPr>
              <w:pStyle w:val="687"/>
            </w:pPr>
            <w:r>
              <w:t>60</w:t>
            </w:r>
          </w:p>
        </w:tc>
        <w:tc>
          <w:tcPr>
            <w:tcW w:w="864" w:type="pct"/>
            <w:vMerge w:val="continue"/>
            <w:vAlign w:val="center"/>
          </w:tcPr>
          <w:p w14:paraId="677AB8C9">
            <w:pPr>
              <w:pStyle w:val="687"/>
            </w:pPr>
          </w:p>
        </w:tc>
      </w:tr>
      <w:tr w14:paraId="59FC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330" w:type="pct"/>
            <w:vAlign w:val="center"/>
          </w:tcPr>
          <w:p w14:paraId="7D5907BE">
            <w:pPr>
              <w:pStyle w:val="687"/>
            </w:pPr>
            <w:r>
              <w:rPr>
                <w:rFonts w:hint="eastAsia"/>
              </w:rPr>
              <w:t>3</w:t>
            </w:r>
          </w:p>
        </w:tc>
        <w:tc>
          <w:tcPr>
            <w:tcW w:w="1266" w:type="pct"/>
            <w:vAlign w:val="center"/>
          </w:tcPr>
          <w:p w14:paraId="5B8B0A85">
            <w:pPr>
              <w:pStyle w:val="687"/>
            </w:pPr>
            <w:r>
              <w:rPr>
                <w:rFonts w:hint="eastAsia"/>
                <w:szCs w:val="21"/>
              </w:rPr>
              <w:t>聚结过滤分离器橇</w:t>
            </w:r>
          </w:p>
        </w:tc>
        <w:tc>
          <w:tcPr>
            <w:tcW w:w="595" w:type="pct"/>
            <w:vAlign w:val="center"/>
          </w:tcPr>
          <w:p w14:paraId="72505BA8">
            <w:pPr>
              <w:pStyle w:val="687"/>
            </w:pPr>
            <w:r>
              <w:rPr>
                <w:rFonts w:hint="eastAsia"/>
              </w:rPr>
              <w:t>6</w:t>
            </w:r>
            <w:r>
              <w:t>5</w:t>
            </w:r>
          </w:p>
        </w:tc>
        <w:tc>
          <w:tcPr>
            <w:tcW w:w="1080" w:type="pct"/>
            <w:vMerge w:val="continue"/>
            <w:vAlign w:val="center"/>
          </w:tcPr>
          <w:p w14:paraId="0FD921A3">
            <w:pPr>
              <w:pStyle w:val="687"/>
            </w:pPr>
          </w:p>
        </w:tc>
        <w:tc>
          <w:tcPr>
            <w:tcW w:w="864" w:type="pct"/>
            <w:vAlign w:val="center"/>
          </w:tcPr>
          <w:p w14:paraId="4E9E3C18">
            <w:pPr>
              <w:pStyle w:val="687"/>
            </w:pPr>
            <w:r>
              <w:t>60</w:t>
            </w:r>
          </w:p>
        </w:tc>
        <w:tc>
          <w:tcPr>
            <w:tcW w:w="864" w:type="pct"/>
            <w:vMerge w:val="continue"/>
            <w:vAlign w:val="center"/>
          </w:tcPr>
          <w:p w14:paraId="17EC2962">
            <w:pPr>
              <w:pStyle w:val="687"/>
            </w:pPr>
          </w:p>
        </w:tc>
      </w:tr>
      <w:tr w14:paraId="5C55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330" w:type="pct"/>
            <w:vAlign w:val="center"/>
          </w:tcPr>
          <w:p w14:paraId="3F1B10CA">
            <w:pPr>
              <w:pStyle w:val="687"/>
            </w:pPr>
            <w:r>
              <w:rPr>
                <w:rFonts w:hint="eastAsia"/>
              </w:rPr>
              <w:t>4</w:t>
            </w:r>
          </w:p>
        </w:tc>
        <w:tc>
          <w:tcPr>
            <w:tcW w:w="1266" w:type="pct"/>
            <w:vAlign w:val="center"/>
          </w:tcPr>
          <w:p w14:paraId="0C5FF7B1">
            <w:pPr>
              <w:pStyle w:val="687"/>
            </w:pPr>
            <w:r>
              <w:rPr>
                <w:rFonts w:hint="eastAsia"/>
                <w:szCs w:val="21"/>
              </w:rPr>
              <w:t>闪蒸三相分离器橇</w:t>
            </w:r>
          </w:p>
        </w:tc>
        <w:tc>
          <w:tcPr>
            <w:tcW w:w="595" w:type="pct"/>
            <w:vAlign w:val="center"/>
          </w:tcPr>
          <w:p w14:paraId="539BD6A0">
            <w:pPr>
              <w:pStyle w:val="687"/>
            </w:pPr>
            <w:r>
              <w:rPr>
                <w:rFonts w:hint="eastAsia"/>
              </w:rPr>
              <w:t>6</w:t>
            </w:r>
            <w:r>
              <w:t>5</w:t>
            </w:r>
          </w:p>
        </w:tc>
        <w:tc>
          <w:tcPr>
            <w:tcW w:w="1080" w:type="pct"/>
            <w:vMerge w:val="continue"/>
            <w:vAlign w:val="center"/>
          </w:tcPr>
          <w:p w14:paraId="1C859BEF">
            <w:pPr>
              <w:pStyle w:val="687"/>
            </w:pPr>
          </w:p>
        </w:tc>
        <w:tc>
          <w:tcPr>
            <w:tcW w:w="864" w:type="pct"/>
            <w:vAlign w:val="center"/>
          </w:tcPr>
          <w:p w14:paraId="31CA5A0A">
            <w:pPr>
              <w:pStyle w:val="687"/>
            </w:pPr>
            <w:r>
              <w:t>60</w:t>
            </w:r>
          </w:p>
        </w:tc>
        <w:tc>
          <w:tcPr>
            <w:tcW w:w="864" w:type="pct"/>
            <w:vMerge w:val="continue"/>
            <w:vAlign w:val="center"/>
          </w:tcPr>
          <w:p w14:paraId="4CBBD134">
            <w:pPr>
              <w:pStyle w:val="687"/>
            </w:pPr>
          </w:p>
        </w:tc>
      </w:tr>
      <w:tr w14:paraId="78F2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330" w:type="pct"/>
            <w:vAlign w:val="center"/>
          </w:tcPr>
          <w:p w14:paraId="580CB864">
            <w:pPr>
              <w:pStyle w:val="687"/>
            </w:pPr>
            <w:r>
              <w:rPr>
                <w:rFonts w:hint="eastAsia"/>
              </w:rPr>
              <w:t>5</w:t>
            </w:r>
          </w:p>
        </w:tc>
        <w:tc>
          <w:tcPr>
            <w:tcW w:w="1266" w:type="pct"/>
            <w:vAlign w:val="center"/>
          </w:tcPr>
          <w:p w14:paraId="7B0ABE6C">
            <w:pPr>
              <w:pStyle w:val="687"/>
            </w:pPr>
            <w:r>
              <w:rPr>
                <w:rFonts w:hint="eastAsia"/>
                <w:szCs w:val="21"/>
              </w:rPr>
              <w:t>凝析油装车泵橇</w:t>
            </w:r>
          </w:p>
        </w:tc>
        <w:tc>
          <w:tcPr>
            <w:tcW w:w="595" w:type="pct"/>
            <w:vAlign w:val="center"/>
          </w:tcPr>
          <w:p w14:paraId="7298164F">
            <w:pPr>
              <w:pStyle w:val="687"/>
            </w:pPr>
            <w:r>
              <w:rPr>
                <w:rFonts w:hint="eastAsia"/>
              </w:rPr>
              <w:t>6</w:t>
            </w:r>
            <w:r>
              <w:t>8</w:t>
            </w:r>
          </w:p>
        </w:tc>
        <w:tc>
          <w:tcPr>
            <w:tcW w:w="1080" w:type="pct"/>
            <w:vMerge w:val="continue"/>
            <w:vAlign w:val="center"/>
          </w:tcPr>
          <w:p w14:paraId="4F9CC5C4">
            <w:pPr>
              <w:pStyle w:val="687"/>
            </w:pPr>
          </w:p>
        </w:tc>
        <w:tc>
          <w:tcPr>
            <w:tcW w:w="864" w:type="pct"/>
            <w:vAlign w:val="center"/>
          </w:tcPr>
          <w:p w14:paraId="30966CE2">
            <w:pPr>
              <w:pStyle w:val="687"/>
            </w:pPr>
            <w:r>
              <w:rPr>
                <w:rFonts w:hint="eastAsia"/>
              </w:rPr>
              <w:t>6</w:t>
            </w:r>
            <w:r>
              <w:t>3</w:t>
            </w:r>
          </w:p>
        </w:tc>
        <w:tc>
          <w:tcPr>
            <w:tcW w:w="864" w:type="pct"/>
            <w:vMerge w:val="continue"/>
            <w:vAlign w:val="center"/>
          </w:tcPr>
          <w:p w14:paraId="4C5BCDCA">
            <w:pPr>
              <w:pStyle w:val="687"/>
            </w:pPr>
          </w:p>
        </w:tc>
      </w:tr>
      <w:tr w14:paraId="1FEE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330" w:type="pct"/>
            <w:vAlign w:val="center"/>
          </w:tcPr>
          <w:p w14:paraId="0D05FD0C">
            <w:pPr>
              <w:pStyle w:val="687"/>
            </w:pPr>
            <w:r>
              <w:rPr>
                <w:rFonts w:hint="eastAsia"/>
              </w:rPr>
              <w:t>6</w:t>
            </w:r>
          </w:p>
        </w:tc>
        <w:tc>
          <w:tcPr>
            <w:tcW w:w="1266" w:type="pct"/>
            <w:vAlign w:val="center"/>
          </w:tcPr>
          <w:p w14:paraId="39C97007">
            <w:pPr>
              <w:pStyle w:val="687"/>
            </w:pPr>
            <w:r>
              <w:rPr>
                <w:rFonts w:hint="eastAsia"/>
              </w:rPr>
              <w:t>脱水压缩撬</w:t>
            </w:r>
          </w:p>
        </w:tc>
        <w:tc>
          <w:tcPr>
            <w:tcW w:w="595" w:type="pct"/>
            <w:vAlign w:val="center"/>
          </w:tcPr>
          <w:p w14:paraId="7E038B51">
            <w:pPr>
              <w:pStyle w:val="687"/>
            </w:pPr>
            <w:r>
              <w:rPr>
                <w:rFonts w:hint="eastAsia"/>
              </w:rPr>
              <w:t>9</w:t>
            </w:r>
            <w:r>
              <w:t>0</w:t>
            </w:r>
          </w:p>
        </w:tc>
        <w:tc>
          <w:tcPr>
            <w:tcW w:w="1080" w:type="pct"/>
            <w:vMerge w:val="continue"/>
            <w:vAlign w:val="center"/>
          </w:tcPr>
          <w:p w14:paraId="6904A2B3">
            <w:pPr>
              <w:pStyle w:val="687"/>
            </w:pPr>
          </w:p>
        </w:tc>
        <w:tc>
          <w:tcPr>
            <w:tcW w:w="864" w:type="pct"/>
            <w:vAlign w:val="center"/>
          </w:tcPr>
          <w:p w14:paraId="30FC63CE">
            <w:pPr>
              <w:pStyle w:val="687"/>
            </w:pPr>
            <w:r>
              <w:rPr>
                <w:rFonts w:hint="eastAsia"/>
              </w:rPr>
              <w:t>6</w:t>
            </w:r>
            <w:r>
              <w:t>5</w:t>
            </w:r>
          </w:p>
        </w:tc>
        <w:tc>
          <w:tcPr>
            <w:tcW w:w="864" w:type="pct"/>
            <w:vMerge w:val="continue"/>
            <w:vAlign w:val="center"/>
          </w:tcPr>
          <w:p w14:paraId="71E2AC07">
            <w:pPr>
              <w:pStyle w:val="687"/>
            </w:pPr>
          </w:p>
        </w:tc>
      </w:tr>
      <w:tr w14:paraId="5783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330" w:type="pct"/>
            <w:vAlign w:val="center"/>
          </w:tcPr>
          <w:p w14:paraId="223FB61C">
            <w:pPr>
              <w:pStyle w:val="687"/>
            </w:pPr>
            <w:r>
              <w:rPr>
                <w:rFonts w:hint="eastAsia"/>
              </w:rPr>
              <w:t>7</w:t>
            </w:r>
          </w:p>
        </w:tc>
        <w:tc>
          <w:tcPr>
            <w:tcW w:w="1266" w:type="pct"/>
            <w:vAlign w:val="center"/>
          </w:tcPr>
          <w:p w14:paraId="013A0F0A">
            <w:pPr>
              <w:pStyle w:val="687"/>
            </w:pPr>
            <w:r>
              <w:rPr>
                <w:rFonts w:hint="eastAsia"/>
                <w:szCs w:val="21"/>
              </w:rPr>
              <w:t>C</w:t>
            </w:r>
            <w:r>
              <w:rPr>
                <w:szCs w:val="21"/>
              </w:rPr>
              <w:t>NG</w:t>
            </w:r>
            <w:r>
              <w:rPr>
                <w:rFonts w:hint="eastAsia"/>
                <w:szCs w:val="21"/>
              </w:rPr>
              <w:t>加气柱1</w:t>
            </w:r>
          </w:p>
        </w:tc>
        <w:tc>
          <w:tcPr>
            <w:tcW w:w="595" w:type="pct"/>
            <w:vAlign w:val="center"/>
          </w:tcPr>
          <w:p w14:paraId="2B5FB552">
            <w:pPr>
              <w:pStyle w:val="687"/>
            </w:pPr>
            <w:r>
              <w:rPr>
                <w:rFonts w:hint="eastAsia"/>
              </w:rPr>
              <w:t>6</w:t>
            </w:r>
            <w:r>
              <w:t>0</w:t>
            </w:r>
          </w:p>
        </w:tc>
        <w:tc>
          <w:tcPr>
            <w:tcW w:w="1080" w:type="pct"/>
            <w:vMerge w:val="continue"/>
            <w:vAlign w:val="center"/>
          </w:tcPr>
          <w:p w14:paraId="11BBD798">
            <w:pPr>
              <w:pStyle w:val="687"/>
            </w:pPr>
          </w:p>
        </w:tc>
        <w:tc>
          <w:tcPr>
            <w:tcW w:w="864" w:type="pct"/>
            <w:vAlign w:val="center"/>
          </w:tcPr>
          <w:p w14:paraId="6E4AA829">
            <w:pPr>
              <w:pStyle w:val="687"/>
            </w:pPr>
            <w:r>
              <w:rPr>
                <w:rFonts w:hint="eastAsia"/>
              </w:rPr>
              <w:t>5</w:t>
            </w:r>
            <w:r>
              <w:t>5</w:t>
            </w:r>
          </w:p>
        </w:tc>
        <w:tc>
          <w:tcPr>
            <w:tcW w:w="864" w:type="pct"/>
            <w:vMerge w:val="continue"/>
            <w:vAlign w:val="center"/>
          </w:tcPr>
          <w:p w14:paraId="41222F75">
            <w:pPr>
              <w:pStyle w:val="687"/>
            </w:pPr>
          </w:p>
        </w:tc>
      </w:tr>
      <w:tr w14:paraId="2527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330" w:type="pct"/>
            <w:vAlign w:val="center"/>
          </w:tcPr>
          <w:p w14:paraId="38E641F1">
            <w:pPr>
              <w:pStyle w:val="687"/>
            </w:pPr>
            <w:r>
              <w:t>8</w:t>
            </w:r>
          </w:p>
        </w:tc>
        <w:tc>
          <w:tcPr>
            <w:tcW w:w="1266" w:type="pct"/>
            <w:vAlign w:val="center"/>
          </w:tcPr>
          <w:p w14:paraId="747C87E0">
            <w:pPr>
              <w:pStyle w:val="687"/>
            </w:pPr>
            <w:r>
              <w:rPr>
                <w:rFonts w:hint="eastAsia"/>
                <w:szCs w:val="21"/>
              </w:rPr>
              <w:t>C</w:t>
            </w:r>
            <w:r>
              <w:rPr>
                <w:szCs w:val="21"/>
              </w:rPr>
              <w:t>NG</w:t>
            </w:r>
            <w:r>
              <w:rPr>
                <w:rFonts w:hint="eastAsia"/>
                <w:szCs w:val="21"/>
              </w:rPr>
              <w:t>加气柱</w:t>
            </w:r>
            <w:r>
              <w:rPr>
                <w:szCs w:val="21"/>
              </w:rPr>
              <w:t>2</w:t>
            </w:r>
          </w:p>
        </w:tc>
        <w:tc>
          <w:tcPr>
            <w:tcW w:w="595" w:type="pct"/>
            <w:vAlign w:val="center"/>
          </w:tcPr>
          <w:p w14:paraId="4830CF90">
            <w:pPr>
              <w:pStyle w:val="687"/>
            </w:pPr>
            <w:r>
              <w:rPr>
                <w:rFonts w:hint="eastAsia"/>
              </w:rPr>
              <w:t>6</w:t>
            </w:r>
            <w:r>
              <w:t>0</w:t>
            </w:r>
          </w:p>
        </w:tc>
        <w:tc>
          <w:tcPr>
            <w:tcW w:w="1080" w:type="pct"/>
            <w:vMerge w:val="continue"/>
            <w:vAlign w:val="center"/>
          </w:tcPr>
          <w:p w14:paraId="13979BC2">
            <w:pPr>
              <w:pStyle w:val="687"/>
            </w:pPr>
          </w:p>
        </w:tc>
        <w:tc>
          <w:tcPr>
            <w:tcW w:w="864" w:type="pct"/>
            <w:vAlign w:val="center"/>
          </w:tcPr>
          <w:p w14:paraId="1B636205">
            <w:pPr>
              <w:pStyle w:val="687"/>
            </w:pPr>
            <w:r>
              <w:rPr>
                <w:rFonts w:hint="eastAsia"/>
              </w:rPr>
              <w:t>5</w:t>
            </w:r>
            <w:r>
              <w:t>5</w:t>
            </w:r>
          </w:p>
        </w:tc>
        <w:tc>
          <w:tcPr>
            <w:tcW w:w="864" w:type="pct"/>
            <w:vMerge w:val="continue"/>
            <w:vAlign w:val="center"/>
          </w:tcPr>
          <w:p w14:paraId="3A3F3027">
            <w:pPr>
              <w:pStyle w:val="687"/>
            </w:pPr>
          </w:p>
        </w:tc>
      </w:tr>
      <w:tr w14:paraId="4074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330" w:type="pct"/>
            <w:vAlign w:val="center"/>
          </w:tcPr>
          <w:p w14:paraId="1C51811A">
            <w:pPr>
              <w:pStyle w:val="687"/>
            </w:pPr>
            <w:r>
              <w:t>9</w:t>
            </w:r>
          </w:p>
        </w:tc>
        <w:tc>
          <w:tcPr>
            <w:tcW w:w="1266" w:type="pct"/>
            <w:vAlign w:val="center"/>
          </w:tcPr>
          <w:p w14:paraId="7DD2723F">
            <w:pPr>
              <w:pStyle w:val="687"/>
            </w:pPr>
            <w:r>
              <w:t>放空立管</w:t>
            </w:r>
          </w:p>
        </w:tc>
        <w:tc>
          <w:tcPr>
            <w:tcW w:w="595" w:type="pct"/>
            <w:vAlign w:val="center"/>
          </w:tcPr>
          <w:p w14:paraId="57556F25">
            <w:pPr>
              <w:pStyle w:val="687"/>
            </w:pPr>
            <w:r>
              <w:t>100~110</w:t>
            </w:r>
          </w:p>
        </w:tc>
        <w:tc>
          <w:tcPr>
            <w:tcW w:w="1080" w:type="pct"/>
            <w:vAlign w:val="center"/>
          </w:tcPr>
          <w:p w14:paraId="0395B92F">
            <w:pPr>
              <w:pStyle w:val="687"/>
            </w:pPr>
            <w:r>
              <w:rPr>
                <w:rFonts w:hint="eastAsia"/>
              </w:rPr>
              <w:t>减少放空次数</w:t>
            </w:r>
          </w:p>
        </w:tc>
        <w:tc>
          <w:tcPr>
            <w:tcW w:w="864" w:type="pct"/>
            <w:vAlign w:val="center"/>
          </w:tcPr>
          <w:p w14:paraId="6DFE55F0">
            <w:pPr>
              <w:pStyle w:val="687"/>
            </w:pPr>
            <w:r>
              <w:t>100~110</w:t>
            </w:r>
          </w:p>
        </w:tc>
        <w:tc>
          <w:tcPr>
            <w:tcW w:w="864" w:type="pct"/>
            <w:vAlign w:val="center"/>
          </w:tcPr>
          <w:p w14:paraId="21EDF247">
            <w:pPr>
              <w:pStyle w:val="687"/>
            </w:pPr>
            <w:r>
              <w:rPr>
                <w:rFonts w:hint="eastAsia"/>
              </w:rPr>
              <w:t>偶发</w:t>
            </w:r>
            <w:r>
              <w:t>（应急状态）</w:t>
            </w:r>
          </w:p>
        </w:tc>
      </w:tr>
    </w:tbl>
    <w:p w14:paraId="71220D2A">
      <w:pPr>
        <w:pStyle w:val="1379"/>
        <w:ind w:firstLine="440"/>
      </w:pPr>
    </w:p>
    <w:p w14:paraId="4DA6AC42">
      <w:pPr>
        <w:pStyle w:val="1381"/>
        <w:ind w:firstLine="520"/>
      </w:pPr>
      <w:r>
        <w:rPr>
          <w:rFonts w:hint="eastAsia"/>
        </w:rPr>
        <w:t>（4）固体废物</w:t>
      </w:r>
    </w:p>
    <w:p w14:paraId="0E2B4C8D">
      <w:pPr>
        <w:pStyle w:val="702"/>
        <w:adjustRightInd w:val="0"/>
        <w:snapToGrid w:val="0"/>
        <w:spacing w:line="440" w:lineRule="exact"/>
        <w:ind w:firstLine="520"/>
        <w:rPr>
          <w:rFonts w:cs="Times New Roman"/>
        </w:rPr>
      </w:pPr>
      <w:r>
        <w:rPr>
          <w:rFonts w:hint="eastAsia" w:cs="Times New Roman"/>
        </w:rPr>
        <w:t>试采期主要固体废物包括储罐清掏沉渣、站场检修废渣、聚结</w:t>
      </w:r>
      <w:r>
        <w:rPr>
          <w:rFonts w:hint="eastAsia" w:cs="Times New Roman"/>
          <w:szCs w:val="21"/>
        </w:rPr>
        <w:t>过滤分离器产生的废滤芯、</w:t>
      </w:r>
      <w:r>
        <w:rPr>
          <w:rFonts w:hint="eastAsia" w:cs="Times New Roman"/>
          <w:bCs/>
          <w:shd w:val="clear" w:color="auto" w:fill="FFFFFF"/>
        </w:rPr>
        <w:t>脱水压缩撬产生的</w:t>
      </w:r>
      <w:r>
        <w:rPr>
          <w:rFonts w:hint="eastAsia" w:cs="Times New Roman"/>
          <w:szCs w:val="21"/>
        </w:rPr>
        <w:t>废分子筛、维护保养产生的</w:t>
      </w:r>
      <w:r>
        <w:rPr>
          <w:rFonts w:hint="eastAsia"/>
          <w:szCs w:val="26"/>
        </w:rPr>
        <w:t>废油、废油桶、含油擦拭物和</w:t>
      </w:r>
      <w:r>
        <w:rPr>
          <w:rFonts w:hint="eastAsia" w:cs="Times New Roman"/>
        </w:rPr>
        <w:t>值守人员产生的生活垃圾。</w:t>
      </w:r>
    </w:p>
    <w:p w14:paraId="4037E101">
      <w:pPr>
        <w:pStyle w:val="702"/>
        <w:adjustRightInd w:val="0"/>
        <w:snapToGrid w:val="0"/>
        <w:spacing w:line="440" w:lineRule="exact"/>
        <w:ind w:firstLine="520"/>
        <w:rPr>
          <w:rFonts w:cs="Times New Roman"/>
        </w:rPr>
      </w:pPr>
      <w:r>
        <w:rPr>
          <w:rFonts w:cs="Times New Roman"/>
        </w:rPr>
        <w:fldChar w:fldCharType="begin"/>
      </w:r>
      <w:r>
        <w:rPr>
          <w:rFonts w:cs="Times New Roman"/>
        </w:rPr>
        <w:instrText xml:space="preserve"> </w:instrText>
      </w:r>
      <w:r>
        <w:rPr>
          <w:rFonts w:hint="eastAsia" w:cs="Times New Roman"/>
        </w:rPr>
        <w:instrText xml:space="preserve">= 1 \* GB3</w:instrText>
      </w:r>
      <w:r>
        <w:rPr>
          <w:rFonts w:cs="Times New Roman"/>
        </w:rPr>
        <w:instrText xml:space="preserve"> </w:instrText>
      </w:r>
      <w:r>
        <w:rPr>
          <w:rFonts w:cs="Times New Roman"/>
        </w:rPr>
        <w:fldChar w:fldCharType="separate"/>
      </w:r>
      <w:r>
        <w:rPr>
          <w:rFonts w:hint="eastAsia" w:cs="Times New Roman"/>
        </w:rPr>
        <w:t>①</w:t>
      </w:r>
      <w:r>
        <w:rPr>
          <w:rFonts w:cs="Times New Roman"/>
        </w:rPr>
        <w:fldChar w:fldCharType="end"/>
      </w:r>
      <w:r>
        <w:rPr>
          <w:rFonts w:hint="eastAsia" w:cs="Times New Roman"/>
        </w:rPr>
        <w:t>一般工业固废</w:t>
      </w:r>
    </w:p>
    <w:p w14:paraId="10137205">
      <w:pPr>
        <w:pStyle w:val="702"/>
        <w:adjustRightInd w:val="0"/>
        <w:snapToGrid w:val="0"/>
        <w:spacing w:line="440" w:lineRule="exact"/>
        <w:ind w:firstLine="520"/>
        <w:rPr>
          <w:rFonts w:cs="Times New Roman"/>
        </w:rPr>
      </w:pPr>
      <w:r>
        <w:rPr>
          <w:rFonts w:hint="eastAsia" w:cs="Times New Roman"/>
          <w:szCs w:val="21"/>
        </w:rPr>
        <w:t>A、废滤芯</w:t>
      </w:r>
    </w:p>
    <w:p w14:paraId="5509F1D2">
      <w:pPr>
        <w:pStyle w:val="702"/>
        <w:spacing w:line="440" w:lineRule="exact"/>
        <w:ind w:firstLine="520"/>
        <w:rPr>
          <w:rFonts w:cs="Times New Roman"/>
          <w:bCs/>
          <w:shd w:val="clear" w:color="auto" w:fill="FFFFFF"/>
        </w:rPr>
      </w:pPr>
      <w:r>
        <w:rPr>
          <w:rFonts w:hint="eastAsia" w:cs="Times New Roman"/>
        </w:rPr>
        <w:t>本项目聚结过滤分离器在运行过程中会产生废滤芯，</w:t>
      </w:r>
      <w:r>
        <w:rPr>
          <w:rFonts w:hint="eastAsia"/>
          <w:bCs/>
          <w:szCs w:val="26"/>
        </w:rPr>
        <w:t>根据同类项目产污情况，本项目滤芯每年更换一次，废滤芯产生量为1</w:t>
      </w:r>
      <w:r>
        <w:rPr>
          <w:bCs/>
          <w:szCs w:val="26"/>
        </w:rPr>
        <w:t>.5t/a</w:t>
      </w:r>
      <w:r>
        <w:rPr>
          <w:rFonts w:hint="eastAsia"/>
          <w:bCs/>
          <w:szCs w:val="26"/>
        </w:rPr>
        <w:t>。本项目</w:t>
      </w:r>
      <w:r>
        <w:rPr>
          <w:rFonts w:hint="eastAsia" w:cs="Times New Roman"/>
        </w:rPr>
        <w:t>聚结过滤分离器的滤芯主要为物理</w:t>
      </w:r>
      <w:r>
        <w:rPr>
          <w:rFonts w:ascii="Helvetica" w:hAnsi="Helvetica" w:cs="Helvetica"/>
          <w:shd w:val="clear" w:color="auto" w:fill="FFFFFF"/>
        </w:rPr>
        <w:t>粘附</w:t>
      </w:r>
      <w:r>
        <w:rPr>
          <w:rFonts w:hint="eastAsia" w:ascii="Helvetica" w:hAnsi="Helvetica" w:cs="Helvetica"/>
          <w:shd w:val="clear" w:color="auto" w:fill="FFFFFF"/>
        </w:rPr>
        <w:t>作用，将小液滴拦截在滤芯表面聚结成大的液滴而实</w:t>
      </w:r>
      <w:r>
        <w:rPr>
          <w:rFonts w:cs="Times New Roman"/>
          <w:shd w:val="clear" w:color="auto" w:fill="FFFFFF"/>
        </w:rPr>
        <w:t>现气水分离，粘附的介质是经三相分离后的天然气，</w:t>
      </w:r>
      <w:r>
        <w:rPr>
          <w:rFonts w:cs="Times New Roman"/>
          <w:bCs/>
          <w:shd w:val="clear" w:color="auto" w:fill="FFFFFF"/>
        </w:rPr>
        <w:t>对照《国家危险废物名录》（2025年版），不属于名录所列的吸附介质，因此废滤芯不属于危险废物，为一般工业固废，由厂家统一更换后回收，不在站内存储。</w:t>
      </w:r>
    </w:p>
    <w:p w14:paraId="798EF47B">
      <w:pPr>
        <w:pStyle w:val="702"/>
        <w:spacing w:line="440" w:lineRule="exact"/>
        <w:ind w:firstLine="520"/>
        <w:rPr>
          <w:rFonts w:cs="Times New Roman"/>
          <w:bCs/>
          <w:shd w:val="clear" w:color="auto" w:fill="FFFFFF"/>
        </w:rPr>
      </w:pPr>
      <w:r>
        <w:t>B</w:t>
      </w:r>
      <w:r>
        <w:rPr>
          <w:rFonts w:hint="eastAsia"/>
        </w:rPr>
        <w:t>、</w:t>
      </w:r>
      <w:r>
        <w:rPr>
          <w:rFonts w:hint="eastAsia" w:cs="Times New Roman"/>
          <w:bCs/>
          <w:shd w:val="clear" w:color="auto" w:fill="FFFFFF"/>
        </w:rPr>
        <w:t>废分子筛</w:t>
      </w:r>
    </w:p>
    <w:p w14:paraId="4FE3F94D">
      <w:pPr>
        <w:pStyle w:val="702"/>
        <w:spacing w:line="440" w:lineRule="exact"/>
        <w:ind w:firstLine="520"/>
        <w:rPr>
          <w:rFonts w:cs="Times New Roman"/>
          <w:bCs/>
          <w:shd w:val="clear" w:color="auto" w:fill="FFFFFF"/>
        </w:rPr>
      </w:pPr>
      <w:r>
        <w:rPr>
          <w:rFonts w:hint="eastAsia" w:cs="Times New Roman"/>
          <w:bCs/>
          <w:shd w:val="clear" w:color="auto" w:fill="FFFFFF"/>
        </w:rPr>
        <w:t>本项目脱水压缩撬采用分子筛进行脱水，运行过程中会产生废分子筛，</w:t>
      </w:r>
      <w:r>
        <w:rPr>
          <w:rFonts w:hint="eastAsia"/>
        </w:rPr>
        <w:t>更换周期约为</w:t>
      </w:r>
      <w:r>
        <w:t>1</w:t>
      </w:r>
      <w:r>
        <w:rPr>
          <w:rFonts w:hint="eastAsia" w:cs="Times New Roman"/>
        </w:rPr>
        <w:t>年</w:t>
      </w:r>
      <w:r>
        <w:rPr>
          <w:rFonts w:cs="Times New Roman"/>
        </w:rPr>
        <w:t>1</w:t>
      </w:r>
      <w:r>
        <w:rPr>
          <w:rFonts w:hint="eastAsia" w:cs="Times New Roman"/>
        </w:rPr>
        <w:t>次，每次更换量为</w:t>
      </w:r>
      <w:r>
        <w:rPr>
          <w:rFonts w:cs="Times New Roman"/>
        </w:rPr>
        <w:t>1.0t</w:t>
      </w:r>
      <w:r>
        <w:rPr>
          <w:rFonts w:hint="eastAsia" w:cs="Times New Roman"/>
        </w:rPr>
        <w:t>，由厂家更换后带走回收。本项目分子筛</w:t>
      </w:r>
      <w:r>
        <w:rPr>
          <w:rFonts w:hint="eastAsia"/>
          <w:bCs/>
          <w:szCs w:val="26"/>
        </w:rPr>
        <w:t>对天然气进行脱水，属于物理过滤和吸附，吸附的</w:t>
      </w:r>
      <w:r>
        <w:rPr>
          <w:rFonts w:cs="Times New Roman"/>
          <w:shd w:val="clear" w:color="auto" w:fill="FFFFFF"/>
        </w:rPr>
        <w:t>介质是经三相分离后的天然气</w:t>
      </w:r>
      <w:r>
        <w:rPr>
          <w:rFonts w:hint="eastAsia" w:cs="Times New Roman"/>
          <w:shd w:val="clear" w:color="auto" w:fill="FFFFFF"/>
        </w:rPr>
        <w:t>，</w:t>
      </w:r>
      <w:r>
        <w:rPr>
          <w:rFonts w:cs="Times New Roman"/>
          <w:bCs/>
          <w:shd w:val="clear" w:color="auto" w:fill="FFFFFF"/>
        </w:rPr>
        <w:t>对照《国家危险废物名录》（2025年版），不属于名录所列的吸附介质，因此废滤芯不属于危险废物，为一般工业固废，由厂家统一更换后回收，不在站内存储。</w:t>
      </w:r>
    </w:p>
    <w:p w14:paraId="011C84A2">
      <w:pPr>
        <w:pStyle w:val="702"/>
        <w:adjustRightInd w:val="0"/>
        <w:snapToGrid w:val="0"/>
        <w:spacing w:line="440" w:lineRule="exact"/>
        <w:ind w:firstLine="520"/>
        <w:rPr>
          <w:rFonts w:cs="Times New Roman"/>
        </w:rPr>
      </w:pPr>
      <w:r>
        <w:rPr>
          <w:rFonts w:cs="Times New Roman"/>
        </w:rPr>
        <w:fldChar w:fldCharType="begin"/>
      </w:r>
      <w:r>
        <w:rPr>
          <w:rFonts w:cs="Times New Roman"/>
        </w:rPr>
        <w:instrText xml:space="preserve"> </w:instrText>
      </w:r>
      <w:r>
        <w:rPr>
          <w:rFonts w:hint="eastAsia" w:cs="Times New Roman"/>
        </w:rPr>
        <w:instrText xml:space="preserve">= 2 \* GB3</w:instrText>
      </w:r>
      <w:r>
        <w:rPr>
          <w:rFonts w:cs="Times New Roman"/>
        </w:rPr>
        <w:instrText xml:space="preserve"> </w:instrText>
      </w:r>
      <w:r>
        <w:rPr>
          <w:rFonts w:cs="Times New Roman"/>
        </w:rPr>
        <w:fldChar w:fldCharType="separate"/>
      </w:r>
      <w:r>
        <w:rPr>
          <w:rFonts w:hint="eastAsia" w:cs="Times New Roman"/>
        </w:rPr>
        <w:t>②</w:t>
      </w:r>
      <w:r>
        <w:rPr>
          <w:rFonts w:cs="Times New Roman"/>
        </w:rPr>
        <w:fldChar w:fldCharType="end"/>
      </w:r>
      <w:r>
        <w:rPr>
          <w:rFonts w:hint="eastAsia" w:cs="Times New Roman"/>
        </w:rPr>
        <w:t>危险废物</w:t>
      </w:r>
    </w:p>
    <w:p w14:paraId="4B1BD368">
      <w:pPr>
        <w:pStyle w:val="702"/>
        <w:adjustRightInd w:val="0"/>
        <w:snapToGrid w:val="0"/>
        <w:spacing w:line="440" w:lineRule="exact"/>
        <w:ind w:firstLine="520"/>
        <w:rPr>
          <w:rFonts w:cs="Times New Roman"/>
        </w:rPr>
      </w:pPr>
      <w:r>
        <w:rPr>
          <w:rFonts w:hint="eastAsia" w:cs="Times New Roman"/>
        </w:rPr>
        <w:t>A、储罐沉渣</w:t>
      </w:r>
    </w:p>
    <w:p w14:paraId="058A19D9">
      <w:pPr>
        <w:pStyle w:val="702"/>
        <w:adjustRightInd w:val="0"/>
        <w:snapToGrid w:val="0"/>
        <w:spacing w:line="440" w:lineRule="exact"/>
        <w:ind w:firstLine="520"/>
      </w:pPr>
      <w:r>
        <w:rPr>
          <w:rFonts w:hint="eastAsia" w:cs="Times New Roman"/>
        </w:rPr>
        <w:t>本项目设置</w:t>
      </w:r>
      <w:r>
        <w:rPr>
          <w:rFonts w:cs="Times New Roman"/>
        </w:rPr>
        <w:t>2</w:t>
      </w:r>
      <w:r>
        <w:rPr>
          <w:rFonts w:hint="eastAsia" w:cs="Times New Roman"/>
        </w:rPr>
        <w:t>个5</w:t>
      </w:r>
      <w:r>
        <w:rPr>
          <w:rFonts w:cs="Times New Roman"/>
        </w:rPr>
        <w:t>0</w:t>
      </w:r>
      <w:r>
        <w:rPr>
          <w:rFonts w:hint="eastAsia" w:cs="Times New Roman"/>
        </w:rPr>
        <w:t>m</w:t>
      </w:r>
      <w:r>
        <w:rPr>
          <w:rFonts w:cs="Times New Roman"/>
          <w:vertAlign w:val="superscript"/>
        </w:rPr>
        <w:t>3</w:t>
      </w:r>
      <w:r>
        <w:rPr>
          <w:rFonts w:hint="eastAsia" w:cs="Times New Roman"/>
        </w:rPr>
        <w:t>凝析油储罐、</w:t>
      </w:r>
      <w:r>
        <w:rPr>
          <w:rFonts w:cs="Times New Roman"/>
        </w:rPr>
        <w:t>2</w:t>
      </w:r>
      <w:r>
        <w:rPr>
          <w:rFonts w:hint="eastAsia" w:cs="Times New Roman"/>
        </w:rPr>
        <w:t>个5</w:t>
      </w:r>
      <w:r>
        <w:rPr>
          <w:rFonts w:cs="Times New Roman"/>
        </w:rPr>
        <w:t>0</w:t>
      </w:r>
      <w:r>
        <w:rPr>
          <w:rFonts w:hint="eastAsia" w:cs="Times New Roman"/>
        </w:rPr>
        <w:t>m</w:t>
      </w:r>
      <w:r>
        <w:rPr>
          <w:rFonts w:cs="Times New Roman"/>
          <w:vertAlign w:val="superscript"/>
        </w:rPr>
        <w:t>3</w:t>
      </w:r>
      <w:r>
        <w:rPr>
          <w:rFonts w:hint="eastAsia" w:cs="Times New Roman"/>
        </w:rPr>
        <w:t>气田水储罐和1个2</w:t>
      </w:r>
      <w:r>
        <w:rPr>
          <w:rFonts w:cs="Times New Roman"/>
        </w:rPr>
        <w:t>0</w:t>
      </w:r>
      <w:r>
        <w:rPr>
          <w:rFonts w:hint="eastAsia" w:cs="Times New Roman"/>
        </w:rPr>
        <w:t>m</w:t>
      </w:r>
      <w:r>
        <w:rPr>
          <w:rFonts w:cs="Times New Roman"/>
          <w:vertAlign w:val="superscript"/>
        </w:rPr>
        <w:t>3</w:t>
      </w:r>
      <w:r>
        <w:rPr>
          <w:rFonts w:hint="eastAsia" w:cs="Times New Roman"/>
        </w:rPr>
        <w:t>气田水储罐，试采站每年清掏1次，产生清掏沉渣约</w:t>
      </w:r>
      <w:r>
        <w:rPr>
          <w:rFonts w:cs="Times New Roman"/>
        </w:rPr>
        <w:t>1.5t/a</w:t>
      </w:r>
      <w:r>
        <w:rPr>
          <w:rFonts w:hint="eastAsia" w:cs="Times New Roman"/>
        </w:rPr>
        <w:t>，主要成分为石油类、</w:t>
      </w:r>
      <w:r>
        <w:rPr>
          <w:bCs/>
          <w:szCs w:val="26"/>
        </w:rPr>
        <w:t>井内杂屑</w:t>
      </w:r>
      <w:r>
        <w:rPr>
          <w:rFonts w:hint="eastAsia"/>
          <w:bCs/>
          <w:szCs w:val="26"/>
        </w:rPr>
        <w:t>和</w:t>
      </w:r>
      <w:r>
        <w:rPr>
          <w:bCs/>
          <w:szCs w:val="26"/>
        </w:rPr>
        <w:t>机械杂质</w:t>
      </w:r>
      <w:r>
        <w:rPr>
          <w:rFonts w:hint="eastAsia"/>
          <w:bCs/>
          <w:szCs w:val="26"/>
        </w:rPr>
        <w:t>，属于危险废物（废物类别为HW08，废物代码</w:t>
      </w:r>
      <w:r>
        <w:t>900-249-08</w:t>
      </w:r>
      <w:r>
        <w:rPr>
          <w:rFonts w:hint="eastAsia"/>
          <w:bCs/>
          <w:szCs w:val="26"/>
        </w:rPr>
        <w:t>），</w:t>
      </w:r>
      <w:r>
        <w:rPr>
          <w:rFonts w:hint="eastAsia" w:cs="Times New Roman"/>
        </w:rPr>
        <w:t>储罐清掏沉渣</w:t>
      </w:r>
      <w:r>
        <w:rPr>
          <w:rFonts w:hint="eastAsia"/>
          <w:bCs/>
          <w:szCs w:val="26"/>
        </w:rPr>
        <w:t>即产即运，由作业区收集后</w:t>
      </w:r>
      <w:r>
        <w:rPr>
          <w:rFonts w:hint="eastAsia"/>
        </w:rPr>
        <w:t>暂存于河飞2</w:t>
      </w:r>
      <w:r>
        <w:t>03</w:t>
      </w:r>
      <w:r>
        <w:rPr>
          <w:rFonts w:hint="eastAsia"/>
        </w:rPr>
        <w:t>中心站危废暂存间，统一交由资质单位处置。</w:t>
      </w:r>
    </w:p>
    <w:p w14:paraId="1E0E3DE0">
      <w:pPr>
        <w:pStyle w:val="1381"/>
        <w:ind w:firstLine="520"/>
      </w:pPr>
      <w:r>
        <w:rPr>
          <w:rFonts w:hint="eastAsia"/>
          <w:bCs/>
          <w:szCs w:val="26"/>
        </w:rPr>
        <w:t>河飞203中心站位于巴中市通江县陈河乡，距离本项目约6</w:t>
      </w:r>
      <w:r>
        <w:rPr>
          <w:bCs/>
          <w:szCs w:val="26"/>
        </w:rPr>
        <w:t>9</w:t>
      </w:r>
      <w:r>
        <w:rPr>
          <w:rFonts w:hint="eastAsia"/>
          <w:bCs/>
          <w:szCs w:val="26"/>
        </w:rPr>
        <w:t>km，</w:t>
      </w:r>
      <w:r>
        <w:rPr>
          <w:rFonts w:hint="eastAsia"/>
        </w:rPr>
        <w:t>站内已建设一座危废暂存间，主要贮存含油废物和化验室废液，危废暂存间面积约2</w:t>
      </w:r>
      <w:r>
        <w:t>0m</w:t>
      </w:r>
      <w:r>
        <w:rPr>
          <w:vertAlign w:val="superscript"/>
        </w:rPr>
        <w:t>2</w:t>
      </w:r>
      <w:r>
        <w:rPr>
          <w:rFonts w:hint="eastAsia"/>
        </w:rPr>
        <w:t>，</w:t>
      </w:r>
      <w:r>
        <w:rPr>
          <w:bCs/>
        </w:rPr>
        <w:t>主体支架采用方镀锌钢搭建，顶部采用彩钢瓦铺设，四面采用彩钢瓦铺面</w:t>
      </w:r>
      <w:r>
        <w:rPr>
          <w:rFonts w:hint="eastAsia"/>
        </w:rPr>
        <w:t>，地面采用P8 C30抗渗商品混凝土进行浇筑，并设置3</w:t>
      </w:r>
      <w:r>
        <w:t>0</w:t>
      </w:r>
      <w:r>
        <w:rPr>
          <w:rFonts w:hint="eastAsia"/>
        </w:rPr>
        <w:t>cm高围堰，满足本项目依托要求。</w:t>
      </w:r>
    </w:p>
    <w:p w14:paraId="23687C04">
      <w:pPr>
        <w:pStyle w:val="702"/>
        <w:adjustRightInd w:val="0"/>
        <w:snapToGrid w:val="0"/>
        <w:spacing w:line="440" w:lineRule="exact"/>
        <w:ind w:firstLine="520"/>
        <w:rPr>
          <w:rFonts w:cs="Times New Roman"/>
        </w:rPr>
      </w:pPr>
      <w:r>
        <w:rPr>
          <w:rFonts w:cs="Times New Roman"/>
        </w:rPr>
        <w:t>B</w:t>
      </w:r>
      <w:r>
        <w:rPr>
          <w:rFonts w:hint="eastAsia" w:cs="Times New Roman"/>
        </w:rPr>
        <w:t>、检修废渣</w:t>
      </w:r>
    </w:p>
    <w:p w14:paraId="7A6A5D6C">
      <w:pPr>
        <w:adjustRightInd w:val="0"/>
        <w:snapToGrid w:val="0"/>
        <w:spacing w:line="460" w:lineRule="exact"/>
        <w:ind w:firstLine="520" w:firstLineChars="200"/>
        <w:rPr>
          <w:bCs/>
          <w:sz w:val="26"/>
          <w:szCs w:val="26"/>
        </w:rPr>
      </w:pPr>
      <w:r>
        <w:rPr>
          <w:rFonts w:hint="eastAsia"/>
          <w:bCs/>
          <w:sz w:val="26"/>
          <w:szCs w:val="26"/>
        </w:rPr>
        <w:t>试采站设备正常情况下24小时连续运行，每年进行1次检修。检修将产生少量检修废渣，约</w:t>
      </w:r>
      <w:r>
        <w:rPr>
          <w:bCs/>
          <w:sz w:val="26"/>
          <w:szCs w:val="26"/>
        </w:rPr>
        <w:t>2.0</w:t>
      </w:r>
      <w:r>
        <w:rPr>
          <w:rFonts w:hint="eastAsia"/>
          <w:bCs/>
          <w:sz w:val="26"/>
          <w:szCs w:val="26"/>
        </w:rPr>
        <w:t>kg次。检修废渣主要成分为油类物质、铁屑杂质、砂砾等，</w:t>
      </w:r>
      <w:r>
        <w:rPr>
          <w:bCs/>
          <w:sz w:val="26"/>
          <w:szCs w:val="26"/>
        </w:rPr>
        <w:t>属于危险废物（废物类别为HW08，废物代码900-249-08）</w:t>
      </w:r>
      <w:r>
        <w:rPr>
          <w:rFonts w:hint="eastAsia"/>
          <w:bCs/>
          <w:sz w:val="26"/>
          <w:szCs w:val="26"/>
        </w:rPr>
        <w:t>，设备检修废渣即产即运，由作业区收集后暂存于河飞203中心站危废暂存间，统一交由资质单位处置。</w:t>
      </w:r>
    </w:p>
    <w:p w14:paraId="5D8EEC5F">
      <w:pPr>
        <w:pStyle w:val="702"/>
        <w:adjustRightInd w:val="0"/>
        <w:snapToGrid w:val="0"/>
        <w:spacing w:line="440" w:lineRule="exact"/>
        <w:ind w:firstLine="520"/>
        <w:rPr>
          <w:rFonts w:cs="Times New Roman"/>
        </w:rPr>
      </w:pPr>
      <w:r>
        <w:rPr>
          <w:rFonts w:hint="eastAsia" w:cs="Times New Roman"/>
        </w:rPr>
        <w:t>C、废油</w:t>
      </w:r>
    </w:p>
    <w:p w14:paraId="4F0EE754">
      <w:pPr>
        <w:pStyle w:val="702"/>
        <w:adjustRightInd w:val="0"/>
        <w:snapToGrid w:val="0"/>
        <w:spacing w:line="440" w:lineRule="exact"/>
        <w:ind w:firstLine="520"/>
        <w:rPr>
          <w:rFonts w:cs="Times New Roman"/>
        </w:rPr>
      </w:pPr>
      <w:r>
        <w:rPr>
          <w:rFonts w:hint="eastAsia" w:cs="Times New Roman"/>
        </w:rPr>
        <w:t>本项目脱水压缩撬等机械设备在</w:t>
      </w:r>
      <w:r>
        <w:rPr>
          <w:rFonts w:hint="eastAsia"/>
          <w:szCs w:val="26"/>
        </w:rPr>
        <w:t>换油和换滤清器过程中均会产生废机油，因而需要增补或更换，产生废润滑油均为</w:t>
      </w:r>
      <w:r>
        <w:rPr>
          <w:szCs w:val="26"/>
        </w:rPr>
        <w:t>3</w:t>
      </w:r>
      <w:r>
        <w:rPr>
          <w:rFonts w:hint="eastAsia"/>
          <w:szCs w:val="26"/>
        </w:rPr>
        <w:t>.0</w:t>
      </w:r>
      <w:r>
        <w:rPr>
          <w:szCs w:val="26"/>
        </w:rPr>
        <w:t>t/a</w:t>
      </w:r>
      <w:r>
        <w:rPr>
          <w:rFonts w:hint="eastAsia"/>
          <w:szCs w:val="26"/>
        </w:rPr>
        <w:t>。废机油属于危险废物</w:t>
      </w:r>
      <w:r>
        <w:rPr>
          <w:bCs/>
          <w:szCs w:val="26"/>
        </w:rPr>
        <w:t>（废物类别为HW08，废物代码900-249-08）</w:t>
      </w:r>
      <w:r>
        <w:rPr>
          <w:rFonts w:hint="eastAsia"/>
          <w:szCs w:val="26"/>
        </w:rPr>
        <w:t>。废油产生后</w:t>
      </w:r>
      <w:r>
        <w:rPr>
          <w:rFonts w:hint="eastAsia"/>
          <w:bCs/>
          <w:szCs w:val="26"/>
        </w:rPr>
        <w:t>即产即运，由作业区收集后暂存于河飞203中心站危废暂存间，统一交由资质单位处置。</w:t>
      </w:r>
    </w:p>
    <w:p w14:paraId="08BEE607">
      <w:pPr>
        <w:pStyle w:val="702"/>
        <w:adjustRightInd w:val="0"/>
        <w:snapToGrid w:val="0"/>
        <w:spacing w:line="440" w:lineRule="exact"/>
        <w:ind w:firstLine="520"/>
        <w:rPr>
          <w:rFonts w:cs="Times New Roman"/>
        </w:rPr>
      </w:pPr>
      <w:r>
        <w:rPr>
          <w:rFonts w:hint="eastAsia" w:cs="Times New Roman"/>
        </w:rPr>
        <w:t>D、</w:t>
      </w:r>
      <w:r>
        <w:rPr>
          <w:rFonts w:hint="eastAsia"/>
          <w:szCs w:val="26"/>
        </w:rPr>
        <w:t>废油桶</w:t>
      </w:r>
    </w:p>
    <w:p w14:paraId="7ACBD1B4">
      <w:pPr>
        <w:pStyle w:val="702"/>
        <w:adjustRightInd w:val="0"/>
        <w:snapToGrid w:val="0"/>
        <w:spacing w:line="440" w:lineRule="exact"/>
        <w:ind w:firstLine="520"/>
        <w:rPr>
          <w:rFonts w:cs="Times New Roman"/>
        </w:rPr>
      </w:pPr>
      <w:r>
        <w:rPr>
          <w:rFonts w:hint="eastAsia"/>
          <w:szCs w:val="26"/>
        </w:rPr>
        <w:t>主要为机油等矿物油类辅料包装桶，产生量约0.05t/a，含有油类物质，属于危险废物（废物类别为HW08，废物代码900-249-08）。</w:t>
      </w:r>
      <w:r>
        <w:rPr>
          <w:rFonts w:hint="eastAsia"/>
          <w:bCs/>
          <w:szCs w:val="26"/>
        </w:rPr>
        <w:t>由作业区收集后暂存于河飞203中心站危废暂存间，统一交由资质单位处置。</w:t>
      </w:r>
    </w:p>
    <w:p w14:paraId="452FB062">
      <w:pPr>
        <w:pStyle w:val="702"/>
        <w:adjustRightInd w:val="0"/>
        <w:snapToGrid w:val="0"/>
        <w:spacing w:line="440" w:lineRule="exact"/>
        <w:ind w:firstLine="520"/>
        <w:rPr>
          <w:rFonts w:cs="Times New Roman"/>
        </w:rPr>
      </w:pPr>
      <w:r>
        <w:rPr>
          <w:rFonts w:hint="eastAsia" w:cs="Times New Roman"/>
        </w:rPr>
        <w:t>E、</w:t>
      </w:r>
      <w:r>
        <w:rPr>
          <w:rFonts w:hint="eastAsia"/>
          <w:szCs w:val="26"/>
        </w:rPr>
        <w:t>含油擦拭物</w:t>
      </w:r>
    </w:p>
    <w:p w14:paraId="55122289">
      <w:pPr>
        <w:pStyle w:val="702"/>
        <w:adjustRightInd w:val="0"/>
        <w:snapToGrid w:val="0"/>
        <w:spacing w:line="440" w:lineRule="exact"/>
        <w:ind w:firstLine="520"/>
        <w:rPr>
          <w:rFonts w:cs="Times New Roman"/>
        </w:rPr>
      </w:pPr>
      <w:r>
        <w:rPr>
          <w:rFonts w:hint="eastAsia"/>
          <w:szCs w:val="26"/>
        </w:rPr>
        <w:t>在使用机油等油类物质过程中，会产生含油手套、抹布等含油擦拭物，含油擦拭物产生量约</w:t>
      </w:r>
      <w:r>
        <w:rPr>
          <w:szCs w:val="26"/>
        </w:rPr>
        <w:t>0.01t/a</w:t>
      </w:r>
      <w:r>
        <w:rPr>
          <w:rFonts w:hint="eastAsia"/>
          <w:szCs w:val="26"/>
        </w:rPr>
        <w:t>。含油擦拭物属于危险废物（废物类别为HW08，废物代码900-249-08）。</w:t>
      </w:r>
      <w:r>
        <w:rPr>
          <w:rFonts w:hint="eastAsia"/>
          <w:bCs/>
          <w:szCs w:val="26"/>
        </w:rPr>
        <w:t>由作业区收集后暂存于河飞203中心站危废暂存间，统一交由资质单位处置。</w:t>
      </w:r>
    </w:p>
    <w:p w14:paraId="140923E1">
      <w:pPr>
        <w:pStyle w:val="702"/>
        <w:spacing w:line="440" w:lineRule="exact"/>
        <w:ind w:firstLine="520"/>
        <w:rPr>
          <w:rFonts w:cs="Times New Roman"/>
        </w:rPr>
      </w:pPr>
      <w:r>
        <w:rPr>
          <w:rFonts w:cs="Times New Roman"/>
          <w:bCs/>
          <w:shd w:val="clear" w:color="auto" w:fill="FFFFFF"/>
        </w:rPr>
        <w:fldChar w:fldCharType="begin"/>
      </w:r>
      <w:r>
        <w:rPr>
          <w:rFonts w:cs="Times New Roman"/>
          <w:bCs/>
          <w:shd w:val="clear" w:color="auto" w:fill="FFFFFF"/>
        </w:rPr>
        <w:instrText xml:space="preserve"> </w:instrText>
      </w:r>
      <w:r>
        <w:rPr>
          <w:rFonts w:hint="eastAsia" w:cs="Times New Roman"/>
          <w:bCs/>
          <w:shd w:val="clear" w:color="auto" w:fill="FFFFFF"/>
        </w:rPr>
        <w:instrText xml:space="preserve">= 3 \* GB3</w:instrText>
      </w:r>
      <w:r>
        <w:rPr>
          <w:rFonts w:cs="Times New Roman"/>
          <w:bCs/>
          <w:shd w:val="clear" w:color="auto" w:fill="FFFFFF"/>
        </w:rPr>
        <w:instrText xml:space="preserve"> </w:instrText>
      </w:r>
      <w:r>
        <w:rPr>
          <w:rFonts w:cs="Times New Roman"/>
          <w:bCs/>
          <w:shd w:val="clear" w:color="auto" w:fill="FFFFFF"/>
        </w:rPr>
        <w:fldChar w:fldCharType="separate"/>
      </w:r>
      <w:r>
        <w:rPr>
          <w:rFonts w:hint="eastAsia" w:cs="Times New Roman"/>
          <w:bCs/>
          <w:shd w:val="clear" w:color="auto" w:fill="FFFFFF"/>
        </w:rPr>
        <w:t>③</w:t>
      </w:r>
      <w:r>
        <w:rPr>
          <w:rFonts w:cs="Times New Roman"/>
          <w:bCs/>
          <w:shd w:val="clear" w:color="auto" w:fill="FFFFFF"/>
        </w:rPr>
        <w:fldChar w:fldCharType="end"/>
      </w:r>
      <w:r>
        <w:rPr>
          <w:rFonts w:cs="Times New Roman"/>
        </w:rPr>
        <w:t>生活垃圾</w:t>
      </w:r>
    </w:p>
    <w:p w14:paraId="3DB22B48">
      <w:pPr>
        <w:adjustRightInd w:val="0"/>
        <w:snapToGrid w:val="0"/>
        <w:spacing w:line="440" w:lineRule="exact"/>
        <w:ind w:firstLine="520" w:firstLineChars="200"/>
        <w:rPr>
          <w:sz w:val="26"/>
          <w:szCs w:val="26"/>
        </w:rPr>
      </w:pPr>
      <w:r>
        <w:rPr>
          <w:rFonts w:hint="eastAsia"/>
          <w:sz w:val="26"/>
          <w:szCs w:val="26"/>
        </w:rPr>
        <w:t>试采站</w:t>
      </w:r>
      <w:r>
        <w:rPr>
          <w:sz w:val="26"/>
          <w:szCs w:val="26"/>
        </w:rPr>
        <w:t>设置2名值守人员，生活垃圾产生量按0.5kg/人d计，则生活垃圾产生量为1.0kg/d（0.365t/a）。生活垃圾分类收集后，交当地环卫部门处置。</w:t>
      </w:r>
    </w:p>
    <w:p w14:paraId="38DD4A95">
      <w:pPr>
        <w:adjustRightInd w:val="0"/>
        <w:snapToGrid w:val="0"/>
        <w:spacing w:line="460" w:lineRule="exact"/>
        <w:ind w:firstLine="520" w:firstLineChars="200"/>
        <w:rPr>
          <w:sz w:val="26"/>
          <w:szCs w:val="26"/>
        </w:rPr>
      </w:pPr>
      <w:r>
        <w:rPr>
          <w:rFonts w:hint="eastAsia"/>
          <w:sz w:val="26"/>
          <w:szCs w:val="26"/>
        </w:rPr>
        <w:t>本项目一般工业固体废物产生一览表详见</w:t>
      </w:r>
      <w:r>
        <w:rPr>
          <w:rFonts w:hint="eastAsia"/>
          <w:sz w:val="26"/>
          <w:szCs w:val="26"/>
          <w:u w:val="single"/>
        </w:rPr>
        <w:t>表3.2-</w:t>
      </w:r>
      <w:r>
        <w:rPr>
          <w:sz w:val="26"/>
          <w:szCs w:val="26"/>
          <w:u w:val="single"/>
        </w:rPr>
        <w:t>10</w:t>
      </w:r>
      <w:r>
        <w:rPr>
          <w:rFonts w:hint="eastAsia"/>
          <w:sz w:val="26"/>
          <w:szCs w:val="26"/>
        </w:rPr>
        <w:t>。危险废物汇总表详见</w:t>
      </w:r>
      <w:r>
        <w:rPr>
          <w:rFonts w:hint="eastAsia"/>
          <w:sz w:val="26"/>
          <w:szCs w:val="26"/>
          <w:u w:val="single"/>
        </w:rPr>
        <w:t>表3.2-1</w:t>
      </w:r>
      <w:r>
        <w:rPr>
          <w:sz w:val="26"/>
          <w:szCs w:val="26"/>
          <w:u w:val="single"/>
        </w:rPr>
        <w:t>1</w:t>
      </w:r>
      <w:r>
        <w:rPr>
          <w:rFonts w:hint="eastAsia"/>
          <w:sz w:val="26"/>
          <w:szCs w:val="26"/>
        </w:rPr>
        <w:t>。</w:t>
      </w:r>
    </w:p>
    <w:p w14:paraId="77333A00">
      <w:pPr>
        <w:pStyle w:val="1379"/>
        <w:ind w:firstLine="440"/>
      </w:pPr>
    </w:p>
    <w:p w14:paraId="034511D5">
      <w:pPr>
        <w:pStyle w:val="1065"/>
      </w:pPr>
      <w:r>
        <w:rPr>
          <w:rFonts w:hint="eastAsia"/>
        </w:rPr>
        <w:t>3</w:t>
      </w:r>
      <w:r>
        <w:t>.2</w:t>
      </w:r>
      <w:r>
        <w:rPr>
          <w:rFonts w:hint="eastAsia"/>
        </w:rPr>
        <w:t>-</w:t>
      </w:r>
      <w:r>
        <w:t xml:space="preserve">10   </w:t>
      </w:r>
      <w:r>
        <w:rPr>
          <w:rFonts w:hint="eastAsia"/>
        </w:rPr>
        <w:t>试采期一般固废</w:t>
      </w:r>
      <w:r>
        <w:t>产生、处置情况表</w:t>
      </w:r>
    </w:p>
    <w:tbl>
      <w:tblPr>
        <w:tblStyle w:val="88"/>
        <w:tblW w:w="8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84"/>
        <w:gridCol w:w="1421"/>
        <w:gridCol w:w="2402"/>
        <w:gridCol w:w="2933"/>
      </w:tblGrid>
      <w:tr w14:paraId="04ED7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84" w:type="dxa"/>
            <w:vAlign w:val="center"/>
          </w:tcPr>
          <w:p w14:paraId="0BC9C75D">
            <w:pPr>
              <w:pStyle w:val="687"/>
              <w:adjustRightInd w:val="0"/>
              <w:snapToGrid w:val="0"/>
            </w:pPr>
            <w:r>
              <w:t>种类</w:t>
            </w:r>
          </w:p>
        </w:tc>
        <w:tc>
          <w:tcPr>
            <w:tcW w:w="1421" w:type="dxa"/>
            <w:vAlign w:val="center"/>
          </w:tcPr>
          <w:p w14:paraId="56F1E9FE">
            <w:pPr>
              <w:pStyle w:val="687"/>
              <w:adjustRightInd w:val="0"/>
              <w:snapToGrid w:val="0"/>
            </w:pPr>
            <w:r>
              <w:t>产生量</w:t>
            </w:r>
          </w:p>
        </w:tc>
        <w:tc>
          <w:tcPr>
            <w:tcW w:w="2402" w:type="dxa"/>
            <w:vAlign w:val="center"/>
          </w:tcPr>
          <w:p w14:paraId="19AA9061">
            <w:pPr>
              <w:pStyle w:val="687"/>
              <w:adjustRightInd w:val="0"/>
              <w:snapToGrid w:val="0"/>
            </w:pPr>
            <w:r>
              <w:t>主要成分</w:t>
            </w:r>
          </w:p>
        </w:tc>
        <w:tc>
          <w:tcPr>
            <w:tcW w:w="2933" w:type="dxa"/>
            <w:vAlign w:val="center"/>
          </w:tcPr>
          <w:p w14:paraId="3F719EFF">
            <w:pPr>
              <w:pStyle w:val="687"/>
              <w:adjustRightInd w:val="0"/>
              <w:snapToGrid w:val="0"/>
            </w:pPr>
            <w:r>
              <w:t>处理处置方式</w:t>
            </w:r>
          </w:p>
        </w:tc>
      </w:tr>
      <w:tr w14:paraId="20BE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84" w:type="dxa"/>
            <w:vAlign w:val="center"/>
          </w:tcPr>
          <w:p w14:paraId="38EB4C17">
            <w:pPr>
              <w:pStyle w:val="687"/>
              <w:adjustRightInd w:val="0"/>
              <w:snapToGrid w:val="0"/>
              <w:rPr>
                <w:bCs/>
              </w:rPr>
            </w:pPr>
            <w:bookmarkStart w:id="197" w:name="_Hlk194251546"/>
            <w:r>
              <w:rPr>
                <w:rFonts w:hint="eastAsia"/>
                <w:bCs/>
              </w:rPr>
              <w:t>废滤芯</w:t>
            </w:r>
          </w:p>
        </w:tc>
        <w:tc>
          <w:tcPr>
            <w:tcW w:w="1421" w:type="dxa"/>
            <w:vAlign w:val="center"/>
          </w:tcPr>
          <w:p w14:paraId="35D2DB15">
            <w:pPr>
              <w:pStyle w:val="687"/>
              <w:adjustRightInd w:val="0"/>
              <w:snapToGrid w:val="0"/>
            </w:pPr>
            <w:r>
              <w:t>1.5t/a</w:t>
            </w:r>
          </w:p>
        </w:tc>
        <w:tc>
          <w:tcPr>
            <w:tcW w:w="2402" w:type="dxa"/>
            <w:vAlign w:val="center"/>
          </w:tcPr>
          <w:p w14:paraId="752B8E77">
            <w:pPr>
              <w:pStyle w:val="687"/>
              <w:adjustRightInd w:val="0"/>
              <w:snapToGrid w:val="0"/>
            </w:pPr>
            <w:r>
              <w:rPr>
                <w:rFonts w:hint="eastAsia"/>
              </w:rPr>
              <w:t>过滤器废滤芯</w:t>
            </w:r>
          </w:p>
        </w:tc>
        <w:tc>
          <w:tcPr>
            <w:tcW w:w="2933" w:type="dxa"/>
            <w:vMerge w:val="restart"/>
            <w:vAlign w:val="center"/>
          </w:tcPr>
          <w:p w14:paraId="23056345">
            <w:pPr>
              <w:pStyle w:val="687"/>
              <w:adjustRightInd w:val="0"/>
              <w:snapToGrid w:val="0"/>
              <w:rPr>
                <w:bCs/>
              </w:rPr>
            </w:pPr>
            <w:r>
              <w:rPr>
                <w:rFonts w:hint="eastAsia"/>
                <w:bCs/>
              </w:rPr>
              <w:t>由厂家统一更换后回收，不在站内存储。</w:t>
            </w:r>
          </w:p>
        </w:tc>
      </w:tr>
      <w:tr w14:paraId="5B9F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84" w:type="dxa"/>
            <w:vAlign w:val="center"/>
          </w:tcPr>
          <w:p w14:paraId="6B1BE7E3">
            <w:pPr>
              <w:pStyle w:val="687"/>
              <w:adjustRightInd w:val="0"/>
              <w:snapToGrid w:val="0"/>
              <w:rPr>
                <w:bCs/>
              </w:rPr>
            </w:pPr>
            <w:r>
              <w:rPr>
                <w:rFonts w:hint="eastAsia"/>
                <w:bCs/>
              </w:rPr>
              <w:t>废分子筛</w:t>
            </w:r>
          </w:p>
        </w:tc>
        <w:tc>
          <w:tcPr>
            <w:tcW w:w="1421" w:type="dxa"/>
            <w:vAlign w:val="center"/>
          </w:tcPr>
          <w:p w14:paraId="289BE328">
            <w:pPr>
              <w:pStyle w:val="687"/>
              <w:adjustRightInd w:val="0"/>
              <w:snapToGrid w:val="0"/>
            </w:pPr>
            <w:r>
              <w:t>1.0t/a</w:t>
            </w:r>
          </w:p>
        </w:tc>
        <w:tc>
          <w:tcPr>
            <w:tcW w:w="2402" w:type="dxa"/>
            <w:vAlign w:val="center"/>
          </w:tcPr>
          <w:p w14:paraId="7F663A63">
            <w:pPr>
              <w:pStyle w:val="687"/>
              <w:adjustRightInd w:val="0"/>
              <w:snapToGrid w:val="0"/>
            </w:pPr>
            <w:r>
              <w:rPr>
                <w:rFonts w:hint="eastAsia"/>
              </w:rPr>
              <w:t>废分子筛</w:t>
            </w:r>
          </w:p>
        </w:tc>
        <w:tc>
          <w:tcPr>
            <w:tcW w:w="2933" w:type="dxa"/>
            <w:vMerge w:val="continue"/>
            <w:vAlign w:val="center"/>
          </w:tcPr>
          <w:p w14:paraId="0FDAE566">
            <w:pPr>
              <w:pStyle w:val="687"/>
              <w:adjustRightInd w:val="0"/>
              <w:snapToGrid w:val="0"/>
              <w:rPr>
                <w:bCs/>
              </w:rPr>
            </w:pPr>
          </w:p>
        </w:tc>
      </w:tr>
      <w:bookmarkEnd w:id="197"/>
    </w:tbl>
    <w:p w14:paraId="64861E33">
      <w:pPr>
        <w:pStyle w:val="1379"/>
        <w:ind w:firstLine="440"/>
      </w:pPr>
    </w:p>
    <w:p w14:paraId="1C6C33C7">
      <w:pPr>
        <w:pStyle w:val="702"/>
        <w:adjustRightInd w:val="0"/>
        <w:snapToGrid w:val="0"/>
        <w:spacing w:line="440" w:lineRule="exact"/>
        <w:ind w:firstLine="520"/>
        <w:rPr>
          <w:rFonts w:cs="Times New Roman"/>
        </w:rPr>
      </w:pPr>
    </w:p>
    <w:p w14:paraId="7E0B11C9">
      <w:pPr>
        <w:pStyle w:val="702"/>
        <w:ind w:firstLine="520"/>
        <w:rPr>
          <w:rFonts w:cs="Times New Roman"/>
        </w:rPr>
        <w:sectPr>
          <w:pgSz w:w="11906" w:h="16838"/>
          <w:pgMar w:top="1701" w:right="1588" w:bottom="1588" w:left="1588" w:header="1304" w:footer="1247" w:gutter="0"/>
          <w:cols w:space="720" w:num="1"/>
          <w:docGrid w:linePitch="312" w:charSpace="0"/>
        </w:sectPr>
      </w:pPr>
    </w:p>
    <w:p w14:paraId="1A9839A9">
      <w:pPr>
        <w:pStyle w:val="1065"/>
        <w:keepNext/>
        <w:ind w:firstLine="482"/>
      </w:pPr>
      <w:r>
        <w:rPr>
          <w:rFonts w:hint="eastAsia"/>
        </w:rPr>
        <w:t>表</w:t>
      </w:r>
      <w:r>
        <w:t xml:space="preserve">3.2-11    </w:t>
      </w:r>
      <w:r>
        <w:rPr>
          <w:rFonts w:hint="eastAsia"/>
        </w:rPr>
        <w:t>试采期</w:t>
      </w:r>
      <w:r>
        <w:t>危险废物汇总表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562"/>
        <w:gridCol w:w="854"/>
        <w:gridCol w:w="1282"/>
        <w:gridCol w:w="999"/>
        <w:gridCol w:w="1709"/>
        <w:gridCol w:w="854"/>
        <w:gridCol w:w="1994"/>
        <w:gridCol w:w="996"/>
        <w:gridCol w:w="1140"/>
        <w:gridCol w:w="857"/>
        <w:gridCol w:w="1358"/>
      </w:tblGrid>
      <w:tr w14:paraId="10C1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74" w:type="pct"/>
            <w:vAlign w:val="center"/>
          </w:tcPr>
          <w:p w14:paraId="5CE8BF04">
            <w:pPr>
              <w:adjustRightInd w:val="0"/>
              <w:snapToGrid w:val="0"/>
              <w:ind w:left="-53" w:leftChars="-25" w:right="-53" w:rightChars="-25"/>
              <w:jc w:val="center"/>
              <w:rPr>
                <w:sz w:val="22"/>
              </w:rPr>
            </w:pPr>
            <w:r>
              <w:rPr>
                <w:sz w:val="22"/>
              </w:rPr>
              <w:t>名称</w:t>
            </w:r>
          </w:p>
        </w:tc>
        <w:tc>
          <w:tcPr>
            <w:tcW w:w="314" w:type="pct"/>
            <w:vAlign w:val="center"/>
          </w:tcPr>
          <w:p w14:paraId="67F4E640">
            <w:pPr>
              <w:adjustRightInd w:val="0"/>
              <w:snapToGrid w:val="0"/>
              <w:ind w:left="-53" w:leftChars="-25" w:right="-53" w:rightChars="-25"/>
              <w:jc w:val="center"/>
              <w:rPr>
                <w:sz w:val="22"/>
              </w:rPr>
            </w:pPr>
            <w:r>
              <w:rPr>
                <w:sz w:val="22"/>
              </w:rPr>
              <w:t>类别</w:t>
            </w:r>
          </w:p>
        </w:tc>
        <w:tc>
          <w:tcPr>
            <w:tcW w:w="471" w:type="pct"/>
            <w:vAlign w:val="center"/>
          </w:tcPr>
          <w:p w14:paraId="3932115F">
            <w:pPr>
              <w:adjustRightInd w:val="0"/>
              <w:snapToGrid w:val="0"/>
              <w:ind w:left="-53" w:leftChars="-25" w:right="-53" w:rightChars="-25"/>
              <w:jc w:val="center"/>
              <w:rPr>
                <w:sz w:val="22"/>
              </w:rPr>
            </w:pPr>
            <w:r>
              <w:rPr>
                <w:sz w:val="22"/>
              </w:rPr>
              <w:t>代码</w:t>
            </w:r>
          </w:p>
        </w:tc>
        <w:tc>
          <w:tcPr>
            <w:tcW w:w="367" w:type="pct"/>
            <w:vAlign w:val="center"/>
          </w:tcPr>
          <w:p w14:paraId="50D14779">
            <w:pPr>
              <w:adjustRightInd w:val="0"/>
              <w:snapToGrid w:val="0"/>
              <w:ind w:left="-53" w:leftChars="-25" w:right="-53" w:rightChars="-25"/>
              <w:jc w:val="center"/>
              <w:rPr>
                <w:sz w:val="22"/>
              </w:rPr>
            </w:pPr>
            <w:r>
              <w:rPr>
                <w:sz w:val="22"/>
              </w:rPr>
              <w:t>产生量</w:t>
            </w:r>
          </w:p>
        </w:tc>
        <w:tc>
          <w:tcPr>
            <w:tcW w:w="628" w:type="pct"/>
            <w:vAlign w:val="center"/>
          </w:tcPr>
          <w:p w14:paraId="07AFBE42">
            <w:pPr>
              <w:adjustRightInd w:val="0"/>
              <w:snapToGrid w:val="0"/>
              <w:ind w:left="-53" w:leftChars="-25" w:right="-53" w:rightChars="-25"/>
              <w:jc w:val="center"/>
              <w:rPr>
                <w:sz w:val="22"/>
              </w:rPr>
            </w:pPr>
            <w:r>
              <w:rPr>
                <w:sz w:val="22"/>
              </w:rPr>
              <w:t>产生工序及装置</w:t>
            </w:r>
          </w:p>
        </w:tc>
        <w:tc>
          <w:tcPr>
            <w:tcW w:w="314" w:type="pct"/>
            <w:vAlign w:val="center"/>
          </w:tcPr>
          <w:p w14:paraId="7C22A085">
            <w:pPr>
              <w:adjustRightInd w:val="0"/>
              <w:snapToGrid w:val="0"/>
              <w:ind w:left="-53" w:leftChars="-25" w:right="-53" w:rightChars="-25"/>
              <w:jc w:val="center"/>
              <w:rPr>
                <w:sz w:val="22"/>
              </w:rPr>
            </w:pPr>
            <w:r>
              <w:rPr>
                <w:sz w:val="22"/>
              </w:rPr>
              <w:t>形态</w:t>
            </w:r>
          </w:p>
        </w:tc>
        <w:tc>
          <w:tcPr>
            <w:tcW w:w="733" w:type="pct"/>
            <w:vAlign w:val="center"/>
          </w:tcPr>
          <w:p w14:paraId="4213C68B">
            <w:pPr>
              <w:adjustRightInd w:val="0"/>
              <w:snapToGrid w:val="0"/>
              <w:ind w:left="-53" w:leftChars="-25" w:right="-53" w:rightChars="-25"/>
              <w:jc w:val="center"/>
              <w:rPr>
                <w:sz w:val="22"/>
              </w:rPr>
            </w:pPr>
            <w:r>
              <w:rPr>
                <w:sz w:val="22"/>
              </w:rPr>
              <w:t>主要成分</w:t>
            </w:r>
          </w:p>
        </w:tc>
        <w:tc>
          <w:tcPr>
            <w:tcW w:w="366" w:type="pct"/>
            <w:vAlign w:val="center"/>
          </w:tcPr>
          <w:p w14:paraId="2C796E6C">
            <w:pPr>
              <w:adjustRightInd w:val="0"/>
              <w:snapToGrid w:val="0"/>
              <w:ind w:left="-53" w:leftChars="-25" w:right="-53" w:rightChars="-25"/>
              <w:jc w:val="center"/>
              <w:rPr>
                <w:sz w:val="22"/>
              </w:rPr>
            </w:pPr>
            <w:r>
              <w:rPr>
                <w:sz w:val="22"/>
              </w:rPr>
              <w:t>有害成分</w:t>
            </w:r>
          </w:p>
        </w:tc>
        <w:tc>
          <w:tcPr>
            <w:tcW w:w="419" w:type="pct"/>
            <w:vAlign w:val="center"/>
          </w:tcPr>
          <w:p w14:paraId="655A4646">
            <w:pPr>
              <w:adjustRightInd w:val="0"/>
              <w:snapToGrid w:val="0"/>
              <w:ind w:left="-53" w:leftChars="-25" w:right="-53" w:rightChars="-25"/>
              <w:jc w:val="center"/>
              <w:rPr>
                <w:sz w:val="22"/>
              </w:rPr>
            </w:pPr>
            <w:r>
              <w:rPr>
                <w:sz w:val="22"/>
              </w:rPr>
              <w:t>产废周期</w:t>
            </w:r>
          </w:p>
        </w:tc>
        <w:tc>
          <w:tcPr>
            <w:tcW w:w="315" w:type="pct"/>
            <w:vAlign w:val="center"/>
          </w:tcPr>
          <w:p w14:paraId="5346D8AD">
            <w:pPr>
              <w:adjustRightInd w:val="0"/>
              <w:snapToGrid w:val="0"/>
              <w:ind w:left="-53" w:leftChars="-25" w:right="-53" w:rightChars="-25"/>
              <w:jc w:val="center"/>
              <w:rPr>
                <w:sz w:val="22"/>
              </w:rPr>
            </w:pPr>
            <w:r>
              <w:rPr>
                <w:sz w:val="22"/>
              </w:rPr>
              <w:t>危险特性</w:t>
            </w:r>
          </w:p>
        </w:tc>
        <w:tc>
          <w:tcPr>
            <w:tcW w:w="499" w:type="pct"/>
            <w:vAlign w:val="center"/>
          </w:tcPr>
          <w:p w14:paraId="5FF3383E">
            <w:pPr>
              <w:adjustRightInd w:val="0"/>
              <w:snapToGrid w:val="0"/>
              <w:ind w:left="-53" w:leftChars="-25" w:right="-53" w:rightChars="-25"/>
              <w:jc w:val="center"/>
              <w:rPr>
                <w:sz w:val="22"/>
              </w:rPr>
            </w:pPr>
            <w:r>
              <w:rPr>
                <w:sz w:val="22"/>
              </w:rPr>
              <w:t>污染防治措施</w:t>
            </w:r>
          </w:p>
        </w:tc>
      </w:tr>
      <w:tr w14:paraId="14C8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7" w:hRule="atLeast"/>
          <w:jc w:val="center"/>
        </w:trPr>
        <w:tc>
          <w:tcPr>
            <w:tcW w:w="574" w:type="pct"/>
            <w:vAlign w:val="center"/>
          </w:tcPr>
          <w:p w14:paraId="6AC12276">
            <w:pPr>
              <w:adjustRightInd w:val="0"/>
              <w:snapToGrid w:val="0"/>
              <w:ind w:left="-53" w:leftChars="-25" w:right="-53" w:rightChars="-25"/>
              <w:jc w:val="center"/>
              <w:rPr>
                <w:sz w:val="22"/>
              </w:rPr>
            </w:pPr>
            <w:r>
              <w:rPr>
                <w:sz w:val="22"/>
              </w:rPr>
              <w:t>储罐</w:t>
            </w:r>
            <w:r>
              <w:rPr>
                <w:rFonts w:hint="eastAsia"/>
                <w:sz w:val="22"/>
              </w:rPr>
              <w:t>清掏</w:t>
            </w:r>
            <w:r>
              <w:rPr>
                <w:sz w:val="22"/>
              </w:rPr>
              <w:t>沉渣</w:t>
            </w:r>
          </w:p>
        </w:tc>
        <w:tc>
          <w:tcPr>
            <w:tcW w:w="314" w:type="pct"/>
            <w:vAlign w:val="center"/>
          </w:tcPr>
          <w:p w14:paraId="0E54039A">
            <w:pPr>
              <w:adjustRightInd w:val="0"/>
              <w:snapToGrid w:val="0"/>
              <w:ind w:left="-53" w:leftChars="-25" w:right="-53" w:rightChars="-25"/>
              <w:jc w:val="center"/>
              <w:rPr>
                <w:sz w:val="22"/>
              </w:rPr>
            </w:pPr>
            <w:r>
              <w:rPr>
                <w:sz w:val="22"/>
              </w:rPr>
              <w:t>HW08</w:t>
            </w:r>
          </w:p>
        </w:tc>
        <w:tc>
          <w:tcPr>
            <w:tcW w:w="471" w:type="pct"/>
            <w:vAlign w:val="center"/>
          </w:tcPr>
          <w:p w14:paraId="481AF2A7">
            <w:pPr>
              <w:adjustRightInd w:val="0"/>
              <w:snapToGrid w:val="0"/>
              <w:ind w:left="-53" w:leftChars="-25" w:right="-53" w:rightChars="-25"/>
              <w:jc w:val="center"/>
              <w:rPr>
                <w:sz w:val="22"/>
              </w:rPr>
            </w:pPr>
            <w:r>
              <w:t>900-249-08</w:t>
            </w:r>
          </w:p>
        </w:tc>
        <w:tc>
          <w:tcPr>
            <w:tcW w:w="367" w:type="pct"/>
            <w:vAlign w:val="center"/>
          </w:tcPr>
          <w:p w14:paraId="4CDBC3FD">
            <w:pPr>
              <w:adjustRightInd w:val="0"/>
              <w:snapToGrid w:val="0"/>
              <w:ind w:left="-53" w:leftChars="-25" w:right="-53" w:rightChars="-25"/>
              <w:jc w:val="center"/>
              <w:rPr>
                <w:sz w:val="22"/>
              </w:rPr>
            </w:pPr>
            <w:r>
              <w:rPr>
                <w:sz w:val="22"/>
              </w:rPr>
              <w:t>1.5t/a</w:t>
            </w:r>
          </w:p>
        </w:tc>
        <w:tc>
          <w:tcPr>
            <w:tcW w:w="628" w:type="pct"/>
            <w:vAlign w:val="center"/>
          </w:tcPr>
          <w:p w14:paraId="25FA9A27">
            <w:pPr>
              <w:adjustRightInd w:val="0"/>
              <w:snapToGrid w:val="0"/>
              <w:ind w:left="-53" w:leftChars="-25" w:right="-53" w:rightChars="-25"/>
              <w:jc w:val="center"/>
              <w:rPr>
                <w:sz w:val="22"/>
              </w:rPr>
            </w:pPr>
            <w:r>
              <w:rPr>
                <w:sz w:val="22"/>
              </w:rPr>
              <w:t>储罐</w:t>
            </w:r>
            <w:r>
              <w:rPr>
                <w:rFonts w:hint="eastAsia"/>
                <w:sz w:val="22"/>
              </w:rPr>
              <w:t>清理</w:t>
            </w:r>
          </w:p>
        </w:tc>
        <w:tc>
          <w:tcPr>
            <w:tcW w:w="314" w:type="pct"/>
            <w:vAlign w:val="center"/>
          </w:tcPr>
          <w:p w14:paraId="19F88A76">
            <w:pPr>
              <w:adjustRightInd w:val="0"/>
              <w:snapToGrid w:val="0"/>
              <w:ind w:left="-53" w:leftChars="-25" w:right="-53" w:rightChars="-25"/>
              <w:jc w:val="center"/>
              <w:rPr>
                <w:sz w:val="22"/>
              </w:rPr>
            </w:pPr>
            <w:r>
              <w:rPr>
                <w:sz w:val="22"/>
              </w:rPr>
              <w:t>固态</w:t>
            </w:r>
          </w:p>
        </w:tc>
        <w:tc>
          <w:tcPr>
            <w:tcW w:w="733" w:type="pct"/>
            <w:vAlign w:val="center"/>
          </w:tcPr>
          <w:p w14:paraId="6EE47E7F">
            <w:pPr>
              <w:adjustRightInd w:val="0"/>
              <w:snapToGrid w:val="0"/>
              <w:ind w:left="-53" w:leftChars="-25" w:right="-53" w:rightChars="-25"/>
              <w:jc w:val="center"/>
              <w:rPr>
                <w:sz w:val="22"/>
              </w:rPr>
            </w:pPr>
            <w:r>
              <w:rPr>
                <w:rFonts w:hint="eastAsia"/>
                <w:sz w:val="22"/>
              </w:rPr>
              <w:t>油类物质、</w:t>
            </w:r>
            <w:r>
              <w:rPr>
                <w:sz w:val="22"/>
              </w:rPr>
              <w:t>井内杂屑</w:t>
            </w:r>
          </w:p>
        </w:tc>
        <w:tc>
          <w:tcPr>
            <w:tcW w:w="366" w:type="pct"/>
            <w:vAlign w:val="center"/>
          </w:tcPr>
          <w:p w14:paraId="4ED5BFBA">
            <w:pPr>
              <w:adjustRightInd w:val="0"/>
              <w:snapToGrid w:val="0"/>
              <w:ind w:left="-53" w:leftChars="-25" w:right="-53" w:rightChars="-25"/>
              <w:jc w:val="center"/>
              <w:rPr>
                <w:sz w:val="22"/>
              </w:rPr>
            </w:pPr>
            <w:r>
              <w:rPr>
                <w:sz w:val="22"/>
              </w:rPr>
              <w:t>油类</w:t>
            </w:r>
          </w:p>
        </w:tc>
        <w:tc>
          <w:tcPr>
            <w:tcW w:w="419" w:type="pct"/>
            <w:vAlign w:val="center"/>
          </w:tcPr>
          <w:p w14:paraId="79292A7E">
            <w:pPr>
              <w:adjustRightInd w:val="0"/>
              <w:snapToGrid w:val="0"/>
              <w:ind w:left="-53" w:leftChars="-25" w:right="-53" w:rightChars="-25"/>
              <w:jc w:val="center"/>
              <w:rPr>
                <w:sz w:val="22"/>
              </w:rPr>
            </w:pPr>
            <w:r>
              <w:rPr>
                <w:sz w:val="22"/>
              </w:rPr>
              <w:t>1</w:t>
            </w:r>
            <w:r>
              <w:rPr>
                <w:rFonts w:hint="eastAsia"/>
                <w:sz w:val="22"/>
              </w:rPr>
              <w:t>年</w:t>
            </w:r>
          </w:p>
        </w:tc>
        <w:tc>
          <w:tcPr>
            <w:tcW w:w="315" w:type="pct"/>
            <w:vAlign w:val="center"/>
          </w:tcPr>
          <w:p w14:paraId="3B502181">
            <w:pPr>
              <w:adjustRightInd w:val="0"/>
              <w:snapToGrid w:val="0"/>
              <w:ind w:left="-53" w:leftChars="-25" w:right="-53" w:rightChars="-25"/>
              <w:jc w:val="center"/>
              <w:rPr>
                <w:sz w:val="22"/>
              </w:rPr>
            </w:pPr>
            <w:r>
              <w:rPr>
                <w:rFonts w:hint="eastAsia"/>
                <w:sz w:val="22"/>
              </w:rPr>
              <w:t>T，I</w:t>
            </w:r>
          </w:p>
        </w:tc>
        <w:tc>
          <w:tcPr>
            <w:tcW w:w="499" w:type="pct"/>
            <w:vMerge w:val="restart"/>
            <w:vAlign w:val="center"/>
          </w:tcPr>
          <w:p w14:paraId="0C2223EA">
            <w:pPr>
              <w:adjustRightInd w:val="0"/>
              <w:snapToGrid w:val="0"/>
              <w:ind w:left="-53" w:leftChars="-25" w:right="-53" w:rightChars="-25"/>
              <w:jc w:val="center"/>
              <w:rPr>
                <w:sz w:val="22"/>
              </w:rPr>
            </w:pPr>
            <w:r>
              <w:rPr>
                <w:rFonts w:hint="eastAsia"/>
                <w:bCs/>
                <w:sz w:val="22"/>
                <w:szCs w:val="26"/>
              </w:rPr>
              <w:t>即产即运，由作业区收集后</w:t>
            </w:r>
            <w:r>
              <w:rPr>
                <w:rFonts w:hint="eastAsia"/>
                <w:sz w:val="22"/>
              </w:rPr>
              <w:t>暂存于河飞2</w:t>
            </w:r>
            <w:r>
              <w:rPr>
                <w:sz w:val="22"/>
              </w:rPr>
              <w:t>03</w:t>
            </w:r>
            <w:r>
              <w:rPr>
                <w:rFonts w:hint="eastAsia"/>
                <w:sz w:val="22"/>
              </w:rPr>
              <w:t>中心站危废暂存间，统一交由资质单位处置。</w:t>
            </w:r>
          </w:p>
        </w:tc>
      </w:tr>
      <w:tr w14:paraId="0E7C6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4" w:hRule="atLeast"/>
          <w:jc w:val="center"/>
        </w:trPr>
        <w:tc>
          <w:tcPr>
            <w:tcW w:w="574" w:type="pct"/>
            <w:vAlign w:val="center"/>
          </w:tcPr>
          <w:p w14:paraId="699DBC92">
            <w:pPr>
              <w:adjustRightInd w:val="0"/>
              <w:snapToGrid w:val="0"/>
              <w:ind w:left="-53" w:leftChars="-25" w:right="-53" w:rightChars="-25"/>
              <w:jc w:val="center"/>
              <w:rPr>
                <w:sz w:val="22"/>
              </w:rPr>
            </w:pPr>
            <w:r>
              <w:rPr>
                <w:bCs/>
                <w:sz w:val="22"/>
              </w:rPr>
              <w:t>检修废渣</w:t>
            </w:r>
          </w:p>
        </w:tc>
        <w:tc>
          <w:tcPr>
            <w:tcW w:w="314" w:type="pct"/>
            <w:vAlign w:val="center"/>
          </w:tcPr>
          <w:p w14:paraId="63582107">
            <w:pPr>
              <w:adjustRightInd w:val="0"/>
              <w:snapToGrid w:val="0"/>
              <w:ind w:left="-53" w:leftChars="-25" w:right="-53" w:rightChars="-25"/>
              <w:jc w:val="center"/>
              <w:rPr>
                <w:sz w:val="22"/>
              </w:rPr>
            </w:pPr>
            <w:r>
              <w:rPr>
                <w:sz w:val="22"/>
              </w:rPr>
              <w:t>HW08</w:t>
            </w:r>
          </w:p>
        </w:tc>
        <w:tc>
          <w:tcPr>
            <w:tcW w:w="471" w:type="pct"/>
            <w:vAlign w:val="center"/>
          </w:tcPr>
          <w:p w14:paraId="46F7EA46">
            <w:pPr>
              <w:adjustRightInd w:val="0"/>
              <w:snapToGrid w:val="0"/>
              <w:ind w:left="-53" w:leftChars="-25" w:right="-53" w:rightChars="-25"/>
              <w:jc w:val="center"/>
              <w:rPr>
                <w:sz w:val="22"/>
              </w:rPr>
            </w:pPr>
            <w:r>
              <w:t>900-249-08</w:t>
            </w:r>
          </w:p>
        </w:tc>
        <w:tc>
          <w:tcPr>
            <w:tcW w:w="367" w:type="pct"/>
            <w:vAlign w:val="center"/>
          </w:tcPr>
          <w:p w14:paraId="2FE36C60">
            <w:pPr>
              <w:adjustRightInd w:val="0"/>
              <w:snapToGrid w:val="0"/>
              <w:ind w:left="-53" w:leftChars="-25" w:right="-53" w:rightChars="-25"/>
              <w:jc w:val="center"/>
              <w:rPr>
                <w:sz w:val="22"/>
              </w:rPr>
            </w:pPr>
            <w:r>
              <w:rPr>
                <w:sz w:val="22"/>
              </w:rPr>
              <w:t>2.0kg/a</w:t>
            </w:r>
          </w:p>
        </w:tc>
        <w:tc>
          <w:tcPr>
            <w:tcW w:w="628" w:type="pct"/>
            <w:vAlign w:val="center"/>
          </w:tcPr>
          <w:p w14:paraId="42C17CC3">
            <w:pPr>
              <w:adjustRightInd w:val="0"/>
              <w:snapToGrid w:val="0"/>
              <w:ind w:left="-53" w:leftChars="-25" w:right="-53" w:rightChars="-25"/>
              <w:jc w:val="center"/>
              <w:rPr>
                <w:sz w:val="22"/>
              </w:rPr>
            </w:pPr>
            <w:r>
              <w:rPr>
                <w:sz w:val="22"/>
              </w:rPr>
              <w:t>检修作业</w:t>
            </w:r>
          </w:p>
        </w:tc>
        <w:tc>
          <w:tcPr>
            <w:tcW w:w="314" w:type="pct"/>
            <w:vAlign w:val="center"/>
          </w:tcPr>
          <w:p w14:paraId="13DC0F2C">
            <w:pPr>
              <w:adjustRightInd w:val="0"/>
              <w:snapToGrid w:val="0"/>
              <w:ind w:left="-53" w:leftChars="-25" w:right="-53" w:rightChars="-25"/>
              <w:jc w:val="center"/>
              <w:rPr>
                <w:sz w:val="22"/>
              </w:rPr>
            </w:pPr>
            <w:r>
              <w:rPr>
                <w:sz w:val="22"/>
              </w:rPr>
              <w:t>固态</w:t>
            </w:r>
          </w:p>
        </w:tc>
        <w:tc>
          <w:tcPr>
            <w:tcW w:w="733" w:type="pct"/>
            <w:vAlign w:val="center"/>
          </w:tcPr>
          <w:p w14:paraId="7C3EC5A6">
            <w:pPr>
              <w:adjustRightInd w:val="0"/>
              <w:snapToGrid w:val="0"/>
              <w:ind w:left="-53" w:leftChars="-25" w:right="-53" w:rightChars="-25"/>
              <w:jc w:val="center"/>
              <w:rPr>
                <w:sz w:val="22"/>
              </w:rPr>
            </w:pPr>
            <w:r>
              <w:rPr>
                <w:rFonts w:hint="eastAsia"/>
                <w:sz w:val="22"/>
              </w:rPr>
              <w:t>油类物质、</w:t>
            </w:r>
            <w:r>
              <w:rPr>
                <w:sz w:val="22"/>
              </w:rPr>
              <w:t>井内杂屑</w:t>
            </w:r>
          </w:p>
        </w:tc>
        <w:tc>
          <w:tcPr>
            <w:tcW w:w="366" w:type="pct"/>
            <w:vAlign w:val="center"/>
          </w:tcPr>
          <w:p w14:paraId="0F317A21">
            <w:pPr>
              <w:adjustRightInd w:val="0"/>
              <w:snapToGrid w:val="0"/>
              <w:ind w:left="-53" w:leftChars="-25" w:right="-53" w:rightChars="-25"/>
              <w:jc w:val="center"/>
              <w:rPr>
                <w:sz w:val="22"/>
              </w:rPr>
            </w:pPr>
            <w:r>
              <w:rPr>
                <w:sz w:val="22"/>
              </w:rPr>
              <w:t>油类</w:t>
            </w:r>
          </w:p>
        </w:tc>
        <w:tc>
          <w:tcPr>
            <w:tcW w:w="419" w:type="pct"/>
            <w:vAlign w:val="center"/>
          </w:tcPr>
          <w:p w14:paraId="7826EB2C">
            <w:pPr>
              <w:adjustRightInd w:val="0"/>
              <w:snapToGrid w:val="0"/>
              <w:ind w:left="-53" w:leftChars="-25" w:right="-53" w:rightChars="-25"/>
              <w:jc w:val="center"/>
              <w:rPr>
                <w:sz w:val="22"/>
              </w:rPr>
            </w:pPr>
            <w:r>
              <w:rPr>
                <w:rFonts w:hint="eastAsia"/>
                <w:sz w:val="22"/>
              </w:rPr>
              <w:t>1年</w:t>
            </w:r>
          </w:p>
        </w:tc>
        <w:tc>
          <w:tcPr>
            <w:tcW w:w="315" w:type="pct"/>
            <w:vAlign w:val="center"/>
          </w:tcPr>
          <w:p w14:paraId="0818F71E">
            <w:pPr>
              <w:adjustRightInd w:val="0"/>
              <w:snapToGrid w:val="0"/>
              <w:ind w:left="-53" w:leftChars="-25" w:right="-53" w:rightChars="-25"/>
              <w:jc w:val="center"/>
              <w:rPr>
                <w:sz w:val="22"/>
              </w:rPr>
            </w:pPr>
            <w:r>
              <w:rPr>
                <w:rFonts w:hint="eastAsia"/>
                <w:sz w:val="22"/>
              </w:rPr>
              <w:t>T，I</w:t>
            </w:r>
          </w:p>
        </w:tc>
        <w:tc>
          <w:tcPr>
            <w:tcW w:w="499" w:type="pct"/>
            <w:vMerge w:val="continue"/>
            <w:vAlign w:val="center"/>
          </w:tcPr>
          <w:p w14:paraId="40CCDE64">
            <w:pPr>
              <w:adjustRightInd w:val="0"/>
              <w:snapToGrid w:val="0"/>
              <w:ind w:left="-53" w:leftChars="-25" w:right="-53" w:rightChars="-25"/>
              <w:jc w:val="center"/>
              <w:rPr>
                <w:sz w:val="22"/>
              </w:rPr>
            </w:pPr>
          </w:p>
        </w:tc>
      </w:tr>
      <w:tr w14:paraId="73C2D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574" w:type="pct"/>
            <w:vAlign w:val="center"/>
          </w:tcPr>
          <w:p w14:paraId="5598131D">
            <w:pPr>
              <w:adjustRightInd w:val="0"/>
              <w:snapToGrid w:val="0"/>
              <w:ind w:left="-53" w:leftChars="-25" w:right="-53" w:rightChars="-25"/>
              <w:jc w:val="center"/>
              <w:rPr>
                <w:bCs/>
                <w:sz w:val="22"/>
              </w:rPr>
            </w:pPr>
            <w:r>
              <w:rPr>
                <w:rFonts w:hint="eastAsia"/>
                <w:bCs/>
                <w:sz w:val="22"/>
              </w:rPr>
              <w:t>废油</w:t>
            </w:r>
          </w:p>
        </w:tc>
        <w:tc>
          <w:tcPr>
            <w:tcW w:w="314" w:type="pct"/>
            <w:vAlign w:val="center"/>
          </w:tcPr>
          <w:p w14:paraId="462235EC">
            <w:pPr>
              <w:adjustRightInd w:val="0"/>
              <w:snapToGrid w:val="0"/>
              <w:ind w:left="-53" w:leftChars="-25" w:right="-53" w:rightChars="-25"/>
              <w:jc w:val="center"/>
              <w:rPr>
                <w:sz w:val="22"/>
              </w:rPr>
            </w:pPr>
            <w:r>
              <w:rPr>
                <w:sz w:val="22"/>
              </w:rPr>
              <w:t>HW08</w:t>
            </w:r>
          </w:p>
        </w:tc>
        <w:tc>
          <w:tcPr>
            <w:tcW w:w="471" w:type="pct"/>
            <w:vAlign w:val="center"/>
          </w:tcPr>
          <w:p w14:paraId="297B7846">
            <w:pPr>
              <w:adjustRightInd w:val="0"/>
              <w:snapToGrid w:val="0"/>
              <w:ind w:left="-53" w:leftChars="-25" w:right="-53" w:rightChars="-25"/>
              <w:jc w:val="center"/>
              <w:rPr>
                <w:bCs/>
                <w:sz w:val="22"/>
              </w:rPr>
            </w:pPr>
            <w:r>
              <w:t>900-249-08</w:t>
            </w:r>
          </w:p>
        </w:tc>
        <w:tc>
          <w:tcPr>
            <w:tcW w:w="367" w:type="pct"/>
            <w:vAlign w:val="center"/>
          </w:tcPr>
          <w:p w14:paraId="00C1F198">
            <w:pPr>
              <w:adjustRightInd w:val="0"/>
              <w:snapToGrid w:val="0"/>
              <w:ind w:left="-53" w:leftChars="-25" w:right="-53" w:rightChars="-25"/>
              <w:jc w:val="center"/>
              <w:rPr>
                <w:sz w:val="22"/>
              </w:rPr>
            </w:pPr>
            <w:r>
              <w:rPr>
                <w:sz w:val="22"/>
              </w:rPr>
              <w:t>3.0t/a</w:t>
            </w:r>
          </w:p>
        </w:tc>
        <w:tc>
          <w:tcPr>
            <w:tcW w:w="628" w:type="pct"/>
            <w:vAlign w:val="center"/>
          </w:tcPr>
          <w:p w14:paraId="2B5E17BB">
            <w:pPr>
              <w:adjustRightInd w:val="0"/>
              <w:snapToGrid w:val="0"/>
              <w:ind w:left="-53" w:leftChars="-25" w:right="-53" w:rightChars="-25"/>
              <w:jc w:val="center"/>
              <w:rPr>
                <w:sz w:val="22"/>
              </w:rPr>
            </w:pPr>
            <w:r>
              <w:rPr>
                <w:rFonts w:hint="eastAsia"/>
                <w:sz w:val="22"/>
              </w:rPr>
              <w:t>维护、保养作业</w:t>
            </w:r>
          </w:p>
        </w:tc>
        <w:tc>
          <w:tcPr>
            <w:tcW w:w="314" w:type="pct"/>
            <w:vAlign w:val="center"/>
          </w:tcPr>
          <w:p w14:paraId="53C12DA9">
            <w:pPr>
              <w:adjustRightInd w:val="0"/>
              <w:snapToGrid w:val="0"/>
              <w:ind w:left="-53" w:leftChars="-25" w:right="-53" w:rightChars="-25"/>
              <w:jc w:val="center"/>
              <w:rPr>
                <w:sz w:val="22"/>
              </w:rPr>
            </w:pPr>
            <w:r>
              <w:rPr>
                <w:rFonts w:hint="eastAsia"/>
                <w:sz w:val="22"/>
              </w:rPr>
              <w:t>液态</w:t>
            </w:r>
          </w:p>
        </w:tc>
        <w:tc>
          <w:tcPr>
            <w:tcW w:w="733" w:type="pct"/>
            <w:vAlign w:val="center"/>
          </w:tcPr>
          <w:p w14:paraId="350191BC">
            <w:pPr>
              <w:adjustRightInd w:val="0"/>
              <w:snapToGrid w:val="0"/>
              <w:ind w:left="-53" w:leftChars="-25" w:right="-53" w:rightChars="-25"/>
              <w:jc w:val="center"/>
              <w:rPr>
                <w:sz w:val="22"/>
              </w:rPr>
            </w:pPr>
            <w:r>
              <w:rPr>
                <w:sz w:val="22"/>
                <w:szCs w:val="22"/>
              </w:rPr>
              <w:t>油类、烃类等</w:t>
            </w:r>
          </w:p>
        </w:tc>
        <w:tc>
          <w:tcPr>
            <w:tcW w:w="366" w:type="pct"/>
            <w:vAlign w:val="center"/>
          </w:tcPr>
          <w:p w14:paraId="1840B9A8">
            <w:pPr>
              <w:adjustRightInd w:val="0"/>
              <w:snapToGrid w:val="0"/>
              <w:ind w:left="-53" w:leftChars="-25" w:right="-53" w:rightChars="-25"/>
              <w:jc w:val="center"/>
              <w:rPr>
                <w:sz w:val="22"/>
              </w:rPr>
            </w:pPr>
            <w:r>
              <w:rPr>
                <w:sz w:val="22"/>
              </w:rPr>
              <w:t>油类</w:t>
            </w:r>
          </w:p>
        </w:tc>
        <w:tc>
          <w:tcPr>
            <w:tcW w:w="419" w:type="pct"/>
            <w:vAlign w:val="center"/>
          </w:tcPr>
          <w:p w14:paraId="061F2C24">
            <w:pPr>
              <w:adjustRightInd w:val="0"/>
              <w:snapToGrid w:val="0"/>
              <w:ind w:left="-53" w:leftChars="-25" w:right="-53" w:rightChars="-25"/>
              <w:jc w:val="center"/>
              <w:rPr>
                <w:sz w:val="22"/>
              </w:rPr>
            </w:pPr>
            <w:r>
              <w:rPr>
                <w:rFonts w:hint="eastAsia"/>
                <w:sz w:val="22"/>
              </w:rPr>
              <w:t>1年</w:t>
            </w:r>
          </w:p>
        </w:tc>
        <w:tc>
          <w:tcPr>
            <w:tcW w:w="315" w:type="pct"/>
            <w:vAlign w:val="center"/>
          </w:tcPr>
          <w:p w14:paraId="74ED06D7">
            <w:pPr>
              <w:adjustRightInd w:val="0"/>
              <w:snapToGrid w:val="0"/>
              <w:ind w:left="-53" w:leftChars="-25" w:right="-53" w:rightChars="-25"/>
              <w:jc w:val="center"/>
              <w:rPr>
                <w:sz w:val="22"/>
              </w:rPr>
            </w:pPr>
            <w:r>
              <w:rPr>
                <w:rFonts w:hint="eastAsia"/>
                <w:sz w:val="22"/>
              </w:rPr>
              <w:t>T，I</w:t>
            </w:r>
          </w:p>
        </w:tc>
        <w:tc>
          <w:tcPr>
            <w:tcW w:w="499" w:type="pct"/>
            <w:vMerge w:val="continue"/>
            <w:vAlign w:val="center"/>
          </w:tcPr>
          <w:p w14:paraId="442C54ED">
            <w:pPr>
              <w:adjustRightInd w:val="0"/>
              <w:snapToGrid w:val="0"/>
              <w:ind w:left="-53" w:leftChars="-25" w:right="-53" w:rightChars="-25"/>
              <w:jc w:val="center"/>
              <w:rPr>
                <w:sz w:val="22"/>
              </w:rPr>
            </w:pPr>
          </w:p>
        </w:tc>
      </w:tr>
      <w:tr w14:paraId="0E352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3" w:hRule="atLeast"/>
          <w:jc w:val="center"/>
        </w:trPr>
        <w:tc>
          <w:tcPr>
            <w:tcW w:w="574" w:type="pct"/>
            <w:vAlign w:val="center"/>
          </w:tcPr>
          <w:p w14:paraId="145D1D24">
            <w:pPr>
              <w:adjustRightInd w:val="0"/>
              <w:snapToGrid w:val="0"/>
              <w:ind w:left="-53" w:leftChars="-25" w:right="-53" w:rightChars="-25"/>
              <w:jc w:val="center"/>
              <w:rPr>
                <w:bCs/>
                <w:sz w:val="22"/>
              </w:rPr>
            </w:pPr>
            <w:r>
              <w:rPr>
                <w:sz w:val="22"/>
                <w:szCs w:val="22"/>
              </w:rPr>
              <w:t>废油桶</w:t>
            </w:r>
          </w:p>
        </w:tc>
        <w:tc>
          <w:tcPr>
            <w:tcW w:w="314" w:type="pct"/>
            <w:vAlign w:val="center"/>
          </w:tcPr>
          <w:p w14:paraId="5333AE24">
            <w:pPr>
              <w:adjustRightInd w:val="0"/>
              <w:snapToGrid w:val="0"/>
              <w:ind w:left="-53" w:leftChars="-25" w:right="-53" w:rightChars="-25"/>
              <w:jc w:val="center"/>
              <w:rPr>
                <w:sz w:val="22"/>
              </w:rPr>
            </w:pPr>
            <w:r>
              <w:rPr>
                <w:sz w:val="22"/>
                <w:szCs w:val="22"/>
              </w:rPr>
              <w:t>HW08</w:t>
            </w:r>
          </w:p>
        </w:tc>
        <w:tc>
          <w:tcPr>
            <w:tcW w:w="471" w:type="pct"/>
            <w:vAlign w:val="center"/>
          </w:tcPr>
          <w:p w14:paraId="00AC8089">
            <w:pPr>
              <w:adjustRightInd w:val="0"/>
              <w:snapToGrid w:val="0"/>
              <w:ind w:left="-53" w:leftChars="-25" w:right="-53" w:rightChars="-25"/>
              <w:jc w:val="center"/>
            </w:pPr>
            <w:r>
              <w:rPr>
                <w:sz w:val="22"/>
                <w:szCs w:val="22"/>
              </w:rPr>
              <w:t>900-249-08</w:t>
            </w:r>
          </w:p>
        </w:tc>
        <w:tc>
          <w:tcPr>
            <w:tcW w:w="367" w:type="pct"/>
            <w:vAlign w:val="center"/>
          </w:tcPr>
          <w:p w14:paraId="74CBB8FF">
            <w:pPr>
              <w:adjustRightInd w:val="0"/>
              <w:snapToGrid w:val="0"/>
              <w:ind w:left="-53" w:leftChars="-25" w:right="-53" w:rightChars="-25"/>
              <w:jc w:val="center"/>
              <w:rPr>
                <w:sz w:val="22"/>
              </w:rPr>
            </w:pPr>
            <w:r>
              <w:rPr>
                <w:rFonts w:hint="eastAsia"/>
                <w:sz w:val="22"/>
              </w:rPr>
              <w:t>0</w:t>
            </w:r>
            <w:r>
              <w:rPr>
                <w:sz w:val="22"/>
              </w:rPr>
              <w:t>.05t/a</w:t>
            </w:r>
          </w:p>
        </w:tc>
        <w:tc>
          <w:tcPr>
            <w:tcW w:w="628" w:type="pct"/>
            <w:vAlign w:val="center"/>
          </w:tcPr>
          <w:p w14:paraId="4684F570">
            <w:pPr>
              <w:adjustRightInd w:val="0"/>
              <w:snapToGrid w:val="0"/>
              <w:ind w:left="-53" w:leftChars="-25" w:right="-53" w:rightChars="-25"/>
              <w:jc w:val="center"/>
              <w:rPr>
                <w:sz w:val="22"/>
              </w:rPr>
            </w:pPr>
            <w:r>
              <w:rPr>
                <w:rFonts w:hint="eastAsia"/>
                <w:sz w:val="22"/>
              </w:rPr>
              <w:t>维护、保养作业</w:t>
            </w:r>
          </w:p>
        </w:tc>
        <w:tc>
          <w:tcPr>
            <w:tcW w:w="314" w:type="pct"/>
            <w:vAlign w:val="center"/>
          </w:tcPr>
          <w:p w14:paraId="75C8B728">
            <w:pPr>
              <w:adjustRightInd w:val="0"/>
              <w:snapToGrid w:val="0"/>
              <w:ind w:left="-53" w:leftChars="-25" w:right="-53" w:rightChars="-25"/>
              <w:jc w:val="center"/>
              <w:rPr>
                <w:sz w:val="22"/>
              </w:rPr>
            </w:pPr>
            <w:r>
              <w:rPr>
                <w:sz w:val="22"/>
              </w:rPr>
              <w:t>固态</w:t>
            </w:r>
          </w:p>
        </w:tc>
        <w:tc>
          <w:tcPr>
            <w:tcW w:w="733" w:type="pct"/>
            <w:vAlign w:val="center"/>
          </w:tcPr>
          <w:p w14:paraId="302761D5">
            <w:pPr>
              <w:adjustRightInd w:val="0"/>
              <w:snapToGrid w:val="0"/>
              <w:ind w:left="-53" w:leftChars="-25" w:right="-53" w:rightChars="-25"/>
              <w:jc w:val="center"/>
              <w:rPr>
                <w:sz w:val="22"/>
                <w:szCs w:val="21"/>
              </w:rPr>
            </w:pPr>
            <w:r>
              <w:rPr>
                <w:sz w:val="22"/>
                <w:szCs w:val="22"/>
              </w:rPr>
              <w:t>油类</w:t>
            </w:r>
          </w:p>
        </w:tc>
        <w:tc>
          <w:tcPr>
            <w:tcW w:w="366" w:type="pct"/>
            <w:vAlign w:val="center"/>
          </w:tcPr>
          <w:p w14:paraId="71E0FC39">
            <w:pPr>
              <w:adjustRightInd w:val="0"/>
              <w:snapToGrid w:val="0"/>
              <w:ind w:left="-53" w:leftChars="-25" w:right="-53" w:rightChars="-25"/>
              <w:jc w:val="center"/>
              <w:rPr>
                <w:sz w:val="22"/>
              </w:rPr>
            </w:pPr>
            <w:r>
              <w:rPr>
                <w:sz w:val="22"/>
                <w:szCs w:val="22"/>
              </w:rPr>
              <w:t>油类</w:t>
            </w:r>
          </w:p>
        </w:tc>
        <w:tc>
          <w:tcPr>
            <w:tcW w:w="419" w:type="pct"/>
            <w:vAlign w:val="center"/>
          </w:tcPr>
          <w:p w14:paraId="5F38FA5C">
            <w:pPr>
              <w:adjustRightInd w:val="0"/>
              <w:snapToGrid w:val="0"/>
              <w:ind w:left="-53" w:leftChars="-25" w:right="-53" w:rightChars="-25"/>
              <w:jc w:val="center"/>
              <w:rPr>
                <w:sz w:val="22"/>
              </w:rPr>
            </w:pPr>
            <w:r>
              <w:rPr>
                <w:rFonts w:hint="eastAsia"/>
                <w:sz w:val="22"/>
              </w:rPr>
              <w:t>1年</w:t>
            </w:r>
          </w:p>
        </w:tc>
        <w:tc>
          <w:tcPr>
            <w:tcW w:w="315" w:type="pct"/>
            <w:vAlign w:val="center"/>
          </w:tcPr>
          <w:p w14:paraId="27E98BBE">
            <w:pPr>
              <w:adjustRightInd w:val="0"/>
              <w:snapToGrid w:val="0"/>
              <w:ind w:left="-53" w:leftChars="-25" w:right="-53" w:rightChars="-25"/>
              <w:jc w:val="center"/>
              <w:rPr>
                <w:sz w:val="22"/>
              </w:rPr>
            </w:pPr>
            <w:r>
              <w:rPr>
                <w:rFonts w:hint="eastAsia"/>
                <w:sz w:val="22"/>
              </w:rPr>
              <w:t>T，I</w:t>
            </w:r>
          </w:p>
        </w:tc>
        <w:tc>
          <w:tcPr>
            <w:tcW w:w="499" w:type="pct"/>
            <w:vMerge w:val="continue"/>
            <w:vAlign w:val="center"/>
          </w:tcPr>
          <w:p w14:paraId="45A2B637">
            <w:pPr>
              <w:adjustRightInd w:val="0"/>
              <w:snapToGrid w:val="0"/>
              <w:ind w:left="-53" w:leftChars="-25" w:right="-53" w:rightChars="-25"/>
              <w:jc w:val="center"/>
              <w:rPr>
                <w:sz w:val="22"/>
              </w:rPr>
            </w:pPr>
          </w:p>
        </w:tc>
      </w:tr>
      <w:tr w14:paraId="550D4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74" w:type="pct"/>
            <w:vAlign w:val="center"/>
          </w:tcPr>
          <w:p w14:paraId="28FFDABE">
            <w:pPr>
              <w:adjustRightInd w:val="0"/>
              <w:snapToGrid w:val="0"/>
              <w:ind w:left="-53" w:leftChars="-25" w:right="-53" w:rightChars="-25"/>
              <w:jc w:val="center"/>
              <w:rPr>
                <w:bCs/>
                <w:sz w:val="22"/>
              </w:rPr>
            </w:pPr>
            <w:r>
              <w:rPr>
                <w:sz w:val="22"/>
                <w:szCs w:val="22"/>
              </w:rPr>
              <w:t>含油抹布及手套</w:t>
            </w:r>
          </w:p>
        </w:tc>
        <w:tc>
          <w:tcPr>
            <w:tcW w:w="314" w:type="pct"/>
            <w:vAlign w:val="center"/>
          </w:tcPr>
          <w:p w14:paraId="7A776218">
            <w:pPr>
              <w:adjustRightInd w:val="0"/>
              <w:snapToGrid w:val="0"/>
              <w:ind w:left="-53" w:leftChars="-25" w:right="-53" w:rightChars="-25"/>
              <w:jc w:val="center"/>
              <w:rPr>
                <w:sz w:val="22"/>
              </w:rPr>
            </w:pPr>
            <w:r>
              <w:rPr>
                <w:sz w:val="22"/>
                <w:szCs w:val="22"/>
              </w:rPr>
              <w:t>HW49</w:t>
            </w:r>
          </w:p>
        </w:tc>
        <w:tc>
          <w:tcPr>
            <w:tcW w:w="471" w:type="pct"/>
            <w:vAlign w:val="center"/>
          </w:tcPr>
          <w:p w14:paraId="50FB1FF7">
            <w:pPr>
              <w:adjustRightInd w:val="0"/>
              <w:snapToGrid w:val="0"/>
              <w:ind w:left="-53" w:leftChars="-25" w:right="-53" w:rightChars="-25"/>
              <w:jc w:val="center"/>
            </w:pPr>
            <w:r>
              <w:t>900-249-08</w:t>
            </w:r>
          </w:p>
        </w:tc>
        <w:tc>
          <w:tcPr>
            <w:tcW w:w="367" w:type="pct"/>
            <w:vAlign w:val="center"/>
          </w:tcPr>
          <w:p w14:paraId="4D061A46">
            <w:pPr>
              <w:adjustRightInd w:val="0"/>
              <w:snapToGrid w:val="0"/>
              <w:ind w:left="-53" w:leftChars="-25" w:right="-53" w:rightChars="-25"/>
              <w:jc w:val="center"/>
              <w:rPr>
                <w:sz w:val="22"/>
              </w:rPr>
            </w:pPr>
            <w:r>
              <w:rPr>
                <w:rFonts w:hint="eastAsia"/>
                <w:sz w:val="22"/>
              </w:rPr>
              <w:t>0</w:t>
            </w:r>
            <w:r>
              <w:rPr>
                <w:sz w:val="22"/>
              </w:rPr>
              <w:t>.01t/a</w:t>
            </w:r>
          </w:p>
        </w:tc>
        <w:tc>
          <w:tcPr>
            <w:tcW w:w="628" w:type="pct"/>
            <w:vAlign w:val="center"/>
          </w:tcPr>
          <w:p w14:paraId="7E2ADD92">
            <w:pPr>
              <w:adjustRightInd w:val="0"/>
              <w:snapToGrid w:val="0"/>
              <w:ind w:left="-53" w:leftChars="-25" w:right="-53" w:rightChars="-25"/>
              <w:jc w:val="center"/>
              <w:rPr>
                <w:sz w:val="22"/>
              </w:rPr>
            </w:pPr>
            <w:r>
              <w:rPr>
                <w:rFonts w:hint="eastAsia"/>
                <w:sz w:val="22"/>
              </w:rPr>
              <w:t>维护、保养作业</w:t>
            </w:r>
          </w:p>
        </w:tc>
        <w:tc>
          <w:tcPr>
            <w:tcW w:w="314" w:type="pct"/>
            <w:vAlign w:val="center"/>
          </w:tcPr>
          <w:p w14:paraId="4D832AB1">
            <w:pPr>
              <w:adjustRightInd w:val="0"/>
              <w:snapToGrid w:val="0"/>
              <w:ind w:left="-53" w:leftChars="-25" w:right="-53" w:rightChars="-25"/>
              <w:jc w:val="center"/>
              <w:rPr>
                <w:sz w:val="22"/>
              </w:rPr>
            </w:pPr>
            <w:r>
              <w:rPr>
                <w:sz w:val="22"/>
              </w:rPr>
              <w:t>固态</w:t>
            </w:r>
          </w:p>
        </w:tc>
        <w:tc>
          <w:tcPr>
            <w:tcW w:w="733" w:type="pct"/>
            <w:vAlign w:val="center"/>
          </w:tcPr>
          <w:p w14:paraId="3C099D7F">
            <w:pPr>
              <w:adjustRightInd w:val="0"/>
              <w:snapToGrid w:val="0"/>
              <w:ind w:left="-53" w:leftChars="-25" w:right="-53" w:rightChars="-25"/>
              <w:jc w:val="center"/>
              <w:rPr>
                <w:sz w:val="22"/>
                <w:szCs w:val="21"/>
              </w:rPr>
            </w:pPr>
            <w:r>
              <w:rPr>
                <w:sz w:val="22"/>
                <w:szCs w:val="22"/>
              </w:rPr>
              <w:t>油类</w:t>
            </w:r>
          </w:p>
        </w:tc>
        <w:tc>
          <w:tcPr>
            <w:tcW w:w="366" w:type="pct"/>
            <w:vAlign w:val="center"/>
          </w:tcPr>
          <w:p w14:paraId="57EBD8C4">
            <w:pPr>
              <w:adjustRightInd w:val="0"/>
              <w:snapToGrid w:val="0"/>
              <w:ind w:left="-53" w:leftChars="-25" w:right="-53" w:rightChars="-25"/>
              <w:jc w:val="center"/>
              <w:rPr>
                <w:sz w:val="22"/>
              </w:rPr>
            </w:pPr>
            <w:r>
              <w:rPr>
                <w:sz w:val="22"/>
                <w:szCs w:val="22"/>
              </w:rPr>
              <w:t>油类</w:t>
            </w:r>
          </w:p>
        </w:tc>
        <w:tc>
          <w:tcPr>
            <w:tcW w:w="419" w:type="pct"/>
            <w:vAlign w:val="center"/>
          </w:tcPr>
          <w:p w14:paraId="0DE7C9EC">
            <w:pPr>
              <w:adjustRightInd w:val="0"/>
              <w:snapToGrid w:val="0"/>
              <w:ind w:left="-53" w:leftChars="-25" w:right="-53" w:rightChars="-25"/>
              <w:jc w:val="center"/>
              <w:rPr>
                <w:sz w:val="22"/>
              </w:rPr>
            </w:pPr>
            <w:r>
              <w:rPr>
                <w:rFonts w:hint="eastAsia"/>
                <w:sz w:val="22"/>
              </w:rPr>
              <w:t>1年</w:t>
            </w:r>
          </w:p>
        </w:tc>
        <w:tc>
          <w:tcPr>
            <w:tcW w:w="315" w:type="pct"/>
            <w:vAlign w:val="center"/>
          </w:tcPr>
          <w:p w14:paraId="103A19BC">
            <w:pPr>
              <w:adjustRightInd w:val="0"/>
              <w:snapToGrid w:val="0"/>
              <w:ind w:left="-53" w:leftChars="-25" w:right="-53" w:rightChars="-25"/>
              <w:jc w:val="center"/>
              <w:rPr>
                <w:sz w:val="22"/>
              </w:rPr>
            </w:pPr>
            <w:r>
              <w:rPr>
                <w:rFonts w:hint="eastAsia"/>
                <w:sz w:val="22"/>
              </w:rPr>
              <w:t>T，I</w:t>
            </w:r>
          </w:p>
        </w:tc>
        <w:tc>
          <w:tcPr>
            <w:tcW w:w="499" w:type="pct"/>
            <w:vMerge w:val="continue"/>
            <w:vAlign w:val="center"/>
          </w:tcPr>
          <w:p w14:paraId="1FFA0137">
            <w:pPr>
              <w:adjustRightInd w:val="0"/>
              <w:snapToGrid w:val="0"/>
              <w:ind w:left="-53" w:leftChars="-25" w:right="-53" w:rightChars="-25"/>
              <w:jc w:val="center"/>
              <w:rPr>
                <w:sz w:val="22"/>
              </w:rPr>
            </w:pPr>
          </w:p>
        </w:tc>
      </w:tr>
    </w:tbl>
    <w:p w14:paraId="7A2E942E">
      <w:pPr>
        <w:pStyle w:val="1379"/>
        <w:ind w:firstLine="440"/>
      </w:pPr>
    </w:p>
    <w:p w14:paraId="6BBECB21">
      <w:pPr>
        <w:pStyle w:val="702"/>
        <w:adjustRightInd w:val="0"/>
        <w:snapToGrid w:val="0"/>
        <w:spacing w:line="440" w:lineRule="exact"/>
        <w:ind w:firstLine="522"/>
        <w:outlineLvl w:val="2"/>
        <w:rPr>
          <w:rFonts w:cs="Times New Roman"/>
          <w:b/>
          <w:bCs/>
        </w:rPr>
      </w:pPr>
      <w:bookmarkStart w:id="198" w:name="_Toc165810517"/>
      <w:r>
        <w:rPr>
          <w:rFonts w:hint="eastAsia" w:cs="Times New Roman"/>
          <w:b/>
          <w:bCs/>
        </w:rPr>
        <w:t>3</w:t>
      </w:r>
      <w:r>
        <w:rPr>
          <w:rFonts w:cs="Times New Roman"/>
          <w:b/>
          <w:bCs/>
        </w:rPr>
        <w:t xml:space="preserve">.2.3 </w:t>
      </w:r>
      <w:r>
        <w:rPr>
          <w:rFonts w:hint="eastAsia" w:cs="Times New Roman"/>
          <w:b/>
          <w:bCs/>
        </w:rPr>
        <w:t>试采期“三废”及噪声排放</w:t>
      </w:r>
      <w:bookmarkEnd w:id="198"/>
    </w:p>
    <w:p w14:paraId="2C152D9B">
      <w:pPr>
        <w:pStyle w:val="1381"/>
        <w:ind w:firstLine="520"/>
      </w:pPr>
      <w:r>
        <w:rPr>
          <w:rFonts w:hint="eastAsia" w:cs="Times New Roman"/>
        </w:rPr>
        <w:t>项目试采期污染物产、排污情况见</w:t>
      </w:r>
      <w:r>
        <w:rPr>
          <w:rFonts w:hint="eastAsia" w:cs="Times New Roman"/>
          <w:u w:val="single"/>
        </w:rPr>
        <w:t>表3.2-</w:t>
      </w:r>
      <w:r>
        <w:rPr>
          <w:rFonts w:cs="Times New Roman"/>
          <w:u w:val="single"/>
        </w:rPr>
        <w:t>12</w:t>
      </w:r>
      <w:r>
        <w:rPr>
          <w:rFonts w:hint="eastAsia" w:cs="Times New Roman"/>
        </w:rPr>
        <w:t>。</w:t>
      </w:r>
    </w:p>
    <w:p w14:paraId="205C57EE">
      <w:pPr>
        <w:pStyle w:val="1379"/>
        <w:ind w:firstLine="440"/>
      </w:pPr>
    </w:p>
    <w:p w14:paraId="09B64A94">
      <w:pPr>
        <w:jc w:val="center"/>
        <w:rPr>
          <w:rFonts w:cs="宋体"/>
          <w:sz w:val="26"/>
          <w:szCs w:val="26"/>
        </w:rPr>
      </w:pPr>
      <w:r>
        <w:rPr>
          <w:sz w:val="26"/>
          <w:szCs w:val="26"/>
        </w:rPr>
        <w:t>表3.2-12</w:t>
      </w:r>
      <w:r>
        <w:rPr>
          <w:rFonts w:cs="宋体"/>
          <w:sz w:val="26"/>
          <w:szCs w:val="26"/>
        </w:rPr>
        <w:t xml:space="preserve">   </w:t>
      </w:r>
      <w:r>
        <w:rPr>
          <w:rFonts w:hint="eastAsia" w:cs="宋体"/>
          <w:sz w:val="26"/>
          <w:szCs w:val="26"/>
        </w:rPr>
        <w:t>试采</w:t>
      </w:r>
      <w:r>
        <w:rPr>
          <w:rFonts w:cs="宋体"/>
          <w:sz w:val="26"/>
          <w:szCs w:val="26"/>
        </w:rPr>
        <w:t>期主要污染物</w:t>
      </w:r>
      <w:r>
        <w:rPr>
          <w:rFonts w:hint="eastAsia" w:cs="宋体"/>
          <w:sz w:val="26"/>
          <w:szCs w:val="26"/>
        </w:rPr>
        <w:t>产污</w:t>
      </w:r>
      <w:r>
        <w:rPr>
          <w:rFonts w:cs="宋体"/>
          <w:sz w:val="26"/>
          <w:szCs w:val="26"/>
        </w:rPr>
        <w:t>情况一览表</w:t>
      </w:r>
    </w:p>
    <w:tbl>
      <w:tblPr>
        <w:tblStyle w:val="88"/>
        <w:tblW w:w="13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70"/>
        <w:gridCol w:w="1739"/>
        <w:gridCol w:w="1448"/>
        <w:gridCol w:w="2103"/>
        <w:gridCol w:w="2100"/>
        <w:gridCol w:w="3578"/>
        <w:gridCol w:w="1855"/>
        <w:gridCol w:w="11"/>
      </w:tblGrid>
      <w:tr w14:paraId="73E5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369" w:hRule="atLeast"/>
          <w:jc w:val="center"/>
        </w:trPr>
        <w:tc>
          <w:tcPr>
            <w:tcW w:w="770" w:type="dxa"/>
            <w:vAlign w:val="center"/>
          </w:tcPr>
          <w:p w14:paraId="3157BB4D">
            <w:pPr>
              <w:jc w:val="center"/>
              <w:rPr>
                <w:bCs/>
                <w:sz w:val="22"/>
                <w:szCs w:val="22"/>
              </w:rPr>
            </w:pPr>
            <w:r>
              <w:rPr>
                <w:bCs/>
                <w:sz w:val="22"/>
                <w:szCs w:val="22"/>
              </w:rPr>
              <w:t>类别</w:t>
            </w:r>
          </w:p>
        </w:tc>
        <w:tc>
          <w:tcPr>
            <w:tcW w:w="1739" w:type="dxa"/>
            <w:vAlign w:val="center"/>
          </w:tcPr>
          <w:p w14:paraId="0DB940E8">
            <w:pPr>
              <w:jc w:val="center"/>
              <w:rPr>
                <w:bCs/>
                <w:sz w:val="22"/>
                <w:szCs w:val="22"/>
              </w:rPr>
            </w:pPr>
            <w:r>
              <w:rPr>
                <w:bCs/>
                <w:sz w:val="22"/>
                <w:szCs w:val="22"/>
              </w:rPr>
              <w:t>污染源</w:t>
            </w:r>
          </w:p>
        </w:tc>
        <w:tc>
          <w:tcPr>
            <w:tcW w:w="1448" w:type="dxa"/>
            <w:vAlign w:val="center"/>
          </w:tcPr>
          <w:p w14:paraId="16FBC625">
            <w:pPr>
              <w:jc w:val="center"/>
              <w:rPr>
                <w:bCs/>
                <w:sz w:val="22"/>
                <w:szCs w:val="22"/>
              </w:rPr>
            </w:pPr>
            <w:r>
              <w:rPr>
                <w:bCs/>
                <w:sz w:val="22"/>
                <w:szCs w:val="22"/>
              </w:rPr>
              <w:t>污染物类型</w:t>
            </w:r>
          </w:p>
        </w:tc>
        <w:tc>
          <w:tcPr>
            <w:tcW w:w="2103" w:type="dxa"/>
            <w:vAlign w:val="center"/>
          </w:tcPr>
          <w:p w14:paraId="53ED4651">
            <w:pPr>
              <w:jc w:val="center"/>
              <w:rPr>
                <w:bCs/>
                <w:sz w:val="22"/>
                <w:szCs w:val="22"/>
              </w:rPr>
            </w:pPr>
            <w:r>
              <w:rPr>
                <w:bCs/>
                <w:sz w:val="22"/>
                <w:szCs w:val="22"/>
              </w:rPr>
              <w:t>主要成分</w:t>
            </w:r>
          </w:p>
        </w:tc>
        <w:tc>
          <w:tcPr>
            <w:tcW w:w="2100" w:type="dxa"/>
            <w:vAlign w:val="center"/>
          </w:tcPr>
          <w:p w14:paraId="50AF7933">
            <w:pPr>
              <w:jc w:val="center"/>
              <w:rPr>
                <w:bCs/>
                <w:sz w:val="22"/>
                <w:szCs w:val="22"/>
              </w:rPr>
            </w:pPr>
            <w:r>
              <w:rPr>
                <w:bCs/>
                <w:sz w:val="22"/>
                <w:szCs w:val="22"/>
              </w:rPr>
              <w:t>产生情况</w:t>
            </w:r>
          </w:p>
        </w:tc>
        <w:tc>
          <w:tcPr>
            <w:tcW w:w="3578" w:type="dxa"/>
            <w:vAlign w:val="center"/>
          </w:tcPr>
          <w:p w14:paraId="76C98951">
            <w:pPr>
              <w:jc w:val="center"/>
              <w:rPr>
                <w:bCs/>
                <w:sz w:val="22"/>
                <w:szCs w:val="22"/>
              </w:rPr>
            </w:pPr>
            <w:r>
              <w:rPr>
                <w:bCs/>
                <w:sz w:val="22"/>
                <w:szCs w:val="22"/>
              </w:rPr>
              <w:t>污染防治措施</w:t>
            </w:r>
          </w:p>
        </w:tc>
        <w:tc>
          <w:tcPr>
            <w:tcW w:w="1855" w:type="dxa"/>
            <w:vAlign w:val="center"/>
          </w:tcPr>
          <w:p w14:paraId="2CA5E8EE">
            <w:pPr>
              <w:jc w:val="center"/>
              <w:rPr>
                <w:bCs/>
                <w:sz w:val="22"/>
                <w:szCs w:val="22"/>
              </w:rPr>
            </w:pPr>
            <w:r>
              <w:rPr>
                <w:bCs/>
                <w:sz w:val="22"/>
                <w:szCs w:val="22"/>
              </w:rPr>
              <w:t>排放情况</w:t>
            </w:r>
          </w:p>
        </w:tc>
      </w:tr>
      <w:tr w14:paraId="6F2D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59" w:hRule="atLeast"/>
          <w:jc w:val="center"/>
        </w:trPr>
        <w:tc>
          <w:tcPr>
            <w:tcW w:w="770" w:type="dxa"/>
            <w:vMerge w:val="restart"/>
            <w:vAlign w:val="center"/>
          </w:tcPr>
          <w:p w14:paraId="4F1297B7">
            <w:pPr>
              <w:jc w:val="center"/>
              <w:rPr>
                <w:bCs/>
                <w:sz w:val="22"/>
                <w:szCs w:val="22"/>
              </w:rPr>
            </w:pPr>
            <w:r>
              <w:rPr>
                <w:bCs/>
                <w:sz w:val="22"/>
                <w:szCs w:val="22"/>
              </w:rPr>
              <w:t>废气</w:t>
            </w:r>
          </w:p>
        </w:tc>
        <w:tc>
          <w:tcPr>
            <w:tcW w:w="1739" w:type="dxa"/>
            <w:vMerge w:val="restart"/>
            <w:vAlign w:val="center"/>
          </w:tcPr>
          <w:p w14:paraId="17533999">
            <w:pPr>
              <w:jc w:val="center"/>
              <w:rPr>
                <w:bCs/>
                <w:sz w:val="22"/>
                <w:szCs w:val="22"/>
              </w:rPr>
            </w:pPr>
            <w:r>
              <w:rPr>
                <w:rFonts w:hint="eastAsia"/>
                <w:bCs/>
                <w:sz w:val="22"/>
                <w:szCs w:val="22"/>
              </w:rPr>
              <w:t>水套加热炉</w:t>
            </w:r>
          </w:p>
        </w:tc>
        <w:tc>
          <w:tcPr>
            <w:tcW w:w="1448" w:type="dxa"/>
            <w:vMerge w:val="restart"/>
            <w:vAlign w:val="center"/>
          </w:tcPr>
          <w:p w14:paraId="6ED56E8F">
            <w:pPr>
              <w:jc w:val="center"/>
              <w:rPr>
                <w:bCs/>
                <w:sz w:val="22"/>
                <w:szCs w:val="22"/>
              </w:rPr>
            </w:pPr>
            <w:r>
              <w:rPr>
                <w:rFonts w:hint="eastAsia"/>
                <w:bCs/>
                <w:sz w:val="22"/>
                <w:szCs w:val="22"/>
              </w:rPr>
              <w:t>燃烧废气</w:t>
            </w:r>
          </w:p>
        </w:tc>
        <w:tc>
          <w:tcPr>
            <w:tcW w:w="2103" w:type="dxa"/>
            <w:vAlign w:val="center"/>
          </w:tcPr>
          <w:p w14:paraId="0CFF44D6">
            <w:pPr>
              <w:pStyle w:val="1441"/>
              <w:rPr>
                <w:sz w:val="22"/>
                <w:szCs w:val="22"/>
              </w:rPr>
            </w:pPr>
            <w:r>
              <w:rPr>
                <w:rFonts w:hint="eastAsia"/>
                <w:sz w:val="22"/>
                <w:szCs w:val="22"/>
              </w:rPr>
              <w:t>氮氧化物</w:t>
            </w:r>
          </w:p>
        </w:tc>
        <w:tc>
          <w:tcPr>
            <w:tcW w:w="2100" w:type="dxa"/>
            <w:vAlign w:val="center"/>
          </w:tcPr>
          <w:p w14:paraId="380073F9">
            <w:pPr>
              <w:pStyle w:val="1441"/>
              <w:rPr>
                <w:sz w:val="22"/>
                <w:szCs w:val="22"/>
              </w:rPr>
            </w:pPr>
            <w:r>
              <w:rPr>
                <w:snapToGrid w:val="0"/>
                <w:sz w:val="22"/>
                <w:szCs w:val="22"/>
              </w:rPr>
              <w:t>9.2×10</w:t>
            </w:r>
            <w:r>
              <w:rPr>
                <w:snapToGrid w:val="0"/>
                <w:sz w:val="22"/>
                <w:szCs w:val="22"/>
                <w:vertAlign w:val="superscript"/>
              </w:rPr>
              <w:t>-3</w:t>
            </w:r>
            <w:r>
              <w:rPr>
                <w:sz w:val="22"/>
                <w:szCs w:val="22"/>
              </w:rPr>
              <w:t>t/a</w:t>
            </w:r>
          </w:p>
        </w:tc>
        <w:tc>
          <w:tcPr>
            <w:tcW w:w="3578" w:type="dxa"/>
            <w:vMerge w:val="restart"/>
            <w:vAlign w:val="center"/>
          </w:tcPr>
          <w:p w14:paraId="046DF413">
            <w:pPr>
              <w:jc w:val="center"/>
              <w:rPr>
                <w:bCs/>
                <w:sz w:val="22"/>
                <w:szCs w:val="22"/>
              </w:rPr>
            </w:pPr>
            <w:r>
              <w:rPr>
                <w:rFonts w:hint="eastAsia"/>
                <w:bCs/>
                <w:sz w:val="22"/>
                <w:szCs w:val="22"/>
              </w:rPr>
              <w:t>经8</w:t>
            </w:r>
            <w:r>
              <w:rPr>
                <w:bCs/>
                <w:sz w:val="22"/>
                <w:szCs w:val="22"/>
              </w:rPr>
              <w:t>m</w:t>
            </w:r>
            <w:r>
              <w:rPr>
                <w:rFonts w:hint="eastAsia"/>
                <w:bCs/>
                <w:sz w:val="22"/>
                <w:szCs w:val="22"/>
              </w:rPr>
              <w:t>高排气筒排放</w:t>
            </w:r>
          </w:p>
        </w:tc>
        <w:tc>
          <w:tcPr>
            <w:tcW w:w="1855" w:type="dxa"/>
            <w:vAlign w:val="center"/>
          </w:tcPr>
          <w:p w14:paraId="09391D80">
            <w:pPr>
              <w:pStyle w:val="1441"/>
              <w:rPr>
                <w:sz w:val="22"/>
                <w:szCs w:val="22"/>
              </w:rPr>
            </w:pPr>
            <w:r>
              <w:rPr>
                <w:snapToGrid w:val="0"/>
                <w:sz w:val="22"/>
                <w:szCs w:val="22"/>
              </w:rPr>
              <w:t>9.2×10</w:t>
            </w:r>
            <w:r>
              <w:rPr>
                <w:snapToGrid w:val="0"/>
                <w:sz w:val="22"/>
                <w:szCs w:val="22"/>
                <w:vertAlign w:val="superscript"/>
              </w:rPr>
              <w:t>-3</w:t>
            </w:r>
            <w:r>
              <w:rPr>
                <w:rFonts w:eastAsia="Times New Roman"/>
                <w:sz w:val="22"/>
                <w:szCs w:val="22"/>
              </w:rPr>
              <w:t>t/a</w:t>
            </w:r>
          </w:p>
        </w:tc>
      </w:tr>
      <w:tr w14:paraId="4BB3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59" w:hRule="atLeast"/>
          <w:jc w:val="center"/>
        </w:trPr>
        <w:tc>
          <w:tcPr>
            <w:tcW w:w="770" w:type="dxa"/>
            <w:vMerge w:val="continue"/>
            <w:vAlign w:val="center"/>
          </w:tcPr>
          <w:p w14:paraId="3C81E996">
            <w:pPr>
              <w:jc w:val="center"/>
              <w:rPr>
                <w:bCs/>
                <w:sz w:val="22"/>
                <w:szCs w:val="22"/>
              </w:rPr>
            </w:pPr>
          </w:p>
        </w:tc>
        <w:tc>
          <w:tcPr>
            <w:tcW w:w="1739" w:type="dxa"/>
            <w:vMerge w:val="continue"/>
            <w:vAlign w:val="center"/>
          </w:tcPr>
          <w:p w14:paraId="5EEB0279">
            <w:pPr>
              <w:jc w:val="center"/>
              <w:rPr>
                <w:bCs/>
                <w:sz w:val="22"/>
                <w:szCs w:val="22"/>
              </w:rPr>
            </w:pPr>
          </w:p>
        </w:tc>
        <w:tc>
          <w:tcPr>
            <w:tcW w:w="1448" w:type="dxa"/>
            <w:vMerge w:val="continue"/>
            <w:vAlign w:val="center"/>
          </w:tcPr>
          <w:p w14:paraId="78CAB3C5">
            <w:pPr>
              <w:jc w:val="center"/>
              <w:rPr>
                <w:bCs/>
                <w:sz w:val="22"/>
                <w:szCs w:val="22"/>
              </w:rPr>
            </w:pPr>
          </w:p>
        </w:tc>
        <w:tc>
          <w:tcPr>
            <w:tcW w:w="2103" w:type="dxa"/>
            <w:vAlign w:val="center"/>
          </w:tcPr>
          <w:p w14:paraId="135F8847">
            <w:pPr>
              <w:pStyle w:val="1441"/>
              <w:rPr>
                <w:sz w:val="22"/>
                <w:szCs w:val="22"/>
              </w:rPr>
            </w:pPr>
            <w:r>
              <w:rPr>
                <w:rFonts w:hint="eastAsia"/>
                <w:sz w:val="22"/>
                <w:szCs w:val="22"/>
              </w:rPr>
              <w:t>颗粒物</w:t>
            </w:r>
          </w:p>
        </w:tc>
        <w:tc>
          <w:tcPr>
            <w:tcW w:w="2100" w:type="dxa"/>
            <w:vAlign w:val="center"/>
          </w:tcPr>
          <w:p w14:paraId="52FBBB12">
            <w:pPr>
              <w:pStyle w:val="1441"/>
              <w:rPr>
                <w:snapToGrid w:val="0"/>
                <w:sz w:val="22"/>
                <w:szCs w:val="22"/>
              </w:rPr>
            </w:pPr>
            <w:r>
              <w:rPr>
                <w:snapToGrid w:val="0"/>
                <w:sz w:val="22"/>
                <w:szCs w:val="22"/>
              </w:rPr>
              <w:t>7.3×10</w:t>
            </w:r>
            <w:r>
              <w:rPr>
                <w:snapToGrid w:val="0"/>
                <w:sz w:val="22"/>
                <w:szCs w:val="22"/>
                <w:vertAlign w:val="superscript"/>
              </w:rPr>
              <w:t>-3</w:t>
            </w:r>
            <w:r>
              <w:rPr>
                <w:sz w:val="22"/>
                <w:szCs w:val="22"/>
              </w:rPr>
              <w:t>t/a</w:t>
            </w:r>
          </w:p>
        </w:tc>
        <w:tc>
          <w:tcPr>
            <w:tcW w:w="3578" w:type="dxa"/>
            <w:vMerge w:val="continue"/>
            <w:vAlign w:val="center"/>
          </w:tcPr>
          <w:p w14:paraId="1E4492FC">
            <w:pPr>
              <w:jc w:val="center"/>
              <w:rPr>
                <w:bCs/>
                <w:sz w:val="22"/>
                <w:szCs w:val="22"/>
              </w:rPr>
            </w:pPr>
          </w:p>
        </w:tc>
        <w:tc>
          <w:tcPr>
            <w:tcW w:w="1855" w:type="dxa"/>
            <w:vAlign w:val="center"/>
          </w:tcPr>
          <w:p w14:paraId="47C7812C">
            <w:pPr>
              <w:pStyle w:val="1441"/>
              <w:rPr>
                <w:snapToGrid w:val="0"/>
                <w:sz w:val="22"/>
                <w:szCs w:val="22"/>
              </w:rPr>
            </w:pPr>
            <w:r>
              <w:rPr>
                <w:snapToGrid w:val="0"/>
                <w:sz w:val="22"/>
                <w:szCs w:val="22"/>
              </w:rPr>
              <w:t>7.3×10</w:t>
            </w:r>
            <w:r>
              <w:rPr>
                <w:snapToGrid w:val="0"/>
                <w:sz w:val="22"/>
                <w:szCs w:val="22"/>
                <w:vertAlign w:val="superscript"/>
              </w:rPr>
              <w:t>-3</w:t>
            </w:r>
            <w:r>
              <w:rPr>
                <w:sz w:val="22"/>
                <w:szCs w:val="22"/>
              </w:rPr>
              <w:t>t/a</w:t>
            </w:r>
          </w:p>
        </w:tc>
      </w:tr>
      <w:tr w14:paraId="1C9D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59" w:hRule="atLeast"/>
          <w:jc w:val="center"/>
        </w:trPr>
        <w:tc>
          <w:tcPr>
            <w:tcW w:w="770" w:type="dxa"/>
            <w:vMerge w:val="continue"/>
            <w:vAlign w:val="center"/>
          </w:tcPr>
          <w:p w14:paraId="39C11C5E">
            <w:pPr>
              <w:jc w:val="center"/>
              <w:rPr>
                <w:bCs/>
                <w:sz w:val="22"/>
                <w:szCs w:val="22"/>
              </w:rPr>
            </w:pPr>
          </w:p>
        </w:tc>
        <w:tc>
          <w:tcPr>
            <w:tcW w:w="1739" w:type="dxa"/>
            <w:vAlign w:val="center"/>
          </w:tcPr>
          <w:p w14:paraId="406A1120">
            <w:pPr>
              <w:jc w:val="center"/>
              <w:rPr>
                <w:bCs/>
                <w:sz w:val="22"/>
                <w:szCs w:val="22"/>
              </w:rPr>
            </w:pPr>
            <w:r>
              <w:rPr>
                <w:rFonts w:hint="eastAsia"/>
                <w:bCs/>
                <w:sz w:val="22"/>
                <w:szCs w:val="22"/>
              </w:rPr>
              <w:t>凝析油储罐</w:t>
            </w:r>
          </w:p>
        </w:tc>
        <w:tc>
          <w:tcPr>
            <w:tcW w:w="1448" w:type="dxa"/>
            <w:vAlign w:val="center"/>
          </w:tcPr>
          <w:p w14:paraId="401FBD56">
            <w:pPr>
              <w:jc w:val="center"/>
              <w:rPr>
                <w:bCs/>
                <w:sz w:val="22"/>
                <w:szCs w:val="22"/>
              </w:rPr>
            </w:pPr>
            <w:r>
              <w:rPr>
                <w:rFonts w:hint="eastAsia"/>
                <w:bCs/>
                <w:sz w:val="22"/>
                <w:szCs w:val="22"/>
              </w:rPr>
              <w:t>大小呼吸废气</w:t>
            </w:r>
          </w:p>
        </w:tc>
        <w:tc>
          <w:tcPr>
            <w:tcW w:w="2103" w:type="dxa"/>
            <w:vAlign w:val="center"/>
          </w:tcPr>
          <w:p w14:paraId="1CAF5560">
            <w:pPr>
              <w:pStyle w:val="1441"/>
              <w:rPr>
                <w:sz w:val="22"/>
                <w:szCs w:val="22"/>
              </w:rPr>
            </w:pPr>
            <w:r>
              <w:rPr>
                <w:rFonts w:hint="eastAsia"/>
                <w:sz w:val="22"/>
                <w:szCs w:val="22"/>
              </w:rPr>
              <w:t>N</w:t>
            </w:r>
            <w:r>
              <w:rPr>
                <w:sz w:val="22"/>
                <w:szCs w:val="22"/>
              </w:rPr>
              <w:t>MHC</w:t>
            </w:r>
          </w:p>
        </w:tc>
        <w:tc>
          <w:tcPr>
            <w:tcW w:w="2100" w:type="dxa"/>
            <w:vAlign w:val="center"/>
          </w:tcPr>
          <w:p w14:paraId="0D6B0225">
            <w:pPr>
              <w:pStyle w:val="687"/>
              <w:rPr>
                <w:snapToGrid w:val="0"/>
                <w:szCs w:val="22"/>
              </w:rPr>
            </w:pPr>
            <w:r>
              <w:rPr>
                <w:szCs w:val="22"/>
              </w:rPr>
              <w:t>0.152t/a</w:t>
            </w:r>
          </w:p>
        </w:tc>
        <w:tc>
          <w:tcPr>
            <w:tcW w:w="3578" w:type="dxa"/>
          </w:tcPr>
          <w:p w14:paraId="5D3DF6BE">
            <w:pPr>
              <w:pStyle w:val="687"/>
              <w:rPr>
                <w:bCs/>
                <w:szCs w:val="22"/>
              </w:rPr>
            </w:pPr>
            <w:r>
              <w:rPr>
                <w:rFonts w:hint="eastAsia"/>
                <w:szCs w:val="22"/>
              </w:rPr>
              <w:t>输送至放空立管燃烧排放</w:t>
            </w:r>
          </w:p>
        </w:tc>
        <w:tc>
          <w:tcPr>
            <w:tcW w:w="1855" w:type="dxa"/>
            <w:vAlign w:val="center"/>
          </w:tcPr>
          <w:p w14:paraId="2D2FC4CB">
            <w:pPr>
              <w:pStyle w:val="687"/>
              <w:rPr>
                <w:snapToGrid w:val="0"/>
                <w:szCs w:val="22"/>
              </w:rPr>
            </w:pPr>
            <w:r>
              <w:rPr>
                <w:rFonts w:hint="eastAsia"/>
                <w:szCs w:val="22"/>
              </w:rPr>
              <w:t>少量CO</w:t>
            </w:r>
            <w:r>
              <w:rPr>
                <w:rFonts w:hint="eastAsia"/>
                <w:szCs w:val="22"/>
                <w:vertAlign w:val="subscript"/>
              </w:rPr>
              <w:t>2</w:t>
            </w:r>
            <w:r>
              <w:rPr>
                <w:rFonts w:hint="eastAsia"/>
                <w:szCs w:val="22"/>
              </w:rPr>
              <w:t>和H</w:t>
            </w:r>
            <w:r>
              <w:rPr>
                <w:rFonts w:hint="eastAsia"/>
                <w:szCs w:val="22"/>
                <w:vertAlign w:val="subscript"/>
              </w:rPr>
              <w:t>2</w:t>
            </w:r>
            <w:r>
              <w:rPr>
                <w:rFonts w:hint="eastAsia"/>
                <w:szCs w:val="22"/>
              </w:rPr>
              <w:t>O</w:t>
            </w:r>
          </w:p>
        </w:tc>
      </w:tr>
      <w:tr w14:paraId="460C5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369" w:hRule="atLeast"/>
          <w:jc w:val="center"/>
        </w:trPr>
        <w:tc>
          <w:tcPr>
            <w:tcW w:w="770" w:type="dxa"/>
            <w:vMerge w:val="continue"/>
            <w:vAlign w:val="center"/>
          </w:tcPr>
          <w:p w14:paraId="60E69A4F">
            <w:pPr>
              <w:jc w:val="center"/>
              <w:rPr>
                <w:bCs/>
                <w:sz w:val="22"/>
                <w:szCs w:val="22"/>
              </w:rPr>
            </w:pPr>
          </w:p>
        </w:tc>
        <w:tc>
          <w:tcPr>
            <w:tcW w:w="1739" w:type="dxa"/>
            <w:vAlign w:val="center"/>
          </w:tcPr>
          <w:p w14:paraId="09BAADDB">
            <w:pPr>
              <w:jc w:val="center"/>
              <w:rPr>
                <w:bCs/>
                <w:sz w:val="22"/>
                <w:szCs w:val="22"/>
              </w:rPr>
            </w:pPr>
            <w:r>
              <w:rPr>
                <w:rFonts w:hint="eastAsia"/>
                <w:bCs/>
                <w:sz w:val="22"/>
                <w:szCs w:val="22"/>
              </w:rPr>
              <w:t>平台各类设备</w:t>
            </w:r>
          </w:p>
        </w:tc>
        <w:tc>
          <w:tcPr>
            <w:tcW w:w="1448" w:type="dxa"/>
            <w:vAlign w:val="center"/>
          </w:tcPr>
          <w:p w14:paraId="59AC6646">
            <w:pPr>
              <w:jc w:val="center"/>
              <w:rPr>
                <w:bCs/>
                <w:sz w:val="22"/>
                <w:szCs w:val="22"/>
              </w:rPr>
            </w:pPr>
            <w:r>
              <w:rPr>
                <w:rFonts w:hint="eastAsia"/>
                <w:bCs/>
                <w:sz w:val="22"/>
                <w:szCs w:val="22"/>
              </w:rPr>
              <w:t>无组织逸散废气</w:t>
            </w:r>
          </w:p>
        </w:tc>
        <w:tc>
          <w:tcPr>
            <w:tcW w:w="2103" w:type="dxa"/>
            <w:vAlign w:val="center"/>
          </w:tcPr>
          <w:p w14:paraId="45DC82B7">
            <w:pPr>
              <w:jc w:val="center"/>
              <w:rPr>
                <w:bCs/>
                <w:sz w:val="22"/>
                <w:szCs w:val="22"/>
              </w:rPr>
            </w:pPr>
            <w:r>
              <w:rPr>
                <w:rFonts w:hint="eastAsia"/>
                <w:bCs/>
                <w:sz w:val="22"/>
                <w:szCs w:val="22"/>
              </w:rPr>
              <w:t>N</w:t>
            </w:r>
            <w:r>
              <w:rPr>
                <w:bCs/>
                <w:sz w:val="22"/>
                <w:szCs w:val="22"/>
              </w:rPr>
              <w:t>MHC</w:t>
            </w:r>
          </w:p>
        </w:tc>
        <w:tc>
          <w:tcPr>
            <w:tcW w:w="2100" w:type="dxa"/>
            <w:vAlign w:val="center"/>
          </w:tcPr>
          <w:p w14:paraId="378F86EA">
            <w:pPr>
              <w:pStyle w:val="687"/>
              <w:rPr>
                <w:bCs/>
                <w:szCs w:val="22"/>
              </w:rPr>
            </w:pPr>
            <w:r>
              <w:rPr>
                <w:szCs w:val="22"/>
              </w:rPr>
              <w:t>0.051t/a</w:t>
            </w:r>
          </w:p>
        </w:tc>
        <w:tc>
          <w:tcPr>
            <w:tcW w:w="3578" w:type="dxa"/>
            <w:vAlign w:val="center"/>
          </w:tcPr>
          <w:p w14:paraId="18379015">
            <w:pPr>
              <w:jc w:val="center"/>
              <w:rPr>
                <w:bCs/>
                <w:sz w:val="22"/>
                <w:szCs w:val="22"/>
              </w:rPr>
            </w:pPr>
            <w:r>
              <w:rPr>
                <w:bCs/>
                <w:sz w:val="22"/>
                <w:szCs w:val="22"/>
              </w:rPr>
              <w:t>选用可靠性高的设备、密封性能好的阀门，保证各连接部位的密封</w:t>
            </w:r>
            <w:r>
              <w:rPr>
                <w:rFonts w:hint="eastAsia"/>
                <w:bCs/>
                <w:sz w:val="22"/>
                <w:szCs w:val="22"/>
              </w:rPr>
              <w:t>性</w:t>
            </w:r>
          </w:p>
        </w:tc>
        <w:tc>
          <w:tcPr>
            <w:tcW w:w="1855" w:type="dxa"/>
            <w:vAlign w:val="center"/>
          </w:tcPr>
          <w:p w14:paraId="269F3DA3">
            <w:pPr>
              <w:jc w:val="center"/>
              <w:rPr>
                <w:bCs/>
                <w:sz w:val="22"/>
                <w:szCs w:val="22"/>
              </w:rPr>
            </w:pPr>
            <w:r>
              <w:rPr>
                <w:sz w:val="22"/>
                <w:szCs w:val="22"/>
              </w:rPr>
              <w:t>0.051t/a</w:t>
            </w:r>
          </w:p>
        </w:tc>
      </w:tr>
      <w:tr w14:paraId="4558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369" w:hRule="atLeast"/>
          <w:jc w:val="center"/>
        </w:trPr>
        <w:tc>
          <w:tcPr>
            <w:tcW w:w="770" w:type="dxa"/>
            <w:vMerge w:val="continue"/>
            <w:vAlign w:val="center"/>
          </w:tcPr>
          <w:p w14:paraId="63A7181D">
            <w:pPr>
              <w:jc w:val="center"/>
              <w:rPr>
                <w:bCs/>
                <w:sz w:val="22"/>
                <w:szCs w:val="22"/>
              </w:rPr>
            </w:pPr>
          </w:p>
        </w:tc>
        <w:tc>
          <w:tcPr>
            <w:tcW w:w="1739" w:type="dxa"/>
            <w:vAlign w:val="center"/>
          </w:tcPr>
          <w:p w14:paraId="1C54F8B0">
            <w:pPr>
              <w:jc w:val="center"/>
              <w:rPr>
                <w:bCs/>
                <w:sz w:val="22"/>
                <w:szCs w:val="22"/>
              </w:rPr>
            </w:pPr>
            <w:r>
              <w:rPr>
                <w:bCs/>
                <w:sz w:val="22"/>
                <w:szCs w:val="22"/>
              </w:rPr>
              <w:t>放空</w:t>
            </w:r>
            <w:r>
              <w:rPr>
                <w:rFonts w:hint="eastAsia"/>
                <w:bCs/>
                <w:sz w:val="22"/>
                <w:szCs w:val="22"/>
              </w:rPr>
              <w:t>管</w:t>
            </w:r>
          </w:p>
        </w:tc>
        <w:tc>
          <w:tcPr>
            <w:tcW w:w="1448" w:type="dxa"/>
            <w:vAlign w:val="center"/>
          </w:tcPr>
          <w:p w14:paraId="02D53DDA">
            <w:pPr>
              <w:jc w:val="center"/>
              <w:rPr>
                <w:bCs/>
                <w:sz w:val="22"/>
                <w:szCs w:val="22"/>
              </w:rPr>
            </w:pPr>
            <w:r>
              <w:rPr>
                <w:rFonts w:hint="eastAsia"/>
                <w:sz w:val="22"/>
                <w:szCs w:val="22"/>
              </w:rPr>
              <w:t>检修放空废气</w:t>
            </w:r>
          </w:p>
        </w:tc>
        <w:tc>
          <w:tcPr>
            <w:tcW w:w="2103" w:type="dxa"/>
            <w:vAlign w:val="center"/>
          </w:tcPr>
          <w:p w14:paraId="49B2735D">
            <w:pPr>
              <w:pStyle w:val="1441"/>
              <w:rPr>
                <w:sz w:val="22"/>
                <w:szCs w:val="22"/>
              </w:rPr>
            </w:pPr>
            <w:r>
              <w:rPr>
                <w:rFonts w:hint="eastAsia"/>
                <w:sz w:val="22"/>
                <w:szCs w:val="22"/>
              </w:rPr>
              <w:t>N</w:t>
            </w:r>
            <w:r>
              <w:rPr>
                <w:sz w:val="22"/>
                <w:szCs w:val="22"/>
              </w:rPr>
              <w:t>MHC</w:t>
            </w:r>
          </w:p>
        </w:tc>
        <w:tc>
          <w:tcPr>
            <w:tcW w:w="2100" w:type="dxa"/>
            <w:vAlign w:val="center"/>
          </w:tcPr>
          <w:p w14:paraId="5E00A634">
            <w:pPr>
              <w:pStyle w:val="1441"/>
              <w:rPr>
                <w:sz w:val="22"/>
                <w:szCs w:val="22"/>
              </w:rPr>
            </w:pPr>
            <w:r>
              <w:rPr>
                <w:rFonts w:hint="eastAsia"/>
                <w:sz w:val="22"/>
                <w:szCs w:val="22"/>
              </w:rPr>
              <w:t>少量</w:t>
            </w:r>
          </w:p>
        </w:tc>
        <w:tc>
          <w:tcPr>
            <w:tcW w:w="3578" w:type="dxa"/>
            <w:vAlign w:val="center"/>
          </w:tcPr>
          <w:p w14:paraId="59F50D8D">
            <w:pPr>
              <w:jc w:val="center"/>
              <w:rPr>
                <w:bCs/>
                <w:sz w:val="22"/>
                <w:szCs w:val="22"/>
              </w:rPr>
            </w:pPr>
            <w:r>
              <w:rPr>
                <w:sz w:val="22"/>
                <w:szCs w:val="22"/>
              </w:rPr>
              <w:t>15m高放空管</w:t>
            </w:r>
            <w:r>
              <w:rPr>
                <w:rFonts w:hint="eastAsia"/>
                <w:sz w:val="22"/>
                <w:szCs w:val="22"/>
              </w:rPr>
              <w:t>燃烧排放</w:t>
            </w:r>
          </w:p>
        </w:tc>
        <w:tc>
          <w:tcPr>
            <w:tcW w:w="1855" w:type="dxa"/>
            <w:vAlign w:val="center"/>
          </w:tcPr>
          <w:p w14:paraId="2915D34F">
            <w:pPr>
              <w:jc w:val="center"/>
              <w:rPr>
                <w:bCs/>
                <w:sz w:val="22"/>
                <w:szCs w:val="22"/>
              </w:rPr>
            </w:pPr>
            <w:r>
              <w:rPr>
                <w:rFonts w:hint="eastAsia"/>
                <w:sz w:val="22"/>
                <w:szCs w:val="22"/>
              </w:rPr>
              <w:t>少量NOx和颗粒物</w:t>
            </w:r>
          </w:p>
        </w:tc>
      </w:tr>
      <w:tr w14:paraId="6258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369" w:hRule="atLeast"/>
          <w:jc w:val="center"/>
        </w:trPr>
        <w:tc>
          <w:tcPr>
            <w:tcW w:w="770" w:type="dxa"/>
            <w:vMerge w:val="restart"/>
            <w:vAlign w:val="center"/>
          </w:tcPr>
          <w:p w14:paraId="667139D7">
            <w:pPr>
              <w:jc w:val="center"/>
              <w:rPr>
                <w:bCs/>
                <w:sz w:val="22"/>
                <w:szCs w:val="22"/>
              </w:rPr>
            </w:pPr>
            <w:r>
              <w:rPr>
                <w:bCs/>
                <w:sz w:val="22"/>
                <w:szCs w:val="22"/>
              </w:rPr>
              <w:t>废水</w:t>
            </w:r>
          </w:p>
        </w:tc>
        <w:tc>
          <w:tcPr>
            <w:tcW w:w="1739" w:type="dxa"/>
            <w:vAlign w:val="center"/>
          </w:tcPr>
          <w:p w14:paraId="20C4E478">
            <w:pPr>
              <w:jc w:val="center"/>
              <w:rPr>
                <w:bCs/>
                <w:sz w:val="22"/>
                <w:szCs w:val="22"/>
              </w:rPr>
            </w:pPr>
            <w:r>
              <w:rPr>
                <w:rFonts w:hint="eastAsia"/>
                <w:bCs/>
                <w:sz w:val="22"/>
                <w:szCs w:val="22"/>
              </w:rPr>
              <w:t>三相分离器、闪蒸三相分离器、聚结过滤器、燃料气分液包</w:t>
            </w:r>
          </w:p>
        </w:tc>
        <w:tc>
          <w:tcPr>
            <w:tcW w:w="1448" w:type="dxa"/>
            <w:vAlign w:val="center"/>
          </w:tcPr>
          <w:p w14:paraId="3C7D90A2">
            <w:pPr>
              <w:jc w:val="center"/>
              <w:rPr>
                <w:bCs/>
                <w:sz w:val="22"/>
                <w:szCs w:val="22"/>
              </w:rPr>
            </w:pPr>
            <w:r>
              <w:rPr>
                <w:rFonts w:hint="eastAsia"/>
                <w:bCs/>
                <w:sz w:val="22"/>
                <w:szCs w:val="22"/>
              </w:rPr>
              <w:t>气田水</w:t>
            </w:r>
          </w:p>
        </w:tc>
        <w:tc>
          <w:tcPr>
            <w:tcW w:w="2103" w:type="dxa"/>
            <w:vAlign w:val="center"/>
          </w:tcPr>
          <w:p w14:paraId="382263CE">
            <w:pPr>
              <w:jc w:val="center"/>
              <w:rPr>
                <w:bCs/>
                <w:sz w:val="22"/>
                <w:szCs w:val="22"/>
              </w:rPr>
            </w:pPr>
            <w:r>
              <w:rPr>
                <w:bCs/>
                <w:sz w:val="22"/>
                <w:szCs w:val="22"/>
              </w:rPr>
              <w:t>COD、SS、石油类、氯离子等</w:t>
            </w:r>
          </w:p>
        </w:tc>
        <w:tc>
          <w:tcPr>
            <w:tcW w:w="2100" w:type="dxa"/>
            <w:vAlign w:val="center"/>
          </w:tcPr>
          <w:p w14:paraId="1A5B9E38">
            <w:pPr>
              <w:jc w:val="center"/>
              <w:rPr>
                <w:bCs/>
                <w:sz w:val="22"/>
                <w:szCs w:val="22"/>
              </w:rPr>
            </w:pPr>
            <w:r>
              <w:rPr>
                <w:rFonts w:hint="eastAsia"/>
                <w:bCs/>
                <w:sz w:val="22"/>
                <w:szCs w:val="22"/>
              </w:rPr>
              <w:t>采气初期（约1个月）试采站产生量</w:t>
            </w:r>
            <w:r>
              <w:rPr>
                <w:bCs/>
                <w:sz w:val="22"/>
                <w:szCs w:val="22"/>
              </w:rPr>
              <w:t>60</w:t>
            </w:r>
            <w:r>
              <w:rPr>
                <w:rFonts w:hint="eastAsia"/>
                <w:bCs/>
                <w:sz w:val="22"/>
                <w:szCs w:val="22"/>
              </w:rPr>
              <w:t>m</w:t>
            </w:r>
            <w:r>
              <w:rPr>
                <w:bCs/>
                <w:sz w:val="22"/>
                <w:szCs w:val="22"/>
                <w:vertAlign w:val="superscript"/>
              </w:rPr>
              <w:t>3</w:t>
            </w:r>
            <w:r>
              <w:rPr>
                <w:bCs/>
                <w:sz w:val="22"/>
                <w:szCs w:val="22"/>
              </w:rPr>
              <w:t>/</w:t>
            </w:r>
            <w:r>
              <w:rPr>
                <w:rFonts w:hint="eastAsia"/>
                <w:bCs/>
                <w:sz w:val="22"/>
                <w:szCs w:val="22"/>
              </w:rPr>
              <w:t>d，稳定后产生量</w:t>
            </w:r>
            <w:r>
              <w:rPr>
                <w:bCs/>
                <w:sz w:val="22"/>
                <w:szCs w:val="22"/>
              </w:rPr>
              <w:t>10</w:t>
            </w:r>
            <w:r>
              <w:rPr>
                <w:rFonts w:hint="eastAsia"/>
                <w:bCs/>
                <w:sz w:val="22"/>
                <w:szCs w:val="22"/>
              </w:rPr>
              <w:t>m</w:t>
            </w:r>
            <w:r>
              <w:rPr>
                <w:bCs/>
                <w:sz w:val="22"/>
                <w:szCs w:val="22"/>
                <w:vertAlign w:val="superscript"/>
              </w:rPr>
              <w:t>3</w:t>
            </w:r>
            <w:r>
              <w:rPr>
                <w:bCs/>
                <w:sz w:val="22"/>
                <w:szCs w:val="22"/>
              </w:rPr>
              <w:t>/</w:t>
            </w:r>
            <w:r>
              <w:rPr>
                <w:rFonts w:hint="eastAsia"/>
                <w:bCs/>
                <w:sz w:val="22"/>
                <w:szCs w:val="22"/>
              </w:rPr>
              <w:t>d</w:t>
            </w:r>
          </w:p>
        </w:tc>
        <w:tc>
          <w:tcPr>
            <w:tcW w:w="3578" w:type="dxa"/>
            <w:vMerge w:val="restart"/>
            <w:vAlign w:val="center"/>
          </w:tcPr>
          <w:p w14:paraId="47D18FA7">
            <w:pPr>
              <w:jc w:val="center"/>
              <w:rPr>
                <w:bCs/>
                <w:sz w:val="22"/>
                <w:szCs w:val="22"/>
              </w:rPr>
            </w:pPr>
            <w:r>
              <w:rPr>
                <w:rFonts w:hint="eastAsia"/>
                <w:bCs/>
                <w:sz w:val="22"/>
                <w:szCs w:val="22"/>
              </w:rPr>
              <w:t>暂存于气田水储罐，定期由罐车运输至四川洁安环境科技有限公司油气田废水处理站、四川兴澳环境技术服务有限公司油气井地下水处理站处置，或区域内有合法资质且有处理能力的第三方单位处置。</w:t>
            </w:r>
          </w:p>
        </w:tc>
        <w:tc>
          <w:tcPr>
            <w:tcW w:w="1855" w:type="dxa"/>
            <w:vMerge w:val="restart"/>
            <w:vAlign w:val="center"/>
          </w:tcPr>
          <w:p w14:paraId="4D80D42E">
            <w:pPr>
              <w:jc w:val="center"/>
              <w:rPr>
                <w:bCs/>
                <w:sz w:val="22"/>
                <w:szCs w:val="22"/>
              </w:rPr>
            </w:pPr>
            <w:r>
              <w:rPr>
                <w:bCs/>
                <w:sz w:val="22"/>
                <w:szCs w:val="22"/>
              </w:rPr>
              <w:t>未直接排入地表水体</w:t>
            </w:r>
          </w:p>
        </w:tc>
      </w:tr>
      <w:tr w14:paraId="706A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369" w:hRule="atLeast"/>
          <w:jc w:val="center"/>
        </w:trPr>
        <w:tc>
          <w:tcPr>
            <w:tcW w:w="770" w:type="dxa"/>
            <w:vMerge w:val="continue"/>
            <w:vAlign w:val="center"/>
          </w:tcPr>
          <w:p w14:paraId="049950F7">
            <w:pPr>
              <w:jc w:val="center"/>
              <w:rPr>
                <w:bCs/>
                <w:sz w:val="22"/>
                <w:szCs w:val="22"/>
              </w:rPr>
            </w:pPr>
          </w:p>
        </w:tc>
        <w:tc>
          <w:tcPr>
            <w:tcW w:w="1739" w:type="dxa"/>
            <w:vAlign w:val="center"/>
          </w:tcPr>
          <w:p w14:paraId="08C3BEF8">
            <w:pPr>
              <w:jc w:val="center"/>
              <w:rPr>
                <w:bCs/>
                <w:sz w:val="22"/>
                <w:szCs w:val="22"/>
              </w:rPr>
            </w:pPr>
            <w:r>
              <w:rPr>
                <w:rFonts w:hint="eastAsia"/>
                <w:bCs/>
                <w:sz w:val="22"/>
                <w:szCs w:val="22"/>
              </w:rPr>
              <w:t>放空分液罐</w:t>
            </w:r>
          </w:p>
        </w:tc>
        <w:tc>
          <w:tcPr>
            <w:tcW w:w="1448" w:type="dxa"/>
            <w:vAlign w:val="center"/>
          </w:tcPr>
          <w:p w14:paraId="5881DC27">
            <w:pPr>
              <w:jc w:val="center"/>
              <w:rPr>
                <w:bCs/>
                <w:sz w:val="22"/>
                <w:szCs w:val="22"/>
              </w:rPr>
            </w:pPr>
            <w:r>
              <w:rPr>
                <w:rFonts w:hint="eastAsia"/>
                <w:bCs/>
                <w:sz w:val="22"/>
                <w:szCs w:val="22"/>
              </w:rPr>
              <w:t>放空分离液</w:t>
            </w:r>
          </w:p>
        </w:tc>
        <w:tc>
          <w:tcPr>
            <w:tcW w:w="2103" w:type="dxa"/>
            <w:vAlign w:val="center"/>
          </w:tcPr>
          <w:p w14:paraId="08E79685">
            <w:pPr>
              <w:jc w:val="center"/>
              <w:rPr>
                <w:bCs/>
                <w:sz w:val="22"/>
                <w:szCs w:val="22"/>
              </w:rPr>
            </w:pPr>
            <w:r>
              <w:rPr>
                <w:bCs/>
                <w:sz w:val="22"/>
                <w:szCs w:val="22"/>
              </w:rPr>
              <w:t>COD、SS、石油类、氯离子等</w:t>
            </w:r>
          </w:p>
        </w:tc>
        <w:tc>
          <w:tcPr>
            <w:tcW w:w="2100" w:type="dxa"/>
            <w:vAlign w:val="center"/>
          </w:tcPr>
          <w:p w14:paraId="37861155">
            <w:pPr>
              <w:jc w:val="center"/>
              <w:rPr>
                <w:bCs/>
                <w:sz w:val="22"/>
                <w:szCs w:val="22"/>
              </w:rPr>
            </w:pPr>
            <w:r>
              <w:rPr>
                <w:bCs/>
                <w:sz w:val="22"/>
                <w:szCs w:val="22"/>
              </w:rPr>
              <w:t>0.1m</w:t>
            </w:r>
            <w:r>
              <w:rPr>
                <w:bCs/>
                <w:sz w:val="22"/>
                <w:szCs w:val="22"/>
                <w:vertAlign w:val="superscript"/>
              </w:rPr>
              <w:t>3</w:t>
            </w:r>
            <w:r>
              <w:rPr>
                <w:bCs/>
                <w:sz w:val="22"/>
                <w:szCs w:val="22"/>
              </w:rPr>
              <w:t>/a</w:t>
            </w:r>
          </w:p>
        </w:tc>
        <w:tc>
          <w:tcPr>
            <w:tcW w:w="3578" w:type="dxa"/>
            <w:vMerge w:val="continue"/>
            <w:vAlign w:val="center"/>
          </w:tcPr>
          <w:p w14:paraId="2D53B961">
            <w:pPr>
              <w:jc w:val="center"/>
              <w:rPr>
                <w:bCs/>
                <w:sz w:val="22"/>
                <w:szCs w:val="22"/>
              </w:rPr>
            </w:pPr>
          </w:p>
        </w:tc>
        <w:tc>
          <w:tcPr>
            <w:tcW w:w="1855" w:type="dxa"/>
            <w:vMerge w:val="continue"/>
            <w:vAlign w:val="center"/>
          </w:tcPr>
          <w:p w14:paraId="7FFB8D5C">
            <w:pPr>
              <w:jc w:val="center"/>
              <w:rPr>
                <w:bCs/>
                <w:sz w:val="22"/>
                <w:szCs w:val="22"/>
              </w:rPr>
            </w:pPr>
          </w:p>
        </w:tc>
      </w:tr>
      <w:tr w14:paraId="6699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369" w:hRule="atLeast"/>
          <w:jc w:val="center"/>
        </w:trPr>
        <w:tc>
          <w:tcPr>
            <w:tcW w:w="770" w:type="dxa"/>
            <w:vMerge w:val="continue"/>
            <w:vAlign w:val="center"/>
          </w:tcPr>
          <w:p w14:paraId="2FE8D249">
            <w:pPr>
              <w:jc w:val="center"/>
              <w:rPr>
                <w:bCs/>
                <w:sz w:val="22"/>
                <w:szCs w:val="22"/>
              </w:rPr>
            </w:pPr>
          </w:p>
        </w:tc>
        <w:tc>
          <w:tcPr>
            <w:tcW w:w="1739" w:type="dxa"/>
            <w:vAlign w:val="center"/>
          </w:tcPr>
          <w:p w14:paraId="11D7F8F0">
            <w:pPr>
              <w:jc w:val="center"/>
              <w:rPr>
                <w:bCs/>
                <w:sz w:val="22"/>
                <w:szCs w:val="22"/>
              </w:rPr>
            </w:pPr>
            <w:r>
              <w:rPr>
                <w:rFonts w:hint="eastAsia"/>
                <w:bCs/>
                <w:sz w:val="22"/>
                <w:szCs w:val="22"/>
              </w:rPr>
              <w:t>脱水压缩撬</w:t>
            </w:r>
          </w:p>
        </w:tc>
        <w:tc>
          <w:tcPr>
            <w:tcW w:w="1448" w:type="dxa"/>
            <w:vAlign w:val="center"/>
          </w:tcPr>
          <w:p w14:paraId="2575CE6E">
            <w:pPr>
              <w:jc w:val="center"/>
              <w:rPr>
                <w:bCs/>
                <w:sz w:val="22"/>
                <w:szCs w:val="22"/>
              </w:rPr>
            </w:pPr>
            <w:r>
              <w:rPr>
                <w:rFonts w:hint="eastAsia"/>
                <w:bCs/>
                <w:sz w:val="22"/>
                <w:szCs w:val="22"/>
              </w:rPr>
              <w:t>分子筛冷凝水</w:t>
            </w:r>
          </w:p>
        </w:tc>
        <w:tc>
          <w:tcPr>
            <w:tcW w:w="2103" w:type="dxa"/>
            <w:vAlign w:val="center"/>
          </w:tcPr>
          <w:p w14:paraId="337D1120">
            <w:pPr>
              <w:jc w:val="center"/>
              <w:rPr>
                <w:bCs/>
                <w:sz w:val="22"/>
                <w:szCs w:val="22"/>
              </w:rPr>
            </w:pPr>
            <w:r>
              <w:rPr>
                <w:bCs/>
                <w:sz w:val="22"/>
                <w:szCs w:val="22"/>
              </w:rPr>
              <w:t>COD、SS、石油类、氯离子等</w:t>
            </w:r>
          </w:p>
        </w:tc>
        <w:tc>
          <w:tcPr>
            <w:tcW w:w="2100" w:type="dxa"/>
            <w:vAlign w:val="center"/>
          </w:tcPr>
          <w:p w14:paraId="6006D72F">
            <w:pPr>
              <w:jc w:val="center"/>
              <w:rPr>
                <w:bCs/>
                <w:sz w:val="22"/>
                <w:szCs w:val="22"/>
              </w:rPr>
            </w:pPr>
            <w:r>
              <w:rPr>
                <w:bCs/>
                <w:sz w:val="22"/>
                <w:szCs w:val="22"/>
              </w:rPr>
              <w:t>0.2m</w:t>
            </w:r>
            <w:r>
              <w:rPr>
                <w:bCs/>
                <w:sz w:val="22"/>
                <w:szCs w:val="22"/>
                <w:vertAlign w:val="superscript"/>
              </w:rPr>
              <w:t>3</w:t>
            </w:r>
            <w:r>
              <w:rPr>
                <w:bCs/>
                <w:sz w:val="22"/>
                <w:szCs w:val="22"/>
              </w:rPr>
              <w:t>/a</w:t>
            </w:r>
          </w:p>
        </w:tc>
        <w:tc>
          <w:tcPr>
            <w:tcW w:w="3578" w:type="dxa"/>
            <w:vMerge w:val="continue"/>
            <w:vAlign w:val="center"/>
          </w:tcPr>
          <w:p w14:paraId="017A08C2">
            <w:pPr>
              <w:jc w:val="center"/>
              <w:rPr>
                <w:bCs/>
                <w:sz w:val="22"/>
                <w:szCs w:val="22"/>
              </w:rPr>
            </w:pPr>
          </w:p>
        </w:tc>
        <w:tc>
          <w:tcPr>
            <w:tcW w:w="1855" w:type="dxa"/>
            <w:vMerge w:val="continue"/>
            <w:vAlign w:val="center"/>
          </w:tcPr>
          <w:p w14:paraId="41AEB66B">
            <w:pPr>
              <w:jc w:val="center"/>
              <w:rPr>
                <w:bCs/>
                <w:sz w:val="22"/>
                <w:szCs w:val="22"/>
              </w:rPr>
            </w:pPr>
          </w:p>
        </w:tc>
      </w:tr>
      <w:tr w14:paraId="5BC8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369" w:hRule="atLeast"/>
          <w:jc w:val="center"/>
        </w:trPr>
        <w:tc>
          <w:tcPr>
            <w:tcW w:w="770" w:type="dxa"/>
            <w:vMerge w:val="continue"/>
            <w:vAlign w:val="center"/>
          </w:tcPr>
          <w:p w14:paraId="533C9249">
            <w:pPr>
              <w:jc w:val="center"/>
              <w:rPr>
                <w:bCs/>
                <w:sz w:val="22"/>
                <w:szCs w:val="22"/>
              </w:rPr>
            </w:pPr>
          </w:p>
        </w:tc>
        <w:tc>
          <w:tcPr>
            <w:tcW w:w="1739" w:type="dxa"/>
            <w:vAlign w:val="center"/>
          </w:tcPr>
          <w:p w14:paraId="55C4E6F1">
            <w:pPr>
              <w:jc w:val="center"/>
              <w:rPr>
                <w:bCs/>
                <w:sz w:val="22"/>
                <w:szCs w:val="22"/>
              </w:rPr>
            </w:pPr>
            <w:r>
              <w:rPr>
                <w:rFonts w:hint="eastAsia"/>
                <w:bCs/>
                <w:sz w:val="22"/>
                <w:szCs w:val="22"/>
              </w:rPr>
              <w:t>检修作业</w:t>
            </w:r>
          </w:p>
        </w:tc>
        <w:tc>
          <w:tcPr>
            <w:tcW w:w="1448" w:type="dxa"/>
            <w:vAlign w:val="center"/>
          </w:tcPr>
          <w:p w14:paraId="7DDC7F04">
            <w:pPr>
              <w:jc w:val="center"/>
              <w:rPr>
                <w:bCs/>
                <w:sz w:val="22"/>
                <w:szCs w:val="22"/>
              </w:rPr>
            </w:pPr>
            <w:r>
              <w:rPr>
                <w:rFonts w:hint="eastAsia"/>
                <w:bCs/>
                <w:sz w:val="22"/>
                <w:szCs w:val="22"/>
              </w:rPr>
              <w:t>检修废水</w:t>
            </w:r>
          </w:p>
        </w:tc>
        <w:tc>
          <w:tcPr>
            <w:tcW w:w="2103" w:type="dxa"/>
            <w:vAlign w:val="center"/>
          </w:tcPr>
          <w:p w14:paraId="0F01C9FF">
            <w:pPr>
              <w:jc w:val="center"/>
              <w:rPr>
                <w:bCs/>
                <w:sz w:val="22"/>
                <w:szCs w:val="22"/>
              </w:rPr>
            </w:pPr>
            <w:r>
              <w:rPr>
                <w:bCs/>
                <w:sz w:val="22"/>
                <w:szCs w:val="22"/>
              </w:rPr>
              <w:t>COD、SS、石油类、氯离子等</w:t>
            </w:r>
          </w:p>
        </w:tc>
        <w:tc>
          <w:tcPr>
            <w:tcW w:w="2100" w:type="dxa"/>
            <w:vAlign w:val="center"/>
          </w:tcPr>
          <w:p w14:paraId="52AEF3C2">
            <w:pPr>
              <w:jc w:val="center"/>
              <w:rPr>
                <w:bCs/>
                <w:sz w:val="22"/>
                <w:szCs w:val="22"/>
              </w:rPr>
            </w:pPr>
            <w:r>
              <w:rPr>
                <w:bCs/>
                <w:sz w:val="22"/>
                <w:szCs w:val="22"/>
              </w:rPr>
              <w:t>2 m</w:t>
            </w:r>
            <w:r>
              <w:rPr>
                <w:bCs/>
                <w:sz w:val="22"/>
                <w:szCs w:val="22"/>
                <w:vertAlign w:val="superscript"/>
              </w:rPr>
              <w:t>3</w:t>
            </w:r>
            <w:r>
              <w:rPr>
                <w:bCs/>
                <w:sz w:val="22"/>
                <w:szCs w:val="22"/>
              </w:rPr>
              <w:t>/a</w:t>
            </w:r>
          </w:p>
        </w:tc>
        <w:tc>
          <w:tcPr>
            <w:tcW w:w="3578" w:type="dxa"/>
            <w:vMerge w:val="continue"/>
            <w:vAlign w:val="center"/>
          </w:tcPr>
          <w:p w14:paraId="1CCA3531">
            <w:pPr>
              <w:jc w:val="center"/>
              <w:rPr>
                <w:bCs/>
                <w:sz w:val="22"/>
                <w:szCs w:val="22"/>
              </w:rPr>
            </w:pPr>
          </w:p>
        </w:tc>
        <w:tc>
          <w:tcPr>
            <w:tcW w:w="1855" w:type="dxa"/>
            <w:vMerge w:val="continue"/>
            <w:vAlign w:val="center"/>
          </w:tcPr>
          <w:p w14:paraId="146758DE">
            <w:pPr>
              <w:jc w:val="center"/>
              <w:rPr>
                <w:bCs/>
                <w:sz w:val="22"/>
                <w:szCs w:val="22"/>
              </w:rPr>
            </w:pPr>
          </w:p>
        </w:tc>
      </w:tr>
      <w:tr w14:paraId="3BAA5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369" w:hRule="atLeast"/>
          <w:jc w:val="center"/>
        </w:trPr>
        <w:tc>
          <w:tcPr>
            <w:tcW w:w="770" w:type="dxa"/>
            <w:vMerge w:val="continue"/>
            <w:vAlign w:val="center"/>
          </w:tcPr>
          <w:p w14:paraId="486E5940">
            <w:pPr>
              <w:jc w:val="center"/>
              <w:rPr>
                <w:bCs/>
                <w:sz w:val="22"/>
                <w:szCs w:val="22"/>
              </w:rPr>
            </w:pPr>
          </w:p>
        </w:tc>
        <w:tc>
          <w:tcPr>
            <w:tcW w:w="1739" w:type="dxa"/>
            <w:vAlign w:val="center"/>
          </w:tcPr>
          <w:p w14:paraId="4C62D30D">
            <w:pPr>
              <w:jc w:val="center"/>
              <w:rPr>
                <w:bCs/>
                <w:sz w:val="22"/>
                <w:szCs w:val="22"/>
              </w:rPr>
            </w:pPr>
            <w:r>
              <w:rPr>
                <w:rFonts w:hint="eastAsia"/>
                <w:bCs/>
                <w:sz w:val="22"/>
                <w:szCs w:val="22"/>
              </w:rPr>
              <w:t>值守人员</w:t>
            </w:r>
          </w:p>
        </w:tc>
        <w:tc>
          <w:tcPr>
            <w:tcW w:w="1448" w:type="dxa"/>
            <w:vAlign w:val="center"/>
          </w:tcPr>
          <w:p w14:paraId="06477BA8">
            <w:pPr>
              <w:jc w:val="center"/>
              <w:rPr>
                <w:bCs/>
                <w:sz w:val="22"/>
                <w:szCs w:val="22"/>
              </w:rPr>
            </w:pPr>
            <w:r>
              <w:rPr>
                <w:rFonts w:hint="eastAsia"/>
                <w:bCs/>
                <w:sz w:val="22"/>
                <w:szCs w:val="22"/>
              </w:rPr>
              <w:t>生活污水</w:t>
            </w:r>
          </w:p>
        </w:tc>
        <w:tc>
          <w:tcPr>
            <w:tcW w:w="2103" w:type="dxa"/>
            <w:vAlign w:val="center"/>
          </w:tcPr>
          <w:p w14:paraId="7F5F9F03">
            <w:pPr>
              <w:jc w:val="center"/>
              <w:rPr>
                <w:bCs/>
                <w:sz w:val="22"/>
                <w:szCs w:val="22"/>
              </w:rPr>
            </w:pPr>
            <w:r>
              <w:rPr>
                <w:rFonts w:hint="eastAsia"/>
                <w:bCs/>
                <w:sz w:val="22"/>
                <w:szCs w:val="22"/>
              </w:rPr>
              <w:t>COD、SS、BOD</w:t>
            </w:r>
            <w:r>
              <w:rPr>
                <w:rFonts w:hint="eastAsia"/>
                <w:bCs/>
                <w:sz w:val="22"/>
                <w:szCs w:val="22"/>
                <w:vertAlign w:val="subscript"/>
              </w:rPr>
              <w:t>5</w:t>
            </w:r>
            <w:r>
              <w:rPr>
                <w:rFonts w:hint="eastAsia"/>
                <w:bCs/>
                <w:sz w:val="22"/>
                <w:szCs w:val="22"/>
              </w:rPr>
              <w:t>、NH</w:t>
            </w:r>
            <w:r>
              <w:rPr>
                <w:rFonts w:hint="eastAsia"/>
                <w:bCs/>
                <w:sz w:val="22"/>
                <w:szCs w:val="22"/>
                <w:vertAlign w:val="subscript"/>
              </w:rPr>
              <w:t>3</w:t>
            </w:r>
            <w:r>
              <w:rPr>
                <w:rFonts w:hint="eastAsia"/>
                <w:bCs/>
                <w:sz w:val="22"/>
                <w:szCs w:val="22"/>
              </w:rPr>
              <w:t>-N</w:t>
            </w:r>
          </w:p>
        </w:tc>
        <w:tc>
          <w:tcPr>
            <w:tcW w:w="2100" w:type="dxa"/>
            <w:vAlign w:val="center"/>
          </w:tcPr>
          <w:p w14:paraId="12644522">
            <w:pPr>
              <w:jc w:val="center"/>
              <w:rPr>
                <w:bCs/>
                <w:sz w:val="22"/>
                <w:szCs w:val="22"/>
              </w:rPr>
            </w:pPr>
            <w:r>
              <w:rPr>
                <w:rFonts w:hint="eastAsia"/>
                <w:bCs/>
                <w:sz w:val="22"/>
                <w:szCs w:val="22"/>
              </w:rPr>
              <w:t>0</w:t>
            </w:r>
            <w:r>
              <w:rPr>
                <w:bCs/>
                <w:sz w:val="22"/>
                <w:szCs w:val="22"/>
              </w:rPr>
              <w:t>.18 m</w:t>
            </w:r>
            <w:r>
              <w:rPr>
                <w:bCs/>
                <w:sz w:val="22"/>
                <w:szCs w:val="22"/>
                <w:vertAlign w:val="superscript"/>
              </w:rPr>
              <w:t>3</w:t>
            </w:r>
            <w:r>
              <w:rPr>
                <w:bCs/>
                <w:sz w:val="22"/>
                <w:szCs w:val="22"/>
              </w:rPr>
              <w:t>/d</w:t>
            </w:r>
          </w:p>
        </w:tc>
        <w:tc>
          <w:tcPr>
            <w:tcW w:w="3578" w:type="dxa"/>
            <w:vAlign w:val="center"/>
          </w:tcPr>
          <w:p w14:paraId="2BBCD363">
            <w:pPr>
              <w:jc w:val="center"/>
              <w:rPr>
                <w:bCs/>
                <w:sz w:val="22"/>
                <w:szCs w:val="22"/>
              </w:rPr>
            </w:pPr>
            <w:r>
              <w:rPr>
                <w:rFonts w:hint="eastAsia"/>
                <w:bCs/>
                <w:sz w:val="22"/>
                <w:szCs w:val="22"/>
              </w:rPr>
              <w:t>生活污水经环保厕所收集后定期外运附近城镇生活污水处理厂处置。</w:t>
            </w:r>
          </w:p>
        </w:tc>
        <w:tc>
          <w:tcPr>
            <w:tcW w:w="1855" w:type="dxa"/>
            <w:vMerge w:val="continue"/>
            <w:vAlign w:val="center"/>
          </w:tcPr>
          <w:p w14:paraId="060652FD">
            <w:pPr>
              <w:jc w:val="center"/>
              <w:rPr>
                <w:bCs/>
                <w:sz w:val="22"/>
                <w:szCs w:val="22"/>
              </w:rPr>
            </w:pPr>
          </w:p>
        </w:tc>
      </w:tr>
      <w:tr w14:paraId="4DDE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369" w:hRule="atLeast"/>
          <w:jc w:val="center"/>
        </w:trPr>
        <w:tc>
          <w:tcPr>
            <w:tcW w:w="770" w:type="dxa"/>
            <w:vMerge w:val="restart"/>
            <w:vAlign w:val="center"/>
          </w:tcPr>
          <w:p w14:paraId="108FB232">
            <w:pPr>
              <w:jc w:val="center"/>
              <w:rPr>
                <w:bCs/>
                <w:sz w:val="22"/>
                <w:szCs w:val="22"/>
              </w:rPr>
            </w:pPr>
            <w:r>
              <w:rPr>
                <w:bCs/>
                <w:sz w:val="22"/>
                <w:szCs w:val="22"/>
              </w:rPr>
              <w:t>噪声</w:t>
            </w:r>
          </w:p>
        </w:tc>
        <w:tc>
          <w:tcPr>
            <w:tcW w:w="1739" w:type="dxa"/>
            <w:vAlign w:val="center"/>
          </w:tcPr>
          <w:p w14:paraId="73B3E348">
            <w:pPr>
              <w:jc w:val="center"/>
              <w:rPr>
                <w:bCs/>
                <w:sz w:val="22"/>
                <w:szCs w:val="22"/>
              </w:rPr>
            </w:pPr>
            <w:r>
              <w:rPr>
                <w:rFonts w:hint="eastAsia"/>
                <w:bCs/>
                <w:sz w:val="22"/>
                <w:szCs w:val="22"/>
              </w:rPr>
              <w:t>水套加热炉、分离器</w:t>
            </w:r>
            <w:r>
              <w:rPr>
                <w:bCs/>
                <w:sz w:val="22"/>
                <w:szCs w:val="22"/>
              </w:rPr>
              <w:t>等</w:t>
            </w:r>
          </w:p>
        </w:tc>
        <w:tc>
          <w:tcPr>
            <w:tcW w:w="1448" w:type="dxa"/>
            <w:vAlign w:val="center"/>
          </w:tcPr>
          <w:p w14:paraId="5723270F">
            <w:pPr>
              <w:jc w:val="center"/>
              <w:rPr>
                <w:bCs/>
                <w:sz w:val="22"/>
                <w:szCs w:val="22"/>
              </w:rPr>
            </w:pPr>
            <w:r>
              <w:rPr>
                <w:bCs/>
                <w:sz w:val="22"/>
                <w:szCs w:val="22"/>
              </w:rPr>
              <w:t>设备噪声</w:t>
            </w:r>
          </w:p>
        </w:tc>
        <w:tc>
          <w:tcPr>
            <w:tcW w:w="2103" w:type="dxa"/>
            <w:vAlign w:val="center"/>
          </w:tcPr>
          <w:p w14:paraId="7A9E457C">
            <w:pPr>
              <w:jc w:val="center"/>
              <w:rPr>
                <w:bCs/>
                <w:sz w:val="22"/>
                <w:szCs w:val="22"/>
              </w:rPr>
            </w:pPr>
            <w:r>
              <w:rPr>
                <w:bCs/>
                <w:sz w:val="22"/>
                <w:szCs w:val="22"/>
              </w:rPr>
              <w:t>噪声</w:t>
            </w:r>
          </w:p>
        </w:tc>
        <w:tc>
          <w:tcPr>
            <w:tcW w:w="2100" w:type="dxa"/>
            <w:vAlign w:val="center"/>
          </w:tcPr>
          <w:p w14:paraId="24DC9A7D">
            <w:pPr>
              <w:jc w:val="center"/>
              <w:rPr>
                <w:bCs/>
                <w:sz w:val="22"/>
                <w:szCs w:val="22"/>
              </w:rPr>
            </w:pPr>
            <w:r>
              <w:rPr>
                <w:bCs/>
                <w:sz w:val="22"/>
                <w:szCs w:val="22"/>
              </w:rPr>
              <w:t>60-90dB(A)</w:t>
            </w:r>
          </w:p>
        </w:tc>
        <w:tc>
          <w:tcPr>
            <w:tcW w:w="3578" w:type="dxa"/>
            <w:vMerge w:val="restart"/>
            <w:vAlign w:val="center"/>
          </w:tcPr>
          <w:p w14:paraId="3E1F6B60">
            <w:pPr>
              <w:jc w:val="center"/>
              <w:rPr>
                <w:bCs/>
                <w:sz w:val="22"/>
                <w:szCs w:val="22"/>
              </w:rPr>
            </w:pPr>
            <w:r>
              <w:rPr>
                <w:rFonts w:hint="eastAsia"/>
                <w:bCs/>
                <w:sz w:val="22"/>
                <w:szCs w:val="22"/>
              </w:rPr>
              <w:t>选用低噪声设备，合理布局，基础减震，控制气流速度；脱水压缩撬安装隔声罩（双层隔声板+高密度吸音棉+密封设计）</w:t>
            </w:r>
          </w:p>
        </w:tc>
        <w:tc>
          <w:tcPr>
            <w:tcW w:w="1855" w:type="dxa"/>
            <w:vMerge w:val="restart"/>
            <w:vAlign w:val="center"/>
          </w:tcPr>
          <w:p w14:paraId="56672408">
            <w:pPr>
              <w:jc w:val="center"/>
              <w:rPr>
                <w:bCs/>
                <w:sz w:val="22"/>
                <w:szCs w:val="22"/>
              </w:rPr>
            </w:pPr>
            <w:r>
              <w:rPr>
                <w:bCs/>
                <w:sz w:val="22"/>
                <w:szCs w:val="22"/>
              </w:rPr>
              <w:t>厂界噪声50 dB(A)</w:t>
            </w:r>
          </w:p>
        </w:tc>
      </w:tr>
      <w:tr w14:paraId="51B2E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369" w:hRule="atLeast"/>
          <w:jc w:val="center"/>
        </w:trPr>
        <w:tc>
          <w:tcPr>
            <w:tcW w:w="770" w:type="dxa"/>
            <w:vMerge w:val="continue"/>
            <w:vAlign w:val="center"/>
          </w:tcPr>
          <w:p w14:paraId="5D50546B">
            <w:pPr>
              <w:jc w:val="center"/>
              <w:rPr>
                <w:bCs/>
                <w:sz w:val="22"/>
                <w:szCs w:val="22"/>
              </w:rPr>
            </w:pPr>
          </w:p>
        </w:tc>
        <w:tc>
          <w:tcPr>
            <w:tcW w:w="1739" w:type="dxa"/>
            <w:vAlign w:val="center"/>
          </w:tcPr>
          <w:p w14:paraId="6DC384AE">
            <w:pPr>
              <w:jc w:val="center"/>
              <w:rPr>
                <w:bCs/>
                <w:sz w:val="22"/>
                <w:szCs w:val="22"/>
              </w:rPr>
            </w:pPr>
            <w:r>
              <w:rPr>
                <w:rFonts w:hint="eastAsia"/>
                <w:bCs/>
                <w:sz w:val="22"/>
                <w:szCs w:val="22"/>
              </w:rPr>
              <w:t>泵类</w:t>
            </w:r>
          </w:p>
        </w:tc>
        <w:tc>
          <w:tcPr>
            <w:tcW w:w="1448" w:type="dxa"/>
            <w:vAlign w:val="center"/>
          </w:tcPr>
          <w:p w14:paraId="00C5F210">
            <w:pPr>
              <w:jc w:val="center"/>
              <w:rPr>
                <w:bCs/>
                <w:sz w:val="22"/>
                <w:szCs w:val="22"/>
              </w:rPr>
            </w:pPr>
            <w:r>
              <w:rPr>
                <w:bCs/>
                <w:sz w:val="22"/>
                <w:szCs w:val="22"/>
              </w:rPr>
              <w:t>设备噪声</w:t>
            </w:r>
          </w:p>
        </w:tc>
        <w:tc>
          <w:tcPr>
            <w:tcW w:w="2103" w:type="dxa"/>
            <w:vAlign w:val="center"/>
          </w:tcPr>
          <w:p w14:paraId="44E40430">
            <w:pPr>
              <w:jc w:val="center"/>
              <w:rPr>
                <w:bCs/>
                <w:sz w:val="22"/>
                <w:szCs w:val="22"/>
              </w:rPr>
            </w:pPr>
            <w:r>
              <w:rPr>
                <w:rFonts w:hint="eastAsia"/>
                <w:bCs/>
                <w:sz w:val="22"/>
                <w:szCs w:val="22"/>
              </w:rPr>
              <w:t>噪声</w:t>
            </w:r>
          </w:p>
        </w:tc>
        <w:tc>
          <w:tcPr>
            <w:tcW w:w="2100" w:type="dxa"/>
            <w:vAlign w:val="center"/>
          </w:tcPr>
          <w:p w14:paraId="7A817E00">
            <w:pPr>
              <w:jc w:val="center"/>
              <w:rPr>
                <w:bCs/>
                <w:sz w:val="22"/>
                <w:szCs w:val="22"/>
              </w:rPr>
            </w:pPr>
            <w:r>
              <w:rPr>
                <w:bCs/>
                <w:sz w:val="22"/>
                <w:szCs w:val="22"/>
              </w:rPr>
              <w:t>68dB(A)</w:t>
            </w:r>
          </w:p>
        </w:tc>
        <w:tc>
          <w:tcPr>
            <w:tcW w:w="3578" w:type="dxa"/>
            <w:vMerge w:val="continue"/>
            <w:vAlign w:val="center"/>
          </w:tcPr>
          <w:p w14:paraId="54CBC620">
            <w:pPr>
              <w:jc w:val="center"/>
              <w:rPr>
                <w:bCs/>
                <w:sz w:val="22"/>
                <w:szCs w:val="22"/>
              </w:rPr>
            </w:pPr>
          </w:p>
        </w:tc>
        <w:tc>
          <w:tcPr>
            <w:tcW w:w="1855" w:type="dxa"/>
            <w:vMerge w:val="continue"/>
            <w:vAlign w:val="center"/>
          </w:tcPr>
          <w:p w14:paraId="287CAAD8">
            <w:pPr>
              <w:jc w:val="center"/>
              <w:rPr>
                <w:bCs/>
                <w:sz w:val="22"/>
                <w:szCs w:val="22"/>
              </w:rPr>
            </w:pPr>
          </w:p>
        </w:tc>
      </w:tr>
      <w:tr w14:paraId="0CBF3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1" w:type="dxa"/>
          <w:cantSplit/>
          <w:trHeight w:val="369" w:hRule="atLeast"/>
          <w:jc w:val="center"/>
        </w:trPr>
        <w:tc>
          <w:tcPr>
            <w:tcW w:w="770" w:type="dxa"/>
            <w:vMerge w:val="continue"/>
            <w:vAlign w:val="center"/>
          </w:tcPr>
          <w:p w14:paraId="571D3E31">
            <w:pPr>
              <w:jc w:val="center"/>
              <w:rPr>
                <w:bCs/>
                <w:sz w:val="22"/>
                <w:szCs w:val="22"/>
              </w:rPr>
            </w:pPr>
          </w:p>
        </w:tc>
        <w:tc>
          <w:tcPr>
            <w:tcW w:w="1739" w:type="dxa"/>
            <w:vAlign w:val="center"/>
          </w:tcPr>
          <w:p w14:paraId="17E7D431">
            <w:pPr>
              <w:jc w:val="center"/>
              <w:rPr>
                <w:bCs/>
                <w:sz w:val="22"/>
                <w:szCs w:val="22"/>
              </w:rPr>
            </w:pPr>
            <w:r>
              <w:rPr>
                <w:bCs/>
                <w:sz w:val="22"/>
                <w:szCs w:val="22"/>
              </w:rPr>
              <w:t>放空管</w:t>
            </w:r>
          </w:p>
        </w:tc>
        <w:tc>
          <w:tcPr>
            <w:tcW w:w="1448" w:type="dxa"/>
            <w:vAlign w:val="center"/>
          </w:tcPr>
          <w:p w14:paraId="33C40EFA">
            <w:pPr>
              <w:jc w:val="center"/>
              <w:rPr>
                <w:bCs/>
                <w:sz w:val="22"/>
                <w:szCs w:val="22"/>
              </w:rPr>
            </w:pPr>
            <w:r>
              <w:rPr>
                <w:bCs/>
                <w:sz w:val="22"/>
                <w:szCs w:val="22"/>
              </w:rPr>
              <w:t>气流噪声</w:t>
            </w:r>
          </w:p>
        </w:tc>
        <w:tc>
          <w:tcPr>
            <w:tcW w:w="2103" w:type="dxa"/>
            <w:vAlign w:val="center"/>
          </w:tcPr>
          <w:p w14:paraId="037F68FC">
            <w:pPr>
              <w:jc w:val="center"/>
              <w:rPr>
                <w:bCs/>
                <w:sz w:val="22"/>
                <w:szCs w:val="22"/>
              </w:rPr>
            </w:pPr>
            <w:r>
              <w:rPr>
                <w:bCs/>
                <w:sz w:val="22"/>
                <w:szCs w:val="22"/>
              </w:rPr>
              <w:t>噪声</w:t>
            </w:r>
          </w:p>
        </w:tc>
        <w:tc>
          <w:tcPr>
            <w:tcW w:w="2100" w:type="dxa"/>
            <w:vAlign w:val="center"/>
          </w:tcPr>
          <w:p w14:paraId="49EB4F0F">
            <w:pPr>
              <w:jc w:val="center"/>
              <w:rPr>
                <w:bCs/>
                <w:sz w:val="22"/>
                <w:szCs w:val="22"/>
              </w:rPr>
            </w:pPr>
            <w:r>
              <w:rPr>
                <w:bCs/>
                <w:sz w:val="22"/>
                <w:szCs w:val="22"/>
              </w:rPr>
              <w:t>100</w:t>
            </w:r>
            <w:r>
              <w:rPr>
                <w:rFonts w:hint="eastAsia"/>
                <w:bCs/>
                <w:sz w:val="22"/>
                <w:szCs w:val="22"/>
              </w:rPr>
              <w:t>~</w:t>
            </w:r>
            <w:r>
              <w:rPr>
                <w:bCs/>
                <w:sz w:val="22"/>
                <w:szCs w:val="22"/>
              </w:rPr>
              <w:t>110dB(A)</w:t>
            </w:r>
          </w:p>
        </w:tc>
        <w:tc>
          <w:tcPr>
            <w:tcW w:w="3578" w:type="dxa"/>
            <w:vAlign w:val="center"/>
          </w:tcPr>
          <w:p w14:paraId="6344BF2D">
            <w:pPr>
              <w:jc w:val="center"/>
              <w:rPr>
                <w:bCs/>
                <w:sz w:val="22"/>
                <w:szCs w:val="22"/>
              </w:rPr>
            </w:pPr>
            <w:r>
              <w:rPr>
                <w:rFonts w:hint="eastAsia"/>
                <w:bCs/>
                <w:sz w:val="22"/>
                <w:szCs w:val="22"/>
              </w:rPr>
              <w:t>放空前事先通知附近居民</w:t>
            </w:r>
          </w:p>
        </w:tc>
        <w:tc>
          <w:tcPr>
            <w:tcW w:w="1855" w:type="dxa"/>
            <w:vAlign w:val="center"/>
          </w:tcPr>
          <w:p w14:paraId="5F66FB2F">
            <w:pPr>
              <w:jc w:val="center"/>
              <w:rPr>
                <w:bCs/>
                <w:sz w:val="22"/>
                <w:szCs w:val="22"/>
              </w:rPr>
            </w:pPr>
            <w:r>
              <w:rPr>
                <w:bCs/>
                <w:sz w:val="22"/>
                <w:szCs w:val="22"/>
              </w:rPr>
              <w:t>100</w:t>
            </w:r>
            <w:r>
              <w:rPr>
                <w:rFonts w:hint="eastAsia"/>
                <w:bCs/>
                <w:sz w:val="22"/>
                <w:szCs w:val="22"/>
              </w:rPr>
              <w:t>~</w:t>
            </w:r>
            <w:r>
              <w:rPr>
                <w:bCs/>
                <w:sz w:val="22"/>
                <w:szCs w:val="22"/>
              </w:rPr>
              <w:t>110dB(A)</w:t>
            </w:r>
          </w:p>
        </w:tc>
      </w:tr>
      <w:tr w14:paraId="6701F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770" w:type="dxa"/>
            <w:vMerge w:val="restart"/>
            <w:vAlign w:val="center"/>
          </w:tcPr>
          <w:p w14:paraId="1DF23590">
            <w:pPr>
              <w:jc w:val="center"/>
              <w:rPr>
                <w:bCs/>
                <w:sz w:val="22"/>
                <w:szCs w:val="22"/>
              </w:rPr>
            </w:pPr>
            <w:r>
              <w:rPr>
                <w:bCs/>
                <w:sz w:val="22"/>
                <w:szCs w:val="22"/>
              </w:rPr>
              <w:t>固体废物</w:t>
            </w:r>
          </w:p>
        </w:tc>
        <w:tc>
          <w:tcPr>
            <w:tcW w:w="1739" w:type="dxa"/>
            <w:vAlign w:val="center"/>
          </w:tcPr>
          <w:p w14:paraId="6FFDA389">
            <w:pPr>
              <w:jc w:val="center"/>
              <w:rPr>
                <w:bCs/>
                <w:sz w:val="22"/>
                <w:szCs w:val="22"/>
              </w:rPr>
            </w:pPr>
            <w:r>
              <w:rPr>
                <w:rFonts w:hint="eastAsia"/>
                <w:bCs/>
                <w:sz w:val="22"/>
                <w:szCs w:val="22"/>
              </w:rPr>
              <w:t>凝析油储罐和气田水储罐</w:t>
            </w:r>
          </w:p>
        </w:tc>
        <w:tc>
          <w:tcPr>
            <w:tcW w:w="1448" w:type="dxa"/>
            <w:vAlign w:val="center"/>
          </w:tcPr>
          <w:p w14:paraId="7077B0E2">
            <w:pPr>
              <w:jc w:val="center"/>
              <w:rPr>
                <w:bCs/>
                <w:sz w:val="22"/>
                <w:szCs w:val="22"/>
              </w:rPr>
            </w:pPr>
            <w:r>
              <w:rPr>
                <w:rFonts w:hint="eastAsia"/>
                <w:bCs/>
                <w:sz w:val="22"/>
                <w:szCs w:val="22"/>
              </w:rPr>
              <w:t>储罐清掏沉渣</w:t>
            </w:r>
          </w:p>
        </w:tc>
        <w:tc>
          <w:tcPr>
            <w:tcW w:w="2103" w:type="dxa"/>
            <w:vAlign w:val="center"/>
          </w:tcPr>
          <w:p w14:paraId="3AC9C085">
            <w:pPr>
              <w:jc w:val="center"/>
              <w:rPr>
                <w:bCs/>
                <w:sz w:val="22"/>
                <w:szCs w:val="22"/>
              </w:rPr>
            </w:pPr>
            <w:r>
              <w:rPr>
                <w:rFonts w:hint="eastAsia"/>
                <w:sz w:val="22"/>
              </w:rPr>
              <w:t>油类物质、</w:t>
            </w:r>
            <w:r>
              <w:rPr>
                <w:sz w:val="22"/>
              </w:rPr>
              <w:t>井内杂屑、机械杂质</w:t>
            </w:r>
          </w:p>
        </w:tc>
        <w:tc>
          <w:tcPr>
            <w:tcW w:w="2100" w:type="dxa"/>
            <w:vAlign w:val="center"/>
          </w:tcPr>
          <w:p w14:paraId="68EB6FE0">
            <w:pPr>
              <w:jc w:val="center"/>
              <w:rPr>
                <w:bCs/>
                <w:sz w:val="22"/>
                <w:szCs w:val="22"/>
              </w:rPr>
            </w:pPr>
            <w:r>
              <w:rPr>
                <w:bCs/>
                <w:sz w:val="22"/>
                <w:szCs w:val="22"/>
              </w:rPr>
              <w:t>1.5t/a</w:t>
            </w:r>
          </w:p>
        </w:tc>
        <w:tc>
          <w:tcPr>
            <w:tcW w:w="5444" w:type="dxa"/>
            <w:gridSpan w:val="3"/>
            <w:vMerge w:val="restart"/>
            <w:vAlign w:val="center"/>
          </w:tcPr>
          <w:p w14:paraId="2B2FE21B">
            <w:pPr>
              <w:jc w:val="center"/>
              <w:rPr>
                <w:bCs/>
                <w:sz w:val="22"/>
                <w:szCs w:val="22"/>
              </w:rPr>
            </w:pPr>
            <w:r>
              <w:rPr>
                <w:rFonts w:hint="eastAsia"/>
                <w:bCs/>
                <w:sz w:val="22"/>
                <w:szCs w:val="26"/>
              </w:rPr>
              <w:t>即产即运，由作业区收集后</w:t>
            </w:r>
            <w:r>
              <w:rPr>
                <w:rFonts w:hint="eastAsia"/>
                <w:sz w:val="22"/>
              </w:rPr>
              <w:t>暂存于河飞2</w:t>
            </w:r>
            <w:r>
              <w:rPr>
                <w:sz w:val="22"/>
              </w:rPr>
              <w:t>03</w:t>
            </w:r>
            <w:r>
              <w:rPr>
                <w:rFonts w:hint="eastAsia"/>
                <w:sz w:val="22"/>
              </w:rPr>
              <w:t>中心站危废暂存间，统一交由资质单位处置</w:t>
            </w:r>
            <w:r>
              <w:rPr>
                <w:rFonts w:hint="eastAsia"/>
                <w:sz w:val="24"/>
              </w:rPr>
              <w:t>。</w:t>
            </w:r>
          </w:p>
        </w:tc>
      </w:tr>
      <w:tr w14:paraId="7029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770" w:type="dxa"/>
            <w:vMerge w:val="continue"/>
            <w:vAlign w:val="center"/>
          </w:tcPr>
          <w:p w14:paraId="5188A2AF">
            <w:pPr>
              <w:jc w:val="center"/>
              <w:rPr>
                <w:bCs/>
                <w:sz w:val="22"/>
                <w:szCs w:val="22"/>
              </w:rPr>
            </w:pPr>
          </w:p>
        </w:tc>
        <w:tc>
          <w:tcPr>
            <w:tcW w:w="1739" w:type="dxa"/>
            <w:vAlign w:val="center"/>
          </w:tcPr>
          <w:p w14:paraId="01D5FBCE">
            <w:pPr>
              <w:jc w:val="center"/>
              <w:rPr>
                <w:bCs/>
                <w:sz w:val="22"/>
                <w:szCs w:val="22"/>
              </w:rPr>
            </w:pPr>
            <w:r>
              <w:rPr>
                <w:rFonts w:hint="eastAsia"/>
                <w:bCs/>
                <w:sz w:val="22"/>
                <w:szCs w:val="22"/>
              </w:rPr>
              <w:t>检修作业</w:t>
            </w:r>
          </w:p>
        </w:tc>
        <w:tc>
          <w:tcPr>
            <w:tcW w:w="1448" w:type="dxa"/>
            <w:vAlign w:val="center"/>
          </w:tcPr>
          <w:p w14:paraId="0929B45A">
            <w:pPr>
              <w:jc w:val="center"/>
              <w:rPr>
                <w:bCs/>
                <w:sz w:val="22"/>
                <w:szCs w:val="22"/>
              </w:rPr>
            </w:pPr>
            <w:r>
              <w:rPr>
                <w:bCs/>
                <w:sz w:val="22"/>
              </w:rPr>
              <w:t>检修废渣</w:t>
            </w:r>
          </w:p>
        </w:tc>
        <w:tc>
          <w:tcPr>
            <w:tcW w:w="2103" w:type="dxa"/>
            <w:vAlign w:val="center"/>
          </w:tcPr>
          <w:p w14:paraId="1FF8A21D">
            <w:pPr>
              <w:jc w:val="center"/>
              <w:rPr>
                <w:bCs/>
                <w:sz w:val="22"/>
                <w:szCs w:val="22"/>
              </w:rPr>
            </w:pPr>
            <w:r>
              <w:rPr>
                <w:rFonts w:hint="eastAsia"/>
                <w:sz w:val="22"/>
              </w:rPr>
              <w:t>油类物质、</w:t>
            </w:r>
            <w:r>
              <w:rPr>
                <w:sz w:val="22"/>
              </w:rPr>
              <w:t>井内杂屑、机械杂质</w:t>
            </w:r>
          </w:p>
        </w:tc>
        <w:tc>
          <w:tcPr>
            <w:tcW w:w="2100" w:type="dxa"/>
            <w:vAlign w:val="center"/>
          </w:tcPr>
          <w:p w14:paraId="206FEC99">
            <w:pPr>
              <w:jc w:val="center"/>
              <w:rPr>
                <w:bCs/>
                <w:sz w:val="22"/>
                <w:szCs w:val="22"/>
              </w:rPr>
            </w:pPr>
            <w:r>
              <w:rPr>
                <w:sz w:val="22"/>
              </w:rPr>
              <w:t>2.0kg/a</w:t>
            </w:r>
          </w:p>
        </w:tc>
        <w:tc>
          <w:tcPr>
            <w:tcW w:w="5444" w:type="dxa"/>
            <w:gridSpan w:val="3"/>
            <w:vMerge w:val="continue"/>
            <w:vAlign w:val="center"/>
          </w:tcPr>
          <w:p w14:paraId="00D46B69">
            <w:pPr>
              <w:jc w:val="center"/>
              <w:rPr>
                <w:bCs/>
                <w:sz w:val="22"/>
                <w:szCs w:val="22"/>
              </w:rPr>
            </w:pPr>
          </w:p>
        </w:tc>
      </w:tr>
      <w:tr w14:paraId="76C7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770" w:type="dxa"/>
            <w:vMerge w:val="continue"/>
            <w:vAlign w:val="center"/>
          </w:tcPr>
          <w:p w14:paraId="7C22E6B6">
            <w:pPr>
              <w:jc w:val="center"/>
              <w:rPr>
                <w:bCs/>
                <w:sz w:val="22"/>
                <w:szCs w:val="22"/>
              </w:rPr>
            </w:pPr>
          </w:p>
        </w:tc>
        <w:tc>
          <w:tcPr>
            <w:tcW w:w="1739" w:type="dxa"/>
            <w:vMerge w:val="restart"/>
            <w:vAlign w:val="center"/>
          </w:tcPr>
          <w:p w14:paraId="61F9CF39">
            <w:pPr>
              <w:jc w:val="center"/>
              <w:rPr>
                <w:bCs/>
                <w:sz w:val="22"/>
                <w:szCs w:val="22"/>
              </w:rPr>
            </w:pPr>
            <w:r>
              <w:rPr>
                <w:rFonts w:hint="eastAsia"/>
                <w:bCs/>
                <w:sz w:val="22"/>
                <w:szCs w:val="22"/>
              </w:rPr>
              <w:t>维护保养作业</w:t>
            </w:r>
          </w:p>
        </w:tc>
        <w:tc>
          <w:tcPr>
            <w:tcW w:w="1448" w:type="dxa"/>
            <w:vAlign w:val="center"/>
          </w:tcPr>
          <w:p w14:paraId="478FA854">
            <w:pPr>
              <w:jc w:val="center"/>
              <w:rPr>
                <w:bCs/>
                <w:sz w:val="22"/>
              </w:rPr>
            </w:pPr>
            <w:r>
              <w:rPr>
                <w:rFonts w:hint="eastAsia"/>
                <w:bCs/>
                <w:sz w:val="22"/>
              </w:rPr>
              <w:t>废油</w:t>
            </w:r>
          </w:p>
        </w:tc>
        <w:tc>
          <w:tcPr>
            <w:tcW w:w="2103" w:type="dxa"/>
            <w:vAlign w:val="center"/>
          </w:tcPr>
          <w:p w14:paraId="6D398A8F">
            <w:pPr>
              <w:jc w:val="center"/>
              <w:rPr>
                <w:sz w:val="22"/>
              </w:rPr>
            </w:pPr>
            <w:r>
              <w:rPr>
                <w:sz w:val="22"/>
                <w:szCs w:val="22"/>
              </w:rPr>
              <w:t>油类、烃类等</w:t>
            </w:r>
          </w:p>
        </w:tc>
        <w:tc>
          <w:tcPr>
            <w:tcW w:w="2100" w:type="dxa"/>
            <w:vAlign w:val="center"/>
          </w:tcPr>
          <w:p w14:paraId="53858D4E">
            <w:pPr>
              <w:jc w:val="center"/>
              <w:rPr>
                <w:sz w:val="22"/>
              </w:rPr>
            </w:pPr>
            <w:r>
              <w:rPr>
                <w:sz w:val="22"/>
              </w:rPr>
              <w:t>3.0t/a</w:t>
            </w:r>
          </w:p>
        </w:tc>
        <w:tc>
          <w:tcPr>
            <w:tcW w:w="5444" w:type="dxa"/>
            <w:gridSpan w:val="3"/>
            <w:vMerge w:val="continue"/>
            <w:vAlign w:val="center"/>
          </w:tcPr>
          <w:p w14:paraId="458ABED4">
            <w:pPr>
              <w:jc w:val="center"/>
              <w:rPr>
                <w:bCs/>
                <w:sz w:val="22"/>
                <w:szCs w:val="22"/>
              </w:rPr>
            </w:pPr>
          </w:p>
        </w:tc>
      </w:tr>
      <w:tr w14:paraId="5BF4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770" w:type="dxa"/>
            <w:vMerge w:val="continue"/>
            <w:vAlign w:val="center"/>
          </w:tcPr>
          <w:p w14:paraId="2FA6FD9F">
            <w:pPr>
              <w:jc w:val="center"/>
              <w:rPr>
                <w:bCs/>
                <w:sz w:val="22"/>
                <w:szCs w:val="22"/>
              </w:rPr>
            </w:pPr>
          </w:p>
        </w:tc>
        <w:tc>
          <w:tcPr>
            <w:tcW w:w="1739" w:type="dxa"/>
            <w:vMerge w:val="continue"/>
            <w:vAlign w:val="center"/>
          </w:tcPr>
          <w:p w14:paraId="345C9507">
            <w:pPr>
              <w:jc w:val="center"/>
              <w:rPr>
                <w:bCs/>
                <w:sz w:val="22"/>
                <w:szCs w:val="22"/>
              </w:rPr>
            </w:pPr>
          </w:p>
        </w:tc>
        <w:tc>
          <w:tcPr>
            <w:tcW w:w="1448" w:type="dxa"/>
            <w:vAlign w:val="center"/>
          </w:tcPr>
          <w:p w14:paraId="5ECE0655">
            <w:pPr>
              <w:jc w:val="center"/>
              <w:rPr>
                <w:bCs/>
                <w:sz w:val="22"/>
              </w:rPr>
            </w:pPr>
            <w:r>
              <w:rPr>
                <w:sz w:val="22"/>
                <w:szCs w:val="22"/>
              </w:rPr>
              <w:t>废油桶</w:t>
            </w:r>
          </w:p>
        </w:tc>
        <w:tc>
          <w:tcPr>
            <w:tcW w:w="2103" w:type="dxa"/>
            <w:vAlign w:val="center"/>
          </w:tcPr>
          <w:p w14:paraId="20D5CE16">
            <w:pPr>
              <w:jc w:val="center"/>
              <w:rPr>
                <w:sz w:val="22"/>
              </w:rPr>
            </w:pPr>
            <w:r>
              <w:rPr>
                <w:sz w:val="22"/>
                <w:szCs w:val="22"/>
              </w:rPr>
              <w:t>油类</w:t>
            </w:r>
          </w:p>
        </w:tc>
        <w:tc>
          <w:tcPr>
            <w:tcW w:w="2100" w:type="dxa"/>
            <w:vAlign w:val="center"/>
          </w:tcPr>
          <w:p w14:paraId="454FE85A">
            <w:pPr>
              <w:jc w:val="center"/>
              <w:rPr>
                <w:sz w:val="22"/>
              </w:rPr>
            </w:pPr>
            <w:r>
              <w:rPr>
                <w:rFonts w:hint="eastAsia"/>
                <w:sz w:val="22"/>
              </w:rPr>
              <w:t>0</w:t>
            </w:r>
            <w:r>
              <w:rPr>
                <w:sz w:val="22"/>
              </w:rPr>
              <w:t>.05t/a</w:t>
            </w:r>
          </w:p>
        </w:tc>
        <w:tc>
          <w:tcPr>
            <w:tcW w:w="5444" w:type="dxa"/>
            <w:gridSpan w:val="3"/>
            <w:vMerge w:val="continue"/>
            <w:vAlign w:val="center"/>
          </w:tcPr>
          <w:p w14:paraId="25918DAD">
            <w:pPr>
              <w:jc w:val="center"/>
              <w:rPr>
                <w:bCs/>
                <w:sz w:val="22"/>
                <w:szCs w:val="22"/>
              </w:rPr>
            </w:pPr>
          </w:p>
        </w:tc>
      </w:tr>
      <w:tr w14:paraId="1D6C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770" w:type="dxa"/>
            <w:vMerge w:val="continue"/>
            <w:vAlign w:val="center"/>
          </w:tcPr>
          <w:p w14:paraId="2084506F">
            <w:pPr>
              <w:jc w:val="center"/>
              <w:rPr>
                <w:bCs/>
                <w:sz w:val="22"/>
                <w:szCs w:val="22"/>
              </w:rPr>
            </w:pPr>
          </w:p>
        </w:tc>
        <w:tc>
          <w:tcPr>
            <w:tcW w:w="1739" w:type="dxa"/>
            <w:vMerge w:val="continue"/>
            <w:vAlign w:val="center"/>
          </w:tcPr>
          <w:p w14:paraId="0F0E7C0F">
            <w:pPr>
              <w:jc w:val="center"/>
              <w:rPr>
                <w:bCs/>
                <w:sz w:val="22"/>
                <w:szCs w:val="22"/>
              </w:rPr>
            </w:pPr>
          </w:p>
        </w:tc>
        <w:tc>
          <w:tcPr>
            <w:tcW w:w="1448" w:type="dxa"/>
            <w:vAlign w:val="center"/>
          </w:tcPr>
          <w:p w14:paraId="39B9F4BC">
            <w:pPr>
              <w:jc w:val="center"/>
              <w:rPr>
                <w:bCs/>
                <w:sz w:val="22"/>
              </w:rPr>
            </w:pPr>
            <w:r>
              <w:rPr>
                <w:sz w:val="22"/>
                <w:szCs w:val="22"/>
              </w:rPr>
              <w:t>含油抹布及手套</w:t>
            </w:r>
          </w:p>
        </w:tc>
        <w:tc>
          <w:tcPr>
            <w:tcW w:w="2103" w:type="dxa"/>
            <w:vAlign w:val="center"/>
          </w:tcPr>
          <w:p w14:paraId="2DEEAD5C">
            <w:pPr>
              <w:jc w:val="center"/>
              <w:rPr>
                <w:sz w:val="22"/>
              </w:rPr>
            </w:pPr>
            <w:r>
              <w:rPr>
                <w:sz w:val="22"/>
                <w:szCs w:val="22"/>
              </w:rPr>
              <w:t>油类</w:t>
            </w:r>
          </w:p>
        </w:tc>
        <w:tc>
          <w:tcPr>
            <w:tcW w:w="2100" w:type="dxa"/>
            <w:vAlign w:val="center"/>
          </w:tcPr>
          <w:p w14:paraId="387D6CD4">
            <w:pPr>
              <w:jc w:val="center"/>
              <w:rPr>
                <w:sz w:val="22"/>
              </w:rPr>
            </w:pPr>
            <w:r>
              <w:rPr>
                <w:rFonts w:hint="eastAsia"/>
                <w:sz w:val="22"/>
              </w:rPr>
              <w:t>0</w:t>
            </w:r>
            <w:r>
              <w:rPr>
                <w:sz w:val="22"/>
              </w:rPr>
              <w:t>.01t/a</w:t>
            </w:r>
          </w:p>
        </w:tc>
        <w:tc>
          <w:tcPr>
            <w:tcW w:w="5444" w:type="dxa"/>
            <w:gridSpan w:val="3"/>
            <w:vMerge w:val="continue"/>
            <w:vAlign w:val="center"/>
          </w:tcPr>
          <w:p w14:paraId="3EC4C2A7">
            <w:pPr>
              <w:jc w:val="center"/>
              <w:rPr>
                <w:bCs/>
                <w:sz w:val="22"/>
                <w:szCs w:val="22"/>
              </w:rPr>
            </w:pPr>
          </w:p>
        </w:tc>
      </w:tr>
      <w:tr w14:paraId="3E43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770" w:type="dxa"/>
            <w:vMerge w:val="continue"/>
            <w:vAlign w:val="center"/>
          </w:tcPr>
          <w:p w14:paraId="657F068C">
            <w:pPr>
              <w:jc w:val="center"/>
              <w:rPr>
                <w:bCs/>
                <w:sz w:val="22"/>
                <w:szCs w:val="22"/>
              </w:rPr>
            </w:pPr>
          </w:p>
        </w:tc>
        <w:tc>
          <w:tcPr>
            <w:tcW w:w="1739" w:type="dxa"/>
            <w:vAlign w:val="center"/>
          </w:tcPr>
          <w:p w14:paraId="552B07CB">
            <w:pPr>
              <w:jc w:val="center"/>
              <w:rPr>
                <w:bCs/>
                <w:sz w:val="22"/>
                <w:szCs w:val="22"/>
              </w:rPr>
            </w:pPr>
            <w:r>
              <w:rPr>
                <w:rFonts w:hint="eastAsia"/>
                <w:bCs/>
                <w:sz w:val="22"/>
                <w:szCs w:val="22"/>
              </w:rPr>
              <w:t>聚结过滤分离器</w:t>
            </w:r>
          </w:p>
        </w:tc>
        <w:tc>
          <w:tcPr>
            <w:tcW w:w="1448" w:type="dxa"/>
            <w:vAlign w:val="center"/>
          </w:tcPr>
          <w:p w14:paraId="6ED6D5E7">
            <w:pPr>
              <w:jc w:val="center"/>
              <w:rPr>
                <w:bCs/>
                <w:sz w:val="22"/>
                <w:szCs w:val="22"/>
              </w:rPr>
            </w:pPr>
            <w:r>
              <w:rPr>
                <w:rFonts w:hint="eastAsia"/>
                <w:bCs/>
                <w:sz w:val="22"/>
                <w:szCs w:val="22"/>
              </w:rPr>
              <w:t>废滤芯</w:t>
            </w:r>
          </w:p>
        </w:tc>
        <w:tc>
          <w:tcPr>
            <w:tcW w:w="2103" w:type="dxa"/>
            <w:vAlign w:val="center"/>
          </w:tcPr>
          <w:p w14:paraId="42D8F2FB">
            <w:pPr>
              <w:jc w:val="center"/>
              <w:rPr>
                <w:sz w:val="22"/>
              </w:rPr>
            </w:pPr>
            <w:r>
              <w:rPr>
                <w:rFonts w:hint="eastAsia"/>
                <w:sz w:val="22"/>
              </w:rPr>
              <w:t>废滤芯</w:t>
            </w:r>
          </w:p>
        </w:tc>
        <w:tc>
          <w:tcPr>
            <w:tcW w:w="2100" w:type="dxa"/>
            <w:vAlign w:val="center"/>
          </w:tcPr>
          <w:p w14:paraId="17EE6EF6">
            <w:pPr>
              <w:jc w:val="center"/>
              <w:rPr>
                <w:bCs/>
                <w:sz w:val="22"/>
                <w:szCs w:val="22"/>
              </w:rPr>
            </w:pPr>
            <w:r>
              <w:rPr>
                <w:sz w:val="22"/>
              </w:rPr>
              <w:t>1.5t/a</w:t>
            </w:r>
          </w:p>
        </w:tc>
        <w:tc>
          <w:tcPr>
            <w:tcW w:w="5444" w:type="dxa"/>
            <w:gridSpan w:val="3"/>
            <w:vMerge w:val="restart"/>
            <w:vAlign w:val="center"/>
          </w:tcPr>
          <w:p w14:paraId="31239CCC">
            <w:pPr>
              <w:jc w:val="center"/>
              <w:rPr>
                <w:bCs/>
                <w:sz w:val="22"/>
                <w:szCs w:val="22"/>
              </w:rPr>
            </w:pPr>
            <w:r>
              <w:rPr>
                <w:rFonts w:hint="eastAsia"/>
                <w:bCs/>
                <w:sz w:val="22"/>
              </w:rPr>
              <w:t>由厂家统一更换后回收，不在站内存储。</w:t>
            </w:r>
          </w:p>
        </w:tc>
      </w:tr>
      <w:tr w14:paraId="5362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770" w:type="dxa"/>
            <w:vMerge w:val="continue"/>
            <w:vAlign w:val="center"/>
          </w:tcPr>
          <w:p w14:paraId="2EA65ADC">
            <w:pPr>
              <w:jc w:val="center"/>
              <w:rPr>
                <w:bCs/>
                <w:sz w:val="22"/>
                <w:szCs w:val="22"/>
              </w:rPr>
            </w:pPr>
          </w:p>
        </w:tc>
        <w:tc>
          <w:tcPr>
            <w:tcW w:w="1739" w:type="dxa"/>
            <w:vAlign w:val="center"/>
          </w:tcPr>
          <w:p w14:paraId="3EF87DB1">
            <w:pPr>
              <w:jc w:val="center"/>
              <w:rPr>
                <w:bCs/>
                <w:sz w:val="22"/>
                <w:szCs w:val="22"/>
              </w:rPr>
            </w:pPr>
            <w:r>
              <w:rPr>
                <w:rFonts w:hint="eastAsia"/>
                <w:bCs/>
                <w:sz w:val="22"/>
                <w:szCs w:val="22"/>
              </w:rPr>
              <w:t>脱水压缩撬</w:t>
            </w:r>
          </w:p>
        </w:tc>
        <w:tc>
          <w:tcPr>
            <w:tcW w:w="1448" w:type="dxa"/>
            <w:vAlign w:val="center"/>
          </w:tcPr>
          <w:p w14:paraId="5DFACBFC">
            <w:pPr>
              <w:jc w:val="center"/>
              <w:rPr>
                <w:bCs/>
                <w:sz w:val="22"/>
                <w:szCs w:val="22"/>
              </w:rPr>
            </w:pPr>
            <w:r>
              <w:rPr>
                <w:rFonts w:hint="eastAsia"/>
                <w:bCs/>
                <w:sz w:val="22"/>
                <w:szCs w:val="22"/>
              </w:rPr>
              <w:t>废分子筛</w:t>
            </w:r>
          </w:p>
        </w:tc>
        <w:tc>
          <w:tcPr>
            <w:tcW w:w="2103" w:type="dxa"/>
            <w:vAlign w:val="center"/>
          </w:tcPr>
          <w:p w14:paraId="797076D5">
            <w:pPr>
              <w:jc w:val="center"/>
              <w:rPr>
                <w:sz w:val="22"/>
              </w:rPr>
            </w:pPr>
            <w:r>
              <w:rPr>
                <w:rFonts w:hint="eastAsia"/>
                <w:sz w:val="22"/>
              </w:rPr>
              <w:t>废分子筛</w:t>
            </w:r>
          </w:p>
        </w:tc>
        <w:tc>
          <w:tcPr>
            <w:tcW w:w="2100" w:type="dxa"/>
            <w:vAlign w:val="center"/>
          </w:tcPr>
          <w:p w14:paraId="6A8BC5FB">
            <w:pPr>
              <w:jc w:val="center"/>
              <w:rPr>
                <w:sz w:val="22"/>
              </w:rPr>
            </w:pPr>
            <w:r>
              <w:rPr>
                <w:rFonts w:hint="eastAsia"/>
                <w:sz w:val="22"/>
              </w:rPr>
              <w:t>1</w:t>
            </w:r>
            <w:r>
              <w:rPr>
                <w:sz w:val="22"/>
              </w:rPr>
              <w:t>.0 t/a</w:t>
            </w:r>
          </w:p>
        </w:tc>
        <w:tc>
          <w:tcPr>
            <w:tcW w:w="5444" w:type="dxa"/>
            <w:gridSpan w:val="3"/>
            <w:vMerge w:val="continue"/>
            <w:vAlign w:val="center"/>
          </w:tcPr>
          <w:p w14:paraId="0F373116">
            <w:pPr>
              <w:jc w:val="center"/>
              <w:rPr>
                <w:bCs/>
                <w:sz w:val="22"/>
              </w:rPr>
            </w:pPr>
          </w:p>
        </w:tc>
      </w:tr>
      <w:tr w14:paraId="3A93D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770" w:type="dxa"/>
            <w:vMerge w:val="continue"/>
            <w:vAlign w:val="center"/>
          </w:tcPr>
          <w:p w14:paraId="2F06166F">
            <w:pPr>
              <w:jc w:val="center"/>
              <w:rPr>
                <w:bCs/>
                <w:sz w:val="22"/>
                <w:szCs w:val="22"/>
              </w:rPr>
            </w:pPr>
          </w:p>
        </w:tc>
        <w:tc>
          <w:tcPr>
            <w:tcW w:w="1739" w:type="dxa"/>
            <w:vAlign w:val="center"/>
          </w:tcPr>
          <w:p w14:paraId="1797693B">
            <w:pPr>
              <w:jc w:val="center"/>
              <w:rPr>
                <w:bCs/>
                <w:sz w:val="22"/>
                <w:szCs w:val="22"/>
              </w:rPr>
            </w:pPr>
            <w:r>
              <w:rPr>
                <w:rFonts w:hint="eastAsia"/>
                <w:bCs/>
                <w:sz w:val="22"/>
                <w:szCs w:val="22"/>
              </w:rPr>
              <w:t>工作人员</w:t>
            </w:r>
          </w:p>
        </w:tc>
        <w:tc>
          <w:tcPr>
            <w:tcW w:w="1448" w:type="dxa"/>
            <w:vAlign w:val="center"/>
          </w:tcPr>
          <w:p w14:paraId="26ACCC29">
            <w:pPr>
              <w:jc w:val="center"/>
              <w:rPr>
                <w:bCs/>
                <w:sz w:val="22"/>
                <w:szCs w:val="22"/>
              </w:rPr>
            </w:pPr>
            <w:r>
              <w:rPr>
                <w:rFonts w:hint="eastAsia"/>
                <w:bCs/>
                <w:sz w:val="22"/>
                <w:szCs w:val="22"/>
              </w:rPr>
              <w:t>生活垃圾</w:t>
            </w:r>
          </w:p>
        </w:tc>
        <w:tc>
          <w:tcPr>
            <w:tcW w:w="2103" w:type="dxa"/>
            <w:vAlign w:val="center"/>
          </w:tcPr>
          <w:p w14:paraId="4E20FE8F">
            <w:pPr>
              <w:jc w:val="center"/>
              <w:rPr>
                <w:bCs/>
                <w:sz w:val="22"/>
                <w:szCs w:val="22"/>
              </w:rPr>
            </w:pPr>
            <w:r>
              <w:rPr>
                <w:rFonts w:hint="eastAsia"/>
                <w:bCs/>
                <w:sz w:val="22"/>
                <w:szCs w:val="22"/>
              </w:rPr>
              <w:t>/</w:t>
            </w:r>
          </w:p>
        </w:tc>
        <w:tc>
          <w:tcPr>
            <w:tcW w:w="2100" w:type="dxa"/>
            <w:vAlign w:val="center"/>
          </w:tcPr>
          <w:p w14:paraId="62D2A098">
            <w:pPr>
              <w:jc w:val="center"/>
              <w:rPr>
                <w:bCs/>
                <w:sz w:val="22"/>
                <w:szCs w:val="22"/>
              </w:rPr>
            </w:pPr>
            <w:r>
              <w:rPr>
                <w:rFonts w:hint="eastAsia"/>
                <w:bCs/>
                <w:sz w:val="22"/>
                <w:szCs w:val="22"/>
              </w:rPr>
              <w:t>0</w:t>
            </w:r>
            <w:r>
              <w:rPr>
                <w:bCs/>
                <w:sz w:val="22"/>
                <w:szCs w:val="22"/>
              </w:rPr>
              <w:t>.365t/a</w:t>
            </w:r>
          </w:p>
        </w:tc>
        <w:tc>
          <w:tcPr>
            <w:tcW w:w="5444" w:type="dxa"/>
            <w:gridSpan w:val="3"/>
            <w:vAlign w:val="center"/>
          </w:tcPr>
          <w:p w14:paraId="4567CF98">
            <w:pPr>
              <w:jc w:val="center"/>
              <w:rPr>
                <w:bCs/>
                <w:sz w:val="22"/>
                <w:szCs w:val="22"/>
              </w:rPr>
            </w:pPr>
            <w:r>
              <w:rPr>
                <w:rFonts w:hint="eastAsia"/>
                <w:bCs/>
                <w:sz w:val="22"/>
                <w:szCs w:val="22"/>
              </w:rPr>
              <w:t>分类收集后交当地环卫部门处置</w:t>
            </w:r>
          </w:p>
        </w:tc>
      </w:tr>
    </w:tbl>
    <w:p w14:paraId="1339803C">
      <w:pPr>
        <w:pStyle w:val="702"/>
        <w:ind w:firstLine="520"/>
        <w:rPr>
          <w:rFonts w:cs="Times New Roman"/>
        </w:rPr>
      </w:pPr>
    </w:p>
    <w:p w14:paraId="1FF92A88">
      <w:pPr>
        <w:pStyle w:val="702"/>
        <w:ind w:firstLine="520"/>
        <w:rPr>
          <w:rFonts w:cs="Times New Roman"/>
        </w:rPr>
        <w:sectPr>
          <w:pgSz w:w="16838" w:h="11906" w:orient="landscape"/>
          <w:pgMar w:top="1588" w:right="1701" w:bottom="1588" w:left="1588" w:header="1304" w:footer="1247" w:gutter="0"/>
          <w:cols w:space="720" w:num="1"/>
          <w:docGrid w:linePitch="312" w:charSpace="0"/>
        </w:sectPr>
      </w:pPr>
    </w:p>
    <w:p w14:paraId="34E167BE">
      <w:pPr>
        <w:pStyle w:val="1059"/>
        <w:rPr>
          <w:rFonts w:cs="Times New Roman"/>
        </w:rPr>
      </w:pPr>
      <w:bookmarkStart w:id="199" w:name="_Toc219907641"/>
      <w:bookmarkStart w:id="200" w:name="_Toc209774474"/>
      <w:bookmarkStart w:id="201" w:name="_Toc535830616"/>
      <w:bookmarkStart w:id="202" w:name="_Toc165809693"/>
      <w:bookmarkStart w:id="203" w:name="_Toc165810518"/>
      <w:r>
        <w:rPr>
          <w:rFonts w:hint="eastAsia" w:cs="Times New Roman"/>
        </w:rPr>
        <w:t>3.3 退役期污染源及污染物排放情况</w:t>
      </w:r>
      <w:bookmarkEnd w:id="199"/>
      <w:bookmarkEnd w:id="200"/>
    </w:p>
    <w:p w14:paraId="4655B0AD">
      <w:pPr>
        <w:pStyle w:val="1381"/>
        <w:ind w:firstLine="520"/>
      </w:pPr>
      <w:r>
        <w:rPr>
          <w:rFonts w:hint="eastAsia"/>
        </w:rPr>
        <w:t>本项目试采期结束后若具备工业生产价值则转生产，采气站后续纳入区块环评；若试采结束后不具备工业生产价值则关井处理。关井后各种机械设备将停止使用，除井口采气树外，其余设备设施及管道全部拆除。关井后进驻其中的气田开发工作人员将陆续撤离气田区域，由此带来的大气污染物、生产废水、生活污水、噪声及固体废物等对环境的影响将会消失。气井停采后应按《天然气井永久性封井技术规范》（Q/SY XN0386-2013）等相关行业规范进行封井作业，并设置醒目的警示标志，加强保护和巡查、监控。除在井口周围设置围墙外，其余占地全部进行土地功能的恢复。</w:t>
      </w:r>
    </w:p>
    <w:p w14:paraId="6067AFB7">
      <w:pPr>
        <w:pStyle w:val="1381"/>
        <w:ind w:firstLine="520"/>
      </w:pPr>
      <w:r>
        <w:rPr>
          <w:rFonts w:hint="eastAsia"/>
        </w:rPr>
        <w:t>与此同时，还要进行占地区域地表植被的恢复，主要措施及方案为：</w:t>
      </w:r>
    </w:p>
    <w:p w14:paraId="04CCFBA4">
      <w:pPr>
        <w:pStyle w:val="1381"/>
        <w:ind w:firstLine="520"/>
      </w:pPr>
      <w:r>
        <w:rPr>
          <w:rFonts w:hint="eastAsia"/>
        </w:rPr>
        <w:t>（1）清理工作：采气站地面设施拆除、气井地下截去至少1m的井筒并用水泥灌注封井，井场的清理等。在闭井施工操作中注意降尘措施，文明施工，防止水泥等的洒落与飘散，同时在清理井场时防止飞灰、扬尘的产生。</w:t>
      </w:r>
    </w:p>
    <w:p w14:paraId="46DE753B">
      <w:pPr>
        <w:pStyle w:val="1381"/>
        <w:ind w:firstLine="520"/>
      </w:pPr>
      <w:r>
        <w:rPr>
          <w:rFonts w:hint="eastAsia"/>
        </w:rPr>
        <w:t>（2）固体废物的清理和收集：井场清理等工作还会产生部分废弃管线、废弃建筑残渣等固体废物，对这些废弃管线、废弃建筑残渣等进行集中清理收集，管线回收再利用，废弃建筑残渣外运至指定建筑垃圾填埋场处置。</w:t>
      </w:r>
    </w:p>
    <w:p w14:paraId="5F442A2E">
      <w:pPr>
        <w:pStyle w:val="1381"/>
        <w:ind w:firstLine="520"/>
        <w:rPr>
          <w:bCs/>
        </w:rPr>
      </w:pPr>
      <w:r>
        <w:rPr>
          <w:rFonts w:hint="eastAsia"/>
        </w:rPr>
        <w:t>（3）占地地表恢复：井场经过清理后，占地范围内的水泥平台或砂砾石铺垫被清理，随后根据周边区域的自然现状对其进行恢复，使井场恢复到相对自然的一种状态，井场范围内的自然植被会逐渐得以恢复。为使土地功能的尽快恢复，可增施肥料，加强灌溉等。在施肥时，应注意把有机肥和化肥结合起来用，以改良土壤结构及其理化性质，提高土壤的保肥保水能力，以恢复土壤的生产能力。</w:t>
      </w:r>
    </w:p>
    <w:p w14:paraId="55130711">
      <w:pPr>
        <w:spacing w:before="240" w:beforeLines="100" w:after="240" w:afterLines="100"/>
        <w:jc w:val="center"/>
        <w:outlineLvl w:val="0"/>
        <w:rPr>
          <w:b/>
          <w:sz w:val="32"/>
          <w:szCs w:val="32"/>
        </w:rPr>
        <w:sectPr>
          <w:pgSz w:w="11906" w:h="16838"/>
          <w:pgMar w:top="1701" w:right="1588" w:bottom="1588" w:left="1588" w:header="1304" w:footer="1247" w:gutter="0"/>
          <w:cols w:space="720" w:num="1"/>
          <w:docGrid w:linePitch="312" w:charSpace="0"/>
        </w:sectPr>
      </w:pPr>
    </w:p>
    <w:p w14:paraId="560307A4">
      <w:pPr>
        <w:spacing w:before="240" w:beforeLines="100" w:after="240" w:afterLines="100"/>
        <w:jc w:val="center"/>
        <w:outlineLvl w:val="0"/>
        <w:rPr>
          <w:b/>
          <w:sz w:val="32"/>
          <w:szCs w:val="32"/>
        </w:rPr>
      </w:pPr>
      <w:bookmarkStart w:id="204" w:name="_Toc219907642"/>
      <w:r>
        <w:rPr>
          <w:b/>
          <w:sz w:val="32"/>
          <w:szCs w:val="32"/>
        </w:rPr>
        <w:t>4 项目所在地环境概况</w:t>
      </w:r>
      <w:bookmarkEnd w:id="201"/>
      <w:bookmarkEnd w:id="202"/>
      <w:bookmarkEnd w:id="203"/>
      <w:bookmarkEnd w:id="204"/>
    </w:p>
    <w:p w14:paraId="4D491111">
      <w:pPr>
        <w:spacing w:line="460" w:lineRule="exact"/>
        <w:ind w:firstLine="522" w:firstLineChars="200"/>
        <w:outlineLvl w:val="1"/>
        <w:rPr>
          <w:b/>
          <w:sz w:val="26"/>
          <w:szCs w:val="26"/>
        </w:rPr>
      </w:pPr>
      <w:bookmarkStart w:id="205" w:name="_Toc535830617"/>
      <w:bookmarkStart w:id="206" w:name="_Toc165809694"/>
      <w:bookmarkStart w:id="207" w:name="_Toc219907643"/>
      <w:bookmarkStart w:id="208" w:name="_Toc165810519"/>
      <w:r>
        <w:rPr>
          <w:b/>
          <w:sz w:val="26"/>
          <w:szCs w:val="26"/>
        </w:rPr>
        <w:t>4.1 自然环境</w:t>
      </w:r>
      <w:bookmarkEnd w:id="205"/>
      <w:r>
        <w:rPr>
          <w:b/>
          <w:sz w:val="26"/>
          <w:szCs w:val="26"/>
        </w:rPr>
        <w:t>概况</w:t>
      </w:r>
      <w:bookmarkEnd w:id="206"/>
      <w:bookmarkEnd w:id="207"/>
      <w:bookmarkEnd w:id="208"/>
    </w:p>
    <w:p w14:paraId="0720A800">
      <w:pPr>
        <w:spacing w:line="460" w:lineRule="exact"/>
        <w:ind w:firstLine="522" w:firstLineChars="200"/>
        <w:outlineLvl w:val="2"/>
        <w:rPr>
          <w:b/>
          <w:sz w:val="26"/>
          <w:szCs w:val="26"/>
        </w:rPr>
      </w:pPr>
      <w:bookmarkStart w:id="209" w:name="_Toc165810520"/>
      <w:r>
        <w:rPr>
          <w:b/>
          <w:sz w:val="26"/>
          <w:szCs w:val="26"/>
        </w:rPr>
        <w:t>4.1.1 地理位置</w:t>
      </w:r>
      <w:bookmarkEnd w:id="209"/>
    </w:p>
    <w:p w14:paraId="0AD9ADEB">
      <w:pPr>
        <w:adjustRightInd w:val="0"/>
        <w:snapToGrid w:val="0"/>
        <w:spacing w:line="480" w:lineRule="exact"/>
        <w:ind w:firstLine="520" w:firstLineChars="200"/>
        <w:rPr>
          <w:sz w:val="26"/>
          <w:szCs w:val="26"/>
        </w:rPr>
      </w:pPr>
      <w:r>
        <w:rPr>
          <w:rFonts w:hint="eastAsia"/>
          <w:sz w:val="26"/>
          <w:szCs w:val="26"/>
        </w:rPr>
        <w:t>巴中市恩阳区位于四川省东北部，东靠巴州区，南邻仪陇县，西连苍溪县、阆中市，北接南江县。全区幅员1177平方公里，辖登科、文治、司城3个街道办事处，明阳镇、玉山镇、渔溪镇、花丛镇、茶坝镇、下八庙镇、柳林镇、雪山镇、上八庙镇、兴隆镇、关公镇、九镇、双胜镇、群乐镇、尹家镇15个镇，209个行政村、100个居委会。</w:t>
      </w:r>
    </w:p>
    <w:p w14:paraId="5BF1C066">
      <w:pPr>
        <w:pStyle w:val="1381"/>
        <w:ind w:firstLine="520"/>
        <w:rPr>
          <w:rFonts w:cs="Times New Roman"/>
        </w:rPr>
      </w:pPr>
      <w:r>
        <w:rPr>
          <w:rFonts w:hint="eastAsia" w:cs="Times New Roman"/>
        </w:rPr>
        <w:t>本项目位于四川省巴中市恩阳区渔溪镇，项目周边村道相连，交通方便，地理位置详见</w:t>
      </w:r>
      <w:r>
        <w:rPr>
          <w:rFonts w:hint="eastAsia" w:cs="Times New Roman"/>
          <w:bCs/>
          <w:u w:val="single"/>
        </w:rPr>
        <w:t>附图1</w:t>
      </w:r>
      <w:r>
        <w:rPr>
          <w:rFonts w:hint="eastAsia" w:cs="Times New Roman"/>
          <w:bCs/>
        </w:rPr>
        <w:t>。</w:t>
      </w:r>
    </w:p>
    <w:p w14:paraId="646EF373">
      <w:pPr>
        <w:pStyle w:val="1068"/>
        <w:rPr>
          <w:rFonts w:cs="Times New Roman"/>
        </w:rPr>
      </w:pPr>
      <w:bookmarkStart w:id="210" w:name="_Toc165810521"/>
      <w:r>
        <w:rPr>
          <w:rFonts w:cs="Times New Roman"/>
        </w:rPr>
        <w:t>4.1.2 地形、地貌</w:t>
      </w:r>
      <w:bookmarkEnd w:id="210"/>
    </w:p>
    <w:p w14:paraId="0F7E8049">
      <w:pPr>
        <w:spacing w:line="480" w:lineRule="exact"/>
        <w:ind w:firstLine="520" w:firstLineChars="200"/>
        <w:rPr>
          <w:sz w:val="26"/>
          <w:szCs w:val="26"/>
        </w:rPr>
      </w:pPr>
      <w:bookmarkStart w:id="211" w:name="_Toc165810522"/>
      <w:r>
        <w:rPr>
          <w:rFonts w:hint="eastAsia"/>
          <w:sz w:val="26"/>
          <w:szCs w:val="26"/>
        </w:rPr>
        <w:t>巴中市恩阳区处四川盆地北部的低山区，地势北高南低，北及西北向南及西南倾斜。恩阳区主要属米仓山南麓丘陵地貌，正好处于巴中境内低山、长梁高丘地貌向平缓坡台状丘陵地貌过渡地带，境内多为丘陵、低山，平坝较少，全镇地势西北高、东南低，这与区域整体地貌轮廓一致，最高山峰义阳山海拔680米。</w:t>
      </w:r>
    </w:p>
    <w:p w14:paraId="030C2D84">
      <w:pPr>
        <w:spacing w:line="460" w:lineRule="atLeast"/>
        <w:ind w:firstLine="522" w:firstLineChars="200"/>
        <w:outlineLvl w:val="2"/>
        <w:rPr>
          <w:b/>
          <w:sz w:val="26"/>
          <w:szCs w:val="26"/>
        </w:rPr>
      </w:pPr>
      <w:r>
        <w:rPr>
          <w:b/>
          <w:sz w:val="26"/>
          <w:szCs w:val="26"/>
        </w:rPr>
        <w:t>4.1.3 气候</w:t>
      </w:r>
      <w:bookmarkEnd w:id="211"/>
      <w:r>
        <w:rPr>
          <w:rFonts w:hint="eastAsia"/>
          <w:b/>
          <w:sz w:val="26"/>
          <w:szCs w:val="26"/>
        </w:rPr>
        <w:t>、气象</w:t>
      </w:r>
    </w:p>
    <w:p w14:paraId="2843DAC0">
      <w:pPr>
        <w:autoSpaceDE w:val="0"/>
        <w:autoSpaceDN w:val="0"/>
        <w:snapToGrid w:val="0"/>
        <w:spacing w:line="480" w:lineRule="exact"/>
        <w:ind w:firstLine="561"/>
        <w:rPr>
          <w:sz w:val="26"/>
          <w:szCs w:val="26"/>
        </w:rPr>
      </w:pPr>
      <w:r>
        <w:rPr>
          <w:rFonts w:hint="eastAsia"/>
          <w:sz w:val="26"/>
          <w:szCs w:val="26"/>
        </w:rPr>
        <w:t>巴中市</w:t>
      </w:r>
      <w:r>
        <w:rPr>
          <w:sz w:val="26"/>
          <w:szCs w:val="26"/>
        </w:rPr>
        <w:t>恩阳区属亚热带季风性湿润气候区，冬暖、春旱、夏热、秋凉，四季分明；无霜期长，光照适宜，雨量充沛，气候温和，适宜于多种农作物的生长。年平均气温17.5℃，最高气温39℃，最低气温-5℃，无霜期291天，年平均日照1460小时，年均降雨量1050毫米。区内秋季多雨，冬季多雾，霜、雪较少，降水时空分布差异大，夏季多伏旱，还常有风、冰雹等灾害性天气发生</w:t>
      </w:r>
      <w:r>
        <w:rPr>
          <w:rFonts w:hint="eastAsia"/>
          <w:sz w:val="26"/>
          <w:szCs w:val="26"/>
        </w:rPr>
        <w:t>。</w:t>
      </w:r>
    </w:p>
    <w:p w14:paraId="3C1F9B35">
      <w:pPr>
        <w:tabs>
          <w:tab w:val="left" w:pos="5925"/>
        </w:tabs>
        <w:overflowPunct w:val="0"/>
        <w:spacing w:line="460" w:lineRule="atLeast"/>
        <w:ind w:firstLine="522" w:firstLineChars="200"/>
        <w:outlineLvl w:val="2"/>
        <w:rPr>
          <w:b/>
          <w:sz w:val="26"/>
          <w:szCs w:val="26"/>
        </w:rPr>
      </w:pPr>
      <w:bookmarkStart w:id="212" w:name="_Toc165810523"/>
      <w:r>
        <w:rPr>
          <w:b/>
          <w:sz w:val="26"/>
          <w:szCs w:val="26"/>
        </w:rPr>
        <w:t>4.1.4 地表水系</w:t>
      </w:r>
      <w:bookmarkEnd w:id="212"/>
    </w:p>
    <w:p w14:paraId="4959E381">
      <w:pPr>
        <w:pStyle w:val="1381"/>
        <w:ind w:firstLine="520"/>
      </w:pPr>
      <w:r>
        <w:rPr>
          <w:rFonts w:hint="eastAsia"/>
        </w:rPr>
        <w:t>巴中市恩阳区主要河流为恩阳河和鳖溪河。</w:t>
      </w:r>
    </w:p>
    <w:p w14:paraId="1879A302">
      <w:pPr>
        <w:pStyle w:val="1381"/>
        <w:ind w:firstLine="520"/>
      </w:pPr>
      <w:r>
        <w:rPr>
          <w:rFonts w:hint="eastAsia"/>
        </w:rPr>
        <w:t>恩阳河古名清化水，系巴河一级支流，渠江二级支流。主河发源于旺苍县水磨乡九指山西北，经旺苍县东凡、南江县和平、正直、凤仪等乡，在县北福星乡李家坝入县境。至麻石垭乡毛水口，有毛石小河自西北汇入;至起凤桥，有之字河自西汇入。蜿蜓向东南，至麻石垭乡石龙咀，有古溪桥河(原名鹿溪)自北汇入。绕石城、光辉2乡至三江乡境，与西南来的鳌溪河汇合后，在三江口注入巴河。主河及支流组成扇状水系遍布县境西部和西南部，主河全长139.4公里，流域面积2920平方公里。在县境内长43.3公里，直线河长20.4公里，比降为0.69%，流域面积1183.5平方公里，河网密度每平方公里0.18公里。沿河两岸分布有李家坝、元坝子、赵家坝、小观坝、青州坝等冲积小平坝。汇入巴河处的多年平均流量为39.52立方米/秒，多年平均径流总量约12.46亿立方米。</w:t>
      </w:r>
    </w:p>
    <w:p w14:paraId="0D6F40B9">
      <w:pPr>
        <w:pStyle w:val="1381"/>
        <w:ind w:firstLine="520"/>
      </w:pPr>
      <w:r>
        <w:rPr>
          <w:rFonts w:hint="eastAsia"/>
        </w:rPr>
        <w:t>鳖溪河古名深渡河，系巴河二级支流。发源于阆中县望垭乡，从西部尹家乡入县境，经花丛、磨子、柳林、万安、天官、同乐、三星、三江等乡，距三江口约1公里处汇入恩阳河。全长72. .8公里，县境内长67.5公里，直线河长36.5公里，流城面积646. 75平方公里。入县境后，在尹家乡境有三溪沟、新民河两条小溪自西北汇入+至天官乡境，有自西南来的茶坝河及自南来的黄柏溪(又名三叉河)汇入至三星乡境，有自南来的苟家河汇入。水系呈树枝状，比降为6.6%，河网密度每平方公里0.20公里，河道夸曲系数1. 85% ；注入恩阳河处，多年平均流量为8. 2立方米/秒，多年平均径流量为2.59亿立方米。</w:t>
      </w:r>
    </w:p>
    <w:p w14:paraId="6BBCD871">
      <w:pPr>
        <w:pStyle w:val="1069"/>
        <w:spacing w:line="480" w:lineRule="exact"/>
        <w:ind w:firstLine="520"/>
        <w:rPr>
          <w:sz w:val="26"/>
          <w:szCs w:val="26"/>
        </w:rPr>
      </w:pPr>
      <w:r>
        <w:rPr>
          <w:rFonts w:hint="eastAsia" w:hAnsi="Times New Roman" w:cs="Times New Roman"/>
          <w:sz w:val="26"/>
          <w:szCs w:val="26"/>
        </w:rPr>
        <w:t>本项目</w:t>
      </w:r>
      <w:r>
        <w:rPr>
          <w:rFonts w:hint="eastAsia"/>
          <w:sz w:val="26"/>
          <w:szCs w:val="26"/>
        </w:rPr>
        <w:t>附近最近地表水体为芝子河，本项目位于芝子河南侧约1</w:t>
      </w:r>
      <w:r>
        <w:rPr>
          <w:sz w:val="26"/>
          <w:szCs w:val="26"/>
        </w:rPr>
        <w:t>.75</w:t>
      </w:r>
      <w:r>
        <w:rPr>
          <w:rFonts w:hint="eastAsia"/>
          <w:sz w:val="26"/>
          <w:szCs w:val="26"/>
        </w:rPr>
        <w:t>km，芝子河未划分水域功能，为恩阳河二级支流，项目附近水系图见</w:t>
      </w:r>
      <w:r>
        <w:rPr>
          <w:rFonts w:hint="eastAsia"/>
          <w:sz w:val="26"/>
          <w:szCs w:val="26"/>
          <w:u w:val="single"/>
        </w:rPr>
        <w:t>附图5</w:t>
      </w:r>
      <w:r>
        <w:rPr>
          <w:rFonts w:hint="eastAsia"/>
          <w:sz w:val="26"/>
          <w:szCs w:val="26"/>
        </w:rPr>
        <w:t>。</w:t>
      </w:r>
    </w:p>
    <w:p w14:paraId="46C84C47">
      <w:pPr>
        <w:adjustRightInd w:val="0"/>
        <w:snapToGrid w:val="0"/>
        <w:spacing w:line="460" w:lineRule="exact"/>
        <w:ind w:firstLine="522" w:firstLineChars="200"/>
        <w:outlineLvl w:val="2"/>
        <w:rPr>
          <w:b/>
          <w:sz w:val="26"/>
          <w:szCs w:val="26"/>
        </w:rPr>
      </w:pPr>
      <w:r>
        <w:rPr>
          <w:b/>
          <w:sz w:val="26"/>
          <w:szCs w:val="26"/>
        </w:rPr>
        <w:t xml:space="preserve">4.1.5 </w:t>
      </w:r>
      <w:r>
        <w:rPr>
          <w:rFonts w:hint="eastAsia"/>
          <w:b/>
          <w:sz w:val="26"/>
          <w:szCs w:val="26"/>
        </w:rPr>
        <w:t>地层岩性</w:t>
      </w:r>
    </w:p>
    <w:p w14:paraId="466EBAD6">
      <w:pPr>
        <w:pStyle w:val="1381"/>
        <w:ind w:firstLine="520"/>
      </w:pPr>
      <w:r>
        <w:rPr>
          <w:rFonts w:hint="eastAsia"/>
        </w:rPr>
        <w:t>本项目评价区出露地层包括第四系残坡积（Q</w:t>
      </w:r>
      <w:r>
        <w:rPr>
          <w:rFonts w:hint="eastAsia"/>
          <w:vertAlign w:val="subscript"/>
        </w:rPr>
        <w:t>4</w:t>
      </w:r>
      <w:r>
        <w:rPr>
          <w:rFonts w:hint="eastAsia"/>
          <w:vertAlign w:val="superscript"/>
        </w:rPr>
        <w:t>el+dl</w:t>
      </w:r>
      <w:r>
        <w:rPr>
          <w:rFonts w:hint="eastAsia"/>
        </w:rPr>
        <w:t>）以及白垩系下统白龙组（K</w:t>
      </w:r>
      <w:r>
        <w:rPr>
          <w:rFonts w:hint="eastAsia"/>
          <w:vertAlign w:val="subscript"/>
        </w:rPr>
        <w:t>1</w:t>
      </w:r>
      <w:r>
        <w:rPr>
          <w:rFonts w:hint="eastAsia"/>
        </w:rPr>
        <w:t>b）砂岩夹泥岩地层，现将各地层由新到老详述如下：</w:t>
      </w:r>
    </w:p>
    <w:p w14:paraId="21027C03">
      <w:pPr>
        <w:pStyle w:val="1381"/>
        <w:ind w:firstLine="520"/>
      </w:pPr>
      <w:r>
        <w:rPr>
          <w:rFonts w:hint="eastAsia"/>
        </w:rPr>
        <w:t>（1）第四系残坡积地层（Q</w:t>
      </w:r>
      <w:r>
        <w:rPr>
          <w:rFonts w:hint="eastAsia"/>
          <w:vertAlign w:val="subscript"/>
        </w:rPr>
        <w:t>4</w:t>
      </w:r>
      <w:r>
        <w:rPr>
          <w:rFonts w:hint="eastAsia"/>
          <w:vertAlign w:val="superscript"/>
        </w:rPr>
        <w:t>el+dl</w:t>
      </w:r>
      <w:r>
        <w:rPr>
          <w:rFonts w:hint="eastAsia"/>
        </w:rPr>
        <w:t>）</w:t>
      </w:r>
    </w:p>
    <w:p w14:paraId="775C3183">
      <w:pPr>
        <w:pStyle w:val="1381"/>
        <w:ind w:firstLine="520"/>
      </w:pPr>
      <w:r>
        <w:rPr>
          <w:rFonts w:hint="eastAsia"/>
        </w:rPr>
        <w:t>黄、灰黄色，稍湿，可塑状，成分以粉质粘土为主，干强度中等，分布零星，富水性差。</w:t>
      </w:r>
    </w:p>
    <w:p w14:paraId="26E47829">
      <w:pPr>
        <w:pStyle w:val="1381"/>
        <w:ind w:firstLine="520"/>
      </w:pPr>
      <w:r>
        <w:rPr>
          <w:rFonts w:hint="eastAsia"/>
        </w:rPr>
        <w:t>（2）白垩系下统白龙组（K</w:t>
      </w:r>
      <w:r>
        <w:rPr>
          <w:rFonts w:hint="eastAsia"/>
          <w:vertAlign w:val="subscript"/>
        </w:rPr>
        <w:t>1</w:t>
      </w:r>
      <w:r>
        <w:rPr>
          <w:rFonts w:hint="eastAsia"/>
        </w:rPr>
        <w:t>b）</w:t>
      </w:r>
    </w:p>
    <w:p w14:paraId="25E28341">
      <w:pPr>
        <w:pStyle w:val="1381"/>
        <w:ind w:firstLine="520"/>
      </w:pPr>
      <w:r>
        <w:rPr>
          <w:rFonts w:hint="eastAsia"/>
        </w:rPr>
        <w:t>是项目评价区内主要岩性分布，岩性以青灰色砂岩和砖红色泥质粉砂岩夹砖红色泥岩，底部苍溪组有一层不稳定的钙质砾岩。砂岩单层厚10-40米。裂隙率2-4%。风化裂隙弱发育，地下水赋存条件差，含水性弱。</w:t>
      </w:r>
    </w:p>
    <w:p w14:paraId="6EB559E8">
      <w:pPr>
        <w:pStyle w:val="1068"/>
        <w:rPr>
          <w:rFonts w:cs="Times New Roman"/>
        </w:rPr>
      </w:pPr>
      <w:r>
        <w:rPr>
          <w:rFonts w:hint="eastAsia" w:cs="Times New Roman"/>
        </w:rPr>
        <w:t>4.1.6</w:t>
      </w:r>
      <w:r>
        <w:rPr>
          <w:rFonts w:cs="Times New Roman"/>
        </w:rPr>
        <w:t xml:space="preserve"> 地质构造</w:t>
      </w:r>
    </w:p>
    <w:p w14:paraId="3E47040E">
      <w:pPr>
        <w:pStyle w:val="45"/>
        <w:spacing w:line="460" w:lineRule="exact"/>
        <w:ind w:firstLine="520"/>
        <w:rPr>
          <w:rFonts w:ascii="Times New Roman" w:hAnsi="Times New Roman"/>
          <w:kern w:val="0"/>
          <w:sz w:val="26"/>
          <w:szCs w:val="26"/>
        </w:rPr>
      </w:pPr>
      <w:r>
        <w:rPr>
          <w:rFonts w:hint="eastAsia" w:ascii="Times New Roman" w:hAnsi="Times New Roman"/>
          <w:kern w:val="0"/>
          <w:sz w:val="26"/>
          <w:szCs w:val="26"/>
        </w:rPr>
        <w:t>巴中地区位于川东北中部低缓构造带以东，通南巴构造以南。巴中地区地震资料品质总体较好，地震反射波组特征清楚，层次齐全，反射波同相轴可连续对比追踪，具有较高的信噪</w:t>
      </w:r>
      <w:r>
        <w:rPr>
          <w:rFonts w:ascii="Times New Roman" w:hAnsi="Times New Roman"/>
          <w:kern w:val="0"/>
          <w:sz w:val="26"/>
          <w:szCs w:val="26"/>
        </w:rPr>
        <w:t>比。以嘉陵江-雷口坡组膏盐岩滑脱层为界发育两套构造层，下构造层地层平缓（倾角一般0~8°），断裂不发育；上构造层陆相须家河组-下侏罗统断裂发育，构造成排、成带展布，具有多期构造叠加特征。根据陆相地层构造特征，并结合区域构造特征，可将巴中地区划分为三个</w:t>
      </w:r>
      <w:r>
        <w:rPr>
          <w:rFonts w:hint="eastAsia" w:ascii="Times New Roman" w:hAnsi="Times New Roman"/>
          <w:kern w:val="0"/>
          <w:sz w:val="26"/>
          <w:szCs w:val="26"/>
        </w:rPr>
        <w:t>次级构造单元，自西向东依次为西部洼陷带、中部断褶带、东部洼陷带。</w:t>
      </w:r>
    </w:p>
    <w:p w14:paraId="33E3432D">
      <w:pPr>
        <w:pStyle w:val="45"/>
        <w:spacing w:line="460" w:lineRule="exact"/>
        <w:ind w:firstLine="520"/>
        <w:rPr>
          <w:rFonts w:ascii="Times New Roman" w:hAnsi="Times New Roman"/>
          <w:kern w:val="0"/>
          <w:sz w:val="26"/>
          <w:szCs w:val="26"/>
        </w:rPr>
      </w:pPr>
      <w:r>
        <w:rPr>
          <w:rFonts w:hint="eastAsia" w:ascii="Times New Roman" w:hAnsi="Times New Roman"/>
          <w:kern w:val="0"/>
          <w:sz w:val="26"/>
          <w:szCs w:val="26"/>
        </w:rPr>
        <w:t>本项目井场位于川北低缓褶皱带元坝中部断褶带。</w:t>
      </w:r>
    </w:p>
    <w:p w14:paraId="7654AE5F">
      <w:pPr>
        <w:pStyle w:val="1068"/>
        <w:rPr>
          <w:rFonts w:cs="Times New Roman"/>
        </w:rPr>
      </w:pPr>
      <w:r>
        <w:rPr>
          <w:rFonts w:cs="Times New Roman"/>
        </w:rPr>
        <w:t>4.1.</w:t>
      </w:r>
      <w:r>
        <w:rPr>
          <w:rFonts w:hint="eastAsia" w:cs="Times New Roman"/>
        </w:rPr>
        <w:t>7</w:t>
      </w:r>
      <w:r>
        <w:rPr>
          <w:rFonts w:cs="Times New Roman"/>
        </w:rPr>
        <w:t xml:space="preserve"> 水文地质条件</w:t>
      </w:r>
    </w:p>
    <w:p w14:paraId="26966A8E">
      <w:pPr>
        <w:pStyle w:val="1381"/>
        <w:ind w:firstLine="520"/>
      </w:pPr>
      <w:r>
        <w:rPr>
          <w:rFonts w:hint="eastAsia"/>
        </w:rPr>
        <w:t>（1）地下水类型及赋存条件</w:t>
      </w:r>
    </w:p>
    <w:p w14:paraId="738289CC">
      <w:pPr>
        <w:pStyle w:val="1381"/>
        <w:ind w:firstLine="520"/>
      </w:pPr>
      <w:r>
        <w:rPr>
          <w:rFonts w:hint="eastAsia"/>
        </w:rPr>
        <w:t>地下水的赋存与分布，主要受地质构造、地貌、岩性、气候及条件的控制。依据地下水赋存条件、水动力特征、含水介质等因素的组合情况，将调查评价区内地下水类型划主要为基岩风化裂隙水。</w:t>
      </w:r>
    </w:p>
    <w:p w14:paraId="71ED4A7F">
      <w:pPr>
        <w:pStyle w:val="1381"/>
        <w:ind w:firstLine="520"/>
      </w:pPr>
      <w:r>
        <w:rPr>
          <w:rFonts w:hint="eastAsia"/>
        </w:rPr>
        <w:t>本项目评价区地下水主要赋存在白龙组（K</w:t>
      </w:r>
      <w:r>
        <w:rPr>
          <w:rFonts w:hint="eastAsia"/>
          <w:vertAlign w:val="subscript"/>
        </w:rPr>
        <w:t>1</w:t>
      </w:r>
      <w:r>
        <w:rPr>
          <w:rFonts w:hint="eastAsia"/>
        </w:rPr>
        <w:t>b）和下伏苍溪组（K</w:t>
      </w:r>
      <w:r>
        <w:rPr>
          <w:rFonts w:hint="eastAsia"/>
          <w:vertAlign w:val="subscript"/>
        </w:rPr>
        <w:t>1C</w:t>
      </w:r>
      <w:r>
        <w:rPr>
          <w:rFonts w:hint="eastAsia"/>
        </w:rPr>
        <w:t>），其岩性为青灰色砂岩、砖红色泥质粉砂岩夹砖红色泥岩，底部有一层不稳定的钙质砾岩。砂岩和泥质粉砂岩与泥岩之比为3:1。胶结物中碳酸盐含量占4.5-21.6%。砂岩单层厚10-40米。裂隙率2-4%。赋存碎屑岩孔裂隙水(层间水)和裂隙水。井、泉水质一般为HCO</w:t>
      </w:r>
      <w:r>
        <w:rPr>
          <w:rFonts w:hint="eastAsia"/>
          <w:vertAlign w:val="subscript"/>
        </w:rPr>
        <w:t>3</w:t>
      </w:r>
      <w:r>
        <w:rPr>
          <w:rFonts w:hint="eastAsia"/>
        </w:rPr>
        <w:t>-Ca型，矿化度小于0.5克/升，50-100米以下可遇到咸水。</w:t>
      </w:r>
    </w:p>
    <w:p w14:paraId="374FDFDA">
      <w:pPr>
        <w:pStyle w:val="1381"/>
        <w:ind w:firstLine="520"/>
      </w:pPr>
      <w:r>
        <w:rPr>
          <w:rFonts w:hint="eastAsia"/>
        </w:rPr>
        <w:t>碎屑岩孔隙裂隙水岩层倾角陡的富水性强，富水性属于单井涌水量100-500吨/日级，倾角缓者富水性差，单孔涌水量多在50吨/日以下，富水性属于单井涌水量10-100吨/日级。大部分地区下部(60米左右)都有承压水，但水量很小。地貌为单面山富水性较强。泉流量大于0.1升/秒，最大2.4升/秒。地下迳流模数0.1-1升/秒平方公里。钻孔涌水量大于100吨/日，最大597.1吨/日。梁状山和中倾单面山富水性较差，泉流量0.01-0.1升/秒，地下迳流模数0.1-0.5升/秒·平方公里，钻孔涌水量一般小于50吨/日，个别达145.8吨/日。</w:t>
      </w:r>
    </w:p>
    <w:p w14:paraId="0E4B6F76">
      <w:pPr>
        <w:tabs>
          <w:tab w:val="left" w:pos="1260"/>
          <w:tab w:val="left" w:pos="1620"/>
        </w:tabs>
        <w:spacing w:line="480" w:lineRule="exact"/>
        <w:ind w:firstLine="520" w:firstLineChars="200"/>
        <w:rPr>
          <w:sz w:val="26"/>
          <w:szCs w:val="26"/>
        </w:rPr>
      </w:pPr>
      <w:r>
        <w:rPr>
          <w:rFonts w:hint="eastAsia"/>
          <w:sz w:val="26"/>
          <w:szCs w:val="26"/>
        </w:rPr>
        <w:t>（</w:t>
      </w:r>
      <w:r>
        <w:rPr>
          <w:sz w:val="26"/>
          <w:szCs w:val="26"/>
        </w:rPr>
        <w:t>2</w:t>
      </w:r>
      <w:r>
        <w:rPr>
          <w:rFonts w:hint="eastAsia"/>
          <w:sz w:val="26"/>
          <w:szCs w:val="26"/>
        </w:rPr>
        <w:t>）评价区地下水化学特征</w:t>
      </w:r>
    </w:p>
    <w:p w14:paraId="7EFFBD5B">
      <w:pPr>
        <w:tabs>
          <w:tab w:val="left" w:pos="1260"/>
          <w:tab w:val="left" w:pos="1620"/>
        </w:tabs>
        <w:spacing w:line="480" w:lineRule="exact"/>
        <w:ind w:firstLine="520" w:firstLineChars="200"/>
        <w:rPr>
          <w:sz w:val="26"/>
          <w:szCs w:val="26"/>
        </w:rPr>
      </w:pPr>
      <w:r>
        <w:rPr>
          <w:rFonts w:hint="eastAsia"/>
          <w:sz w:val="26"/>
          <w:szCs w:val="26"/>
        </w:rPr>
        <w:t>根据调查资料，区域内各类型主要接受大气降水及地表水入渗补给，其水化学成份受循环条件和含水层岩性等有关，因各个地层的岩性不同和风化程度差异，其水化学特征存在一定差异，根据区域水文地质资料及本次地下水环境质量监测结果表明，</w:t>
      </w:r>
      <w:bookmarkStart w:id="213" w:name="_Hlk127882434"/>
      <w:r>
        <w:rPr>
          <w:rFonts w:hint="eastAsia"/>
          <w:sz w:val="26"/>
          <w:szCs w:val="26"/>
        </w:rPr>
        <w:t>项目评价范围内地下水化学类型以</w:t>
      </w:r>
      <w:r>
        <w:rPr>
          <w:rFonts w:ascii="ˎ̥" w:hAnsi="Courier New"/>
          <w:sz w:val="26"/>
          <w:szCs w:val="26"/>
        </w:rPr>
        <w:t>HCO</w:t>
      </w:r>
      <w:r>
        <w:rPr>
          <w:rFonts w:ascii="ˎ̥" w:hAnsi="Courier New"/>
          <w:sz w:val="26"/>
          <w:szCs w:val="26"/>
          <w:vertAlign w:val="subscript"/>
        </w:rPr>
        <w:t>3</w:t>
      </w:r>
      <w:r>
        <w:rPr>
          <w:rFonts w:ascii="ˎ̥" w:hAnsi="Courier New"/>
          <w:sz w:val="26"/>
          <w:szCs w:val="26"/>
        </w:rPr>
        <w:t>-Ca</w:t>
      </w:r>
      <w:r>
        <w:rPr>
          <w:rFonts w:hint="eastAsia" w:ascii="ˎ̥" w:hAnsi="Courier New"/>
          <w:sz w:val="26"/>
          <w:szCs w:val="26"/>
        </w:rPr>
        <w:t>.Mg</w:t>
      </w:r>
      <w:r>
        <w:rPr>
          <w:rFonts w:ascii="ˎ̥" w:hAnsi="Courier New"/>
          <w:sz w:val="26"/>
          <w:szCs w:val="26"/>
        </w:rPr>
        <w:t>型</w:t>
      </w:r>
      <w:r>
        <w:rPr>
          <w:rFonts w:hint="eastAsia" w:ascii="ˎ̥" w:hAnsi="Courier New"/>
          <w:sz w:val="26"/>
          <w:szCs w:val="26"/>
        </w:rPr>
        <w:t>水</w:t>
      </w:r>
      <w:r>
        <w:rPr>
          <w:rFonts w:hint="eastAsia"/>
          <w:sz w:val="26"/>
          <w:szCs w:val="26"/>
        </w:rPr>
        <w:t>为主，</w:t>
      </w:r>
      <w:bookmarkEnd w:id="213"/>
      <w:r>
        <w:rPr>
          <w:rFonts w:ascii="ˎ̥" w:hAnsi="Courier New"/>
          <w:sz w:val="26"/>
          <w:szCs w:val="26"/>
        </w:rPr>
        <w:t>矿化度在</w:t>
      </w:r>
      <w:r>
        <w:rPr>
          <w:rFonts w:hint="eastAsia" w:hAnsi="Courier New"/>
          <w:sz w:val="26"/>
          <w:szCs w:val="26"/>
        </w:rPr>
        <w:t>153</w:t>
      </w:r>
      <w:r>
        <w:rPr>
          <w:rFonts w:ascii="ˎ̥" w:hAnsi="Courier New"/>
          <w:sz w:val="26"/>
          <w:szCs w:val="26"/>
        </w:rPr>
        <w:t>mg/L～</w:t>
      </w:r>
      <w:r>
        <w:rPr>
          <w:rFonts w:hint="eastAsia" w:hAnsi="Courier New"/>
          <w:sz w:val="26"/>
          <w:szCs w:val="26"/>
        </w:rPr>
        <w:t>278</w:t>
      </w:r>
      <w:r>
        <w:rPr>
          <w:rFonts w:ascii="ˎ̥" w:hAnsi="Courier New"/>
          <w:sz w:val="26"/>
          <w:szCs w:val="26"/>
        </w:rPr>
        <w:t>mg/L</w:t>
      </w:r>
      <w:r>
        <w:rPr>
          <w:rFonts w:hint="eastAsia"/>
          <w:sz w:val="26"/>
          <w:szCs w:val="26"/>
        </w:rPr>
        <w:t>。</w:t>
      </w:r>
    </w:p>
    <w:p w14:paraId="341054CE">
      <w:pPr>
        <w:pStyle w:val="1381"/>
        <w:ind w:firstLine="520"/>
      </w:pPr>
      <w:r>
        <w:rPr>
          <w:rFonts w:hint="eastAsia"/>
        </w:rPr>
        <w:t>（3）</w:t>
      </w:r>
      <w:r>
        <w:rPr>
          <w:rFonts w:hint="eastAsia"/>
          <w:szCs w:val="26"/>
        </w:rPr>
        <w:t>地下水补径排条件</w:t>
      </w:r>
    </w:p>
    <w:p w14:paraId="71922957">
      <w:pPr>
        <w:pStyle w:val="1381"/>
        <w:ind w:firstLine="520"/>
      </w:pPr>
      <w:r>
        <w:rPr>
          <w:rFonts w:hint="eastAsia"/>
          <w:szCs w:val="26"/>
        </w:rPr>
        <w:t>根据实际调查结果和区域地质资料分析可知，本项目所在地区为丘陵区，大气降水是地下水的主要补给来源，大气降水主要是沿着岩层风化孔隙裂隙渗入。因此，由于裂隙发育程度不同，或因上覆透水性较差的粘土类物质，以及地形差异等，各地接受补给的程度也是不大相同的。其次，地表河流、溪沟、渠系也是重要的补给来源。零星分布的水库，都可沿风化裂隙补给地下水。近年来丘陵区农田水利大发展，灌溉也可以形成对地下水的补给。</w:t>
      </w:r>
    </w:p>
    <w:p w14:paraId="0F48EBE4">
      <w:pPr>
        <w:pStyle w:val="1381"/>
        <w:ind w:firstLine="520"/>
      </w:pPr>
      <w:r>
        <w:rPr>
          <w:rFonts w:hint="eastAsia"/>
          <w:szCs w:val="26"/>
        </w:rPr>
        <w:t>场地的白龙组风化裂隙水，裂隙发育深度较浅，地下水位埋藏不深，但水量在山区中小，平坝区较大。区域地下水的径流、排泄主要以两种形式进行：一是在彼此形成联系的风化裂隙中循环，当遇有与地表相通的裂隙时，则以下降泉或上升泉的形式出露；一是就地排泄，由地形较高处向低部平坝洼地径流，并大多转化成地表水的形式排泄。另外，蒸发也是评价区主要的排泄形式。本项目区域地下水总体来看为丘顶向坡丘及沟谷中汇集，局部上由东向西径流，所在区域整体上由东南向西北径流排泄，排入评价范围内最低排泄基准面的西侧小溪沟，最终汇入麻柳河。</w:t>
      </w:r>
    </w:p>
    <w:p w14:paraId="7B8E31E9">
      <w:pPr>
        <w:pStyle w:val="1381"/>
        <w:ind w:firstLine="520"/>
      </w:pPr>
      <w:r>
        <w:rPr>
          <w:rFonts w:hint="eastAsia"/>
        </w:rPr>
        <w:t>（4）</w:t>
      </w:r>
      <w:r>
        <w:rPr>
          <w:rFonts w:hint="eastAsia"/>
          <w:szCs w:val="26"/>
        </w:rPr>
        <w:t>地下水动态变化特征</w:t>
      </w:r>
    </w:p>
    <w:p w14:paraId="191DBEAB">
      <w:pPr>
        <w:pStyle w:val="1381"/>
        <w:ind w:firstLine="520"/>
      </w:pPr>
      <w:r>
        <w:rPr>
          <w:rFonts w:hint="eastAsia"/>
          <w:szCs w:val="26"/>
        </w:rPr>
        <w:t>地下水动态主要受地下水的补给、径流、排泄条件和水文气象因素控制，是地下水运移的水动力特征的表现。丘陵区浅层风化带裂隙水具有就地补给、就近排泄的特点，径流循环途径短，水位动态明显受季节降水、灌溉水、库塘水补给而呈年周期性变化，水位年变幅一般为2~5m。本项目所在区域大气降水补给期在5～10月，11月~次年4月为地下水消耗期，是水位、流量削减季节，多数泉的流量枯期较丰期削减30~60%，水位年变幅一般为2~4m。</w:t>
      </w:r>
    </w:p>
    <w:p w14:paraId="252865E3">
      <w:pPr>
        <w:pStyle w:val="1381"/>
        <w:ind w:firstLine="520"/>
      </w:pPr>
      <w:r>
        <w:rPr>
          <w:rFonts w:hint="eastAsia"/>
        </w:rPr>
        <w:t>（5）地下水开发利用</w:t>
      </w:r>
    </w:p>
    <w:p w14:paraId="19D97F0C">
      <w:pPr>
        <w:pStyle w:val="1381"/>
        <w:ind w:firstLine="520"/>
      </w:pPr>
      <w:r>
        <w:rPr>
          <w:rFonts w:hint="eastAsia"/>
          <w:szCs w:val="26"/>
        </w:rPr>
        <w:t>评价区地下水类型主要为白垩系白龙组基岩冯海裂隙水，项目所在的大部分居民家中都有水井，成井方式为小口径机井和人工挖掘井，丘陵地带地层地下水资源相对贫乏，项目评价范围内部分居民已通自来水，机井和人工浅井作为生活用水或备用水源，部分居民仍以自家水井作为饮用水源井，井深一般8～35</w:t>
      </w:r>
      <w:r>
        <w:rPr>
          <w:szCs w:val="26"/>
        </w:rPr>
        <w:t>m</w:t>
      </w:r>
      <w:r>
        <w:rPr>
          <w:rFonts w:hint="eastAsia"/>
          <w:szCs w:val="26"/>
        </w:rPr>
        <w:t>不等。评价区地下水开采利用方式比较单一，主要为分散式开采方式，开发规模较小。</w:t>
      </w:r>
    </w:p>
    <w:p w14:paraId="47EBB112">
      <w:pPr>
        <w:pStyle w:val="1381"/>
        <w:ind w:firstLine="520"/>
      </w:pPr>
      <w:r>
        <w:rPr>
          <w:rFonts w:hint="eastAsia"/>
        </w:rPr>
        <w:t>（6）含水层渗透性及包气带防污性能</w:t>
      </w:r>
    </w:p>
    <w:p w14:paraId="37F4E4D8">
      <w:pPr>
        <w:pStyle w:val="1381"/>
        <w:ind w:firstLine="520"/>
        <w:rPr>
          <w:szCs w:val="26"/>
        </w:rPr>
      </w:pPr>
      <w:r>
        <w:rPr>
          <w:rFonts w:hint="eastAsia"/>
          <w:szCs w:val="26"/>
        </w:rPr>
        <w:t>本次评价引用已批复的巴中2HF钻井环评以及巴页2HF钻井环评报告中对项目开展了水文地质试验结果，其中含水层渗透系数主要通过抽水试验测定，结果为3.472×10</w:t>
      </w:r>
      <w:r>
        <w:rPr>
          <w:rFonts w:hint="eastAsia"/>
          <w:szCs w:val="26"/>
          <w:vertAlign w:val="superscript"/>
        </w:rPr>
        <w:t>-5</w:t>
      </w:r>
      <w:r>
        <w:rPr>
          <w:rFonts w:hint="eastAsia"/>
          <w:szCs w:val="26"/>
        </w:rPr>
        <w:t>cm/s~1.389×10</w:t>
      </w:r>
      <w:r>
        <w:rPr>
          <w:rFonts w:hint="eastAsia"/>
          <w:szCs w:val="26"/>
          <w:vertAlign w:val="superscript"/>
        </w:rPr>
        <w:t>-4</w:t>
      </w:r>
      <w:r>
        <w:rPr>
          <w:rFonts w:hint="eastAsia"/>
          <w:szCs w:val="26"/>
        </w:rPr>
        <w:t>cm/s(0.03m/d~0.12m/d)；包气带</w:t>
      </w:r>
      <w:r>
        <w:rPr>
          <w:rFonts w:hint="eastAsia" w:ascii="宋体" w:hAnsi="宋体"/>
          <w:szCs w:val="26"/>
        </w:rPr>
        <w:t>渗透系数引用类比巴中区域同地层渗水试验数据</w:t>
      </w:r>
      <w:r>
        <w:rPr>
          <w:rFonts w:hint="eastAsia"/>
          <w:szCs w:val="26"/>
        </w:rPr>
        <w:t>，结果为包气带松散岩类渗透系数介于0.03~0.05m/d（3.47×10</w:t>
      </w:r>
      <w:r>
        <w:rPr>
          <w:rFonts w:hint="eastAsia"/>
          <w:szCs w:val="26"/>
          <w:vertAlign w:val="superscript"/>
        </w:rPr>
        <w:t>-5</w:t>
      </w:r>
      <w:r>
        <w:rPr>
          <w:rFonts w:hint="eastAsia"/>
          <w:szCs w:val="26"/>
        </w:rPr>
        <w:t>cm/s~5.79×10</w:t>
      </w:r>
      <w:r>
        <w:rPr>
          <w:rFonts w:hint="eastAsia"/>
          <w:szCs w:val="26"/>
          <w:vertAlign w:val="superscript"/>
        </w:rPr>
        <w:t>-5</w:t>
      </w:r>
      <w:r>
        <w:rPr>
          <w:rFonts w:hint="eastAsia"/>
          <w:szCs w:val="26"/>
        </w:rPr>
        <w:t>cm/s）。</w:t>
      </w:r>
    </w:p>
    <w:p w14:paraId="3B02068E">
      <w:pPr>
        <w:pStyle w:val="1068"/>
        <w:rPr>
          <w:rFonts w:cs="Times New Roman"/>
        </w:rPr>
      </w:pPr>
      <w:r>
        <w:rPr>
          <w:rFonts w:cs="Times New Roman"/>
        </w:rPr>
        <w:t>4.1.8 动植物</w:t>
      </w:r>
    </w:p>
    <w:p w14:paraId="57C256B1">
      <w:pPr>
        <w:widowControl/>
        <w:adjustRightInd w:val="0"/>
        <w:snapToGrid w:val="0"/>
        <w:spacing w:line="460" w:lineRule="exact"/>
        <w:ind w:firstLine="520" w:firstLineChars="200"/>
        <w:rPr>
          <w:kern w:val="0"/>
          <w:sz w:val="26"/>
          <w:szCs w:val="26"/>
        </w:rPr>
      </w:pPr>
      <w:r>
        <w:rPr>
          <w:kern w:val="0"/>
          <w:sz w:val="26"/>
          <w:szCs w:val="26"/>
        </w:rPr>
        <w:t>本项目所在区域由于人类活动影响频繁，林木以四旁植被为主。</w:t>
      </w:r>
      <w:r>
        <w:rPr>
          <w:rFonts w:hint="eastAsia"/>
          <w:kern w:val="0"/>
          <w:sz w:val="26"/>
          <w:szCs w:val="26"/>
        </w:rPr>
        <w:t>区域地貌</w:t>
      </w:r>
      <w:r>
        <w:rPr>
          <w:kern w:val="0"/>
          <w:sz w:val="26"/>
          <w:szCs w:val="26"/>
        </w:rPr>
        <w:t>以</w:t>
      </w:r>
      <w:r>
        <w:rPr>
          <w:rFonts w:hint="eastAsia"/>
          <w:kern w:val="0"/>
          <w:sz w:val="26"/>
          <w:szCs w:val="26"/>
        </w:rPr>
        <w:t>山地</w:t>
      </w:r>
      <w:r>
        <w:rPr>
          <w:kern w:val="0"/>
          <w:sz w:val="26"/>
          <w:szCs w:val="26"/>
        </w:rPr>
        <w:t>为主体，历史上自然植被较好，野生动物多；但随着森林的减少，动物群落食物链被破坏，动物栖息场所不多，留存的野生动物逐渐减少，仅鼬科、鼠科、雀形小鸟、蛙类、鱼类得以繁衍。</w:t>
      </w:r>
    </w:p>
    <w:p w14:paraId="5584ADB9">
      <w:pPr>
        <w:widowControl/>
        <w:adjustRightInd w:val="0"/>
        <w:snapToGrid w:val="0"/>
        <w:spacing w:line="460" w:lineRule="exact"/>
        <w:ind w:firstLine="520" w:firstLineChars="200"/>
        <w:rPr>
          <w:kern w:val="0"/>
          <w:sz w:val="26"/>
          <w:szCs w:val="26"/>
        </w:rPr>
      </w:pPr>
      <w:r>
        <w:rPr>
          <w:kern w:val="0"/>
          <w:sz w:val="26"/>
          <w:szCs w:val="26"/>
        </w:rPr>
        <w:t>本项目所在地区属于农业生态系统，其土地利用特点是以旱地为主，工程用地主要为旱地。项目区域的农作物主要有水稻、玉米、油菜及蔬菜等，植物主要有李子树、梨树等果树、松树、柏树；家畜（禽）主要有牛、猪、鸡、鸭、鹅等，野生动物主要有蛙、燕子、麻雀、田鼠等。</w:t>
      </w:r>
    </w:p>
    <w:p w14:paraId="5E0981D9">
      <w:pPr>
        <w:widowControl/>
        <w:adjustRightInd w:val="0"/>
        <w:snapToGrid w:val="0"/>
        <w:spacing w:line="460" w:lineRule="exact"/>
        <w:ind w:firstLine="520" w:firstLineChars="200"/>
        <w:rPr>
          <w:b/>
          <w:sz w:val="26"/>
          <w:szCs w:val="26"/>
        </w:rPr>
      </w:pPr>
      <w:r>
        <w:rPr>
          <w:kern w:val="0"/>
          <w:sz w:val="26"/>
          <w:szCs w:val="26"/>
        </w:rPr>
        <w:t>经调查，本项目评价区域未发现古树名木和珍稀濒危及国家重点保护的动植物分布。</w:t>
      </w:r>
    </w:p>
    <w:p w14:paraId="2DC75466">
      <w:pPr>
        <w:tabs>
          <w:tab w:val="left" w:pos="5925"/>
        </w:tabs>
        <w:overflowPunct w:val="0"/>
        <w:spacing w:line="460" w:lineRule="atLeast"/>
        <w:ind w:firstLine="522" w:firstLineChars="200"/>
        <w:outlineLvl w:val="1"/>
        <w:rPr>
          <w:sz w:val="26"/>
          <w:szCs w:val="26"/>
        </w:rPr>
      </w:pPr>
      <w:bookmarkStart w:id="214" w:name="_Toc165809695"/>
      <w:bookmarkStart w:id="215" w:name="_Toc219907644"/>
      <w:bookmarkStart w:id="216" w:name="_Toc165810527"/>
      <w:r>
        <w:rPr>
          <w:b/>
          <w:sz w:val="26"/>
          <w:szCs w:val="26"/>
        </w:rPr>
        <w:t>4.2 区域环境质量现状调查与评价</w:t>
      </w:r>
      <w:bookmarkEnd w:id="214"/>
      <w:bookmarkEnd w:id="215"/>
      <w:bookmarkEnd w:id="216"/>
    </w:p>
    <w:p w14:paraId="52FD9C7A">
      <w:pPr>
        <w:pStyle w:val="1068"/>
        <w:rPr>
          <w:rFonts w:cs="Times New Roman"/>
        </w:rPr>
      </w:pPr>
      <w:bookmarkStart w:id="217" w:name="_Toc165810528"/>
      <w:r>
        <w:rPr>
          <w:rFonts w:cs="Times New Roman"/>
        </w:rPr>
        <w:t>4.2.1 环境空气质量</w:t>
      </w:r>
      <w:bookmarkEnd w:id="217"/>
    </w:p>
    <w:p w14:paraId="6668E2D6">
      <w:pPr>
        <w:tabs>
          <w:tab w:val="left" w:pos="5925"/>
        </w:tabs>
        <w:overflowPunct w:val="0"/>
        <w:spacing w:line="460" w:lineRule="atLeast"/>
        <w:ind w:firstLine="522" w:firstLineChars="200"/>
        <w:rPr>
          <w:b/>
          <w:sz w:val="26"/>
          <w:szCs w:val="26"/>
        </w:rPr>
      </w:pPr>
      <w:r>
        <w:rPr>
          <w:b/>
          <w:sz w:val="26"/>
          <w:szCs w:val="26"/>
        </w:rPr>
        <w:t>4.2.1.1 区域达标判定</w:t>
      </w:r>
    </w:p>
    <w:p w14:paraId="60D328DF">
      <w:pPr>
        <w:adjustRightInd w:val="0"/>
        <w:snapToGrid w:val="0"/>
        <w:spacing w:line="480" w:lineRule="exact"/>
        <w:ind w:firstLine="520" w:firstLineChars="200"/>
        <w:rPr>
          <w:sz w:val="26"/>
          <w:szCs w:val="26"/>
        </w:rPr>
      </w:pPr>
      <w:r>
        <w:rPr>
          <w:rFonts w:hint="eastAsia"/>
          <w:sz w:val="26"/>
          <w:szCs w:val="26"/>
        </w:rPr>
        <w:t>本项目区域达标判定引用地方生态环境主管部门发布的数据，</w:t>
      </w:r>
      <w:r>
        <w:rPr>
          <w:sz w:val="26"/>
          <w:szCs w:val="26"/>
        </w:rPr>
        <w:t>根据</w:t>
      </w:r>
      <w:r>
        <w:rPr>
          <w:rFonts w:hint="eastAsia" w:ascii="宋体" w:hAnsi="宋体" w:cs="宋体"/>
          <w:kern w:val="0"/>
          <w:sz w:val="26"/>
          <w:szCs w:val="26"/>
        </w:rPr>
        <w:t>巴中市</w:t>
      </w:r>
      <w:r>
        <w:rPr>
          <w:sz w:val="26"/>
          <w:szCs w:val="26"/>
        </w:rPr>
        <w:t>生态环境局于202</w:t>
      </w:r>
      <w:r>
        <w:rPr>
          <w:rFonts w:hint="eastAsia"/>
          <w:sz w:val="26"/>
          <w:szCs w:val="26"/>
        </w:rPr>
        <w:t>5</w:t>
      </w:r>
      <w:r>
        <w:rPr>
          <w:sz w:val="26"/>
          <w:szCs w:val="26"/>
        </w:rPr>
        <w:t>年</w:t>
      </w:r>
      <w:r>
        <w:rPr>
          <w:rFonts w:hint="eastAsia"/>
          <w:sz w:val="26"/>
          <w:szCs w:val="26"/>
        </w:rPr>
        <w:t>6</w:t>
      </w:r>
      <w:r>
        <w:rPr>
          <w:sz w:val="26"/>
          <w:szCs w:val="26"/>
        </w:rPr>
        <w:t>月发布的《202</w:t>
      </w:r>
      <w:r>
        <w:rPr>
          <w:rFonts w:hint="eastAsia"/>
          <w:sz w:val="26"/>
          <w:szCs w:val="26"/>
        </w:rPr>
        <w:t>4</w:t>
      </w:r>
      <w:r>
        <w:rPr>
          <w:sz w:val="26"/>
          <w:szCs w:val="26"/>
        </w:rPr>
        <w:t>年</w:t>
      </w:r>
      <w:r>
        <w:rPr>
          <w:rFonts w:hint="eastAsia"/>
          <w:sz w:val="26"/>
          <w:szCs w:val="26"/>
        </w:rPr>
        <w:t>巴中</w:t>
      </w:r>
      <w:r>
        <w:rPr>
          <w:sz w:val="26"/>
          <w:szCs w:val="26"/>
        </w:rPr>
        <w:t>市生态环境状况公报》，</w:t>
      </w:r>
      <w:r>
        <w:rPr>
          <w:rFonts w:hint="eastAsia"/>
          <w:sz w:val="26"/>
          <w:szCs w:val="26"/>
        </w:rPr>
        <w:t>2024年，巴中市环境空气质量优良率为95.6%，同比上升2.4个百分点，污染天数同比减少9天。</w:t>
      </w:r>
      <w:r>
        <w:rPr>
          <w:rFonts w:hint="eastAsia"/>
          <w:b/>
          <w:bCs/>
          <w:sz w:val="26"/>
          <w:szCs w:val="26"/>
        </w:rPr>
        <w:t>环境空气六项主要污染物年均浓度全部达到国家环境空气质量二级标准</w:t>
      </w:r>
      <w:r>
        <w:rPr>
          <w:rFonts w:hint="eastAsia"/>
          <w:sz w:val="26"/>
          <w:szCs w:val="26"/>
        </w:rPr>
        <w:t>，空气质量综合指数为2.99，同比下降0.16；全市区县的环境空气优良率均在90%以上，从高到低依次是南江县97.3%、平昌县95.6%，恩阳区94.3%，通江县93.2%。与上年相比，恩阳区、南江县和通江县优良率均上升，分别上升了3.2、1.7和0.3个百分点，平昌县优良率下降0.3个百分点。</w:t>
      </w:r>
      <w:r>
        <w:rPr>
          <w:rFonts w:hint="eastAsia"/>
          <w:b/>
          <w:bCs/>
          <w:sz w:val="26"/>
          <w:szCs w:val="26"/>
        </w:rPr>
        <w:t>2024年区县环境空气六项主要污染物年均浓度保持为全部达标</w:t>
      </w:r>
      <w:r>
        <w:rPr>
          <w:rFonts w:hint="eastAsia"/>
          <w:sz w:val="26"/>
          <w:szCs w:val="26"/>
        </w:rPr>
        <w:t>；</w:t>
      </w:r>
      <w:r>
        <w:rPr>
          <w:sz w:val="26"/>
          <w:szCs w:val="26"/>
        </w:rPr>
        <w:t>空气质量达标区判定结果见</w:t>
      </w:r>
      <w:r>
        <w:rPr>
          <w:sz w:val="26"/>
          <w:szCs w:val="26"/>
          <w:u w:val="single"/>
        </w:rPr>
        <w:t>表4.</w:t>
      </w:r>
      <w:r>
        <w:rPr>
          <w:rFonts w:hint="eastAsia"/>
          <w:sz w:val="26"/>
          <w:szCs w:val="26"/>
          <w:u w:val="single"/>
        </w:rPr>
        <w:t>2</w:t>
      </w:r>
      <w:r>
        <w:rPr>
          <w:sz w:val="26"/>
          <w:szCs w:val="26"/>
          <w:u w:val="single"/>
        </w:rPr>
        <w:t>-</w:t>
      </w:r>
      <w:r>
        <w:rPr>
          <w:rFonts w:hint="eastAsia"/>
          <w:sz w:val="26"/>
          <w:szCs w:val="26"/>
          <w:u w:val="single"/>
        </w:rPr>
        <w:t>1</w:t>
      </w:r>
      <w:r>
        <w:rPr>
          <w:sz w:val="26"/>
          <w:szCs w:val="26"/>
        </w:rPr>
        <w:t>。</w:t>
      </w:r>
    </w:p>
    <w:p w14:paraId="1FD3D9E4">
      <w:pPr>
        <w:pStyle w:val="1379"/>
        <w:ind w:firstLine="440"/>
      </w:pPr>
    </w:p>
    <w:p w14:paraId="1D5AC25E">
      <w:pPr>
        <w:adjustRightInd w:val="0"/>
        <w:snapToGrid w:val="0"/>
        <w:jc w:val="center"/>
        <w:rPr>
          <w:bCs/>
          <w:kern w:val="0"/>
          <w:sz w:val="26"/>
          <w:szCs w:val="26"/>
        </w:rPr>
      </w:pPr>
      <w:r>
        <w:rPr>
          <w:bCs/>
          <w:kern w:val="0"/>
          <w:sz w:val="26"/>
          <w:szCs w:val="26"/>
        </w:rPr>
        <w:t>表4.2-</w:t>
      </w:r>
      <w:r>
        <w:rPr>
          <w:rFonts w:hint="eastAsia"/>
          <w:bCs/>
          <w:kern w:val="0"/>
          <w:sz w:val="26"/>
          <w:szCs w:val="26"/>
        </w:rPr>
        <w:t>1</w:t>
      </w:r>
      <w:r>
        <w:rPr>
          <w:bCs/>
          <w:kern w:val="0"/>
          <w:sz w:val="26"/>
          <w:szCs w:val="26"/>
        </w:rPr>
        <w:t xml:space="preserve">  2024</w:t>
      </w:r>
      <w:r>
        <w:rPr>
          <w:rFonts w:hint="eastAsia"/>
          <w:bCs/>
          <w:kern w:val="0"/>
          <w:sz w:val="26"/>
          <w:szCs w:val="26"/>
        </w:rPr>
        <w:t>年巴中市</w:t>
      </w:r>
      <w:r>
        <w:rPr>
          <w:bCs/>
          <w:kern w:val="0"/>
          <w:sz w:val="26"/>
          <w:szCs w:val="26"/>
        </w:rPr>
        <w:t>区域空气质量现状评价表</w:t>
      </w:r>
    </w:p>
    <w:tbl>
      <w:tblPr>
        <w:tblStyle w:val="88"/>
        <w:tblW w:w="8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684"/>
        <w:gridCol w:w="1131"/>
        <w:gridCol w:w="1269"/>
        <w:gridCol w:w="1131"/>
        <w:gridCol w:w="1131"/>
        <w:gridCol w:w="1207"/>
      </w:tblGrid>
      <w:tr w14:paraId="7EAA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7" w:type="dxa"/>
            <w:tcBorders>
              <w:top w:val="single" w:color="auto" w:sz="4" w:space="0"/>
              <w:left w:val="single" w:color="auto" w:sz="4" w:space="0"/>
              <w:bottom w:val="single" w:color="auto" w:sz="4" w:space="0"/>
              <w:right w:val="single" w:color="auto" w:sz="4" w:space="0"/>
            </w:tcBorders>
            <w:vAlign w:val="center"/>
          </w:tcPr>
          <w:p w14:paraId="3DDF4F04">
            <w:pPr>
              <w:adjustRightInd w:val="0"/>
              <w:snapToGrid w:val="0"/>
              <w:jc w:val="center"/>
              <w:rPr>
                <w:sz w:val="22"/>
              </w:rPr>
            </w:pPr>
            <w:r>
              <w:rPr>
                <w:sz w:val="22"/>
              </w:rPr>
              <w:t>评价因子</w:t>
            </w:r>
          </w:p>
        </w:tc>
        <w:tc>
          <w:tcPr>
            <w:tcW w:w="1684" w:type="dxa"/>
            <w:tcBorders>
              <w:top w:val="single" w:color="auto" w:sz="4" w:space="0"/>
              <w:left w:val="single" w:color="auto" w:sz="4" w:space="0"/>
              <w:bottom w:val="single" w:color="auto" w:sz="4" w:space="0"/>
              <w:right w:val="single" w:color="auto" w:sz="4" w:space="0"/>
            </w:tcBorders>
            <w:vAlign w:val="center"/>
          </w:tcPr>
          <w:p w14:paraId="3AE70F24">
            <w:pPr>
              <w:adjustRightInd w:val="0"/>
              <w:snapToGrid w:val="0"/>
              <w:jc w:val="center"/>
              <w:rPr>
                <w:sz w:val="22"/>
              </w:rPr>
            </w:pPr>
            <w:r>
              <w:rPr>
                <w:sz w:val="22"/>
              </w:rPr>
              <w:t>平均时段</w:t>
            </w:r>
          </w:p>
        </w:tc>
        <w:tc>
          <w:tcPr>
            <w:tcW w:w="1131" w:type="dxa"/>
            <w:tcBorders>
              <w:top w:val="single" w:color="auto" w:sz="4" w:space="0"/>
              <w:left w:val="single" w:color="auto" w:sz="4" w:space="0"/>
              <w:bottom w:val="single" w:color="auto" w:sz="4" w:space="0"/>
              <w:right w:val="single" w:color="auto" w:sz="4" w:space="0"/>
            </w:tcBorders>
            <w:vAlign w:val="center"/>
          </w:tcPr>
          <w:p w14:paraId="4D3CA4E1">
            <w:pPr>
              <w:adjustRightInd w:val="0"/>
              <w:snapToGrid w:val="0"/>
              <w:jc w:val="center"/>
              <w:rPr>
                <w:sz w:val="22"/>
              </w:rPr>
            </w:pPr>
            <w:r>
              <w:rPr>
                <w:sz w:val="22"/>
              </w:rPr>
              <w:t>百分位</w:t>
            </w:r>
          </w:p>
        </w:tc>
        <w:tc>
          <w:tcPr>
            <w:tcW w:w="1269" w:type="dxa"/>
            <w:tcBorders>
              <w:top w:val="single" w:color="auto" w:sz="4" w:space="0"/>
              <w:left w:val="single" w:color="auto" w:sz="4" w:space="0"/>
              <w:bottom w:val="single" w:color="auto" w:sz="4" w:space="0"/>
              <w:right w:val="single" w:color="auto" w:sz="4" w:space="0"/>
            </w:tcBorders>
            <w:vAlign w:val="center"/>
          </w:tcPr>
          <w:p w14:paraId="2A8E2C8C">
            <w:pPr>
              <w:adjustRightInd w:val="0"/>
              <w:snapToGrid w:val="0"/>
              <w:jc w:val="center"/>
              <w:rPr>
                <w:sz w:val="22"/>
              </w:rPr>
            </w:pPr>
            <w:r>
              <w:rPr>
                <w:sz w:val="22"/>
              </w:rPr>
              <w:t>现状浓度</w:t>
            </w:r>
          </w:p>
          <w:p w14:paraId="2B4FC469">
            <w:pPr>
              <w:adjustRightInd w:val="0"/>
              <w:snapToGrid w:val="0"/>
              <w:jc w:val="center"/>
              <w:rPr>
                <w:sz w:val="22"/>
              </w:rPr>
            </w:pPr>
            <w:r>
              <w:rPr>
                <w:sz w:val="22"/>
              </w:rPr>
              <w:t>μg/m</w:t>
            </w:r>
            <w:r>
              <w:rPr>
                <w:sz w:val="22"/>
                <w:vertAlign w:val="superscript"/>
              </w:rPr>
              <w:t>3</w:t>
            </w:r>
          </w:p>
        </w:tc>
        <w:tc>
          <w:tcPr>
            <w:tcW w:w="1131" w:type="dxa"/>
            <w:tcBorders>
              <w:top w:val="single" w:color="auto" w:sz="4" w:space="0"/>
              <w:left w:val="single" w:color="auto" w:sz="4" w:space="0"/>
              <w:bottom w:val="single" w:color="auto" w:sz="4" w:space="0"/>
              <w:right w:val="single" w:color="auto" w:sz="4" w:space="0"/>
            </w:tcBorders>
            <w:vAlign w:val="center"/>
          </w:tcPr>
          <w:p w14:paraId="2E2EC9E9">
            <w:pPr>
              <w:adjustRightInd w:val="0"/>
              <w:snapToGrid w:val="0"/>
              <w:jc w:val="center"/>
              <w:rPr>
                <w:sz w:val="22"/>
              </w:rPr>
            </w:pPr>
            <w:r>
              <w:rPr>
                <w:sz w:val="22"/>
              </w:rPr>
              <w:t>标准限值</w:t>
            </w:r>
          </w:p>
          <w:p w14:paraId="5404BA59">
            <w:pPr>
              <w:adjustRightInd w:val="0"/>
              <w:snapToGrid w:val="0"/>
              <w:jc w:val="center"/>
              <w:rPr>
                <w:sz w:val="22"/>
              </w:rPr>
            </w:pPr>
            <w:r>
              <w:rPr>
                <w:sz w:val="22"/>
              </w:rPr>
              <w:t>μg/m</w:t>
            </w:r>
            <w:r>
              <w:rPr>
                <w:sz w:val="22"/>
                <w:vertAlign w:val="superscript"/>
              </w:rPr>
              <w:t>3</w:t>
            </w:r>
          </w:p>
        </w:tc>
        <w:tc>
          <w:tcPr>
            <w:tcW w:w="1131" w:type="dxa"/>
            <w:tcBorders>
              <w:top w:val="single" w:color="auto" w:sz="4" w:space="0"/>
              <w:left w:val="single" w:color="auto" w:sz="4" w:space="0"/>
              <w:bottom w:val="single" w:color="auto" w:sz="4" w:space="0"/>
              <w:right w:val="single" w:color="auto" w:sz="4" w:space="0"/>
            </w:tcBorders>
            <w:vAlign w:val="center"/>
          </w:tcPr>
          <w:p w14:paraId="546DC5D7">
            <w:pPr>
              <w:adjustRightInd w:val="0"/>
              <w:snapToGrid w:val="0"/>
              <w:jc w:val="center"/>
              <w:rPr>
                <w:sz w:val="22"/>
              </w:rPr>
            </w:pPr>
            <w:r>
              <w:rPr>
                <w:sz w:val="22"/>
              </w:rPr>
              <w:t>占标率%</w:t>
            </w:r>
          </w:p>
        </w:tc>
        <w:tc>
          <w:tcPr>
            <w:tcW w:w="1207" w:type="dxa"/>
            <w:tcBorders>
              <w:top w:val="single" w:color="auto" w:sz="4" w:space="0"/>
              <w:left w:val="single" w:color="auto" w:sz="4" w:space="0"/>
              <w:bottom w:val="single" w:color="auto" w:sz="4" w:space="0"/>
              <w:right w:val="single" w:color="auto" w:sz="4" w:space="0"/>
            </w:tcBorders>
            <w:vAlign w:val="center"/>
          </w:tcPr>
          <w:p w14:paraId="124BBD53">
            <w:pPr>
              <w:adjustRightInd w:val="0"/>
              <w:snapToGrid w:val="0"/>
              <w:jc w:val="center"/>
              <w:rPr>
                <w:sz w:val="22"/>
              </w:rPr>
            </w:pPr>
            <w:r>
              <w:rPr>
                <w:sz w:val="22"/>
              </w:rPr>
              <w:t>达标情况</w:t>
            </w:r>
          </w:p>
        </w:tc>
      </w:tr>
      <w:tr w14:paraId="3607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7" w:type="dxa"/>
            <w:tcBorders>
              <w:top w:val="single" w:color="auto" w:sz="4" w:space="0"/>
              <w:left w:val="single" w:color="auto" w:sz="4" w:space="0"/>
              <w:bottom w:val="single" w:color="auto" w:sz="4" w:space="0"/>
              <w:right w:val="single" w:color="auto" w:sz="4" w:space="0"/>
            </w:tcBorders>
            <w:vAlign w:val="center"/>
          </w:tcPr>
          <w:p w14:paraId="77E3C064">
            <w:pPr>
              <w:adjustRightInd w:val="0"/>
              <w:snapToGrid w:val="0"/>
              <w:jc w:val="center"/>
              <w:rPr>
                <w:sz w:val="22"/>
              </w:rPr>
            </w:pPr>
            <w:r>
              <w:rPr>
                <w:sz w:val="22"/>
              </w:rPr>
              <w:t>SO</w:t>
            </w:r>
            <w:r>
              <w:rPr>
                <w:sz w:val="22"/>
                <w:vertAlign w:val="subscript"/>
              </w:rPr>
              <w:t>2</w:t>
            </w:r>
          </w:p>
        </w:tc>
        <w:tc>
          <w:tcPr>
            <w:tcW w:w="1684" w:type="dxa"/>
            <w:vMerge w:val="restart"/>
            <w:tcBorders>
              <w:top w:val="single" w:color="auto" w:sz="4" w:space="0"/>
              <w:left w:val="single" w:color="auto" w:sz="4" w:space="0"/>
              <w:bottom w:val="single" w:color="auto" w:sz="4" w:space="0"/>
              <w:right w:val="single" w:color="auto" w:sz="4" w:space="0"/>
            </w:tcBorders>
            <w:vAlign w:val="center"/>
          </w:tcPr>
          <w:p w14:paraId="7758C1C6">
            <w:pPr>
              <w:adjustRightInd w:val="0"/>
              <w:snapToGrid w:val="0"/>
              <w:jc w:val="center"/>
              <w:rPr>
                <w:sz w:val="22"/>
              </w:rPr>
            </w:pPr>
            <w:r>
              <w:rPr>
                <w:sz w:val="22"/>
              </w:rPr>
              <w:t>年平均浓度</w:t>
            </w:r>
          </w:p>
        </w:tc>
        <w:tc>
          <w:tcPr>
            <w:tcW w:w="1131" w:type="dxa"/>
            <w:vMerge w:val="restart"/>
            <w:tcBorders>
              <w:top w:val="single" w:color="auto" w:sz="4" w:space="0"/>
              <w:left w:val="single" w:color="auto" w:sz="4" w:space="0"/>
              <w:bottom w:val="single" w:color="auto" w:sz="4" w:space="0"/>
              <w:right w:val="single" w:color="auto" w:sz="4" w:space="0"/>
            </w:tcBorders>
            <w:vAlign w:val="center"/>
          </w:tcPr>
          <w:p w14:paraId="230EB61A">
            <w:pPr>
              <w:adjustRightInd w:val="0"/>
              <w:snapToGrid w:val="0"/>
              <w:jc w:val="center"/>
              <w:rPr>
                <w:sz w:val="22"/>
              </w:rPr>
            </w:pPr>
            <w:r>
              <w:rPr>
                <w:sz w:val="22"/>
              </w:rPr>
              <w:t>第100</w:t>
            </w:r>
          </w:p>
        </w:tc>
        <w:tc>
          <w:tcPr>
            <w:tcW w:w="1269" w:type="dxa"/>
            <w:tcBorders>
              <w:top w:val="single" w:color="auto" w:sz="4" w:space="0"/>
              <w:left w:val="single" w:color="auto" w:sz="4" w:space="0"/>
              <w:bottom w:val="single" w:color="auto" w:sz="4" w:space="0"/>
              <w:right w:val="single" w:color="auto" w:sz="4" w:space="0"/>
            </w:tcBorders>
            <w:vAlign w:val="center"/>
          </w:tcPr>
          <w:p w14:paraId="066CCFF3">
            <w:pPr>
              <w:adjustRightInd w:val="0"/>
              <w:snapToGrid w:val="0"/>
              <w:jc w:val="center"/>
              <w:rPr>
                <w:sz w:val="22"/>
              </w:rPr>
            </w:pPr>
            <w:r>
              <w:rPr>
                <w:rFonts w:hint="eastAsia"/>
                <w:sz w:val="22"/>
              </w:rPr>
              <w:t>4.3</w:t>
            </w:r>
          </w:p>
        </w:tc>
        <w:tc>
          <w:tcPr>
            <w:tcW w:w="1131" w:type="dxa"/>
            <w:tcBorders>
              <w:top w:val="single" w:color="auto" w:sz="4" w:space="0"/>
              <w:left w:val="single" w:color="auto" w:sz="4" w:space="0"/>
              <w:bottom w:val="single" w:color="auto" w:sz="4" w:space="0"/>
              <w:right w:val="single" w:color="auto" w:sz="4" w:space="0"/>
            </w:tcBorders>
            <w:vAlign w:val="center"/>
          </w:tcPr>
          <w:p w14:paraId="17726237">
            <w:pPr>
              <w:adjustRightInd w:val="0"/>
              <w:snapToGrid w:val="0"/>
              <w:jc w:val="center"/>
              <w:rPr>
                <w:sz w:val="22"/>
              </w:rPr>
            </w:pPr>
            <w:r>
              <w:rPr>
                <w:sz w:val="22"/>
              </w:rPr>
              <w:t>60</w:t>
            </w:r>
          </w:p>
        </w:tc>
        <w:tc>
          <w:tcPr>
            <w:tcW w:w="1131" w:type="dxa"/>
            <w:tcBorders>
              <w:top w:val="single" w:color="auto" w:sz="4" w:space="0"/>
              <w:left w:val="single" w:color="auto" w:sz="4" w:space="0"/>
              <w:bottom w:val="single" w:color="auto" w:sz="4" w:space="0"/>
              <w:right w:val="single" w:color="auto" w:sz="4" w:space="0"/>
            </w:tcBorders>
            <w:vAlign w:val="center"/>
          </w:tcPr>
          <w:p w14:paraId="1A2E8FA8">
            <w:pPr>
              <w:widowControl/>
              <w:jc w:val="center"/>
              <w:textAlignment w:val="center"/>
              <w:rPr>
                <w:sz w:val="22"/>
              </w:rPr>
            </w:pPr>
            <w:r>
              <w:rPr>
                <w:kern w:val="0"/>
                <w:sz w:val="22"/>
                <w:lang w:bidi="ar"/>
              </w:rPr>
              <w:t>0.07</w:t>
            </w:r>
          </w:p>
        </w:tc>
        <w:tc>
          <w:tcPr>
            <w:tcW w:w="1207" w:type="dxa"/>
            <w:tcBorders>
              <w:top w:val="single" w:color="auto" w:sz="4" w:space="0"/>
              <w:left w:val="single" w:color="auto" w:sz="4" w:space="0"/>
              <w:bottom w:val="single" w:color="auto" w:sz="4" w:space="0"/>
              <w:right w:val="single" w:color="auto" w:sz="4" w:space="0"/>
            </w:tcBorders>
            <w:vAlign w:val="center"/>
          </w:tcPr>
          <w:p w14:paraId="0749D1F0">
            <w:pPr>
              <w:adjustRightInd w:val="0"/>
              <w:snapToGrid w:val="0"/>
              <w:jc w:val="center"/>
              <w:rPr>
                <w:sz w:val="22"/>
              </w:rPr>
            </w:pPr>
            <w:r>
              <w:rPr>
                <w:sz w:val="22"/>
              </w:rPr>
              <w:t>达标</w:t>
            </w:r>
          </w:p>
        </w:tc>
      </w:tr>
      <w:tr w14:paraId="4BCE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7" w:type="dxa"/>
            <w:tcBorders>
              <w:top w:val="single" w:color="auto" w:sz="4" w:space="0"/>
              <w:left w:val="single" w:color="auto" w:sz="4" w:space="0"/>
              <w:bottom w:val="single" w:color="auto" w:sz="4" w:space="0"/>
              <w:right w:val="single" w:color="auto" w:sz="4" w:space="0"/>
            </w:tcBorders>
            <w:vAlign w:val="center"/>
          </w:tcPr>
          <w:p w14:paraId="5C29E83D">
            <w:pPr>
              <w:adjustRightInd w:val="0"/>
              <w:snapToGrid w:val="0"/>
              <w:jc w:val="center"/>
              <w:rPr>
                <w:sz w:val="22"/>
              </w:rPr>
            </w:pPr>
            <w:r>
              <w:rPr>
                <w:sz w:val="22"/>
              </w:rPr>
              <w:t>NO</w:t>
            </w:r>
            <w:r>
              <w:rPr>
                <w:sz w:val="22"/>
                <w:vertAlign w:val="subscript"/>
              </w:rPr>
              <w:t>2</w:t>
            </w:r>
          </w:p>
        </w:tc>
        <w:tc>
          <w:tcPr>
            <w:tcW w:w="1684" w:type="dxa"/>
            <w:vMerge w:val="continue"/>
            <w:tcBorders>
              <w:top w:val="single" w:color="auto" w:sz="4" w:space="0"/>
              <w:left w:val="single" w:color="auto" w:sz="4" w:space="0"/>
              <w:bottom w:val="single" w:color="auto" w:sz="4" w:space="0"/>
              <w:right w:val="single" w:color="auto" w:sz="4" w:space="0"/>
            </w:tcBorders>
            <w:vAlign w:val="center"/>
          </w:tcPr>
          <w:p w14:paraId="4EBF58E1">
            <w:pPr>
              <w:adjustRightInd w:val="0"/>
              <w:snapToGrid w:val="0"/>
              <w:jc w:val="center"/>
              <w:rPr>
                <w:sz w:val="22"/>
              </w:rPr>
            </w:pPr>
          </w:p>
        </w:tc>
        <w:tc>
          <w:tcPr>
            <w:tcW w:w="1131" w:type="dxa"/>
            <w:vMerge w:val="continue"/>
            <w:tcBorders>
              <w:top w:val="single" w:color="auto" w:sz="4" w:space="0"/>
              <w:left w:val="single" w:color="auto" w:sz="4" w:space="0"/>
              <w:bottom w:val="single" w:color="auto" w:sz="4" w:space="0"/>
              <w:right w:val="single" w:color="auto" w:sz="4" w:space="0"/>
            </w:tcBorders>
            <w:vAlign w:val="center"/>
          </w:tcPr>
          <w:p w14:paraId="1DC19F16">
            <w:pPr>
              <w:adjustRightInd w:val="0"/>
              <w:snapToGrid w:val="0"/>
              <w:jc w:val="center"/>
              <w:rPr>
                <w:sz w:val="22"/>
              </w:rPr>
            </w:pPr>
          </w:p>
        </w:tc>
        <w:tc>
          <w:tcPr>
            <w:tcW w:w="1269" w:type="dxa"/>
            <w:tcBorders>
              <w:top w:val="single" w:color="auto" w:sz="4" w:space="0"/>
              <w:left w:val="single" w:color="auto" w:sz="4" w:space="0"/>
              <w:bottom w:val="single" w:color="auto" w:sz="4" w:space="0"/>
              <w:right w:val="single" w:color="auto" w:sz="4" w:space="0"/>
            </w:tcBorders>
            <w:vAlign w:val="center"/>
          </w:tcPr>
          <w:p w14:paraId="2800BF53">
            <w:pPr>
              <w:adjustRightInd w:val="0"/>
              <w:snapToGrid w:val="0"/>
              <w:jc w:val="center"/>
              <w:rPr>
                <w:sz w:val="22"/>
              </w:rPr>
            </w:pPr>
            <w:r>
              <w:rPr>
                <w:rFonts w:hint="eastAsia"/>
                <w:sz w:val="22"/>
              </w:rPr>
              <w:t>20.9</w:t>
            </w:r>
          </w:p>
        </w:tc>
        <w:tc>
          <w:tcPr>
            <w:tcW w:w="1131" w:type="dxa"/>
            <w:tcBorders>
              <w:top w:val="single" w:color="auto" w:sz="4" w:space="0"/>
              <w:left w:val="single" w:color="auto" w:sz="4" w:space="0"/>
              <w:bottom w:val="single" w:color="auto" w:sz="4" w:space="0"/>
              <w:right w:val="single" w:color="auto" w:sz="4" w:space="0"/>
            </w:tcBorders>
            <w:vAlign w:val="center"/>
          </w:tcPr>
          <w:p w14:paraId="3FB88CB3">
            <w:pPr>
              <w:adjustRightInd w:val="0"/>
              <w:snapToGrid w:val="0"/>
              <w:jc w:val="center"/>
              <w:rPr>
                <w:sz w:val="22"/>
              </w:rPr>
            </w:pPr>
            <w:r>
              <w:rPr>
                <w:sz w:val="22"/>
              </w:rPr>
              <w:t>40</w:t>
            </w:r>
          </w:p>
        </w:tc>
        <w:tc>
          <w:tcPr>
            <w:tcW w:w="1131" w:type="dxa"/>
            <w:tcBorders>
              <w:top w:val="single" w:color="auto" w:sz="4" w:space="0"/>
              <w:left w:val="single" w:color="auto" w:sz="4" w:space="0"/>
              <w:bottom w:val="single" w:color="auto" w:sz="4" w:space="0"/>
              <w:right w:val="single" w:color="auto" w:sz="4" w:space="0"/>
            </w:tcBorders>
            <w:vAlign w:val="center"/>
          </w:tcPr>
          <w:p w14:paraId="25FA75B0">
            <w:pPr>
              <w:widowControl/>
              <w:jc w:val="center"/>
              <w:textAlignment w:val="center"/>
              <w:rPr>
                <w:sz w:val="22"/>
              </w:rPr>
            </w:pPr>
            <w:r>
              <w:rPr>
                <w:kern w:val="0"/>
                <w:sz w:val="22"/>
                <w:lang w:bidi="ar"/>
              </w:rPr>
              <w:t>0.52</w:t>
            </w:r>
          </w:p>
        </w:tc>
        <w:tc>
          <w:tcPr>
            <w:tcW w:w="1207" w:type="dxa"/>
            <w:tcBorders>
              <w:top w:val="single" w:color="auto" w:sz="4" w:space="0"/>
              <w:left w:val="single" w:color="auto" w:sz="4" w:space="0"/>
              <w:bottom w:val="single" w:color="auto" w:sz="4" w:space="0"/>
              <w:right w:val="single" w:color="auto" w:sz="4" w:space="0"/>
            </w:tcBorders>
            <w:vAlign w:val="center"/>
          </w:tcPr>
          <w:p w14:paraId="14819F6E">
            <w:pPr>
              <w:adjustRightInd w:val="0"/>
              <w:snapToGrid w:val="0"/>
              <w:jc w:val="center"/>
              <w:rPr>
                <w:sz w:val="22"/>
              </w:rPr>
            </w:pPr>
            <w:r>
              <w:rPr>
                <w:sz w:val="22"/>
              </w:rPr>
              <w:t>达标</w:t>
            </w:r>
          </w:p>
        </w:tc>
      </w:tr>
      <w:tr w14:paraId="6ADC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7" w:type="dxa"/>
            <w:tcBorders>
              <w:top w:val="single" w:color="auto" w:sz="4" w:space="0"/>
              <w:left w:val="single" w:color="auto" w:sz="4" w:space="0"/>
              <w:bottom w:val="single" w:color="auto" w:sz="4" w:space="0"/>
              <w:right w:val="single" w:color="auto" w:sz="4" w:space="0"/>
            </w:tcBorders>
            <w:vAlign w:val="center"/>
          </w:tcPr>
          <w:p w14:paraId="39A92407">
            <w:pPr>
              <w:adjustRightInd w:val="0"/>
              <w:snapToGrid w:val="0"/>
              <w:jc w:val="center"/>
              <w:rPr>
                <w:sz w:val="22"/>
              </w:rPr>
            </w:pPr>
            <w:r>
              <w:rPr>
                <w:sz w:val="22"/>
              </w:rPr>
              <w:t>PM</w:t>
            </w:r>
            <w:r>
              <w:rPr>
                <w:sz w:val="22"/>
                <w:vertAlign w:val="subscript"/>
              </w:rPr>
              <w:t>10</w:t>
            </w:r>
          </w:p>
        </w:tc>
        <w:tc>
          <w:tcPr>
            <w:tcW w:w="1684" w:type="dxa"/>
            <w:vMerge w:val="continue"/>
            <w:tcBorders>
              <w:top w:val="single" w:color="auto" w:sz="4" w:space="0"/>
              <w:left w:val="single" w:color="auto" w:sz="4" w:space="0"/>
              <w:bottom w:val="single" w:color="auto" w:sz="4" w:space="0"/>
              <w:right w:val="single" w:color="auto" w:sz="4" w:space="0"/>
            </w:tcBorders>
            <w:vAlign w:val="center"/>
          </w:tcPr>
          <w:p w14:paraId="28D7FF7B">
            <w:pPr>
              <w:adjustRightInd w:val="0"/>
              <w:snapToGrid w:val="0"/>
              <w:jc w:val="center"/>
              <w:rPr>
                <w:sz w:val="22"/>
              </w:rPr>
            </w:pPr>
          </w:p>
        </w:tc>
        <w:tc>
          <w:tcPr>
            <w:tcW w:w="1131" w:type="dxa"/>
            <w:vMerge w:val="continue"/>
            <w:tcBorders>
              <w:top w:val="single" w:color="auto" w:sz="4" w:space="0"/>
              <w:left w:val="single" w:color="auto" w:sz="4" w:space="0"/>
              <w:bottom w:val="single" w:color="auto" w:sz="4" w:space="0"/>
              <w:right w:val="single" w:color="auto" w:sz="4" w:space="0"/>
            </w:tcBorders>
            <w:vAlign w:val="center"/>
          </w:tcPr>
          <w:p w14:paraId="0170CA7C">
            <w:pPr>
              <w:adjustRightInd w:val="0"/>
              <w:snapToGrid w:val="0"/>
              <w:jc w:val="center"/>
              <w:rPr>
                <w:sz w:val="22"/>
              </w:rPr>
            </w:pPr>
          </w:p>
        </w:tc>
        <w:tc>
          <w:tcPr>
            <w:tcW w:w="1269" w:type="dxa"/>
            <w:tcBorders>
              <w:top w:val="single" w:color="auto" w:sz="4" w:space="0"/>
              <w:left w:val="single" w:color="auto" w:sz="4" w:space="0"/>
              <w:bottom w:val="single" w:color="auto" w:sz="4" w:space="0"/>
              <w:right w:val="single" w:color="auto" w:sz="4" w:space="0"/>
            </w:tcBorders>
            <w:vAlign w:val="center"/>
          </w:tcPr>
          <w:p w14:paraId="5F149E62">
            <w:pPr>
              <w:adjustRightInd w:val="0"/>
              <w:snapToGrid w:val="0"/>
              <w:jc w:val="center"/>
              <w:rPr>
                <w:sz w:val="22"/>
              </w:rPr>
            </w:pPr>
            <w:r>
              <w:rPr>
                <w:rFonts w:hint="eastAsia"/>
                <w:sz w:val="22"/>
              </w:rPr>
              <w:t>40.3</w:t>
            </w:r>
          </w:p>
        </w:tc>
        <w:tc>
          <w:tcPr>
            <w:tcW w:w="1131" w:type="dxa"/>
            <w:tcBorders>
              <w:top w:val="single" w:color="auto" w:sz="4" w:space="0"/>
              <w:left w:val="single" w:color="auto" w:sz="4" w:space="0"/>
              <w:bottom w:val="single" w:color="auto" w:sz="4" w:space="0"/>
              <w:right w:val="single" w:color="auto" w:sz="4" w:space="0"/>
            </w:tcBorders>
            <w:vAlign w:val="center"/>
          </w:tcPr>
          <w:p w14:paraId="350CFD4E">
            <w:pPr>
              <w:adjustRightInd w:val="0"/>
              <w:snapToGrid w:val="0"/>
              <w:jc w:val="center"/>
              <w:rPr>
                <w:sz w:val="22"/>
              </w:rPr>
            </w:pPr>
            <w:r>
              <w:rPr>
                <w:sz w:val="22"/>
              </w:rPr>
              <w:t>70</w:t>
            </w:r>
          </w:p>
        </w:tc>
        <w:tc>
          <w:tcPr>
            <w:tcW w:w="1131" w:type="dxa"/>
            <w:tcBorders>
              <w:top w:val="single" w:color="auto" w:sz="4" w:space="0"/>
              <w:left w:val="single" w:color="auto" w:sz="4" w:space="0"/>
              <w:bottom w:val="single" w:color="auto" w:sz="4" w:space="0"/>
              <w:right w:val="single" w:color="auto" w:sz="4" w:space="0"/>
            </w:tcBorders>
            <w:vAlign w:val="center"/>
          </w:tcPr>
          <w:p w14:paraId="4E5E6743">
            <w:pPr>
              <w:widowControl/>
              <w:jc w:val="center"/>
              <w:textAlignment w:val="center"/>
              <w:rPr>
                <w:sz w:val="22"/>
              </w:rPr>
            </w:pPr>
            <w:r>
              <w:rPr>
                <w:kern w:val="0"/>
                <w:sz w:val="22"/>
                <w:lang w:bidi="ar"/>
              </w:rPr>
              <w:t>0.58</w:t>
            </w:r>
          </w:p>
        </w:tc>
        <w:tc>
          <w:tcPr>
            <w:tcW w:w="1207" w:type="dxa"/>
            <w:tcBorders>
              <w:top w:val="single" w:color="auto" w:sz="4" w:space="0"/>
              <w:left w:val="single" w:color="auto" w:sz="4" w:space="0"/>
              <w:bottom w:val="single" w:color="auto" w:sz="4" w:space="0"/>
              <w:right w:val="single" w:color="auto" w:sz="4" w:space="0"/>
            </w:tcBorders>
            <w:vAlign w:val="center"/>
          </w:tcPr>
          <w:p w14:paraId="16AC4B96">
            <w:pPr>
              <w:adjustRightInd w:val="0"/>
              <w:snapToGrid w:val="0"/>
              <w:jc w:val="center"/>
              <w:rPr>
                <w:sz w:val="22"/>
              </w:rPr>
            </w:pPr>
            <w:r>
              <w:rPr>
                <w:sz w:val="22"/>
              </w:rPr>
              <w:t>达标</w:t>
            </w:r>
          </w:p>
        </w:tc>
      </w:tr>
      <w:tr w14:paraId="589C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7" w:type="dxa"/>
            <w:tcBorders>
              <w:top w:val="single" w:color="auto" w:sz="4" w:space="0"/>
              <w:left w:val="single" w:color="auto" w:sz="4" w:space="0"/>
              <w:bottom w:val="single" w:color="auto" w:sz="4" w:space="0"/>
              <w:right w:val="single" w:color="auto" w:sz="4" w:space="0"/>
            </w:tcBorders>
            <w:vAlign w:val="center"/>
          </w:tcPr>
          <w:p w14:paraId="25B1D33E">
            <w:pPr>
              <w:adjustRightInd w:val="0"/>
              <w:snapToGrid w:val="0"/>
              <w:jc w:val="center"/>
              <w:rPr>
                <w:sz w:val="22"/>
              </w:rPr>
            </w:pPr>
            <w:r>
              <w:rPr>
                <w:sz w:val="22"/>
              </w:rPr>
              <w:t>PM</w:t>
            </w:r>
            <w:r>
              <w:rPr>
                <w:sz w:val="22"/>
                <w:vertAlign w:val="subscript"/>
              </w:rPr>
              <w:t>2.5</w:t>
            </w:r>
          </w:p>
        </w:tc>
        <w:tc>
          <w:tcPr>
            <w:tcW w:w="1684" w:type="dxa"/>
            <w:vMerge w:val="continue"/>
            <w:tcBorders>
              <w:top w:val="single" w:color="auto" w:sz="4" w:space="0"/>
              <w:left w:val="single" w:color="auto" w:sz="4" w:space="0"/>
              <w:bottom w:val="single" w:color="auto" w:sz="4" w:space="0"/>
              <w:right w:val="single" w:color="auto" w:sz="4" w:space="0"/>
            </w:tcBorders>
            <w:vAlign w:val="center"/>
          </w:tcPr>
          <w:p w14:paraId="3201ADD8">
            <w:pPr>
              <w:adjustRightInd w:val="0"/>
              <w:snapToGrid w:val="0"/>
              <w:jc w:val="center"/>
              <w:rPr>
                <w:sz w:val="22"/>
              </w:rPr>
            </w:pPr>
          </w:p>
        </w:tc>
        <w:tc>
          <w:tcPr>
            <w:tcW w:w="1131" w:type="dxa"/>
            <w:vMerge w:val="continue"/>
            <w:tcBorders>
              <w:top w:val="single" w:color="auto" w:sz="4" w:space="0"/>
              <w:left w:val="single" w:color="auto" w:sz="4" w:space="0"/>
              <w:bottom w:val="single" w:color="auto" w:sz="4" w:space="0"/>
              <w:right w:val="single" w:color="auto" w:sz="4" w:space="0"/>
            </w:tcBorders>
            <w:vAlign w:val="center"/>
          </w:tcPr>
          <w:p w14:paraId="0576F36A">
            <w:pPr>
              <w:adjustRightInd w:val="0"/>
              <w:snapToGrid w:val="0"/>
              <w:jc w:val="center"/>
              <w:rPr>
                <w:sz w:val="22"/>
              </w:rPr>
            </w:pPr>
          </w:p>
        </w:tc>
        <w:tc>
          <w:tcPr>
            <w:tcW w:w="1269" w:type="dxa"/>
            <w:tcBorders>
              <w:top w:val="single" w:color="auto" w:sz="4" w:space="0"/>
              <w:left w:val="single" w:color="auto" w:sz="4" w:space="0"/>
              <w:bottom w:val="single" w:color="auto" w:sz="4" w:space="0"/>
              <w:right w:val="single" w:color="auto" w:sz="4" w:space="0"/>
            </w:tcBorders>
            <w:vAlign w:val="center"/>
          </w:tcPr>
          <w:p w14:paraId="3F64E8F9">
            <w:pPr>
              <w:adjustRightInd w:val="0"/>
              <w:snapToGrid w:val="0"/>
              <w:jc w:val="center"/>
              <w:rPr>
                <w:sz w:val="22"/>
              </w:rPr>
            </w:pPr>
            <w:r>
              <w:rPr>
                <w:rFonts w:hint="eastAsia"/>
                <w:sz w:val="22"/>
              </w:rPr>
              <w:t>28.5</w:t>
            </w:r>
          </w:p>
        </w:tc>
        <w:tc>
          <w:tcPr>
            <w:tcW w:w="1131" w:type="dxa"/>
            <w:tcBorders>
              <w:top w:val="single" w:color="auto" w:sz="4" w:space="0"/>
              <w:left w:val="single" w:color="auto" w:sz="4" w:space="0"/>
              <w:bottom w:val="single" w:color="auto" w:sz="4" w:space="0"/>
              <w:right w:val="single" w:color="auto" w:sz="4" w:space="0"/>
            </w:tcBorders>
            <w:vAlign w:val="center"/>
          </w:tcPr>
          <w:p w14:paraId="1D4A6C87">
            <w:pPr>
              <w:adjustRightInd w:val="0"/>
              <w:snapToGrid w:val="0"/>
              <w:jc w:val="center"/>
              <w:rPr>
                <w:sz w:val="22"/>
              </w:rPr>
            </w:pPr>
            <w:r>
              <w:rPr>
                <w:sz w:val="22"/>
              </w:rPr>
              <w:t>35</w:t>
            </w:r>
          </w:p>
        </w:tc>
        <w:tc>
          <w:tcPr>
            <w:tcW w:w="1131" w:type="dxa"/>
            <w:tcBorders>
              <w:top w:val="single" w:color="auto" w:sz="4" w:space="0"/>
              <w:left w:val="single" w:color="auto" w:sz="4" w:space="0"/>
              <w:bottom w:val="single" w:color="auto" w:sz="4" w:space="0"/>
              <w:right w:val="single" w:color="auto" w:sz="4" w:space="0"/>
            </w:tcBorders>
            <w:vAlign w:val="center"/>
          </w:tcPr>
          <w:p w14:paraId="4B32493D">
            <w:pPr>
              <w:widowControl/>
              <w:jc w:val="center"/>
              <w:textAlignment w:val="center"/>
              <w:rPr>
                <w:sz w:val="22"/>
              </w:rPr>
            </w:pPr>
            <w:r>
              <w:rPr>
                <w:kern w:val="0"/>
                <w:sz w:val="22"/>
                <w:lang w:bidi="ar"/>
              </w:rPr>
              <w:t>0.81</w:t>
            </w:r>
          </w:p>
        </w:tc>
        <w:tc>
          <w:tcPr>
            <w:tcW w:w="1207" w:type="dxa"/>
            <w:tcBorders>
              <w:top w:val="single" w:color="auto" w:sz="4" w:space="0"/>
              <w:left w:val="single" w:color="auto" w:sz="4" w:space="0"/>
              <w:bottom w:val="single" w:color="auto" w:sz="4" w:space="0"/>
              <w:right w:val="single" w:color="auto" w:sz="4" w:space="0"/>
            </w:tcBorders>
            <w:vAlign w:val="center"/>
          </w:tcPr>
          <w:p w14:paraId="63308CF6">
            <w:pPr>
              <w:adjustRightInd w:val="0"/>
              <w:snapToGrid w:val="0"/>
              <w:jc w:val="center"/>
              <w:rPr>
                <w:sz w:val="22"/>
              </w:rPr>
            </w:pPr>
            <w:r>
              <w:rPr>
                <w:sz w:val="22"/>
              </w:rPr>
              <w:t>达标</w:t>
            </w:r>
          </w:p>
        </w:tc>
      </w:tr>
      <w:tr w14:paraId="5E5A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7" w:type="dxa"/>
            <w:tcBorders>
              <w:top w:val="single" w:color="auto" w:sz="4" w:space="0"/>
              <w:left w:val="single" w:color="auto" w:sz="4" w:space="0"/>
              <w:bottom w:val="single" w:color="auto" w:sz="4" w:space="0"/>
              <w:right w:val="single" w:color="auto" w:sz="4" w:space="0"/>
            </w:tcBorders>
            <w:vAlign w:val="center"/>
          </w:tcPr>
          <w:p w14:paraId="0F376B56">
            <w:pPr>
              <w:adjustRightInd w:val="0"/>
              <w:snapToGrid w:val="0"/>
              <w:jc w:val="center"/>
              <w:rPr>
                <w:sz w:val="22"/>
              </w:rPr>
            </w:pPr>
            <w:r>
              <w:rPr>
                <w:sz w:val="22"/>
              </w:rPr>
              <w:t>CO</w:t>
            </w:r>
          </w:p>
        </w:tc>
        <w:tc>
          <w:tcPr>
            <w:tcW w:w="1684" w:type="dxa"/>
            <w:tcBorders>
              <w:top w:val="single" w:color="auto" w:sz="4" w:space="0"/>
              <w:left w:val="single" w:color="auto" w:sz="4" w:space="0"/>
              <w:bottom w:val="single" w:color="auto" w:sz="4" w:space="0"/>
              <w:right w:val="single" w:color="auto" w:sz="4" w:space="0"/>
            </w:tcBorders>
            <w:vAlign w:val="center"/>
          </w:tcPr>
          <w:p w14:paraId="5C1D7591">
            <w:pPr>
              <w:adjustRightInd w:val="0"/>
              <w:snapToGrid w:val="0"/>
              <w:jc w:val="center"/>
              <w:rPr>
                <w:sz w:val="22"/>
              </w:rPr>
            </w:pPr>
            <w:r>
              <w:rPr>
                <w:sz w:val="22"/>
              </w:rPr>
              <w:t>百分位上日平均质量浓度</w:t>
            </w:r>
          </w:p>
        </w:tc>
        <w:tc>
          <w:tcPr>
            <w:tcW w:w="1131" w:type="dxa"/>
            <w:tcBorders>
              <w:top w:val="single" w:color="auto" w:sz="4" w:space="0"/>
              <w:left w:val="single" w:color="auto" w:sz="4" w:space="0"/>
              <w:bottom w:val="single" w:color="auto" w:sz="4" w:space="0"/>
              <w:right w:val="single" w:color="auto" w:sz="4" w:space="0"/>
            </w:tcBorders>
            <w:vAlign w:val="center"/>
          </w:tcPr>
          <w:p w14:paraId="713425C6">
            <w:pPr>
              <w:adjustRightInd w:val="0"/>
              <w:snapToGrid w:val="0"/>
              <w:jc w:val="center"/>
              <w:rPr>
                <w:sz w:val="22"/>
              </w:rPr>
            </w:pPr>
            <w:r>
              <w:rPr>
                <w:sz w:val="22"/>
              </w:rPr>
              <w:t>第95</w:t>
            </w:r>
          </w:p>
        </w:tc>
        <w:tc>
          <w:tcPr>
            <w:tcW w:w="1269" w:type="dxa"/>
            <w:tcBorders>
              <w:top w:val="single" w:color="auto" w:sz="4" w:space="0"/>
              <w:left w:val="single" w:color="auto" w:sz="4" w:space="0"/>
              <w:bottom w:val="single" w:color="auto" w:sz="4" w:space="0"/>
              <w:right w:val="single" w:color="auto" w:sz="4" w:space="0"/>
            </w:tcBorders>
            <w:vAlign w:val="center"/>
          </w:tcPr>
          <w:p w14:paraId="7899FE8F">
            <w:pPr>
              <w:adjustRightInd w:val="0"/>
              <w:snapToGrid w:val="0"/>
              <w:jc w:val="center"/>
              <w:rPr>
                <w:sz w:val="22"/>
              </w:rPr>
            </w:pPr>
            <w:r>
              <w:rPr>
                <w:rFonts w:hint="eastAsia"/>
                <w:sz w:val="22"/>
              </w:rPr>
              <w:t>0.9</w:t>
            </w:r>
            <w:r>
              <w:rPr>
                <w:sz w:val="22"/>
              </w:rPr>
              <w:t>mg/m</w:t>
            </w:r>
            <w:r>
              <w:rPr>
                <w:sz w:val="22"/>
                <w:vertAlign w:val="superscript"/>
              </w:rPr>
              <w:t>3</w:t>
            </w:r>
          </w:p>
        </w:tc>
        <w:tc>
          <w:tcPr>
            <w:tcW w:w="1131" w:type="dxa"/>
            <w:tcBorders>
              <w:top w:val="single" w:color="auto" w:sz="4" w:space="0"/>
              <w:left w:val="single" w:color="auto" w:sz="4" w:space="0"/>
              <w:bottom w:val="single" w:color="auto" w:sz="4" w:space="0"/>
              <w:right w:val="single" w:color="auto" w:sz="4" w:space="0"/>
            </w:tcBorders>
            <w:vAlign w:val="center"/>
          </w:tcPr>
          <w:p w14:paraId="46C7A7DD">
            <w:pPr>
              <w:adjustRightInd w:val="0"/>
              <w:snapToGrid w:val="0"/>
              <w:jc w:val="center"/>
              <w:rPr>
                <w:sz w:val="22"/>
              </w:rPr>
            </w:pPr>
            <w:r>
              <w:rPr>
                <w:sz w:val="22"/>
              </w:rPr>
              <w:t>4mg/m</w:t>
            </w:r>
            <w:r>
              <w:rPr>
                <w:sz w:val="22"/>
                <w:vertAlign w:val="superscript"/>
              </w:rPr>
              <w:t>3</w:t>
            </w:r>
          </w:p>
        </w:tc>
        <w:tc>
          <w:tcPr>
            <w:tcW w:w="1131" w:type="dxa"/>
            <w:tcBorders>
              <w:top w:val="single" w:color="auto" w:sz="4" w:space="0"/>
              <w:left w:val="single" w:color="auto" w:sz="4" w:space="0"/>
              <w:bottom w:val="single" w:color="auto" w:sz="4" w:space="0"/>
              <w:right w:val="single" w:color="auto" w:sz="4" w:space="0"/>
            </w:tcBorders>
            <w:vAlign w:val="center"/>
          </w:tcPr>
          <w:p w14:paraId="747FA31F">
            <w:pPr>
              <w:widowControl/>
              <w:jc w:val="center"/>
              <w:textAlignment w:val="center"/>
              <w:rPr>
                <w:sz w:val="22"/>
              </w:rPr>
            </w:pPr>
            <w:r>
              <w:rPr>
                <w:kern w:val="0"/>
                <w:sz w:val="22"/>
                <w:lang w:bidi="ar"/>
              </w:rPr>
              <w:t>0.23</w:t>
            </w:r>
          </w:p>
        </w:tc>
        <w:tc>
          <w:tcPr>
            <w:tcW w:w="1207" w:type="dxa"/>
            <w:tcBorders>
              <w:top w:val="single" w:color="auto" w:sz="4" w:space="0"/>
              <w:left w:val="single" w:color="auto" w:sz="4" w:space="0"/>
              <w:bottom w:val="single" w:color="auto" w:sz="4" w:space="0"/>
              <w:right w:val="single" w:color="auto" w:sz="4" w:space="0"/>
            </w:tcBorders>
            <w:vAlign w:val="center"/>
          </w:tcPr>
          <w:p w14:paraId="5FA1D44C">
            <w:pPr>
              <w:adjustRightInd w:val="0"/>
              <w:snapToGrid w:val="0"/>
              <w:jc w:val="center"/>
              <w:rPr>
                <w:sz w:val="22"/>
              </w:rPr>
            </w:pPr>
            <w:r>
              <w:rPr>
                <w:sz w:val="22"/>
              </w:rPr>
              <w:t>达标</w:t>
            </w:r>
          </w:p>
        </w:tc>
      </w:tr>
      <w:tr w14:paraId="3BDA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7" w:type="dxa"/>
            <w:tcBorders>
              <w:top w:val="single" w:color="auto" w:sz="4" w:space="0"/>
              <w:left w:val="single" w:color="auto" w:sz="4" w:space="0"/>
              <w:bottom w:val="single" w:color="auto" w:sz="4" w:space="0"/>
              <w:right w:val="single" w:color="auto" w:sz="4" w:space="0"/>
            </w:tcBorders>
            <w:vAlign w:val="center"/>
          </w:tcPr>
          <w:p w14:paraId="47822AF7">
            <w:pPr>
              <w:adjustRightInd w:val="0"/>
              <w:snapToGrid w:val="0"/>
              <w:jc w:val="center"/>
              <w:rPr>
                <w:sz w:val="22"/>
              </w:rPr>
            </w:pPr>
            <w:r>
              <w:rPr>
                <w:sz w:val="22"/>
              </w:rPr>
              <w:t>O</w:t>
            </w:r>
            <w:r>
              <w:rPr>
                <w:sz w:val="22"/>
                <w:vertAlign w:val="subscript"/>
              </w:rPr>
              <w:t>3</w:t>
            </w:r>
          </w:p>
        </w:tc>
        <w:tc>
          <w:tcPr>
            <w:tcW w:w="1684" w:type="dxa"/>
            <w:tcBorders>
              <w:top w:val="single" w:color="auto" w:sz="4" w:space="0"/>
              <w:left w:val="single" w:color="auto" w:sz="4" w:space="0"/>
              <w:bottom w:val="single" w:color="auto" w:sz="4" w:space="0"/>
              <w:right w:val="single" w:color="auto" w:sz="4" w:space="0"/>
            </w:tcBorders>
            <w:vAlign w:val="center"/>
          </w:tcPr>
          <w:p w14:paraId="67B72F9A">
            <w:pPr>
              <w:adjustRightInd w:val="0"/>
              <w:snapToGrid w:val="0"/>
              <w:jc w:val="center"/>
              <w:rPr>
                <w:sz w:val="22"/>
              </w:rPr>
            </w:pPr>
            <w:r>
              <w:rPr>
                <w:sz w:val="22"/>
              </w:rPr>
              <w:t>百分位上8h平均质量浓度</w:t>
            </w:r>
          </w:p>
        </w:tc>
        <w:tc>
          <w:tcPr>
            <w:tcW w:w="1131" w:type="dxa"/>
            <w:tcBorders>
              <w:top w:val="single" w:color="auto" w:sz="4" w:space="0"/>
              <w:left w:val="single" w:color="auto" w:sz="4" w:space="0"/>
              <w:bottom w:val="single" w:color="auto" w:sz="4" w:space="0"/>
              <w:right w:val="single" w:color="auto" w:sz="4" w:space="0"/>
            </w:tcBorders>
            <w:vAlign w:val="center"/>
          </w:tcPr>
          <w:p w14:paraId="79AA1A08">
            <w:pPr>
              <w:adjustRightInd w:val="0"/>
              <w:snapToGrid w:val="0"/>
              <w:jc w:val="center"/>
              <w:rPr>
                <w:sz w:val="22"/>
              </w:rPr>
            </w:pPr>
            <w:r>
              <w:rPr>
                <w:sz w:val="22"/>
              </w:rPr>
              <w:t>第90</w:t>
            </w:r>
          </w:p>
        </w:tc>
        <w:tc>
          <w:tcPr>
            <w:tcW w:w="1269" w:type="dxa"/>
            <w:tcBorders>
              <w:top w:val="single" w:color="auto" w:sz="4" w:space="0"/>
              <w:left w:val="single" w:color="auto" w:sz="4" w:space="0"/>
              <w:bottom w:val="single" w:color="auto" w:sz="4" w:space="0"/>
              <w:right w:val="single" w:color="auto" w:sz="4" w:space="0"/>
            </w:tcBorders>
            <w:vAlign w:val="center"/>
          </w:tcPr>
          <w:p w14:paraId="0DB5A51D">
            <w:pPr>
              <w:adjustRightInd w:val="0"/>
              <w:snapToGrid w:val="0"/>
              <w:jc w:val="center"/>
              <w:rPr>
                <w:sz w:val="22"/>
              </w:rPr>
            </w:pPr>
            <w:r>
              <w:rPr>
                <w:rFonts w:hint="eastAsia"/>
                <w:sz w:val="22"/>
              </w:rPr>
              <w:t>121.5</w:t>
            </w:r>
          </w:p>
        </w:tc>
        <w:tc>
          <w:tcPr>
            <w:tcW w:w="1131" w:type="dxa"/>
            <w:tcBorders>
              <w:top w:val="single" w:color="auto" w:sz="4" w:space="0"/>
              <w:left w:val="single" w:color="auto" w:sz="4" w:space="0"/>
              <w:bottom w:val="single" w:color="auto" w:sz="4" w:space="0"/>
              <w:right w:val="single" w:color="auto" w:sz="4" w:space="0"/>
            </w:tcBorders>
            <w:vAlign w:val="center"/>
          </w:tcPr>
          <w:p w14:paraId="0C8BF4EC">
            <w:pPr>
              <w:adjustRightInd w:val="0"/>
              <w:snapToGrid w:val="0"/>
              <w:jc w:val="center"/>
              <w:rPr>
                <w:sz w:val="22"/>
              </w:rPr>
            </w:pPr>
            <w:r>
              <w:rPr>
                <w:sz w:val="22"/>
              </w:rPr>
              <w:t>160</w:t>
            </w:r>
          </w:p>
        </w:tc>
        <w:tc>
          <w:tcPr>
            <w:tcW w:w="1131" w:type="dxa"/>
            <w:tcBorders>
              <w:top w:val="single" w:color="auto" w:sz="4" w:space="0"/>
              <w:left w:val="single" w:color="auto" w:sz="4" w:space="0"/>
              <w:bottom w:val="single" w:color="auto" w:sz="4" w:space="0"/>
              <w:right w:val="single" w:color="auto" w:sz="4" w:space="0"/>
            </w:tcBorders>
            <w:vAlign w:val="center"/>
          </w:tcPr>
          <w:p w14:paraId="703FBBBA">
            <w:pPr>
              <w:widowControl/>
              <w:jc w:val="center"/>
              <w:textAlignment w:val="center"/>
              <w:rPr>
                <w:sz w:val="22"/>
              </w:rPr>
            </w:pPr>
            <w:r>
              <w:rPr>
                <w:kern w:val="0"/>
                <w:sz w:val="22"/>
                <w:lang w:bidi="ar"/>
              </w:rPr>
              <w:t>0.76</w:t>
            </w:r>
          </w:p>
        </w:tc>
        <w:tc>
          <w:tcPr>
            <w:tcW w:w="1207" w:type="dxa"/>
            <w:tcBorders>
              <w:top w:val="single" w:color="auto" w:sz="4" w:space="0"/>
              <w:left w:val="single" w:color="auto" w:sz="4" w:space="0"/>
              <w:bottom w:val="single" w:color="auto" w:sz="4" w:space="0"/>
              <w:right w:val="single" w:color="auto" w:sz="4" w:space="0"/>
            </w:tcBorders>
            <w:vAlign w:val="center"/>
          </w:tcPr>
          <w:p w14:paraId="5811BF09">
            <w:pPr>
              <w:adjustRightInd w:val="0"/>
              <w:snapToGrid w:val="0"/>
              <w:jc w:val="center"/>
              <w:rPr>
                <w:sz w:val="22"/>
              </w:rPr>
            </w:pPr>
            <w:r>
              <w:rPr>
                <w:sz w:val="22"/>
              </w:rPr>
              <w:t>达标</w:t>
            </w:r>
          </w:p>
        </w:tc>
      </w:tr>
      <w:tr w14:paraId="102B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7" w:type="dxa"/>
            <w:tcBorders>
              <w:top w:val="single" w:color="auto" w:sz="4" w:space="0"/>
              <w:left w:val="single" w:color="auto" w:sz="4" w:space="0"/>
              <w:bottom w:val="single" w:color="auto" w:sz="4" w:space="0"/>
              <w:right w:val="single" w:color="auto" w:sz="4" w:space="0"/>
            </w:tcBorders>
            <w:vAlign w:val="center"/>
          </w:tcPr>
          <w:p w14:paraId="4F72172A">
            <w:pPr>
              <w:adjustRightInd w:val="0"/>
              <w:snapToGrid w:val="0"/>
              <w:jc w:val="center"/>
              <w:rPr>
                <w:sz w:val="22"/>
              </w:rPr>
            </w:pPr>
            <w:r>
              <w:rPr>
                <w:sz w:val="22"/>
              </w:rPr>
              <w:t>备注</w:t>
            </w:r>
          </w:p>
        </w:tc>
        <w:tc>
          <w:tcPr>
            <w:tcW w:w="7553" w:type="dxa"/>
            <w:gridSpan w:val="6"/>
            <w:tcBorders>
              <w:top w:val="single" w:color="auto" w:sz="4" w:space="0"/>
              <w:left w:val="single" w:color="auto" w:sz="4" w:space="0"/>
              <w:bottom w:val="single" w:color="auto" w:sz="4" w:space="0"/>
              <w:right w:val="single" w:color="auto" w:sz="4" w:space="0"/>
            </w:tcBorders>
            <w:vAlign w:val="center"/>
          </w:tcPr>
          <w:p w14:paraId="66EF94C6">
            <w:pPr>
              <w:adjustRightInd w:val="0"/>
              <w:snapToGrid w:val="0"/>
              <w:rPr>
                <w:b/>
                <w:sz w:val="22"/>
              </w:rPr>
            </w:pPr>
            <w:r>
              <w:rPr>
                <w:rFonts w:hint="eastAsia"/>
                <w:b/>
                <w:sz w:val="22"/>
              </w:rPr>
              <w:t>2</w:t>
            </w:r>
            <w:r>
              <w:rPr>
                <w:b/>
                <w:sz w:val="22"/>
              </w:rPr>
              <w:t>024</w:t>
            </w:r>
            <w:r>
              <w:rPr>
                <w:rFonts w:hint="eastAsia"/>
                <w:b/>
                <w:sz w:val="22"/>
              </w:rPr>
              <w:t>年</w:t>
            </w:r>
            <w:r>
              <w:rPr>
                <w:b/>
                <w:sz w:val="22"/>
              </w:rPr>
              <w:t>环境空气质量标准执行《环境空气质量标准》（GB3095-2012）二级标准</w:t>
            </w:r>
            <w:r>
              <w:rPr>
                <w:rFonts w:hint="eastAsia"/>
                <w:b/>
                <w:sz w:val="22"/>
              </w:rPr>
              <w:t>。</w:t>
            </w:r>
          </w:p>
        </w:tc>
      </w:tr>
    </w:tbl>
    <w:p w14:paraId="6D03BF53">
      <w:pPr>
        <w:pStyle w:val="1379"/>
        <w:ind w:firstLine="440"/>
      </w:pPr>
    </w:p>
    <w:p w14:paraId="43CFBC0D">
      <w:pPr>
        <w:adjustRightInd w:val="0"/>
        <w:snapToGrid w:val="0"/>
        <w:spacing w:line="480" w:lineRule="exact"/>
        <w:ind w:firstLine="520"/>
        <w:rPr>
          <w:sz w:val="26"/>
          <w:szCs w:val="26"/>
        </w:rPr>
      </w:pPr>
      <w:r>
        <w:rPr>
          <w:sz w:val="26"/>
          <w:szCs w:val="26"/>
        </w:rPr>
        <w:t>由上表可知，</w:t>
      </w:r>
      <w:r>
        <w:rPr>
          <w:rFonts w:hint="eastAsia"/>
          <w:sz w:val="26"/>
          <w:szCs w:val="26"/>
        </w:rPr>
        <w:t>巴中</w:t>
      </w:r>
      <w:r>
        <w:rPr>
          <w:sz w:val="26"/>
          <w:szCs w:val="26"/>
        </w:rPr>
        <w:t>市</w:t>
      </w:r>
      <w:r>
        <w:rPr>
          <w:rFonts w:hint="eastAsia"/>
          <w:sz w:val="26"/>
          <w:szCs w:val="26"/>
        </w:rPr>
        <w:t>所有评价因子</w:t>
      </w:r>
      <w:r>
        <w:rPr>
          <w:sz w:val="26"/>
          <w:szCs w:val="26"/>
        </w:rPr>
        <w:t>均能满足《环境空气质量标准》（GB3095-2012）中二级标准要求；根据《202</w:t>
      </w:r>
      <w:r>
        <w:rPr>
          <w:rFonts w:hint="eastAsia"/>
          <w:sz w:val="26"/>
          <w:szCs w:val="26"/>
        </w:rPr>
        <w:t>4</w:t>
      </w:r>
      <w:r>
        <w:rPr>
          <w:sz w:val="26"/>
          <w:szCs w:val="26"/>
        </w:rPr>
        <w:t>年</w:t>
      </w:r>
      <w:r>
        <w:rPr>
          <w:rFonts w:hint="eastAsia"/>
          <w:sz w:val="26"/>
          <w:szCs w:val="26"/>
        </w:rPr>
        <w:t>巴中</w:t>
      </w:r>
      <w:r>
        <w:rPr>
          <w:sz w:val="26"/>
          <w:szCs w:val="26"/>
        </w:rPr>
        <w:t>市生态环境状况公报》中</w:t>
      </w:r>
      <w:r>
        <w:rPr>
          <w:rFonts w:hint="eastAsia"/>
          <w:sz w:val="26"/>
          <w:szCs w:val="26"/>
        </w:rPr>
        <w:t>巴中市恩阳区</w:t>
      </w:r>
      <w:r>
        <w:rPr>
          <w:sz w:val="26"/>
          <w:szCs w:val="26"/>
        </w:rPr>
        <w:t>各大气基本污染物浓度条形统计图读图分析可知，</w:t>
      </w:r>
      <w:r>
        <w:rPr>
          <w:rFonts w:hint="eastAsia"/>
          <w:sz w:val="26"/>
          <w:szCs w:val="26"/>
        </w:rPr>
        <w:t>恩阳区</w:t>
      </w:r>
      <w:r>
        <w:rPr>
          <w:sz w:val="26"/>
          <w:szCs w:val="26"/>
        </w:rPr>
        <w:t>所有评价因子均能达到《环境空气质量标准》（GB3095-2012）中二级标准要求</w:t>
      </w:r>
      <w:r>
        <w:rPr>
          <w:kern w:val="0"/>
          <w:sz w:val="26"/>
          <w:szCs w:val="26"/>
        </w:rPr>
        <w:t>。综上，</w:t>
      </w:r>
      <w:r>
        <w:rPr>
          <w:rFonts w:hint="eastAsia"/>
          <w:kern w:val="0"/>
          <w:sz w:val="26"/>
          <w:szCs w:val="26"/>
        </w:rPr>
        <w:t>巴中市恩阳区</w:t>
      </w:r>
      <w:r>
        <w:rPr>
          <w:sz w:val="26"/>
          <w:szCs w:val="26"/>
        </w:rPr>
        <w:t>为环境空气质量达标区</w:t>
      </w:r>
      <w:r>
        <w:rPr>
          <w:kern w:val="0"/>
          <w:sz w:val="26"/>
          <w:szCs w:val="26"/>
        </w:rPr>
        <w:t>。</w:t>
      </w:r>
    </w:p>
    <w:p w14:paraId="136E23F4">
      <w:pPr>
        <w:tabs>
          <w:tab w:val="left" w:pos="5925"/>
        </w:tabs>
        <w:overflowPunct w:val="0"/>
        <w:spacing w:line="460" w:lineRule="atLeast"/>
        <w:ind w:firstLine="522" w:firstLineChars="200"/>
        <w:rPr>
          <w:b/>
          <w:sz w:val="26"/>
          <w:szCs w:val="26"/>
        </w:rPr>
      </w:pPr>
      <w:r>
        <w:rPr>
          <w:b/>
          <w:sz w:val="26"/>
          <w:szCs w:val="26"/>
        </w:rPr>
        <w:t>4.2.1.2 其他污染物补充监测</w:t>
      </w:r>
    </w:p>
    <w:p w14:paraId="03660A55">
      <w:pPr>
        <w:adjustRightInd w:val="0"/>
        <w:snapToGrid w:val="0"/>
        <w:spacing w:line="480" w:lineRule="exact"/>
        <w:ind w:firstLine="520" w:firstLineChars="200"/>
        <w:rPr>
          <w:kern w:val="0"/>
          <w:sz w:val="26"/>
          <w:szCs w:val="26"/>
        </w:rPr>
      </w:pPr>
      <w:r>
        <w:rPr>
          <w:kern w:val="0"/>
          <w:sz w:val="26"/>
          <w:szCs w:val="26"/>
        </w:rPr>
        <w:t>为全面了解与本项目相关污染物的区域环境空气质量现状，本</w:t>
      </w:r>
      <w:r>
        <w:rPr>
          <w:rFonts w:hint="eastAsia"/>
          <w:kern w:val="0"/>
          <w:sz w:val="26"/>
          <w:szCs w:val="26"/>
        </w:rPr>
        <w:t>次</w:t>
      </w:r>
      <w:r>
        <w:rPr>
          <w:kern w:val="0"/>
          <w:sz w:val="26"/>
          <w:szCs w:val="26"/>
        </w:rPr>
        <w:t>评价委托</w:t>
      </w:r>
      <w:r>
        <w:rPr>
          <w:rFonts w:hint="eastAsia"/>
          <w:sz w:val="26"/>
          <w:szCs w:val="26"/>
        </w:rPr>
        <w:t>四川力博检测有限公司</w:t>
      </w:r>
      <w:r>
        <w:rPr>
          <w:kern w:val="0"/>
          <w:sz w:val="26"/>
          <w:szCs w:val="26"/>
        </w:rPr>
        <w:t>对</w:t>
      </w:r>
      <w:r>
        <w:rPr>
          <w:rFonts w:hint="eastAsia"/>
          <w:kern w:val="0"/>
          <w:sz w:val="26"/>
          <w:szCs w:val="26"/>
        </w:rPr>
        <w:t>区域</w:t>
      </w:r>
      <w:r>
        <w:rPr>
          <w:kern w:val="0"/>
          <w:sz w:val="26"/>
          <w:szCs w:val="26"/>
        </w:rPr>
        <w:t>环境空气质量进行补充监测。</w:t>
      </w:r>
    </w:p>
    <w:p w14:paraId="7CA70550">
      <w:pPr>
        <w:tabs>
          <w:tab w:val="left" w:pos="5925"/>
        </w:tabs>
        <w:overflowPunct w:val="0"/>
        <w:spacing w:line="460" w:lineRule="atLeast"/>
        <w:ind w:firstLine="520" w:firstLineChars="200"/>
        <w:rPr>
          <w:sz w:val="26"/>
          <w:szCs w:val="26"/>
        </w:rPr>
      </w:pPr>
      <w:r>
        <w:rPr>
          <w:rFonts w:hint="eastAsia"/>
          <w:sz w:val="26"/>
          <w:szCs w:val="26"/>
        </w:rPr>
        <w:t>（</w:t>
      </w:r>
      <w:r>
        <w:rPr>
          <w:sz w:val="26"/>
          <w:szCs w:val="26"/>
        </w:rPr>
        <w:t>1</w:t>
      </w:r>
      <w:r>
        <w:rPr>
          <w:rFonts w:hint="eastAsia"/>
          <w:sz w:val="26"/>
          <w:szCs w:val="26"/>
        </w:rPr>
        <w:t>）监测点位、监测因子及监测时间</w:t>
      </w:r>
    </w:p>
    <w:p w14:paraId="2E83D53C">
      <w:pPr>
        <w:tabs>
          <w:tab w:val="left" w:pos="5925"/>
        </w:tabs>
        <w:overflowPunct w:val="0"/>
        <w:spacing w:line="460" w:lineRule="atLeast"/>
        <w:ind w:firstLine="520" w:firstLineChars="200"/>
        <w:rPr>
          <w:sz w:val="26"/>
          <w:szCs w:val="26"/>
        </w:rPr>
      </w:pPr>
      <w:r>
        <w:rPr>
          <w:kern w:val="0"/>
          <w:sz w:val="26"/>
          <w:szCs w:val="26"/>
        </w:rPr>
        <w:t>本次评价设置大气监测点1个</w:t>
      </w:r>
      <w:r>
        <w:rPr>
          <w:rFonts w:hint="eastAsia"/>
          <w:kern w:val="0"/>
          <w:sz w:val="26"/>
          <w:szCs w:val="26"/>
        </w:rPr>
        <w:t>，位位于巴中2HF平台东北侧，监测因子为N</w:t>
      </w:r>
      <w:r>
        <w:rPr>
          <w:kern w:val="0"/>
          <w:sz w:val="26"/>
          <w:szCs w:val="26"/>
        </w:rPr>
        <w:t>MHC</w:t>
      </w:r>
      <w:r>
        <w:rPr>
          <w:rFonts w:hint="eastAsia"/>
          <w:kern w:val="0"/>
          <w:sz w:val="26"/>
          <w:szCs w:val="26"/>
        </w:rPr>
        <w:t>、</w:t>
      </w:r>
      <w:r>
        <w:rPr>
          <w:sz w:val="26"/>
          <w:szCs w:val="26"/>
        </w:rPr>
        <w:t>NOx</w:t>
      </w:r>
      <w:r>
        <w:rPr>
          <w:rFonts w:hint="eastAsia"/>
          <w:sz w:val="26"/>
          <w:szCs w:val="26"/>
        </w:rPr>
        <w:t>和</w:t>
      </w:r>
      <w:r>
        <w:rPr>
          <w:sz w:val="26"/>
          <w:szCs w:val="26"/>
        </w:rPr>
        <w:t>TSP</w:t>
      </w:r>
      <w:r>
        <w:rPr>
          <w:rFonts w:hint="eastAsia"/>
          <w:sz w:val="26"/>
          <w:szCs w:val="26"/>
        </w:rPr>
        <w:t>。</w:t>
      </w:r>
    </w:p>
    <w:p w14:paraId="12982C5A">
      <w:pPr>
        <w:pStyle w:val="1379"/>
        <w:ind w:firstLine="440"/>
      </w:pPr>
    </w:p>
    <w:p w14:paraId="72EA2C18">
      <w:pPr>
        <w:pStyle w:val="1065"/>
      </w:pPr>
      <w:r>
        <w:rPr>
          <w:rFonts w:hint="eastAsia"/>
        </w:rPr>
        <w:t>表4</w:t>
      </w:r>
      <w:r>
        <w:t xml:space="preserve">.2-2  </w:t>
      </w:r>
      <w:r>
        <w:rPr>
          <w:rFonts w:hint="eastAsia"/>
        </w:rPr>
        <w:t>补充监测设置一览表</w:t>
      </w:r>
    </w:p>
    <w:tbl>
      <w:tblPr>
        <w:tblStyle w:val="89"/>
        <w:tblW w:w="87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57"/>
        <w:gridCol w:w="1762"/>
        <w:gridCol w:w="1235"/>
        <w:gridCol w:w="1235"/>
        <w:gridCol w:w="2061"/>
        <w:gridCol w:w="1936"/>
      </w:tblGrid>
      <w:tr w14:paraId="1864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57" w:type="dxa"/>
            <w:vAlign w:val="center"/>
          </w:tcPr>
          <w:p w14:paraId="1CAA85CA">
            <w:pPr>
              <w:pStyle w:val="687"/>
            </w:pPr>
            <w:r>
              <w:t>序号</w:t>
            </w:r>
          </w:p>
        </w:tc>
        <w:tc>
          <w:tcPr>
            <w:tcW w:w="1762" w:type="dxa"/>
            <w:vAlign w:val="center"/>
          </w:tcPr>
          <w:p w14:paraId="54DB4D9B">
            <w:pPr>
              <w:pStyle w:val="687"/>
            </w:pPr>
            <w:r>
              <w:t>监测位置</w:t>
            </w:r>
          </w:p>
        </w:tc>
        <w:tc>
          <w:tcPr>
            <w:tcW w:w="1235" w:type="dxa"/>
            <w:vAlign w:val="center"/>
          </w:tcPr>
          <w:p w14:paraId="7C3D0820">
            <w:pPr>
              <w:pStyle w:val="687"/>
            </w:pPr>
            <w:r>
              <w:rPr>
                <w:rFonts w:hint="eastAsia"/>
              </w:rPr>
              <w:t>经度/°</w:t>
            </w:r>
          </w:p>
        </w:tc>
        <w:tc>
          <w:tcPr>
            <w:tcW w:w="1235" w:type="dxa"/>
            <w:vAlign w:val="center"/>
          </w:tcPr>
          <w:p w14:paraId="4C6DA524">
            <w:pPr>
              <w:pStyle w:val="687"/>
            </w:pPr>
            <w:r>
              <w:rPr>
                <w:rFonts w:hint="eastAsia"/>
              </w:rPr>
              <w:t>纬度/°</w:t>
            </w:r>
          </w:p>
        </w:tc>
        <w:tc>
          <w:tcPr>
            <w:tcW w:w="2061" w:type="dxa"/>
            <w:vAlign w:val="center"/>
          </w:tcPr>
          <w:p w14:paraId="2565371D">
            <w:pPr>
              <w:pStyle w:val="687"/>
            </w:pPr>
            <w:r>
              <w:t>监测因子</w:t>
            </w:r>
          </w:p>
        </w:tc>
        <w:tc>
          <w:tcPr>
            <w:tcW w:w="1936" w:type="dxa"/>
          </w:tcPr>
          <w:p w14:paraId="37000FA1">
            <w:pPr>
              <w:pStyle w:val="687"/>
            </w:pPr>
            <w:r>
              <w:rPr>
                <w:rFonts w:hint="eastAsia"/>
              </w:rPr>
              <w:t>监测时间</w:t>
            </w:r>
          </w:p>
        </w:tc>
      </w:tr>
      <w:tr w14:paraId="49BF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57" w:type="dxa"/>
            <w:vAlign w:val="center"/>
          </w:tcPr>
          <w:p w14:paraId="5DE5D6A7">
            <w:pPr>
              <w:pStyle w:val="687"/>
            </w:pPr>
            <w:r>
              <w:rPr>
                <w:rFonts w:hint="eastAsia"/>
              </w:rPr>
              <w:t>1</w:t>
            </w:r>
          </w:p>
        </w:tc>
        <w:tc>
          <w:tcPr>
            <w:tcW w:w="1762" w:type="dxa"/>
            <w:vAlign w:val="center"/>
          </w:tcPr>
          <w:p w14:paraId="5568BDFA">
            <w:pPr>
              <w:pStyle w:val="687"/>
            </w:pPr>
            <w:r>
              <w:rPr>
                <w:rFonts w:hint="eastAsia"/>
              </w:rPr>
              <w:t>巴中2HF平台东北侧</w:t>
            </w:r>
          </w:p>
        </w:tc>
        <w:tc>
          <w:tcPr>
            <w:tcW w:w="1235" w:type="dxa"/>
            <w:vAlign w:val="center"/>
          </w:tcPr>
          <w:p w14:paraId="2E4CFC95">
            <w:pPr>
              <w:pStyle w:val="1444"/>
            </w:pPr>
            <w:r>
              <w:t>397821.46</w:t>
            </w:r>
          </w:p>
        </w:tc>
        <w:tc>
          <w:tcPr>
            <w:tcW w:w="1235" w:type="dxa"/>
            <w:vAlign w:val="center"/>
          </w:tcPr>
          <w:p w14:paraId="5A82B505">
            <w:pPr>
              <w:pStyle w:val="1444"/>
            </w:pPr>
            <w:r>
              <w:t>3521072.33</w:t>
            </w:r>
          </w:p>
        </w:tc>
        <w:tc>
          <w:tcPr>
            <w:tcW w:w="2061" w:type="dxa"/>
            <w:vAlign w:val="center"/>
          </w:tcPr>
          <w:p w14:paraId="6367794D">
            <w:pPr>
              <w:pStyle w:val="687"/>
            </w:pPr>
            <w:r>
              <w:rPr>
                <w:rFonts w:hint="eastAsia"/>
              </w:rPr>
              <w:t>N</w:t>
            </w:r>
            <w:r>
              <w:t>MHC</w:t>
            </w:r>
            <w:r>
              <w:rPr>
                <w:rFonts w:hint="eastAsia"/>
              </w:rPr>
              <w:t>、</w:t>
            </w:r>
            <w:r>
              <w:t>NO</w:t>
            </w:r>
            <w:r>
              <w:rPr>
                <w:rFonts w:hint="eastAsia"/>
              </w:rPr>
              <w:t>x、T</w:t>
            </w:r>
            <w:r>
              <w:t>SP</w:t>
            </w:r>
          </w:p>
        </w:tc>
        <w:tc>
          <w:tcPr>
            <w:tcW w:w="1936" w:type="dxa"/>
            <w:vAlign w:val="center"/>
          </w:tcPr>
          <w:p w14:paraId="13A55BD0">
            <w:pPr>
              <w:pStyle w:val="687"/>
            </w:pPr>
            <w:r>
              <w:rPr>
                <w:rFonts w:hint="eastAsia"/>
              </w:rPr>
              <w:t>2</w:t>
            </w:r>
            <w:r>
              <w:t>023.3.24-3.30</w:t>
            </w:r>
          </w:p>
        </w:tc>
      </w:tr>
    </w:tbl>
    <w:p w14:paraId="38248F25">
      <w:pPr>
        <w:pStyle w:val="1379"/>
        <w:ind w:firstLine="440"/>
      </w:pPr>
    </w:p>
    <w:p w14:paraId="6D946098">
      <w:pPr>
        <w:pStyle w:val="1381"/>
        <w:ind w:firstLine="520"/>
      </w:pPr>
      <w:r>
        <w:t>（</w:t>
      </w:r>
      <w:r>
        <w:rPr>
          <w:rFonts w:hint="eastAsia"/>
        </w:rPr>
        <w:t>2</w:t>
      </w:r>
      <w:r>
        <w:t>）评价方法</w:t>
      </w:r>
    </w:p>
    <w:p w14:paraId="704AA578">
      <w:pPr>
        <w:pStyle w:val="1381"/>
        <w:ind w:firstLine="520"/>
      </w:pPr>
      <w:r>
        <w:t>大气环境质量现状评价采用标准指数法。评价模式采用《环境影响评价技术导则 大气环境》（HJ2.2-2018）推荐的评价模式。模式为</w:t>
      </w:r>
      <w:r>
        <w:rPr>
          <w:rFonts w:hint="eastAsia"/>
        </w:rPr>
        <w:t>：</w:t>
      </w:r>
    </w:p>
    <w:p w14:paraId="7ABAEF57">
      <w:pPr>
        <w:pStyle w:val="1381"/>
        <w:spacing w:before="240" w:beforeLines="100" w:after="240" w:afterLines="100"/>
        <w:ind w:firstLine="520"/>
        <w:jc w:val="center"/>
        <w:rPr>
          <w:vertAlign w:val="subscript"/>
        </w:rPr>
      </w:pPr>
      <w:r>
        <w:rPr>
          <w:i/>
        </w:rPr>
        <w:t>I</w:t>
      </w:r>
      <w:r>
        <w:rPr>
          <w:vertAlign w:val="subscript"/>
        </w:rPr>
        <w:t>ij</w:t>
      </w:r>
      <w:r>
        <w:t>=</w:t>
      </w:r>
      <w:r>
        <w:rPr>
          <w:i/>
        </w:rPr>
        <w:t>C</w:t>
      </w:r>
      <w:r>
        <w:rPr>
          <w:vertAlign w:val="subscript"/>
        </w:rPr>
        <w:t>ij</w:t>
      </w:r>
      <w:r>
        <w:t>/</w:t>
      </w:r>
      <w:r>
        <w:rPr>
          <w:i/>
        </w:rPr>
        <w:t>C</w:t>
      </w:r>
      <w:r>
        <w:rPr>
          <w:vertAlign w:val="subscript"/>
        </w:rPr>
        <w:t>0j</w:t>
      </w:r>
    </w:p>
    <w:p w14:paraId="707CDB75">
      <w:pPr>
        <w:pStyle w:val="1381"/>
        <w:ind w:firstLine="520"/>
      </w:pPr>
      <w:r>
        <w:t>式中：</w:t>
      </w:r>
    </w:p>
    <w:p w14:paraId="00FC0547">
      <w:pPr>
        <w:pStyle w:val="1381"/>
        <w:ind w:firstLine="520"/>
      </w:pPr>
      <w:r>
        <w:rPr>
          <w:i/>
        </w:rPr>
        <w:t>I</w:t>
      </w:r>
      <w:r>
        <w:rPr>
          <w:vertAlign w:val="subscript"/>
        </w:rPr>
        <w:t>ij</w:t>
      </w:r>
      <w:r>
        <w:t>——第i现状监测点第j污染因子的占标率；</w:t>
      </w:r>
    </w:p>
    <w:p w14:paraId="5F632C50">
      <w:pPr>
        <w:pStyle w:val="1381"/>
        <w:ind w:firstLine="520"/>
      </w:pPr>
      <w:r>
        <w:rPr>
          <w:i/>
        </w:rPr>
        <w:t>C</w:t>
      </w:r>
      <w:r>
        <w:rPr>
          <w:vertAlign w:val="subscript"/>
        </w:rPr>
        <w:t>ij</w:t>
      </w:r>
      <w:r>
        <w:t>——第i现状监测点第j污染因子的实测浓度（mg/m³或μg/m³）；</w:t>
      </w:r>
    </w:p>
    <w:p w14:paraId="7AA7E9C1">
      <w:pPr>
        <w:pStyle w:val="1381"/>
        <w:ind w:firstLine="520"/>
      </w:pPr>
      <w:r>
        <w:rPr>
          <w:i/>
        </w:rPr>
        <w:t>C</w:t>
      </w:r>
      <w:r>
        <w:rPr>
          <w:vertAlign w:val="subscript"/>
        </w:rPr>
        <w:t>0j</w:t>
      </w:r>
      <w:r>
        <w:t>——污染因子j的环境质量标准（mg/m³或μg/m³）。</w:t>
      </w:r>
    </w:p>
    <w:p w14:paraId="16BF7D9D">
      <w:pPr>
        <w:pStyle w:val="1381"/>
        <w:ind w:firstLine="520"/>
      </w:pPr>
      <w:r>
        <w:rPr>
          <w:rFonts w:hint="eastAsia"/>
        </w:rPr>
        <w:t>（3）</w:t>
      </w:r>
      <w:r>
        <w:t>评价标准和监测结果</w:t>
      </w:r>
      <w:r>
        <w:rPr>
          <w:rFonts w:hint="eastAsia"/>
        </w:rPr>
        <w:t>：</w:t>
      </w:r>
    </w:p>
    <w:p w14:paraId="4B42A41C">
      <w:pPr>
        <w:pStyle w:val="1381"/>
        <w:ind w:firstLine="520"/>
      </w:pPr>
      <w:r>
        <w:rPr>
          <w:rFonts w:hint="eastAsia"/>
        </w:rPr>
        <w:t>本次环境空气非甲烷总烃现状监测评价标准参照执行《大气污染物综合排放标准详解》，氮氧化物、T</w:t>
      </w:r>
      <w:r>
        <w:t>SP</w:t>
      </w:r>
      <w:r>
        <w:rPr>
          <w:rFonts w:hint="eastAsia"/>
        </w:rPr>
        <w:t>执行《环境空气质量标准》（GB3095-20</w:t>
      </w:r>
      <w:r>
        <w:t>26</w:t>
      </w:r>
      <w:r>
        <w:rPr>
          <w:rFonts w:hint="eastAsia"/>
        </w:rPr>
        <w:t>）。</w:t>
      </w:r>
    </w:p>
    <w:p w14:paraId="569EA93A">
      <w:pPr>
        <w:pStyle w:val="1381"/>
        <w:ind w:firstLine="520"/>
      </w:pPr>
      <w:r>
        <w:rPr>
          <w:rFonts w:hint="eastAsia"/>
        </w:rPr>
        <w:t>（4）监测结果</w:t>
      </w:r>
    </w:p>
    <w:p w14:paraId="1FCEF4DB">
      <w:pPr>
        <w:pStyle w:val="1379"/>
        <w:ind w:firstLine="440"/>
      </w:pPr>
    </w:p>
    <w:p w14:paraId="619446C7">
      <w:pPr>
        <w:adjustRightInd w:val="0"/>
        <w:snapToGrid w:val="0"/>
        <w:spacing w:line="380" w:lineRule="exact"/>
        <w:ind w:firstLine="520" w:firstLineChars="200"/>
        <w:jc w:val="center"/>
        <w:rPr>
          <w:bCs/>
          <w:sz w:val="26"/>
          <w:szCs w:val="26"/>
        </w:rPr>
      </w:pPr>
      <w:r>
        <w:rPr>
          <w:bCs/>
          <w:sz w:val="26"/>
          <w:szCs w:val="26"/>
        </w:rPr>
        <w:t>表4.2-3  环境空气现状监测结果统计表</w:t>
      </w:r>
    </w:p>
    <w:tbl>
      <w:tblPr>
        <w:tblStyle w:val="88"/>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55"/>
        <w:gridCol w:w="1311"/>
        <w:gridCol w:w="1311"/>
        <w:gridCol w:w="1468"/>
        <w:gridCol w:w="1410"/>
        <w:gridCol w:w="952"/>
        <w:gridCol w:w="937"/>
      </w:tblGrid>
      <w:tr w14:paraId="1136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1455" w:type="dxa"/>
            <w:vAlign w:val="center"/>
          </w:tcPr>
          <w:p w14:paraId="106C3C9A">
            <w:pPr>
              <w:jc w:val="center"/>
            </w:pPr>
            <w:r>
              <w:t>污染物</w:t>
            </w:r>
          </w:p>
        </w:tc>
        <w:tc>
          <w:tcPr>
            <w:tcW w:w="1311" w:type="dxa"/>
            <w:vAlign w:val="center"/>
          </w:tcPr>
          <w:p w14:paraId="235DA089">
            <w:pPr>
              <w:jc w:val="center"/>
            </w:pPr>
            <w:r>
              <w:rPr>
                <w:rFonts w:hint="eastAsia"/>
              </w:rPr>
              <w:t>评价时段</w:t>
            </w:r>
          </w:p>
        </w:tc>
        <w:tc>
          <w:tcPr>
            <w:tcW w:w="1311" w:type="dxa"/>
            <w:vAlign w:val="center"/>
          </w:tcPr>
          <w:p w14:paraId="59E47146">
            <w:pPr>
              <w:jc w:val="center"/>
            </w:pPr>
            <w:r>
              <w:t>评价标准</w:t>
            </w:r>
          </w:p>
          <w:p w14:paraId="2BDA6B8A">
            <w:pPr>
              <w:jc w:val="center"/>
            </w:pPr>
            <w:r>
              <w:t>mg/m</w:t>
            </w:r>
            <w:r>
              <w:rPr>
                <w:vertAlign w:val="superscript"/>
              </w:rPr>
              <w:t>3</w:t>
            </w:r>
          </w:p>
        </w:tc>
        <w:tc>
          <w:tcPr>
            <w:tcW w:w="1468" w:type="dxa"/>
            <w:vAlign w:val="center"/>
          </w:tcPr>
          <w:p w14:paraId="755C5031">
            <w:pPr>
              <w:jc w:val="center"/>
            </w:pPr>
            <w:r>
              <w:t>浓度范围mg/m</w:t>
            </w:r>
            <w:r>
              <w:rPr>
                <w:vertAlign w:val="superscript"/>
              </w:rPr>
              <w:t>3</w:t>
            </w:r>
          </w:p>
        </w:tc>
        <w:tc>
          <w:tcPr>
            <w:tcW w:w="1410" w:type="dxa"/>
            <w:vAlign w:val="center"/>
          </w:tcPr>
          <w:p w14:paraId="717D5771">
            <w:pPr>
              <w:jc w:val="center"/>
            </w:pPr>
            <w:r>
              <w:t>最大浓度占标率</w:t>
            </w:r>
            <w:r>
              <w:rPr>
                <w:rFonts w:hint="eastAsia"/>
              </w:rPr>
              <w:t>/</w:t>
            </w:r>
            <w:r>
              <w:t>%</w:t>
            </w:r>
          </w:p>
        </w:tc>
        <w:tc>
          <w:tcPr>
            <w:tcW w:w="952" w:type="dxa"/>
            <w:vAlign w:val="center"/>
          </w:tcPr>
          <w:p w14:paraId="70907CC3">
            <w:pPr>
              <w:jc w:val="center"/>
            </w:pPr>
            <w:r>
              <w:t>超标率</w:t>
            </w:r>
          </w:p>
        </w:tc>
        <w:tc>
          <w:tcPr>
            <w:tcW w:w="937" w:type="dxa"/>
            <w:vAlign w:val="center"/>
          </w:tcPr>
          <w:p w14:paraId="720F48A3">
            <w:pPr>
              <w:jc w:val="center"/>
            </w:pPr>
            <w:r>
              <w:t>达标</w:t>
            </w:r>
          </w:p>
          <w:p w14:paraId="4F628289">
            <w:pPr>
              <w:jc w:val="center"/>
            </w:pPr>
            <w:r>
              <w:t>情况</w:t>
            </w:r>
          </w:p>
        </w:tc>
      </w:tr>
      <w:tr w14:paraId="1BAB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1455" w:type="dxa"/>
            <w:vAlign w:val="center"/>
          </w:tcPr>
          <w:p w14:paraId="7713804E">
            <w:pPr>
              <w:jc w:val="center"/>
            </w:pPr>
            <w:r>
              <w:t>非甲烷总烃</w:t>
            </w:r>
          </w:p>
        </w:tc>
        <w:tc>
          <w:tcPr>
            <w:tcW w:w="1311" w:type="dxa"/>
            <w:vAlign w:val="center"/>
          </w:tcPr>
          <w:p w14:paraId="422E357C">
            <w:pPr>
              <w:jc w:val="center"/>
            </w:pPr>
            <w:r>
              <w:rPr>
                <w:rFonts w:hint="eastAsia"/>
              </w:rPr>
              <w:t>小时值</w:t>
            </w:r>
          </w:p>
        </w:tc>
        <w:tc>
          <w:tcPr>
            <w:tcW w:w="1311" w:type="dxa"/>
            <w:vAlign w:val="center"/>
          </w:tcPr>
          <w:p w14:paraId="01C6A759">
            <w:pPr>
              <w:jc w:val="center"/>
            </w:pPr>
            <w:r>
              <w:t>2.0</w:t>
            </w:r>
          </w:p>
        </w:tc>
        <w:tc>
          <w:tcPr>
            <w:tcW w:w="1468" w:type="dxa"/>
            <w:vAlign w:val="center"/>
          </w:tcPr>
          <w:p w14:paraId="3D0EB7E1">
            <w:pPr>
              <w:jc w:val="center"/>
            </w:pPr>
            <w:r>
              <w:t>0.63</w:t>
            </w:r>
            <w:r>
              <w:rPr>
                <w:rFonts w:hint="eastAsia"/>
              </w:rPr>
              <w:t>~</w:t>
            </w:r>
            <w:r>
              <w:t>0.93</w:t>
            </w:r>
          </w:p>
        </w:tc>
        <w:tc>
          <w:tcPr>
            <w:tcW w:w="1410" w:type="dxa"/>
            <w:vAlign w:val="center"/>
          </w:tcPr>
          <w:p w14:paraId="78B11591">
            <w:pPr>
              <w:jc w:val="center"/>
            </w:pPr>
            <w:r>
              <w:rPr>
                <w:rFonts w:hint="eastAsia"/>
              </w:rPr>
              <w:t>4</w:t>
            </w:r>
            <w:r>
              <w:t>6.5</w:t>
            </w:r>
          </w:p>
        </w:tc>
        <w:tc>
          <w:tcPr>
            <w:tcW w:w="952" w:type="dxa"/>
            <w:vAlign w:val="center"/>
          </w:tcPr>
          <w:p w14:paraId="3C9562EC">
            <w:pPr>
              <w:jc w:val="center"/>
            </w:pPr>
            <w:r>
              <w:t>0%</w:t>
            </w:r>
          </w:p>
        </w:tc>
        <w:tc>
          <w:tcPr>
            <w:tcW w:w="937" w:type="dxa"/>
            <w:vAlign w:val="center"/>
          </w:tcPr>
          <w:p w14:paraId="4A00CC54">
            <w:pPr>
              <w:jc w:val="center"/>
            </w:pPr>
            <w:r>
              <w:t>达标</w:t>
            </w:r>
          </w:p>
        </w:tc>
      </w:tr>
      <w:tr w14:paraId="57B4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1455" w:type="dxa"/>
            <w:vAlign w:val="center"/>
          </w:tcPr>
          <w:p w14:paraId="1F9EABF3">
            <w:pPr>
              <w:jc w:val="center"/>
            </w:pPr>
            <w:r>
              <w:t>氮氧化物</w:t>
            </w:r>
          </w:p>
        </w:tc>
        <w:tc>
          <w:tcPr>
            <w:tcW w:w="1311" w:type="dxa"/>
            <w:vAlign w:val="center"/>
          </w:tcPr>
          <w:p w14:paraId="25373D48">
            <w:pPr>
              <w:jc w:val="center"/>
            </w:pPr>
            <w:r>
              <w:rPr>
                <w:rFonts w:hint="eastAsia"/>
              </w:rPr>
              <w:t>小时值</w:t>
            </w:r>
          </w:p>
        </w:tc>
        <w:tc>
          <w:tcPr>
            <w:tcW w:w="1311" w:type="dxa"/>
            <w:vAlign w:val="center"/>
          </w:tcPr>
          <w:p w14:paraId="5336A8E1">
            <w:pPr>
              <w:jc w:val="center"/>
            </w:pPr>
            <w:r>
              <w:rPr>
                <w:rFonts w:hint="eastAsia"/>
              </w:rPr>
              <w:t>0</w:t>
            </w:r>
            <w:r>
              <w:t>.25</w:t>
            </w:r>
          </w:p>
        </w:tc>
        <w:tc>
          <w:tcPr>
            <w:tcW w:w="1468" w:type="dxa"/>
            <w:vAlign w:val="center"/>
          </w:tcPr>
          <w:p w14:paraId="72F9A2A4">
            <w:pPr>
              <w:jc w:val="center"/>
            </w:pPr>
            <w:r>
              <w:t>0.031</w:t>
            </w:r>
            <w:r>
              <w:rPr>
                <w:rFonts w:hint="eastAsia"/>
              </w:rPr>
              <w:t>~</w:t>
            </w:r>
            <w:r>
              <w:t>0.049</w:t>
            </w:r>
          </w:p>
        </w:tc>
        <w:tc>
          <w:tcPr>
            <w:tcW w:w="1410" w:type="dxa"/>
            <w:vAlign w:val="center"/>
          </w:tcPr>
          <w:p w14:paraId="6DE164C9">
            <w:pPr>
              <w:jc w:val="center"/>
            </w:pPr>
            <w:r>
              <w:t>19.6</w:t>
            </w:r>
          </w:p>
        </w:tc>
        <w:tc>
          <w:tcPr>
            <w:tcW w:w="952" w:type="dxa"/>
            <w:vAlign w:val="center"/>
          </w:tcPr>
          <w:p w14:paraId="7AE472EB">
            <w:pPr>
              <w:jc w:val="center"/>
            </w:pPr>
            <w:r>
              <w:t>0%</w:t>
            </w:r>
          </w:p>
        </w:tc>
        <w:tc>
          <w:tcPr>
            <w:tcW w:w="937" w:type="dxa"/>
            <w:vAlign w:val="center"/>
          </w:tcPr>
          <w:p w14:paraId="2919A3F9">
            <w:pPr>
              <w:jc w:val="center"/>
            </w:pPr>
            <w:r>
              <w:t>达标</w:t>
            </w:r>
          </w:p>
        </w:tc>
      </w:tr>
      <w:tr w14:paraId="4285C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1455" w:type="dxa"/>
            <w:vAlign w:val="center"/>
          </w:tcPr>
          <w:p w14:paraId="3BBB0CAA">
            <w:pPr>
              <w:jc w:val="center"/>
            </w:pPr>
            <w:r>
              <w:rPr>
                <w:rFonts w:hint="eastAsia"/>
              </w:rPr>
              <w:t>T</w:t>
            </w:r>
            <w:r>
              <w:t>SP</w:t>
            </w:r>
          </w:p>
        </w:tc>
        <w:tc>
          <w:tcPr>
            <w:tcW w:w="1311" w:type="dxa"/>
            <w:vAlign w:val="center"/>
          </w:tcPr>
          <w:p w14:paraId="11E1ABDB">
            <w:pPr>
              <w:jc w:val="center"/>
            </w:pPr>
            <w:r>
              <w:rPr>
                <w:rFonts w:hint="eastAsia"/>
              </w:rPr>
              <w:t>日均值</w:t>
            </w:r>
          </w:p>
        </w:tc>
        <w:tc>
          <w:tcPr>
            <w:tcW w:w="1311" w:type="dxa"/>
            <w:vAlign w:val="center"/>
          </w:tcPr>
          <w:p w14:paraId="198A98B9">
            <w:pPr>
              <w:jc w:val="center"/>
            </w:pPr>
            <w:r>
              <w:rPr>
                <w:rFonts w:hint="eastAsia"/>
              </w:rPr>
              <w:t>0</w:t>
            </w:r>
            <w:r>
              <w:t>.3</w:t>
            </w:r>
          </w:p>
        </w:tc>
        <w:tc>
          <w:tcPr>
            <w:tcW w:w="1468" w:type="dxa"/>
            <w:vAlign w:val="center"/>
          </w:tcPr>
          <w:p w14:paraId="7511B277">
            <w:pPr>
              <w:jc w:val="center"/>
            </w:pPr>
            <w:r>
              <w:rPr>
                <w:rFonts w:hint="eastAsia"/>
              </w:rPr>
              <w:t>0</w:t>
            </w:r>
            <w:r>
              <w:t>.043</w:t>
            </w:r>
            <w:r>
              <w:rPr>
                <w:rFonts w:hint="eastAsia"/>
              </w:rPr>
              <w:t>~</w:t>
            </w:r>
            <w:r>
              <w:t>0.081</w:t>
            </w:r>
          </w:p>
        </w:tc>
        <w:tc>
          <w:tcPr>
            <w:tcW w:w="1410" w:type="dxa"/>
            <w:vAlign w:val="center"/>
          </w:tcPr>
          <w:p w14:paraId="42F88773">
            <w:pPr>
              <w:jc w:val="center"/>
            </w:pPr>
            <w:r>
              <w:t>27</w:t>
            </w:r>
          </w:p>
        </w:tc>
        <w:tc>
          <w:tcPr>
            <w:tcW w:w="952" w:type="dxa"/>
            <w:vAlign w:val="center"/>
          </w:tcPr>
          <w:p w14:paraId="5371294F">
            <w:pPr>
              <w:jc w:val="center"/>
            </w:pPr>
            <w:r>
              <w:t>0%</w:t>
            </w:r>
          </w:p>
        </w:tc>
        <w:tc>
          <w:tcPr>
            <w:tcW w:w="937" w:type="dxa"/>
            <w:vAlign w:val="center"/>
          </w:tcPr>
          <w:p w14:paraId="374A9012">
            <w:pPr>
              <w:jc w:val="center"/>
            </w:pPr>
            <w:r>
              <w:t>达标</w:t>
            </w:r>
          </w:p>
        </w:tc>
      </w:tr>
    </w:tbl>
    <w:p w14:paraId="21ACA636">
      <w:pPr>
        <w:pStyle w:val="1379"/>
        <w:ind w:firstLine="440"/>
      </w:pPr>
    </w:p>
    <w:p w14:paraId="7771187E">
      <w:pPr>
        <w:tabs>
          <w:tab w:val="left" w:pos="5925"/>
        </w:tabs>
        <w:overflowPunct w:val="0"/>
        <w:spacing w:line="460" w:lineRule="atLeast"/>
        <w:ind w:firstLine="520" w:firstLineChars="200"/>
        <w:rPr>
          <w:sz w:val="26"/>
          <w:szCs w:val="26"/>
        </w:rPr>
      </w:pPr>
      <w:r>
        <w:rPr>
          <w:rFonts w:hint="eastAsia"/>
          <w:sz w:val="26"/>
          <w:szCs w:val="26"/>
        </w:rPr>
        <w:t>由上表可知，项目所在区域监测点非甲烷总烃的1小时平均浓度满足《大气污染物综合排放标准详解》，氮氧化物、T</w:t>
      </w:r>
      <w:r>
        <w:rPr>
          <w:sz w:val="26"/>
          <w:szCs w:val="26"/>
        </w:rPr>
        <w:t>SP</w:t>
      </w:r>
      <w:r>
        <w:rPr>
          <w:rFonts w:hint="eastAsia"/>
          <w:sz w:val="26"/>
          <w:szCs w:val="26"/>
        </w:rPr>
        <w:t>满足《环境空气质量标准》（GB3095-20</w:t>
      </w:r>
      <w:r>
        <w:rPr>
          <w:sz w:val="26"/>
          <w:szCs w:val="26"/>
        </w:rPr>
        <w:t>26</w:t>
      </w:r>
      <w:r>
        <w:rPr>
          <w:rFonts w:hint="eastAsia"/>
          <w:sz w:val="26"/>
          <w:szCs w:val="26"/>
        </w:rPr>
        <w:t>）中二级浓度限值，区域环境空气质量较好。</w:t>
      </w:r>
    </w:p>
    <w:p w14:paraId="48C5806D">
      <w:pPr>
        <w:pStyle w:val="1068"/>
        <w:rPr>
          <w:rFonts w:cs="Times New Roman"/>
        </w:rPr>
      </w:pPr>
      <w:bookmarkStart w:id="218" w:name="_Toc165810529"/>
      <w:r>
        <w:rPr>
          <w:rFonts w:cs="Times New Roman"/>
        </w:rPr>
        <w:t>4.2.2 地表水环境现状</w:t>
      </w:r>
      <w:bookmarkEnd w:id="218"/>
    </w:p>
    <w:p w14:paraId="730792A6">
      <w:pPr>
        <w:tabs>
          <w:tab w:val="left" w:pos="5925"/>
        </w:tabs>
        <w:overflowPunct w:val="0"/>
        <w:spacing w:line="460" w:lineRule="atLeast"/>
        <w:ind w:firstLine="520" w:firstLineChars="200"/>
        <w:rPr>
          <w:sz w:val="26"/>
          <w:szCs w:val="26"/>
        </w:rPr>
      </w:pPr>
      <w:r>
        <w:rPr>
          <w:rFonts w:hint="eastAsia"/>
          <w:sz w:val="26"/>
          <w:szCs w:val="26"/>
        </w:rPr>
        <w:t>根据《环境影响评价技术导则 地表水环境》（HJ2.3-2018）中6.6.3.2 规定，优先采用国务院生态环境保护主管部门统一发布的水环境状况信息。</w:t>
      </w:r>
      <w:r>
        <w:rPr>
          <w:sz w:val="26"/>
          <w:szCs w:val="26"/>
        </w:rPr>
        <w:t>根据</w:t>
      </w:r>
      <w:r>
        <w:rPr>
          <w:rFonts w:hint="eastAsia" w:ascii="宋体" w:hAnsi="宋体" w:cs="宋体"/>
          <w:kern w:val="0"/>
          <w:sz w:val="26"/>
          <w:szCs w:val="26"/>
        </w:rPr>
        <w:t>巴中市</w:t>
      </w:r>
      <w:r>
        <w:rPr>
          <w:sz w:val="26"/>
          <w:szCs w:val="26"/>
        </w:rPr>
        <w:t>生态环境局于202</w:t>
      </w:r>
      <w:r>
        <w:rPr>
          <w:rFonts w:hint="eastAsia"/>
          <w:sz w:val="26"/>
          <w:szCs w:val="26"/>
        </w:rPr>
        <w:t>5</w:t>
      </w:r>
      <w:r>
        <w:rPr>
          <w:sz w:val="26"/>
          <w:szCs w:val="26"/>
        </w:rPr>
        <w:t>年</w:t>
      </w:r>
      <w:r>
        <w:rPr>
          <w:rFonts w:hint="eastAsia"/>
          <w:sz w:val="26"/>
          <w:szCs w:val="26"/>
        </w:rPr>
        <w:t>6</w:t>
      </w:r>
      <w:r>
        <w:rPr>
          <w:sz w:val="26"/>
          <w:szCs w:val="26"/>
        </w:rPr>
        <w:t>月发布的《202</w:t>
      </w:r>
      <w:r>
        <w:rPr>
          <w:rFonts w:hint="eastAsia"/>
          <w:sz w:val="26"/>
          <w:szCs w:val="26"/>
        </w:rPr>
        <w:t>4</w:t>
      </w:r>
      <w:r>
        <w:rPr>
          <w:sz w:val="26"/>
          <w:szCs w:val="26"/>
        </w:rPr>
        <w:t>年</w:t>
      </w:r>
      <w:r>
        <w:rPr>
          <w:rFonts w:hint="eastAsia"/>
          <w:sz w:val="26"/>
          <w:szCs w:val="26"/>
        </w:rPr>
        <w:t>巴中</w:t>
      </w:r>
      <w:r>
        <w:rPr>
          <w:sz w:val="26"/>
          <w:szCs w:val="26"/>
        </w:rPr>
        <w:t>市生态环境状况公报》</w:t>
      </w:r>
      <w:r>
        <w:rPr>
          <w:rFonts w:hint="eastAsia"/>
          <w:sz w:val="26"/>
          <w:szCs w:val="26"/>
        </w:rPr>
        <w:t>中地表水水质状况年度对比表，巴河的支流恩阳河雷坡石断面和小元村断面2</w:t>
      </w:r>
      <w:r>
        <w:rPr>
          <w:sz w:val="26"/>
          <w:szCs w:val="26"/>
        </w:rPr>
        <w:t>024</w:t>
      </w:r>
      <w:r>
        <w:rPr>
          <w:rFonts w:hint="eastAsia"/>
          <w:sz w:val="26"/>
          <w:szCs w:val="26"/>
        </w:rPr>
        <w:t>年水质类别为</w:t>
      </w:r>
      <w:r>
        <w:rPr>
          <w:sz w:val="26"/>
          <w:szCs w:val="26"/>
        </w:rPr>
        <w:fldChar w:fldCharType="begin"/>
      </w:r>
      <w:r>
        <w:rPr>
          <w:sz w:val="26"/>
          <w:szCs w:val="26"/>
        </w:rPr>
        <w:instrText xml:space="preserve"> </w:instrText>
      </w:r>
      <w:r>
        <w:rPr>
          <w:rFonts w:hint="eastAsia"/>
          <w:sz w:val="26"/>
          <w:szCs w:val="26"/>
        </w:rPr>
        <w:instrText xml:space="preserve">= 2 \* ROMAN</w:instrText>
      </w:r>
      <w:r>
        <w:rPr>
          <w:sz w:val="26"/>
          <w:szCs w:val="26"/>
        </w:rPr>
        <w:instrText xml:space="preserve"> </w:instrText>
      </w:r>
      <w:r>
        <w:rPr>
          <w:sz w:val="26"/>
          <w:szCs w:val="26"/>
        </w:rPr>
        <w:fldChar w:fldCharType="separate"/>
      </w:r>
      <w:r>
        <w:rPr>
          <w:sz w:val="26"/>
          <w:szCs w:val="26"/>
        </w:rPr>
        <w:t>II</w:t>
      </w:r>
      <w:r>
        <w:rPr>
          <w:sz w:val="26"/>
          <w:szCs w:val="26"/>
        </w:rPr>
        <w:fldChar w:fldCharType="end"/>
      </w:r>
      <w:r>
        <w:rPr>
          <w:rFonts w:hint="eastAsia"/>
          <w:sz w:val="26"/>
          <w:szCs w:val="26"/>
        </w:rPr>
        <w:t>类，频次达标率为1</w:t>
      </w:r>
      <w:r>
        <w:rPr>
          <w:sz w:val="26"/>
          <w:szCs w:val="26"/>
        </w:rPr>
        <w:t>00</w:t>
      </w:r>
      <w:r>
        <w:rPr>
          <w:rFonts w:hint="eastAsia"/>
          <w:sz w:val="26"/>
          <w:szCs w:val="26"/>
        </w:rPr>
        <w:t>%。</w:t>
      </w:r>
    </w:p>
    <w:p w14:paraId="3B488C1F">
      <w:pPr>
        <w:tabs>
          <w:tab w:val="left" w:pos="5925"/>
        </w:tabs>
        <w:overflowPunct w:val="0"/>
        <w:spacing w:line="460" w:lineRule="atLeast"/>
        <w:ind w:firstLine="520" w:firstLineChars="200"/>
        <w:rPr>
          <w:sz w:val="26"/>
          <w:szCs w:val="26"/>
        </w:rPr>
      </w:pPr>
      <w:r>
        <w:rPr>
          <w:rFonts w:hint="eastAsia"/>
          <w:sz w:val="26"/>
          <w:szCs w:val="26"/>
        </w:rPr>
        <w:t>本项目位于恩阳河流域，由此可见，区域地表水环境质量较好。</w:t>
      </w:r>
    </w:p>
    <w:p w14:paraId="69345960">
      <w:pPr>
        <w:spacing w:line="480" w:lineRule="exact"/>
        <w:ind w:firstLine="522" w:firstLineChars="200"/>
        <w:outlineLvl w:val="2"/>
        <w:rPr>
          <w:b/>
          <w:sz w:val="26"/>
          <w:szCs w:val="26"/>
        </w:rPr>
      </w:pPr>
      <w:bookmarkStart w:id="219" w:name="_Toc165810530"/>
      <w:r>
        <w:rPr>
          <w:b/>
          <w:sz w:val="26"/>
          <w:szCs w:val="26"/>
        </w:rPr>
        <w:t>4.2.3 地下水环境质量现状</w:t>
      </w:r>
      <w:bookmarkEnd w:id="219"/>
    </w:p>
    <w:p w14:paraId="1855A918">
      <w:pPr>
        <w:pStyle w:val="1381"/>
        <w:ind w:firstLine="522"/>
        <w:rPr>
          <w:b/>
        </w:rPr>
      </w:pPr>
      <w:r>
        <w:rPr>
          <w:rFonts w:hint="eastAsia"/>
          <w:b/>
        </w:rPr>
        <w:t>4</w:t>
      </w:r>
      <w:r>
        <w:rPr>
          <w:b/>
        </w:rPr>
        <w:t>.2.3.1 地下水位调查结果</w:t>
      </w:r>
    </w:p>
    <w:p w14:paraId="3BF617F9">
      <w:pPr>
        <w:pStyle w:val="1381"/>
        <w:ind w:firstLine="520"/>
      </w:pPr>
      <w:bookmarkStart w:id="220" w:name="_Toc501441672"/>
      <w:r>
        <w:rPr>
          <w:rFonts w:hint="eastAsia"/>
        </w:rPr>
        <w:t>为了查清评价区地下水流向及动态变化特征，本次评价工作于2026年3月在站场周边地区开展了地下水位测量工作，本次地下水位调查点共有13处，监测点个数和监测频率均满足导则要求。通过调查可知，区内地下水揭露点为水井，地下水水位埋深在4.9~14.1m之间，水位在381.88~571.98m之间。</w:t>
      </w:r>
    </w:p>
    <w:p w14:paraId="6B028585">
      <w:pPr>
        <w:pStyle w:val="1379"/>
        <w:ind w:firstLine="440"/>
      </w:pPr>
    </w:p>
    <w:p w14:paraId="5AC925E4">
      <w:pPr>
        <w:pStyle w:val="1065"/>
      </w:pPr>
      <w:r>
        <w:rPr>
          <w:rFonts w:hint="eastAsia"/>
        </w:rPr>
        <w:t>表4.</w:t>
      </w:r>
      <w:r>
        <w:t>2</w:t>
      </w:r>
      <w:r>
        <w:rPr>
          <w:rFonts w:hint="eastAsia"/>
        </w:rPr>
        <w:t>-</w:t>
      </w:r>
      <w:r>
        <w:t>4  地下水位调查监测一览表</w:t>
      </w:r>
    </w:p>
    <w:tbl>
      <w:tblPr>
        <w:tblStyle w:val="88"/>
        <w:tblW w:w="5000" w:type="pct"/>
        <w:jc w:val="center"/>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autofit"/>
        <w:tblCellMar>
          <w:top w:w="0" w:type="dxa"/>
          <w:left w:w="108" w:type="dxa"/>
          <w:bottom w:w="0" w:type="dxa"/>
          <w:right w:w="108" w:type="dxa"/>
        </w:tblCellMar>
      </w:tblPr>
      <w:tblGrid>
        <w:gridCol w:w="740"/>
        <w:gridCol w:w="1237"/>
        <w:gridCol w:w="1299"/>
        <w:gridCol w:w="1176"/>
        <w:gridCol w:w="741"/>
        <w:gridCol w:w="1004"/>
        <w:gridCol w:w="1004"/>
        <w:gridCol w:w="1004"/>
        <w:gridCol w:w="741"/>
      </w:tblGrid>
      <w:tr w14:paraId="4719A1F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71BF8F4A">
            <w:pPr>
              <w:widowControl/>
              <w:adjustRightInd w:val="0"/>
              <w:jc w:val="center"/>
              <w:textAlignment w:val="center"/>
              <w:rPr>
                <w:sz w:val="22"/>
                <w:szCs w:val="22"/>
              </w:rPr>
            </w:pPr>
            <w:r>
              <w:rPr>
                <w:kern w:val="0"/>
                <w:sz w:val="22"/>
                <w:szCs w:val="22"/>
                <w:lang w:bidi="ar"/>
              </w:rPr>
              <w:t>编号</w:t>
            </w:r>
          </w:p>
        </w:tc>
        <w:tc>
          <w:tcPr>
            <w:tcW w:w="692" w:type="pct"/>
            <w:noWrap/>
            <w:vAlign w:val="center"/>
          </w:tcPr>
          <w:p w14:paraId="5CE90690">
            <w:pPr>
              <w:widowControl/>
              <w:adjustRightInd w:val="0"/>
              <w:jc w:val="center"/>
              <w:textAlignment w:val="center"/>
              <w:rPr>
                <w:sz w:val="22"/>
                <w:szCs w:val="22"/>
              </w:rPr>
            </w:pPr>
            <w:r>
              <w:rPr>
                <w:kern w:val="0"/>
                <w:sz w:val="22"/>
                <w:szCs w:val="22"/>
                <w:lang w:bidi="ar"/>
              </w:rPr>
              <w:t>地理位置</w:t>
            </w:r>
          </w:p>
        </w:tc>
        <w:tc>
          <w:tcPr>
            <w:tcW w:w="726" w:type="pct"/>
            <w:noWrap/>
            <w:vAlign w:val="center"/>
          </w:tcPr>
          <w:p w14:paraId="72ADA5BD">
            <w:pPr>
              <w:pStyle w:val="687"/>
              <w:rPr>
                <w:szCs w:val="22"/>
              </w:rPr>
            </w:pPr>
            <w:r>
              <w:rPr>
                <w:rFonts w:hint="eastAsia"/>
              </w:rPr>
              <w:t>横坐标</w:t>
            </w:r>
          </w:p>
        </w:tc>
        <w:tc>
          <w:tcPr>
            <w:tcW w:w="657" w:type="pct"/>
            <w:noWrap/>
            <w:vAlign w:val="center"/>
          </w:tcPr>
          <w:p w14:paraId="0ABC454A">
            <w:pPr>
              <w:pStyle w:val="687"/>
              <w:rPr>
                <w:szCs w:val="22"/>
              </w:rPr>
            </w:pPr>
            <w:r>
              <w:rPr>
                <w:rFonts w:hint="eastAsia"/>
              </w:rPr>
              <w:t>纵坐标</w:t>
            </w:r>
          </w:p>
        </w:tc>
        <w:tc>
          <w:tcPr>
            <w:tcW w:w="414" w:type="pct"/>
            <w:noWrap/>
            <w:vAlign w:val="center"/>
          </w:tcPr>
          <w:p w14:paraId="73BAE4A6">
            <w:pPr>
              <w:widowControl/>
              <w:adjustRightInd w:val="0"/>
              <w:jc w:val="center"/>
              <w:textAlignment w:val="center"/>
              <w:rPr>
                <w:sz w:val="22"/>
                <w:szCs w:val="22"/>
              </w:rPr>
            </w:pPr>
            <w:r>
              <w:rPr>
                <w:kern w:val="0"/>
                <w:sz w:val="22"/>
                <w:szCs w:val="22"/>
                <w:lang w:bidi="ar"/>
              </w:rPr>
              <w:t>类型</w:t>
            </w:r>
          </w:p>
        </w:tc>
        <w:tc>
          <w:tcPr>
            <w:tcW w:w="561" w:type="pct"/>
            <w:noWrap/>
            <w:vAlign w:val="center"/>
          </w:tcPr>
          <w:p w14:paraId="63E29A0E">
            <w:pPr>
              <w:widowControl/>
              <w:adjustRightInd w:val="0"/>
              <w:jc w:val="center"/>
              <w:textAlignment w:val="center"/>
              <w:rPr>
                <w:sz w:val="22"/>
                <w:szCs w:val="22"/>
              </w:rPr>
            </w:pPr>
            <w:r>
              <w:rPr>
                <w:kern w:val="0"/>
                <w:sz w:val="22"/>
                <w:szCs w:val="22"/>
                <w:lang w:bidi="ar"/>
              </w:rPr>
              <w:t>井深</w:t>
            </w:r>
            <w:r>
              <w:rPr>
                <w:sz w:val="22"/>
                <w:szCs w:val="22"/>
                <w:lang w:bidi="ar"/>
              </w:rPr>
              <w:t>/m</w:t>
            </w:r>
          </w:p>
        </w:tc>
        <w:tc>
          <w:tcPr>
            <w:tcW w:w="561" w:type="pct"/>
            <w:noWrap/>
            <w:vAlign w:val="center"/>
          </w:tcPr>
          <w:p w14:paraId="073CFEB4">
            <w:pPr>
              <w:widowControl/>
              <w:adjustRightInd w:val="0"/>
              <w:jc w:val="center"/>
              <w:textAlignment w:val="center"/>
              <w:rPr>
                <w:sz w:val="22"/>
                <w:szCs w:val="22"/>
              </w:rPr>
            </w:pPr>
            <w:r>
              <w:rPr>
                <w:kern w:val="0"/>
                <w:sz w:val="22"/>
                <w:szCs w:val="22"/>
                <w:lang w:bidi="ar"/>
              </w:rPr>
              <w:t>埋深</w:t>
            </w:r>
            <w:r>
              <w:rPr>
                <w:sz w:val="22"/>
                <w:szCs w:val="22"/>
                <w:lang w:bidi="ar"/>
              </w:rPr>
              <w:t>/m</w:t>
            </w:r>
          </w:p>
        </w:tc>
        <w:tc>
          <w:tcPr>
            <w:tcW w:w="561" w:type="pct"/>
            <w:noWrap/>
            <w:vAlign w:val="center"/>
          </w:tcPr>
          <w:p w14:paraId="4A03FD48">
            <w:pPr>
              <w:widowControl/>
              <w:adjustRightInd w:val="0"/>
              <w:jc w:val="center"/>
              <w:textAlignment w:val="center"/>
              <w:rPr>
                <w:sz w:val="22"/>
                <w:szCs w:val="22"/>
              </w:rPr>
            </w:pPr>
            <w:r>
              <w:rPr>
                <w:kern w:val="0"/>
                <w:sz w:val="22"/>
                <w:szCs w:val="22"/>
                <w:lang w:bidi="ar"/>
              </w:rPr>
              <w:t>水位</w:t>
            </w:r>
            <w:r>
              <w:rPr>
                <w:sz w:val="22"/>
                <w:szCs w:val="22"/>
                <w:lang w:bidi="ar"/>
              </w:rPr>
              <w:t>/m</w:t>
            </w:r>
          </w:p>
        </w:tc>
        <w:tc>
          <w:tcPr>
            <w:tcW w:w="414" w:type="pct"/>
            <w:noWrap/>
            <w:vAlign w:val="center"/>
          </w:tcPr>
          <w:p w14:paraId="16188E59">
            <w:pPr>
              <w:widowControl/>
              <w:adjustRightInd w:val="0"/>
              <w:jc w:val="center"/>
              <w:textAlignment w:val="center"/>
              <w:rPr>
                <w:sz w:val="22"/>
                <w:szCs w:val="22"/>
              </w:rPr>
            </w:pPr>
            <w:r>
              <w:rPr>
                <w:kern w:val="0"/>
                <w:sz w:val="22"/>
                <w:szCs w:val="22"/>
                <w:lang w:bidi="ar"/>
              </w:rPr>
              <w:t>层位</w:t>
            </w:r>
          </w:p>
        </w:tc>
      </w:tr>
      <w:tr w14:paraId="259068E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3D67F61F">
            <w:pPr>
              <w:widowControl/>
              <w:jc w:val="center"/>
              <w:textAlignment w:val="center"/>
              <w:rPr>
                <w:sz w:val="22"/>
                <w:szCs w:val="22"/>
              </w:rPr>
            </w:pPr>
            <w:r>
              <w:rPr>
                <w:rFonts w:eastAsia="等线"/>
                <w:kern w:val="0"/>
                <w:sz w:val="22"/>
                <w:szCs w:val="22"/>
                <w:lang w:bidi="ar"/>
              </w:rPr>
              <w:t>D1</w:t>
            </w:r>
          </w:p>
        </w:tc>
        <w:tc>
          <w:tcPr>
            <w:tcW w:w="692" w:type="pct"/>
            <w:noWrap/>
            <w:vAlign w:val="center"/>
          </w:tcPr>
          <w:p w14:paraId="5859D83B">
            <w:pPr>
              <w:widowControl/>
              <w:jc w:val="center"/>
              <w:textAlignment w:val="center"/>
              <w:rPr>
                <w:szCs w:val="22"/>
              </w:rPr>
            </w:pPr>
            <w:r>
              <w:rPr>
                <w:rFonts w:hint="eastAsia" w:ascii="宋体" w:hAnsi="宋体" w:cs="宋体"/>
                <w:kern w:val="0"/>
                <w:sz w:val="22"/>
                <w:szCs w:val="22"/>
                <w:lang w:bidi="ar"/>
              </w:rPr>
              <w:t>金凤村</w:t>
            </w:r>
          </w:p>
        </w:tc>
        <w:tc>
          <w:tcPr>
            <w:tcW w:w="726" w:type="pct"/>
            <w:noWrap/>
            <w:vAlign w:val="center"/>
          </w:tcPr>
          <w:p w14:paraId="09C92887">
            <w:pPr>
              <w:pStyle w:val="687"/>
              <w:rPr>
                <w:szCs w:val="22"/>
              </w:rPr>
            </w:pPr>
            <w:r>
              <w:rPr>
                <w:rFonts w:hint="eastAsia"/>
              </w:rPr>
              <w:t>635534.1</w:t>
            </w:r>
          </w:p>
        </w:tc>
        <w:tc>
          <w:tcPr>
            <w:tcW w:w="657" w:type="pct"/>
            <w:noWrap/>
            <w:vAlign w:val="center"/>
          </w:tcPr>
          <w:p w14:paraId="05247566">
            <w:pPr>
              <w:pStyle w:val="687"/>
              <w:rPr>
                <w:szCs w:val="22"/>
              </w:rPr>
            </w:pPr>
            <w:r>
              <w:rPr>
                <w:rFonts w:hint="eastAsia"/>
              </w:rPr>
              <w:t>3519468.3</w:t>
            </w:r>
          </w:p>
        </w:tc>
        <w:tc>
          <w:tcPr>
            <w:tcW w:w="414" w:type="pct"/>
            <w:noWrap/>
            <w:vAlign w:val="center"/>
          </w:tcPr>
          <w:p w14:paraId="62B87FED">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5B1097F0">
            <w:pPr>
              <w:widowControl/>
              <w:jc w:val="center"/>
              <w:textAlignment w:val="center"/>
              <w:rPr>
                <w:sz w:val="22"/>
                <w:szCs w:val="22"/>
              </w:rPr>
            </w:pPr>
            <w:r>
              <w:rPr>
                <w:rFonts w:hint="eastAsia" w:eastAsia="等线"/>
                <w:kern w:val="0"/>
                <w:sz w:val="22"/>
                <w:szCs w:val="22"/>
                <w:lang w:bidi="ar"/>
              </w:rPr>
              <w:t>30</w:t>
            </w:r>
          </w:p>
        </w:tc>
        <w:tc>
          <w:tcPr>
            <w:tcW w:w="561" w:type="pct"/>
            <w:noWrap/>
            <w:vAlign w:val="center"/>
          </w:tcPr>
          <w:p w14:paraId="26A1C128">
            <w:pPr>
              <w:widowControl/>
              <w:jc w:val="center"/>
              <w:textAlignment w:val="center"/>
              <w:rPr>
                <w:sz w:val="22"/>
                <w:szCs w:val="22"/>
              </w:rPr>
            </w:pPr>
            <w:r>
              <w:rPr>
                <w:rFonts w:eastAsia="等线"/>
                <w:kern w:val="0"/>
                <w:sz w:val="22"/>
                <w:szCs w:val="22"/>
                <w:lang w:bidi="ar"/>
              </w:rPr>
              <w:t>11.8</w:t>
            </w:r>
          </w:p>
        </w:tc>
        <w:tc>
          <w:tcPr>
            <w:tcW w:w="561" w:type="pct"/>
            <w:noWrap/>
            <w:vAlign w:val="bottom"/>
          </w:tcPr>
          <w:p w14:paraId="267BF5BF">
            <w:pPr>
              <w:widowControl/>
              <w:jc w:val="center"/>
              <w:textAlignment w:val="center"/>
              <w:rPr>
                <w:rFonts w:eastAsia="等线"/>
                <w:kern w:val="0"/>
                <w:sz w:val="22"/>
                <w:szCs w:val="22"/>
                <w:lang w:bidi="ar"/>
              </w:rPr>
            </w:pPr>
            <w:r>
              <w:rPr>
                <w:rFonts w:hint="eastAsia" w:eastAsia="等线"/>
                <w:kern w:val="0"/>
                <w:sz w:val="22"/>
                <w:szCs w:val="22"/>
                <w:lang w:bidi="ar"/>
              </w:rPr>
              <w:t>528.46</w:t>
            </w:r>
          </w:p>
        </w:tc>
        <w:tc>
          <w:tcPr>
            <w:tcW w:w="414" w:type="pct"/>
            <w:noWrap/>
            <w:vAlign w:val="center"/>
          </w:tcPr>
          <w:p w14:paraId="7C8F6E89">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r w14:paraId="77AD373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3015CF9F">
            <w:pPr>
              <w:widowControl/>
              <w:jc w:val="center"/>
              <w:textAlignment w:val="center"/>
              <w:rPr>
                <w:sz w:val="22"/>
                <w:szCs w:val="22"/>
              </w:rPr>
            </w:pPr>
            <w:r>
              <w:rPr>
                <w:rFonts w:eastAsia="等线"/>
                <w:kern w:val="0"/>
                <w:sz w:val="22"/>
                <w:szCs w:val="22"/>
                <w:lang w:bidi="ar"/>
              </w:rPr>
              <w:t>D2</w:t>
            </w:r>
          </w:p>
        </w:tc>
        <w:tc>
          <w:tcPr>
            <w:tcW w:w="692" w:type="pct"/>
            <w:noWrap/>
            <w:vAlign w:val="center"/>
          </w:tcPr>
          <w:p w14:paraId="4FCACED8">
            <w:pPr>
              <w:widowControl/>
              <w:jc w:val="center"/>
              <w:textAlignment w:val="center"/>
              <w:rPr>
                <w:szCs w:val="22"/>
              </w:rPr>
            </w:pPr>
            <w:r>
              <w:rPr>
                <w:rFonts w:hint="eastAsia" w:ascii="宋体" w:hAnsi="宋体" w:cs="宋体"/>
                <w:kern w:val="0"/>
                <w:sz w:val="22"/>
                <w:szCs w:val="22"/>
                <w:lang w:bidi="ar"/>
              </w:rPr>
              <w:t>金凤村</w:t>
            </w:r>
          </w:p>
        </w:tc>
        <w:tc>
          <w:tcPr>
            <w:tcW w:w="726" w:type="pct"/>
            <w:noWrap/>
            <w:vAlign w:val="center"/>
          </w:tcPr>
          <w:p w14:paraId="326E0445">
            <w:pPr>
              <w:pStyle w:val="687"/>
              <w:rPr>
                <w:szCs w:val="22"/>
              </w:rPr>
            </w:pPr>
            <w:r>
              <w:rPr>
                <w:rFonts w:hint="eastAsia"/>
              </w:rPr>
              <w:t>635329.7</w:t>
            </w:r>
          </w:p>
        </w:tc>
        <w:tc>
          <w:tcPr>
            <w:tcW w:w="657" w:type="pct"/>
            <w:noWrap/>
            <w:vAlign w:val="center"/>
          </w:tcPr>
          <w:p w14:paraId="41A68FB3">
            <w:pPr>
              <w:pStyle w:val="687"/>
              <w:rPr>
                <w:szCs w:val="22"/>
              </w:rPr>
            </w:pPr>
            <w:r>
              <w:rPr>
                <w:rFonts w:hint="eastAsia"/>
              </w:rPr>
              <w:t>3519669.7</w:t>
            </w:r>
          </w:p>
        </w:tc>
        <w:tc>
          <w:tcPr>
            <w:tcW w:w="414" w:type="pct"/>
            <w:noWrap/>
            <w:vAlign w:val="center"/>
          </w:tcPr>
          <w:p w14:paraId="2DE3AE8E">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12AC3FFA">
            <w:pPr>
              <w:widowControl/>
              <w:jc w:val="center"/>
              <w:textAlignment w:val="center"/>
              <w:rPr>
                <w:sz w:val="22"/>
                <w:szCs w:val="22"/>
              </w:rPr>
            </w:pPr>
            <w:r>
              <w:rPr>
                <w:rFonts w:eastAsia="等线"/>
                <w:kern w:val="0"/>
                <w:sz w:val="22"/>
                <w:szCs w:val="22"/>
                <w:lang w:bidi="ar"/>
              </w:rPr>
              <w:t>20</w:t>
            </w:r>
          </w:p>
        </w:tc>
        <w:tc>
          <w:tcPr>
            <w:tcW w:w="561" w:type="pct"/>
            <w:noWrap/>
            <w:vAlign w:val="center"/>
          </w:tcPr>
          <w:p w14:paraId="751F0ABF">
            <w:pPr>
              <w:widowControl/>
              <w:jc w:val="center"/>
              <w:textAlignment w:val="center"/>
              <w:rPr>
                <w:sz w:val="22"/>
                <w:szCs w:val="22"/>
              </w:rPr>
            </w:pPr>
            <w:r>
              <w:rPr>
                <w:rFonts w:eastAsia="等线"/>
                <w:kern w:val="0"/>
                <w:sz w:val="22"/>
                <w:szCs w:val="22"/>
                <w:lang w:bidi="ar"/>
              </w:rPr>
              <w:t>10.5</w:t>
            </w:r>
          </w:p>
        </w:tc>
        <w:tc>
          <w:tcPr>
            <w:tcW w:w="561" w:type="pct"/>
            <w:noWrap/>
            <w:vAlign w:val="bottom"/>
          </w:tcPr>
          <w:p w14:paraId="42EC32AE">
            <w:pPr>
              <w:widowControl/>
              <w:jc w:val="center"/>
              <w:textAlignment w:val="center"/>
              <w:rPr>
                <w:rFonts w:eastAsia="等线"/>
                <w:kern w:val="0"/>
                <w:sz w:val="22"/>
                <w:szCs w:val="22"/>
                <w:lang w:bidi="ar"/>
              </w:rPr>
            </w:pPr>
            <w:r>
              <w:rPr>
                <w:rFonts w:hint="eastAsia" w:eastAsia="等线"/>
                <w:kern w:val="0"/>
                <w:sz w:val="22"/>
                <w:szCs w:val="22"/>
                <w:lang w:bidi="ar"/>
              </w:rPr>
              <w:t>529.88</w:t>
            </w:r>
          </w:p>
        </w:tc>
        <w:tc>
          <w:tcPr>
            <w:tcW w:w="414" w:type="pct"/>
            <w:noWrap/>
            <w:vAlign w:val="center"/>
          </w:tcPr>
          <w:p w14:paraId="7A610943">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r w14:paraId="2BF2ABC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4B2B2359">
            <w:pPr>
              <w:widowControl/>
              <w:jc w:val="center"/>
              <w:textAlignment w:val="center"/>
              <w:rPr>
                <w:sz w:val="22"/>
                <w:szCs w:val="22"/>
              </w:rPr>
            </w:pPr>
            <w:r>
              <w:rPr>
                <w:rFonts w:eastAsia="等线"/>
                <w:kern w:val="0"/>
                <w:sz w:val="22"/>
                <w:szCs w:val="22"/>
                <w:lang w:bidi="ar"/>
              </w:rPr>
              <w:t>D3</w:t>
            </w:r>
          </w:p>
        </w:tc>
        <w:tc>
          <w:tcPr>
            <w:tcW w:w="692" w:type="pct"/>
            <w:noWrap/>
            <w:vAlign w:val="center"/>
          </w:tcPr>
          <w:p w14:paraId="50F7F15C">
            <w:pPr>
              <w:widowControl/>
              <w:jc w:val="center"/>
              <w:textAlignment w:val="center"/>
              <w:rPr>
                <w:szCs w:val="22"/>
              </w:rPr>
            </w:pPr>
            <w:r>
              <w:rPr>
                <w:rFonts w:hint="eastAsia" w:ascii="宋体" w:hAnsi="宋体" w:cs="宋体"/>
                <w:kern w:val="0"/>
                <w:sz w:val="22"/>
                <w:szCs w:val="22"/>
                <w:lang w:bidi="ar"/>
              </w:rPr>
              <w:t>金凤村</w:t>
            </w:r>
          </w:p>
        </w:tc>
        <w:tc>
          <w:tcPr>
            <w:tcW w:w="726" w:type="pct"/>
            <w:noWrap/>
            <w:vAlign w:val="center"/>
          </w:tcPr>
          <w:p w14:paraId="52F34311">
            <w:pPr>
              <w:pStyle w:val="687"/>
              <w:rPr>
                <w:szCs w:val="22"/>
              </w:rPr>
            </w:pPr>
            <w:r>
              <w:rPr>
                <w:rFonts w:hint="eastAsia"/>
              </w:rPr>
              <w:t>635479.5</w:t>
            </w:r>
          </w:p>
        </w:tc>
        <w:tc>
          <w:tcPr>
            <w:tcW w:w="657" w:type="pct"/>
            <w:noWrap/>
            <w:vAlign w:val="center"/>
          </w:tcPr>
          <w:p w14:paraId="5960CB8D">
            <w:pPr>
              <w:pStyle w:val="687"/>
              <w:rPr>
                <w:szCs w:val="22"/>
              </w:rPr>
            </w:pPr>
            <w:r>
              <w:rPr>
                <w:rFonts w:hint="eastAsia"/>
              </w:rPr>
              <w:t>3519153.7</w:t>
            </w:r>
          </w:p>
        </w:tc>
        <w:tc>
          <w:tcPr>
            <w:tcW w:w="414" w:type="pct"/>
            <w:noWrap/>
            <w:vAlign w:val="center"/>
          </w:tcPr>
          <w:p w14:paraId="716DBB08">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19AD27CE">
            <w:pPr>
              <w:widowControl/>
              <w:jc w:val="center"/>
              <w:textAlignment w:val="center"/>
              <w:rPr>
                <w:sz w:val="22"/>
                <w:szCs w:val="22"/>
              </w:rPr>
            </w:pPr>
            <w:r>
              <w:rPr>
                <w:rFonts w:eastAsia="等线"/>
                <w:kern w:val="0"/>
                <w:sz w:val="22"/>
                <w:szCs w:val="22"/>
                <w:lang w:bidi="ar"/>
              </w:rPr>
              <w:t>2</w:t>
            </w:r>
            <w:r>
              <w:rPr>
                <w:rFonts w:hint="eastAsia" w:eastAsia="等线"/>
                <w:kern w:val="0"/>
                <w:sz w:val="22"/>
                <w:szCs w:val="22"/>
                <w:lang w:bidi="ar"/>
              </w:rPr>
              <w:t>5</w:t>
            </w:r>
          </w:p>
        </w:tc>
        <w:tc>
          <w:tcPr>
            <w:tcW w:w="561" w:type="pct"/>
            <w:noWrap/>
            <w:vAlign w:val="center"/>
          </w:tcPr>
          <w:p w14:paraId="22DCD418">
            <w:pPr>
              <w:widowControl/>
              <w:jc w:val="center"/>
              <w:textAlignment w:val="center"/>
              <w:rPr>
                <w:sz w:val="22"/>
                <w:szCs w:val="22"/>
              </w:rPr>
            </w:pPr>
            <w:r>
              <w:rPr>
                <w:rFonts w:eastAsia="等线"/>
                <w:kern w:val="0"/>
                <w:sz w:val="22"/>
                <w:szCs w:val="22"/>
                <w:lang w:bidi="ar"/>
              </w:rPr>
              <w:t>12.5</w:t>
            </w:r>
          </w:p>
        </w:tc>
        <w:tc>
          <w:tcPr>
            <w:tcW w:w="561" w:type="pct"/>
            <w:noWrap/>
            <w:vAlign w:val="bottom"/>
          </w:tcPr>
          <w:p w14:paraId="0CC1506C">
            <w:pPr>
              <w:widowControl/>
              <w:jc w:val="center"/>
              <w:textAlignment w:val="center"/>
              <w:rPr>
                <w:rFonts w:eastAsia="等线"/>
                <w:kern w:val="0"/>
                <w:sz w:val="22"/>
                <w:szCs w:val="22"/>
                <w:lang w:bidi="ar"/>
              </w:rPr>
            </w:pPr>
            <w:r>
              <w:rPr>
                <w:rFonts w:hint="eastAsia" w:eastAsia="等线"/>
                <w:kern w:val="0"/>
                <w:sz w:val="22"/>
                <w:szCs w:val="22"/>
                <w:lang w:bidi="ar"/>
              </w:rPr>
              <w:t>561.87</w:t>
            </w:r>
          </w:p>
        </w:tc>
        <w:tc>
          <w:tcPr>
            <w:tcW w:w="414" w:type="pct"/>
            <w:noWrap/>
            <w:vAlign w:val="center"/>
          </w:tcPr>
          <w:p w14:paraId="6F36FF72">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r w14:paraId="2F9360F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17B5CD30">
            <w:pPr>
              <w:widowControl/>
              <w:jc w:val="center"/>
              <w:textAlignment w:val="center"/>
              <w:rPr>
                <w:sz w:val="22"/>
                <w:szCs w:val="22"/>
              </w:rPr>
            </w:pPr>
            <w:r>
              <w:rPr>
                <w:rFonts w:eastAsia="等线"/>
                <w:kern w:val="0"/>
                <w:sz w:val="22"/>
                <w:szCs w:val="22"/>
                <w:lang w:bidi="ar"/>
              </w:rPr>
              <w:t>D4</w:t>
            </w:r>
          </w:p>
        </w:tc>
        <w:tc>
          <w:tcPr>
            <w:tcW w:w="692" w:type="pct"/>
            <w:noWrap/>
            <w:vAlign w:val="center"/>
          </w:tcPr>
          <w:p w14:paraId="348D6BA0">
            <w:pPr>
              <w:widowControl/>
              <w:jc w:val="center"/>
              <w:textAlignment w:val="center"/>
              <w:rPr>
                <w:szCs w:val="22"/>
              </w:rPr>
            </w:pPr>
            <w:r>
              <w:rPr>
                <w:rFonts w:hint="eastAsia" w:ascii="宋体" w:hAnsi="宋体" w:cs="宋体"/>
                <w:kern w:val="0"/>
                <w:sz w:val="22"/>
                <w:szCs w:val="22"/>
                <w:lang w:bidi="ar"/>
              </w:rPr>
              <w:t>金凤村</w:t>
            </w:r>
          </w:p>
        </w:tc>
        <w:tc>
          <w:tcPr>
            <w:tcW w:w="726" w:type="pct"/>
            <w:noWrap/>
            <w:vAlign w:val="center"/>
          </w:tcPr>
          <w:p w14:paraId="3066B404">
            <w:pPr>
              <w:pStyle w:val="687"/>
              <w:rPr>
                <w:szCs w:val="22"/>
              </w:rPr>
            </w:pPr>
            <w:r>
              <w:rPr>
                <w:rFonts w:hint="eastAsia"/>
              </w:rPr>
              <w:t>634960.6</w:t>
            </w:r>
          </w:p>
        </w:tc>
        <w:tc>
          <w:tcPr>
            <w:tcW w:w="657" w:type="pct"/>
            <w:noWrap/>
            <w:vAlign w:val="center"/>
          </w:tcPr>
          <w:p w14:paraId="6F14BD97">
            <w:pPr>
              <w:pStyle w:val="687"/>
              <w:rPr>
                <w:szCs w:val="22"/>
              </w:rPr>
            </w:pPr>
            <w:r>
              <w:rPr>
                <w:rFonts w:hint="eastAsia"/>
              </w:rPr>
              <w:t>3519567.3</w:t>
            </w:r>
          </w:p>
        </w:tc>
        <w:tc>
          <w:tcPr>
            <w:tcW w:w="414" w:type="pct"/>
            <w:noWrap/>
            <w:vAlign w:val="center"/>
          </w:tcPr>
          <w:p w14:paraId="09BA3648">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47C11556">
            <w:pPr>
              <w:widowControl/>
              <w:jc w:val="center"/>
              <w:textAlignment w:val="center"/>
              <w:rPr>
                <w:sz w:val="22"/>
                <w:szCs w:val="22"/>
              </w:rPr>
            </w:pPr>
            <w:r>
              <w:rPr>
                <w:rFonts w:eastAsia="等线"/>
                <w:kern w:val="0"/>
                <w:sz w:val="22"/>
                <w:szCs w:val="22"/>
                <w:lang w:bidi="ar"/>
              </w:rPr>
              <w:t>1</w:t>
            </w:r>
            <w:r>
              <w:rPr>
                <w:rFonts w:hint="eastAsia" w:eastAsia="等线"/>
                <w:kern w:val="0"/>
                <w:sz w:val="22"/>
                <w:szCs w:val="22"/>
                <w:lang w:bidi="ar"/>
              </w:rPr>
              <w:t>5</w:t>
            </w:r>
          </w:p>
        </w:tc>
        <w:tc>
          <w:tcPr>
            <w:tcW w:w="561" w:type="pct"/>
            <w:noWrap/>
            <w:vAlign w:val="center"/>
          </w:tcPr>
          <w:p w14:paraId="555C7263">
            <w:pPr>
              <w:widowControl/>
              <w:jc w:val="center"/>
              <w:textAlignment w:val="center"/>
              <w:rPr>
                <w:sz w:val="22"/>
                <w:szCs w:val="22"/>
              </w:rPr>
            </w:pPr>
            <w:r>
              <w:rPr>
                <w:rFonts w:eastAsia="等线"/>
                <w:kern w:val="0"/>
                <w:sz w:val="22"/>
                <w:szCs w:val="22"/>
                <w:lang w:bidi="ar"/>
              </w:rPr>
              <w:t>5.5</w:t>
            </w:r>
          </w:p>
        </w:tc>
        <w:tc>
          <w:tcPr>
            <w:tcW w:w="561" w:type="pct"/>
            <w:noWrap/>
            <w:vAlign w:val="bottom"/>
          </w:tcPr>
          <w:p w14:paraId="569D1A41">
            <w:pPr>
              <w:widowControl/>
              <w:jc w:val="center"/>
              <w:textAlignment w:val="center"/>
              <w:rPr>
                <w:rFonts w:eastAsia="等线"/>
                <w:kern w:val="0"/>
                <w:sz w:val="22"/>
                <w:szCs w:val="22"/>
                <w:lang w:bidi="ar"/>
              </w:rPr>
            </w:pPr>
            <w:r>
              <w:rPr>
                <w:rFonts w:hint="eastAsia" w:eastAsia="等线"/>
                <w:kern w:val="0"/>
                <w:sz w:val="22"/>
                <w:szCs w:val="22"/>
                <w:lang w:bidi="ar"/>
              </w:rPr>
              <w:t>381.88</w:t>
            </w:r>
          </w:p>
        </w:tc>
        <w:tc>
          <w:tcPr>
            <w:tcW w:w="414" w:type="pct"/>
            <w:noWrap/>
            <w:vAlign w:val="center"/>
          </w:tcPr>
          <w:p w14:paraId="640504BB">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r w14:paraId="2A1F76ED">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43FB8DD7">
            <w:pPr>
              <w:widowControl/>
              <w:jc w:val="center"/>
              <w:textAlignment w:val="center"/>
              <w:rPr>
                <w:sz w:val="22"/>
                <w:szCs w:val="22"/>
              </w:rPr>
            </w:pPr>
            <w:r>
              <w:rPr>
                <w:rFonts w:eastAsia="等线"/>
                <w:kern w:val="0"/>
                <w:sz w:val="22"/>
                <w:szCs w:val="22"/>
                <w:lang w:bidi="ar"/>
              </w:rPr>
              <w:t>D5</w:t>
            </w:r>
          </w:p>
        </w:tc>
        <w:tc>
          <w:tcPr>
            <w:tcW w:w="692" w:type="pct"/>
            <w:noWrap/>
            <w:vAlign w:val="center"/>
          </w:tcPr>
          <w:p w14:paraId="247D4E18">
            <w:pPr>
              <w:widowControl/>
              <w:jc w:val="center"/>
              <w:textAlignment w:val="center"/>
              <w:rPr>
                <w:szCs w:val="22"/>
              </w:rPr>
            </w:pPr>
            <w:r>
              <w:rPr>
                <w:rFonts w:hint="eastAsia" w:ascii="宋体" w:hAnsi="宋体" w:cs="宋体"/>
                <w:kern w:val="0"/>
                <w:sz w:val="22"/>
                <w:szCs w:val="22"/>
                <w:lang w:bidi="ar"/>
              </w:rPr>
              <w:t>金凤村</w:t>
            </w:r>
          </w:p>
        </w:tc>
        <w:tc>
          <w:tcPr>
            <w:tcW w:w="726" w:type="pct"/>
            <w:noWrap/>
            <w:vAlign w:val="center"/>
          </w:tcPr>
          <w:p w14:paraId="7629B227">
            <w:pPr>
              <w:pStyle w:val="687"/>
              <w:rPr>
                <w:szCs w:val="22"/>
              </w:rPr>
            </w:pPr>
            <w:r>
              <w:rPr>
                <w:rFonts w:hint="eastAsia"/>
              </w:rPr>
              <w:t>634981.9</w:t>
            </w:r>
          </w:p>
        </w:tc>
        <w:tc>
          <w:tcPr>
            <w:tcW w:w="657" w:type="pct"/>
            <w:noWrap/>
            <w:vAlign w:val="center"/>
          </w:tcPr>
          <w:p w14:paraId="38A46E4A">
            <w:pPr>
              <w:pStyle w:val="687"/>
              <w:rPr>
                <w:szCs w:val="22"/>
              </w:rPr>
            </w:pPr>
            <w:r>
              <w:rPr>
                <w:rFonts w:hint="eastAsia"/>
              </w:rPr>
              <w:t>3519315.8</w:t>
            </w:r>
          </w:p>
        </w:tc>
        <w:tc>
          <w:tcPr>
            <w:tcW w:w="414" w:type="pct"/>
            <w:noWrap/>
            <w:vAlign w:val="center"/>
          </w:tcPr>
          <w:p w14:paraId="1727EAEC">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716C11A2">
            <w:pPr>
              <w:widowControl/>
              <w:jc w:val="center"/>
              <w:textAlignment w:val="center"/>
              <w:rPr>
                <w:sz w:val="22"/>
                <w:szCs w:val="22"/>
              </w:rPr>
            </w:pPr>
            <w:r>
              <w:rPr>
                <w:rFonts w:eastAsia="等线"/>
                <w:kern w:val="0"/>
                <w:sz w:val="22"/>
                <w:szCs w:val="22"/>
                <w:lang w:bidi="ar"/>
              </w:rPr>
              <w:t>8</w:t>
            </w:r>
          </w:p>
        </w:tc>
        <w:tc>
          <w:tcPr>
            <w:tcW w:w="561" w:type="pct"/>
            <w:noWrap/>
            <w:vAlign w:val="center"/>
          </w:tcPr>
          <w:p w14:paraId="59ED7301">
            <w:pPr>
              <w:widowControl/>
              <w:jc w:val="center"/>
              <w:textAlignment w:val="center"/>
              <w:rPr>
                <w:sz w:val="22"/>
                <w:szCs w:val="22"/>
              </w:rPr>
            </w:pPr>
            <w:r>
              <w:rPr>
                <w:rFonts w:eastAsia="等线"/>
                <w:kern w:val="0"/>
                <w:sz w:val="22"/>
                <w:szCs w:val="22"/>
                <w:lang w:bidi="ar"/>
              </w:rPr>
              <w:t>5.8</w:t>
            </w:r>
          </w:p>
        </w:tc>
        <w:tc>
          <w:tcPr>
            <w:tcW w:w="561" w:type="pct"/>
            <w:noWrap/>
            <w:vAlign w:val="bottom"/>
          </w:tcPr>
          <w:p w14:paraId="0561D0A6">
            <w:pPr>
              <w:widowControl/>
              <w:jc w:val="center"/>
              <w:textAlignment w:val="center"/>
              <w:rPr>
                <w:rFonts w:eastAsia="等线"/>
                <w:kern w:val="0"/>
                <w:sz w:val="22"/>
                <w:szCs w:val="22"/>
                <w:lang w:bidi="ar"/>
              </w:rPr>
            </w:pPr>
            <w:r>
              <w:rPr>
                <w:rFonts w:hint="eastAsia" w:eastAsia="等线"/>
                <w:kern w:val="0"/>
                <w:sz w:val="22"/>
                <w:szCs w:val="22"/>
                <w:lang w:bidi="ar"/>
              </w:rPr>
              <w:t>395.95</w:t>
            </w:r>
          </w:p>
        </w:tc>
        <w:tc>
          <w:tcPr>
            <w:tcW w:w="414" w:type="pct"/>
            <w:noWrap/>
            <w:vAlign w:val="center"/>
          </w:tcPr>
          <w:p w14:paraId="148E1745">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r w14:paraId="1EF78B4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1422392B">
            <w:pPr>
              <w:widowControl/>
              <w:jc w:val="center"/>
              <w:textAlignment w:val="center"/>
              <w:rPr>
                <w:sz w:val="22"/>
                <w:szCs w:val="22"/>
              </w:rPr>
            </w:pPr>
            <w:r>
              <w:rPr>
                <w:rFonts w:eastAsia="等线"/>
                <w:kern w:val="0"/>
                <w:sz w:val="22"/>
                <w:szCs w:val="22"/>
                <w:lang w:bidi="ar"/>
              </w:rPr>
              <w:t>D6</w:t>
            </w:r>
          </w:p>
        </w:tc>
        <w:tc>
          <w:tcPr>
            <w:tcW w:w="692" w:type="pct"/>
            <w:noWrap/>
            <w:vAlign w:val="center"/>
          </w:tcPr>
          <w:p w14:paraId="7FF7DCA4">
            <w:pPr>
              <w:widowControl/>
              <w:jc w:val="center"/>
              <w:textAlignment w:val="center"/>
              <w:rPr>
                <w:sz w:val="22"/>
                <w:szCs w:val="22"/>
              </w:rPr>
            </w:pPr>
            <w:r>
              <w:rPr>
                <w:rFonts w:hint="eastAsia" w:ascii="宋体" w:hAnsi="宋体" w:cs="宋体"/>
                <w:kern w:val="0"/>
                <w:sz w:val="22"/>
                <w:szCs w:val="22"/>
                <w:lang w:bidi="ar"/>
              </w:rPr>
              <w:t>金凤村</w:t>
            </w:r>
          </w:p>
        </w:tc>
        <w:tc>
          <w:tcPr>
            <w:tcW w:w="726" w:type="pct"/>
            <w:noWrap/>
            <w:vAlign w:val="center"/>
          </w:tcPr>
          <w:p w14:paraId="62D87E5B">
            <w:pPr>
              <w:pStyle w:val="687"/>
              <w:rPr>
                <w:szCs w:val="22"/>
              </w:rPr>
            </w:pPr>
            <w:r>
              <w:rPr>
                <w:rFonts w:hint="eastAsia"/>
              </w:rPr>
              <w:t>635458.5</w:t>
            </w:r>
          </w:p>
        </w:tc>
        <w:tc>
          <w:tcPr>
            <w:tcW w:w="657" w:type="pct"/>
            <w:noWrap/>
            <w:vAlign w:val="center"/>
          </w:tcPr>
          <w:p w14:paraId="26744FCA">
            <w:pPr>
              <w:pStyle w:val="687"/>
              <w:rPr>
                <w:szCs w:val="22"/>
              </w:rPr>
            </w:pPr>
            <w:r>
              <w:rPr>
                <w:rFonts w:hint="eastAsia"/>
              </w:rPr>
              <w:t>3518875.0</w:t>
            </w:r>
          </w:p>
        </w:tc>
        <w:tc>
          <w:tcPr>
            <w:tcW w:w="414" w:type="pct"/>
            <w:noWrap/>
            <w:vAlign w:val="center"/>
          </w:tcPr>
          <w:p w14:paraId="5725ACFB">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5B6A06A7">
            <w:pPr>
              <w:widowControl/>
              <w:jc w:val="center"/>
              <w:textAlignment w:val="center"/>
              <w:rPr>
                <w:sz w:val="22"/>
                <w:szCs w:val="22"/>
              </w:rPr>
            </w:pPr>
            <w:r>
              <w:rPr>
                <w:rFonts w:eastAsia="等线"/>
                <w:kern w:val="0"/>
                <w:sz w:val="22"/>
                <w:szCs w:val="22"/>
                <w:lang w:bidi="ar"/>
              </w:rPr>
              <w:t>25</w:t>
            </w:r>
          </w:p>
        </w:tc>
        <w:tc>
          <w:tcPr>
            <w:tcW w:w="561" w:type="pct"/>
            <w:noWrap/>
            <w:vAlign w:val="center"/>
          </w:tcPr>
          <w:p w14:paraId="0D8E1CF9">
            <w:pPr>
              <w:widowControl/>
              <w:jc w:val="center"/>
              <w:textAlignment w:val="center"/>
              <w:rPr>
                <w:sz w:val="22"/>
                <w:szCs w:val="22"/>
              </w:rPr>
            </w:pPr>
            <w:r>
              <w:rPr>
                <w:rFonts w:eastAsia="等线"/>
                <w:kern w:val="0"/>
                <w:sz w:val="22"/>
                <w:szCs w:val="22"/>
                <w:lang w:bidi="ar"/>
              </w:rPr>
              <w:t>14.1</w:t>
            </w:r>
          </w:p>
        </w:tc>
        <w:tc>
          <w:tcPr>
            <w:tcW w:w="561" w:type="pct"/>
            <w:noWrap/>
            <w:vAlign w:val="bottom"/>
          </w:tcPr>
          <w:p w14:paraId="1FFA29F1">
            <w:pPr>
              <w:widowControl/>
              <w:jc w:val="center"/>
              <w:textAlignment w:val="center"/>
              <w:rPr>
                <w:rFonts w:eastAsia="等线"/>
                <w:kern w:val="0"/>
                <w:sz w:val="22"/>
                <w:szCs w:val="22"/>
                <w:lang w:bidi="ar"/>
              </w:rPr>
            </w:pPr>
            <w:r>
              <w:rPr>
                <w:rFonts w:hint="eastAsia" w:eastAsia="等线"/>
                <w:kern w:val="0"/>
                <w:sz w:val="22"/>
                <w:szCs w:val="22"/>
                <w:lang w:bidi="ar"/>
              </w:rPr>
              <w:t>571.98</w:t>
            </w:r>
          </w:p>
        </w:tc>
        <w:tc>
          <w:tcPr>
            <w:tcW w:w="414" w:type="pct"/>
            <w:noWrap/>
            <w:vAlign w:val="center"/>
          </w:tcPr>
          <w:p w14:paraId="5B27BFD7">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r w14:paraId="06E5E42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19A6D30D">
            <w:pPr>
              <w:widowControl/>
              <w:jc w:val="center"/>
              <w:textAlignment w:val="center"/>
              <w:rPr>
                <w:sz w:val="22"/>
                <w:szCs w:val="22"/>
              </w:rPr>
            </w:pPr>
            <w:r>
              <w:rPr>
                <w:rFonts w:eastAsia="等线"/>
                <w:kern w:val="0"/>
                <w:sz w:val="22"/>
                <w:szCs w:val="22"/>
                <w:lang w:bidi="ar"/>
              </w:rPr>
              <w:t>D7</w:t>
            </w:r>
          </w:p>
        </w:tc>
        <w:tc>
          <w:tcPr>
            <w:tcW w:w="692" w:type="pct"/>
            <w:noWrap/>
            <w:vAlign w:val="center"/>
          </w:tcPr>
          <w:p w14:paraId="2FFB4C4D">
            <w:pPr>
              <w:widowControl/>
              <w:jc w:val="center"/>
              <w:textAlignment w:val="center"/>
              <w:rPr>
                <w:sz w:val="22"/>
                <w:szCs w:val="22"/>
              </w:rPr>
            </w:pPr>
            <w:r>
              <w:rPr>
                <w:rFonts w:hint="eastAsia" w:ascii="宋体" w:hAnsi="宋体" w:cs="宋体"/>
                <w:kern w:val="0"/>
                <w:sz w:val="22"/>
                <w:szCs w:val="22"/>
                <w:lang w:bidi="ar"/>
              </w:rPr>
              <w:t>金凤村</w:t>
            </w:r>
          </w:p>
        </w:tc>
        <w:tc>
          <w:tcPr>
            <w:tcW w:w="726" w:type="pct"/>
            <w:noWrap/>
            <w:vAlign w:val="center"/>
          </w:tcPr>
          <w:p w14:paraId="56AAF0C0">
            <w:pPr>
              <w:pStyle w:val="687"/>
              <w:rPr>
                <w:szCs w:val="22"/>
              </w:rPr>
            </w:pPr>
            <w:r>
              <w:rPr>
                <w:rFonts w:hint="eastAsia"/>
              </w:rPr>
              <w:t>634988.0</w:t>
            </w:r>
          </w:p>
        </w:tc>
        <w:tc>
          <w:tcPr>
            <w:tcW w:w="657" w:type="pct"/>
            <w:noWrap/>
            <w:vAlign w:val="center"/>
          </w:tcPr>
          <w:p w14:paraId="76E2DA3A">
            <w:pPr>
              <w:pStyle w:val="687"/>
              <w:rPr>
                <w:szCs w:val="22"/>
              </w:rPr>
            </w:pPr>
            <w:r>
              <w:rPr>
                <w:rFonts w:hint="eastAsia"/>
              </w:rPr>
              <w:t>3519931.4</w:t>
            </w:r>
          </w:p>
        </w:tc>
        <w:tc>
          <w:tcPr>
            <w:tcW w:w="414" w:type="pct"/>
            <w:noWrap/>
            <w:vAlign w:val="center"/>
          </w:tcPr>
          <w:p w14:paraId="77DAD329">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20E3C1E9">
            <w:pPr>
              <w:widowControl/>
              <w:jc w:val="center"/>
              <w:textAlignment w:val="center"/>
              <w:rPr>
                <w:sz w:val="22"/>
                <w:szCs w:val="22"/>
              </w:rPr>
            </w:pPr>
            <w:r>
              <w:rPr>
                <w:rFonts w:eastAsia="等线"/>
                <w:kern w:val="0"/>
                <w:sz w:val="22"/>
                <w:szCs w:val="22"/>
                <w:lang w:bidi="ar"/>
              </w:rPr>
              <w:t>15</w:t>
            </w:r>
          </w:p>
        </w:tc>
        <w:tc>
          <w:tcPr>
            <w:tcW w:w="561" w:type="pct"/>
            <w:noWrap/>
            <w:vAlign w:val="center"/>
          </w:tcPr>
          <w:p w14:paraId="5C92BE6A">
            <w:pPr>
              <w:widowControl/>
              <w:jc w:val="center"/>
              <w:textAlignment w:val="center"/>
              <w:rPr>
                <w:sz w:val="22"/>
                <w:szCs w:val="22"/>
              </w:rPr>
            </w:pPr>
            <w:r>
              <w:rPr>
                <w:rFonts w:eastAsia="等线"/>
                <w:kern w:val="0"/>
                <w:sz w:val="22"/>
                <w:szCs w:val="22"/>
                <w:lang w:bidi="ar"/>
              </w:rPr>
              <w:t>5.3</w:t>
            </w:r>
          </w:p>
        </w:tc>
        <w:tc>
          <w:tcPr>
            <w:tcW w:w="561" w:type="pct"/>
            <w:noWrap/>
            <w:vAlign w:val="bottom"/>
          </w:tcPr>
          <w:p w14:paraId="049FE03F">
            <w:pPr>
              <w:widowControl/>
              <w:jc w:val="center"/>
              <w:textAlignment w:val="center"/>
              <w:rPr>
                <w:rFonts w:eastAsia="等线"/>
                <w:kern w:val="0"/>
                <w:sz w:val="22"/>
                <w:szCs w:val="22"/>
                <w:lang w:bidi="ar"/>
              </w:rPr>
            </w:pPr>
            <w:r>
              <w:rPr>
                <w:rFonts w:hint="eastAsia" w:eastAsia="等线"/>
                <w:kern w:val="0"/>
                <w:sz w:val="22"/>
                <w:szCs w:val="22"/>
                <w:lang w:bidi="ar"/>
              </w:rPr>
              <w:t>382.02</w:t>
            </w:r>
          </w:p>
        </w:tc>
        <w:tc>
          <w:tcPr>
            <w:tcW w:w="414" w:type="pct"/>
            <w:noWrap/>
            <w:vAlign w:val="center"/>
          </w:tcPr>
          <w:p w14:paraId="046A8E68">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r w14:paraId="3E6ED17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3C6D903E">
            <w:pPr>
              <w:widowControl/>
              <w:jc w:val="center"/>
              <w:textAlignment w:val="center"/>
              <w:rPr>
                <w:sz w:val="22"/>
                <w:szCs w:val="22"/>
              </w:rPr>
            </w:pPr>
            <w:r>
              <w:rPr>
                <w:rFonts w:eastAsia="等线"/>
                <w:kern w:val="0"/>
                <w:sz w:val="22"/>
                <w:szCs w:val="22"/>
                <w:lang w:bidi="ar"/>
              </w:rPr>
              <w:t>D8</w:t>
            </w:r>
          </w:p>
        </w:tc>
        <w:tc>
          <w:tcPr>
            <w:tcW w:w="692" w:type="pct"/>
            <w:noWrap/>
            <w:vAlign w:val="center"/>
          </w:tcPr>
          <w:p w14:paraId="52437496">
            <w:pPr>
              <w:widowControl/>
              <w:jc w:val="center"/>
              <w:textAlignment w:val="center"/>
              <w:rPr>
                <w:sz w:val="22"/>
                <w:szCs w:val="22"/>
              </w:rPr>
            </w:pPr>
            <w:r>
              <w:rPr>
                <w:rFonts w:hint="eastAsia" w:ascii="宋体" w:hAnsi="宋体" w:cs="宋体"/>
                <w:kern w:val="0"/>
                <w:sz w:val="22"/>
                <w:szCs w:val="22"/>
                <w:lang w:bidi="ar"/>
              </w:rPr>
              <w:t>金凤村</w:t>
            </w:r>
          </w:p>
        </w:tc>
        <w:tc>
          <w:tcPr>
            <w:tcW w:w="726" w:type="pct"/>
            <w:noWrap/>
            <w:vAlign w:val="center"/>
          </w:tcPr>
          <w:p w14:paraId="00DC8513">
            <w:pPr>
              <w:pStyle w:val="687"/>
              <w:rPr>
                <w:szCs w:val="22"/>
              </w:rPr>
            </w:pPr>
            <w:r>
              <w:rPr>
                <w:rFonts w:hint="eastAsia"/>
              </w:rPr>
              <w:t>635110.4</w:t>
            </w:r>
          </w:p>
        </w:tc>
        <w:tc>
          <w:tcPr>
            <w:tcW w:w="657" w:type="pct"/>
            <w:noWrap/>
            <w:vAlign w:val="center"/>
          </w:tcPr>
          <w:p w14:paraId="26E9D091">
            <w:pPr>
              <w:pStyle w:val="687"/>
              <w:rPr>
                <w:szCs w:val="22"/>
              </w:rPr>
            </w:pPr>
            <w:r>
              <w:rPr>
                <w:rFonts w:hint="eastAsia"/>
              </w:rPr>
              <w:t>3520060.6</w:t>
            </w:r>
          </w:p>
        </w:tc>
        <w:tc>
          <w:tcPr>
            <w:tcW w:w="414" w:type="pct"/>
            <w:noWrap/>
            <w:vAlign w:val="center"/>
          </w:tcPr>
          <w:p w14:paraId="72F31A06">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733A4B3B">
            <w:pPr>
              <w:widowControl/>
              <w:jc w:val="center"/>
              <w:textAlignment w:val="center"/>
              <w:rPr>
                <w:sz w:val="22"/>
                <w:szCs w:val="22"/>
              </w:rPr>
            </w:pPr>
            <w:r>
              <w:rPr>
                <w:rFonts w:eastAsia="等线"/>
                <w:kern w:val="0"/>
                <w:sz w:val="22"/>
                <w:szCs w:val="22"/>
                <w:lang w:bidi="ar"/>
              </w:rPr>
              <w:t>10</w:t>
            </w:r>
          </w:p>
        </w:tc>
        <w:tc>
          <w:tcPr>
            <w:tcW w:w="561" w:type="pct"/>
            <w:noWrap/>
            <w:vAlign w:val="center"/>
          </w:tcPr>
          <w:p w14:paraId="1E650003">
            <w:pPr>
              <w:widowControl/>
              <w:jc w:val="center"/>
              <w:textAlignment w:val="center"/>
              <w:rPr>
                <w:sz w:val="22"/>
                <w:szCs w:val="22"/>
              </w:rPr>
            </w:pPr>
            <w:r>
              <w:rPr>
                <w:rFonts w:eastAsia="等线"/>
                <w:kern w:val="0"/>
                <w:sz w:val="22"/>
                <w:szCs w:val="22"/>
                <w:lang w:bidi="ar"/>
              </w:rPr>
              <w:t>5.2</w:t>
            </w:r>
          </w:p>
        </w:tc>
        <w:tc>
          <w:tcPr>
            <w:tcW w:w="561" w:type="pct"/>
            <w:noWrap/>
            <w:vAlign w:val="bottom"/>
          </w:tcPr>
          <w:p w14:paraId="23BE2405">
            <w:pPr>
              <w:widowControl/>
              <w:jc w:val="center"/>
              <w:textAlignment w:val="center"/>
              <w:rPr>
                <w:rFonts w:eastAsia="等线"/>
                <w:kern w:val="0"/>
                <w:sz w:val="22"/>
                <w:szCs w:val="22"/>
                <w:lang w:bidi="ar"/>
              </w:rPr>
            </w:pPr>
            <w:r>
              <w:rPr>
                <w:rFonts w:hint="eastAsia" w:eastAsia="等线"/>
                <w:kern w:val="0"/>
                <w:sz w:val="22"/>
                <w:szCs w:val="22"/>
                <w:lang w:bidi="ar"/>
              </w:rPr>
              <w:t>390.38</w:t>
            </w:r>
          </w:p>
        </w:tc>
        <w:tc>
          <w:tcPr>
            <w:tcW w:w="414" w:type="pct"/>
            <w:noWrap/>
            <w:vAlign w:val="center"/>
          </w:tcPr>
          <w:p w14:paraId="50789EBE">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r w14:paraId="7C6B34C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3C659D8A">
            <w:pPr>
              <w:widowControl/>
              <w:jc w:val="center"/>
              <w:textAlignment w:val="center"/>
              <w:rPr>
                <w:sz w:val="22"/>
                <w:szCs w:val="22"/>
              </w:rPr>
            </w:pPr>
            <w:r>
              <w:rPr>
                <w:rFonts w:eastAsia="等线"/>
                <w:kern w:val="0"/>
                <w:sz w:val="22"/>
                <w:szCs w:val="22"/>
                <w:lang w:bidi="ar"/>
              </w:rPr>
              <w:t>D9</w:t>
            </w:r>
          </w:p>
        </w:tc>
        <w:tc>
          <w:tcPr>
            <w:tcW w:w="692" w:type="pct"/>
            <w:noWrap/>
            <w:vAlign w:val="center"/>
          </w:tcPr>
          <w:p w14:paraId="21598788">
            <w:pPr>
              <w:widowControl/>
              <w:jc w:val="center"/>
              <w:textAlignment w:val="center"/>
              <w:rPr>
                <w:sz w:val="22"/>
                <w:szCs w:val="22"/>
              </w:rPr>
            </w:pPr>
            <w:r>
              <w:rPr>
                <w:rFonts w:hint="eastAsia" w:ascii="宋体" w:hAnsi="宋体" w:cs="宋体"/>
                <w:kern w:val="0"/>
                <w:sz w:val="22"/>
                <w:szCs w:val="22"/>
                <w:lang w:bidi="ar"/>
              </w:rPr>
              <w:t>金凤村</w:t>
            </w:r>
          </w:p>
        </w:tc>
        <w:tc>
          <w:tcPr>
            <w:tcW w:w="726" w:type="pct"/>
            <w:noWrap/>
            <w:vAlign w:val="center"/>
          </w:tcPr>
          <w:p w14:paraId="02B1426E">
            <w:pPr>
              <w:pStyle w:val="687"/>
              <w:rPr>
                <w:szCs w:val="22"/>
              </w:rPr>
            </w:pPr>
            <w:r>
              <w:rPr>
                <w:rFonts w:hint="eastAsia"/>
              </w:rPr>
              <w:t>635143.8</w:t>
            </w:r>
          </w:p>
        </w:tc>
        <w:tc>
          <w:tcPr>
            <w:tcW w:w="657" w:type="pct"/>
            <w:noWrap/>
            <w:vAlign w:val="center"/>
          </w:tcPr>
          <w:p w14:paraId="654E1727">
            <w:pPr>
              <w:pStyle w:val="687"/>
              <w:rPr>
                <w:szCs w:val="22"/>
              </w:rPr>
            </w:pPr>
            <w:r>
              <w:rPr>
                <w:rFonts w:hint="eastAsia"/>
              </w:rPr>
              <w:t>3520262.9</w:t>
            </w:r>
          </w:p>
        </w:tc>
        <w:tc>
          <w:tcPr>
            <w:tcW w:w="414" w:type="pct"/>
            <w:noWrap/>
            <w:vAlign w:val="center"/>
          </w:tcPr>
          <w:p w14:paraId="7FDB1EEA">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143DEF7F">
            <w:pPr>
              <w:widowControl/>
              <w:jc w:val="center"/>
              <w:textAlignment w:val="center"/>
              <w:rPr>
                <w:sz w:val="22"/>
                <w:szCs w:val="22"/>
              </w:rPr>
            </w:pPr>
            <w:r>
              <w:rPr>
                <w:rFonts w:eastAsia="等线"/>
                <w:kern w:val="0"/>
                <w:sz w:val="22"/>
                <w:szCs w:val="22"/>
                <w:lang w:bidi="ar"/>
              </w:rPr>
              <w:t>15</w:t>
            </w:r>
          </w:p>
        </w:tc>
        <w:tc>
          <w:tcPr>
            <w:tcW w:w="561" w:type="pct"/>
            <w:noWrap/>
            <w:vAlign w:val="center"/>
          </w:tcPr>
          <w:p w14:paraId="2719919D">
            <w:pPr>
              <w:widowControl/>
              <w:jc w:val="center"/>
              <w:textAlignment w:val="center"/>
              <w:rPr>
                <w:sz w:val="22"/>
                <w:szCs w:val="22"/>
              </w:rPr>
            </w:pPr>
            <w:r>
              <w:rPr>
                <w:rFonts w:eastAsia="等线"/>
                <w:kern w:val="0"/>
                <w:sz w:val="22"/>
                <w:szCs w:val="22"/>
                <w:lang w:bidi="ar"/>
              </w:rPr>
              <w:t>4.9</w:t>
            </w:r>
          </w:p>
        </w:tc>
        <w:tc>
          <w:tcPr>
            <w:tcW w:w="561" w:type="pct"/>
            <w:noWrap/>
            <w:vAlign w:val="bottom"/>
          </w:tcPr>
          <w:p w14:paraId="1AF3E989">
            <w:pPr>
              <w:widowControl/>
              <w:jc w:val="center"/>
              <w:textAlignment w:val="center"/>
              <w:rPr>
                <w:rFonts w:eastAsia="等线"/>
                <w:kern w:val="0"/>
                <w:sz w:val="22"/>
                <w:szCs w:val="22"/>
                <w:lang w:bidi="ar"/>
              </w:rPr>
            </w:pPr>
            <w:r>
              <w:rPr>
                <w:rFonts w:hint="eastAsia" w:eastAsia="等线"/>
                <w:kern w:val="0"/>
                <w:sz w:val="22"/>
                <w:szCs w:val="22"/>
                <w:lang w:bidi="ar"/>
              </w:rPr>
              <w:t>384.45</w:t>
            </w:r>
          </w:p>
        </w:tc>
        <w:tc>
          <w:tcPr>
            <w:tcW w:w="414" w:type="pct"/>
            <w:noWrap/>
            <w:vAlign w:val="center"/>
          </w:tcPr>
          <w:p w14:paraId="1A52FAC6">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r w14:paraId="3662EBD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37D48EA2">
            <w:pPr>
              <w:widowControl/>
              <w:jc w:val="center"/>
              <w:textAlignment w:val="center"/>
              <w:rPr>
                <w:sz w:val="22"/>
                <w:szCs w:val="22"/>
              </w:rPr>
            </w:pPr>
            <w:r>
              <w:rPr>
                <w:rFonts w:eastAsia="等线"/>
                <w:kern w:val="0"/>
                <w:sz w:val="22"/>
                <w:szCs w:val="22"/>
                <w:lang w:bidi="ar"/>
              </w:rPr>
              <w:t>D10</w:t>
            </w:r>
          </w:p>
        </w:tc>
        <w:tc>
          <w:tcPr>
            <w:tcW w:w="692" w:type="pct"/>
            <w:noWrap/>
            <w:vAlign w:val="center"/>
          </w:tcPr>
          <w:p w14:paraId="7070BCAF">
            <w:pPr>
              <w:widowControl/>
              <w:jc w:val="center"/>
              <w:textAlignment w:val="center"/>
              <w:rPr>
                <w:sz w:val="22"/>
                <w:szCs w:val="22"/>
              </w:rPr>
            </w:pPr>
            <w:r>
              <w:rPr>
                <w:rFonts w:hint="eastAsia" w:ascii="宋体" w:hAnsi="宋体" w:cs="宋体"/>
                <w:kern w:val="0"/>
                <w:sz w:val="22"/>
                <w:szCs w:val="22"/>
                <w:lang w:bidi="ar"/>
              </w:rPr>
              <w:t>金凤村</w:t>
            </w:r>
          </w:p>
        </w:tc>
        <w:tc>
          <w:tcPr>
            <w:tcW w:w="726" w:type="pct"/>
            <w:noWrap/>
            <w:vAlign w:val="center"/>
          </w:tcPr>
          <w:p w14:paraId="30036BA1">
            <w:pPr>
              <w:pStyle w:val="687"/>
              <w:rPr>
                <w:szCs w:val="22"/>
              </w:rPr>
            </w:pPr>
            <w:r>
              <w:rPr>
                <w:rFonts w:hint="eastAsia"/>
              </w:rPr>
              <w:t>635422.8</w:t>
            </w:r>
          </w:p>
        </w:tc>
        <w:tc>
          <w:tcPr>
            <w:tcW w:w="657" w:type="pct"/>
            <w:noWrap/>
            <w:vAlign w:val="center"/>
          </w:tcPr>
          <w:p w14:paraId="0E44C241">
            <w:pPr>
              <w:pStyle w:val="687"/>
              <w:rPr>
                <w:szCs w:val="22"/>
              </w:rPr>
            </w:pPr>
            <w:r>
              <w:rPr>
                <w:rFonts w:hint="eastAsia"/>
              </w:rPr>
              <w:t>3519861.7</w:t>
            </w:r>
          </w:p>
        </w:tc>
        <w:tc>
          <w:tcPr>
            <w:tcW w:w="414" w:type="pct"/>
            <w:noWrap/>
            <w:vAlign w:val="center"/>
          </w:tcPr>
          <w:p w14:paraId="7EDCE504">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7B4ACD80">
            <w:pPr>
              <w:widowControl/>
              <w:jc w:val="center"/>
              <w:textAlignment w:val="center"/>
              <w:rPr>
                <w:sz w:val="22"/>
                <w:szCs w:val="22"/>
              </w:rPr>
            </w:pPr>
            <w:r>
              <w:rPr>
                <w:rFonts w:eastAsia="等线"/>
                <w:kern w:val="0"/>
                <w:sz w:val="22"/>
                <w:szCs w:val="22"/>
                <w:lang w:bidi="ar"/>
              </w:rPr>
              <w:t>20</w:t>
            </w:r>
          </w:p>
        </w:tc>
        <w:tc>
          <w:tcPr>
            <w:tcW w:w="561" w:type="pct"/>
            <w:noWrap/>
            <w:vAlign w:val="center"/>
          </w:tcPr>
          <w:p w14:paraId="7FBA9BDC">
            <w:pPr>
              <w:widowControl/>
              <w:jc w:val="center"/>
              <w:textAlignment w:val="center"/>
              <w:rPr>
                <w:sz w:val="22"/>
                <w:szCs w:val="22"/>
              </w:rPr>
            </w:pPr>
            <w:r>
              <w:rPr>
                <w:rFonts w:eastAsia="等线"/>
                <w:kern w:val="0"/>
                <w:sz w:val="22"/>
                <w:szCs w:val="22"/>
                <w:lang w:bidi="ar"/>
              </w:rPr>
              <w:t>11.2</w:t>
            </w:r>
          </w:p>
        </w:tc>
        <w:tc>
          <w:tcPr>
            <w:tcW w:w="561" w:type="pct"/>
            <w:noWrap/>
            <w:vAlign w:val="bottom"/>
          </w:tcPr>
          <w:p w14:paraId="34FA4A92">
            <w:pPr>
              <w:widowControl/>
              <w:jc w:val="center"/>
              <w:textAlignment w:val="center"/>
              <w:rPr>
                <w:rFonts w:eastAsia="等线"/>
                <w:kern w:val="0"/>
                <w:sz w:val="22"/>
                <w:szCs w:val="22"/>
                <w:lang w:bidi="ar"/>
              </w:rPr>
            </w:pPr>
            <w:r>
              <w:rPr>
                <w:rFonts w:hint="eastAsia" w:eastAsia="等线"/>
                <w:kern w:val="0"/>
                <w:sz w:val="22"/>
                <w:szCs w:val="22"/>
                <w:lang w:bidi="ar"/>
              </w:rPr>
              <w:t>524.49</w:t>
            </w:r>
          </w:p>
        </w:tc>
        <w:tc>
          <w:tcPr>
            <w:tcW w:w="414" w:type="pct"/>
            <w:noWrap/>
            <w:vAlign w:val="center"/>
          </w:tcPr>
          <w:p w14:paraId="010BA26D">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r w14:paraId="6B055B49">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0BFE7273">
            <w:pPr>
              <w:widowControl/>
              <w:jc w:val="center"/>
              <w:textAlignment w:val="center"/>
              <w:rPr>
                <w:sz w:val="22"/>
                <w:szCs w:val="22"/>
              </w:rPr>
            </w:pPr>
            <w:r>
              <w:rPr>
                <w:rFonts w:eastAsia="等线"/>
                <w:kern w:val="0"/>
                <w:sz w:val="22"/>
                <w:szCs w:val="22"/>
                <w:lang w:bidi="ar"/>
              </w:rPr>
              <w:t>D11</w:t>
            </w:r>
          </w:p>
        </w:tc>
        <w:tc>
          <w:tcPr>
            <w:tcW w:w="692" w:type="pct"/>
            <w:noWrap/>
            <w:vAlign w:val="center"/>
          </w:tcPr>
          <w:p w14:paraId="3B794E77">
            <w:pPr>
              <w:widowControl/>
              <w:jc w:val="center"/>
              <w:textAlignment w:val="center"/>
              <w:rPr>
                <w:sz w:val="22"/>
                <w:szCs w:val="22"/>
              </w:rPr>
            </w:pPr>
            <w:r>
              <w:rPr>
                <w:rFonts w:hint="eastAsia" w:ascii="宋体" w:hAnsi="宋体" w:cs="宋体"/>
                <w:kern w:val="0"/>
                <w:sz w:val="22"/>
                <w:szCs w:val="22"/>
                <w:lang w:bidi="ar"/>
              </w:rPr>
              <w:t>金凤村</w:t>
            </w:r>
          </w:p>
        </w:tc>
        <w:tc>
          <w:tcPr>
            <w:tcW w:w="726" w:type="pct"/>
            <w:noWrap/>
            <w:vAlign w:val="center"/>
          </w:tcPr>
          <w:p w14:paraId="37C3F6E9">
            <w:pPr>
              <w:pStyle w:val="687"/>
              <w:rPr>
                <w:szCs w:val="22"/>
              </w:rPr>
            </w:pPr>
            <w:r>
              <w:rPr>
                <w:rFonts w:hint="eastAsia"/>
              </w:rPr>
              <w:t>635083.6</w:t>
            </w:r>
          </w:p>
        </w:tc>
        <w:tc>
          <w:tcPr>
            <w:tcW w:w="657" w:type="pct"/>
            <w:noWrap/>
            <w:vAlign w:val="center"/>
          </w:tcPr>
          <w:p w14:paraId="73E40DA7">
            <w:pPr>
              <w:pStyle w:val="687"/>
              <w:rPr>
                <w:szCs w:val="22"/>
              </w:rPr>
            </w:pPr>
            <w:r>
              <w:rPr>
                <w:rFonts w:hint="eastAsia"/>
              </w:rPr>
              <w:t>3518928.9</w:t>
            </w:r>
          </w:p>
        </w:tc>
        <w:tc>
          <w:tcPr>
            <w:tcW w:w="414" w:type="pct"/>
            <w:noWrap/>
            <w:vAlign w:val="center"/>
          </w:tcPr>
          <w:p w14:paraId="0EECA4AD">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27762EA1">
            <w:pPr>
              <w:widowControl/>
              <w:jc w:val="center"/>
              <w:textAlignment w:val="center"/>
              <w:rPr>
                <w:sz w:val="22"/>
                <w:szCs w:val="22"/>
              </w:rPr>
            </w:pPr>
            <w:r>
              <w:rPr>
                <w:rFonts w:eastAsia="等线"/>
                <w:kern w:val="0"/>
                <w:sz w:val="22"/>
                <w:szCs w:val="22"/>
                <w:lang w:bidi="ar"/>
              </w:rPr>
              <w:t>15</w:t>
            </w:r>
          </w:p>
        </w:tc>
        <w:tc>
          <w:tcPr>
            <w:tcW w:w="561" w:type="pct"/>
            <w:noWrap/>
            <w:vAlign w:val="center"/>
          </w:tcPr>
          <w:p w14:paraId="7BE7AFA6">
            <w:pPr>
              <w:widowControl/>
              <w:jc w:val="center"/>
              <w:textAlignment w:val="center"/>
              <w:rPr>
                <w:sz w:val="22"/>
                <w:szCs w:val="22"/>
              </w:rPr>
            </w:pPr>
            <w:r>
              <w:rPr>
                <w:rFonts w:eastAsia="等线"/>
                <w:kern w:val="0"/>
                <w:sz w:val="22"/>
                <w:szCs w:val="22"/>
                <w:lang w:bidi="ar"/>
              </w:rPr>
              <w:t>6.6</w:t>
            </w:r>
          </w:p>
        </w:tc>
        <w:tc>
          <w:tcPr>
            <w:tcW w:w="561" w:type="pct"/>
            <w:noWrap/>
            <w:vAlign w:val="bottom"/>
          </w:tcPr>
          <w:p w14:paraId="024A795B">
            <w:pPr>
              <w:widowControl/>
              <w:jc w:val="center"/>
              <w:textAlignment w:val="center"/>
              <w:rPr>
                <w:rFonts w:eastAsia="等线"/>
                <w:kern w:val="0"/>
                <w:sz w:val="22"/>
                <w:szCs w:val="22"/>
                <w:lang w:bidi="ar"/>
              </w:rPr>
            </w:pPr>
            <w:r>
              <w:rPr>
                <w:rFonts w:hint="eastAsia" w:eastAsia="等线"/>
                <w:kern w:val="0"/>
                <w:sz w:val="22"/>
                <w:szCs w:val="22"/>
                <w:lang w:bidi="ar"/>
              </w:rPr>
              <w:t>406.36</w:t>
            </w:r>
          </w:p>
        </w:tc>
        <w:tc>
          <w:tcPr>
            <w:tcW w:w="414" w:type="pct"/>
            <w:noWrap/>
            <w:vAlign w:val="center"/>
          </w:tcPr>
          <w:p w14:paraId="7E1E49E2">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r w14:paraId="2871713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478BFDEC">
            <w:pPr>
              <w:widowControl/>
              <w:jc w:val="center"/>
              <w:textAlignment w:val="center"/>
              <w:rPr>
                <w:sz w:val="22"/>
                <w:szCs w:val="22"/>
              </w:rPr>
            </w:pPr>
            <w:r>
              <w:rPr>
                <w:rFonts w:eastAsia="等线"/>
                <w:kern w:val="0"/>
                <w:sz w:val="22"/>
                <w:szCs w:val="22"/>
                <w:lang w:bidi="ar"/>
              </w:rPr>
              <w:t>D12</w:t>
            </w:r>
          </w:p>
        </w:tc>
        <w:tc>
          <w:tcPr>
            <w:tcW w:w="692" w:type="pct"/>
            <w:noWrap/>
            <w:vAlign w:val="center"/>
          </w:tcPr>
          <w:p w14:paraId="6099310E">
            <w:pPr>
              <w:widowControl/>
              <w:jc w:val="center"/>
              <w:textAlignment w:val="center"/>
              <w:rPr>
                <w:sz w:val="22"/>
                <w:szCs w:val="22"/>
              </w:rPr>
            </w:pPr>
            <w:r>
              <w:rPr>
                <w:rFonts w:hint="eastAsia" w:ascii="宋体" w:hAnsi="宋体" w:cs="宋体"/>
                <w:kern w:val="0"/>
                <w:sz w:val="22"/>
                <w:szCs w:val="22"/>
                <w:lang w:bidi="ar"/>
              </w:rPr>
              <w:t>金凤村</w:t>
            </w:r>
          </w:p>
        </w:tc>
        <w:tc>
          <w:tcPr>
            <w:tcW w:w="726" w:type="pct"/>
            <w:noWrap/>
            <w:vAlign w:val="center"/>
          </w:tcPr>
          <w:p w14:paraId="6FFBDC9F">
            <w:pPr>
              <w:pStyle w:val="687"/>
              <w:rPr>
                <w:szCs w:val="22"/>
              </w:rPr>
            </w:pPr>
            <w:r>
              <w:rPr>
                <w:rFonts w:hint="eastAsia"/>
              </w:rPr>
              <w:t>635342.8</w:t>
            </w:r>
          </w:p>
        </w:tc>
        <w:tc>
          <w:tcPr>
            <w:tcW w:w="657" w:type="pct"/>
            <w:noWrap/>
            <w:vAlign w:val="center"/>
          </w:tcPr>
          <w:p w14:paraId="2C4BA73D">
            <w:pPr>
              <w:pStyle w:val="687"/>
              <w:rPr>
                <w:szCs w:val="22"/>
              </w:rPr>
            </w:pPr>
            <w:r>
              <w:rPr>
                <w:rFonts w:hint="eastAsia"/>
              </w:rPr>
              <w:t>3519028.8</w:t>
            </w:r>
          </w:p>
        </w:tc>
        <w:tc>
          <w:tcPr>
            <w:tcW w:w="414" w:type="pct"/>
            <w:noWrap/>
            <w:vAlign w:val="center"/>
          </w:tcPr>
          <w:p w14:paraId="6D5BA327">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6F8F00C2">
            <w:pPr>
              <w:widowControl/>
              <w:jc w:val="center"/>
              <w:textAlignment w:val="center"/>
              <w:rPr>
                <w:sz w:val="22"/>
                <w:szCs w:val="22"/>
              </w:rPr>
            </w:pPr>
            <w:r>
              <w:rPr>
                <w:rFonts w:eastAsia="等线"/>
                <w:kern w:val="0"/>
                <w:sz w:val="22"/>
                <w:szCs w:val="22"/>
                <w:lang w:bidi="ar"/>
              </w:rPr>
              <w:t>25</w:t>
            </w:r>
          </w:p>
        </w:tc>
        <w:tc>
          <w:tcPr>
            <w:tcW w:w="561" w:type="pct"/>
            <w:noWrap/>
            <w:vAlign w:val="center"/>
          </w:tcPr>
          <w:p w14:paraId="5C1CFA67">
            <w:pPr>
              <w:widowControl/>
              <w:jc w:val="center"/>
              <w:textAlignment w:val="center"/>
              <w:rPr>
                <w:sz w:val="22"/>
                <w:szCs w:val="22"/>
              </w:rPr>
            </w:pPr>
            <w:r>
              <w:rPr>
                <w:rFonts w:eastAsia="等线"/>
                <w:kern w:val="0"/>
                <w:sz w:val="22"/>
                <w:szCs w:val="22"/>
                <w:lang w:bidi="ar"/>
              </w:rPr>
              <w:t>12.3</w:t>
            </w:r>
          </w:p>
        </w:tc>
        <w:tc>
          <w:tcPr>
            <w:tcW w:w="561" w:type="pct"/>
            <w:noWrap/>
            <w:vAlign w:val="bottom"/>
          </w:tcPr>
          <w:p w14:paraId="5EBF18DC">
            <w:pPr>
              <w:widowControl/>
              <w:jc w:val="center"/>
              <w:textAlignment w:val="center"/>
              <w:rPr>
                <w:rFonts w:eastAsia="等线"/>
                <w:kern w:val="0"/>
                <w:sz w:val="22"/>
                <w:szCs w:val="22"/>
                <w:lang w:bidi="ar"/>
              </w:rPr>
            </w:pPr>
            <w:r>
              <w:rPr>
                <w:rFonts w:hint="eastAsia" w:eastAsia="等线"/>
                <w:kern w:val="0"/>
                <w:sz w:val="22"/>
                <w:szCs w:val="22"/>
                <w:lang w:bidi="ar"/>
              </w:rPr>
              <w:t>542.06</w:t>
            </w:r>
          </w:p>
        </w:tc>
        <w:tc>
          <w:tcPr>
            <w:tcW w:w="414" w:type="pct"/>
            <w:noWrap/>
            <w:vAlign w:val="center"/>
          </w:tcPr>
          <w:p w14:paraId="642988C9">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r w14:paraId="3A6EA469">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414" w:type="pct"/>
            <w:noWrap/>
            <w:vAlign w:val="center"/>
          </w:tcPr>
          <w:p w14:paraId="23104D67">
            <w:pPr>
              <w:widowControl/>
              <w:jc w:val="center"/>
              <w:textAlignment w:val="center"/>
              <w:rPr>
                <w:sz w:val="22"/>
                <w:szCs w:val="22"/>
              </w:rPr>
            </w:pPr>
            <w:r>
              <w:rPr>
                <w:rFonts w:eastAsia="等线"/>
                <w:kern w:val="0"/>
                <w:sz w:val="22"/>
                <w:szCs w:val="22"/>
                <w:lang w:bidi="ar"/>
              </w:rPr>
              <w:t>D13</w:t>
            </w:r>
          </w:p>
        </w:tc>
        <w:tc>
          <w:tcPr>
            <w:tcW w:w="692" w:type="pct"/>
            <w:noWrap/>
            <w:vAlign w:val="center"/>
          </w:tcPr>
          <w:p w14:paraId="437631C6">
            <w:pPr>
              <w:widowControl/>
              <w:jc w:val="center"/>
              <w:textAlignment w:val="center"/>
              <w:rPr>
                <w:sz w:val="22"/>
                <w:szCs w:val="22"/>
              </w:rPr>
            </w:pPr>
            <w:r>
              <w:rPr>
                <w:rFonts w:hint="eastAsia" w:ascii="宋体" w:hAnsi="宋体" w:cs="宋体"/>
                <w:kern w:val="0"/>
                <w:sz w:val="22"/>
                <w:szCs w:val="22"/>
                <w:lang w:bidi="ar"/>
              </w:rPr>
              <w:t>金凤村</w:t>
            </w:r>
          </w:p>
        </w:tc>
        <w:tc>
          <w:tcPr>
            <w:tcW w:w="726" w:type="pct"/>
            <w:noWrap/>
            <w:vAlign w:val="center"/>
          </w:tcPr>
          <w:p w14:paraId="28604C1A">
            <w:pPr>
              <w:pStyle w:val="687"/>
              <w:rPr>
                <w:szCs w:val="22"/>
              </w:rPr>
            </w:pPr>
            <w:r>
              <w:rPr>
                <w:rFonts w:hint="eastAsia"/>
              </w:rPr>
              <w:t>635081.7</w:t>
            </w:r>
          </w:p>
        </w:tc>
        <w:tc>
          <w:tcPr>
            <w:tcW w:w="657" w:type="pct"/>
            <w:noWrap/>
            <w:vAlign w:val="center"/>
          </w:tcPr>
          <w:p w14:paraId="11544CC0">
            <w:pPr>
              <w:pStyle w:val="687"/>
              <w:rPr>
                <w:szCs w:val="22"/>
              </w:rPr>
            </w:pPr>
            <w:r>
              <w:rPr>
                <w:rFonts w:hint="eastAsia"/>
              </w:rPr>
              <w:t>3519146.3</w:t>
            </w:r>
          </w:p>
        </w:tc>
        <w:tc>
          <w:tcPr>
            <w:tcW w:w="414" w:type="pct"/>
            <w:noWrap/>
            <w:vAlign w:val="center"/>
          </w:tcPr>
          <w:p w14:paraId="6A112A47">
            <w:pPr>
              <w:widowControl/>
              <w:adjustRightInd w:val="0"/>
              <w:jc w:val="center"/>
              <w:textAlignment w:val="center"/>
              <w:rPr>
                <w:sz w:val="22"/>
                <w:szCs w:val="22"/>
              </w:rPr>
            </w:pPr>
            <w:r>
              <w:rPr>
                <w:kern w:val="0"/>
                <w:sz w:val="22"/>
                <w:szCs w:val="22"/>
                <w:lang w:bidi="ar"/>
              </w:rPr>
              <w:t>水井</w:t>
            </w:r>
          </w:p>
        </w:tc>
        <w:tc>
          <w:tcPr>
            <w:tcW w:w="561" w:type="pct"/>
            <w:noWrap/>
            <w:vAlign w:val="center"/>
          </w:tcPr>
          <w:p w14:paraId="2F8FDF67">
            <w:pPr>
              <w:widowControl/>
              <w:jc w:val="center"/>
              <w:textAlignment w:val="center"/>
              <w:rPr>
                <w:sz w:val="22"/>
                <w:szCs w:val="22"/>
              </w:rPr>
            </w:pPr>
            <w:r>
              <w:rPr>
                <w:rFonts w:eastAsia="等线"/>
                <w:kern w:val="0"/>
                <w:sz w:val="22"/>
                <w:szCs w:val="22"/>
                <w:lang w:bidi="ar"/>
              </w:rPr>
              <w:t>13</w:t>
            </w:r>
          </w:p>
        </w:tc>
        <w:tc>
          <w:tcPr>
            <w:tcW w:w="561" w:type="pct"/>
            <w:noWrap/>
            <w:vAlign w:val="center"/>
          </w:tcPr>
          <w:p w14:paraId="3D7A44B1">
            <w:pPr>
              <w:widowControl/>
              <w:jc w:val="center"/>
              <w:textAlignment w:val="center"/>
              <w:rPr>
                <w:sz w:val="22"/>
                <w:szCs w:val="22"/>
              </w:rPr>
            </w:pPr>
            <w:r>
              <w:rPr>
                <w:rFonts w:eastAsia="等线"/>
                <w:kern w:val="0"/>
                <w:sz w:val="22"/>
                <w:szCs w:val="22"/>
                <w:lang w:bidi="ar"/>
              </w:rPr>
              <w:t>5.8</w:t>
            </w:r>
          </w:p>
        </w:tc>
        <w:tc>
          <w:tcPr>
            <w:tcW w:w="561" w:type="pct"/>
            <w:noWrap/>
            <w:vAlign w:val="bottom"/>
          </w:tcPr>
          <w:p w14:paraId="16A9FEB7">
            <w:pPr>
              <w:widowControl/>
              <w:jc w:val="center"/>
              <w:textAlignment w:val="center"/>
              <w:rPr>
                <w:rFonts w:eastAsia="等线"/>
                <w:kern w:val="0"/>
                <w:sz w:val="22"/>
                <w:szCs w:val="22"/>
                <w:lang w:bidi="ar"/>
              </w:rPr>
            </w:pPr>
            <w:r>
              <w:rPr>
                <w:rFonts w:hint="eastAsia" w:eastAsia="等线"/>
                <w:kern w:val="0"/>
                <w:sz w:val="22"/>
                <w:szCs w:val="22"/>
                <w:lang w:bidi="ar"/>
              </w:rPr>
              <w:t>424.14</w:t>
            </w:r>
          </w:p>
        </w:tc>
        <w:tc>
          <w:tcPr>
            <w:tcW w:w="414" w:type="pct"/>
            <w:noWrap/>
            <w:vAlign w:val="center"/>
          </w:tcPr>
          <w:p w14:paraId="129D5FBE">
            <w:pPr>
              <w:widowControl/>
              <w:adjustRightInd w:val="0"/>
              <w:jc w:val="center"/>
              <w:textAlignment w:val="center"/>
              <w:rPr>
                <w:sz w:val="22"/>
                <w:szCs w:val="22"/>
              </w:rPr>
            </w:pPr>
            <w:r>
              <w:rPr>
                <w:kern w:val="0"/>
                <w:sz w:val="22"/>
                <w:szCs w:val="22"/>
                <w:lang w:bidi="ar"/>
              </w:rPr>
              <w:t>K</w:t>
            </w:r>
            <w:r>
              <w:rPr>
                <w:kern w:val="0"/>
                <w:sz w:val="22"/>
                <w:szCs w:val="22"/>
                <w:vertAlign w:val="subscript"/>
                <w:lang w:bidi="ar"/>
              </w:rPr>
              <w:t>1</w:t>
            </w:r>
            <w:r>
              <w:rPr>
                <w:kern w:val="0"/>
                <w:sz w:val="22"/>
                <w:szCs w:val="22"/>
                <w:lang w:bidi="ar"/>
              </w:rPr>
              <w:t>b</w:t>
            </w:r>
          </w:p>
        </w:tc>
      </w:tr>
    </w:tbl>
    <w:p w14:paraId="41A62650">
      <w:pPr>
        <w:pStyle w:val="1379"/>
        <w:ind w:firstLine="440"/>
      </w:pPr>
    </w:p>
    <w:p w14:paraId="65F025FC">
      <w:pPr>
        <w:pStyle w:val="45"/>
        <w:adjustRightInd w:val="0"/>
        <w:snapToGrid w:val="0"/>
        <w:spacing w:line="460" w:lineRule="exact"/>
        <w:ind w:firstLine="522" w:firstLineChars="200"/>
        <w:rPr>
          <w:b/>
          <w:sz w:val="26"/>
          <w:szCs w:val="26"/>
        </w:rPr>
      </w:pPr>
      <w:r>
        <w:rPr>
          <w:rFonts w:hint="eastAsia"/>
          <w:b/>
          <w:sz w:val="26"/>
          <w:szCs w:val="26"/>
        </w:rPr>
        <w:t>4</w:t>
      </w:r>
      <w:r>
        <w:rPr>
          <w:b/>
          <w:sz w:val="26"/>
          <w:szCs w:val="26"/>
        </w:rPr>
        <w:t>.2.3.2 地下水</w:t>
      </w:r>
      <w:r>
        <w:rPr>
          <w:rFonts w:hint="eastAsia"/>
          <w:b/>
          <w:sz w:val="26"/>
          <w:szCs w:val="26"/>
        </w:rPr>
        <w:t>环境质量</w:t>
      </w:r>
      <w:r>
        <w:rPr>
          <w:b/>
          <w:sz w:val="26"/>
          <w:szCs w:val="26"/>
        </w:rPr>
        <w:t>调查</w:t>
      </w:r>
      <w:r>
        <w:rPr>
          <w:rFonts w:hint="eastAsia"/>
          <w:b/>
          <w:sz w:val="26"/>
          <w:szCs w:val="26"/>
        </w:rPr>
        <w:t>与</w:t>
      </w:r>
      <w:r>
        <w:rPr>
          <w:b/>
          <w:sz w:val="26"/>
          <w:szCs w:val="26"/>
        </w:rPr>
        <w:t>评价</w:t>
      </w:r>
    </w:p>
    <w:bookmarkEnd w:id="220"/>
    <w:p w14:paraId="1E2B6A7A">
      <w:pPr>
        <w:pStyle w:val="45"/>
        <w:adjustRightInd w:val="0"/>
        <w:snapToGrid w:val="0"/>
        <w:spacing w:line="460" w:lineRule="exact"/>
        <w:ind w:firstLine="520" w:firstLineChars="200"/>
        <w:rPr>
          <w:sz w:val="26"/>
          <w:szCs w:val="26"/>
        </w:rPr>
      </w:pPr>
      <w:bookmarkStart w:id="221" w:name="_Toc501441671"/>
      <w:r>
        <w:rPr>
          <w:rFonts w:hint="eastAsia"/>
          <w:sz w:val="26"/>
          <w:szCs w:val="26"/>
        </w:rPr>
        <w:t>（1）</w:t>
      </w:r>
      <w:r>
        <w:rPr>
          <w:sz w:val="26"/>
          <w:szCs w:val="26"/>
        </w:rPr>
        <w:t>地下水环境污染</w:t>
      </w:r>
      <w:r>
        <w:rPr>
          <w:rFonts w:hint="eastAsia"/>
          <w:sz w:val="26"/>
          <w:szCs w:val="26"/>
        </w:rPr>
        <w:t>现状</w:t>
      </w:r>
      <w:r>
        <w:rPr>
          <w:sz w:val="26"/>
          <w:szCs w:val="26"/>
        </w:rPr>
        <w:t>调查</w:t>
      </w:r>
      <w:bookmarkEnd w:id="221"/>
    </w:p>
    <w:p w14:paraId="02A09EEB">
      <w:pPr>
        <w:pStyle w:val="45"/>
        <w:adjustRightInd w:val="0"/>
        <w:snapToGrid w:val="0"/>
        <w:spacing w:line="460" w:lineRule="exact"/>
        <w:ind w:firstLine="520" w:firstLineChars="200"/>
        <w:rPr>
          <w:sz w:val="26"/>
          <w:szCs w:val="26"/>
        </w:rPr>
      </w:pPr>
      <w:r>
        <w:rPr>
          <w:rFonts w:hint="eastAsia"/>
          <w:sz w:val="26"/>
          <w:szCs w:val="26"/>
        </w:rPr>
        <w:t>通过环境水文地质调查，评价区内地下水类型主要为白垩系白龙组风化裂隙含水层，居民主要分散开采地下水，开采规模小。同时根据现场调查可知区内地下水开采漏斗、土地次生荒漠化、地面沉降、地裂缝、生沼泽化等环境水文地质问题，本次调查，未见由水、土引发的地方性疾病。根据相关资料及现场调查访问和对评价区水质监测分析，区域地下水基本无污染。</w:t>
      </w:r>
    </w:p>
    <w:p w14:paraId="66FD539E">
      <w:pPr>
        <w:pStyle w:val="45"/>
        <w:adjustRightInd w:val="0"/>
        <w:snapToGrid w:val="0"/>
        <w:spacing w:line="460" w:lineRule="exact"/>
        <w:ind w:firstLine="520" w:firstLineChars="200"/>
        <w:rPr>
          <w:sz w:val="26"/>
          <w:szCs w:val="26"/>
        </w:rPr>
      </w:pPr>
      <w:r>
        <w:rPr>
          <w:rFonts w:hint="eastAsia"/>
          <w:sz w:val="26"/>
          <w:szCs w:val="26"/>
        </w:rPr>
        <w:t>根据本次现场调查，评价区内工业活动少，原有的巴中2</w:t>
      </w:r>
      <w:r>
        <w:rPr>
          <w:sz w:val="26"/>
          <w:szCs w:val="26"/>
        </w:rPr>
        <w:t>HF</w:t>
      </w:r>
      <w:r>
        <w:rPr>
          <w:rFonts w:hint="eastAsia"/>
          <w:sz w:val="26"/>
          <w:szCs w:val="26"/>
        </w:rPr>
        <w:t>和巴页2HF钻探工程已完工并撤场，地下水污染源主要包括周边居民生活污染源和农业污染源。</w:t>
      </w:r>
    </w:p>
    <w:p w14:paraId="1F7DC1B9">
      <w:pPr>
        <w:pStyle w:val="45"/>
        <w:adjustRightInd w:val="0"/>
        <w:snapToGrid w:val="0"/>
        <w:spacing w:line="460" w:lineRule="exact"/>
        <w:ind w:firstLine="520" w:firstLineChars="200"/>
        <w:rPr>
          <w:sz w:val="26"/>
          <w:szCs w:val="26"/>
        </w:rPr>
      </w:pPr>
      <w:r>
        <w:rPr>
          <w:rFonts w:hint="eastAsia"/>
          <w:sz w:val="26"/>
          <w:szCs w:val="26"/>
        </w:rPr>
        <w:t>①生活污染源</w:t>
      </w:r>
    </w:p>
    <w:p w14:paraId="367DA136">
      <w:pPr>
        <w:pStyle w:val="45"/>
        <w:adjustRightInd w:val="0"/>
        <w:snapToGrid w:val="0"/>
        <w:spacing w:line="460" w:lineRule="exact"/>
        <w:ind w:firstLine="520" w:firstLineChars="200"/>
        <w:rPr>
          <w:sz w:val="26"/>
          <w:szCs w:val="26"/>
        </w:rPr>
      </w:pPr>
      <w:r>
        <w:rPr>
          <w:rFonts w:hint="eastAsia"/>
          <w:sz w:val="26"/>
          <w:szCs w:val="26"/>
        </w:rPr>
        <w:t>居民生活所产生的污水，包括日常生活污水，比如农户的厕所等。由于项目区内居民住户比较分散，且生活污水排放量比较小，部分收集用于农业种植，对区域性地下水环境影响不大。但调查发现不少居民生活污水排口或厕所距离居民井距离较近，甚至位于水源补给径流区域，对水质可能产生影响，造成大肠菌群等指标超标。</w:t>
      </w:r>
    </w:p>
    <w:p w14:paraId="0C9E67A4">
      <w:pPr>
        <w:pStyle w:val="45"/>
        <w:adjustRightInd w:val="0"/>
        <w:snapToGrid w:val="0"/>
        <w:spacing w:line="460" w:lineRule="exact"/>
        <w:ind w:firstLine="520" w:firstLineChars="200"/>
        <w:rPr>
          <w:sz w:val="26"/>
          <w:szCs w:val="26"/>
        </w:rPr>
      </w:pPr>
      <w:r>
        <w:rPr>
          <w:rFonts w:hint="eastAsia"/>
          <w:sz w:val="26"/>
          <w:szCs w:val="26"/>
        </w:rPr>
        <w:t>②农业污染源</w:t>
      </w:r>
    </w:p>
    <w:p w14:paraId="33FABBF2">
      <w:pPr>
        <w:pStyle w:val="45"/>
        <w:adjustRightInd w:val="0"/>
        <w:snapToGrid w:val="0"/>
        <w:spacing w:line="460" w:lineRule="exact"/>
        <w:ind w:firstLine="520" w:firstLineChars="200"/>
        <w:rPr>
          <w:sz w:val="26"/>
          <w:szCs w:val="26"/>
        </w:rPr>
      </w:pPr>
      <w:r>
        <w:rPr>
          <w:rFonts w:hint="eastAsia"/>
          <w:sz w:val="26"/>
          <w:szCs w:val="26"/>
        </w:rPr>
        <w:t>主要农业污染源来源于少量的农业生产、畜牧业养殖等，对分散式饮用水水源构成一定的威胁。农业生产过程中农药化肥的使用，形成面源污染。农药、化肥的使用可能对地下水环境造成影响。畜牧养殖产生的废污水主要通过粪池收集，用于农业生产，多形成点源污染使部分地下水中细菌、总大肠菌群超标。</w:t>
      </w:r>
    </w:p>
    <w:p w14:paraId="350903B0">
      <w:pPr>
        <w:pStyle w:val="45"/>
        <w:adjustRightInd w:val="0"/>
        <w:snapToGrid w:val="0"/>
        <w:spacing w:line="460" w:lineRule="exact"/>
        <w:ind w:firstLine="520" w:firstLineChars="200"/>
        <w:rPr>
          <w:sz w:val="26"/>
          <w:szCs w:val="26"/>
        </w:rPr>
      </w:pPr>
      <w:r>
        <w:rPr>
          <w:rFonts w:hint="eastAsia"/>
          <w:sz w:val="26"/>
          <w:szCs w:val="26"/>
        </w:rPr>
        <w:t>（2）</w:t>
      </w:r>
      <w:r>
        <w:rPr>
          <w:sz w:val="26"/>
          <w:szCs w:val="26"/>
        </w:rPr>
        <w:t>包气带污染环境调查情况</w:t>
      </w:r>
    </w:p>
    <w:p w14:paraId="35DF496F">
      <w:pPr>
        <w:pStyle w:val="45"/>
        <w:adjustRightInd w:val="0"/>
        <w:snapToGrid w:val="0"/>
        <w:spacing w:line="460" w:lineRule="exact"/>
        <w:ind w:firstLine="520" w:firstLineChars="200"/>
        <w:rPr>
          <w:sz w:val="26"/>
          <w:szCs w:val="26"/>
        </w:rPr>
      </w:pPr>
      <w:r>
        <w:rPr>
          <w:rFonts w:hint="eastAsia"/>
          <w:sz w:val="26"/>
          <w:szCs w:val="26"/>
        </w:rPr>
        <w:t>为了进一步查明现有的巴中2</w:t>
      </w:r>
      <w:r>
        <w:rPr>
          <w:sz w:val="26"/>
          <w:szCs w:val="26"/>
        </w:rPr>
        <w:t>HF</w:t>
      </w:r>
      <w:r>
        <w:rPr>
          <w:rFonts w:hint="eastAsia"/>
          <w:sz w:val="26"/>
          <w:szCs w:val="26"/>
        </w:rPr>
        <w:t>和巴页2HF钻探工程对周边土壤和地下水的环境影响周状况，本次评价对站场周边的包气带环境质量变化情况进行了监测调查。本次选取</w:t>
      </w:r>
      <w:bookmarkStart w:id="222" w:name="_Hlk164266998"/>
      <w:r>
        <w:rPr>
          <w:rFonts w:hint="eastAsia"/>
          <w:sz w:val="26"/>
          <w:szCs w:val="26"/>
        </w:rPr>
        <w:t>站场</w:t>
      </w:r>
      <w:bookmarkEnd w:id="222"/>
      <w:r>
        <w:rPr>
          <w:rFonts w:hint="eastAsia"/>
          <w:sz w:val="26"/>
          <w:szCs w:val="26"/>
        </w:rPr>
        <w:t>上下游具有代表性的监测点进行了包气带质量现状的监测调查分析，包气带监测因子为</w:t>
      </w:r>
      <w:r>
        <w:rPr>
          <w:rFonts w:ascii="Times New Roman" w:hAnsi="Times New Roman"/>
          <w:bCs/>
          <w:sz w:val="26"/>
          <w:szCs w:val="26"/>
        </w:rPr>
        <w:t>pH、COD、石油类、氨氮、铁、锰、钡、氯化物、硫酸盐、耗氧量、硝酸盐、总硬度、溶解性总固体、硫化物</w:t>
      </w:r>
      <w:r>
        <w:rPr>
          <w:rFonts w:hint="eastAsia" w:ascii="Times New Roman" w:hAnsi="Times New Roman"/>
          <w:bCs/>
          <w:sz w:val="26"/>
          <w:szCs w:val="26"/>
        </w:rPr>
        <w:t>、石油烃(C</w:t>
      </w:r>
      <w:r>
        <w:rPr>
          <w:rFonts w:hint="eastAsia" w:ascii="Times New Roman" w:hAnsi="Times New Roman"/>
          <w:bCs/>
          <w:sz w:val="26"/>
          <w:szCs w:val="26"/>
          <w:vertAlign w:val="subscript"/>
        </w:rPr>
        <w:t>6</w:t>
      </w:r>
      <w:r>
        <w:rPr>
          <w:rFonts w:hint="eastAsia" w:ascii="Times New Roman" w:hAnsi="Times New Roman"/>
          <w:bCs/>
          <w:sz w:val="26"/>
          <w:szCs w:val="26"/>
        </w:rPr>
        <w:t>~C</w:t>
      </w:r>
      <w:r>
        <w:rPr>
          <w:rFonts w:hint="eastAsia" w:ascii="Times New Roman" w:hAnsi="Times New Roman"/>
          <w:bCs/>
          <w:sz w:val="26"/>
          <w:szCs w:val="26"/>
          <w:vertAlign w:val="subscript"/>
        </w:rPr>
        <w:t>9</w:t>
      </w:r>
      <w:r>
        <w:rPr>
          <w:rFonts w:hint="eastAsia" w:ascii="Times New Roman" w:hAnsi="Times New Roman"/>
          <w:bCs/>
          <w:sz w:val="26"/>
          <w:szCs w:val="26"/>
        </w:rPr>
        <w:t>)、石油烃(C</w:t>
      </w:r>
      <w:r>
        <w:rPr>
          <w:rFonts w:hint="eastAsia" w:ascii="Times New Roman" w:hAnsi="Times New Roman"/>
          <w:bCs/>
          <w:sz w:val="26"/>
          <w:szCs w:val="26"/>
          <w:vertAlign w:val="subscript"/>
        </w:rPr>
        <w:t>10</w:t>
      </w:r>
      <w:r>
        <w:rPr>
          <w:rFonts w:hint="eastAsia" w:ascii="Times New Roman" w:hAnsi="Times New Roman"/>
          <w:bCs/>
          <w:sz w:val="26"/>
          <w:szCs w:val="26"/>
        </w:rPr>
        <w:t>~C</w:t>
      </w:r>
      <w:r>
        <w:rPr>
          <w:rFonts w:hint="eastAsia" w:ascii="Times New Roman" w:hAnsi="Times New Roman"/>
          <w:bCs/>
          <w:sz w:val="26"/>
          <w:szCs w:val="26"/>
          <w:vertAlign w:val="subscript"/>
        </w:rPr>
        <w:t>40</w:t>
      </w:r>
      <w:r>
        <w:rPr>
          <w:rFonts w:hint="eastAsia" w:ascii="Times New Roman" w:hAnsi="Times New Roman"/>
          <w:bCs/>
          <w:sz w:val="26"/>
          <w:szCs w:val="26"/>
        </w:rPr>
        <w:t>)、汞、砷、六价铬</w:t>
      </w:r>
      <w:r>
        <w:rPr>
          <w:rFonts w:hint="eastAsia"/>
          <w:sz w:val="26"/>
          <w:szCs w:val="26"/>
        </w:rPr>
        <w:t>。本次监测对包气带深度20cm、20-100cm处取样，监测一次数据。监测点位置及结果见</w:t>
      </w:r>
      <w:r>
        <w:rPr>
          <w:rFonts w:hint="eastAsia"/>
          <w:sz w:val="26"/>
          <w:szCs w:val="26"/>
          <w:u w:val="single"/>
        </w:rPr>
        <w:t>表4.</w:t>
      </w:r>
      <w:r>
        <w:rPr>
          <w:sz w:val="26"/>
          <w:szCs w:val="26"/>
          <w:u w:val="single"/>
        </w:rPr>
        <w:t>2-5</w:t>
      </w:r>
      <w:r>
        <w:rPr>
          <w:rFonts w:hint="eastAsia"/>
          <w:sz w:val="26"/>
          <w:szCs w:val="26"/>
        </w:rPr>
        <w:t>和表</w:t>
      </w:r>
      <w:r>
        <w:rPr>
          <w:rFonts w:hint="eastAsia"/>
          <w:sz w:val="26"/>
          <w:szCs w:val="26"/>
          <w:u w:val="single"/>
        </w:rPr>
        <w:t>4.</w:t>
      </w:r>
      <w:r>
        <w:rPr>
          <w:sz w:val="26"/>
          <w:szCs w:val="26"/>
          <w:u w:val="single"/>
        </w:rPr>
        <w:t>2-6</w:t>
      </w:r>
      <w:r>
        <w:rPr>
          <w:rFonts w:hint="eastAsia"/>
          <w:sz w:val="26"/>
          <w:szCs w:val="26"/>
        </w:rPr>
        <w:t>。</w:t>
      </w:r>
    </w:p>
    <w:p w14:paraId="521100A3">
      <w:pPr>
        <w:pStyle w:val="1379"/>
        <w:ind w:firstLine="440"/>
      </w:pPr>
    </w:p>
    <w:p w14:paraId="71525AD5">
      <w:pPr>
        <w:pStyle w:val="948"/>
        <w:rPr>
          <w:rFonts w:ascii="宋体" w:hAnsi="宋体" w:eastAsia="宋体" w:cs="宋体"/>
        </w:rPr>
      </w:pPr>
      <w:r>
        <w:rPr>
          <w:rFonts w:hint="eastAsia" w:ascii="宋体" w:hAnsi="宋体" w:eastAsia="宋体" w:cs="宋体"/>
        </w:rPr>
        <w:t>表</w:t>
      </w:r>
      <w:r>
        <w:rPr>
          <w:rFonts w:eastAsiaTheme="minorEastAsia"/>
          <w:lang w:val="en-US"/>
        </w:rPr>
        <w:t xml:space="preserve">4.2-5   </w:t>
      </w:r>
      <w:r>
        <w:t xml:space="preserve"> </w:t>
      </w:r>
      <w:r>
        <w:rPr>
          <w:rFonts w:hint="eastAsia" w:ascii="宋体" w:hAnsi="宋体" w:eastAsia="宋体" w:cs="宋体"/>
        </w:rPr>
        <w:t>包气带环境质量现状监测点布置情况</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528"/>
        <w:gridCol w:w="1488"/>
        <w:gridCol w:w="1788"/>
        <w:gridCol w:w="2145"/>
        <w:gridCol w:w="1328"/>
      </w:tblGrid>
      <w:tr w14:paraId="2AC1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74" w:type="pct"/>
            <w:tcBorders>
              <w:top w:val="single" w:color="auto" w:sz="4" w:space="0"/>
              <w:left w:val="single" w:color="auto" w:sz="4" w:space="0"/>
              <w:bottom w:val="single" w:color="auto" w:sz="4" w:space="0"/>
              <w:right w:val="single" w:color="auto" w:sz="4" w:space="0"/>
            </w:tcBorders>
            <w:noWrap/>
            <w:vAlign w:val="center"/>
          </w:tcPr>
          <w:p w14:paraId="7F73939D">
            <w:pPr>
              <w:widowControl/>
              <w:jc w:val="center"/>
              <w:rPr>
                <w:kern w:val="0"/>
                <w:sz w:val="22"/>
                <w:szCs w:val="22"/>
              </w:rPr>
            </w:pPr>
            <w:r>
              <w:rPr>
                <w:rFonts w:hint="eastAsia" w:cs="宋体"/>
                <w:kern w:val="0"/>
                <w:sz w:val="22"/>
                <w:szCs w:val="22"/>
                <w:lang w:bidi="ar"/>
              </w:rPr>
              <w:t>名称</w:t>
            </w:r>
          </w:p>
        </w:tc>
        <w:tc>
          <w:tcPr>
            <w:tcW w:w="853" w:type="pct"/>
            <w:tcBorders>
              <w:top w:val="single" w:color="auto" w:sz="4" w:space="0"/>
              <w:left w:val="single" w:color="auto" w:sz="4" w:space="0"/>
              <w:bottom w:val="single" w:color="auto" w:sz="4" w:space="0"/>
              <w:right w:val="single" w:color="auto" w:sz="4" w:space="0"/>
            </w:tcBorders>
            <w:vAlign w:val="center"/>
          </w:tcPr>
          <w:p w14:paraId="0FF2E027">
            <w:pPr>
              <w:widowControl/>
              <w:jc w:val="center"/>
              <w:rPr>
                <w:kern w:val="0"/>
                <w:sz w:val="22"/>
                <w:szCs w:val="22"/>
              </w:rPr>
            </w:pPr>
            <w:r>
              <w:rPr>
                <w:rFonts w:hint="eastAsia" w:cs="宋体"/>
                <w:sz w:val="22"/>
                <w:szCs w:val="22"/>
                <w:lang w:bidi="ar"/>
              </w:rPr>
              <w:t>经度</w:t>
            </w:r>
          </w:p>
        </w:tc>
        <w:tc>
          <w:tcPr>
            <w:tcW w:w="831" w:type="pct"/>
            <w:tcBorders>
              <w:top w:val="single" w:color="auto" w:sz="4" w:space="0"/>
              <w:left w:val="single" w:color="auto" w:sz="4" w:space="0"/>
              <w:bottom w:val="single" w:color="auto" w:sz="4" w:space="0"/>
              <w:right w:val="single" w:color="auto" w:sz="4" w:space="0"/>
            </w:tcBorders>
            <w:vAlign w:val="center"/>
          </w:tcPr>
          <w:p w14:paraId="738E0438">
            <w:pPr>
              <w:widowControl/>
              <w:jc w:val="center"/>
              <w:rPr>
                <w:kern w:val="0"/>
                <w:sz w:val="22"/>
                <w:szCs w:val="22"/>
              </w:rPr>
            </w:pPr>
            <w:r>
              <w:rPr>
                <w:rFonts w:hint="eastAsia" w:cs="宋体"/>
                <w:sz w:val="22"/>
                <w:szCs w:val="22"/>
                <w:lang w:bidi="ar"/>
              </w:rPr>
              <w:t>纬度</w:t>
            </w:r>
          </w:p>
        </w:tc>
        <w:tc>
          <w:tcPr>
            <w:tcW w:w="999" w:type="pct"/>
            <w:tcBorders>
              <w:top w:val="single" w:color="auto" w:sz="4" w:space="0"/>
              <w:left w:val="single" w:color="auto" w:sz="4" w:space="0"/>
              <w:bottom w:val="single" w:color="auto" w:sz="4" w:space="0"/>
              <w:right w:val="single" w:color="auto" w:sz="4" w:space="0"/>
            </w:tcBorders>
            <w:noWrap/>
            <w:vAlign w:val="center"/>
          </w:tcPr>
          <w:p w14:paraId="2A44C032">
            <w:pPr>
              <w:widowControl/>
              <w:jc w:val="center"/>
              <w:rPr>
                <w:kern w:val="0"/>
                <w:sz w:val="22"/>
                <w:szCs w:val="22"/>
              </w:rPr>
            </w:pPr>
            <w:r>
              <w:rPr>
                <w:rFonts w:hint="eastAsia" w:cs="宋体"/>
                <w:kern w:val="0"/>
                <w:sz w:val="22"/>
                <w:szCs w:val="22"/>
                <w:lang w:bidi="ar"/>
              </w:rPr>
              <w:t>相对位置关系</w:t>
            </w:r>
          </w:p>
        </w:tc>
        <w:tc>
          <w:tcPr>
            <w:tcW w:w="1199" w:type="pct"/>
            <w:tcBorders>
              <w:top w:val="single" w:color="auto" w:sz="4" w:space="0"/>
              <w:left w:val="single" w:color="auto" w:sz="4" w:space="0"/>
              <w:bottom w:val="single" w:color="auto" w:sz="4" w:space="0"/>
              <w:right w:val="single" w:color="auto" w:sz="4" w:space="0"/>
            </w:tcBorders>
            <w:noWrap/>
            <w:vAlign w:val="center"/>
          </w:tcPr>
          <w:p w14:paraId="2A8E0EB7">
            <w:pPr>
              <w:widowControl/>
              <w:jc w:val="center"/>
              <w:rPr>
                <w:kern w:val="0"/>
                <w:sz w:val="22"/>
                <w:szCs w:val="22"/>
              </w:rPr>
            </w:pPr>
            <w:r>
              <w:rPr>
                <w:rFonts w:hint="eastAsia" w:cs="宋体"/>
                <w:kern w:val="0"/>
                <w:sz w:val="22"/>
                <w:szCs w:val="22"/>
                <w:lang w:bidi="ar"/>
              </w:rPr>
              <w:t>取样深度</w:t>
            </w:r>
          </w:p>
        </w:tc>
        <w:tc>
          <w:tcPr>
            <w:tcW w:w="742" w:type="pct"/>
            <w:tcBorders>
              <w:top w:val="single" w:color="auto" w:sz="4" w:space="0"/>
              <w:left w:val="single" w:color="auto" w:sz="4" w:space="0"/>
              <w:bottom w:val="single" w:color="auto" w:sz="4" w:space="0"/>
              <w:right w:val="single" w:color="auto" w:sz="4" w:space="0"/>
            </w:tcBorders>
            <w:noWrap/>
            <w:vAlign w:val="center"/>
          </w:tcPr>
          <w:p w14:paraId="26D74013">
            <w:pPr>
              <w:widowControl/>
              <w:jc w:val="center"/>
              <w:rPr>
                <w:kern w:val="0"/>
                <w:sz w:val="22"/>
                <w:szCs w:val="22"/>
              </w:rPr>
            </w:pPr>
            <w:r>
              <w:rPr>
                <w:rFonts w:hint="eastAsia" w:cs="宋体"/>
                <w:kern w:val="0"/>
                <w:sz w:val="22"/>
                <w:szCs w:val="22"/>
                <w:lang w:bidi="ar"/>
              </w:rPr>
              <w:t>备注</w:t>
            </w:r>
          </w:p>
        </w:tc>
      </w:tr>
      <w:tr w14:paraId="3DB2F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374" w:type="pct"/>
            <w:tcBorders>
              <w:top w:val="single" w:color="auto" w:sz="4" w:space="0"/>
              <w:left w:val="single" w:color="auto" w:sz="4" w:space="0"/>
              <w:bottom w:val="single" w:color="auto" w:sz="4" w:space="0"/>
              <w:right w:val="single" w:color="auto" w:sz="4" w:space="0"/>
            </w:tcBorders>
            <w:noWrap/>
            <w:vAlign w:val="center"/>
          </w:tcPr>
          <w:p w14:paraId="6990A279">
            <w:pPr>
              <w:widowControl/>
              <w:jc w:val="center"/>
              <w:rPr>
                <w:kern w:val="0"/>
                <w:sz w:val="22"/>
                <w:szCs w:val="22"/>
              </w:rPr>
            </w:pPr>
            <w:r>
              <w:rPr>
                <w:kern w:val="0"/>
                <w:sz w:val="22"/>
                <w:szCs w:val="22"/>
                <w:lang w:bidi="ar"/>
              </w:rPr>
              <w:t>B1</w:t>
            </w:r>
          </w:p>
        </w:tc>
        <w:tc>
          <w:tcPr>
            <w:tcW w:w="853" w:type="pct"/>
            <w:tcBorders>
              <w:top w:val="single" w:color="auto" w:sz="4" w:space="0"/>
              <w:left w:val="single" w:color="auto" w:sz="4" w:space="0"/>
              <w:bottom w:val="single" w:color="auto" w:sz="4" w:space="0"/>
              <w:right w:val="single" w:color="auto" w:sz="4" w:space="0"/>
            </w:tcBorders>
            <w:vAlign w:val="center"/>
          </w:tcPr>
          <w:p w14:paraId="6CB5FCC2">
            <w:pPr>
              <w:jc w:val="center"/>
              <w:rPr>
                <w:sz w:val="22"/>
                <w:szCs w:val="22"/>
              </w:rPr>
            </w:pPr>
            <w:r>
              <w:rPr>
                <w:sz w:val="22"/>
                <w:szCs w:val="22"/>
                <w:lang w:bidi="ar"/>
              </w:rPr>
              <w:t>106.4315128</w:t>
            </w:r>
          </w:p>
        </w:tc>
        <w:tc>
          <w:tcPr>
            <w:tcW w:w="831" w:type="pct"/>
            <w:tcBorders>
              <w:top w:val="single" w:color="auto" w:sz="4" w:space="0"/>
              <w:left w:val="single" w:color="auto" w:sz="4" w:space="0"/>
              <w:bottom w:val="single" w:color="auto" w:sz="4" w:space="0"/>
              <w:right w:val="single" w:color="auto" w:sz="4" w:space="0"/>
            </w:tcBorders>
            <w:vAlign w:val="center"/>
          </w:tcPr>
          <w:p w14:paraId="1CAE8189">
            <w:pPr>
              <w:jc w:val="center"/>
              <w:rPr>
                <w:sz w:val="22"/>
                <w:szCs w:val="22"/>
              </w:rPr>
            </w:pPr>
            <w:r>
              <w:rPr>
                <w:sz w:val="22"/>
                <w:szCs w:val="22"/>
                <w:lang w:bidi="ar"/>
              </w:rPr>
              <w:t>31.79094714</w:t>
            </w:r>
          </w:p>
        </w:tc>
        <w:tc>
          <w:tcPr>
            <w:tcW w:w="999" w:type="pct"/>
            <w:tcBorders>
              <w:top w:val="single" w:color="auto" w:sz="4" w:space="0"/>
              <w:left w:val="single" w:color="auto" w:sz="4" w:space="0"/>
              <w:bottom w:val="single" w:color="auto" w:sz="4" w:space="0"/>
              <w:right w:val="single" w:color="auto" w:sz="4" w:space="0"/>
            </w:tcBorders>
            <w:noWrap/>
            <w:vAlign w:val="center"/>
          </w:tcPr>
          <w:p w14:paraId="6DAC1D57">
            <w:pPr>
              <w:jc w:val="center"/>
              <w:rPr>
                <w:sz w:val="22"/>
                <w:szCs w:val="22"/>
              </w:rPr>
            </w:pPr>
            <w:r>
              <w:rPr>
                <w:rFonts w:hint="eastAsia" w:cs="宋体"/>
                <w:bCs/>
                <w:sz w:val="22"/>
                <w:szCs w:val="22"/>
                <w:lang w:bidi="ar"/>
              </w:rPr>
              <w:t>站场</w:t>
            </w:r>
            <w:r>
              <w:rPr>
                <w:rFonts w:hint="eastAsia" w:cs="宋体"/>
                <w:sz w:val="22"/>
                <w:szCs w:val="22"/>
                <w:lang w:bidi="ar"/>
              </w:rPr>
              <w:t>上游</w:t>
            </w:r>
          </w:p>
        </w:tc>
        <w:tc>
          <w:tcPr>
            <w:tcW w:w="1199" w:type="pct"/>
            <w:vMerge w:val="restart"/>
            <w:tcBorders>
              <w:top w:val="single" w:color="auto" w:sz="4" w:space="0"/>
              <w:left w:val="single" w:color="auto" w:sz="4" w:space="0"/>
              <w:bottom w:val="single" w:color="auto" w:sz="4" w:space="0"/>
              <w:right w:val="single" w:color="auto" w:sz="4" w:space="0"/>
            </w:tcBorders>
            <w:noWrap/>
            <w:vAlign w:val="center"/>
          </w:tcPr>
          <w:p w14:paraId="7EEE71C3">
            <w:pPr>
              <w:widowControl/>
              <w:jc w:val="center"/>
              <w:textAlignment w:val="center"/>
              <w:rPr>
                <w:kern w:val="0"/>
                <w:sz w:val="22"/>
                <w:szCs w:val="22"/>
                <w:lang w:bidi="ar"/>
              </w:rPr>
            </w:pPr>
            <w:r>
              <w:rPr>
                <w:rFonts w:hint="eastAsia" w:cs="宋体"/>
                <w:kern w:val="0"/>
                <w:sz w:val="22"/>
                <w:szCs w:val="22"/>
                <w:lang w:bidi="ar"/>
              </w:rPr>
              <w:t>分层取样，地表以下</w:t>
            </w:r>
            <w:r>
              <w:rPr>
                <w:kern w:val="0"/>
                <w:sz w:val="22"/>
                <w:szCs w:val="22"/>
                <w:lang w:bidi="ar"/>
              </w:rPr>
              <w:t>0-20cm</w:t>
            </w:r>
            <w:r>
              <w:rPr>
                <w:rFonts w:hint="eastAsia" w:cs="宋体"/>
                <w:kern w:val="0"/>
                <w:sz w:val="22"/>
                <w:szCs w:val="22"/>
                <w:lang w:bidi="ar"/>
              </w:rPr>
              <w:t>、</w:t>
            </w:r>
            <w:r>
              <w:rPr>
                <w:kern w:val="0"/>
                <w:sz w:val="22"/>
                <w:szCs w:val="22"/>
                <w:lang w:bidi="ar"/>
              </w:rPr>
              <w:t>20-100cm</w:t>
            </w:r>
          </w:p>
        </w:tc>
        <w:tc>
          <w:tcPr>
            <w:tcW w:w="742" w:type="pct"/>
            <w:tcBorders>
              <w:top w:val="single" w:color="auto" w:sz="4" w:space="0"/>
              <w:left w:val="single" w:color="auto" w:sz="4" w:space="0"/>
              <w:bottom w:val="single" w:color="auto" w:sz="4" w:space="0"/>
              <w:right w:val="single" w:color="auto" w:sz="4" w:space="0"/>
            </w:tcBorders>
            <w:noWrap/>
            <w:vAlign w:val="center"/>
          </w:tcPr>
          <w:p w14:paraId="1C8F3A0E">
            <w:pPr>
              <w:widowControl/>
              <w:jc w:val="center"/>
              <w:textAlignment w:val="center"/>
              <w:rPr>
                <w:sz w:val="22"/>
                <w:szCs w:val="22"/>
              </w:rPr>
            </w:pPr>
            <w:r>
              <w:rPr>
                <w:rFonts w:hint="eastAsia" w:cs="宋体"/>
                <w:sz w:val="22"/>
                <w:szCs w:val="22"/>
                <w:lang w:bidi="ar"/>
              </w:rPr>
              <w:t>对照点调查</w:t>
            </w:r>
          </w:p>
        </w:tc>
      </w:tr>
      <w:tr w14:paraId="0712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74" w:type="pct"/>
            <w:tcBorders>
              <w:top w:val="single" w:color="auto" w:sz="4" w:space="0"/>
              <w:left w:val="single" w:color="auto" w:sz="4" w:space="0"/>
              <w:bottom w:val="single" w:color="auto" w:sz="4" w:space="0"/>
              <w:right w:val="single" w:color="auto" w:sz="4" w:space="0"/>
            </w:tcBorders>
            <w:noWrap/>
            <w:vAlign w:val="center"/>
          </w:tcPr>
          <w:p w14:paraId="163E5BE1">
            <w:pPr>
              <w:widowControl/>
              <w:jc w:val="center"/>
              <w:rPr>
                <w:kern w:val="0"/>
                <w:sz w:val="22"/>
                <w:szCs w:val="22"/>
              </w:rPr>
            </w:pPr>
            <w:r>
              <w:rPr>
                <w:kern w:val="0"/>
                <w:sz w:val="22"/>
                <w:szCs w:val="22"/>
                <w:lang w:bidi="ar"/>
              </w:rPr>
              <w:t>B2</w:t>
            </w:r>
          </w:p>
        </w:tc>
        <w:tc>
          <w:tcPr>
            <w:tcW w:w="853" w:type="pct"/>
            <w:tcBorders>
              <w:top w:val="single" w:color="auto" w:sz="4" w:space="0"/>
              <w:left w:val="single" w:color="auto" w:sz="4" w:space="0"/>
              <w:bottom w:val="single" w:color="auto" w:sz="4" w:space="0"/>
              <w:right w:val="single" w:color="auto" w:sz="4" w:space="0"/>
            </w:tcBorders>
            <w:vAlign w:val="center"/>
          </w:tcPr>
          <w:p w14:paraId="71577B43">
            <w:pPr>
              <w:jc w:val="center"/>
              <w:rPr>
                <w:sz w:val="22"/>
                <w:szCs w:val="22"/>
              </w:rPr>
            </w:pPr>
            <w:r>
              <w:rPr>
                <w:sz w:val="22"/>
                <w:szCs w:val="22"/>
                <w:lang w:bidi="ar"/>
              </w:rPr>
              <w:t>106.4287823</w:t>
            </w:r>
          </w:p>
        </w:tc>
        <w:tc>
          <w:tcPr>
            <w:tcW w:w="831" w:type="pct"/>
            <w:tcBorders>
              <w:top w:val="single" w:color="auto" w:sz="4" w:space="0"/>
              <w:left w:val="single" w:color="auto" w:sz="4" w:space="0"/>
              <w:bottom w:val="single" w:color="auto" w:sz="4" w:space="0"/>
              <w:right w:val="single" w:color="auto" w:sz="4" w:space="0"/>
            </w:tcBorders>
            <w:vAlign w:val="center"/>
          </w:tcPr>
          <w:p w14:paraId="44209FD8">
            <w:pPr>
              <w:jc w:val="center"/>
              <w:rPr>
                <w:sz w:val="22"/>
                <w:szCs w:val="22"/>
              </w:rPr>
            </w:pPr>
            <w:r>
              <w:rPr>
                <w:sz w:val="22"/>
                <w:szCs w:val="22"/>
                <w:lang w:bidi="ar"/>
              </w:rPr>
              <w:t>31.79082403</w:t>
            </w:r>
          </w:p>
        </w:tc>
        <w:tc>
          <w:tcPr>
            <w:tcW w:w="999" w:type="pct"/>
            <w:tcBorders>
              <w:top w:val="single" w:color="auto" w:sz="4" w:space="0"/>
              <w:left w:val="single" w:color="auto" w:sz="4" w:space="0"/>
              <w:bottom w:val="single" w:color="auto" w:sz="4" w:space="0"/>
              <w:right w:val="single" w:color="auto" w:sz="4" w:space="0"/>
            </w:tcBorders>
            <w:noWrap/>
            <w:vAlign w:val="center"/>
          </w:tcPr>
          <w:p w14:paraId="32A0E787">
            <w:pPr>
              <w:jc w:val="center"/>
              <w:rPr>
                <w:sz w:val="22"/>
                <w:szCs w:val="22"/>
              </w:rPr>
            </w:pPr>
            <w:r>
              <w:rPr>
                <w:rFonts w:hint="eastAsia" w:cs="宋体"/>
                <w:bCs/>
                <w:sz w:val="22"/>
                <w:szCs w:val="22"/>
                <w:lang w:bidi="ar"/>
              </w:rPr>
              <w:t>站场现有池体附近</w:t>
            </w:r>
          </w:p>
        </w:tc>
        <w:tc>
          <w:tcPr>
            <w:tcW w:w="1199" w:type="pct"/>
            <w:vMerge w:val="continue"/>
            <w:tcBorders>
              <w:top w:val="single" w:color="auto" w:sz="4" w:space="0"/>
              <w:left w:val="single" w:color="auto" w:sz="4" w:space="0"/>
              <w:bottom w:val="single" w:color="auto" w:sz="4" w:space="0"/>
              <w:right w:val="single" w:color="auto" w:sz="4" w:space="0"/>
            </w:tcBorders>
            <w:noWrap/>
            <w:vAlign w:val="center"/>
          </w:tcPr>
          <w:p w14:paraId="61DEF983">
            <w:pPr>
              <w:rPr>
                <w:sz w:val="22"/>
                <w:szCs w:val="20"/>
              </w:rPr>
            </w:pPr>
          </w:p>
        </w:tc>
        <w:tc>
          <w:tcPr>
            <w:tcW w:w="742" w:type="pct"/>
            <w:tcBorders>
              <w:top w:val="single" w:color="auto" w:sz="4" w:space="0"/>
              <w:left w:val="single" w:color="auto" w:sz="4" w:space="0"/>
              <w:bottom w:val="single" w:color="auto" w:sz="4" w:space="0"/>
              <w:right w:val="single" w:color="auto" w:sz="4" w:space="0"/>
            </w:tcBorders>
            <w:noWrap/>
            <w:vAlign w:val="center"/>
          </w:tcPr>
          <w:p w14:paraId="4216FDC4">
            <w:pPr>
              <w:widowControl/>
              <w:jc w:val="center"/>
              <w:textAlignment w:val="center"/>
              <w:rPr>
                <w:sz w:val="22"/>
                <w:szCs w:val="22"/>
              </w:rPr>
            </w:pPr>
            <w:r>
              <w:rPr>
                <w:rFonts w:hint="eastAsia" w:cs="宋体"/>
                <w:kern w:val="0"/>
                <w:sz w:val="22"/>
                <w:szCs w:val="22"/>
                <w:lang w:bidi="ar"/>
              </w:rPr>
              <w:t>污染源调查</w:t>
            </w:r>
          </w:p>
        </w:tc>
      </w:tr>
    </w:tbl>
    <w:p w14:paraId="5E6029C7">
      <w:pPr>
        <w:pStyle w:val="1379"/>
        <w:ind w:firstLine="440"/>
      </w:pPr>
    </w:p>
    <w:p w14:paraId="2A2FA1D8">
      <w:pPr>
        <w:pStyle w:val="45"/>
        <w:adjustRightInd w:val="0"/>
        <w:snapToGrid w:val="0"/>
        <w:spacing w:line="460" w:lineRule="exact"/>
        <w:ind w:firstLine="520" w:firstLineChars="200"/>
        <w:rPr>
          <w:sz w:val="26"/>
          <w:szCs w:val="26"/>
        </w:rPr>
      </w:pPr>
      <w:r>
        <w:rPr>
          <w:rFonts w:hint="eastAsia"/>
          <w:sz w:val="26"/>
          <w:szCs w:val="26"/>
        </w:rPr>
        <w:t>根据目前包气带监测要求和监测数据评价情况，考虑到包气带无环境质量标准可参考，故本次评价将站场上游布设的监测点作为背景值参照点，同时，考虑到本项目所在区域地质条件相近，包气带的理化性质的相近，包气带理化性质差异性小，因此，本次评价将站场侧向背景值监测点和站场监测点监测数据变异性作为本项目包气带环境质量变化判断的依据，为了更好标准各监测因子数据的变异性，本次选择标准差作为判别依据，当标准差较小时，表明站场附近包气带监测结果空间差异性变化小，包气带现状良好，未受到外界开发影响。基于上述评价原则，根据本次评价监测计算结果可知（</w:t>
      </w:r>
      <w:r>
        <w:rPr>
          <w:rFonts w:hint="eastAsia"/>
          <w:sz w:val="26"/>
          <w:szCs w:val="26"/>
          <w:u w:val="single"/>
        </w:rPr>
        <w:t>表4.</w:t>
      </w:r>
      <w:r>
        <w:rPr>
          <w:sz w:val="26"/>
          <w:szCs w:val="26"/>
          <w:u w:val="single"/>
        </w:rPr>
        <w:t>2</w:t>
      </w:r>
      <w:r>
        <w:rPr>
          <w:rFonts w:hint="eastAsia"/>
          <w:sz w:val="26"/>
          <w:szCs w:val="26"/>
          <w:u w:val="single"/>
        </w:rPr>
        <w:t>-</w:t>
      </w:r>
      <w:r>
        <w:rPr>
          <w:sz w:val="26"/>
          <w:szCs w:val="26"/>
          <w:u w:val="single"/>
        </w:rPr>
        <w:t>6</w:t>
      </w:r>
      <w:r>
        <w:rPr>
          <w:rFonts w:hint="eastAsia"/>
          <w:sz w:val="26"/>
          <w:szCs w:val="26"/>
        </w:rPr>
        <w:t>），本次包气带监测点各因子标准差较小，表明本项目原场地包气带现状良好，未出现污染情况。</w:t>
      </w:r>
    </w:p>
    <w:p w14:paraId="00609A30">
      <w:pPr>
        <w:pStyle w:val="1065"/>
      </w:pPr>
      <w:r>
        <w:t>表</w:t>
      </w:r>
      <w:r>
        <w:rPr>
          <w:rFonts w:hint="eastAsia"/>
        </w:rPr>
        <w:t>4.</w:t>
      </w:r>
      <w:r>
        <w:t>2-6   包气带监测与评价结果表</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1846"/>
        <w:gridCol w:w="711"/>
        <w:gridCol w:w="1077"/>
        <w:gridCol w:w="951"/>
        <w:gridCol w:w="853"/>
        <w:gridCol w:w="951"/>
        <w:gridCol w:w="853"/>
        <w:gridCol w:w="853"/>
        <w:gridCol w:w="657"/>
      </w:tblGrid>
      <w:tr w14:paraId="2632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vMerge w:val="restart"/>
            <w:tcBorders>
              <w:tl2br w:val="nil"/>
              <w:tr2bl w:val="nil"/>
            </w:tcBorders>
            <w:vAlign w:val="center"/>
          </w:tcPr>
          <w:p w14:paraId="1507D831">
            <w:pPr>
              <w:pStyle w:val="687"/>
              <w:adjustRightInd w:val="0"/>
              <w:snapToGrid w:val="0"/>
              <w:rPr>
                <w:szCs w:val="22"/>
              </w:rPr>
            </w:pPr>
            <w:r>
              <w:rPr>
                <w:szCs w:val="22"/>
              </w:rPr>
              <w:t>检测项目</w:t>
            </w:r>
          </w:p>
        </w:tc>
        <w:tc>
          <w:tcPr>
            <w:tcW w:w="406" w:type="pct"/>
            <w:vMerge w:val="restart"/>
            <w:tcBorders>
              <w:tl2br w:val="nil"/>
              <w:tr2bl w:val="nil"/>
            </w:tcBorders>
            <w:vAlign w:val="center"/>
          </w:tcPr>
          <w:p w14:paraId="68FD7E7B">
            <w:pPr>
              <w:pStyle w:val="687"/>
              <w:adjustRightInd w:val="0"/>
              <w:snapToGrid w:val="0"/>
              <w:rPr>
                <w:szCs w:val="22"/>
              </w:rPr>
            </w:pPr>
            <w:r>
              <w:rPr>
                <w:szCs w:val="22"/>
              </w:rPr>
              <w:t>单位</w:t>
            </w:r>
          </w:p>
        </w:tc>
        <w:tc>
          <w:tcPr>
            <w:tcW w:w="1158" w:type="pct"/>
            <w:gridSpan w:val="2"/>
            <w:tcBorders>
              <w:tl2br w:val="nil"/>
              <w:tr2bl w:val="nil"/>
            </w:tcBorders>
            <w:vAlign w:val="center"/>
          </w:tcPr>
          <w:p w14:paraId="5FEA231C">
            <w:pPr>
              <w:pStyle w:val="687"/>
              <w:adjustRightInd w:val="0"/>
              <w:snapToGrid w:val="0"/>
              <w:rPr>
                <w:szCs w:val="22"/>
              </w:rPr>
            </w:pPr>
            <w:r>
              <w:rPr>
                <w:szCs w:val="22"/>
              </w:rPr>
              <w:t>B1</w:t>
            </w:r>
          </w:p>
        </w:tc>
        <w:tc>
          <w:tcPr>
            <w:tcW w:w="1030" w:type="pct"/>
            <w:gridSpan w:val="2"/>
            <w:tcBorders>
              <w:tl2br w:val="nil"/>
              <w:tr2bl w:val="nil"/>
            </w:tcBorders>
            <w:noWrap/>
            <w:vAlign w:val="center"/>
          </w:tcPr>
          <w:p w14:paraId="3451C0D7">
            <w:pPr>
              <w:pStyle w:val="687"/>
              <w:adjustRightInd w:val="0"/>
              <w:snapToGrid w:val="0"/>
              <w:rPr>
                <w:szCs w:val="22"/>
              </w:rPr>
            </w:pPr>
            <w:r>
              <w:rPr>
                <w:szCs w:val="22"/>
              </w:rPr>
              <w:t>B2</w:t>
            </w:r>
          </w:p>
        </w:tc>
        <w:tc>
          <w:tcPr>
            <w:tcW w:w="487" w:type="pct"/>
            <w:vMerge w:val="restart"/>
            <w:tcBorders>
              <w:tl2br w:val="nil"/>
              <w:tr2bl w:val="nil"/>
            </w:tcBorders>
            <w:vAlign w:val="center"/>
          </w:tcPr>
          <w:p w14:paraId="3F5FBF83">
            <w:pPr>
              <w:pStyle w:val="687"/>
              <w:adjustRightInd w:val="0"/>
              <w:snapToGrid w:val="0"/>
              <w:rPr>
                <w:szCs w:val="22"/>
              </w:rPr>
            </w:pPr>
            <w:r>
              <w:rPr>
                <w:szCs w:val="22"/>
              </w:rPr>
              <w:t>最大值</w:t>
            </w:r>
          </w:p>
        </w:tc>
        <w:tc>
          <w:tcPr>
            <w:tcW w:w="487" w:type="pct"/>
            <w:vMerge w:val="restart"/>
            <w:tcBorders>
              <w:tl2br w:val="nil"/>
              <w:tr2bl w:val="nil"/>
            </w:tcBorders>
            <w:vAlign w:val="center"/>
          </w:tcPr>
          <w:p w14:paraId="5742E266">
            <w:pPr>
              <w:pStyle w:val="687"/>
              <w:adjustRightInd w:val="0"/>
              <w:snapToGrid w:val="0"/>
              <w:rPr>
                <w:szCs w:val="22"/>
              </w:rPr>
            </w:pPr>
            <w:r>
              <w:rPr>
                <w:szCs w:val="22"/>
              </w:rPr>
              <w:t>最小值</w:t>
            </w:r>
          </w:p>
        </w:tc>
        <w:tc>
          <w:tcPr>
            <w:tcW w:w="375" w:type="pct"/>
            <w:vMerge w:val="restart"/>
            <w:tcBorders>
              <w:tl2br w:val="nil"/>
              <w:tr2bl w:val="nil"/>
            </w:tcBorders>
            <w:vAlign w:val="center"/>
          </w:tcPr>
          <w:p w14:paraId="3BF44CC7">
            <w:pPr>
              <w:pStyle w:val="687"/>
              <w:adjustRightInd w:val="0"/>
              <w:snapToGrid w:val="0"/>
              <w:rPr>
                <w:szCs w:val="22"/>
              </w:rPr>
            </w:pPr>
            <w:r>
              <w:rPr>
                <w:szCs w:val="22"/>
              </w:rPr>
              <w:t>标准差</w:t>
            </w:r>
          </w:p>
        </w:tc>
      </w:tr>
      <w:tr w14:paraId="7E49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vMerge w:val="continue"/>
            <w:tcBorders>
              <w:tl2br w:val="nil"/>
              <w:tr2bl w:val="nil"/>
            </w:tcBorders>
            <w:vAlign w:val="center"/>
          </w:tcPr>
          <w:p w14:paraId="73B81E7E">
            <w:pPr>
              <w:pStyle w:val="687"/>
              <w:adjustRightInd w:val="0"/>
              <w:snapToGrid w:val="0"/>
              <w:rPr>
                <w:szCs w:val="22"/>
              </w:rPr>
            </w:pPr>
          </w:p>
        </w:tc>
        <w:tc>
          <w:tcPr>
            <w:tcW w:w="406" w:type="pct"/>
            <w:vMerge w:val="continue"/>
            <w:tcBorders>
              <w:tl2br w:val="nil"/>
              <w:tr2bl w:val="nil"/>
            </w:tcBorders>
            <w:vAlign w:val="center"/>
          </w:tcPr>
          <w:p w14:paraId="7976BF0E">
            <w:pPr>
              <w:pStyle w:val="687"/>
              <w:adjustRightInd w:val="0"/>
              <w:snapToGrid w:val="0"/>
              <w:rPr>
                <w:szCs w:val="22"/>
              </w:rPr>
            </w:pPr>
          </w:p>
        </w:tc>
        <w:tc>
          <w:tcPr>
            <w:tcW w:w="615" w:type="pct"/>
            <w:tcBorders>
              <w:tl2br w:val="nil"/>
              <w:tr2bl w:val="nil"/>
            </w:tcBorders>
            <w:vAlign w:val="center"/>
          </w:tcPr>
          <w:p w14:paraId="5B8C82E1">
            <w:pPr>
              <w:pStyle w:val="687"/>
              <w:adjustRightInd w:val="0"/>
              <w:snapToGrid w:val="0"/>
              <w:rPr>
                <w:szCs w:val="22"/>
              </w:rPr>
            </w:pPr>
            <w:r>
              <w:rPr>
                <w:rFonts w:hint="eastAsia"/>
                <w:szCs w:val="22"/>
              </w:rPr>
              <w:t>0-20cm</w:t>
            </w:r>
          </w:p>
        </w:tc>
        <w:tc>
          <w:tcPr>
            <w:tcW w:w="542" w:type="pct"/>
            <w:tcBorders>
              <w:tl2br w:val="nil"/>
              <w:tr2bl w:val="nil"/>
            </w:tcBorders>
            <w:noWrap/>
            <w:vAlign w:val="center"/>
          </w:tcPr>
          <w:p w14:paraId="3885E940">
            <w:pPr>
              <w:pStyle w:val="687"/>
              <w:adjustRightInd w:val="0"/>
              <w:snapToGrid w:val="0"/>
              <w:rPr>
                <w:szCs w:val="22"/>
              </w:rPr>
            </w:pPr>
            <w:r>
              <w:rPr>
                <w:rFonts w:hint="eastAsia"/>
                <w:szCs w:val="22"/>
              </w:rPr>
              <w:t>20-100cm</w:t>
            </w:r>
          </w:p>
        </w:tc>
        <w:tc>
          <w:tcPr>
            <w:tcW w:w="487" w:type="pct"/>
            <w:tcBorders>
              <w:tl2br w:val="nil"/>
              <w:tr2bl w:val="nil"/>
            </w:tcBorders>
            <w:noWrap/>
            <w:vAlign w:val="center"/>
          </w:tcPr>
          <w:p w14:paraId="04520B3A">
            <w:pPr>
              <w:pStyle w:val="687"/>
              <w:adjustRightInd w:val="0"/>
              <w:snapToGrid w:val="0"/>
              <w:rPr>
                <w:szCs w:val="22"/>
              </w:rPr>
            </w:pPr>
            <w:r>
              <w:rPr>
                <w:rFonts w:hint="eastAsia"/>
                <w:szCs w:val="22"/>
              </w:rPr>
              <w:t>0-20cm</w:t>
            </w:r>
          </w:p>
        </w:tc>
        <w:tc>
          <w:tcPr>
            <w:tcW w:w="542" w:type="pct"/>
            <w:tcBorders>
              <w:tl2br w:val="nil"/>
              <w:tr2bl w:val="nil"/>
            </w:tcBorders>
            <w:noWrap/>
            <w:vAlign w:val="center"/>
          </w:tcPr>
          <w:p w14:paraId="5A8574C7">
            <w:pPr>
              <w:pStyle w:val="687"/>
              <w:adjustRightInd w:val="0"/>
              <w:snapToGrid w:val="0"/>
              <w:rPr>
                <w:szCs w:val="22"/>
              </w:rPr>
            </w:pPr>
            <w:r>
              <w:rPr>
                <w:rFonts w:hint="eastAsia"/>
                <w:szCs w:val="22"/>
              </w:rPr>
              <w:t>20-100cm</w:t>
            </w:r>
          </w:p>
        </w:tc>
        <w:tc>
          <w:tcPr>
            <w:tcW w:w="487" w:type="pct"/>
            <w:vMerge w:val="continue"/>
            <w:tcBorders>
              <w:tl2br w:val="nil"/>
              <w:tr2bl w:val="nil"/>
            </w:tcBorders>
            <w:vAlign w:val="center"/>
          </w:tcPr>
          <w:p w14:paraId="4CDDE5C9">
            <w:pPr>
              <w:pStyle w:val="687"/>
              <w:adjustRightInd w:val="0"/>
              <w:snapToGrid w:val="0"/>
              <w:rPr>
                <w:szCs w:val="22"/>
              </w:rPr>
            </w:pPr>
          </w:p>
        </w:tc>
        <w:tc>
          <w:tcPr>
            <w:tcW w:w="487" w:type="pct"/>
            <w:vMerge w:val="continue"/>
            <w:tcBorders>
              <w:tl2br w:val="nil"/>
              <w:tr2bl w:val="nil"/>
            </w:tcBorders>
            <w:vAlign w:val="center"/>
          </w:tcPr>
          <w:p w14:paraId="77C534A5">
            <w:pPr>
              <w:pStyle w:val="687"/>
              <w:adjustRightInd w:val="0"/>
              <w:snapToGrid w:val="0"/>
              <w:rPr>
                <w:szCs w:val="22"/>
              </w:rPr>
            </w:pPr>
          </w:p>
        </w:tc>
        <w:tc>
          <w:tcPr>
            <w:tcW w:w="375" w:type="pct"/>
            <w:vMerge w:val="continue"/>
            <w:tcBorders>
              <w:tl2br w:val="nil"/>
              <w:tr2bl w:val="nil"/>
            </w:tcBorders>
            <w:vAlign w:val="center"/>
          </w:tcPr>
          <w:p w14:paraId="63819BF8">
            <w:pPr>
              <w:pStyle w:val="687"/>
              <w:adjustRightInd w:val="0"/>
              <w:snapToGrid w:val="0"/>
              <w:rPr>
                <w:szCs w:val="22"/>
              </w:rPr>
            </w:pPr>
          </w:p>
        </w:tc>
      </w:tr>
      <w:tr w14:paraId="171E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6101C9D6">
            <w:pPr>
              <w:pStyle w:val="687"/>
              <w:adjustRightInd w:val="0"/>
              <w:snapToGrid w:val="0"/>
              <w:rPr>
                <w:szCs w:val="22"/>
              </w:rPr>
            </w:pPr>
            <w:r>
              <w:rPr>
                <w:rFonts w:hint="eastAsia"/>
                <w:bCs/>
                <w:szCs w:val="22"/>
              </w:rPr>
              <w:t>pH</w:t>
            </w:r>
          </w:p>
        </w:tc>
        <w:tc>
          <w:tcPr>
            <w:tcW w:w="406" w:type="pct"/>
            <w:tcBorders>
              <w:tl2br w:val="nil"/>
              <w:tr2bl w:val="nil"/>
            </w:tcBorders>
            <w:vAlign w:val="center"/>
          </w:tcPr>
          <w:p w14:paraId="1CA8F860">
            <w:pPr>
              <w:pStyle w:val="687"/>
              <w:adjustRightInd w:val="0"/>
              <w:snapToGrid w:val="0"/>
              <w:rPr>
                <w:szCs w:val="22"/>
              </w:rPr>
            </w:pPr>
            <w:r>
              <w:rPr>
                <w:rFonts w:hint="eastAsia"/>
                <w:bCs/>
                <w:szCs w:val="22"/>
              </w:rPr>
              <w:t>无量纲</w:t>
            </w:r>
          </w:p>
        </w:tc>
        <w:tc>
          <w:tcPr>
            <w:tcW w:w="615" w:type="pct"/>
            <w:tcBorders>
              <w:tl2br w:val="nil"/>
              <w:tr2bl w:val="nil"/>
            </w:tcBorders>
            <w:vAlign w:val="center"/>
          </w:tcPr>
          <w:p w14:paraId="194D485B">
            <w:pPr>
              <w:widowControl/>
              <w:adjustRightInd w:val="0"/>
              <w:snapToGrid w:val="0"/>
              <w:jc w:val="center"/>
              <w:textAlignment w:val="center"/>
              <w:rPr>
                <w:sz w:val="22"/>
                <w:szCs w:val="22"/>
              </w:rPr>
            </w:pPr>
            <w:r>
              <w:rPr>
                <w:rFonts w:eastAsia="等线"/>
                <w:kern w:val="0"/>
                <w:sz w:val="22"/>
                <w:szCs w:val="22"/>
                <w:lang w:bidi="ar"/>
              </w:rPr>
              <w:t>6.9</w:t>
            </w:r>
          </w:p>
        </w:tc>
        <w:tc>
          <w:tcPr>
            <w:tcW w:w="542" w:type="pct"/>
            <w:tcBorders>
              <w:tl2br w:val="nil"/>
              <w:tr2bl w:val="nil"/>
            </w:tcBorders>
            <w:vAlign w:val="center"/>
          </w:tcPr>
          <w:p w14:paraId="44DD777E">
            <w:pPr>
              <w:widowControl/>
              <w:adjustRightInd w:val="0"/>
              <w:snapToGrid w:val="0"/>
              <w:jc w:val="center"/>
              <w:textAlignment w:val="center"/>
              <w:rPr>
                <w:rFonts w:eastAsia="等线"/>
                <w:sz w:val="22"/>
                <w:szCs w:val="22"/>
              </w:rPr>
            </w:pPr>
            <w:r>
              <w:rPr>
                <w:rFonts w:eastAsia="等线"/>
                <w:kern w:val="0"/>
                <w:sz w:val="22"/>
                <w:szCs w:val="22"/>
                <w:lang w:bidi="ar"/>
              </w:rPr>
              <w:t>6.8</w:t>
            </w:r>
          </w:p>
        </w:tc>
        <w:tc>
          <w:tcPr>
            <w:tcW w:w="487" w:type="pct"/>
            <w:tcBorders>
              <w:tl2br w:val="nil"/>
              <w:tr2bl w:val="nil"/>
            </w:tcBorders>
            <w:vAlign w:val="center"/>
          </w:tcPr>
          <w:p w14:paraId="7F3DEB98">
            <w:pPr>
              <w:widowControl/>
              <w:adjustRightInd w:val="0"/>
              <w:snapToGrid w:val="0"/>
              <w:jc w:val="center"/>
              <w:textAlignment w:val="center"/>
              <w:rPr>
                <w:rFonts w:eastAsia="等线"/>
                <w:sz w:val="22"/>
                <w:szCs w:val="22"/>
              </w:rPr>
            </w:pPr>
            <w:r>
              <w:rPr>
                <w:rFonts w:eastAsia="等线"/>
                <w:kern w:val="0"/>
                <w:sz w:val="22"/>
                <w:szCs w:val="22"/>
                <w:lang w:bidi="ar"/>
              </w:rPr>
              <w:t>6.8</w:t>
            </w:r>
          </w:p>
        </w:tc>
        <w:tc>
          <w:tcPr>
            <w:tcW w:w="542" w:type="pct"/>
            <w:tcBorders>
              <w:tl2br w:val="nil"/>
              <w:tr2bl w:val="nil"/>
            </w:tcBorders>
            <w:vAlign w:val="center"/>
          </w:tcPr>
          <w:p w14:paraId="058429B9">
            <w:pPr>
              <w:widowControl/>
              <w:adjustRightInd w:val="0"/>
              <w:snapToGrid w:val="0"/>
              <w:jc w:val="center"/>
              <w:textAlignment w:val="center"/>
              <w:rPr>
                <w:sz w:val="22"/>
                <w:szCs w:val="22"/>
              </w:rPr>
            </w:pPr>
            <w:r>
              <w:rPr>
                <w:rFonts w:eastAsia="等线"/>
                <w:kern w:val="0"/>
                <w:sz w:val="22"/>
                <w:szCs w:val="22"/>
                <w:lang w:bidi="ar"/>
              </w:rPr>
              <w:t>6.8</w:t>
            </w:r>
          </w:p>
        </w:tc>
        <w:tc>
          <w:tcPr>
            <w:tcW w:w="487" w:type="pct"/>
            <w:tcBorders>
              <w:tl2br w:val="nil"/>
              <w:tr2bl w:val="nil"/>
            </w:tcBorders>
            <w:noWrap/>
            <w:vAlign w:val="center"/>
          </w:tcPr>
          <w:p w14:paraId="3A41494B">
            <w:pPr>
              <w:widowControl/>
              <w:adjustRightInd w:val="0"/>
              <w:snapToGrid w:val="0"/>
              <w:jc w:val="center"/>
              <w:textAlignment w:val="center"/>
              <w:rPr>
                <w:sz w:val="22"/>
                <w:szCs w:val="22"/>
              </w:rPr>
            </w:pPr>
            <w:r>
              <w:rPr>
                <w:rFonts w:eastAsia="等线"/>
                <w:kern w:val="0"/>
                <w:sz w:val="22"/>
                <w:szCs w:val="22"/>
                <w:lang w:bidi="ar"/>
              </w:rPr>
              <w:t>6.8</w:t>
            </w:r>
          </w:p>
        </w:tc>
        <w:tc>
          <w:tcPr>
            <w:tcW w:w="487" w:type="pct"/>
            <w:tcBorders>
              <w:tl2br w:val="nil"/>
              <w:tr2bl w:val="nil"/>
            </w:tcBorders>
            <w:noWrap/>
            <w:vAlign w:val="center"/>
          </w:tcPr>
          <w:p w14:paraId="75A586BA">
            <w:pPr>
              <w:widowControl/>
              <w:adjustRightInd w:val="0"/>
              <w:snapToGrid w:val="0"/>
              <w:jc w:val="center"/>
              <w:textAlignment w:val="center"/>
              <w:rPr>
                <w:sz w:val="22"/>
                <w:szCs w:val="22"/>
              </w:rPr>
            </w:pPr>
            <w:r>
              <w:rPr>
                <w:rFonts w:eastAsia="等线"/>
                <w:kern w:val="0"/>
                <w:sz w:val="22"/>
                <w:szCs w:val="22"/>
                <w:lang w:bidi="ar"/>
              </w:rPr>
              <w:t>6.9</w:t>
            </w:r>
          </w:p>
        </w:tc>
        <w:tc>
          <w:tcPr>
            <w:tcW w:w="375" w:type="pct"/>
            <w:tcBorders>
              <w:tl2br w:val="nil"/>
              <w:tr2bl w:val="nil"/>
            </w:tcBorders>
            <w:noWrap/>
            <w:vAlign w:val="center"/>
          </w:tcPr>
          <w:p w14:paraId="6A2E8E85">
            <w:pPr>
              <w:widowControl/>
              <w:adjustRightInd w:val="0"/>
              <w:snapToGrid w:val="0"/>
              <w:jc w:val="center"/>
              <w:textAlignment w:val="center"/>
              <w:rPr>
                <w:sz w:val="22"/>
                <w:szCs w:val="22"/>
              </w:rPr>
            </w:pPr>
            <w:r>
              <w:rPr>
                <w:rFonts w:eastAsia="等线"/>
                <w:kern w:val="0"/>
                <w:sz w:val="22"/>
                <w:szCs w:val="22"/>
                <w:lang w:bidi="ar"/>
              </w:rPr>
              <w:t>0.05</w:t>
            </w:r>
          </w:p>
        </w:tc>
      </w:tr>
      <w:tr w14:paraId="61F5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068A0E1E">
            <w:pPr>
              <w:pStyle w:val="687"/>
              <w:adjustRightInd w:val="0"/>
              <w:snapToGrid w:val="0"/>
              <w:rPr>
                <w:szCs w:val="22"/>
              </w:rPr>
            </w:pPr>
            <w:r>
              <w:rPr>
                <w:rFonts w:hint="eastAsia"/>
                <w:bCs/>
                <w:szCs w:val="22"/>
              </w:rPr>
              <w:t>氨氮</w:t>
            </w:r>
          </w:p>
        </w:tc>
        <w:tc>
          <w:tcPr>
            <w:tcW w:w="406" w:type="pct"/>
            <w:tcBorders>
              <w:tl2br w:val="nil"/>
              <w:tr2bl w:val="nil"/>
            </w:tcBorders>
            <w:vAlign w:val="center"/>
          </w:tcPr>
          <w:p w14:paraId="794C3C62">
            <w:pPr>
              <w:pStyle w:val="687"/>
              <w:adjustRightInd w:val="0"/>
              <w:snapToGrid w:val="0"/>
              <w:rPr>
                <w:szCs w:val="22"/>
              </w:rPr>
            </w:pPr>
            <w:r>
              <w:rPr>
                <w:rFonts w:hint="eastAsia"/>
                <w:bCs/>
                <w:szCs w:val="22"/>
              </w:rPr>
              <w:t>mg/L</w:t>
            </w:r>
          </w:p>
        </w:tc>
        <w:tc>
          <w:tcPr>
            <w:tcW w:w="615" w:type="pct"/>
            <w:tcBorders>
              <w:tl2br w:val="nil"/>
              <w:tr2bl w:val="nil"/>
            </w:tcBorders>
            <w:vAlign w:val="center"/>
          </w:tcPr>
          <w:p w14:paraId="7CB5713C">
            <w:pPr>
              <w:widowControl/>
              <w:adjustRightInd w:val="0"/>
              <w:snapToGrid w:val="0"/>
              <w:jc w:val="center"/>
              <w:textAlignment w:val="center"/>
              <w:rPr>
                <w:sz w:val="22"/>
                <w:szCs w:val="22"/>
              </w:rPr>
            </w:pPr>
            <w:r>
              <w:rPr>
                <w:rFonts w:eastAsia="等线"/>
                <w:kern w:val="0"/>
                <w:sz w:val="22"/>
                <w:szCs w:val="22"/>
                <w:lang w:bidi="ar"/>
              </w:rPr>
              <w:t>0.067</w:t>
            </w:r>
          </w:p>
        </w:tc>
        <w:tc>
          <w:tcPr>
            <w:tcW w:w="542" w:type="pct"/>
            <w:tcBorders>
              <w:tl2br w:val="nil"/>
              <w:tr2bl w:val="nil"/>
            </w:tcBorders>
            <w:vAlign w:val="center"/>
          </w:tcPr>
          <w:p w14:paraId="57C611E4">
            <w:pPr>
              <w:widowControl/>
              <w:adjustRightInd w:val="0"/>
              <w:snapToGrid w:val="0"/>
              <w:jc w:val="center"/>
              <w:textAlignment w:val="center"/>
              <w:rPr>
                <w:rFonts w:eastAsia="等线"/>
                <w:sz w:val="22"/>
                <w:szCs w:val="22"/>
              </w:rPr>
            </w:pPr>
            <w:r>
              <w:rPr>
                <w:rFonts w:eastAsia="等线"/>
                <w:kern w:val="0"/>
                <w:sz w:val="22"/>
                <w:szCs w:val="22"/>
                <w:lang w:bidi="ar"/>
              </w:rPr>
              <w:t>0.05</w:t>
            </w:r>
          </w:p>
        </w:tc>
        <w:tc>
          <w:tcPr>
            <w:tcW w:w="487" w:type="pct"/>
            <w:tcBorders>
              <w:tl2br w:val="nil"/>
              <w:tr2bl w:val="nil"/>
            </w:tcBorders>
            <w:vAlign w:val="center"/>
          </w:tcPr>
          <w:p w14:paraId="64A944D9">
            <w:pPr>
              <w:widowControl/>
              <w:adjustRightInd w:val="0"/>
              <w:snapToGrid w:val="0"/>
              <w:jc w:val="center"/>
              <w:textAlignment w:val="center"/>
              <w:rPr>
                <w:rFonts w:eastAsia="等线"/>
                <w:sz w:val="22"/>
                <w:szCs w:val="22"/>
              </w:rPr>
            </w:pPr>
            <w:r>
              <w:rPr>
                <w:rFonts w:eastAsia="等线"/>
                <w:kern w:val="0"/>
                <w:sz w:val="22"/>
                <w:szCs w:val="22"/>
                <w:lang w:bidi="ar"/>
              </w:rPr>
              <w:t>0.063</w:t>
            </w:r>
          </w:p>
        </w:tc>
        <w:tc>
          <w:tcPr>
            <w:tcW w:w="542" w:type="pct"/>
            <w:tcBorders>
              <w:tl2br w:val="nil"/>
              <w:tr2bl w:val="nil"/>
            </w:tcBorders>
            <w:vAlign w:val="center"/>
          </w:tcPr>
          <w:p w14:paraId="4CC31DAF">
            <w:pPr>
              <w:widowControl/>
              <w:adjustRightInd w:val="0"/>
              <w:snapToGrid w:val="0"/>
              <w:jc w:val="center"/>
              <w:textAlignment w:val="center"/>
              <w:rPr>
                <w:sz w:val="22"/>
                <w:szCs w:val="22"/>
              </w:rPr>
            </w:pPr>
            <w:r>
              <w:rPr>
                <w:rFonts w:eastAsia="等线"/>
                <w:kern w:val="0"/>
                <w:sz w:val="22"/>
                <w:szCs w:val="22"/>
                <w:lang w:bidi="ar"/>
              </w:rPr>
              <w:t>0.044</w:t>
            </w:r>
          </w:p>
        </w:tc>
        <w:tc>
          <w:tcPr>
            <w:tcW w:w="487" w:type="pct"/>
            <w:tcBorders>
              <w:tl2br w:val="nil"/>
              <w:tr2bl w:val="nil"/>
            </w:tcBorders>
            <w:noWrap/>
            <w:vAlign w:val="center"/>
          </w:tcPr>
          <w:p w14:paraId="7456AF24">
            <w:pPr>
              <w:widowControl/>
              <w:adjustRightInd w:val="0"/>
              <w:snapToGrid w:val="0"/>
              <w:jc w:val="center"/>
              <w:textAlignment w:val="center"/>
              <w:rPr>
                <w:sz w:val="22"/>
                <w:szCs w:val="22"/>
              </w:rPr>
            </w:pPr>
            <w:r>
              <w:rPr>
                <w:rFonts w:eastAsia="等线"/>
                <w:kern w:val="0"/>
                <w:sz w:val="22"/>
                <w:szCs w:val="22"/>
                <w:lang w:bidi="ar"/>
              </w:rPr>
              <w:t>0.044</w:t>
            </w:r>
          </w:p>
        </w:tc>
        <w:tc>
          <w:tcPr>
            <w:tcW w:w="487" w:type="pct"/>
            <w:tcBorders>
              <w:tl2br w:val="nil"/>
              <w:tr2bl w:val="nil"/>
            </w:tcBorders>
            <w:noWrap/>
            <w:vAlign w:val="center"/>
          </w:tcPr>
          <w:p w14:paraId="3C89FFD9">
            <w:pPr>
              <w:widowControl/>
              <w:adjustRightInd w:val="0"/>
              <w:snapToGrid w:val="0"/>
              <w:jc w:val="center"/>
              <w:textAlignment w:val="center"/>
              <w:rPr>
                <w:sz w:val="22"/>
                <w:szCs w:val="22"/>
              </w:rPr>
            </w:pPr>
            <w:r>
              <w:rPr>
                <w:rFonts w:eastAsia="等线"/>
                <w:kern w:val="0"/>
                <w:sz w:val="22"/>
                <w:szCs w:val="22"/>
                <w:lang w:bidi="ar"/>
              </w:rPr>
              <w:t>0.067</w:t>
            </w:r>
          </w:p>
        </w:tc>
        <w:tc>
          <w:tcPr>
            <w:tcW w:w="375" w:type="pct"/>
            <w:tcBorders>
              <w:tl2br w:val="nil"/>
              <w:tr2bl w:val="nil"/>
            </w:tcBorders>
            <w:noWrap/>
            <w:vAlign w:val="center"/>
          </w:tcPr>
          <w:p w14:paraId="152906C5">
            <w:pPr>
              <w:widowControl/>
              <w:adjustRightInd w:val="0"/>
              <w:snapToGrid w:val="0"/>
              <w:jc w:val="center"/>
              <w:textAlignment w:val="center"/>
              <w:rPr>
                <w:sz w:val="22"/>
                <w:szCs w:val="22"/>
              </w:rPr>
            </w:pPr>
            <w:r>
              <w:rPr>
                <w:rFonts w:eastAsia="等线"/>
                <w:kern w:val="0"/>
                <w:sz w:val="22"/>
                <w:szCs w:val="22"/>
                <w:lang w:bidi="ar"/>
              </w:rPr>
              <w:t>0.01</w:t>
            </w:r>
          </w:p>
        </w:tc>
      </w:tr>
      <w:tr w14:paraId="65DF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1F4AF97D">
            <w:pPr>
              <w:pStyle w:val="687"/>
              <w:adjustRightInd w:val="0"/>
              <w:snapToGrid w:val="0"/>
              <w:rPr>
                <w:szCs w:val="22"/>
              </w:rPr>
            </w:pPr>
            <w:r>
              <w:rPr>
                <w:rFonts w:hint="eastAsia"/>
                <w:szCs w:val="22"/>
              </w:rPr>
              <w:t>高锰酸盐指数（以O</w:t>
            </w:r>
            <w:r>
              <w:rPr>
                <w:rFonts w:hint="eastAsia"/>
                <w:szCs w:val="22"/>
                <w:vertAlign w:val="subscript"/>
              </w:rPr>
              <w:t>2</w:t>
            </w:r>
            <w:r>
              <w:rPr>
                <w:rFonts w:hint="eastAsia"/>
                <w:szCs w:val="22"/>
              </w:rPr>
              <w:t>计）（耗氧量）</w:t>
            </w:r>
          </w:p>
        </w:tc>
        <w:tc>
          <w:tcPr>
            <w:tcW w:w="406" w:type="pct"/>
            <w:tcBorders>
              <w:tl2br w:val="nil"/>
              <w:tr2bl w:val="nil"/>
            </w:tcBorders>
            <w:vAlign w:val="center"/>
          </w:tcPr>
          <w:p w14:paraId="1A51F1C0">
            <w:pPr>
              <w:pStyle w:val="687"/>
              <w:adjustRightInd w:val="0"/>
              <w:snapToGrid w:val="0"/>
              <w:rPr>
                <w:szCs w:val="22"/>
              </w:rPr>
            </w:pPr>
            <w:r>
              <w:rPr>
                <w:rFonts w:hint="eastAsia"/>
                <w:bCs/>
                <w:szCs w:val="22"/>
              </w:rPr>
              <w:t>mg/L</w:t>
            </w:r>
          </w:p>
        </w:tc>
        <w:tc>
          <w:tcPr>
            <w:tcW w:w="615" w:type="pct"/>
            <w:tcBorders>
              <w:tl2br w:val="nil"/>
              <w:tr2bl w:val="nil"/>
            </w:tcBorders>
            <w:vAlign w:val="center"/>
          </w:tcPr>
          <w:p w14:paraId="54B41536">
            <w:pPr>
              <w:widowControl/>
              <w:adjustRightInd w:val="0"/>
              <w:snapToGrid w:val="0"/>
              <w:jc w:val="center"/>
              <w:textAlignment w:val="center"/>
              <w:rPr>
                <w:sz w:val="22"/>
                <w:szCs w:val="22"/>
              </w:rPr>
            </w:pPr>
            <w:r>
              <w:rPr>
                <w:rFonts w:eastAsia="等线"/>
                <w:kern w:val="0"/>
                <w:sz w:val="22"/>
                <w:szCs w:val="22"/>
                <w:lang w:bidi="ar"/>
              </w:rPr>
              <w:t>1.08</w:t>
            </w:r>
          </w:p>
        </w:tc>
        <w:tc>
          <w:tcPr>
            <w:tcW w:w="542" w:type="pct"/>
            <w:tcBorders>
              <w:tl2br w:val="nil"/>
              <w:tr2bl w:val="nil"/>
            </w:tcBorders>
            <w:vAlign w:val="center"/>
          </w:tcPr>
          <w:p w14:paraId="1B9E96E1">
            <w:pPr>
              <w:widowControl/>
              <w:adjustRightInd w:val="0"/>
              <w:snapToGrid w:val="0"/>
              <w:jc w:val="center"/>
              <w:textAlignment w:val="center"/>
              <w:rPr>
                <w:rFonts w:eastAsia="等线"/>
                <w:sz w:val="22"/>
                <w:szCs w:val="22"/>
              </w:rPr>
            </w:pPr>
            <w:r>
              <w:rPr>
                <w:rFonts w:eastAsia="等线"/>
                <w:kern w:val="0"/>
                <w:sz w:val="22"/>
                <w:szCs w:val="22"/>
                <w:lang w:bidi="ar"/>
              </w:rPr>
              <w:t>1.11</w:t>
            </w:r>
          </w:p>
        </w:tc>
        <w:tc>
          <w:tcPr>
            <w:tcW w:w="487" w:type="pct"/>
            <w:tcBorders>
              <w:tl2br w:val="nil"/>
              <w:tr2bl w:val="nil"/>
            </w:tcBorders>
            <w:vAlign w:val="center"/>
          </w:tcPr>
          <w:p w14:paraId="2E0EFC8C">
            <w:pPr>
              <w:widowControl/>
              <w:adjustRightInd w:val="0"/>
              <w:snapToGrid w:val="0"/>
              <w:jc w:val="center"/>
              <w:textAlignment w:val="center"/>
              <w:rPr>
                <w:rFonts w:eastAsia="等线"/>
                <w:sz w:val="22"/>
                <w:szCs w:val="22"/>
              </w:rPr>
            </w:pPr>
            <w:r>
              <w:rPr>
                <w:rFonts w:eastAsia="等线"/>
                <w:kern w:val="0"/>
                <w:sz w:val="22"/>
                <w:szCs w:val="22"/>
                <w:lang w:bidi="ar"/>
              </w:rPr>
              <w:t>1.16</w:t>
            </w:r>
          </w:p>
        </w:tc>
        <w:tc>
          <w:tcPr>
            <w:tcW w:w="542" w:type="pct"/>
            <w:tcBorders>
              <w:tl2br w:val="nil"/>
              <w:tr2bl w:val="nil"/>
            </w:tcBorders>
            <w:vAlign w:val="center"/>
          </w:tcPr>
          <w:p w14:paraId="0FFB534A">
            <w:pPr>
              <w:widowControl/>
              <w:adjustRightInd w:val="0"/>
              <w:snapToGrid w:val="0"/>
              <w:jc w:val="center"/>
              <w:textAlignment w:val="center"/>
              <w:rPr>
                <w:sz w:val="22"/>
                <w:szCs w:val="22"/>
              </w:rPr>
            </w:pPr>
            <w:r>
              <w:rPr>
                <w:rFonts w:eastAsia="等线"/>
                <w:kern w:val="0"/>
                <w:sz w:val="22"/>
                <w:szCs w:val="22"/>
                <w:lang w:bidi="ar"/>
              </w:rPr>
              <w:t>1.18</w:t>
            </w:r>
          </w:p>
        </w:tc>
        <w:tc>
          <w:tcPr>
            <w:tcW w:w="487" w:type="pct"/>
            <w:tcBorders>
              <w:tl2br w:val="nil"/>
              <w:tr2bl w:val="nil"/>
            </w:tcBorders>
            <w:noWrap/>
            <w:vAlign w:val="center"/>
          </w:tcPr>
          <w:p w14:paraId="37B6FBD9">
            <w:pPr>
              <w:widowControl/>
              <w:adjustRightInd w:val="0"/>
              <w:snapToGrid w:val="0"/>
              <w:jc w:val="center"/>
              <w:textAlignment w:val="center"/>
              <w:rPr>
                <w:sz w:val="22"/>
                <w:szCs w:val="22"/>
              </w:rPr>
            </w:pPr>
            <w:r>
              <w:rPr>
                <w:rFonts w:eastAsia="等线"/>
                <w:kern w:val="0"/>
                <w:sz w:val="22"/>
                <w:szCs w:val="22"/>
                <w:lang w:bidi="ar"/>
              </w:rPr>
              <w:t>1.08</w:t>
            </w:r>
          </w:p>
        </w:tc>
        <w:tc>
          <w:tcPr>
            <w:tcW w:w="487" w:type="pct"/>
            <w:tcBorders>
              <w:tl2br w:val="nil"/>
              <w:tr2bl w:val="nil"/>
            </w:tcBorders>
            <w:noWrap/>
            <w:vAlign w:val="center"/>
          </w:tcPr>
          <w:p w14:paraId="01E895FE">
            <w:pPr>
              <w:widowControl/>
              <w:adjustRightInd w:val="0"/>
              <w:snapToGrid w:val="0"/>
              <w:jc w:val="center"/>
              <w:textAlignment w:val="center"/>
              <w:rPr>
                <w:sz w:val="22"/>
                <w:szCs w:val="22"/>
              </w:rPr>
            </w:pPr>
            <w:r>
              <w:rPr>
                <w:rFonts w:eastAsia="等线"/>
                <w:kern w:val="0"/>
                <w:sz w:val="22"/>
                <w:szCs w:val="22"/>
                <w:lang w:bidi="ar"/>
              </w:rPr>
              <w:t>1.18</w:t>
            </w:r>
          </w:p>
        </w:tc>
        <w:tc>
          <w:tcPr>
            <w:tcW w:w="375" w:type="pct"/>
            <w:tcBorders>
              <w:tl2br w:val="nil"/>
              <w:tr2bl w:val="nil"/>
            </w:tcBorders>
            <w:noWrap/>
            <w:vAlign w:val="center"/>
          </w:tcPr>
          <w:p w14:paraId="52CEE2CD">
            <w:pPr>
              <w:widowControl/>
              <w:adjustRightInd w:val="0"/>
              <w:snapToGrid w:val="0"/>
              <w:jc w:val="center"/>
              <w:textAlignment w:val="center"/>
              <w:rPr>
                <w:sz w:val="22"/>
                <w:szCs w:val="22"/>
              </w:rPr>
            </w:pPr>
            <w:r>
              <w:rPr>
                <w:rFonts w:eastAsia="等线"/>
                <w:kern w:val="0"/>
                <w:sz w:val="22"/>
                <w:szCs w:val="22"/>
                <w:lang w:bidi="ar"/>
              </w:rPr>
              <w:t>0.05</w:t>
            </w:r>
          </w:p>
        </w:tc>
      </w:tr>
      <w:tr w14:paraId="03A8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51413D78">
            <w:pPr>
              <w:pStyle w:val="687"/>
              <w:adjustRightInd w:val="0"/>
              <w:snapToGrid w:val="0"/>
              <w:rPr>
                <w:szCs w:val="22"/>
              </w:rPr>
            </w:pPr>
            <w:r>
              <w:rPr>
                <w:rFonts w:hint="eastAsia"/>
                <w:bCs/>
                <w:szCs w:val="22"/>
              </w:rPr>
              <w:t>氯化物</w:t>
            </w:r>
          </w:p>
        </w:tc>
        <w:tc>
          <w:tcPr>
            <w:tcW w:w="406" w:type="pct"/>
            <w:tcBorders>
              <w:tl2br w:val="nil"/>
              <w:tr2bl w:val="nil"/>
            </w:tcBorders>
            <w:vAlign w:val="center"/>
          </w:tcPr>
          <w:p w14:paraId="4EE00660">
            <w:pPr>
              <w:pStyle w:val="687"/>
              <w:adjustRightInd w:val="0"/>
              <w:snapToGrid w:val="0"/>
              <w:rPr>
                <w:szCs w:val="22"/>
              </w:rPr>
            </w:pPr>
            <w:r>
              <w:rPr>
                <w:rFonts w:hint="eastAsia"/>
                <w:bCs/>
                <w:szCs w:val="22"/>
              </w:rPr>
              <w:t>mg/L</w:t>
            </w:r>
          </w:p>
        </w:tc>
        <w:tc>
          <w:tcPr>
            <w:tcW w:w="615" w:type="pct"/>
            <w:tcBorders>
              <w:tl2br w:val="nil"/>
              <w:tr2bl w:val="nil"/>
            </w:tcBorders>
            <w:vAlign w:val="center"/>
          </w:tcPr>
          <w:p w14:paraId="03616C4B">
            <w:pPr>
              <w:widowControl/>
              <w:adjustRightInd w:val="0"/>
              <w:snapToGrid w:val="0"/>
              <w:jc w:val="center"/>
              <w:textAlignment w:val="center"/>
              <w:rPr>
                <w:sz w:val="22"/>
                <w:szCs w:val="22"/>
              </w:rPr>
            </w:pPr>
            <w:r>
              <w:rPr>
                <w:rFonts w:eastAsia="等线"/>
                <w:kern w:val="0"/>
                <w:sz w:val="22"/>
                <w:szCs w:val="22"/>
                <w:lang w:bidi="ar"/>
              </w:rPr>
              <w:t>28.3</w:t>
            </w:r>
          </w:p>
        </w:tc>
        <w:tc>
          <w:tcPr>
            <w:tcW w:w="542" w:type="pct"/>
            <w:tcBorders>
              <w:tl2br w:val="nil"/>
              <w:tr2bl w:val="nil"/>
            </w:tcBorders>
            <w:vAlign w:val="center"/>
          </w:tcPr>
          <w:p w14:paraId="4B841D70">
            <w:pPr>
              <w:widowControl/>
              <w:adjustRightInd w:val="0"/>
              <w:snapToGrid w:val="0"/>
              <w:jc w:val="center"/>
              <w:textAlignment w:val="center"/>
              <w:rPr>
                <w:rFonts w:eastAsia="等线"/>
                <w:sz w:val="22"/>
                <w:szCs w:val="22"/>
              </w:rPr>
            </w:pPr>
            <w:r>
              <w:rPr>
                <w:rFonts w:eastAsia="等线"/>
                <w:kern w:val="0"/>
                <w:sz w:val="22"/>
                <w:szCs w:val="22"/>
                <w:lang w:bidi="ar"/>
              </w:rPr>
              <w:t>27</w:t>
            </w:r>
          </w:p>
        </w:tc>
        <w:tc>
          <w:tcPr>
            <w:tcW w:w="487" w:type="pct"/>
            <w:tcBorders>
              <w:tl2br w:val="nil"/>
              <w:tr2bl w:val="nil"/>
            </w:tcBorders>
            <w:vAlign w:val="center"/>
          </w:tcPr>
          <w:p w14:paraId="266A2143">
            <w:pPr>
              <w:widowControl/>
              <w:adjustRightInd w:val="0"/>
              <w:snapToGrid w:val="0"/>
              <w:jc w:val="center"/>
              <w:textAlignment w:val="center"/>
              <w:rPr>
                <w:rFonts w:eastAsia="等线"/>
                <w:sz w:val="22"/>
                <w:szCs w:val="22"/>
              </w:rPr>
            </w:pPr>
            <w:r>
              <w:rPr>
                <w:rFonts w:eastAsia="等线"/>
                <w:kern w:val="0"/>
                <w:sz w:val="22"/>
                <w:szCs w:val="22"/>
                <w:lang w:bidi="ar"/>
              </w:rPr>
              <w:t>28.6</w:t>
            </w:r>
          </w:p>
        </w:tc>
        <w:tc>
          <w:tcPr>
            <w:tcW w:w="542" w:type="pct"/>
            <w:tcBorders>
              <w:tl2br w:val="nil"/>
              <w:tr2bl w:val="nil"/>
            </w:tcBorders>
            <w:vAlign w:val="center"/>
          </w:tcPr>
          <w:p w14:paraId="508ADD6F">
            <w:pPr>
              <w:widowControl/>
              <w:adjustRightInd w:val="0"/>
              <w:snapToGrid w:val="0"/>
              <w:jc w:val="center"/>
              <w:textAlignment w:val="center"/>
              <w:rPr>
                <w:sz w:val="22"/>
                <w:szCs w:val="22"/>
              </w:rPr>
            </w:pPr>
            <w:r>
              <w:rPr>
                <w:rFonts w:eastAsia="等线"/>
                <w:kern w:val="0"/>
                <w:sz w:val="22"/>
                <w:szCs w:val="22"/>
                <w:lang w:bidi="ar"/>
              </w:rPr>
              <w:t>27</w:t>
            </w:r>
          </w:p>
        </w:tc>
        <w:tc>
          <w:tcPr>
            <w:tcW w:w="487" w:type="pct"/>
            <w:tcBorders>
              <w:tl2br w:val="nil"/>
              <w:tr2bl w:val="nil"/>
            </w:tcBorders>
            <w:noWrap/>
            <w:vAlign w:val="center"/>
          </w:tcPr>
          <w:p w14:paraId="7A5DB9D9">
            <w:pPr>
              <w:widowControl/>
              <w:adjustRightInd w:val="0"/>
              <w:snapToGrid w:val="0"/>
              <w:jc w:val="center"/>
              <w:textAlignment w:val="center"/>
              <w:rPr>
                <w:sz w:val="22"/>
                <w:szCs w:val="22"/>
              </w:rPr>
            </w:pPr>
            <w:r>
              <w:rPr>
                <w:rFonts w:eastAsia="等线"/>
                <w:kern w:val="0"/>
                <w:sz w:val="22"/>
                <w:szCs w:val="22"/>
                <w:lang w:bidi="ar"/>
              </w:rPr>
              <w:t>27</w:t>
            </w:r>
          </w:p>
        </w:tc>
        <w:tc>
          <w:tcPr>
            <w:tcW w:w="487" w:type="pct"/>
            <w:tcBorders>
              <w:tl2br w:val="nil"/>
              <w:tr2bl w:val="nil"/>
            </w:tcBorders>
            <w:noWrap/>
            <w:vAlign w:val="center"/>
          </w:tcPr>
          <w:p w14:paraId="78AFA174">
            <w:pPr>
              <w:widowControl/>
              <w:adjustRightInd w:val="0"/>
              <w:snapToGrid w:val="0"/>
              <w:jc w:val="center"/>
              <w:textAlignment w:val="center"/>
              <w:rPr>
                <w:sz w:val="22"/>
                <w:szCs w:val="22"/>
              </w:rPr>
            </w:pPr>
            <w:r>
              <w:rPr>
                <w:rFonts w:eastAsia="等线"/>
                <w:kern w:val="0"/>
                <w:sz w:val="22"/>
                <w:szCs w:val="22"/>
                <w:lang w:bidi="ar"/>
              </w:rPr>
              <w:t>28.6</w:t>
            </w:r>
          </w:p>
        </w:tc>
        <w:tc>
          <w:tcPr>
            <w:tcW w:w="375" w:type="pct"/>
            <w:tcBorders>
              <w:tl2br w:val="nil"/>
              <w:tr2bl w:val="nil"/>
            </w:tcBorders>
            <w:noWrap/>
            <w:vAlign w:val="center"/>
          </w:tcPr>
          <w:p w14:paraId="04D1E770">
            <w:pPr>
              <w:widowControl/>
              <w:adjustRightInd w:val="0"/>
              <w:snapToGrid w:val="0"/>
              <w:jc w:val="center"/>
              <w:textAlignment w:val="center"/>
              <w:rPr>
                <w:sz w:val="22"/>
                <w:szCs w:val="22"/>
              </w:rPr>
            </w:pPr>
            <w:r>
              <w:rPr>
                <w:rFonts w:eastAsia="等线"/>
                <w:kern w:val="0"/>
                <w:sz w:val="22"/>
                <w:szCs w:val="22"/>
                <w:lang w:bidi="ar"/>
              </w:rPr>
              <w:t>0.85</w:t>
            </w:r>
          </w:p>
        </w:tc>
      </w:tr>
      <w:tr w14:paraId="20C14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70E06D07">
            <w:pPr>
              <w:pStyle w:val="687"/>
              <w:adjustRightInd w:val="0"/>
              <w:snapToGrid w:val="0"/>
              <w:rPr>
                <w:szCs w:val="22"/>
              </w:rPr>
            </w:pPr>
            <w:r>
              <w:rPr>
                <w:rFonts w:hint="eastAsia"/>
                <w:szCs w:val="22"/>
              </w:rPr>
              <w:t>硝酸盐氮</w:t>
            </w:r>
          </w:p>
        </w:tc>
        <w:tc>
          <w:tcPr>
            <w:tcW w:w="406" w:type="pct"/>
            <w:tcBorders>
              <w:tl2br w:val="nil"/>
              <w:tr2bl w:val="nil"/>
            </w:tcBorders>
            <w:vAlign w:val="center"/>
          </w:tcPr>
          <w:p w14:paraId="6CC3981B">
            <w:pPr>
              <w:pStyle w:val="687"/>
              <w:adjustRightInd w:val="0"/>
              <w:snapToGrid w:val="0"/>
              <w:rPr>
                <w:szCs w:val="22"/>
              </w:rPr>
            </w:pPr>
            <w:r>
              <w:rPr>
                <w:rFonts w:hint="eastAsia"/>
                <w:bCs/>
                <w:szCs w:val="22"/>
              </w:rPr>
              <w:t>mg/L</w:t>
            </w:r>
          </w:p>
        </w:tc>
        <w:tc>
          <w:tcPr>
            <w:tcW w:w="615" w:type="pct"/>
            <w:tcBorders>
              <w:tl2br w:val="nil"/>
              <w:tr2bl w:val="nil"/>
            </w:tcBorders>
            <w:vAlign w:val="center"/>
          </w:tcPr>
          <w:p w14:paraId="26AF39AC">
            <w:pPr>
              <w:widowControl/>
              <w:adjustRightInd w:val="0"/>
              <w:snapToGrid w:val="0"/>
              <w:jc w:val="center"/>
              <w:textAlignment w:val="center"/>
              <w:rPr>
                <w:sz w:val="22"/>
                <w:szCs w:val="22"/>
              </w:rPr>
            </w:pPr>
            <w:r>
              <w:rPr>
                <w:rFonts w:eastAsia="等线"/>
                <w:kern w:val="0"/>
                <w:sz w:val="22"/>
                <w:szCs w:val="22"/>
                <w:lang w:bidi="ar"/>
              </w:rPr>
              <w:t>0.016(L)</w:t>
            </w:r>
          </w:p>
        </w:tc>
        <w:tc>
          <w:tcPr>
            <w:tcW w:w="542" w:type="pct"/>
            <w:tcBorders>
              <w:tl2br w:val="nil"/>
              <w:tr2bl w:val="nil"/>
            </w:tcBorders>
            <w:vAlign w:val="center"/>
          </w:tcPr>
          <w:p w14:paraId="2B444AAF">
            <w:pPr>
              <w:widowControl/>
              <w:adjustRightInd w:val="0"/>
              <w:snapToGrid w:val="0"/>
              <w:jc w:val="center"/>
              <w:textAlignment w:val="center"/>
              <w:rPr>
                <w:rFonts w:eastAsia="等线"/>
                <w:sz w:val="22"/>
                <w:szCs w:val="22"/>
              </w:rPr>
            </w:pPr>
            <w:r>
              <w:rPr>
                <w:rFonts w:eastAsia="等线"/>
                <w:kern w:val="0"/>
                <w:sz w:val="22"/>
                <w:szCs w:val="22"/>
                <w:lang w:bidi="ar"/>
              </w:rPr>
              <w:t>0.016(L)</w:t>
            </w:r>
          </w:p>
        </w:tc>
        <w:tc>
          <w:tcPr>
            <w:tcW w:w="487" w:type="pct"/>
            <w:tcBorders>
              <w:tl2br w:val="nil"/>
              <w:tr2bl w:val="nil"/>
            </w:tcBorders>
            <w:vAlign w:val="center"/>
          </w:tcPr>
          <w:p w14:paraId="75F1F52F">
            <w:pPr>
              <w:widowControl/>
              <w:adjustRightInd w:val="0"/>
              <w:snapToGrid w:val="0"/>
              <w:jc w:val="center"/>
              <w:textAlignment w:val="center"/>
              <w:rPr>
                <w:rFonts w:eastAsia="等线"/>
                <w:sz w:val="22"/>
                <w:szCs w:val="22"/>
              </w:rPr>
            </w:pPr>
            <w:r>
              <w:rPr>
                <w:rFonts w:eastAsia="等线"/>
                <w:kern w:val="0"/>
                <w:sz w:val="22"/>
                <w:szCs w:val="22"/>
                <w:lang w:bidi="ar"/>
              </w:rPr>
              <w:t>0.016(L)</w:t>
            </w:r>
          </w:p>
        </w:tc>
        <w:tc>
          <w:tcPr>
            <w:tcW w:w="542" w:type="pct"/>
            <w:tcBorders>
              <w:tl2br w:val="nil"/>
              <w:tr2bl w:val="nil"/>
            </w:tcBorders>
            <w:vAlign w:val="center"/>
          </w:tcPr>
          <w:p w14:paraId="5E581591">
            <w:pPr>
              <w:widowControl/>
              <w:adjustRightInd w:val="0"/>
              <w:snapToGrid w:val="0"/>
              <w:jc w:val="center"/>
              <w:textAlignment w:val="center"/>
              <w:rPr>
                <w:sz w:val="22"/>
                <w:szCs w:val="22"/>
              </w:rPr>
            </w:pPr>
            <w:r>
              <w:rPr>
                <w:rFonts w:eastAsia="等线"/>
                <w:kern w:val="0"/>
                <w:sz w:val="22"/>
                <w:szCs w:val="22"/>
                <w:lang w:bidi="ar"/>
              </w:rPr>
              <w:t>0.016(L)</w:t>
            </w:r>
          </w:p>
        </w:tc>
        <w:tc>
          <w:tcPr>
            <w:tcW w:w="487" w:type="pct"/>
            <w:tcBorders>
              <w:tl2br w:val="nil"/>
              <w:tr2bl w:val="nil"/>
            </w:tcBorders>
            <w:noWrap/>
            <w:vAlign w:val="center"/>
          </w:tcPr>
          <w:p w14:paraId="74404180">
            <w:pPr>
              <w:widowControl/>
              <w:adjustRightInd w:val="0"/>
              <w:snapToGrid w:val="0"/>
              <w:jc w:val="center"/>
              <w:textAlignment w:val="center"/>
              <w:rPr>
                <w:sz w:val="22"/>
                <w:szCs w:val="22"/>
              </w:rPr>
            </w:pPr>
            <w:r>
              <w:rPr>
                <w:rFonts w:eastAsia="等线"/>
                <w:kern w:val="0"/>
                <w:sz w:val="22"/>
                <w:szCs w:val="22"/>
                <w:lang w:bidi="ar"/>
              </w:rPr>
              <w:t>0.016(L)</w:t>
            </w:r>
          </w:p>
        </w:tc>
        <w:tc>
          <w:tcPr>
            <w:tcW w:w="487" w:type="pct"/>
            <w:tcBorders>
              <w:tl2br w:val="nil"/>
              <w:tr2bl w:val="nil"/>
            </w:tcBorders>
            <w:noWrap/>
            <w:vAlign w:val="center"/>
          </w:tcPr>
          <w:p w14:paraId="601DC5EE">
            <w:pPr>
              <w:widowControl/>
              <w:adjustRightInd w:val="0"/>
              <w:snapToGrid w:val="0"/>
              <w:jc w:val="center"/>
              <w:textAlignment w:val="center"/>
              <w:rPr>
                <w:sz w:val="22"/>
                <w:szCs w:val="22"/>
              </w:rPr>
            </w:pPr>
            <w:r>
              <w:rPr>
                <w:rFonts w:eastAsia="等线"/>
                <w:kern w:val="0"/>
                <w:sz w:val="22"/>
                <w:szCs w:val="22"/>
                <w:lang w:bidi="ar"/>
              </w:rPr>
              <w:t>0.016(L)</w:t>
            </w:r>
          </w:p>
        </w:tc>
        <w:tc>
          <w:tcPr>
            <w:tcW w:w="375" w:type="pct"/>
            <w:tcBorders>
              <w:tl2br w:val="nil"/>
              <w:tr2bl w:val="nil"/>
            </w:tcBorders>
            <w:noWrap/>
            <w:vAlign w:val="center"/>
          </w:tcPr>
          <w:p w14:paraId="713F342B">
            <w:pPr>
              <w:widowControl/>
              <w:adjustRightInd w:val="0"/>
              <w:snapToGrid w:val="0"/>
              <w:jc w:val="center"/>
              <w:textAlignment w:val="center"/>
              <w:rPr>
                <w:sz w:val="22"/>
                <w:szCs w:val="22"/>
              </w:rPr>
            </w:pPr>
            <w:r>
              <w:rPr>
                <w:rFonts w:eastAsia="等线"/>
                <w:kern w:val="0"/>
                <w:sz w:val="22"/>
                <w:szCs w:val="22"/>
                <w:lang w:bidi="ar"/>
              </w:rPr>
              <w:t>/</w:t>
            </w:r>
          </w:p>
        </w:tc>
      </w:tr>
      <w:tr w14:paraId="42F6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31DB8A6F">
            <w:pPr>
              <w:pStyle w:val="687"/>
              <w:adjustRightInd w:val="0"/>
              <w:snapToGrid w:val="0"/>
              <w:rPr>
                <w:szCs w:val="22"/>
              </w:rPr>
            </w:pPr>
            <w:r>
              <w:rPr>
                <w:rFonts w:hint="eastAsia"/>
                <w:bCs/>
                <w:szCs w:val="22"/>
              </w:rPr>
              <w:t>硫酸盐</w:t>
            </w:r>
          </w:p>
        </w:tc>
        <w:tc>
          <w:tcPr>
            <w:tcW w:w="406" w:type="pct"/>
            <w:tcBorders>
              <w:tl2br w:val="nil"/>
              <w:tr2bl w:val="nil"/>
            </w:tcBorders>
            <w:vAlign w:val="center"/>
          </w:tcPr>
          <w:p w14:paraId="4E5AA162">
            <w:pPr>
              <w:pStyle w:val="687"/>
              <w:adjustRightInd w:val="0"/>
              <w:snapToGrid w:val="0"/>
              <w:rPr>
                <w:szCs w:val="22"/>
              </w:rPr>
            </w:pPr>
            <w:r>
              <w:rPr>
                <w:rFonts w:hint="eastAsia"/>
                <w:bCs/>
                <w:szCs w:val="22"/>
              </w:rPr>
              <w:t>mg/L</w:t>
            </w:r>
          </w:p>
        </w:tc>
        <w:tc>
          <w:tcPr>
            <w:tcW w:w="615" w:type="pct"/>
            <w:tcBorders>
              <w:tl2br w:val="nil"/>
              <w:tr2bl w:val="nil"/>
            </w:tcBorders>
            <w:vAlign w:val="center"/>
          </w:tcPr>
          <w:p w14:paraId="05EE1D5F">
            <w:pPr>
              <w:widowControl/>
              <w:adjustRightInd w:val="0"/>
              <w:snapToGrid w:val="0"/>
              <w:jc w:val="center"/>
              <w:textAlignment w:val="center"/>
              <w:rPr>
                <w:sz w:val="22"/>
                <w:szCs w:val="22"/>
              </w:rPr>
            </w:pPr>
            <w:r>
              <w:rPr>
                <w:rFonts w:eastAsia="等线"/>
                <w:kern w:val="0"/>
                <w:sz w:val="22"/>
                <w:szCs w:val="22"/>
                <w:lang w:bidi="ar"/>
              </w:rPr>
              <w:t>33.6</w:t>
            </w:r>
          </w:p>
        </w:tc>
        <w:tc>
          <w:tcPr>
            <w:tcW w:w="542" w:type="pct"/>
            <w:tcBorders>
              <w:tl2br w:val="nil"/>
              <w:tr2bl w:val="nil"/>
            </w:tcBorders>
            <w:vAlign w:val="center"/>
          </w:tcPr>
          <w:p w14:paraId="1AE98727">
            <w:pPr>
              <w:widowControl/>
              <w:adjustRightInd w:val="0"/>
              <w:snapToGrid w:val="0"/>
              <w:jc w:val="center"/>
              <w:textAlignment w:val="center"/>
              <w:rPr>
                <w:rFonts w:eastAsia="等线"/>
                <w:sz w:val="22"/>
                <w:szCs w:val="22"/>
              </w:rPr>
            </w:pPr>
            <w:r>
              <w:rPr>
                <w:rFonts w:eastAsia="等线"/>
                <w:kern w:val="0"/>
                <w:sz w:val="22"/>
                <w:szCs w:val="22"/>
                <w:lang w:bidi="ar"/>
              </w:rPr>
              <w:t>31.4</w:t>
            </w:r>
          </w:p>
        </w:tc>
        <w:tc>
          <w:tcPr>
            <w:tcW w:w="487" w:type="pct"/>
            <w:tcBorders>
              <w:tl2br w:val="nil"/>
              <w:tr2bl w:val="nil"/>
            </w:tcBorders>
            <w:vAlign w:val="center"/>
          </w:tcPr>
          <w:p w14:paraId="0BF29B25">
            <w:pPr>
              <w:widowControl/>
              <w:adjustRightInd w:val="0"/>
              <w:snapToGrid w:val="0"/>
              <w:jc w:val="center"/>
              <w:textAlignment w:val="center"/>
              <w:rPr>
                <w:rFonts w:eastAsia="等线"/>
                <w:sz w:val="22"/>
                <w:szCs w:val="22"/>
              </w:rPr>
            </w:pPr>
            <w:r>
              <w:rPr>
                <w:rFonts w:eastAsia="等线"/>
                <w:kern w:val="0"/>
                <w:sz w:val="22"/>
                <w:szCs w:val="22"/>
                <w:lang w:bidi="ar"/>
              </w:rPr>
              <w:t>31.2</w:t>
            </w:r>
          </w:p>
        </w:tc>
        <w:tc>
          <w:tcPr>
            <w:tcW w:w="542" w:type="pct"/>
            <w:tcBorders>
              <w:tl2br w:val="nil"/>
              <w:tr2bl w:val="nil"/>
            </w:tcBorders>
            <w:vAlign w:val="center"/>
          </w:tcPr>
          <w:p w14:paraId="753681DA">
            <w:pPr>
              <w:widowControl/>
              <w:adjustRightInd w:val="0"/>
              <w:snapToGrid w:val="0"/>
              <w:jc w:val="center"/>
              <w:textAlignment w:val="center"/>
              <w:rPr>
                <w:sz w:val="22"/>
                <w:szCs w:val="22"/>
              </w:rPr>
            </w:pPr>
            <w:r>
              <w:rPr>
                <w:rFonts w:eastAsia="等线"/>
                <w:kern w:val="0"/>
                <w:sz w:val="22"/>
                <w:szCs w:val="22"/>
                <w:lang w:bidi="ar"/>
              </w:rPr>
              <w:t>28.7</w:t>
            </w:r>
          </w:p>
        </w:tc>
        <w:tc>
          <w:tcPr>
            <w:tcW w:w="487" w:type="pct"/>
            <w:tcBorders>
              <w:tl2br w:val="nil"/>
              <w:tr2bl w:val="nil"/>
            </w:tcBorders>
            <w:noWrap/>
            <w:vAlign w:val="center"/>
          </w:tcPr>
          <w:p w14:paraId="472076DD">
            <w:pPr>
              <w:widowControl/>
              <w:adjustRightInd w:val="0"/>
              <w:snapToGrid w:val="0"/>
              <w:jc w:val="center"/>
              <w:textAlignment w:val="center"/>
              <w:rPr>
                <w:sz w:val="22"/>
                <w:szCs w:val="22"/>
              </w:rPr>
            </w:pPr>
            <w:r>
              <w:rPr>
                <w:rFonts w:eastAsia="等线"/>
                <w:kern w:val="0"/>
                <w:sz w:val="22"/>
                <w:szCs w:val="22"/>
                <w:lang w:bidi="ar"/>
              </w:rPr>
              <w:t>28.7</w:t>
            </w:r>
          </w:p>
        </w:tc>
        <w:tc>
          <w:tcPr>
            <w:tcW w:w="487" w:type="pct"/>
            <w:tcBorders>
              <w:tl2br w:val="nil"/>
              <w:tr2bl w:val="nil"/>
            </w:tcBorders>
            <w:noWrap/>
            <w:vAlign w:val="center"/>
          </w:tcPr>
          <w:p w14:paraId="437CE110">
            <w:pPr>
              <w:widowControl/>
              <w:adjustRightInd w:val="0"/>
              <w:snapToGrid w:val="0"/>
              <w:jc w:val="center"/>
              <w:textAlignment w:val="center"/>
              <w:rPr>
                <w:sz w:val="22"/>
                <w:szCs w:val="22"/>
              </w:rPr>
            </w:pPr>
            <w:r>
              <w:rPr>
                <w:rFonts w:eastAsia="等线"/>
                <w:kern w:val="0"/>
                <w:sz w:val="22"/>
                <w:szCs w:val="22"/>
                <w:lang w:bidi="ar"/>
              </w:rPr>
              <w:t>33.6</w:t>
            </w:r>
          </w:p>
        </w:tc>
        <w:tc>
          <w:tcPr>
            <w:tcW w:w="375" w:type="pct"/>
            <w:tcBorders>
              <w:tl2br w:val="nil"/>
              <w:tr2bl w:val="nil"/>
            </w:tcBorders>
            <w:noWrap/>
            <w:vAlign w:val="center"/>
          </w:tcPr>
          <w:p w14:paraId="28D3086B">
            <w:pPr>
              <w:widowControl/>
              <w:adjustRightInd w:val="0"/>
              <w:snapToGrid w:val="0"/>
              <w:jc w:val="center"/>
              <w:textAlignment w:val="center"/>
              <w:rPr>
                <w:sz w:val="22"/>
                <w:szCs w:val="22"/>
              </w:rPr>
            </w:pPr>
            <w:r>
              <w:rPr>
                <w:rFonts w:eastAsia="等线"/>
                <w:kern w:val="0"/>
                <w:sz w:val="22"/>
                <w:szCs w:val="22"/>
                <w:lang w:bidi="ar"/>
              </w:rPr>
              <w:t>2</w:t>
            </w:r>
          </w:p>
        </w:tc>
      </w:tr>
      <w:tr w14:paraId="5155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0CCC27D5">
            <w:pPr>
              <w:pStyle w:val="687"/>
              <w:adjustRightInd w:val="0"/>
              <w:snapToGrid w:val="0"/>
              <w:rPr>
                <w:szCs w:val="22"/>
              </w:rPr>
            </w:pPr>
            <w:r>
              <w:rPr>
                <w:rFonts w:hint="eastAsia"/>
                <w:szCs w:val="22"/>
              </w:rPr>
              <w:t>总硬度</w:t>
            </w:r>
          </w:p>
        </w:tc>
        <w:tc>
          <w:tcPr>
            <w:tcW w:w="406" w:type="pct"/>
            <w:tcBorders>
              <w:tl2br w:val="nil"/>
              <w:tr2bl w:val="nil"/>
            </w:tcBorders>
            <w:vAlign w:val="center"/>
          </w:tcPr>
          <w:p w14:paraId="0F20D2B3">
            <w:pPr>
              <w:pStyle w:val="687"/>
              <w:adjustRightInd w:val="0"/>
              <w:snapToGrid w:val="0"/>
              <w:rPr>
                <w:szCs w:val="22"/>
              </w:rPr>
            </w:pPr>
            <w:r>
              <w:rPr>
                <w:rFonts w:hint="eastAsia"/>
                <w:bCs/>
                <w:szCs w:val="22"/>
              </w:rPr>
              <w:t>mg/L</w:t>
            </w:r>
          </w:p>
        </w:tc>
        <w:tc>
          <w:tcPr>
            <w:tcW w:w="615" w:type="pct"/>
            <w:tcBorders>
              <w:tl2br w:val="nil"/>
              <w:tr2bl w:val="nil"/>
            </w:tcBorders>
            <w:vAlign w:val="center"/>
          </w:tcPr>
          <w:p w14:paraId="793FD8F8">
            <w:pPr>
              <w:widowControl/>
              <w:adjustRightInd w:val="0"/>
              <w:snapToGrid w:val="0"/>
              <w:jc w:val="center"/>
              <w:textAlignment w:val="center"/>
              <w:rPr>
                <w:sz w:val="22"/>
                <w:szCs w:val="22"/>
              </w:rPr>
            </w:pPr>
            <w:r>
              <w:rPr>
                <w:rFonts w:eastAsia="等线"/>
                <w:kern w:val="0"/>
                <w:sz w:val="22"/>
                <w:szCs w:val="22"/>
                <w:lang w:bidi="ar"/>
              </w:rPr>
              <w:t>22.4</w:t>
            </w:r>
          </w:p>
        </w:tc>
        <w:tc>
          <w:tcPr>
            <w:tcW w:w="542" w:type="pct"/>
            <w:tcBorders>
              <w:tl2br w:val="nil"/>
              <w:tr2bl w:val="nil"/>
            </w:tcBorders>
            <w:vAlign w:val="center"/>
          </w:tcPr>
          <w:p w14:paraId="217387EC">
            <w:pPr>
              <w:widowControl/>
              <w:adjustRightInd w:val="0"/>
              <w:snapToGrid w:val="0"/>
              <w:jc w:val="center"/>
              <w:textAlignment w:val="center"/>
              <w:rPr>
                <w:rFonts w:eastAsia="等线"/>
                <w:sz w:val="22"/>
                <w:szCs w:val="22"/>
              </w:rPr>
            </w:pPr>
            <w:r>
              <w:rPr>
                <w:rFonts w:eastAsia="等线"/>
                <w:kern w:val="0"/>
                <w:sz w:val="22"/>
                <w:szCs w:val="22"/>
                <w:lang w:bidi="ar"/>
              </w:rPr>
              <w:t>20</w:t>
            </w:r>
          </w:p>
        </w:tc>
        <w:tc>
          <w:tcPr>
            <w:tcW w:w="487" w:type="pct"/>
            <w:tcBorders>
              <w:tl2br w:val="nil"/>
              <w:tr2bl w:val="nil"/>
            </w:tcBorders>
            <w:vAlign w:val="center"/>
          </w:tcPr>
          <w:p w14:paraId="68323CE0">
            <w:pPr>
              <w:widowControl/>
              <w:adjustRightInd w:val="0"/>
              <w:snapToGrid w:val="0"/>
              <w:jc w:val="center"/>
              <w:textAlignment w:val="center"/>
              <w:rPr>
                <w:rFonts w:eastAsia="等线"/>
                <w:sz w:val="22"/>
                <w:szCs w:val="22"/>
              </w:rPr>
            </w:pPr>
            <w:r>
              <w:rPr>
                <w:rFonts w:eastAsia="等线"/>
                <w:kern w:val="0"/>
                <w:sz w:val="22"/>
                <w:szCs w:val="22"/>
                <w:lang w:bidi="ar"/>
              </w:rPr>
              <w:t>31.2</w:t>
            </w:r>
          </w:p>
        </w:tc>
        <w:tc>
          <w:tcPr>
            <w:tcW w:w="542" w:type="pct"/>
            <w:tcBorders>
              <w:tl2br w:val="nil"/>
              <w:tr2bl w:val="nil"/>
            </w:tcBorders>
            <w:vAlign w:val="center"/>
          </w:tcPr>
          <w:p w14:paraId="6A565CE7">
            <w:pPr>
              <w:widowControl/>
              <w:adjustRightInd w:val="0"/>
              <w:snapToGrid w:val="0"/>
              <w:jc w:val="center"/>
              <w:textAlignment w:val="center"/>
              <w:rPr>
                <w:sz w:val="22"/>
                <w:szCs w:val="22"/>
              </w:rPr>
            </w:pPr>
            <w:r>
              <w:rPr>
                <w:rFonts w:eastAsia="等线"/>
                <w:kern w:val="0"/>
                <w:sz w:val="22"/>
                <w:szCs w:val="22"/>
                <w:lang w:bidi="ar"/>
              </w:rPr>
              <w:t>28</w:t>
            </w:r>
          </w:p>
        </w:tc>
        <w:tc>
          <w:tcPr>
            <w:tcW w:w="487" w:type="pct"/>
            <w:tcBorders>
              <w:tl2br w:val="nil"/>
              <w:tr2bl w:val="nil"/>
            </w:tcBorders>
            <w:noWrap/>
            <w:vAlign w:val="center"/>
          </w:tcPr>
          <w:p w14:paraId="0E36E99B">
            <w:pPr>
              <w:widowControl/>
              <w:adjustRightInd w:val="0"/>
              <w:snapToGrid w:val="0"/>
              <w:jc w:val="center"/>
              <w:textAlignment w:val="center"/>
              <w:rPr>
                <w:sz w:val="22"/>
                <w:szCs w:val="22"/>
              </w:rPr>
            </w:pPr>
            <w:r>
              <w:rPr>
                <w:rFonts w:eastAsia="等线"/>
                <w:kern w:val="0"/>
                <w:sz w:val="22"/>
                <w:szCs w:val="22"/>
                <w:lang w:bidi="ar"/>
              </w:rPr>
              <w:t>20</w:t>
            </w:r>
          </w:p>
        </w:tc>
        <w:tc>
          <w:tcPr>
            <w:tcW w:w="487" w:type="pct"/>
            <w:tcBorders>
              <w:tl2br w:val="nil"/>
              <w:tr2bl w:val="nil"/>
            </w:tcBorders>
            <w:noWrap/>
            <w:vAlign w:val="center"/>
          </w:tcPr>
          <w:p w14:paraId="6BAC910F">
            <w:pPr>
              <w:widowControl/>
              <w:adjustRightInd w:val="0"/>
              <w:snapToGrid w:val="0"/>
              <w:jc w:val="center"/>
              <w:textAlignment w:val="center"/>
              <w:rPr>
                <w:sz w:val="22"/>
                <w:szCs w:val="22"/>
              </w:rPr>
            </w:pPr>
            <w:r>
              <w:rPr>
                <w:rFonts w:eastAsia="等线"/>
                <w:kern w:val="0"/>
                <w:sz w:val="22"/>
                <w:szCs w:val="22"/>
                <w:lang w:bidi="ar"/>
              </w:rPr>
              <w:t>31.2</w:t>
            </w:r>
          </w:p>
        </w:tc>
        <w:tc>
          <w:tcPr>
            <w:tcW w:w="375" w:type="pct"/>
            <w:tcBorders>
              <w:tl2br w:val="nil"/>
              <w:tr2bl w:val="nil"/>
            </w:tcBorders>
            <w:noWrap/>
            <w:vAlign w:val="center"/>
          </w:tcPr>
          <w:p w14:paraId="5645DDAA">
            <w:pPr>
              <w:widowControl/>
              <w:adjustRightInd w:val="0"/>
              <w:snapToGrid w:val="0"/>
              <w:jc w:val="center"/>
              <w:textAlignment w:val="center"/>
              <w:rPr>
                <w:sz w:val="22"/>
                <w:szCs w:val="22"/>
              </w:rPr>
            </w:pPr>
            <w:r>
              <w:rPr>
                <w:rFonts w:eastAsia="等线"/>
                <w:kern w:val="0"/>
                <w:sz w:val="22"/>
                <w:szCs w:val="22"/>
                <w:lang w:bidi="ar"/>
              </w:rPr>
              <w:t>5.12</w:t>
            </w:r>
          </w:p>
        </w:tc>
      </w:tr>
      <w:tr w14:paraId="7996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5F0BCCBB">
            <w:pPr>
              <w:pStyle w:val="687"/>
              <w:adjustRightInd w:val="0"/>
              <w:snapToGrid w:val="0"/>
              <w:rPr>
                <w:szCs w:val="22"/>
              </w:rPr>
            </w:pPr>
            <w:r>
              <w:rPr>
                <w:rFonts w:hint="eastAsia"/>
                <w:szCs w:val="22"/>
              </w:rPr>
              <w:t>溶解性总固体</w:t>
            </w:r>
          </w:p>
        </w:tc>
        <w:tc>
          <w:tcPr>
            <w:tcW w:w="406" w:type="pct"/>
            <w:tcBorders>
              <w:tl2br w:val="nil"/>
              <w:tr2bl w:val="nil"/>
            </w:tcBorders>
            <w:vAlign w:val="center"/>
          </w:tcPr>
          <w:p w14:paraId="62BA1433">
            <w:pPr>
              <w:pStyle w:val="687"/>
              <w:adjustRightInd w:val="0"/>
              <w:snapToGrid w:val="0"/>
              <w:rPr>
                <w:szCs w:val="22"/>
              </w:rPr>
            </w:pPr>
            <w:r>
              <w:rPr>
                <w:rFonts w:hint="eastAsia"/>
                <w:bCs/>
                <w:szCs w:val="22"/>
              </w:rPr>
              <w:t>mg/L</w:t>
            </w:r>
          </w:p>
        </w:tc>
        <w:tc>
          <w:tcPr>
            <w:tcW w:w="615" w:type="pct"/>
            <w:tcBorders>
              <w:tl2br w:val="nil"/>
              <w:tr2bl w:val="nil"/>
            </w:tcBorders>
            <w:vAlign w:val="center"/>
          </w:tcPr>
          <w:p w14:paraId="17A5C272">
            <w:pPr>
              <w:widowControl/>
              <w:adjustRightInd w:val="0"/>
              <w:snapToGrid w:val="0"/>
              <w:jc w:val="center"/>
              <w:textAlignment w:val="center"/>
              <w:rPr>
                <w:sz w:val="22"/>
                <w:szCs w:val="22"/>
              </w:rPr>
            </w:pPr>
            <w:r>
              <w:rPr>
                <w:rFonts w:eastAsia="等线"/>
                <w:kern w:val="0"/>
                <w:sz w:val="22"/>
                <w:szCs w:val="22"/>
                <w:lang w:bidi="ar"/>
              </w:rPr>
              <w:t>48</w:t>
            </w:r>
          </w:p>
        </w:tc>
        <w:tc>
          <w:tcPr>
            <w:tcW w:w="542" w:type="pct"/>
            <w:tcBorders>
              <w:tl2br w:val="nil"/>
              <w:tr2bl w:val="nil"/>
            </w:tcBorders>
            <w:vAlign w:val="center"/>
          </w:tcPr>
          <w:p w14:paraId="4D2141B1">
            <w:pPr>
              <w:widowControl/>
              <w:adjustRightInd w:val="0"/>
              <w:snapToGrid w:val="0"/>
              <w:jc w:val="center"/>
              <w:textAlignment w:val="center"/>
              <w:rPr>
                <w:rFonts w:eastAsia="等线"/>
                <w:sz w:val="22"/>
                <w:szCs w:val="22"/>
              </w:rPr>
            </w:pPr>
            <w:r>
              <w:rPr>
                <w:rFonts w:eastAsia="等线"/>
                <w:kern w:val="0"/>
                <w:sz w:val="22"/>
                <w:szCs w:val="22"/>
                <w:lang w:bidi="ar"/>
              </w:rPr>
              <w:t>43</w:t>
            </w:r>
          </w:p>
        </w:tc>
        <w:tc>
          <w:tcPr>
            <w:tcW w:w="487" w:type="pct"/>
            <w:tcBorders>
              <w:tl2br w:val="nil"/>
              <w:tr2bl w:val="nil"/>
            </w:tcBorders>
            <w:vAlign w:val="center"/>
          </w:tcPr>
          <w:p w14:paraId="0FE1F893">
            <w:pPr>
              <w:widowControl/>
              <w:adjustRightInd w:val="0"/>
              <w:snapToGrid w:val="0"/>
              <w:jc w:val="center"/>
              <w:textAlignment w:val="center"/>
              <w:rPr>
                <w:rFonts w:eastAsia="等线"/>
                <w:sz w:val="22"/>
                <w:szCs w:val="22"/>
              </w:rPr>
            </w:pPr>
            <w:r>
              <w:rPr>
                <w:rFonts w:eastAsia="等线"/>
                <w:kern w:val="0"/>
                <w:sz w:val="22"/>
                <w:szCs w:val="22"/>
                <w:lang w:bidi="ar"/>
              </w:rPr>
              <w:t>50</w:t>
            </w:r>
          </w:p>
        </w:tc>
        <w:tc>
          <w:tcPr>
            <w:tcW w:w="542" w:type="pct"/>
            <w:tcBorders>
              <w:tl2br w:val="nil"/>
              <w:tr2bl w:val="nil"/>
            </w:tcBorders>
            <w:vAlign w:val="center"/>
          </w:tcPr>
          <w:p w14:paraId="6B09C7A3">
            <w:pPr>
              <w:widowControl/>
              <w:adjustRightInd w:val="0"/>
              <w:snapToGrid w:val="0"/>
              <w:jc w:val="center"/>
              <w:textAlignment w:val="center"/>
              <w:rPr>
                <w:sz w:val="22"/>
                <w:szCs w:val="22"/>
              </w:rPr>
            </w:pPr>
            <w:r>
              <w:rPr>
                <w:rFonts w:eastAsia="等线"/>
                <w:kern w:val="0"/>
                <w:sz w:val="22"/>
                <w:szCs w:val="22"/>
                <w:lang w:bidi="ar"/>
              </w:rPr>
              <w:t>40</w:t>
            </w:r>
          </w:p>
        </w:tc>
        <w:tc>
          <w:tcPr>
            <w:tcW w:w="487" w:type="pct"/>
            <w:tcBorders>
              <w:tl2br w:val="nil"/>
              <w:tr2bl w:val="nil"/>
            </w:tcBorders>
            <w:noWrap/>
            <w:vAlign w:val="center"/>
          </w:tcPr>
          <w:p w14:paraId="713CA6CE">
            <w:pPr>
              <w:widowControl/>
              <w:adjustRightInd w:val="0"/>
              <w:snapToGrid w:val="0"/>
              <w:jc w:val="center"/>
              <w:textAlignment w:val="center"/>
              <w:rPr>
                <w:sz w:val="22"/>
                <w:szCs w:val="22"/>
              </w:rPr>
            </w:pPr>
            <w:r>
              <w:rPr>
                <w:rFonts w:eastAsia="等线"/>
                <w:kern w:val="0"/>
                <w:sz w:val="22"/>
                <w:szCs w:val="22"/>
                <w:lang w:bidi="ar"/>
              </w:rPr>
              <w:t>40</w:t>
            </w:r>
          </w:p>
        </w:tc>
        <w:tc>
          <w:tcPr>
            <w:tcW w:w="487" w:type="pct"/>
            <w:tcBorders>
              <w:tl2br w:val="nil"/>
              <w:tr2bl w:val="nil"/>
            </w:tcBorders>
            <w:noWrap/>
            <w:vAlign w:val="center"/>
          </w:tcPr>
          <w:p w14:paraId="3ED830EF">
            <w:pPr>
              <w:widowControl/>
              <w:adjustRightInd w:val="0"/>
              <w:snapToGrid w:val="0"/>
              <w:jc w:val="center"/>
              <w:textAlignment w:val="center"/>
              <w:rPr>
                <w:sz w:val="22"/>
                <w:szCs w:val="22"/>
              </w:rPr>
            </w:pPr>
            <w:r>
              <w:rPr>
                <w:rFonts w:eastAsia="等线"/>
                <w:kern w:val="0"/>
                <w:sz w:val="22"/>
                <w:szCs w:val="22"/>
                <w:lang w:bidi="ar"/>
              </w:rPr>
              <w:t>50</w:t>
            </w:r>
          </w:p>
        </w:tc>
        <w:tc>
          <w:tcPr>
            <w:tcW w:w="375" w:type="pct"/>
            <w:tcBorders>
              <w:tl2br w:val="nil"/>
              <w:tr2bl w:val="nil"/>
            </w:tcBorders>
            <w:noWrap/>
            <w:vAlign w:val="center"/>
          </w:tcPr>
          <w:p w14:paraId="06DA23A9">
            <w:pPr>
              <w:widowControl/>
              <w:adjustRightInd w:val="0"/>
              <w:snapToGrid w:val="0"/>
              <w:jc w:val="center"/>
              <w:textAlignment w:val="center"/>
              <w:rPr>
                <w:sz w:val="22"/>
                <w:szCs w:val="22"/>
              </w:rPr>
            </w:pPr>
            <w:r>
              <w:rPr>
                <w:rFonts w:eastAsia="等线"/>
                <w:kern w:val="0"/>
                <w:sz w:val="22"/>
                <w:szCs w:val="22"/>
                <w:lang w:bidi="ar"/>
              </w:rPr>
              <w:t>4.57</w:t>
            </w:r>
          </w:p>
        </w:tc>
      </w:tr>
      <w:tr w14:paraId="71BD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249AA13B">
            <w:pPr>
              <w:pStyle w:val="687"/>
              <w:adjustRightInd w:val="0"/>
              <w:snapToGrid w:val="0"/>
              <w:rPr>
                <w:szCs w:val="22"/>
              </w:rPr>
            </w:pPr>
            <w:r>
              <w:rPr>
                <w:rFonts w:hint="eastAsia"/>
                <w:szCs w:val="22"/>
              </w:rPr>
              <w:t>化学需氧量</w:t>
            </w:r>
          </w:p>
        </w:tc>
        <w:tc>
          <w:tcPr>
            <w:tcW w:w="406" w:type="pct"/>
            <w:tcBorders>
              <w:tl2br w:val="nil"/>
              <w:tr2bl w:val="nil"/>
            </w:tcBorders>
            <w:vAlign w:val="center"/>
          </w:tcPr>
          <w:p w14:paraId="5B282953">
            <w:pPr>
              <w:pStyle w:val="687"/>
              <w:adjustRightInd w:val="0"/>
              <w:snapToGrid w:val="0"/>
              <w:rPr>
                <w:szCs w:val="22"/>
              </w:rPr>
            </w:pPr>
            <w:r>
              <w:rPr>
                <w:rFonts w:hint="eastAsia"/>
                <w:bCs/>
                <w:szCs w:val="22"/>
              </w:rPr>
              <w:t>mg/L</w:t>
            </w:r>
          </w:p>
        </w:tc>
        <w:tc>
          <w:tcPr>
            <w:tcW w:w="615" w:type="pct"/>
            <w:tcBorders>
              <w:tl2br w:val="nil"/>
              <w:tr2bl w:val="nil"/>
            </w:tcBorders>
            <w:vAlign w:val="center"/>
          </w:tcPr>
          <w:p w14:paraId="2EC64DA3">
            <w:pPr>
              <w:widowControl/>
              <w:adjustRightInd w:val="0"/>
              <w:snapToGrid w:val="0"/>
              <w:jc w:val="center"/>
              <w:textAlignment w:val="center"/>
              <w:rPr>
                <w:sz w:val="22"/>
                <w:szCs w:val="22"/>
              </w:rPr>
            </w:pPr>
            <w:r>
              <w:rPr>
                <w:rFonts w:eastAsia="等线"/>
                <w:kern w:val="0"/>
                <w:sz w:val="22"/>
                <w:szCs w:val="22"/>
                <w:lang w:bidi="ar"/>
              </w:rPr>
              <w:t>13</w:t>
            </w:r>
          </w:p>
        </w:tc>
        <w:tc>
          <w:tcPr>
            <w:tcW w:w="542" w:type="pct"/>
            <w:tcBorders>
              <w:tl2br w:val="nil"/>
              <w:tr2bl w:val="nil"/>
            </w:tcBorders>
            <w:vAlign w:val="center"/>
          </w:tcPr>
          <w:p w14:paraId="089D430E">
            <w:pPr>
              <w:widowControl/>
              <w:adjustRightInd w:val="0"/>
              <w:snapToGrid w:val="0"/>
              <w:jc w:val="center"/>
              <w:textAlignment w:val="center"/>
              <w:rPr>
                <w:rFonts w:eastAsia="等线"/>
                <w:sz w:val="22"/>
                <w:szCs w:val="22"/>
              </w:rPr>
            </w:pPr>
            <w:r>
              <w:rPr>
                <w:rFonts w:eastAsia="等线"/>
                <w:kern w:val="0"/>
                <w:sz w:val="22"/>
                <w:szCs w:val="22"/>
                <w:lang w:bidi="ar"/>
              </w:rPr>
              <w:t>15</w:t>
            </w:r>
          </w:p>
        </w:tc>
        <w:tc>
          <w:tcPr>
            <w:tcW w:w="487" w:type="pct"/>
            <w:tcBorders>
              <w:tl2br w:val="nil"/>
              <w:tr2bl w:val="nil"/>
            </w:tcBorders>
            <w:vAlign w:val="center"/>
          </w:tcPr>
          <w:p w14:paraId="14222596">
            <w:pPr>
              <w:widowControl/>
              <w:adjustRightInd w:val="0"/>
              <w:snapToGrid w:val="0"/>
              <w:jc w:val="center"/>
              <w:textAlignment w:val="center"/>
              <w:rPr>
                <w:rFonts w:eastAsia="等线"/>
                <w:sz w:val="22"/>
                <w:szCs w:val="22"/>
              </w:rPr>
            </w:pPr>
            <w:r>
              <w:rPr>
                <w:rFonts w:eastAsia="等线"/>
                <w:kern w:val="0"/>
                <w:sz w:val="22"/>
                <w:szCs w:val="22"/>
                <w:lang w:bidi="ar"/>
              </w:rPr>
              <w:t>16</w:t>
            </w:r>
          </w:p>
        </w:tc>
        <w:tc>
          <w:tcPr>
            <w:tcW w:w="542" w:type="pct"/>
            <w:tcBorders>
              <w:tl2br w:val="nil"/>
              <w:tr2bl w:val="nil"/>
            </w:tcBorders>
            <w:vAlign w:val="center"/>
          </w:tcPr>
          <w:p w14:paraId="7D08B97D">
            <w:pPr>
              <w:widowControl/>
              <w:adjustRightInd w:val="0"/>
              <w:snapToGrid w:val="0"/>
              <w:jc w:val="center"/>
              <w:textAlignment w:val="center"/>
              <w:rPr>
                <w:sz w:val="22"/>
                <w:szCs w:val="22"/>
              </w:rPr>
            </w:pPr>
            <w:r>
              <w:rPr>
                <w:rFonts w:eastAsia="等线"/>
                <w:kern w:val="0"/>
                <w:sz w:val="22"/>
                <w:szCs w:val="22"/>
                <w:lang w:bidi="ar"/>
              </w:rPr>
              <w:t>16</w:t>
            </w:r>
          </w:p>
        </w:tc>
        <w:tc>
          <w:tcPr>
            <w:tcW w:w="487" w:type="pct"/>
            <w:tcBorders>
              <w:tl2br w:val="nil"/>
              <w:tr2bl w:val="nil"/>
            </w:tcBorders>
            <w:noWrap/>
            <w:vAlign w:val="center"/>
          </w:tcPr>
          <w:p w14:paraId="52C0F3FC">
            <w:pPr>
              <w:widowControl/>
              <w:adjustRightInd w:val="0"/>
              <w:snapToGrid w:val="0"/>
              <w:jc w:val="center"/>
              <w:textAlignment w:val="center"/>
              <w:rPr>
                <w:sz w:val="22"/>
                <w:szCs w:val="22"/>
              </w:rPr>
            </w:pPr>
            <w:r>
              <w:rPr>
                <w:rFonts w:eastAsia="等线"/>
                <w:kern w:val="0"/>
                <w:sz w:val="22"/>
                <w:szCs w:val="22"/>
                <w:lang w:bidi="ar"/>
              </w:rPr>
              <w:t>13</w:t>
            </w:r>
          </w:p>
        </w:tc>
        <w:tc>
          <w:tcPr>
            <w:tcW w:w="487" w:type="pct"/>
            <w:tcBorders>
              <w:tl2br w:val="nil"/>
              <w:tr2bl w:val="nil"/>
            </w:tcBorders>
            <w:noWrap/>
            <w:vAlign w:val="center"/>
          </w:tcPr>
          <w:p w14:paraId="4F5CE2E3">
            <w:pPr>
              <w:widowControl/>
              <w:adjustRightInd w:val="0"/>
              <w:snapToGrid w:val="0"/>
              <w:jc w:val="center"/>
              <w:textAlignment w:val="center"/>
              <w:rPr>
                <w:sz w:val="22"/>
                <w:szCs w:val="22"/>
              </w:rPr>
            </w:pPr>
            <w:r>
              <w:rPr>
                <w:rFonts w:eastAsia="等线"/>
                <w:kern w:val="0"/>
                <w:sz w:val="22"/>
                <w:szCs w:val="22"/>
                <w:lang w:bidi="ar"/>
              </w:rPr>
              <w:t>16</w:t>
            </w:r>
          </w:p>
        </w:tc>
        <w:tc>
          <w:tcPr>
            <w:tcW w:w="375" w:type="pct"/>
            <w:tcBorders>
              <w:tl2br w:val="nil"/>
              <w:tr2bl w:val="nil"/>
            </w:tcBorders>
            <w:noWrap/>
            <w:vAlign w:val="center"/>
          </w:tcPr>
          <w:p w14:paraId="3978FE39">
            <w:pPr>
              <w:widowControl/>
              <w:adjustRightInd w:val="0"/>
              <w:snapToGrid w:val="0"/>
              <w:jc w:val="center"/>
              <w:textAlignment w:val="center"/>
              <w:rPr>
                <w:sz w:val="22"/>
                <w:szCs w:val="22"/>
              </w:rPr>
            </w:pPr>
            <w:r>
              <w:rPr>
                <w:rFonts w:eastAsia="等线"/>
                <w:kern w:val="0"/>
                <w:sz w:val="22"/>
                <w:szCs w:val="22"/>
                <w:lang w:bidi="ar"/>
              </w:rPr>
              <w:t>1.41</w:t>
            </w:r>
          </w:p>
        </w:tc>
      </w:tr>
      <w:tr w14:paraId="1B7E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150DC57B">
            <w:pPr>
              <w:pStyle w:val="687"/>
              <w:adjustRightInd w:val="0"/>
              <w:snapToGrid w:val="0"/>
              <w:rPr>
                <w:szCs w:val="22"/>
              </w:rPr>
            </w:pPr>
            <w:r>
              <w:rPr>
                <w:rFonts w:hint="eastAsia"/>
                <w:bCs/>
                <w:szCs w:val="22"/>
              </w:rPr>
              <w:t>石油类</w:t>
            </w:r>
          </w:p>
        </w:tc>
        <w:tc>
          <w:tcPr>
            <w:tcW w:w="406" w:type="pct"/>
            <w:tcBorders>
              <w:tl2br w:val="nil"/>
              <w:tr2bl w:val="nil"/>
            </w:tcBorders>
            <w:vAlign w:val="center"/>
          </w:tcPr>
          <w:p w14:paraId="4C5DC524">
            <w:pPr>
              <w:pStyle w:val="687"/>
              <w:adjustRightInd w:val="0"/>
              <w:snapToGrid w:val="0"/>
              <w:rPr>
                <w:szCs w:val="22"/>
              </w:rPr>
            </w:pPr>
            <w:r>
              <w:rPr>
                <w:rFonts w:hint="eastAsia"/>
                <w:bCs/>
                <w:szCs w:val="22"/>
              </w:rPr>
              <w:t>mg/L</w:t>
            </w:r>
          </w:p>
        </w:tc>
        <w:tc>
          <w:tcPr>
            <w:tcW w:w="615" w:type="pct"/>
            <w:tcBorders>
              <w:tl2br w:val="nil"/>
              <w:tr2bl w:val="nil"/>
            </w:tcBorders>
            <w:vAlign w:val="center"/>
          </w:tcPr>
          <w:p w14:paraId="4460DE87">
            <w:pPr>
              <w:widowControl/>
              <w:adjustRightInd w:val="0"/>
              <w:snapToGrid w:val="0"/>
              <w:jc w:val="center"/>
              <w:textAlignment w:val="center"/>
              <w:rPr>
                <w:sz w:val="22"/>
                <w:szCs w:val="22"/>
              </w:rPr>
            </w:pPr>
            <w:r>
              <w:rPr>
                <w:rFonts w:eastAsia="等线"/>
                <w:kern w:val="0"/>
                <w:sz w:val="22"/>
                <w:szCs w:val="22"/>
                <w:lang w:bidi="ar"/>
              </w:rPr>
              <w:t>0.01(L)</w:t>
            </w:r>
          </w:p>
        </w:tc>
        <w:tc>
          <w:tcPr>
            <w:tcW w:w="542" w:type="pct"/>
            <w:tcBorders>
              <w:tl2br w:val="nil"/>
              <w:tr2bl w:val="nil"/>
            </w:tcBorders>
            <w:vAlign w:val="center"/>
          </w:tcPr>
          <w:p w14:paraId="5345C2D3">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487" w:type="pct"/>
            <w:tcBorders>
              <w:tl2br w:val="nil"/>
              <w:tr2bl w:val="nil"/>
            </w:tcBorders>
            <w:vAlign w:val="center"/>
          </w:tcPr>
          <w:p w14:paraId="364FF411">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542" w:type="pct"/>
            <w:tcBorders>
              <w:tl2br w:val="nil"/>
              <w:tr2bl w:val="nil"/>
            </w:tcBorders>
            <w:vAlign w:val="center"/>
          </w:tcPr>
          <w:p w14:paraId="3452FABB">
            <w:pPr>
              <w:widowControl/>
              <w:adjustRightInd w:val="0"/>
              <w:snapToGrid w:val="0"/>
              <w:jc w:val="center"/>
              <w:textAlignment w:val="center"/>
              <w:rPr>
                <w:sz w:val="22"/>
                <w:szCs w:val="22"/>
              </w:rPr>
            </w:pPr>
            <w:r>
              <w:rPr>
                <w:rFonts w:eastAsia="等线"/>
                <w:kern w:val="0"/>
                <w:sz w:val="22"/>
                <w:szCs w:val="22"/>
                <w:lang w:bidi="ar"/>
              </w:rPr>
              <w:t>0.01(L)</w:t>
            </w:r>
          </w:p>
        </w:tc>
        <w:tc>
          <w:tcPr>
            <w:tcW w:w="487" w:type="pct"/>
            <w:tcBorders>
              <w:tl2br w:val="nil"/>
              <w:tr2bl w:val="nil"/>
            </w:tcBorders>
            <w:noWrap/>
            <w:vAlign w:val="center"/>
          </w:tcPr>
          <w:p w14:paraId="6E69A781">
            <w:pPr>
              <w:widowControl/>
              <w:adjustRightInd w:val="0"/>
              <w:snapToGrid w:val="0"/>
              <w:jc w:val="center"/>
              <w:textAlignment w:val="center"/>
              <w:rPr>
                <w:sz w:val="22"/>
                <w:szCs w:val="22"/>
              </w:rPr>
            </w:pPr>
            <w:r>
              <w:rPr>
                <w:rFonts w:eastAsia="等线"/>
                <w:kern w:val="0"/>
                <w:sz w:val="22"/>
                <w:szCs w:val="22"/>
                <w:lang w:bidi="ar"/>
              </w:rPr>
              <w:t>0.01(L)</w:t>
            </w:r>
          </w:p>
        </w:tc>
        <w:tc>
          <w:tcPr>
            <w:tcW w:w="487" w:type="pct"/>
            <w:tcBorders>
              <w:tl2br w:val="nil"/>
              <w:tr2bl w:val="nil"/>
            </w:tcBorders>
            <w:noWrap/>
            <w:vAlign w:val="center"/>
          </w:tcPr>
          <w:p w14:paraId="664BFC51">
            <w:pPr>
              <w:widowControl/>
              <w:adjustRightInd w:val="0"/>
              <w:snapToGrid w:val="0"/>
              <w:jc w:val="center"/>
              <w:textAlignment w:val="center"/>
              <w:rPr>
                <w:sz w:val="22"/>
                <w:szCs w:val="22"/>
              </w:rPr>
            </w:pPr>
            <w:r>
              <w:rPr>
                <w:rFonts w:eastAsia="等线"/>
                <w:kern w:val="0"/>
                <w:sz w:val="22"/>
                <w:szCs w:val="22"/>
                <w:lang w:bidi="ar"/>
              </w:rPr>
              <w:t>0.01(L)</w:t>
            </w:r>
          </w:p>
        </w:tc>
        <w:tc>
          <w:tcPr>
            <w:tcW w:w="375" w:type="pct"/>
            <w:tcBorders>
              <w:tl2br w:val="nil"/>
              <w:tr2bl w:val="nil"/>
            </w:tcBorders>
            <w:noWrap/>
            <w:vAlign w:val="center"/>
          </w:tcPr>
          <w:p w14:paraId="0C1BA464">
            <w:pPr>
              <w:widowControl/>
              <w:adjustRightInd w:val="0"/>
              <w:snapToGrid w:val="0"/>
              <w:jc w:val="center"/>
              <w:textAlignment w:val="center"/>
              <w:rPr>
                <w:sz w:val="22"/>
                <w:szCs w:val="22"/>
              </w:rPr>
            </w:pPr>
            <w:r>
              <w:rPr>
                <w:rFonts w:eastAsia="等线"/>
                <w:kern w:val="0"/>
                <w:sz w:val="22"/>
                <w:szCs w:val="22"/>
                <w:lang w:bidi="ar"/>
              </w:rPr>
              <w:t>/</w:t>
            </w:r>
          </w:p>
        </w:tc>
      </w:tr>
      <w:tr w14:paraId="701B6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591843AF">
            <w:pPr>
              <w:pStyle w:val="687"/>
              <w:adjustRightInd w:val="0"/>
              <w:snapToGrid w:val="0"/>
              <w:rPr>
                <w:szCs w:val="22"/>
              </w:rPr>
            </w:pPr>
            <w:r>
              <w:rPr>
                <w:rFonts w:hint="eastAsia"/>
                <w:bCs/>
                <w:szCs w:val="22"/>
              </w:rPr>
              <w:t>硫化物</w:t>
            </w:r>
          </w:p>
        </w:tc>
        <w:tc>
          <w:tcPr>
            <w:tcW w:w="406" w:type="pct"/>
            <w:tcBorders>
              <w:tl2br w:val="nil"/>
              <w:tr2bl w:val="nil"/>
            </w:tcBorders>
            <w:vAlign w:val="center"/>
          </w:tcPr>
          <w:p w14:paraId="12E97355">
            <w:pPr>
              <w:pStyle w:val="687"/>
              <w:adjustRightInd w:val="0"/>
              <w:snapToGrid w:val="0"/>
              <w:rPr>
                <w:szCs w:val="22"/>
              </w:rPr>
            </w:pPr>
            <w:r>
              <w:rPr>
                <w:rFonts w:hint="eastAsia"/>
                <w:bCs/>
                <w:szCs w:val="22"/>
              </w:rPr>
              <w:t>mg/L</w:t>
            </w:r>
          </w:p>
        </w:tc>
        <w:tc>
          <w:tcPr>
            <w:tcW w:w="615" w:type="pct"/>
            <w:tcBorders>
              <w:tl2br w:val="nil"/>
              <w:tr2bl w:val="nil"/>
            </w:tcBorders>
            <w:vAlign w:val="center"/>
          </w:tcPr>
          <w:p w14:paraId="20FA46CB">
            <w:pPr>
              <w:widowControl/>
              <w:adjustRightInd w:val="0"/>
              <w:snapToGrid w:val="0"/>
              <w:jc w:val="center"/>
              <w:textAlignment w:val="center"/>
              <w:rPr>
                <w:sz w:val="22"/>
                <w:szCs w:val="22"/>
              </w:rPr>
            </w:pPr>
            <w:r>
              <w:rPr>
                <w:rFonts w:eastAsia="等线"/>
                <w:kern w:val="0"/>
                <w:sz w:val="22"/>
                <w:szCs w:val="22"/>
                <w:lang w:bidi="ar"/>
              </w:rPr>
              <w:t>0.003(L)</w:t>
            </w:r>
          </w:p>
        </w:tc>
        <w:tc>
          <w:tcPr>
            <w:tcW w:w="542" w:type="pct"/>
            <w:tcBorders>
              <w:tl2br w:val="nil"/>
              <w:tr2bl w:val="nil"/>
            </w:tcBorders>
            <w:vAlign w:val="center"/>
          </w:tcPr>
          <w:p w14:paraId="3C7A9517">
            <w:pPr>
              <w:widowControl/>
              <w:adjustRightInd w:val="0"/>
              <w:snapToGrid w:val="0"/>
              <w:jc w:val="center"/>
              <w:textAlignment w:val="center"/>
              <w:rPr>
                <w:rFonts w:eastAsia="等线"/>
                <w:sz w:val="22"/>
                <w:szCs w:val="22"/>
              </w:rPr>
            </w:pPr>
            <w:r>
              <w:rPr>
                <w:rFonts w:eastAsia="等线"/>
                <w:kern w:val="0"/>
                <w:sz w:val="22"/>
                <w:szCs w:val="22"/>
                <w:lang w:bidi="ar"/>
              </w:rPr>
              <w:t>0.003(L)</w:t>
            </w:r>
          </w:p>
        </w:tc>
        <w:tc>
          <w:tcPr>
            <w:tcW w:w="487" w:type="pct"/>
            <w:tcBorders>
              <w:tl2br w:val="nil"/>
              <w:tr2bl w:val="nil"/>
            </w:tcBorders>
            <w:vAlign w:val="center"/>
          </w:tcPr>
          <w:p w14:paraId="45B667CD">
            <w:pPr>
              <w:widowControl/>
              <w:adjustRightInd w:val="0"/>
              <w:snapToGrid w:val="0"/>
              <w:jc w:val="center"/>
              <w:textAlignment w:val="center"/>
              <w:rPr>
                <w:rFonts w:eastAsia="等线"/>
                <w:sz w:val="22"/>
                <w:szCs w:val="22"/>
              </w:rPr>
            </w:pPr>
            <w:r>
              <w:rPr>
                <w:rFonts w:eastAsia="等线"/>
                <w:kern w:val="0"/>
                <w:sz w:val="22"/>
                <w:szCs w:val="22"/>
                <w:lang w:bidi="ar"/>
              </w:rPr>
              <w:t>0.003(L)</w:t>
            </w:r>
          </w:p>
        </w:tc>
        <w:tc>
          <w:tcPr>
            <w:tcW w:w="542" w:type="pct"/>
            <w:tcBorders>
              <w:tl2br w:val="nil"/>
              <w:tr2bl w:val="nil"/>
            </w:tcBorders>
            <w:vAlign w:val="center"/>
          </w:tcPr>
          <w:p w14:paraId="01B8F227">
            <w:pPr>
              <w:widowControl/>
              <w:adjustRightInd w:val="0"/>
              <w:snapToGrid w:val="0"/>
              <w:jc w:val="center"/>
              <w:textAlignment w:val="center"/>
              <w:rPr>
                <w:sz w:val="22"/>
                <w:szCs w:val="22"/>
              </w:rPr>
            </w:pPr>
            <w:r>
              <w:rPr>
                <w:rFonts w:eastAsia="等线"/>
                <w:kern w:val="0"/>
                <w:sz w:val="22"/>
                <w:szCs w:val="22"/>
                <w:lang w:bidi="ar"/>
              </w:rPr>
              <w:t>0.003(L)</w:t>
            </w:r>
          </w:p>
        </w:tc>
        <w:tc>
          <w:tcPr>
            <w:tcW w:w="487" w:type="pct"/>
            <w:tcBorders>
              <w:tl2br w:val="nil"/>
              <w:tr2bl w:val="nil"/>
            </w:tcBorders>
            <w:noWrap/>
            <w:vAlign w:val="center"/>
          </w:tcPr>
          <w:p w14:paraId="2F2E6B01">
            <w:pPr>
              <w:widowControl/>
              <w:adjustRightInd w:val="0"/>
              <w:snapToGrid w:val="0"/>
              <w:jc w:val="center"/>
              <w:textAlignment w:val="center"/>
              <w:rPr>
                <w:sz w:val="22"/>
                <w:szCs w:val="22"/>
              </w:rPr>
            </w:pPr>
            <w:r>
              <w:rPr>
                <w:rFonts w:eastAsia="等线"/>
                <w:kern w:val="0"/>
                <w:sz w:val="22"/>
                <w:szCs w:val="22"/>
                <w:lang w:bidi="ar"/>
              </w:rPr>
              <w:t>0.003(L)</w:t>
            </w:r>
          </w:p>
        </w:tc>
        <w:tc>
          <w:tcPr>
            <w:tcW w:w="487" w:type="pct"/>
            <w:tcBorders>
              <w:tl2br w:val="nil"/>
              <w:tr2bl w:val="nil"/>
            </w:tcBorders>
            <w:noWrap/>
            <w:vAlign w:val="center"/>
          </w:tcPr>
          <w:p w14:paraId="22CBDEFB">
            <w:pPr>
              <w:widowControl/>
              <w:adjustRightInd w:val="0"/>
              <w:snapToGrid w:val="0"/>
              <w:jc w:val="center"/>
              <w:textAlignment w:val="center"/>
              <w:rPr>
                <w:sz w:val="22"/>
                <w:szCs w:val="22"/>
              </w:rPr>
            </w:pPr>
            <w:r>
              <w:rPr>
                <w:rFonts w:eastAsia="等线"/>
                <w:kern w:val="0"/>
                <w:sz w:val="22"/>
                <w:szCs w:val="22"/>
                <w:lang w:bidi="ar"/>
              </w:rPr>
              <w:t>0.003(L)</w:t>
            </w:r>
          </w:p>
        </w:tc>
        <w:tc>
          <w:tcPr>
            <w:tcW w:w="375" w:type="pct"/>
            <w:tcBorders>
              <w:tl2br w:val="nil"/>
              <w:tr2bl w:val="nil"/>
            </w:tcBorders>
            <w:noWrap/>
            <w:vAlign w:val="center"/>
          </w:tcPr>
          <w:p w14:paraId="023616F5">
            <w:pPr>
              <w:widowControl/>
              <w:adjustRightInd w:val="0"/>
              <w:snapToGrid w:val="0"/>
              <w:jc w:val="center"/>
              <w:textAlignment w:val="center"/>
              <w:rPr>
                <w:sz w:val="22"/>
                <w:szCs w:val="22"/>
              </w:rPr>
            </w:pPr>
            <w:r>
              <w:rPr>
                <w:rFonts w:eastAsia="等线"/>
                <w:kern w:val="0"/>
                <w:sz w:val="22"/>
                <w:szCs w:val="22"/>
                <w:lang w:bidi="ar"/>
              </w:rPr>
              <w:t>/</w:t>
            </w:r>
          </w:p>
        </w:tc>
      </w:tr>
      <w:tr w14:paraId="5006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66F14371">
            <w:pPr>
              <w:pStyle w:val="687"/>
              <w:adjustRightInd w:val="0"/>
              <w:snapToGrid w:val="0"/>
              <w:rPr>
                <w:szCs w:val="22"/>
              </w:rPr>
            </w:pPr>
            <w:r>
              <w:rPr>
                <w:rFonts w:hint="eastAsia"/>
                <w:bCs/>
                <w:szCs w:val="22"/>
              </w:rPr>
              <w:t>钡</w:t>
            </w:r>
          </w:p>
        </w:tc>
        <w:tc>
          <w:tcPr>
            <w:tcW w:w="406" w:type="pct"/>
            <w:tcBorders>
              <w:tl2br w:val="nil"/>
              <w:tr2bl w:val="nil"/>
            </w:tcBorders>
            <w:vAlign w:val="center"/>
          </w:tcPr>
          <w:p w14:paraId="50B5335F">
            <w:pPr>
              <w:pStyle w:val="687"/>
              <w:adjustRightInd w:val="0"/>
              <w:snapToGrid w:val="0"/>
              <w:rPr>
                <w:szCs w:val="22"/>
              </w:rPr>
            </w:pPr>
            <w:r>
              <w:rPr>
                <w:rFonts w:hint="eastAsia"/>
                <w:bCs/>
                <w:szCs w:val="22"/>
              </w:rPr>
              <w:t>mg/L</w:t>
            </w:r>
          </w:p>
        </w:tc>
        <w:tc>
          <w:tcPr>
            <w:tcW w:w="615" w:type="pct"/>
            <w:tcBorders>
              <w:tl2br w:val="nil"/>
              <w:tr2bl w:val="nil"/>
            </w:tcBorders>
            <w:vAlign w:val="center"/>
          </w:tcPr>
          <w:p w14:paraId="52809DE0">
            <w:pPr>
              <w:widowControl/>
              <w:adjustRightInd w:val="0"/>
              <w:snapToGrid w:val="0"/>
              <w:jc w:val="center"/>
              <w:textAlignment w:val="center"/>
              <w:rPr>
                <w:sz w:val="22"/>
                <w:szCs w:val="22"/>
              </w:rPr>
            </w:pPr>
            <w:r>
              <w:rPr>
                <w:rFonts w:eastAsia="等线"/>
                <w:kern w:val="0"/>
                <w:sz w:val="22"/>
                <w:szCs w:val="22"/>
                <w:lang w:bidi="ar"/>
              </w:rPr>
              <w:t>10(L)</w:t>
            </w:r>
          </w:p>
        </w:tc>
        <w:tc>
          <w:tcPr>
            <w:tcW w:w="542" w:type="pct"/>
            <w:tcBorders>
              <w:tl2br w:val="nil"/>
              <w:tr2bl w:val="nil"/>
            </w:tcBorders>
            <w:vAlign w:val="center"/>
          </w:tcPr>
          <w:p w14:paraId="2B357677">
            <w:pPr>
              <w:widowControl/>
              <w:adjustRightInd w:val="0"/>
              <w:snapToGrid w:val="0"/>
              <w:jc w:val="center"/>
              <w:textAlignment w:val="center"/>
              <w:rPr>
                <w:rFonts w:eastAsia="等线"/>
                <w:sz w:val="22"/>
                <w:szCs w:val="22"/>
              </w:rPr>
            </w:pPr>
            <w:r>
              <w:rPr>
                <w:rFonts w:eastAsia="等线"/>
                <w:kern w:val="0"/>
                <w:sz w:val="22"/>
                <w:szCs w:val="22"/>
                <w:lang w:bidi="ar"/>
              </w:rPr>
              <w:t>10(L)</w:t>
            </w:r>
          </w:p>
        </w:tc>
        <w:tc>
          <w:tcPr>
            <w:tcW w:w="487" w:type="pct"/>
            <w:tcBorders>
              <w:tl2br w:val="nil"/>
              <w:tr2bl w:val="nil"/>
            </w:tcBorders>
            <w:vAlign w:val="center"/>
          </w:tcPr>
          <w:p w14:paraId="3D0E6FC6">
            <w:pPr>
              <w:widowControl/>
              <w:adjustRightInd w:val="0"/>
              <w:snapToGrid w:val="0"/>
              <w:jc w:val="center"/>
              <w:textAlignment w:val="center"/>
              <w:rPr>
                <w:rFonts w:eastAsia="等线"/>
                <w:sz w:val="22"/>
                <w:szCs w:val="22"/>
              </w:rPr>
            </w:pPr>
            <w:r>
              <w:rPr>
                <w:rFonts w:eastAsia="等线"/>
                <w:kern w:val="0"/>
                <w:sz w:val="22"/>
                <w:szCs w:val="22"/>
                <w:lang w:bidi="ar"/>
              </w:rPr>
              <w:t>10(L)</w:t>
            </w:r>
          </w:p>
        </w:tc>
        <w:tc>
          <w:tcPr>
            <w:tcW w:w="542" w:type="pct"/>
            <w:tcBorders>
              <w:tl2br w:val="nil"/>
              <w:tr2bl w:val="nil"/>
            </w:tcBorders>
            <w:vAlign w:val="center"/>
          </w:tcPr>
          <w:p w14:paraId="6DE2CFC6">
            <w:pPr>
              <w:widowControl/>
              <w:adjustRightInd w:val="0"/>
              <w:snapToGrid w:val="0"/>
              <w:jc w:val="center"/>
              <w:textAlignment w:val="center"/>
              <w:rPr>
                <w:sz w:val="22"/>
                <w:szCs w:val="22"/>
              </w:rPr>
            </w:pPr>
            <w:r>
              <w:rPr>
                <w:rFonts w:eastAsia="等线"/>
                <w:kern w:val="0"/>
                <w:sz w:val="22"/>
                <w:szCs w:val="22"/>
                <w:lang w:bidi="ar"/>
              </w:rPr>
              <w:t>10(L)</w:t>
            </w:r>
          </w:p>
        </w:tc>
        <w:tc>
          <w:tcPr>
            <w:tcW w:w="487" w:type="pct"/>
            <w:tcBorders>
              <w:tl2br w:val="nil"/>
              <w:tr2bl w:val="nil"/>
            </w:tcBorders>
            <w:noWrap/>
            <w:vAlign w:val="center"/>
          </w:tcPr>
          <w:p w14:paraId="3149DEC2">
            <w:pPr>
              <w:widowControl/>
              <w:adjustRightInd w:val="0"/>
              <w:snapToGrid w:val="0"/>
              <w:jc w:val="center"/>
              <w:textAlignment w:val="center"/>
              <w:rPr>
                <w:sz w:val="22"/>
                <w:szCs w:val="22"/>
              </w:rPr>
            </w:pPr>
            <w:r>
              <w:rPr>
                <w:rFonts w:eastAsia="等线"/>
                <w:kern w:val="0"/>
                <w:sz w:val="22"/>
                <w:szCs w:val="22"/>
                <w:lang w:bidi="ar"/>
              </w:rPr>
              <w:t>10(L)</w:t>
            </w:r>
          </w:p>
        </w:tc>
        <w:tc>
          <w:tcPr>
            <w:tcW w:w="487" w:type="pct"/>
            <w:tcBorders>
              <w:tl2br w:val="nil"/>
              <w:tr2bl w:val="nil"/>
            </w:tcBorders>
            <w:noWrap/>
            <w:vAlign w:val="center"/>
          </w:tcPr>
          <w:p w14:paraId="79F38DD1">
            <w:pPr>
              <w:widowControl/>
              <w:adjustRightInd w:val="0"/>
              <w:snapToGrid w:val="0"/>
              <w:jc w:val="center"/>
              <w:textAlignment w:val="center"/>
              <w:rPr>
                <w:sz w:val="22"/>
                <w:szCs w:val="22"/>
              </w:rPr>
            </w:pPr>
            <w:r>
              <w:rPr>
                <w:rFonts w:eastAsia="等线"/>
                <w:kern w:val="0"/>
                <w:sz w:val="22"/>
                <w:szCs w:val="22"/>
                <w:lang w:bidi="ar"/>
              </w:rPr>
              <w:t>10(L)</w:t>
            </w:r>
          </w:p>
        </w:tc>
        <w:tc>
          <w:tcPr>
            <w:tcW w:w="375" w:type="pct"/>
            <w:tcBorders>
              <w:tl2br w:val="nil"/>
              <w:tr2bl w:val="nil"/>
            </w:tcBorders>
            <w:noWrap/>
            <w:vAlign w:val="center"/>
          </w:tcPr>
          <w:p w14:paraId="0F9486DC">
            <w:pPr>
              <w:widowControl/>
              <w:adjustRightInd w:val="0"/>
              <w:snapToGrid w:val="0"/>
              <w:jc w:val="center"/>
              <w:textAlignment w:val="center"/>
              <w:rPr>
                <w:sz w:val="22"/>
                <w:szCs w:val="22"/>
              </w:rPr>
            </w:pPr>
            <w:r>
              <w:rPr>
                <w:rFonts w:eastAsia="等线"/>
                <w:kern w:val="0"/>
                <w:sz w:val="22"/>
                <w:szCs w:val="22"/>
                <w:lang w:bidi="ar"/>
              </w:rPr>
              <w:t>/</w:t>
            </w:r>
          </w:p>
        </w:tc>
      </w:tr>
      <w:tr w14:paraId="0197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212452C2">
            <w:pPr>
              <w:pStyle w:val="687"/>
              <w:adjustRightInd w:val="0"/>
              <w:snapToGrid w:val="0"/>
              <w:rPr>
                <w:szCs w:val="22"/>
              </w:rPr>
            </w:pPr>
            <w:r>
              <w:rPr>
                <w:rFonts w:hint="eastAsia"/>
                <w:szCs w:val="22"/>
              </w:rPr>
              <w:t>铁</w:t>
            </w:r>
          </w:p>
        </w:tc>
        <w:tc>
          <w:tcPr>
            <w:tcW w:w="406" w:type="pct"/>
            <w:tcBorders>
              <w:tl2br w:val="nil"/>
              <w:tr2bl w:val="nil"/>
            </w:tcBorders>
            <w:vAlign w:val="center"/>
          </w:tcPr>
          <w:p w14:paraId="0987B379">
            <w:pPr>
              <w:pStyle w:val="687"/>
              <w:adjustRightInd w:val="0"/>
              <w:snapToGrid w:val="0"/>
              <w:rPr>
                <w:bCs/>
                <w:szCs w:val="22"/>
              </w:rPr>
            </w:pPr>
            <w:r>
              <w:rPr>
                <w:rFonts w:hint="eastAsia"/>
                <w:bCs/>
                <w:szCs w:val="22"/>
              </w:rPr>
              <w:t>mg/L</w:t>
            </w:r>
          </w:p>
        </w:tc>
        <w:tc>
          <w:tcPr>
            <w:tcW w:w="615" w:type="pct"/>
            <w:tcBorders>
              <w:tl2br w:val="nil"/>
              <w:tr2bl w:val="nil"/>
            </w:tcBorders>
            <w:vAlign w:val="center"/>
          </w:tcPr>
          <w:p w14:paraId="35FCD803">
            <w:pPr>
              <w:widowControl/>
              <w:adjustRightInd w:val="0"/>
              <w:snapToGrid w:val="0"/>
              <w:jc w:val="center"/>
              <w:textAlignment w:val="center"/>
              <w:rPr>
                <w:rFonts w:eastAsia="等线"/>
                <w:sz w:val="22"/>
                <w:szCs w:val="22"/>
              </w:rPr>
            </w:pPr>
            <w:r>
              <w:rPr>
                <w:rFonts w:eastAsia="等线"/>
                <w:kern w:val="0"/>
                <w:sz w:val="22"/>
                <w:szCs w:val="22"/>
                <w:lang w:bidi="ar"/>
              </w:rPr>
              <w:t>0.03(L)</w:t>
            </w:r>
          </w:p>
        </w:tc>
        <w:tc>
          <w:tcPr>
            <w:tcW w:w="542" w:type="pct"/>
            <w:tcBorders>
              <w:tl2br w:val="nil"/>
              <w:tr2bl w:val="nil"/>
            </w:tcBorders>
            <w:vAlign w:val="center"/>
          </w:tcPr>
          <w:p w14:paraId="3FF7C7A0">
            <w:pPr>
              <w:widowControl/>
              <w:adjustRightInd w:val="0"/>
              <w:snapToGrid w:val="0"/>
              <w:jc w:val="center"/>
              <w:textAlignment w:val="center"/>
              <w:rPr>
                <w:rFonts w:eastAsia="等线"/>
                <w:sz w:val="22"/>
                <w:szCs w:val="22"/>
              </w:rPr>
            </w:pPr>
            <w:r>
              <w:rPr>
                <w:rFonts w:eastAsia="等线"/>
                <w:kern w:val="0"/>
                <w:sz w:val="22"/>
                <w:szCs w:val="22"/>
                <w:lang w:bidi="ar"/>
              </w:rPr>
              <w:t>0.03(L)</w:t>
            </w:r>
          </w:p>
        </w:tc>
        <w:tc>
          <w:tcPr>
            <w:tcW w:w="487" w:type="pct"/>
            <w:tcBorders>
              <w:tl2br w:val="nil"/>
              <w:tr2bl w:val="nil"/>
            </w:tcBorders>
            <w:vAlign w:val="center"/>
          </w:tcPr>
          <w:p w14:paraId="1FB22B7B">
            <w:pPr>
              <w:widowControl/>
              <w:adjustRightInd w:val="0"/>
              <w:snapToGrid w:val="0"/>
              <w:jc w:val="center"/>
              <w:textAlignment w:val="center"/>
              <w:rPr>
                <w:rFonts w:eastAsia="等线"/>
                <w:sz w:val="22"/>
                <w:szCs w:val="22"/>
              </w:rPr>
            </w:pPr>
            <w:r>
              <w:rPr>
                <w:rFonts w:eastAsia="等线"/>
                <w:kern w:val="0"/>
                <w:sz w:val="22"/>
                <w:szCs w:val="22"/>
                <w:lang w:bidi="ar"/>
              </w:rPr>
              <w:t>0.03(L)</w:t>
            </w:r>
          </w:p>
        </w:tc>
        <w:tc>
          <w:tcPr>
            <w:tcW w:w="542" w:type="pct"/>
            <w:tcBorders>
              <w:tl2br w:val="nil"/>
              <w:tr2bl w:val="nil"/>
            </w:tcBorders>
            <w:vAlign w:val="center"/>
          </w:tcPr>
          <w:p w14:paraId="113AC5CF">
            <w:pPr>
              <w:widowControl/>
              <w:adjustRightInd w:val="0"/>
              <w:snapToGrid w:val="0"/>
              <w:jc w:val="center"/>
              <w:textAlignment w:val="center"/>
              <w:rPr>
                <w:rFonts w:eastAsia="等线"/>
                <w:sz w:val="22"/>
                <w:szCs w:val="22"/>
              </w:rPr>
            </w:pPr>
            <w:r>
              <w:rPr>
                <w:rFonts w:eastAsia="等线"/>
                <w:kern w:val="0"/>
                <w:sz w:val="22"/>
                <w:szCs w:val="22"/>
                <w:lang w:bidi="ar"/>
              </w:rPr>
              <w:t>0.03(L)</w:t>
            </w:r>
          </w:p>
        </w:tc>
        <w:tc>
          <w:tcPr>
            <w:tcW w:w="487" w:type="pct"/>
            <w:tcBorders>
              <w:tl2br w:val="nil"/>
              <w:tr2bl w:val="nil"/>
            </w:tcBorders>
            <w:noWrap/>
            <w:vAlign w:val="center"/>
          </w:tcPr>
          <w:p w14:paraId="16C34B8D">
            <w:pPr>
              <w:widowControl/>
              <w:adjustRightInd w:val="0"/>
              <w:snapToGrid w:val="0"/>
              <w:jc w:val="center"/>
              <w:textAlignment w:val="center"/>
              <w:rPr>
                <w:rFonts w:eastAsia="等线"/>
                <w:sz w:val="22"/>
                <w:szCs w:val="22"/>
              </w:rPr>
            </w:pPr>
            <w:r>
              <w:rPr>
                <w:rFonts w:eastAsia="等线"/>
                <w:kern w:val="0"/>
                <w:sz w:val="22"/>
                <w:szCs w:val="22"/>
                <w:lang w:bidi="ar"/>
              </w:rPr>
              <w:t>0.03(L)</w:t>
            </w:r>
          </w:p>
        </w:tc>
        <w:tc>
          <w:tcPr>
            <w:tcW w:w="487" w:type="pct"/>
            <w:tcBorders>
              <w:tl2br w:val="nil"/>
              <w:tr2bl w:val="nil"/>
            </w:tcBorders>
            <w:noWrap/>
            <w:vAlign w:val="center"/>
          </w:tcPr>
          <w:p w14:paraId="5D362049">
            <w:pPr>
              <w:widowControl/>
              <w:adjustRightInd w:val="0"/>
              <w:snapToGrid w:val="0"/>
              <w:jc w:val="center"/>
              <w:textAlignment w:val="center"/>
              <w:rPr>
                <w:rFonts w:eastAsia="等线"/>
                <w:sz w:val="22"/>
                <w:szCs w:val="22"/>
              </w:rPr>
            </w:pPr>
            <w:r>
              <w:rPr>
                <w:rFonts w:eastAsia="等线"/>
                <w:kern w:val="0"/>
                <w:sz w:val="22"/>
                <w:szCs w:val="22"/>
                <w:lang w:bidi="ar"/>
              </w:rPr>
              <w:t>0.03(L)</w:t>
            </w:r>
          </w:p>
        </w:tc>
        <w:tc>
          <w:tcPr>
            <w:tcW w:w="375" w:type="pct"/>
            <w:tcBorders>
              <w:tl2br w:val="nil"/>
              <w:tr2bl w:val="nil"/>
            </w:tcBorders>
            <w:noWrap/>
            <w:vAlign w:val="center"/>
          </w:tcPr>
          <w:p w14:paraId="008175FA">
            <w:pPr>
              <w:widowControl/>
              <w:adjustRightInd w:val="0"/>
              <w:snapToGrid w:val="0"/>
              <w:jc w:val="center"/>
              <w:textAlignment w:val="center"/>
              <w:rPr>
                <w:rFonts w:eastAsia="等线"/>
                <w:sz w:val="22"/>
                <w:szCs w:val="22"/>
              </w:rPr>
            </w:pPr>
            <w:r>
              <w:rPr>
                <w:rFonts w:eastAsia="等线"/>
                <w:kern w:val="0"/>
                <w:sz w:val="22"/>
                <w:szCs w:val="22"/>
                <w:lang w:bidi="ar"/>
              </w:rPr>
              <w:t>/</w:t>
            </w:r>
          </w:p>
        </w:tc>
      </w:tr>
      <w:tr w14:paraId="4060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323D182A">
            <w:pPr>
              <w:pStyle w:val="687"/>
              <w:adjustRightInd w:val="0"/>
              <w:snapToGrid w:val="0"/>
              <w:rPr>
                <w:szCs w:val="22"/>
              </w:rPr>
            </w:pPr>
            <w:r>
              <w:rPr>
                <w:rFonts w:hint="eastAsia"/>
                <w:szCs w:val="22"/>
              </w:rPr>
              <w:t>锰</w:t>
            </w:r>
          </w:p>
        </w:tc>
        <w:tc>
          <w:tcPr>
            <w:tcW w:w="406" w:type="pct"/>
            <w:tcBorders>
              <w:tl2br w:val="nil"/>
              <w:tr2bl w:val="nil"/>
            </w:tcBorders>
            <w:vAlign w:val="center"/>
          </w:tcPr>
          <w:p w14:paraId="6CD4CA53">
            <w:pPr>
              <w:pStyle w:val="687"/>
              <w:adjustRightInd w:val="0"/>
              <w:snapToGrid w:val="0"/>
              <w:rPr>
                <w:bCs/>
                <w:szCs w:val="22"/>
              </w:rPr>
            </w:pPr>
            <w:r>
              <w:rPr>
                <w:rFonts w:hint="eastAsia"/>
                <w:bCs/>
                <w:szCs w:val="22"/>
              </w:rPr>
              <w:t>mg/L</w:t>
            </w:r>
          </w:p>
        </w:tc>
        <w:tc>
          <w:tcPr>
            <w:tcW w:w="615" w:type="pct"/>
            <w:tcBorders>
              <w:tl2br w:val="nil"/>
              <w:tr2bl w:val="nil"/>
            </w:tcBorders>
            <w:vAlign w:val="center"/>
          </w:tcPr>
          <w:p w14:paraId="3A62B326">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542" w:type="pct"/>
            <w:tcBorders>
              <w:tl2br w:val="nil"/>
              <w:tr2bl w:val="nil"/>
            </w:tcBorders>
            <w:vAlign w:val="center"/>
          </w:tcPr>
          <w:p w14:paraId="777F84B4">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487" w:type="pct"/>
            <w:tcBorders>
              <w:tl2br w:val="nil"/>
              <w:tr2bl w:val="nil"/>
            </w:tcBorders>
            <w:vAlign w:val="center"/>
          </w:tcPr>
          <w:p w14:paraId="7212EDAA">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542" w:type="pct"/>
            <w:tcBorders>
              <w:tl2br w:val="nil"/>
              <w:tr2bl w:val="nil"/>
            </w:tcBorders>
            <w:vAlign w:val="center"/>
          </w:tcPr>
          <w:p w14:paraId="5B3491C3">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487" w:type="pct"/>
            <w:tcBorders>
              <w:tl2br w:val="nil"/>
              <w:tr2bl w:val="nil"/>
            </w:tcBorders>
            <w:noWrap/>
            <w:vAlign w:val="center"/>
          </w:tcPr>
          <w:p w14:paraId="0AC8BB30">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487" w:type="pct"/>
            <w:tcBorders>
              <w:tl2br w:val="nil"/>
              <w:tr2bl w:val="nil"/>
            </w:tcBorders>
            <w:noWrap/>
            <w:vAlign w:val="center"/>
          </w:tcPr>
          <w:p w14:paraId="51C1CFA4">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375" w:type="pct"/>
            <w:tcBorders>
              <w:tl2br w:val="nil"/>
              <w:tr2bl w:val="nil"/>
            </w:tcBorders>
            <w:noWrap/>
            <w:vAlign w:val="center"/>
          </w:tcPr>
          <w:p w14:paraId="1347B10E">
            <w:pPr>
              <w:widowControl/>
              <w:adjustRightInd w:val="0"/>
              <w:snapToGrid w:val="0"/>
              <w:jc w:val="center"/>
              <w:textAlignment w:val="center"/>
              <w:rPr>
                <w:rFonts w:eastAsia="等线"/>
                <w:sz w:val="22"/>
                <w:szCs w:val="22"/>
              </w:rPr>
            </w:pPr>
            <w:r>
              <w:rPr>
                <w:rFonts w:eastAsia="等线"/>
                <w:kern w:val="0"/>
                <w:sz w:val="22"/>
                <w:szCs w:val="22"/>
                <w:lang w:bidi="ar"/>
              </w:rPr>
              <w:t>/</w:t>
            </w:r>
          </w:p>
        </w:tc>
      </w:tr>
      <w:tr w14:paraId="4286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4265539D">
            <w:pPr>
              <w:pStyle w:val="687"/>
              <w:adjustRightInd w:val="0"/>
              <w:snapToGrid w:val="0"/>
              <w:rPr>
                <w:szCs w:val="22"/>
              </w:rPr>
            </w:pPr>
            <w:r>
              <w:rPr>
                <w:szCs w:val="22"/>
              </w:rPr>
              <w:t>铬（六价）</w:t>
            </w:r>
          </w:p>
        </w:tc>
        <w:tc>
          <w:tcPr>
            <w:tcW w:w="406" w:type="pct"/>
            <w:tcBorders>
              <w:tl2br w:val="nil"/>
              <w:tr2bl w:val="nil"/>
            </w:tcBorders>
            <w:vAlign w:val="center"/>
          </w:tcPr>
          <w:p w14:paraId="444582B4">
            <w:pPr>
              <w:pStyle w:val="687"/>
              <w:adjustRightInd w:val="0"/>
              <w:snapToGrid w:val="0"/>
              <w:rPr>
                <w:bCs/>
                <w:szCs w:val="22"/>
              </w:rPr>
            </w:pPr>
            <w:r>
              <w:rPr>
                <w:rFonts w:hint="eastAsia"/>
                <w:bCs/>
                <w:szCs w:val="22"/>
              </w:rPr>
              <w:t>mg/L</w:t>
            </w:r>
          </w:p>
        </w:tc>
        <w:tc>
          <w:tcPr>
            <w:tcW w:w="615" w:type="pct"/>
            <w:tcBorders>
              <w:tl2br w:val="nil"/>
              <w:tr2bl w:val="nil"/>
            </w:tcBorders>
            <w:vAlign w:val="center"/>
          </w:tcPr>
          <w:p w14:paraId="39B416F9">
            <w:pPr>
              <w:widowControl/>
              <w:adjustRightInd w:val="0"/>
              <w:snapToGrid w:val="0"/>
              <w:jc w:val="center"/>
              <w:textAlignment w:val="center"/>
              <w:rPr>
                <w:rFonts w:eastAsia="等线"/>
                <w:sz w:val="22"/>
                <w:szCs w:val="22"/>
              </w:rPr>
            </w:pPr>
            <w:r>
              <w:rPr>
                <w:rFonts w:eastAsia="等线"/>
                <w:kern w:val="0"/>
                <w:sz w:val="22"/>
                <w:szCs w:val="22"/>
                <w:lang w:bidi="ar"/>
              </w:rPr>
              <w:t>0.004(L)</w:t>
            </w:r>
          </w:p>
        </w:tc>
        <w:tc>
          <w:tcPr>
            <w:tcW w:w="542" w:type="pct"/>
            <w:tcBorders>
              <w:tl2br w:val="nil"/>
              <w:tr2bl w:val="nil"/>
            </w:tcBorders>
            <w:vAlign w:val="center"/>
          </w:tcPr>
          <w:p w14:paraId="4CE2114B">
            <w:pPr>
              <w:widowControl/>
              <w:adjustRightInd w:val="0"/>
              <w:snapToGrid w:val="0"/>
              <w:jc w:val="center"/>
              <w:textAlignment w:val="center"/>
              <w:rPr>
                <w:rFonts w:eastAsia="等线"/>
                <w:sz w:val="22"/>
                <w:szCs w:val="22"/>
              </w:rPr>
            </w:pPr>
            <w:r>
              <w:rPr>
                <w:rFonts w:eastAsia="等线"/>
                <w:kern w:val="0"/>
                <w:sz w:val="22"/>
                <w:szCs w:val="22"/>
                <w:lang w:bidi="ar"/>
              </w:rPr>
              <w:t>0.004(L)</w:t>
            </w:r>
          </w:p>
        </w:tc>
        <w:tc>
          <w:tcPr>
            <w:tcW w:w="487" w:type="pct"/>
            <w:tcBorders>
              <w:tl2br w:val="nil"/>
              <w:tr2bl w:val="nil"/>
            </w:tcBorders>
            <w:vAlign w:val="center"/>
          </w:tcPr>
          <w:p w14:paraId="17BE44FD">
            <w:pPr>
              <w:widowControl/>
              <w:adjustRightInd w:val="0"/>
              <w:snapToGrid w:val="0"/>
              <w:jc w:val="center"/>
              <w:textAlignment w:val="center"/>
              <w:rPr>
                <w:rFonts w:eastAsia="等线"/>
                <w:sz w:val="22"/>
                <w:szCs w:val="22"/>
              </w:rPr>
            </w:pPr>
            <w:r>
              <w:rPr>
                <w:rFonts w:eastAsia="等线"/>
                <w:kern w:val="0"/>
                <w:sz w:val="22"/>
                <w:szCs w:val="22"/>
                <w:lang w:bidi="ar"/>
              </w:rPr>
              <w:t>0.004(L)</w:t>
            </w:r>
          </w:p>
        </w:tc>
        <w:tc>
          <w:tcPr>
            <w:tcW w:w="542" w:type="pct"/>
            <w:tcBorders>
              <w:tl2br w:val="nil"/>
              <w:tr2bl w:val="nil"/>
            </w:tcBorders>
            <w:vAlign w:val="center"/>
          </w:tcPr>
          <w:p w14:paraId="7969501C">
            <w:pPr>
              <w:widowControl/>
              <w:adjustRightInd w:val="0"/>
              <w:snapToGrid w:val="0"/>
              <w:jc w:val="center"/>
              <w:textAlignment w:val="center"/>
              <w:rPr>
                <w:rFonts w:eastAsia="等线"/>
                <w:sz w:val="22"/>
                <w:szCs w:val="22"/>
              </w:rPr>
            </w:pPr>
            <w:r>
              <w:rPr>
                <w:rFonts w:eastAsia="等线"/>
                <w:kern w:val="0"/>
                <w:sz w:val="22"/>
                <w:szCs w:val="22"/>
                <w:lang w:bidi="ar"/>
              </w:rPr>
              <w:t>0.004(L)</w:t>
            </w:r>
          </w:p>
        </w:tc>
        <w:tc>
          <w:tcPr>
            <w:tcW w:w="487" w:type="pct"/>
            <w:tcBorders>
              <w:tl2br w:val="nil"/>
              <w:tr2bl w:val="nil"/>
            </w:tcBorders>
            <w:noWrap/>
            <w:vAlign w:val="center"/>
          </w:tcPr>
          <w:p w14:paraId="583336D6">
            <w:pPr>
              <w:widowControl/>
              <w:adjustRightInd w:val="0"/>
              <w:snapToGrid w:val="0"/>
              <w:jc w:val="center"/>
              <w:textAlignment w:val="center"/>
              <w:rPr>
                <w:rFonts w:eastAsia="等线"/>
                <w:sz w:val="22"/>
                <w:szCs w:val="22"/>
              </w:rPr>
            </w:pPr>
            <w:r>
              <w:rPr>
                <w:rFonts w:eastAsia="等线"/>
                <w:kern w:val="0"/>
                <w:sz w:val="22"/>
                <w:szCs w:val="22"/>
                <w:lang w:bidi="ar"/>
              </w:rPr>
              <w:t>0.004(L)</w:t>
            </w:r>
          </w:p>
        </w:tc>
        <w:tc>
          <w:tcPr>
            <w:tcW w:w="487" w:type="pct"/>
            <w:tcBorders>
              <w:tl2br w:val="nil"/>
              <w:tr2bl w:val="nil"/>
            </w:tcBorders>
            <w:noWrap/>
            <w:vAlign w:val="center"/>
          </w:tcPr>
          <w:p w14:paraId="3FCB828A">
            <w:pPr>
              <w:widowControl/>
              <w:adjustRightInd w:val="0"/>
              <w:snapToGrid w:val="0"/>
              <w:jc w:val="center"/>
              <w:textAlignment w:val="center"/>
              <w:rPr>
                <w:rFonts w:eastAsia="等线"/>
                <w:sz w:val="22"/>
                <w:szCs w:val="22"/>
              </w:rPr>
            </w:pPr>
            <w:r>
              <w:rPr>
                <w:rFonts w:eastAsia="等线"/>
                <w:kern w:val="0"/>
                <w:sz w:val="22"/>
                <w:szCs w:val="22"/>
                <w:lang w:bidi="ar"/>
              </w:rPr>
              <w:t>0.004(L)</w:t>
            </w:r>
          </w:p>
        </w:tc>
        <w:tc>
          <w:tcPr>
            <w:tcW w:w="375" w:type="pct"/>
            <w:tcBorders>
              <w:tl2br w:val="nil"/>
              <w:tr2bl w:val="nil"/>
            </w:tcBorders>
            <w:noWrap/>
            <w:vAlign w:val="center"/>
          </w:tcPr>
          <w:p w14:paraId="7D5BB6F4">
            <w:pPr>
              <w:widowControl/>
              <w:adjustRightInd w:val="0"/>
              <w:snapToGrid w:val="0"/>
              <w:jc w:val="center"/>
              <w:textAlignment w:val="center"/>
              <w:rPr>
                <w:rFonts w:eastAsia="等线"/>
                <w:sz w:val="22"/>
                <w:szCs w:val="22"/>
              </w:rPr>
            </w:pPr>
            <w:r>
              <w:rPr>
                <w:rFonts w:eastAsia="等线"/>
                <w:kern w:val="0"/>
                <w:sz w:val="22"/>
                <w:szCs w:val="22"/>
                <w:lang w:bidi="ar"/>
              </w:rPr>
              <w:t>/</w:t>
            </w:r>
          </w:p>
        </w:tc>
      </w:tr>
      <w:tr w14:paraId="050D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446CE086">
            <w:pPr>
              <w:pStyle w:val="687"/>
              <w:adjustRightInd w:val="0"/>
              <w:snapToGrid w:val="0"/>
              <w:rPr>
                <w:szCs w:val="22"/>
              </w:rPr>
            </w:pPr>
            <w:r>
              <w:rPr>
                <w:szCs w:val="22"/>
              </w:rPr>
              <w:t>汞</w:t>
            </w:r>
          </w:p>
        </w:tc>
        <w:tc>
          <w:tcPr>
            <w:tcW w:w="406" w:type="pct"/>
            <w:tcBorders>
              <w:tl2br w:val="nil"/>
              <w:tr2bl w:val="nil"/>
            </w:tcBorders>
            <w:vAlign w:val="center"/>
          </w:tcPr>
          <w:p w14:paraId="1FEE5F88">
            <w:pPr>
              <w:pStyle w:val="687"/>
              <w:adjustRightInd w:val="0"/>
              <w:snapToGrid w:val="0"/>
              <w:rPr>
                <w:bCs/>
                <w:szCs w:val="22"/>
              </w:rPr>
            </w:pPr>
            <w:r>
              <w:rPr>
                <w:rFonts w:hint="eastAsia"/>
                <w:bCs/>
                <w:szCs w:val="22"/>
              </w:rPr>
              <w:t>mg/L</w:t>
            </w:r>
          </w:p>
        </w:tc>
        <w:tc>
          <w:tcPr>
            <w:tcW w:w="615" w:type="pct"/>
            <w:tcBorders>
              <w:tl2br w:val="nil"/>
              <w:tr2bl w:val="nil"/>
            </w:tcBorders>
            <w:vAlign w:val="center"/>
          </w:tcPr>
          <w:p w14:paraId="16D398A2">
            <w:pPr>
              <w:widowControl/>
              <w:adjustRightInd w:val="0"/>
              <w:snapToGrid w:val="0"/>
              <w:jc w:val="center"/>
              <w:textAlignment w:val="center"/>
              <w:rPr>
                <w:rFonts w:eastAsia="等线"/>
                <w:sz w:val="22"/>
                <w:szCs w:val="22"/>
              </w:rPr>
            </w:pPr>
            <w:r>
              <w:rPr>
                <w:rFonts w:eastAsia="等线"/>
                <w:kern w:val="0"/>
                <w:sz w:val="22"/>
                <w:szCs w:val="22"/>
                <w:lang w:bidi="ar"/>
              </w:rPr>
              <w:t>0.04(L)</w:t>
            </w:r>
          </w:p>
        </w:tc>
        <w:tc>
          <w:tcPr>
            <w:tcW w:w="542" w:type="pct"/>
            <w:tcBorders>
              <w:tl2br w:val="nil"/>
              <w:tr2bl w:val="nil"/>
            </w:tcBorders>
            <w:vAlign w:val="center"/>
          </w:tcPr>
          <w:p w14:paraId="4E93497B">
            <w:pPr>
              <w:widowControl/>
              <w:adjustRightInd w:val="0"/>
              <w:snapToGrid w:val="0"/>
              <w:jc w:val="center"/>
              <w:textAlignment w:val="center"/>
              <w:rPr>
                <w:rFonts w:eastAsia="等线"/>
                <w:sz w:val="22"/>
                <w:szCs w:val="22"/>
              </w:rPr>
            </w:pPr>
            <w:r>
              <w:rPr>
                <w:rFonts w:eastAsia="等线"/>
                <w:kern w:val="0"/>
                <w:sz w:val="22"/>
                <w:szCs w:val="22"/>
                <w:lang w:bidi="ar"/>
              </w:rPr>
              <w:t>0.04(L)</w:t>
            </w:r>
          </w:p>
        </w:tc>
        <w:tc>
          <w:tcPr>
            <w:tcW w:w="487" w:type="pct"/>
            <w:tcBorders>
              <w:tl2br w:val="nil"/>
              <w:tr2bl w:val="nil"/>
            </w:tcBorders>
            <w:vAlign w:val="center"/>
          </w:tcPr>
          <w:p w14:paraId="0376CA3B">
            <w:pPr>
              <w:widowControl/>
              <w:adjustRightInd w:val="0"/>
              <w:snapToGrid w:val="0"/>
              <w:jc w:val="center"/>
              <w:textAlignment w:val="center"/>
              <w:rPr>
                <w:rFonts w:eastAsia="等线"/>
                <w:sz w:val="22"/>
                <w:szCs w:val="22"/>
              </w:rPr>
            </w:pPr>
            <w:r>
              <w:rPr>
                <w:rFonts w:eastAsia="等线"/>
                <w:kern w:val="0"/>
                <w:sz w:val="22"/>
                <w:szCs w:val="22"/>
                <w:lang w:bidi="ar"/>
              </w:rPr>
              <w:t>0.04(L)</w:t>
            </w:r>
          </w:p>
        </w:tc>
        <w:tc>
          <w:tcPr>
            <w:tcW w:w="542" w:type="pct"/>
            <w:tcBorders>
              <w:tl2br w:val="nil"/>
              <w:tr2bl w:val="nil"/>
            </w:tcBorders>
            <w:vAlign w:val="center"/>
          </w:tcPr>
          <w:p w14:paraId="7F38E50A">
            <w:pPr>
              <w:widowControl/>
              <w:adjustRightInd w:val="0"/>
              <w:snapToGrid w:val="0"/>
              <w:jc w:val="center"/>
              <w:textAlignment w:val="center"/>
              <w:rPr>
                <w:rFonts w:eastAsia="等线"/>
                <w:sz w:val="22"/>
                <w:szCs w:val="22"/>
              </w:rPr>
            </w:pPr>
            <w:r>
              <w:rPr>
                <w:rFonts w:eastAsia="等线"/>
                <w:kern w:val="0"/>
                <w:sz w:val="22"/>
                <w:szCs w:val="22"/>
                <w:lang w:bidi="ar"/>
              </w:rPr>
              <w:t>0.04(L)</w:t>
            </w:r>
          </w:p>
        </w:tc>
        <w:tc>
          <w:tcPr>
            <w:tcW w:w="487" w:type="pct"/>
            <w:tcBorders>
              <w:tl2br w:val="nil"/>
              <w:tr2bl w:val="nil"/>
            </w:tcBorders>
            <w:noWrap/>
            <w:vAlign w:val="center"/>
          </w:tcPr>
          <w:p w14:paraId="44B7A5E5">
            <w:pPr>
              <w:widowControl/>
              <w:adjustRightInd w:val="0"/>
              <w:snapToGrid w:val="0"/>
              <w:jc w:val="center"/>
              <w:textAlignment w:val="center"/>
              <w:rPr>
                <w:rFonts w:eastAsia="等线"/>
                <w:sz w:val="22"/>
                <w:szCs w:val="22"/>
              </w:rPr>
            </w:pPr>
            <w:r>
              <w:rPr>
                <w:rFonts w:eastAsia="等线"/>
                <w:kern w:val="0"/>
                <w:sz w:val="22"/>
                <w:szCs w:val="22"/>
                <w:lang w:bidi="ar"/>
              </w:rPr>
              <w:t>0.04(L)</w:t>
            </w:r>
          </w:p>
        </w:tc>
        <w:tc>
          <w:tcPr>
            <w:tcW w:w="487" w:type="pct"/>
            <w:tcBorders>
              <w:tl2br w:val="nil"/>
              <w:tr2bl w:val="nil"/>
            </w:tcBorders>
            <w:noWrap/>
            <w:vAlign w:val="center"/>
          </w:tcPr>
          <w:p w14:paraId="5464265F">
            <w:pPr>
              <w:widowControl/>
              <w:adjustRightInd w:val="0"/>
              <w:snapToGrid w:val="0"/>
              <w:jc w:val="center"/>
              <w:textAlignment w:val="center"/>
              <w:rPr>
                <w:rFonts w:eastAsia="等线"/>
                <w:sz w:val="22"/>
                <w:szCs w:val="22"/>
              </w:rPr>
            </w:pPr>
            <w:r>
              <w:rPr>
                <w:rFonts w:eastAsia="等线"/>
                <w:kern w:val="0"/>
                <w:sz w:val="22"/>
                <w:szCs w:val="22"/>
                <w:lang w:bidi="ar"/>
              </w:rPr>
              <w:t>0.04(L)</w:t>
            </w:r>
          </w:p>
        </w:tc>
        <w:tc>
          <w:tcPr>
            <w:tcW w:w="375" w:type="pct"/>
            <w:tcBorders>
              <w:tl2br w:val="nil"/>
              <w:tr2bl w:val="nil"/>
            </w:tcBorders>
            <w:noWrap/>
            <w:vAlign w:val="center"/>
          </w:tcPr>
          <w:p w14:paraId="2120DEBC">
            <w:pPr>
              <w:widowControl/>
              <w:adjustRightInd w:val="0"/>
              <w:snapToGrid w:val="0"/>
              <w:jc w:val="center"/>
              <w:textAlignment w:val="center"/>
              <w:rPr>
                <w:rFonts w:eastAsia="等线"/>
                <w:sz w:val="22"/>
                <w:szCs w:val="22"/>
              </w:rPr>
            </w:pPr>
            <w:r>
              <w:rPr>
                <w:rFonts w:eastAsia="等线"/>
                <w:kern w:val="0"/>
                <w:sz w:val="22"/>
                <w:szCs w:val="22"/>
                <w:lang w:bidi="ar"/>
              </w:rPr>
              <w:t>/</w:t>
            </w:r>
          </w:p>
        </w:tc>
      </w:tr>
      <w:tr w14:paraId="64A2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73C343BC">
            <w:pPr>
              <w:pStyle w:val="687"/>
              <w:adjustRightInd w:val="0"/>
              <w:snapToGrid w:val="0"/>
              <w:rPr>
                <w:szCs w:val="22"/>
              </w:rPr>
            </w:pPr>
            <w:r>
              <w:rPr>
                <w:szCs w:val="22"/>
              </w:rPr>
              <w:t>砷</w:t>
            </w:r>
          </w:p>
        </w:tc>
        <w:tc>
          <w:tcPr>
            <w:tcW w:w="406" w:type="pct"/>
            <w:tcBorders>
              <w:tl2br w:val="nil"/>
              <w:tr2bl w:val="nil"/>
            </w:tcBorders>
            <w:vAlign w:val="center"/>
          </w:tcPr>
          <w:p w14:paraId="250A8227">
            <w:pPr>
              <w:pStyle w:val="687"/>
              <w:adjustRightInd w:val="0"/>
              <w:snapToGrid w:val="0"/>
              <w:rPr>
                <w:bCs/>
                <w:szCs w:val="22"/>
              </w:rPr>
            </w:pPr>
            <w:r>
              <w:rPr>
                <w:rFonts w:hint="eastAsia"/>
                <w:bCs/>
                <w:szCs w:val="22"/>
              </w:rPr>
              <w:t>mg/L</w:t>
            </w:r>
          </w:p>
        </w:tc>
        <w:tc>
          <w:tcPr>
            <w:tcW w:w="615" w:type="pct"/>
            <w:tcBorders>
              <w:tl2br w:val="nil"/>
              <w:tr2bl w:val="nil"/>
            </w:tcBorders>
            <w:vAlign w:val="center"/>
          </w:tcPr>
          <w:p w14:paraId="1F2FD994">
            <w:pPr>
              <w:widowControl/>
              <w:adjustRightInd w:val="0"/>
              <w:snapToGrid w:val="0"/>
              <w:jc w:val="center"/>
              <w:textAlignment w:val="center"/>
              <w:rPr>
                <w:rFonts w:eastAsia="等线"/>
                <w:sz w:val="22"/>
                <w:szCs w:val="22"/>
              </w:rPr>
            </w:pPr>
            <w:r>
              <w:rPr>
                <w:rFonts w:eastAsia="等线"/>
                <w:kern w:val="0"/>
                <w:sz w:val="22"/>
                <w:szCs w:val="22"/>
                <w:lang w:bidi="ar"/>
              </w:rPr>
              <w:t>0.3(L)</w:t>
            </w:r>
          </w:p>
        </w:tc>
        <w:tc>
          <w:tcPr>
            <w:tcW w:w="542" w:type="pct"/>
            <w:tcBorders>
              <w:tl2br w:val="nil"/>
              <w:tr2bl w:val="nil"/>
            </w:tcBorders>
            <w:vAlign w:val="center"/>
          </w:tcPr>
          <w:p w14:paraId="09BABA37">
            <w:pPr>
              <w:widowControl/>
              <w:adjustRightInd w:val="0"/>
              <w:snapToGrid w:val="0"/>
              <w:jc w:val="center"/>
              <w:textAlignment w:val="center"/>
              <w:rPr>
                <w:rFonts w:eastAsia="等线"/>
                <w:sz w:val="22"/>
                <w:szCs w:val="22"/>
              </w:rPr>
            </w:pPr>
            <w:r>
              <w:rPr>
                <w:rFonts w:eastAsia="等线"/>
                <w:kern w:val="0"/>
                <w:sz w:val="22"/>
                <w:szCs w:val="22"/>
                <w:lang w:bidi="ar"/>
              </w:rPr>
              <w:t>0.3(L)</w:t>
            </w:r>
          </w:p>
        </w:tc>
        <w:tc>
          <w:tcPr>
            <w:tcW w:w="487" w:type="pct"/>
            <w:tcBorders>
              <w:tl2br w:val="nil"/>
              <w:tr2bl w:val="nil"/>
            </w:tcBorders>
            <w:vAlign w:val="center"/>
          </w:tcPr>
          <w:p w14:paraId="5B869357">
            <w:pPr>
              <w:widowControl/>
              <w:adjustRightInd w:val="0"/>
              <w:snapToGrid w:val="0"/>
              <w:jc w:val="center"/>
              <w:textAlignment w:val="center"/>
              <w:rPr>
                <w:rFonts w:eastAsia="等线"/>
                <w:sz w:val="22"/>
                <w:szCs w:val="22"/>
              </w:rPr>
            </w:pPr>
            <w:r>
              <w:rPr>
                <w:rFonts w:eastAsia="等线"/>
                <w:kern w:val="0"/>
                <w:sz w:val="22"/>
                <w:szCs w:val="22"/>
                <w:lang w:bidi="ar"/>
              </w:rPr>
              <w:t>0.3(L)</w:t>
            </w:r>
          </w:p>
        </w:tc>
        <w:tc>
          <w:tcPr>
            <w:tcW w:w="542" w:type="pct"/>
            <w:tcBorders>
              <w:tl2br w:val="nil"/>
              <w:tr2bl w:val="nil"/>
            </w:tcBorders>
            <w:vAlign w:val="center"/>
          </w:tcPr>
          <w:p w14:paraId="54CF55C2">
            <w:pPr>
              <w:widowControl/>
              <w:adjustRightInd w:val="0"/>
              <w:snapToGrid w:val="0"/>
              <w:jc w:val="center"/>
              <w:textAlignment w:val="center"/>
              <w:rPr>
                <w:rFonts w:eastAsia="等线"/>
                <w:sz w:val="22"/>
                <w:szCs w:val="22"/>
              </w:rPr>
            </w:pPr>
            <w:r>
              <w:rPr>
                <w:rFonts w:eastAsia="等线"/>
                <w:kern w:val="0"/>
                <w:sz w:val="22"/>
                <w:szCs w:val="22"/>
                <w:lang w:bidi="ar"/>
              </w:rPr>
              <w:t>0.3(L)</w:t>
            </w:r>
          </w:p>
        </w:tc>
        <w:tc>
          <w:tcPr>
            <w:tcW w:w="487" w:type="pct"/>
            <w:tcBorders>
              <w:tl2br w:val="nil"/>
              <w:tr2bl w:val="nil"/>
            </w:tcBorders>
            <w:noWrap/>
            <w:vAlign w:val="center"/>
          </w:tcPr>
          <w:p w14:paraId="3119D58F">
            <w:pPr>
              <w:widowControl/>
              <w:adjustRightInd w:val="0"/>
              <w:snapToGrid w:val="0"/>
              <w:jc w:val="center"/>
              <w:textAlignment w:val="center"/>
              <w:rPr>
                <w:rFonts w:eastAsia="等线"/>
                <w:sz w:val="22"/>
                <w:szCs w:val="22"/>
              </w:rPr>
            </w:pPr>
            <w:r>
              <w:rPr>
                <w:rFonts w:eastAsia="等线"/>
                <w:kern w:val="0"/>
                <w:sz w:val="22"/>
                <w:szCs w:val="22"/>
                <w:lang w:bidi="ar"/>
              </w:rPr>
              <w:t>0.3(L)</w:t>
            </w:r>
          </w:p>
        </w:tc>
        <w:tc>
          <w:tcPr>
            <w:tcW w:w="487" w:type="pct"/>
            <w:tcBorders>
              <w:tl2br w:val="nil"/>
              <w:tr2bl w:val="nil"/>
            </w:tcBorders>
            <w:noWrap/>
            <w:vAlign w:val="center"/>
          </w:tcPr>
          <w:p w14:paraId="47229FDF">
            <w:pPr>
              <w:widowControl/>
              <w:adjustRightInd w:val="0"/>
              <w:snapToGrid w:val="0"/>
              <w:jc w:val="center"/>
              <w:textAlignment w:val="center"/>
              <w:rPr>
                <w:rFonts w:eastAsia="等线"/>
                <w:sz w:val="22"/>
                <w:szCs w:val="22"/>
              </w:rPr>
            </w:pPr>
            <w:r>
              <w:rPr>
                <w:rFonts w:eastAsia="等线"/>
                <w:kern w:val="0"/>
                <w:sz w:val="22"/>
                <w:szCs w:val="22"/>
                <w:lang w:bidi="ar"/>
              </w:rPr>
              <w:t>0.3(L)</w:t>
            </w:r>
          </w:p>
        </w:tc>
        <w:tc>
          <w:tcPr>
            <w:tcW w:w="375" w:type="pct"/>
            <w:tcBorders>
              <w:tl2br w:val="nil"/>
              <w:tr2bl w:val="nil"/>
            </w:tcBorders>
            <w:noWrap/>
            <w:vAlign w:val="center"/>
          </w:tcPr>
          <w:p w14:paraId="165C0E73">
            <w:pPr>
              <w:widowControl/>
              <w:adjustRightInd w:val="0"/>
              <w:snapToGrid w:val="0"/>
              <w:jc w:val="center"/>
              <w:textAlignment w:val="center"/>
              <w:rPr>
                <w:rFonts w:eastAsia="等线"/>
                <w:sz w:val="22"/>
                <w:szCs w:val="22"/>
              </w:rPr>
            </w:pPr>
            <w:r>
              <w:rPr>
                <w:rFonts w:eastAsia="等线"/>
                <w:kern w:val="0"/>
                <w:sz w:val="22"/>
                <w:szCs w:val="22"/>
                <w:lang w:bidi="ar"/>
              </w:rPr>
              <w:t>/</w:t>
            </w:r>
          </w:p>
        </w:tc>
      </w:tr>
      <w:tr w14:paraId="07B2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5BBD0F6A">
            <w:pPr>
              <w:pStyle w:val="687"/>
              <w:adjustRightInd w:val="0"/>
              <w:snapToGrid w:val="0"/>
              <w:rPr>
                <w:szCs w:val="22"/>
              </w:rPr>
            </w:pPr>
            <w:r>
              <w:rPr>
                <w:bCs/>
                <w:szCs w:val="22"/>
              </w:rPr>
              <w:t>石油烃（C</w:t>
            </w:r>
            <w:r>
              <w:rPr>
                <w:bCs/>
                <w:szCs w:val="22"/>
                <w:vertAlign w:val="subscript"/>
              </w:rPr>
              <w:t>10</w:t>
            </w:r>
            <w:r>
              <w:rPr>
                <w:bCs/>
                <w:szCs w:val="22"/>
              </w:rPr>
              <w:t>-C</w:t>
            </w:r>
            <w:r>
              <w:rPr>
                <w:bCs/>
                <w:szCs w:val="22"/>
                <w:vertAlign w:val="subscript"/>
              </w:rPr>
              <w:t>40</w:t>
            </w:r>
            <w:r>
              <w:rPr>
                <w:bCs/>
                <w:szCs w:val="22"/>
              </w:rPr>
              <w:t>）</w:t>
            </w:r>
          </w:p>
        </w:tc>
        <w:tc>
          <w:tcPr>
            <w:tcW w:w="406" w:type="pct"/>
            <w:tcBorders>
              <w:tl2br w:val="nil"/>
              <w:tr2bl w:val="nil"/>
            </w:tcBorders>
            <w:vAlign w:val="center"/>
          </w:tcPr>
          <w:p w14:paraId="7F0544B3">
            <w:pPr>
              <w:pStyle w:val="687"/>
              <w:adjustRightInd w:val="0"/>
              <w:snapToGrid w:val="0"/>
              <w:rPr>
                <w:bCs/>
                <w:szCs w:val="22"/>
              </w:rPr>
            </w:pPr>
            <w:r>
              <w:rPr>
                <w:rFonts w:hint="eastAsia"/>
                <w:bCs/>
                <w:szCs w:val="22"/>
              </w:rPr>
              <w:t>mg/L</w:t>
            </w:r>
          </w:p>
        </w:tc>
        <w:tc>
          <w:tcPr>
            <w:tcW w:w="615" w:type="pct"/>
            <w:tcBorders>
              <w:tl2br w:val="nil"/>
              <w:tr2bl w:val="nil"/>
            </w:tcBorders>
            <w:vAlign w:val="center"/>
          </w:tcPr>
          <w:p w14:paraId="08297626">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542" w:type="pct"/>
            <w:tcBorders>
              <w:tl2br w:val="nil"/>
              <w:tr2bl w:val="nil"/>
            </w:tcBorders>
            <w:vAlign w:val="center"/>
          </w:tcPr>
          <w:p w14:paraId="39A651AB">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487" w:type="pct"/>
            <w:tcBorders>
              <w:tl2br w:val="nil"/>
              <w:tr2bl w:val="nil"/>
            </w:tcBorders>
            <w:vAlign w:val="center"/>
          </w:tcPr>
          <w:p w14:paraId="3C97DA00">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542" w:type="pct"/>
            <w:tcBorders>
              <w:tl2br w:val="nil"/>
              <w:tr2bl w:val="nil"/>
            </w:tcBorders>
            <w:vAlign w:val="center"/>
          </w:tcPr>
          <w:p w14:paraId="2892F36A">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487" w:type="pct"/>
            <w:tcBorders>
              <w:tl2br w:val="nil"/>
              <w:tr2bl w:val="nil"/>
            </w:tcBorders>
            <w:noWrap/>
            <w:vAlign w:val="center"/>
          </w:tcPr>
          <w:p w14:paraId="2890F2F0">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487" w:type="pct"/>
            <w:tcBorders>
              <w:tl2br w:val="nil"/>
              <w:tr2bl w:val="nil"/>
            </w:tcBorders>
            <w:noWrap/>
            <w:vAlign w:val="center"/>
          </w:tcPr>
          <w:p w14:paraId="5BC4BB53">
            <w:pPr>
              <w:widowControl/>
              <w:adjustRightInd w:val="0"/>
              <w:snapToGrid w:val="0"/>
              <w:jc w:val="center"/>
              <w:textAlignment w:val="center"/>
              <w:rPr>
                <w:rFonts w:eastAsia="等线"/>
                <w:sz w:val="22"/>
                <w:szCs w:val="22"/>
              </w:rPr>
            </w:pPr>
            <w:r>
              <w:rPr>
                <w:rFonts w:eastAsia="等线"/>
                <w:kern w:val="0"/>
                <w:sz w:val="22"/>
                <w:szCs w:val="22"/>
                <w:lang w:bidi="ar"/>
              </w:rPr>
              <w:t>0.01(L)</w:t>
            </w:r>
          </w:p>
        </w:tc>
        <w:tc>
          <w:tcPr>
            <w:tcW w:w="375" w:type="pct"/>
            <w:tcBorders>
              <w:tl2br w:val="nil"/>
              <w:tr2bl w:val="nil"/>
            </w:tcBorders>
            <w:noWrap/>
            <w:vAlign w:val="center"/>
          </w:tcPr>
          <w:p w14:paraId="25534CB3">
            <w:pPr>
              <w:widowControl/>
              <w:adjustRightInd w:val="0"/>
              <w:snapToGrid w:val="0"/>
              <w:jc w:val="center"/>
              <w:textAlignment w:val="center"/>
              <w:rPr>
                <w:rFonts w:eastAsia="等线"/>
                <w:sz w:val="22"/>
                <w:szCs w:val="22"/>
              </w:rPr>
            </w:pPr>
            <w:r>
              <w:rPr>
                <w:rFonts w:eastAsia="等线"/>
                <w:kern w:val="0"/>
                <w:sz w:val="22"/>
                <w:szCs w:val="22"/>
                <w:lang w:bidi="ar"/>
              </w:rPr>
              <w:t>/</w:t>
            </w:r>
          </w:p>
        </w:tc>
      </w:tr>
      <w:tr w14:paraId="1A69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1054" w:type="pct"/>
            <w:tcBorders>
              <w:tl2br w:val="nil"/>
              <w:tr2bl w:val="nil"/>
            </w:tcBorders>
            <w:vAlign w:val="center"/>
          </w:tcPr>
          <w:p w14:paraId="5B189B8C">
            <w:pPr>
              <w:pStyle w:val="687"/>
              <w:adjustRightInd w:val="0"/>
              <w:snapToGrid w:val="0"/>
              <w:rPr>
                <w:szCs w:val="22"/>
              </w:rPr>
            </w:pPr>
            <w:r>
              <w:rPr>
                <w:bCs/>
                <w:szCs w:val="22"/>
              </w:rPr>
              <w:t>石油烃（C</w:t>
            </w:r>
            <w:r>
              <w:rPr>
                <w:bCs/>
                <w:szCs w:val="22"/>
                <w:vertAlign w:val="subscript"/>
              </w:rPr>
              <w:t>6</w:t>
            </w:r>
            <w:r>
              <w:rPr>
                <w:bCs/>
                <w:szCs w:val="22"/>
              </w:rPr>
              <w:t>-</w:t>
            </w:r>
            <w:r>
              <w:rPr>
                <w:rFonts w:hint="eastAsia"/>
                <w:bCs/>
                <w:szCs w:val="22"/>
              </w:rPr>
              <w:t>C</w:t>
            </w:r>
            <w:r>
              <w:rPr>
                <w:bCs/>
                <w:szCs w:val="22"/>
                <w:vertAlign w:val="subscript"/>
              </w:rPr>
              <w:t>9</w:t>
            </w:r>
            <w:r>
              <w:rPr>
                <w:bCs/>
                <w:szCs w:val="22"/>
              </w:rPr>
              <w:t>）</w:t>
            </w:r>
            <w:r>
              <w:rPr>
                <w:rFonts w:ascii="Segoe UI Symbol" w:hAnsi="Segoe UI Symbol" w:cs="Segoe UI Symbol"/>
                <w:szCs w:val="22"/>
                <w:vertAlign w:val="superscript"/>
              </w:rPr>
              <w:t>★</w:t>
            </w:r>
          </w:p>
        </w:tc>
        <w:tc>
          <w:tcPr>
            <w:tcW w:w="406" w:type="pct"/>
            <w:tcBorders>
              <w:tl2br w:val="nil"/>
              <w:tr2bl w:val="nil"/>
            </w:tcBorders>
            <w:vAlign w:val="center"/>
          </w:tcPr>
          <w:p w14:paraId="5A142DE3">
            <w:pPr>
              <w:pStyle w:val="687"/>
              <w:adjustRightInd w:val="0"/>
              <w:snapToGrid w:val="0"/>
              <w:rPr>
                <w:bCs/>
                <w:szCs w:val="22"/>
              </w:rPr>
            </w:pPr>
            <w:r>
              <w:rPr>
                <w:rFonts w:hint="eastAsia"/>
                <w:bCs/>
                <w:szCs w:val="22"/>
              </w:rPr>
              <w:t>mg/L</w:t>
            </w:r>
          </w:p>
        </w:tc>
        <w:tc>
          <w:tcPr>
            <w:tcW w:w="615" w:type="pct"/>
            <w:tcBorders>
              <w:tl2br w:val="nil"/>
              <w:tr2bl w:val="nil"/>
            </w:tcBorders>
            <w:vAlign w:val="center"/>
          </w:tcPr>
          <w:p w14:paraId="53314A1C">
            <w:pPr>
              <w:widowControl/>
              <w:adjustRightInd w:val="0"/>
              <w:snapToGrid w:val="0"/>
              <w:jc w:val="center"/>
              <w:textAlignment w:val="center"/>
              <w:rPr>
                <w:rFonts w:eastAsia="等线"/>
                <w:sz w:val="22"/>
                <w:szCs w:val="22"/>
              </w:rPr>
            </w:pPr>
            <w:r>
              <w:rPr>
                <w:rFonts w:eastAsia="等线"/>
                <w:kern w:val="0"/>
                <w:sz w:val="22"/>
                <w:szCs w:val="22"/>
                <w:lang w:bidi="ar"/>
              </w:rPr>
              <w:t>0.05</w:t>
            </w:r>
          </w:p>
        </w:tc>
        <w:tc>
          <w:tcPr>
            <w:tcW w:w="542" w:type="pct"/>
            <w:tcBorders>
              <w:tl2br w:val="nil"/>
              <w:tr2bl w:val="nil"/>
            </w:tcBorders>
            <w:vAlign w:val="center"/>
          </w:tcPr>
          <w:p w14:paraId="24F4FC8D">
            <w:pPr>
              <w:widowControl/>
              <w:adjustRightInd w:val="0"/>
              <w:snapToGrid w:val="0"/>
              <w:jc w:val="center"/>
              <w:textAlignment w:val="center"/>
              <w:rPr>
                <w:rFonts w:eastAsia="等线"/>
                <w:sz w:val="22"/>
                <w:szCs w:val="22"/>
              </w:rPr>
            </w:pPr>
            <w:r>
              <w:rPr>
                <w:rFonts w:eastAsia="等线"/>
                <w:kern w:val="0"/>
                <w:sz w:val="22"/>
                <w:szCs w:val="22"/>
                <w:lang w:bidi="ar"/>
              </w:rPr>
              <w:t>0.03</w:t>
            </w:r>
          </w:p>
        </w:tc>
        <w:tc>
          <w:tcPr>
            <w:tcW w:w="487" w:type="pct"/>
            <w:tcBorders>
              <w:tl2br w:val="nil"/>
              <w:tr2bl w:val="nil"/>
            </w:tcBorders>
            <w:vAlign w:val="center"/>
          </w:tcPr>
          <w:p w14:paraId="658961AC">
            <w:pPr>
              <w:widowControl/>
              <w:adjustRightInd w:val="0"/>
              <w:snapToGrid w:val="0"/>
              <w:jc w:val="center"/>
              <w:textAlignment w:val="center"/>
              <w:rPr>
                <w:rFonts w:eastAsia="等线"/>
                <w:sz w:val="22"/>
                <w:szCs w:val="22"/>
              </w:rPr>
            </w:pPr>
            <w:r>
              <w:rPr>
                <w:rFonts w:eastAsia="等线"/>
                <w:kern w:val="0"/>
                <w:sz w:val="22"/>
                <w:szCs w:val="22"/>
                <w:lang w:bidi="ar"/>
              </w:rPr>
              <w:t>0.05</w:t>
            </w:r>
          </w:p>
        </w:tc>
        <w:tc>
          <w:tcPr>
            <w:tcW w:w="542" w:type="pct"/>
            <w:tcBorders>
              <w:tl2br w:val="nil"/>
              <w:tr2bl w:val="nil"/>
            </w:tcBorders>
            <w:vAlign w:val="center"/>
          </w:tcPr>
          <w:p w14:paraId="6274E304">
            <w:pPr>
              <w:widowControl/>
              <w:adjustRightInd w:val="0"/>
              <w:snapToGrid w:val="0"/>
              <w:jc w:val="center"/>
              <w:textAlignment w:val="center"/>
              <w:rPr>
                <w:rFonts w:eastAsia="等线"/>
                <w:sz w:val="22"/>
                <w:szCs w:val="22"/>
              </w:rPr>
            </w:pPr>
            <w:r>
              <w:rPr>
                <w:rFonts w:eastAsia="等线"/>
                <w:kern w:val="0"/>
                <w:sz w:val="22"/>
                <w:szCs w:val="22"/>
                <w:lang w:bidi="ar"/>
              </w:rPr>
              <w:t>0.07</w:t>
            </w:r>
          </w:p>
        </w:tc>
        <w:tc>
          <w:tcPr>
            <w:tcW w:w="487" w:type="pct"/>
            <w:tcBorders>
              <w:tl2br w:val="nil"/>
              <w:tr2bl w:val="nil"/>
            </w:tcBorders>
            <w:noWrap/>
            <w:vAlign w:val="center"/>
          </w:tcPr>
          <w:p w14:paraId="393600FF">
            <w:pPr>
              <w:widowControl/>
              <w:adjustRightInd w:val="0"/>
              <w:snapToGrid w:val="0"/>
              <w:jc w:val="center"/>
              <w:textAlignment w:val="center"/>
              <w:rPr>
                <w:rFonts w:eastAsia="等线"/>
                <w:sz w:val="22"/>
                <w:szCs w:val="22"/>
              </w:rPr>
            </w:pPr>
            <w:r>
              <w:rPr>
                <w:rFonts w:eastAsia="等线"/>
                <w:kern w:val="0"/>
                <w:sz w:val="22"/>
                <w:szCs w:val="22"/>
                <w:lang w:bidi="ar"/>
              </w:rPr>
              <w:t>0.03</w:t>
            </w:r>
          </w:p>
        </w:tc>
        <w:tc>
          <w:tcPr>
            <w:tcW w:w="487" w:type="pct"/>
            <w:tcBorders>
              <w:tl2br w:val="nil"/>
              <w:tr2bl w:val="nil"/>
            </w:tcBorders>
            <w:noWrap/>
            <w:vAlign w:val="center"/>
          </w:tcPr>
          <w:p w14:paraId="67D109BB">
            <w:pPr>
              <w:widowControl/>
              <w:adjustRightInd w:val="0"/>
              <w:snapToGrid w:val="0"/>
              <w:jc w:val="center"/>
              <w:textAlignment w:val="center"/>
              <w:rPr>
                <w:rFonts w:eastAsia="等线"/>
                <w:sz w:val="22"/>
                <w:szCs w:val="22"/>
              </w:rPr>
            </w:pPr>
            <w:r>
              <w:rPr>
                <w:rFonts w:eastAsia="等线"/>
                <w:kern w:val="0"/>
                <w:sz w:val="22"/>
                <w:szCs w:val="22"/>
                <w:lang w:bidi="ar"/>
              </w:rPr>
              <w:t>0.07</w:t>
            </w:r>
          </w:p>
        </w:tc>
        <w:tc>
          <w:tcPr>
            <w:tcW w:w="375" w:type="pct"/>
            <w:tcBorders>
              <w:tl2br w:val="nil"/>
              <w:tr2bl w:val="nil"/>
            </w:tcBorders>
            <w:noWrap/>
            <w:vAlign w:val="center"/>
          </w:tcPr>
          <w:p w14:paraId="596F35A1">
            <w:pPr>
              <w:widowControl/>
              <w:adjustRightInd w:val="0"/>
              <w:snapToGrid w:val="0"/>
              <w:jc w:val="center"/>
              <w:textAlignment w:val="center"/>
              <w:rPr>
                <w:rFonts w:eastAsia="等线"/>
                <w:sz w:val="22"/>
                <w:szCs w:val="22"/>
              </w:rPr>
            </w:pPr>
            <w:r>
              <w:rPr>
                <w:rFonts w:eastAsia="等线"/>
                <w:kern w:val="0"/>
                <w:sz w:val="22"/>
                <w:szCs w:val="22"/>
                <w:lang w:bidi="ar"/>
              </w:rPr>
              <w:t>0.02</w:t>
            </w:r>
          </w:p>
        </w:tc>
      </w:tr>
    </w:tbl>
    <w:p w14:paraId="608A2750">
      <w:pPr>
        <w:pStyle w:val="1379"/>
        <w:ind w:firstLine="440"/>
      </w:pPr>
    </w:p>
    <w:p w14:paraId="55DBABBC">
      <w:pPr>
        <w:pStyle w:val="45"/>
        <w:spacing w:line="460" w:lineRule="exact"/>
        <w:ind w:firstLine="520"/>
        <w:rPr>
          <w:sz w:val="26"/>
          <w:szCs w:val="26"/>
        </w:rPr>
      </w:pPr>
      <w:r>
        <w:rPr>
          <w:rFonts w:hint="eastAsia"/>
          <w:sz w:val="26"/>
          <w:szCs w:val="26"/>
        </w:rPr>
        <w:t>（3）地下水</w:t>
      </w:r>
      <w:r>
        <w:rPr>
          <w:sz w:val="26"/>
          <w:szCs w:val="26"/>
        </w:rPr>
        <w:t>监测点布设情况</w:t>
      </w:r>
    </w:p>
    <w:p w14:paraId="67582116">
      <w:pPr>
        <w:pStyle w:val="45"/>
        <w:spacing w:line="460" w:lineRule="exact"/>
        <w:ind w:firstLine="520"/>
        <w:rPr>
          <w:sz w:val="26"/>
          <w:szCs w:val="26"/>
        </w:rPr>
      </w:pPr>
      <w:r>
        <w:rPr>
          <w:rFonts w:hint="eastAsia"/>
          <w:sz w:val="26"/>
          <w:szCs w:val="26"/>
        </w:rPr>
        <w:t>根据站场及周边地区的水文地条件和评价区边界划分情况，选取评价范围内具有代表性的环境监测点进行地下水质量分析。本次评价共布设5个水质监测点，监测时间为2026年3月24日，满足地下水导则二级评价要求，监测点位置见</w:t>
      </w:r>
      <w:r>
        <w:rPr>
          <w:rFonts w:hint="eastAsia"/>
          <w:sz w:val="26"/>
          <w:szCs w:val="26"/>
          <w:u w:val="single"/>
        </w:rPr>
        <w:t>表4.</w:t>
      </w:r>
      <w:r>
        <w:rPr>
          <w:sz w:val="26"/>
          <w:szCs w:val="26"/>
          <w:u w:val="single"/>
        </w:rPr>
        <w:t>2</w:t>
      </w:r>
      <w:r>
        <w:rPr>
          <w:rFonts w:hint="eastAsia"/>
          <w:sz w:val="26"/>
          <w:szCs w:val="26"/>
          <w:u w:val="single"/>
        </w:rPr>
        <w:t>-</w:t>
      </w:r>
      <w:r>
        <w:rPr>
          <w:sz w:val="26"/>
          <w:szCs w:val="26"/>
          <w:u w:val="single"/>
        </w:rPr>
        <w:t>7</w:t>
      </w:r>
      <w:r>
        <w:rPr>
          <w:rFonts w:hint="eastAsia"/>
          <w:sz w:val="26"/>
          <w:szCs w:val="26"/>
        </w:rPr>
        <w:t>。</w:t>
      </w:r>
    </w:p>
    <w:p w14:paraId="3AFA485F">
      <w:pPr>
        <w:pStyle w:val="1379"/>
        <w:ind w:firstLine="440"/>
      </w:pPr>
    </w:p>
    <w:p w14:paraId="2EB73643">
      <w:pPr>
        <w:pStyle w:val="1065"/>
        <w:keepNext/>
      </w:pPr>
      <w:r>
        <w:t>表</w:t>
      </w:r>
      <w:r>
        <w:rPr>
          <w:rFonts w:hint="eastAsia"/>
        </w:rPr>
        <w:t>4</w:t>
      </w:r>
      <w:r>
        <w:t>.2-7  地下水环境</w:t>
      </w:r>
      <w:r>
        <w:rPr>
          <w:rFonts w:hint="eastAsia"/>
        </w:rPr>
        <w:t>质量</w:t>
      </w:r>
      <w:r>
        <w:t>现状监测点布置情况</w:t>
      </w:r>
    </w:p>
    <w:tbl>
      <w:tblPr>
        <w:tblStyle w:val="88"/>
        <w:tblW w:w="48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175"/>
        <w:gridCol w:w="1234"/>
        <w:gridCol w:w="1116"/>
        <w:gridCol w:w="1483"/>
        <w:gridCol w:w="988"/>
        <w:gridCol w:w="1980"/>
      </w:tblGrid>
      <w:tr w14:paraId="37FD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noWrap/>
            <w:vAlign w:val="center"/>
          </w:tcPr>
          <w:p w14:paraId="45A96256">
            <w:pPr>
              <w:jc w:val="center"/>
              <w:rPr>
                <w:sz w:val="22"/>
                <w:lang w:val="zh-CN"/>
              </w:rPr>
            </w:pPr>
            <w:r>
              <w:rPr>
                <w:rFonts w:hint="eastAsia"/>
                <w:sz w:val="22"/>
                <w:lang w:val="zh-CN"/>
              </w:rPr>
              <w:t>编号</w:t>
            </w:r>
          </w:p>
        </w:tc>
        <w:tc>
          <w:tcPr>
            <w:tcW w:w="0" w:type="auto"/>
            <w:noWrap/>
            <w:vAlign w:val="center"/>
          </w:tcPr>
          <w:p w14:paraId="0E2E475A">
            <w:pPr>
              <w:jc w:val="center"/>
              <w:rPr>
                <w:sz w:val="22"/>
                <w:lang w:val="zh-CN"/>
              </w:rPr>
            </w:pPr>
            <w:r>
              <w:rPr>
                <w:rFonts w:hint="eastAsia"/>
                <w:sz w:val="22"/>
                <w:lang w:val="zh-CN"/>
              </w:rPr>
              <w:t>地理位置</w:t>
            </w:r>
          </w:p>
        </w:tc>
        <w:tc>
          <w:tcPr>
            <w:tcW w:w="0" w:type="auto"/>
            <w:noWrap/>
            <w:vAlign w:val="center"/>
          </w:tcPr>
          <w:p w14:paraId="2073ED76">
            <w:pPr>
              <w:jc w:val="center"/>
              <w:rPr>
                <w:sz w:val="22"/>
                <w:lang w:val="zh-CN"/>
              </w:rPr>
            </w:pPr>
            <w:r>
              <w:rPr>
                <w:rFonts w:hint="eastAsia"/>
                <w:sz w:val="22"/>
                <w:lang w:val="zh-CN"/>
              </w:rPr>
              <w:t>经度</w:t>
            </w:r>
          </w:p>
        </w:tc>
        <w:tc>
          <w:tcPr>
            <w:tcW w:w="0" w:type="auto"/>
            <w:noWrap/>
            <w:vAlign w:val="center"/>
          </w:tcPr>
          <w:p w14:paraId="1A699053">
            <w:pPr>
              <w:jc w:val="center"/>
              <w:rPr>
                <w:sz w:val="22"/>
                <w:lang w:val="zh-CN"/>
              </w:rPr>
            </w:pPr>
            <w:r>
              <w:rPr>
                <w:rFonts w:hint="eastAsia"/>
                <w:sz w:val="22"/>
                <w:lang w:val="zh-CN"/>
              </w:rPr>
              <w:t>纬度</w:t>
            </w:r>
          </w:p>
        </w:tc>
        <w:tc>
          <w:tcPr>
            <w:tcW w:w="0" w:type="auto"/>
            <w:noWrap/>
            <w:vAlign w:val="center"/>
          </w:tcPr>
          <w:p w14:paraId="5ED28C6E">
            <w:pPr>
              <w:jc w:val="center"/>
              <w:rPr>
                <w:sz w:val="22"/>
                <w:lang w:val="zh-CN"/>
              </w:rPr>
            </w:pPr>
            <w:r>
              <w:rPr>
                <w:rFonts w:hint="eastAsia"/>
                <w:sz w:val="22"/>
                <w:lang w:val="zh-CN"/>
              </w:rPr>
              <w:t>调查点类型</w:t>
            </w:r>
          </w:p>
        </w:tc>
        <w:tc>
          <w:tcPr>
            <w:tcW w:w="0" w:type="auto"/>
            <w:noWrap/>
            <w:vAlign w:val="center"/>
          </w:tcPr>
          <w:p w14:paraId="4E622E5A">
            <w:pPr>
              <w:jc w:val="center"/>
              <w:rPr>
                <w:sz w:val="22"/>
                <w:lang w:val="zh-CN"/>
              </w:rPr>
            </w:pPr>
            <w:r>
              <w:rPr>
                <w:rFonts w:hint="eastAsia"/>
                <w:sz w:val="22"/>
                <w:lang w:val="zh-CN"/>
              </w:rPr>
              <w:t>含水层</w:t>
            </w:r>
          </w:p>
        </w:tc>
        <w:tc>
          <w:tcPr>
            <w:tcW w:w="0" w:type="auto"/>
            <w:noWrap/>
            <w:vAlign w:val="center"/>
          </w:tcPr>
          <w:p w14:paraId="27991D18">
            <w:pPr>
              <w:jc w:val="center"/>
              <w:rPr>
                <w:sz w:val="22"/>
                <w:lang w:val="zh-CN"/>
              </w:rPr>
            </w:pPr>
            <w:r>
              <w:rPr>
                <w:rFonts w:hint="eastAsia"/>
                <w:sz w:val="22"/>
                <w:lang w:val="zh-CN"/>
              </w:rPr>
              <w:t>与项目位置关系</w:t>
            </w:r>
          </w:p>
        </w:tc>
      </w:tr>
      <w:tr w14:paraId="4CF9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2" w:type="dxa"/>
            <w:noWrap/>
            <w:vAlign w:val="center"/>
          </w:tcPr>
          <w:p w14:paraId="2540F347">
            <w:pPr>
              <w:widowControl/>
              <w:jc w:val="center"/>
              <w:textAlignment w:val="center"/>
              <w:rPr>
                <w:sz w:val="22"/>
                <w:lang w:val="zh-CN"/>
              </w:rPr>
            </w:pPr>
            <w:r>
              <w:rPr>
                <w:rFonts w:eastAsia="等线"/>
                <w:kern w:val="0"/>
                <w:sz w:val="22"/>
                <w:szCs w:val="22"/>
                <w:lang w:bidi="ar"/>
              </w:rPr>
              <w:t>D1</w:t>
            </w:r>
          </w:p>
        </w:tc>
        <w:tc>
          <w:tcPr>
            <w:tcW w:w="1175" w:type="dxa"/>
            <w:noWrap/>
            <w:vAlign w:val="center"/>
          </w:tcPr>
          <w:p w14:paraId="47C1BF16">
            <w:pPr>
              <w:widowControl/>
              <w:jc w:val="center"/>
              <w:textAlignment w:val="center"/>
              <w:rPr>
                <w:sz w:val="22"/>
              </w:rPr>
            </w:pPr>
            <w:r>
              <w:rPr>
                <w:rFonts w:hint="eastAsia" w:ascii="宋体" w:hAnsi="宋体" w:cs="宋体"/>
                <w:kern w:val="0"/>
                <w:sz w:val="22"/>
                <w:szCs w:val="22"/>
                <w:lang w:bidi="ar"/>
              </w:rPr>
              <w:t>金凤村</w:t>
            </w:r>
          </w:p>
        </w:tc>
        <w:tc>
          <w:tcPr>
            <w:tcW w:w="1234" w:type="dxa"/>
            <w:noWrap/>
            <w:vAlign w:val="center"/>
          </w:tcPr>
          <w:p w14:paraId="6ECC9617">
            <w:pPr>
              <w:widowControl/>
              <w:jc w:val="center"/>
              <w:textAlignment w:val="center"/>
              <w:rPr>
                <w:lang w:val="zh-CN"/>
              </w:rPr>
            </w:pPr>
            <w:r>
              <w:rPr>
                <w:rFonts w:eastAsia="等线"/>
                <w:kern w:val="0"/>
                <w:sz w:val="22"/>
                <w:szCs w:val="22"/>
                <w:lang w:bidi="ar"/>
              </w:rPr>
              <w:t>106.43101</w:t>
            </w:r>
          </w:p>
        </w:tc>
        <w:tc>
          <w:tcPr>
            <w:tcW w:w="1116" w:type="dxa"/>
            <w:noWrap/>
            <w:vAlign w:val="center"/>
          </w:tcPr>
          <w:p w14:paraId="39A6EE29">
            <w:pPr>
              <w:widowControl/>
              <w:jc w:val="center"/>
              <w:textAlignment w:val="center"/>
              <w:rPr>
                <w:lang w:val="zh-CN"/>
              </w:rPr>
            </w:pPr>
            <w:r>
              <w:rPr>
                <w:rFonts w:eastAsia="等线"/>
                <w:kern w:val="0"/>
                <w:sz w:val="22"/>
                <w:szCs w:val="22"/>
                <w:lang w:bidi="ar"/>
              </w:rPr>
              <w:t>31.79009</w:t>
            </w:r>
          </w:p>
        </w:tc>
        <w:tc>
          <w:tcPr>
            <w:tcW w:w="0" w:type="auto"/>
            <w:noWrap/>
            <w:vAlign w:val="center"/>
          </w:tcPr>
          <w:p w14:paraId="540B73D5">
            <w:pPr>
              <w:jc w:val="center"/>
              <w:rPr>
                <w:sz w:val="22"/>
                <w:lang w:val="zh-CN"/>
              </w:rPr>
            </w:pPr>
            <w:r>
              <w:rPr>
                <w:rFonts w:hint="eastAsia"/>
                <w:sz w:val="22"/>
                <w:lang w:val="zh-CN"/>
              </w:rPr>
              <w:t>水井</w:t>
            </w:r>
          </w:p>
        </w:tc>
        <w:tc>
          <w:tcPr>
            <w:tcW w:w="0" w:type="auto"/>
            <w:noWrap/>
            <w:vAlign w:val="center"/>
          </w:tcPr>
          <w:p w14:paraId="5667A385">
            <w:pPr>
              <w:jc w:val="center"/>
              <w:rPr>
                <w:sz w:val="22"/>
                <w:lang w:val="zh-CN"/>
              </w:rPr>
            </w:pPr>
            <w:r>
              <w:rPr>
                <w:kern w:val="0"/>
                <w:sz w:val="22"/>
                <w:szCs w:val="22"/>
                <w:lang w:bidi="ar"/>
              </w:rPr>
              <w:t>K</w:t>
            </w:r>
            <w:r>
              <w:rPr>
                <w:kern w:val="0"/>
                <w:sz w:val="22"/>
                <w:szCs w:val="22"/>
                <w:vertAlign w:val="subscript"/>
                <w:lang w:bidi="ar"/>
              </w:rPr>
              <w:t>1</w:t>
            </w:r>
            <w:r>
              <w:rPr>
                <w:kern w:val="0"/>
                <w:sz w:val="22"/>
                <w:szCs w:val="22"/>
                <w:lang w:bidi="ar"/>
              </w:rPr>
              <w:t>b</w:t>
            </w:r>
          </w:p>
        </w:tc>
        <w:tc>
          <w:tcPr>
            <w:tcW w:w="0" w:type="auto"/>
            <w:noWrap/>
            <w:vAlign w:val="center"/>
          </w:tcPr>
          <w:p w14:paraId="60F909CB">
            <w:pPr>
              <w:jc w:val="center"/>
            </w:pPr>
            <w:r>
              <w:rPr>
                <w:rFonts w:hint="eastAsia"/>
                <w:sz w:val="22"/>
                <w:szCs w:val="22"/>
              </w:rPr>
              <w:t>站场上游</w:t>
            </w:r>
          </w:p>
        </w:tc>
      </w:tr>
      <w:tr w14:paraId="7FD6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dxa"/>
            <w:noWrap/>
            <w:vAlign w:val="center"/>
          </w:tcPr>
          <w:p w14:paraId="1F9C27C2">
            <w:pPr>
              <w:widowControl/>
              <w:jc w:val="center"/>
              <w:textAlignment w:val="center"/>
              <w:rPr>
                <w:sz w:val="22"/>
                <w:lang w:val="zh-CN"/>
              </w:rPr>
            </w:pPr>
            <w:r>
              <w:rPr>
                <w:rFonts w:eastAsia="等线"/>
                <w:kern w:val="0"/>
                <w:sz w:val="22"/>
                <w:szCs w:val="22"/>
                <w:lang w:bidi="ar"/>
              </w:rPr>
              <w:t>D2</w:t>
            </w:r>
          </w:p>
        </w:tc>
        <w:tc>
          <w:tcPr>
            <w:tcW w:w="1175" w:type="dxa"/>
            <w:noWrap/>
            <w:vAlign w:val="center"/>
          </w:tcPr>
          <w:p w14:paraId="44ADF42D">
            <w:pPr>
              <w:widowControl/>
              <w:jc w:val="center"/>
              <w:textAlignment w:val="center"/>
              <w:rPr>
                <w:sz w:val="22"/>
              </w:rPr>
            </w:pPr>
            <w:r>
              <w:rPr>
                <w:rFonts w:hint="eastAsia" w:ascii="宋体" w:hAnsi="宋体" w:cs="宋体"/>
                <w:kern w:val="0"/>
                <w:sz w:val="22"/>
                <w:szCs w:val="22"/>
                <w:lang w:bidi="ar"/>
              </w:rPr>
              <w:t>金凤村</w:t>
            </w:r>
          </w:p>
        </w:tc>
        <w:tc>
          <w:tcPr>
            <w:tcW w:w="1234" w:type="dxa"/>
            <w:noWrap/>
            <w:vAlign w:val="center"/>
          </w:tcPr>
          <w:p w14:paraId="607D2CC0">
            <w:pPr>
              <w:widowControl/>
              <w:jc w:val="center"/>
              <w:textAlignment w:val="center"/>
              <w:rPr>
                <w:lang w:val="zh-CN"/>
              </w:rPr>
            </w:pPr>
            <w:r>
              <w:rPr>
                <w:rFonts w:eastAsia="等线"/>
                <w:kern w:val="0"/>
                <w:sz w:val="22"/>
                <w:szCs w:val="22"/>
                <w:lang w:bidi="ar"/>
              </w:rPr>
              <w:t>106.42888</w:t>
            </w:r>
          </w:p>
        </w:tc>
        <w:tc>
          <w:tcPr>
            <w:tcW w:w="1116" w:type="dxa"/>
            <w:noWrap/>
            <w:vAlign w:val="center"/>
          </w:tcPr>
          <w:p w14:paraId="3D2AA9C0">
            <w:pPr>
              <w:widowControl/>
              <w:jc w:val="center"/>
              <w:textAlignment w:val="center"/>
              <w:rPr>
                <w:lang w:val="zh-CN"/>
              </w:rPr>
            </w:pPr>
            <w:r>
              <w:rPr>
                <w:rFonts w:eastAsia="等线"/>
                <w:kern w:val="0"/>
                <w:sz w:val="22"/>
                <w:szCs w:val="22"/>
                <w:lang w:bidi="ar"/>
              </w:rPr>
              <w:t>31.79193</w:t>
            </w:r>
          </w:p>
        </w:tc>
        <w:tc>
          <w:tcPr>
            <w:tcW w:w="0" w:type="auto"/>
            <w:noWrap/>
            <w:vAlign w:val="center"/>
          </w:tcPr>
          <w:p w14:paraId="28BF0916">
            <w:pPr>
              <w:jc w:val="center"/>
              <w:rPr>
                <w:sz w:val="22"/>
                <w:lang w:val="zh-CN"/>
              </w:rPr>
            </w:pPr>
            <w:r>
              <w:rPr>
                <w:rFonts w:hint="eastAsia"/>
                <w:sz w:val="22"/>
                <w:lang w:val="zh-CN"/>
              </w:rPr>
              <w:t>水井</w:t>
            </w:r>
          </w:p>
        </w:tc>
        <w:tc>
          <w:tcPr>
            <w:tcW w:w="0" w:type="auto"/>
            <w:noWrap/>
            <w:vAlign w:val="center"/>
          </w:tcPr>
          <w:p w14:paraId="43CC5EC5">
            <w:pPr>
              <w:jc w:val="center"/>
              <w:rPr>
                <w:sz w:val="22"/>
                <w:lang w:val="zh-CN"/>
              </w:rPr>
            </w:pPr>
            <w:r>
              <w:rPr>
                <w:kern w:val="0"/>
                <w:sz w:val="22"/>
                <w:szCs w:val="22"/>
                <w:lang w:bidi="ar"/>
              </w:rPr>
              <w:t>K</w:t>
            </w:r>
            <w:r>
              <w:rPr>
                <w:kern w:val="0"/>
                <w:sz w:val="22"/>
                <w:szCs w:val="22"/>
                <w:vertAlign w:val="subscript"/>
                <w:lang w:bidi="ar"/>
              </w:rPr>
              <w:t>1</w:t>
            </w:r>
            <w:r>
              <w:rPr>
                <w:kern w:val="0"/>
                <w:sz w:val="22"/>
                <w:szCs w:val="22"/>
                <w:lang w:bidi="ar"/>
              </w:rPr>
              <w:t>b</w:t>
            </w:r>
          </w:p>
        </w:tc>
        <w:tc>
          <w:tcPr>
            <w:tcW w:w="0" w:type="auto"/>
            <w:noWrap/>
            <w:vAlign w:val="center"/>
          </w:tcPr>
          <w:p w14:paraId="125C73E0">
            <w:pPr>
              <w:jc w:val="center"/>
            </w:pPr>
            <w:r>
              <w:rPr>
                <w:rFonts w:hint="eastAsia"/>
                <w:sz w:val="22"/>
                <w:szCs w:val="22"/>
              </w:rPr>
              <w:t>站场侧向</w:t>
            </w:r>
          </w:p>
        </w:tc>
      </w:tr>
      <w:tr w14:paraId="3A25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dxa"/>
            <w:noWrap/>
            <w:vAlign w:val="center"/>
          </w:tcPr>
          <w:p w14:paraId="5332491D">
            <w:pPr>
              <w:widowControl/>
              <w:jc w:val="center"/>
              <w:textAlignment w:val="center"/>
              <w:rPr>
                <w:sz w:val="22"/>
                <w:lang w:val="zh-CN"/>
              </w:rPr>
            </w:pPr>
            <w:r>
              <w:rPr>
                <w:rFonts w:eastAsia="等线"/>
                <w:kern w:val="0"/>
                <w:sz w:val="22"/>
                <w:szCs w:val="22"/>
                <w:lang w:bidi="ar"/>
              </w:rPr>
              <w:t>D3</w:t>
            </w:r>
          </w:p>
        </w:tc>
        <w:tc>
          <w:tcPr>
            <w:tcW w:w="1175" w:type="dxa"/>
            <w:noWrap/>
            <w:vAlign w:val="center"/>
          </w:tcPr>
          <w:p w14:paraId="4B2BC742">
            <w:pPr>
              <w:widowControl/>
              <w:jc w:val="center"/>
              <w:textAlignment w:val="center"/>
              <w:rPr>
                <w:sz w:val="22"/>
              </w:rPr>
            </w:pPr>
            <w:r>
              <w:rPr>
                <w:rFonts w:hint="eastAsia" w:ascii="宋体" w:hAnsi="宋体" w:cs="宋体"/>
                <w:kern w:val="0"/>
                <w:sz w:val="22"/>
                <w:szCs w:val="22"/>
                <w:lang w:bidi="ar"/>
              </w:rPr>
              <w:t>金凤村</w:t>
            </w:r>
          </w:p>
        </w:tc>
        <w:tc>
          <w:tcPr>
            <w:tcW w:w="1234" w:type="dxa"/>
            <w:noWrap/>
            <w:vAlign w:val="center"/>
          </w:tcPr>
          <w:p w14:paraId="69881421">
            <w:pPr>
              <w:widowControl/>
              <w:jc w:val="center"/>
              <w:textAlignment w:val="center"/>
              <w:rPr>
                <w:lang w:val="zh-CN"/>
              </w:rPr>
            </w:pPr>
            <w:r>
              <w:rPr>
                <w:rFonts w:eastAsia="等线"/>
                <w:kern w:val="0"/>
                <w:sz w:val="22"/>
                <w:szCs w:val="22"/>
                <w:lang w:bidi="ar"/>
              </w:rPr>
              <w:t>106.43039</w:t>
            </w:r>
          </w:p>
        </w:tc>
        <w:tc>
          <w:tcPr>
            <w:tcW w:w="1116" w:type="dxa"/>
            <w:noWrap/>
            <w:vAlign w:val="center"/>
          </w:tcPr>
          <w:p w14:paraId="24791812">
            <w:pPr>
              <w:widowControl/>
              <w:jc w:val="center"/>
              <w:textAlignment w:val="center"/>
              <w:rPr>
                <w:lang w:val="zh-CN"/>
              </w:rPr>
            </w:pPr>
            <w:r>
              <w:rPr>
                <w:rFonts w:eastAsia="等线"/>
                <w:kern w:val="0"/>
                <w:sz w:val="22"/>
                <w:szCs w:val="22"/>
                <w:lang w:bidi="ar"/>
              </w:rPr>
              <w:t>31.78726</w:t>
            </w:r>
          </w:p>
        </w:tc>
        <w:tc>
          <w:tcPr>
            <w:tcW w:w="0" w:type="auto"/>
            <w:noWrap/>
            <w:vAlign w:val="center"/>
          </w:tcPr>
          <w:p w14:paraId="549D3B76">
            <w:pPr>
              <w:jc w:val="center"/>
              <w:rPr>
                <w:sz w:val="22"/>
                <w:lang w:val="zh-CN"/>
              </w:rPr>
            </w:pPr>
            <w:r>
              <w:rPr>
                <w:rFonts w:hint="eastAsia"/>
                <w:sz w:val="22"/>
                <w:lang w:val="zh-CN"/>
              </w:rPr>
              <w:t>水井</w:t>
            </w:r>
          </w:p>
        </w:tc>
        <w:tc>
          <w:tcPr>
            <w:tcW w:w="0" w:type="auto"/>
            <w:noWrap/>
            <w:vAlign w:val="center"/>
          </w:tcPr>
          <w:p w14:paraId="2EFEFE4D">
            <w:pPr>
              <w:jc w:val="center"/>
              <w:rPr>
                <w:sz w:val="22"/>
                <w:lang w:val="zh-CN"/>
              </w:rPr>
            </w:pPr>
            <w:r>
              <w:rPr>
                <w:kern w:val="0"/>
                <w:sz w:val="22"/>
                <w:szCs w:val="22"/>
                <w:lang w:bidi="ar"/>
              </w:rPr>
              <w:t>K</w:t>
            </w:r>
            <w:r>
              <w:rPr>
                <w:kern w:val="0"/>
                <w:sz w:val="22"/>
                <w:szCs w:val="22"/>
                <w:vertAlign w:val="subscript"/>
                <w:lang w:bidi="ar"/>
              </w:rPr>
              <w:t>1</w:t>
            </w:r>
            <w:r>
              <w:rPr>
                <w:kern w:val="0"/>
                <w:sz w:val="22"/>
                <w:szCs w:val="22"/>
                <w:lang w:bidi="ar"/>
              </w:rPr>
              <w:t>b</w:t>
            </w:r>
          </w:p>
        </w:tc>
        <w:tc>
          <w:tcPr>
            <w:tcW w:w="0" w:type="auto"/>
            <w:noWrap/>
            <w:vAlign w:val="center"/>
          </w:tcPr>
          <w:p w14:paraId="076EA10D">
            <w:pPr>
              <w:jc w:val="center"/>
            </w:pPr>
            <w:r>
              <w:rPr>
                <w:rFonts w:hint="eastAsia"/>
                <w:sz w:val="22"/>
                <w:szCs w:val="22"/>
              </w:rPr>
              <w:t>站场侧向</w:t>
            </w:r>
          </w:p>
        </w:tc>
      </w:tr>
      <w:tr w14:paraId="1876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dxa"/>
            <w:noWrap/>
            <w:vAlign w:val="center"/>
          </w:tcPr>
          <w:p w14:paraId="3B180BFB">
            <w:pPr>
              <w:widowControl/>
              <w:jc w:val="center"/>
              <w:textAlignment w:val="center"/>
              <w:rPr>
                <w:sz w:val="22"/>
                <w:lang w:val="zh-CN"/>
              </w:rPr>
            </w:pPr>
            <w:r>
              <w:rPr>
                <w:rFonts w:eastAsia="等线"/>
                <w:kern w:val="0"/>
                <w:sz w:val="22"/>
                <w:szCs w:val="22"/>
                <w:lang w:bidi="ar"/>
              </w:rPr>
              <w:t>D4</w:t>
            </w:r>
          </w:p>
        </w:tc>
        <w:tc>
          <w:tcPr>
            <w:tcW w:w="1175" w:type="dxa"/>
            <w:noWrap/>
            <w:vAlign w:val="center"/>
          </w:tcPr>
          <w:p w14:paraId="249064F1">
            <w:pPr>
              <w:widowControl/>
              <w:jc w:val="center"/>
              <w:textAlignment w:val="center"/>
              <w:rPr>
                <w:sz w:val="22"/>
              </w:rPr>
            </w:pPr>
            <w:r>
              <w:rPr>
                <w:rFonts w:hint="eastAsia" w:ascii="宋体" w:hAnsi="宋体" w:cs="宋体"/>
                <w:kern w:val="0"/>
                <w:sz w:val="22"/>
                <w:szCs w:val="22"/>
                <w:lang w:bidi="ar"/>
              </w:rPr>
              <w:t>金凤村</w:t>
            </w:r>
          </w:p>
        </w:tc>
        <w:tc>
          <w:tcPr>
            <w:tcW w:w="1234" w:type="dxa"/>
            <w:noWrap/>
            <w:vAlign w:val="center"/>
          </w:tcPr>
          <w:p w14:paraId="527D3356">
            <w:pPr>
              <w:widowControl/>
              <w:jc w:val="center"/>
              <w:textAlignment w:val="center"/>
              <w:rPr>
                <w:lang w:val="zh-CN"/>
              </w:rPr>
            </w:pPr>
            <w:r>
              <w:rPr>
                <w:rFonts w:eastAsia="等线"/>
                <w:kern w:val="0"/>
                <w:sz w:val="22"/>
                <w:szCs w:val="22"/>
                <w:lang w:bidi="ar"/>
              </w:rPr>
              <w:t>106.42497</w:t>
            </w:r>
          </w:p>
        </w:tc>
        <w:tc>
          <w:tcPr>
            <w:tcW w:w="1116" w:type="dxa"/>
            <w:noWrap/>
            <w:vAlign w:val="center"/>
          </w:tcPr>
          <w:p w14:paraId="28275684">
            <w:pPr>
              <w:widowControl/>
              <w:jc w:val="center"/>
              <w:textAlignment w:val="center"/>
              <w:rPr>
                <w:lang w:val="zh-CN"/>
              </w:rPr>
            </w:pPr>
            <w:r>
              <w:rPr>
                <w:rFonts w:eastAsia="等线"/>
                <w:kern w:val="0"/>
                <w:sz w:val="22"/>
                <w:szCs w:val="22"/>
                <w:lang w:bidi="ar"/>
              </w:rPr>
              <w:t>31.79105</w:t>
            </w:r>
          </w:p>
        </w:tc>
        <w:tc>
          <w:tcPr>
            <w:tcW w:w="0" w:type="auto"/>
            <w:noWrap/>
            <w:vAlign w:val="center"/>
          </w:tcPr>
          <w:p w14:paraId="082ECB7E">
            <w:pPr>
              <w:jc w:val="center"/>
              <w:rPr>
                <w:sz w:val="22"/>
                <w:lang w:val="zh-CN"/>
              </w:rPr>
            </w:pPr>
            <w:r>
              <w:rPr>
                <w:rFonts w:hint="eastAsia"/>
                <w:sz w:val="22"/>
                <w:lang w:val="zh-CN"/>
              </w:rPr>
              <w:t>水井</w:t>
            </w:r>
          </w:p>
        </w:tc>
        <w:tc>
          <w:tcPr>
            <w:tcW w:w="0" w:type="auto"/>
            <w:noWrap/>
            <w:vAlign w:val="center"/>
          </w:tcPr>
          <w:p w14:paraId="06414378">
            <w:pPr>
              <w:jc w:val="center"/>
              <w:rPr>
                <w:sz w:val="22"/>
                <w:lang w:val="zh-CN"/>
              </w:rPr>
            </w:pPr>
            <w:r>
              <w:rPr>
                <w:kern w:val="0"/>
                <w:sz w:val="22"/>
                <w:szCs w:val="22"/>
                <w:lang w:bidi="ar"/>
              </w:rPr>
              <w:t>K</w:t>
            </w:r>
            <w:r>
              <w:rPr>
                <w:kern w:val="0"/>
                <w:sz w:val="22"/>
                <w:szCs w:val="22"/>
                <w:vertAlign w:val="subscript"/>
                <w:lang w:bidi="ar"/>
              </w:rPr>
              <w:t>1</w:t>
            </w:r>
            <w:r>
              <w:rPr>
                <w:kern w:val="0"/>
                <w:sz w:val="22"/>
                <w:szCs w:val="22"/>
                <w:lang w:bidi="ar"/>
              </w:rPr>
              <w:t>b</w:t>
            </w:r>
          </w:p>
        </w:tc>
        <w:tc>
          <w:tcPr>
            <w:tcW w:w="0" w:type="auto"/>
            <w:noWrap/>
            <w:vAlign w:val="center"/>
          </w:tcPr>
          <w:p w14:paraId="10C609E5">
            <w:pPr>
              <w:jc w:val="center"/>
            </w:pPr>
            <w:r>
              <w:rPr>
                <w:rFonts w:hint="eastAsia"/>
                <w:sz w:val="22"/>
                <w:szCs w:val="22"/>
              </w:rPr>
              <w:t>站场</w:t>
            </w:r>
            <w:r>
              <w:rPr>
                <w:sz w:val="22"/>
                <w:szCs w:val="22"/>
              </w:rPr>
              <w:t>下游</w:t>
            </w:r>
          </w:p>
        </w:tc>
      </w:tr>
      <w:tr w14:paraId="6979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dxa"/>
            <w:noWrap/>
            <w:vAlign w:val="center"/>
          </w:tcPr>
          <w:p w14:paraId="0D3FB36F">
            <w:pPr>
              <w:widowControl/>
              <w:jc w:val="center"/>
              <w:textAlignment w:val="center"/>
              <w:rPr>
                <w:sz w:val="22"/>
                <w:lang w:val="zh-CN"/>
              </w:rPr>
            </w:pPr>
            <w:r>
              <w:rPr>
                <w:rFonts w:eastAsia="等线"/>
                <w:kern w:val="0"/>
                <w:sz w:val="22"/>
                <w:szCs w:val="22"/>
                <w:lang w:bidi="ar"/>
              </w:rPr>
              <w:t>D5</w:t>
            </w:r>
          </w:p>
        </w:tc>
        <w:tc>
          <w:tcPr>
            <w:tcW w:w="1175" w:type="dxa"/>
            <w:noWrap/>
            <w:vAlign w:val="center"/>
          </w:tcPr>
          <w:p w14:paraId="5FD3644B">
            <w:pPr>
              <w:widowControl/>
              <w:jc w:val="center"/>
              <w:textAlignment w:val="center"/>
              <w:rPr>
                <w:sz w:val="22"/>
              </w:rPr>
            </w:pPr>
            <w:r>
              <w:rPr>
                <w:rFonts w:hint="eastAsia" w:ascii="宋体" w:hAnsi="宋体" w:cs="宋体"/>
                <w:kern w:val="0"/>
                <w:sz w:val="22"/>
                <w:szCs w:val="22"/>
                <w:lang w:bidi="ar"/>
              </w:rPr>
              <w:t>金凤村</w:t>
            </w:r>
          </w:p>
        </w:tc>
        <w:tc>
          <w:tcPr>
            <w:tcW w:w="1234" w:type="dxa"/>
            <w:noWrap/>
            <w:vAlign w:val="center"/>
          </w:tcPr>
          <w:p w14:paraId="4BBB6936">
            <w:pPr>
              <w:widowControl/>
              <w:jc w:val="center"/>
              <w:textAlignment w:val="center"/>
              <w:rPr>
                <w:lang w:val="zh-CN"/>
              </w:rPr>
            </w:pPr>
            <w:r>
              <w:rPr>
                <w:rFonts w:eastAsia="等线"/>
                <w:kern w:val="0"/>
                <w:sz w:val="22"/>
                <w:szCs w:val="22"/>
                <w:lang w:bidi="ar"/>
              </w:rPr>
              <w:t>106.42516</w:t>
            </w:r>
          </w:p>
        </w:tc>
        <w:tc>
          <w:tcPr>
            <w:tcW w:w="1116" w:type="dxa"/>
            <w:noWrap/>
            <w:vAlign w:val="center"/>
          </w:tcPr>
          <w:p w14:paraId="6FC01FE5">
            <w:pPr>
              <w:widowControl/>
              <w:jc w:val="center"/>
              <w:textAlignment w:val="center"/>
              <w:rPr>
                <w:lang w:val="zh-CN"/>
              </w:rPr>
            </w:pPr>
            <w:r>
              <w:rPr>
                <w:rFonts w:eastAsia="等线"/>
                <w:kern w:val="0"/>
                <w:sz w:val="22"/>
                <w:szCs w:val="22"/>
                <w:lang w:bidi="ar"/>
              </w:rPr>
              <w:t>31.78878</w:t>
            </w:r>
          </w:p>
        </w:tc>
        <w:tc>
          <w:tcPr>
            <w:tcW w:w="0" w:type="auto"/>
            <w:noWrap/>
            <w:vAlign w:val="center"/>
          </w:tcPr>
          <w:p w14:paraId="389487E2">
            <w:pPr>
              <w:jc w:val="center"/>
              <w:rPr>
                <w:sz w:val="22"/>
                <w:lang w:val="zh-CN"/>
              </w:rPr>
            </w:pPr>
            <w:r>
              <w:rPr>
                <w:rFonts w:hint="eastAsia"/>
                <w:sz w:val="22"/>
                <w:lang w:val="zh-CN"/>
              </w:rPr>
              <w:t>水井</w:t>
            </w:r>
          </w:p>
        </w:tc>
        <w:tc>
          <w:tcPr>
            <w:tcW w:w="0" w:type="auto"/>
            <w:noWrap/>
            <w:vAlign w:val="center"/>
          </w:tcPr>
          <w:p w14:paraId="352DADF6">
            <w:pPr>
              <w:jc w:val="center"/>
              <w:rPr>
                <w:sz w:val="22"/>
                <w:lang w:val="zh-CN"/>
              </w:rPr>
            </w:pPr>
            <w:r>
              <w:rPr>
                <w:kern w:val="0"/>
                <w:sz w:val="22"/>
                <w:szCs w:val="22"/>
                <w:lang w:bidi="ar"/>
              </w:rPr>
              <w:t>K</w:t>
            </w:r>
            <w:r>
              <w:rPr>
                <w:kern w:val="0"/>
                <w:sz w:val="22"/>
                <w:szCs w:val="22"/>
                <w:vertAlign w:val="subscript"/>
                <w:lang w:bidi="ar"/>
              </w:rPr>
              <w:t>1</w:t>
            </w:r>
            <w:r>
              <w:rPr>
                <w:kern w:val="0"/>
                <w:sz w:val="22"/>
                <w:szCs w:val="22"/>
                <w:lang w:bidi="ar"/>
              </w:rPr>
              <w:t>b</w:t>
            </w:r>
          </w:p>
        </w:tc>
        <w:tc>
          <w:tcPr>
            <w:tcW w:w="0" w:type="auto"/>
            <w:noWrap/>
            <w:vAlign w:val="center"/>
          </w:tcPr>
          <w:p w14:paraId="34778D6F">
            <w:pPr>
              <w:jc w:val="center"/>
            </w:pPr>
            <w:r>
              <w:rPr>
                <w:rFonts w:hint="eastAsia"/>
                <w:sz w:val="22"/>
                <w:szCs w:val="22"/>
              </w:rPr>
              <w:t>站场</w:t>
            </w:r>
            <w:r>
              <w:rPr>
                <w:sz w:val="22"/>
                <w:szCs w:val="22"/>
              </w:rPr>
              <w:t>下游</w:t>
            </w:r>
          </w:p>
        </w:tc>
      </w:tr>
    </w:tbl>
    <w:p w14:paraId="7D899987">
      <w:pPr>
        <w:pStyle w:val="1379"/>
        <w:ind w:firstLine="440"/>
      </w:pPr>
    </w:p>
    <w:p w14:paraId="22D3DD23">
      <w:pPr>
        <w:pStyle w:val="45"/>
        <w:adjustRightInd w:val="0"/>
        <w:snapToGrid w:val="0"/>
        <w:spacing w:line="460" w:lineRule="exact"/>
        <w:ind w:firstLine="520"/>
        <w:rPr>
          <w:sz w:val="26"/>
          <w:szCs w:val="26"/>
        </w:rPr>
      </w:pPr>
      <w:r>
        <w:rPr>
          <w:rFonts w:hint="eastAsia"/>
          <w:sz w:val="26"/>
          <w:szCs w:val="26"/>
        </w:rPr>
        <w:t>（4）</w:t>
      </w:r>
      <w:r>
        <w:rPr>
          <w:sz w:val="26"/>
          <w:szCs w:val="26"/>
        </w:rPr>
        <w:t>检测因子与监测频率</w:t>
      </w:r>
    </w:p>
    <w:p w14:paraId="34D73C64">
      <w:pPr>
        <w:pStyle w:val="45"/>
        <w:adjustRightInd w:val="0"/>
        <w:snapToGrid w:val="0"/>
        <w:spacing w:line="460" w:lineRule="exact"/>
        <w:ind w:firstLine="520"/>
        <w:rPr>
          <w:sz w:val="26"/>
          <w:szCs w:val="26"/>
        </w:rPr>
      </w:pPr>
      <w:r>
        <w:rPr>
          <w:sz w:val="26"/>
          <w:szCs w:val="26"/>
        </w:rPr>
        <w:t>地下水现状监测因子：</w:t>
      </w:r>
      <w:r>
        <w:rPr>
          <w:rFonts w:hint="eastAsia"/>
          <w:sz w:val="26"/>
          <w:szCs w:val="26"/>
        </w:rPr>
        <w:t>K</w:t>
      </w:r>
      <w:r>
        <w:rPr>
          <w:rFonts w:hint="eastAsia"/>
          <w:sz w:val="26"/>
          <w:szCs w:val="26"/>
          <w:vertAlign w:val="superscript"/>
        </w:rPr>
        <w:t>+</w:t>
      </w:r>
      <w:r>
        <w:rPr>
          <w:rFonts w:hint="eastAsia"/>
          <w:sz w:val="26"/>
          <w:szCs w:val="26"/>
        </w:rPr>
        <w:t>、Na</w:t>
      </w:r>
      <w:r>
        <w:rPr>
          <w:rFonts w:hint="eastAsia"/>
          <w:sz w:val="26"/>
          <w:szCs w:val="26"/>
          <w:vertAlign w:val="superscript"/>
        </w:rPr>
        <w:t>+</w:t>
      </w:r>
      <w:r>
        <w:rPr>
          <w:rFonts w:hint="eastAsia"/>
          <w:sz w:val="26"/>
          <w:szCs w:val="26"/>
        </w:rPr>
        <w:t>、Ca</w:t>
      </w:r>
      <w:r>
        <w:rPr>
          <w:rFonts w:hint="eastAsia"/>
          <w:sz w:val="26"/>
          <w:szCs w:val="26"/>
          <w:vertAlign w:val="superscript"/>
        </w:rPr>
        <w:t>2+</w:t>
      </w:r>
      <w:r>
        <w:rPr>
          <w:rFonts w:hint="eastAsia"/>
          <w:sz w:val="26"/>
          <w:szCs w:val="26"/>
        </w:rPr>
        <w:t>、Mg</w:t>
      </w:r>
      <w:r>
        <w:rPr>
          <w:rFonts w:hint="eastAsia"/>
          <w:sz w:val="26"/>
          <w:szCs w:val="26"/>
          <w:vertAlign w:val="superscript"/>
        </w:rPr>
        <w:t>2+</w:t>
      </w:r>
      <w:r>
        <w:rPr>
          <w:rFonts w:hint="eastAsia"/>
          <w:sz w:val="26"/>
          <w:szCs w:val="26"/>
        </w:rPr>
        <w:t>、</w:t>
      </w:r>
      <w:r>
        <w:rPr>
          <w:sz w:val="26"/>
          <w:szCs w:val="26"/>
        </w:rPr>
        <w:t>CO</w:t>
      </w:r>
      <w:r>
        <w:rPr>
          <w:rFonts w:hint="eastAsia"/>
          <w:sz w:val="26"/>
          <w:szCs w:val="26"/>
          <w:vertAlign w:val="subscript"/>
        </w:rPr>
        <w:t>3</w:t>
      </w:r>
      <w:r>
        <w:rPr>
          <w:rFonts w:hint="eastAsia"/>
          <w:sz w:val="26"/>
          <w:szCs w:val="26"/>
          <w:vertAlign w:val="superscript"/>
        </w:rPr>
        <w:t>2-</w:t>
      </w:r>
      <w:r>
        <w:rPr>
          <w:rFonts w:hint="eastAsia"/>
          <w:sz w:val="26"/>
          <w:szCs w:val="26"/>
        </w:rPr>
        <w:t>、HCO</w:t>
      </w:r>
      <w:r>
        <w:rPr>
          <w:rFonts w:hint="eastAsia"/>
          <w:sz w:val="26"/>
          <w:szCs w:val="26"/>
          <w:vertAlign w:val="subscript"/>
        </w:rPr>
        <w:t>3</w:t>
      </w:r>
      <w:r>
        <w:rPr>
          <w:rFonts w:hint="eastAsia"/>
          <w:sz w:val="26"/>
          <w:szCs w:val="26"/>
          <w:vertAlign w:val="superscript"/>
        </w:rPr>
        <w:t>-</w:t>
      </w:r>
      <w:r>
        <w:rPr>
          <w:rFonts w:hint="eastAsia"/>
          <w:sz w:val="26"/>
          <w:szCs w:val="26"/>
        </w:rPr>
        <w:t>、Cl</w:t>
      </w:r>
      <w:r>
        <w:rPr>
          <w:rFonts w:hint="eastAsia"/>
          <w:sz w:val="26"/>
          <w:szCs w:val="26"/>
          <w:vertAlign w:val="superscript"/>
        </w:rPr>
        <w:t>-</w:t>
      </w:r>
      <w:r>
        <w:rPr>
          <w:rFonts w:hint="eastAsia"/>
          <w:sz w:val="26"/>
          <w:szCs w:val="26"/>
        </w:rPr>
        <w:t>、SO</w:t>
      </w:r>
      <w:r>
        <w:rPr>
          <w:rFonts w:hint="eastAsia"/>
          <w:sz w:val="26"/>
          <w:szCs w:val="26"/>
          <w:vertAlign w:val="subscript"/>
        </w:rPr>
        <w:t>4</w:t>
      </w:r>
      <w:r>
        <w:rPr>
          <w:rFonts w:hint="eastAsia"/>
          <w:sz w:val="26"/>
          <w:szCs w:val="26"/>
          <w:vertAlign w:val="superscript"/>
        </w:rPr>
        <w:t>2-</w:t>
      </w:r>
      <w:r>
        <w:rPr>
          <w:rFonts w:hint="eastAsia"/>
          <w:sz w:val="26"/>
          <w:szCs w:val="26"/>
        </w:rPr>
        <w:t>、</w:t>
      </w:r>
      <w:r>
        <w:rPr>
          <w:sz w:val="26"/>
          <w:szCs w:val="26"/>
        </w:rPr>
        <w:t>pH</w:t>
      </w:r>
      <w:r>
        <w:rPr>
          <w:rFonts w:ascii="Calibri" w:hAnsi="Calibri" w:cs="Calibri"/>
          <w:sz w:val="26"/>
          <w:szCs w:val="26"/>
        </w:rPr>
        <w:t>、氨氮、硝酸盐、亚硝酸盐、挥发性酚类、氰化物、砷、汞、铬（六价）、总硬度、铅、</w:t>
      </w:r>
      <w:r>
        <w:rPr>
          <w:rFonts w:hint="eastAsia" w:ascii="Calibri" w:hAnsi="Calibri" w:cs="Calibri"/>
          <w:sz w:val="26"/>
          <w:szCs w:val="26"/>
        </w:rPr>
        <w:t>氟化物</w:t>
      </w:r>
      <w:r>
        <w:rPr>
          <w:rFonts w:ascii="Calibri" w:hAnsi="Calibri" w:cs="Calibri"/>
          <w:sz w:val="26"/>
          <w:szCs w:val="26"/>
        </w:rPr>
        <w:t>、镉、铁、锰、溶解性总固体、耗氧量、硫酸盐、硫化物、总大肠菌群、菌落总数</w:t>
      </w:r>
      <w:r>
        <w:rPr>
          <w:rFonts w:hint="eastAsia" w:ascii="Calibri" w:hAnsi="Calibri" w:cs="Calibri"/>
          <w:sz w:val="26"/>
          <w:szCs w:val="26"/>
        </w:rPr>
        <w:t>、钡、氯化物、</w:t>
      </w:r>
      <w:r>
        <w:rPr>
          <w:rFonts w:hint="eastAsia" w:ascii="Times New Roman" w:hAnsi="Times New Roman"/>
          <w:bCs/>
          <w:sz w:val="26"/>
          <w:szCs w:val="26"/>
        </w:rPr>
        <w:t>石油烃(C</w:t>
      </w:r>
      <w:r>
        <w:rPr>
          <w:rFonts w:hint="eastAsia" w:ascii="Times New Roman" w:hAnsi="Times New Roman"/>
          <w:bCs/>
          <w:sz w:val="26"/>
          <w:szCs w:val="26"/>
          <w:vertAlign w:val="subscript"/>
        </w:rPr>
        <w:t>6</w:t>
      </w:r>
      <w:r>
        <w:rPr>
          <w:rFonts w:hint="eastAsia" w:ascii="Times New Roman" w:hAnsi="Times New Roman"/>
          <w:bCs/>
          <w:sz w:val="26"/>
          <w:szCs w:val="26"/>
        </w:rPr>
        <w:t>~C</w:t>
      </w:r>
      <w:r>
        <w:rPr>
          <w:rFonts w:hint="eastAsia" w:ascii="Times New Roman" w:hAnsi="Times New Roman"/>
          <w:bCs/>
          <w:sz w:val="26"/>
          <w:szCs w:val="26"/>
          <w:vertAlign w:val="subscript"/>
        </w:rPr>
        <w:t>9</w:t>
      </w:r>
      <w:r>
        <w:rPr>
          <w:rFonts w:hint="eastAsia" w:ascii="Times New Roman" w:hAnsi="Times New Roman"/>
          <w:bCs/>
          <w:sz w:val="26"/>
          <w:szCs w:val="26"/>
        </w:rPr>
        <w:t>)、石油烃(C</w:t>
      </w:r>
      <w:r>
        <w:rPr>
          <w:rFonts w:hint="eastAsia" w:ascii="Times New Roman" w:hAnsi="Times New Roman"/>
          <w:bCs/>
          <w:sz w:val="26"/>
          <w:szCs w:val="26"/>
          <w:vertAlign w:val="subscript"/>
        </w:rPr>
        <w:t>10</w:t>
      </w:r>
      <w:r>
        <w:rPr>
          <w:rFonts w:hint="eastAsia" w:ascii="Times New Roman" w:hAnsi="Times New Roman"/>
          <w:bCs/>
          <w:sz w:val="26"/>
          <w:szCs w:val="26"/>
        </w:rPr>
        <w:t>~C</w:t>
      </w:r>
      <w:r>
        <w:rPr>
          <w:rFonts w:hint="eastAsia" w:ascii="Times New Roman" w:hAnsi="Times New Roman"/>
          <w:bCs/>
          <w:sz w:val="26"/>
          <w:szCs w:val="26"/>
          <w:vertAlign w:val="subscript"/>
        </w:rPr>
        <w:t>40</w:t>
      </w:r>
      <w:r>
        <w:rPr>
          <w:rFonts w:hint="eastAsia" w:ascii="Times New Roman" w:hAnsi="Times New Roman"/>
          <w:bCs/>
          <w:sz w:val="26"/>
          <w:szCs w:val="26"/>
        </w:rPr>
        <w:t>)</w:t>
      </w:r>
      <w:r>
        <w:rPr>
          <w:sz w:val="26"/>
          <w:szCs w:val="26"/>
        </w:rPr>
        <w:t>。</w:t>
      </w:r>
    </w:p>
    <w:p w14:paraId="40349667">
      <w:pPr>
        <w:pStyle w:val="45"/>
        <w:adjustRightInd w:val="0"/>
        <w:snapToGrid w:val="0"/>
        <w:spacing w:line="460" w:lineRule="exact"/>
        <w:ind w:firstLine="520"/>
        <w:rPr>
          <w:sz w:val="26"/>
          <w:szCs w:val="26"/>
        </w:rPr>
      </w:pPr>
      <w:r>
        <w:rPr>
          <w:sz w:val="26"/>
          <w:szCs w:val="26"/>
        </w:rPr>
        <w:t>地下水监测频率</w:t>
      </w:r>
      <w:r>
        <w:rPr>
          <w:rFonts w:hint="eastAsia"/>
          <w:sz w:val="26"/>
          <w:szCs w:val="26"/>
        </w:rPr>
        <w:t>：</w:t>
      </w:r>
      <w:r>
        <w:rPr>
          <w:sz w:val="26"/>
          <w:szCs w:val="26"/>
        </w:rPr>
        <w:t>本次评价作一期监测，监测一次数据。</w:t>
      </w:r>
    </w:p>
    <w:p w14:paraId="3C7AD199">
      <w:pPr>
        <w:pStyle w:val="45"/>
        <w:adjustRightInd w:val="0"/>
        <w:snapToGrid w:val="0"/>
        <w:spacing w:line="460" w:lineRule="exact"/>
        <w:ind w:firstLine="520"/>
        <w:rPr>
          <w:sz w:val="26"/>
          <w:szCs w:val="26"/>
        </w:rPr>
      </w:pPr>
      <w:r>
        <w:rPr>
          <w:sz w:val="26"/>
          <w:szCs w:val="26"/>
        </w:rPr>
        <w:t>监测分析方法按相关规范执行。</w:t>
      </w:r>
    </w:p>
    <w:p w14:paraId="4EC7AECD">
      <w:pPr>
        <w:pStyle w:val="45"/>
        <w:adjustRightInd w:val="0"/>
        <w:snapToGrid w:val="0"/>
        <w:spacing w:line="460" w:lineRule="exact"/>
        <w:ind w:firstLine="520"/>
        <w:rPr>
          <w:sz w:val="26"/>
          <w:szCs w:val="26"/>
        </w:rPr>
      </w:pPr>
      <w:r>
        <w:rPr>
          <w:rFonts w:hint="eastAsia"/>
          <w:sz w:val="26"/>
          <w:szCs w:val="26"/>
        </w:rPr>
        <w:t>（5）</w:t>
      </w:r>
      <w:r>
        <w:rPr>
          <w:sz w:val="26"/>
          <w:szCs w:val="26"/>
        </w:rPr>
        <w:t>评价标准</w:t>
      </w:r>
    </w:p>
    <w:p w14:paraId="5D89CE9B">
      <w:pPr>
        <w:pStyle w:val="45"/>
        <w:adjustRightInd w:val="0"/>
        <w:snapToGrid w:val="0"/>
        <w:spacing w:line="460" w:lineRule="exact"/>
        <w:ind w:firstLine="520"/>
        <w:rPr>
          <w:sz w:val="26"/>
          <w:szCs w:val="26"/>
        </w:rPr>
      </w:pPr>
      <w:r>
        <w:rPr>
          <w:rFonts w:hint="eastAsia"/>
          <w:sz w:val="26"/>
          <w:szCs w:val="26"/>
        </w:rPr>
        <w:t>本次评价执行《地下水质量标准》(GB/T 14848-2017)中的Ⅲ类标准。上述标准中没有涉及的监测因子参照《地表水环境质量标准》（GB3838-2002）</w:t>
      </w:r>
      <w:r>
        <w:rPr>
          <w:sz w:val="26"/>
          <w:szCs w:val="26"/>
        </w:rPr>
        <w:fldChar w:fldCharType="begin"/>
      </w:r>
      <w:r>
        <w:rPr>
          <w:sz w:val="26"/>
          <w:szCs w:val="26"/>
        </w:rPr>
        <w:instrText xml:space="preserve"> </w:instrText>
      </w:r>
      <w:r>
        <w:rPr>
          <w:rFonts w:hint="eastAsia"/>
          <w:sz w:val="26"/>
          <w:szCs w:val="26"/>
        </w:rPr>
        <w:instrText xml:space="preserve">= 3 \* ROMAN</w:instrText>
      </w:r>
      <w:r>
        <w:rPr>
          <w:sz w:val="26"/>
          <w:szCs w:val="26"/>
        </w:rPr>
        <w:instrText xml:space="preserve"> </w:instrText>
      </w:r>
      <w:r>
        <w:rPr>
          <w:sz w:val="26"/>
          <w:szCs w:val="26"/>
        </w:rPr>
        <w:fldChar w:fldCharType="separate"/>
      </w:r>
      <w:r>
        <w:rPr>
          <w:sz w:val="26"/>
          <w:szCs w:val="26"/>
        </w:rPr>
        <w:t>III</w:t>
      </w:r>
      <w:r>
        <w:rPr>
          <w:sz w:val="26"/>
          <w:szCs w:val="26"/>
        </w:rPr>
        <w:fldChar w:fldCharType="end"/>
      </w:r>
      <w:r>
        <w:rPr>
          <w:rFonts w:hint="eastAsia"/>
          <w:sz w:val="26"/>
          <w:szCs w:val="26"/>
        </w:rPr>
        <w:t>类标准执行。</w:t>
      </w:r>
    </w:p>
    <w:p w14:paraId="301BA49F">
      <w:pPr>
        <w:pStyle w:val="45"/>
        <w:adjustRightInd w:val="0"/>
        <w:snapToGrid w:val="0"/>
        <w:spacing w:line="460" w:lineRule="exact"/>
        <w:ind w:firstLine="520"/>
        <w:rPr>
          <w:sz w:val="26"/>
          <w:szCs w:val="26"/>
        </w:rPr>
      </w:pPr>
      <w:r>
        <w:rPr>
          <w:rFonts w:hint="eastAsia"/>
          <w:sz w:val="26"/>
          <w:szCs w:val="26"/>
        </w:rPr>
        <w:t>（</w:t>
      </w:r>
      <w:r>
        <w:rPr>
          <w:sz w:val="26"/>
          <w:szCs w:val="26"/>
        </w:rPr>
        <w:t>6</w:t>
      </w:r>
      <w:r>
        <w:rPr>
          <w:rFonts w:hint="eastAsia"/>
          <w:sz w:val="26"/>
          <w:szCs w:val="26"/>
        </w:rPr>
        <w:t>）</w:t>
      </w:r>
      <w:r>
        <w:rPr>
          <w:sz w:val="26"/>
          <w:szCs w:val="26"/>
        </w:rPr>
        <w:t>评价方法</w:t>
      </w:r>
    </w:p>
    <w:p w14:paraId="2F872BA6">
      <w:pPr>
        <w:pStyle w:val="45"/>
        <w:adjustRightInd w:val="0"/>
        <w:snapToGrid w:val="0"/>
        <w:spacing w:line="460" w:lineRule="exact"/>
        <w:ind w:firstLine="520"/>
        <w:rPr>
          <w:sz w:val="26"/>
          <w:szCs w:val="26"/>
        </w:rPr>
      </w:pPr>
      <w:r>
        <w:rPr>
          <w:sz w:val="26"/>
          <w:szCs w:val="26"/>
        </w:rPr>
        <w:t>根据地下水导则中地下水水质现状评价的有关要求，本次地下水水质现状评价采用标准指数法进行评价。</w:t>
      </w:r>
    </w:p>
    <w:p w14:paraId="6FA24882">
      <w:pPr>
        <w:pStyle w:val="45"/>
        <w:adjustRightInd w:val="0"/>
        <w:snapToGrid w:val="0"/>
        <w:spacing w:line="460" w:lineRule="exact"/>
        <w:ind w:firstLine="520"/>
        <w:rPr>
          <w:sz w:val="26"/>
          <w:szCs w:val="26"/>
        </w:rPr>
      </w:pPr>
      <w:r>
        <w:rPr>
          <w:rFonts w:hint="eastAsia"/>
          <w:sz w:val="26"/>
          <w:szCs w:val="26"/>
        </w:rPr>
        <w:t>①</w:t>
      </w:r>
      <w:r>
        <w:rPr>
          <w:sz w:val="26"/>
          <w:szCs w:val="26"/>
        </w:rPr>
        <w:t>对于评价标准为定值的水质因子，其标准指数计算公式为：</w:t>
      </w:r>
    </w:p>
    <w:p w14:paraId="3FC48ED3">
      <w:pPr>
        <w:pStyle w:val="948"/>
        <w:autoSpaceDE/>
        <w:autoSpaceDN/>
        <w:rPr>
          <w:szCs w:val="26"/>
        </w:rPr>
      </w:pPr>
      <w:r>
        <w:rPr>
          <w:szCs w:val="26"/>
        </w:rPr>
        <w:object>
          <v:shape id="_x0000_i1028" o:spt="75" type="#_x0000_t75" style="height:36pt;width:43.45pt;" o:ole="t" filled="f" o:preferrelative="t" stroked="f" coordsize="21600,21600">
            <v:path/>
            <v:fill on="f" focussize="0,0"/>
            <v:stroke on="f" joinstyle="miter"/>
            <v:imagedata r:id="rId28" o:title=""/>
            <o:lock v:ext="edit" aspectratio="t"/>
            <w10:wrap type="none"/>
            <w10:anchorlock/>
          </v:shape>
          <o:OLEObject Type="Embed" ProgID="Equation.3" ShapeID="_x0000_i1028" DrawAspect="Content" ObjectID="_1468075726" r:id="rId27">
            <o:LockedField>false</o:LockedField>
          </o:OLEObject>
        </w:object>
      </w:r>
    </w:p>
    <w:p w14:paraId="72A80832">
      <w:pPr>
        <w:pStyle w:val="45"/>
        <w:adjustRightInd w:val="0"/>
        <w:snapToGrid w:val="0"/>
        <w:spacing w:line="460" w:lineRule="exact"/>
        <w:ind w:firstLine="520"/>
        <w:rPr>
          <w:sz w:val="26"/>
          <w:szCs w:val="26"/>
        </w:rPr>
      </w:pPr>
      <w:r>
        <w:rPr>
          <w:sz w:val="26"/>
          <w:szCs w:val="26"/>
        </w:rPr>
        <w:object>
          <v:shape id="_x0000_i1029" o:spt="75" type="#_x0000_t75" style="height:14.25pt;width:14.25pt;" o:ole="t" filled="f" o:preferrelative="t" stroked="f" coordsize="21600,21600">
            <v:path/>
            <v:fill on="f" focussize="0,0"/>
            <v:stroke on="f" joinstyle="miter"/>
            <v:imagedata r:id="rId30" o:title=""/>
            <o:lock v:ext="edit" aspectratio="t"/>
            <w10:wrap type="none"/>
            <w10:anchorlock/>
          </v:shape>
          <o:OLEObject Type="Embed" ProgID="Equation.3" ShapeID="_x0000_i1029" DrawAspect="Content" ObjectID="_1468075727" r:id="rId29">
            <o:LockedField>false</o:LockedField>
          </o:OLEObject>
        </w:object>
      </w:r>
      <w:r>
        <w:rPr>
          <w:sz w:val="26"/>
          <w:szCs w:val="26"/>
        </w:rPr>
        <w:t>式中：</w:t>
      </w:r>
    </w:p>
    <w:p w14:paraId="334F544F">
      <w:pPr>
        <w:pStyle w:val="45"/>
        <w:adjustRightInd w:val="0"/>
        <w:snapToGrid w:val="0"/>
        <w:spacing w:line="460" w:lineRule="exact"/>
        <w:ind w:firstLine="520"/>
        <w:rPr>
          <w:sz w:val="26"/>
          <w:szCs w:val="26"/>
        </w:rPr>
      </w:pPr>
      <w:r>
        <w:rPr>
          <w:sz w:val="26"/>
          <w:szCs w:val="26"/>
        </w:rPr>
        <w:object>
          <v:shape id="_x0000_i1030" o:spt="75" type="#_x0000_t75" style="height:14.25pt;width:14.25pt;" o:ole="t" filled="f" o:preferrelative="t" stroked="f" coordsize="21600,21600">
            <v:path/>
            <v:fill on="f" focussize="0,0"/>
            <v:stroke on="f" joinstyle="miter"/>
            <v:imagedata r:id="rId32" o:title=""/>
            <o:lock v:ext="edit" aspectratio="t"/>
            <w10:wrap type="none"/>
            <w10:anchorlock/>
          </v:shape>
          <o:OLEObject Type="Embed" ProgID="Equation.3" ShapeID="_x0000_i1030" DrawAspect="Content" ObjectID="_1468075728" r:id="rId31">
            <o:LockedField>false</o:LockedField>
          </o:OLEObject>
        </w:object>
      </w:r>
      <w:r>
        <w:rPr>
          <w:sz w:val="26"/>
          <w:szCs w:val="26"/>
        </w:rPr>
        <w:t>— 第i个水质因子的标准指数，无量纲；</w:t>
      </w:r>
    </w:p>
    <w:p w14:paraId="05623524">
      <w:pPr>
        <w:pStyle w:val="45"/>
        <w:adjustRightInd w:val="0"/>
        <w:snapToGrid w:val="0"/>
        <w:spacing w:line="460" w:lineRule="exact"/>
        <w:ind w:firstLine="520"/>
        <w:rPr>
          <w:sz w:val="26"/>
          <w:szCs w:val="26"/>
        </w:rPr>
      </w:pPr>
      <w:r>
        <w:rPr>
          <w:sz w:val="26"/>
          <w:szCs w:val="26"/>
        </w:rPr>
        <w:object>
          <v:shape id="_x0000_i1031" o:spt="75" type="#_x0000_t75" style="height:14.25pt;width:14.25pt;" o:ole="t" filled="f" o:preferrelative="t" stroked="f" coordsize="21600,21600">
            <v:path/>
            <v:fill on="f" focussize="0,0"/>
            <v:stroke on="f" joinstyle="miter"/>
            <v:imagedata r:id="rId34" o:title=""/>
            <o:lock v:ext="edit" aspectratio="t"/>
            <w10:wrap type="none"/>
            <w10:anchorlock/>
          </v:shape>
          <o:OLEObject Type="Embed" ProgID="Equation.3" ShapeID="_x0000_i1031" DrawAspect="Content" ObjectID="_1468075729" r:id="rId33">
            <o:LockedField>false</o:LockedField>
          </o:OLEObject>
        </w:object>
      </w:r>
      <w:r>
        <w:rPr>
          <w:sz w:val="26"/>
          <w:szCs w:val="26"/>
        </w:rPr>
        <w:t>— 第i个水质因子的监测浓度值，mg/L；</w:t>
      </w:r>
    </w:p>
    <w:p w14:paraId="239D62C6">
      <w:pPr>
        <w:pStyle w:val="45"/>
        <w:adjustRightInd w:val="0"/>
        <w:snapToGrid w:val="0"/>
        <w:spacing w:line="460" w:lineRule="exact"/>
        <w:ind w:firstLine="520"/>
        <w:rPr>
          <w:sz w:val="26"/>
          <w:szCs w:val="26"/>
        </w:rPr>
      </w:pPr>
      <w:r>
        <w:rPr>
          <w:sz w:val="26"/>
          <w:szCs w:val="26"/>
        </w:rPr>
        <w:object>
          <v:shape id="_x0000_i1032" o:spt="75" type="#_x0000_t75" style="height:14.25pt;width:14.25pt;" o:ole="t" filled="f" o:preferrelative="t" stroked="f" coordsize="21600,21600">
            <v:path/>
            <v:fill on="f" focussize="0,0"/>
            <v:stroke on="f" joinstyle="miter"/>
            <v:imagedata r:id="rId36" o:title=""/>
            <o:lock v:ext="edit" aspectratio="t"/>
            <w10:wrap type="none"/>
            <w10:anchorlock/>
          </v:shape>
          <o:OLEObject Type="Embed" ProgID="Equation.3" ShapeID="_x0000_i1032" DrawAspect="Content" ObjectID="_1468075730" r:id="rId35">
            <o:LockedField>false</o:LockedField>
          </o:OLEObject>
        </w:object>
      </w:r>
      <w:r>
        <w:rPr>
          <w:sz w:val="26"/>
          <w:szCs w:val="26"/>
        </w:rPr>
        <w:t>— 第i个水质因子的标准浓度值，mg/L。</w:t>
      </w:r>
    </w:p>
    <w:p w14:paraId="67E2FE59">
      <w:pPr>
        <w:pStyle w:val="45"/>
        <w:adjustRightInd w:val="0"/>
        <w:snapToGrid w:val="0"/>
        <w:spacing w:line="460" w:lineRule="exact"/>
        <w:ind w:firstLine="520"/>
        <w:rPr>
          <w:sz w:val="26"/>
          <w:szCs w:val="26"/>
        </w:rPr>
      </w:pPr>
      <w:r>
        <w:rPr>
          <w:rFonts w:hint="eastAsia"/>
          <w:sz w:val="26"/>
          <w:szCs w:val="26"/>
        </w:rPr>
        <w:t>②</w:t>
      </w:r>
      <w:r>
        <w:rPr>
          <w:sz w:val="26"/>
          <w:szCs w:val="26"/>
        </w:rPr>
        <w:t>对于评价标准为区间值的水质因子（如pH值），其标准指数计算公式为：</w:t>
      </w:r>
    </w:p>
    <w:p w14:paraId="0A4493EC">
      <w:pPr>
        <w:pStyle w:val="948"/>
        <w:autoSpaceDE/>
        <w:autoSpaceDN/>
        <w:rPr>
          <w:szCs w:val="26"/>
        </w:rPr>
      </w:pPr>
      <w:r>
        <w:rPr>
          <w:szCs w:val="26"/>
        </w:rPr>
        <w:object>
          <v:shape id="_x0000_i1033" o:spt="75" type="#_x0000_t75" style="height:36pt;width:86.25pt;" o:ole="t" filled="f" o:preferrelative="t" stroked="f" coordsize="21600,21600">
            <v:path/>
            <v:fill on="f" focussize="0,0"/>
            <v:stroke on="f" joinstyle="miter"/>
            <v:imagedata r:id="rId38" o:title=""/>
            <o:lock v:ext="edit" aspectratio="t"/>
            <w10:wrap type="none"/>
            <w10:anchorlock/>
          </v:shape>
          <o:OLEObject Type="Embed" ProgID="Equation.3" ShapeID="_x0000_i1033" DrawAspect="Content" ObjectID="_1468075731" r:id="rId37">
            <o:LockedField>false</o:LockedField>
          </o:OLEObject>
        </w:object>
      </w:r>
      <w:r>
        <w:rPr>
          <w:szCs w:val="26"/>
        </w:rPr>
        <w:t>（</w:t>
      </w:r>
      <w:r>
        <w:rPr>
          <w:position w:val="-10"/>
          <w:szCs w:val="26"/>
        </w:rPr>
        <w:object>
          <v:shape id="_x0000_i1034" o:spt="75" type="#_x0000_t75" style="height:21.75pt;width:36pt;" o:ole="t" filled="f" o:preferrelative="t" stroked="f" coordsize="21600,21600">
            <v:path/>
            <v:fill on="f" focussize="0,0"/>
            <v:stroke on="f" joinstyle="miter"/>
            <v:imagedata r:id="rId40" o:title=""/>
            <o:lock v:ext="edit" aspectratio="t"/>
            <w10:wrap type="none"/>
            <w10:anchorlock/>
          </v:shape>
          <o:OLEObject Type="Embed" ProgID="Equation.3" ShapeID="_x0000_i1034" DrawAspect="Content" ObjectID="_1468075732" r:id="rId39">
            <o:LockedField>false</o:LockedField>
          </o:OLEObject>
        </w:object>
      </w:r>
      <w:r>
        <w:rPr>
          <w:szCs w:val="26"/>
        </w:rPr>
        <w:t xml:space="preserve">）      </w:t>
      </w:r>
    </w:p>
    <w:p w14:paraId="03EB7451">
      <w:pPr>
        <w:pStyle w:val="948"/>
        <w:autoSpaceDE/>
        <w:autoSpaceDN/>
        <w:rPr>
          <w:szCs w:val="26"/>
        </w:rPr>
      </w:pPr>
      <w:r>
        <w:rPr>
          <w:szCs w:val="26"/>
        </w:rPr>
        <w:object>
          <v:shape id="_x0000_i1035" o:spt="75" type="#_x0000_t75" style="height:36pt;width:93.75pt;" o:ole="t" filled="f" o:preferrelative="t" stroked="f" coordsize="21600,21600">
            <v:path/>
            <v:fill on="f" focussize="0,0"/>
            <v:stroke on="f" joinstyle="miter"/>
            <v:imagedata r:id="rId42" o:title=""/>
            <o:lock v:ext="edit" aspectratio="t"/>
            <w10:wrap type="none"/>
            <w10:anchorlock/>
          </v:shape>
          <o:OLEObject Type="Embed" ProgID="Equation.3" ShapeID="_x0000_i1035" DrawAspect="Content" ObjectID="_1468075733" r:id="rId41">
            <o:LockedField>false</o:LockedField>
          </o:OLEObject>
        </w:object>
      </w:r>
      <w:r>
        <w:rPr>
          <w:szCs w:val="26"/>
        </w:rPr>
        <w:t>（</w:t>
      </w:r>
      <w:r>
        <w:rPr>
          <w:position w:val="-10"/>
          <w:szCs w:val="26"/>
        </w:rPr>
        <w:object>
          <v:shape id="_x0000_i1036" o:spt="75" type="#_x0000_t75" style="height:21.75pt;width:36pt;" o:ole="t" filled="f" o:preferrelative="t" stroked="f" coordsize="21600,21600">
            <v:path/>
            <v:fill on="f" focussize="0,0"/>
            <v:stroke on="f" joinstyle="miter"/>
            <v:imagedata r:id="rId44" o:title=""/>
            <o:lock v:ext="edit" aspectratio="t"/>
            <w10:wrap type="none"/>
            <w10:anchorlock/>
          </v:shape>
          <o:OLEObject Type="Embed" ProgID="Equation.3" ShapeID="_x0000_i1036" DrawAspect="Content" ObjectID="_1468075734" r:id="rId43">
            <o:LockedField>false</o:LockedField>
          </o:OLEObject>
        </w:object>
      </w:r>
      <w:r>
        <w:rPr>
          <w:szCs w:val="26"/>
        </w:rPr>
        <w:t xml:space="preserve">时）     </w:t>
      </w:r>
    </w:p>
    <w:p w14:paraId="7ADA0803">
      <w:pPr>
        <w:pStyle w:val="45"/>
        <w:adjustRightInd w:val="0"/>
        <w:snapToGrid w:val="0"/>
        <w:spacing w:line="460" w:lineRule="exact"/>
        <w:ind w:firstLine="520"/>
        <w:rPr>
          <w:sz w:val="26"/>
          <w:szCs w:val="26"/>
        </w:rPr>
      </w:pPr>
      <w:r>
        <w:rPr>
          <w:sz w:val="26"/>
          <w:szCs w:val="26"/>
        </w:rPr>
        <w:t>式中：</w:t>
      </w:r>
    </w:p>
    <w:p w14:paraId="19724AF6">
      <w:pPr>
        <w:pStyle w:val="45"/>
        <w:adjustRightInd w:val="0"/>
        <w:snapToGrid w:val="0"/>
        <w:spacing w:line="460" w:lineRule="exact"/>
        <w:ind w:firstLine="520"/>
        <w:rPr>
          <w:sz w:val="26"/>
          <w:szCs w:val="26"/>
        </w:rPr>
      </w:pPr>
      <w:r>
        <w:rPr>
          <w:sz w:val="26"/>
          <w:szCs w:val="26"/>
        </w:rPr>
        <w:object>
          <v:shape id="_x0000_i1037" o:spt="75" type="#_x0000_t75" style="height:21.75pt;width:14.25pt;" o:ole="t" filled="f" o:preferrelative="t" stroked="f" coordsize="21600,21600">
            <v:path/>
            <v:fill on="f" focussize="0,0"/>
            <v:stroke on="f" joinstyle="miter"/>
            <v:imagedata r:id="rId46" o:title=""/>
            <o:lock v:ext="edit" aspectratio="t"/>
            <w10:wrap type="none"/>
            <w10:anchorlock/>
          </v:shape>
          <o:OLEObject Type="Embed" ProgID="Equation.3" ShapeID="_x0000_i1037" DrawAspect="Content" ObjectID="_1468075735" r:id="rId45">
            <o:LockedField>false</o:LockedField>
          </o:OLEObject>
        </w:object>
      </w:r>
      <w:r>
        <w:rPr>
          <w:sz w:val="26"/>
          <w:szCs w:val="26"/>
        </w:rPr>
        <w:t>—pH的标准指数，无量纲；</w:t>
      </w:r>
    </w:p>
    <w:p w14:paraId="50B27A2F">
      <w:pPr>
        <w:pStyle w:val="45"/>
        <w:adjustRightInd w:val="0"/>
        <w:snapToGrid w:val="0"/>
        <w:spacing w:line="460" w:lineRule="exact"/>
        <w:ind w:firstLine="520"/>
        <w:rPr>
          <w:sz w:val="26"/>
          <w:szCs w:val="26"/>
        </w:rPr>
      </w:pPr>
      <w:r>
        <w:rPr>
          <w:sz w:val="26"/>
          <w:szCs w:val="26"/>
        </w:rPr>
        <w:object>
          <v:shape id="_x0000_i1038" o:spt="75" type="#_x0000_t75" style="height:14.25pt;width:21.75pt;" o:ole="t" filled="f" o:preferrelative="t" stroked="f" coordsize="21600,21600">
            <v:path/>
            <v:fill on="f" focussize="0,0"/>
            <v:stroke on="f" joinstyle="miter"/>
            <v:imagedata r:id="rId48" o:title=""/>
            <o:lock v:ext="edit" aspectratio="t"/>
            <w10:wrap type="none"/>
            <w10:anchorlock/>
          </v:shape>
          <o:OLEObject Type="Embed" ProgID="Equation.3" ShapeID="_x0000_i1038" DrawAspect="Content" ObjectID="_1468075736" r:id="rId47">
            <o:LockedField>false</o:LockedField>
          </o:OLEObject>
        </w:object>
      </w:r>
      <w:r>
        <w:rPr>
          <w:sz w:val="26"/>
          <w:szCs w:val="26"/>
        </w:rPr>
        <w:t>—pH监测值；</w:t>
      </w:r>
    </w:p>
    <w:p w14:paraId="6A064D77">
      <w:pPr>
        <w:pStyle w:val="45"/>
        <w:adjustRightInd w:val="0"/>
        <w:snapToGrid w:val="0"/>
        <w:spacing w:line="460" w:lineRule="exact"/>
        <w:ind w:firstLine="520"/>
        <w:rPr>
          <w:sz w:val="26"/>
          <w:szCs w:val="26"/>
        </w:rPr>
      </w:pPr>
      <w:r>
        <w:rPr>
          <w:sz w:val="26"/>
          <w:szCs w:val="26"/>
        </w:rPr>
        <w:object>
          <v:shape id="_x0000_i1039" o:spt="75" type="#_x0000_t75" style="height:14.25pt;width:27.85pt;" o:ole="t" filled="f" o:preferrelative="t" stroked="f" coordsize="21600,21600">
            <v:path/>
            <v:fill on="f" focussize="0,0"/>
            <v:stroke on="f" joinstyle="miter"/>
            <v:imagedata r:id="rId50" o:title=""/>
            <o:lock v:ext="edit" aspectratio="t"/>
            <w10:wrap type="none"/>
            <w10:anchorlock/>
          </v:shape>
          <o:OLEObject Type="Embed" ProgID="Equation.3" ShapeID="_x0000_i1039" DrawAspect="Content" ObjectID="_1468075737" r:id="rId49">
            <o:LockedField>false</o:LockedField>
          </o:OLEObject>
        </w:object>
      </w:r>
      <w:r>
        <w:rPr>
          <w:sz w:val="26"/>
          <w:szCs w:val="26"/>
        </w:rPr>
        <w:t>—标准中pH的下限值；</w:t>
      </w:r>
    </w:p>
    <w:p w14:paraId="0ED6B9C2">
      <w:pPr>
        <w:pStyle w:val="45"/>
        <w:adjustRightInd w:val="0"/>
        <w:snapToGrid w:val="0"/>
        <w:spacing w:line="460" w:lineRule="exact"/>
        <w:ind w:firstLine="520"/>
        <w:rPr>
          <w:sz w:val="26"/>
          <w:szCs w:val="26"/>
        </w:rPr>
      </w:pPr>
      <w:r>
        <w:rPr>
          <w:sz w:val="26"/>
          <w:szCs w:val="26"/>
        </w:rPr>
        <w:object>
          <v:shape id="_x0000_i1040" o:spt="75" type="#_x0000_t75" style="height:14.25pt;width:27.85pt;" o:ole="t" filled="f" o:preferrelative="t" stroked="f" coordsize="21600,21600">
            <v:path/>
            <v:fill on="f" focussize="0,0"/>
            <v:stroke on="f" joinstyle="miter"/>
            <v:imagedata r:id="rId52" o:title=""/>
            <o:lock v:ext="edit" aspectratio="t"/>
            <w10:wrap type="none"/>
            <w10:anchorlock/>
          </v:shape>
          <o:OLEObject Type="Embed" ProgID="Equation.3" ShapeID="_x0000_i1040" DrawAspect="Content" ObjectID="_1468075738" r:id="rId51">
            <o:LockedField>false</o:LockedField>
          </o:OLEObject>
        </w:object>
      </w:r>
      <w:r>
        <w:rPr>
          <w:sz w:val="26"/>
          <w:szCs w:val="26"/>
        </w:rPr>
        <w:t>—标准中pH的上限值。</w:t>
      </w:r>
    </w:p>
    <w:p w14:paraId="5EA0EDB0">
      <w:pPr>
        <w:pStyle w:val="45"/>
        <w:adjustRightInd w:val="0"/>
        <w:snapToGrid w:val="0"/>
        <w:spacing w:line="460" w:lineRule="exact"/>
        <w:ind w:firstLine="520"/>
        <w:rPr>
          <w:sz w:val="26"/>
          <w:szCs w:val="26"/>
        </w:rPr>
      </w:pPr>
      <w:r>
        <w:rPr>
          <w:sz w:val="26"/>
          <w:szCs w:val="26"/>
        </w:rPr>
        <w:t>如果计算出的标准指数&gt;1，则表明该水质因子已超过了规定的水质标准，指数值越大，超标越严重；反之，则表明地下水水质在质量标准规定范围内，周边地下水环境较好。</w:t>
      </w:r>
    </w:p>
    <w:p w14:paraId="17B217BC">
      <w:pPr>
        <w:pStyle w:val="45"/>
        <w:adjustRightInd w:val="0"/>
        <w:snapToGrid w:val="0"/>
        <w:spacing w:line="460" w:lineRule="exact"/>
        <w:ind w:firstLine="520"/>
        <w:rPr>
          <w:sz w:val="26"/>
          <w:szCs w:val="26"/>
        </w:rPr>
      </w:pPr>
      <w:r>
        <w:rPr>
          <w:rFonts w:hint="eastAsia"/>
          <w:sz w:val="26"/>
          <w:szCs w:val="26"/>
        </w:rPr>
        <w:t>（7）</w:t>
      </w:r>
      <w:r>
        <w:rPr>
          <w:sz w:val="26"/>
          <w:szCs w:val="26"/>
        </w:rPr>
        <w:t>监测结果</w:t>
      </w:r>
    </w:p>
    <w:p w14:paraId="264541BE">
      <w:pPr>
        <w:tabs>
          <w:tab w:val="left" w:pos="5925"/>
        </w:tabs>
        <w:overflowPunct w:val="0"/>
        <w:spacing w:line="460" w:lineRule="atLeast"/>
        <w:ind w:firstLine="520" w:firstLineChars="200"/>
        <w:rPr>
          <w:sz w:val="26"/>
          <w:szCs w:val="26"/>
        </w:rPr>
      </w:pPr>
      <w:r>
        <w:rPr>
          <w:rFonts w:hint="eastAsia" w:ascii="宋体" w:hAnsi="宋体" w:cs="宋体"/>
          <w:sz w:val="26"/>
          <w:szCs w:val="26"/>
        </w:rPr>
        <w:t>①</w:t>
      </w:r>
      <w:r>
        <w:rPr>
          <w:sz w:val="26"/>
          <w:szCs w:val="26"/>
        </w:rPr>
        <w:t>地下水化学类型</w:t>
      </w:r>
    </w:p>
    <w:p w14:paraId="49F7EF13">
      <w:pPr>
        <w:spacing w:line="480" w:lineRule="exact"/>
        <w:ind w:firstLine="520"/>
        <w:rPr>
          <w:sz w:val="26"/>
          <w:szCs w:val="26"/>
        </w:rPr>
      </w:pPr>
      <w:r>
        <w:rPr>
          <w:sz w:val="26"/>
          <w:szCs w:val="26"/>
        </w:rPr>
        <w:t>地下水化学类型分类方式有很多，目前苏联分类法、阿廖金分类法和舒卡列夫分类方法较为常用，其中舒卡列夫分类方法应用最为广泛。因此，此次我们采用舒卡列夫方法进行地下水化学类型进行分类。</w:t>
      </w:r>
    </w:p>
    <w:p w14:paraId="479B9451">
      <w:pPr>
        <w:pStyle w:val="45"/>
        <w:adjustRightInd w:val="0"/>
        <w:snapToGrid w:val="0"/>
        <w:spacing w:line="460" w:lineRule="exact"/>
        <w:ind w:firstLine="520"/>
        <w:rPr>
          <w:sz w:val="26"/>
          <w:szCs w:val="26"/>
        </w:rPr>
      </w:pPr>
      <w:r>
        <w:rPr>
          <w:sz w:val="26"/>
          <w:szCs w:val="26"/>
        </w:rPr>
        <w:t>根据地下水中主要离子Cl</w:t>
      </w:r>
      <w:r>
        <w:rPr>
          <w:sz w:val="26"/>
          <w:szCs w:val="26"/>
          <w:vertAlign w:val="superscript"/>
        </w:rPr>
        <w:t>-</w:t>
      </w:r>
      <w:r>
        <w:rPr>
          <w:sz w:val="26"/>
          <w:szCs w:val="26"/>
        </w:rPr>
        <w:t>、SO</w:t>
      </w:r>
      <w:r>
        <w:rPr>
          <w:sz w:val="26"/>
          <w:szCs w:val="26"/>
          <w:vertAlign w:val="subscript"/>
        </w:rPr>
        <w:t>4</w:t>
      </w:r>
      <w:r>
        <w:rPr>
          <w:sz w:val="26"/>
          <w:szCs w:val="26"/>
          <w:vertAlign w:val="superscript"/>
        </w:rPr>
        <w:t>2-</w:t>
      </w:r>
      <w:r>
        <w:rPr>
          <w:sz w:val="26"/>
          <w:szCs w:val="26"/>
        </w:rPr>
        <w:t>、HCO</w:t>
      </w:r>
      <w:r>
        <w:rPr>
          <w:sz w:val="26"/>
          <w:szCs w:val="26"/>
          <w:vertAlign w:val="subscript"/>
        </w:rPr>
        <w:t>3</w:t>
      </w:r>
      <w:r>
        <w:rPr>
          <w:sz w:val="26"/>
          <w:szCs w:val="26"/>
          <w:vertAlign w:val="superscript"/>
        </w:rPr>
        <w:t>-</w:t>
      </w:r>
      <w:r>
        <w:rPr>
          <w:sz w:val="26"/>
          <w:szCs w:val="26"/>
        </w:rPr>
        <w:t>、K</w:t>
      </w:r>
      <w:r>
        <w:rPr>
          <w:sz w:val="26"/>
          <w:szCs w:val="26"/>
          <w:vertAlign w:val="superscript"/>
        </w:rPr>
        <w:t>+</w:t>
      </w:r>
      <w:r>
        <w:rPr>
          <w:sz w:val="26"/>
          <w:szCs w:val="26"/>
        </w:rPr>
        <w:t>+Na</w:t>
      </w:r>
      <w:r>
        <w:rPr>
          <w:sz w:val="26"/>
          <w:szCs w:val="26"/>
          <w:vertAlign w:val="superscript"/>
        </w:rPr>
        <w:t>+</w:t>
      </w:r>
      <w:r>
        <w:rPr>
          <w:sz w:val="26"/>
          <w:szCs w:val="26"/>
        </w:rPr>
        <w:t>、Ca</w:t>
      </w:r>
      <w:r>
        <w:rPr>
          <w:sz w:val="26"/>
          <w:szCs w:val="26"/>
          <w:vertAlign w:val="superscript"/>
        </w:rPr>
        <w:t>2+</w:t>
      </w:r>
      <w:r>
        <w:rPr>
          <w:sz w:val="26"/>
          <w:szCs w:val="26"/>
        </w:rPr>
        <w:t>、Mg</w:t>
      </w:r>
      <w:r>
        <w:rPr>
          <w:sz w:val="26"/>
          <w:szCs w:val="26"/>
          <w:vertAlign w:val="superscript"/>
        </w:rPr>
        <w:t>2+</w:t>
      </w:r>
      <w:r>
        <w:rPr>
          <w:sz w:val="26"/>
          <w:szCs w:val="26"/>
        </w:rPr>
        <w:t>，将摩尔分数大于25%的阴离子和阳离子进行组合，</w:t>
      </w:r>
      <w:r>
        <w:rPr>
          <w:rFonts w:hint="eastAsia"/>
          <w:sz w:val="26"/>
          <w:szCs w:val="26"/>
        </w:rPr>
        <w:t>进行地下水类型划分。</w:t>
      </w:r>
      <w:r>
        <w:rPr>
          <w:sz w:val="26"/>
          <w:szCs w:val="26"/>
        </w:rPr>
        <w:t>本次</w:t>
      </w:r>
      <w:r>
        <w:rPr>
          <w:rFonts w:hint="eastAsia"/>
          <w:sz w:val="26"/>
          <w:szCs w:val="26"/>
        </w:rPr>
        <w:t>栗子</w:t>
      </w:r>
      <w:r>
        <w:rPr>
          <w:sz w:val="26"/>
          <w:szCs w:val="26"/>
        </w:rPr>
        <w:t>检测结果见</w:t>
      </w:r>
      <w:r>
        <w:rPr>
          <w:sz w:val="26"/>
          <w:szCs w:val="26"/>
          <w:u w:val="single"/>
        </w:rPr>
        <w:t>表4.2-</w:t>
      </w:r>
      <w:r>
        <w:rPr>
          <w:rFonts w:hint="eastAsia"/>
          <w:sz w:val="26"/>
          <w:szCs w:val="26"/>
          <w:u w:val="single"/>
        </w:rPr>
        <w:t>8</w:t>
      </w:r>
      <w:r>
        <w:rPr>
          <w:sz w:val="26"/>
          <w:szCs w:val="26"/>
        </w:rPr>
        <w:t>。</w:t>
      </w:r>
    </w:p>
    <w:p w14:paraId="3695B281">
      <w:pPr>
        <w:pStyle w:val="1379"/>
        <w:ind w:firstLine="440"/>
      </w:pPr>
    </w:p>
    <w:p w14:paraId="27EDD8DB">
      <w:pPr>
        <w:spacing w:line="480" w:lineRule="exact"/>
        <w:jc w:val="center"/>
        <w:rPr>
          <w:sz w:val="26"/>
          <w:szCs w:val="26"/>
        </w:rPr>
      </w:pPr>
      <w:r>
        <w:rPr>
          <w:sz w:val="26"/>
          <w:szCs w:val="26"/>
        </w:rPr>
        <w:t>表4.2-</w:t>
      </w:r>
      <w:r>
        <w:rPr>
          <w:rFonts w:hint="eastAsia"/>
          <w:sz w:val="26"/>
          <w:szCs w:val="26"/>
        </w:rPr>
        <w:t>8</w:t>
      </w:r>
      <w:r>
        <w:rPr>
          <w:sz w:val="26"/>
          <w:szCs w:val="26"/>
        </w:rPr>
        <w:t xml:space="preserve"> </w:t>
      </w:r>
      <w:r>
        <w:rPr>
          <w:rFonts w:hint="eastAsia"/>
          <w:sz w:val="26"/>
          <w:szCs w:val="26"/>
        </w:rPr>
        <w:t xml:space="preserve"> 本次监测</w:t>
      </w:r>
      <w:r>
        <w:rPr>
          <w:sz w:val="26"/>
          <w:szCs w:val="26"/>
        </w:rPr>
        <w:t>八大离子检测结果表</w:t>
      </w:r>
    </w:p>
    <w:tbl>
      <w:tblPr>
        <w:tblStyle w:val="88"/>
        <w:tblW w:w="5108" w:type="pct"/>
        <w:tblInd w:w="0"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
      <w:tblGrid>
        <w:gridCol w:w="562"/>
        <w:gridCol w:w="1468"/>
        <w:gridCol w:w="874"/>
        <w:gridCol w:w="874"/>
        <w:gridCol w:w="874"/>
        <w:gridCol w:w="874"/>
        <w:gridCol w:w="874"/>
        <w:gridCol w:w="874"/>
        <w:gridCol w:w="874"/>
        <w:gridCol w:w="991"/>
      </w:tblGrid>
      <w:tr w14:paraId="7FEAA04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48" w:hRule="atLeast"/>
        </w:trPr>
        <w:tc>
          <w:tcPr>
            <w:tcW w:w="308" w:type="pct"/>
            <w:noWrap/>
            <w:vAlign w:val="center"/>
          </w:tcPr>
          <w:p w14:paraId="6AA502CD">
            <w:pPr>
              <w:widowControl/>
              <w:jc w:val="center"/>
              <w:rPr>
                <w:rFonts w:ascii="宋体" w:hAnsi="宋体" w:cs="宋体"/>
                <w:kern w:val="0"/>
                <w:sz w:val="22"/>
                <w:szCs w:val="22"/>
              </w:rPr>
            </w:pPr>
            <w:r>
              <w:rPr>
                <w:rFonts w:hint="eastAsia" w:ascii="宋体" w:hAnsi="宋体" w:cs="宋体"/>
                <w:kern w:val="0"/>
                <w:sz w:val="22"/>
                <w:szCs w:val="22"/>
              </w:rPr>
              <w:t>编号</w:t>
            </w:r>
          </w:p>
        </w:tc>
        <w:tc>
          <w:tcPr>
            <w:tcW w:w="803" w:type="pct"/>
            <w:noWrap/>
            <w:vAlign w:val="center"/>
          </w:tcPr>
          <w:p w14:paraId="576969FB">
            <w:pPr>
              <w:widowControl/>
              <w:jc w:val="center"/>
              <w:rPr>
                <w:rFonts w:ascii="宋体" w:hAnsi="宋体" w:cs="宋体"/>
                <w:kern w:val="0"/>
                <w:sz w:val="22"/>
                <w:szCs w:val="22"/>
              </w:rPr>
            </w:pPr>
            <w:r>
              <w:rPr>
                <w:rFonts w:hint="eastAsia" w:ascii="宋体" w:hAnsi="宋体" w:cs="宋体"/>
                <w:kern w:val="0"/>
                <w:sz w:val="22"/>
                <w:szCs w:val="22"/>
              </w:rPr>
              <w:t>指标</w:t>
            </w:r>
          </w:p>
        </w:tc>
        <w:tc>
          <w:tcPr>
            <w:tcW w:w="478" w:type="pct"/>
            <w:noWrap/>
            <w:vAlign w:val="center"/>
          </w:tcPr>
          <w:p w14:paraId="0213B787">
            <w:pPr>
              <w:widowControl/>
              <w:jc w:val="center"/>
              <w:rPr>
                <w:rFonts w:eastAsia="等线"/>
                <w:kern w:val="0"/>
                <w:sz w:val="22"/>
                <w:szCs w:val="22"/>
              </w:rPr>
            </w:pPr>
            <w:r>
              <w:rPr>
                <w:rFonts w:eastAsia="等线"/>
                <w:kern w:val="0"/>
                <w:sz w:val="22"/>
                <w:szCs w:val="22"/>
              </w:rPr>
              <w:t>K</w:t>
            </w:r>
            <w:r>
              <w:rPr>
                <w:rFonts w:eastAsia="等线"/>
                <w:kern w:val="0"/>
                <w:sz w:val="22"/>
                <w:szCs w:val="22"/>
                <w:vertAlign w:val="superscript"/>
              </w:rPr>
              <w:t>+</w:t>
            </w:r>
          </w:p>
        </w:tc>
        <w:tc>
          <w:tcPr>
            <w:tcW w:w="478" w:type="pct"/>
            <w:noWrap/>
            <w:vAlign w:val="center"/>
          </w:tcPr>
          <w:p w14:paraId="49745464">
            <w:pPr>
              <w:widowControl/>
              <w:jc w:val="center"/>
              <w:rPr>
                <w:rFonts w:eastAsia="等线"/>
                <w:kern w:val="0"/>
                <w:sz w:val="22"/>
                <w:szCs w:val="22"/>
              </w:rPr>
            </w:pPr>
            <w:r>
              <w:rPr>
                <w:rFonts w:eastAsia="等线"/>
                <w:kern w:val="0"/>
                <w:sz w:val="22"/>
                <w:szCs w:val="22"/>
              </w:rPr>
              <w:t>Na</w:t>
            </w:r>
            <w:r>
              <w:rPr>
                <w:rFonts w:eastAsia="等线"/>
                <w:kern w:val="0"/>
                <w:sz w:val="22"/>
                <w:szCs w:val="22"/>
                <w:vertAlign w:val="superscript"/>
              </w:rPr>
              <w:t>+</w:t>
            </w:r>
          </w:p>
        </w:tc>
        <w:tc>
          <w:tcPr>
            <w:tcW w:w="478" w:type="pct"/>
            <w:noWrap/>
            <w:vAlign w:val="center"/>
          </w:tcPr>
          <w:p w14:paraId="0ED64977">
            <w:pPr>
              <w:widowControl/>
              <w:jc w:val="center"/>
              <w:rPr>
                <w:rFonts w:eastAsia="等线"/>
                <w:kern w:val="0"/>
                <w:sz w:val="22"/>
                <w:szCs w:val="22"/>
              </w:rPr>
            </w:pPr>
            <w:r>
              <w:rPr>
                <w:rFonts w:eastAsia="等线"/>
                <w:kern w:val="0"/>
                <w:sz w:val="22"/>
                <w:szCs w:val="22"/>
              </w:rPr>
              <w:t>Ca</w:t>
            </w:r>
            <w:r>
              <w:rPr>
                <w:rFonts w:eastAsia="等线"/>
                <w:kern w:val="0"/>
                <w:sz w:val="22"/>
                <w:szCs w:val="22"/>
                <w:vertAlign w:val="superscript"/>
              </w:rPr>
              <w:t>2+</w:t>
            </w:r>
          </w:p>
        </w:tc>
        <w:tc>
          <w:tcPr>
            <w:tcW w:w="478" w:type="pct"/>
            <w:noWrap/>
            <w:vAlign w:val="center"/>
          </w:tcPr>
          <w:p w14:paraId="4DCD0923">
            <w:pPr>
              <w:widowControl/>
              <w:jc w:val="center"/>
              <w:rPr>
                <w:rFonts w:eastAsia="等线"/>
                <w:kern w:val="0"/>
                <w:sz w:val="22"/>
                <w:szCs w:val="22"/>
              </w:rPr>
            </w:pPr>
            <w:r>
              <w:rPr>
                <w:rFonts w:eastAsia="等线"/>
                <w:kern w:val="0"/>
                <w:sz w:val="22"/>
                <w:szCs w:val="22"/>
              </w:rPr>
              <w:t>Mg</w:t>
            </w:r>
            <w:r>
              <w:rPr>
                <w:rFonts w:eastAsia="等线"/>
                <w:kern w:val="0"/>
                <w:sz w:val="22"/>
                <w:szCs w:val="22"/>
                <w:vertAlign w:val="superscript"/>
              </w:rPr>
              <w:t>2+</w:t>
            </w:r>
          </w:p>
        </w:tc>
        <w:tc>
          <w:tcPr>
            <w:tcW w:w="478" w:type="pct"/>
            <w:noWrap/>
            <w:vAlign w:val="center"/>
          </w:tcPr>
          <w:p w14:paraId="4DE45250">
            <w:pPr>
              <w:widowControl/>
              <w:jc w:val="center"/>
              <w:rPr>
                <w:rFonts w:eastAsia="等线"/>
                <w:kern w:val="0"/>
                <w:sz w:val="22"/>
                <w:szCs w:val="22"/>
              </w:rPr>
            </w:pPr>
            <w:r>
              <w:rPr>
                <w:rFonts w:eastAsia="等线"/>
                <w:kern w:val="0"/>
                <w:sz w:val="22"/>
                <w:szCs w:val="22"/>
              </w:rPr>
              <w:t>HCO</w:t>
            </w:r>
            <w:r>
              <w:rPr>
                <w:rFonts w:eastAsia="等线"/>
                <w:kern w:val="0"/>
                <w:sz w:val="22"/>
                <w:szCs w:val="22"/>
                <w:vertAlign w:val="superscript"/>
              </w:rPr>
              <w:t>3-</w:t>
            </w:r>
          </w:p>
        </w:tc>
        <w:tc>
          <w:tcPr>
            <w:tcW w:w="478" w:type="pct"/>
            <w:noWrap/>
            <w:vAlign w:val="center"/>
          </w:tcPr>
          <w:p w14:paraId="4B36B5A8">
            <w:pPr>
              <w:widowControl/>
              <w:jc w:val="center"/>
              <w:rPr>
                <w:rFonts w:eastAsia="等线"/>
                <w:kern w:val="0"/>
                <w:sz w:val="22"/>
                <w:szCs w:val="22"/>
              </w:rPr>
            </w:pPr>
            <w:r>
              <w:rPr>
                <w:rFonts w:eastAsia="等线"/>
                <w:kern w:val="0"/>
                <w:sz w:val="22"/>
                <w:szCs w:val="22"/>
              </w:rPr>
              <w:t>Cl</w:t>
            </w:r>
            <w:r>
              <w:rPr>
                <w:rFonts w:eastAsia="等线"/>
                <w:kern w:val="0"/>
                <w:sz w:val="22"/>
                <w:szCs w:val="22"/>
                <w:vertAlign w:val="superscript"/>
              </w:rPr>
              <w:t>-</w:t>
            </w:r>
          </w:p>
        </w:tc>
        <w:tc>
          <w:tcPr>
            <w:tcW w:w="478" w:type="pct"/>
            <w:noWrap/>
            <w:vAlign w:val="center"/>
          </w:tcPr>
          <w:p w14:paraId="0CE3CBC5">
            <w:pPr>
              <w:widowControl/>
              <w:jc w:val="center"/>
              <w:rPr>
                <w:rFonts w:eastAsia="等线"/>
                <w:kern w:val="0"/>
                <w:sz w:val="22"/>
                <w:szCs w:val="22"/>
              </w:rPr>
            </w:pPr>
            <w:r>
              <w:rPr>
                <w:rFonts w:eastAsia="等线"/>
                <w:kern w:val="0"/>
                <w:sz w:val="22"/>
                <w:szCs w:val="22"/>
              </w:rPr>
              <w:t>SO</w:t>
            </w:r>
            <w:r>
              <w:rPr>
                <w:rFonts w:eastAsia="等线"/>
                <w:kern w:val="0"/>
                <w:sz w:val="22"/>
                <w:szCs w:val="22"/>
                <w:vertAlign w:val="subscript"/>
              </w:rPr>
              <w:t>4</w:t>
            </w:r>
            <w:r>
              <w:rPr>
                <w:rFonts w:eastAsia="等线"/>
                <w:kern w:val="0"/>
                <w:sz w:val="22"/>
                <w:szCs w:val="22"/>
                <w:vertAlign w:val="superscript"/>
              </w:rPr>
              <w:t>2-</w:t>
            </w:r>
          </w:p>
        </w:tc>
        <w:tc>
          <w:tcPr>
            <w:tcW w:w="542" w:type="pct"/>
            <w:noWrap/>
            <w:vAlign w:val="center"/>
          </w:tcPr>
          <w:p w14:paraId="1A0D00F6">
            <w:pPr>
              <w:widowControl/>
              <w:jc w:val="center"/>
              <w:rPr>
                <w:rFonts w:ascii="宋体" w:hAnsi="宋体" w:cs="宋体"/>
                <w:kern w:val="0"/>
                <w:sz w:val="22"/>
                <w:szCs w:val="22"/>
              </w:rPr>
            </w:pPr>
            <w:r>
              <w:rPr>
                <w:rFonts w:hint="eastAsia" w:ascii="宋体" w:hAnsi="宋体" w:cs="宋体"/>
                <w:kern w:val="0"/>
                <w:sz w:val="22"/>
                <w:szCs w:val="22"/>
              </w:rPr>
              <w:t>水化学类型</w:t>
            </w:r>
          </w:p>
        </w:tc>
      </w:tr>
      <w:tr w14:paraId="52B4538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restart"/>
            <w:noWrap/>
            <w:vAlign w:val="center"/>
          </w:tcPr>
          <w:p w14:paraId="6713A57F">
            <w:pPr>
              <w:widowControl/>
              <w:jc w:val="center"/>
              <w:rPr>
                <w:rFonts w:eastAsia="等线"/>
                <w:kern w:val="0"/>
                <w:sz w:val="22"/>
                <w:szCs w:val="22"/>
              </w:rPr>
            </w:pPr>
            <w:r>
              <w:rPr>
                <w:rFonts w:eastAsia="等线"/>
                <w:kern w:val="0"/>
                <w:sz w:val="22"/>
                <w:szCs w:val="22"/>
              </w:rPr>
              <w:t>D1</w:t>
            </w:r>
          </w:p>
        </w:tc>
        <w:tc>
          <w:tcPr>
            <w:tcW w:w="803" w:type="pct"/>
            <w:noWrap/>
            <w:vAlign w:val="center"/>
          </w:tcPr>
          <w:p w14:paraId="77C0F3F1">
            <w:pPr>
              <w:widowControl/>
              <w:jc w:val="center"/>
              <w:rPr>
                <w:rFonts w:ascii="宋体" w:hAnsi="宋体" w:cs="宋体"/>
                <w:kern w:val="0"/>
                <w:sz w:val="22"/>
                <w:szCs w:val="22"/>
              </w:rPr>
            </w:pPr>
            <w:r>
              <w:rPr>
                <w:rFonts w:hint="eastAsia" w:ascii="宋体" w:hAnsi="宋体" w:cs="宋体"/>
                <w:kern w:val="0"/>
                <w:sz w:val="22"/>
                <w:szCs w:val="22"/>
              </w:rPr>
              <w:t>毫克当量</w:t>
            </w:r>
          </w:p>
        </w:tc>
        <w:tc>
          <w:tcPr>
            <w:tcW w:w="478" w:type="pct"/>
            <w:noWrap/>
            <w:vAlign w:val="center"/>
          </w:tcPr>
          <w:p w14:paraId="405B5997">
            <w:pPr>
              <w:widowControl/>
              <w:jc w:val="center"/>
              <w:rPr>
                <w:rFonts w:eastAsia="等线"/>
                <w:kern w:val="0"/>
                <w:sz w:val="20"/>
                <w:szCs w:val="20"/>
              </w:rPr>
            </w:pPr>
            <w:r>
              <w:rPr>
                <w:rFonts w:eastAsia="等线"/>
                <w:kern w:val="0"/>
                <w:sz w:val="20"/>
                <w:szCs w:val="20"/>
              </w:rPr>
              <w:t>0.04</w:t>
            </w:r>
          </w:p>
        </w:tc>
        <w:tc>
          <w:tcPr>
            <w:tcW w:w="478" w:type="pct"/>
            <w:noWrap/>
            <w:vAlign w:val="center"/>
          </w:tcPr>
          <w:p w14:paraId="0B88C535">
            <w:pPr>
              <w:widowControl/>
              <w:jc w:val="center"/>
              <w:rPr>
                <w:rFonts w:eastAsia="等线"/>
                <w:kern w:val="0"/>
                <w:sz w:val="20"/>
                <w:szCs w:val="20"/>
              </w:rPr>
            </w:pPr>
            <w:r>
              <w:rPr>
                <w:rFonts w:eastAsia="等线"/>
                <w:kern w:val="0"/>
                <w:sz w:val="20"/>
                <w:szCs w:val="20"/>
              </w:rPr>
              <w:t>0.89</w:t>
            </w:r>
          </w:p>
        </w:tc>
        <w:tc>
          <w:tcPr>
            <w:tcW w:w="478" w:type="pct"/>
            <w:noWrap/>
            <w:vAlign w:val="center"/>
          </w:tcPr>
          <w:p w14:paraId="19024372">
            <w:pPr>
              <w:widowControl/>
              <w:jc w:val="center"/>
              <w:rPr>
                <w:rFonts w:eastAsia="等线"/>
                <w:kern w:val="0"/>
                <w:sz w:val="20"/>
                <w:szCs w:val="20"/>
              </w:rPr>
            </w:pPr>
            <w:r>
              <w:rPr>
                <w:rFonts w:eastAsia="等线"/>
                <w:kern w:val="0"/>
                <w:sz w:val="20"/>
                <w:szCs w:val="20"/>
              </w:rPr>
              <w:t>1.58</w:t>
            </w:r>
          </w:p>
        </w:tc>
        <w:tc>
          <w:tcPr>
            <w:tcW w:w="478" w:type="pct"/>
            <w:noWrap/>
            <w:vAlign w:val="center"/>
          </w:tcPr>
          <w:p w14:paraId="06E220F1">
            <w:pPr>
              <w:widowControl/>
              <w:jc w:val="center"/>
              <w:rPr>
                <w:rFonts w:eastAsia="等线"/>
                <w:kern w:val="0"/>
                <w:sz w:val="20"/>
                <w:szCs w:val="20"/>
              </w:rPr>
            </w:pPr>
            <w:r>
              <w:rPr>
                <w:rFonts w:eastAsia="等线"/>
                <w:kern w:val="0"/>
                <w:sz w:val="20"/>
                <w:szCs w:val="20"/>
              </w:rPr>
              <w:t>1.61</w:t>
            </w:r>
          </w:p>
        </w:tc>
        <w:tc>
          <w:tcPr>
            <w:tcW w:w="478" w:type="pct"/>
            <w:noWrap/>
            <w:vAlign w:val="center"/>
          </w:tcPr>
          <w:p w14:paraId="2C167DB1">
            <w:pPr>
              <w:widowControl/>
              <w:jc w:val="center"/>
              <w:rPr>
                <w:rFonts w:eastAsia="等线"/>
                <w:kern w:val="0"/>
                <w:sz w:val="20"/>
                <w:szCs w:val="20"/>
              </w:rPr>
            </w:pPr>
            <w:r>
              <w:rPr>
                <w:rFonts w:eastAsia="等线"/>
                <w:kern w:val="0"/>
                <w:sz w:val="20"/>
                <w:szCs w:val="20"/>
              </w:rPr>
              <w:t>3.08</w:t>
            </w:r>
          </w:p>
        </w:tc>
        <w:tc>
          <w:tcPr>
            <w:tcW w:w="478" w:type="pct"/>
            <w:noWrap/>
            <w:vAlign w:val="center"/>
          </w:tcPr>
          <w:p w14:paraId="75E0B55B">
            <w:pPr>
              <w:widowControl/>
              <w:jc w:val="center"/>
              <w:rPr>
                <w:rFonts w:eastAsia="等线"/>
                <w:kern w:val="0"/>
                <w:sz w:val="20"/>
                <w:szCs w:val="20"/>
              </w:rPr>
            </w:pPr>
            <w:r>
              <w:rPr>
                <w:rFonts w:eastAsia="等线"/>
                <w:kern w:val="0"/>
                <w:sz w:val="20"/>
                <w:szCs w:val="20"/>
              </w:rPr>
              <w:t>0.36</w:t>
            </w:r>
          </w:p>
        </w:tc>
        <w:tc>
          <w:tcPr>
            <w:tcW w:w="478" w:type="pct"/>
            <w:noWrap/>
            <w:vAlign w:val="center"/>
          </w:tcPr>
          <w:p w14:paraId="489A5DE4">
            <w:pPr>
              <w:widowControl/>
              <w:jc w:val="center"/>
              <w:rPr>
                <w:rFonts w:eastAsia="等线"/>
                <w:kern w:val="0"/>
                <w:sz w:val="20"/>
                <w:szCs w:val="20"/>
              </w:rPr>
            </w:pPr>
            <w:r>
              <w:rPr>
                <w:rFonts w:eastAsia="等线"/>
                <w:kern w:val="0"/>
                <w:sz w:val="20"/>
                <w:szCs w:val="20"/>
              </w:rPr>
              <w:t>0.38</w:t>
            </w:r>
          </w:p>
        </w:tc>
        <w:tc>
          <w:tcPr>
            <w:tcW w:w="542" w:type="pct"/>
            <w:vMerge w:val="restart"/>
            <w:noWrap/>
            <w:vAlign w:val="center"/>
          </w:tcPr>
          <w:p w14:paraId="6510DB27">
            <w:pPr>
              <w:widowControl/>
              <w:jc w:val="center"/>
              <w:rPr>
                <w:rFonts w:eastAsia="等线"/>
                <w:kern w:val="0"/>
                <w:sz w:val="22"/>
                <w:szCs w:val="22"/>
              </w:rPr>
            </w:pPr>
            <w:r>
              <w:rPr>
                <w:rFonts w:eastAsia="等线"/>
                <w:kern w:val="0"/>
                <w:sz w:val="22"/>
                <w:szCs w:val="22"/>
              </w:rPr>
              <w:t>HCO</w:t>
            </w:r>
            <w:r>
              <w:rPr>
                <w:rFonts w:eastAsia="等线"/>
                <w:kern w:val="0"/>
                <w:sz w:val="22"/>
                <w:szCs w:val="22"/>
                <w:vertAlign w:val="subscript"/>
              </w:rPr>
              <w:t>3</w:t>
            </w:r>
            <w:r>
              <w:rPr>
                <w:rFonts w:eastAsia="等线"/>
                <w:kern w:val="0"/>
                <w:sz w:val="22"/>
                <w:szCs w:val="22"/>
              </w:rPr>
              <w:t>-Ca.Mg</w:t>
            </w:r>
          </w:p>
        </w:tc>
      </w:tr>
      <w:tr w14:paraId="2CE8EC4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continue"/>
            <w:vAlign w:val="center"/>
          </w:tcPr>
          <w:p w14:paraId="6AF4BB74">
            <w:pPr>
              <w:widowControl/>
              <w:jc w:val="left"/>
              <w:rPr>
                <w:rFonts w:eastAsia="等线"/>
                <w:kern w:val="0"/>
                <w:sz w:val="22"/>
                <w:szCs w:val="22"/>
              </w:rPr>
            </w:pPr>
          </w:p>
        </w:tc>
        <w:tc>
          <w:tcPr>
            <w:tcW w:w="803" w:type="pct"/>
            <w:noWrap/>
            <w:vAlign w:val="center"/>
          </w:tcPr>
          <w:p w14:paraId="49C83C70">
            <w:pPr>
              <w:widowControl/>
              <w:jc w:val="center"/>
              <w:rPr>
                <w:rFonts w:ascii="宋体" w:hAnsi="宋体" w:cs="宋体"/>
                <w:kern w:val="0"/>
                <w:sz w:val="22"/>
                <w:szCs w:val="22"/>
              </w:rPr>
            </w:pPr>
            <w:r>
              <w:rPr>
                <w:rFonts w:hint="eastAsia" w:ascii="宋体" w:hAnsi="宋体" w:cs="宋体"/>
                <w:kern w:val="0"/>
                <w:sz w:val="22"/>
                <w:szCs w:val="22"/>
              </w:rPr>
              <w:t>毫克当量所在百分比</w:t>
            </w:r>
          </w:p>
        </w:tc>
        <w:tc>
          <w:tcPr>
            <w:tcW w:w="478" w:type="pct"/>
            <w:noWrap/>
            <w:vAlign w:val="center"/>
          </w:tcPr>
          <w:p w14:paraId="21C372BA">
            <w:pPr>
              <w:widowControl/>
              <w:jc w:val="center"/>
              <w:rPr>
                <w:rFonts w:eastAsia="等线"/>
                <w:kern w:val="0"/>
                <w:sz w:val="20"/>
                <w:szCs w:val="20"/>
              </w:rPr>
            </w:pPr>
            <w:r>
              <w:rPr>
                <w:rFonts w:eastAsia="等线"/>
                <w:kern w:val="0"/>
                <w:sz w:val="20"/>
                <w:szCs w:val="20"/>
              </w:rPr>
              <w:t>0.97%</w:t>
            </w:r>
          </w:p>
        </w:tc>
        <w:tc>
          <w:tcPr>
            <w:tcW w:w="478" w:type="pct"/>
            <w:noWrap/>
            <w:vAlign w:val="center"/>
          </w:tcPr>
          <w:p w14:paraId="6214FB79">
            <w:pPr>
              <w:widowControl/>
              <w:jc w:val="center"/>
              <w:rPr>
                <w:rFonts w:eastAsia="等线"/>
                <w:kern w:val="0"/>
                <w:sz w:val="20"/>
                <w:szCs w:val="20"/>
              </w:rPr>
            </w:pPr>
            <w:r>
              <w:rPr>
                <w:rFonts w:eastAsia="等线"/>
                <w:kern w:val="0"/>
                <w:sz w:val="20"/>
                <w:szCs w:val="20"/>
              </w:rPr>
              <w:t>21.60%</w:t>
            </w:r>
          </w:p>
        </w:tc>
        <w:tc>
          <w:tcPr>
            <w:tcW w:w="478" w:type="pct"/>
            <w:noWrap/>
            <w:vAlign w:val="center"/>
          </w:tcPr>
          <w:p w14:paraId="5A0029BF">
            <w:pPr>
              <w:widowControl/>
              <w:jc w:val="center"/>
              <w:rPr>
                <w:rFonts w:eastAsia="等线"/>
                <w:kern w:val="0"/>
                <w:sz w:val="20"/>
                <w:szCs w:val="20"/>
              </w:rPr>
            </w:pPr>
            <w:r>
              <w:rPr>
                <w:rFonts w:eastAsia="等线"/>
                <w:kern w:val="0"/>
                <w:sz w:val="20"/>
                <w:szCs w:val="20"/>
              </w:rPr>
              <w:t>38.35%</w:t>
            </w:r>
          </w:p>
        </w:tc>
        <w:tc>
          <w:tcPr>
            <w:tcW w:w="478" w:type="pct"/>
            <w:noWrap/>
            <w:vAlign w:val="center"/>
          </w:tcPr>
          <w:p w14:paraId="534E6797">
            <w:pPr>
              <w:widowControl/>
              <w:jc w:val="center"/>
              <w:rPr>
                <w:rFonts w:eastAsia="等线"/>
                <w:kern w:val="0"/>
                <w:sz w:val="20"/>
                <w:szCs w:val="20"/>
              </w:rPr>
            </w:pPr>
            <w:r>
              <w:rPr>
                <w:rFonts w:eastAsia="等线"/>
                <w:kern w:val="0"/>
                <w:sz w:val="20"/>
                <w:szCs w:val="20"/>
              </w:rPr>
              <w:t>39.08%</w:t>
            </w:r>
          </w:p>
        </w:tc>
        <w:tc>
          <w:tcPr>
            <w:tcW w:w="478" w:type="pct"/>
            <w:noWrap/>
            <w:vAlign w:val="center"/>
          </w:tcPr>
          <w:p w14:paraId="01E8F895">
            <w:pPr>
              <w:widowControl/>
              <w:jc w:val="center"/>
              <w:rPr>
                <w:rFonts w:eastAsia="等线"/>
                <w:kern w:val="0"/>
                <w:sz w:val="20"/>
                <w:szCs w:val="20"/>
              </w:rPr>
            </w:pPr>
            <w:r>
              <w:rPr>
                <w:rFonts w:eastAsia="等线"/>
                <w:kern w:val="0"/>
                <w:sz w:val="20"/>
                <w:szCs w:val="20"/>
              </w:rPr>
              <w:t>80.63%</w:t>
            </w:r>
          </w:p>
        </w:tc>
        <w:tc>
          <w:tcPr>
            <w:tcW w:w="478" w:type="pct"/>
            <w:noWrap/>
            <w:vAlign w:val="center"/>
          </w:tcPr>
          <w:p w14:paraId="61950EBE">
            <w:pPr>
              <w:widowControl/>
              <w:jc w:val="center"/>
              <w:rPr>
                <w:rFonts w:eastAsia="等线"/>
                <w:kern w:val="0"/>
                <w:sz w:val="20"/>
                <w:szCs w:val="20"/>
              </w:rPr>
            </w:pPr>
            <w:r>
              <w:rPr>
                <w:rFonts w:eastAsia="等线"/>
                <w:kern w:val="0"/>
                <w:sz w:val="20"/>
                <w:szCs w:val="20"/>
              </w:rPr>
              <w:t>9.42%</w:t>
            </w:r>
          </w:p>
        </w:tc>
        <w:tc>
          <w:tcPr>
            <w:tcW w:w="478" w:type="pct"/>
            <w:noWrap/>
            <w:vAlign w:val="center"/>
          </w:tcPr>
          <w:p w14:paraId="2E638C15">
            <w:pPr>
              <w:widowControl/>
              <w:jc w:val="center"/>
              <w:rPr>
                <w:rFonts w:eastAsia="等线"/>
                <w:kern w:val="0"/>
                <w:sz w:val="20"/>
                <w:szCs w:val="20"/>
              </w:rPr>
            </w:pPr>
            <w:r>
              <w:rPr>
                <w:rFonts w:eastAsia="等线"/>
                <w:kern w:val="0"/>
                <w:sz w:val="20"/>
                <w:szCs w:val="20"/>
              </w:rPr>
              <w:t>9.95%</w:t>
            </w:r>
          </w:p>
        </w:tc>
        <w:tc>
          <w:tcPr>
            <w:tcW w:w="542" w:type="pct"/>
            <w:vMerge w:val="continue"/>
            <w:vAlign w:val="center"/>
          </w:tcPr>
          <w:p w14:paraId="3C01D22D">
            <w:pPr>
              <w:widowControl/>
              <w:jc w:val="left"/>
              <w:rPr>
                <w:rFonts w:eastAsia="等线"/>
                <w:kern w:val="0"/>
                <w:sz w:val="22"/>
                <w:szCs w:val="22"/>
              </w:rPr>
            </w:pPr>
          </w:p>
        </w:tc>
      </w:tr>
      <w:tr w14:paraId="1953C611">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continue"/>
            <w:vAlign w:val="center"/>
          </w:tcPr>
          <w:p w14:paraId="7EBE2BA6">
            <w:pPr>
              <w:widowControl/>
              <w:jc w:val="left"/>
              <w:rPr>
                <w:rFonts w:eastAsia="等线"/>
                <w:kern w:val="0"/>
                <w:sz w:val="22"/>
                <w:szCs w:val="22"/>
              </w:rPr>
            </w:pPr>
          </w:p>
        </w:tc>
        <w:tc>
          <w:tcPr>
            <w:tcW w:w="803" w:type="pct"/>
            <w:noWrap/>
            <w:vAlign w:val="center"/>
          </w:tcPr>
          <w:p w14:paraId="609D6BCD">
            <w:pPr>
              <w:widowControl/>
              <w:jc w:val="center"/>
              <w:rPr>
                <w:rFonts w:ascii="宋体" w:hAnsi="宋体" w:cs="宋体"/>
                <w:kern w:val="0"/>
                <w:sz w:val="22"/>
                <w:szCs w:val="22"/>
              </w:rPr>
            </w:pPr>
            <w:r>
              <w:rPr>
                <w:rFonts w:hint="eastAsia" w:ascii="宋体" w:hAnsi="宋体" w:cs="宋体"/>
                <w:kern w:val="0"/>
                <w:sz w:val="22"/>
                <w:szCs w:val="22"/>
              </w:rPr>
              <w:t>检测值</w:t>
            </w:r>
          </w:p>
        </w:tc>
        <w:tc>
          <w:tcPr>
            <w:tcW w:w="478" w:type="pct"/>
            <w:vAlign w:val="center"/>
          </w:tcPr>
          <w:p w14:paraId="123D71EA">
            <w:pPr>
              <w:widowControl/>
              <w:jc w:val="center"/>
              <w:rPr>
                <w:rFonts w:eastAsia="等线"/>
                <w:kern w:val="0"/>
                <w:szCs w:val="21"/>
              </w:rPr>
            </w:pPr>
            <w:r>
              <w:rPr>
                <w:rFonts w:eastAsia="等线"/>
                <w:kern w:val="0"/>
                <w:szCs w:val="21"/>
              </w:rPr>
              <w:t>1.49</w:t>
            </w:r>
          </w:p>
        </w:tc>
        <w:tc>
          <w:tcPr>
            <w:tcW w:w="478" w:type="pct"/>
            <w:vAlign w:val="center"/>
          </w:tcPr>
          <w:p w14:paraId="5A47DAB3">
            <w:pPr>
              <w:widowControl/>
              <w:jc w:val="center"/>
              <w:rPr>
                <w:rFonts w:eastAsia="等线"/>
                <w:kern w:val="0"/>
                <w:szCs w:val="21"/>
              </w:rPr>
            </w:pPr>
            <w:r>
              <w:rPr>
                <w:rFonts w:eastAsia="等线"/>
                <w:kern w:val="0"/>
                <w:szCs w:val="21"/>
              </w:rPr>
              <w:t>20.5</w:t>
            </w:r>
          </w:p>
        </w:tc>
        <w:tc>
          <w:tcPr>
            <w:tcW w:w="478" w:type="pct"/>
            <w:vAlign w:val="center"/>
          </w:tcPr>
          <w:p w14:paraId="119DE3D1">
            <w:pPr>
              <w:widowControl/>
              <w:jc w:val="center"/>
              <w:rPr>
                <w:rFonts w:eastAsia="等线"/>
                <w:kern w:val="0"/>
                <w:szCs w:val="21"/>
              </w:rPr>
            </w:pPr>
            <w:r>
              <w:rPr>
                <w:rFonts w:eastAsia="等线"/>
                <w:kern w:val="0"/>
                <w:szCs w:val="21"/>
              </w:rPr>
              <w:t>31.5</w:t>
            </w:r>
          </w:p>
        </w:tc>
        <w:tc>
          <w:tcPr>
            <w:tcW w:w="478" w:type="pct"/>
            <w:vAlign w:val="center"/>
          </w:tcPr>
          <w:p w14:paraId="713973C8">
            <w:pPr>
              <w:widowControl/>
              <w:jc w:val="center"/>
              <w:rPr>
                <w:rFonts w:eastAsia="等线"/>
                <w:kern w:val="0"/>
                <w:szCs w:val="21"/>
              </w:rPr>
            </w:pPr>
            <w:r>
              <w:rPr>
                <w:rFonts w:eastAsia="等线"/>
                <w:kern w:val="0"/>
                <w:szCs w:val="21"/>
              </w:rPr>
              <w:t>19.3</w:t>
            </w:r>
          </w:p>
        </w:tc>
        <w:tc>
          <w:tcPr>
            <w:tcW w:w="478" w:type="pct"/>
            <w:vAlign w:val="center"/>
          </w:tcPr>
          <w:p w14:paraId="441BBBF6">
            <w:pPr>
              <w:widowControl/>
              <w:jc w:val="center"/>
              <w:rPr>
                <w:rFonts w:eastAsia="等线"/>
                <w:kern w:val="0"/>
                <w:szCs w:val="21"/>
              </w:rPr>
            </w:pPr>
            <w:r>
              <w:rPr>
                <w:rFonts w:eastAsia="等线"/>
                <w:kern w:val="0"/>
                <w:szCs w:val="21"/>
              </w:rPr>
              <w:t>188</w:t>
            </w:r>
          </w:p>
        </w:tc>
        <w:tc>
          <w:tcPr>
            <w:tcW w:w="478" w:type="pct"/>
            <w:vAlign w:val="center"/>
          </w:tcPr>
          <w:p w14:paraId="7706B364">
            <w:pPr>
              <w:widowControl/>
              <w:jc w:val="center"/>
              <w:rPr>
                <w:rFonts w:eastAsia="等线"/>
                <w:kern w:val="0"/>
                <w:szCs w:val="21"/>
              </w:rPr>
            </w:pPr>
            <w:r>
              <w:rPr>
                <w:rFonts w:eastAsia="等线"/>
                <w:kern w:val="0"/>
                <w:szCs w:val="21"/>
              </w:rPr>
              <w:t>12.9</w:t>
            </w:r>
          </w:p>
        </w:tc>
        <w:tc>
          <w:tcPr>
            <w:tcW w:w="478" w:type="pct"/>
            <w:vAlign w:val="center"/>
          </w:tcPr>
          <w:p w14:paraId="571CFA2A">
            <w:pPr>
              <w:widowControl/>
              <w:jc w:val="center"/>
              <w:rPr>
                <w:rFonts w:eastAsia="等线"/>
                <w:kern w:val="0"/>
                <w:szCs w:val="21"/>
              </w:rPr>
            </w:pPr>
            <w:r>
              <w:rPr>
                <w:rFonts w:eastAsia="等线"/>
                <w:kern w:val="0"/>
                <w:szCs w:val="21"/>
              </w:rPr>
              <w:t>18.3</w:t>
            </w:r>
          </w:p>
        </w:tc>
        <w:tc>
          <w:tcPr>
            <w:tcW w:w="542" w:type="pct"/>
            <w:vMerge w:val="continue"/>
            <w:vAlign w:val="center"/>
          </w:tcPr>
          <w:p w14:paraId="0DB5FA66">
            <w:pPr>
              <w:widowControl/>
              <w:jc w:val="left"/>
              <w:rPr>
                <w:rFonts w:eastAsia="等线"/>
                <w:kern w:val="0"/>
                <w:sz w:val="22"/>
                <w:szCs w:val="22"/>
              </w:rPr>
            </w:pPr>
          </w:p>
        </w:tc>
      </w:tr>
      <w:tr w14:paraId="2F55E35F">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restart"/>
            <w:noWrap/>
            <w:vAlign w:val="center"/>
          </w:tcPr>
          <w:p w14:paraId="3DE237B1">
            <w:pPr>
              <w:widowControl/>
              <w:jc w:val="center"/>
              <w:rPr>
                <w:rFonts w:eastAsia="等线"/>
                <w:kern w:val="0"/>
                <w:sz w:val="22"/>
                <w:szCs w:val="22"/>
              </w:rPr>
            </w:pPr>
            <w:r>
              <w:rPr>
                <w:rFonts w:eastAsia="等线"/>
                <w:kern w:val="0"/>
                <w:sz w:val="22"/>
                <w:szCs w:val="22"/>
              </w:rPr>
              <w:t>D2</w:t>
            </w:r>
          </w:p>
        </w:tc>
        <w:tc>
          <w:tcPr>
            <w:tcW w:w="803" w:type="pct"/>
            <w:noWrap/>
            <w:vAlign w:val="center"/>
          </w:tcPr>
          <w:p w14:paraId="2A7F6003">
            <w:pPr>
              <w:widowControl/>
              <w:jc w:val="center"/>
              <w:rPr>
                <w:rFonts w:ascii="宋体" w:hAnsi="宋体" w:cs="宋体"/>
                <w:kern w:val="0"/>
                <w:sz w:val="22"/>
                <w:szCs w:val="22"/>
              </w:rPr>
            </w:pPr>
            <w:r>
              <w:rPr>
                <w:rFonts w:hint="eastAsia" w:ascii="宋体" w:hAnsi="宋体" w:cs="宋体"/>
                <w:kern w:val="0"/>
                <w:sz w:val="22"/>
                <w:szCs w:val="22"/>
              </w:rPr>
              <w:t>毫克当量</w:t>
            </w:r>
          </w:p>
        </w:tc>
        <w:tc>
          <w:tcPr>
            <w:tcW w:w="478" w:type="pct"/>
            <w:noWrap/>
            <w:vAlign w:val="center"/>
          </w:tcPr>
          <w:p w14:paraId="73931D57">
            <w:pPr>
              <w:widowControl/>
              <w:jc w:val="center"/>
              <w:rPr>
                <w:rFonts w:eastAsia="等线"/>
                <w:kern w:val="0"/>
                <w:sz w:val="20"/>
                <w:szCs w:val="20"/>
              </w:rPr>
            </w:pPr>
            <w:r>
              <w:rPr>
                <w:rFonts w:eastAsia="等线"/>
                <w:kern w:val="0"/>
                <w:sz w:val="20"/>
                <w:szCs w:val="20"/>
              </w:rPr>
              <w:t>0.04</w:t>
            </w:r>
          </w:p>
        </w:tc>
        <w:tc>
          <w:tcPr>
            <w:tcW w:w="478" w:type="pct"/>
            <w:noWrap/>
            <w:vAlign w:val="center"/>
          </w:tcPr>
          <w:p w14:paraId="6DD99308">
            <w:pPr>
              <w:widowControl/>
              <w:jc w:val="center"/>
              <w:rPr>
                <w:rFonts w:eastAsia="等线"/>
                <w:kern w:val="0"/>
                <w:sz w:val="20"/>
                <w:szCs w:val="20"/>
              </w:rPr>
            </w:pPr>
            <w:r>
              <w:rPr>
                <w:rFonts w:eastAsia="等线"/>
                <w:kern w:val="0"/>
                <w:sz w:val="20"/>
                <w:szCs w:val="20"/>
              </w:rPr>
              <w:t>1.03</w:t>
            </w:r>
          </w:p>
        </w:tc>
        <w:tc>
          <w:tcPr>
            <w:tcW w:w="478" w:type="pct"/>
            <w:noWrap/>
            <w:vAlign w:val="center"/>
          </w:tcPr>
          <w:p w14:paraId="4EEA80A2">
            <w:pPr>
              <w:widowControl/>
              <w:jc w:val="center"/>
              <w:rPr>
                <w:rFonts w:eastAsia="等线"/>
                <w:kern w:val="0"/>
                <w:sz w:val="20"/>
                <w:szCs w:val="20"/>
              </w:rPr>
            </w:pPr>
            <w:r>
              <w:rPr>
                <w:rFonts w:eastAsia="等线"/>
                <w:kern w:val="0"/>
                <w:sz w:val="20"/>
                <w:szCs w:val="20"/>
              </w:rPr>
              <w:t>2.38</w:t>
            </w:r>
          </w:p>
        </w:tc>
        <w:tc>
          <w:tcPr>
            <w:tcW w:w="478" w:type="pct"/>
            <w:noWrap/>
            <w:vAlign w:val="center"/>
          </w:tcPr>
          <w:p w14:paraId="1555A1E4">
            <w:pPr>
              <w:widowControl/>
              <w:jc w:val="center"/>
              <w:rPr>
                <w:rFonts w:eastAsia="等线"/>
                <w:kern w:val="0"/>
                <w:sz w:val="20"/>
                <w:szCs w:val="20"/>
              </w:rPr>
            </w:pPr>
            <w:r>
              <w:rPr>
                <w:rFonts w:eastAsia="等线"/>
                <w:kern w:val="0"/>
                <w:sz w:val="20"/>
                <w:szCs w:val="20"/>
              </w:rPr>
              <w:t>1.76</w:t>
            </w:r>
          </w:p>
        </w:tc>
        <w:tc>
          <w:tcPr>
            <w:tcW w:w="478" w:type="pct"/>
            <w:noWrap/>
            <w:vAlign w:val="center"/>
          </w:tcPr>
          <w:p w14:paraId="113075E8">
            <w:pPr>
              <w:widowControl/>
              <w:jc w:val="center"/>
              <w:rPr>
                <w:rFonts w:eastAsia="等线"/>
                <w:kern w:val="0"/>
                <w:sz w:val="20"/>
                <w:szCs w:val="20"/>
              </w:rPr>
            </w:pPr>
            <w:r>
              <w:rPr>
                <w:rFonts w:eastAsia="等线"/>
                <w:kern w:val="0"/>
                <w:sz w:val="20"/>
                <w:szCs w:val="20"/>
              </w:rPr>
              <w:t>3.85</w:t>
            </w:r>
          </w:p>
        </w:tc>
        <w:tc>
          <w:tcPr>
            <w:tcW w:w="478" w:type="pct"/>
            <w:noWrap/>
            <w:vAlign w:val="center"/>
          </w:tcPr>
          <w:p w14:paraId="0B28031A">
            <w:pPr>
              <w:widowControl/>
              <w:jc w:val="center"/>
              <w:rPr>
                <w:rFonts w:eastAsia="等线"/>
                <w:kern w:val="0"/>
                <w:sz w:val="20"/>
                <w:szCs w:val="20"/>
              </w:rPr>
            </w:pPr>
            <w:r>
              <w:rPr>
                <w:rFonts w:eastAsia="等线"/>
                <w:kern w:val="0"/>
                <w:sz w:val="20"/>
                <w:szCs w:val="20"/>
              </w:rPr>
              <w:t>0.68</w:t>
            </w:r>
          </w:p>
        </w:tc>
        <w:tc>
          <w:tcPr>
            <w:tcW w:w="478" w:type="pct"/>
            <w:noWrap/>
            <w:vAlign w:val="center"/>
          </w:tcPr>
          <w:p w14:paraId="190BAA4E">
            <w:pPr>
              <w:widowControl/>
              <w:jc w:val="center"/>
              <w:rPr>
                <w:rFonts w:eastAsia="等线"/>
                <w:kern w:val="0"/>
                <w:sz w:val="20"/>
                <w:szCs w:val="20"/>
              </w:rPr>
            </w:pPr>
            <w:r>
              <w:rPr>
                <w:rFonts w:eastAsia="等线"/>
                <w:kern w:val="0"/>
                <w:sz w:val="20"/>
                <w:szCs w:val="20"/>
              </w:rPr>
              <w:t>0.52</w:t>
            </w:r>
          </w:p>
        </w:tc>
        <w:tc>
          <w:tcPr>
            <w:tcW w:w="542" w:type="pct"/>
            <w:vMerge w:val="restart"/>
            <w:noWrap/>
            <w:vAlign w:val="center"/>
          </w:tcPr>
          <w:p w14:paraId="6F912C1A">
            <w:pPr>
              <w:widowControl/>
              <w:jc w:val="center"/>
              <w:rPr>
                <w:rFonts w:eastAsia="等线"/>
                <w:kern w:val="0"/>
                <w:sz w:val="22"/>
                <w:szCs w:val="22"/>
              </w:rPr>
            </w:pPr>
            <w:r>
              <w:rPr>
                <w:rFonts w:eastAsia="等线"/>
                <w:kern w:val="0"/>
                <w:sz w:val="22"/>
                <w:szCs w:val="22"/>
              </w:rPr>
              <w:t>HCO</w:t>
            </w:r>
            <w:r>
              <w:rPr>
                <w:rFonts w:eastAsia="等线"/>
                <w:kern w:val="0"/>
                <w:sz w:val="22"/>
                <w:szCs w:val="22"/>
                <w:vertAlign w:val="subscript"/>
              </w:rPr>
              <w:t>3</w:t>
            </w:r>
            <w:r>
              <w:rPr>
                <w:rFonts w:eastAsia="等线"/>
                <w:kern w:val="0"/>
                <w:sz w:val="22"/>
                <w:szCs w:val="22"/>
              </w:rPr>
              <w:t>-Ca.Mg</w:t>
            </w:r>
          </w:p>
        </w:tc>
      </w:tr>
      <w:tr w14:paraId="0847028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continue"/>
            <w:vAlign w:val="center"/>
          </w:tcPr>
          <w:p w14:paraId="0D008C28">
            <w:pPr>
              <w:widowControl/>
              <w:jc w:val="left"/>
              <w:rPr>
                <w:rFonts w:eastAsia="等线"/>
                <w:kern w:val="0"/>
                <w:sz w:val="22"/>
                <w:szCs w:val="22"/>
              </w:rPr>
            </w:pPr>
          </w:p>
        </w:tc>
        <w:tc>
          <w:tcPr>
            <w:tcW w:w="803" w:type="pct"/>
            <w:noWrap/>
            <w:vAlign w:val="center"/>
          </w:tcPr>
          <w:p w14:paraId="690D896F">
            <w:pPr>
              <w:widowControl/>
              <w:jc w:val="center"/>
              <w:rPr>
                <w:rFonts w:ascii="宋体" w:hAnsi="宋体" w:cs="宋体"/>
                <w:kern w:val="0"/>
                <w:sz w:val="22"/>
                <w:szCs w:val="22"/>
              </w:rPr>
            </w:pPr>
            <w:r>
              <w:rPr>
                <w:rFonts w:hint="eastAsia" w:ascii="宋体" w:hAnsi="宋体" w:cs="宋体"/>
                <w:kern w:val="0"/>
                <w:sz w:val="22"/>
                <w:szCs w:val="22"/>
              </w:rPr>
              <w:t>毫克当量所在百分比</w:t>
            </w:r>
          </w:p>
        </w:tc>
        <w:tc>
          <w:tcPr>
            <w:tcW w:w="478" w:type="pct"/>
            <w:noWrap/>
            <w:vAlign w:val="center"/>
          </w:tcPr>
          <w:p w14:paraId="475E5C4A">
            <w:pPr>
              <w:widowControl/>
              <w:jc w:val="center"/>
              <w:rPr>
                <w:rFonts w:eastAsia="等线"/>
                <w:kern w:val="0"/>
                <w:sz w:val="20"/>
                <w:szCs w:val="20"/>
              </w:rPr>
            </w:pPr>
            <w:r>
              <w:rPr>
                <w:rFonts w:eastAsia="等线"/>
                <w:kern w:val="0"/>
                <w:sz w:val="20"/>
                <w:szCs w:val="20"/>
              </w:rPr>
              <w:t>0.77%</w:t>
            </w:r>
          </w:p>
        </w:tc>
        <w:tc>
          <w:tcPr>
            <w:tcW w:w="478" w:type="pct"/>
            <w:noWrap/>
            <w:vAlign w:val="center"/>
          </w:tcPr>
          <w:p w14:paraId="0A074B1E">
            <w:pPr>
              <w:widowControl/>
              <w:jc w:val="center"/>
              <w:rPr>
                <w:rFonts w:eastAsia="等线"/>
                <w:kern w:val="0"/>
                <w:sz w:val="20"/>
                <w:szCs w:val="20"/>
              </w:rPr>
            </w:pPr>
            <w:r>
              <w:rPr>
                <w:rFonts w:eastAsia="等线"/>
                <w:kern w:val="0"/>
                <w:sz w:val="20"/>
                <w:szCs w:val="20"/>
              </w:rPr>
              <w:t>19.77%</w:t>
            </w:r>
          </w:p>
        </w:tc>
        <w:tc>
          <w:tcPr>
            <w:tcW w:w="478" w:type="pct"/>
            <w:noWrap/>
            <w:vAlign w:val="center"/>
          </w:tcPr>
          <w:p w14:paraId="54D97545">
            <w:pPr>
              <w:widowControl/>
              <w:jc w:val="center"/>
              <w:rPr>
                <w:rFonts w:eastAsia="等线"/>
                <w:kern w:val="0"/>
                <w:sz w:val="20"/>
                <w:szCs w:val="20"/>
              </w:rPr>
            </w:pPr>
            <w:r>
              <w:rPr>
                <w:rFonts w:eastAsia="等线"/>
                <w:kern w:val="0"/>
                <w:sz w:val="20"/>
                <w:szCs w:val="20"/>
              </w:rPr>
              <w:t>45.68%</w:t>
            </w:r>
          </w:p>
        </w:tc>
        <w:tc>
          <w:tcPr>
            <w:tcW w:w="478" w:type="pct"/>
            <w:noWrap/>
            <w:vAlign w:val="center"/>
          </w:tcPr>
          <w:p w14:paraId="3574BAD3">
            <w:pPr>
              <w:widowControl/>
              <w:jc w:val="center"/>
              <w:rPr>
                <w:rFonts w:eastAsia="等线"/>
                <w:kern w:val="0"/>
                <w:sz w:val="20"/>
                <w:szCs w:val="20"/>
              </w:rPr>
            </w:pPr>
            <w:r>
              <w:rPr>
                <w:rFonts w:eastAsia="等线"/>
                <w:kern w:val="0"/>
                <w:sz w:val="20"/>
                <w:szCs w:val="20"/>
              </w:rPr>
              <w:t>33.78%</w:t>
            </w:r>
          </w:p>
        </w:tc>
        <w:tc>
          <w:tcPr>
            <w:tcW w:w="478" w:type="pct"/>
            <w:noWrap/>
            <w:vAlign w:val="center"/>
          </w:tcPr>
          <w:p w14:paraId="5A2FF390">
            <w:pPr>
              <w:widowControl/>
              <w:jc w:val="center"/>
              <w:rPr>
                <w:rFonts w:eastAsia="等线"/>
                <w:kern w:val="0"/>
                <w:sz w:val="20"/>
                <w:szCs w:val="20"/>
              </w:rPr>
            </w:pPr>
            <w:r>
              <w:rPr>
                <w:rFonts w:eastAsia="等线"/>
                <w:kern w:val="0"/>
                <w:sz w:val="20"/>
                <w:szCs w:val="20"/>
              </w:rPr>
              <w:t>76.24%</w:t>
            </w:r>
          </w:p>
        </w:tc>
        <w:tc>
          <w:tcPr>
            <w:tcW w:w="478" w:type="pct"/>
            <w:noWrap/>
            <w:vAlign w:val="center"/>
          </w:tcPr>
          <w:p w14:paraId="7C9FBD04">
            <w:pPr>
              <w:widowControl/>
              <w:jc w:val="center"/>
              <w:rPr>
                <w:rFonts w:eastAsia="等线"/>
                <w:kern w:val="0"/>
                <w:sz w:val="20"/>
                <w:szCs w:val="20"/>
              </w:rPr>
            </w:pPr>
            <w:r>
              <w:rPr>
                <w:rFonts w:eastAsia="等线"/>
                <w:kern w:val="0"/>
                <w:sz w:val="20"/>
                <w:szCs w:val="20"/>
              </w:rPr>
              <w:t>13.47%</w:t>
            </w:r>
          </w:p>
        </w:tc>
        <w:tc>
          <w:tcPr>
            <w:tcW w:w="478" w:type="pct"/>
            <w:noWrap/>
            <w:vAlign w:val="center"/>
          </w:tcPr>
          <w:p w14:paraId="17233D43">
            <w:pPr>
              <w:widowControl/>
              <w:jc w:val="center"/>
              <w:rPr>
                <w:rFonts w:eastAsia="等线"/>
                <w:kern w:val="0"/>
                <w:sz w:val="20"/>
                <w:szCs w:val="20"/>
              </w:rPr>
            </w:pPr>
            <w:r>
              <w:rPr>
                <w:rFonts w:eastAsia="等线"/>
                <w:kern w:val="0"/>
                <w:sz w:val="20"/>
                <w:szCs w:val="20"/>
              </w:rPr>
              <w:t>10.30%</w:t>
            </w:r>
          </w:p>
        </w:tc>
        <w:tc>
          <w:tcPr>
            <w:tcW w:w="542" w:type="pct"/>
            <w:vMerge w:val="continue"/>
            <w:vAlign w:val="center"/>
          </w:tcPr>
          <w:p w14:paraId="3DF20217">
            <w:pPr>
              <w:widowControl/>
              <w:jc w:val="left"/>
              <w:rPr>
                <w:rFonts w:eastAsia="等线"/>
                <w:kern w:val="0"/>
                <w:sz w:val="22"/>
                <w:szCs w:val="22"/>
              </w:rPr>
            </w:pPr>
          </w:p>
        </w:tc>
      </w:tr>
      <w:tr w14:paraId="7B2C7E0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continue"/>
            <w:vAlign w:val="center"/>
          </w:tcPr>
          <w:p w14:paraId="2738A42D">
            <w:pPr>
              <w:widowControl/>
              <w:jc w:val="left"/>
              <w:rPr>
                <w:rFonts w:eastAsia="等线"/>
                <w:kern w:val="0"/>
                <w:sz w:val="22"/>
                <w:szCs w:val="22"/>
              </w:rPr>
            </w:pPr>
          </w:p>
        </w:tc>
        <w:tc>
          <w:tcPr>
            <w:tcW w:w="803" w:type="pct"/>
            <w:noWrap/>
            <w:vAlign w:val="center"/>
          </w:tcPr>
          <w:p w14:paraId="42FF0F7D">
            <w:pPr>
              <w:widowControl/>
              <w:jc w:val="center"/>
              <w:rPr>
                <w:rFonts w:ascii="宋体" w:hAnsi="宋体" w:cs="宋体"/>
                <w:kern w:val="0"/>
                <w:sz w:val="22"/>
                <w:szCs w:val="22"/>
              </w:rPr>
            </w:pPr>
            <w:r>
              <w:rPr>
                <w:rFonts w:hint="eastAsia" w:ascii="宋体" w:hAnsi="宋体" w:cs="宋体"/>
                <w:kern w:val="0"/>
                <w:sz w:val="22"/>
                <w:szCs w:val="22"/>
              </w:rPr>
              <w:t>检测值</w:t>
            </w:r>
          </w:p>
        </w:tc>
        <w:tc>
          <w:tcPr>
            <w:tcW w:w="478" w:type="pct"/>
            <w:vAlign w:val="center"/>
          </w:tcPr>
          <w:p w14:paraId="4E0210A4">
            <w:pPr>
              <w:widowControl/>
              <w:jc w:val="center"/>
              <w:rPr>
                <w:rFonts w:eastAsia="等线"/>
                <w:kern w:val="0"/>
                <w:szCs w:val="21"/>
              </w:rPr>
            </w:pPr>
            <w:r>
              <w:rPr>
                <w:rFonts w:eastAsia="等线"/>
                <w:kern w:val="0"/>
                <w:szCs w:val="21"/>
              </w:rPr>
              <w:t>1.51</w:t>
            </w:r>
          </w:p>
        </w:tc>
        <w:tc>
          <w:tcPr>
            <w:tcW w:w="478" w:type="pct"/>
            <w:vAlign w:val="center"/>
          </w:tcPr>
          <w:p w14:paraId="40454270">
            <w:pPr>
              <w:widowControl/>
              <w:jc w:val="center"/>
              <w:rPr>
                <w:rFonts w:eastAsia="等线"/>
                <w:kern w:val="0"/>
                <w:szCs w:val="21"/>
              </w:rPr>
            </w:pPr>
            <w:r>
              <w:rPr>
                <w:rFonts w:eastAsia="等线"/>
                <w:kern w:val="0"/>
                <w:szCs w:val="21"/>
              </w:rPr>
              <w:t>23.6</w:t>
            </w:r>
          </w:p>
        </w:tc>
        <w:tc>
          <w:tcPr>
            <w:tcW w:w="478" w:type="pct"/>
            <w:vAlign w:val="center"/>
          </w:tcPr>
          <w:p w14:paraId="3C129AE1">
            <w:pPr>
              <w:widowControl/>
              <w:jc w:val="center"/>
              <w:rPr>
                <w:rFonts w:eastAsia="等线"/>
                <w:kern w:val="0"/>
                <w:szCs w:val="21"/>
              </w:rPr>
            </w:pPr>
            <w:r>
              <w:rPr>
                <w:rFonts w:eastAsia="等线"/>
                <w:kern w:val="0"/>
                <w:szCs w:val="21"/>
              </w:rPr>
              <w:t>47.6</w:t>
            </w:r>
          </w:p>
        </w:tc>
        <w:tc>
          <w:tcPr>
            <w:tcW w:w="478" w:type="pct"/>
            <w:vAlign w:val="center"/>
          </w:tcPr>
          <w:p w14:paraId="30CC7B90">
            <w:pPr>
              <w:widowControl/>
              <w:jc w:val="center"/>
              <w:rPr>
                <w:rFonts w:eastAsia="等线"/>
                <w:kern w:val="0"/>
                <w:szCs w:val="21"/>
              </w:rPr>
            </w:pPr>
            <w:r>
              <w:rPr>
                <w:rFonts w:eastAsia="等线"/>
                <w:kern w:val="0"/>
                <w:szCs w:val="21"/>
              </w:rPr>
              <w:t>21.1</w:t>
            </w:r>
          </w:p>
        </w:tc>
        <w:tc>
          <w:tcPr>
            <w:tcW w:w="478" w:type="pct"/>
            <w:vAlign w:val="center"/>
          </w:tcPr>
          <w:p w14:paraId="2FAD0447">
            <w:pPr>
              <w:widowControl/>
              <w:jc w:val="center"/>
              <w:rPr>
                <w:rFonts w:eastAsia="等线"/>
                <w:kern w:val="0"/>
                <w:szCs w:val="21"/>
              </w:rPr>
            </w:pPr>
            <w:r>
              <w:rPr>
                <w:rFonts w:eastAsia="等线"/>
                <w:kern w:val="0"/>
                <w:szCs w:val="21"/>
              </w:rPr>
              <w:t>235</w:t>
            </w:r>
          </w:p>
        </w:tc>
        <w:tc>
          <w:tcPr>
            <w:tcW w:w="478" w:type="pct"/>
            <w:vAlign w:val="center"/>
          </w:tcPr>
          <w:p w14:paraId="1B89DDC7">
            <w:pPr>
              <w:widowControl/>
              <w:jc w:val="center"/>
              <w:rPr>
                <w:rFonts w:eastAsia="等线"/>
                <w:kern w:val="0"/>
                <w:szCs w:val="21"/>
              </w:rPr>
            </w:pPr>
            <w:r>
              <w:rPr>
                <w:rFonts w:eastAsia="等线"/>
                <w:kern w:val="0"/>
                <w:szCs w:val="21"/>
              </w:rPr>
              <w:t>24.2</w:t>
            </w:r>
          </w:p>
        </w:tc>
        <w:tc>
          <w:tcPr>
            <w:tcW w:w="478" w:type="pct"/>
            <w:vAlign w:val="center"/>
          </w:tcPr>
          <w:p w14:paraId="130DE7CC">
            <w:pPr>
              <w:widowControl/>
              <w:jc w:val="center"/>
              <w:rPr>
                <w:rFonts w:eastAsia="等线"/>
                <w:kern w:val="0"/>
                <w:szCs w:val="21"/>
              </w:rPr>
            </w:pPr>
            <w:r>
              <w:rPr>
                <w:rFonts w:eastAsia="等线"/>
                <w:kern w:val="0"/>
                <w:szCs w:val="21"/>
              </w:rPr>
              <w:t>24.9</w:t>
            </w:r>
          </w:p>
        </w:tc>
        <w:tc>
          <w:tcPr>
            <w:tcW w:w="542" w:type="pct"/>
            <w:vMerge w:val="continue"/>
            <w:vAlign w:val="center"/>
          </w:tcPr>
          <w:p w14:paraId="1782420C">
            <w:pPr>
              <w:widowControl/>
              <w:jc w:val="left"/>
              <w:rPr>
                <w:rFonts w:eastAsia="等线"/>
                <w:kern w:val="0"/>
                <w:sz w:val="22"/>
                <w:szCs w:val="22"/>
              </w:rPr>
            </w:pPr>
          </w:p>
        </w:tc>
      </w:tr>
      <w:tr w14:paraId="7DAE39C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restart"/>
            <w:noWrap/>
            <w:vAlign w:val="center"/>
          </w:tcPr>
          <w:p w14:paraId="74EBD12B">
            <w:pPr>
              <w:widowControl/>
              <w:jc w:val="center"/>
              <w:rPr>
                <w:rFonts w:eastAsia="等线"/>
                <w:kern w:val="0"/>
                <w:sz w:val="22"/>
                <w:szCs w:val="22"/>
              </w:rPr>
            </w:pPr>
            <w:r>
              <w:rPr>
                <w:rFonts w:eastAsia="等线"/>
                <w:kern w:val="0"/>
                <w:sz w:val="22"/>
                <w:szCs w:val="22"/>
              </w:rPr>
              <w:t>D3</w:t>
            </w:r>
          </w:p>
        </w:tc>
        <w:tc>
          <w:tcPr>
            <w:tcW w:w="803" w:type="pct"/>
            <w:noWrap/>
            <w:vAlign w:val="center"/>
          </w:tcPr>
          <w:p w14:paraId="15C45DED">
            <w:pPr>
              <w:widowControl/>
              <w:jc w:val="center"/>
              <w:rPr>
                <w:rFonts w:ascii="宋体" w:hAnsi="宋体" w:cs="宋体"/>
                <w:kern w:val="0"/>
                <w:sz w:val="22"/>
                <w:szCs w:val="22"/>
              </w:rPr>
            </w:pPr>
            <w:r>
              <w:rPr>
                <w:rFonts w:hint="eastAsia" w:ascii="宋体" w:hAnsi="宋体" w:cs="宋体"/>
                <w:kern w:val="0"/>
                <w:sz w:val="22"/>
                <w:szCs w:val="22"/>
              </w:rPr>
              <w:t>毫克当量</w:t>
            </w:r>
          </w:p>
        </w:tc>
        <w:tc>
          <w:tcPr>
            <w:tcW w:w="478" w:type="pct"/>
            <w:noWrap/>
            <w:vAlign w:val="center"/>
          </w:tcPr>
          <w:p w14:paraId="295417F4">
            <w:pPr>
              <w:widowControl/>
              <w:jc w:val="center"/>
              <w:rPr>
                <w:rFonts w:eastAsia="等线"/>
                <w:kern w:val="0"/>
                <w:sz w:val="20"/>
                <w:szCs w:val="20"/>
              </w:rPr>
            </w:pPr>
            <w:r>
              <w:rPr>
                <w:rFonts w:eastAsia="等线"/>
                <w:kern w:val="0"/>
                <w:sz w:val="20"/>
                <w:szCs w:val="20"/>
              </w:rPr>
              <w:t>0.03</w:t>
            </w:r>
          </w:p>
        </w:tc>
        <w:tc>
          <w:tcPr>
            <w:tcW w:w="478" w:type="pct"/>
            <w:noWrap/>
            <w:vAlign w:val="center"/>
          </w:tcPr>
          <w:p w14:paraId="1A27B0BA">
            <w:pPr>
              <w:widowControl/>
              <w:jc w:val="center"/>
              <w:rPr>
                <w:rFonts w:eastAsia="等线"/>
                <w:kern w:val="0"/>
                <w:sz w:val="20"/>
                <w:szCs w:val="20"/>
              </w:rPr>
            </w:pPr>
            <w:r>
              <w:rPr>
                <w:rFonts w:eastAsia="等线"/>
                <w:kern w:val="0"/>
                <w:sz w:val="20"/>
                <w:szCs w:val="20"/>
              </w:rPr>
              <w:t>1.14</w:t>
            </w:r>
          </w:p>
        </w:tc>
        <w:tc>
          <w:tcPr>
            <w:tcW w:w="478" w:type="pct"/>
            <w:noWrap/>
            <w:vAlign w:val="center"/>
          </w:tcPr>
          <w:p w14:paraId="7FB3952D">
            <w:pPr>
              <w:widowControl/>
              <w:jc w:val="center"/>
              <w:rPr>
                <w:rFonts w:eastAsia="等线"/>
                <w:kern w:val="0"/>
                <w:sz w:val="20"/>
                <w:szCs w:val="20"/>
              </w:rPr>
            </w:pPr>
            <w:r>
              <w:rPr>
                <w:rFonts w:eastAsia="等线"/>
                <w:kern w:val="0"/>
                <w:sz w:val="20"/>
                <w:szCs w:val="20"/>
              </w:rPr>
              <w:t>1.68</w:t>
            </w:r>
          </w:p>
        </w:tc>
        <w:tc>
          <w:tcPr>
            <w:tcW w:w="478" w:type="pct"/>
            <w:noWrap/>
            <w:vAlign w:val="center"/>
          </w:tcPr>
          <w:p w14:paraId="276ED5BC">
            <w:pPr>
              <w:widowControl/>
              <w:jc w:val="center"/>
              <w:rPr>
                <w:rFonts w:eastAsia="等线"/>
                <w:kern w:val="0"/>
                <w:sz w:val="20"/>
                <w:szCs w:val="20"/>
              </w:rPr>
            </w:pPr>
            <w:r>
              <w:rPr>
                <w:rFonts w:eastAsia="等线"/>
                <w:kern w:val="0"/>
                <w:sz w:val="20"/>
                <w:szCs w:val="20"/>
              </w:rPr>
              <w:t>1.33</w:t>
            </w:r>
          </w:p>
        </w:tc>
        <w:tc>
          <w:tcPr>
            <w:tcW w:w="478" w:type="pct"/>
            <w:noWrap/>
            <w:vAlign w:val="center"/>
          </w:tcPr>
          <w:p w14:paraId="620A66D6">
            <w:pPr>
              <w:widowControl/>
              <w:jc w:val="center"/>
              <w:rPr>
                <w:rFonts w:eastAsia="等线"/>
                <w:kern w:val="0"/>
                <w:sz w:val="20"/>
                <w:szCs w:val="20"/>
              </w:rPr>
            </w:pPr>
            <w:r>
              <w:rPr>
                <w:rFonts w:eastAsia="等线"/>
                <w:kern w:val="0"/>
                <w:sz w:val="20"/>
                <w:szCs w:val="20"/>
              </w:rPr>
              <w:t>3.48</w:t>
            </w:r>
          </w:p>
        </w:tc>
        <w:tc>
          <w:tcPr>
            <w:tcW w:w="478" w:type="pct"/>
            <w:noWrap/>
            <w:vAlign w:val="center"/>
          </w:tcPr>
          <w:p w14:paraId="4417FBE7">
            <w:pPr>
              <w:widowControl/>
              <w:jc w:val="center"/>
              <w:rPr>
                <w:rFonts w:eastAsia="等线"/>
                <w:kern w:val="0"/>
                <w:sz w:val="20"/>
                <w:szCs w:val="20"/>
              </w:rPr>
            </w:pPr>
            <w:r>
              <w:rPr>
                <w:rFonts w:eastAsia="等线"/>
                <w:kern w:val="0"/>
                <w:sz w:val="20"/>
                <w:szCs w:val="20"/>
              </w:rPr>
              <w:t>0.25</w:t>
            </w:r>
          </w:p>
        </w:tc>
        <w:tc>
          <w:tcPr>
            <w:tcW w:w="478" w:type="pct"/>
            <w:noWrap/>
            <w:vAlign w:val="center"/>
          </w:tcPr>
          <w:p w14:paraId="6727B6CA">
            <w:pPr>
              <w:widowControl/>
              <w:jc w:val="center"/>
              <w:rPr>
                <w:rFonts w:eastAsia="等线"/>
                <w:kern w:val="0"/>
                <w:sz w:val="20"/>
                <w:szCs w:val="20"/>
              </w:rPr>
            </w:pPr>
            <w:r>
              <w:rPr>
                <w:rFonts w:eastAsia="等线"/>
                <w:kern w:val="0"/>
                <w:sz w:val="20"/>
                <w:szCs w:val="20"/>
              </w:rPr>
              <w:t>0.49</w:t>
            </w:r>
          </w:p>
        </w:tc>
        <w:tc>
          <w:tcPr>
            <w:tcW w:w="542" w:type="pct"/>
            <w:vMerge w:val="restart"/>
            <w:noWrap/>
            <w:vAlign w:val="center"/>
          </w:tcPr>
          <w:p w14:paraId="799C5678">
            <w:pPr>
              <w:widowControl/>
              <w:jc w:val="center"/>
              <w:rPr>
                <w:rFonts w:eastAsia="等线"/>
                <w:kern w:val="0"/>
                <w:sz w:val="22"/>
                <w:szCs w:val="22"/>
              </w:rPr>
            </w:pPr>
            <w:r>
              <w:rPr>
                <w:rFonts w:eastAsia="等线"/>
                <w:kern w:val="0"/>
                <w:sz w:val="22"/>
                <w:szCs w:val="22"/>
              </w:rPr>
              <w:t>HCO</w:t>
            </w:r>
            <w:r>
              <w:rPr>
                <w:rFonts w:eastAsia="等线"/>
                <w:kern w:val="0"/>
                <w:sz w:val="22"/>
                <w:szCs w:val="22"/>
                <w:vertAlign w:val="subscript"/>
              </w:rPr>
              <w:t>3</w:t>
            </w:r>
            <w:r>
              <w:rPr>
                <w:rFonts w:eastAsia="等线"/>
                <w:kern w:val="0"/>
                <w:sz w:val="22"/>
                <w:szCs w:val="22"/>
              </w:rPr>
              <w:t>-Ca.Mg.Na</w:t>
            </w:r>
          </w:p>
        </w:tc>
      </w:tr>
      <w:tr w14:paraId="773DB75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continue"/>
            <w:vAlign w:val="center"/>
          </w:tcPr>
          <w:p w14:paraId="1FEC18DC">
            <w:pPr>
              <w:widowControl/>
              <w:jc w:val="left"/>
              <w:rPr>
                <w:rFonts w:eastAsia="等线"/>
                <w:kern w:val="0"/>
                <w:sz w:val="22"/>
                <w:szCs w:val="22"/>
              </w:rPr>
            </w:pPr>
          </w:p>
        </w:tc>
        <w:tc>
          <w:tcPr>
            <w:tcW w:w="803" w:type="pct"/>
            <w:noWrap/>
            <w:vAlign w:val="center"/>
          </w:tcPr>
          <w:p w14:paraId="3F8269FE">
            <w:pPr>
              <w:widowControl/>
              <w:jc w:val="center"/>
              <w:rPr>
                <w:rFonts w:ascii="宋体" w:hAnsi="宋体" w:cs="宋体"/>
                <w:kern w:val="0"/>
                <w:sz w:val="22"/>
                <w:szCs w:val="22"/>
              </w:rPr>
            </w:pPr>
            <w:r>
              <w:rPr>
                <w:rFonts w:hint="eastAsia" w:ascii="宋体" w:hAnsi="宋体" w:cs="宋体"/>
                <w:kern w:val="0"/>
                <w:sz w:val="22"/>
                <w:szCs w:val="22"/>
              </w:rPr>
              <w:t>毫克当量所在百分比</w:t>
            </w:r>
          </w:p>
        </w:tc>
        <w:tc>
          <w:tcPr>
            <w:tcW w:w="478" w:type="pct"/>
            <w:noWrap/>
            <w:vAlign w:val="center"/>
          </w:tcPr>
          <w:p w14:paraId="09290659">
            <w:pPr>
              <w:widowControl/>
              <w:jc w:val="center"/>
              <w:rPr>
                <w:rFonts w:eastAsia="等线"/>
                <w:kern w:val="0"/>
                <w:sz w:val="20"/>
                <w:szCs w:val="20"/>
              </w:rPr>
            </w:pPr>
            <w:r>
              <w:rPr>
                <w:rFonts w:eastAsia="等线"/>
                <w:kern w:val="0"/>
                <w:sz w:val="20"/>
                <w:szCs w:val="20"/>
              </w:rPr>
              <w:t>0.72%</w:t>
            </w:r>
          </w:p>
        </w:tc>
        <w:tc>
          <w:tcPr>
            <w:tcW w:w="478" w:type="pct"/>
            <w:noWrap/>
            <w:vAlign w:val="center"/>
          </w:tcPr>
          <w:p w14:paraId="05E54C58">
            <w:pPr>
              <w:widowControl/>
              <w:jc w:val="center"/>
              <w:rPr>
                <w:rFonts w:eastAsia="等线"/>
                <w:kern w:val="0"/>
                <w:sz w:val="20"/>
                <w:szCs w:val="20"/>
              </w:rPr>
            </w:pPr>
            <w:r>
              <w:rPr>
                <w:rFonts w:eastAsia="等线"/>
                <w:kern w:val="0"/>
                <w:sz w:val="20"/>
                <w:szCs w:val="20"/>
              </w:rPr>
              <w:t>27.27%</w:t>
            </w:r>
          </w:p>
        </w:tc>
        <w:tc>
          <w:tcPr>
            <w:tcW w:w="478" w:type="pct"/>
            <w:noWrap/>
            <w:vAlign w:val="center"/>
          </w:tcPr>
          <w:p w14:paraId="48AE6E70">
            <w:pPr>
              <w:widowControl/>
              <w:jc w:val="center"/>
              <w:rPr>
                <w:rFonts w:eastAsia="等线"/>
                <w:kern w:val="0"/>
                <w:sz w:val="20"/>
                <w:szCs w:val="20"/>
              </w:rPr>
            </w:pPr>
            <w:r>
              <w:rPr>
                <w:rFonts w:eastAsia="等线"/>
                <w:kern w:val="0"/>
                <w:sz w:val="20"/>
                <w:szCs w:val="20"/>
              </w:rPr>
              <w:t>40.19%</w:t>
            </w:r>
          </w:p>
        </w:tc>
        <w:tc>
          <w:tcPr>
            <w:tcW w:w="478" w:type="pct"/>
            <w:noWrap/>
            <w:vAlign w:val="center"/>
          </w:tcPr>
          <w:p w14:paraId="66CF8771">
            <w:pPr>
              <w:widowControl/>
              <w:jc w:val="center"/>
              <w:rPr>
                <w:rFonts w:eastAsia="等线"/>
                <w:kern w:val="0"/>
                <w:sz w:val="20"/>
                <w:szCs w:val="20"/>
              </w:rPr>
            </w:pPr>
            <w:r>
              <w:rPr>
                <w:rFonts w:eastAsia="等线"/>
                <w:kern w:val="0"/>
                <w:sz w:val="20"/>
                <w:szCs w:val="20"/>
              </w:rPr>
              <w:t>31.82%</w:t>
            </w:r>
          </w:p>
        </w:tc>
        <w:tc>
          <w:tcPr>
            <w:tcW w:w="478" w:type="pct"/>
            <w:noWrap/>
            <w:vAlign w:val="center"/>
          </w:tcPr>
          <w:p w14:paraId="428BE234">
            <w:pPr>
              <w:widowControl/>
              <w:jc w:val="center"/>
              <w:rPr>
                <w:rFonts w:eastAsia="等线"/>
                <w:kern w:val="0"/>
                <w:sz w:val="20"/>
                <w:szCs w:val="20"/>
              </w:rPr>
            </w:pPr>
            <w:r>
              <w:rPr>
                <w:rFonts w:eastAsia="等线"/>
                <w:kern w:val="0"/>
                <w:sz w:val="20"/>
                <w:szCs w:val="20"/>
              </w:rPr>
              <w:t>82.46%</w:t>
            </w:r>
          </w:p>
        </w:tc>
        <w:tc>
          <w:tcPr>
            <w:tcW w:w="478" w:type="pct"/>
            <w:noWrap/>
            <w:vAlign w:val="center"/>
          </w:tcPr>
          <w:p w14:paraId="0B71AACD">
            <w:pPr>
              <w:widowControl/>
              <w:jc w:val="center"/>
              <w:rPr>
                <w:rFonts w:eastAsia="等线"/>
                <w:kern w:val="0"/>
                <w:sz w:val="20"/>
                <w:szCs w:val="20"/>
              </w:rPr>
            </w:pPr>
            <w:r>
              <w:rPr>
                <w:rFonts w:eastAsia="等线"/>
                <w:kern w:val="0"/>
                <w:sz w:val="20"/>
                <w:szCs w:val="20"/>
              </w:rPr>
              <w:t>5.92%</w:t>
            </w:r>
          </w:p>
        </w:tc>
        <w:tc>
          <w:tcPr>
            <w:tcW w:w="478" w:type="pct"/>
            <w:noWrap/>
            <w:vAlign w:val="center"/>
          </w:tcPr>
          <w:p w14:paraId="22B24002">
            <w:pPr>
              <w:widowControl/>
              <w:jc w:val="center"/>
              <w:rPr>
                <w:rFonts w:eastAsia="等线"/>
                <w:kern w:val="0"/>
                <w:sz w:val="20"/>
                <w:szCs w:val="20"/>
              </w:rPr>
            </w:pPr>
            <w:r>
              <w:rPr>
                <w:rFonts w:eastAsia="等线"/>
                <w:kern w:val="0"/>
                <w:sz w:val="20"/>
                <w:szCs w:val="20"/>
              </w:rPr>
              <w:t>11.61%</w:t>
            </w:r>
          </w:p>
        </w:tc>
        <w:tc>
          <w:tcPr>
            <w:tcW w:w="542" w:type="pct"/>
            <w:vMerge w:val="continue"/>
            <w:vAlign w:val="center"/>
          </w:tcPr>
          <w:p w14:paraId="2B4E55C9">
            <w:pPr>
              <w:widowControl/>
              <w:jc w:val="left"/>
              <w:rPr>
                <w:rFonts w:eastAsia="等线"/>
                <w:kern w:val="0"/>
                <w:sz w:val="22"/>
                <w:szCs w:val="22"/>
              </w:rPr>
            </w:pPr>
          </w:p>
        </w:tc>
      </w:tr>
      <w:tr w14:paraId="6D757B9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continue"/>
            <w:vAlign w:val="center"/>
          </w:tcPr>
          <w:p w14:paraId="15AE7A37">
            <w:pPr>
              <w:widowControl/>
              <w:jc w:val="left"/>
              <w:rPr>
                <w:rFonts w:eastAsia="等线"/>
                <w:kern w:val="0"/>
                <w:sz w:val="22"/>
                <w:szCs w:val="22"/>
              </w:rPr>
            </w:pPr>
          </w:p>
        </w:tc>
        <w:tc>
          <w:tcPr>
            <w:tcW w:w="803" w:type="pct"/>
            <w:noWrap/>
            <w:vAlign w:val="center"/>
          </w:tcPr>
          <w:p w14:paraId="61935716">
            <w:pPr>
              <w:widowControl/>
              <w:jc w:val="center"/>
              <w:rPr>
                <w:rFonts w:ascii="宋体" w:hAnsi="宋体" w:cs="宋体"/>
                <w:kern w:val="0"/>
                <w:sz w:val="22"/>
                <w:szCs w:val="22"/>
              </w:rPr>
            </w:pPr>
            <w:r>
              <w:rPr>
                <w:rFonts w:hint="eastAsia" w:ascii="宋体" w:hAnsi="宋体" w:cs="宋体"/>
                <w:kern w:val="0"/>
                <w:sz w:val="22"/>
                <w:szCs w:val="22"/>
              </w:rPr>
              <w:t>检测值</w:t>
            </w:r>
          </w:p>
        </w:tc>
        <w:tc>
          <w:tcPr>
            <w:tcW w:w="478" w:type="pct"/>
            <w:vAlign w:val="center"/>
          </w:tcPr>
          <w:p w14:paraId="6C80CF4A">
            <w:pPr>
              <w:widowControl/>
              <w:jc w:val="center"/>
              <w:rPr>
                <w:rFonts w:eastAsia="等线"/>
                <w:kern w:val="0"/>
                <w:szCs w:val="21"/>
              </w:rPr>
            </w:pPr>
            <w:r>
              <w:rPr>
                <w:rFonts w:eastAsia="等线"/>
                <w:kern w:val="0"/>
                <w:szCs w:val="21"/>
              </w:rPr>
              <w:t>1.24</w:t>
            </w:r>
          </w:p>
        </w:tc>
        <w:tc>
          <w:tcPr>
            <w:tcW w:w="478" w:type="pct"/>
            <w:vAlign w:val="center"/>
          </w:tcPr>
          <w:p w14:paraId="249D4418">
            <w:pPr>
              <w:widowControl/>
              <w:jc w:val="center"/>
              <w:rPr>
                <w:rFonts w:eastAsia="等线"/>
                <w:kern w:val="0"/>
                <w:szCs w:val="21"/>
              </w:rPr>
            </w:pPr>
            <w:r>
              <w:rPr>
                <w:rFonts w:eastAsia="等线"/>
                <w:kern w:val="0"/>
                <w:szCs w:val="21"/>
              </w:rPr>
              <w:t>26.2</w:t>
            </w:r>
          </w:p>
        </w:tc>
        <w:tc>
          <w:tcPr>
            <w:tcW w:w="478" w:type="pct"/>
            <w:vAlign w:val="center"/>
          </w:tcPr>
          <w:p w14:paraId="404A0A16">
            <w:pPr>
              <w:widowControl/>
              <w:jc w:val="center"/>
              <w:rPr>
                <w:rFonts w:eastAsia="等线"/>
                <w:kern w:val="0"/>
                <w:szCs w:val="21"/>
              </w:rPr>
            </w:pPr>
            <w:r>
              <w:rPr>
                <w:rFonts w:eastAsia="等线"/>
                <w:kern w:val="0"/>
                <w:szCs w:val="21"/>
              </w:rPr>
              <w:t>33.6</w:t>
            </w:r>
          </w:p>
        </w:tc>
        <w:tc>
          <w:tcPr>
            <w:tcW w:w="478" w:type="pct"/>
            <w:vAlign w:val="center"/>
          </w:tcPr>
          <w:p w14:paraId="7371BEC3">
            <w:pPr>
              <w:widowControl/>
              <w:jc w:val="center"/>
              <w:rPr>
                <w:rFonts w:eastAsia="等线"/>
                <w:kern w:val="0"/>
                <w:szCs w:val="21"/>
              </w:rPr>
            </w:pPr>
            <w:r>
              <w:rPr>
                <w:rFonts w:eastAsia="等线"/>
                <w:kern w:val="0"/>
                <w:szCs w:val="21"/>
              </w:rPr>
              <w:t>15.9</w:t>
            </w:r>
          </w:p>
        </w:tc>
        <w:tc>
          <w:tcPr>
            <w:tcW w:w="478" w:type="pct"/>
            <w:vAlign w:val="center"/>
          </w:tcPr>
          <w:p w14:paraId="6DB037B2">
            <w:pPr>
              <w:widowControl/>
              <w:jc w:val="center"/>
              <w:rPr>
                <w:rFonts w:eastAsia="等线"/>
                <w:kern w:val="0"/>
                <w:szCs w:val="21"/>
              </w:rPr>
            </w:pPr>
            <w:r>
              <w:rPr>
                <w:rFonts w:eastAsia="等线"/>
                <w:kern w:val="0"/>
                <w:szCs w:val="21"/>
              </w:rPr>
              <w:t>212</w:t>
            </w:r>
          </w:p>
        </w:tc>
        <w:tc>
          <w:tcPr>
            <w:tcW w:w="478" w:type="pct"/>
            <w:vAlign w:val="center"/>
          </w:tcPr>
          <w:p w14:paraId="1C55A76B">
            <w:pPr>
              <w:widowControl/>
              <w:jc w:val="center"/>
              <w:rPr>
                <w:rFonts w:eastAsia="等线"/>
                <w:kern w:val="0"/>
                <w:szCs w:val="21"/>
              </w:rPr>
            </w:pPr>
            <w:r>
              <w:rPr>
                <w:rFonts w:eastAsia="等线"/>
                <w:kern w:val="0"/>
                <w:szCs w:val="21"/>
              </w:rPr>
              <w:t>8.95</w:t>
            </w:r>
          </w:p>
        </w:tc>
        <w:tc>
          <w:tcPr>
            <w:tcW w:w="478" w:type="pct"/>
            <w:vAlign w:val="center"/>
          </w:tcPr>
          <w:p w14:paraId="1D04822C">
            <w:pPr>
              <w:widowControl/>
              <w:jc w:val="center"/>
              <w:rPr>
                <w:rFonts w:eastAsia="等线"/>
                <w:kern w:val="0"/>
                <w:szCs w:val="21"/>
              </w:rPr>
            </w:pPr>
            <w:r>
              <w:rPr>
                <w:rFonts w:eastAsia="等线"/>
                <w:kern w:val="0"/>
                <w:szCs w:val="21"/>
              </w:rPr>
              <w:t>23.7</w:t>
            </w:r>
          </w:p>
        </w:tc>
        <w:tc>
          <w:tcPr>
            <w:tcW w:w="542" w:type="pct"/>
            <w:vMerge w:val="continue"/>
            <w:vAlign w:val="center"/>
          </w:tcPr>
          <w:p w14:paraId="5102A4B4">
            <w:pPr>
              <w:widowControl/>
              <w:jc w:val="left"/>
              <w:rPr>
                <w:rFonts w:eastAsia="等线"/>
                <w:kern w:val="0"/>
                <w:sz w:val="22"/>
                <w:szCs w:val="22"/>
              </w:rPr>
            </w:pPr>
          </w:p>
        </w:tc>
      </w:tr>
      <w:tr w14:paraId="62549D6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restart"/>
            <w:noWrap/>
            <w:vAlign w:val="center"/>
          </w:tcPr>
          <w:p w14:paraId="4F13F0EE">
            <w:pPr>
              <w:widowControl/>
              <w:jc w:val="center"/>
              <w:rPr>
                <w:rFonts w:eastAsia="等线"/>
                <w:kern w:val="0"/>
                <w:sz w:val="22"/>
                <w:szCs w:val="22"/>
              </w:rPr>
            </w:pPr>
            <w:r>
              <w:rPr>
                <w:rFonts w:eastAsia="等线"/>
                <w:kern w:val="0"/>
                <w:sz w:val="22"/>
                <w:szCs w:val="22"/>
              </w:rPr>
              <w:t>D4</w:t>
            </w:r>
          </w:p>
        </w:tc>
        <w:tc>
          <w:tcPr>
            <w:tcW w:w="803" w:type="pct"/>
            <w:noWrap/>
            <w:vAlign w:val="center"/>
          </w:tcPr>
          <w:p w14:paraId="4B0EAB9C">
            <w:pPr>
              <w:widowControl/>
              <w:jc w:val="center"/>
              <w:rPr>
                <w:rFonts w:ascii="宋体" w:hAnsi="宋体" w:cs="宋体"/>
                <w:kern w:val="0"/>
                <w:sz w:val="22"/>
                <w:szCs w:val="22"/>
              </w:rPr>
            </w:pPr>
            <w:r>
              <w:rPr>
                <w:rFonts w:hint="eastAsia" w:ascii="宋体" w:hAnsi="宋体" w:cs="宋体"/>
                <w:kern w:val="0"/>
                <w:sz w:val="22"/>
                <w:szCs w:val="22"/>
              </w:rPr>
              <w:t>毫克当量</w:t>
            </w:r>
          </w:p>
        </w:tc>
        <w:tc>
          <w:tcPr>
            <w:tcW w:w="478" w:type="pct"/>
            <w:noWrap/>
            <w:vAlign w:val="center"/>
          </w:tcPr>
          <w:p w14:paraId="0CDA4EA6">
            <w:pPr>
              <w:widowControl/>
              <w:jc w:val="center"/>
              <w:rPr>
                <w:rFonts w:eastAsia="等线"/>
                <w:kern w:val="0"/>
                <w:sz w:val="20"/>
                <w:szCs w:val="20"/>
              </w:rPr>
            </w:pPr>
            <w:r>
              <w:rPr>
                <w:rFonts w:eastAsia="等线"/>
                <w:kern w:val="0"/>
                <w:sz w:val="20"/>
                <w:szCs w:val="20"/>
              </w:rPr>
              <w:t>0.1</w:t>
            </w:r>
          </w:p>
        </w:tc>
        <w:tc>
          <w:tcPr>
            <w:tcW w:w="478" w:type="pct"/>
            <w:noWrap/>
            <w:vAlign w:val="center"/>
          </w:tcPr>
          <w:p w14:paraId="2E07FB04">
            <w:pPr>
              <w:widowControl/>
              <w:jc w:val="center"/>
              <w:rPr>
                <w:rFonts w:eastAsia="等线"/>
                <w:kern w:val="0"/>
                <w:sz w:val="20"/>
                <w:szCs w:val="20"/>
              </w:rPr>
            </w:pPr>
            <w:r>
              <w:rPr>
                <w:rFonts w:eastAsia="等线"/>
                <w:kern w:val="0"/>
                <w:sz w:val="20"/>
                <w:szCs w:val="20"/>
              </w:rPr>
              <w:t>0.35</w:t>
            </w:r>
          </w:p>
        </w:tc>
        <w:tc>
          <w:tcPr>
            <w:tcW w:w="478" w:type="pct"/>
            <w:noWrap/>
            <w:vAlign w:val="center"/>
          </w:tcPr>
          <w:p w14:paraId="03359196">
            <w:pPr>
              <w:widowControl/>
              <w:jc w:val="center"/>
              <w:rPr>
                <w:rFonts w:eastAsia="等线"/>
                <w:kern w:val="0"/>
                <w:sz w:val="20"/>
                <w:szCs w:val="20"/>
              </w:rPr>
            </w:pPr>
            <w:r>
              <w:rPr>
                <w:rFonts w:eastAsia="等线"/>
                <w:kern w:val="0"/>
                <w:sz w:val="20"/>
                <w:szCs w:val="20"/>
              </w:rPr>
              <w:t>1.89</w:t>
            </w:r>
          </w:p>
        </w:tc>
        <w:tc>
          <w:tcPr>
            <w:tcW w:w="478" w:type="pct"/>
            <w:noWrap/>
            <w:vAlign w:val="center"/>
          </w:tcPr>
          <w:p w14:paraId="391EE5C2">
            <w:pPr>
              <w:widowControl/>
              <w:jc w:val="center"/>
              <w:rPr>
                <w:rFonts w:eastAsia="等线"/>
                <w:kern w:val="0"/>
                <w:sz w:val="20"/>
                <w:szCs w:val="20"/>
              </w:rPr>
            </w:pPr>
            <w:r>
              <w:rPr>
                <w:rFonts w:eastAsia="等线"/>
                <w:kern w:val="0"/>
                <w:sz w:val="20"/>
                <w:szCs w:val="20"/>
              </w:rPr>
              <w:t>0.44</w:t>
            </w:r>
          </w:p>
        </w:tc>
        <w:tc>
          <w:tcPr>
            <w:tcW w:w="478" w:type="pct"/>
            <w:noWrap/>
            <w:vAlign w:val="center"/>
          </w:tcPr>
          <w:p w14:paraId="71611B24">
            <w:pPr>
              <w:widowControl/>
              <w:jc w:val="center"/>
              <w:rPr>
                <w:rFonts w:eastAsia="等线"/>
                <w:kern w:val="0"/>
                <w:sz w:val="20"/>
                <w:szCs w:val="20"/>
              </w:rPr>
            </w:pPr>
            <w:r>
              <w:rPr>
                <w:rFonts w:eastAsia="等线"/>
                <w:kern w:val="0"/>
                <w:sz w:val="20"/>
                <w:szCs w:val="20"/>
              </w:rPr>
              <w:t>1.85</w:t>
            </w:r>
          </w:p>
        </w:tc>
        <w:tc>
          <w:tcPr>
            <w:tcW w:w="478" w:type="pct"/>
            <w:noWrap/>
            <w:vAlign w:val="center"/>
          </w:tcPr>
          <w:p w14:paraId="355B38DA">
            <w:pPr>
              <w:widowControl/>
              <w:jc w:val="center"/>
              <w:rPr>
                <w:rFonts w:eastAsia="等线"/>
                <w:kern w:val="0"/>
                <w:sz w:val="20"/>
                <w:szCs w:val="20"/>
              </w:rPr>
            </w:pPr>
            <w:r>
              <w:rPr>
                <w:rFonts w:eastAsia="等线"/>
                <w:kern w:val="0"/>
                <w:sz w:val="20"/>
                <w:szCs w:val="20"/>
              </w:rPr>
              <w:t>0.41</w:t>
            </w:r>
          </w:p>
        </w:tc>
        <w:tc>
          <w:tcPr>
            <w:tcW w:w="478" w:type="pct"/>
            <w:noWrap/>
            <w:vAlign w:val="center"/>
          </w:tcPr>
          <w:p w14:paraId="07A0D7F1">
            <w:pPr>
              <w:widowControl/>
              <w:jc w:val="center"/>
              <w:rPr>
                <w:rFonts w:eastAsia="等线"/>
                <w:kern w:val="0"/>
                <w:sz w:val="20"/>
                <w:szCs w:val="20"/>
              </w:rPr>
            </w:pPr>
            <w:r>
              <w:rPr>
                <w:rFonts w:eastAsia="等线"/>
                <w:kern w:val="0"/>
                <w:sz w:val="20"/>
                <w:szCs w:val="20"/>
              </w:rPr>
              <w:t>0.32</w:t>
            </w:r>
          </w:p>
        </w:tc>
        <w:tc>
          <w:tcPr>
            <w:tcW w:w="542" w:type="pct"/>
            <w:vMerge w:val="restart"/>
            <w:noWrap/>
            <w:vAlign w:val="center"/>
          </w:tcPr>
          <w:p w14:paraId="4088FCBC">
            <w:pPr>
              <w:widowControl/>
              <w:jc w:val="center"/>
              <w:rPr>
                <w:rFonts w:eastAsia="等线"/>
                <w:kern w:val="0"/>
                <w:sz w:val="22"/>
                <w:szCs w:val="22"/>
              </w:rPr>
            </w:pPr>
            <w:r>
              <w:rPr>
                <w:rFonts w:eastAsia="等线"/>
                <w:kern w:val="0"/>
                <w:sz w:val="22"/>
                <w:szCs w:val="22"/>
              </w:rPr>
              <w:t>HCO</w:t>
            </w:r>
            <w:r>
              <w:rPr>
                <w:rFonts w:eastAsia="等线"/>
                <w:kern w:val="0"/>
                <w:sz w:val="22"/>
                <w:szCs w:val="22"/>
                <w:vertAlign w:val="subscript"/>
              </w:rPr>
              <w:t>3</w:t>
            </w:r>
            <w:r>
              <w:rPr>
                <w:rFonts w:eastAsia="等线"/>
                <w:kern w:val="0"/>
                <w:sz w:val="22"/>
                <w:szCs w:val="22"/>
              </w:rPr>
              <w:t>-Ca</w:t>
            </w:r>
          </w:p>
        </w:tc>
      </w:tr>
      <w:tr w14:paraId="3231E12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continue"/>
            <w:vAlign w:val="center"/>
          </w:tcPr>
          <w:p w14:paraId="632646FC">
            <w:pPr>
              <w:widowControl/>
              <w:jc w:val="left"/>
              <w:rPr>
                <w:rFonts w:eastAsia="等线"/>
                <w:kern w:val="0"/>
                <w:sz w:val="22"/>
                <w:szCs w:val="22"/>
              </w:rPr>
            </w:pPr>
          </w:p>
        </w:tc>
        <w:tc>
          <w:tcPr>
            <w:tcW w:w="803" w:type="pct"/>
            <w:noWrap/>
            <w:vAlign w:val="center"/>
          </w:tcPr>
          <w:p w14:paraId="4E7E2CF4">
            <w:pPr>
              <w:widowControl/>
              <w:jc w:val="center"/>
              <w:rPr>
                <w:rFonts w:ascii="宋体" w:hAnsi="宋体" w:cs="宋体"/>
                <w:kern w:val="0"/>
                <w:sz w:val="22"/>
                <w:szCs w:val="22"/>
              </w:rPr>
            </w:pPr>
            <w:r>
              <w:rPr>
                <w:rFonts w:hint="eastAsia" w:ascii="宋体" w:hAnsi="宋体" w:cs="宋体"/>
                <w:kern w:val="0"/>
                <w:sz w:val="22"/>
                <w:szCs w:val="22"/>
              </w:rPr>
              <w:t>毫克当量所在百分比</w:t>
            </w:r>
          </w:p>
        </w:tc>
        <w:tc>
          <w:tcPr>
            <w:tcW w:w="478" w:type="pct"/>
            <w:noWrap/>
            <w:vAlign w:val="center"/>
          </w:tcPr>
          <w:p w14:paraId="598F6CB3">
            <w:pPr>
              <w:widowControl/>
              <w:jc w:val="center"/>
              <w:rPr>
                <w:rFonts w:eastAsia="等线"/>
                <w:kern w:val="0"/>
                <w:sz w:val="20"/>
                <w:szCs w:val="20"/>
              </w:rPr>
            </w:pPr>
            <w:r>
              <w:rPr>
                <w:rFonts w:eastAsia="等线"/>
                <w:kern w:val="0"/>
                <w:sz w:val="20"/>
                <w:szCs w:val="20"/>
              </w:rPr>
              <w:t>3.60%</w:t>
            </w:r>
          </w:p>
        </w:tc>
        <w:tc>
          <w:tcPr>
            <w:tcW w:w="478" w:type="pct"/>
            <w:noWrap/>
            <w:vAlign w:val="center"/>
          </w:tcPr>
          <w:p w14:paraId="6E49E39E">
            <w:pPr>
              <w:widowControl/>
              <w:jc w:val="center"/>
              <w:rPr>
                <w:rFonts w:eastAsia="等线"/>
                <w:kern w:val="0"/>
                <w:sz w:val="20"/>
                <w:szCs w:val="20"/>
              </w:rPr>
            </w:pPr>
            <w:r>
              <w:rPr>
                <w:rFonts w:eastAsia="等线"/>
                <w:kern w:val="0"/>
                <w:sz w:val="20"/>
                <w:szCs w:val="20"/>
              </w:rPr>
              <w:t>12.59%</w:t>
            </w:r>
          </w:p>
        </w:tc>
        <w:tc>
          <w:tcPr>
            <w:tcW w:w="478" w:type="pct"/>
            <w:noWrap/>
            <w:vAlign w:val="center"/>
          </w:tcPr>
          <w:p w14:paraId="23AE2760">
            <w:pPr>
              <w:widowControl/>
              <w:jc w:val="center"/>
              <w:rPr>
                <w:rFonts w:eastAsia="等线"/>
                <w:kern w:val="0"/>
                <w:sz w:val="20"/>
                <w:szCs w:val="20"/>
              </w:rPr>
            </w:pPr>
            <w:r>
              <w:rPr>
                <w:rFonts w:eastAsia="等线"/>
                <w:kern w:val="0"/>
                <w:sz w:val="20"/>
                <w:szCs w:val="20"/>
              </w:rPr>
              <w:t>67.99%</w:t>
            </w:r>
          </w:p>
        </w:tc>
        <w:tc>
          <w:tcPr>
            <w:tcW w:w="478" w:type="pct"/>
            <w:noWrap/>
            <w:vAlign w:val="center"/>
          </w:tcPr>
          <w:p w14:paraId="6B2954D4">
            <w:pPr>
              <w:widowControl/>
              <w:jc w:val="center"/>
              <w:rPr>
                <w:rFonts w:eastAsia="等线"/>
                <w:kern w:val="0"/>
                <w:sz w:val="20"/>
                <w:szCs w:val="20"/>
              </w:rPr>
            </w:pPr>
            <w:r>
              <w:rPr>
                <w:rFonts w:eastAsia="等线"/>
                <w:kern w:val="0"/>
                <w:sz w:val="20"/>
                <w:szCs w:val="20"/>
              </w:rPr>
              <w:t>15.83%</w:t>
            </w:r>
          </w:p>
        </w:tc>
        <w:tc>
          <w:tcPr>
            <w:tcW w:w="478" w:type="pct"/>
            <w:noWrap/>
            <w:vAlign w:val="center"/>
          </w:tcPr>
          <w:p w14:paraId="2BA849BE">
            <w:pPr>
              <w:widowControl/>
              <w:jc w:val="center"/>
              <w:rPr>
                <w:rFonts w:eastAsia="等线"/>
                <w:kern w:val="0"/>
                <w:sz w:val="20"/>
                <w:szCs w:val="20"/>
              </w:rPr>
            </w:pPr>
            <w:r>
              <w:rPr>
                <w:rFonts w:eastAsia="等线"/>
                <w:kern w:val="0"/>
                <w:sz w:val="20"/>
                <w:szCs w:val="20"/>
              </w:rPr>
              <w:t>71.71%</w:t>
            </w:r>
          </w:p>
        </w:tc>
        <w:tc>
          <w:tcPr>
            <w:tcW w:w="478" w:type="pct"/>
            <w:noWrap/>
            <w:vAlign w:val="center"/>
          </w:tcPr>
          <w:p w14:paraId="7221DA42">
            <w:pPr>
              <w:widowControl/>
              <w:jc w:val="center"/>
              <w:rPr>
                <w:rFonts w:eastAsia="等线"/>
                <w:kern w:val="0"/>
                <w:sz w:val="20"/>
                <w:szCs w:val="20"/>
              </w:rPr>
            </w:pPr>
            <w:r>
              <w:rPr>
                <w:rFonts w:eastAsia="等线"/>
                <w:kern w:val="0"/>
                <w:sz w:val="20"/>
                <w:szCs w:val="20"/>
              </w:rPr>
              <w:t>15.89%</w:t>
            </w:r>
          </w:p>
        </w:tc>
        <w:tc>
          <w:tcPr>
            <w:tcW w:w="478" w:type="pct"/>
            <w:noWrap/>
            <w:vAlign w:val="center"/>
          </w:tcPr>
          <w:p w14:paraId="17BF06D2">
            <w:pPr>
              <w:widowControl/>
              <w:jc w:val="center"/>
              <w:rPr>
                <w:rFonts w:eastAsia="等线"/>
                <w:kern w:val="0"/>
                <w:sz w:val="20"/>
                <w:szCs w:val="20"/>
              </w:rPr>
            </w:pPr>
            <w:r>
              <w:rPr>
                <w:rFonts w:eastAsia="等线"/>
                <w:kern w:val="0"/>
                <w:sz w:val="20"/>
                <w:szCs w:val="20"/>
              </w:rPr>
              <w:t>12.40%</w:t>
            </w:r>
          </w:p>
        </w:tc>
        <w:tc>
          <w:tcPr>
            <w:tcW w:w="542" w:type="pct"/>
            <w:vMerge w:val="continue"/>
            <w:vAlign w:val="center"/>
          </w:tcPr>
          <w:p w14:paraId="16756F0C">
            <w:pPr>
              <w:widowControl/>
              <w:jc w:val="left"/>
              <w:rPr>
                <w:rFonts w:eastAsia="等线"/>
                <w:kern w:val="0"/>
                <w:sz w:val="22"/>
                <w:szCs w:val="22"/>
              </w:rPr>
            </w:pPr>
          </w:p>
        </w:tc>
      </w:tr>
      <w:tr w14:paraId="557D168F">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continue"/>
            <w:vAlign w:val="center"/>
          </w:tcPr>
          <w:p w14:paraId="3E9734B7">
            <w:pPr>
              <w:widowControl/>
              <w:jc w:val="left"/>
              <w:rPr>
                <w:rFonts w:eastAsia="等线"/>
                <w:kern w:val="0"/>
                <w:sz w:val="22"/>
                <w:szCs w:val="22"/>
              </w:rPr>
            </w:pPr>
          </w:p>
        </w:tc>
        <w:tc>
          <w:tcPr>
            <w:tcW w:w="803" w:type="pct"/>
            <w:noWrap/>
            <w:vAlign w:val="center"/>
          </w:tcPr>
          <w:p w14:paraId="49CE1603">
            <w:pPr>
              <w:widowControl/>
              <w:jc w:val="center"/>
              <w:rPr>
                <w:rFonts w:ascii="宋体" w:hAnsi="宋体" w:cs="宋体"/>
                <w:kern w:val="0"/>
                <w:sz w:val="22"/>
                <w:szCs w:val="22"/>
              </w:rPr>
            </w:pPr>
            <w:r>
              <w:rPr>
                <w:rFonts w:hint="eastAsia" w:ascii="宋体" w:hAnsi="宋体" w:cs="宋体"/>
                <w:kern w:val="0"/>
                <w:sz w:val="22"/>
                <w:szCs w:val="22"/>
              </w:rPr>
              <w:t>检测值</w:t>
            </w:r>
          </w:p>
        </w:tc>
        <w:tc>
          <w:tcPr>
            <w:tcW w:w="478" w:type="pct"/>
            <w:vAlign w:val="center"/>
          </w:tcPr>
          <w:p w14:paraId="022F6083">
            <w:pPr>
              <w:widowControl/>
              <w:jc w:val="center"/>
              <w:rPr>
                <w:rFonts w:eastAsia="等线"/>
                <w:kern w:val="0"/>
                <w:szCs w:val="21"/>
              </w:rPr>
            </w:pPr>
            <w:r>
              <w:rPr>
                <w:rFonts w:eastAsia="等线"/>
                <w:kern w:val="0"/>
                <w:szCs w:val="21"/>
              </w:rPr>
              <w:t>3.88</w:t>
            </w:r>
          </w:p>
        </w:tc>
        <w:tc>
          <w:tcPr>
            <w:tcW w:w="478" w:type="pct"/>
            <w:vAlign w:val="center"/>
          </w:tcPr>
          <w:p w14:paraId="6E9638E2">
            <w:pPr>
              <w:widowControl/>
              <w:jc w:val="center"/>
              <w:rPr>
                <w:rFonts w:eastAsia="等线"/>
                <w:kern w:val="0"/>
                <w:szCs w:val="21"/>
              </w:rPr>
            </w:pPr>
            <w:r>
              <w:rPr>
                <w:rFonts w:eastAsia="等线"/>
                <w:kern w:val="0"/>
                <w:szCs w:val="21"/>
              </w:rPr>
              <w:t>8.07</w:t>
            </w:r>
          </w:p>
        </w:tc>
        <w:tc>
          <w:tcPr>
            <w:tcW w:w="478" w:type="pct"/>
            <w:vAlign w:val="center"/>
          </w:tcPr>
          <w:p w14:paraId="14113842">
            <w:pPr>
              <w:widowControl/>
              <w:jc w:val="center"/>
              <w:rPr>
                <w:rFonts w:eastAsia="等线"/>
                <w:kern w:val="0"/>
                <w:szCs w:val="21"/>
              </w:rPr>
            </w:pPr>
            <w:r>
              <w:rPr>
                <w:rFonts w:eastAsia="等线"/>
                <w:kern w:val="0"/>
                <w:szCs w:val="21"/>
              </w:rPr>
              <w:t>37.8</w:t>
            </w:r>
          </w:p>
        </w:tc>
        <w:tc>
          <w:tcPr>
            <w:tcW w:w="478" w:type="pct"/>
            <w:vAlign w:val="center"/>
          </w:tcPr>
          <w:p w14:paraId="73A7F3A5">
            <w:pPr>
              <w:widowControl/>
              <w:jc w:val="center"/>
              <w:rPr>
                <w:rFonts w:eastAsia="等线"/>
                <w:kern w:val="0"/>
                <w:szCs w:val="21"/>
              </w:rPr>
            </w:pPr>
            <w:r>
              <w:rPr>
                <w:rFonts w:eastAsia="等线"/>
                <w:kern w:val="0"/>
                <w:szCs w:val="21"/>
              </w:rPr>
              <w:t>5.26</w:t>
            </w:r>
          </w:p>
        </w:tc>
        <w:tc>
          <w:tcPr>
            <w:tcW w:w="478" w:type="pct"/>
            <w:vAlign w:val="center"/>
          </w:tcPr>
          <w:p w14:paraId="0D3AFF93">
            <w:pPr>
              <w:widowControl/>
              <w:jc w:val="center"/>
              <w:rPr>
                <w:rFonts w:eastAsia="等线"/>
                <w:kern w:val="0"/>
                <w:szCs w:val="21"/>
              </w:rPr>
            </w:pPr>
            <w:r>
              <w:rPr>
                <w:rFonts w:eastAsia="等线"/>
                <w:kern w:val="0"/>
                <w:szCs w:val="21"/>
              </w:rPr>
              <w:t>113</w:t>
            </w:r>
          </w:p>
        </w:tc>
        <w:tc>
          <w:tcPr>
            <w:tcW w:w="478" w:type="pct"/>
            <w:vAlign w:val="center"/>
          </w:tcPr>
          <w:p w14:paraId="2B6B5CFB">
            <w:pPr>
              <w:widowControl/>
              <w:jc w:val="center"/>
              <w:rPr>
                <w:rFonts w:eastAsia="等线"/>
                <w:kern w:val="0"/>
                <w:szCs w:val="21"/>
              </w:rPr>
            </w:pPr>
            <w:r>
              <w:rPr>
                <w:rFonts w:eastAsia="等线"/>
                <w:kern w:val="0"/>
                <w:szCs w:val="21"/>
              </w:rPr>
              <w:t>14.7</w:t>
            </w:r>
          </w:p>
        </w:tc>
        <w:tc>
          <w:tcPr>
            <w:tcW w:w="478" w:type="pct"/>
            <w:vAlign w:val="center"/>
          </w:tcPr>
          <w:p w14:paraId="50DAD3F6">
            <w:pPr>
              <w:widowControl/>
              <w:jc w:val="center"/>
              <w:rPr>
                <w:rFonts w:eastAsia="等线"/>
                <w:kern w:val="0"/>
                <w:szCs w:val="21"/>
              </w:rPr>
            </w:pPr>
            <w:r>
              <w:rPr>
                <w:rFonts w:eastAsia="等线"/>
                <w:kern w:val="0"/>
                <w:szCs w:val="21"/>
              </w:rPr>
              <w:t>15.4</w:t>
            </w:r>
          </w:p>
        </w:tc>
        <w:tc>
          <w:tcPr>
            <w:tcW w:w="542" w:type="pct"/>
            <w:vMerge w:val="continue"/>
            <w:vAlign w:val="center"/>
          </w:tcPr>
          <w:p w14:paraId="760268D8">
            <w:pPr>
              <w:widowControl/>
              <w:jc w:val="left"/>
              <w:rPr>
                <w:rFonts w:eastAsia="等线"/>
                <w:kern w:val="0"/>
                <w:sz w:val="22"/>
                <w:szCs w:val="22"/>
              </w:rPr>
            </w:pPr>
          </w:p>
        </w:tc>
      </w:tr>
      <w:tr w14:paraId="44106B8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restart"/>
            <w:noWrap/>
            <w:vAlign w:val="center"/>
          </w:tcPr>
          <w:p w14:paraId="3AD761F6">
            <w:pPr>
              <w:widowControl/>
              <w:jc w:val="center"/>
              <w:rPr>
                <w:rFonts w:eastAsia="等线"/>
                <w:kern w:val="0"/>
                <w:sz w:val="22"/>
                <w:szCs w:val="22"/>
              </w:rPr>
            </w:pPr>
            <w:r>
              <w:rPr>
                <w:rFonts w:eastAsia="等线"/>
                <w:kern w:val="0"/>
                <w:sz w:val="22"/>
                <w:szCs w:val="22"/>
              </w:rPr>
              <w:t>D5</w:t>
            </w:r>
          </w:p>
        </w:tc>
        <w:tc>
          <w:tcPr>
            <w:tcW w:w="803" w:type="pct"/>
            <w:noWrap/>
            <w:vAlign w:val="center"/>
          </w:tcPr>
          <w:p w14:paraId="73D5F76D">
            <w:pPr>
              <w:widowControl/>
              <w:jc w:val="center"/>
              <w:rPr>
                <w:rFonts w:ascii="宋体" w:hAnsi="宋体" w:cs="宋体"/>
                <w:kern w:val="0"/>
                <w:sz w:val="22"/>
                <w:szCs w:val="22"/>
              </w:rPr>
            </w:pPr>
            <w:r>
              <w:rPr>
                <w:rFonts w:hint="eastAsia" w:ascii="宋体" w:hAnsi="宋体" w:cs="宋体"/>
                <w:kern w:val="0"/>
                <w:sz w:val="22"/>
                <w:szCs w:val="22"/>
              </w:rPr>
              <w:t>毫克当量</w:t>
            </w:r>
          </w:p>
        </w:tc>
        <w:tc>
          <w:tcPr>
            <w:tcW w:w="478" w:type="pct"/>
            <w:noWrap/>
            <w:vAlign w:val="center"/>
          </w:tcPr>
          <w:p w14:paraId="7282015D">
            <w:pPr>
              <w:widowControl/>
              <w:jc w:val="center"/>
              <w:rPr>
                <w:rFonts w:eastAsia="等线"/>
                <w:kern w:val="0"/>
                <w:sz w:val="20"/>
                <w:szCs w:val="20"/>
              </w:rPr>
            </w:pPr>
            <w:r>
              <w:rPr>
                <w:rFonts w:eastAsia="等线"/>
                <w:kern w:val="0"/>
                <w:sz w:val="20"/>
                <w:szCs w:val="20"/>
              </w:rPr>
              <w:t>0.05</w:t>
            </w:r>
          </w:p>
        </w:tc>
        <w:tc>
          <w:tcPr>
            <w:tcW w:w="478" w:type="pct"/>
            <w:noWrap/>
            <w:vAlign w:val="center"/>
          </w:tcPr>
          <w:p w14:paraId="007B34DD">
            <w:pPr>
              <w:widowControl/>
              <w:jc w:val="center"/>
              <w:rPr>
                <w:rFonts w:eastAsia="等线"/>
                <w:kern w:val="0"/>
                <w:sz w:val="20"/>
                <w:szCs w:val="20"/>
              </w:rPr>
            </w:pPr>
            <w:r>
              <w:rPr>
                <w:rFonts w:eastAsia="等线"/>
                <w:kern w:val="0"/>
                <w:sz w:val="20"/>
                <w:szCs w:val="20"/>
              </w:rPr>
              <w:t>0.55</w:t>
            </w:r>
          </w:p>
        </w:tc>
        <w:tc>
          <w:tcPr>
            <w:tcW w:w="478" w:type="pct"/>
            <w:noWrap/>
            <w:vAlign w:val="center"/>
          </w:tcPr>
          <w:p w14:paraId="11A7C14E">
            <w:pPr>
              <w:widowControl/>
              <w:jc w:val="center"/>
              <w:rPr>
                <w:rFonts w:eastAsia="等线"/>
                <w:kern w:val="0"/>
                <w:sz w:val="20"/>
                <w:szCs w:val="20"/>
              </w:rPr>
            </w:pPr>
            <w:r>
              <w:rPr>
                <w:rFonts w:eastAsia="等线"/>
                <w:kern w:val="0"/>
                <w:sz w:val="20"/>
                <w:szCs w:val="20"/>
              </w:rPr>
              <w:t>1.44</w:t>
            </w:r>
          </w:p>
        </w:tc>
        <w:tc>
          <w:tcPr>
            <w:tcW w:w="478" w:type="pct"/>
            <w:noWrap/>
            <w:vAlign w:val="center"/>
          </w:tcPr>
          <w:p w14:paraId="6BAF7798">
            <w:pPr>
              <w:widowControl/>
              <w:jc w:val="center"/>
              <w:rPr>
                <w:rFonts w:eastAsia="等线"/>
                <w:kern w:val="0"/>
                <w:sz w:val="20"/>
                <w:szCs w:val="20"/>
              </w:rPr>
            </w:pPr>
            <w:r>
              <w:rPr>
                <w:rFonts w:eastAsia="等线"/>
                <w:kern w:val="0"/>
                <w:sz w:val="20"/>
                <w:szCs w:val="20"/>
              </w:rPr>
              <w:t>0.73</w:t>
            </w:r>
          </w:p>
        </w:tc>
        <w:tc>
          <w:tcPr>
            <w:tcW w:w="478" w:type="pct"/>
            <w:noWrap/>
            <w:vAlign w:val="center"/>
          </w:tcPr>
          <w:p w14:paraId="458BF8A5">
            <w:pPr>
              <w:widowControl/>
              <w:jc w:val="center"/>
              <w:rPr>
                <w:rFonts w:eastAsia="等线"/>
                <w:kern w:val="0"/>
                <w:sz w:val="20"/>
                <w:szCs w:val="20"/>
              </w:rPr>
            </w:pPr>
            <w:r>
              <w:rPr>
                <w:rFonts w:eastAsia="等线"/>
                <w:kern w:val="0"/>
                <w:sz w:val="20"/>
                <w:szCs w:val="20"/>
              </w:rPr>
              <w:t>2.05</w:t>
            </w:r>
          </w:p>
        </w:tc>
        <w:tc>
          <w:tcPr>
            <w:tcW w:w="478" w:type="pct"/>
            <w:noWrap/>
            <w:vAlign w:val="center"/>
          </w:tcPr>
          <w:p w14:paraId="25CE9BE6">
            <w:pPr>
              <w:widowControl/>
              <w:jc w:val="center"/>
              <w:rPr>
                <w:rFonts w:eastAsia="等线"/>
                <w:kern w:val="0"/>
                <w:sz w:val="20"/>
                <w:szCs w:val="20"/>
              </w:rPr>
            </w:pPr>
            <w:r>
              <w:rPr>
                <w:rFonts w:eastAsia="等线"/>
                <w:kern w:val="0"/>
                <w:sz w:val="20"/>
                <w:szCs w:val="20"/>
              </w:rPr>
              <w:t>0.27</w:t>
            </w:r>
          </w:p>
        </w:tc>
        <w:tc>
          <w:tcPr>
            <w:tcW w:w="478" w:type="pct"/>
            <w:noWrap/>
            <w:vAlign w:val="center"/>
          </w:tcPr>
          <w:p w14:paraId="023F84C0">
            <w:pPr>
              <w:widowControl/>
              <w:jc w:val="center"/>
              <w:rPr>
                <w:rFonts w:eastAsia="等线"/>
                <w:kern w:val="0"/>
                <w:sz w:val="20"/>
                <w:szCs w:val="20"/>
              </w:rPr>
            </w:pPr>
            <w:r>
              <w:rPr>
                <w:rFonts w:eastAsia="等线"/>
                <w:kern w:val="0"/>
                <w:sz w:val="20"/>
                <w:szCs w:val="20"/>
              </w:rPr>
              <w:t>0.36</w:t>
            </w:r>
          </w:p>
        </w:tc>
        <w:tc>
          <w:tcPr>
            <w:tcW w:w="542" w:type="pct"/>
            <w:vMerge w:val="restart"/>
            <w:noWrap/>
            <w:vAlign w:val="center"/>
          </w:tcPr>
          <w:p w14:paraId="59D46415">
            <w:pPr>
              <w:widowControl/>
              <w:jc w:val="center"/>
              <w:rPr>
                <w:rFonts w:eastAsia="等线"/>
                <w:kern w:val="0"/>
                <w:sz w:val="22"/>
                <w:szCs w:val="22"/>
              </w:rPr>
            </w:pPr>
            <w:r>
              <w:rPr>
                <w:rFonts w:eastAsia="等线"/>
                <w:kern w:val="0"/>
                <w:sz w:val="22"/>
                <w:szCs w:val="22"/>
              </w:rPr>
              <w:t>HCO</w:t>
            </w:r>
            <w:r>
              <w:rPr>
                <w:rFonts w:eastAsia="等线"/>
                <w:kern w:val="0"/>
                <w:sz w:val="22"/>
                <w:szCs w:val="22"/>
                <w:vertAlign w:val="subscript"/>
              </w:rPr>
              <w:t>3</w:t>
            </w:r>
            <w:r>
              <w:rPr>
                <w:rFonts w:eastAsia="等线"/>
                <w:kern w:val="0"/>
                <w:sz w:val="22"/>
                <w:szCs w:val="22"/>
              </w:rPr>
              <w:t>-Ca.Mg</w:t>
            </w:r>
          </w:p>
        </w:tc>
      </w:tr>
      <w:tr w14:paraId="6574C53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continue"/>
            <w:vAlign w:val="center"/>
          </w:tcPr>
          <w:p w14:paraId="44F9C1C1">
            <w:pPr>
              <w:widowControl/>
              <w:jc w:val="left"/>
              <w:rPr>
                <w:rFonts w:eastAsia="等线"/>
                <w:kern w:val="0"/>
                <w:sz w:val="22"/>
                <w:szCs w:val="22"/>
              </w:rPr>
            </w:pPr>
          </w:p>
        </w:tc>
        <w:tc>
          <w:tcPr>
            <w:tcW w:w="803" w:type="pct"/>
            <w:noWrap/>
            <w:vAlign w:val="center"/>
          </w:tcPr>
          <w:p w14:paraId="3C8AED4B">
            <w:pPr>
              <w:widowControl/>
              <w:jc w:val="center"/>
              <w:rPr>
                <w:rFonts w:ascii="宋体" w:hAnsi="宋体" w:cs="宋体"/>
                <w:kern w:val="0"/>
                <w:sz w:val="22"/>
                <w:szCs w:val="22"/>
              </w:rPr>
            </w:pPr>
            <w:r>
              <w:rPr>
                <w:rFonts w:hint="eastAsia" w:ascii="宋体" w:hAnsi="宋体" w:cs="宋体"/>
                <w:kern w:val="0"/>
                <w:sz w:val="22"/>
                <w:szCs w:val="22"/>
              </w:rPr>
              <w:t>毫克当量所在百分比</w:t>
            </w:r>
          </w:p>
        </w:tc>
        <w:tc>
          <w:tcPr>
            <w:tcW w:w="478" w:type="pct"/>
            <w:noWrap/>
            <w:vAlign w:val="center"/>
          </w:tcPr>
          <w:p w14:paraId="38BE2A77">
            <w:pPr>
              <w:widowControl/>
              <w:jc w:val="center"/>
              <w:rPr>
                <w:rFonts w:eastAsia="等线"/>
                <w:kern w:val="0"/>
                <w:sz w:val="20"/>
                <w:szCs w:val="20"/>
              </w:rPr>
            </w:pPr>
            <w:r>
              <w:rPr>
                <w:rFonts w:eastAsia="等线"/>
                <w:kern w:val="0"/>
                <w:sz w:val="20"/>
                <w:szCs w:val="20"/>
              </w:rPr>
              <w:t>1.81%</w:t>
            </w:r>
          </w:p>
        </w:tc>
        <w:tc>
          <w:tcPr>
            <w:tcW w:w="478" w:type="pct"/>
            <w:noWrap/>
            <w:vAlign w:val="center"/>
          </w:tcPr>
          <w:p w14:paraId="726FF75C">
            <w:pPr>
              <w:widowControl/>
              <w:jc w:val="center"/>
              <w:rPr>
                <w:rFonts w:eastAsia="等线"/>
                <w:kern w:val="0"/>
                <w:sz w:val="20"/>
                <w:szCs w:val="20"/>
              </w:rPr>
            </w:pPr>
            <w:r>
              <w:rPr>
                <w:rFonts w:eastAsia="等线"/>
                <w:kern w:val="0"/>
                <w:sz w:val="20"/>
                <w:szCs w:val="20"/>
              </w:rPr>
              <w:t>19.86%</w:t>
            </w:r>
          </w:p>
        </w:tc>
        <w:tc>
          <w:tcPr>
            <w:tcW w:w="478" w:type="pct"/>
            <w:noWrap/>
            <w:vAlign w:val="center"/>
          </w:tcPr>
          <w:p w14:paraId="4C718659">
            <w:pPr>
              <w:widowControl/>
              <w:jc w:val="center"/>
              <w:rPr>
                <w:rFonts w:eastAsia="等线"/>
                <w:kern w:val="0"/>
                <w:sz w:val="20"/>
                <w:szCs w:val="20"/>
              </w:rPr>
            </w:pPr>
            <w:r>
              <w:rPr>
                <w:rFonts w:eastAsia="等线"/>
                <w:kern w:val="0"/>
                <w:sz w:val="20"/>
                <w:szCs w:val="20"/>
              </w:rPr>
              <w:t>51.99%</w:t>
            </w:r>
          </w:p>
        </w:tc>
        <w:tc>
          <w:tcPr>
            <w:tcW w:w="478" w:type="pct"/>
            <w:noWrap/>
            <w:vAlign w:val="center"/>
          </w:tcPr>
          <w:p w14:paraId="3A3BDCF9">
            <w:pPr>
              <w:widowControl/>
              <w:jc w:val="center"/>
              <w:rPr>
                <w:rFonts w:eastAsia="等线"/>
                <w:kern w:val="0"/>
                <w:sz w:val="20"/>
                <w:szCs w:val="20"/>
              </w:rPr>
            </w:pPr>
            <w:r>
              <w:rPr>
                <w:rFonts w:eastAsia="等线"/>
                <w:kern w:val="0"/>
                <w:sz w:val="20"/>
                <w:szCs w:val="20"/>
              </w:rPr>
              <w:t>26.35%</w:t>
            </w:r>
          </w:p>
        </w:tc>
        <w:tc>
          <w:tcPr>
            <w:tcW w:w="478" w:type="pct"/>
            <w:noWrap/>
            <w:vAlign w:val="center"/>
          </w:tcPr>
          <w:p w14:paraId="259911BA">
            <w:pPr>
              <w:widowControl/>
              <w:jc w:val="center"/>
              <w:rPr>
                <w:rFonts w:eastAsia="等线"/>
                <w:kern w:val="0"/>
                <w:sz w:val="20"/>
                <w:szCs w:val="20"/>
              </w:rPr>
            </w:pPr>
            <w:r>
              <w:rPr>
                <w:rFonts w:eastAsia="等线"/>
                <w:kern w:val="0"/>
                <w:sz w:val="20"/>
                <w:szCs w:val="20"/>
              </w:rPr>
              <w:t>76.49%</w:t>
            </w:r>
          </w:p>
        </w:tc>
        <w:tc>
          <w:tcPr>
            <w:tcW w:w="478" w:type="pct"/>
            <w:noWrap/>
            <w:vAlign w:val="center"/>
          </w:tcPr>
          <w:p w14:paraId="7C49DB2B">
            <w:pPr>
              <w:widowControl/>
              <w:jc w:val="center"/>
              <w:rPr>
                <w:rFonts w:eastAsia="等线"/>
                <w:kern w:val="0"/>
                <w:sz w:val="20"/>
                <w:szCs w:val="20"/>
              </w:rPr>
            </w:pPr>
            <w:r>
              <w:rPr>
                <w:rFonts w:eastAsia="等线"/>
                <w:kern w:val="0"/>
                <w:sz w:val="20"/>
                <w:szCs w:val="20"/>
              </w:rPr>
              <w:t>10.07%</w:t>
            </w:r>
          </w:p>
        </w:tc>
        <w:tc>
          <w:tcPr>
            <w:tcW w:w="478" w:type="pct"/>
            <w:noWrap/>
            <w:vAlign w:val="center"/>
          </w:tcPr>
          <w:p w14:paraId="3869EF37">
            <w:pPr>
              <w:widowControl/>
              <w:jc w:val="center"/>
              <w:rPr>
                <w:rFonts w:eastAsia="等线"/>
                <w:kern w:val="0"/>
                <w:sz w:val="20"/>
                <w:szCs w:val="20"/>
              </w:rPr>
            </w:pPr>
            <w:r>
              <w:rPr>
                <w:rFonts w:eastAsia="等线"/>
                <w:kern w:val="0"/>
                <w:sz w:val="20"/>
                <w:szCs w:val="20"/>
              </w:rPr>
              <w:t>13.43%</w:t>
            </w:r>
          </w:p>
        </w:tc>
        <w:tc>
          <w:tcPr>
            <w:tcW w:w="542" w:type="pct"/>
            <w:vMerge w:val="continue"/>
            <w:vAlign w:val="center"/>
          </w:tcPr>
          <w:p w14:paraId="530AEEB7">
            <w:pPr>
              <w:widowControl/>
              <w:jc w:val="left"/>
              <w:rPr>
                <w:rFonts w:eastAsia="等线"/>
                <w:kern w:val="0"/>
                <w:sz w:val="22"/>
                <w:szCs w:val="22"/>
              </w:rPr>
            </w:pPr>
          </w:p>
        </w:tc>
      </w:tr>
      <w:tr w14:paraId="4F946DD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08" w:type="pct"/>
            <w:vMerge w:val="continue"/>
            <w:vAlign w:val="center"/>
          </w:tcPr>
          <w:p w14:paraId="4BBF7812">
            <w:pPr>
              <w:widowControl/>
              <w:jc w:val="left"/>
              <w:rPr>
                <w:rFonts w:eastAsia="等线"/>
                <w:kern w:val="0"/>
                <w:sz w:val="22"/>
                <w:szCs w:val="22"/>
              </w:rPr>
            </w:pPr>
          </w:p>
        </w:tc>
        <w:tc>
          <w:tcPr>
            <w:tcW w:w="803" w:type="pct"/>
            <w:noWrap/>
            <w:vAlign w:val="center"/>
          </w:tcPr>
          <w:p w14:paraId="0B6E2C40">
            <w:pPr>
              <w:widowControl/>
              <w:jc w:val="center"/>
              <w:rPr>
                <w:rFonts w:ascii="宋体" w:hAnsi="宋体" w:cs="宋体"/>
                <w:kern w:val="0"/>
                <w:sz w:val="22"/>
                <w:szCs w:val="22"/>
              </w:rPr>
            </w:pPr>
            <w:r>
              <w:rPr>
                <w:rFonts w:hint="eastAsia" w:ascii="宋体" w:hAnsi="宋体" w:cs="宋体"/>
                <w:kern w:val="0"/>
                <w:sz w:val="22"/>
                <w:szCs w:val="22"/>
              </w:rPr>
              <w:t>检测值</w:t>
            </w:r>
          </w:p>
        </w:tc>
        <w:tc>
          <w:tcPr>
            <w:tcW w:w="478" w:type="pct"/>
            <w:vAlign w:val="center"/>
          </w:tcPr>
          <w:p w14:paraId="1CA44155">
            <w:pPr>
              <w:widowControl/>
              <w:jc w:val="center"/>
              <w:rPr>
                <w:rFonts w:eastAsia="等线"/>
                <w:kern w:val="0"/>
                <w:szCs w:val="21"/>
              </w:rPr>
            </w:pPr>
            <w:r>
              <w:rPr>
                <w:rFonts w:eastAsia="等线"/>
                <w:kern w:val="0"/>
                <w:szCs w:val="21"/>
              </w:rPr>
              <w:t>1.86</w:t>
            </w:r>
          </w:p>
        </w:tc>
        <w:tc>
          <w:tcPr>
            <w:tcW w:w="478" w:type="pct"/>
            <w:vAlign w:val="center"/>
          </w:tcPr>
          <w:p w14:paraId="646B288D">
            <w:pPr>
              <w:widowControl/>
              <w:jc w:val="center"/>
              <w:rPr>
                <w:rFonts w:eastAsia="等线"/>
                <w:kern w:val="0"/>
                <w:szCs w:val="21"/>
              </w:rPr>
            </w:pPr>
            <w:r>
              <w:rPr>
                <w:rFonts w:eastAsia="等线"/>
                <w:kern w:val="0"/>
                <w:szCs w:val="21"/>
              </w:rPr>
              <w:t>12.7</w:t>
            </w:r>
          </w:p>
        </w:tc>
        <w:tc>
          <w:tcPr>
            <w:tcW w:w="478" w:type="pct"/>
            <w:vAlign w:val="center"/>
          </w:tcPr>
          <w:p w14:paraId="7DFF9EC8">
            <w:pPr>
              <w:widowControl/>
              <w:jc w:val="center"/>
              <w:rPr>
                <w:rFonts w:eastAsia="等线"/>
                <w:kern w:val="0"/>
                <w:szCs w:val="21"/>
              </w:rPr>
            </w:pPr>
            <w:r>
              <w:rPr>
                <w:rFonts w:eastAsia="等线"/>
                <w:kern w:val="0"/>
                <w:szCs w:val="21"/>
              </w:rPr>
              <w:t>28.7</w:t>
            </w:r>
          </w:p>
        </w:tc>
        <w:tc>
          <w:tcPr>
            <w:tcW w:w="478" w:type="pct"/>
            <w:vAlign w:val="center"/>
          </w:tcPr>
          <w:p w14:paraId="527B5EA2">
            <w:pPr>
              <w:widowControl/>
              <w:jc w:val="center"/>
              <w:rPr>
                <w:rFonts w:eastAsia="等线"/>
                <w:kern w:val="0"/>
                <w:szCs w:val="21"/>
              </w:rPr>
            </w:pPr>
            <w:r>
              <w:rPr>
                <w:rFonts w:eastAsia="等线"/>
                <w:kern w:val="0"/>
                <w:szCs w:val="21"/>
              </w:rPr>
              <w:t>8.79</w:t>
            </w:r>
          </w:p>
        </w:tc>
        <w:tc>
          <w:tcPr>
            <w:tcW w:w="478" w:type="pct"/>
            <w:vAlign w:val="center"/>
          </w:tcPr>
          <w:p w14:paraId="61EA4FFB">
            <w:pPr>
              <w:widowControl/>
              <w:jc w:val="center"/>
              <w:rPr>
                <w:rFonts w:eastAsia="等线"/>
                <w:kern w:val="0"/>
                <w:szCs w:val="21"/>
              </w:rPr>
            </w:pPr>
            <w:r>
              <w:rPr>
                <w:rFonts w:eastAsia="等线"/>
                <w:kern w:val="0"/>
                <w:szCs w:val="21"/>
              </w:rPr>
              <w:t>125</w:t>
            </w:r>
          </w:p>
        </w:tc>
        <w:tc>
          <w:tcPr>
            <w:tcW w:w="478" w:type="pct"/>
            <w:vAlign w:val="center"/>
          </w:tcPr>
          <w:p w14:paraId="750B35EF">
            <w:pPr>
              <w:widowControl/>
              <w:jc w:val="center"/>
              <w:rPr>
                <w:rFonts w:eastAsia="等线"/>
                <w:kern w:val="0"/>
                <w:szCs w:val="21"/>
              </w:rPr>
            </w:pPr>
            <w:r>
              <w:rPr>
                <w:rFonts w:eastAsia="等线"/>
                <w:kern w:val="0"/>
                <w:szCs w:val="21"/>
              </w:rPr>
              <w:t>9.58</w:t>
            </w:r>
          </w:p>
        </w:tc>
        <w:tc>
          <w:tcPr>
            <w:tcW w:w="478" w:type="pct"/>
            <w:vAlign w:val="center"/>
          </w:tcPr>
          <w:p w14:paraId="4A21054A">
            <w:pPr>
              <w:widowControl/>
              <w:jc w:val="center"/>
              <w:rPr>
                <w:rFonts w:eastAsia="等线"/>
                <w:kern w:val="0"/>
                <w:szCs w:val="21"/>
              </w:rPr>
            </w:pPr>
            <w:r>
              <w:rPr>
                <w:rFonts w:eastAsia="等线"/>
                <w:kern w:val="0"/>
                <w:szCs w:val="21"/>
              </w:rPr>
              <w:t>17.4</w:t>
            </w:r>
          </w:p>
        </w:tc>
        <w:tc>
          <w:tcPr>
            <w:tcW w:w="542" w:type="pct"/>
            <w:vMerge w:val="continue"/>
            <w:vAlign w:val="center"/>
          </w:tcPr>
          <w:p w14:paraId="6FD4BE46">
            <w:pPr>
              <w:widowControl/>
              <w:jc w:val="left"/>
              <w:rPr>
                <w:rFonts w:eastAsia="等线"/>
                <w:kern w:val="0"/>
                <w:sz w:val="22"/>
                <w:szCs w:val="22"/>
              </w:rPr>
            </w:pPr>
          </w:p>
        </w:tc>
      </w:tr>
    </w:tbl>
    <w:p w14:paraId="0C463529">
      <w:pPr>
        <w:pStyle w:val="1379"/>
        <w:ind w:firstLine="440"/>
      </w:pPr>
      <w:r>
        <w:t>注：检测值单位mg/L；毫克当量单位meq/L。</w:t>
      </w:r>
      <w:r>
        <w:rPr>
          <w:rFonts w:hint="eastAsia"/>
        </w:rPr>
        <w:t>碳酸根离子未检测。</w:t>
      </w:r>
    </w:p>
    <w:p w14:paraId="7C7222E2">
      <w:pPr>
        <w:pStyle w:val="1379"/>
        <w:ind w:firstLine="440"/>
      </w:pPr>
    </w:p>
    <w:p w14:paraId="41B132C2">
      <w:pPr>
        <w:pStyle w:val="45"/>
        <w:adjustRightInd w:val="0"/>
        <w:snapToGrid w:val="0"/>
        <w:spacing w:line="460" w:lineRule="exact"/>
        <w:ind w:firstLine="520"/>
        <w:rPr>
          <w:sz w:val="26"/>
          <w:szCs w:val="26"/>
        </w:rPr>
      </w:pPr>
      <w:r>
        <w:rPr>
          <w:sz w:val="26"/>
          <w:szCs w:val="26"/>
        </w:rPr>
        <w:t>根据上表进行水化学类型分类和阴离子有</w:t>
      </w:r>
      <w:r>
        <w:rPr>
          <w:rFonts w:hint="eastAsia"/>
          <w:sz w:val="26"/>
          <w:szCs w:val="26"/>
        </w:rPr>
        <w:t>Mg</w:t>
      </w:r>
      <w:r>
        <w:rPr>
          <w:rFonts w:hint="eastAsia"/>
          <w:sz w:val="26"/>
          <w:szCs w:val="26"/>
          <w:vertAlign w:val="superscript"/>
        </w:rPr>
        <w:t>2+</w:t>
      </w:r>
      <w:r>
        <w:rPr>
          <w:rFonts w:hint="eastAsia"/>
          <w:sz w:val="26"/>
          <w:szCs w:val="26"/>
        </w:rPr>
        <w:t>、</w:t>
      </w:r>
      <w:r>
        <w:rPr>
          <w:sz w:val="26"/>
          <w:szCs w:val="26"/>
        </w:rPr>
        <w:t>Ca</w:t>
      </w:r>
      <w:r>
        <w:rPr>
          <w:sz w:val="26"/>
          <w:szCs w:val="26"/>
          <w:vertAlign w:val="superscript"/>
        </w:rPr>
        <w:t>2+</w:t>
      </w:r>
      <w:r>
        <w:rPr>
          <w:sz w:val="26"/>
          <w:szCs w:val="26"/>
        </w:rPr>
        <w:t>、</w:t>
      </w:r>
      <w:r>
        <w:rPr>
          <w:rFonts w:hint="eastAsia"/>
          <w:sz w:val="26"/>
          <w:szCs w:val="26"/>
        </w:rPr>
        <w:t>Na</w:t>
      </w:r>
      <w:r>
        <w:rPr>
          <w:rFonts w:hint="eastAsia"/>
          <w:sz w:val="26"/>
          <w:szCs w:val="26"/>
          <w:vertAlign w:val="superscript"/>
        </w:rPr>
        <w:t>+</w:t>
      </w:r>
      <w:r>
        <w:rPr>
          <w:rFonts w:hint="eastAsia"/>
          <w:sz w:val="26"/>
          <w:szCs w:val="26"/>
        </w:rPr>
        <w:t>、</w:t>
      </w:r>
      <w:r>
        <w:rPr>
          <w:sz w:val="26"/>
          <w:szCs w:val="26"/>
        </w:rPr>
        <w:t>HCO</w:t>
      </w:r>
      <w:r>
        <w:rPr>
          <w:sz w:val="26"/>
          <w:szCs w:val="26"/>
          <w:vertAlign w:val="subscript"/>
        </w:rPr>
        <w:t>3</w:t>
      </w:r>
      <w:r>
        <w:rPr>
          <w:sz w:val="26"/>
          <w:szCs w:val="26"/>
          <w:vertAlign w:val="superscript"/>
        </w:rPr>
        <w:t>-</w:t>
      </w:r>
      <w:r>
        <w:rPr>
          <w:sz w:val="26"/>
          <w:szCs w:val="26"/>
        </w:rPr>
        <w:t>，矿化度在</w:t>
      </w:r>
      <w:r>
        <w:rPr>
          <w:rFonts w:hint="eastAsia"/>
          <w:sz w:val="26"/>
          <w:szCs w:val="26"/>
        </w:rPr>
        <w:t>153</w:t>
      </w:r>
      <w:r>
        <w:rPr>
          <w:sz w:val="26"/>
          <w:szCs w:val="26"/>
        </w:rPr>
        <w:t>mg/L～</w:t>
      </w:r>
      <w:r>
        <w:rPr>
          <w:rFonts w:hint="eastAsia"/>
          <w:sz w:val="26"/>
          <w:szCs w:val="26"/>
        </w:rPr>
        <w:t>278</w:t>
      </w:r>
      <w:r>
        <w:rPr>
          <w:sz w:val="26"/>
          <w:szCs w:val="26"/>
        </w:rPr>
        <w:t>mg/L，按照舒卡列夫分类法，地下水类型主要是以矿化度低于1.5g/L的HCO</w:t>
      </w:r>
      <w:r>
        <w:rPr>
          <w:sz w:val="26"/>
          <w:szCs w:val="26"/>
          <w:vertAlign w:val="subscript"/>
        </w:rPr>
        <w:t>3</w:t>
      </w:r>
      <w:r>
        <w:rPr>
          <w:sz w:val="26"/>
          <w:szCs w:val="26"/>
        </w:rPr>
        <w:t>-Ca</w:t>
      </w:r>
      <w:r>
        <w:rPr>
          <w:rFonts w:hint="eastAsia"/>
          <w:sz w:val="26"/>
          <w:szCs w:val="26"/>
        </w:rPr>
        <w:t>.Mg</w:t>
      </w:r>
      <w:r>
        <w:rPr>
          <w:sz w:val="26"/>
          <w:szCs w:val="26"/>
        </w:rPr>
        <w:t>型</w:t>
      </w:r>
      <w:r>
        <w:rPr>
          <w:rFonts w:hint="eastAsia"/>
          <w:sz w:val="26"/>
          <w:szCs w:val="26"/>
        </w:rPr>
        <w:t>，个别点为</w:t>
      </w:r>
      <w:r>
        <w:rPr>
          <w:kern w:val="0"/>
          <w:sz w:val="26"/>
          <w:szCs w:val="26"/>
          <w:lang w:bidi="ar"/>
        </w:rPr>
        <w:t>HCO</w:t>
      </w:r>
      <w:r>
        <w:rPr>
          <w:kern w:val="0"/>
          <w:sz w:val="26"/>
          <w:szCs w:val="26"/>
          <w:vertAlign w:val="subscript"/>
          <w:lang w:bidi="ar"/>
        </w:rPr>
        <w:t>3</w:t>
      </w:r>
      <w:r>
        <w:rPr>
          <w:kern w:val="0"/>
          <w:sz w:val="26"/>
          <w:szCs w:val="26"/>
          <w:lang w:bidi="ar"/>
        </w:rPr>
        <w:t>-Ca</w:t>
      </w:r>
      <w:r>
        <w:rPr>
          <w:rFonts w:hint="eastAsia"/>
          <w:kern w:val="0"/>
          <w:sz w:val="26"/>
          <w:szCs w:val="26"/>
          <w:lang w:bidi="ar"/>
        </w:rPr>
        <w:t>型和</w:t>
      </w:r>
      <w:r>
        <w:rPr>
          <w:kern w:val="0"/>
          <w:sz w:val="26"/>
          <w:szCs w:val="26"/>
          <w:lang w:bidi="ar"/>
        </w:rPr>
        <w:t>HCO</w:t>
      </w:r>
      <w:r>
        <w:rPr>
          <w:kern w:val="0"/>
          <w:sz w:val="26"/>
          <w:szCs w:val="26"/>
          <w:vertAlign w:val="subscript"/>
          <w:lang w:bidi="ar"/>
        </w:rPr>
        <w:t>3</w:t>
      </w:r>
      <w:r>
        <w:rPr>
          <w:kern w:val="0"/>
          <w:sz w:val="26"/>
          <w:szCs w:val="26"/>
          <w:lang w:bidi="ar"/>
        </w:rPr>
        <w:t>-Ca</w:t>
      </w:r>
      <w:r>
        <w:rPr>
          <w:rFonts w:hint="eastAsia"/>
          <w:kern w:val="0"/>
          <w:sz w:val="26"/>
          <w:szCs w:val="26"/>
          <w:lang w:bidi="ar"/>
        </w:rPr>
        <w:t>.Mg.Na</w:t>
      </w:r>
      <w:r>
        <w:rPr>
          <w:sz w:val="26"/>
          <w:szCs w:val="26"/>
        </w:rPr>
        <w:t>型水</w:t>
      </w:r>
      <w:r>
        <w:rPr>
          <w:rFonts w:hint="eastAsia"/>
          <w:sz w:val="26"/>
          <w:szCs w:val="26"/>
        </w:rPr>
        <w:t>。</w:t>
      </w:r>
    </w:p>
    <w:p w14:paraId="45F523A7">
      <w:pPr>
        <w:adjustRightInd w:val="0"/>
        <w:snapToGrid w:val="0"/>
        <w:spacing w:line="460" w:lineRule="exact"/>
        <w:ind w:firstLine="520" w:firstLineChars="200"/>
        <w:rPr>
          <w:sz w:val="26"/>
          <w:szCs w:val="26"/>
        </w:rPr>
      </w:pPr>
      <w:r>
        <w:rPr>
          <w:rFonts w:hint="eastAsia"/>
          <w:sz w:val="26"/>
          <w:szCs w:val="26"/>
        </w:rPr>
        <w:t>②地下水环境质量现状监测结果</w:t>
      </w:r>
    </w:p>
    <w:p w14:paraId="53C89AF3">
      <w:pPr>
        <w:pStyle w:val="45"/>
        <w:adjustRightInd w:val="0"/>
        <w:snapToGrid w:val="0"/>
        <w:spacing w:line="460" w:lineRule="exact"/>
        <w:ind w:firstLine="520"/>
        <w:rPr>
          <w:sz w:val="26"/>
          <w:szCs w:val="26"/>
        </w:rPr>
      </w:pPr>
      <w:r>
        <w:rPr>
          <w:sz w:val="26"/>
          <w:szCs w:val="26"/>
        </w:rPr>
        <w:t>由地下水质量现状监测数据评价结果表明（</w:t>
      </w:r>
      <w:r>
        <w:rPr>
          <w:sz w:val="26"/>
          <w:szCs w:val="26"/>
          <w:u w:val="single"/>
        </w:rPr>
        <w:t>表4.2-</w:t>
      </w:r>
      <w:r>
        <w:rPr>
          <w:rFonts w:hint="eastAsia"/>
          <w:sz w:val="26"/>
          <w:szCs w:val="26"/>
          <w:u w:val="single"/>
        </w:rPr>
        <w:t>9</w:t>
      </w:r>
      <w:r>
        <w:rPr>
          <w:sz w:val="26"/>
          <w:szCs w:val="26"/>
          <w:u w:val="single"/>
        </w:rPr>
        <w:t>~</w:t>
      </w:r>
      <w:r>
        <w:rPr>
          <w:rFonts w:hint="eastAsia"/>
          <w:sz w:val="26"/>
          <w:szCs w:val="26"/>
          <w:u w:val="single"/>
        </w:rPr>
        <w:t>10</w:t>
      </w:r>
      <w:r>
        <w:rPr>
          <w:sz w:val="26"/>
          <w:szCs w:val="26"/>
        </w:rPr>
        <w:t>），评价区内地下水质量总体较好，</w:t>
      </w:r>
      <w:r>
        <w:rPr>
          <w:rFonts w:hint="eastAsia"/>
          <w:sz w:val="26"/>
          <w:szCs w:val="26"/>
        </w:rPr>
        <w:t>各监测因子</w:t>
      </w:r>
      <w:r>
        <w:rPr>
          <w:sz w:val="26"/>
          <w:szCs w:val="26"/>
        </w:rPr>
        <w:t>均能满足</w:t>
      </w:r>
      <w:r>
        <w:rPr>
          <w:rFonts w:hint="eastAsia"/>
          <w:sz w:val="26"/>
          <w:szCs w:val="26"/>
        </w:rPr>
        <w:t>《地下水质量标准》（</w:t>
      </w:r>
      <w:r>
        <w:rPr>
          <w:bCs/>
          <w:sz w:val="26"/>
          <w:szCs w:val="26"/>
        </w:rPr>
        <w:t>GB/T</w:t>
      </w:r>
      <w:r>
        <w:rPr>
          <w:rFonts w:hint="eastAsia"/>
          <w:sz w:val="26"/>
          <w:szCs w:val="26"/>
        </w:rPr>
        <w:t xml:space="preserve"> 14848-2017）</w:t>
      </w:r>
      <w:r>
        <w:rPr>
          <w:rFonts w:hint="eastAsia" w:ascii="宋体" w:hAnsi="宋体" w:cs="宋体"/>
          <w:sz w:val="26"/>
          <w:szCs w:val="26"/>
        </w:rPr>
        <w:t>Ⅲ</w:t>
      </w:r>
      <w:r>
        <w:rPr>
          <w:sz w:val="26"/>
          <w:szCs w:val="26"/>
        </w:rPr>
        <w:t>类水地下水质量标准，无超标现象，同时，本项目特征污染因子在地下水环境质量现状评价中均不存在超标现象。</w:t>
      </w:r>
    </w:p>
    <w:p w14:paraId="51ED2C86">
      <w:pPr>
        <w:tabs>
          <w:tab w:val="left" w:pos="5925"/>
        </w:tabs>
        <w:overflowPunct w:val="0"/>
        <w:spacing w:line="460" w:lineRule="atLeast"/>
        <w:ind w:firstLine="520" w:firstLineChars="200"/>
        <w:rPr>
          <w:sz w:val="26"/>
          <w:szCs w:val="26"/>
        </w:rPr>
      </w:pPr>
    </w:p>
    <w:p w14:paraId="12D1FF21">
      <w:pPr>
        <w:tabs>
          <w:tab w:val="left" w:pos="5925"/>
        </w:tabs>
        <w:overflowPunct w:val="0"/>
        <w:spacing w:line="460" w:lineRule="atLeast"/>
        <w:ind w:firstLine="520" w:firstLineChars="200"/>
        <w:rPr>
          <w:sz w:val="26"/>
          <w:szCs w:val="26"/>
        </w:rPr>
        <w:sectPr>
          <w:pgSz w:w="11906" w:h="16838"/>
          <w:pgMar w:top="1701" w:right="1588" w:bottom="1588" w:left="1588" w:header="1304" w:footer="1247" w:gutter="0"/>
          <w:cols w:space="720" w:num="1"/>
          <w:docGrid w:linePitch="312" w:charSpace="0"/>
        </w:sectPr>
      </w:pPr>
    </w:p>
    <w:p w14:paraId="1E7D22D0">
      <w:pPr>
        <w:pStyle w:val="949"/>
        <w:rPr>
          <w:color w:val="auto"/>
          <w:szCs w:val="26"/>
        </w:rPr>
      </w:pPr>
      <w:r>
        <w:rPr>
          <w:color w:val="auto"/>
        </w:rPr>
        <w:t>表4.2-</w:t>
      </w:r>
      <w:r>
        <w:rPr>
          <w:rFonts w:hint="eastAsia"/>
          <w:color w:val="auto"/>
          <w:lang w:val="en-US"/>
        </w:rPr>
        <w:t>9</w:t>
      </w:r>
      <w:r>
        <w:rPr>
          <w:color w:val="auto"/>
        </w:rPr>
        <w:t xml:space="preserve">    </w:t>
      </w:r>
      <w:r>
        <w:rPr>
          <w:color w:val="auto"/>
          <w:szCs w:val="26"/>
        </w:rPr>
        <w:t>地下水环境现状评价计算分析结果一览表   单位：mg/L</w:t>
      </w:r>
    </w:p>
    <w:tbl>
      <w:tblPr>
        <w:tblStyle w:val="8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5"/>
        <w:gridCol w:w="1475"/>
        <w:gridCol w:w="1175"/>
        <w:gridCol w:w="1175"/>
        <w:gridCol w:w="1175"/>
        <w:gridCol w:w="1175"/>
        <w:gridCol w:w="1197"/>
        <w:gridCol w:w="1175"/>
        <w:gridCol w:w="1175"/>
        <w:gridCol w:w="970"/>
        <w:gridCol w:w="970"/>
      </w:tblGrid>
      <w:tr w14:paraId="5BB0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Merge w:val="restart"/>
            <w:vAlign w:val="center"/>
          </w:tcPr>
          <w:p w14:paraId="41AD4B52">
            <w:pPr>
              <w:pStyle w:val="687"/>
            </w:pPr>
            <w:r>
              <w:rPr>
                <w:rFonts w:hint="eastAsia"/>
                <w:lang w:bidi="ar"/>
              </w:rPr>
              <w:t>检测项目</w:t>
            </w:r>
          </w:p>
        </w:tc>
        <w:tc>
          <w:tcPr>
            <w:tcW w:w="536" w:type="pct"/>
            <w:vMerge w:val="restart"/>
            <w:vAlign w:val="center"/>
          </w:tcPr>
          <w:p w14:paraId="302F66C0">
            <w:pPr>
              <w:pStyle w:val="687"/>
            </w:pPr>
            <w:r>
              <w:rPr>
                <w:rFonts w:hint="eastAsia"/>
                <w:lang w:bidi="ar"/>
              </w:rPr>
              <w:t>单位</w:t>
            </w:r>
          </w:p>
        </w:tc>
        <w:tc>
          <w:tcPr>
            <w:tcW w:w="2143" w:type="pct"/>
            <w:gridSpan w:val="5"/>
            <w:vAlign w:val="center"/>
          </w:tcPr>
          <w:p w14:paraId="2585A50D">
            <w:pPr>
              <w:pStyle w:val="687"/>
              <w:rPr>
                <w:lang w:bidi="ar"/>
              </w:rPr>
            </w:pPr>
            <w:r>
              <w:rPr>
                <w:rFonts w:hint="eastAsia"/>
                <w:lang w:bidi="ar"/>
              </w:rPr>
              <w:t>检测点位</w:t>
            </w:r>
          </w:p>
        </w:tc>
        <w:tc>
          <w:tcPr>
            <w:tcW w:w="427" w:type="pct"/>
            <w:vMerge w:val="restart"/>
            <w:vAlign w:val="center"/>
          </w:tcPr>
          <w:p w14:paraId="13199A46">
            <w:pPr>
              <w:pStyle w:val="687"/>
              <w:rPr>
                <w:szCs w:val="22"/>
              </w:rPr>
            </w:pPr>
            <w:r>
              <w:rPr>
                <w:rFonts w:hint="eastAsia"/>
                <w:szCs w:val="22"/>
                <w:lang w:bidi="ar"/>
              </w:rPr>
              <w:t>最小值</w:t>
            </w:r>
          </w:p>
        </w:tc>
        <w:tc>
          <w:tcPr>
            <w:tcW w:w="427" w:type="pct"/>
            <w:vMerge w:val="restart"/>
            <w:vAlign w:val="center"/>
          </w:tcPr>
          <w:p w14:paraId="58402BE5">
            <w:pPr>
              <w:pStyle w:val="687"/>
              <w:rPr>
                <w:szCs w:val="22"/>
              </w:rPr>
            </w:pPr>
            <w:r>
              <w:rPr>
                <w:rFonts w:hint="eastAsia"/>
                <w:szCs w:val="22"/>
                <w:lang w:bidi="ar"/>
              </w:rPr>
              <w:t>最大值</w:t>
            </w:r>
          </w:p>
        </w:tc>
        <w:tc>
          <w:tcPr>
            <w:tcW w:w="352" w:type="pct"/>
            <w:vMerge w:val="restart"/>
            <w:vAlign w:val="center"/>
          </w:tcPr>
          <w:p w14:paraId="30E0E06F">
            <w:pPr>
              <w:pStyle w:val="687"/>
              <w:rPr>
                <w:szCs w:val="22"/>
              </w:rPr>
            </w:pPr>
            <w:r>
              <w:rPr>
                <w:rFonts w:hint="eastAsia"/>
                <w:szCs w:val="22"/>
                <w:lang w:bidi="ar"/>
              </w:rPr>
              <w:t>平均值</w:t>
            </w:r>
          </w:p>
        </w:tc>
        <w:tc>
          <w:tcPr>
            <w:tcW w:w="352" w:type="pct"/>
            <w:vMerge w:val="restart"/>
            <w:vAlign w:val="center"/>
          </w:tcPr>
          <w:p w14:paraId="3E0EDFE9">
            <w:pPr>
              <w:pStyle w:val="687"/>
              <w:rPr>
                <w:szCs w:val="22"/>
              </w:rPr>
            </w:pPr>
            <w:r>
              <w:rPr>
                <w:rFonts w:hint="eastAsia"/>
                <w:szCs w:val="22"/>
                <w:lang w:bidi="ar"/>
              </w:rPr>
              <w:t>标准差</w:t>
            </w:r>
          </w:p>
        </w:tc>
      </w:tr>
      <w:tr w14:paraId="3242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Merge w:val="continue"/>
            <w:vAlign w:val="center"/>
          </w:tcPr>
          <w:p w14:paraId="27211A63">
            <w:pPr>
              <w:pStyle w:val="687"/>
            </w:pPr>
          </w:p>
        </w:tc>
        <w:tc>
          <w:tcPr>
            <w:tcW w:w="536" w:type="pct"/>
            <w:vMerge w:val="continue"/>
            <w:vAlign w:val="center"/>
          </w:tcPr>
          <w:p w14:paraId="3BFE028F">
            <w:pPr>
              <w:pStyle w:val="687"/>
            </w:pPr>
          </w:p>
        </w:tc>
        <w:tc>
          <w:tcPr>
            <w:tcW w:w="427" w:type="pct"/>
            <w:vAlign w:val="center"/>
          </w:tcPr>
          <w:p w14:paraId="1AB50370">
            <w:pPr>
              <w:pStyle w:val="687"/>
            </w:pPr>
            <w:r>
              <w:rPr>
                <w:lang w:bidi="ar"/>
              </w:rPr>
              <w:t>D1</w:t>
            </w:r>
          </w:p>
        </w:tc>
        <w:tc>
          <w:tcPr>
            <w:tcW w:w="427" w:type="pct"/>
            <w:vAlign w:val="center"/>
          </w:tcPr>
          <w:p w14:paraId="2D51B136">
            <w:pPr>
              <w:pStyle w:val="687"/>
            </w:pPr>
            <w:r>
              <w:rPr>
                <w:lang w:bidi="ar"/>
              </w:rPr>
              <w:t>D2</w:t>
            </w:r>
          </w:p>
        </w:tc>
        <w:tc>
          <w:tcPr>
            <w:tcW w:w="427" w:type="pct"/>
            <w:vAlign w:val="center"/>
          </w:tcPr>
          <w:p w14:paraId="32083012">
            <w:pPr>
              <w:pStyle w:val="687"/>
            </w:pPr>
            <w:r>
              <w:rPr>
                <w:lang w:bidi="ar"/>
              </w:rPr>
              <w:t>D3</w:t>
            </w:r>
          </w:p>
        </w:tc>
        <w:tc>
          <w:tcPr>
            <w:tcW w:w="427" w:type="pct"/>
            <w:vAlign w:val="center"/>
          </w:tcPr>
          <w:p w14:paraId="7F28F901">
            <w:pPr>
              <w:pStyle w:val="687"/>
            </w:pPr>
            <w:r>
              <w:rPr>
                <w:lang w:bidi="ar"/>
              </w:rPr>
              <w:t>D4</w:t>
            </w:r>
          </w:p>
        </w:tc>
        <w:tc>
          <w:tcPr>
            <w:tcW w:w="434" w:type="pct"/>
            <w:vAlign w:val="center"/>
          </w:tcPr>
          <w:p w14:paraId="61E58CBA">
            <w:pPr>
              <w:pStyle w:val="687"/>
            </w:pPr>
            <w:r>
              <w:rPr>
                <w:lang w:bidi="ar"/>
              </w:rPr>
              <w:t>D5</w:t>
            </w:r>
          </w:p>
        </w:tc>
        <w:tc>
          <w:tcPr>
            <w:tcW w:w="427" w:type="pct"/>
            <w:vMerge w:val="continue"/>
            <w:vAlign w:val="center"/>
          </w:tcPr>
          <w:p w14:paraId="3E54B508">
            <w:pPr>
              <w:pStyle w:val="687"/>
              <w:rPr>
                <w:szCs w:val="22"/>
              </w:rPr>
            </w:pPr>
          </w:p>
        </w:tc>
        <w:tc>
          <w:tcPr>
            <w:tcW w:w="427" w:type="pct"/>
            <w:vMerge w:val="continue"/>
            <w:vAlign w:val="center"/>
          </w:tcPr>
          <w:p w14:paraId="52B1B83D">
            <w:pPr>
              <w:pStyle w:val="687"/>
              <w:rPr>
                <w:szCs w:val="22"/>
              </w:rPr>
            </w:pPr>
          </w:p>
        </w:tc>
        <w:tc>
          <w:tcPr>
            <w:tcW w:w="352" w:type="pct"/>
            <w:vMerge w:val="continue"/>
            <w:vAlign w:val="center"/>
          </w:tcPr>
          <w:p w14:paraId="06F5EF2E">
            <w:pPr>
              <w:pStyle w:val="687"/>
              <w:rPr>
                <w:szCs w:val="22"/>
              </w:rPr>
            </w:pPr>
          </w:p>
        </w:tc>
        <w:tc>
          <w:tcPr>
            <w:tcW w:w="352" w:type="pct"/>
            <w:vMerge w:val="continue"/>
            <w:vAlign w:val="center"/>
          </w:tcPr>
          <w:p w14:paraId="23E56438">
            <w:pPr>
              <w:pStyle w:val="687"/>
              <w:rPr>
                <w:szCs w:val="22"/>
              </w:rPr>
            </w:pPr>
          </w:p>
        </w:tc>
      </w:tr>
      <w:tr w14:paraId="71D5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3E53ADBB">
            <w:pPr>
              <w:pStyle w:val="687"/>
            </w:pPr>
            <w:r>
              <w:rPr>
                <w:lang w:bidi="ar"/>
              </w:rPr>
              <w:t>pH</w:t>
            </w:r>
          </w:p>
        </w:tc>
        <w:tc>
          <w:tcPr>
            <w:tcW w:w="536" w:type="pct"/>
            <w:vAlign w:val="center"/>
          </w:tcPr>
          <w:p w14:paraId="2B3CB0AF">
            <w:pPr>
              <w:pStyle w:val="687"/>
            </w:pPr>
            <w:r>
              <w:rPr>
                <w:rFonts w:hint="eastAsia"/>
                <w:lang w:bidi="ar"/>
              </w:rPr>
              <w:t>无量纲</w:t>
            </w:r>
          </w:p>
        </w:tc>
        <w:tc>
          <w:tcPr>
            <w:tcW w:w="427" w:type="pct"/>
            <w:vAlign w:val="center"/>
          </w:tcPr>
          <w:p w14:paraId="5252E391">
            <w:pPr>
              <w:pStyle w:val="687"/>
            </w:pPr>
            <w:r>
              <w:rPr>
                <w:lang w:bidi="ar"/>
              </w:rPr>
              <w:t>7.3</w:t>
            </w:r>
          </w:p>
        </w:tc>
        <w:tc>
          <w:tcPr>
            <w:tcW w:w="427" w:type="pct"/>
            <w:vAlign w:val="center"/>
          </w:tcPr>
          <w:p w14:paraId="50F12224">
            <w:pPr>
              <w:pStyle w:val="687"/>
            </w:pPr>
            <w:r>
              <w:rPr>
                <w:lang w:bidi="ar"/>
              </w:rPr>
              <w:t>7.4</w:t>
            </w:r>
          </w:p>
        </w:tc>
        <w:tc>
          <w:tcPr>
            <w:tcW w:w="427" w:type="pct"/>
            <w:vAlign w:val="center"/>
          </w:tcPr>
          <w:p w14:paraId="4DB7B191">
            <w:pPr>
              <w:pStyle w:val="687"/>
            </w:pPr>
            <w:r>
              <w:rPr>
                <w:lang w:bidi="ar"/>
              </w:rPr>
              <w:t>7.2</w:t>
            </w:r>
          </w:p>
        </w:tc>
        <w:tc>
          <w:tcPr>
            <w:tcW w:w="427" w:type="pct"/>
            <w:vAlign w:val="center"/>
          </w:tcPr>
          <w:p w14:paraId="1B23F67F">
            <w:pPr>
              <w:pStyle w:val="687"/>
            </w:pPr>
            <w:r>
              <w:rPr>
                <w:lang w:bidi="ar"/>
              </w:rPr>
              <w:t>7.3</w:t>
            </w:r>
          </w:p>
        </w:tc>
        <w:tc>
          <w:tcPr>
            <w:tcW w:w="434" w:type="pct"/>
            <w:vAlign w:val="center"/>
          </w:tcPr>
          <w:p w14:paraId="4DB4326A">
            <w:pPr>
              <w:pStyle w:val="687"/>
            </w:pPr>
            <w:r>
              <w:rPr>
                <w:lang w:bidi="ar"/>
              </w:rPr>
              <w:t>7.3</w:t>
            </w:r>
          </w:p>
        </w:tc>
        <w:tc>
          <w:tcPr>
            <w:tcW w:w="427" w:type="pct"/>
            <w:noWrap/>
            <w:vAlign w:val="center"/>
          </w:tcPr>
          <w:p w14:paraId="14FEE2E7">
            <w:pPr>
              <w:pStyle w:val="687"/>
              <w:rPr>
                <w:szCs w:val="22"/>
              </w:rPr>
            </w:pPr>
            <w:r>
              <w:rPr>
                <w:szCs w:val="22"/>
                <w:lang w:bidi="ar"/>
              </w:rPr>
              <w:t>7.2</w:t>
            </w:r>
          </w:p>
        </w:tc>
        <w:tc>
          <w:tcPr>
            <w:tcW w:w="427" w:type="pct"/>
            <w:noWrap/>
            <w:vAlign w:val="center"/>
          </w:tcPr>
          <w:p w14:paraId="11537BF5">
            <w:pPr>
              <w:pStyle w:val="687"/>
              <w:rPr>
                <w:szCs w:val="22"/>
              </w:rPr>
            </w:pPr>
            <w:r>
              <w:rPr>
                <w:szCs w:val="22"/>
                <w:lang w:bidi="ar"/>
              </w:rPr>
              <w:t>7.4</w:t>
            </w:r>
          </w:p>
        </w:tc>
        <w:tc>
          <w:tcPr>
            <w:tcW w:w="352" w:type="pct"/>
            <w:noWrap/>
            <w:vAlign w:val="center"/>
          </w:tcPr>
          <w:p w14:paraId="4AC716C8">
            <w:pPr>
              <w:pStyle w:val="687"/>
              <w:rPr>
                <w:szCs w:val="22"/>
              </w:rPr>
            </w:pPr>
            <w:r>
              <w:rPr>
                <w:szCs w:val="22"/>
                <w:lang w:bidi="ar"/>
              </w:rPr>
              <w:t xml:space="preserve">7.30 </w:t>
            </w:r>
          </w:p>
        </w:tc>
        <w:tc>
          <w:tcPr>
            <w:tcW w:w="352" w:type="pct"/>
            <w:noWrap/>
            <w:vAlign w:val="center"/>
          </w:tcPr>
          <w:p w14:paraId="52C1DA03">
            <w:pPr>
              <w:pStyle w:val="687"/>
              <w:rPr>
                <w:szCs w:val="22"/>
              </w:rPr>
            </w:pPr>
            <w:r>
              <w:rPr>
                <w:szCs w:val="22"/>
                <w:lang w:bidi="ar"/>
              </w:rPr>
              <w:t xml:space="preserve">0.07 </w:t>
            </w:r>
          </w:p>
        </w:tc>
      </w:tr>
      <w:tr w14:paraId="73EE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259E8BB4">
            <w:pPr>
              <w:pStyle w:val="687"/>
            </w:pPr>
            <w:r>
              <w:rPr>
                <w:rFonts w:hint="eastAsia"/>
                <w:lang w:bidi="ar"/>
              </w:rPr>
              <w:t>氨氮</w:t>
            </w:r>
          </w:p>
        </w:tc>
        <w:tc>
          <w:tcPr>
            <w:tcW w:w="536" w:type="pct"/>
            <w:vAlign w:val="center"/>
          </w:tcPr>
          <w:p w14:paraId="4E624FD5">
            <w:pPr>
              <w:pStyle w:val="687"/>
            </w:pPr>
            <w:r>
              <w:rPr>
                <w:lang w:bidi="ar"/>
              </w:rPr>
              <w:t>mg/L</w:t>
            </w:r>
          </w:p>
        </w:tc>
        <w:tc>
          <w:tcPr>
            <w:tcW w:w="427" w:type="pct"/>
            <w:vAlign w:val="center"/>
          </w:tcPr>
          <w:p w14:paraId="2C9D773F">
            <w:pPr>
              <w:pStyle w:val="687"/>
            </w:pPr>
            <w:r>
              <w:rPr>
                <w:lang w:bidi="ar"/>
              </w:rPr>
              <w:t>0.448</w:t>
            </w:r>
          </w:p>
        </w:tc>
        <w:tc>
          <w:tcPr>
            <w:tcW w:w="427" w:type="pct"/>
            <w:vAlign w:val="center"/>
          </w:tcPr>
          <w:p w14:paraId="2FF46FB3">
            <w:pPr>
              <w:pStyle w:val="687"/>
            </w:pPr>
            <w:r>
              <w:rPr>
                <w:lang w:bidi="ar"/>
              </w:rPr>
              <w:t>0.257</w:t>
            </w:r>
          </w:p>
        </w:tc>
        <w:tc>
          <w:tcPr>
            <w:tcW w:w="427" w:type="pct"/>
            <w:vAlign w:val="center"/>
          </w:tcPr>
          <w:p w14:paraId="4F6DE843">
            <w:pPr>
              <w:pStyle w:val="687"/>
            </w:pPr>
            <w:r>
              <w:rPr>
                <w:lang w:bidi="ar"/>
              </w:rPr>
              <w:t>0.249</w:t>
            </w:r>
          </w:p>
        </w:tc>
        <w:tc>
          <w:tcPr>
            <w:tcW w:w="427" w:type="pct"/>
            <w:vAlign w:val="center"/>
          </w:tcPr>
          <w:p w14:paraId="4674420F">
            <w:pPr>
              <w:pStyle w:val="687"/>
            </w:pPr>
            <w:r>
              <w:rPr>
                <w:lang w:bidi="ar"/>
              </w:rPr>
              <w:t>0.436</w:t>
            </w:r>
          </w:p>
        </w:tc>
        <w:tc>
          <w:tcPr>
            <w:tcW w:w="434" w:type="pct"/>
            <w:vAlign w:val="center"/>
          </w:tcPr>
          <w:p w14:paraId="75170C9E">
            <w:pPr>
              <w:pStyle w:val="687"/>
            </w:pPr>
            <w:r>
              <w:rPr>
                <w:lang w:bidi="ar"/>
              </w:rPr>
              <w:t>0.471</w:t>
            </w:r>
          </w:p>
        </w:tc>
        <w:tc>
          <w:tcPr>
            <w:tcW w:w="427" w:type="pct"/>
            <w:noWrap/>
            <w:vAlign w:val="center"/>
          </w:tcPr>
          <w:p w14:paraId="104BFB11">
            <w:pPr>
              <w:pStyle w:val="687"/>
              <w:rPr>
                <w:szCs w:val="22"/>
              </w:rPr>
            </w:pPr>
            <w:r>
              <w:rPr>
                <w:szCs w:val="22"/>
                <w:lang w:bidi="ar"/>
              </w:rPr>
              <w:t>0.249</w:t>
            </w:r>
          </w:p>
        </w:tc>
        <w:tc>
          <w:tcPr>
            <w:tcW w:w="427" w:type="pct"/>
            <w:noWrap/>
            <w:vAlign w:val="center"/>
          </w:tcPr>
          <w:p w14:paraId="4DEB83C8">
            <w:pPr>
              <w:pStyle w:val="687"/>
              <w:rPr>
                <w:szCs w:val="22"/>
              </w:rPr>
            </w:pPr>
            <w:r>
              <w:rPr>
                <w:szCs w:val="22"/>
                <w:lang w:bidi="ar"/>
              </w:rPr>
              <w:t>0.471</w:t>
            </w:r>
          </w:p>
        </w:tc>
        <w:tc>
          <w:tcPr>
            <w:tcW w:w="352" w:type="pct"/>
            <w:noWrap/>
            <w:vAlign w:val="center"/>
          </w:tcPr>
          <w:p w14:paraId="5F2B69DE">
            <w:pPr>
              <w:pStyle w:val="687"/>
              <w:rPr>
                <w:szCs w:val="22"/>
              </w:rPr>
            </w:pPr>
            <w:r>
              <w:rPr>
                <w:szCs w:val="22"/>
                <w:lang w:bidi="ar"/>
              </w:rPr>
              <w:t xml:space="preserve">0.37 </w:t>
            </w:r>
          </w:p>
        </w:tc>
        <w:tc>
          <w:tcPr>
            <w:tcW w:w="352" w:type="pct"/>
            <w:noWrap/>
            <w:vAlign w:val="center"/>
          </w:tcPr>
          <w:p w14:paraId="1F895E2A">
            <w:pPr>
              <w:pStyle w:val="687"/>
              <w:rPr>
                <w:szCs w:val="22"/>
              </w:rPr>
            </w:pPr>
            <w:r>
              <w:rPr>
                <w:szCs w:val="22"/>
                <w:lang w:bidi="ar"/>
              </w:rPr>
              <w:t xml:space="preserve">0.11 </w:t>
            </w:r>
          </w:p>
        </w:tc>
      </w:tr>
      <w:tr w14:paraId="4FE0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149C1419">
            <w:pPr>
              <w:pStyle w:val="687"/>
            </w:pPr>
            <w:r>
              <w:rPr>
                <w:rFonts w:hint="eastAsia"/>
                <w:lang w:bidi="ar"/>
              </w:rPr>
              <w:t>钾</w:t>
            </w:r>
          </w:p>
        </w:tc>
        <w:tc>
          <w:tcPr>
            <w:tcW w:w="536" w:type="pct"/>
            <w:vAlign w:val="center"/>
          </w:tcPr>
          <w:p w14:paraId="42BBBD4D">
            <w:pPr>
              <w:pStyle w:val="687"/>
            </w:pPr>
            <w:r>
              <w:rPr>
                <w:lang w:bidi="ar"/>
              </w:rPr>
              <w:t>mg/L</w:t>
            </w:r>
          </w:p>
        </w:tc>
        <w:tc>
          <w:tcPr>
            <w:tcW w:w="427" w:type="pct"/>
            <w:vAlign w:val="center"/>
          </w:tcPr>
          <w:p w14:paraId="375A11FC">
            <w:pPr>
              <w:pStyle w:val="687"/>
            </w:pPr>
            <w:r>
              <w:rPr>
                <w:lang w:bidi="ar"/>
              </w:rPr>
              <w:t>1.49</w:t>
            </w:r>
          </w:p>
        </w:tc>
        <w:tc>
          <w:tcPr>
            <w:tcW w:w="427" w:type="pct"/>
            <w:vAlign w:val="center"/>
          </w:tcPr>
          <w:p w14:paraId="1570B050">
            <w:pPr>
              <w:pStyle w:val="687"/>
            </w:pPr>
            <w:r>
              <w:rPr>
                <w:lang w:bidi="ar"/>
              </w:rPr>
              <w:t>1.51</w:t>
            </w:r>
          </w:p>
        </w:tc>
        <w:tc>
          <w:tcPr>
            <w:tcW w:w="427" w:type="pct"/>
            <w:vAlign w:val="center"/>
          </w:tcPr>
          <w:p w14:paraId="1F28B6A5">
            <w:pPr>
              <w:pStyle w:val="687"/>
            </w:pPr>
            <w:r>
              <w:rPr>
                <w:lang w:bidi="ar"/>
              </w:rPr>
              <w:t>1.24</w:t>
            </w:r>
          </w:p>
        </w:tc>
        <w:tc>
          <w:tcPr>
            <w:tcW w:w="427" w:type="pct"/>
            <w:vAlign w:val="center"/>
          </w:tcPr>
          <w:p w14:paraId="77F399A7">
            <w:pPr>
              <w:pStyle w:val="687"/>
            </w:pPr>
            <w:r>
              <w:rPr>
                <w:lang w:bidi="ar"/>
              </w:rPr>
              <w:t>3.88</w:t>
            </w:r>
          </w:p>
        </w:tc>
        <w:tc>
          <w:tcPr>
            <w:tcW w:w="434" w:type="pct"/>
            <w:vAlign w:val="center"/>
          </w:tcPr>
          <w:p w14:paraId="575A80F8">
            <w:pPr>
              <w:pStyle w:val="687"/>
            </w:pPr>
            <w:r>
              <w:rPr>
                <w:lang w:bidi="ar"/>
              </w:rPr>
              <w:t>1.86</w:t>
            </w:r>
          </w:p>
        </w:tc>
        <w:tc>
          <w:tcPr>
            <w:tcW w:w="427" w:type="pct"/>
            <w:noWrap/>
            <w:vAlign w:val="center"/>
          </w:tcPr>
          <w:p w14:paraId="46129A1D">
            <w:pPr>
              <w:pStyle w:val="687"/>
              <w:rPr>
                <w:szCs w:val="22"/>
              </w:rPr>
            </w:pPr>
            <w:r>
              <w:rPr>
                <w:szCs w:val="22"/>
                <w:lang w:bidi="ar"/>
              </w:rPr>
              <w:t>1.24</w:t>
            </w:r>
          </w:p>
        </w:tc>
        <w:tc>
          <w:tcPr>
            <w:tcW w:w="427" w:type="pct"/>
            <w:noWrap/>
            <w:vAlign w:val="center"/>
          </w:tcPr>
          <w:p w14:paraId="52AF1337">
            <w:pPr>
              <w:pStyle w:val="687"/>
              <w:rPr>
                <w:szCs w:val="22"/>
              </w:rPr>
            </w:pPr>
            <w:r>
              <w:rPr>
                <w:szCs w:val="22"/>
                <w:lang w:bidi="ar"/>
              </w:rPr>
              <w:t>3.88</w:t>
            </w:r>
          </w:p>
        </w:tc>
        <w:tc>
          <w:tcPr>
            <w:tcW w:w="352" w:type="pct"/>
            <w:noWrap/>
            <w:vAlign w:val="center"/>
          </w:tcPr>
          <w:p w14:paraId="2181062A">
            <w:pPr>
              <w:pStyle w:val="687"/>
              <w:rPr>
                <w:szCs w:val="22"/>
              </w:rPr>
            </w:pPr>
            <w:r>
              <w:rPr>
                <w:szCs w:val="22"/>
                <w:lang w:bidi="ar"/>
              </w:rPr>
              <w:t xml:space="preserve">2.00 </w:t>
            </w:r>
          </w:p>
        </w:tc>
        <w:tc>
          <w:tcPr>
            <w:tcW w:w="352" w:type="pct"/>
            <w:noWrap/>
            <w:vAlign w:val="center"/>
          </w:tcPr>
          <w:p w14:paraId="6DD64349">
            <w:pPr>
              <w:pStyle w:val="687"/>
              <w:rPr>
                <w:szCs w:val="22"/>
              </w:rPr>
            </w:pPr>
            <w:r>
              <w:rPr>
                <w:szCs w:val="22"/>
                <w:lang w:bidi="ar"/>
              </w:rPr>
              <w:t xml:space="preserve">1.08 </w:t>
            </w:r>
          </w:p>
        </w:tc>
      </w:tr>
      <w:tr w14:paraId="5168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6712F9A5">
            <w:pPr>
              <w:pStyle w:val="687"/>
            </w:pPr>
            <w:r>
              <w:rPr>
                <w:rFonts w:hint="eastAsia"/>
                <w:lang w:bidi="ar"/>
              </w:rPr>
              <w:t>钠</w:t>
            </w:r>
          </w:p>
        </w:tc>
        <w:tc>
          <w:tcPr>
            <w:tcW w:w="536" w:type="pct"/>
            <w:vAlign w:val="center"/>
          </w:tcPr>
          <w:p w14:paraId="5E00282D">
            <w:pPr>
              <w:pStyle w:val="687"/>
            </w:pPr>
            <w:r>
              <w:rPr>
                <w:lang w:bidi="ar"/>
              </w:rPr>
              <w:t>mg/L</w:t>
            </w:r>
          </w:p>
        </w:tc>
        <w:tc>
          <w:tcPr>
            <w:tcW w:w="427" w:type="pct"/>
            <w:vAlign w:val="center"/>
          </w:tcPr>
          <w:p w14:paraId="47121C24">
            <w:pPr>
              <w:pStyle w:val="687"/>
            </w:pPr>
            <w:r>
              <w:rPr>
                <w:lang w:bidi="ar"/>
              </w:rPr>
              <w:t>20.5</w:t>
            </w:r>
          </w:p>
        </w:tc>
        <w:tc>
          <w:tcPr>
            <w:tcW w:w="427" w:type="pct"/>
            <w:vAlign w:val="center"/>
          </w:tcPr>
          <w:p w14:paraId="1CCE6A18">
            <w:pPr>
              <w:pStyle w:val="687"/>
            </w:pPr>
            <w:r>
              <w:rPr>
                <w:lang w:bidi="ar"/>
              </w:rPr>
              <w:t>23.6</w:t>
            </w:r>
          </w:p>
        </w:tc>
        <w:tc>
          <w:tcPr>
            <w:tcW w:w="427" w:type="pct"/>
            <w:vAlign w:val="center"/>
          </w:tcPr>
          <w:p w14:paraId="35C8EC77">
            <w:pPr>
              <w:pStyle w:val="687"/>
            </w:pPr>
            <w:r>
              <w:rPr>
                <w:lang w:bidi="ar"/>
              </w:rPr>
              <w:t>26.2</w:t>
            </w:r>
          </w:p>
        </w:tc>
        <w:tc>
          <w:tcPr>
            <w:tcW w:w="427" w:type="pct"/>
            <w:vAlign w:val="center"/>
          </w:tcPr>
          <w:p w14:paraId="78247196">
            <w:pPr>
              <w:pStyle w:val="687"/>
            </w:pPr>
            <w:r>
              <w:rPr>
                <w:lang w:bidi="ar"/>
              </w:rPr>
              <w:t>8.07</w:t>
            </w:r>
          </w:p>
        </w:tc>
        <w:tc>
          <w:tcPr>
            <w:tcW w:w="434" w:type="pct"/>
            <w:vAlign w:val="center"/>
          </w:tcPr>
          <w:p w14:paraId="292677F6">
            <w:pPr>
              <w:pStyle w:val="687"/>
            </w:pPr>
            <w:r>
              <w:rPr>
                <w:lang w:bidi="ar"/>
              </w:rPr>
              <w:t>12.7</w:t>
            </w:r>
          </w:p>
        </w:tc>
        <w:tc>
          <w:tcPr>
            <w:tcW w:w="427" w:type="pct"/>
            <w:noWrap/>
            <w:vAlign w:val="center"/>
          </w:tcPr>
          <w:p w14:paraId="43D4E492">
            <w:pPr>
              <w:pStyle w:val="687"/>
              <w:rPr>
                <w:szCs w:val="22"/>
              </w:rPr>
            </w:pPr>
            <w:r>
              <w:rPr>
                <w:szCs w:val="22"/>
                <w:lang w:bidi="ar"/>
              </w:rPr>
              <w:t>8.07</w:t>
            </w:r>
          </w:p>
        </w:tc>
        <w:tc>
          <w:tcPr>
            <w:tcW w:w="427" w:type="pct"/>
            <w:noWrap/>
            <w:vAlign w:val="center"/>
          </w:tcPr>
          <w:p w14:paraId="59518476">
            <w:pPr>
              <w:pStyle w:val="687"/>
              <w:rPr>
                <w:szCs w:val="22"/>
              </w:rPr>
            </w:pPr>
            <w:r>
              <w:rPr>
                <w:szCs w:val="22"/>
                <w:lang w:bidi="ar"/>
              </w:rPr>
              <w:t>26.2</w:t>
            </w:r>
          </w:p>
        </w:tc>
        <w:tc>
          <w:tcPr>
            <w:tcW w:w="352" w:type="pct"/>
            <w:noWrap/>
            <w:vAlign w:val="center"/>
          </w:tcPr>
          <w:p w14:paraId="27539163">
            <w:pPr>
              <w:pStyle w:val="687"/>
              <w:rPr>
                <w:szCs w:val="22"/>
              </w:rPr>
            </w:pPr>
            <w:r>
              <w:rPr>
                <w:szCs w:val="22"/>
                <w:lang w:bidi="ar"/>
              </w:rPr>
              <w:t xml:space="preserve">18.21 </w:t>
            </w:r>
          </w:p>
        </w:tc>
        <w:tc>
          <w:tcPr>
            <w:tcW w:w="352" w:type="pct"/>
            <w:noWrap/>
            <w:vAlign w:val="center"/>
          </w:tcPr>
          <w:p w14:paraId="4BFD59BB">
            <w:pPr>
              <w:pStyle w:val="687"/>
              <w:rPr>
                <w:szCs w:val="22"/>
              </w:rPr>
            </w:pPr>
            <w:r>
              <w:rPr>
                <w:szCs w:val="22"/>
                <w:lang w:bidi="ar"/>
              </w:rPr>
              <w:t xml:space="preserve">7.60 </w:t>
            </w:r>
          </w:p>
        </w:tc>
      </w:tr>
      <w:tr w14:paraId="7580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27B18B1A">
            <w:pPr>
              <w:pStyle w:val="687"/>
            </w:pPr>
            <w:r>
              <w:rPr>
                <w:rFonts w:hint="eastAsia"/>
                <w:lang w:bidi="ar"/>
              </w:rPr>
              <w:t>钙</w:t>
            </w:r>
          </w:p>
        </w:tc>
        <w:tc>
          <w:tcPr>
            <w:tcW w:w="536" w:type="pct"/>
            <w:vAlign w:val="center"/>
          </w:tcPr>
          <w:p w14:paraId="6132234F">
            <w:pPr>
              <w:pStyle w:val="687"/>
            </w:pPr>
            <w:r>
              <w:rPr>
                <w:lang w:bidi="ar"/>
              </w:rPr>
              <w:t>mg/L</w:t>
            </w:r>
          </w:p>
        </w:tc>
        <w:tc>
          <w:tcPr>
            <w:tcW w:w="427" w:type="pct"/>
            <w:vAlign w:val="center"/>
          </w:tcPr>
          <w:p w14:paraId="5B8176BF">
            <w:pPr>
              <w:pStyle w:val="687"/>
            </w:pPr>
            <w:r>
              <w:rPr>
                <w:lang w:bidi="ar"/>
              </w:rPr>
              <w:t>31.5</w:t>
            </w:r>
          </w:p>
        </w:tc>
        <w:tc>
          <w:tcPr>
            <w:tcW w:w="427" w:type="pct"/>
            <w:vAlign w:val="center"/>
          </w:tcPr>
          <w:p w14:paraId="10B5708E">
            <w:pPr>
              <w:pStyle w:val="687"/>
            </w:pPr>
            <w:r>
              <w:rPr>
                <w:lang w:bidi="ar"/>
              </w:rPr>
              <w:t>47.6</w:t>
            </w:r>
          </w:p>
        </w:tc>
        <w:tc>
          <w:tcPr>
            <w:tcW w:w="427" w:type="pct"/>
            <w:vAlign w:val="center"/>
          </w:tcPr>
          <w:p w14:paraId="1BABB208">
            <w:pPr>
              <w:pStyle w:val="687"/>
            </w:pPr>
            <w:r>
              <w:rPr>
                <w:lang w:bidi="ar"/>
              </w:rPr>
              <w:t>33.6</w:t>
            </w:r>
          </w:p>
        </w:tc>
        <w:tc>
          <w:tcPr>
            <w:tcW w:w="427" w:type="pct"/>
            <w:vAlign w:val="center"/>
          </w:tcPr>
          <w:p w14:paraId="24D9AA76">
            <w:pPr>
              <w:pStyle w:val="687"/>
            </w:pPr>
            <w:r>
              <w:rPr>
                <w:lang w:bidi="ar"/>
              </w:rPr>
              <w:t>37.8</w:t>
            </w:r>
          </w:p>
        </w:tc>
        <w:tc>
          <w:tcPr>
            <w:tcW w:w="434" w:type="pct"/>
            <w:vAlign w:val="center"/>
          </w:tcPr>
          <w:p w14:paraId="4D6D2444">
            <w:pPr>
              <w:pStyle w:val="687"/>
            </w:pPr>
            <w:r>
              <w:rPr>
                <w:lang w:bidi="ar"/>
              </w:rPr>
              <w:t>28.7</w:t>
            </w:r>
          </w:p>
        </w:tc>
        <w:tc>
          <w:tcPr>
            <w:tcW w:w="427" w:type="pct"/>
            <w:noWrap/>
            <w:vAlign w:val="center"/>
          </w:tcPr>
          <w:p w14:paraId="6F1535C4">
            <w:pPr>
              <w:pStyle w:val="687"/>
              <w:rPr>
                <w:szCs w:val="22"/>
              </w:rPr>
            </w:pPr>
            <w:r>
              <w:rPr>
                <w:szCs w:val="22"/>
                <w:lang w:bidi="ar"/>
              </w:rPr>
              <w:t>28.7</w:t>
            </w:r>
          </w:p>
        </w:tc>
        <w:tc>
          <w:tcPr>
            <w:tcW w:w="427" w:type="pct"/>
            <w:noWrap/>
            <w:vAlign w:val="center"/>
          </w:tcPr>
          <w:p w14:paraId="1BBCA414">
            <w:pPr>
              <w:pStyle w:val="687"/>
              <w:rPr>
                <w:szCs w:val="22"/>
              </w:rPr>
            </w:pPr>
            <w:r>
              <w:rPr>
                <w:szCs w:val="22"/>
                <w:lang w:bidi="ar"/>
              </w:rPr>
              <w:t>47.6</w:t>
            </w:r>
          </w:p>
        </w:tc>
        <w:tc>
          <w:tcPr>
            <w:tcW w:w="352" w:type="pct"/>
            <w:noWrap/>
            <w:vAlign w:val="center"/>
          </w:tcPr>
          <w:p w14:paraId="2EEF611E">
            <w:pPr>
              <w:pStyle w:val="687"/>
              <w:rPr>
                <w:szCs w:val="22"/>
              </w:rPr>
            </w:pPr>
            <w:r>
              <w:rPr>
                <w:szCs w:val="22"/>
                <w:lang w:bidi="ar"/>
              </w:rPr>
              <w:t xml:space="preserve">35.84 </w:t>
            </w:r>
          </w:p>
        </w:tc>
        <w:tc>
          <w:tcPr>
            <w:tcW w:w="352" w:type="pct"/>
            <w:noWrap/>
            <w:vAlign w:val="center"/>
          </w:tcPr>
          <w:p w14:paraId="306D8B2D">
            <w:pPr>
              <w:pStyle w:val="687"/>
              <w:rPr>
                <w:szCs w:val="22"/>
              </w:rPr>
            </w:pPr>
            <w:r>
              <w:rPr>
                <w:szCs w:val="22"/>
                <w:lang w:bidi="ar"/>
              </w:rPr>
              <w:t xml:space="preserve">7.36 </w:t>
            </w:r>
          </w:p>
        </w:tc>
      </w:tr>
      <w:tr w14:paraId="296F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6FA654AF">
            <w:pPr>
              <w:pStyle w:val="687"/>
            </w:pPr>
            <w:r>
              <w:rPr>
                <w:rFonts w:hint="eastAsia"/>
                <w:lang w:bidi="ar"/>
              </w:rPr>
              <w:t>镁</w:t>
            </w:r>
          </w:p>
        </w:tc>
        <w:tc>
          <w:tcPr>
            <w:tcW w:w="536" w:type="pct"/>
            <w:vAlign w:val="center"/>
          </w:tcPr>
          <w:p w14:paraId="5B0BA3B3">
            <w:pPr>
              <w:pStyle w:val="687"/>
            </w:pPr>
            <w:r>
              <w:rPr>
                <w:lang w:bidi="ar"/>
              </w:rPr>
              <w:t>mg/L</w:t>
            </w:r>
          </w:p>
        </w:tc>
        <w:tc>
          <w:tcPr>
            <w:tcW w:w="427" w:type="pct"/>
            <w:vAlign w:val="center"/>
          </w:tcPr>
          <w:p w14:paraId="6893FA0B">
            <w:pPr>
              <w:pStyle w:val="687"/>
            </w:pPr>
            <w:r>
              <w:rPr>
                <w:lang w:bidi="ar"/>
              </w:rPr>
              <w:t>19.3</w:t>
            </w:r>
          </w:p>
        </w:tc>
        <w:tc>
          <w:tcPr>
            <w:tcW w:w="427" w:type="pct"/>
            <w:vAlign w:val="center"/>
          </w:tcPr>
          <w:p w14:paraId="0FEC670B">
            <w:pPr>
              <w:pStyle w:val="687"/>
            </w:pPr>
            <w:r>
              <w:rPr>
                <w:lang w:bidi="ar"/>
              </w:rPr>
              <w:t>21.1</w:t>
            </w:r>
          </w:p>
        </w:tc>
        <w:tc>
          <w:tcPr>
            <w:tcW w:w="427" w:type="pct"/>
            <w:vAlign w:val="center"/>
          </w:tcPr>
          <w:p w14:paraId="7B39CBD0">
            <w:pPr>
              <w:pStyle w:val="687"/>
            </w:pPr>
            <w:r>
              <w:rPr>
                <w:lang w:bidi="ar"/>
              </w:rPr>
              <w:t>15.9</w:t>
            </w:r>
          </w:p>
        </w:tc>
        <w:tc>
          <w:tcPr>
            <w:tcW w:w="427" w:type="pct"/>
            <w:vAlign w:val="center"/>
          </w:tcPr>
          <w:p w14:paraId="734CDAF4">
            <w:pPr>
              <w:pStyle w:val="687"/>
            </w:pPr>
            <w:r>
              <w:rPr>
                <w:lang w:bidi="ar"/>
              </w:rPr>
              <w:t>5.26</w:t>
            </w:r>
          </w:p>
        </w:tc>
        <w:tc>
          <w:tcPr>
            <w:tcW w:w="434" w:type="pct"/>
            <w:vAlign w:val="center"/>
          </w:tcPr>
          <w:p w14:paraId="6678AE29">
            <w:pPr>
              <w:pStyle w:val="687"/>
            </w:pPr>
            <w:r>
              <w:rPr>
                <w:lang w:bidi="ar"/>
              </w:rPr>
              <w:t>8.79</w:t>
            </w:r>
          </w:p>
        </w:tc>
        <w:tc>
          <w:tcPr>
            <w:tcW w:w="427" w:type="pct"/>
            <w:noWrap/>
            <w:vAlign w:val="center"/>
          </w:tcPr>
          <w:p w14:paraId="3EBE4DE9">
            <w:pPr>
              <w:pStyle w:val="687"/>
              <w:rPr>
                <w:szCs w:val="22"/>
              </w:rPr>
            </w:pPr>
            <w:r>
              <w:rPr>
                <w:szCs w:val="22"/>
                <w:lang w:bidi="ar"/>
              </w:rPr>
              <w:t>5.26</w:t>
            </w:r>
          </w:p>
        </w:tc>
        <w:tc>
          <w:tcPr>
            <w:tcW w:w="427" w:type="pct"/>
            <w:noWrap/>
            <w:vAlign w:val="center"/>
          </w:tcPr>
          <w:p w14:paraId="25BFB684">
            <w:pPr>
              <w:pStyle w:val="687"/>
              <w:rPr>
                <w:szCs w:val="22"/>
              </w:rPr>
            </w:pPr>
            <w:r>
              <w:rPr>
                <w:szCs w:val="22"/>
                <w:lang w:bidi="ar"/>
              </w:rPr>
              <w:t>21.1</w:t>
            </w:r>
          </w:p>
        </w:tc>
        <w:tc>
          <w:tcPr>
            <w:tcW w:w="352" w:type="pct"/>
            <w:noWrap/>
            <w:vAlign w:val="center"/>
          </w:tcPr>
          <w:p w14:paraId="46C9BBBF">
            <w:pPr>
              <w:pStyle w:val="687"/>
              <w:rPr>
                <w:szCs w:val="22"/>
              </w:rPr>
            </w:pPr>
            <w:r>
              <w:rPr>
                <w:szCs w:val="22"/>
                <w:lang w:bidi="ar"/>
              </w:rPr>
              <w:t xml:space="preserve">14.07 </w:t>
            </w:r>
          </w:p>
        </w:tc>
        <w:tc>
          <w:tcPr>
            <w:tcW w:w="352" w:type="pct"/>
            <w:noWrap/>
            <w:vAlign w:val="center"/>
          </w:tcPr>
          <w:p w14:paraId="44346767">
            <w:pPr>
              <w:pStyle w:val="687"/>
              <w:rPr>
                <w:szCs w:val="22"/>
              </w:rPr>
            </w:pPr>
            <w:r>
              <w:rPr>
                <w:szCs w:val="22"/>
                <w:lang w:bidi="ar"/>
              </w:rPr>
              <w:t xml:space="preserve">6.81 </w:t>
            </w:r>
          </w:p>
        </w:tc>
      </w:tr>
      <w:tr w14:paraId="6D55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3C2CA79E">
            <w:pPr>
              <w:pStyle w:val="687"/>
            </w:pPr>
            <w:r>
              <w:rPr>
                <w:rFonts w:hint="eastAsia"/>
                <w:lang w:bidi="ar"/>
              </w:rPr>
              <w:t>碳酸根</w:t>
            </w:r>
          </w:p>
        </w:tc>
        <w:tc>
          <w:tcPr>
            <w:tcW w:w="536" w:type="pct"/>
            <w:vAlign w:val="center"/>
          </w:tcPr>
          <w:p w14:paraId="18272281">
            <w:pPr>
              <w:pStyle w:val="687"/>
            </w:pPr>
            <w:r>
              <w:rPr>
                <w:lang w:bidi="ar"/>
              </w:rPr>
              <w:t>mg/L</w:t>
            </w:r>
          </w:p>
        </w:tc>
        <w:tc>
          <w:tcPr>
            <w:tcW w:w="427" w:type="pct"/>
            <w:vAlign w:val="center"/>
          </w:tcPr>
          <w:p w14:paraId="30637AFE">
            <w:pPr>
              <w:pStyle w:val="687"/>
            </w:pPr>
            <w:r>
              <w:rPr>
                <w:lang w:bidi="ar"/>
              </w:rPr>
              <w:t>5(L)</w:t>
            </w:r>
          </w:p>
        </w:tc>
        <w:tc>
          <w:tcPr>
            <w:tcW w:w="427" w:type="pct"/>
            <w:vAlign w:val="center"/>
          </w:tcPr>
          <w:p w14:paraId="73722ABA">
            <w:pPr>
              <w:pStyle w:val="687"/>
            </w:pPr>
            <w:r>
              <w:rPr>
                <w:lang w:bidi="ar"/>
              </w:rPr>
              <w:t>5(L)</w:t>
            </w:r>
          </w:p>
        </w:tc>
        <w:tc>
          <w:tcPr>
            <w:tcW w:w="427" w:type="pct"/>
            <w:vAlign w:val="center"/>
          </w:tcPr>
          <w:p w14:paraId="7DDE1435">
            <w:pPr>
              <w:pStyle w:val="687"/>
            </w:pPr>
            <w:r>
              <w:rPr>
                <w:lang w:bidi="ar"/>
              </w:rPr>
              <w:t>5(L)</w:t>
            </w:r>
          </w:p>
        </w:tc>
        <w:tc>
          <w:tcPr>
            <w:tcW w:w="427" w:type="pct"/>
            <w:vAlign w:val="center"/>
          </w:tcPr>
          <w:p w14:paraId="4BBA3229">
            <w:pPr>
              <w:pStyle w:val="687"/>
            </w:pPr>
            <w:r>
              <w:rPr>
                <w:lang w:bidi="ar"/>
              </w:rPr>
              <w:t>5(L)</w:t>
            </w:r>
          </w:p>
        </w:tc>
        <w:tc>
          <w:tcPr>
            <w:tcW w:w="434" w:type="pct"/>
            <w:vAlign w:val="center"/>
          </w:tcPr>
          <w:p w14:paraId="412320F1">
            <w:pPr>
              <w:pStyle w:val="687"/>
            </w:pPr>
            <w:r>
              <w:rPr>
                <w:lang w:bidi="ar"/>
              </w:rPr>
              <w:t>5(L)</w:t>
            </w:r>
          </w:p>
        </w:tc>
        <w:tc>
          <w:tcPr>
            <w:tcW w:w="427" w:type="pct"/>
            <w:vAlign w:val="center"/>
          </w:tcPr>
          <w:p w14:paraId="7BB3936A">
            <w:pPr>
              <w:pStyle w:val="687"/>
            </w:pPr>
            <w:r>
              <w:rPr>
                <w:lang w:bidi="ar"/>
              </w:rPr>
              <w:t>5(L)</w:t>
            </w:r>
          </w:p>
        </w:tc>
        <w:tc>
          <w:tcPr>
            <w:tcW w:w="427" w:type="pct"/>
            <w:vAlign w:val="center"/>
          </w:tcPr>
          <w:p w14:paraId="332B4FDB">
            <w:pPr>
              <w:pStyle w:val="687"/>
            </w:pPr>
            <w:r>
              <w:rPr>
                <w:lang w:bidi="ar"/>
              </w:rPr>
              <w:t>5(L)</w:t>
            </w:r>
          </w:p>
        </w:tc>
        <w:tc>
          <w:tcPr>
            <w:tcW w:w="352" w:type="pct"/>
            <w:noWrap/>
            <w:vAlign w:val="center"/>
          </w:tcPr>
          <w:p w14:paraId="1FA35243">
            <w:pPr>
              <w:pStyle w:val="687"/>
              <w:rPr>
                <w:szCs w:val="22"/>
              </w:rPr>
            </w:pPr>
            <w:r>
              <w:rPr>
                <w:szCs w:val="22"/>
                <w:lang w:bidi="ar"/>
              </w:rPr>
              <w:t>/</w:t>
            </w:r>
          </w:p>
        </w:tc>
        <w:tc>
          <w:tcPr>
            <w:tcW w:w="352" w:type="pct"/>
            <w:noWrap/>
            <w:vAlign w:val="center"/>
          </w:tcPr>
          <w:p w14:paraId="579795AD">
            <w:pPr>
              <w:pStyle w:val="687"/>
              <w:rPr>
                <w:szCs w:val="22"/>
              </w:rPr>
            </w:pPr>
            <w:r>
              <w:rPr>
                <w:szCs w:val="22"/>
                <w:lang w:bidi="ar"/>
              </w:rPr>
              <w:t>/</w:t>
            </w:r>
          </w:p>
        </w:tc>
      </w:tr>
      <w:tr w14:paraId="44C2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15E502BF">
            <w:pPr>
              <w:pStyle w:val="687"/>
            </w:pPr>
            <w:r>
              <w:rPr>
                <w:rFonts w:hint="eastAsia"/>
                <w:lang w:bidi="ar"/>
              </w:rPr>
              <w:t>重碳酸根</w:t>
            </w:r>
          </w:p>
        </w:tc>
        <w:tc>
          <w:tcPr>
            <w:tcW w:w="536" w:type="pct"/>
            <w:vAlign w:val="center"/>
          </w:tcPr>
          <w:p w14:paraId="0DA72059">
            <w:pPr>
              <w:pStyle w:val="687"/>
            </w:pPr>
            <w:r>
              <w:rPr>
                <w:lang w:bidi="ar"/>
              </w:rPr>
              <w:t>mg/L</w:t>
            </w:r>
          </w:p>
        </w:tc>
        <w:tc>
          <w:tcPr>
            <w:tcW w:w="427" w:type="pct"/>
            <w:vAlign w:val="center"/>
          </w:tcPr>
          <w:p w14:paraId="5F90AA55">
            <w:pPr>
              <w:pStyle w:val="687"/>
            </w:pPr>
            <w:r>
              <w:rPr>
                <w:lang w:bidi="ar"/>
              </w:rPr>
              <w:t>188</w:t>
            </w:r>
          </w:p>
        </w:tc>
        <w:tc>
          <w:tcPr>
            <w:tcW w:w="427" w:type="pct"/>
            <w:vAlign w:val="center"/>
          </w:tcPr>
          <w:p w14:paraId="4BE35AF7">
            <w:pPr>
              <w:pStyle w:val="687"/>
            </w:pPr>
            <w:r>
              <w:rPr>
                <w:lang w:bidi="ar"/>
              </w:rPr>
              <w:t>235</w:t>
            </w:r>
          </w:p>
        </w:tc>
        <w:tc>
          <w:tcPr>
            <w:tcW w:w="427" w:type="pct"/>
            <w:vAlign w:val="center"/>
          </w:tcPr>
          <w:p w14:paraId="6C2598A2">
            <w:pPr>
              <w:pStyle w:val="687"/>
            </w:pPr>
            <w:r>
              <w:rPr>
                <w:lang w:bidi="ar"/>
              </w:rPr>
              <w:t>212</w:t>
            </w:r>
          </w:p>
        </w:tc>
        <w:tc>
          <w:tcPr>
            <w:tcW w:w="427" w:type="pct"/>
            <w:vAlign w:val="center"/>
          </w:tcPr>
          <w:p w14:paraId="795D760F">
            <w:pPr>
              <w:pStyle w:val="687"/>
            </w:pPr>
            <w:r>
              <w:rPr>
                <w:lang w:bidi="ar"/>
              </w:rPr>
              <w:t>113</w:t>
            </w:r>
          </w:p>
        </w:tc>
        <w:tc>
          <w:tcPr>
            <w:tcW w:w="434" w:type="pct"/>
            <w:vAlign w:val="center"/>
          </w:tcPr>
          <w:p w14:paraId="11871D5B">
            <w:pPr>
              <w:pStyle w:val="687"/>
            </w:pPr>
            <w:r>
              <w:rPr>
                <w:lang w:bidi="ar"/>
              </w:rPr>
              <w:t>125</w:t>
            </w:r>
          </w:p>
        </w:tc>
        <w:tc>
          <w:tcPr>
            <w:tcW w:w="427" w:type="pct"/>
            <w:noWrap/>
            <w:vAlign w:val="center"/>
          </w:tcPr>
          <w:p w14:paraId="077DE1F0">
            <w:pPr>
              <w:pStyle w:val="687"/>
              <w:rPr>
                <w:szCs w:val="22"/>
              </w:rPr>
            </w:pPr>
            <w:r>
              <w:rPr>
                <w:szCs w:val="22"/>
                <w:lang w:bidi="ar"/>
              </w:rPr>
              <w:t>113</w:t>
            </w:r>
          </w:p>
        </w:tc>
        <w:tc>
          <w:tcPr>
            <w:tcW w:w="427" w:type="pct"/>
            <w:noWrap/>
            <w:vAlign w:val="center"/>
          </w:tcPr>
          <w:p w14:paraId="0351584F">
            <w:pPr>
              <w:pStyle w:val="687"/>
              <w:rPr>
                <w:szCs w:val="22"/>
              </w:rPr>
            </w:pPr>
            <w:r>
              <w:rPr>
                <w:szCs w:val="22"/>
                <w:lang w:bidi="ar"/>
              </w:rPr>
              <w:t>235</w:t>
            </w:r>
          </w:p>
        </w:tc>
        <w:tc>
          <w:tcPr>
            <w:tcW w:w="352" w:type="pct"/>
            <w:noWrap/>
            <w:vAlign w:val="center"/>
          </w:tcPr>
          <w:p w14:paraId="62B570F1">
            <w:pPr>
              <w:pStyle w:val="687"/>
              <w:rPr>
                <w:szCs w:val="22"/>
              </w:rPr>
            </w:pPr>
            <w:r>
              <w:rPr>
                <w:szCs w:val="22"/>
                <w:lang w:bidi="ar"/>
              </w:rPr>
              <w:t xml:space="preserve">174.60 </w:t>
            </w:r>
          </w:p>
        </w:tc>
        <w:tc>
          <w:tcPr>
            <w:tcW w:w="352" w:type="pct"/>
            <w:noWrap/>
            <w:vAlign w:val="center"/>
          </w:tcPr>
          <w:p w14:paraId="65BAA7C4">
            <w:pPr>
              <w:pStyle w:val="687"/>
              <w:rPr>
                <w:szCs w:val="22"/>
              </w:rPr>
            </w:pPr>
            <w:r>
              <w:rPr>
                <w:szCs w:val="22"/>
                <w:lang w:bidi="ar"/>
              </w:rPr>
              <w:t xml:space="preserve">53.58 </w:t>
            </w:r>
          </w:p>
        </w:tc>
      </w:tr>
      <w:tr w14:paraId="102F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05655825">
            <w:pPr>
              <w:pStyle w:val="687"/>
            </w:pPr>
            <w:r>
              <w:rPr>
                <w:rFonts w:hint="eastAsia"/>
                <w:lang w:bidi="ar"/>
              </w:rPr>
              <w:t>氟化物</w:t>
            </w:r>
          </w:p>
        </w:tc>
        <w:tc>
          <w:tcPr>
            <w:tcW w:w="536" w:type="pct"/>
            <w:vAlign w:val="center"/>
          </w:tcPr>
          <w:p w14:paraId="1BF32E01">
            <w:pPr>
              <w:pStyle w:val="687"/>
            </w:pPr>
            <w:r>
              <w:rPr>
                <w:lang w:bidi="ar"/>
              </w:rPr>
              <w:t>mg/L</w:t>
            </w:r>
          </w:p>
        </w:tc>
        <w:tc>
          <w:tcPr>
            <w:tcW w:w="427" w:type="pct"/>
            <w:vAlign w:val="center"/>
          </w:tcPr>
          <w:p w14:paraId="5B38966E">
            <w:pPr>
              <w:pStyle w:val="687"/>
            </w:pPr>
            <w:r>
              <w:rPr>
                <w:lang w:bidi="ar"/>
              </w:rPr>
              <w:t>0.705</w:t>
            </w:r>
          </w:p>
        </w:tc>
        <w:tc>
          <w:tcPr>
            <w:tcW w:w="427" w:type="pct"/>
            <w:vAlign w:val="center"/>
          </w:tcPr>
          <w:p w14:paraId="24EFF166">
            <w:pPr>
              <w:pStyle w:val="687"/>
            </w:pPr>
            <w:r>
              <w:rPr>
                <w:lang w:bidi="ar"/>
              </w:rPr>
              <w:t>0.945</w:t>
            </w:r>
          </w:p>
        </w:tc>
        <w:tc>
          <w:tcPr>
            <w:tcW w:w="427" w:type="pct"/>
            <w:vAlign w:val="center"/>
          </w:tcPr>
          <w:p w14:paraId="240C9E10">
            <w:pPr>
              <w:pStyle w:val="687"/>
            </w:pPr>
            <w:r>
              <w:rPr>
                <w:lang w:bidi="ar"/>
              </w:rPr>
              <w:t>0.721</w:t>
            </w:r>
          </w:p>
        </w:tc>
        <w:tc>
          <w:tcPr>
            <w:tcW w:w="427" w:type="pct"/>
            <w:vAlign w:val="center"/>
          </w:tcPr>
          <w:p w14:paraId="131894A5">
            <w:pPr>
              <w:pStyle w:val="687"/>
            </w:pPr>
            <w:r>
              <w:rPr>
                <w:lang w:bidi="ar"/>
              </w:rPr>
              <w:t>0.454</w:t>
            </w:r>
          </w:p>
        </w:tc>
        <w:tc>
          <w:tcPr>
            <w:tcW w:w="434" w:type="pct"/>
            <w:vAlign w:val="center"/>
          </w:tcPr>
          <w:p w14:paraId="310B46B3">
            <w:pPr>
              <w:pStyle w:val="687"/>
            </w:pPr>
            <w:r>
              <w:rPr>
                <w:lang w:bidi="ar"/>
              </w:rPr>
              <w:t>0.46</w:t>
            </w:r>
          </w:p>
        </w:tc>
        <w:tc>
          <w:tcPr>
            <w:tcW w:w="427" w:type="pct"/>
            <w:noWrap/>
            <w:vAlign w:val="center"/>
          </w:tcPr>
          <w:p w14:paraId="18A402D1">
            <w:pPr>
              <w:pStyle w:val="687"/>
              <w:rPr>
                <w:szCs w:val="22"/>
              </w:rPr>
            </w:pPr>
            <w:r>
              <w:rPr>
                <w:szCs w:val="22"/>
                <w:lang w:bidi="ar"/>
              </w:rPr>
              <w:t>0.454</w:t>
            </w:r>
          </w:p>
        </w:tc>
        <w:tc>
          <w:tcPr>
            <w:tcW w:w="427" w:type="pct"/>
            <w:noWrap/>
            <w:vAlign w:val="center"/>
          </w:tcPr>
          <w:p w14:paraId="670CD1D5">
            <w:pPr>
              <w:pStyle w:val="687"/>
              <w:rPr>
                <w:szCs w:val="22"/>
              </w:rPr>
            </w:pPr>
            <w:r>
              <w:rPr>
                <w:szCs w:val="22"/>
                <w:lang w:bidi="ar"/>
              </w:rPr>
              <w:t>0.945</w:t>
            </w:r>
          </w:p>
        </w:tc>
        <w:tc>
          <w:tcPr>
            <w:tcW w:w="352" w:type="pct"/>
            <w:noWrap/>
            <w:vAlign w:val="center"/>
          </w:tcPr>
          <w:p w14:paraId="71DAC446">
            <w:pPr>
              <w:pStyle w:val="687"/>
              <w:rPr>
                <w:szCs w:val="22"/>
              </w:rPr>
            </w:pPr>
            <w:r>
              <w:rPr>
                <w:szCs w:val="22"/>
                <w:lang w:bidi="ar"/>
              </w:rPr>
              <w:t xml:space="preserve">0.66 </w:t>
            </w:r>
          </w:p>
        </w:tc>
        <w:tc>
          <w:tcPr>
            <w:tcW w:w="352" w:type="pct"/>
            <w:noWrap/>
            <w:vAlign w:val="center"/>
          </w:tcPr>
          <w:p w14:paraId="70A8A0D8">
            <w:pPr>
              <w:pStyle w:val="687"/>
              <w:rPr>
                <w:szCs w:val="22"/>
              </w:rPr>
            </w:pPr>
            <w:r>
              <w:rPr>
                <w:szCs w:val="22"/>
                <w:lang w:bidi="ar"/>
              </w:rPr>
              <w:t xml:space="preserve">0.21 </w:t>
            </w:r>
          </w:p>
        </w:tc>
      </w:tr>
      <w:tr w14:paraId="3A05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09B0D783">
            <w:pPr>
              <w:pStyle w:val="687"/>
            </w:pPr>
            <w:r>
              <w:rPr>
                <w:rFonts w:hint="eastAsia"/>
                <w:lang w:bidi="ar"/>
              </w:rPr>
              <w:t>氯离子</w:t>
            </w:r>
          </w:p>
        </w:tc>
        <w:tc>
          <w:tcPr>
            <w:tcW w:w="536" w:type="pct"/>
            <w:vAlign w:val="center"/>
          </w:tcPr>
          <w:p w14:paraId="6048601B">
            <w:pPr>
              <w:pStyle w:val="687"/>
            </w:pPr>
            <w:r>
              <w:rPr>
                <w:lang w:bidi="ar"/>
              </w:rPr>
              <w:t>mg/L</w:t>
            </w:r>
          </w:p>
        </w:tc>
        <w:tc>
          <w:tcPr>
            <w:tcW w:w="427" w:type="pct"/>
            <w:vAlign w:val="center"/>
          </w:tcPr>
          <w:p w14:paraId="539BC965">
            <w:pPr>
              <w:pStyle w:val="687"/>
            </w:pPr>
            <w:r>
              <w:rPr>
                <w:lang w:bidi="ar"/>
              </w:rPr>
              <w:t>12.9</w:t>
            </w:r>
          </w:p>
        </w:tc>
        <w:tc>
          <w:tcPr>
            <w:tcW w:w="427" w:type="pct"/>
            <w:vAlign w:val="center"/>
          </w:tcPr>
          <w:p w14:paraId="1A89FC83">
            <w:pPr>
              <w:pStyle w:val="687"/>
            </w:pPr>
            <w:r>
              <w:rPr>
                <w:lang w:bidi="ar"/>
              </w:rPr>
              <w:t>24.2</w:t>
            </w:r>
          </w:p>
        </w:tc>
        <w:tc>
          <w:tcPr>
            <w:tcW w:w="427" w:type="pct"/>
            <w:vAlign w:val="center"/>
          </w:tcPr>
          <w:p w14:paraId="3AA8F8BE">
            <w:pPr>
              <w:pStyle w:val="687"/>
            </w:pPr>
            <w:r>
              <w:rPr>
                <w:lang w:bidi="ar"/>
              </w:rPr>
              <w:t>8.95</w:t>
            </w:r>
          </w:p>
        </w:tc>
        <w:tc>
          <w:tcPr>
            <w:tcW w:w="427" w:type="pct"/>
            <w:vAlign w:val="center"/>
          </w:tcPr>
          <w:p w14:paraId="7F5B71FA">
            <w:pPr>
              <w:pStyle w:val="687"/>
            </w:pPr>
            <w:r>
              <w:rPr>
                <w:lang w:bidi="ar"/>
              </w:rPr>
              <w:t>14.7</w:t>
            </w:r>
          </w:p>
        </w:tc>
        <w:tc>
          <w:tcPr>
            <w:tcW w:w="434" w:type="pct"/>
            <w:vAlign w:val="center"/>
          </w:tcPr>
          <w:p w14:paraId="723085AB">
            <w:pPr>
              <w:pStyle w:val="687"/>
            </w:pPr>
            <w:r>
              <w:rPr>
                <w:lang w:bidi="ar"/>
              </w:rPr>
              <w:t>9.58</w:t>
            </w:r>
          </w:p>
        </w:tc>
        <w:tc>
          <w:tcPr>
            <w:tcW w:w="427" w:type="pct"/>
            <w:noWrap/>
            <w:vAlign w:val="center"/>
          </w:tcPr>
          <w:p w14:paraId="4A84E915">
            <w:pPr>
              <w:pStyle w:val="687"/>
              <w:rPr>
                <w:szCs w:val="22"/>
              </w:rPr>
            </w:pPr>
            <w:r>
              <w:rPr>
                <w:szCs w:val="22"/>
                <w:lang w:bidi="ar"/>
              </w:rPr>
              <w:t>8.95</w:t>
            </w:r>
          </w:p>
        </w:tc>
        <w:tc>
          <w:tcPr>
            <w:tcW w:w="427" w:type="pct"/>
            <w:noWrap/>
            <w:vAlign w:val="center"/>
          </w:tcPr>
          <w:p w14:paraId="67EE9D1F">
            <w:pPr>
              <w:pStyle w:val="687"/>
              <w:rPr>
                <w:szCs w:val="22"/>
              </w:rPr>
            </w:pPr>
            <w:r>
              <w:rPr>
                <w:szCs w:val="22"/>
                <w:lang w:bidi="ar"/>
              </w:rPr>
              <w:t>24.2</w:t>
            </w:r>
          </w:p>
        </w:tc>
        <w:tc>
          <w:tcPr>
            <w:tcW w:w="352" w:type="pct"/>
            <w:noWrap/>
            <w:vAlign w:val="center"/>
          </w:tcPr>
          <w:p w14:paraId="480EADF0">
            <w:pPr>
              <w:pStyle w:val="687"/>
              <w:rPr>
                <w:szCs w:val="22"/>
              </w:rPr>
            </w:pPr>
            <w:r>
              <w:rPr>
                <w:szCs w:val="22"/>
                <w:lang w:bidi="ar"/>
              </w:rPr>
              <w:t xml:space="preserve">14.07 </w:t>
            </w:r>
          </w:p>
        </w:tc>
        <w:tc>
          <w:tcPr>
            <w:tcW w:w="352" w:type="pct"/>
            <w:noWrap/>
            <w:vAlign w:val="center"/>
          </w:tcPr>
          <w:p w14:paraId="7633BDCE">
            <w:pPr>
              <w:pStyle w:val="687"/>
              <w:rPr>
                <w:szCs w:val="22"/>
              </w:rPr>
            </w:pPr>
            <w:r>
              <w:rPr>
                <w:szCs w:val="22"/>
                <w:lang w:bidi="ar"/>
              </w:rPr>
              <w:t xml:space="preserve">6.14 </w:t>
            </w:r>
          </w:p>
        </w:tc>
      </w:tr>
      <w:tr w14:paraId="01BB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7FC26AA7">
            <w:pPr>
              <w:pStyle w:val="687"/>
            </w:pPr>
            <w:r>
              <w:rPr>
                <w:rFonts w:hint="eastAsia"/>
                <w:lang w:bidi="ar"/>
              </w:rPr>
              <w:t>硝酸盐氮</w:t>
            </w:r>
          </w:p>
        </w:tc>
        <w:tc>
          <w:tcPr>
            <w:tcW w:w="536" w:type="pct"/>
            <w:vAlign w:val="center"/>
          </w:tcPr>
          <w:p w14:paraId="60827B02">
            <w:pPr>
              <w:pStyle w:val="687"/>
            </w:pPr>
            <w:r>
              <w:rPr>
                <w:lang w:bidi="ar"/>
              </w:rPr>
              <w:t>mg/L</w:t>
            </w:r>
          </w:p>
        </w:tc>
        <w:tc>
          <w:tcPr>
            <w:tcW w:w="427" w:type="pct"/>
            <w:vAlign w:val="center"/>
          </w:tcPr>
          <w:p w14:paraId="08B5DCC3">
            <w:pPr>
              <w:pStyle w:val="687"/>
            </w:pPr>
            <w:r>
              <w:rPr>
                <w:lang w:bidi="ar"/>
              </w:rPr>
              <w:t>0.344</w:t>
            </w:r>
          </w:p>
        </w:tc>
        <w:tc>
          <w:tcPr>
            <w:tcW w:w="427" w:type="pct"/>
            <w:vAlign w:val="center"/>
          </w:tcPr>
          <w:p w14:paraId="43E2E0EF">
            <w:pPr>
              <w:pStyle w:val="687"/>
            </w:pPr>
            <w:r>
              <w:rPr>
                <w:lang w:bidi="ar"/>
              </w:rPr>
              <w:t>1.6</w:t>
            </w:r>
          </w:p>
        </w:tc>
        <w:tc>
          <w:tcPr>
            <w:tcW w:w="427" w:type="pct"/>
            <w:vAlign w:val="center"/>
          </w:tcPr>
          <w:p w14:paraId="71DBFE39">
            <w:pPr>
              <w:pStyle w:val="687"/>
            </w:pPr>
            <w:r>
              <w:rPr>
                <w:lang w:bidi="ar"/>
              </w:rPr>
              <w:t>2.19</w:t>
            </w:r>
          </w:p>
        </w:tc>
        <w:tc>
          <w:tcPr>
            <w:tcW w:w="427" w:type="pct"/>
            <w:vAlign w:val="center"/>
          </w:tcPr>
          <w:p w14:paraId="1FB4C2E6">
            <w:pPr>
              <w:pStyle w:val="687"/>
            </w:pPr>
            <w:r>
              <w:rPr>
                <w:lang w:bidi="ar"/>
              </w:rPr>
              <w:t>0.121</w:t>
            </w:r>
          </w:p>
        </w:tc>
        <w:tc>
          <w:tcPr>
            <w:tcW w:w="434" w:type="pct"/>
            <w:vAlign w:val="center"/>
          </w:tcPr>
          <w:p w14:paraId="74A5C47F">
            <w:pPr>
              <w:pStyle w:val="687"/>
            </w:pPr>
            <w:r>
              <w:rPr>
                <w:lang w:bidi="ar"/>
              </w:rPr>
              <w:t>0.185</w:t>
            </w:r>
          </w:p>
        </w:tc>
        <w:tc>
          <w:tcPr>
            <w:tcW w:w="427" w:type="pct"/>
            <w:noWrap/>
            <w:vAlign w:val="center"/>
          </w:tcPr>
          <w:p w14:paraId="16703F44">
            <w:pPr>
              <w:pStyle w:val="687"/>
              <w:rPr>
                <w:szCs w:val="22"/>
              </w:rPr>
            </w:pPr>
            <w:r>
              <w:rPr>
                <w:szCs w:val="22"/>
                <w:lang w:bidi="ar"/>
              </w:rPr>
              <w:t>0.121</w:t>
            </w:r>
          </w:p>
        </w:tc>
        <w:tc>
          <w:tcPr>
            <w:tcW w:w="427" w:type="pct"/>
            <w:noWrap/>
            <w:vAlign w:val="center"/>
          </w:tcPr>
          <w:p w14:paraId="6B37C262">
            <w:pPr>
              <w:pStyle w:val="687"/>
              <w:rPr>
                <w:szCs w:val="22"/>
              </w:rPr>
            </w:pPr>
            <w:r>
              <w:rPr>
                <w:szCs w:val="22"/>
                <w:lang w:bidi="ar"/>
              </w:rPr>
              <w:t>2.19</w:t>
            </w:r>
          </w:p>
        </w:tc>
        <w:tc>
          <w:tcPr>
            <w:tcW w:w="352" w:type="pct"/>
            <w:noWrap/>
            <w:vAlign w:val="center"/>
          </w:tcPr>
          <w:p w14:paraId="552909A9">
            <w:pPr>
              <w:pStyle w:val="687"/>
              <w:rPr>
                <w:szCs w:val="22"/>
              </w:rPr>
            </w:pPr>
            <w:r>
              <w:rPr>
                <w:szCs w:val="22"/>
                <w:lang w:bidi="ar"/>
              </w:rPr>
              <w:t xml:space="preserve">0.89 </w:t>
            </w:r>
          </w:p>
        </w:tc>
        <w:tc>
          <w:tcPr>
            <w:tcW w:w="352" w:type="pct"/>
            <w:noWrap/>
            <w:vAlign w:val="center"/>
          </w:tcPr>
          <w:p w14:paraId="22646D24">
            <w:pPr>
              <w:pStyle w:val="687"/>
              <w:rPr>
                <w:szCs w:val="22"/>
              </w:rPr>
            </w:pPr>
            <w:r>
              <w:rPr>
                <w:szCs w:val="22"/>
                <w:lang w:bidi="ar"/>
              </w:rPr>
              <w:t xml:space="preserve">0.95 </w:t>
            </w:r>
          </w:p>
        </w:tc>
      </w:tr>
      <w:tr w14:paraId="6D80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1B18696C">
            <w:pPr>
              <w:pStyle w:val="687"/>
            </w:pPr>
            <w:r>
              <w:rPr>
                <w:rFonts w:hint="eastAsia"/>
                <w:lang w:bidi="ar"/>
              </w:rPr>
              <w:t>亚硝酸盐氮</w:t>
            </w:r>
          </w:p>
        </w:tc>
        <w:tc>
          <w:tcPr>
            <w:tcW w:w="536" w:type="pct"/>
            <w:vAlign w:val="center"/>
          </w:tcPr>
          <w:p w14:paraId="129108FD">
            <w:pPr>
              <w:pStyle w:val="687"/>
            </w:pPr>
            <w:r>
              <w:rPr>
                <w:lang w:bidi="ar"/>
              </w:rPr>
              <w:t>mg/L</w:t>
            </w:r>
          </w:p>
        </w:tc>
        <w:tc>
          <w:tcPr>
            <w:tcW w:w="427" w:type="pct"/>
            <w:vAlign w:val="center"/>
          </w:tcPr>
          <w:p w14:paraId="61129797">
            <w:pPr>
              <w:pStyle w:val="687"/>
            </w:pPr>
            <w:r>
              <w:rPr>
                <w:lang w:bidi="ar"/>
              </w:rPr>
              <w:t>0.004</w:t>
            </w:r>
          </w:p>
        </w:tc>
        <w:tc>
          <w:tcPr>
            <w:tcW w:w="427" w:type="pct"/>
            <w:vAlign w:val="center"/>
          </w:tcPr>
          <w:p w14:paraId="214E7936">
            <w:pPr>
              <w:pStyle w:val="687"/>
            </w:pPr>
            <w:r>
              <w:rPr>
                <w:lang w:bidi="ar"/>
              </w:rPr>
              <w:t>0.006</w:t>
            </w:r>
          </w:p>
        </w:tc>
        <w:tc>
          <w:tcPr>
            <w:tcW w:w="427" w:type="pct"/>
            <w:vAlign w:val="center"/>
          </w:tcPr>
          <w:p w14:paraId="5A8CE209">
            <w:pPr>
              <w:pStyle w:val="687"/>
            </w:pPr>
            <w:r>
              <w:rPr>
                <w:lang w:bidi="ar"/>
              </w:rPr>
              <w:t>0.008</w:t>
            </w:r>
          </w:p>
        </w:tc>
        <w:tc>
          <w:tcPr>
            <w:tcW w:w="427" w:type="pct"/>
            <w:vAlign w:val="center"/>
          </w:tcPr>
          <w:p w14:paraId="69C84FCE">
            <w:pPr>
              <w:pStyle w:val="687"/>
            </w:pPr>
            <w:r>
              <w:rPr>
                <w:lang w:bidi="ar"/>
              </w:rPr>
              <w:t>0.097</w:t>
            </w:r>
          </w:p>
        </w:tc>
        <w:tc>
          <w:tcPr>
            <w:tcW w:w="434" w:type="pct"/>
            <w:vAlign w:val="center"/>
          </w:tcPr>
          <w:p w14:paraId="44AA7830">
            <w:pPr>
              <w:pStyle w:val="687"/>
            </w:pPr>
            <w:r>
              <w:rPr>
                <w:lang w:bidi="ar"/>
              </w:rPr>
              <w:t>0.007</w:t>
            </w:r>
          </w:p>
        </w:tc>
        <w:tc>
          <w:tcPr>
            <w:tcW w:w="427" w:type="pct"/>
            <w:noWrap/>
            <w:vAlign w:val="center"/>
          </w:tcPr>
          <w:p w14:paraId="5AD1A7EC">
            <w:pPr>
              <w:pStyle w:val="687"/>
              <w:rPr>
                <w:szCs w:val="22"/>
              </w:rPr>
            </w:pPr>
            <w:r>
              <w:rPr>
                <w:szCs w:val="22"/>
                <w:lang w:bidi="ar"/>
              </w:rPr>
              <w:t>0.004</w:t>
            </w:r>
          </w:p>
        </w:tc>
        <w:tc>
          <w:tcPr>
            <w:tcW w:w="427" w:type="pct"/>
            <w:noWrap/>
            <w:vAlign w:val="center"/>
          </w:tcPr>
          <w:p w14:paraId="3823E473">
            <w:pPr>
              <w:pStyle w:val="687"/>
              <w:rPr>
                <w:szCs w:val="22"/>
              </w:rPr>
            </w:pPr>
            <w:r>
              <w:rPr>
                <w:szCs w:val="22"/>
                <w:lang w:bidi="ar"/>
              </w:rPr>
              <w:t>0.097</w:t>
            </w:r>
          </w:p>
        </w:tc>
        <w:tc>
          <w:tcPr>
            <w:tcW w:w="352" w:type="pct"/>
            <w:noWrap/>
            <w:vAlign w:val="center"/>
          </w:tcPr>
          <w:p w14:paraId="53FFCFD7">
            <w:pPr>
              <w:pStyle w:val="687"/>
              <w:rPr>
                <w:szCs w:val="22"/>
              </w:rPr>
            </w:pPr>
            <w:r>
              <w:rPr>
                <w:szCs w:val="22"/>
                <w:lang w:bidi="ar"/>
              </w:rPr>
              <w:t xml:space="preserve">0.02 </w:t>
            </w:r>
          </w:p>
        </w:tc>
        <w:tc>
          <w:tcPr>
            <w:tcW w:w="352" w:type="pct"/>
            <w:noWrap/>
            <w:vAlign w:val="center"/>
          </w:tcPr>
          <w:p w14:paraId="17D55090">
            <w:pPr>
              <w:pStyle w:val="687"/>
              <w:rPr>
                <w:szCs w:val="22"/>
              </w:rPr>
            </w:pPr>
            <w:r>
              <w:rPr>
                <w:szCs w:val="22"/>
                <w:lang w:bidi="ar"/>
              </w:rPr>
              <w:t xml:space="preserve">0.04 </w:t>
            </w:r>
          </w:p>
        </w:tc>
      </w:tr>
      <w:tr w14:paraId="3A5A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6F5E75EF">
            <w:pPr>
              <w:pStyle w:val="687"/>
            </w:pPr>
            <w:r>
              <w:rPr>
                <w:rFonts w:hint="eastAsia"/>
                <w:lang w:bidi="ar"/>
              </w:rPr>
              <w:t>硫酸根</w:t>
            </w:r>
          </w:p>
        </w:tc>
        <w:tc>
          <w:tcPr>
            <w:tcW w:w="536" w:type="pct"/>
            <w:vAlign w:val="center"/>
          </w:tcPr>
          <w:p w14:paraId="15DF33C2">
            <w:pPr>
              <w:pStyle w:val="687"/>
            </w:pPr>
            <w:r>
              <w:rPr>
                <w:lang w:bidi="ar"/>
              </w:rPr>
              <w:t>mg/L</w:t>
            </w:r>
          </w:p>
        </w:tc>
        <w:tc>
          <w:tcPr>
            <w:tcW w:w="427" w:type="pct"/>
            <w:vAlign w:val="center"/>
          </w:tcPr>
          <w:p w14:paraId="2ED15C8A">
            <w:pPr>
              <w:pStyle w:val="687"/>
            </w:pPr>
            <w:r>
              <w:rPr>
                <w:lang w:bidi="ar"/>
              </w:rPr>
              <w:t>18.3</w:t>
            </w:r>
          </w:p>
        </w:tc>
        <w:tc>
          <w:tcPr>
            <w:tcW w:w="427" w:type="pct"/>
            <w:vAlign w:val="center"/>
          </w:tcPr>
          <w:p w14:paraId="30D7E36A">
            <w:pPr>
              <w:pStyle w:val="687"/>
            </w:pPr>
            <w:r>
              <w:rPr>
                <w:lang w:bidi="ar"/>
              </w:rPr>
              <w:t>24.9</w:t>
            </w:r>
          </w:p>
        </w:tc>
        <w:tc>
          <w:tcPr>
            <w:tcW w:w="427" w:type="pct"/>
            <w:vAlign w:val="center"/>
          </w:tcPr>
          <w:p w14:paraId="653C25B5">
            <w:pPr>
              <w:pStyle w:val="687"/>
            </w:pPr>
            <w:r>
              <w:rPr>
                <w:lang w:bidi="ar"/>
              </w:rPr>
              <w:t>23.7</w:t>
            </w:r>
          </w:p>
        </w:tc>
        <w:tc>
          <w:tcPr>
            <w:tcW w:w="427" w:type="pct"/>
            <w:vAlign w:val="center"/>
          </w:tcPr>
          <w:p w14:paraId="4F7F868A">
            <w:pPr>
              <w:pStyle w:val="687"/>
            </w:pPr>
            <w:r>
              <w:rPr>
                <w:lang w:bidi="ar"/>
              </w:rPr>
              <w:t>15.4</w:t>
            </w:r>
          </w:p>
        </w:tc>
        <w:tc>
          <w:tcPr>
            <w:tcW w:w="434" w:type="pct"/>
            <w:vAlign w:val="center"/>
          </w:tcPr>
          <w:p w14:paraId="6A594AA6">
            <w:pPr>
              <w:pStyle w:val="687"/>
            </w:pPr>
            <w:r>
              <w:rPr>
                <w:lang w:bidi="ar"/>
              </w:rPr>
              <w:t>17.4</w:t>
            </w:r>
          </w:p>
        </w:tc>
        <w:tc>
          <w:tcPr>
            <w:tcW w:w="427" w:type="pct"/>
            <w:noWrap/>
            <w:vAlign w:val="center"/>
          </w:tcPr>
          <w:p w14:paraId="7E91BF6E">
            <w:pPr>
              <w:pStyle w:val="687"/>
              <w:rPr>
                <w:szCs w:val="22"/>
              </w:rPr>
            </w:pPr>
            <w:r>
              <w:rPr>
                <w:szCs w:val="22"/>
                <w:lang w:bidi="ar"/>
              </w:rPr>
              <w:t>15.4</w:t>
            </w:r>
          </w:p>
        </w:tc>
        <w:tc>
          <w:tcPr>
            <w:tcW w:w="427" w:type="pct"/>
            <w:noWrap/>
            <w:vAlign w:val="center"/>
          </w:tcPr>
          <w:p w14:paraId="3869EC34">
            <w:pPr>
              <w:pStyle w:val="687"/>
              <w:rPr>
                <w:szCs w:val="22"/>
              </w:rPr>
            </w:pPr>
            <w:r>
              <w:rPr>
                <w:szCs w:val="22"/>
                <w:lang w:bidi="ar"/>
              </w:rPr>
              <w:t>24.9</w:t>
            </w:r>
          </w:p>
        </w:tc>
        <w:tc>
          <w:tcPr>
            <w:tcW w:w="352" w:type="pct"/>
            <w:noWrap/>
            <w:vAlign w:val="center"/>
          </w:tcPr>
          <w:p w14:paraId="52974980">
            <w:pPr>
              <w:pStyle w:val="687"/>
              <w:rPr>
                <w:szCs w:val="22"/>
              </w:rPr>
            </w:pPr>
            <w:r>
              <w:rPr>
                <w:szCs w:val="22"/>
                <w:lang w:bidi="ar"/>
              </w:rPr>
              <w:t xml:space="preserve">19.94 </w:t>
            </w:r>
          </w:p>
        </w:tc>
        <w:tc>
          <w:tcPr>
            <w:tcW w:w="352" w:type="pct"/>
            <w:noWrap/>
            <w:vAlign w:val="center"/>
          </w:tcPr>
          <w:p w14:paraId="10EB9FB3">
            <w:pPr>
              <w:pStyle w:val="687"/>
              <w:rPr>
                <w:szCs w:val="22"/>
              </w:rPr>
            </w:pPr>
            <w:r>
              <w:rPr>
                <w:szCs w:val="22"/>
                <w:lang w:bidi="ar"/>
              </w:rPr>
              <w:t xml:space="preserve">4.14 </w:t>
            </w:r>
          </w:p>
        </w:tc>
      </w:tr>
      <w:tr w14:paraId="07DD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366C1865">
            <w:pPr>
              <w:pStyle w:val="687"/>
            </w:pPr>
            <w:r>
              <w:rPr>
                <w:rFonts w:hint="eastAsia"/>
                <w:lang w:bidi="ar"/>
              </w:rPr>
              <w:t>汞</w:t>
            </w:r>
          </w:p>
        </w:tc>
        <w:tc>
          <w:tcPr>
            <w:tcW w:w="536" w:type="pct"/>
            <w:vAlign w:val="center"/>
          </w:tcPr>
          <w:p w14:paraId="6BF0B7FA">
            <w:pPr>
              <w:pStyle w:val="687"/>
            </w:pPr>
            <w:r>
              <w:rPr>
                <w:lang w:bidi="ar"/>
              </w:rPr>
              <w:t>μg/L</w:t>
            </w:r>
          </w:p>
        </w:tc>
        <w:tc>
          <w:tcPr>
            <w:tcW w:w="427" w:type="pct"/>
            <w:vAlign w:val="center"/>
          </w:tcPr>
          <w:p w14:paraId="0CCED122">
            <w:pPr>
              <w:pStyle w:val="687"/>
            </w:pPr>
            <w:r>
              <w:rPr>
                <w:lang w:bidi="ar"/>
              </w:rPr>
              <w:t>0.04(L)</w:t>
            </w:r>
          </w:p>
        </w:tc>
        <w:tc>
          <w:tcPr>
            <w:tcW w:w="427" w:type="pct"/>
            <w:vAlign w:val="center"/>
          </w:tcPr>
          <w:p w14:paraId="7539BA9F">
            <w:pPr>
              <w:pStyle w:val="687"/>
            </w:pPr>
            <w:r>
              <w:rPr>
                <w:lang w:bidi="ar"/>
              </w:rPr>
              <w:t>0.04(L)</w:t>
            </w:r>
          </w:p>
        </w:tc>
        <w:tc>
          <w:tcPr>
            <w:tcW w:w="427" w:type="pct"/>
            <w:vAlign w:val="center"/>
          </w:tcPr>
          <w:p w14:paraId="42B96B95">
            <w:pPr>
              <w:pStyle w:val="687"/>
            </w:pPr>
            <w:r>
              <w:rPr>
                <w:lang w:bidi="ar"/>
              </w:rPr>
              <w:t>0.04(L)</w:t>
            </w:r>
          </w:p>
        </w:tc>
        <w:tc>
          <w:tcPr>
            <w:tcW w:w="427" w:type="pct"/>
            <w:vAlign w:val="center"/>
          </w:tcPr>
          <w:p w14:paraId="5E611CDA">
            <w:pPr>
              <w:pStyle w:val="687"/>
            </w:pPr>
            <w:r>
              <w:rPr>
                <w:lang w:bidi="ar"/>
              </w:rPr>
              <w:t>0.04(L)</w:t>
            </w:r>
          </w:p>
        </w:tc>
        <w:tc>
          <w:tcPr>
            <w:tcW w:w="434" w:type="pct"/>
            <w:vAlign w:val="center"/>
          </w:tcPr>
          <w:p w14:paraId="4E9CBC59">
            <w:pPr>
              <w:pStyle w:val="687"/>
            </w:pPr>
            <w:r>
              <w:rPr>
                <w:lang w:bidi="ar"/>
              </w:rPr>
              <w:t>0.04(L)</w:t>
            </w:r>
          </w:p>
        </w:tc>
        <w:tc>
          <w:tcPr>
            <w:tcW w:w="427" w:type="pct"/>
            <w:vAlign w:val="center"/>
          </w:tcPr>
          <w:p w14:paraId="6DF28469">
            <w:pPr>
              <w:pStyle w:val="687"/>
            </w:pPr>
            <w:r>
              <w:rPr>
                <w:lang w:bidi="ar"/>
              </w:rPr>
              <w:t>0.04(L)</w:t>
            </w:r>
          </w:p>
        </w:tc>
        <w:tc>
          <w:tcPr>
            <w:tcW w:w="427" w:type="pct"/>
            <w:vAlign w:val="center"/>
          </w:tcPr>
          <w:p w14:paraId="0BCEA76F">
            <w:pPr>
              <w:pStyle w:val="687"/>
            </w:pPr>
            <w:r>
              <w:rPr>
                <w:lang w:bidi="ar"/>
              </w:rPr>
              <w:t>0.04(L)</w:t>
            </w:r>
          </w:p>
        </w:tc>
        <w:tc>
          <w:tcPr>
            <w:tcW w:w="352" w:type="pct"/>
            <w:noWrap/>
            <w:vAlign w:val="center"/>
          </w:tcPr>
          <w:p w14:paraId="11FA0766">
            <w:pPr>
              <w:pStyle w:val="687"/>
              <w:rPr>
                <w:szCs w:val="22"/>
              </w:rPr>
            </w:pPr>
            <w:r>
              <w:rPr>
                <w:szCs w:val="22"/>
                <w:lang w:bidi="ar"/>
              </w:rPr>
              <w:t>/</w:t>
            </w:r>
          </w:p>
        </w:tc>
        <w:tc>
          <w:tcPr>
            <w:tcW w:w="352" w:type="pct"/>
            <w:noWrap/>
            <w:vAlign w:val="center"/>
          </w:tcPr>
          <w:p w14:paraId="3FFA7EC4">
            <w:pPr>
              <w:pStyle w:val="687"/>
              <w:rPr>
                <w:szCs w:val="22"/>
              </w:rPr>
            </w:pPr>
            <w:r>
              <w:rPr>
                <w:szCs w:val="22"/>
                <w:lang w:bidi="ar"/>
              </w:rPr>
              <w:t>/</w:t>
            </w:r>
          </w:p>
        </w:tc>
      </w:tr>
      <w:tr w14:paraId="4642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67E1F972">
            <w:pPr>
              <w:pStyle w:val="687"/>
            </w:pPr>
            <w:r>
              <w:rPr>
                <w:rFonts w:hint="eastAsia"/>
                <w:lang w:bidi="ar"/>
              </w:rPr>
              <w:t>砷</w:t>
            </w:r>
          </w:p>
        </w:tc>
        <w:tc>
          <w:tcPr>
            <w:tcW w:w="536" w:type="pct"/>
            <w:vAlign w:val="center"/>
          </w:tcPr>
          <w:p w14:paraId="632B7988">
            <w:pPr>
              <w:pStyle w:val="687"/>
            </w:pPr>
            <w:r>
              <w:rPr>
                <w:lang w:bidi="ar"/>
              </w:rPr>
              <w:t>μg/L</w:t>
            </w:r>
          </w:p>
        </w:tc>
        <w:tc>
          <w:tcPr>
            <w:tcW w:w="427" w:type="pct"/>
            <w:vAlign w:val="center"/>
          </w:tcPr>
          <w:p w14:paraId="15E23E8F">
            <w:pPr>
              <w:pStyle w:val="687"/>
            </w:pPr>
            <w:r>
              <w:rPr>
                <w:lang w:bidi="ar"/>
              </w:rPr>
              <w:t>0.3(L)</w:t>
            </w:r>
          </w:p>
        </w:tc>
        <w:tc>
          <w:tcPr>
            <w:tcW w:w="427" w:type="pct"/>
            <w:vAlign w:val="center"/>
          </w:tcPr>
          <w:p w14:paraId="2386B9DC">
            <w:pPr>
              <w:pStyle w:val="687"/>
            </w:pPr>
            <w:r>
              <w:rPr>
                <w:lang w:bidi="ar"/>
              </w:rPr>
              <w:t>0.3(L)</w:t>
            </w:r>
          </w:p>
        </w:tc>
        <w:tc>
          <w:tcPr>
            <w:tcW w:w="427" w:type="pct"/>
            <w:vAlign w:val="center"/>
          </w:tcPr>
          <w:p w14:paraId="0294F276">
            <w:pPr>
              <w:pStyle w:val="687"/>
            </w:pPr>
            <w:r>
              <w:rPr>
                <w:lang w:bidi="ar"/>
              </w:rPr>
              <w:t>0.3(L)</w:t>
            </w:r>
          </w:p>
        </w:tc>
        <w:tc>
          <w:tcPr>
            <w:tcW w:w="427" w:type="pct"/>
            <w:vAlign w:val="center"/>
          </w:tcPr>
          <w:p w14:paraId="27263B90">
            <w:pPr>
              <w:pStyle w:val="687"/>
            </w:pPr>
            <w:r>
              <w:rPr>
                <w:lang w:bidi="ar"/>
              </w:rPr>
              <w:t>0.3(L)</w:t>
            </w:r>
          </w:p>
        </w:tc>
        <w:tc>
          <w:tcPr>
            <w:tcW w:w="434" w:type="pct"/>
            <w:vAlign w:val="center"/>
          </w:tcPr>
          <w:p w14:paraId="00C7BA9E">
            <w:pPr>
              <w:pStyle w:val="687"/>
            </w:pPr>
            <w:r>
              <w:rPr>
                <w:lang w:bidi="ar"/>
              </w:rPr>
              <w:t>0.3(L)</w:t>
            </w:r>
          </w:p>
        </w:tc>
        <w:tc>
          <w:tcPr>
            <w:tcW w:w="427" w:type="pct"/>
            <w:vAlign w:val="center"/>
          </w:tcPr>
          <w:p w14:paraId="094EE577">
            <w:pPr>
              <w:pStyle w:val="687"/>
            </w:pPr>
            <w:r>
              <w:rPr>
                <w:lang w:bidi="ar"/>
              </w:rPr>
              <w:t>0.3(L)</w:t>
            </w:r>
          </w:p>
        </w:tc>
        <w:tc>
          <w:tcPr>
            <w:tcW w:w="427" w:type="pct"/>
            <w:vAlign w:val="center"/>
          </w:tcPr>
          <w:p w14:paraId="32C5C433">
            <w:pPr>
              <w:pStyle w:val="687"/>
            </w:pPr>
            <w:r>
              <w:rPr>
                <w:lang w:bidi="ar"/>
              </w:rPr>
              <w:t>0.3(L)</w:t>
            </w:r>
          </w:p>
        </w:tc>
        <w:tc>
          <w:tcPr>
            <w:tcW w:w="352" w:type="pct"/>
            <w:noWrap/>
            <w:vAlign w:val="center"/>
          </w:tcPr>
          <w:p w14:paraId="68049FD2">
            <w:pPr>
              <w:pStyle w:val="687"/>
              <w:rPr>
                <w:szCs w:val="22"/>
              </w:rPr>
            </w:pPr>
            <w:r>
              <w:rPr>
                <w:szCs w:val="22"/>
                <w:lang w:bidi="ar"/>
              </w:rPr>
              <w:t>/</w:t>
            </w:r>
          </w:p>
        </w:tc>
        <w:tc>
          <w:tcPr>
            <w:tcW w:w="352" w:type="pct"/>
            <w:noWrap/>
            <w:vAlign w:val="center"/>
          </w:tcPr>
          <w:p w14:paraId="147421D5">
            <w:pPr>
              <w:pStyle w:val="687"/>
              <w:rPr>
                <w:szCs w:val="22"/>
              </w:rPr>
            </w:pPr>
            <w:r>
              <w:rPr>
                <w:szCs w:val="22"/>
                <w:lang w:bidi="ar"/>
              </w:rPr>
              <w:t>/</w:t>
            </w:r>
          </w:p>
        </w:tc>
      </w:tr>
      <w:tr w14:paraId="74B1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04D20D31">
            <w:pPr>
              <w:pStyle w:val="687"/>
            </w:pPr>
            <w:r>
              <w:rPr>
                <w:rFonts w:hint="eastAsia"/>
                <w:lang w:bidi="ar"/>
              </w:rPr>
              <w:t>铬（六价）</w:t>
            </w:r>
          </w:p>
        </w:tc>
        <w:tc>
          <w:tcPr>
            <w:tcW w:w="536" w:type="pct"/>
            <w:vAlign w:val="center"/>
          </w:tcPr>
          <w:p w14:paraId="0950BC90">
            <w:pPr>
              <w:pStyle w:val="687"/>
            </w:pPr>
            <w:r>
              <w:rPr>
                <w:lang w:bidi="ar"/>
              </w:rPr>
              <w:t>mg/L</w:t>
            </w:r>
          </w:p>
        </w:tc>
        <w:tc>
          <w:tcPr>
            <w:tcW w:w="427" w:type="pct"/>
            <w:vAlign w:val="center"/>
          </w:tcPr>
          <w:p w14:paraId="795E96C8">
            <w:pPr>
              <w:pStyle w:val="687"/>
            </w:pPr>
            <w:r>
              <w:rPr>
                <w:lang w:bidi="ar"/>
              </w:rPr>
              <w:t>0.004(L)</w:t>
            </w:r>
          </w:p>
        </w:tc>
        <w:tc>
          <w:tcPr>
            <w:tcW w:w="427" w:type="pct"/>
            <w:vAlign w:val="center"/>
          </w:tcPr>
          <w:p w14:paraId="3CCB78E2">
            <w:pPr>
              <w:pStyle w:val="687"/>
            </w:pPr>
            <w:r>
              <w:rPr>
                <w:lang w:bidi="ar"/>
              </w:rPr>
              <w:t>0.004(L)</w:t>
            </w:r>
          </w:p>
        </w:tc>
        <w:tc>
          <w:tcPr>
            <w:tcW w:w="427" w:type="pct"/>
            <w:vAlign w:val="center"/>
          </w:tcPr>
          <w:p w14:paraId="64E94440">
            <w:pPr>
              <w:pStyle w:val="687"/>
            </w:pPr>
            <w:r>
              <w:rPr>
                <w:lang w:bidi="ar"/>
              </w:rPr>
              <w:t>0.004(L)</w:t>
            </w:r>
          </w:p>
        </w:tc>
        <w:tc>
          <w:tcPr>
            <w:tcW w:w="427" w:type="pct"/>
            <w:vAlign w:val="center"/>
          </w:tcPr>
          <w:p w14:paraId="63EC3665">
            <w:pPr>
              <w:pStyle w:val="687"/>
            </w:pPr>
            <w:r>
              <w:rPr>
                <w:lang w:bidi="ar"/>
              </w:rPr>
              <w:t>0.004(L)</w:t>
            </w:r>
          </w:p>
        </w:tc>
        <w:tc>
          <w:tcPr>
            <w:tcW w:w="434" w:type="pct"/>
            <w:vAlign w:val="center"/>
          </w:tcPr>
          <w:p w14:paraId="77EFB726">
            <w:pPr>
              <w:pStyle w:val="687"/>
            </w:pPr>
            <w:r>
              <w:rPr>
                <w:lang w:bidi="ar"/>
              </w:rPr>
              <w:t>0.004(L)</w:t>
            </w:r>
          </w:p>
        </w:tc>
        <w:tc>
          <w:tcPr>
            <w:tcW w:w="427" w:type="pct"/>
            <w:vAlign w:val="center"/>
          </w:tcPr>
          <w:p w14:paraId="425233AD">
            <w:pPr>
              <w:pStyle w:val="687"/>
            </w:pPr>
            <w:r>
              <w:rPr>
                <w:lang w:bidi="ar"/>
              </w:rPr>
              <w:t>0.004(L)</w:t>
            </w:r>
          </w:p>
        </w:tc>
        <w:tc>
          <w:tcPr>
            <w:tcW w:w="427" w:type="pct"/>
            <w:vAlign w:val="center"/>
          </w:tcPr>
          <w:p w14:paraId="66954BE3">
            <w:pPr>
              <w:pStyle w:val="687"/>
            </w:pPr>
            <w:r>
              <w:rPr>
                <w:lang w:bidi="ar"/>
              </w:rPr>
              <w:t>0.004(L)</w:t>
            </w:r>
          </w:p>
        </w:tc>
        <w:tc>
          <w:tcPr>
            <w:tcW w:w="352" w:type="pct"/>
            <w:noWrap/>
            <w:vAlign w:val="center"/>
          </w:tcPr>
          <w:p w14:paraId="088D2DB8">
            <w:pPr>
              <w:pStyle w:val="687"/>
              <w:rPr>
                <w:szCs w:val="22"/>
              </w:rPr>
            </w:pPr>
            <w:r>
              <w:rPr>
                <w:szCs w:val="22"/>
                <w:lang w:bidi="ar"/>
              </w:rPr>
              <w:t>/</w:t>
            </w:r>
          </w:p>
        </w:tc>
        <w:tc>
          <w:tcPr>
            <w:tcW w:w="352" w:type="pct"/>
            <w:noWrap/>
            <w:vAlign w:val="center"/>
          </w:tcPr>
          <w:p w14:paraId="2B1F8EB0">
            <w:pPr>
              <w:pStyle w:val="687"/>
              <w:rPr>
                <w:szCs w:val="22"/>
              </w:rPr>
            </w:pPr>
            <w:r>
              <w:rPr>
                <w:szCs w:val="22"/>
                <w:lang w:bidi="ar"/>
              </w:rPr>
              <w:t>/</w:t>
            </w:r>
          </w:p>
        </w:tc>
      </w:tr>
      <w:tr w14:paraId="104B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61665A87">
            <w:pPr>
              <w:pStyle w:val="687"/>
            </w:pPr>
            <w:r>
              <w:rPr>
                <w:rFonts w:hint="eastAsia"/>
                <w:lang w:bidi="ar"/>
              </w:rPr>
              <w:t>石油类</w:t>
            </w:r>
          </w:p>
        </w:tc>
        <w:tc>
          <w:tcPr>
            <w:tcW w:w="536" w:type="pct"/>
            <w:vAlign w:val="center"/>
          </w:tcPr>
          <w:p w14:paraId="2EABDB44">
            <w:pPr>
              <w:pStyle w:val="687"/>
            </w:pPr>
            <w:r>
              <w:rPr>
                <w:lang w:bidi="ar"/>
              </w:rPr>
              <w:t>mg/L</w:t>
            </w:r>
          </w:p>
        </w:tc>
        <w:tc>
          <w:tcPr>
            <w:tcW w:w="427" w:type="pct"/>
            <w:vAlign w:val="center"/>
          </w:tcPr>
          <w:p w14:paraId="12077A9A">
            <w:pPr>
              <w:pStyle w:val="687"/>
            </w:pPr>
            <w:r>
              <w:rPr>
                <w:lang w:bidi="ar"/>
              </w:rPr>
              <w:t>0.01(L)</w:t>
            </w:r>
          </w:p>
        </w:tc>
        <w:tc>
          <w:tcPr>
            <w:tcW w:w="427" w:type="pct"/>
            <w:vAlign w:val="center"/>
          </w:tcPr>
          <w:p w14:paraId="43F71094">
            <w:pPr>
              <w:pStyle w:val="687"/>
            </w:pPr>
            <w:r>
              <w:rPr>
                <w:lang w:bidi="ar"/>
              </w:rPr>
              <w:t>0.01(L)</w:t>
            </w:r>
          </w:p>
        </w:tc>
        <w:tc>
          <w:tcPr>
            <w:tcW w:w="427" w:type="pct"/>
            <w:vAlign w:val="center"/>
          </w:tcPr>
          <w:p w14:paraId="7843E52A">
            <w:pPr>
              <w:pStyle w:val="687"/>
            </w:pPr>
            <w:r>
              <w:rPr>
                <w:lang w:bidi="ar"/>
              </w:rPr>
              <w:t>0.01(L)</w:t>
            </w:r>
          </w:p>
        </w:tc>
        <w:tc>
          <w:tcPr>
            <w:tcW w:w="427" w:type="pct"/>
            <w:vAlign w:val="center"/>
          </w:tcPr>
          <w:p w14:paraId="5FBB6F92">
            <w:pPr>
              <w:pStyle w:val="687"/>
            </w:pPr>
            <w:r>
              <w:rPr>
                <w:lang w:bidi="ar"/>
              </w:rPr>
              <w:t>0.01(L)</w:t>
            </w:r>
          </w:p>
        </w:tc>
        <w:tc>
          <w:tcPr>
            <w:tcW w:w="434" w:type="pct"/>
            <w:vAlign w:val="center"/>
          </w:tcPr>
          <w:p w14:paraId="34B422DC">
            <w:pPr>
              <w:pStyle w:val="687"/>
            </w:pPr>
            <w:r>
              <w:rPr>
                <w:lang w:bidi="ar"/>
              </w:rPr>
              <w:t>0.01(L)</w:t>
            </w:r>
          </w:p>
        </w:tc>
        <w:tc>
          <w:tcPr>
            <w:tcW w:w="427" w:type="pct"/>
            <w:vAlign w:val="center"/>
          </w:tcPr>
          <w:p w14:paraId="7DAA1E32">
            <w:pPr>
              <w:pStyle w:val="687"/>
            </w:pPr>
            <w:r>
              <w:rPr>
                <w:lang w:bidi="ar"/>
              </w:rPr>
              <w:t>0.01(L)</w:t>
            </w:r>
          </w:p>
        </w:tc>
        <w:tc>
          <w:tcPr>
            <w:tcW w:w="427" w:type="pct"/>
            <w:vAlign w:val="center"/>
          </w:tcPr>
          <w:p w14:paraId="025560EC">
            <w:pPr>
              <w:pStyle w:val="687"/>
            </w:pPr>
            <w:r>
              <w:rPr>
                <w:lang w:bidi="ar"/>
              </w:rPr>
              <w:t>0.01(L)</w:t>
            </w:r>
          </w:p>
        </w:tc>
        <w:tc>
          <w:tcPr>
            <w:tcW w:w="352" w:type="pct"/>
            <w:noWrap/>
            <w:vAlign w:val="center"/>
          </w:tcPr>
          <w:p w14:paraId="207401D9">
            <w:pPr>
              <w:pStyle w:val="687"/>
              <w:rPr>
                <w:szCs w:val="22"/>
              </w:rPr>
            </w:pPr>
            <w:r>
              <w:rPr>
                <w:szCs w:val="22"/>
                <w:lang w:bidi="ar"/>
              </w:rPr>
              <w:t>/</w:t>
            </w:r>
          </w:p>
        </w:tc>
        <w:tc>
          <w:tcPr>
            <w:tcW w:w="352" w:type="pct"/>
            <w:noWrap/>
            <w:vAlign w:val="center"/>
          </w:tcPr>
          <w:p w14:paraId="1D779995">
            <w:pPr>
              <w:pStyle w:val="687"/>
              <w:rPr>
                <w:szCs w:val="22"/>
              </w:rPr>
            </w:pPr>
            <w:r>
              <w:rPr>
                <w:szCs w:val="22"/>
                <w:lang w:bidi="ar"/>
              </w:rPr>
              <w:t>/</w:t>
            </w:r>
          </w:p>
        </w:tc>
      </w:tr>
      <w:tr w14:paraId="547D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440526F7">
            <w:pPr>
              <w:pStyle w:val="687"/>
            </w:pPr>
            <w:r>
              <w:rPr>
                <w:rFonts w:hint="eastAsia"/>
                <w:lang w:bidi="ar"/>
              </w:rPr>
              <w:t>铅</w:t>
            </w:r>
          </w:p>
        </w:tc>
        <w:tc>
          <w:tcPr>
            <w:tcW w:w="536" w:type="pct"/>
            <w:vAlign w:val="center"/>
          </w:tcPr>
          <w:p w14:paraId="14B4B623">
            <w:pPr>
              <w:pStyle w:val="687"/>
            </w:pPr>
            <w:r>
              <w:rPr>
                <w:lang w:bidi="ar"/>
              </w:rPr>
              <w:t>μg/L</w:t>
            </w:r>
          </w:p>
        </w:tc>
        <w:tc>
          <w:tcPr>
            <w:tcW w:w="427" w:type="pct"/>
            <w:vAlign w:val="center"/>
          </w:tcPr>
          <w:p w14:paraId="73BC1F79">
            <w:pPr>
              <w:pStyle w:val="687"/>
            </w:pPr>
            <w:r>
              <w:rPr>
                <w:lang w:bidi="ar"/>
              </w:rPr>
              <w:t>2.5(L)</w:t>
            </w:r>
          </w:p>
        </w:tc>
        <w:tc>
          <w:tcPr>
            <w:tcW w:w="427" w:type="pct"/>
            <w:vAlign w:val="center"/>
          </w:tcPr>
          <w:p w14:paraId="13105F18">
            <w:pPr>
              <w:pStyle w:val="687"/>
            </w:pPr>
            <w:r>
              <w:rPr>
                <w:lang w:bidi="ar"/>
              </w:rPr>
              <w:t>2.5(L)</w:t>
            </w:r>
          </w:p>
        </w:tc>
        <w:tc>
          <w:tcPr>
            <w:tcW w:w="427" w:type="pct"/>
            <w:vAlign w:val="center"/>
          </w:tcPr>
          <w:p w14:paraId="761CD230">
            <w:pPr>
              <w:pStyle w:val="687"/>
            </w:pPr>
            <w:r>
              <w:rPr>
                <w:lang w:bidi="ar"/>
              </w:rPr>
              <w:t>2.5(L)</w:t>
            </w:r>
          </w:p>
        </w:tc>
        <w:tc>
          <w:tcPr>
            <w:tcW w:w="427" w:type="pct"/>
            <w:vAlign w:val="center"/>
          </w:tcPr>
          <w:p w14:paraId="4AB87DAA">
            <w:pPr>
              <w:pStyle w:val="687"/>
            </w:pPr>
            <w:r>
              <w:rPr>
                <w:lang w:bidi="ar"/>
              </w:rPr>
              <w:t>2.5(L)</w:t>
            </w:r>
          </w:p>
        </w:tc>
        <w:tc>
          <w:tcPr>
            <w:tcW w:w="434" w:type="pct"/>
            <w:vAlign w:val="center"/>
          </w:tcPr>
          <w:p w14:paraId="22B9B0E9">
            <w:pPr>
              <w:pStyle w:val="687"/>
            </w:pPr>
            <w:r>
              <w:rPr>
                <w:lang w:bidi="ar"/>
              </w:rPr>
              <w:t>2.5(L)</w:t>
            </w:r>
          </w:p>
        </w:tc>
        <w:tc>
          <w:tcPr>
            <w:tcW w:w="427" w:type="pct"/>
            <w:vAlign w:val="center"/>
          </w:tcPr>
          <w:p w14:paraId="48C49F6E">
            <w:pPr>
              <w:pStyle w:val="687"/>
            </w:pPr>
            <w:r>
              <w:rPr>
                <w:lang w:bidi="ar"/>
              </w:rPr>
              <w:t>2.5(L)</w:t>
            </w:r>
          </w:p>
        </w:tc>
        <w:tc>
          <w:tcPr>
            <w:tcW w:w="427" w:type="pct"/>
            <w:vAlign w:val="center"/>
          </w:tcPr>
          <w:p w14:paraId="3A250F0F">
            <w:pPr>
              <w:pStyle w:val="687"/>
            </w:pPr>
            <w:r>
              <w:rPr>
                <w:lang w:bidi="ar"/>
              </w:rPr>
              <w:t>2.5(L)</w:t>
            </w:r>
          </w:p>
        </w:tc>
        <w:tc>
          <w:tcPr>
            <w:tcW w:w="352" w:type="pct"/>
            <w:noWrap/>
            <w:vAlign w:val="center"/>
          </w:tcPr>
          <w:p w14:paraId="3ABF92F5">
            <w:pPr>
              <w:pStyle w:val="687"/>
              <w:rPr>
                <w:szCs w:val="22"/>
              </w:rPr>
            </w:pPr>
            <w:r>
              <w:rPr>
                <w:szCs w:val="22"/>
                <w:lang w:bidi="ar"/>
              </w:rPr>
              <w:t>/</w:t>
            </w:r>
          </w:p>
        </w:tc>
        <w:tc>
          <w:tcPr>
            <w:tcW w:w="352" w:type="pct"/>
            <w:noWrap/>
            <w:vAlign w:val="center"/>
          </w:tcPr>
          <w:p w14:paraId="6275990B">
            <w:pPr>
              <w:pStyle w:val="687"/>
              <w:rPr>
                <w:szCs w:val="22"/>
              </w:rPr>
            </w:pPr>
            <w:r>
              <w:rPr>
                <w:szCs w:val="22"/>
                <w:lang w:bidi="ar"/>
              </w:rPr>
              <w:t>/</w:t>
            </w:r>
          </w:p>
        </w:tc>
      </w:tr>
      <w:tr w14:paraId="1C6B1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600AAB17">
            <w:pPr>
              <w:pStyle w:val="687"/>
            </w:pPr>
            <w:r>
              <w:rPr>
                <w:rFonts w:hint="eastAsia"/>
                <w:lang w:bidi="ar"/>
              </w:rPr>
              <w:t>镉</w:t>
            </w:r>
          </w:p>
        </w:tc>
        <w:tc>
          <w:tcPr>
            <w:tcW w:w="536" w:type="pct"/>
            <w:vAlign w:val="center"/>
          </w:tcPr>
          <w:p w14:paraId="14527CF5">
            <w:pPr>
              <w:pStyle w:val="687"/>
            </w:pPr>
            <w:r>
              <w:rPr>
                <w:lang w:bidi="ar"/>
              </w:rPr>
              <w:t>μg/L</w:t>
            </w:r>
          </w:p>
        </w:tc>
        <w:tc>
          <w:tcPr>
            <w:tcW w:w="427" w:type="pct"/>
            <w:vAlign w:val="center"/>
          </w:tcPr>
          <w:p w14:paraId="3B907030">
            <w:pPr>
              <w:pStyle w:val="687"/>
            </w:pPr>
            <w:r>
              <w:rPr>
                <w:lang w:bidi="ar"/>
              </w:rPr>
              <w:t>0.5(L)</w:t>
            </w:r>
          </w:p>
        </w:tc>
        <w:tc>
          <w:tcPr>
            <w:tcW w:w="427" w:type="pct"/>
            <w:vAlign w:val="center"/>
          </w:tcPr>
          <w:p w14:paraId="2F2CA938">
            <w:pPr>
              <w:pStyle w:val="687"/>
            </w:pPr>
            <w:r>
              <w:rPr>
                <w:lang w:bidi="ar"/>
              </w:rPr>
              <w:t>0.5(L)</w:t>
            </w:r>
          </w:p>
        </w:tc>
        <w:tc>
          <w:tcPr>
            <w:tcW w:w="427" w:type="pct"/>
            <w:vAlign w:val="center"/>
          </w:tcPr>
          <w:p w14:paraId="5F64A3A1">
            <w:pPr>
              <w:pStyle w:val="687"/>
            </w:pPr>
            <w:r>
              <w:rPr>
                <w:lang w:bidi="ar"/>
              </w:rPr>
              <w:t>0.5(L)</w:t>
            </w:r>
          </w:p>
        </w:tc>
        <w:tc>
          <w:tcPr>
            <w:tcW w:w="427" w:type="pct"/>
            <w:vAlign w:val="center"/>
          </w:tcPr>
          <w:p w14:paraId="32E652F9">
            <w:pPr>
              <w:pStyle w:val="687"/>
            </w:pPr>
            <w:r>
              <w:rPr>
                <w:lang w:bidi="ar"/>
              </w:rPr>
              <w:t>0.5(L)</w:t>
            </w:r>
          </w:p>
        </w:tc>
        <w:tc>
          <w:tcPr>
            <w:tcW w:w="434" w:type="pct"/>
            <w:vAlign w:val="center"/>
          </w:tcPr>
          <w:p w14:paraId="4909DB1F">
            <w:pPr>
              <w:pStyle w:val="687"/>
            </w:pPr>
            <w:r>
              <w:rPr>
                <w:lang w:bidi="ar"/>
              </w:rPr>
              <w:t>0.5(L)</w:t>
            </w:r>
          </w:p>
        </w:tc>
        <w:tc>
          <w:tcPr>
            <w:tcW w:w="427" w:type="pct"/>
            <w:vAlign w:val="center"/>
          </w:tcPr>
          <w:p w14:paraId="1A2804BD">
            <w:pPr>
              <w:pStyle w:val="687"/>
            </w:pPr>
            <w:r>
              <w:rPr>
                <w:lang w:bidi="ar"/>
              </w:rPr>
              <w:t>0.5(L)</w:t>
            </w:r>
          </w:p>
        </w:tc>
        <w:tc>
          <w:tcPr>
            <w:tcW w:w="427" w:type="pct"/>
            <w:vAlign w:val="center"/>
          </w:tcPr>
          <w:p w14:paraId="0C4A7D49">
            <w:pPr>
              <w:pStyle w:val="687"/>
            </w:pPr>
            <w:r>
              <w:rPr>
                <w:lang w:bidi="ar"/>
              </w:rPr>
              <w:t>0.5(L)</w:t>
            </w:r>
          </w:p>
        </w:tc>
        <w:tc>
          <w:tcPr>
            <w:tcW w:w="352" w:type="pct"/>
            <w:noWrap/>
            <w:vAlign w:val="center"/>
          </w:tcPr>
          <w:p w14:paraId="20B51CF5">
            <w:pPr>
              <w:pStyle w:val="687"/>
              <w:rPr>
                <w:szCs w:val="22"/>
              </w:rPr>
            </w:pPr>
            <w:r>
              <w:rPr>
                <w:szCs w:val="22"/>
                <w:lang w:bidi="ar"/>
              </w:rPr>
              <w:t>/</w:t>
            </w:r>
          </w:p>
        </w:tc>
        <w:tc>
          <w:tcPr>
            <w:tcW w:w="352" w:type="pct"/>
            <w:noWrap/>
            <w:vAlign w:val="center"/>
          </w:tcPr>
          <w:p w14:paraId="5F24A8C3">
            <w:pPr>
              <w:pStyle w:val="687"/>
              <w:rPr>
                <w:szCs w:val="22"/>
              </w:rPr>
            </w:pPr>
            <w:r>
              <w:rPr>
                <w:szCs w:val="22"/>
                <w:lang w:bidi="ar"/>
              </w:rPr>
              <w:t>/</w:t>
            </w:r>
          </w:p>
        </w:tc>
      </w:tr>
      <w:tr w14:paraId="20C3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54896FC5">
            <w:pPr>
              <w:pStyle w:val="687"/>
            </w:pPr>
            <w:r>
              <w:rPr>
                <w:rFonts w:hint="eastAsia"/>
                <w:lang w:bidi="ar"/>
              </w:rPr>
              <w:t>铁</w:t>
            </w:r>
          </w:p>
        </w:tc>
        <w:tc>
          <w:tcPr>
            <w:tcW w:w="536" w:type="pct"/>
            <w:vAlign w:val="center"/>
          </w:tcPr>
          <w:p w14:paraId="3791B57A">
            <w:pPr>
              <w:pStyle w:val="687"/>
            </w:pPr>
            <w:r>
              <w:rPr>
                <w:lang w:bidi="ar"/>
              </w:rPr>
              <w:t>mg/L</w:t>
            </w:r>
          </w:p>
        </w:tc>
        <w:tc>
          <w:tcPr>
            <w:tcW w:w="427" w:type="pct"/>
            <w:vAlign w:val="center"/>
          </w:tcPr>
          <w:p w14:paraId="6BEBEC26">
            <w:pPr>
              <w:pStyle w:val="687"/>
            </w:pPr>
            <w:r>
              <w:rPr>
                <w:lang w:bidi="ar"/>
              </w:rPr>
              <w:t>0.04</w:t>
            </w:r>
          </w:p>
        </w:tc>
        <w:tc>
          <w:tcPr>
            <w:tcW w:w="427" w:type="pct"/>
            <w:vAlign w:val="center"/>
          </w:tcPr>
          <w:p w14:paraId="54CF5E0C">
            <w:pPr>
              <w:pStyle w:val="687"/>
            </w:pPr>
            <w:r>
              <w:rPr>
                <w:lang w:bidi="ar"/>
              </w:rPr>
              <w:t>0.08</w:t>
            </w:r>
          </w:p>
        </w:tc>
        <w:tc>
          <w:tcPr>
            <w:tcW w:w="427" w:type="pct"/>
            <w:vAlign w:val="center"/>
          </w:tcPr>
          <w:p w14:paraId="3257D019">
            <w:pPr>
              <w:pStyle w:val="687"/>
            </w:pPr>
            <w:r>
              <w:rPr>
                <w:lang w:bidi="ar"/>
              </w:rPr>
              <w:t>0.08</w:t>
            </w:r>
          </w:p>
        </w:tc>
        <w:tc>
          <w:tcPr>
            <w:tcW w:w="427" w:type="pct"/>
            <w:vAlign w:val="center"/>
          </w:tcPr>
          <w:p w14:paraId="6DD70B79">
            <w:pPr>
              <w:pStyle w:val="687"/>
            </w:pPr>
            <w:r>
              <w:rPr>
                <w:lang w:bidi="ar"/>
              </w:rPr>
              <w:t>0.09</w:t>
            </w:r>
          </w:p>
        </w:tc>
        <w:tc>
          <w:tcPr>
            <w:tcW w:w="434" w:type="pct"/>
            <w:vAlign w:val="center"/>
          </w:tcPr>
          <w:p w14:paraId="6DE00A3B">
            <w:pPr>
              <w:pStyle w:val="687"/>
            </w:pPr>
            <w:r>
              <w:rPr>
                <w:lang w:bidi="ar"/>
              </w:rPr>
              <w:t>0.1</w:t>
            </w:r>
          </w:p>
        </w:tc>
        <w:tc>
          <w:tcPr>
            <w:tcW w:w="427" w:type="pct"/>
            <w:noWrap/>
            <w:vAlign w:val="center"/>
          </w:tcPr>
          <w:p w14:paraId="46F55B37">
            <w:pPr>
              <w:pStyle w:val="687"/>
              <w:rPr>
                <w:szCs w:val="22"/>
              </w:rPr>
            </w:pPr>
            <w:r>
              <w:rPr>
                <w:szCs w:val="22"/>
                <w:lang w:bidi="ar"/>
              </w:rPr>
              <w:t>0.04</w:t>
            </w:r>
          </w:p>
        </w:tc>
        <w:tc>
          <w:tcPr>
            <w:tcW w:w="427" w:type="pct"/>
            <w:noWrap/>
            <w:vAlign w:val="center"/>
          </w:tcPr>
          <w:p w14:paraId="4DB92878">
            <w:pPr>
              <w:pStyle w:val="687"/>
              <w:rPr>
                <w:szCs w:val="22"/>
              </w:rPr>
            </w:pPr>
            <w:r>
              <w:rPr>
                <w:szCs w:val="22"/>
                <w:lang w:bidi="ar"/>
              </w:rPr>
              <w:t>0.1</w:t>
            </w:r>
          </w:p>
        </w:tc>
        <w:tc>
          <w:tcPr>
            <w:tcW w:w="352" w:type="pct"/>
            <w:noWrap/>
            <w:vAlign w:val="center"/>
          </w:tcPr>
          <w:p w14:paraId="5352551D">
            <w:pPr>
              <w:pStyle w:val="687"/>
              <w:rPr>
                <w:szCs w:val="22"/>
              </w:rPr>
            </w:pPr>
            <w:r>
              <w:rPr>
                <w:szCs w:val="22"/>
                <w:lang w:bidi="ar"/>
              </w:rPr>
              <w:t xml:space="preserve">0.08 </w:t>
            </w:r>
          </w:p>
        </w:tc>
        <w:tc>
          <w:tcPr>
            <w:tcW w:w="352" w:type="pct"/>
            <w:noWrap/>
            <w:vAlign w:val="center"/>
          </w:tcPr>
          <w:p w14:paraId="18982B5B">
            <w:pPr>
              <w:pStyle w:val="687"/>
              <w:rPr>
                <w:szCs w:val="22"/>
              </w:rPr>
            </w:pPr>
            <w:r>
              <w:rPr>
                <w:szCs w:val="22"/>
                <w:lang w:bidi="ar"/>
              </w:rPr>
              <w:t xml:space="preserve">0.02 </w:t>
            </w:r>
          </w:p>
        </w:tc>
      </w:tr>
      <w:tr w14:paraId="2A53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182E0044">
            <w:pPr>
              <w:pStyle w:val="687"/>
            </w:pPr>
            <w:r>
              <w:rPr>
                <w:rFonts w:hint="eastAsia"/>
                <w:lang w:bidi="ar"/>
              </w:rPr>
              <w:t>锰</w:t>
            </w:r>
          </w:p>
        </w:tc>
        <w:tc>
          <w:tcPr>
            <w:tcW w:w="536" w:type="pct"/>
            <w:vAlign w:val="center"/>
          </w:tcPr>
          <w:p w14:paraId="37CCDD5C">
            <w:pPr>
              <w:pStyle w:val="687"/>
            </w:pPr>
            <w:r>
              <w:rPr>
                <w:lang w:bidi="ar"/>
              </w:rPr>
              <w:t>mg/L</w:t>
            </w:r>
          </w:p>
        </w:tc>
        <w:tc>
          <w:tcPr>
            <w:tcW w:w="427" w:type="pct"/>
            <w:vAlign w:val="center"/>
          </w:tcPr>
          <w:p w14:paraId="4954F627">
            <w:pPr>
              <w:pStyle w:val="687"/>
            </w:pPr>
            <w:r>
              <w:rPr>
                <w:lang w:bidi="ar"/>
              </w:rPr>
              <w:t>0.01(L)</w:t>
            </w:r>
          </w:p>
        </w:tc>
        <w:tc>
          <w:tcPr>
            <w:tcW w:w="427" w:type="pct"/>
            <w:vAlign w:val="center"/>
          </w:tcPr>
          <w:p w14:paraId="5B7406F0">
            <w:pPr>
              <w:pStyle w:val="687"/>
            </w:pPr>
            <w:r>
              <w:rPr>
                <w:lang w:bidi="ar"/>
              </w:rPr>
              <w:t>0.01(L)</w:t>
            </w:r>
          </w:p>
        </w:tc>
        <w:tc>
          <w:tcPr>
            <w:tcW w:w="427" w:type="pct"/>
            <w:vAlign w:val="center"/>
          </w:tcPr>
          <w:p w14:paraId="0D3B1E0D">
            <w:pPr>
              <w:pStyle w:val="687"/>
            </w:pPr>
            <w:r>
              <w:rPr>
                <w:lang w:bidi="ar"/>
              </w:rPr>
              <w:t>0.01(L)</w:t>
            </w:r>
          </w:p>
        </w:tc>
        <w:tc>
          <w:tcPr>
            <w:tcW w:w="427" w:type="pct"/>
            <w:vAlign w:val="center"/>
          </w:tcPr>
          <w:p w14:paraId="2FFC8BAD">
            <w:pPr>
              <w:pStyle w:val="687"/>
            </w:pPr>
            <w:r>
              <w:rPr>
                <w:lang w:bidi="ar"/>
              </w:rPr>
              <w:t>0.01(L)</w:t>
            </w:r>
          </w:p>
        </w:tc>
        <w:tc>
          <w:tcPr>
            <w:tcW w:w="434" w:type="pct"/>
            <w:vAlign w:val="center"/>
          </w:tcPr>
          <w:p w14:paraId="0687331C">
            <w:pPr>
              <w:pStyle w:val="687"/>
            </w:pPr>
            <w:r>
              <w:rPr>
                <w:lang w:bidi="ar"/>
              </w:rPr>
              <w:t>0.01(L)</w:t>
            </w:r>
          </w:p>
        </w:tc>
        <w:tc>
          <w:tcPr>
            <w:tcW w:w="427" w:type="pct"/>
            <w:noWrap/>
            <w:vAlign w:val="center"/>
          </w:tcPr>
          <w:p w14:paraId="0BC062B0">
            <w:pPr>
              <w:pStyle w:val="687"/>
              <w:rPr>
                <w:szCs w:val="22"/>
              </w:rPr>
            </w:pPr>
            <w:r>
              <w:rPr>
                <w:szCs w:val="22"/>
                <w:lang w:bidi="ar"/>
              </w:rPr>
              <w:t>0.15</w:t>
            </w:r>
          </w:p>
        </w:tc>
        <w:tc>
          <w:tcPr>
            <w:tcW w:w="427" w:type="pct"/>
            <w:noWrap/>
            <w:vAlign w:val="center"/>
          </w:tcPr>
          <w:p w14:paraId="6E969F2D">
            <w:pPr>
              <w:pStyle w:val="687"/>
              <w:rPr>
                <w:szCs w:val="22"/>
              </w:rPr>
            </w:pPr>
            <w:r>
              <w:rPr>
                <w:szCs w:val="22"/>
                <w:lang w:bidi="ar"/>
              </w:rPr>
              <w:t>0.15</w:t>
            </w:r>
          </w:p>
        </w:tc>
        <w:tc>
          <w:tcPr>
            <w:tcW w:w="352" w:type="pct"/>
            <w:noWrap/>
            <w:vAlign w:val="center"/>
          </w:tcPr>
          <w:p w14:paraId="236565C1">
            <w:pPr>
              <w:pStyle w:val="687"/>
              <w:rPr>
                <w:szCs w:val="22"/>
              </w:rPr>
            </w:pPr>
            <w:r>
              <w:rPr>
                <w:szCs w:val="22"/>
                <w:lang w:bidi="ar"/>
              </w:rPr>
              <w:t xml:space="preserve">0.15 </w:t>
            </w:r>
          </w:p>
        </w:tc>
        <w:tc>
          <w:tcPr>
            <w:tcW w:w="352" w:type="pct"/>
            <w:noWrap/>
            <w:vAlign w:val="center"/>
          </w:tcPr>
          <w:p w14:paraId="03FD5FE1">
            <w:pPr>
              <w:pStyle w:val="687"/>
              <w:rPr>
                <w:szCs w:val="22"/>
              </w:rPr>
            </w:pPr>
            <w:r>
              <w:rPr>
                <w:szCs w:val="22"/>
                <w:lang w:bidi="ar"/>
              </w:rPr>
              <w:t xml:space="preserve">0.00 </w:t>
            </w:r>
          </w:p>
        </w:tc>
      </w:tr>
      <w:tr w14:paraId="357D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6FFDB020">
            <w:pPr>
              <w:pStyle w:val="687"/>
            </w:pPr>
            <w:r>
              <w:rPr>
                <w:rFonts w:hint="eastAsia"/>
                <w:lang w:bidi="ar"/>
              </w:rPr>
              <w:t>挥发酚</w:t>
            </w:r>
          </w:p>
        </w:tc>
        <w:tc>
          <w:tcPr>
            <w:tcW w:w="536" w:type="pct"/>
            <w:vAlign w:val="center"/>
          </w:tcPr>
          <w:p w14:paraId="725AAFE9">
            <w:pPr>
              <w:pStyle w:val="687"/>
            </w:pPr>
            <w:r>
              <w:rPr>
                <w:lang w:bidi="ar"/>
              </w:rPr>
              <w:t>mg/L</w:t>
            </w:r>
          </w:p>
        </w:tc>
        <w:tc>
          <w:tcPr>
            <w:tcW w:w="427" w:type="pct"/>
            <w:vAlign w:val="center"/>
          </w:tcPr>
          <w:p w14:paraId="1C1B7A41">
            <w:pPr>
              <w:pStyle w:val="687"/>
            </w:pPr>
            <w:r>
              <w:rPr>
                <w:lang w:bidi="ar"/>
              </w:rPr>
              <w:t>0.0003(L)</w:t>
            </w:r>
          </w:p>
        </w:tc>
        <w:tc>
          <w:tcPr>
            <w:tcW w:w="427" w:type="pct"/>
            <w:vAlign w:val="center"/>
          </w:tcPr>
          <w:p w14:paraId="652DC5C9">
            <w:pPr>
              <w:pStyle w:val="687"/>
            </w:pPr>
            <w:r>
              <w:rPr>
                <w:lang w:bidi="ar"/>
              </w:rPr>
              <w:t>0.0003(L)</w:t>
            </w:r>
          </w:p>
        </w:tc>
        <w:tc>
          <w:tcPr>
            <w:tcW w:w="427" w:type="pct"/>
            <w:vAlign w:val="center"/>
          </w:tcPr>
          <w:p w14:paraId="28099660">
            <w:pPr>
              <w:pStyle w:val="687"/>
            </w:pPr>
            <w:r>
              <w:rPr>
                <w:lang w:bidi="ar"/>
              </w:rPr>
              <w:t>0.0003(L)</w:t>
            </w:r>
          </w:p>
        </w:tc>
        <w:tc>
          <w:tcPr>
            <w:tcW w:w="427" w:type="pct"/>
            <w:vAlign w:val="center"/>
          </w:tcPr>
          <w:p w14:paraId="12DA9900">
            <w:pPr>
              <w:pStyle w:val="687"/>
            </w:pPr>
            <w:r>
              <w:rPr>
                <w:lang w:bidi="ar"/>
              </w:rPr>
              <w:t>0.0003(L)</w:t>
            </w:r>
          </w:p>
        </w:tc>
        <w:tc>
          <w:tcPr>
            <w:tcW w:w="434" w:type="pct"/>
            <w:vAlign w:val="center"/>
          </w:tcPr>
          <w:p w14:paraId="672C4A59">
            <w:pPr>
              <w:pStyle w:val="687"/>
            </w:pPr>
            <w:r>
              <w:rPr>
                <w:lang w:bidi="ar"/>
              </w:rPr>
              <w:t>0.0003(L)</w:t>
            </w:r>
          </w:p>
        </w:tc>
        <w:tc>
          <w:tcPr>
            <w:tcW w:w="427" w:type="pct"/>
            <w:vAlign w:val="center"/>
          </w:tcPr>
          <w:p w14:paraId="292D1EC3">
            <w:pPr>
              <w:pStyle w:val="687"/>
            </w:pPr>
            <w:r>
              <w:rPr>
                <w:lang w:bidi="ar"/>
              </w:rPr>
              <w:t>0.0003(L)</w:t>
            </w:r>
          </w:p>
        </w:tc>
        <w:tc>
          <w:tcPr>
            <w:tcW w:w="427" w:type="pct"/>
            <w:vAlign w:val="center"/>
          </w:tcPr>
          <w:p w14:paraId="4301DDEE">
            <w:pPr>
              <w:pStyle w:val="687"/>
            </w:pPr>
            <w:r>
              <w:rPr>
                <w:lang w:bidi="ar"/>
              </w:rPr>
              <w:t>0.0003(L)</w:t>
            </w:r>
          </w:p>
        </w:tc>
        <w:tc>
          <w:tcPr>
            <w:tcW w:w="352" w:type="pct"/>
            <w:noWrap/>
            <w:vAlign w:val="center"/>
          </w:tcPr>
          <w:p w14:paraId="39ABCB0E">
            <w:pPr>
              <w:pStyle w:val="687"/>
              <w:rPr>
                <w:szCs w:val="22"/>
              </w:rPr>
            </w:pPr>
            <w:r>
              <w:rPr>
                <w:szCs w:val="22"/>
                <w:lang w:bidi="ar"/>
              </w:rPr>
              <w:t>/</w:t>
            </w:r>
          </w:p>
        </w:tc>
        <w:tc>
          <w:tcPr>
            <w:tcW w:w="352" w:type="pct"/>
            <w:noWrap/>
            <w:vAlign w:val="center"/>
          </w:tcPr>
          <w:p w14:paraId="0E999887">
            <w:pPr>
              <w:pStyle w:val="687"/>
              <w:rPr>
                <w:szCs w:val="22"/>
              </w:rPr>
            </w:pPr>
            <w:r>
              <w:rPr>
                <w:szCs w:val="22"/>
                <w:lang w:bidi="ar"/>
              </w:rPr>
              <w:t>/</w:t>
            </w:r>
          </w:p>
        </w:tc>
      </w:tr>
      <w:tr w14:paraId="2A26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1E720006">
            <w:pPr>
              <w:pStyle w:val="687"/>
            </w:pPr>
            <w:r>
              <w:rPr>
                <w:rFonts w:hint="eastAsia"/>
                <w:lang w:bidi="ar"/>
              </w:rPr>
              <w:t>氰化物</w:t>
            </w:r>
          </w:p>
        </w:tc>
        <w:tc>
          <w:tcPr>
            <w:tcW w:w="536" w:type="pct"/>
            <w:vAlign w:val="center"/>
          </w:tcPr>
          <w:p w14:paraId="1677A87E">
            <w:pPr>
              <w:pStyle w:val="687"/>
            </w:pPr>
            <w:r>
              <w:rPr>
                <w:lang w:bidi="ar"/>
              </w:rPr>
              <w:t>mg/L</w:t>
            </w:r>
          </w:p>
        </w:tc>
        <w:tc>
          <w:tcPr>
            <w:tcW w:w="427" w:type="pct"/>
            <w:vAlign w:val="center"/>
          </w:tcPr>
          <w:p w14:paraId="0787BA1A">
            <w:pPr>
              <w:pStyle w:val="687"/>
            </w:pPr>
            <w:r>
              <w:rPr>
                <w:lang w:bidi="ar"/>
              </w:rPr>
              <w:t>0.002(L)</w:t>
            </w:r>
          </w:p>
        </w:tc>
        <w:tc>
          <w:tcPr>
            <w:tcW w:w="427" w:type="pct"/>
            <w:vAlign w:val="center"/>
          </w:tcPr>
          <w:p w14:paraId="7CFB2021">
            <w:pPr>
              <w:pStyle w:val="687"/>
            </w:pPr>
            <w:r>
              <w:rPr>
                <w:lang w:bidi="ar"/>
              </w:rPr>
              <w:t>0.002(L)</w:t>
            </w:r>
          </w:p>
        </w:tc>
        <w:tc>
          <w:tcPr>
            <w:tcW w:w="427" w:type="pct"/>
            <w:vAlign w:val="center"/>
          </w:tcPr>
          <w:p w14:paraId="490C8407">
            <w:pPr>
              <w:pStyle w:val="687"/>
            </w:pPr>
            <w:r>
              <w:rPr>
                <w:lang w:bidi="ar"/>
              </w:rPr>
              <w:t>0.002(L)</w:t>
            </w:r>
          </w:p>
        </w:tc>
        <w:tc>
          <w:tcPr>
            <w:tcW w:w="427" w:type="pct"/>
            <w:vAlign w:val="center"/>
          </w:tcPr>
          <w:p w14:paraId="0031EC12">
            <w:pPr>
              <w:pStyle w:val="687"/>
            </w:pPr>
            <w:r>
              <w:rPr>
                <w:lang w:bidi="ar"/>
              </w:rPr>
              <w:t>0.002(L)</w:t>
            </w:r>
          </w:p>
        </w:tc>
        <w:tc>
          <w:tcPr>
            <w:tcW w:w="434" w:type="pct"/>
            <w:vAlign w:val="center"/>
          </w:tcPr>
          <w:p w14:paraId="163A14C1">
            <w:pPr>
              <w:pStyle w:val="687"/>
            </w:pPr>
            <w:r>
              <w:rPr>
                <w:lang w:bidi="ar"/>
              </w:rPr>
              <w:t>0.002(L)</w:t>
            </w:r>
          </w:p>
        </w:tc>
        <w:tc>
          <w:tcPr>
            <w:tcW w:w="427" w:type="pct"/>
            <w:vAlign w:val="center"/>
          </w:tcPr>
          <w:p w14:paraId="4D3AFC04">
            <w:pPr>
              <w:pStyle w:val="687"/>
            </w:pPr>
            <w:r>
              <w:rPr>
                <w:lang w:bidi="ar"/>
              </w:rPr>
              <w:t>0.002(L)</w:t>
            </w:r>
          </w:p>
        </w:tc>
        <w:tc>
          <w:tcPr>
            <w:tcW w:w="427" w:type="pct"/>
            <w:vAlign w:val="center"/>
          </w:tcPr>
          <w:p w14:paraId="6AE30DBB">
            <w:pPr>
              <w:pStyle w:val="687"/>
            </w:pPr>
            <w:r>
              <w:rPr>
                <w:lang w:bidi="ar"/>
              </w:rPr>
              <w:t>0.002(L)</w:t>
            </w:r>
          </w:p>
        </w:tc>
        <w:tc>
          <w:tcPr>
            <w:tcW w:w="352" w:type="pct"/>
            <w:noWrap/>
            <w:vAlign w:val="center"/>
          </w:tcPr>
          <w:p w14:paraId="2392C103">
            <w:pPr>
              <w:pStyle w:val="687"/>
              <w:rPr>
                <w:szCs w:val="22"/>
              </w:rPr>
            </w:pPr>
            <w:r>
              <w:rPr>
                <w:szCs w:val="22"/>
                <w:lang w:bidi="ar"/>
              </w:rPr>
              <w:t>/</w:t>
            </w:r>
          </w:p>
        </w:tc>
        <w:tc>
          <w:tcPr>
            <w:tcW w:w="352" w:type="pct"/>
            <w:noWrap/>
            <w:vAlign w:val="center"/>
          </w:tcPr>
          <w:p w14:paraId="50035027">
            <w:pPr>
              <w:pStyle w:val="687"/>
              <w:rPr>
                <w:szCs w:val="22"/>
              </w:rPr>
            </w:pPr>
            <w:r>
              <w:rPr>
                <w:szCs w:val="22"/>
                <w:lang w:bidi="ar"/>
              </w:rPr>
              <w:t>/</w:t>
            </w:r>
          </w:p>
        </w:tc>
      </w:tr>
      <w:tr w14:paraId="01E7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2DAB245B">
            <w:pPr>
              <w:pStyle w:val="687"/>
            </w:pPr>
            <w:r>
              <w:rPr>
                <w:rFonts w:hint="eastAsia"/>
                <w:lang w:bidi="ar"/>
              </w:rPr>
              <w:t>硫化物</w:t>
            </w:r>
          </w:p>
        </w:tc>
        <w:tc>
          <w:tcPr>
            <w:tcW w:w="536" w:type="pct"/>
            <w:vAlign w:val="center"/>
          </w:tcPr>
          <w:p w14:paraId="199E7780">
            <w:pPr>
              <w:pStyle w:val="687"/>
            </w:pPr>
            <w:r>
              <w:rPr>
                <w:lang w:bidi="ar"/>
              </w:rPr>
              <w:t>mg/L</w:t>
            </w:r>
          </w:p>
        </w:tc>
        <w:tc>
          <w:tcPr>
            <w:tcW w:w="427" w:type="pct"/>
            <w:vAlign w:val="center"/>
          </w:tcPr>
          <w:p w14:paraId="6F5B2511">
            <w:pPr>
              <w:pStyle w:val="687"/>
            </w:pPr>
            <w:r>
              <w:rPr>
                <w:lang w:bidi="ar"/>
              </w:rPr>
              <w:t>0.003(L)</w:t>
            </w:r>
          </w:p>
        </w:tc>
        <w:tc>
          <w:tcPr>
            <w:tcW w:w="427" w:type="pct"/>
            <w:vAlign w:val="center"/>
          </w:tcPr>
          <w:p w14:paraId="16A9E687">
            <w:pPr>
              <w:pStyle w:val="687"/>
            </w:pPr>
            <w:r>
              <w:rPr>
                <w:lang w:bidi="ar"/>
              </w:rPr>
              <w:t>0.003(L)</w:t>
            </w:r>
          </w:p>
        </w:tc>
        <w:tc>
          <w:tcPr>
            <w:tcW w:w="427" w:type="pct"/>
            <w:vAlign w:val="center"/>
          </w:tcPr>
          <w:p w14:paraId="0EFD8B82">
            <w:pPr>
              <w:pStyle w:val="687"/>
            </w:pPr>
            <w:r>
              <w:rPr>
                <w:lang w:bidi="ar"/>
              </w:rPr>
              <w:t>0.003(L)</w:t>
            </w:r>
          </w:p>
        </w:tc>
        <w:tc>
          <w:tcPr>
            <w:tcW w:w="427" w:type="pct"/>
            <w:vAlign w:val="center"/>
          </w:tcPr>
          <w:p w14:paraId="2FDDB220">
            <w:pPr>
              <w:pStyle w:val="687"/>
            </w:pPr>
            <w:r>
              <w:rPr>
                <w:lang w:bidi="ar"/>
              </w:rPr>
              <w:t>0.003(L)</w:t>
            </w:r>
          </w:p>
        </w:tc>
        <w:tc>
          <w:tcPr>
            <w:tcW w:w="434" w:type="pct"/>
            <w:vAlign w:val="center"/>
          </w:tcPr>
          <w:p w14:paraId="67073C6E">
            <w:pPr>
              <w:pStyle w:val="687"/>
            </w:pPr>
            <w:r>
              <w:rPr>
                <w:lang w:bidi="ar"/>
              </w:rPr>
              <w:t>0.003(L)</w:t>
            </w:r>
          </w:p>
        </w:tc>
        <w:tc>
          <w:tcPr>
            <w:tcW w:w="427" w:type="pct"/>
            <w:vAlign w:val="center"/>
          </w:tcPr>
          <w:p w14:paraId="1BA63AC1">
            <w:pPr>
              <w:pStyle w:val="687"/>
            </w:pPr>
            <w:r>
              <w:rPr>
                <w:lang w:bidi="ar"/>
              </w:rPr>
              <w:t>0.003(L)</w:t>
            </w:r>
          </w:p>
        </w:tc>
        <w:tc>
          <w:tcPr>
            <w:tcW w:w="427" w:type="pct"/>
            <w:vAlign w:val="center"/>
          </w:tcPr>
          <w:p w14:paraId="5328BC14">
            <w:pPr>
              <w:pStyle w:val="687"/>
            </w:pPr>
            <w:r>
              <w:rPr>
                <w:lang w:bidi="ar"/>
              </w:rPr>
              <w:t>0.003(L)</w:t>
            </w:r>
          </w:p>
        </w:tc>
        <w:tc>
          <w:tcPr>
            <w:tcW w:w="352" w:type="pct"/>
            <w:noWrap/>
            <w:vAlign w:val="center"/>
          </w:tcPr>
          <w:p w14:paraId="5CC42D6C">
            <w:pPr>
              <w:pStyle w:val="687"/>
              <w:rPr>
                <w:szCs w:val="22"/>
              </w:rPr>
            </w:pPr>
            <w:r>
              <w:rPr>
                <w:szCs w:val="22"/>
                <w:lang w:bidi="ar"/>
              </w:rPr>
              <w:t>/</w:t>
            </w:r>
          </w:p>
        </w:tc>
        <w:tc>
          <w:tcPr>
            <w:tcW w:w="352" w:type="pct"/>
            <w:noWrap/>
            <w:vAlign w:val="center"/>
          </w:tcPr>
          <w:p w14:paraId="6D0F601F">
            <w:pPr>
              <w:pStyle w:val="687"/>
              <w:rPr>
                <w:szCs w:val="22"/>
              </w:rPr>
            </w:pPr>
            <w:r>
              <w:rPr>
                <w:szCs w:val="22"/>
                <w:lang w:bidi="ar"/>
              </w:rPr>
              <w:t>/</w:t>
            </w:r>
          </w:p>
        </w:tc>
      </w:tr>
      <w:tr w14:paraId="4921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2A56D3A3">
            <w:pPr>
              <w:pStyle w:val="687"/>
            </w:pPr>
            <w:r>
              <w:rPr>
                <w:rFonts w:hint="eastAsia"/>
                <w:lang w:bidi="ar"/>
              </w:rPr>
              <w:t>钡</w:t>
            </w:r>
          </w:p>
        </w:tc>
        <w:tc>
          <w:tcPr>
            <w:tcW w:w="536" w:type="pct"/>
            <w:vAlign w:val="center"/>
          </w:tcPr>
          <w:p w14:paraId="6001D8B3">
            <w:pPr>
              <w:pStyle w:val="687"/>
            </w:pPr>
            <w:r>
              <w:rPr>
                <w:lang w:bidi="ar"/>
              </w:rPr>
              <w:t>μg/L</w:t>
            </w:r>
          </w:p>
        </w:tc>
        <w:tc>
          <w:tcPr>
            <w:tcW w:w="427" w:type="pct"/>
            <w:vAlign w:val="center"/>
          </w:tcPr>
          <w:p w14:paraId="41E33C9E">
            <w:pPr>
              <w:pStyle w:val="687"/>
            </w:pPr>
            <w:r>
              <w:rPr>
                <w:lang w:bidi="ar"/>
              </w:rPr>
              <w:t>555</w:t>
            </w:r>
          </w:p>
        </w:tc>
        <w:tc>
          <w:tcPr>
            <w:tcW w:w="427" w:type="pct"/>
            <w:vAlign w:val="center"/>
          </w:tcPr>
          <w:p w14:paraId="45996153">
            <w:pPr>
              <w:pStyle w:val="687"/>
            </w:pPr>
            <w:r>
              <w:rPr>
                <w:lang w:bidi="ar"/>
              </w:rPr>
              <w:t>188</w:t>
            </w:r>
          </w:p>
        </w:tc>
        <w:tc>
          <w:tcPr>
            <w:tcW w:w="427" w:type="pct"/>
            <w:vAlign w:val="center"/>
          </w:tcPr>
          <w:p w14:paraId="28378485">
            <w:pPr>
              <w:pStyle w:val="687"/>
            </w:pPr>
            <w:r>
              <w:rPr>
                <w:lang w:bidi="ar"/>
              </w:rPr>
              <w:t>266</w:t>
            </w:r>
          </w:p>
        </w:tc>
        <w:tc>
          <w:tcPr>
            <w:tcW w:w="427" w:type="pct"/>
            <w:vAlign w:val="center"/>
          </w:tcPr>
          <w:p w14:paraId="74E3B436">
            <w:pPr>
              <w:pStyle w:val="687"/>
            </w:pPr>
            <w:r>
              <w:rPr>
                <w:lang w:bidi="ar"/>
              </w:rPr>
              <w:t>201</w:t>
            </w:r>
          </w:p>
        </w:tc>
        <w:tc>
          <w:tcPr>
            <w:tcW w:w="434" w:type="pct"/>
            <w:vAlign w:val="center"/>
          </w:tcPr>
          <w:p w14:paraId="5E8569E9">
            <w:pPr>
              <w:pStyle w:val="687"/>
            </w:pPr>
            <w:r>
              <w:rPr>
                <w:lang w:bidi="ar"/>
              </w:rPr>
              <w:t>406</w:t>
            </w:r>
          </w:p>
        </w:tc>
        <w:tc>
          <w:tcPr>
            <w:tcW w:w="427" w:type="pct"/>
            <w:noWrap/>
            <w:vAlign w:val="center"/>
          </w:tcPr>
          <w:p w14:paraId="3F3CF7DF">
            <w:pPr>
              <w:pStyle w:val="687"/>
              <w:rPr>
                <w:szCs w:val="22"/>
              </w:rPr>
            </w:pPr>
            <w:r>
              <w:rPr>
                <w:szCs w:val="22"/>
                <w:lang w:bidi="ar"/>
              </w:rPr>
              <w:t>188</w:t>
            </w:r>
          </w:p>
        </w:tc>
        <w:tc>
          <w:tcPr>
            <w:tcW w:w="427" w:type="pct"/>
            <w:noWrap/>
            <w:vAlign w:val="center"/>
          </w:tcPr>
          <w:p w14:paraId="20FDF2E4">
            <w:pPr>
              <w:pStyle w:val="687"/>
              <w:rPr>
                <w:szCs w:val="22"/>
              </w:rPr>
            </w:pPr>
            <w:r>
              <w:rPr>
                <w:szCs w:val="22"/>
                <w:lang w:bidi="ar"/>
              </w:rPr>
              <w:t>555</w:t>
            </w:r>
          </w:p>
        </w:tc>
        <w:tc>
          <w:tcPr>
            <w:tcW w:w="352" w:type="pct"/>
            <w:noWrap/>
            <w:vAlign w:val="center"/>
          </w:tcPr>
          <w:p w14:paraId="495BD63E">
            <w:pPr>
              <w:pStyle w:val="687"/>
              <w:rPr>
                <w:szCs w:val="22"/>
              </w:rPr>
            </w:pPr>
            <w:r>
              <w:rPr>
                <w:szCs w:val="22"/>
                <w:lang w:bidi="ar"/>
              </w:rPr>
              <w:t xml:space="preserve">323.20 </w:t>
            </w:r>
          </w:p>
        </w:tc>
        <w:tc>
          <w:tcPr>
            <w:tcW w:w="352" w:type="pct"/>
            <w:noWrap/>
            <w:vAlign w:val="center"/>
          </w:tcPr>
          <w:p w14:paraId="6336D1F4">
            <w:pPr>
              <w:pStyle w:val="687"/>
              <w:rPr>
                <w:szCs w:val="22"/>
              </w:rPr>
            </w:pPr>
            <w:r>
              <w:rPr>
                <w:szCs w:val="22"/>
                <w:lang w:bidi="ar"/>
              </w:rPr>
              <w:t xml:space="preserve">155.78 </w:t>
            </w:r>
          </w:p>
        </w:tc>
      </w:tr>
      <w:tr w14:paraId="7EB3D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1F315AD7">
            <w:pPr>
              <w:pStyle w:val="687"/>
            </w:pPr>
            <w:r>
              <w:rPr>
                <w:rFonts w:hint="eastAsia"/>
                <w:lang w:bidi="ar"/>
              </w:rPr>
              <w:t>菌落总数</w:t>
            </w:r>
          </w:p>
        </w:tc>
        <w:tc>
          <w:tcPr>
            <w:tcW w:w="536" w:type="pct"/>
            <w:vAlign w:val="center"/>
          </w:tcPr>
          <w:p w14:paraId="4376B303">
            <w:pPr>
              <w:pStyle w:val="687"/>
            </w:pPr>
            <w:r>
              <w:rPr>
                <w:lang w:bidi="ar"/>
              </w:rPr>
              <w:t>CFU/mL</w:t>
            </w:r>
          </w:p>
        </w:tc>
        <w:tc>
          <w:tcPr>
            <w:tcW w:w="427" w:type="pct"/>
            <w:vAlign w:val="center"/>
          </w:tcPr>
          <w:p w14:paraId="3BBE49D0">
            <w:pPr>
              <w:pStyle w:val="687"/>
            </w:pPr>
            <w:r>
              <w:rPr>
                <w:lang w:bidi="ar"/>
              </w:rPr>
              <w:t>18</w:t>
            </w:r>
          </w:p>
        </w:tc>
        <w:tc>
          <w:tcPr>
            <w:tcW w:w="427" w:type="pct"/>
            <w:vAlign w:val="center"/>
          </w:tcPr>
          <w:p w14:paraId="0E229498">
            <w:pPr>
              <w:pStyle w:val="687"/>
            </w:pPr>
            <w:r>
              <w:rPr>
                <w:lang w:bidi="ar"/>
              </w:rPr>
              <w:t>12</w:t>
            </w:r>
          </w:p>
        </w:tc>
        <w:tc>
          <w:tcPr>
            <w:tcW w:w="427" w:type="pct"/>
            <w:vAlign w:val="center"/>
          </w:tcPr>
          <w:p w14:paraId="5FAB5180">
            <w:pPr>
              <w:pStyle w:val="687"/>
            </w:pPr>
            <w:r>
              <w:rPr>
                <w:lang w:bidi="ar"/>
              </w:rPr>
              <w:t>26</w:t>
            </w:r>
          </w:p>
        </w:tc>
        <w:tc>
          <w:tcPr>
            <w:tcW w:w="427" w:type="pct"/>
            <w:vAlign w:val="center"/>
          </w:tcPr>
          <w:p w14:paraId="4A6283E0">
            <w:pPr>
              <w:pStyle w:val="687"/>
            </w:pPr>
            <w:r>
              <w:rPr>
                <w:lang w:bidi="ar"/>
              </w:rPr>
              <w:t>48</w:t>
            </w:r>
          </w:p>
        </w:tc>
        <w:tc>
          <w:tcPr>
            <w:tcW w:w="434" w:type="pct"/>
            <w:vAlign w:val="center"/>
          </w:tcPr>
          <w:p w14:paraId="406A0330">
            <w:pPr>
              <w:pStyle w:val="687"/>
            </w:pPr>
            <w:r>
              <w:rPr>
                <w:lang w:bidi="ar"/>
              </w:rPr>
              <w:t>42</w:t>
            </w:r>
          </w:p>
        </w:tc>
        <w:tc>
          <w:tcPr>
            <w:tcW w:w="427" w:type="pct"/>
            <w:noWrap/>
            <w:vAlign w:val="center"/>
          </w:tcPr>
          <w:p w14:paraId="3E0927F9">
            <w:pPr>
              <w:pStyle w:val="687"/>
              <w:rPr>
                <w:szCs w:val="22"/>
              </w:rPr>
            </w:pPr>
            <w:r>
              <w:rPr>
                <w:szCs w:val="22"/>
                <w:lang w:bidi="ar"/>
              </w:rPr>
              <w:t>12</w:t>
            </w:r>
          </w:p>
        </w:tc>
        <w:tc>
          <w:tcPr>
            <w:tcW w:w="427" w:type="pct"/>
            <w:noWrap/>
            <w:vAlign w:val="center"/>
          </w:tcPr>
          <w:p w14:paraId="004F45A4">
            <w:pPr>
              <w:pStyle w:val="687"/>
              <w:rPr>
                <w:szCs w:val="22"/>
              </w:rPr>
            </w:pPr>
            <w:r>
              <w:rPr>
                <w:szCs w:val="22"/>
                <w:lang w:bidi="ar"/>
              </w:rPr>
              <w:t>48</w:t>
            </w:r>
          </w:p>
        </w:tc>
        <w:tc>
          <w:tcPr>
            <w:tcW w:w="352" w:type="pct"/>
            <w:noWrap/>
            <w:vAlign w:val="center"/>
          </w:tcPr>
          <w:p w14:paraId="7C2F514F">
            <w:pPr>
              <w:pStyle w:val="687"/>
              <w:rPr>
                <w:szCs w:val="22"/>
              </w:rPr>
            </w:pPr>
            <w:r>
              <w:rPr>
                <w:szCs w:val="22"/>
                <w:lang w:bidi="ar"/>
              </w:rPr>
              <w:t xml:space="preserve">29.20 </w:t>
            </w:r>
          </w:p>
        </w:tc>
        <w:tc>
          <w:tcPr>
            <w:tcW w:w="352" w:type="pct"/>
            <w:noWrap/>
            <w:vAlign w:val="center"/>
          </w:tcPr>
          <w:p w14:paraId="3E4F2E66">
            <w:pPr>
              <w:pStyle w:val="687"/>
              <w:rPr>
                <w:szCs w:val="22"/>
              </w:rPr>
            </w:pPr>
            <w:r>
              <w:rPr>
                <w:szCs w:val="22"/>
                <w:lang w:bidi="ar"/>
              </w:rPr>
              <w:t xml:space="preserve">15.40 </w:t>
            </w:r>
          </w:p>
        </w:tc>
      </w:tr>
      <w:tr w14:paraId="477CD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54C298CB">
            <w:pPr>
              <w:pStyle w:val="687"/>
            </w:pPr>
            <w:r>
              <w:rPr>
                <w:rFonts w:hint="eastAsia"/>
                <w:lang w:bidi="ar"/>
              </w:rPr>
              <w:t>总大肠菌群</w:t>
            </w:r>
            <w:r>
              <w:rPr>
                <w:lang w:bidi="ar"/>
              </w:rPr>
              <w:t>※</w:t>
            </w:r>
          </w:p>
        </w:tc>
        <w:tc>
          <w:tcPr>
            <w:tcW w:w="536" w:type="pct"/>
            <w:vAlign w:val="center"/>
          </w:tcPr>
          <w:p w14:paraId="486C8813">
            <w:pPr>
              <w:pStyle w:val="687"/>
            </w:pPr>
            <w:r>
              <w:rPr>
                <w:lang w:bidi="ar"/>
              </w:rPr>
              <w:t>MPN/100mL</w:t>
            </w:r>
          </w:p>
        </w:tc>
        <w:tc>
          <w:tcPr>
            <w:tcW w:w="427" w:type="pct"/>
            <w:vAlign w:val="center"/>
          </w:tcPr>
          <w:p w14:paraId="06AD2310">
            <w:pPr>
              <w:pStyle w:val="687"/>
            </w:pPr>
            <w:r>
              <w:rPr>
                <w:rFonts w:hint="eastAsia"/>
                <w:lang w:bidi="ar"/>
              </w:rPr>
              <w:t>未检出</w:t>
            </w:r>
          </w:p>
        </w:tc>
        <w:tc>
          <w:tcPr>
            <w:tcW w:w="427" w:type="pct"/>
            <w:vAlign w:val="center"/>
          </w:tcPr>
          <w:p w14:paraId="3B26CE57">
            <w:pPr>
              <w:pStyle w:val="687"/>
            </w:pPr>
            <w:r>
              <w:rPr>
                <w:rFonts w:hint="eastAsia"/>
                <w:lang w:bidi="ar"/>
              </w:rPr>
              <w:t>未检出</w:t>
            </w:r>
          </w:p>
        </w:tc>
        <w:tc>
          <w:tcPr>
            <w:tcW w:w="427" w:type="pct"/>
            <w:vAlign w:val="center"/>
          </w:tcPr>
          <w:p w14:paraId="5AC6BBEA">
            <w:pPr>
              <w:pStyle w:val="687"/>
            </w:pPr>
            <w:r>
              <w:rPr>
                <w:rFonts w:hint="eastAsia"/>
                <w:lang w:bidi="ar"/>
              </w:rPr>
              <w:t>未检出</w:t>
            </w:r>
          </w:p>
        </w:tc>
        <w:tc>
          <w:tcPr>
            <w:tcW w:w="427" w:type="pct"/>
            <w:vAlign w:val="center"/>
          </w:tcPr>
          <w:p w14:paraId="1523F7D2">
            <w:pPr>
              <w:pStyle w:val="687"/>
            </w:pPr>
            <w:r>
              <w:rPr>
                <w:rFonts w:hint="eastAsia"/>
                <w:lang w:bidi="ar"/>
              </w:rPr>
              <w:t>未检出</w:t>
            </w:r>
          </w:p>
        </w:tc>
        <w:tc>
          <w:tcPr>
            <w:tcW w:w="434" w:type="pct"/>
            <w:vAlign w:val="center"/>
          </w:tcPr>
          <w:p w14:paraId="1FE6F7C7">
            <w:pPr>
              <w:pStyle w:val="687"/>
            </w:pPr>
            <w:r>
              <w:rPr>
                <w:rFonts w:hint="eastAsia"/>
                <w:lang w:bidi="ar"/>
              </w:rPr>
              <w:t>未检出</w:t>
            </w:r>
          </w:p>
        </w:tc>
        <w:tc>
          <w:tcPr>
            <w:tcW w:w="427" w:type="pct"/>
            <w:vAlign w:val="center"/>
          </w:tcPr>
          <w:p w14:paraId="7ABC4184">
            <w:pPr>
              <w:pStyle w:val="687"/>
            </w:pPr>
            <w:r>
              <w:rPr>
                <w:rFonts w:hint="eastAsia"/>
                <w:lang w:bidi="ar"/>
              </w:rPr>
              <w:t>未检出</w:t>
            </w:r>
          </w:p>
        </w:tc>
        <w:tc>
          <w:tcPr>
            <w:tcW w:w="427" w:type="pct"/>
            <w:vAlign w:val="center"/>
          </w:tcPr>
          <w:p w14:paraId="232A55F2">
            <w:pPr>
              <w:pStyle w:val="687"/>
            </w:pPr>
            <w:r>
              <w:rPr>
                <w:rFonts w:hint="eastAsia"/>
                <w:lang w:bidi="ar"/>
              </w:rPr>
              <w:t>未检出</w:t>
            </w:r>
          </w:p>
        </w:tc>
        <w:tc>
          <w:tcPr>
            <w:tcW w:w="352" w:type="pct"/>
            <w:noWrap/>
            <w:vAlign w:val="center"/>
          </w:tcPr>
          <w:p w14:paraId="2A2FFB75">
            <w:pPr>
              <w:pStyle w:val="687"/>
              <w:rPr>
                <w:szCs w:val="22"/>
              </w:rPr>
            </w:pPr>
            <w:r>
              <w:rPr>
                <w:szCs w:val="22"/>
                <w:lang w:bidi="ar"/>
              </w:rPr>
              <w:t>/</w:t>
            </w:r>
          </w:p>
        </w:tc>
        <w:tc>
          <w:tcPr>
            <w:tcW w:w="352" w:type="pct"/>
            <w:noWrap/>
            <w:vAlign w:val="center"/>
          </w:tcPr>
          <w:p w14:paraId="0DCE897B">
            <w:pPr>
              <w:pStyle w:val="687"/>
              <w:rPr>
                <w:szCs w:val="22"/>
              </w:rPr>
            </w:pPr>
            <w:r>
              <w:rPr>
                <w:szCs w:val="22"/>
                <w:lang w:bidi="ar"/>
              </w:rPr>
              <w:t>/</w:t>
            </w:r>
          </w:p>
        </w:tc>
      </w:tr>
      <w:tr w14:paraId="0EBF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1C193473">
            <w:pPr>
              <w:pStyle w:val="687"/>
            </w:pPr>
            <w:r>
              <w:rPr>
                <w:rFonts w:hint="eastAsia"/>
                <w:lang w:bidi="ar"/>
              </w:rPr>
              <w:t>耗氧量</w:t>
            </w:r>
          </w:p>
        </w:tc>
        <w:tc>
          <w:tcPr>
            <w:tcW w:w="536" w:type="pct"/>
            <w:vAlign w:val="center"/>
          </w:tcPr>
          <w:p w14:paraId="0DFDED08">
            <w:pPr>
              <w:pStyle w:val="687"/>
            </w:pPr>
            <w:r>
              <w:rPr>
                <w:lang w:bidi="ar"/>
              </w:rPr>
              <w:t>mg/L</w:t>
            </w:r>
          </w:p>
        </w:tc>
        <w:tc>
          <w:tcPr>
            <w:tcW w:w="427" w:type="pct"/>
            <w:vAlign w:val="center"/>
          </w:tcPr>
          <w:p w14:paraId="617B09CC">
            <w:pPr>
              <w:pStyle w:val="687"/>
            </w:pPr>
            <w:r>
              <w:rPr>
                <w:lang w:bidi="ar"/>
              </w:rPr>
              <w:t>0.35</w:t>
            </w:r>
          </w:p>
        </w:tc>
        <w:tc>
          <w:tcPr>
            <w:tcW w:w="427" w:type="pct"/>
            <w:vAlign w:val="center"/>
          </w:tcPr>
          <w:p w14:paraId="4833B24C">
            <w:pPr>
              <w:pStyle w:val="687"/>
            </w:pPr>
            <w:r>
              <w:rPr>
                <w:lang w:bidi="ar"/>
              </w:rPr>
              <w:t>0.91</w:t>
            </w:r>
          </w:p>
        </w:tc>
        <w:tc>
          <w:tcPr>
            <w:tcW w:w="427" w:type="pct"/>
            <w:vAlign w:val="center"/>
          </w:tcPr>
          <w:p w14:paraId="024BE9A0">
            <w:pPr>
              <w:pStyle w:val="687"/>
            </w:pPr>
            <w:r>
              <w:rPr>
                <w:lang w:bidi="ar"/>
              </w:rPr>
              <w:t>0.35</w:t>
            </w:r>
          </w:p>
        </w:tc>
        <w:tc>
          <w:tcPr>
            <w:tcW w:w="427" w:type="pct"/>
            <w:vAlign w:val="center"/>
          </w:tcPr>
          <w:p w14:paraId="354E54B3">
            <w:pPr>
              <w:pStyle w:val="687"/>
            </w:pPr>
            <w:r>
              <w:rPr>
                <w:lang w:bidi="ar"/>
              </w:rPr>
              <w:t>2.72</w:t>
            </w:r>
          </w:p>
        </w:tc>
        <w:tc>
          <w:tcPr>
            <w:tcW w:w="434" w:type="pct"/>
            <w:vAlign w:val="center"/>
          </w:tcPr>
          <w:p w14:paraId="19142C00">
            <w:pPr>
              <w:pStyle w:val="687"/>
            </w:pPr>
            <w:r>
              <w:rPr>
                <w:lang w:bidi="ar"/>
              </w:rPr>
              <w:t>0.16</w:t>
            </w:r>
          </w:p>
        </w:tc>
        <w:tc>
          <w:tcPr>
            <w:tcW w:w="427" w:type="pct"/>
            <w:noWrap/>
            <w:vAlign w:val="center"/>
          </w:tcPr>
          <w:p w14:paraId="35E8C5BB">
            <w:pPr>
              <w:pStyle w:val="687"/>
              <w:rPr>
                <w:szCs w:val="22"/>
              </w:rPr>
            </w:pPr>
            <w:r>
              <w:rPr>
                <w:szCs w:val="22"/>
                <w:lang w:bidi="ar"/>
              </w:rPr>
              <w:t>0.16</w:t>
            </w:r>
          </w:p>
        </w:tc>
        <w:tc>
          <w:tcPr>
            <w:tcW w:w="427" w:type="pct"/>
            <w:noWrap/>
            <w:vAlign w:val="center"/>
          </w:tcPr>
          <w:p w14:paraId="3DF66695">
            <w:pPr>
              <w:pStyle w:val="687"/>
              <w:rPr>
                <w:szCs w:val="22"/>
              </w:rPr>
            </w:pPr>
            <w:r>
              <w:rPr>
                <w:szCs w:val="22"/>
                <w:lang w:bidi="ar"/>
              </w:rPr>
              <w:t>2.72</w:t>
            </w:r>
          </w:p>
        </w:tc>
        <w:tc>
          <w:tcPr>
            <w:tcW w:w="352" w:type="pct"/>
            <w:noWrap/>
            <w:vAlign w:val="center"/>
          </w:tcPr>
          <w:p w14:paraId="30CA3F31">
            <w:pPr>
              <w:pStyle w:val="687"/>
              <w:rPr>
                <w:szCs w:val="22"/>
              </w:rPr>
            </w:pPr>
            <w:r>
              <w:rPr>
                <w:szCs w:val="22"/>
                <w:lang w:bidi="ar"/>
              </w:rPr>
              <w:t xml:space="preserve">0.90 </w:t>
            </w:r>
          </w:p>
        </w:tc>
        <w:tc>
          <w:tcPr>
            <w:tcW w:w="352" w:type="pct"/>
            <w:noWrap/>
            <w:vAlign w:val="center"/>
          </w:tcPr>
          <w:p w14:paraId="59E70534">
            <w:pPr>
              <w:pStyle w:val="687"/>
              <w:rPr>
                <w:szCs w:val="22"/>
              </w:rPr>
            </w:pPr>
            <w:r>
              <w:rPr>
                <w:szCs w:val="22"/>
                <w:lang w:bidi="ar"/>
              </w:rPr>
              <w:t xml:space="preserve">1.06 </w:t>
            </w:r>
          </w:p>
        </w:tc>
      </w:tr>
      <w:tr w14:paraId="3897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6433A029">
            <w:pPr>
              <w:pStyle w:val="687"/>
            </w:pPr>
            <w:r>
              <w:rPr>
                <w:rFonts w:hint="eastAsia"/>
                <w:lang w:bidi="ar"/>
              </w:rPr>
              <w:t>总硬度</w:t>
            </w:r>
          </w:p>
        </w:tc>
        <w:tc>
          <w:tcPr>
            <w:tcW w:w="536" w:type="pct"/>
            <w:vAlign w:val="center"/>
          </w:tcPr>
          <w:p w14:paraId="2B943909">
            <w:pPr>
              <w:pStyle w:val="687"/>
            </w:pPr>
            <w:r>
              <w:rPr>
                <w:lang w:bidi="ar"/>
              </w:rPr>
              <w:t>mg/L</w:t>
            </w:r>
          </w:p>
        </w:tc>
        <w:tc>
          <w:tcPr>
            <w:tcW w:w="427" w:type="pct"/>
            <w:vAlign w:val="center"/>
          </w:tcPr>
          <w:p w14:paraId="705CD693">
            <w:pPr>
              <w:pStyle w:val="687"/>
            </w:pPr>
            <w:r>
              <w:rPr>
                <w:lang w:bidi="ar"/>
              </w:rPr>
              <w:t>159</w:t>
            </w:r>
          </w:p>
        </w:tc>
        <w:tc>
          <w:tcPr>
            <w:tcW w:w="427" w:type="pct"/>
            <w:vAlign w:val="center"/>
          </w:tcPr>
          <w:p w14:paraId="34A0AA1B">
            <w:pPr>
              <w:pStyle w:val="687"/>
            </w:pPr>
            <w:r>
              <w:rPr>
                <w:lang w:bidi="ar"/>
              </w:rPr>
              <w:t>225</w:t>
            </w:r>
          </w:p>
        </w:tc>
        <w:tc>
          <w:tcPr>
            <w:tcW w:w="427" w:type="pct"/>
            <w:vAlign w:val="center"/>
          </w:tcPr>
          <w:p w14:paraId="12AAAC72">
            <w:pPr>
              <w:pStyle w:val="687"/>
            </w:pPr>
            <w:r>
              <w:rPr>
                <w:lang w:bidi="ar"/>
              </w:rPr>
              <w:t>165</w:t>
            </w:r>
          </w:p>
        </w:tc>
        <w:tc>
          <w:tcPr>
            <w:tcW w:w="427" w:type="pct"/>
            <w:vAlign w:val="center"/>
          </w:tcPr>
          <w:p w14:paraId="38A654B3">
            <w:pPr>
              <w:pStyle w:val="687"/>
            </w:pPr>
            <w:r>
              <w:rPr>
                <w:lang w:bidi="ar"/>
              </w:rPr>
              <w:t>105</w:t>
            </w:r>
          </w:p>
        </w:tc>
        <w:tc>
          <w:tcPr>
            <w:tcW w:w="434" w:type="pct"/>
            <w:vAlign w:val="center"/>
          </w:tcPr>
          <w:p w14:paraId="600C3536">
            <w:pPr>
              <w:pStyle w:val="687"/>
            </w:pPr>
            <w:r>
              <w:rPr>
                <w:lang w:bidi="ar"/>
              </w:rPr>
              <w:t>113</w:t>
            </w:r>
          </w:p>
        </w:tc>
        <w:tc>
          <w:tcPr>
            <w:tcW w:w="427" w:type="pct"/>
            <w:noWrap/>
            <w:vAlign w:val="center"/>
          </w:tcPr>
          <w:p w14:paraId="4F623ED2">
            <w:pPr>
              <w:pStyle w:val="687"/>
              <w:rPr>
                <w:szCs w:val="22"/>
              </w:rPr>
            </w:pPr>
            <w:r>
              <w:rPr>
                <w:szCs w:val="22"/>
                <w:lang w:bidi="ar"/>
              </w:rPr>
              <w:t>105</w:t>
            </w:r>
          </w:p>
        </w:tc>
        <w:tc>
          <w:tcPr>
            <w:tcW w:w="427" w:type="pct"/>
            <w:noWrap/>
            <w:vAlign w:val="center"/>
          </w:tcPr>
          <w:p w14:paraId="0710CED7">
            <w:pPr>
              <w:pStyle w:val="687"/>
              <w:rPr>
                <w:szCs w:val="22"/>
              </w:rPr>
            </w:pPr>
            <w:r>
              <w:rPr>
                <w:szCs w:val="22"/>
                <w:lang w:bidi="ar"/>
              </w:rPr>
              <w:t>225</w:t>
            </w:r>
          </w:p>
        </w:tc>
        <w:tc>
          <w:tcPr>
            <w:tcW w:w="352" w:type="pct"/>
            <w:noWrap/>
            <w:vAlign w:val="center"/>
          </w:tcPr>
          <w:p w14:paraId="2ADBCBB3">
            <w:pPr>
              <w:pStyle w:val="687"/>
              <w:rPr>
                <w:szCs w:val="22"/>
              </w:rPr>
            </w:pPr>
            <w:r>
              <w:rPr>
                <w:szCs w:val="22"/>
                <w:lang w:bidi="ar"/>
              </w:rPr>
              <w:t xml:space="preserve">153.40 </w:t>
            </w:r>
          </w:p>
        </w:tc>
        <w:tc>
          <w:tcPr>
            <w:tcW w:w="352" w:type="pct"/>
            <w:noWrap/>
            <w:vAlign w:val="center"/>
          </w:tcPr>
          <w:p w14:paraId="4D225157">
            <w:pPr>
              <w:pStyle w:val="687"/>
              <w:rPr>
                <w:szCs w:val="22"/>
              </w:rPr>
            </w:pPr>
            <w:r>
              <w:rPr>
                <w:szCs w:val="22"/>
                <w:lang w:bidi="ar"/>
              </w:rPr>
              <w:t xml:space="preserve">48.13 </w:t>
            </w:r>
          </w:p>
        </w:tc>
      </w:tr>
      <w:tr w14:paraId="2C85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22C1B6E3">
            <w:pPr>
              <w:pStyle w:val="687"/>
            </w:pPr>
            <w:r>
              <w:rPr>
                <w:rFonts w:hint="eastAsia"/>
                <w:lang w:bidi="ar"/>
              </w:rPr>
              <w:t>溶解性总固体</w:t>
            </w:r>
          </w:p>
        </w:tc>
        <w:tc>
          <w:tcPr>
            <w:tcW w:w="536" w:type="pct"/>
            <w:vAlign w:val="center"/>
          </w:tcPr>
          <w:p w14:paraId="7C91DF27">
            <w:pPr>
              <w:pStyle w:val="687"/>
            </w:pPr>
            <w:r>
              <w:rPr>
                <w:lang w:bidi="ar"/>
              </w:rPr>
              <w:t>mg/L</w:t>
            </w:r>
          </w:p>
        </w:tc>
        <w:tc>
          <w:tcPr>
            <w:tcW w:w="427" w:type="pct"/>
            <w:vAlign w:val="center"/>
          </w:tcPr>
          <w:p w14:paraId="032AE052">
            <w:pPr>
              <w:pStyle w:val="687"/>
            </w:pPr>
            <w:r>
              <w:rPr>
                <w:lang w:bidi="ar"/>
              </w:rPr>
              <w:t>208</w:t>
            </w:r>
          </w:p>
        </w:tc>
        <w:tc>
          <w:tcPr>
            <w:tcW w:w="427" w:type="pct"/>
            <w:vAlign w:val="center"/>
          </w:tcPr>
          <w:p w14:paraId="1EEC54BA">
            <w:pPr>
              <w:pStyle w:val="687"/>
            </w:pPr>
            <w:r>
              <w:rPr>
                <w:lang w:bidi="ar"/>
              </w:rPr>
              <w:t>278</w:t>
            </w:r>
          </w:p>
        </w:tc>
        <w:tc>
          <w:tcPr>
            <w:tcW w:w="427" w:type="pct"/>
            <w:vAlign w:val="center"/>
          </w:tcPr>
          <w:p w14:paraId="6B7B1A1E">
            <w:pPr>
              <w:pStyle w:val="687"/>
            </w:pPr>
            <w:r>
              <w:rPr>
                <w:lang w:bidi="ar"/>
              </w:rPr>
              <w:t>218</w:t>
            </w:r>
          </w:p>
        </w:tc>
        <w:tc>
          <w:tcPr>
            <w:tcW w:w="427" w:type="pct"/>
            <w:vAlign w:val="center"/>
          </w:tcPr>
          <w:p w14:paraId="6CA5EABB">
            <w:pPr>
              <w:pStyle w:val="687"/>
            </w:pPr>
            <w:r>
              <w:rPr>
                <w:lang w:bidi="ar"/>
              </w:rPr>
              <w:t>153</w:t>
            </w:r>
          </w:p>
        </w:tc>
        <w:tc>
          <w:tcPr>
            <w:tcW w:w="434" w:type="pct"/>
            <w:vAlign w:val="center"/>
          </w:tcPr>
          <w:p w14:paraId="342AEF43">
            <w:pPr>
              <w:pStyle w:val="687"/>
            </w:pPr>
            <w:r>
              <w:rPr>
                <w:lang w:bidi="ar"/>
              </w:rPr>
              <w:t>159</w:t>
            </w:r>
          </w:p>
        </w:tc>
        <w:tc>
          <w:tcPr>
            <w:tcW w:w="427" w:type="pct"/>
            <w:noWrap/>
            <w:vAlign w:val="center"/>
          </w:tcPr>
          <w:p w14:paraId="6E29A365">
            <w:pPr>
              <w:pStyle w:val="687"/>
              <w:rPr>
                <w:szCs w:val="22"/>
              </w:rPr>
            </w:pPr>
            <w:r>
              <w:rPr>
                <w:szCs w:val="22"/>
                <w:lang w:bidi="ar"/>
              </w:rPr>
              <w:t>153</w:t>
            </w:r>
          </w:p>
        </w:tc>
        <w:tc>
          <w:tcPr>
            <w:tcW w:w="427" w:type="pct"/>
            <w:noWrap/>
            <w:vAlign w:val="center"/>
          </w:tcPr>
          <w:p w14:paraId="4E6E5386">
            <w:pPr>
              <w:pStyle w:val="687"/>
              <w:rPr>
                <w:szCs w:val="22"/>
              </w:rPr>
            </w:pPr>
            <w:r>
              <w:rPr>
                <w:szCs w:val="22"/>
                <w:lang w:bidi="ar"/>
              </w:rPr>
              <w:t>278</w:t>
            </w:r>
          </w:p>
        </w:tc>
        <w:tc>
          <w:tcPr>
            <w:tcW w:w="352" w:type="pct"/>
            <w:noWrap/>
            <w:vAlign w:val="center"/>
          </w:tcPr>
          <w:p w14:paraId="79872301">
            <w:pPr>
              <w:pStyle w:val="687"/>
              <w:rPr>
                <w:szCs w:val="22"/>
              </w:rPr>
            </w:pPr>
            <w:r>
              <w:rPr>
                <w:szCs w:val="22"/>
                <w:lang w:bidi="ar"/>
              </w:rPr>
              <w:t xml:space="preserve">203.20 </w:t>
            </w:r>
          </w:p>
        </w:tc>
        <w:tc>
          <w:tcPr>
            <w:tcW w:w="352" w:type="pct"/>
            <w:noWrap/>
            <w:vAlign w:val="center"/>
          </w:tcPr>
          <w:p w14:paraId="5056C9B5">
            <w:pPr>
              <w:pStyle w:val="687"/>
              <w:rPr>
                <w:szCs w:val="22"/>
              </w:rPr>
            </w:pPr>
            <w:r>
              <w:rPr>
                <w:szCs w:val="22"/>
                <w:lang w:bidi="ar"/>
              </w:rPr>
              <w:t xml:space="preserve">50.77 </w:t>
            </w:r>
          </w:p>
        </w:tc>
      </w:tr>
      <w:tr w14:paraId="62D8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08EDB371">
            <w:pPr>
              <w:pStyle w:val="687"/>
            </w:pPr>
            <w:r>
              <w:rPr>
                <w:rFonts w:hint="eastAsia"/>
                <w:lang w:bidi="ar"/>
              </w:rPr>
              <w:t>氯化物</w:t>
            </w:r>
          </w:p>
        </w:tc>
        <w:tc>
          <w:tcPr>
            <w:tcW w:w="536" w:type="pct"/>
            <w:vAlign w:val="center"/>
          </w:tcPr>
          <w:p w14:paraId="2209A57C">
            <w:pPr>
              <w:pStyle w:val="687"/>
            </w:pPr>
            <w:r>
              <w:rPr>
                <w:lang w:bidi="ar"/>
              </w:rPr>
              <w:t>mg/L</w:t>
            </w:r>
          </w:p>
        </w:tc>
        <w:tc>
          <w:tcPr>
            <w:tcW w:w="427" w:type="pct"/>
            <w:vAlign w:val="center"/>
          </w:tcPr>
          <w:p w14:paraId="671E38B2">
            <w:pPr>
              <w:pStyle w:val="687"/>
            </w:pPr>
            <w:r>
              <w:rPr>
                <w:lang w:bidi="ar"/>
              </w:rPr>
              <w:t>12.9</w:t>
            </w:r>
          </w:p>
        </w:tc>
        <w:tc>
          <w:tcPr>
            <w:tcW w:w="427" w:type="pct"/>
            <w:vAlign w:val="center"/>
          </w:tcPr>
          <w:p w14:paraId="0D71FCC7">
            <w:pPr>
              <w:pStyle w:val="687"/>
            </w:pPr>
            <w:r>
              <w:rPr>
                <w:lang w:bidi="ar"/>
              </w:rPr>
              <w:t>24.2</w:t>
            </w:r>
          </w:p>
        </w:tc>
        <w:tc>
          <w:tcPr>
            <w:tcW w:w="427" w:type="pct"/>
            <w:vAlign w:val="center"/>
          </w:tcPr>
          <w:p w14:paraId="68FB1849">
            <w:pPr>
              <w:pStyle w:val="687"/>
            </w:pPr>
            <w:r>
              <w:rPr>
                <w:lang w:bidi="ar"/>
              </w:rPr>
              <w:t>8.95</w:t>
            </w:r>
          </w:p>
        </w:tc>
        <w:tc>
          <w:tcPr>
            <w:tcW w:w="427" w:type="pct"/>
            <w:vAlign w:val="center"/>
          </w:tcPr>
          <w:p w14:paraId="03DF98FE">
            <w:pPr>
              <w:pStyle w:val="687"/>
            </w:pPr>
            <w:r>
              <w:rPr>
                <w:lang w:bidi="ar"/>
              </w:rPr>
              <w:t>14.7</w:t>
            </w:r>
          </w:p>
        </w:tc>
        <w:tc>
          <w:tcPr>
            <w:tcW w:w="434" w:type="pct"/>
            <w:vAlign w:val="center"/>
          </w:tcPr>
          <w:p w14:paraId="33FCEE0A">
            <w:pPr>
              <w:pStyle w:val="687"/>
            </w:pPr>
            <w:r>
              <w:rPr>
                <w:lang w:bidi="ar"/>
              </w:rPr>
              <w:t>9.58</w:t>
            </w:r>
          </w:p>
        </w:tc>
        <w:tc>
          <w:tcPr>
            <w:tcW w:w="427" w:type="pct"/>
            <w:noWrap/>
            <w:vAlign w:val="center"/>
          </w:tcPr>
          <w:p w14:paraId="0944BE18">
            <w:pPr>
              <w:pStyle w:val="687"/>
              <w:rPr>
                <w:szCs w:val="22"/>
              </w:rPr>
            </w:pPr>
            <w:r>
              <w:rPr>
                <w:szCs w:val="22"/>
                <w:lang w:bidi="ar"/>
              </w:rPr>
              <w:t>8.95</w:t>
            </w:r>
          </w:p>
        </w:tc>
        <w:tc>
          <w:tcPr>
            <w:tcW w:w="427" w:type="pct"/>
            <w:noWrap/>
            <w:vAlign w:val="center"/>
          </w:tcPr>
          <w:p w14:paraId="2D3D44A2">
            <w:pPr>
              <w:pStyle w:val="687"/>
              <w:rPr>
                <w:szCs w:val="22"/>
              </w:rPr>
            </w:pPr>
            <w:r>
              <w:rPr>
                <w:szCs w:val="22"/>
                <w:lang w:bidi="ar"/>
              </w:rPr>
              <w:t>24.2</w:t>
            </w:r>
          </w:p>
        </w:tc>
        <w:tc>
          <w:tcPr>
            <w:tcW w:w="352" w:type="pct"/>
            <w:noWrap/>
            <w:vAlign w:val="center"/>
          </w:tcPr>
          <w:p w14:paraId="227ED13F">
            <w:pPr>
              <w:pStyle w:val="687"/>
              <w:rPr>
                <w:szCs w:val="22"/>
              </w:rPr>
            </w:pPr>
            <w:r>
              <w:rPr>
                <w:szCs w:val="22"/>
                <w:lang w:bidi="ar"/>
              </w:rPr>
              <w:t xml:space="preserve">14.07 </w:t>
            </w:r>
          </w:p>
        </w:tc>
        <w:tc>
          <w:tcPr>
            <w:tcW w:w="352" w:type="pct"/>
            <w:noWrap/>
            <w:vAlign w:val="center"/>
          </w:tcPr>
          <w:p w14:paraId="762E21EB">
            <w:pPr>
              <w:pStyle w:val="687"/>
              <w:rPr>
                <w:szCs w:val="22"/>
              </w:rPr>
            </w:pPr>
            <w:r>
              <w:rPr>
                <w:szCs w:val="22"/>
                <w:lang w:bidi="ar"/>
              </w:rPr>
              <w:t xml:space="preserve">6.14 </w:t>
            </w:r>
          </w:p>
        </w:tc>
      </w:tr>
      <w:tr w14:paraId="481B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1AFE41CF">
            <w:pPr>
              <w:pStyle w:val="687"/>
            </w:pPr>
            <w:r>
              <w:rPr>
                <w:rFonts w:hint="eastAsia"/>
                <w:lang w:bidi="ar"/>
              </w:rPr>
              <w:t>硫酸盐</w:t>
            </w:r>
          </w:p>
        </w:tc>
        <w:tc>
          <w:tcPr>
            <w:tcW w:w="536" w:type="pct"/>
            <w:vAlign w:val="center"/>
          </w:tcPr>
          <w:p w14:paraId="272F571A">
            <w:pPr>
              <w:pStyle w:val="687"/>
            </w:pPr>
            <w:r>
              <w:rPr>
                <w:lang w:bidi="ar"/>
              </w:rPr>
              <w:t>mg/L</w:t>
            </w:r>
          </w:p>
        </w:tc>
        <w:tc>
          <w:tcPr>
            <w:tcW w:w="427" w:type="pct"/>
            <w:vAlign w:val="center"/>
          </w:tcPr>
          <w:p w14:paraId="5E2D3D10">
            <w:pPr>
              <w:pStyle w:val="687"/>
            </w:pPr>
            <w:r>
              <w:rPr>
                <w:lang w:bidi="ar"/>
              </w:rPr>
              <w:t>18.3</w:t>
            </w:r>
          </w:p>
        </w:tc>
        <w:tc>
          <w:tcPr>
            <w:tcW w:w="427" w:type="pct"/>
            <w:vAlign w:val="center"/>
          </w:tcPr>
          <w:p w14:paraId="088C66A2">
            <w:pPr>
              <w:pStyle w:val="687"/>
            </w:pPr>
            <w:r>
              <w:rPr>
                <w:lang w:bidi="ar"/>
              </w:rPr>
              <w:t>24.9</w:t>
            </w:r>
          </w:p>
        </w:tc>
        <w:tc>
          <w:tcPr>
            <w:tcW w:w="427" w:type="pct"/>
            <w:vAlign w:val="center"/>
          </w:tcPr>
          <w:p w14:paraId="0D4A03D6">
            <w:pPr>
              <w:pStyle w:val="687"/>
            </w:pPr>
            <w:r>
              <w:rPr>
                <w:lang w:bidi="ar"/>
              </w:rPr>
              <w:t>23.7</w:t>
            </w:r>
          </w:p>
        </w:tc>
        <w:tc>
          <w:tcPr>
            <w:tcW w:w="427" w:type="pct"/>
            <w:vAlign w:val="center"/>
          </w:tcPr>
          <w:p w14:paraId="6B81D7F2">
            <w:pPr>
              <w:pStyle w:val="687"/>
            </w:pPr>
            <w:r>
              <w:rPr>
                <w:lang w:bidi="ar"/>
              </w:rPr>
              <w:t>15.4</w:t>
            </w:r>
          </w:p>
        </w:tc>
        <w:tc>
          <w:tcPr>
            <w:tcW w:w="434" w:type="pct"/>
            <w:vAlign w:val="center"/>
          </w:tcPr>
          <w:p w14:paraId="6F464962">
            <w:pPr>
              <w:pStyle w:val="687"/>
            </w:pPr>
            <w:r>
              <w:rPr>
                <w:lang w:bidi="ar"/>
              </w:rPr>
              <w:t>17.4</w:t>
            </w:r>
          </w:p>
        </w:tc>
        <w:tc>
          <w:tcPr>
            <w:tcW w:w="427" w:type="pct"/>
            <w:noWrap/>
            <w:vAlign w:val="center"/>
          </w:tcPr>
          <w:p w14:paraId="767A3926">
            <w:pPr>
              <w:pStyle w:val="687"/>
              <w:rPr>
                <w:szCs w:val="22"/>
              </w:rPr>
            </w:pPr>
            <w:r>
              <w:rPr>
                <w:szCs w:val="22"/>
                <w:lang w:bidi="ar"/>
              </w:rPr>
              <w:t>15.4</w:t>
            </w:r>
          </w:p>
        </w:tc>
        <w:tc>
          <w:tcPr>
            <w:tcW w:w="427" w:type="pct"/>
            <w:noWrap/>
            <w:vAlign w:val="center"/>
          </w:tcPr>
          <w:p w14:paraId="49EF4D15">
            <w:pPr>
              <w:pStyle w:val="687"/>
              <w:rPr>
                <w:szCs w:val="22"/>
              </w:rPr>
            </w:pPr>
            <w:r>
              <w:rPr>
                <w:szCs w:val="22"/>
                <w:lang w:bidi="ar"/>
              </w:rPr>
              <w:t>24.9</w:t>
            </w:r>
          </w:p>
        </w:tc>
        <w:tc>
          <w:tcPr>
            <w:tcW w:w="352" w:type="pct"/>
            <w:noWrap/>
            <w:vAlign w:val="center"/>
          </w:tcPr>
          <w:p w14:paraId="7C6CF637">
            <w:pPr>
              <w:pStyle w:val="687"/>
              <w:rPr>
                <w:szCs w:val="22"/>
              </w:rPr>
            </w:pPr>
            <w:r>
              <w:rPr>
                <w:szCs w:val="22"/>
                <w:lang w:bidi="ar"/>
              </w:rPr>
              <w:t xml:space="preserve">19.94 </w:t>
            </w:r>
          </w:p>
        </w:tc>
        <w:tc>
          <w:tcPr>
            <w:tcW w:w="352" w:type="pct"/>
            <w:noWrap/>
            <w:vAlign w:val="center"/>
          </w:tcPr>
          <w:p w14:paraId="7B2EA924">
            <w:pPr>
              <w:pStyle w:val="687"/>
              <w:rPr>
                <w:szCs w:val="22"/>
              </w:rPr>
            </w:pPr>
            <w:r>
              <w:rPr>
                <w:szCs w:val="22"/>
                <w:lang w:bidi="ar"/>
              </w:rPr>
              <w:t xml:space="preserve">4.14 </w:t>
            </w:r>
          </w:p>
        </w:tc>
      </w:tr>
      <w:tr w14:paraId="37C6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6E626FEF">
            <w:pPr>
              <w:pStyle w:val="687"/>
            </w:pPr>
            <w:r>
              <w:rPr>
                <w:rFonts w:hint="eastAsia"/>
                <w:lang w:bidi="ar"/>
              </w:rPr>
              <w:t>化学需氧量</w:t>
            </w:r>
          </w:p>
        </w:tc>
        <w:tc>
          <w:tcPr>
            <w:tcW w:w="536" w:type="pct"/>
            <w:vAlign w:val="center"/>
          </w:tcPr>
          <w:p w14:paraId="516D1377">
            <w:pPr>
              <w:pStyle w:val="687"/>
            </w:pPr>
            <w:r>
              <w:rPr>
                <w:lang w:bidi="ar"/>
              </w:rPr>
              <w:t>mg/L</w:t>
            </w:r>
          </w:p>
        </w:tc>
        <w:tc>
          <w:tcPr>
            <w:tcW w:w="427" w:type="pct"/>
            <w:vAlign w:val="center"/>
          </w:tcPr>
          <w:p w14:paraId="6090AEF2">
            <w:pPr>
              <w:pStyle w:val="687"/>
            </w:pPr>
            <w:r>
              <w:rPr>
                <w:lang w:bidi="ar"/>
              </w:rPr>
              <w:t>4.1</w:t>
            </w:r>
          </w:p>
        </w:tc>
        <w:tc>
          <w:tcPr>
            <w:tcW w:w="427" w:type="pct"/>
            <w:vAlign w:val="center"/>
          </w:tcPr>
          <w:p w14:paraId="29945747">
            <w:pPr>
              <w:pStyle w:val="687"/>
            </w:pPr>
            <w:r>
              <w:rPr>
                <w:lang w:bidi="ar"/>
              </w:rPr>
              <w:t>6.6</w:t>
            </w:r>
          </w:p>
        </w:tc>
        <w:tc>
          <w:tcPr>
            <w:tcW w:w="427" w:type="pct"/>
            <w:vAlign w:val="center"/>
          </w:tcPr>
          <w:p w14:paraId="3AE4FEB5">
            <w:pPr>
              <w:pStyle w:val="687"/>
            </w:pPr>
            <w:r>
              <w:rPr>
                <w:lang w:bidi="ar"/>
              </w:rPr>
              <w:t>8</w:t>
            </w:r>
          </w:p>
        </w:tc>
        <w:tc>
          <w:tcPr>
            <w:tcW w:w="427" w:type="pct"/>
            <w:vAlign w:val="center"/>
          </w:tcPr>
          <w:p w14:paraId="7E0C3D44">
            <w:pPr>
              <w:pStyle w:val="687"/>
            </w:pPr>
            <w:r>
              <w:rPr>
                <w:lang w:bidi="ar"/>
              </w:rPr>
              <w:t>7.2</w:t>
            </w:r>
          </w:p>
        </w:tc>
        <w:tc>
          <w:tcPr>
            <w:tcW w:w="434" w:type="pct"/>
            <w:vAlign w:val="center"/>
          </w:tcPr>
          <w:p w14:paraId="36975FE7">
            <w:pPr>
              <w:pStyle w:val="687"/>
            </w:pPr>
            <w:r>
              <w:rPr>
                <w:lang w:bidi="ar"/>
              </w:rPr>
              <w:t>8.3</w:t>
            </w:r>
          </w:p>
        </w:tc>
        <w:tc>
          <w:tcPr>
            <w:tcW w:w="427" w:type="pct"/>
            <w:noWrap/>
            <w:vAlign w:val="center"/>
          </w:tcPr>
          <w:p w14:paraId="6846E0AE">
            <w:pPr>
              <w:pStyle w:val="687"/>
              <w:rPr>
                <w:szCs w:val="22"/>
              </w:rPr>
            </w:pPr>
            <w:r>
              <w:rPr>
                <w:szCs w:val="22"/>
                <w:lang w:bidi="ar"/>
              </w:rPr>
              <w:t>4.1</w:t>
            </w:r>
          </w:p>
        </w:tc>
        <w:tc>
          <w:tcPr>
            <w:tcW w:w="427" w:type="pct"/>
            <w:noWrap/>
            <w:vAlign w:val="center"/>
          </w:tcPr>
          <w:p w14:paraId="02266328">
            <w:pPr>
              <w:pStyle w:val="687"/>
              <w:rPr>
                <w:szCs w:val="22"/>
              </w:rPr>
            </w:pPr>
            <w:r>
              <w:rPr>
                <w:szCs w:val="22"/>
                <w:lang w:bidi="ar"/>
              </w:rPr>
              <w:t>8.3</w:t>
            </w:r>
          </w:p>
        </w:tc>
        <w:tc>
          <w:tcPr>
            <w:tcW w:w="352" w:type="pct"/>
            <w:noWrap/>
            <w:vAlign w:val="center"/>
          </w:tcPr>
          <w:p w14:paraId="15B6B73F">
            <w:pPr>
              <w:pStyle w:val="687"/>
              <w:rPr>
                <w:szCs w:val="22"/>
              </w:rPr>
            </w:pPr>
            <w:r>
              <w:rPr>
                <w:szCs w:val="22"/>
                <w:lang w:bidi="ar"/>
              </w:rPr>
              <w:t xml:space="preserve">6.84 </w:t>
            </w:r>
          </w:p>
        </w:tc>
        <w:tc>
          <w:tcPr>
            <w:tcW w:w="352" w:type="pct"/>
            <w:noWrap/>
            <w:vAlign w:val="center"/>
          </w:tcPr>
          <w:p w14:paraId="1DA0AAD5">
            <w:pPr>
              <w:pStyle w:val="687"/>
              <w:rPr>
                <w:szCs w:val="22"/>
              </w:rPr>
            </w:pPr>
            <w:r>
              <w:rPr>
                <w:szCs w:val="22"/>
                <w:lang w:bidi="ar"/>
              </w:rPr>
              <w:t xml:space="preserve">1.67 </w:t>
            </w:r>
          </w:p>
        </w:tc>
      </w:tr>
      <w:tr w14:paraId="099E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51841776">
            <w:pPr>
              <w:pStyle w:val="687"/>
            </w:pPr>
            <w:r>
              <w:rPr>
                <w:rFonts w:hint="eastAsia"/>
                <w:lang w:bidi="ar"/>
              </w:rPr>
              <w:t>石油烃（</w:t>
            </w:r>
            <w:r>
              <w:rPr>
                <w:lang w:bidi="ar"/>
              </w:rPr>
              <w:t>C10-C40</w:t>
            </w:r>
            <w:r>
              <w:rPr>
                <w:rFonts w:hint="eastAsia"/>
                <w:lang w:bidi="ar"/>
              </w:rPr>
              <w:t>）</w:t>
            </w:r>
          </w:p>
        </w:tc>
        <w:tc>
          <w:tcPr>
            <w:tcW w:w="536" w:type="pct"/>
            <w:vAlign w:val="center"/>
          </w:tcPr>
          <w:p w14:paraId="5384EBDF">
            <w:pPr>
              <w:pStyle w:val="687"/>
            </w:pPr>
            <w:r>
              <w:rPr>
                <w:lang w:bidi="ar"/>
              </w:rPr>
              <w:t>mg/L</w:t>
            </w:r>
          </w:p>
        </w:tc>
        <w:tc>
          <w:tcPr>
            <w:tcW w:w="427" w:type="pct"/>
            <w:vAlign w:val="center"/>
          </w:tcPr>
          <w:p w14:paraId="2D59BA55">
            <w:pPr>
              <w:pStyle w:val="687"/>
            </w:pPr>
            <w:r>
              <w:rPr>
                <w:lang w:bidi="ar"/>
              </w:rPr>
              <w:t>0.01(L)</w:t>
            </w:r>
          </w:p>
        </w:tc>
        <w:tc>
          <w:tcPr>
            <w:tcW w:w="427" w:type="pct"/>
            <w:vAlign w:val="center"/>
          </w:tcPr>
          <w:p w14:paraId="664E0D11">
            <w:pPr>
              <w:pStyle w:val="687"/>
            </w:pPr>
            <w:r>
              <w:rPr>
                <w:lang w:bidi="ar"/>
              </w:rPr>
              <w:t>0.01(L)</w:t>
            </w:r>
          </w:p>
        </w:tc>
        <w:tc>
          <w:tcPr>
            <w:tcW w:w="427" w:type="pct"/>
            <w:vAlign w:val="center"/>
          </w:tcPr>
          <w:p w14:paraId="5B583C3C">
            <w:pPr>
              <w:pStyle w:val="687"/>
            </w:pPr>
            <w:r>
              <w:rPr>
                <w:lang w:bidi="ar"/>
              </w:rPr>
              <w:t>0.01(L)</w:t>
            </w:r>
          </w:p>
        </w:tc>
        <w:tc>
          <w:tcPr>
            <w:tcW w:w="427" w:type="pct"/>
            <w:vAlign w:val="center"/>
          </w:tcPr>
          <w:p w14:paraId="630BBBB0">
            <w:pPr>
              <w:pStyle w:val="687"/>
            </w:pPr>
            <w:r>
              <w:rPr>
                <w:lang w:bidi="ar"/>
              </w:rPr>
              <w:t>0.01(L)</w:t>
            </w:r>
          </w:p>
        </w:tc>
        <w:tc>
          <w:tcPr>
            <w:tcW w:w="434" w:type="pct"/>
            <w:vAlign w:val="center"/>
          </w:tcPr>
          <w:p w14:paraId="542C2C5F">
            <w:pPr>
              <w:pStyle w:val="687"/>
            </w:pPr>
            <w:r>
              <w:rPr>
                <w:lang w:bidi="ar"/>
              </w:rPr>
              <w:t>0.01(L)</w:t>
            </w:r>
          </w:p>
        </w:tc>
        <w:tc>
          <w:tcPr>
            <w:tcW w:w="427" w:type="pct"/>
            <w:vAlign w:val="center"/>
          </w:tcPr>
          <w:p w14:paraId="3DAF25C2">
            <w:pPr>
              <w:pStyle w:val="687"/>
            </w:pPr>
            <w:r>
              <w:rPr>
                <w:lang w:bidi="ar"/>
              </w:rPr>
              <w:t>0.01(L)</w:t>
            </w:r>
          </w:p>
        </w:tc>
        <w:tc>
          <w:tcPr>
            <w:tcW w:w="427" w:type="pct"/>
            <w:vAlign w:val="center"/>
          </w:tcPr>
          <w:p w14:paraId="034856E0">
            <w:pPr>
              <w:pStyle w:val="687"/>
            </w:pPr>
            <w:r>
              <w:rPr>
                <w:lang w:bidi="ar"/>
              </w:rPr>
              <w:t>0.01(L)</w:t>
            </w:r>
          </w:p>
        </w:tc>
        <w:tc>
          <w:tcPr>
            <w:tcW w:w="352" w:type="pct"/>
            <w:noWrap/>
            <w:vAlign w:val="center"/>
          </w:tcPr>
          <w:p w14:paraId="09398939">
            <w:pPr>
              <w:pStyle w:val="687"/>
              <w:rPr>
                <w:szCs w:val="22"/>
              </w:rPr>
            </w:pPr>
            <w:r>
              <w:rPr>
                <w:szCs w:val="22"/>
                <w:lang w:bidi="ar"/>
              </w:rPr>
              <w:t>/</w:t>
            </w:r>
          </w:p>
        </w:tc>
        <w:tc>
          <w:tcPr>
            <w:tcW w:w="352" w:type="pct"/>
            <w:noWrap/>
            <w:vAlign w:val="center"/>
          </w:tcPr>
          <w:p w14:paraId="7F520BE0">
            <w:pPr>
              <w:pStyle w:val="687"/>
              <w:rPr>
                <w:szCs w:val="22"/>
              </w:rPr>
            </w:pPr>
            <w:r>
              <w:rPr>
                <w:szCs w:val="22"/>
                <w:lang w:bidi="ar"/>
              </w:rPr>
              <w:t>/</w:t>
            </w:r>
          </w:p>
        </w:tc>
      </w:tr>
      <w:tr w14:paraId="73A3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pct"/>
            <w:vAlign w:val="center"/>
          </w:tcPr>
          <w:p w14:paraId="1FFDD775">
            <w:pPr>
              <w:pStyle w:val="687"/>
            </w:pPr>
            <w:r>
              <w:rPr>
                <w:rFonts w:hint="eastAsia"/>
                <w:lang w:bidi="ar"/>
              </w:rPr>
              <w:t>石油烃（</w:t>
            </w:r>
            <w:r>
              <w:rPr>
                <w:lang w:bidi="ar"/>
              </w:rPr>
              <w:t>C6-C9</w:t>
            </w:r>
            <w:r>
              <w:rPr>
                <w:rFonts w:hint="eastAsia"/>
                <w:lang w:bidi="ar"/>
              </w:rPr>
              <w:t>）</w:t>
            </w:r>
          </w:p>
        </w:tc>
        <w:tc>
          <w:tcPr>
            <w:tcW w:w="536" w:type="pct"/>
            <w:vAlign w:val="center"/>
          </w:tcPr>
          <w:p w14:paraId="683F5627">
            <w:pPr>
              <w:pStyle w:val="687"/>
            </w:pPr>
            <w:r>
              <w:rPr>
                <w:lang w:bidi="ar"/>
              </w:rPr>
              <w:t>mg/L</w:t>
            </w:r>
          </w:p>
        </w:tc>
        <w:tc>
          <w:tcPr>
            <w:tcW w:w="427" w:type="pct"/>
            <w:vAlign w:val="center"/>
          </w:tcPr>
          <w:p w14:paraId="60D90E47">
            <w:pPr>
              <w:pStyle w:val="687"/>
            </w:pPr>
            <w:r>
              <w:rPr>
                <w:lang w:bidi="ar"/>
              </w:rPr>
              <w:t>0.05</w:t>
            </w:r>
          </w:p>
        </w:tc>
        <w:tc>
          <w:tcPr>
            <w:tcW w:w="427" w:type="pct"/>
            <w:vAlign w:val="center"/>
          </w:tcPr>
          <w:p w14:paraId="02059A28">
            <w:pPr>
              <w:pStyle w:val="687"/>
            </w:pPr>
            <w:r>
              <w:rPr>
                <w:lang w:bidi="ar"/>
              </w:rPr>
              <w:t>0.04</w:t>
            </w:r>
          </w:p>
        </w:tc>
        <w:tc>
          <w:tcPr>
            <w:tcW w:w="427" w:type="pct"/>
            <w:vAlign w:val="center"/>
          </w:tcPr>
          <w:p w14:paraId="2BF79446">
            <w:pPr>
              <w:pStyle w:val="687"/>
            </w:pPr>
            <w:r>
              <w:rPr>
                <w:lang w:bidi="ar"/>
              </w:rPr>
              <w:t>0.03</w:t>
            </w:r>
          </w:p>
        </w:tc>
        <w:tc>
          <w:tcPr>
            <w:tcW w:w="427" w:type="pct"/>
            <w:vAlign w:val="center"/>
          </w:tcPr>
          <w:p w14:paraId="54000D8F">
            <w:pPr>
              <w:pStyle w:val="687"/>
            </w:pPr>
            <w:r>
              <w:rPr>
                <w:lang w:bidi="ar"/>
              </w:rPr>
              <w:t>0.04</w:t>
            </w:r>
          </w:p>
        </w:tc>
        <w:tc>
          <w:tcPr>
            <w:tcW w:w="434" w:type="pct"/>
            <w:vAlign w:val="center"/>
          </w:tcPr>
          <w:p w14:paraId="21150669">
            <w:pPr>
              <w:pStyle w:val="687"/>
            </w:pPr>
            <w:r>
              <w:rPr>
                <w:lang w:bidi="ar"/>
              </w:rPr>
              <w:t>0.05</w:t>
            </w:r>
          </w:p>
        </w:tc>
        <w:tc>
          <w:tcPr>
            <w:tcW w:w="427" w:type="pct"/>
            <w:noWrap/>
            <w:vAlign w:val="center"/>
          </w:tcPr>
          <w:p w14:paraId="3EA3AD5B">
            <w:pPr>
              <w:pStyle w:val="687"/>
              <w:rPr>
                <w:szCs w:val="22"/>
              </w:rPr>
            </w:pPr>
            <w:r>
              <w:rPr>
                <w:szCs w:val="22"/>
                <w:lang w:bidi="ar"/>
              </w:rPr>
              <w:t>0.03</w:t>
            </w:r>
          </w:p>
        </w:tc>
        <w:tc>
          <w:tcPr>
            <w:tcW w:w="427" w:type="pct"/>
            <w:noWrap/>
            <w:vAlign w:val="center"/>
          </w:tcPr>
          <w:p w14:paraId="283E5347">
            <w:pPr>
              <w:pStyle w:val="687"/>
              <w:rPr>
                <w:szCs w:val="22"/>
              </w:rPr>
            </w:pPr>
            <w:r>
              <w:rPr>
                <w:szCs w:val="22"/>
                <w:lang w:bidi="ar"/>
              </w:rPr>
              <w:t>0.05</w:t>
            </w:r>
          </w:p>
        </w:tc>
        <w:tc>
          <w:tcPr>
            <w:tcW w:w="352" w:type="pct"/>
            <w:noWrap/>
            <w:vAlign w:val="center"/>
          </w:tcPr>
          <w:p w14:paraId="7A0D8EC0">
            <w:pPr>
              <w:pStyle w:val="687"/>
              <w:rPr>
                <w:szCs w:val="22"/>
              </w:rPr>
            </w:pPr>
            <w:r>
              <w:rPr>
                <w:szCs w:val="22"/>
                <w:lang w:bidi="ar"/>
              </w:rPr>
              <w:t xml:space="preserve">0.04 </w:t>
            </w:r>
          </w:p>
        </w:tc>
        <w:tc>
          <w:tcPr>
            <w:tcW w:w="352" w:type="pct"/>
            <w:noWrap/>
            <w:vAlign w:val="center"/>
          </w:tcPr>
          <w:p w14:paraId="752A5249">
            <w:pPr>
              <w:pStyle w:val="687"/>
              <w:rPr>
                <w:szCs w:val="22"/>
              </w:rPr>
            </w:pPr>
            <w:r>
              <w:rPr>
                <w:szCs w:val="22"/>
                <w:lang w:bidi="ar"/>
              </w:rPr>
              <w:t xml:space="preserve">0.01 </w:t>
            </w:r>
          </w:p>
        </w:tc>
      </w:tr>
    </w:tbl>
    <w:p w14:paraId="5B7FD9A1">
      <w:pPr>
        <w:pStyle w:val="1379"/>
        <w:ind w:firstLine="440"/>
      </w:pPr>
    </w:p>
    <w:p w14:paraId="4CE7E143">
      <w:pPr>
        <w:pStyle w:val="1441"/>
      </w:pPr>
      <w:r>
        <w:t>表4.2-</w:t>
      </w:r>
      <w:r>
        <w:rPr>
          <w:rFonts w:hint="eastAsia"/>
        </w:rPr>
        <w:t>10</w:t>
      </w:r>
      <w:r>
        <w:t xml:space="preserve">   地下水质量现状评价结果表</w:t>
      </w:r>
    </w:p>
    <w:tbl>
      <w:tblPr>
        <w:tblStyle w:val="8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9"/>
        <w:gridCol w:w="1677"/>
        <w:gridCol w:w="1313"/>
        <w:gridCol w:w="724"/>
        <w:gridCol w:w="724"/>
        <w:gridCol w:w="724"/>
        <w:gridCol w:w="724"/>
        <w:gridCol w:w="724"/>
        <w:gridCol w:w="1853"/>
        <w:gridCol w:w="1854"/>
        <w:gridCol w:w="1058"/>
      </w:tblGrid>
      <w:tr w14:paraId="5E65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Merge w:val="restart"/>
            <w:vAlign w:val="center"/>
          </w:tcPr>
          <w:p w14:paraId="76B9B6FB">
            <w:pPr>
              <w:widowControl/>
              <w:jc w:val="center"/>
              <w:textAlignment w:val="center"/>
              <w:rPr>
                <w:rFonts w:cs="宋体"/>
                <w:sz w:val="22"/>
                <w:szCs w:val="22"/>
              </w:rPr>
            </w:pPr>
            <w:r>
              <w:rPr>
                <w:rFonts w:hint="eastAsia" w:cs="宋体"/>
                <w:kern w:val="0"/>
                <w:sz w:val="22"/>
                <w:szCs w:val="22"/>
                <w:lang w:bidi="ar"/>
              </w:rPr>
              <w:t>检测项目</w:t>
            </w:r>
          </w:p>
        </w:tc>
        <w:tc>
          <w:tcPr>
            <w:tcW w:w="609" w:type="pct"/>
            <w:vMerge w:val="restart"/>
            <w:vAlign w:val="center"/>
          </w:tcPr>
          <w:p w14:paraId="4DADADC0">
            <w:pPr>
              <w:widowControl/>
              <w:jc w:val="center"/>
              <w:textAlignment w:val="center"/>
              <w:rPr>
                <w:rFonts w:cs="宋体"/>
                <w:sz w:val="22"/>
                <w:szCs w:val="22"/>
              </w:rPr>
            </w:pPr>
            <w:r>
              <w:rPr>
                <w:rFonts w:hint="eastAsia" w:cs="宋体"/>
                <w:kern w:val="0"/>
                <w:sz w:val="22"/>
                <w:szCs w:val="22"/>
                <w:lang w:bidi="ar"/>
              </w:rPr>
              <w:t>单位</w:t>
            </w:r>
          </w:p>
        </w:tc>
        <w:tc>
          <w:tcPr>
            <w:tcW w:w="477" w:type="pct"/>
            <w:vMerge w:val="restart"/>
            <w:noWrap/>
            <w:vAlign w:val="center"/>
          </w:tcPr>
          <w:p w14:paraId="1AEF6E40">
            <w:pPr>
              <w:widowControl/>
              <w:jc w:val="center"/>
              <w:textAlignment w:val="center"/>
              <w:rPr>
                <w:sz w:val="22"/>
                <w:szCs w:val="22"/>
              </w:rPr>
            </w:pPr>
            <w:r>
              <w:rPr>
                <w:kern w:val="0"/>
                <w:sz w:val="22"/>
                <w:szCs w:val="22"/>
                <w:lang w:bidi="ar"/>
              </w:rPr>
              <w:t>Ⅲ</w:t>
            </w:r>
            <w:r>
              <w:rPr>
                <w:rFonts w:hint="eastAsia" w:cs="宋体"/>
                <w:kern w:val="0"/>
                <w:sz w:val="22"/>
                <w:szCs w:val="22"/>
                <w:lang w:bidi="ar"/>
              </w:rPr>
              <w:t>类标准</w:t>
            </w:r>
          </w:p>
        </w:tc>
        <w:tc>
          <w:tcPr>
            <w:tcW w:w="1315" w:type="pct"/>
            <w:gridSpan w:val="5"/>
            <w:vAlign w:val="center"/>
          </w:tcPr>
          <w:p w14:paraId="6E655C5F">
            <w:pPr>
              <w:widowControl/>
              <w:jc w:val="center"/>
              <w:textAlignment w:val="center"/>
              <w:rPr>
                <w:kern w:val="0"/>
                <w:sz w:val="22"/>
                <w:szCs w:val="21"/>
                <w:lang w:bidi="ar"/>
              </w:rPr>
            </w:pPr>
            <w:r>
              <w:rPr>
                <w:rFonts w:hint="eastAsia"/>
                <w:kern w:val="0"/>
                <w:sz w:val="22"/>
                <w:szCs w:val="21"/>
                <w:lang w:bidi="ar"/>
              </w:rPr>
              <w:t>各监测点位标准指数</w:t>
            </w:r>
          </w:p>
        </w:tc>
        <w:tc>
          <w:tcPr>
            <w:tcW w:w="673" w:type="pct"/>
            <w:vMerge w:val="restart"/>
            <w:vAlign w:val="center"/>
          </w:tcPr>
          <w:p w14:paraId="4195A185">
            <w:pPr>
              <w:widowControl/>
              <w:jc w:val="center"/>
              <w:textAlignment w:val="center"/>
              <w:rPr>
                <w:rFonts w:cs="宋体"/>
                <w:sz w:val="22"/>
                <w:szCs w:val="22"/>
              </w:rPr>
            </w:pPr>
            <w:r>
              <w:rPr>
                <w:rFonts w:hint="eastAsia" w:cs="宋体"/>
                <w:kern w:val="0"/>
                <w:sz w:val="22"/>
                <w:szCs w:val="22"/>
                <w:lang w:bidi="ar"/>
              </w:rPr>
              <w:t>最小标准指数</w:t>
            </w:r>
          </w:p>
        </w:tc>
        <w:tc>
          <w:tcPr>
            <w:tcW w:w="673" w:type="pct"/>
            <w:vMerge w:val="restart"/>
            <w:vAlign w:val="center"/>
          </w:tcPr>
          <w:p w14:paraId="246252A5">
            <w:pPr>
              <w:widowControl/>
              <w:jc w:val="center"/>
              <w:textAlignment w:val="center"/>
              <w:rPr>
                <w:rFonts w:cs="宋体"/>
                <w:sz w:val="22"/>
                <w:szCs w:val="22"/>
              </w:rPr>
            </w:pPr>
            <w:r>
              <w:rPr>
                <w:rFonts w:hint="eastAsia" w:cs="宋体"/>
                <w:kern w:val="0"/>
                <w:sz w:val="22"/>
                <w:szCs w:val="22"/>
                <w:lang w:bidi="ar"/>
              </w:rPr>
              <w:t>最大标准指数</w:t>
            </w:r>
          </w:p>
        </w:tc>
        <w:tc>
          <w:tcPr>
            <w:tcW w:w="384" w:type="pct"/>
            <w:vMerge w:val="restart"/>
            <w:vAlign w:val="center"/>
          </w:tcPr>
          <w:p w14:paraId="6B0949EC">
            <w:pPr>
              <w:widowControl/>
              <w:jc w:val="center"/>
              <w:textAlignment w:val="center"/>
              <w:rPr>
                <w:rFonts w:cs="宋体"/>
                <w:sz w:val="22"/>
                <w:szCs w:val="22"/>
              </w:rPr>
            </w:pPr>
            <w:r>
              <w:rPr>
                <w:rFonts w:hint="eastAsia" w:cs="宋体"/>
                <w:kern w:val="0"/>
                <w:sz w:val="22"/>
                <w:szCs w:val="22"/>
                <w:lang w:bidi="ar"/>
              </w:rPr>
              <w:t>超标率</w:t>
            </w:r>
          </w:p>
        </w:tc>
      </w:tr>
      <w:tr w14:paraId="6B46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Merge w:val="continue"/>
            <w:vAlign w:val="center"/>
          </w:tcPr>
          <w:p w14:paraId="03C039F5">
            <w:pPr>
              <w:widowControl/>
              <w:jc w:val="center"/>
              <w:textAlignment w:val="center"/>
              <w:rPr>
                <w:rFonts w:cs="宋体"/>
                <w:sz w:val="22"/>
                <w:szCs w:val="22"/>
              </w:rPr>
            </w:pPr>
          </w:p>
        </w:tc>
        <w:tc>
          <w:tcPr>
            <w:tcW w:w="609" w:type="pct"/>
            <w:vMerge w:val="continue"/>
            <w:vAlign w:val="center"/>
          </w:tcPr>
          <w:p w14:paraId="007C2AA6">
            <w:pPr>
              <w:widowControl/>
              <w:jc w:val="center"/>
              <w:textAlignment w:val="center"/>
              <w:rPr>
                <w:rFonts w:cs="宋体"/>
                <w:sz w:val="22"/>
                <w:szCs w:val="22"/>
              </w:rPr>
            </w:pPr>
          </w:p>
        </w:tc>
        <w:tc>
          <w:tcPr>
            <w:tcW w:w="477" w:type="pct"/>
            <w:vMerge w:val="continue"/>
            <w:noWrap/>
            <w:vAlign w:val="center"/>
          </w:tcPr>
          <w:p w14:paraId="367CD016">
            <w:pPr>
              <w:widowControl/>
              <w:jc w:val="center"/>
              <w:textAlignment w:val="center"/>
              <w:rPr>
                <w:sz w:val="22"/>
                <w:szCs w:val="22"/>
              </w:rPr>
            </w:pPr>
          </w:p>
        </w:tc>
        <w:tc>
          <w:tcPr>
            <w:tcW w:w="263" w:type="pct"/>
            <w:vAlign w:val="center"/>
          </w:tcPr>
          <w:p w14:paraId="6D47B528">
            <w:pPr>
              <w:widowControl/>
              <w:jc w:val="center"/>
              <w:textAlignment w:val="center"/>
              <w:rPr>
                <w:sz w:val="22"/>
                <w:szCs w:val="21"/>
              </w:rPr>
            </w:pPr>
            <w:r>
              <w:rPr>
                <w:kern w:val="0"/>
                <w:sz w:val="22"/>
                <w:szCs w:val="21"/>
                <w:lang w:bidi="ar"/>
              </w:rPr>
              <w:t>D1</w:t>
            </w:r>
          </w:p>
        </w:tc>
        <w:tc>
          <w:tcPr>
            <w:tcW w:w="263" w:type="pct"/>
            <w:vAlign w:val="center"/>
          </w:tcPr>
          <w:p w14:paraId="72FDAAAD">
            <w:pPr>
              <w:widowControl/>
              <w:jc w:val="center"/>
              <w:textAlignment w:val="center"/>
              <w:rPr>
                <w:sz w:val="22"/>
                <w:szCs w:val="21"/>
              </w:rPr>
            </w:pPr>
            <w:r>
              <w:rPr>
                <w:kern w:val="0"/>
                <w:sz w:val="22"/>
                <w:szCs w:val="21"/>
                <w:lang w:bidi="ar"/>
              </w:rPr>
              <w:t>D2</w:t>
            </w:r>
          </w:p>
        </w:tc>
        <w:tc>
          <w:tcPr>
            <w:tcW w:w="263" w:type="pct"/>
            <w:vAlign w:val="center"/>
          </w:tcPr>
          <w:p w14:paraId="0889A576">
            <w:pPr>
              <w:widowControl/>
              <w:jc w:val="center"/>
              <w:textAlignment w:val="center"/>
              <w:rPr>
                <w:sz w:val="22"/>
                <w:szCs w:val="21"/>
              </w:rPr>
            </w:pPr>
            <w:r>
              <w:rPr>
                <w:kern w:val="0"/>
                <w:sz w:val="22"/>
                <w:szCs w:val="21"/>
                <w:lang w:bidi="ar"/>
              </w:rPr>
              <w:t>D3</w:t>
            </w:r>
          </w:p>
        </w:tc>
        <w:tc>
          <w:tcPr>
            <w:tcW w:w="263" w:type="pct"/>
            <w:vAlign w:val="center"/>
          </w:tcPr>
          <w:p w14:paraId="239D6806">
            <w:pPr>
              <w:widowControl/>
              <w:jc w:val="center"/>
              <w:textAlignment w:val="center"/>
              <w:rPr>
                <w:sz w:val="22"/>
                <w:szCs w:val="21"/>
              </w:rPr>
            </w:pPr>
            <w:r>
              <w:rPr>
                <w:kern w:val="0"/>
                <w:sz w:val="22"/>
                <w:szCs w:val="21"/>
                <w:lang w:bidi="ar"/>
              </w:rPr>
              <w:t>D4</w:t>
            </w:r>
          </w:p>
        </w:tc>
        <w:tc>
          <w:tcPr>
            <w:tcW w:w="263" w:type="pct"/>
            <w:vAlign w:val="center"/>
          </w:tcPr>
          <w:p w14:paraId="68AC84F2">
            <w:pPr>
              <w:widowControl/>
              <w:jc w:val="center"/>
              <w:textAlignment w:val="center"/>
              <w:rPr>
                <w:sz w:val="22"/>
                <w:szCs w:val="21"/>
              </w:rPr>
            </w:pPr>
            <w:r>
              <w:rPr>
                <w:kern w:val="0"/>
                <w:sz w:val="22"/>
                <w:szCs w:val="21"/>
                <w:lang w:bidi="ar"/>
              </w:rPr>
              <w:t>D5</w:t>
            </w:r>
          </w:p>
        </w:tc>
        <w:tc>
          <w:tcPr>
            <w:tcW w:w="673" w:type="pct"/>
            <w:vMerge w:val="continue"/>
            <w:vAlign w:val="center"/>
          </w:tcPr>
          <w:p w14:paraId="3D751ECB">
            <w:pPr>
              <w:widowControl/>
              <w:jc w:val="center"/>
              <w:textAlignment w:val="center"/>
              <w:rPr>
                <w:rFonts w:cs="宋体"/>
                <w:sz w:val="22"/>
                <w:szCs w:val="22"/>
              </w:rPr>
            </w:pPr>
          </w:p>
        </w:tc>
        <w:tc>
          <w:tcPr>
            <w:tcW w:w="673" w:type="pct"/>
            <w:vMerge w:val="continue"/>
            <w:vAlign w:val="center"/>
          </w:tcPr>
          <w:p w14:paraId="512B1448">
            <w:pPr>
              <w:widowControl/>
              <w:jc w:val="center"/>
              <w:textAlignment w:val="center"/>
              <w:rPr>
                <w:rFonts w:cs="宋体"/>
                <w:sz w:val="22"/>
                <w:szCs w:val="22"/>
              </w:rPr>
            </w:pPr>
          </w:p>
        </w:tc>
        <w:tc>
          <w:tcPr>
            <w:tcW w:w="384" w:type="pct"/>
            <w:vMerge w:val="continue"/>
            <w:vAlign w:val="center"/>
          </w:tcPr>
          <w:p w14:paraId="7CB5F362">
            <w:pPr>
              <w:widowControl/>
              <w:jc w:val="center"/>
              <w:textAlignment w:val="center"/>
              <w:rPr>
                <w:rFonts w:cs="宋体"/>
                <w:sz w:val="22"/>
                <w:szCs w:val="22"/>
              </w:rPr>
            </w:pPr>
          </w:p>
        </w:tc>
      </w:tr>
      <w:tr w14:paraId="57B8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18FED69F">
            <w:pPr>
              <w:widowControl/>
              <w:jc w:val="center"/>
              <w:textAlignment w:val="center"/>
              <w:rPr>
                <w:sz w:val="22"/>
                <w:szCs w:val="22"/>
              </w:rPr>
            </w:pPr>
            <w:r>
              <w:rPr>
                <w:kern w:val="0"/>
                <w:sz w:val="22"/>
                <w:szCs w:val="22"/>
                <w:lang w:bidi="ar"/>
              </w:rPr>
              <w:t>pH</w:t>
            </w:r>
          </w:p>
        </w:tc>
        <w:tc>
          <w:tcPr>
            <w:tcW w:w="609" w:type="pct"/>
            <w:vAlign w:val="center"/>
          </w:tcPr>
          <w:p w14:paraId="037C5A39">
            <w:pPr>
              <w:widowControl/>
              <w:jc w:val="center"/>
              <w:textAlignment w:val="center"/>
              <w:rPr>
                <w:rFonts w:cs="宋体"/>
                <w:sz w:val="22"/>
                <w:szCs w:val="22"/>
              </w:rPr>
            </w:pPr>
            <w:r>
              <w:rPr>
                <w:rFonts w:hint="eastAsia" w:cs="宋体"/>
                <w:kern w:val="0"/>
                <w:sz w:val="22"/>
                <w:szCs w:val="22"/>
                <w:lang w:bidi="ar"/>
              </w:rPr>
              <w:t>无量纲</w:t>
            </w:r>
          </w:p>
        </w:tc>
        <w:tc>
          <w:tcPr>
            <w:tcW w:w="477" w:type="pct"/>
            <w:vAlign w:val="center"/>
          </w:tcPr>
          <w:p w14:paraId="549DE29F">
            <w:pPr>
              <w:widowControl/>
              <w:jc w:val="center"/>
              <w:textAlignment w:val="center"/>
              <w:rPr>
                <w:sz w:val="22"/>
                <w:szCs w:val="22"/>
              </w:rPr>
            </w:pPr>
            <w:r>
              <w:rPr>
                <w:kern w:val="0"/>
                <w:sz w:val="22"/>
                <w:szCs w:val="22"/>
                <w:lang w:bidi="ar"/>
              </w:rPr>
              <w:t>6.5~8.5</w:t>
            </w:r>
          </w:p>
        </w:tc>
        <w:tc>
          <w:tcPr>
            <w:tcW w:w="263" w:type="pct"/>
            <w:vAlign w:val="center"/>
          </w:tcPr>
          <w:p w14:paraId="480BC427">
            <w:pPr>
              <w:widowControl/>
              <w:jc w:val="center"/>
              <w:textAlignment w:val="center"/>
              <w:rPr>
                <w:sz w:val="22"/>
                <w:szCs w:val="21"/>
              </w:rPr>
            </w:pPr>
            <w:r>
              <w:rPr>
                <w:kern w:val="0"/>
                <w:sz w:val="22"/>
                <w:szCs w:val="21"/>
                <w:lang w:bidi="ar"/>
              </w:rPr>
              <w:t xml:space="preserve">0.20 </w:t>
            </w:r>
          </w:p>
        </w:tc>
        <w:tc>
          <w:tcPr>
            <w:tcW w:w="263" w:type="pct"/>
            <w:vAlign w:val="center"/>
          </w:tcPr>
          <w:p w14:paraId="0670F692">
            <w:pPr>
              <w:widowControl/>
              <w:jc w:val="center"/>
              <w:textAlignment w:val="center"/>
              <w:rPr>
                <w:sz w:val="22"/>
                <w:szCs w:val="21"/>
              </w:rPr>
            </w:pPr>
            <w:r>
              <w:rPr>
                <w:kern w:val="0"/>
                <w:sz w:val="22"/>
                <w:szCs w:val="21"/>
                <w:lang w:bidi="ar"/>
              </w:rPr>
              <w:t xml:space="preserve">0.27 </w:t>
            </w:r>
          </w:p>
        </w:tc>
        <w:tc>
          <w:tcPr>
            <w:tcW w:w="263" w:type="pct"/>
            <w:vAlign w:val="center"/>
          </w:tcPr>
          <w:p w14:paraId="36AFEFD1">
            <w:pPr>
              <w:widowControl/>
              <w:jc w:val="center"/>
              <w:textAlignment w:val="center"/>
              <w:rPr>
                <w:sz w:val="22"/>
                <w:szCs w:val="21"/>
              </w:rPr>
            </w:pPr>
            <w:r>
              <w:rPr>
                <w:kern w:val="0"/>
                <w:sz w:val="22"/>
                <w:szCs w:val="21"/>
                <w:lang w:bidi="ar"/>
              </w:rPr>
              <w:t xml:space="preserve">0.13 </w:t>
            </w:r>
          </w:p>
        </w:tc>
        <w:tc>
          <w:tcPr>
            <w:tcW w:w="263" w:type="pct"/>
            <w:vAlign w:val="center"/>
          </w:tcPr>
          <w:p w14:paraId="16900849">
            <w:pPr>
              <w:widowControl/>
              <w:jc w:val="center"/>
              <w:textAlignment w:val="center"/>
              <w:rPr>
                <w:sz w:val="22"/>
                <w:szCs w:val="21"/>
              </w:rPr>
            </w:pPr>
            <w:r>
              <w:rPr>
                <w:kern w:val="0"/>
                <w:sz w:val="22"/>
                <w:szCs w:val="21"/>
                <w:lang w:bidi="ar"/>
              </w:rPr>
              <w:t xml:space="preserve">0.20 </w:t>
            </w:r>
          </w:p>
        </w:tc>
        <w:tc>
          <w:tcPr>
            <w:tcW w:w="263" w:type="pct"/>
            <w:vAlign w:val="center"/>
          </w:tcPr>
          <w:p w14:paraId="2E9A8674">
            <w:pPr>
              <w:widowControl/>
              <w:jc w:val="center"/>
              <w:textAlignment w:val="center"/>
              <w:rPr>
                <w:sz w:val="22"/>
                <w:szCs w:val="21"/>
              </w:rPr>
            </w:pPr>
            <w:r>
              <w:rPr>
                <w:kern w:val="0"/>
                <w:sz w:val="22"/>
                <w:szCs w:val="21"/>
                <w:lang w:bidi="ar"/>
              </w:rPr>
              <w:t xml:space="preserve">0.20 </w:t>
            </w:r>
          </w:p>
        </w:tc>
        <w:tc>
          <w:tcPr>
            <w:tcW w:w="673" w:type="pct"/>
            <w:vAlign w:val="center"/>
          </w:tcPr>
          <w:p w14:paraId="7924D0E0">
            <w:pPr>
              <w:widowControl/>
              <w:jc w:val="center"/>
              <w:textAlignment w:val="center"/>
              <w:rPr>
                <w:rFonts w:cs="宋体"/>
                <w:sz w:val="22"/>
                <w:szCs w:val="22"/>
              </w:rPr>
            </w:pPr>
            <w:r>
              <w:rPr>
                <w:rFonts w:hint="eastAsia" w:cs="宋体"/>
                <w:kern w:val="0"/>
                <w:sz w:val="22"/>
                <w:szCs w:val="22"/>
                <w:lang w:bidi="ar"/>
              </w:rPr>
              <w:t xml:space="preserve">0.13 </w:t>
            </w:r>
          </w:p>
        </w:tc>
        <w:tc>
          <w:tcPr>
            <w:tcW w:w="673" w:type="pct"/>
            <w:vAlign w:val="center"/>
          </w:tcPr>
          <w:p w14:paraId="146E1F2F">
            <w:pPr>
              <w:widowControl/>
              <w:jc w:val="center"/>
              <w:textAlignment w:val="center"/>
              <w:rPr>
                <w:rFonts w:cs="宋体"/>
                <w:sz w:val="22"/>
                <w:szCs w:val="22"/>
              </w:rPr>
            </w:pPr>
            <w:r>
              <w:rPr>
                <w:rFonts w:hint="eastAsia" w:cs="宋体"/>
                <w:kern w:val="0"/>
                <w:sz w:val="22"/>
                <w:szCs w:val="22"/>
                <w:lang w:bidi="ar"/>
              </w:rPr>
              <w:t xml:space="preserve">0.27 </w:t>
            </w:r>
          </w:p>
        </w:tc>
        <w:tc>
          <w:tcPr>
            <w:tcW w:w="384" w:type="pct"/>
            <w:vAlign w:val="center"/>
          </w:tcPr>
          <w:p w14:paraId="5FAF00A6">
            <w:pPr>
              <w:widowControl/>
              <w:jc w:val="center"/>
              <w:textAlignment w:val="center"/>
              <w:rPr>
                <w:rFonts w:cs="宋体"/>
                <w:sz w:val="22"/>
                <w:szCs w:val="22"/>
              </w:rPr>
            </w:pPr>
            <w:r>
              <w:rPr>
                <w:rFonts w:hint="eastAsia" w:cs="宋体"/>
                <w:kern w:val="0"/>
                <w:sz w:val="22"/>
                <w:szCs w:val="22"/>
                <w:lang w:bidi="ar"/>
              </w:rPr>
              <w:t>0%</w:t>
            </w:r>
          </w:p>
        </w:tc>
      </w:tr>
      <w:tr w14:paraId="729F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6847E6E4">
            <w:pPr>
              <w:widowControl/>
              <w:jc w:val="center"/>
              <w:textAlignment w:val="center"/>
              <w:rPr>
                <w:rFonts w:cs="宋体"/>
                <w:sz w:val="22"/>
                <w:szCs w:val="22"/>
              </w:rPr>
            </w:pPr>
            <w:r>
              <w:rPr>
                <w:rFonts w:hint="eastAsia" w:cs="宋体"/>
                <w:kern w:val="0"/>
                <w:sz w:val="22"/>
                <w:szCs w:val="22"/>
                <w:lang w:bidi="ar"/>
              </w:rPr>
              <w:t>氨氮</w:t>
            </w:r>
          </w:p>
        </w:tc>
        <w:tc>
          <w:tcPr>
            <w:tcW w:w="609" w:type="pct"/>
            <w:vAlign w:val="center"/>
          </w:tcPr>
          <w:p w14:paraId="2971A8EC">
            <w:pPr>
              <w:widowControl/>
              <w:jc w:val="center"/>
              <w:textAlignment w:val="center"/>
              <w:rPr>
                <w:sz w:val="22"/>
                <w:szCs w:val="22"/>
              </w:rPr>
            </w:pPr>
            <w:r>
              <w:rPr>
                <w:kern w:val="0"/>
                <w:sz w:val="22"/>
                <w:szCs w:val="22"/>
                <w:lang w:bidi="ar"/>
              </w:rPr>
              <w:t>mg/L</w:t>
            </w:r>
          </w:p>
        </w:tc>
        <w:tc>
          <w:tcPr>
            <w:tcW w:w="477" w:type="pct"/>
            <w:noWrap/>
            <w:vAlign w:val="center"/>
          </w:tcPr>
          <w:p w14:paraId="086A3563">
            <w:pPr>
              <w:widowControl/>
              <w:jc w:val="center"/>
              <w:textAlignment w:val="center"/>
              <w:rPr>
                <w:sz w:val="22"/>
                <w:szCs w:val="22"/>
              </w:rPr>
            </w:pPr>
            <w:r>
              <w:rPr>
                <w:kern w:val="0"/>
                <w:sz w:val="22"/>
                <w:szCs w:val="22"/>
                <w:lang w:bidi="ar"/>
              </w:rPr>
              <w:t>0.5</w:t>
            </w:r>
          </w:p>
        </w:tc>
        <w:tc>
          <w:tcPr>
            <w:tcW w:w="263" w:type="pct"/>
            <w:vAlign w:val="center"/>
          </w:tcPr>
          <w:p w14:paraId="6D8ECDA9">
            <w:pPr>
              <w:widowControl/>
              <w:jc w:val="center"/>
              <w:textAlignment w:val="center"/>
              <w:rPr>
                <w:sz w:val="22"/>
                <w:szCs w:val="21"/>
              </w:rPr>
            </w:pPr>
            <w:r>
              <w:rPr>
                <w:kern w:val="0"/>
                <w:sz w:val="22"/>
                <w:szCs w:val="21"/>
                <w:lang w:bidi="ar"/>
              </w:rPr>
              <w:t xml:space="preserve">0.90 </w:t>
            </w:r>
          </w:p>
        </w:tc>
        <w:tc>
          <w:tcPr>
            <w:tcW w:w="263" w:type="pct"/>
            <w:vAlign w:val="center"/>
          </w:tcPr>
          <w:p w14:paraId="1A74BD2A">
            <w:pPr>
              <w:widowControl/>
              <w:jc w:val="center"/>
              <w:textAlignment w:val="center"/>
              <w:rPr>
                <w:sz w:val="22"/>
                <w:szCs w:val="21"/>
              </w:rPr>
            </w:pPr>
            <w:r>
              <w:rPr>
                <w:kern w:val="0"/>
                <w:sz w:val="22"/>
                <w:szCs w:val="21"/>
                <w:lang w:bidi="ar"/>
              </w:rPr>
              <w:t xml:space="preserve">0.51 </w:t>
            </w:r>
          </w:p>
        </w:tc>
        <w:tc>
          <w:tcPr>
            <w:tcW w:w="263" w:type="pct"/>
            <w:vAlign w:val="center"/>
          </w:tcPr>
          <w:p w14:paraId="0B89B5F9">
            <w:pPr>
              <w:widowControl/>
              <w:jc w:val="center"/>
              <w:textAlignment w:val="center"/>
              <w:rPr>
                <w:sz w:val="22"/>
                <w:szCs w:val="21"/>
              </w:rPr>
            </w:pPr>
            <w:r>
              <w:rPr>
                <w:kern w:val="0"/>
                <w:sz w:val="22"/>
                <w:szCs w:val="21"/>
                <w:lang w:bidi="ar"/>
              </w:rPr>
              <w:t xml:space="preserve">0.50 </w:t>
            </w:r>
          </w:p>
        </w:tc>
        <w:tc>
          <w:tcPr>
            <w:tcW w:w="263" w:type="pct"/>
            <w:vAlign w:val="center"/>
          </w:tcPr>
          <w:p w14:paraId="3D16D066">
            <w:pPr>
              <w:widowControl/>
              <w:jc w:val="center"/>
              <w:textAlignment w:val="center"/>
              <w:rPr>
                <w:sz w:val="22"/>
                <w:szCs w:val="21"/>
              </w:rPr>
            </w:pPr>
            <w:r>
              <w:rPr>
                <w:kern w:val="0"/>
                <w:sz w:val="22"/>
                <w:szCs w:val="21"/>
                <w:lang w:bidi="ar"/>
              </w:rPr>
              <w:t xml:space="preserve">0.87 </w:t>
            </w:r>
          </w:p>
        </w:tc>
        <w:tc>
          <w:tcPr>
            <w:tcW w:w="263" w:type="pct"/>
            <w:vAlign w:val="center"/>
          </w:tcPr>
          <w:p w14:paraId="2F45A2B6">
            <w:pPr>
              <w:widowControl/>
              <w:jc w:val="center"/>
              <w:textAlignment w:val="center"/>
              <w:rPr>
                <w:sz w:val="22"/>
                <w:szCs w:val="21"/>
              </w:rPr>
            </w:pPr>
            <w:r>
              <w:rPr>
                <w:kern w:val="0"/>
                <w:sz w:val="22"/>
                <w:szCs w:val="21"/>
                <w:lang w:bidi="ar"/>
              </w:rPr>
              <w:t xml:space="preserve">0.94 </w:t>
            </w:r>
          </w:p>
        </w:tc>
        <w:tc>
          <w:tcPr>
            <w:tcW w:w="673" w:type="pct"/>
            <w:vAlign w:val="center"/>
          </w:tcPr>
          <w:p w14:paraId="1D7FE8CD">
            <w:pPr>
              <w:widowControl/>
              <w:jc w:val="center"/>
              <w:textAlignment w:val="center"/>
              <w:rPr>
                <w:rFonts w:cs="宋体"/>
                <w:sz w:val="22"/>
                <w:szCs w:val="22"/>
              </w:rPr>
            </w:pPr>
            <w:r>
              <w:rPr>
                <w:rFonts w:hint="eastAsia" w:cs="宋体"/>
                <w:kern w:val="0"/>
                <w:sz w:val="22"/>
                <w:szCs w:val="22"/>
                <w:lang w:bidi="ar"/>
              </w:rPr>
              <w:t xml:space="preserve">0.50 </w:t>
            </w:r>
          </w:p>
        </w:tc>
        <w:tc>
          <w:tcPr>
            <w:tcW w:w="673" w:type="pct"/>
            <w:vAlign w:val="center"/>
          </w:tcPr>
          <w:p w14:paraId="4F12BB4A">
            <w:pPr>
              <w:widowControl/>
              <w:jc w:val="center"/>
              <w:textAlignment w:val="center"/>
              <w:rPr>
                <w:rFonts w:cs="宋体"/>
                <w:sz w:val="22"/>
                <w:szCs w:val="22"/>
              </w:rPr>
            </w:pPr>
            <w:r>
              <w:rPr>
                <w:rFonts w:hint="eastAsia" w:cs="宋体"/>
                <w:kern w:val="0"/>
                <w:sz w:val="22"/>
                <w:szCs w:val="22"/>
                <w:lang w:bidi="ar"/>
              </w:rPr>
              <w:t xml:space="preserve">0.94 </w:t>
            </w:r>
          </w:p>
        </w:tc>
        <w:tc>
          <w:tcPr>
            <w:tcW w:w="384" w:type="pct"/>
            <w:vAlign w:val="center"/>
          </w:tcPr>
          <w:p w14:paraId="1CA7F647">
            <w:pPr>
              <w:widowControl/>
              <w:jc w:val="center"/>
              <w:textAlignment w:val="center"/>
              <w:rPr>
                <w:rFonts w:cs="宋体"/>
                <w:sz w:val="22"/>
                <w:szCs w:val="22"/>
              </w:rPr>
            </w:pPr>
            <w:r>
              <w:rPr>
                <w:rFonts w:hint="eastAsia" w:cs="宋体"/>
                <w:kern w:val="0"/>
                <w:sz w:val="22"/>
                <w:szCs w:val="22"/>
                <w:lang w:bidi="ar"/>
              </w:rPr>
              <w:t>0%</w:t>
            </w:r>
          </w:p>
        </w:tc>
      </w:tr>
      <w:tr w14:paraId="62A7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76A04B37">
            <w:pPr>
              <w:widowControl/>
              <w:jc w:val="center"/>
              <w:textAlignment w:val="center"/>
              <w:rPr>
                <w:rFonts w:cs="宋体"/>
                <w:sz w:val="22"/>
                <w:szCs w:val="22"/>
              </w:rPr>
            </w:pPr>
            <w:r>
              <w:rPr>
                <w:rFonts w:hint="eastAsia" w:cs="宋体"/>
                <w:kern w:val="0"/>
                <w:sz w:val="22"/>
                <w:szCs w:val="22"/>
                <w:lang w:bidi="ar"/>
              </w:rPr>
              <w:t>钾</w:t>
            </w:r>
          </w:p>
        </w:tc>
        <w:tc>
          <w:tcPr>
            <w:tcW w:w="609" w:type="pct"/>
            <w:vAlign w:val="center"/>
          </w:tcPr>
          <w:p w14:paraId="7E726F64">
            <w:pPr>
              <w:widowControl/>
              <w:jc w:val="center"/>
              <w:textAlignment w:val="center"/>
              <w:rPr>
                <w:sz w:val="22"/>
                <w:szCs w:val="22"/>
              </w:rPr>
            </w:pPr>
            <w:r>
              <w:rPr>
                <w:kern w:val="0"/>
                <w:sz w:val="22"/>
                <w:szCs w:val="22"/>
                <w:lang w:bidi="ar"/>
              </w:rPr>
              <w:t>mg/L</w:t>
            </w:r>
          </w:p>
        </w:tc>
        <w:tc>
          <w:tcPr>
            <w:tcW w:w="477" w:type="pct"/>
            <w:noWrap/>
            <w:vAlign w:val="center"/>
          </w:tcPr>
          <w:p w14:paraId="07285D9F">
            <w:pPr>
              <w:jc w:val="center"/>
              <w:rPr>
                <w:sz w:val="22"/>
                <w:szCs w:val="22"/>
              </w:rPr>
            </w:pPr>
            <w:r>
              <w:rPr>
                <w:kern w:val="0"/>
                <w:sz w:val="22"/>
                <w:szCs w:val="22"/>
                <w:lang w:bidi="ar"/>
              </w:rPr>
              <w:t>/</w:t>
            </w:r>
          </w:p>
        </w:tc>
        <w:tc>
          <w:tcPr>
            <w:tcW w:w="263" w:type="pct"/>
            <w:vAlign w:val="center"/>
          </w:tcPr>
          <w:p w14:paraId="329C4DD7">
            <w:pPr>
              <w:widowControl/>
              <w:jc w:val="center"/>
              <w:textAlignment w:val="center"/>
              <w:rPr>
                <w:sz w:val="22"/>
                <w:szCs w:val="21"/>
              </w:rPr>
            </w:pPr>
            <w:r>
              <w:rPr>
                <w:kern w:val="0"/>
                <w:sz w:val="22"/>
                <w:szCs w:val="22"/>
                <w:lang w:bidi="ar"/>
              </w:rPr>
              <w:t>/</w:t>
            </w:r>
          </w:p>
        </w:tc>
        <w:tc>
          <w:tcPr>
            <w:tcW w:w="263" w:type="pct"/>
            <w:vAlign w:val="center"/>
          </w:tcPr>
          <w:p w14:paraId="316309F9">
            <w:pPr>
              <w:widowControl/>
              <w:jc w:val="center"/>
              <w:textAlignment w:val="center"/>
              <w:rPr>
                <w:sz w:val="22"/>
                <w:szCs w:val="21"/>
              </w:rPr>
            </w:pPr>
            <w:r>
              <w:rPr>
                <w:kern w:val="0"/>
                <w:sz w:val="22"/>
                <w:szCs w:val="22"/>
                <w:lang w:bidi="ar"/>
              </w:rPr>
              <w:t>/</w:t>
            </w:r>
          </w:p>
        </w:tc>
        <w:tc>
          <w:tcPr>
            <w:tcW w:w="263" w:type="pct"/>
            <w:vAlign w:val="center"/>
          </w:tcPr>
          <w:p w14:paraId="3F825944">
            <w:pPr>
              <w:widowControl/>
              <w:jc w:val="center"/>
              <w:textAlignment w:val="center"/>
              <w:rPr>
                <w:sz w:val="22"/>
                <w:szCs w:val="21"/>
              </w:rPr>
            </w:pPr>
            <w:r>
              <w:rPr>
                <w:kern w:val="0"/>
                <w:sz w:val="22"/>
                <w:szCs w:val="22"/>
                <w:lang w:bidi="ar"/>
              </w:rPr>
              <w:t>/</w:t>
            </w:r>
          </w:p>
        </w:tc>
        <w:tc>
          <w:tcPr>
            <w:tcW w:w="263" w:type="pct"/>
            <w:vAlign w:val="center"/>
          </w:tcPr>
          <w:p w14:paraId="06A76E4F">
            <w:pPr>
              <w:widowControl/>
              <w:jc w:val="center"/>
              <w:textAlignment w:val="center"/>
              <w:rPr>
                <w:sz w:val="22"/>
                <w:szCs w:val="21"/>
              </w:rPr>
            </w:pPr>
            <w:r>
              <w:rPr>
                <w:kern w:val="0"/>
                <w:sz w:val="22"/>
                <w:szCs w:val="22"/>
                <w:lang w:bidi="ar"/>
              </w:rPr>
              <w:t>/</w:t>
            </w:r>
          </w:p>
        </w:tc>
        <w:tc>
          <w:tcPr>
            <w:tcW w:w="263" w:type="pct"/>
            <w:vAlign w:val="center"/>
          </w:tcPr>
          <w:p w14:paraId="603F6FB0">
            <w:pPr>
              <w:widowControl/>
              <w:jc w:val="center"/>
              <w:textAlignment w:val="center"/>
              <w:rPr>
                <w:sz w:val="22"/>
                <w:szCs w:val="21"/>
              </w:rPr>
            </w:pPr>
            <w:r>
              <w:rPr>
                <w:kern w:val="0"/>
                <w:sz w:val="22"/>
                <w:szCs w:val="22"/>
                <w:lang w:bidi="ar"/>
              </w:rPr>
              <w:t>/</w:t>
            </w:r>
          </w:p>
        </w:tc>
        <w:tc>
          <w:tcPr>
            <w:tcW w:w="673" w:type="pct"/>
            <w:vAlign w:val="center"/>
          </w:tcPr>
          <w:p w14:paraId="7CACAC78">
            <w:pPr>
              <w:widowControl/>
              <w:jc w:val="center"/>
              <w:textAlignment w:val="center"/>
              <w:rPr>
                <w:sz w:val="22"/>
                <w:szCs w:val="21"/>
              </w:rPr>
            </w:pPr>
            <w:r>
              <w:rPr>
                <w:kern w:val="0"/>
                <w:sz w:val="22"/>
                <w:szCs w:val="22"/>
                <w:lang w:bidi="ar"/>
              </w:rPr>
              <w:t>/</w:t>
            </w:r>
          </w:p>
        </w:tc>
        <w:tc>
          <w:tcPr>
            <w:tcW w:w="673" w:type="pct"/>
            <w:vAlign w:val="center"/>
          </w:tcPr>
          <w:p w14:paraId="07616944">
            <w:pPr>
              <w:widowControl/>
              <w:jc w:val="center"/>
              <w:textAlignment w:val="center"/>
              <w:rPr>
                <w:sz w:val="22"/>
                <w:szCs w:val="21"/>
              </w:rPr>
            </w:pPr>
            <w:r>
              <w:rPr>
                <w:kern w:val="0"/>
                <w:sz w:val="22"/>
                <w:szCs w:val="22"/>
                <w:lang w:bidi="ar"/>
              </w:rPr>
              <w:t>/</w:t>
            </w:r>
          </w:p>
        </w:tc>
        <w:tc>
          <w:tcPr>
            <w:tcW w:w="384" w:type="pct"/>
            <w:vAlign w:val="center"/>
          </w:tcPr>
          <w:p w14:paraId="3F0FF7F2">
            <w:pPr>
              <w:widowControl/>
              <w:jc w:val="center"/>
              <w:textAlignment w:val="center"/>
              <w:rPr>
                <w:rFonts w:cs="宋体"/>
                <w:sz w:val="22"/>
                <w:szCs w:val="22"/>
              </w:rPr>
            </w:pPr>
            <w:r>
              <w:rPr>
                <w:rFonts w:hint="eastAsia" w:cs="宋体"/>
                <w:kern w:val="0"/>
                <w:sz w:val="22"/>
                <w:szCs w:val="22"/>
                <w:lang w:bidi="ar"/>
              </w:rPr>
              <w:t>0%</w:t>
            </w:r>
          </w:p>
        </w:tc>
      </w:tr>
      <w:tr w14:paraId="582A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5C419523">
            <w:pPr>
              <w:widowControl/>
              <w:jc w:val="center"/>
              <w:textAlignment w:val="center"/>
              <w:rPr>
                <w:rFonts w:cs="宋体"/>
                <w:sz w:val="22"/>
                <w:szCs w:val="22"/>
              </w:rPr>
            </w:pPr>
            <w:r>
              <w:rPr>
                <w:rFonts w:hint="eastAsia" w:cs="宋体"/>
                <w:kern w:val="0"/>
                <w:sz w:val="22"/>
                <w:szCs w:val="22"/>
                <w:lang w:bidi="ar"/>
              </w:rPr>
              <w:t>钠</w:t>
            </w:r>
          </w:p>
        </w:tc>
        <w:tc>
          <w:tcPr>
            <w:tcW w:w="609" w:type="pct"/>
            <w:vAlign w:val="center"/>
          </w:tcPr>
          <w:p w14:paraId="5B034ADC">
            <w:pPr>
              <w:widowControl/>
              <w:jc w:val="center"/>
              <w:textAlignment w:val="center"/>
              <w:rPr>
                <w:sz w:val="22"/>
                <w:szCs w:val="22"/>
              </w:rPr>
            </w:pPr>
            <w:r>
              <w:rPr>
                <w:kern w:val="0"/>
                <w:sz w:val="22"/>
                <w:szCs w:val="22"/>
                <w:lang w:bidi="ar"/>
              </w:rPr>
              <w:t>mg/L</w:t>
            </w:r>
          </w:p>
        </w:tc>
        <w:tc>
          <w:tcPr>
            <w:tcW w:w="477" w:type="pct"/>
            <w:noWrap/>
            <w:vAlign w:val="center"/>
          </w:tcPr>
          <w:p w14:paraId="285BD063">
            <w:pPr>
              <w:widowControl/>
              <w:jc w:val="center"/>
              <w:textAlignment w:val="center"/>
              <w:rPr>
                <w:sz w:val="22"/>
                <w:szCs w:val="22"/>
              </w:rPr>
            </w:pPr>
            <w:r>
              <w:rPr>
                <w:kern w:val="0"/>
                <w:sz w:val="22"/>
                <w:szCs w:val="22"/>
                <w:lang w:bidi="ar"/>
              </w:rPr>
              <w:t>200</w:t>
            </w:r>
          </w:p>
        </w:tc>
        <w:tc>
          <w:tcPr>
            <w:tcW w:w="263" w:type="pct"/>
            <w:vAlign w:val="center"/>
          </w:tcPr>
          <w:p w14:paraId="6556201B">
            <w:pPr>
              <w:widowControl/>
              <w:jc w:val="center"/>
              <w:textAlignment w:val="center"/>
              <w:rPr>
                <w:sz w:val="22"/>
                <w:szCs w:val="21"/>
              </w:rPr>
            </w:pPr>
            <w:r>
              <w:rPr>
                <w:kern w:val="0"/>
                <w:sz w:val="22"/>
                <w:szCs w:val="21"/>
                <w:lang w:bidi="ar"/>
              </w:rPr>
              <w:t xml:space="preserve">0.10 </w:t>
            </w:r>
          </w:p>
        </w:tc>
        <w:tc>
          <w:tcPr>
            <w:tcW w:w="263" w:type="pct"/>
            <w:vAlign w:val="center"/>
          </w:tcPr>
          <w:p w14:paraId="341AAA37">
            <w:pPr>
              <w:widowControl/>
              <w:jc w:val="center"/>
              <w:textAlignment w:val="center"/>
              <w:rPr>
                <w:sz w:val="22"/>
                <w:szCs w:val="21"/>
              </w:rPr>
            </w:pPr>
            <w:r>
              <w:rPr>
                <w:kern w:val="0"/>
                <w:sz w:val="22"/>
                <w:szCs w:val="21"/>
                <w:lang w:bidi="ar"/>
              </w:rPr>
              <w:t xml:space="preserve">0.12 </w:t>
            </w:r>
          </w:p>
        </w:tc>
        <w:tc>
          <w:tcPr>
            <w:tcW w:w="263" w:type="pct"/>
            <w:vAlign w:val="center"/>
          </w:tcPr>
          <w:p w14:paraId="7E00C3DD">
            <w:pPr>
              <w:widowControl/>
              <w:jc w:val="center"/>
              <w:textAlignment w:val="center"/>
              <w:rPr>
                <w:sz w:val="22"/>
                <w:szCs w:val="21"/>
              </w:rPr>
            </w:pPr>
            <w:r>
              <w:rPr>
                <w:kern w:val="0"/>
                <w:sz w:val="22"/>
                <w:szCs w:val="21"/>
                <w:lang w:bidi="ar"/>
              </w:rPr>
              <w:t xml:space="preserve">0.13 </w:t>
            </w:r>
          </w:p>
        </w:tc>
        <w:tc>
          <w:tcPr>
            <w:tcW w:w="263" w:type="pct"/>
            <w:vAlign w:val="center"/>
          </w:tcPr>
          <w:p w14:paraId="7E66E4DA">
            <w:pPr>
              <w:widowControl/>
              <w:jc w:val="center"/>
              <w:textAlignment w:val="center"/>
              <w:rPr>
                <w:sz w:val="22"/>
                <w:szCs w:val="21"/>
              </w:rPr>
            </w:pPr>
            <w:r>
              <w:rPr>
                <w:kern w:val="0"/>
                <w:sz w:val="22"/>
                <w:szCs w:val="21"/>
                <w:lang w:bidi="ar"/>
              </w:rPr>
              <w:t xml:space="preserve">0.04 </w:t>
            </w:r>
          </w:p>
        </w:tc>
        <w:tc>
          <w:tcPr>
            <w:tcW w:w="263" w:type="pct"/>
            <w:vAlign w:val="center"/>
          </w:tcPr>
          <w:p w14:paraId="4C666ADE">
            <w:pPr>
              <w:widowControl/>
              <w:jc w:val="center"/>
              <w:textAlignment w:val="center"/>
              <w:rPr>
                <w:sz w:val="22"/>
                <w:szCs w:val="21"/>
              </w:rPr>
            </w:pPr>
            <w:r>
              <w:rPr>
                <w:kern w:val="0"/>
                <w:sz w:val="22"/>
                <w:szCs w:val="21"/>
                <w:lang w:bidi="ar"/>
              </w:rPr>
              <w:t xml:space="preserve">0.06 </w:t>
            </w:r>
          </w:p>
        </w:tc>
        <w:tc>
          <w:tcPr>
            <w:tcW w:w="673" w:type="pct"/>
            <w:vAlign w:val="center"/>
          </w:tcPr>
          <w:p w14:paraId="101EA13D">
            <w:pPr>
              <w:widowControl/>
              <w:jc w:val="center"/>
              <w:textAlignment w:val="center"/>
              <w:rPr>
                <w:rFonts w:cs="宋体"/>
                <w:sz w:val="22"/>
                <w:szCs w:val="22"/>
              </w:rPr>
            </w:pPr>
            <w:r>
              <w:rPr>
                <w:rFonts w:hint="eastAsia" w:cs="宋体"/>
                <w:kern w:val="0"/>
                <w:sz w:val="22"/>
                <w:szCs w:val="22"/>
                <w:lang w:bidi="ar"/>
              </w:rPr>
              <w:t xml:space="preserve">0.04 </w:t>
            </w:r>
          </w:p>
        </w:tc>
        <w:tc>
          <w:tcPr>
            <w:tcW w:w="673" w:type="pct"/>
            <w:vAlign w:val="center"/>
          </w:tcPr>
          <w:p w14:paraId="021C6BCB">
            <w:pPr>
              <w:widowControl/>
              <w:jc w:val="center"/>
              <w:textAlignment w:val="center"/>
              <w:rPr>
                <w:rFonts w:cs="宋体"/>
                <w:sz w:val="22"/>
                <w:szCs w:val="22"/>
              </w:rPr>
            </w:pPr>
            <w:r>
              <w:rPr>
                <w:rFonts w:hint="eastAsia" w:cs="宋体"/>
                <w:kern w:val="0"/>
                <w:sz w:val="22"/>
                <w:szCs w:val="22"/>
                <w:lang w:bidi="ar"/>
              </w:rPr>
              <w:t xml:space="preserve">0.13 </w:t>
            </w:r>
          </w:p>
        </w:tc>
        <w:tc>
          <w:tcPr>
            <w:tcW w:w="384" w:type="pct"/>
            <w:vAlign w:val="center"/>
          </w:tcPr>
          <w:p w14:paraId="175FFAEE">
            <w:pPr>
              <w:widowControl/>
              <w:jc w:val="center"/>
              <w:textAlignment w:val="center"/>
              <w:rPr>
                <w:rFonts w:cs="宋体"/>
                <w:sz w:val="22"/>
                <w:szCs w:val="22"/>
              </w:rPr>
            </w:pPr>
            <w:r>
              <w:rPr>
                <w:rFonts w:hint="eastAsia" w:cs="宋体"/>
                <w:kern w:val="0"/>
                <w:sz w:val="22"/>
                <w:szCs w:val="22"/>
                <w:lang w:bidi="ar"/>
              </w:rPr>
              <w:t>0%</w:t>
            </w:r>
          </w:p>
        </w:tc>
      </w:tr>
      <w:tr w14:paraId="58CF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64502071">
            <w:pPr>
              <w:widowControl/>
              <w:jc w:val="center"/>
              <w:textAlignment w:val="center"/>
              <w:rPr>
                <w:rFonts w:cs="宋体"/>
                <w:sz w:val="22"/>
                <w:szCs w:val="22"/>
              </w:rPr>
            </w:pPr>
            <w:r>
              <w:rPr>
                <w:rFonts w:hint="eastAsia" w:cs="宋体"/>
                <w:kern w:val="0"/>
                <w:sz w:val="22"/>
                <w:szCs w:val="22"/>
                <w:lang w:bidi="ar"/>
              </w:rPr>
              <w:t>钙</w:t>
            </w:r>
          </w:p>
        </w:tc>
        <w:tc>
          <w:tcPr>
            <w:tcW w:w="609" w:type="pct"/>
            <w:vAlign w:val="center"/>
          </w:tcPr>
          <w:p w14:paraId="70F96A16">
            <w:pPr>
              <w:widowControl/>
              <w:jc w:val="center"/>
              <w:textAlignment w:val="center"/>
              <w:rPr>
                <w:sz w:val="22"/>
                <w:szCs w:val="22"/>
              </w:rPr>
            </w:pPr>
            <w:r>
              <w:rPr>
                <w:kern w:val="0"/>
                <w:sz w:val="22"/>
                <w:szCs w:val="22"/>
                <w:lang w:bidi="ar"/>
              </w:rPr>
              <w:t>mg/L</w:t>
            </w:r>
          </w:p>
        </w:tc>
        <w:tc>
          <w:tcPr>
            <w:tcW w:w="477" w:type="pct"/>
            <w:noWrap/>
            <w:vAlign w:val="center"/>
          </w:tcPr>
          <w:p w14:paraId="2B67C26F">
            <w:pPr>
              <w:jc w:val="center"/>
              <w:rPr>
                <w:sz w:val="22"/>
                <w:szCs w:val="22"/>
              </w:rPr>
            </w:pPr>
            <w:r>
              <w:rPr>
                <w:kern w:val="0"/>
                <w:sz w:val="22"/>
                <w:szCs w:val="22"/>
                <w:lang w:bidi="ar"/>
              </w:rPr>
              <w:t>/</w:t>
            </w:r>
          </w:p>
        </w:tc>
        <w:tc>
          <w:tcPr>
            <w:tcW w:w="263" w:type="pct"/>
            <w:vAlign w:val="center"/>
          </w:tcPr>
          <w:p w14:paraId="469ADA4A">
            <w:pPr>
              <w:widowControl/>
              <w:jc w:val="center"/>
              <w:textAlignment w:val="center"/>
              <w:rPr>
                <w:sz w:val="22"/>
                <w:szCs w:val="21"/>
              </w:rPr>
            </w:pPr>
            <w:r>
              <w:rPr>
                <w:kern w:val="0"/>
                <w:sz w:val="22"/>
                <w:szCs w:val="22"/>
                <w:lang w:bidi="ar"/>
              </w:rPr>
              <w:t>/</w:t>
            </w:r>
          </w:p>
        </w:tc>
        <w:tc>
          <w:tcPr>
            <w:tcW w:w="263" w:type="pct"/>
            <w:vAlign w:val="center"/>
          </w:tcPr>
          <w:p w14:paraId="3DB52B0A">
            <w:pPr>
              <w:widowControl/>
              <w:jc w:val="center"/>
              <w:textAlignment w:val="center"/>
              <w:rPr>
                <w:sz w:val="22"/>
                <w:szCs w:val="21"/>
              </w:rPr>
            </w:pPr>
            <w:r>
              <w:rPr>
                <w:kern w:val="0"/>
                <w:sz w:val="22"/>
                <w:szCs w:val="22"/>
                <w:lang w:bidi="ar"/>
              </w:rPr>
              <w:t>/</w:t>
            </w:r>
          </w:p>
        </w:tc>
        <w:tc>
          <w:tcPr>
            <w:tcW w:w="263" w:type="pct"/>
            <w:vAlign w:val="center"/>
          </w:tcPr>
          <w:p w14:paraId="6A40F685">
            <w:pPr>
              <w:widowControl/>
              <w:jc w:val="center"/>
              <w:textAlignment w:val="center"/>
              <w:rPr>
                <w:sz w:val="22"/>
                <w:szCs w:val="21"/>
              </w:rPr>
            </w:pPr>
            <w:r>
              <w:rPr>
                <w:kern w:val="0"/>
                <w:sz w:val="22"/>
                <w:szCs w:val="22"/>
                <w:lang w:bidi="ar"/>
              </w:rPr>
              <w:t>/</w:t>
            </w:r>
          </w:p>
        </w:tc>
        <w:tc>
          <w:tcPr>
            <w:tcW w:w="263" w:type="pct"/>
            <w:vAlign w:val="center"/>
          </w:tcPr>
          <w:p w14:paraId="593E4EFD">
            <w:pPr>
              <w:widowControl/>
              <w:jc w:val="center"/>
              <w:textAlignment w:val="center"/>
              <w:rPr>
                <w:sz w:val="22"/>
                <w:szCs w:val="21"/>
              </w:rPr>
            </w:pPr>
            <w:r>
              <w:rPr>
                <w:kern w:val="0"/>
                <w:sz w:val="22"/>
                <w:szCs w:val="22"/>
                <w:lang w:bidi="ar"/>
              </w:rPr>
              <w:t>/</w:t>
            </w:r>
          </w:p>
        </w:tc>
        <w:tc>
          <w:tcPr>
            <w:tcW w:w="263" w:type="pct"/>
            <w:vAlign w:val="center"/>
          </w:tcPr>
          <w:p w14:paraId="466937B8">
            <w:pPr>
              <w:widowControl/>
              <w:jc w:val="center"/>
              <w:textAlignment w:val="center"/>
              <w:rPr>
                <w:sz w:val="22"/>
                <w:szCs w:val="21"/>
              </w:rPr>
            </w:pPr>
            <w:r>
              <w:rPr>
                <w:kern w:val="0"/>
                <w:sz w:val="22"/>
                <w:szCs w:val="22"/>
                <w:lang w:bidi="ar"/>
              </w:rPr>
              <w:t>/</w:t>
            </w:r>
          </w:p>
        </w:tc>
        <w:tc>
          <w:tcPr>
            <w:tcW w:w="673" w:type="pct"/>
            <w:vAlign w:val="center"/>
          </w:tcPr>
          <w:p w14:paraId="4D8B78B1">
            <w:pPr>
              <w:widowControl/>
              <w:jc w:val="center"/>
              <w:textAlignment w:val="center"/>
              <w:rPr>
                <w:sz w:val="22"/>
                <w:szCs w:val="21"/>
              </w:rPr>
            </w:pPr>
            <w:r>
              <w:rPr>
                <w:kern w:val="0"/>
                <w:sz w:val="22"/>
                <w:szCs w:val="22"/>
                <w:lang w:bidi="ar"/>
              </w:rPr>
              <w:t>/</w:t>
            </w:r>
          </w:p>
        </w:tc>
        <w:tc>
          <w:tcPr>
            <w:tcW w:w="673" w:type="pct"/>
            <w:vAlign w:val="center"/>
          </w:tcPr>
          <w:p w14:paraId="7AA1F8E3">
            <w:pPr>
              <w:widowControl/>
              <w:jc w:val="center"/>
              <w:textAlignment w:val="center"/>
              <w:rPr>
                <w:sz w:val="22"/>
                <w:szCs w:val="21"/>
              </w:rPr>
            </w:pPr>
            <w:r>
              <w:rPr>
                <w:kern w:val="0"/>
                <w:sz w:val="22"/>
                <w:szCs w:val="22"/>
                <w:lang w:bidi="ar"/>
              </w:rPr>
              <w:t>/</w:t>
            </w:r>
          </w:p>
        </w:tc>
        <w:tc>
          <w:tcPr>
            <w:tcW w:w="384" w:type="pct"/>
            <w:vAlign w:val="center"/>
          </w:tcPr>
          <w:p w14:paraId="32D60D75">
            <w:pPr>
              <w:widowControl/>
              <w:jc w:val="center"/>
              <w:textAlignment w:val="center"/>
              <w:rPr>
                <w:rFonts w:cs="宋体"/>
                <w:sz w:val="22"/>
                <w:szCs w:val="22"/>
              </w:rPr>
            </w:pPr>
            <w:r>
              <w:rPr>
                <w:rFonts w:hint="eastAsia" w:cs="宋体"/>
                <w:kern w:val="0"/>
                <w:sz w:val="22"/>
                <w:szCs w:val="22"/>
                <w:lang w:bidi="ar"/>
              </w:rPr>
              <w:t>0%</w:t>
            </w:r>
          </w:p>
        </w:tc>
      </w:tr>
      <w:tr w14:paraId="1ACA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1BDA5655">
            <w:pPr>
              <w:widowControl/>
              <w:jc w:val="center"/>
              <w:textAlignment w:val="center"/>
              <w:rPr>
                <w:rFonts w:cs="宋体"/>
                <w:sz w:val="22"/>
                <w:szCs w:val="22"/>
              </w:rPr>
            </w:pPr>
            <w:r>
              <w:rPr>
                <w:rFonts w:hint="eastAsia" w:cs="宋体"/>
                <w:kern w:val="0"/>
                <w:sz w:val="22"/>
                <w:szCs w:val="22"/>
                <w:lang w:bidi="ar"/>
              </w:rPr>
              <w:t>镁</w:t>
            </w:r>
          </w:p>
        </w:tc>
        <w:tc>
          <w:tcPr>
            <w:tcW w:w="609" w:type="pct"/>
            <w:vAlign w:val="center"/>
          </w:tcPr>
          <w:p w14:paraId="222EC9C8">
            <w:pPr>
              <w:widowControl/>
              <w:jc w:val="center"/>
              <w:textAlignment w:val="center"/>
              <w:rPr>
                <w:sz w:val="22"/>
                <w:szCs w:val="22"/>
              </w:rPr>
            </w:pPr>
            <w:r>
              <w:rPr>
                <w:kern w:val="0"/>
                <w:sz w:val="22"/>
                <w:szCs w:val="22"/>
                <w:lang w:bidi="ar"/>
              </w:rPr>
              <w:t>mg/L</w:t>
            </w:r>
          </w:p>
        </w:tc>
        <w:tc>
          <w:tcPr>
            <w:tcW w:w="477" w:type="pct"/>
            <w:noWrap/>
            <w:vAlign w:val="center"/>
          </w:tcPr>
          <w:p w14:paraId="77FFBB65">
            <w:pPr>
              <w:jc w:val="center"/>
              <w:rPr>
                <w:sz w:val="22"/>
                <w:szCs w:val="22"/>
              </w:rPr>
            </w:pPr>
            <w:r>
              <w:rPr>
                <w:kern w:val="0"/>
                <w:sz w:val="22"/>
                <w:szCs w:val="22"/>
                <w:lang w:bidi="ar"/>
              </w:rPr>
              <w:t>/</w:t>
            </w:r>
          </w:p>
        </w:tc>
        <w:tc>
          <w:tcPr>
            <w:tcW w:w="263" w:type="pct"/>
            <w:vAlign w:val="center"/>
          </w:tcPr>
          <w:p w14:paraId="28C5054F">
            <w:pPr>
              <w:widowControl/>
              <w:jc w:val="center"/>
              <w:textAlignment w:val="center"/>
              <w:rPr>
                <w:sz w:val="22"/>
                <w:szCs w:val="21"/>
              </w:rPr>
            </w:pPr>
            <w:r>
              <w:rPr>
                <w:kern w:val="0"/>
                <w:sz w:val="22"/>
                <w:szCs w:val="22"/>
                <w:lang w:bidi="ar"/>
              </w:rPr>
              <w:t>/</w:t>
            </w:r>
          </w:p>
        </w:tc>
        <w:tc>
          <w:tcPr>
            <w:tcW w:w="263" w:type="pct"/>
            <w:vAlign w:val="center"/>
          </w:tcPr>
          <w:p w14:paraId="296965AB">
            <w:pPr>
              <w:widowControl/>
              <w:jc w:val="center"/>
              <w:textAlignment w:val="center"/>
              <w:rPr>
                <w:sz w:val="22"/>
                <w:szCs w:val="21"/>
              </w:rPr>
            </w:pPr>
            <w:r>
              <w:rPr>
                <w:kern w:val="0"/>
                <w:sz w:val="22"/>
                <w:szCs w:val="22"/>
                <w:lang w:bidi="ar"/>
              </w:rPr>
              <w:t>/</w:t>
            </w:r>
          </w:p>
        </w:tc>
        <w:tc>
          <w:tcPr>
            <w:tcW w:w="263" w:type="pct"/>
            <w:vAlign w:val="center"/>
          </w:tcPr>
          <w:p w14:paraId="4B6E0CEA">
            <w:pPr>
              <w:widowControl/>
              <w:jc w:val="center"/>
              <w:textAlignment w:val="center"/>
              <w:rPr>
                <w:sz w:val="22"/>
                <w:szCs w:val="21"/>
              </w:rPr>
            </w:pPr>
            <w:r>
              <w:rPr>
                <w:kern w:val="0"/>
                <w:sz w:val="22"/>
                <w:szCs w:val="22"/>
                <w:lang w:bidi="ar"/>
              </w:rPr>
              <w:t>/</w:t>
            </w:r>
          </w:p>
        </w:tc>
        <w:tc>
          <w:tcPr>
            <w:tcW w:w="263" w:type="pct"/>
            <w:vAlign w:val="center"/>
          </w:tcPr>
          <w:p w14:paraId="57F244E6">
            <w:pPr>
              <w:widowControl/>
              <w:jc w:val="center"/>
              <w:textAlignment w:val="center"/>
              <w:rPr>
                <w:sz w:val="22"/>
                <w:szCs w:val="21"/>
              </w:rPr>
            </w:pPr>
            <w:r>
              <w:rPr>
                <w:kern w:val="0"/>
                <w:sz w:val="22"/>
                <w:szCs w:val="22"/>
                <w:lang w:bidi="ar"/>
              </w:rPr>
              <w:t>/</w:t>
            </w:r>
          </w:p>
        </w:tc>
        <w:tc>
          <w:tcPr>
            <w:tcW w:w="263" w:type="pct"/>
            <w:vAlign w:val="center"/>
          </w:tcPr>
          <w:p w14:paraId="044A07DF">
            <w:pPr>
              <w:widowControl/>
              <w:jc w:val="center"/>
              <w:textAlignment w:val="center"/>
              <w:rPr>
                <w:sz w:val="22"/>
                <w:szCs w:val="21"/>
              </w:rPr>
            </w:pPr>
            <w:r>
              <w:rPr>
                <w:kern w:val="0"/>
                <w:sz w:val="22"/>
                <w:szCs w:val="22"/>
                <w:lang w:bidi="ar"/>
              </w:rPr>
              <w:t>/</w:t>
            </w:r>
          </w:p>
        </w:tc>
        <w:tc>
          <w:tcPr>
            <w:tcW w:w="673" w:type="pct"/>
            <w:vAlign w:val="center"/>
          </w:tcPr>
          <w:p w14:paraId="271CA119">
            <w:pPr>
              <w:widowControl/>
              <w:jc w:val="center"/>
              <w:textAlignment w:val="center"/>
              <w:rPr>
                <w:sz w:val="22"/>
                <w:szCs w:val="21"/>
              </w:rPr>
            </w:pPr>
            <w:r>
              <w:rPr>
                <w:kern w:val="0"/>
                <w:sz w:val="22"/>
                <w:szCs w:val="22"/>
                <w:lang w:bidi="ar"/>
              </w:rPr>
              <w:t>/</w:t>
            </w:r>
          </w:p>
        </w:tc>
        <w:tc>
          <w:tcPr>
            <w:tcW w:w="673" w:type="pct"/>
            <w:vAlign w:val="center"/>
          </w:tcPr>
          <w:p w14:paraId="105D0092">
            <w:pPr>
              <w:widowControl/>
              <w:jc w:val="center"/>
              <w:textAlignment w:val="center"/>
              <w:rPr>
                <w:sz w:val="22"/>
                <w:szCs w:val="21"/>
              </w:rPr>
            </w:pPr>
            <w:r>
              <w:rPr>
                <w:kern w:val="0"/>
                <w:sz w:val="22"/>
                <w:szCs w:val="22"/>
                <w:lang w:bidi="ar"/>
              </w:rPr>
              <w:t>/</w:t>
            </w:r>
          </w:p>
        </w:tc>
        <w:tc>
          <w:tcPr>
            <w:tcW w:w="384" w:type="pct"/>
            <w:vAlign w:val="center"/>
          </w:tcPr>
          <w:p w14:paraId="5AEB9543">
            <w:pPr>
              <w:widowControl/>
              <w:jc w:val="center"/>
              <w:textAlignment w:val="center"/>
              <w:rPr>
                <w:rFonts w:cs="宋体"/>
                <w:sz w:val="22"/>
                <w:szCs w:val="22"/>
              </w:rPr>
            </w:pPr>
            <w:r>
              <w:rPr>
                <w:rFonts w:hint="eastAsia" w:cs="宋体"/>
                <w:kern w:val="0"/>
                <w:sz w:val="22"/>
                <w:szCs w:val="22"/>
                <w:lang w:bidi="ar"/>
              </w:rPr>
              <w:t>0%</w:t>
            </w:r>
          </w:p>
        </w:tc>
      </w:tr>
      <w:tr w14:paraId="512D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56ADBF6C">
            <w:pPr>
              <w:widowControl/>
              <w:jc w:val="center"/>
              <w:textAlignment w:val="center"/>
              <w:rPr>
                <w:rFonts w:cs="宋体"/>
                <w:sz w:val="22"/>
                <w:szCs w:val="22"/>
              </w:rPr>
            </w:pPr>
            <w:r>
              <w:rPr>
                <w:rFonts w:hint="eastAsia" w:cs="宋体"/>
                <w:kern w:val="0"/>
                <w:sz w:val="22"/>
                <w:szCs w:val="22"/>
                <w:lang w:bidi="ar"/>
              </w:rPr>
              <w:t>碳酸根</w:t>
            </w:r>
          </w:p>
        </w:tc>
        <w:tc>
          <w:tcPr>
            <w:tcW w:w="609" w:type="pct"/>
            <w:vAlign w:val="center"/>
          </w:tcPr>
          <w:p w14:paraId="62956434">
            <w:pPr>
              <w:widowControl/>
              <w:jc w:val="center"/>
              <w:textAlignment w:val="center"/>
              <w:rPr>
                <w:sz w:val="22"/>
                <w:szCs w:val="22"/>
              </w:rPr>
            </w:pPr>
            <w:r>
              <w:rPr>
                <w:kern w:val="0"/>
                <w:sz w:val="22"/>
                <w:szCs w:val="22"/>
                <w:lang w:bidi="ar"/>
              </w:rPr>
              <w:t>mg/L</w:t>
            </w:r>
          </w:p>
        </w:tc>
        <w:tc>
          <w:tcPr>
            <w:tcW w:w="477" w:type="pct"/>
            <w:noWrap/>
            <w:vAlign w:val="center"/>
          </w:tcPr>
          <w:p w14:paraId="18321428">
            <w:pPr>
              <w:jc w:val="center"/>
              <w:rPr>
                <w:rFonts w:cs="等线"/>
                <w:sz w:val="22"/>
                <w:szCs w:val="22"/>
              </w:rPr>
            </w:pPr>
            <w:r>
              <w:rPr>
                <w:kern w:val="0"/>
                <w:sz w:val="22"/>
                <w:szCs w:val="22"/>
                <w:lang w:bidi="ar"/>
              </w:rPr>
              <w:t>/</w:t>
            </w:r>
          </w:p>
        </w:tc>
        <w:tc>
          <w:tcPr>
            <w:tcW w:w="263" w:type="pct"/>
            <w:vAlign w:val="center"/>
          </w:tcPr>
          <w:p w14:paraId="543C0045">
            <w:pPr>
              <w:widowControl/>
              <w:jc w:val="center"/>
              <w:textAlignment w:val="center"/>
              <w:rPr>
                <w:sz w:val="22"/>
                <w:szCs w:val="21"/>
              </w:rPr>
            </w:pPr>
            <w:r>
              <w:rPr>
                <w:kern w:val="0"/>
                <w:sz w:val="22"/>
                <w:szCs w:val="22"/>
                <w:lang w:bidi="ar"/>
              </w:rPr>
              <w:t>/</w:t>
            </w:r>
          </w:p>
        </w:tc>
        <w:tc>
          <w:tcPr>
            <w:tcW w:w="263" w:type="pct"/>
            <w:vAlign w:val="center"/>
          </w:tcPr>
          <w:p w14:paraId="1CE34AAF">
            <w:pPr>
              <w:widowControl/>
              <w:jc w:val="center"/>
              <w:textAlignment w:val="center"/>
              <w:rPr>
                <w:sz w:val="22"/>
                <w:szCs w:val="21"/>
              </w:rPr>
            </w:pPr>
            <w:r>
              <w:rPr>
                <w:kern w:val="0"/>
                <w:sz w:val="22"/>
                <w:szCs w:val="22"/>
                <w:lang w:bidi="ar"/>
              </w:rPr>
              <w:t>/</w:t>
            </w:r>
          </w:p>
        </w:tc>
        <w:tc>
          <w:tcPr>
            <w:tcW w:w="263" w:type="pct"/>
            <w:vAlign w:val="center"/>
          </w:tcPr>
          <w:p w14:paraId="56B4D977">
            <w:pPr>
              <w:widowControl/>
              <w:jc w:val="center"/>
              <w:textAlignment w:val="center"/>
              <w:rPr>
                <w:sz w:val="22"/>
                <w:szCs w:val="21"/>
              </w:rPr>
            </w:pPr>
            <w:r>
              <w:rPr>
                <w:kern w:val="0"/>
                <w:sz w:val="22"/>
                <w:szCs w:val="22"/>
                <w:lang w:bidi="ar"/>
              </w:rPr>
              <w:t>/</w:t>
            </w:r>
          </w:p>
        </w:tc>
        <w:tc>
          <w:tcPr>
            <w:tcW w:w="263" w:type="pct"/>
            <w:vAlign w:val="center"/>
          </w:tcPr>
          <w:p w14:paraId="7307856A">
            <w:pPr>
              <w:widowControl/>
              <w:jc w:val="center"/>
              <w:textAlignment w:val="center"/>
              <w:rPr>
                <w:sz w:val="22"/>
                <w:szCs w:val="21"/>
              </w:rPr>
            </w:pPr>
            <w:r>
              <w:rPr>
                <w:kern w:val="0"/>
                <w:sz w:val="22"/>
                <w:szCs w:val="22"/>
                <w:lang w:bidi="ar"/>
              </w:rPr>
              <w:t>/</w:t>
            </w:r>
          </w:p>
        </w:tc>
        <w:tc>
          <w:tcPr>
            <w:tcW w:w="263" w:type="pct"/>
            <w:vAlign w:val="center"/>
          </w:tcPr>
          <w:p w14:paraId="029635E3">
            <w:pPr>
              <w:widowControl/>
              <w:jc w:val="center"/>
              <w:textAlignment w:val="center"/>
              <w:rPr>
                <w:sz w:val="22"/>
                <w:szCs w:val="21"/>
              </w:rPr>
            </w:pPr>
            <w:r>
              <w:rPr>
                <w:kern w:val="0"/>
                <w:sz w:val="22"/>
                <w:szCs w:val="22"/>
                <w:lang w:bidi="ar"/>
              </w:rPr>
              <w:t>/</w:t>
            </w:r>
          </w:p>
        </w:tc>
        <w:tc>
          <w:tcPr>
            <w:tcW w:w="673" w:type="pct"/>
            <w:vAlign w:val="center"/>
          </w:tcPr>
          <w:p w14:paraId="579DFB0A">
            <w:pPr>
              <w:widowControl/>
              <w:jc w:val="center"/>
              <w:textAlignment w:val="center"/>
              <w:rPr>
                <w:sz w:val="22"/>
                <w:szCs w:val="21"/>
              </w:rPr>
            </w:pPr>
            <w:r>
              <w:rPr>
                <w:kern w:val="0"/>
                <w:sz w:val="22"/>
                <w:szCs w:val="22"/>
                <w:lang w:bidi="ar"/>
              </w:rPr>
              <w:t>/</w:t>
            </w:r>
          </w:p>
        </w:tc>
        <w:tc>
          <w:tcPr>
            <w:tcW w:w="673" w:type="pct"/>
            <w:vAlign w:val="center"/>
          </w:tcPr>
          <w:p w14:paraId="62B4839A">
            <w:pPr>
              <w:widowControl/>
              <w:jc w:val="center"/>
              <w:textAlignment w:val="center"/>
              <w:rPr>
                <w:sz w:val="22"/>
                <w:szCs w:val="21"/>
              </w:rPr>
            </w:pPr>
            <w:r>
              <w:rPr>
                <w:kern w:val="0"/>
                <w:sz w:val="22"/>
                <w:szCs w:val="22"/>
                <w:lang w:bidi="ar"/>
              </w:rPr>
              <w:t>/</w:t>
            </w:r>
          </w:p>
        </w:tc>
        <w:tc>
          <w:tcPr>
            <w:tcW w:w="384" w:type="pct"/>
            <w:vAlign w:val="center"/>
          </w:tcPr>
          <w:p w14:paraId="42299B0A">
            <w:pPr>
              <w:widowControl/>
              <w:jc w:val="center"/>
              <w:textAlignment w:val="center"/>
              <w:rPr>
                <w:rFonts w:cs="宋体"/>
                <w:sz w:val="22"/>
                <w:szCs w:val="22"/>
              </w:rPr>
            </w:pPr>
            <w:r>
              <w:rPr>
                <w:rFonts w:hint="eastAsia" w:cs="宋体"/>
                <w:kern w:val="0"/>
                <w:sz w:val="22"/>
                <w:szCs w:val="22"/>
                <w:lang w:bidi="ar"/>
              </w:rPr>
              <w:t>0%</w:t>
            </w:r>
          </w:p>
        </w:tc>
      </w:tr>
      <w:tr w14:paraId="1A75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5E1E0D37">
            <w:pPr>
              <w:widowControl/>
              <w:jc w:val="center"/>
              <w:textAlignment w:val="center"/>
              <w:rPr>
                <w:rFonts w:cs="宋体"/>
                <w:sz w:val="22"/>
                <w:szCs w:val="22"/>
              </w:rPr>
            </w:pPr>
            <w:r>
              <w:rPr>
                <w:rFonts w:hint="eastAsia" w:cs="宋体"/>
                <w:kern w:val="0"/>
                <w:sz w:val="22"/>
                <w:szCs w:val="22"/>
                <w:lang w:bidi="ar"/>
              </w:rPr>
              <w:t>重碳酸根</w:t>
            </w:r>
          </w:p>
        </w:tc>
        <w:tc>
          <w:tcPr>
            <w:tcW w:w="609" w:type="pct"/>
            <w:vAlign w:val="center"/>
          </w:tcPr>
          <w:p w14:paraId="41EDE7BF">
            <w:pPr>
              <w:widowControl/>
              <w:jc w:val="center"/>
              <w:textAlignment w:val="center"/>
              <w:rPr>
                <w:sz w:val="22"/>
                <w:szCs w:val="22"/>
              </w:rPr>
            </w:pPr>
            <w:r>
              <w:rPr>
                <w:kern w:val="0"/>
                <w:sz w:val="22"/>
                <w:szCs w:val="22"/>
                <w:lang w:bidi="ar"/>
              </w:rPr>
              <w:t>mg/L</w:t>
            </w:r>
          </w:p>
        </w:tc>
        <w:tc>
          <w:tcPr>
            <w:tcW w:w="477" w:type="pct"/>
            <w:noWrap/>
            <w:vAlign w:val="center"/>
          </w:tcPr>
          <w:p w14:paraId="5EE07263">
            <w:pPr>
              <w:jc w:val="center"/>
              <w:rPr>
                <w:sz w:val="22"/>
                <w:szCs w:val="22"/>
              </w:rPr>
            </w:pPr>
            <w:r>
              <w:rPr>
                <w:kern w:val="0"/>
                <w:sz w:val="22"/>
                <w:szCs w:val="22"/>
                <w:lang w:bidi="ar"/>
              </w:rPr>
              <w:t>/</w:t>
            </w:r>
          </w:p>
        </w:tc>
        <w:tc>
          <w:tcPr>
            <w:tcW w:w="263" w:type="pct"/>
            <w:vAlign w:val="center"/>
          </w:tcPr>
          <w:p w14:paraId="63911E4C">
            <w:pPr>
              <w:widowControl/>
              <w:jc w:val="center"/>
              <w:textAlignment w:val="center"/>
              <w:rPr>
                <w:sz w:val="22"/>
                <w:szCs w:val="21"/>
              </w:rPr>
            </w:pPr>
            <w:r>
              <w:rPr>
                <w:kern w:val="0"/>
                <w:sz w:val="22"/>
                <w:szCs w:val="22"/>
                <w:lang w:bidi="ar"/>
              </w:rPr>
              <w:t>/</w:t>
            </w:r>
          </w:p>
        </w:tc>
        <w:tc>
          <w:tcPr>
            <w:tcW w:w="263" w:type="pct"/>
            <w:vAlign w:val="center"/>
          </w:tcPr>
          <w:p w14:paraId="51443DBF">
            <w:pPr>
              <w:widowControl/>
              <w:jc w:val="center"/>
              <w:textAlignment w:val="center"/>
              <w:rPr>
                <w:sz w:val="22"/>
                <w:szCs w:val="21"/>
              </w:rPr>
            </w:pPr>
            <w:r>
              <w:rPr>
                <w:kern w:val="0"/>
                <w:sz w:val="22"/>
                <w:szCs w:val="22"/>
                <w:lang w:bidi="ar"/>
              </w:rPr>
              <w:t>/</w:t>
            </w:r>
          </w:p>
        </w:tc>
        <w:tc>
          <w:tcPr>
            <w:tcW w:w="263" w:type="pct"/>
            <w:vAlign w:val="center"/>
          </w:tcPr>
          <w:p w14:paraId="4201B70E">
            <w:pPr>
              <w:widowControl/>
              <w:jc w:val="center"/>
              <w:textAlignment w:val="center"/>
              <w:rPr>
                <w:sz w:val="22"/>
                <w:szCs w:val="21"/>
              </w:rPr>
            </w:pPr>
            <w:r>
              <w:rPr>
                <w:kern w:val="0"/>
                <w:sz w:val="22"/>
                <w:szCs w:val="22"/>
                <w:lang w:bidi="ar"/>
              </w:rPr>
              <w:t>/</w:t>
            </w:r>
          </w:p>
        </w:tc>
        <w:tc>
          <w:tcPr>
            <w:tcW w:w="263" w:type="pct"/>
            <w:vAlign w:val="center"/>
          </w:tcPr>
          <w:p w14:paraId="56D878CA">
            <w:pPr>
              <w:widowControl/>
              <w:jc w:val="center"/>
              <w:textAlignment w:val="center"/>
              <w:rPr>
                <w:sz w:val="22"/>
                <w:szCs w:val="21"/>
              </w:rPr>
            </w:pPr>
            <w:r>
              <w:rPr>
                <w:kern w:val="0"/>
                <w:sz w:val="22"/>
                <w:szCs w:val="22"/>
                <w:lang w:bidi="ar"/>
              </w:rPr>
              <w:t>/</w:t>
            </w:r>
          </w:p>
        </w:tc>
        <w:tc>
          <w:tcPr>
            <w:tcW w:w="263" w:type="pct"/>
            <w:vAlign w:val="center"/>
          </w:tcPr>
          <w:p w14:paraId="499EBC04">
            <w:pPr>
              <w:widowControl/>
              <w:jc w:val="center"/>
              <w:textAlignment w:val="center"/>
              <w:rPr>
                <w:sz w:val="22"/>
                <w:szCs w:val="21"/>
              </w:rPr>
            </w:pPr>
            <w:r>
              <w:rPr>
                <w:kern w:val="0"/>
                <w:sz w:val="22"/>
                <w:szCs w:val="22"/>
                <w:lang w:bidi="ar"/>
              </w:rPr>
              <w:t>/</w:t>
            </w:r>
          </w:p>
        </w:tc>
        <w:tc>
          <w:tcPr>
            <w:tcW w:w="673" w:type="pct"/>
            <w:vAlign w:val="center"/>
          </w:tcPr>
          <w:p w14:paraId="699FCF1A">
            <w:pPr>
              <w:widowControl/>
              <w:jc w:val="center"/>
              <w:textAlignment w:val="center"/>
              <w:rPr>
                <w:sz w:val="22"/>
                <w:szCs w:val="21"/>
              </w:rPr>
            </w:pPr>
            <w:r>
              <w:rPr>
                <w:kern w:val="0"/>
                <w:sz w:val="22"/>
                <w:szCs w:val="22"/>
                <w:lang w:bidi="ar"/>
              </w:rPr>
              <w:t>/</w:t>
            </w:r>
          </w:p>
        </w:tc>
        <w:tc>
          <w:tcPr>
            <w:tcW w:w="673" w:type="pct"/>
            <w:vAlign w:val="center"/>
          </w:tcPr>
          <w:p w14:paraId="32D8F6A2">
            <w:pPr>
              <w:widowControl/>
              <w:jc w:val="center"/>
              <w:textAlignment w:val="center"/>
              <w:rPr>
                <w:sz w:val="22"/>
                <w:szCs w:val="21"/>
              </w:rPr>
            </w:pPr>
            <w:r>
              <w:rPr>
                <w:kern w:val="0"/>
                <w:sz w:val="22"/>
                <w:szCs w:val="22"/>
                <w:lang w:bidi="ar"/>
              </w:rPr>
              <w:t>/</w:t>
            </w:r>
          </w:p>
        </w:tc>
        <w:tc>
          <w:tcPr>
            <w:tcW w:w="384" w:type="pct"/>
            <w:vAlign w:val="center"/>
          </w:tcPr>
          <w:p w14:paraId="487A64B1">
            <w:pPr>
              <w:widowControl/>
              <w:jc w:val="center"/>
              <w:textAlignment w:val="center"/>
              <w:rPr>
                <w:rFonts w:cs="宋体"/>
                <w:sz w:val="22"/>
                <w:szCs w:val="22"/>
              </w:rPr>
            </w:pPr>
            <w:r>
              <w:rPr>
                <w:rFonts w:hint="eastAsia" w:cs="宋体"/>
                <w:kern w:val="0"/>
                <w:sz w:val="22"/>
                <w:szCs w:val="22"/>
                <w:lang w:bidi="ar"/>
              </w:rPr>
              <w:t>0%</w:t>
            </w:r>
          </w:p>
        </w:tc>
      </w:tr>
      <w:tr w14:paraId="011C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2F282ACA">
            <w:pPr>
              <w:widowControl/>
              <w:jc w:val="center"/>
              <w:textAlignment w:val="center"/>
              <w:rPr>
                <w:rFonts w:cs="宋体"/>
                <w:sz w:val="22"/>
                <w:szCs w:val="22"/>
              </w:rPr>
            </w:pPr>
            <w:r>
              <w:rPr>
                <w:rFonts w:hint="eastAsia" w:cs="宋体"/>
                <w:kern w:val="0"/>
                <w:sz w:val="22"/>
                <w:szCs w:val="22"/>
                <w:lang w:bidi="ar"/>
              </w:rPr>
              <w:t>氟化物</w:t>
            </w:r>
          </w:p>
        </w:tc>
        <w:tc>
          <w:tcPr>
            <w:tcW w:w="609" w:type="pct"/>
            <w:vAlign w:val="center"/>
          </w:tcPr>
          <w:p w14:paraId="32FE46B3">
            <w:pPr>
              <w:widowControl/>
              <w:jc w:val="center"/>
              <w:textAlignment w:val="center"/>
              <w:rPr>
                <w:sz w:val="22"/>
                <w:szCs w:val="22"/>
              </w:rPr>
            </w:pPr>
            <w:r>
              <w:rPr>
                <w:kern w:val="0"/>
                <w:sz w:val="22"/>
                <w:szCs w:val="22"/>
                <w:lang w:bidi="ar"/>
              </w:rPr>
              <w:t>mg/L</w:t>
            </w:r>
          </w:p>
        </w:tc>
        <w:tc>
          <w:tcPr>
            <w:tcW w:w="477" w:type="pct"/>
            <w:noWrap/>
            <w:vAlign w:val="center"/>
          </w:tcPr>
          <w:p w14:paraId="5FEB0729">
            <w:pPr>
              <w:widowControl/>
              <w:jc w:val="center"/>
              <w:textAlignment w:val="center"/>
              <w:rPr>
                <w:sz w:val="22"/>
                <w:szCs w:val="22"/>
              </w:rPr>
            </w:pPr>
            <w:r>
              <w:rPr>
                <w:kern w:val="0"/>
                <w:sz w:val="22"/>
                <w:szCs w:val="22"/>
                <w:lang w:bidi="ar"/>
              </w:rPr>
              <w:t>1</w:t>
            </w:r>
          </w:p>
        </w:tc>
        <w:tc>
          <w:tcPr>
            <w:tcW w:w="263" w:type="pct"/>
            <w:vAlign w:val="center"/>
          </w:tcPr>
          <w:p w14:paraId="567E8A55">
            <w:pPr>
              <w:widowControl/>
              <w:jc w:val="center"/>
              <w:textAlignment w:val="center"/>
              <w:rPr>
                <w:sz w:val="22"/>
                <w:szCs w:val="21"/>
              </w:rPr>
            </w:pPr>
            <w:r>
              <w:rPr>
                <w:kern w:val="0"/>
                <w:sz w:val="22"/>
                <w:szCs w:val="21"/>
                <w:lang w:bidi="ar"/>
              </w:rPr>
              <w:t xml:space="preserve">0.71 </w:t>
            </w:r>
          </w:p>
        </w:tc>
        <w:tc>
          <w:tcPr>
            <w:tcW w:w="263" w:type="pct"/>
            <w:vAlign w:val="center"/>
          </w:tcPr>
          <w:p w14:paraId="4F8DC1EF">
            <w:pPr>
              <w:widowControl/>
              <w:jc w:val="center"/>
              <w:textAlignment w:val="center"/>
              <w:rPr>
                <w:sz w:val="22"/>
                <w:szCs w:val="21"/>
              </w:rPr>
            </w:pPr>
            <w:r>
              <w:rPr>
                <w:kern w:val="0"/>
                <w:sz w:val="22"/>
                <w:szCs w:val="21"/>
                <w:lang w:bidi="ar"/>
              </w:rPr>
              <w:t xml:space="preserve">0.95 </w:t>
            </w:r>
          </w:p>
        </w:tc>
        <w:tc>
          <w:tcPr>
            <w:tcW w:w="263" w:type="pct"/>
            <w:vAlign w:val="center"/>
          </w:tcPr>
          <w:p w14:paraId="0C55CC9D">
            <w:pPr>
              <w:widowControl/>
              <w:jc w:val="center"/>
              <w:textAlignment w:val="center"/>
              <w:rPr>
                <w:sz w:val="22"/>
                <w:szCs w:val="21"/>
              </w:rPr>
            </w:pPr>
            <w:r>
              <w:rPr>
                <w:kern w:val="0"/>
                <w:sz w:val="22"/>
                <w:szCs w:val="21"/>
                <w:lang w:bidi="ar"/>
              </w:rPr>
              <w:t xml:space="preserve">0.72 </w:t>
            </w:r>
          </w:p>
        </w:tc>
        <w:tc>
          <w:tcPr>
            <w:tcW w:w="263" w:type="pct"/>
            <w:vAlign w:val="center"/>
          </w:tcPr>
          <w:p w14:paraId="52974DE5">
            <w:pPr>
              <w:widowControl/>
              <w:jc w:val="center"/>
              <w:textAlignment w:val="center"/>
              <w:rPr>
                <w:sz w:val="22"/>
                <w:szCs w:val="21"/>
              </w:rPr>
            </w:pPr>
            <w:r>
              <w:rPr>
                <w:kern w:val="0"/>
                <w:sz w:val="22"/>
                <w:szCs w:val="21"/>
                <w:lang w:bidi="ar"/>
              </w:rPr>
              <w:t xml:space="preserve">0.45 </w:t>
            </w:r>
          </w:p>
        </w:tc>
        <w:tc>
          <w:tcPr>
            <w:tcW w:w="263" w:type="pct"/>
            <w:vAlign w:val="center"/>
          </w:tcPr>
          <w:p w14:paraId="11942023">
            <w:pPr>
              <w:widowControl/>
              <w:jc w:val="center"/>
              <w:textAlignment w:val="center"/>
              <w:rPr>
                <w:sz w:val="22"/>
                <w:szCs w:val="21"/>
              </w:rPr>
            </w:pPr>
            <w:r>
              <w:rPr>
                <w:kern w:val="0"/>
                <w:sz w:val="22"/>
                <w:szCs w:val="21"/>
                <w:lang w:bidi="ar"/>
              </w:rPr>
              <w:t xml:space="preserve">0.46 </w:t>
            </w:r>
          </w:p>
        </w:tc>
        <w:tc>
          <w:tcPr>
            <w:tcW w:w="673" w:type="pct"/>
            <w:vAlign w:val="center"/>
          </w:tcPr>
          <w:p w14:paraId="7AA19F4D">
            <w:pPr>
              <w:widowControl/>
              <w:jc w:val="center"/>
              <w:textAlignment w:val="center"/>
              <w:rPr>
                <w:rFonts w:cs="宋体"/>
                <w:sz w:val="22"/>
                <w:szCs w:val="22"/>
              </w:rPr>
            </w:pPr>
            <w:r>
              <w:rPr>
                <w:rFonts w:hint="eastAsia" w:cs="宋体"/>
                <w:kern w:val="0"/>
                <w:sz w:val="22"/>
                <w:szCs w:val="22"/>
                <w:lang w:bidi="ar"/>
              </w:rPr>
              <w:t xml:space="preserve">0.45 </w:t>
            </w:r>
          </w:p>
        </w:tc>
        <w:tc>
          <w:tcPr>
            <w:tcW w:w="673" w:type="pct"/>
            <w:vAlign w:val="center"/>
          </w:tcPr>
          <w:p w14:paraId="25693CD8">
            <w:pPr>
              <w:widowControl/>
              <w:jc w:val="center"/>
              <w:textAlignment w:val="center"/>
              <w:rPr>
                <w:rFonts w:cs="宋体"/>
                <w:sz w:val="22"/>
                <w:szCs w:val="22"/>
              </w:rPr>
            </w:pPr>
            <w:r>
              <w:rPr>
                <w:rFonts w:hint="eastAsia" w:cs="宋体"/>
                <w:kern w:val="0"/>
                <w:sz w:val="22"/>
                <w:szCs w:val="22"/>
                <w:lang w:bidi="ar"/>
              </w:rPr>
              <w:t xml:space="preserve">0.95 </w:t>
            </w:r>
          </w:p>
        </w:tc>
        <w:tc>
          <w:tcPr>
            <w:tcW w:w="384" w:type="pct"/>
            <w:vAlign w:val="center"/>
          </w:tcPr>
          <w:p w14:paraId="514FE549">
            <w:pPr>
              <w:widowControl/>
              <w:jc w:val="center"/>
              <w:textAlignment w:val="center"/>
              <w:rPr>
                <w:rFonts w:cs="宋体"/>
                <w:sz w:val="22"/>
                <w:szCs w:val="22"/>
              </w:rPr>
            </w:pPr>
            <w:r>
              <w:rPr>
                <w:rFonts w:hint="eastAsia" w:cs="宋体"/>
                <w:kern w:val="0"/>
                <w:sz w:val="22"/>
                <w:szCs w:val="22"/>
                <w:lang w:bidi="ar"/>
              </w:rPr>
              <w:t>0%</w:t>
            </w:r>
          </w:p>
        </w:tc>
      </w:tr>
      <w:tr w14:paraId="6DC8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2CE8032B">
            <w:pPr>
              <w:widowControl/>
              <w:jc w:val="center"/>
              <w:textAlignment w:val="center"/>
              <w:rPr>
                <w:rFonts w:cs="宋体"/>
                <w:sz w:val="22"/>
                <w:szCs w:val="22"/>
              </w:rPr>
            </w:pPr>
            <w:r>
              <w:rPr>
                <w:rFonts w:hint="eastAsia" w:cs="宋体"/>
                <w:kern w:val="0"/>
                <w:sz w:val="22"/>
                <w:szCs w:val="22"/>
                <w:lang w:bidi="ar"/>
              </w:rPr>
              <w:t>氯离子</w:t>
            </w:r>
          </w:p>
        </w:tc>
        <w:tc>
          <w:tcPr>
            <w:tcW w:w="609" w:type="pct"/>
            <w:vAlign w:val="center"/>
          </w:tcPr>
          <w:p w14:paraId="5BCE5533">
            <w:pPr>
              <w:widowControl/>
              <w:jc w:val="center"/>
              <w:textAlignment w:val="center"/>
              <w:rPr>
                <w:sz w:val="22"/>
                <w:szCs w:val="22"/>
              </w:rPr>
            </w:pPr>
            <w:r>
              <w:rPr>
                <w:kern w:val="0"/>
                <w:sz w:val="22"/>
                <w:szCs w:val="22"/>
                <w:lang w:bidi="ar"/>
              </w:rPr>
              <w:t>mg/L</w:t>
            </w:r>
          </w:p>
        </w:tc>
        <w:tc>
          <w:tcPr>
            <w:tcW w:w="477" w:type="pct"/>
            <w:noWrap/>
            <w:vAlign w:val="center"/>
          </w:tcPr>
          <w:p w14:paraId="15A75CEF">
            <w:pPr>
              <w:widowControl/>
              <w:jc w:val="center"/>
              <w:textAlignment w:val="center"/>
              <w:rPr>
                <w:sz w:val="22"/>
                <w:szCs w:val="22"/>
              </w:rPr>
            </w:pPr>
            <w:r>
              <w:rPr>
                <w:kern w:val="0"/>
                <w:sz w:val="22"/>
                <w:szCs w:val="22"/>
                <w:lang w:bidi="ar"/>
              </w:rPr>
              <w:t>250</w:t>
            </w:r>
          </w:p>
        </w:tc>
        <w:tc>
          <w:tcPr>
            <w:tcW w:w="263" w:type="pct"/>
            <w:vAlign w:val="center"/>
          </w:tcPr>
          <w:p w14:paraId="50A4FF0F">
            <w:pPr>
              <w:widowControl/>
              <w:jc w:val="center"/>
              <w:textAlignment w:val="center"/>
              <w:rPr>
                <w:sz w:val="22"/>
                <w:szCs w:val="21"/>
              </w:rPr>
            </w:pPr>
            <w:r>
              <w:rPr>
                <w:kern w:val="0"/>
                <w:sz w:val="22"/>
                <w:szCs w:val="21"/>
                <w:lang w:bidi="ar"/>
              </w:rPr>
              <w:t xml:space="preserve">0.05 </w:t>
            </w:r>
          </w:p>
        </w:tc>
        <w:tc>
          <w:tcPr>
            <w:tcW w:w="263" w:type="pct"/>
            <w:vAlign w:val="center"/>
          </w:tcPr>
          <w:p w14:paraId="64D9D22A">
            <w:pPr>
              <w:widowControl/>
              <w:jc w:val="center"/>
              <w:textAlignment w:val="center"/>
              <w:rPr>
                <w:sz w:val="22"/>
                <w:szCs w:val="21"/>
              </w:rPr>
            </w:pPr>
            <w:r>
              <w:rPr>
                <w:kern w:val="0"/>
                <w:sz w:val="22"/>
                <w:szCs w:val="21"/>
                <w:lang w:bidi="ar"/>
              </w:rPr>
              <w:t xml:space="preserve">0.10 </w:t>
            </w:r>
          </w:p>
        </w:tc>
        <w:tc>
          <w:tcPr>
            <w:tcW w:w="263" w:type="pct"/>
            <w:vAlign w:val="center"/>
          </w:tcPr>
          <w:p w14:paraId="13608ECB">
            <w:pPr>
              <w:widowControl/>
              <w:jc w:val="center"/>
              <w:textAlignment w:val="center"/>
              <w:rPr>
                <w:sz w:val="22"/>
                <w:szCs w:val="21"/>
              </w:rPr>
            </w:pPr>
            <w:r>
              <w:rPr>
                <w:kern w:val="0"/>
                <w:sz w:val="22"/>
                <w:szCs w:val="21"/>
                <w:lang w:bidi="ar"/>
              </w:rPr>
              <w:t xml:space="preserve">0.04 </w:t>
            </w:r>
          </w:p>
        </w:tc>
        <w:tc>
          <w:tcPr>
            <w:tcW w:w="263" w:type="pct"/>
            <w:vAlign w:val="center"/>
          </w:tcPr>
          <w:p w14:paraId="7A52CD0C">
            <w:pPr>
              <w:widowControl/>
              <w:jc w:val="center"/>
              <w:textAlignment w:val="center"/>
              <w:rPr>
                <w:sz w:val="22"/>
                <w:szCs w:val="21"/>
              </w:rPr>
            </w:pPr>
            <w:r>
              <w:rPr>
                <w:kern w:val="0"/>
                <w:sz w:val="22"/>
                <w:szCs w:val="21"/>
                <w:lang w:bidi="ar"/>
              </w:rPr>
              <w:t xml:space="preserve">0.06 </w:t>
            </w:r>
          </w:p>
        </w:tc>
        <w:tc>
          <w:tcPr>
            <w:tcW w:w="263" w:type="pct"/>
            <w:vAlign w:val="center"/>
          </w:tcPr>
          <w:p w14:paraId="55913441">
            <w:pPr>
              <w:widowControl/>
              <w:jc w:val="center"/>
              <w:textAlignment w:val="center"/>
              <w:rPr>
                <w:sz w:val="22"/>
                <w:szCs w:val="21"/>
              </w:rPr>
            </w:pPr>
            <w:r>
              <w:rPr>
                <w:kern w:val="0"/>
                <w:sz w:val="22"/>
                <w:szCs w:val="21"/>
                <w:lang w:bidi="ar"/>
              </w:rPr>
              <w:t xml:space="preserve">0.04 </w:t>
            </w:r>
          </w:p>
        </w:tc>
        <w:tc>
          <w:tcPr>
            <w:tcW w:w="673" w:type="pct"/>
            <w:vAlign w:val="center"/>
          </w:tcPr>
          <w:p w14:paraId="3E8E74DC">
            <w:pPr>
              <w:widowControl/>
              <w:jc w:val="center"/>
              <w:textAlignment w:val="center"/>
              <w:rPr>
                <w:rFonts w:cs="宋体"/>
                <w:sz w:val="22"/>
                <w:szCs w:val="22"/>
              </w:rPr>
            </w:pPr>
            <w:r>
              <w:rPr>
                <w:rFonts w:hint="eastAsia" w:cs="宋体"/>
                <w:kern w:val="0"/>
                <w:sz w:val="22"/>
                <w:szCs w:val="22"/>
                <w:lang w:bidi="ar"/>
              </w:rPr>
              <w:t xml:space="preserve">0.04 </w:t>
            </w:r>
          </w:p>
        </w:tc>
        <w:tc>
          <w:tcPr>
            <w:tcW w:w="673" w:type="pct"/>
            <w:vAlign w:val="center"/>
          </w:tcPr>
          <w:p w14:paraId="7A25EE31">
            <w:pPr>
              <w:widowControl/>
              <w:jc w:val="center"/>
              <w:textAlignment w:val="center"/>
              <w:rPr>
                <w:rFonts w:cs="宋体"/>
                <w:sz w:val="22"/>
                <w:szCs w:val="22"/>
              </w:rPr>
            </w:pPr>
            <w:r>
              <w:rPr>
                <w:rFonts w:hint="eastAsia" w:cs="宋体"/>
                <w:kern w:val="0"/>
                <w:sz w:val="22"/>
                <w:szCs w:val="22"/>
                <w:lang w:bidi="ar"/>
              </w:rPr>
              <w:t xml:space="preserve">0.10 </w:t>
            </w:r>
          </w:p>
        </w:tc>
        <w:tc>
          <w:tcPr>
            <w:tcW w:w="384" w:type="pct"/>
            <w:vAlign w:val="center"/>
          </w:tcPr>
          <w:p w14:paraId="1C2FB893">
            <w:pPr>
              <w:widowControl/>
              <w:jc w:val="center"/>
              <w:textAlignment w:val="center"/>
              <w:rPr>
                <w:rFonts w:cs="宋体"/>
                <w:sz w:val="22"/>
                <w:szCs w:val="22"/>
              </w:rPr>
            </w:pPr>
            <w:r>
              <w:rPr>
                <w:rFonts w:hint="eastAsia" w:cs="宋体"/>
                <w:kern w:val="0"/>
                <w:sz w:val="22"/>
                <w:szCs w:val="22"/>
                <w:lang w:bidi="ar"/>
              </w:rPr>
              <w:t>0%</w:t>
            </w:r>
          </w:p>
        </w:tc>
      </w:tr>
      <w:tr w14:paraId="4006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478B9BCD">
            <w:pPr>
              <w:widowControl/>
              <w:jc w:val="center"/>
              <w:textAlignment w:val="center"/>
              <w:rPr>
                <w:rFonts w:cs="宋体"/>
                <w:sz w:val="22"/>
                <w:szCs w:val="22"/>
              </w:rPr>
            </w:pPr>
            <w:r>
              <w:rPr>
                <w:rFonts w:hint="eastAsia" w:cs="宋体"/>
                <w:kern w:val="0"/>
                <w:sz w:val="22"/>
                <w:szCs w:val="22"/>
                <w:lang w:bidi="ar"/>
              </w:rPr>
              <w:t>硝酸盐氮</w:t>
            </w:r>
          </w:p>
        </w:tc>
        <w:tc>
          <w:tcPr>
            <w:tcW w:w="609" w:type="pct"/>
            <w:vAlign w:val="center"/>
          </w:tcPr>
          <w:p w14:paraId="51E4D985">
            <w:pPr>
              <w:widowControl/>
              <w:jc w:val="center"/>
              <w:textAlignment w:val="center"/>
              <w:rPr>
                <w:sz w:val="22"/>
                <w:szCs w:val="22"/>
              </w:rPr>
            </w:pPr>
            <w:r>
              <w:rPr>
                <w:kern w:val="0"/>
                <w:sz w:val="22"/>
                <w:szCs w:val="22"/>
                <w:lang w:bidi="ar"/>
              </w:rPr>
              <w:t>mg/L</w:t>
            </w:r>
          </w:p>
        </w:tc>
        <w:tc>
          <w:tcPr>
            <w:tcW w:w="477" w:type="pct"/>
            <w:noWrap/>
            <w:vAlign w:val="center"/>
          </w:tcPr>
          <w:p w14:paraId="5379992F">
            <w:pPr>
              <w:widowControl/>
              <w:jc w:val="center"/>
              <w:textAlignment w:val="center"/>
              <w:rPr>
                <w:sz w:val="22"/>
                <w:szCs w:val="22"/>
              </w:rPr>
            </w:pPr>
            <w:r>
              <w:rPr>
                <w:kern w:val="0"/>
                <w:sz w:val="22"/>
                <w:szCs w:val="22"/>
                <w:lang w:bidi="ar"/>
              </w:rPr>
              <w:t>20</w:t>
            </w:r>
          </w:p>
        </w:tc>
        <w:tc>
          <w:tcPr>
            <w:tcW w:w="263" w:type="pct"/>
            <w:vAlign w:val="center"/>
          </w:tcPr>
          <w:p w14:paraId="7AF6800E">
            <w:pPr>
              <w:widowControl/>
              <w:jc w:val="center"/>
              <w:textAlignment w:val="center"/>
              <w:rPr>
                <w:sz w:val="22"/>
                <w:szCs w:val="21"/>
              </w:rPr>
            </w:pPr>
            <w:r>
              <w:rPr>
                <w:kern w:val="0"/>
                <w:sz w:val="22"/>
                <w:szCs w:val="21"/>
                <w:lang w:bidi="ar"/>
              </w:rPr>
              <w:t xml:space="preserve">0.02 </w:t>
            </w:r>
          </w:p>
        </w:tc>
        <w:tc>
          <w:tcPr>
            <w:tcW w:w="263" w:type="pct"/>
            <w:vAlign w:val="center"/>
          </w:tcPr>
          <w:p w14:paraId="5D9B8D13">
            <w:pPr>
              <w:widowControl/>
              <w:jc w:val="center"/>
              <w:textAlignment w:val="center"/>
              <w:rPr>
                <w:sz w:val="22"/>
                <w:szCs w:val="21"/>
              </w:rPr>
            </w:pPr>
            <w:r>
              <w:rPr>
                <w:kern w:val="0"/>
                <w:sz w:val="22"/>
                <w:szCs w:val="21"/>
                <w:lang w:bidi="ar"/>
              </w:rPr>
              <w:t xml:space="preserve">0.08 </w:t>
            </w:r>
          </w:p>
        </w:tc>
        <w:tc>
          <w:tcPr>
            <w:tcW w:w="263" w:type="pct"/>
            <w:vAlign w:val="center"/>
          </w:tcPr>
          <w:p w14:paraId="337FF2A3">
            <w:pPr>
              <w:widowControl/>
              <w:jc w:val="center"/>
              <w:textAlignment w:val="center"/>
              <w:rPr>
                <w:sz w:val="22"/>
                <w:szCs w:val="21"/>
              </w:rPr>
            </w:pPr>
            <w:r>
              <w:rPr>
                <w:kern w:val="0"/>
                <w:sz w:val="22"/>
                <w:szCs w:val="21"/>
                <w:lang w:bidi="ar"/>
              </w:rPr>
              <w:t xml:space="preserve">0.11 </w:t>
            </w:r>
          </w:p>
        </w:tc>
        <w:tc>
          <w:tcPr>
            <w:tcW w:w="263" w:type="pct"/>
            <w:vAlign w:val="center"/>
          </w:tcPr>
          <w:p w14:paraId="4E8C1DCC">
            <w:pPr>
              <w:widowControl/>
              <w:jc w:val="center"/>
              <w:textAlignment w:val="center"/>
              <w:rPr>
                <w:sz w:val="22"/>
                <w:szCs w:val="21"/>
              </w:rPr>
            </w:pPr>
            <w:r>
              <w:rPr>
                <w:kern w:val="0"/>
                <w:sz w:val="22"/>
                <w:szCs w:val="21"/>
                <w:lang w:bidi="ar"/>
              </w:rPr>
              <w:t xml:space="preserve">0.01 </w:t>
            </w:r>
          </w:p>
        </w:tc>
        <w:tc>
          <w:tcPr>
            <w:tcW w:w="263" w:type="pct"/>
            <w:vAlign w:val="center"/>
          </w:tcPr>
          <w:p w14:paraId="705FF8FE">
            <w:pPr>
              <w:widowControl/>
              <w:jc w:val="center"/>
              <w:textAlignment w:val="center"/>
              <w:rPr>
                <w:sz w:val="22"/>
                <w:szCs w:val="21"/>
              </w:rPr>
            </w:pPr>
            <w:r>
              <w:rPr>
                <w:kern w:val="0"/>
                <w:sz w:val="22"/>
                <w:szCs w:val="21"/>
                <w:lang w:bidi="ar"/>
              </w:rPr>
              <w:t xml:space="preserve">0.01 </w:t>
            </w:r>
          </w:p>
        </w:tc>
        <w:tc>
          <w:tcPr>
            <w:tcW w:w="673" w:type="pct"/>
            <w:vAlign w:val="center"/>
          </w:tcPr>
          <w:p w14:paraId="2CE018F8">
            <w:pPr>
              <w:widowControl/>
              <w:jc w:val="center"/>
              <w:textAlignment w:val="center"/>
              <w:rPr>
                <w:rFonts w:cs="宋体"/>
                <w:sz w:val="22"/>
                <w:szCs w:val="22"/>
              </w:rPr>
            </w:pPr>
            <w:r>
              <w:rPr>
                <w:rFonts w:hint="eastAsia" w:cs="宋体"/>
                <w:kern w:val="0"/>
                <w:sz w:val="22"/>
                <w:szCs w:val="22"/>
                <w:lang w:bidi="ar"/>
              </w:rPr>
              <w:t xml:space="preserve">0.01 </w:t>
            </w:r>
          </w:p>
        </w:tc>
        <w:tc>
          <w:tcPr>
            <w:tcW w:w="673" w:type="pct"/>
            <w:vAlign w:val="center"/>
          </w:tcPr>
          <w:p w14:paraId="2C2A9CC4">
            <w:pPr>
              <w:widowControl/>
              <w:jc w:val="center"/>
              <w:textAlignment w:val="center"/>
              <w:rPr>
                <w:rFonts w:cs="宋体"/>
                <w:sz w:val="22"/>
                <w:szCs w:val="22"/>
              </w:rPr>
            </w:pPr>
            <w:r>
              <w:rPr>
                <w:rFonts w:hint="eastAsia" w:cs="宋体"/>
                <w:kern w:val="0"/>
                <w:sz w:val="22"/>
                <w:szCs w:val="22"/>
                <w:lang w:bidi="ar"/>
              </w:rPr>
              <w:t xml:space="preserve">0.11 </w:t>
            </w:r>
          </w:p>
        </w:tc>
        <w:tc>
          <w:tcPr>
            <w:tcW w:w="384" w:type="pct"/>
            <w:vAlign w:val="center"/>
          </w:tcPr>
          <w:p w14:paraId="79CCC74B">
            <w:pPr>
              <w:widowControl/>
              <w:jc w:val="center"/>
              <w:textAlignment w:val="center"/>
              <w:rPr>
                <w:rFonts w:cs="宋体"/>
                <w:sz w:val="22"/>
                <w:szCs w:val="22"/>
              </w:rPr>
            </w:pPr>
            <w:r>
              <w:rPr>
                <w:rFonts w:hint="eastAsia" w:cs="宋体"/>
                <w:kern w:val="0"/>
                <w:sz w:val="22"/>
                <w:szCs w:val="22"/>
                <w:lang w:bidi="ar"/>
              </w:rPr>
              <w:t>0%</w:t>
            </w:r>
          </w:p>
        </w:tc>
      </w:tr>
      <w:tr w14:paraId="1EE6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53D04AFE">
            <w:pPr>
              <w:widowControl/>
              <w:jc w:val="center"/>
              <w:textAlignment w:val="center"/>
              <w:rPr>
                <w:rFonts w:cs="宋体"/>
                <w:sz w:val="22"/>
                <w:szCs w:val="22"/>
              </w:rPr>
            </w:pPr>
            <w:r>
              <w:rPr>
                <w:rFonts w:hint="eastAsia" w:cs="宋体"/>
                <w:kern w:val="0"/>
                <w:sz w:val="22"/>
                <w:szCs w:val="22"/>
                <w:lang w:bidi="ar"/>
              </w:rPr>
              <w:t>亚硝酸盐氮</w:t>
            </w:r>
          </w:p>
        </w:tc>
        <w:tc>
          <w:tcPr>
            <w:tcW w:w="609" w:type="pct"/>
            <w:vAlign w:val="center"/>
          </w:tcPr>
          <w:p w14:paraId="78D9CC2F">
            <w:pPr>
              <w:widowControl/>
              <w:jc w:val="center"/>
              <w:textAlignment w:val="center"/>
              <w:rPr>
                <w:sz w:val="22"/>
                <w:szCs w:val="22"/>
              </w:rPr>
            </w:pPr>
            <w:r>
              <w:rPr>
                <w:kern w:val="0"/>
                <w:sz w:val="22"/>
                <w:szCs w:val="22"/>
                <w:lang w:bidi="ar"/>
              </w:rPr>
              <w:t>mg/L</w:t>
            </w:r>
          </w:p>
        </w:tc>
        <w:tc>
          <w:tcPr>
            <w:tcW w:w="477" w:type="pct"/>
            <w:noWrap/>
            <w:vAlign w:val="center"/>
          </w:tcPr>
          <w:p w14:paraId="567B2614">
            <w:pPr>
              <w:widowControl/>
              <w:jc w:val="center"/>
              <w:textAlignment w:val="center"/>
              <w:rPr>
                <w:sz w:val="22"/>
                <w:szCs w:val="22"/>
              </w:rPr>
            </w:pPr>
            <w:r>
              <w:rPr>
                <w:kern w:val="0"/>
                <w:sz w:val="22"/>
                <w:szCs w:val="22"/>
                <w:lang w:bidi="ar"/>
              </w:rPr>
              <w:t>1</w:t>
            </w:r>
          </w:p>
        </w:tc>
        <w:tc>
          <w:tcPr>
            <w:tcW w:w="263" w:type="pct"/>
            <w:vAlign w:val="center"/>
          </w:tcPr>
          <w:p w14:paraId="4D70A29C">
            <w:pPr>
              <w:widowControl/>
              <w:jc w:val="center"/>
              <w:textAlignment w:val="center"/>
              <w:rPr>
                <w:sz w:val="22"/>
                <w:szCs w:val="21"/>
              </w:rPr>
            </w:pPr>
            <w:r>
              <w:rPr>
                <w:kern w:val="0"/>
                <w:sz w:val="22"/>
                <w:szCs w:val="21"/>
                <w:lang w:bidi="ar"/>
              </w:rPr>
              <w:t xml:space="preserve">0.00 </w:t>
            </w:r>
          </w:p>
        </w:tc>
        <w:tc>
          <w:tcPr>
            <w:tcW w:w="263" w:type="pct"/>
            <w:vAlign w:val="center"/>
          </w:tcPr>
          <w:p w14:paraId="751B103D">
            <w:pPr>
              <w:widowControl/>
              <w:jc w:val="center"/>
              <w:textAlignment w:val="center"/>
              <w:rPr>
                <w:sz w:val="22"/>
                <w:szCs w:val="21"/>
              </w:rPr>
            </w:pPr>
            <w:r>
              <w:rPr>
                <w:kern w:val="0"/>
                <w:sz w:val="22"/>
                <w:szCs w:val="21"/>
                <w:lang w:bidi="ar"/>
              </w:rPr>
              <w:t xml:space="preserve">0.01 </w:t>
            </w:r>
          </w:p>
        </w:tc>
        <w:tc>
          <w:tcPr>
            <w:tcW w:w="263" w:type="pct"/>
            <w:vAlign w:val="center"/>
          </w:tcPr>
          <w:p w14:paraId="2A4ADEA3">
            <w:pPr>
              <w:widowControl/>
              <w:jc w:val="center"/>
              <w:textAlignment w:val="center"/>
              <w:rPr>
                <w:sz w:val="22"/>
                <w:szCs w:val="21"/>
              </w:rPr>
            </w:pPr>
            <w:r>
              <w:rPr>
                <w:kern w:val="0"/>
                <w:sz w:val="22"/>
                <w:szCs w:val="21"/>
                <w:lang w:bidi="ar"/>
              </w:rPr>
              <w:t xml:space="preserve">0.01 </w:t>
            </w:r>
          </w:p>
        </w:tc>
        <w:tc>
          <w:tcPr>
            <w:tcW w:w="263" w:type="pct"/>
            <w:vAlign w:val="center"/>
          </w:tcPr>
          <w:p w14:paraId="154BCB0A">
            <w:pPr>
              <w:widowControl/>
              <w:jc w:val="center"/>
              <w:textAlignment w:val="center"/>
              <w:rPr>
                <w:sz w:val="22"/>
                <w:szCs w:val="21"/>
              </w:rPr>
            </w:pPr>
            <w:r>
              <w:rPr>
                <w:kern w:val="0"/>
                <w:sz w:val="22"/>
                <w:szCs w:val="21"/>
                <w:lang w:bidi="ar"/>
              </w:rPr>
              <w:t xml:space="preserve">0.10 </w:t>
            </w:r>
          </w:p>
        </w:tc>
        <w:tc>
          <w:tcPr>
            <w:tcW w:w="263" w:type="pct"/>
            <w:vAlign w:val="center"/>
          </w:tcPr>
          <w:p w14:paraId="17B8FE79">
            <w:pPr>
              <w:widowControl/>
              <w:jc w:val="center"/>
              <w:textAlignment w:val="center"/>
              <w:rPr>
                <w:sz w:val="22"/>
                <w:szCs w:val="21"/>
              </w:rPr>
            </w:pPr>
            <w:r>
              <w:rPr>
                <w:kern w:val="0"/>
                <w:sz w:val="22"/>
                <w:szCs w:val="21"/>
                <w:lang w:bidi="ar"/>
              </w:rPr>
              <w:t xml:space="preserve">0.01 </w:t>
            </w:r>
          </w:p>
        </w:tc>
        <w:tc>
          <w:tcPr>
            <w:tcW w:w="673" w:type="pct"/>
            <w:vAlign w:val="center"/>
          </w:tcPr>
          <w:p w14:paraId="2F073882">
            <w:pPr>
              <w:widowControl/>
              <w:jc w:val="center"/>
              <w:textAlignment w:val="center"/>
              <w:rPr>
                <w:rFonts w:cs="宋体"/>
                <w:sz w:val="22"/>
                <w:szCs w:val="22"/>
              </w:rPr>
            </w:pPr>
            <w:r>
              <w:rPr>
                <w:rFonts w:hint="eastAsia" w:cs="宋体"/>
                <w:kern w:val="0"/>
                <w:sz w:val="22"/>
                <w:szCs w:val="22"/>
                <w:lang w:bidi="ar"/>
              </w:rPr>
              <w:t xml:space="preserve">0.00 </w:t>
            </w:r>
          </w:p>
        </w:tc>
        <w:tc>
          <w:tcPr>
            <w:tcW w:w="673" w:type="pct"/>
            <w:vAlign w:val="center"/>
          </w:tcPr>
          <w:p w14:paraId="430F90D1">
            <w:pPr>
              <w:widowControl/>
              <w:jc w:val="center"/>
              <w:textAlignment w:val="center"/>
              <w:rPr>
                <w:rFonts w:cs="宋体"/>
                <w:sz w:val="22"/>
                <w:szCs w:val="22"/>
              </w:rPr>
            </w:pPr>
            <w:r>
              <w:rPr>
                <w:rFonts w:hint="eastAsia" w:cs="宋体"/>
                <w:kern w:val="0"/>
                <w:sz w:val="22"/>
                <w:szCs w:val="22"/>
                <w:lang w:bidi="ar"/>
              </w:rPr>
              <w:t xml:space="preserve">0.10 </w:t>
            </w:r>
          </w:p>
        </w:tc>
        <w:tc>
          <w:tcPr>
            <w:tcW w:w="384" w:type="pct"/>
            <w:vAlign w:val="center"/>
          </w:tcPr>
          <w:p w14:paraId="4733879A">
            <w:pPr>
              <w:widowControl/>
              <w:jc w:val="center"/>
              <w:textAlignment w:val="center"/>
              <w:rPr>
                <w:rFonts w:cs="宋体"/>
                <w:sz w:val="22"/>
                <w:szCs w:val="22"/>
              </w:rPr>
            </w:pPr>
            <w:r>
              <w:rPr>
                <w:rFonts w:hint="eastAsia" w:cs="宋体"/>
                <w:kern w:val="0"/>
                <w:sz w:val="22"/>
                <w:szCs w:val="22"/>
                <w:lang w:bidi="ar"/>
              </w:rPr>
              <w:t>0%</w:t>
            </w:r>
          </w:p>
        </w:tc>
      </w:tr>
      <w:tr w14:paraId="1AAF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7A51C87C">
            <w:pPr>
              <w:widowControl/>
              <w:jc w:val="center"/>
              <w:textAlignment w:val="center"/>
              <w:rPr>
                <w:rFonts w:cs="宋体"/>
                <w:sz w:val="22"/>
                <w:szCs w:val="22"/>
              </w:rPr>
            </w:pPr>
            <w:r>
              <w:rPr>
                <w:rFonts w:hint="eastAsia" w:cs="宋体"/>
                <w:kern w:val="0"/>
                <w:sz w:val="22"/>
                <w:szCs w:val="22"/>
                <w:lang w:bidi="ar"/>
              </w:rPr>
              <w:t>硫酸盐</w:t>
            </w:r>
          </w:p>
        </w:tc>
        <w:tc>
          <w:tcPr>
            <w:tcW w:w="609" w:type="pct"/>
            <w:vAlign w:val="center"/>
          </w:tcPr>
          <w:p w14:paraId="2E854677">
            <w:pPr>
              <w:widowControl/>
              <w:jc w:val="center"/>
              <w:textAlignment w:val="center"/>
              <w:rPr>
                <w:sz w:val="22"/>
                <w:szCs w:val="22"/>
              </w:rPr>
            </w:pPr>
            <w:r>
              <w:rPr>
                <w:kern w:val="0"/>
                <w:sz w:val="22"/>
                <w:szCs w:val="22"/>
                <w:lang w:bidi="ar"/>
              </w:rPr>
              <w:t>mg/L</w:t>
            </w:r>
          </w:p>
        </w:tc>
        <w:tc>
          <w:tcPr>
            <w:tcW w:w="477" w:type="pct"/>
            <w:noWrap/>
            <w:vAlign w:val="center"/>
          </w:tcPr>
          <w:p w14:paraId="49ED222A">
            <w:pPr>
              <w:widowControl/>
              <w:jc w:val="center"/>
              <w:textAlignment w:val="center"/>
              <w:rPr>
                <w:sz w:val="22"/>
                <w:szCs w:val="22"/>
              </w:rPr>
            </w:pPr>
            <w:r>
              <w:rPr>
                <w:kern w:val="0"/>
                <w:sz w:val="22"/>
                <w:szCs w:val="22"/>
                <w:lang w:bidi="ar"/>
              </w:rPr>
              <w:t>250</w:t>
            </w:r>
          </w:p>
        </w:tc>
        <w:tc>
          <w:tcPr>
            <w:tcW w:w="263" w:type="pct"/>
            <w:vAlign w:val="center"/>
          </w:tcPr>
          <w:p w14:paraId="2944846B">
            <w:pPr>
              <w:widowControl/>
              <w:jc w:val="center"/>
              <w:textAlignment w:val="center"/>
              <w:rPr>
                <w:sz w:val="22"/>
                <w:szCs w:val="21"/>
              </w:rPr>
            </w:pPr>
            <w:r>
              <w:rPr>
                <w:kern w:val="0"/>
                <w:sz w:val="22"/>
                <w:szCs w:val="21"/>
                <w:lang w:bidi="ar"/>
              </w:rPr>
              <w:t xml:space="preserve">0.07 </w:t>
            </w:r>
          </w:p>
        </w:tc>
        <w:tc>
          <w:tcPr>
            <w:tcW w:w="263" w:type="pct"/>
            <w:vAlign w:val="center"/>
          </w:tcPr>
          <w:p w14:paraId="4498CA92">
            <w:pPr>
              <w:widowControl/>
              <w:jc w:val="center"/>
              <w:textAlignment w:val="center"/>
              <w:rPr>
                <w:sz w:val="22"/>
                <w:szCs w:val="21"/>
              </w:rPr>
            </w:pPr>
            <w:r>
              <w:rPr>
                <w:kern w:val="0"/>
                <w:sz w:val="22"/>
                <w:szCs w:val="21"/>
                <w:lang w:bidi="ar"/>
              </w:rPr>
              <w:t xml:space="preserve">0.10 </w:t>
            </w:r>
          </w:p>
        </w:tc>
        <w:tc>
          <w:tcPr>
            <w:tcW w:w="263" w:type="pct"/>
            <w:vAlign w:val="center"/>
          </w:tcPr>
          <w:p w14:paraId="34A02ABE">
            <w:pPr>
              <w:widowControl/>
              <w:jc w:val="center"/>
              <w:textAlignment w:val="center"/>
              <w:rPr>
                <w:sz w:val="22"/>
                <w:szCs w:val="21"/>
              </w:rPr>
            </w:pPr>
            <w:r>
              <w:rPr>
                <w:kern w:val="0"/>
                <w:sz w:val="22"/>
                <w:szCs w:val="21"/>
                <w:lang w:bidi="ar"/>
              </w:rPr>
              <w:t xml:space="preserve">0.09 </w:t>
            </w:r>
          </w:p>
        </w:tc>
        <w:tc>
          <w:tcPr>
            <w:tcW w:w="263" w:type="pct"/>
            <w:vAlign w:val="center"/>
          </w:tcPr>
          <w:p w14:paraId="7F947D7B">
            <w:pPr>
              <w:widowControl/>
              <w:jc w:val="center"/>
              <w:textAlignment w:val="center"/>
              <w:rPr>
                <w:sz w:val="22"/>
                <w:szCs w:val="21"/>
              </w:rPr>
            </w:pPr>
            <w:r>
              <w:rPr>
                <w:kern w:val="0"/>
                <w:sz w:val="22"/>
                <w:szCs w:val="21"/>
                <w:lang w:bidi="ar"/>
              </w:rPr>
              <w:t xml:space="preserve">0.06 </w:t>
            </w:r>
          </w:p>
        </w:tc>
        <w:tc>
          <w:tcPr>
            <w:tcW w:w="263" w:type="pct"/>
            <w:vAlign w:val="center"/>
          </w:tcPr>
          <w:p w14:paraId="7E9EDC4E">
            <w:pPr>
              <w:widowControl/>
              <w:jc w:val="center"/>
              <w:textAlignment w:val="center"/>
              <w:rPr>
                <w:sz w:val="22"/>
                <w:szCs w:val="21"/>
              </w:rPr>
            </w:pPr>
            <w:r>
              <w:rPr>
                <w:kern w:val="0"/>
                <w:sz w:val="22"/>
                <w:szCs w:val="21"/>
                <w:lang w:bidi="ar"/>
              </w:rPr>
              <w:t xml:space="preserve">0.07 </w:t>
            </w:r>
          </w:p>
        </w:tc>
        <w:tc>
          <w:tcPr>
            <w:tcW w:w="673" w:type="pct"/>
            <w:vAlign w:val="center"/>
          </w:tcPr>
          <w:p w14:paraId="2F7689A8">
            <w:pPr>
              <w:widowControl/>
              <w:jc w:val="center"/>
              <w:textAlignment w:val="center"/>
              <w:rPr>
                <w:rFonts w:cs="宋体"/>
                <w:sz w:val="22"/>
                <w:szCs w:val="22"/>
              </w:rPr>
            </w:pPr>
            <w:r>
              <w:rPr>
                <w:rFonts w:hint="eastAsia" w:cs="宋体"/>
                <w:kern w:val="0"/>
                <w:sz w:val="22"/>
                <w:szCs w:val="22"/>
                <w:lang w:bidi="ar"/>
              </w:rPr>
              <w:t xml:space="preserve">0.06 </w:t>
            </w:r>
          </w:p>
        </w:tc>
        <w:tc>
          <w:tcPr>
            <w:tcW w:w="673" w:type="pct"/>
            <w:vAlign w:val="center"/>
          </w:tcPr>
          <w:p w14:paraId="718BCC78">
            <w:pPr>
              <w:widowControl/>
              <w:jc w:val="center"/>
              <w:textAlignment w:val="center"/>
              <w:rPr>
                <w:rFonts w:cs="宋体"/>
                <w:sz w:val="22"/>
                <w:szCs w:val="22"/>
              </w:rPr>
            </w:pPr>
            <w:r>
              <w:rPr>
                <w:rFonts w:hint="eastAsia" w:cs="宋体"/>
                <w:kern w:val="0"/>
                <w:sz w:val="22"/>
                <w:szCs w:val="22"/>
                <w:lang w:bidi="ar"/>
              </w:rPr>
              <w:t xml:space="preserve">0.10 </w:t>
            </w:r>
          </w:p>
        </w:tc>
        <w:tc>
          <w:tcPr>
            <w:tcW w:w="384" w:type="pct"/>
            <w:vAlign w:val="center"/>
          </w:tcPr>
          <w:p w14:paraId="1B2FFAA7">
            <w:pPr>
              <w:widowControl/>
              <w:jc w:val="center"/>
              <w:textAlignment w:val="center"/>
              <w:rPr>
                <w:rFonts w:cs="宋体"/>
                <w:sz w:val="22"/>
                <w:szCs w:val="22"/>
              </w:rPr>
            </w:pPr>
            <w:r>
              <w:rPr>
                <w:rFonts w:hint="eastAsia" w:cs="宋体"/>
                <w:kern w:val="0"/>
                <w:sz w:val="22"/>
                <w:szCs w:val="22"/>
                <w:lang w:bidi="ar"/>
              </w:rPr>
              <w:t>0%</w:t>
            </w:r>
          </w:p>
        </w:tc>
      </w:tr>
      <w:tr w14:paraId="2E0E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5C63B051">
            <w:pPr>
              <w:widowControl/>
              <w:jc w:val="center"/>
              <w:textAlignment w:val="center"/>
              <w:rPr>
                <w:rFonts w:cs="宋体"/>
                <w:sz w:val="22"/>
                <w:szCs w:val="22"/>
              </w:rPr>
            </w:pPr>
            <w:r>
              <w:rPr>
                <w:rFonts w:hint="eastAsia" w:cs="宋体"/>
                <w:kern w:val="0"/>
                <w:sz w:val="22"/>
                <w:szCs w:val="22"/>
                <w:lang w:bidi="ar"/>
              </w:rPr>
              <w:t>汞</w:t>
            </w:r>
          </w:p>
        </w:tc>
        <w:tc>
          <w:tcPr>
            <w:tcW w:w="609" w:type="pct"/>
            <w:vAlign w:val="center"/>
          </w:tcPr>
          <w:p w14:paraId="7770077D">
            <w:pPr>
              <w:widowControl/>
              <w:jc w:val="center"/>
              <w:textAlignment w:val="center"/>
              <w:rPr>
                <w:sz w:val="22"/>
                <w:szCs w:val="22"/>
              </w:rPr>
            </w:pPr>
            <w:r>
              <w:rPr>
                <w:kern w:val="0"/>
                <w:sz w:val="22"/>
                <w:szCs w:val="22"/>
                <w:lang w:bidi="ar"/>
              </w:rPr>
              <w:t>mg/L</w:t>
            </w:r>
          </w:p>
        </w:tc>
        <w:tc>
          <w:tcPr>
            <w:tcW w:w="477" w:type="pct"/>
            <w:vAlign w:val="center"/>
          </w:tcPr>
          <w:p w14:paraId="1FDC2E1D">
            <w:pPr>
              <w:widowControl/>
              <w:jc w:val="center"/>
              <w:textAlignment w:val="center"/>
              <w:rPr>
                <w:sz w:val="22"/>
                <w:szCs w:val="22"/>
              </w:rPr>
            </w:pPr>
            <w:r>
              <w:rPr>
                <w:kern w:val="0"/>
                <w:sz w:val="22"/>
                <w:szCs w:val="22"/>
                <w:lang w:bidi="ar"/>
              </w:rPr>
              <w:t>0.001</w:t>
            </w:r>
          </w:p>
        </w:tc>
        <w:tc>
          <w:tcPr>
            <w:tcW w:w="263" w:type="pct"/>
            <w:noWrap/>
            <w:vAlign w:val="center"/>
          </w:tcPr>
          <w:p w14:paraId="5CE1D0FF">
            <w:pPr>
              <w:widowControl/>
              <w:jc w:val="center"/>
              <w:textAlignment w:val="center"/>
              <w:rPr>
                <w:sz w:val="22"/>
                <w:szCs w:val="22"/>
              </w:rPr>
            </w:pPr>
            <w:r>
              <w:rPr>
                <w:kern w:val="0"/>
                <w:sz w:val="22"/>
                <w:szCs w:val="22"/>
                <w:lang w:bidi="ar"/>
              </w:rPr>
              <w:t>/</w:t>
            </w:r>
          </w:p>
        </w:tc>
        <w:tc>
          <w:tcPr>
            <w:tcW w:w="263" w:type="pct"/>
            <w:noWrap/>
            <w:vAlign w:val="center"/>
          </w:tcPr>
          <w:p w14:paraId="5E1BA4E5">
            <w:pPr>
              <w:widowControl/>
              <w:jc w:val="center"/>
              <w:textAlignment w:val="center"/>
              <w:rPr>
                <w:sz w:val="22"/>
                <w:szCs w:val="22"/>
              </w:rPr>
            </w:pPr>
            <w:r>
              <w:rPr>
                <w:kern w:val="0"/>
                <w:sz w:val="22"/>
                <w:szCs w:val="22"/>
                <w:lang w:bidi="ar"/>
              </w:rPr>
              <w:t>/</w:t>
            </w:r>
          </w:p>
        </w:tc>
        <w:tc>
          <w:tcPr>
            <w:tcW w:w="263" w:type="pct"/>
            <w:noWrap/>
            <w:vAlign w:val="center"/>
          </w:tcPr>
          <w:p w14:paraId="6591D25C">
            <w:pPr>
              <w:widowControl/>
              <w:jc w:val="center"/>
              <w:textAlignment w:val="center"/>
              <w:rPr>
                <w:sz w:val="22"/>
                <w:szCs w:val="22"/>
              </w:rPr>
            </w:pPr>
            <w:r>
              <w:rPr>
                <w:kern w:val="0"/>
                <w:sz w:val="22"/>
                <w:szCs w:val="22"/>
                <w:lang w:bidi="ar"/>
              </w:rPr>
              <w:t>/</w:t>
            </w:r>
          </w:p>
        </w:tc>
        <w:tc>
          <w:tcPr>
            <w:tcW w:w="263" w:type="pct"/>
            <w:noWrap/>
            <w:vAlign w:val="center"/>
          </w:tcPr>
          <w:p w14:paraId="26400637">
            <w:pPr>
              <w:widowControl/>
              <w:jc w:val="center"/>
              <w:textAlignment w:val="center"/>
              <w:rPr>
                <w:sz w:val="22"/>
                <w:szCs w:val="22"/>
              </w:rPr>
            </w:pPr>
            <w:r>
              <w:rPr>
                <w:kern w:val="0"/>
                <w:sz w:val="22"/>
                <w:szCs w:val="22"/>
                <w:lang w:bidi="ar"/>
              </w:rPr>
              <w:t>/</w:t>
            </w:r>
          </w:p>
        </w:tc>
        <w:tc>
          <w:tcPr>
            <w:tcW w:w="263" w:type="pct"/>
            <w:noWrap/>
            <w:vAlign w:val="center"/>
          </w:tcPr>
          <w:p w14:paraId="013B29F3">
            <w:pPr>
              <w:widowControl/>
              <w:jc w:val="center"/>
              <w:textAlignment w:val="center"/>
              <w:rPr>
                <w:sz w:val="22"/>
                <w:szCs w:val="22"/>
              </w:rPr>
            </w:pPr>
            <w:r>
              <w:rPr>
                <w:kern w:val="0"/>
                <w:sz w:val="22"/>
                <w:szCs w:val="22"/>
                <w:lang w:bidi="ar"/>
              </w:rPr>
              <w:t>/</w:t>
            </w:r>
          </w:p>
        </w:tc>
        <w:tc>
          <w:tcPr>
            <w:tcW w:w="673" w:type="pct"/>
            <w:noWrap/>
            <w:vAlign w:val="center"/>
          </w:tcPr>
          <w:p w14:paraId="55C50B12">
            <w:pPr>
              <w:widowControl/>
              <w:jc w:val="center"/>
              <w:textAlignment w:val="center"/>
              <w:rPr>
                <w:sz w:val="22"/>
                <w:szCs w:val="22"/>
              </w:rPr>
            </w:pPr>
            <w:r>
              <w:rPr>
                <w:kern w:val="0"/>
                <w:sz w:val="22"/>
                <w:szCs w:val="22"/>
                <w:lang w:bidi="ar"/>
              </w:rPr>
              <w:t>/</w:t>
            </w:r>
          </w:p>
        </w:tc>
        <w:tc>
          <w:tcPr>
            <w:tcW w:w="673" w:type="pct"/>
            <w:noWrap/>
            <w:vAlign w:val="center"/>
          </w:tcPr>
          <w:p w14:paraId="0346896F">
            <w:pPr>
              <w:widowControl/>
              <w:jc w:val="center"/>
              <w:textAlignment w:val="center"/>
              <w:rPr>
                <w:sz w:val="22"/>
                <w:szCs w:val="22"/>
              </w:rPr>
            </w:pPr>
            <w:r>
              <w:rPr>
                <w:kern w:val="0"/>
                <w:sz w:val="22"/>
                <w:szCs w:val="22"/>
                <w:lang w:bidi="ar"/>
              </w:rPr>
              <w:t>/</w:t>
            </w:r>
          </w:p>
        </w:tc>
        <w:tc>
          <w:tcPr>
            <w:tcW w:w="384" w:type="pct"/>
            <w:vAlign w:val="center"/>
          </w:tcPr>
          <w:p w14:paraId="441328BD">
            <w:pPr>
              <w:widowControl/>
              <w:jc w:val="center"/>
              <w:textAlignment w:val="center"/>
              <w:rPr>
                <w:rFonts w:cs="宋体"/>
                <w:sz w:val="22"/>
                <w:szCs w:val="22"/>
              </w:rPr>
            </w:pPr>
            <w:r>
              <w:rPr>
                <w:rFonts w:hint="eastAsia" w:cs="宋体"/>
                <w:kern w:val="0"/>
                <w:sz w:val="22"/>
                <w:szCs w:val="22"/>
                <w:lang w:bidi="ar"/>
              </w:rPr>
              <w:t>0%</w:t>
            </w:r>
          </w:p>
        </w:tc>
      </w:tr>
      <w:tr w14:paraId="7F750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02B9F780">
            <w:pPr>
              <w:widowControl/>
              <w:jc w:val="center"/>
              <w:textAlignment w:val="center"/>
              <w:rPr>
                <w:rFonts w:cs="宋体"/>
                <w:sz w:val="22"/>
                <w:szCs w:val="22"/>
              </w:rPr>
            </w:pPr>
            <w:r>
              <w:rPr>
                <w:rFonts w:hint="eastAsia" w:cs="宋体"/>
                <w:kern w:val="0"/>
                <w:sz w:val="22"/>
                <w:szCs w:val="22"/>
                <w:lang w:bidi="ar"/>
              </w:rPr>
              <w:t>砷</w:t>
            </w:r>
          </w:p>
        </w:tc>
        <w:tc>
          <w:tcPr>
            <w:tcW w:w="609" w:type="pct"/>
            <w:vAlign w:val="center"/>
          </w:tcPr>
          <w:p w14:paraId="3358A79E">
            <w:pPr>
              <w:widowControl/>
              <w:jc w:val="center"/>
              <w:textAlignment w:val="center"/>
              <w:rPr>
                <w:sz w:val="22"/>
                <w:szCs w:val="22"/>
              </w:rPr>
            </w:pPr>
            <w:r>
              <w:rPr>
                <w:kern w:val="0"/>
                <w:sz w:val="22"/>
                <w:szCs w:val="22"/>
                <w:lang w:bidi="ar"/>
              </w:rPr>
              <w:t>mg/L</w:t>
            </w:r>
          </w:p>
        </w:tc>
        <w:tc>
          <w:tcPr>
            <w:tcW w:w="477" w:type="pct"/>
            <w:vAlign w:val="center"/>
          </w:tcPr>
          <w:p w14:paraId="6B232221">
            <w:pPr>
              <w:widowControl/>
              <w:jc w:val="center"/>
              <w:textAlignment w:val="center"/>
              <w:rPr>
                <w:sz w:val="22"/>
                <w:szCs w:val="22"/>
              </w:rPr>
            </w:pPr>
            <w:r>
              <w:rPr>
                <w:kern w:val="0"/>
                <w:sz w:val="22"/>
                <w:szCs w:val="22"/>
                <w:lang w:bidi="ar"/>
              </w:rPr>
              <w:t>0.01</w:t>
            </w:r>
          </w:p>
        </w:tc>
        <w:tc>
          <w:tcPr>
            <w:tcW w:w="263" w:type="pct"/>
            <w:noWrap/>
            <w:vAlign w:val="center"/>
          </w:tcPr>
          <w:p w14:paraId="3DE132A4">
            <w:pPr>
              <w:widowControl/>
              <w:jc w:val="center"/>
              <w:textAlignment w:val="center"/>
              <w:rPr>
                <w:sz w:val="22"/>
                <w:szCs w:val="22"/>
              </w:rPr>
            </w:pPr>
            <w:r>
              <w:rPr>
                <w:kern w:val="0"/>
                <w:sz w:val="22"/>
                <w:szCs w:val="22"/>
                <w:lang w:bidi="ar"/>
              </w:rPr>
              <w:t>/</w:t>
            </w:r>
          </w:p>
        </w:tc>
        <w:tc>
          <w:tcPr>
            <w:tcW w:w="263" w:type="pct"/>
            <w:noWrap/>
            <w:vAlign w:val="center"/>
          </w:tcPr>
          <w:p w14:paraId="036091BA">
            <w:pPr>
              <w:widowControl/>
              <w:jc w:val="center"/>
              <w:textAlignment w:val="center"/>
              <w:rPr>
                <w:sz w:val="22"/>
                <w:szCs w:val="22"/>
              </w:rPr>
            </w:pPr>
            <w:r>
              <w:rPr>
                <w:kern w:val="0"/>
                <w:sz w:val="22"/>
                <w:szCs w:val="22"/>
                <w:lang w:bidi="ar"/>
              </w:rPr>
              <w:t>/</w:t>
            </w:r>
          </w:p>
        </w:tc>
        <w:tc>
          <w:tcPr>
            <w:tcW w:w="263" w:type="pct"/>
            <w:noWrap/>
            <w:vAlign w:val="center"/>
          </w:tcPr>
          <w:p w14:paraId="2AC33F60">
            <w:pPr>
              <w:widowControl/>
              <w:jc w:val="center"/>
              <w:textAlignment w:val="center"/>
              <w:rPr>
                <w:sz w:val="22"/>
                <w:szCs w:val="22"/>
              </w:rPr>
            </w:pPr>
            <w:r>
              <w:rPr>
                <w:kern w:val="0"/>
                <w:sz w:val="22"/>
                <w:szCs w:val="22"/>
                <w:lang w:bidi="ar"/>
              </w:rPr>
              <w:t>/</w:t>
            </w:r>
          </w:p>
        </w:tc>
        <w:tc>
          <w:tcPr>
            <w:tcW w:w="263" w:type="pct"/>
            <w:noWrap/>
            <w:vAlign w:val="center"/>
          </w:tcPr>
          <w:p w14:paraId="1F62FF33">
            <w:pPr>
              <w:widowControl/>
              <w:jc w:val="center"/>
              <w:textAlignment w:val="center"/>
              <w:rPr>
                <w:sz w:val="22"/>
                <w:szCs w:val="22"/>
              </w:rPr>
            </w:pPr>
            <w:r>
              <w:rPr>
                <w:kern w:val="0"/>
                <w:sz w:val="22"/>
                <w:szCs w:val="22"/>
                <w:lang w:bidi="ar"/>
              </w:rPr>
              <w:t>/</w:t>
            </w:r>
          </w:p>
        </w:tc>
        <w:tc>
          <w:tcPr>
            <w:tcW w:w="263" w:type="pct"/>
            <w:noWrap/>
            <w:vAlign w:val="center"/>
          </w:tcPr>
          <w:p w14:paraId="33E4F948">
            <w:pPr>
              <w:widowControl/>
              <w:jc w:val="center"/>
              <w:textAlignment w:val="center"/>
              <w:rPr>
                <w:sz w:val="22"/>
                <w:szCs w:val="22"/>
              </w:rPr>
            </w:pPr>
            <w:r>
              <w:rPr>
                <w:kern w:val="0"/>
                <w:sz w:val="22"/>
                <w:szCs w:val="22"/>
                <w:lang w:bidi="ar"/>
              </w:rPr>
              <w:t>/</w:t>
            </w:r>
          </w:p>
        </w:tc>
        <w:tc>
          <w:tcPr>
            <w:tcW w:w="673" w:type="pct"/>
            <w:noWrap/>
            <w:vAlign w:val="center"/>
          </w:tcPr>
          <w:p w14:paraId="723C0A02">
            <w:pPr>
              <w:widowControl/>
              <w:jc w:val="center"/>
              <w:textAlignment w:val="center"/>
              <w:rPr>
                <w:sz w:val="22"/>
                <w:szCs w:val="22"/>
              </w:rPr>
            </w:pPr>
            <w:r>
              <w:rPr>
                <w:kern w:val="0"/>
                <w:sz w:val="22"/>
                <w:szCs w:val="22"/>
                <w:lang w:bidi="ar"/>
              </w:rPr>
              <w:t>/</w:t>
            </w:r>
          </w:p>
        </w:tc>
        <w:tc>
          <w:tcPr>
            <w:tcW w:w="673" w:type="pct"/>
            <w:noWrap/>
            <w:vAlign w:val="center"/>
          </w:tcPr>
          <w:p w14:paraId="0458DA2D">
            <w:pPr>
              <w:widowControl/>
              <w:jc w:val="center"/>
              <w:textAlignment w:val="center"/>
              <w:rPr>
                <w:sz w:val="22"/>
                <w:szCs w:val="22"/>
              </w:rPr>
            </w:pPr>
            <w:r>
              <w:rPr>
                <w:kern w:val="0"/>
                <w:sz w:val="22"/>
                <w:szCs w:val="22"/>
                <w:lang w:bidi="ar"/>
              </w:rPr>
              <w:t>/</w:t>
            </w:r>
          </w:p>
        </w:tc>
        <w:tc>
          <w:tcPr>
            <w:tcW w:w="384" w:type="pct"/>
            <w:vAlign w:val="center"/>
          </w:tcPr>
          <w:p w14:paraId="5FB6B61B">
            <w:pPr>
              <w:widowControl/>
              <w:jc w:val="center"/>
              <w:textAlignment w:val="center"/>
              <w:rPr>
                <w:rFonts w:cs="宋体"/>
                <w:sz w:val="22"/>
                <w:szCs w:val="22"/>
              </w:rPr>
            </w:pPr>
            <w:r>
              <w:rPr>
                <w:rFonts w:hint="eastAsia" w:cs="宋体"/>
                <w:kern w:val="0"/>
                <w:sz w:val="22"/>
                <w:szCs w:val="22"/>
                <w:lang w:bidi="ar"/>
              </w:rPr>
              <w:t>0%</w:t>
            </w:r>
          </w:p>
        </w:tc>
      </w:tr>
      <w:tr w14:paraId="7C375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47B7E1DD">
            <w:pPr>
              <w:widowControl/>
              <w:jc w:val="center"/>
              <w:textAlignment w:val="center"/>
              <w:rPr>
                <w:rFonts w:cs="宋体"/>
                <w:sz w:val="22"/>
                <w:szCs w:val="22"/>
              </w:rPr>
            </w:pPr>
            <w:r>
              <w:rPr>
                <w:rFonts w:hint="eastAsia" w:cs="宋体"/>
                <w:kern w:val="0"/>
                <w:sz w:val="22"/>
                <w:szCs w:val="22"/>
                <w:lang w:bidi="ar"/>
              </w:rPr>
              <w:t>铬（六价）</w:t>
            </w:r>
          </w:p>
        </w:tc>
        <w:tc>
          <w:tcPr>
            <w:tcW w:w="609" w:type="pct"/>
            <w:vAlign w:val="center"/>
          </w:tcPr>
          <w:p w14:paraId="7460B845">
            <w:pPr>
              <w:widowControl/>
              <w:jc w:val="center"/>
              <w:textAlignment w:val="center"/>
              <w:rPr>
                <w:sz w:val="22"/>
                <w:szCs w:val="22"/>
              </w:rPr>
            </w:pPr>
            <w:r>
              <w:rPr>
                <w:kern w:val="0"/>
                <w:sz w:val="22"/>
                <w:szCs w:val="22"/>
                <w:lang w:bidi="ar"/>
              </w:rPr>
              <w:t>mg/L</w:t>
            </w:r>
          </w:p>
        </w:tc>
        <w:tc>
          <w:tcPr>
            <w:tcW w:w="477" w:type="pct"/>
            <w:noWrap/>
            <w:vAlign w:val="center"/>
          </w:tcPr>
          <w:p w14:paraId="3D8A18DE">
            <w:pPr>
              <w:widowControl/>
              <w:jc w:val="center"/>
              <w:textAlignment w:val="center"/>
              <w:rPr>
                <w:sz w:val="22"/>
                <w:szCs w:val="22"/>
              </w:rPr>
            </w:pPr>
            <w:r>
              <w:rPr>
                <w:kern w:val="0"/>
                <w:sz w:val="22"/>
                <w:szCs w:val="22"/>
                <w:lang w:bidi="ar"/>
              </w:rPr>
              <w:t>0.05</w:t>
            </w:r>
          </w:p>
        </w:tc>
        <w:tc>
          <w:tcPr>
            <w:tcW w:w="263" w:type="pct"/>
            <w:noWrap/>
            <w:vAlign w:val="center"/>
          </w:tcPr>
          <w:p w14:paraId="75E8C267">
            <w:pPr>
              <w:widowControl/>
              <w:jc w:val="center"/>
              <w:textAlignment w:val="center"/>
              <w:rPr>
                <w:sz w:val="22"/>
                <w:szCs w:val="22"/>
              </w:rPr>
            </w:pPr>
            <w:r>
              <w:rPr>
                <w:kern w:val="0"/>
                <w:sz w:val="22"/>
                <w:szCs w:val="22"/>
                <w:lang w:bidi="ar"/>
              </w:rPr>
              <w:t>/</w:t>
            </w:r>
          </w:p>
        </w:tc>
        <w:tc>
          <w:tcPr>
            <w:tcW w:w="263" w:type="pct"/>
            <w:noWrap/>
            <w:vAlign w:val="center"/>
          </w:tcPr>
          <w:p w14:paraId="7D76EDBD">
            <w:pPr>
              <w:widowControl/>
              <w:jc w:val="center"/>
              <w:textAlignment w:val="center"/>
              <w:rPr>
                <w:sz w:val="22"/>
                <w:szCs w:val="22"/>
              </w:rPr>
            </w:pPr>
            <w:r>
              <w:rPr>
                <w:kern w:val="0"/>
                <w:sz w:val="22"/>
                <w:szCs w:val="22"/>
                <w:lang w:bidi="ar"/>
              </w:rPr>
              <w:t>/</w:t>
            </w:r>
          </w:p>
        </w:tc>
        <w:tc>
          <w:tcPr>
            <w:tcW w:w="263" w:type="pct"/>
            <w:noWrap/>
            <w:vAlign w:val="center"/>
          </w:tcPr>
          <w:p w14:paraId="568B6378">
            <w:pPr>
              <w:widowControl/>
              <w:jc w:val="center"/>
              <w:textAlignment w:val="center"/>
              <w:rPr>
                <w:sz w:val="22"/>
                <w:szCs w:val="22"/>
              </w:rPr>
            </w:pPr>
            <w:r>
              <w:rPr>
                <w:kern w:val="0"/>
                <w:sz w:val="22"/>
                <w:szCs w:val="22"/>
                <w:lang w:bidi="ar"/>
              </w:rPr>
              <w:t>/</w:t>
            </w:r>
          </w:p>
        </w:tc>
        <w:tc>
          <w:tcPr>
            <w:tcW w:w="263" w:type="pct"/>
            <w:noWrap/>
            <w:vAlign w:val="center"/>
          </w:tcPr>
          <w:p w14:paraId="3C73DD84">
            <w:pPr>
              <w:widowControl/>
              <w:jc w:val="center"/>
              <w:textAlignment w:val="center"/>
              <w:rPr>
                <w:sz w:val="22"/>
                <w:szCs w:val="22"/>
              </w:rPr>
            </w:pPr>
            <w:r>
              <w:rPr>
                <w:kern w:val="0"/>
                <w:sz w:val="22"/>
                <w:szCs w:val="22"/>
                <w:lang w:bidi="ar"/>
              </w:rPr>
              <w:t>/</w:t>
            </w:r>
          </w:p>
        </w:tc>
        <w:tc>
          <w:tcPr>
            <w:tcW w:w="263" w:type="pct"/>
            <w:noWrap/>
            <w:vAlign w:val="center"/>
          </w:tcPr>
          <w:p w14:paraId="4405F283">
            <w:pPr>
              <w:widowControl/>
              <w:jc w:val="center"/>
              <w:textAlignment w:val="center"/>
              <w:rPr>
                <w:sz w:val="22"/>
                <w:szCs w:val="22"/>
              </w:rPr>
            </w:pPr>
            <w:r>
              <w:rPr>
                <w:kern w:val="0"/>
                <w:sz w:val="22"/>
                <w:szCs w:val="22"/>
                <w:lang w:bidi="ar"/>
              </w:rPr>
              <w:t>/</w:t>
            </w:r>
          </w:p>
        </w:tc>
        <w:tc>
          <w:tcPr>
            <w:tcW w:w="673" w:type="pct"/>
            <w:noWrap/>
            <w:vAlign w:val="center"/>
          </w:tcPr>
          <w:p w14:paraId="33355219">
            <w:pPr>
              <w:widowControl/>
              <w:jc w:val="center"/>
              <w:textAlignment w:val="center"/>
              <w:rPr>
                <w:sz w:val="22"/>
                <w:szCs w:val="22"/>
              </w:rPr>
            </w:pPr>
            <w:r>
              <w:rPr>
                <w:kern w:val="0"/>
                <w:sz w:val="22"/>
                <w:szCs w:val="22"/>
                <w:lang w:bidi="ar"/>
              </w:rPr>
              <w:t>/</w:t>
            </w:r>
          </w:p>
        </w:tc>
        <w:tc>
          <w:tcPr>
            <w:tcW w:w="673" w:type="pct"/>
            <w:noWrap/>
            <w:vAlign w:val="center"/>
          </w:tcPr>
          <w:p w14:paraId="1F9B6000">
            <w:pPr>
              <w:widowControl/>
              <w:jc w:val="center"/>
              <w:textAlignment w:val="center"/>
              <w:rPr>
                <w:sz w:val="22"/>
                <w:szCs w:val="22"/>
              </w:rPr>
            </w:pPr>
            <w:r>
              <w:rPr>
                <w:kern w:val="0"/>
                <w:sz w:val="22"/>
                <w:szCs w:val="22"/>
                <w:lang w:bidi="ar"/>
              </w:rPr>
              <w:t>/</w:t>
            </w:r>
          </w:p>
        </w:tc>
        <w:tc>
          <w:tcPr>
            <w:tcW w:w="384" w:type="pct"/>
            <w:vAlign w:val="center"/>
          </w:tcPr>
          <w:p w14:paraId="26BEAE74">
            <w:pPr>
              <w:widowControl/>
              <w:jc w:val="center"/>
              <w:textAlignment w:val="center"/>
              <w:rPr>
                <w:rFonts w:cs="宋体"/>
                <w:sz w:val="22"/>
                <w:szCs w:val="22"/>
              </w:rPr>
            </w:pPr>
            <w:r>
              <w:rPr>
                <w:rFonts w:hint="eastAsia" w:cs="宋体"/>
                <w:kern w:val="0"/>
                <w:sz w:val="22"/>
                <w:szCs w:val="22"/>
                <w:lang w:bidi="ar"/>
              </w:rPr>
              <w:t>0%</w:t>
            </w:r>
          </w:p>
        </w:tc>
      </w:tr>
      <w:tr w14:paraId="1DFA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7162524D">
            <w:pPr>
              <w:widowControl/>
              <w:jc w:val="center"/>
              <w:textAlignment w:val="center"/>
              <w:rPr>
                <w:rFonts w:cs="宋体"/>
                <w:sz w:val="22"/>
                <w:szCs w:val="22"/>
              </w:rPr>
            </w:pPr>
            <w:r>
              <w:rPr>
                <w:rFonts w:hint="eastAsia" w:cs="宋体"/>
                <w:kern w:val="0"/>
                <w:sz w:val="22"/>
                <w:szCs w:val="22"/>
                <w:lang w:bidi="ar"/>
              </w:rPr>
              <w:t>石油类</w:t>
            </w:r>
          </w:p>
        </w:tc>
        <w:tc>
          <w:tcPr>
            <w:tcW w:w="609" w:type="pct"/>
            <w:vAlign w:val="center"/>
          </w:tcPr>
          <w:p w14:paraId="63FC360D">
            <w:pPr>
              <w:widowControl/>
              <w:jc w:val="center"/>
              <w:textAlignment w:val="center"/>
              <w:rPr>
                <w:sz w:val="22"/>
                <w:szCs w:val="22"/>
              </w:rPr>
            </w:pPr>
            <w:r>
              <w:rPr>
                <w:kern w:val="0"/>
                <w:sz w:val="22"/>
                <w:szCs w:val="22"/>
                <w:lang w:bidi="ar"/>
              </w:rPr>
              <w:t>mg/L</w:t>
            </w:r>
          </w:p>
        </w:tc>
        <w:tc>
          <w:tcPr>
            <w:tcW w:w="477" w:type="pct"/>
            <w:noWrap/>
            <w:vAlign w:val="center"/>
          </w:tcPr>
          <w:p w14:paraId="5DB28815">
            <w:pPr>
              <w:widowControl/>
              <w:jc w:val="center"/>
              <w:textAlignment w:val="center"/>
              <w:rPr>
                <w:sz w:val="22"/>
                <w:szCs w:val="22"/>
              </w:rPr>
            </w:pPr>
            <w:r>
              <w:rPr>
                <w:kern w:val="0"/>
                <w:sz w:val="22"/>
                <w:szCs w:val="22"/>
                <w:lang w:bidi="ar"/>
              </w:rPr>
              <w:t>0.05</w:t>
            </w:r>
          </w:p>
        </w:tc>
        <w:tc>
          <w:tcPr>
            <w:tcW w:w="263" w:type="pct"/>
            <w:noWrap/>
            <w:vAlign w:val="center"/>
          </w:tcPr>
          <w:p w14:paraId="251B7508">
            <w:pPr>
              <w:widowControl/>
              <w:jc w:val="center"/>
              <w:textAlignment w:val="center"/>
              <w:rPr>
                <w:sz w:val="22"/>
                <w:szCs w:val="22"/>
              </w:rPr>
            </w:pPr>
            <w:r>
              <w:rPr>
                <w:kern w:val="0"/>
                <w:sz w:val="22"/>
                <w:szCs w:val="22"/>
                <w:lang w:bidi="ar"/>
              </w:rPr>
              <w:t>/</w:t>
            </w:r>
          </w:p>
        </w:tc>
        <w:tc>
          <w:tcPr>
            <w:tcW w:w="263" w:type="pct"/>
            <w:noWrap/>
            <w:vAlign w:val="center"/>
          </w:tcPr>
          <w:p w14:paraId="296580DC">
            <w:pPr>
              <w:widowControl/>
              <w:jc w:val="center"/>
              <w:textAlignment w:val="center"/>
              <w:rPr>
                <w:sz w:val="22"/>
                <w:szCs w:val="22"/>
              </w:rPr>
            </w:pPr>
            <w:r>
              <w:rPr>
                <w:kern w:val="0"/>
                <w:sz w:val="22"/>
                <w:szCs w:val="22"/>
                <w:lang w:bidi="ar"/>
              </w:rPr>
              <w:t>/</w:t>
            </w:r>
          </w:p>
        </w:tc>
        <w:tc>
          <w:tcPr>
            <w:tcW w:w="263" w:type="pct"/>
            <w:noWrap/>
            <w:vAlign w:val="center"/>
          </w:tcPr>
          <w:p w14:paraId="360D404E">
            <w:pPr>
              <w:widowControl/>
              <w:jc w:val="center"/>
              <w:textAlignment w:val="center"/>
              <w:rPr>
                <w:sz w:val="22"/>
                <w:szCs w:val="22"/>
              </w:rPr>
            </w:pPr>
            <w:r>
              <w:rPr>
                <w:kern w:val="0"/>
                <w:sz w:val="22"/>
                <w:szCs w:val="22"/>
                <w:lang w:bidi="ar"/>
              </w:rPr>
              <w:t>/</w:t>
            </w:r>
          </w:p>
        </w:tc>
        <w:tc>
          <w:tcPr>
            <w:tcW w:w="263" w:type="pct"/>
            <w:noWrap/>
            <w:vAlign w:val="center"/>
          </w:tcPr>
          <w:p w14:paraId="3568B5A5">
            <w:pPr>
              <w:widowControl/>
              <w:jc w:val="center"/>
              <w:textAlignment w:val="center"/>
              <w:rPr>
                <w:sz w:val="22"/>
                <w:szCs w:val="22"/>
              </w:rPr>
            </w:pPr>
            <w:r>
              <w:rPr>
                <w:kern w:val="0"/>
                <w:sz w:val="22"/>
                <w:szCs w:val="22"/>
                <w:lang w:bidi="ar"/>
              </w:rPr>
              <w:t>/</w:t>
            </w:r>
          </w:p>
        </w:tc>
        <w:tc>
          <w:tcPr>
            <w:tcW w:w="263" w:type="pct"/>
            <w:noWrap/>
            <w:vAlign w:val="center"/>
          </w:tcPr>
          <w:p w14:paraId="0D0D5575">
            <w:pPr>
              <w:widowControl/>
              <w:jc w:val="center"/>
              <w:textAlignment w:val="center"/>
              <w:rPr>
                <w:sz w:val="22"/>
                <w:szCs w:val="22"/>
              </w:rPr>
            </w:pPr>
            <w:r>
              <w:rPr>
                <w:kern w:val="0"/>
                <w:sz w:val="22"/>
                <w:szCs w:val="22"/>
                <w:lang w:bidi="ar"/>
              </w:rPr>
              <w:t>/</w:t>
            </w:r>
          </w:p>
        </w:tc>
        <w:tc>
          <w:tcPr>
            <w:tcW w:w="673" w:type="pct"/>
            <w:noWrap/>
            <w:vAlign w:val="center"/>
          </w:tcPr>
          <w:p w14:paraId="53942D2A">
            <w:pPr>
              <w:widowControl/>
              <w:jc w:val="center"/>
              <w:textAlignment w:val="center"/>
              <w:rPr>
                <w:sz w:val="22"/>
                <w:szCs w:val="22"/>
              </w:rPr>
            </w:pPr>
            <w:r>
              <w:rPr>
                <w:kern w:val="0"/>
                <w:sz w:val="22"/>
                <w:szCs w:val="22"/>
                <w:lang w:bidi="ar"/>
              </w:rPr>
              <w:t>/</w:t>
            </w:r>
          </w:p>
        </w:tc>
        <w:tc>
          <w:tcPr>
            <w:tcW w:w="673" w:type="pct"/>
            <w:noWrap/>
            <w:vAlign w:val="center"/>
          </w:tcPr>
          <w:p w14:paraId="76957EEB">
            <w:pPr>
              <w:widowControl/>
              <w:jc w:val="center"/>
              <w:textAlignment w:val="center"/>
              <w:rPr>
                <w:sz w:val="22"/>
                <w:szCs w:val="22"/>
              </w:rPr>
            </w:pPr>
            <w:r>
              <w:rPr>
                <w:kern w:val="0"/>
                <w:sz w:val="22"/>
                <w:szCs w:val="22"/>
                <w:lang w:bidi="ar"/>
              </w:rPr>
              <w:t>/</w:t>
            </w:r>
          </w:p>
        </w:tc>
        <w:tc>
          <w:tcPr>
            <w:tcW w:w="384" w:type="pct"/>
            <w:vAlign w:val="center"/>
          </w:tcPr>
          <w:p w14:paraId="6032F554">
            <w:pPr>
              <w:widowControl/>
              <w:jc w:val="center"/>
              <w:textAlignment w:val="center"/>
              <w:rPr>
                <w:rFonts w:cs="宋体"/>
                <w:sz w:val="22"/>
                <w:szCs w:val="22"/>
              </w:rPr>
            </w:pPr>
            <w:r>
              <w:rPr>
                <w:rFonts w:hint="eastAsia" w:cs="宋体"/>
                <w:kern w:val="0"/>
                <w:sz w:val="22"/>
                <w:szCs w:val="22"/>
                <w:lang w:bidi="ar"/>
              </w:rPr>
              <w:t>0%</w:t>
            </w:r>
          </w:p>
        </w:tc>
      </w:tr>
      <w:tr w14:paraId="64EC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30818C31">
            <w:pPr>
              <w:widowControl/>
              <w:jc w:val="center"/>
              <w:textAlignment w:val="center"/>
              <w:rPr>
                <w:rFonts w:cs="宋体"/>
                <w:sz w:val="22"/>
                <w:szCs w:val="22"/>
              </w:rPr>
            </w:pPr>
            <w:r>
              <w:rPr>
                <w:rFonts w:hint="eastAsia" w:cs="宋体"/>
                <w:kern w:val="0"/>
                <w:sz w:val="22"/>
                <w:szCs w:val="22"/>
                <w:lang w:bidi="ar"/>
              </w:rPr>
              <w:t>铅</w:t>
            </w:r>
          </w:p>
        </w:tc>
        <w:tc>
          <w:tcPr>
            <w:tcW w:w="609" w:type="pct"/>
            <w:vAlign w:val="center"/>
          </w:tcPr>
          <w:p w14:paraId="74EBFB0E">
            <w:pPr>
              <w:widowControl/>
              <w:jc w:val="center"/>
              <w:textAlignment w:val="center"/>
              <w:rPr>
                <w:sz w:val="22"/>
                <w:szCs w:val="22"/>
              </w:rPr>
            </w:pPr>
            <w:r>
              <w:rPr>
                <w:kern w:val="0"/>
                <w:sz w:val="22"/>
                <w:szCs w:val="22"/>
                <w:lang w:bidi="ar"/>
              </w:rPr>
              <w:t>mg/L</w:t>
            </w:r>
          </w:p>
        </w:tc>
        <w:tc>
          <w:tcPr>
            <w:tcW w:w="477" w:type="pct"/>
            <w:vAlign w:val="center"/>
          </w:tcPr>
          <w:p w14:paraId="1C0B3E53">
            <w:pPr>
              <w:widowControl/>
              <w:jc w:val="center"/>
              <w:textAlignment w:val="center"/>
              <w:rPr>
                <w:sz w:val="22"/>
                <w:szCs w:val="22"/>
              </w:rPr>
            </w:pPr>
            <w:r>
              <w:rPr>
                <w:kern w:val="0"/>
                <w:sz w:val="22"/>
                <w:szCs w:val="22"/>
                <w:lang w:bidi="ar"/>
              </w:rPr>
              <w:t>0.01</w:t>
            </w:r>
          </w:p>
        </w:tc>
        <w:tc>
          <w:tcPr>
            <w:tcW w:w="263" w:type="pct"/>
            <w:noWrap/>
            <w:vAlign w:val="center"/>
          </w:tcPr>
          <w:p w14:paraId="7662C1E7">
            <w:pPr>
              <w:widowControl/>
              <w:jc w:val="center"/>
              <w:textAlignment w:val="center"/>
              <w:rPr>
                <w:sz w:val="22"/>
                <w:szCs w:val="22"/>
              </w:rPr>
            </w:pPr>
            <w:r>
              <w:rPr>
                <w:kern w:val="0"/>
                <w:sz w:val="22"/>
                <w:szCs w:val="22"/>
                <w:lang w:bidi="ar"/>
              </w:rPr>
              <w:t>/</w:t>
            </w:r>
          </w:p>
        </w:tc>
        <w:tc>
          <w:tcPr>
            <w:tcW w:w="263" w:type="pct"/>
            <w:noWrap/>
            <w:vAlign w:val="center"/>
          </w:tcPr>
          <w:p w14:paraId="45B5AD42">
            <w:pPr>
              <w:widowControl/>
              <w:jc w:val="center"/>
              <w:textAlignment w:val="center"/>
              <w:rPr>
                <w:sz w:val="22"/>
                <w:szCs w:val="22"/>
              </w:rPr>
            </w:pPr>
            <w:r>
              <w:rPr>
                <w:kern w:val="0"/>
                <w:sz w:val="22"/>
                <w:szCs w:val="22"/>
                <w:lang w:bidi="ar"/>
              </w:rPr>
              <w:t>/</w:t>
            </w:r>
          </w:p>
        </w:tc>
        <w:tc>
          <w:tcPr>
            <w:tcW w:w="263" w:type="pct"/>
            <w:noWrap/>
            <w:vAlign w:val="center"/>
          </w:tcPr>
          <w:p w14:paraId="65C49E02">
            <w:pPr>
              <w:widowControl/>
              <w:jc w:val="center"/>
              <w:textAlignment w:val="center"/>
              <w:rPr>
                <w:sz w:val="22"/>
                <w:szCs w:val="22"/>
              </w:rPr>
            </w:pPr>
            <w:r>
              <w:rPr>
                <w:kern w:val="0"/>
                <w:sz w:val="22"/>
                <w:szCs w:val="22"/>
                <w:lang w:bidi="ar"/>
              </w:rPr>
              <w:t>/</w:t>
            </w:r>
          </w:p>
        </w:tc>
        <w:tc>
          <w:tcPr>
            <w:tcW w:w="263" w:type="pct"/>
            <w:noWrap/>
            <w:vAlign w:val="center"/>
          </w:tcPr>
          <w:p w14:paraId="42EE952F">
            <w:pPr>
              <w:widowControl/>
              <w:jc w:val="center"/>
              <w:textAlignment w:val="center"/>
              <w:rPr>
                <w:sz w:val="22"/>
                <w:szCs w:val="22"/>
              </w:rPr>
            </w:pPr>
            <w:r>
              <w:rPr>
                <w:kern w:val="0"/>
                <w:sz w:val="22"/>
                <w:szCs w:val="22"/>
                <w:lang w:bidi="ar"/>
              </w:rPr>
              <w:t>/</w:t>
            </w:r>
          </w:p>
        </w:tc>
        <w:tc>
          <w:tcPr>
            <w:tcW w:w="263" w:type="pct"/>
            <w:noWrap/>
            <w:vAlign w:val="center"/>
          </w:tcPr>
          <w:p w14:paraId="55DDF979">
            <w:pPr>
              <w:widowControl/>
              <w:jc w:val="center"/>
              <w:textAlignment w:val="center"/>
              <w:rPr>
                <w:sz w:val="22"/>
                <w:szCs w:val="22"/>
              </w:rPr>
            </w:pPr>
            <w:r>
              <w:rPr>
                <w:kern w:val="0"/>
                <w:sz w:val="22"/>
                <w:szCs w:val="22"/>
                <w:lang w:bidi="ar"/>
              </w:rPr>
              <w:t>/</w:t>
            </w:r>
          </w:p>
        </w:tc>
        <w:tc>
          <w:tcPr>
            <w:tcW w:w="673" w:type="pct"/>
            <w:noWrap/>
            <w:vAlign w:val="center"/>
          </w:tcPr>
          <w:p w14:paraId="3FB88926">
            <w:pPr>
              <w:widowControl/>
              <w:jc w:val="center"/>
              <w:textAlignment w:val="center"/>
              <w:rPr>
                <w:sz w:val="22"/>
                <w:szCs w:val="22"/>
              </w:rPr>
            </w:pPr>
            <w:r>
              <w:rPr>
                <w:kern w:val="0"/>
                <w:sz w:val="22"/>
                <w:szCs w:val="22"/>
                <w:lang w:bidi="ar"/>
              </w:rPr>
              <w:t>/</w:t>
            </w:r>
          </w:p>
        </w:tc>
        <w:tc>
          <w:tcPr>
            <w:tcW w:w="673" w:type="pct"/>
            <w:noWrap/>
            <w:vAlign w:val="center"/>
          </w:tcPr>
          <w:p w14:paraId="257249C1">
            <w:pPr>
              <w:widowControl/>
              <w:jc w:val="center"/>
              <w:textAlignment w:val="center"/>
              <w:rPr>
                <w:sz w:val="22"/>
                <w:szCs w:val="22"/>
              </w:rPr>
            </w:pPr>
            <w:r>
              <w:rPr>
                <w:kern w:val="0"/>
                <w:sz w:val="22"/>
                <w:szCs w:val="22"/>
                <w:lang w:bidi="ar"/>
              </w:rPr>
              <w:t>/</w:t>
            </w:r>
          </w:p>
        </w:tc>
        <w:tc>
          <w:tcPr>
            <w:tcW w:w="384" w:type="pct"/>
            <w:vAlign w:val="center"/>
          </w:tcPr>
          <w:p w14:paraId="2C842783">
            <w:pPr>
              <w:widowControl/>
              <w:jc w:val="center"/>
              <w:textAlignment w:val="center"/>
              <w:rPr>
                <w:rFonts w:cs="宋体"/>
                <w:sz w:val="22"/>
                <w:szCs w:val="22"/>
              </w:rPr>
            </w:pPr>
            <w:r>
              <w:rPr>
                <w:rFonts w:hint="eastAsia" w:cs="宋体"/>
                <w:kern w:val="0"/>
                <w:sz w:val="22"/>
                <w:szCs w:val="22"/>
                <w:lang w:bidi="ar"/>
              </w:rPr>
              <w:t>0%</w:t>
            </w:r>
          </w:p>
        </w:tc>
      </w:tr>
      <w:tr w14:paraId="5B04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64FBE42B">
            <w:pPr>
              <w:widowControl/>
              <w:jc w:val="center"/>
              <w:textAlignment w:val="center"/>
              <w:rPr>
                <w:rFonts w:cs="宋体"/>
                <w:sz w:val="22"/>
                <w:szCs w:val="22"/>
              </w:rPr>
            </w:pPr>
            <w:r>
              <w:rPr>
                <w:rFonts w:hint="eastAsia" w:cs="宋体"/>
                <w:kern w:val="0"/>
                <w:sz w:val="22"/>
                <w:szCs w:val="22"/>
                <w:lang w:bidi="ar"/>
              </w:rPr>
              <w:t>镉</w:t>
            </w:r>
          </w:p>
        </w:tc>
        <w:tc>
          <w:tcPr>
            <w:tcW w:w="609" w:type="pct"/>
            <w:vAlign w:val="center"/>
          </w:tcPr>
          <w:p w14:paraId="2E6D2275">
            <w:pPr>
              <w:widowControl/>
              <w:jc w:val="center"/>
              <w:textAlignment w:val="center"/>
              <w:rPr>
                <w:sz w:val="22"/>
                <w:szCs w:val="22"/>
              </w:rPr>
            </w:pPr>
            <w:r>
              <w:rPr>
                <w:kern w:val="0"/>
                <w:sz w:val="22"/>
                <w:szCs w:val="22"/>
                <w:lang w:bidi="ar"/>
              </w:rPr>
              <w:t>mg/L</w:t>
            </w:r>
          </w:p>
        </w:tc>
        <w:tc>
          <w:tcPr>
            <w:tcW w:w="477" w:type="pct"/>
            <w:vAlign w:val="center"/>
          </w:tcPr>
          <w:p w14:paraId="2BCFBE5E">
            <w:pPr>
              <w:widowControl/>
              <w:jc w:val="center"/>
              <w:textAlignment w:val="center"/>
              <w:rPr>
                <w:sz w:val="22"/>
                <w:szCs w:val="22"/>
              </w:rPr>
            </w:pPr>
            <w:r>
              <w:rPr>
                <w:kern w:val="0"/>
                <w:sz w:val="22"/>
                <w:szCs w:val="22"/>
                <w:lang w:bidi="ar"/>
              </w:rPr>
              <w:t>0.005</w:t>
            </w:r>
          </w:p>
        </w:tc>
        <w:tc>
          <w:tcPr>
            <w:tcW w:w="263" w:type="pct"/>
            <w:noWrap/>
            <w:vAlign w:val="center"/>
          </w:tcPr>
          <w:p w14:paraId="5BC6EA26">
            <w:pPr>
              <w:widowControl/>
              <w:jc w:val="center"/>
              <w:textAlignment w:val="center"/>
              <w:rPr>
                <w:sz w:val="22"/>
                <w:szCs w:val="22"/>
              </w:rPr>
            </w:pPr>
            <w:r>
              <w:rPr>
                <w:kern w:val="0"/>
                <w:sz w:val="22"/>
                <w:szCs w:val="22"/>
                <w:lang w:bidi="ar"/>
              </w:rPr>
              <w:t>/</w:t>
            </w:r>
          </w:p>
        </w:tc>
        <w:tc>
          <w:tcPr>
            <w:tcW w:w="263" w:type="pct"/>
            <w:noWrap/>
            <w:vAlign w:val="center"/>
          </w:tcPr>
          <w:p w14:paraId="79119103">
            <w:pPr>
              <w:widowControl/>
              <w:jc w:val="center"/>
              <w:textAlignment w:val="center"/>
              <w:rPr>
                <w:sz w:val="22"/>
                <w:szCs w:val="22"/>
              </w:rPr>
            </w:pPr>
            <w:r>
              <w:rPr>
                <w:kern w:val="0"/>
                <w:sz w:val="22"/>
                <w:szCs w:val="22"/>
                <w:lang w:bidi="ar"/>
              </w:rPr>
              <w:t>/</w:t>
            </w:r>
          </w:p>
        </w:tc>
        <w:tc>
          <w:tcPr>
            <w:tcW w:w="263" w:type="pct"/>
            <w:noWrap/>
            <w:vAlign w:val="center"/>
          </w:tcPr>
          <w:p w14:paraId="31F51ECB">
            <w:pPr>
              <w:widowControl/>
              <w:jc w:val="center"/>
              <w:textAlignment w:val="center"/>
              <w:rPr>
                <w:sz w:val="22"/>
                <w:szCs w:val="22"/>
              </w:rPr>
            </w:pPr>
            <w:r>
              <w:rPr>
                <w:kern w:val="0"/>
                <w:sz w:val="22"/>
                <w:szCs w:val="22"/>
                <w:lang w:bidi="ar"/>
              </w:rPr>
              <w:t>/</w:t>
            </w:r>
          </w:p>
        </w:tc>
        <w:tc>
          <w:tcPr>
            <w:tcW w:w="263" w:type="pct"/>
            <w:noWrap/>
            <w:vAlign w:val="center"/>
          </w:tcPr>
          <w:p w14:paraId="23AB3195">
            <w:pPr>
              <w:widowControl/>
              <w:jc w:val="center"/>
              <w:textAlignment w:val="center"/>
              <w:rPr>
                <w:sz w:val="22"/>
                <w:szCs w:val="22"/>
              </w:rPr>
            </w:pPr>
            <w:r>
              <w:rPr>
                <w:kern w:val="0"/>
                <w:sz w:val="22"/>
                <w:szCs w:val="22"/>
                <w:lang w:bidi="ar"/>
              </w:rPr>
              <w:t>/</w:t>
            </w:r>
          </w:p>
        </w:tc>
        <w:tc>
          <w:tcPr>
            <w:tcW w:w="263" w:type="pct"/>
            <w:noWrap/>
            <w:vAlign w:val="center"/>
          </w:tcPr>
          <w:p w14:paraId="7999E0D1">
            <w:pPr>
              <w:widowControl/>
              <w:jc w:val="center"/>
              <w:textAlignment w:val="center"/>
              <w:rPr>
                <w:sz w:val="22"/>
                <w:szCs w:val="22"/>
              </w:rPr>
            </w:pPr>
            <w:r>
              <w:rPr>
                <w:kern w:val="0"/>
                <w:sz w:val="22"/>
                <w:szCs w:val="22"/>
                <w:lang w:bidi="ar"/>
              </w:rPr>
              <w:t>/</w:t>
            </w:r>
          </w:p>
        </w:tc>
        <w:tc>
          <w:tcPr>
            <w:tcW w:w="673" w:type="pct"/>
            <w:noWrap/>
            <w:vAlign w:val="center"/>
          </w:tcPr>
          <w:p w14:paraId="1F529AE7">
            <w:pPr>
              <w:widowControl/>
              <w:jc w:val="center"/>
              <w:textAlignment w:val="center"/>
              <w:rPr>
                <w:sz w:val="22"/>
                <w:szCs w:val="22"/>
              </w:rPr>
            </w:pPr>
            <w:r>
              <w:rPr>
                <w:kern w:val="0"/>
                <w:sz w:val="22"/>
                <w:szCs w:val="22"/>
                <w:lang w:bidi="ar"/>
              </w:rPr>
              <w:t>/</w:t>
            </w:r>
          </w:p>
        </w:tc>
        <w:tc>
          <w:tcPr>
            <w:tcW w:w="673" w:type="pct"/>
            <w:noWrap/>
            <w:vAlign w:val="center"/>
          </w:tcPr>
          <w:p w14:paraId="3F0D55D4">
            <w:pPr>
              <w:widowControl/>
              <w:jc w:val="center"/>
              <w:textAlignment w:val="center"/>
              <w:rPr>
                <w:sz w:val="22"/>
                <w:szCs w:val="22"/>
              </w:rPr>
            </w:pPr>
            <w:r>
              <w:rPr>
                <w:kern w:val="0"/>
                <w:sz w:val="22"/>
                <w:szCs w:val="22"/>
                <w:lang w:bidi="ar"/>
              </w:rPr>
              <w:t>/</w:t>
            </w:r>
          </w:p>
        </w:tc>
        <w:tc>
          <w:tcPr>
            <w:tcW w:w="384" w:type="pct"/>
            <w:vAlign w:val="center"/>
          </w:tcPr>
          <w:p w14:paraId="7DA26B8C">
            <w:pPr>
              <w:widowControl/>
              <w:jc w:val="center"/>
              <w:textAlignment w:val="center"/>
              <w:rPr>
                <w:rFonts w:cs="宋体"/>
                <w:sz w:val="22"/>
                <w:szCs w:val="22"/>
              </w:rPr>
            </w:pPr>
            <w:r>
              <w:rPr>
                <w:rFonts w:hint="eastAsia" w:cs="宋体"/>
                <w:kern w:val="0"/>
                <w:sz w:val="22"/>
                <w:szCs w:val="22"/>
                <w:lang w:bidi="ar"/>
              </w:rPr>
              <w:t>0%</w:t>
            </w:r>
          </w:p>
        </w:tc>
      </w:tr>
      <w:tr w14:paraId="48938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61AA8687">
            <w:pPr>
              <w:widowControl/>
              <w:jc w:val="center"/>
              <w:textAlignment w:val="center"/>
              <w:rPr>
                <w:rFonts w:cs="宋体"/>
                <w:sz w:val="22"/>
                <w:szCs w:val="22"/>
              </w:rPr>
            </w:pPr>
            <w:r>
              <w:rPr>
                <w:rFonts w:hint="eastAsia" w:cs="宋体"/>
                <w:kern w:val="0"/>
                <w:sz w:val="22"/>
                <w:szCs w:val="22"/>
                <w:lang w:bidi="ar"/>
              </w:rPr>
              <w:t>铁</w:t>
            </w:r>
          </w:p>
        </w:tc>
        <w:tc>
          <w:tcPr>
            <w:tcW w:w="609" w:type="pct"/>
            <w:vAlign w:val="center"/>
          </w:tcPr>
          <w:p w14:paraId="65F7CBCC">
            <w:pPr>
              <w:widowControl/>
              <w:jc w:val="center"/>
              <w:textAlignment w:val="center"/>
              <w:rPr>
                <w:sz w:val="22"/>
                <w:szCs w:val="22"/>
              </w:rPr>
            </w:pPr>
            <w:r>
              <w:rPr>
                <w:kern w:val="0"/>
                <w:sz w:val="22"/>
                <w:szCs w:val="22"/>
                <w:lang w:bidi="ar"/>
              </w:rPr>
              <w:t>mg/L</w:t>
            </w:r>
          </w:p>
        </w:tc>
        <w:tc>
          <w:tcPr>
            <w:tcW w:w="477" w:type="pct"/>
            <w:vAlign w:val="center"/>
          </w:tcPr>
          <w:p w14:paraId="6E523A62">
            <w:pPr>
              <w:widowControl/>
              <w:jc w:val="center"/>
              <w:textAlignment w:val="center"/>
              <w:rPr>
                <w:sz w:val="22"/>
                <w:szCs w:val="22"/>
              </w:rPr>
            </w:pPr>
            <w:r>
              <w:rPr>
                <w:kern w:val="0"/>
                <w:sz w:val="22"/>
                <w:szCs w:val="22"/>
                <w:lang w:bidi="ar"/>
              </w:rPr>
              <w:t>0.3</w:t>
            </w:r>
          </w:p>
        </w:tc>
        <w:tc>
          <w:tcPr>
            <w:tcW w:w="263" w:type="pct"/>
            <w:noWrap/>
            <w:vAlign w:val="center"/>
          </w:tcPr>
          <w:p w14:paraId="6396A34E">
            <w:pPr>
              <w:widowControl/>
              <w:jc w:val="center"/>
              <w:textAlignment w:val="center"/>
              <w:rPr>
                <w:sz w:val="22"/>
                <w:szCs w:val="22"/>
              </w:rPr>
            </w:pPr>
            <w:r>
              <w:rPr>
                <w:kern w:val="0"/>
                <w:sz w:val="22"/>
                <w:szCs w:val="22"/>
                <w:lang w:bidi="ar"/>
              </w:rPr>
              <w:t>0.13</w:t>
            </w:r>
          </w:p>
        </w:tc>
        <w:tc>
          <w:tcPr>
            <w:tcW w:w="263" w:type="pct"/>
            <w:noWrap/>
            <w:vAlign w:val="center"/>
          </w:tcPr>
          <w:p w14:paraId="2503E225">
            <w:pPr>
              <w:widowControl/>
              <w:jc w:val="center"/>
              <w:textAlignment w:val="center"/>
              <w:rPr>
                <w:sz w:val="22"/>
                <w:szCs w:val="22"/>
              </w:rPr>
            </w:pPr>
            <w:r>
              <w:rPr>
                <w:kern w:val="0"/>
                <w:sz w:val="22"/>
                <w:szCs w:val="22"/>
                <w:lang w:bidi="ar"/>
              </w:rPr>
              <w:t>0.27</w:t>
            </w:r>
          </w:p>
        </w:tc>
        <w:tc>
          <w:tcPr>
            <w:tcW w:w="263" w:type="pct"/>
            <w:noWrap/>
            <w:vAlign w:val="center"/>
          </w:tcPr>
          <w:p w14:paraId="2107741E">
            <w:pPr>
              <w:widowControl/>
              <w:jc w:val="center"/>
              <w:textAlignment w:val="center"/>
              <w:rPr>
                <w:sz w:val="22"/>
                <w:szCs w:val="22"/>
              </w:rPr>
            </w:pPr>
            <w:r>
              <w:rPr>
                <w:kern w:val="0"/>
                <w:sz w:val="22"/>
                <w:szCs w:val="22"/>
                <w:lang w:bidi="ar"/>
              </w:rPr>
              <w:t>0.27</w:t>
            </w:r>
          </w:p>
        </w:tc>
        <w:tc>
          <w:tcPr>
            <w:tcW w:w="263" w:type="pct"/>
            <w:noWrap/>
            <w:vAlign w:val="center"/>
          </w:tcPr>
          <w:p w14:paraId="35FE7219">
            <w:pPr>
              <w:widowControl/>
              <w:jc w:val="center"/>
              <w:textAlignment w:val="center"/>
              <w:rPr>
                <w:sz w:val="22"/>
                <w:szCs w:val="22"/>
              </w:rPr>
            </w:pPr>
            <w:r>
              <w:rPr>
                <w:kern w:val="0"/>
                <w:sz w:val="22"/>
                <w:szCs w:val="22"/>
                <w:lang w:bidi="ar"/>
              </w:rPr>
              <w:t>0.3</w:t>
            </w:r>
          </w:p>
        </w:tc>
        <w:tc>
          <w:tcPr>
            <w:tcW w:w="263" w:type="pct"/>
            <w:noWrap/>
            <w:vAlign w:val="center"/>
          </w:tcPr>
          <w:p w14:paraId="7D6C02B1">
            <w:pPr>
              <w:widowControl/>
              <w:jc w:val="center"/>
              <w:textAlignment w:val="center"/>
              <w:rPr>
                <w:sz w:val="22"/>
                <w:szCs w:val="22"/>
              </w:rPr>
            </w:pPr>
            <w:r>
              <w:rPr>
                <w:kern w:val="0"/>
                <w:sz w:val="22"/>
                <w:szCs w:val="22"/>
                <w:lang w:bidi="ar"/>
              </w:rPr>
              <w:t>0.33</w:t>
            </w:r>
          </w:p>
        </w:tc>
        <w:tc>
          <w:tcPr>
            <w:tcW w:w="673" w:type="pct"/>
            <w:vAlign w:val="center"/>
          </w:tcPr>
          <w:p w14:paraId="33B049CC">
            <w:pPr>
              <w:widowControl/>
              <w:jc w:val="center"/>
              <w:textAlignment w:val="center"/>
              <w:rPr>
                <w:rFonts w:cs="宋体"/>
                <w:sz w:val="22"/>
                <w:szCs w:val="22"/>
              </w:rPr>
            </w:pPr>
            <w:r>
              <w:rPr>
                <w:rFonts w:hint="eastAsia" w:cs="宋体"/>
                <w:kern w:val="0"/>
                <w:sz w:val="22"/>
                <w:szCs w:val="22"/>
                <w:lang w:bidi="ar"/>
              </w:rPr>
              <w:t xml:space="preserve">0.13 </w:t>
            </w:r>
          </w:p>
        </w:tc>
        <w:tc>
          <w:tcPr>
            <w:tcW w:w="673" w:type="pct"/>
            <w:vAlign w:val="center"/>
          </w:tcPr>
          <w:p w14:paraId="0D0BD694">
            <w:pPr>
              <w:widowControl/>
              <w:jc w:val="center"/>
              <w:textAlignment w:val="center"/>
              <w:rPr>
                <w:rFonts w:cs="宋体"/>
                <w:sz w:val="22"/>
                <w:szCs w:val="22"/>
              </w:rPr>
            </w:pPr>
            <w:r>
              <w:rPr>
                <w:rFonts w:hint="eastAsia" w:cs="宋体"/>
                <w:kern w:val="0"/>
                <w:sz w:val="22"/>
                <w:szCs w:val="22"/>
                <w:lang w:bidi="ar"/>
              </w:rPr>
              <w:t xml:space="preserve">0.33 </w:t>
            </w:r>
          </w:p>
        </w:tc>
        <w:tc>
          <w:tcPr>
            <w:tcW w:w="384" w:type="pct"/>
            <w:vAlign w:val="center"/>
          </w:tcPr>
          <w:p w14:paraId="1A339979">
            <w:pPr>
              <w:widowControl/>
              <w:jc w:val="center"/>
              <w:textAlignment w:val="center"/>
              <w:rPr>
                <w:rFonts w:cs="宋体"/>
                <w:sz w:val="22"/>
                <w:szCs w:val="22"/>
              </w:rPr>
            </w:pPr>
            <w:r>
              <w:rPr>
                <w:rFonts w:hint="eastAsia" w:cs="宋体"/>
                <w:kern w:val="0"/>
                <w:sz w:val="22"/>
                <w:szCs w:val="22"/>
                <w:lang w:bidi="ar"/>
              </w:rPr>
              <w:t>0%</w:t>
            </w:r>
          </w:p>
        </w:tc>
      </w:tr>
      <w:tr w14:paraId="5FF2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5F0180F9">
            <w:pPr>
              <w:widowControl/>
              <w:jc w:val="center"/>
              <w:textAlignment w:val="center"/>
              <w:rPr>
                <w:rFonts w:cs="宋体"/>
                <w:sz w:val="22"/>
                <w:szCs w:val="22"/>
              </w:rPr>
            </w:pPr>
            <w:r>
              <w:rPr>
                <w:rFonts w:hint="eastAsia" w:cs="宋体"/>
                <w:kern w:val="0"/>
                <w:sz w:val="22"/>
                <w:szCs w:val="22"/>
                <w:lang w:bidi="ar"/>
              </w:rPr>
              <w:t>锰</w:t>
            </w:r>
          </w:p>
        </w:tc>
        <w:tc>
          <w:tcPr>
            <w:tcW w:w="609" w:type="pct"/>
            <w:vAlign w:val="center"/>
          </w:tcPr>
          <w:p w14:paraId="57BDA832">
            <w:pPr>
              <w:widowControl/>
              <w:jc w:val="center"/>
              <w:textAlignment w:val="center"/>
              <w:rPr>
                <w:sz w:val="22"/>
                <w:szCs w:val="22"/>
              </w:rPr>
            </w:pPr>
            <w:r>
              <w:rPr>
                <w:kern w:val="0"/>
                <w:sz w:val="22"/>
                <w:szCs w:val="22"/>
                <w:lang w:bidi="ar"/>
              </w:rPr>
              <w:t>mg/L</w:t>
            </w:r>
          </w:p>
        </w:tc>
        <w:tc>
          <w:tcPr>
            <w:tcW w:w="477" w:type="pct"/>
            <w:vAlign w:val="center"/>
          </w:tcPr>
          <w:p w14:paraId="21EA7AE8">
            <w:pPr>
              <w:widowControl/>
              <w:jc w:val="center"/>
              <w:textAlignment w:val="center"/>
              <w:rPr>
                <w:sz w:val="22"/>
                <w:szCs w:val="22"/>
              </w:rPr>
            </w:pPr>
            <w:r>
              <w:rPr>
                <w:kern w:val="0"/>
                <w:sz w:val="22"/>
                <w:szCs w:val="22"/>
                <w:lang w:bidi="ar"/>
              </w:rPr>
              <w:t>0.1</w:t>
            </w:r>
          </w:p>
        </w:tc>
        <w:tc>
          <w:tcPr>
            <w:tcW w:w="263" w:type="pct"/>
            <w:noWrap/>
            <w:vAlign w:val="center"/>
          </w:tcPr>
          <w:p w14:paraId="3B79C99C">
            <w:pPr>
              <w:widowControl/>
              <w:jc w:val="center"/>
              <w:textAlignment w:val="center"/>
              <w:rPr>
                <w:sz w:val="22"/>
                <w:szCs w:val="22"/>
              </w:rPr>
            </w:pPr>
            <w:r>
              <w:rPr>
                <w:kern w:val="0"/>
                <w:sz w:val="22"/>
                <w:szCs w:val="22"/>
                <w:lang w:bidi="ar"/>
              </w:rPr>
              <w:t>/</w:t>
            </w:r>
          </w:p>
        </w:tc>
        <w:tc>
          <w:tcPr>
            <w:tcW w:w="263" w:type="pct"/>
            <w:noWrap/>
            <w:vAlign w:val="center"/>
          </w:tcPr>
          <w:p w14:paraId="4A382968">
            <w:pPr>
              <w:widowControl/>
              <w:jc w:val="center"/>
              <w:textAlignment w:val="center"/>
              <w:rPr>
                <w:sz w:val="22"/>
                <w:szCs w:val="22"/>
              </w:rPr>
            </w:pPr>
            <w:r>
              <w:rPr>
                <w:kern w:val="0"/>
                <w:sz w:val="22"/>
                <w:szCs w:val="22"/>
                <w:lang w:bidi="ar"/>
              </w:rPr>
              <w:t>/</w:t>
            </w:r>
          </w:p>
        </w:tc>
        <w:tc>
          <w:tcPr>
            <w:tcW w:w="263" w:type="pct"/>
            <w:noWrap/>
            <w:vAlign w:val="center"/>
          </w:tcPr>
          <w:p w14:paraId="67995C69">
            <w:pPr>
              <w:widowControl/>
              <w:jc w:val="center"/>
              <w:textAlignment w:val="center"/>
              <w:rPr>
                <w:sz w:val="22"/>
                <w:szCs w:val="22"/>
              </w:rPr>
            </w:pPr>
            <w:r>
              <w:rPr>
                <w:kern w:val="0"/>
                <w:sz w:val="22"/>
                <w:szCs w:val="22"/>
                <w:lang w:bidi="ar"/>
              </w:rPr>
              <w:t>/</w:t>
            </w:r>
          </w:p>
        </w:tc>
        <w:tc>
          <w:tcPr>
            <w:tcW w:w="263" w:type="pct"/>
            <w:noWrap/>
            <w:vAlign w:val="center"/>
          </w:tcPr>
          <w:p w14:paraId="017B1BFD">
            <w:pPr>
              <w:widowControl/>
              <w:jc w:val="center"/>
              <w:textAlignment w:val="center"/>
              <w:rPr>
                <w:sz w:val="22"/>
                <w:szCs w:val="22"/>
              </w:rPr>
            </w:pPr>
            <w:r>
              <w:rPr>
                <w:kern w:val="0"/>
                <w:sz w:val="22"/>
                <w:szCs w:val="22"/>
                <w:lang w:bidi="ar"/>
              </w:rPr>
              <w:t>/</w:t>
            </w:r>
          </w:p>
        </w:tc>
        <w:tc>
          <w:tcPr>
            <w:tcW w:w="263" w:type="pct"/>
            <w:noWrap/>
            <w:vAlign w:val="center"/>
          </w:tcPr>
          <w:p w14:paraId="6AED6557">
            <w:pPr>
              <w:widowControl/>
              <w:jc w:val="center"/>
              <w:textAlignment w:val="center"/>
              <w:rPr>
                <w:sz w:val="22"/>
                <w:szCs w:val="22"/>
              </w:rPr>
            </w:pPr>
            <w:r>
              <w:rPr>
                <w:kern w:val="0"/>
                <w:sz w:val="22"/>
                <w:szCs w:val="22"/>
                <w:lang w:bidi="ar"/>
              </w:rPr>
              <w:t>/</w:t>
            </w:r>
          </w:p>
        </w:tc>
        <w:tc>
          <w:tcPr>
            <w:tcW w:w="673" w:type="pct"/>
            <w:noWrap/>
            <w:vAlign w:val="center"/>
          </w:tcPr>
          <w:p w14:paraId="3055AFCC">
            <w:pPr>
              <w:widowControl/>
              <w:jc w:val="center"/>
              <w:textAlignment w:val="center"/>
              <w:rPr>
                <w:sz w:val="22"/>
                <w:szCs w:val="22"/>
              </w:rPr>
            </w:pPr>
            <w:r>
              <w:rPr>
                <w:kern w:val="0"/>
                <w:sz w:val="22"/>
                <w:szCs w:val="22"/>
                <w:lang w:bidi="ar"/>
              </w:rPr>
              <w:t>/</w:t>
            </w:r>
          </w:p>
        </w:tc>
        <w:tc>
          <w:tcPr>
            <w:tcW w:w="673" w:type="pct"/>
            <w:noWrap/>
            <w:vAlign w:val="center"/>
          </w:tcPr>
          <w:p w14:paraId="6245E76B">
            <w:pPr>
              <w:widowControl/>
              <w:jc w:val="center"/>
              <w:textAlignment w:val="center"/>
              <w:rPr>
                <w:sz w:val="22"/>
                <w:szCs w:val="22"/>
              </w:rPr>
            </w:pPr>
            <w:r>
              <w:rPr>
                <w:kern w:val="0"/>
                <w:sz w:val="22"/>
                <w:szCs w:val="22"/>
                <w:lang w:bidi="ar"/>
              </w:rPr>
              <w:t>/</w:t>
            </w:r>
          </w:p>
        </w:tc>
        <w:tc>
          <w:tcPr>
            <w:tcW w:w="384" w:type="pct"/>
            <w:vAlign w:val="center"/>
          </w:tcPr>
          <w:p w14:paraId="2ECBEA8F">
            <w:pPr>
              <w:widowControl/>
              <w:jc w:val="center"/>
              <w:textAlignment w:val="center"/>
              <w:rPr>
                <w:rFonts w:cs="宋体"/>
                <w:sz w:val="22"/>
                <w:szCs w:val="22"/>
              </w:rPr>
            </w:pPr>
            <w:r>
              <w:rPr>
                <w:rFonts w:hint="eastAsia" w:cs="宋体"/>
                <w:kern w:val="0"/>
                <w:sz w:val="22"/>
                <w:szCs w:val="22"/>
                <w:lang w:bidi="ar"/>
              </w:rPr>
              <w:t>0%</w:t>
            </w:r>
          </w:p>
        </w:tc>
      </w:tr>
      <w:tr w14:paraId="4F15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6B67AEAD">
            <w:pPr>
              <w:widowControl/>
              <w:jc w:val="center"/>
              <w:textAlignment w:val="center"/>
              <w:rPr>
                <w:rFonts w:cs="宋体"/>
                <w:sz w:val="22"/>
                <w:szCs w:val="22"/>
              </w:rPr>
            </w:pPr>
            <w:r>
              <w:rPr>
                <w:rFonts w:hint="eastAsia" w:cs="宋体"/>
                <w:kern w:val="0"/>
                <w:sz w:val="22"/>
                <w:szCs w:val="22"/>
                <w:lang w:bidi="ar"/>
              </w:rPr>
              <w:t>挥发酚</w:t>
            </w:r>
          </w:p>
        </w:tc>
        <w:tc>
          <w:tcPr>
            <w:tcW w:w="609" w:type="pct"/>
            <w:vAlign w:val="center"/>
          </w:tcPr>
          <w:p w14:paraId="03A50E39">
            <w:pPr>
              <w:widowControl/>
              <w:jc w:val="center"/>
              <w:textAlignment w:val="center"/>
              <w:rPr>
                <w:sz w:val="22"/>
                <w:szCs w:val="22"/>
              </w:rPr>
            </w:pPr>
            <w:r>
              <w:rPr>
                <w:kern w:val="0"/>
                <w:sz w:val="22"/>
                <w:szCs w:val="22"/>
                <w:lang w:bidi="ar"/>
              </w:rPr>
              <w:t>mg/L</w:t>
            </w:r>
          </w:p>
        </w:tc>
        <w:tc>
          <w:tcPr>
            <w:tcW w:w="477" w:type="pct"/>
            <w:noWrap/>
            <w:vAlign w:val="center"/>
          </w:tcPr>
          <w:p w14:paraId="6E1F5F6B">
            <w:pPr>
              <w:widowControl/>
              <w:jc w:val="center"/>
              <w:textAlignment w:val="center"/>
              <w:rPr>
                <w:sz w:val="22"/>
                <w:szCs w:val="21"/>
              </w:rPr>
            </w:pPr>
            <w:r>
              <w:rPr>
                <w:kern w:val="0"/>
                <w:sz w:val="22"/>
                <w:szCs w:val="21"/>
                <w:lang w:bidi="ar"/>
              </w:rPr>
              <w:t>0.002</w:t>
            </w:r>
          </w:p>
        </w:tc>
        <w:tc>
          <w:tcPr>
            <w:tcW w:w="263" w:type="pct"/>
            <w:noWrap/>
            <w:vAlign w:val="center"/>
          </w:tcPr>
          <w:p w14:paraId="449C8D59">
            <w:pPr>
              <w:widowControl/>
              <w:jc w:val="center"/>
              <w:textAlignment w:val="center"/>
              <w:rPr>
                <w:sz w:val="22"/>
                <w:szCs w:val="22"/>
              </w:rPr>
            </w:pPr>
            <w:r>
              <w:rPr>
                <w:kern w:val="0"/>
                <w:sz w:val="22"/>
                <w:szCs w:val="22"/>
                <w:lang w:bidi="ar"/>
              </w:rPr>
              <w:t>/</w:t>
            </w:r>
          </w:p>
        </w:tc>
        <w:tc>
          <w:tcPr>
            <w:tcW w:w="263" w:type="pct"/>
            <w:noWrap/>
            <w:vAlign w:val="center"/>
          </w:tcPr>
          <w:p w14:paraId="44E76460">
            <w:pPr>
              <w:widowControl/>
              <w:jc w:val="center"/>
              <w:textAlignment w:val="center"/>
              <w:rPr>
                <w:sz w:val="22"/>
                <w:szCs w:val="22"/>
              </w:rPr>
            </w:pPr>
            <w:r>
              <w:rPr>
                <w:kern w:val="0"/>
                <w:sz w:val="22"/>
                <w:szCs w:val="22"/>
                <w:lang w:bidi="ar"/>
              </w:rPr>
              <w:t>/</w:t>
            </w:r>
          </w:p>
        </w:tc>
        <w:tc>
          <w:tcPr>
            <w:tcW w:w="263" w:type="pct"/>
            <w:noWrap/>
            <w:vAlign w:val="center"/>
          </w:tcPr>
          <w:p w14:paraId="7C0296EE">
            <w:pPr>
              <w:widowControl/>
              <w:jc w:val="center"/>
              <w:textAlignment w:val="center"/>
              <w:rPr>
                <w:sz w:val="22"/>
                <w:szCs w:val="22"/>
              </w:rPr>
            </w:pPr>
            <w:r>
              <w:rPr>
                <w:kern w:val="0"/>
                <w:sz w:val="22"/>
                <w:szCs w:val="22"/>
                <w:lang w:bidi="ar"/>
              </w:rPr>
              <w:t>/</w:t>
            </w:r>
          </w:p>
        </w:tc>
        <w:tc>
          <w:tcPr>
            <w:tcW w:w="263" w:type="pct"/>
            <w:noWrap/>
            <w:vAlign w:val="center"/>
          </w:tcPr>
          <w:p w14:paraId="0A65236C">
            <w:pPr>
              <w:widowControl/>
              <w:jc w:val="center"/>
              <w:textAlignment w:val="center"/>
              <w:rPr>
                <w:sz w:val="22"/>
                <w:szCs w:val="22"/>
              </w:rPr>
            </w:pPr>
            <w:r>
              <w:rPr>
                <w:kern w:val="0"/>
                <w:sz w:val="22"/>
                <w:szCs w:val="22"/>
                <w:lang w:bidi="ar"/>
              </w:rPr>
              <w:t>/</w:t>
            </w:r>
          </w:p>
        </w:tc>
        <w:tc>
          <w:tcPr>
            <w:tcW w:w="263" w:type="pct"/>
            <w:noWrap/>
            <w:vAlign w:val="center"/>
          </w:tcPr>
          <w:p w14:paraId="650C9C8E">
            <w:pPr>
              <w:widowControl/>
              <w:jc w:val="center"/>
              <w:textAlignment w:val="center"/>
              <w:rPr>
                <w:sz w:val="22"/>
                <w:szCs w:val="22"/>
              </w:rPr>
            </w:pPr>
            <w:r>
              <w:rPr>
                <w:kern w:val="0"/>
                <w:sz w:val="22"/>
                <w:szCs w:val="22"/>
                <w:lang w:bidi="ar"/>
              </w:rPr>
              <w:t>/</w:t>
            </w:r>
          </w:p>
        </w:tc>
        <w:tc>
          <w:tcPr>
            <w:tcW w:w="673" w:type="pct"/>
            <w:noWrap/>
            <w:vAlign w:val="center"/>
          </w:tcPr>
          <w:p w14:paraId="2FDEE7E0">
            <w:pPr>
              <w:widowControl/>
              <w:jc w:val="center"/>
              <w:textAlignment w:val="center"/>
              <w:rPr>
                <w:sz w:val="22"/>
                <w:szCs w:val="22"/>
              </w:rPr>
            </w:pPr>
            <w:r>
              <w:rPr>
                <w:kern w:val="0"/>
                <w:sz w:val="22"/>
                <w:szCs w:val="22"/>
                <w:lang w:bidi="ar"/>
              </w:rPr>
              <w:t>/</w:t>
            </w:r>
          </w:p>
        </w:tc>
        <w:tc>
          <w:tcPr>
            <w:tcW w:w="673" w:type="pct"/>
            <w:noWrap/>
            <w:vAlign w:val="center"/>
          </w:tcPr>
          <w:p w14:paraId="1572529F">
            <w:pPr>
              <w:widowControl/>
              <w:jc w:val="center"/>
              <w:textAlignment w:val="center"/>
              <w:rPr>
                <w:sz w:val="22"/>
                <w:szCs w:val="22"/>
              </w:rPr>
            </w:pPr>
            <w:r>
              <w:rPr>
                <w:kern w:val="0"/>
                <w:sz w:val="22"/>
                <w:szCs w:val="22"/>
                <w:lang w:bidi="ar"/>
              </w:rPr>
              <w:t>/</w:t>
            </w:r>
          </w:p>
        </w:tc>
        <w:tc>
          <w:tcPr>
            <w:tcW w:w="384" w:type="pct"/>
            <w:vAlign w:val="center"/>
          </w:tcPr>
          <w:p w14:paraId="5DD853DC">
            <w:pPr>
              <w:widowControl/>
              <w:jc w:val="center"/>
              <w:textAlignment w:val="center"/>
              <w:rPr>
                <w:rFonts w:cs="宋体"/>
                <w:sz w:val="22"/>
                <w:szCs w:val="22"/>
              </w:rPr>
            </w:pPr>
            <w:r>
              <w:rPr>
                <w:rFonts w:hint="eastAsia" w:cs="宋体"/>
                <w:kern w:val="0"/>
                <w:sz w:val="22"/>
                <w:szCs w:val="22"/>
                <w:lang w:bidi="ar"/>
              </w:rPr>
              <w:t>0%</w:t>
            </w:r>
          </w:p>
        </w:tc>
      </w:tr>
      <w:tr w14:paraId="69AF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19C9D8F2">
            <w:pPr>
              <w:widowControl/>
              <w:jc w:val="center"/>
              <w:textAlignment w:val="center"/>
              <w:rPr>
                <w:rFonts w:cs="宋体"/>
                <w:sz w:val="22"/>
                <w:szCs w:val="22"/>
              </w:rPr>
            </w:pPr>
            <w:r>
              <w:rPr>
                <w:rFonts w:hint="eastAsia" w:cs="宋体"/>
                <w:kern w:val="0"/>
                <w:sz w:val="22"/>
                <w:szCs w:val="22"/>
                <w:lang w:bidi="ar"/>
              </w:rPr>
              <w:t>氰化物</w:t>
            </w:r>
          </w:p>
        </w:tc>
        <w:tc>
          <w:tcPr>
            <w:tcW w:w="609" w:type="pct"/>
            <w:vAlign w:val="center"/>
          </w:tcPr>
          <w:p w14:paraId="6F9470E3">
            <w:pPr>
              <w:widowControl/>
              <w:jc w:val="center"/>
              <w:textAlignment w:val="center"/>
              <w:rPr>
                <w:sz w:val="22"/>
                <w:szCs w:val="22"/>
              </w:rPr>
            </w:pPr>
            <w:r>
              <w:rPr>
                <w:kern w:val="0"/>
                <w:sz w:val="22"/>
                <w:szCs w:val="22"/>
                <w:lang w:bidi="ar"/>
              </w:rPr>
              <w:t>mg/L</w:t>
            </w:r>
          </w:p>
        </w:tc>
        <w:tc>
          <w:tcPr>
            <w:tcW w:w="477" w:type="pct"/>
            <w:noWrap/>
            <w:vAlign w:val="center"/>
          </w:tcPr>
          <w:p w14:paraId="2CBB9E6A">
            <w:pPr>
              <w:widowControl/>
              <w:jc w:val="center"/>
              <w:textAlignment w:val="center"/>
              <w:rPr>
                <w:sz w:val="22"/>
                <w:szCs w:val="22"/>
              </w:rPr>
            </w:pPr>
            <w:r>
              <w:rPr>
                <w:kern w:val="0"/>
                <w:sz w:val="22"/>
                <w:szCs w:val="22"/>
                <w:lang w:bidi="ar"/>
              </w:rPr>
              <w:t>0.05</w:t>
            </w:r>
          </w:p>
        </w:tc>
        <w:tc>
          <w:tcPr>
            <w:tcW w:w="263" w:type="pct"/>
            <w:noWrap/>
            <w:vAlign w:val="center"/>
          </w:tcPr>
          <w:p w14:paraId="34B91C5B">
            <w:pPr>
              <w:widowControl/>
              <w:jc w:val="center"/>
              <w:textAlignment w:val="center"/>
              <w:rPr>
                <w:sz w:val="22"/>
                <w:szCs w:val="22"/>
              </w:rPr>
            </w:pPr>
            <w:r>
              <w:rPr>
                <w:kern w:val="0"/>
                <w:sz w:val="22"/>
                <w:szCs w:val="22"/>
                <w:lang w:bidi="ar"/>
              </w:rPr>
              <w:t>/</w:t>
            </w:r>
          </w:p>
        </w:tc>
        <w:tc>
          <w:tcPr>
            <w:tcW w:w="263" w:type="pct"/>
            <w:noWrap/>
            <w:vAlign w:val="center"/>
          </w:tcPr>
          <w:p w14:paraId="3C818C5A">
            <w:pPr>
              <w:widowControl/>
              <w:jc w:val="center"/>
              <w:textAlignment w:val="center"/>
              <w:rPr>
                <w:sz w:val="22"/>
                <w:szCs w:val="22"/>
              </w:rPr>
            </w:pPr>
            <w:r>
              <w:rPr>
                <w:kern w:val="0"/>
                <w:sz w:val="22"/>
                <w:szCs w:val="22"/>
                <w:lang w:bidi="ar"/>
              </w:rPr>
              <w:t>/</w:t>
            </w:r>
          </w:p>
        </w:tc>
        <w:tc>
          <w:tcPr>
            <w:tcW w:w="263" w:type="pct"/>
            <w:noWrap/>
            <w:vAlign w:val="center"/>
          </w:tcPr>
          <w:p w14:paraId="50F22280">
            <w:pPr>
              <w:widowControl/>
              <w:jc w:val="center"/>
              <w:textAlignment w:val="center"/>
              <w:rPr>
                <w:sz w:val="22"/>
                <w:szCs w:val="22"/>
              </w:rPr>
            </w:pPr>
            <w:r>
              <w:rPr>
                <w:kern w:val="0"/>
                <w:sz w:val="22"/>
                <w:szCs w:val="22"/>
                <w:lang w:bidi="ar"/>
              </w:rPr>
              <w:t>/</w:t>
            </w:r>
          </w:p>
        </w:tc>
        <w:tc>
          <w:tcPr>
            <w:tcW w:w="263" w:type="pct"/>
            <w:noWrap/>
            <w:vAlign w:val="center"/>
          </w:tcPr>
          <w:p w14:paraId="74225F1D">
            <w:pPr>
              <w:widowControl/>
              <w:jc w:val="center"/>
              <w:textAlignment w:val="center"/>
              <w:rPr>
                <w:sz w:val="22"/>
                <w:szCs w:val="22"/>
              </w:rPr>
            </w:pPr>
            <w:r>
              <w:rPr>
                <w:kern w:val="0"/>
                <w:sz w:val="22"/>
                <w:szCs w:val="22"/>
                <w:lang w:bidi="ar"/>
              </w:rPr>
              <w:t>/</w:t>
            </w:r>
          </w:p>
        </w:tc>
        <w:tc>
          <w:tcPr>
            <w:tcW w:w="263" w:type="pct"/>
            <w:noWrap/>
            <w:vAlign w:val="center"/>
          </w:tcPr>
          <w:p w14:paraId="65A7DAD6">
            <w:pPr>
              <w:widowControl/>
              <w:jc w:val="center"/>
              <w:textAlignment w:val="center"/>
              <w:rPr>
                <w:sz w:val="22"/>
                <w:szCs w:val="22"/>
              </w:rPr>
            </w:pPr>
            <w:r>
              <w:rPr>
                <w:kern w:val="0"/>
                <w:sz w:val="22"/>
                <w:szCs w:val="22"/>
                <w:lang w:bidi="ar"/>
              </w:rPr>
              <w:t>/</w:t>
            </w:r>
          </w:p>
        </w:tc>
        <w:tc>
          <w:tcPr>
            <w:tcW w:w="673" w:type="pct"/>
            <w:noWrap/>
            <w:vAlign w:val="center"/>
          </w:tcPr>
          <w:p w14:paraId="738334F5">
            <w:pPr>
              <w:widowControl/>
              <w:jc w:val="center"/>
              <w:textAlignment w:val="center"/>
              <w:rPr>
                <w:sz w:val="22"/>
                <w:szCs w:val="22"/>
              </w:rPr>
            </w:pPr>
            <w:r>
              <w:rPr>
                <w:kern w:val="0"/>
                <w:sz w:val="22"/>
                <w:szCs w:val="22"/>
                <w:lang w:bidi="ar"/>
              </w:rPr>
              <w:t>/</w:t>
            </w:r>
          </w:p>
        </w:tc>
        <w:tc>
          <w:tcPr>
            <w:tcW w:w="673" w:type="pct"/>
            <w:noWrap/>
            <w:vAlign w:val="center"/>
          </w:tcPr>
          <w:p w14:paraId="0B938674">
            <w:pPr>
              <w:widowControl/>
              <w:jc w:val="center"/>
              <w:textAlignment w:val="center"/>
              <w:rPr>
                <w:sz w:val="22"/>
                <w:szCs w:val="22"/>
              </w:rPr>
            </w:pPr>
            <w:r>
              <w:rPr>
                <w:kern w:val="0"/>
                <w:sz w:val="22"/>
                <w:szCs w:val="22"/>
                <w:lang w:bidi="ar"/>
              </w:rPr>
              <w:t>/</w:t>
            </w:r>
          </w:p>
        </w:tc>
        <w:tc>
          <w:tcPr>
            <w:tcW w:w="384" w:type="pct"/>
            <w:vAlign w:val="center"/>
          </w:tcPr>
          <w:p w14:paraId="3599D5E6">
            <w:pPr>
              <w:widowControl/>
              <w:jc w:val="center"/>
              <w:textAlignment w:val="center"/>
              <w:rPr>
                <w:rFonts w:cs="宋体"/>
                <w:sz w:val="22"/>
                <w:szCs w:val="22"/>
              </w:rPr>
            </w:pPr>
            <w:r>
              <w:rPr>
                <w:rFonts w:hint="eastAsia" w:cs="宋体"/>
                <w:kern w:val="0"/>
                <w:sz w:val="22"/>
                <w:szCs w:val="22"/>
                <w:lang w:bidi="ar"/>
              </w:rPr>
              <w:t>0%</w:t>
            </w:r>
          </w:p>
        </w:tc>
      </w:tr>
      <w:tr w14:paraId="5262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14F9B741">
            <w:pPr>
              <w:widowControl/>
              <w:jc w:val="center"/>
              <w:textAlignment w:val="center"/>
              <w:rPr>
                <w:rFonts w:cs="宋体"/>
                <w:sz w:val="22"/>
                <w:szCs w:val="22"/>
              </w:rPr>
            </w:pPr>
            <w:r>
              <w:rPr>
                <w:rFonts w:hint="eastAsia" w:cs="宋体"/>
                <w:kern w:val="0"/>
                <w:sz w:val="22"/>
                <w:szCs w:val="22"/>
                <w:lang w:bidi="ar"/>
              </w:rPr>
              <w:t>硫化物</w:t>
            </w:r>
          </w:p>
        </w:tc>
        <w:tc>
          <w:tcPr>
            <w:tcW w:w="609" w:type="pct"/>
            <w:vAlign w:val="center"/>
          </w:tcPr>
          <w:p w14:paraId="4AF7EF29">
            <w:pPr>
              <w:widowControl/>
              <w:jc w:val="center"/>
              <w:textAlignment w:val="center"/>
              <w:rPr>
                <w:sz w:val="22"/>
                <w:szCs w:val="22"/>
              </w:rPr>
            </w:pPr>
            <w:r>
              <w:rPr>
                <w:kern w:val="0"/>
                <w:sz w:val="22"/>
                <w:szCs w:val="22"/>
                <w:lang w:bidi="ar"/>
              </w:rPr>
              <w:t>mg/L</w:t>
            </w:r>
          </w:p>
        </w:tc>
        <w:tc>
          <w:tcPr>
            <w:tcW w:w="477" w:type="pct"/>
            <w:noWrap/>
            <w:vAlign w:val="center"/>
          </w:tcPr>
          <w:p w14:paraId="249EDABA">
            <w:pPr>
              <w:widowControl/>
              <w:jc w:val="center"/>
              <w:textAlignment w:val="center"/>
              <w:rPr>
                <w:sz w:val="22"/>
                <w:szCs w:val="21"/>
              </w:rPr>
            </w:pPr>
            <w:r>
              <w:rPr>
                <w:kern w:val="0"/>
                <w:sz w:val="22"/>
                <w:szCs w:val="21"/>
                <w:lang w:bidi="ar"/>
              </w:rPr>
              <w:t>0.02</w:t>
            </w:r>
          </w:p>
        </w:tc>
        <w:tc>
          <w:tcPr>
            <w:tcW w:w="263" w:type="pct"/>
            <w:noWrap/>
            <w:vAlign w:val="center"/>
          </w:tcPr>
          <w:p w14:paraId="7D39DB72">
            <w:pPr>
              <w:widowControl/>
              <w:jc w:val="center"/>
              <w:textAlignment w:val="center"/>
              <w:rPr>
                <w:sz w:val="22"/>
                <w:szCs w:val="22"/>
              </w:rPr>
            </w:pPr>
            <w:r>
              <w:rPr>
                <w:kern w:val="0"/>
                <w:sz w:val="22"/>
                <w:szCs w:val="22"/>
                <w:lang w:bidi="ar"/>
              </w:rPr>
              <w:t>/</w:t>
            </w:r>
          </w:p>
        </w:tc>
        <w:tc>
          <w:tcPr>
            <w:tcW w:w="263" w:type="pct"/>
            <w:noWrap/>
            <w:vAlign w:val="center"/>
          </w:tcPr>
          <w:p w14:paraId="2FA4A85D">
            <w:pPr>
              <w:widowControl/>
              <w:jc w:val="center"/>
              <w:textAlignment w:val="center"/>
              <w:rPr>
                <w:sz w:val="22"/>
                <w:szCs w:val="22"/>
              </w:rPr>
            </w:pPr>
            <w:r>
              <w:rPr>
                <w:kern w:val="0"/>
                <w:sz w:val="22"/>
                <w:szCs w:val="22"/>
                <w:lang w:bidi="ar"/>
              </w:rPr>
              <w:t>/</w:t>
            </w:r>
          </w:p>
        </w:tc>
        <w:tc>
          <w:tcPr>
            <w:tcW w:w="263" w:type="pct"/>
            <w:noWrap/>
            <w:vAlign w:val="center"/>
          </w:tcPr>
          <w:p w14:paraId="5ADBCCAD">
            <w:pPr>
              <w:widowControl/>
              <w:jc w:val="center"/>
              <w:textAlignment w:val="center"/>
              <w:rPr>
                <w:sz w:val="22"/>
                <w:szCs w:val="22"/>
              </w:rPr>
            </w:pPr>
            <w:r>
              <w:rPr>
                <w:kern w:val="0"/>
                <w:sz w:val="22"/>
                <w:szCs w:val="22"/>
                <w:lang w:bidi="ar"/>
              </w:rPr>
              <w:t>/</w:t>
            </w:r>
          </w:p>
        </w:tc>
        <w:tc>
          <w:tcPr>
            <w:tcW w:w="263" w:type="pct"/>
            <w:noWrap/>
            <w:vAlign w:val="center"/>
          </w:tcPr>
          <w:p w14:paraId="3D480155">
            <w:pPr>
              <w:widowControl/>
              <w:jc w:val="center"/>
              <w:textAlignment w:val="center"/>
              <w:rPr>
                <w:sz w:val="22"/>
                <w:szCs w:val="22"/>
              </w:rPr>
            </w:pPr>
            <w:r>
              <w:rPr>
                <w:kern w:val="0"/>
                <w:sz w:val="22"/>
                <w:szCs w:val="22"/>
                <w:lang w:bidi="ar"/>
              </w:rPr>
              <w:t>/</w:t>
            </w:r>
          </w:p>
        </w:tc>
        <w:tc>
          <w:tcPr>
            <w:tcW w:w="263" w:type="pct"/>
            <w:noWrap/>
            <w:vAlign w:val="center"/>
          </w:tcPr>
          <w:p w14:paraId="0E67F6B8">
            <w:pPr>
              <w:widowControl/>
              <w:jc w:val="center"/>
              <w:textAlignment w:val="center"/>
              <w:rPr>
                <w:sz w:val="22"/>
                <w:szCs w:val="22"/>
              </w:rPr>
            </w:pPr>
            <w:r>
              <w:rPr>
                <w:kern w:val="0"/>
                <w:sz w:val="22"/>
                <w:szCs w:val="22"/>
                <w:lang w:bidi="ar"/>
              </w:rPr>
              <w:t>/</w:t>
            </w:r>
          </w:p>
        </w:tc>
        <w:tc>
          <w:tcPr>
            <w:tcW w:w="673" w:type="pct"/>
            <w:noWrap/>
            <w:vAlign w:val="center"/>
          </w:tcPr>
          <w:p w14:paraId="4570A658">
            <w:pPr>
              <w:widowControl/>
              <w:jc w:val="center"/>
              <w:textAlignment w:val="center"/>
              <w:rPr>
                <w:sz w:val="22"/>
                <w:szCs w:val="22"/>
              </w:rPr>
            </w:pPr>
            <w:r>
              <w:rPr>
                <w:kern w:val="0"/>
                <w:sz w:val="22"/>
                <w:szCs w:val="22"/>
                <w:lang w:bidi="ar"/>
              </w:rPr>
              <w:t>/</w:t>
            </w:r>
          </w:p>
        </w:tc>
        <w:tc>
          <w:tcPr>
            <w:tcW w:w="673" w:type="pct"/>
            <w:noWrap/>
            <w:vAlign w:val="center"/>
          </w:tcPr>
          <w:p w14:paraId="0DAA4BF9">
            <w:pPr>
              <w:widowControl/>
              <w:jc w:val="center"/>
              <w:textAlignment w:val="center"/>
              <w:rPr>
                <w:sz w:val="22"/>
                <w:szCs w:val="22"/>
              </w:rPr>
            </w:pPr>
            <w:r>
              <w:rPr>
                <w:kern w:val="0"/>
                <w:sz w:val="22"/>
                <w:szCs w:val="22"/>
                <w:lang w:bidi="ar"/>
              </w:rPr>
              <w:t>/</w:t>
            </w:r>
          </w:p>
        </w:tc>
        <w:tc>
          <w:tcPr>
            <w:tcW w:w="384" w:type="pct"/>
            <w:vAlign w:val="center"/>
          </w:tcPr>
          <w:p w14:paraId="5931464E">
            <w:pPr>
              <w:widowControl/>
              <w:jc w:val="center"/>
              <w:textAlignment w:val="center"/>
              <w:rPr>
                <w:rFonts w:cs="宋体"/>
                <w:sz w:val="22"/>
                <w:szCs w:val="22"/>
              </w:rPr>
            </w:pPr>
            <w:r>
              <w:rPr>
                <w:rFonts w:hint="eastAsia" w:cs="宋体"/>
                <w:kern w:val="0"/>
                <w:sz w:val="22"/>
                <w:szCs w:val="22"/>
                <w:lang w:bidi="ar"/>
              </w:rPr>
              <w:t>0%</w:t>
            </w:r>
          </w:p>
        </w:tc>
      </w:tr>
      <w:tr w14:paraId="7884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399E2A9B">
            <w:pPr>
              <w:widowControl/>
              <w:jc w:val="center"/>
              <w:textAlignment w:val="center"/>
              <w:rPr>
                <w:rFonts w:cs="宋体"/>
                <w:sz w:val="22"/>
                <w:szCs w:val="22"/>
              </w:rPr>
            </w:pPr>
            <w:r>
              <w:rPr>
                <w:rFonts w:hint="eastAsia" w:cs="宋体"/>
                <w:kern w:val="0"/>
                <w:sz w:val="22"/>
                <w:szCs w:val="22"/>
                <w:lang w:bidi="ar"/>
              </w:rPr>
              <w:t>钡</w:t>
            </w:r>
          </w:p>
        </w:tc>
        <w:tc>
          <w:tcPr>
            <w:tcW w:w="609" w:type="pct"/>
            <w:vAlign w:val="center"/>
          </w:tcPr>
          <w:p w14:paraId="03D55B66">
            <w:pPr>
              <w:widowControl/>
              <w:jc w:val="center"/>
              <w:textAlignment w:val="center"/>
              <w:rPr>
                <w:sz w:val="22"/>
                <w:szCs w:val="21"/>
              </w:rPr>
            </w:pPr>
            <w:r>
              <w:rPr>
                <w:kern w:val="0"/>
                <w:sz w:val="22"/>
                <w:szCs w:val="21"/>
                <w:lang w:bidi="ar"/>
              </w:rPr>
              <w:t>μg/L</w:t>
            </w:r>
          </w:p>
        </w:tc>
        <w:tc>
          <w:tcPr>
            <w:tcW w:w="477" w:type="pct"/>
            <w:noWrap/>
            <w:vAlign w:val="center"/>
          </w:tcPr>
          <w:p w14:paraId="2B1FF86D">
            <w:pPr>
              <w:widowControl/>
              <w:jc w:val="center"/>
              <w:textAlignment w:val="center"/>
              <w:rPr>
                <w:sz w:val="22"/>
                <w:szCs w:val="22"/>
              </w:rPr>
            </w:pPr>
            <w:r>
              <w:rPr>
                <w:kern w:val="0"/>
                <w:sz w:val="22"/>
                <w:szCs w:val="22"/>
                <w:lang w:bidi="ar"/>
              </w:rPr>
              <w:t>700</w:t>
            </w:r>
          </w:p>
        </w:tc>
        <w:tc>
          <w:tcPr>
            <w:tcW w:w="263" w:type="pct"/>
            <w:vAlign w:val="center"/>
          </w:tcPr>
          <w:p w14:paraId="048A330F">
            <w:pPr>
              <w:widowControl/>
              <w:jc w:val="center"/>
              <w:textAlignment w:val="center"/>
              <w:rPr>
                <w:sz w:val="22"/>
                <w:szCs w:val="21"/>
              </w:rPr>
            </w:pPr>
            <w:r>
              <w:rPr>
                <w:kern w:val="0"/>
                <w:sz w:val="22"/>
                <w:szCs w:val="21"/>
                <w:lang w:bidi="ar"/>
              </w:rPr>
              <w:t xml:space="preserve">0.79 </w:t>
            </w:r>
          </w:p>
        </w:tc>
        <w:tc>
          <w:tcPr>
            <w:tcW w:w="263" w:type="pct"/>
            <w:vAlign w:val="center"/>
          </w:tcPr>
          <w:p w14:paraId="44D58889">
            <w:pPr>
              <w:widowControl/>
              <w:jc w:val="center"/>
              <w:textAlignment w:val="center"/>
              <w:rPr>
                <w:sz w:val="22"/>
                <w:szCs w:val="21"/>
              </w:rPr>
            </w:pPr>
            <w:r>
              <w:rPr>
                <w:kern w:val="0"/>
                <w:sz w:val="22"/>
                <w:szCs w:val="21"/>
                <w:lang w:bidi="ar"/>
              </w:rPr>
              <w:t xml:space="preserve">0.27 </w:t>
            </w:r>
          </w:p>
        </w:tc>
        <w:tc>
          <w:tcPr>
            <w:tcW w:w="263" w:type="pct"/>
            <w:vAlign w:val="center"/>
          </w:tcPr>
          <w:p w14:paraId="4EE3D18D">
            <w:pPr>
              <w:widowControl/>
              <w:jc w:val="center"/>
              <w:textAlignment w:val="center"/>
              <w:rPr>
                <w:sz w:val="22"/>
                <w:szCs w:val="21"/>
              </w:rPr>
            </w:pPr>
            <w:r>
              <w:rPr>
                <w:kern w:val="0"/>
                <w:sz w:val="22"/>
                <w:szCs w:val="21"/>
                <w:lang w:bidi="ar"/>
              </w:rPr>
              <w:t xml:space="preserve">0.38 </w:t>
            </w:r>
          </w:p>
        </w:tc>
        <w:tc>
          <w:tcPr>
            <w:tcW w:w="263" w:type="pct"/>
            <w:vAlign w:val="center"/>
          </w:tcPr>
          <w:p w14:paraId="14EAE9A3">
            <w:pPr>
              <w:widowControl/>
              <w:jc w:val="center"/>
              <w:textAlignment w:val="center"/>
              <w:rPr>
                <w:sz w:val="22"/>
                <w:szCs w:val="21"/>
              </w:rPr>
            </w:pPr>
            <w:r>
              <w:rPr>
                <w:kern w:val="0"/>
                <w:sz w:val="22"/>
                <w:szCs w:val="21"/>
                <w:lang w:bidi="ar"/>
              </w:rPr>
              <w:t xml:space="preserve">0.29 </w:t>
            </w:r>
          </w:p>
        </w:tc>
        <w:tc>
          <w:tcPr>
            <w:tcW w:w="263" w:type="pct"/>
            <w:vAlign w:val="center"/>
          </w:tcPr>
          <w:p w14:paraId="1311DCC6">
            <w:pPr>
              <w:widowControl/>
              <w:jc w:val="center"/>
              <w:textAlignment w:val="center"/>
              <w:rPr>
                <w:sz w:val="22"/>
                <w:szCs w:val="21"/>
              </w:rPr>
            </w:pPr>
            <w:r>
              <w:rPr>
                <w:kern w:val="0"/>
                <w:sz w:val="22"/>
                <w:szCs w:val="21"/>
                <w:lang w:bidi="ar"/>
              </w:rPr>
              <w:t xml:space="preserve">0.58 </w:t>
            </w:r>
          </w:p>
        </w:tc>
        <w:tc>
          <w:tcPr>
            <w:tcW w:w="673" w:type="pct"/>
            <w:vAlign w:val="center"/>
          </w:tcPr>
          <w:p w14:paraId="2F4F4124">
            <w:pPr>
              <w:widowControl/>
              <w:jc w:val="center"/>
              <w:textAlignment w:val="center"/>
              <w:rPr>
                <w:rFonts w:cs="宋体"/>
                <w:sz w:val="22"/>
                <w:szCs w:val="22"/>
              </w:rPr>
            </w:pPr>
            <w:r>
              <w:rPr>
                <w:rFonts w:hint="eastAsia" w:cs="宋体"/>
                <w:kern w:val="0"/>
                <w:sz w:val="22"/>
                <w:szCs w:val="22"/>
                <w:lang w:bidi="ar"/>
              </w:rPr>
              <w:t xml:space="preserve">0.27 </w:t>
            </w:r>
          </w:p>
        </w:tc>
        <w:tc>
          <w:tcPr>
            <w:tcW w:w="673" w:type="pct"/>
            <w:vAlign w:val="center"/>
          </w:tcPr>
          <w:p w14:paraId="0E82D82D">
            <w:pPr>
              <w:widowControl/>
              <w:jc w:val="center"/>
              <w:textAlignment w:val="center"/>
              <w:rPr>
                <w:rFonts w:cs="宋体"/>
                <w:sz w:val="22"/>
                <w:szCs w:val="22"/>
              </w:rPr>
            </w:pPr>
            <w:r>
              <w:rPr>
                <w:rFonts w:hint="eastAsia" w:cs="宋体"/>
                <w:kern w:val="0"/>
                <w:sz w:val="22"/>
                <w:szCs w:val="22"/>
                <w:lang w:bidi="ar"/>
              </w:rPr>
              <w:t xml:space="preserve">0.79 </w:t>
            </w:r>
          </w:p>
        </w:tc>
        <w:tc>
          <w:tcPr>
            <w:tcW w:w="384" w:type="pct"/>
            <w:vAlign w:val="center"/>
          </w:tcPr>
          <w:p w14:paraId="4CABDE82">
            <w:pPr>
              <w:widowControl/>
              <w:jc w:val="center"/>
              <w:textAlignment w:val="center"/>
              <w:rPr>
                <w:rFonts w:cs="宋体"/>
                <w:sz w:val="22"/>
                <w:szCs w:val="22"/>
              </w:rPr>
            </w:pPr>
            <w:r>
              <w:rPr>
                <w:rFonts w:hint="eastAsia" w:cs="宋体"/>
                <w:kern w:val="0"/>
                <w:sz w:val="22"/>
                <w:szCs w:val="22"/>
                <w:lang w:bidi="ar"/>
              </w:rPr>
              <w:t>0%</w:t>
            </w:r>
          </w:p>
        </w:tc>
      </w:tr>
      <w:tr w14:paraId="1E15E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7C54750C">
            <w:pPr>
              <w:widowControl/>
              <w:jc w:val="center"/>
              <w:textAlignment w:val="center"/>
              <w:rPr>
                <w:rFonts w:cs="宋体"/>
                <w:sz w:val="22"/>
                <w:szCs w:val="22"/>
              </w:rPr>
            </w:pPr>
            <w:r>
              <w:rPr>
                <w:rFonts w:hint="eastAsia" w:cs="宋体"/>
                <w:kern w:val="0"/>
                <w:sz w:val="22"/>
                <w:szCs w:val="22"/>
                <w:lang w:bidi="ar"/>
              </w:rPr>
              <w:t>菌落总数</w:t>
            </w:r>
          </w:p>
        </w:tc>
        <w:tc>
          <w:tcPr>
            <w:tcW w:w="609" w:type="pct"/>
            <w:vAlign w:val="center"/>
          </w:tcPr>
          <w:p w14:paraId="4F1B5641">
            <w:pPr>
              <w:widowControl/>
              <w:jc w:val="center"/>
              <w:textAlignment w:val="center"/>
              <w:rPr>
                <w:sz w:val="22"/>
                <w:szCs w:val="22"/>
              </w:rPr>
            </w:pPr>
            <w:r>
              <w:rPr>
                <w:kern w:val="0"/>
                <w:sz w:val="22"/>
                <w:szCs w:val="22"/>
                <w:lang w:bidi="ar"/>
              </w:rPr>
              <w:t>mg/L</w:t>
            </w:r>
          </w:p>
        </w:tc>
        <w:tc>
          <w:tcPr>
            <w:tcW w:w="477" w:type="pct"/>
            <w:noWrap/>
            <w:vAlign w:val="center"/>
          </w:tcPr>
          <w:p w14:paraId="66C8D00E">
            <w:pPr>
              <w:widowControl/>
              <w:jc w:val="center"/>
              <w:textAlignment w:val="center"/>
              <w:rPr>
                <w:sz w:val="22"/>
                <w:szCs w:val="22"/>
              </w:rPr>
            </w:pPr>
            <w:r>
              <w:rPr>
                <w:kern w:val="0"/>
                <w:sz w:val="22"/>
                <w:szCs w:val="22"/>
                <w:lang w:bidi="ar"/>
              </w:rPr>
              <w:t>100</w:t>
            </w:r>
          </w:p>
        </w:tc>
        <w:tc>
          <w:tcPr>
            <w:tcW w:w="263" w:type="pct"/>
            <w:vAlign w:val="center"/>
          </w:tcPr>
          <w:p w14:paraId="40E29E20">
            <w:pPr>
              <w:widowControl/>
              <w:jc w:val="center"/>
              <w:textAlignment w:val="center"/>
              <w:rPr>
                <w:sz w:val="22"/>
                <w:szCs w:val="21"/>
              </w:rPr>
            </w:pPr>
            <w:r>
              <w:rPr>
                <w:kern w:val="0"/>
                <w:sz w:val="22"/>
                <w:szCs w:val="21"/>
                <w:lang w:bidi="ar"/>
              </w:rPr>
              <w:t xml:space="preserve">0.18 </w:t>
            </w:r>
          </w:p>
        </w:tc>
        <w:tc>
          <w:tcPr>
            <w:tcW w:w="263" w:type="pct"/>
            <w:vAlign w:val="center"/>
          </w:tcPr>
          <w:p w14:paraId="50D900D3">
            <w:pPr>
              <w:widowControl/>
              <w:jc w:val="center"/>
              <w:textAlignment w:val="center"/>
              <w:rPr>
                <w:sz w:val="22"/>
                <w:szCs w:val="21"/>
              </w:rPr>
            </w:pPr>
            <w:r>
              <w:rPr>
                <w:kern w:val="0"/>
                <w:sz w:val="22"/>
                <w:szCs w:val="21"/>
                <w:lang w:bidi="ar"/>
              </w:rPr>
              <w:t xml:space="preserve">0.12 </w:t>
            </w:r>
          </w:p>
        </w:tc>
        <w:tc>
          <w:tcPr>
            <w:tcW w:w="263" w:type="pct"/>
            <w:vAlign w:val="center"/>
          </w:tcPr>
          <w:p w14:paraId="30017845">
            <w:pPr>
              <w:widowControl/>
              <w:jc w:val="center"/>
              <w:textAlignment w:val="center"/>
              <w:rPr>
                <w:sz w:val="22"/>
                <w:szCs w:val="21"/>
              </w:rPr>
            </w:pPr>
            <w:r>
              <w:rPr>
                <w:kern w:val="0"/>
                <w:sz w:val="22"/>
                <w:szCs w:val="21"/>
                <w:lang w:bidi="ar"/>
              </w:rPr>
              <w:t xml:space="preserve">0.26 </w:t>
            </w:r>
          </w:p>
        </w:tc>
        <w:tc>
          <w:tcPr>
            <w:tcW w:w="263" w:type="pct"/>
            <w:vAlign w:val="center"/>
          </w:tcPr>
          <w:p w14:paraId="436FABD5">
            <w:pPr>
              <w:widowControl/>
              <w:jc w:val="center"/>
              <w:textAlignment w:val="center"/>
              <w:rPr>
                <w:sz w:val="22"/>
                <w:szCs w:val="21"/>
              </w:rPr>
            </w:pPr>
            <w:r>
              <w:rPr>
                <w:kern w:val="0"/>
                <w:sz w:val="22"/>
                <w:szCs w:val="21"/>
                <w:lang w:bidi="ar"/>
              </w:rPr>
              <w:t xml:space="preserve">0.48 </w:t>
            </w:r>
          </w:p>
        </w:tc>
        <w:tc>
          <w:tcPr>
            <w:tcW w:w="263" w:type="pct"/>
            <w:vAlign w:val="center"/>
          </w:tcPr>
          <w:p w14:paraId="2E1FF022">
            <w:pPr>
              <w:widowControl/>
              <w:jc w:val="center"/>
              <w:textAlignment w:val="center"/>
              <w:rPr>
                <w:sz w:val="22"/>
                <w:szCs w:val="21"/>
              </w:rPr>
            </w:pPr>
            <w:r>
              <w:rPr>
                <w:kern w:val="0"/>
                <w:sz w:val="22"/>
                <w:szCs w:val="21"/>
                <w:lang w:bidi="ar"/>
              </w:rPr>
              <w:t xml:space="preserve">0.42 </w:t>
            </w:r>
          </w:p>
        </w:tc>
        <w:tc>
          <w:tcPr>
            <w:tcW w:w="673" w:type="pct"/>
            <w:vAlign w:val="center"/>
          </w:tcPr>
          <w:p w14:paraId="1A4C1575">
            <w:pPr>
              <w:widowControl/>
              <w:jc w:val="center"/>
              <w:textAlignment w:val="center"/>
              <w:rPr>
                <w:rFonts w:cs="宋体"/>
                <w:sz w:val="22"/>
                <w:szCs w:val="22"/>
              </w:rPr>
            </w:pPr>
            <w:r>
              <w:rPr>
                <w:rFonts w:hint="eastAsia" w:cs="宋体"/>
                <w:kern w:val="0"/>
                <w:sz w:val="22"/>
                <w:szCs w:val="22"/>
                <w:lang w:bidi="ar"/>
              </w:rPr>
              <w:t xml:space="preserve">0.12 </w:t>
            </w:r>
          </w:p>
        </w:tc>
        <w:tc>
          <w:tcPr>
            <w:tcW w:w="673" w:type="pct"/>
            <w:vAlign w:val="center"/>
          </w:tcPr>
          <w:p w14:paraId="73DFD975">
            <w:pPr>
              <w:widowControl/>
              <w:jc w:val="center"/>
              <w:textAlignment w:val="center"/>
              <w:rPr>
                <w:rFonts w:cs="宋体"/>
                <w:sz w:val="22"/>
                <w:szCs w:val="22"/>
              </w:rPr>
            </w:pPr>
            <w:r>
              <w:rPr>
                <w:rFonts w:hint="eastAsia" w:cs="宋体"/>
                <w:kern w:val="0"/>
                <w:sz w:val="22"/>
                <w:szCs w:val="22"/>
                <w:lang w:bidi="ar"/>
              </w:rPr>
              <w:t xml:space="preserve">0.48 </w:t>
            </w:r>
          </w:p>
        </w:tc>
        <w:tc>
          <w:tcPr>
            <w:tcW w:w="384" w:type="pct"/>
            <w:vAlign w:val="center"/>
          </w:tcPr>
          <w:p w14:paraId="6DA640EE">
            <w:pPr>
              <w:widowControl/>
              <w:jc w:val="center"/>
              <w:textAlignment w:val="center"/>
              <w:rPr>
                <w:rFonts w:cs="宋体"/>
                <w:sz w:val="22"/>
                <w:szCs w:val="22"/>
              </w:rPr>
            </w:pPr>
            <w:r>
              <w:rPr>
                <w:rFonts w:hint="eastAsia" w:cs="宋体"/>
                <w:kern w:val="0"/>
                <w:sz w:val="22"/>
                <w:szCs w:val="22"/>
                <w:lang w:bidi="ar"/>
              </w:rPr>
              <w:t>0%</w:t>
            </w:r>
          </w:p>
        </w:tc>
      </w:tr>
      <w:tr w14:paraId="02E5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4A11CAEB">
            <w:pPr>
              <w:widowControl/>
              <w:jc w:val="center"/>
              <w:textAlignment w:val="center"/>
              <w:rPr>
                <w:rFonts w:cs="宋体"/>
                <w:sz w:val="22"/>
                <w:szCs w:val="22"/>
              </w:rPr>
            </w:pPr>
            <w:r>
              <w:rPr>
                <w:rFonts w:hint="eastAsia" w:cs="宋体"/>
                <w:kern w:val="0"/>
                <w:sz w:val="22"/>
                <w:szCs w:val="22"/>
                <w:lang w:bidi="ar"/>
              </w:rPr>
              <w:t>总大肠菌群</w:t>
            </w:r>
          </w:p>
        </w:tc>
        <w:tc>
          <w:tcPr>
            <w:tcW w:w="609" w:type="pct"/>
            <w:vAlign w:val="center"/>
          </w:tcPr>
          <w:p w14:paraId="27A27409">
            <w:pPr>
              <w:widowControl/>
              <w:jc w:val="center"/>
              <w:textAlignment w:val="center"/>
              <w:rPr>
                <w:sz w:val="22"/>
                <w:szCs w:val="22"/>
              </w:rPr>
            </w:pPr>
            <w:r>
              <w:rPr>
                <w:kern w:val="0"/>
                <w:sz w:val="22"/>
                <w:szCs w:val="22"/>
                <w:lang w:bidi="ar"/>
              </w:rPr>
              <w:t>mg/L</w:t>
            </w:r>
          </w:p>
        </w:tc>
        <w:tc>
          <w:tcPr>
            <w:tcW w:w="477" w:type="pct"/>
            <w:noWrap/>
            <w:vAlign w:val="center"/>
          </w:tcPr>
          <w:p w14:paraId="1E4A4EDE">
            <w:pPr>
              <w:widowControl/>
              <w:jc w:val="center"/>
              <w:textAlignment w:val="center"/>
              <w:rPr>
                <w:sz w:val="22"/>
                <w:szCs w:val="22"/>
              </w:rPr>
            </w:pPr>
            <w:r>
              <w:rPr>
                <w:kern w:val="0"/>
                <w:sz w:val="22"/>
                <w:szCs w:val="22"/>
                <w:lang w:bidi="ar"/>
              </w:rPr>
              <w:t>3</w:t>
            </w:r>
          </w:p>
        </w:tc>
        <w:tc>
          <w:tcPr>
            <w:tcW w:w="263" w:type="pct"/>
            <w:noWrap/>
            <w:vAlign w:val="center"/>
          </w:tcPr>
          <w:p w14:paraId="23C06D12">
            <w:pPr>
              <w:widowControl/>
              <w:jc w:val="center"/>
              <w:textAlignment w:val="center"/>
              <w:rPr>
                <w:sz w:val="22"/>
                <w:szCs w:val="22"/>
              </w:rPr>
            </w:pPr>
            <w:r>
              <w:rPr>
                <w:kern w:val="0"/>
                <w:sz w:val="22"/>
                <w:szCs w:val="22"/>
                <w:lang w:bidi="ar"/>
              </w:rPr>
              <w:t>/</w:t>
            </w:r>
          </w:p>
        </w:tc>
        <w:tc>
          <w:tcPr>
            <w:tcW w:w="263" w:type="pct"/>
            <w:noWrap/>
            <w:vAlign w:val="center"/>
          </w:tcPr>
          <w:p w14:paraId="28251DE3">
            <w:pPr>
              <w:widowControl/>
              <w:jc w:val="center"/>
              <w:textAlignment w:val="center"/>
              <w:rPr>
                <w:sz w:val="22"/>
                <w:szCs w:val="22"/>
              </w:rPr>
            </w:pPr>
            <w:r>
              <w:rPr>
                <w:kern w:val="0"/>
                <w:sz w:val="22"/>
                <w:szCs w:val="22"/>
                <w:lang w:bidi="ar"/>
              </w:rPr>
              <w:t>/</w:t>
            </w:r>
          </w:p>
        </w:tc>
        <w:tc>
          <w:tcPr>
            <w:tcW w:w="263" w:type="pct"/>
            <w:noWrap/>
            <w:vAlign w:val="center"/>
          </w:tcPr>
          <w:p w14:paraId="32F858D8">
            <w:pPr>
              <w:widowControl/>
              <w:jc w:val="center"/>
              <w:textAlignment w:val="center"/>
              <w:rPr>
                <w:sz w:val="22"/>
                <w:szCs w:val="22"/>
              </w:rPr>
            </w:pPr>
            <w:r>
              <w:rPr>
                <w:kern w:val="0"/>
                <w:sz w:val="22"/>
                <w:szCs w:val="22"/>
                <w:lang w:bidi="ar"/>
              </w:rPr>
              <w:t>/</w:t>
            </w:r>
          </w:p>
        </w:tc>
        <w:tc>
          <w:tcPr>
            <w:tcW w:w="263" w:type="pct"/>
            <w:noWrap/>
            <w:vAlign w:val="center"/>
          </w:tcPr>
          <w:p w14:paraId="7C7525F7">
            <w:pPr>
              <w:widowControl/>
              <w:jc w:val="center"/>
              <w:textAlignment w:val="center"/>
              <w:rPr>
                <w:sz w:val="22"/>
                <w:szCs w:val="22"/>
              </w:rPr>
            </w:pPr>
            <w:r>
              <w:rPr>
                <w:kern w:val="0"/>
                <w:sz w:val="22"/>
                <w:szCs w:val="22"/>
                <w:lang w:bidi="ar"/>
              </w:rPr>
              <w:t>/</w:t>
            </w:r>
          </w:p>
        </w:tc>
        <w:tc>
          <w:tcPr>
            <w:tcW w:w="263" w:type="pct"/>
            <w:noWrap/>
            <w:vAlign w:val="center"/>
          </w:tcPr>
          <w:p w14:paraId="353E6A38">
            <w:pPr>
              <w:widowControl/>
              <w:jc w:val="center"/>
              <w:textAlignment w:val="center"/>
              <w:rPr>
                <w:sz w:val="22"/>
                <w:szCs w:val="22"/>
              </w:rPr>
            </w:pPr>
            <w:r>
              <w:rPr>
                <w:kern w:val="0"/>
                <w:sz w:val="22"/>
                <w:szCs w:val="22"/>
                <w:lang w:bidi="ar"/>
              </w:rPr>
              <w:t>/</w:t>
            </w:r>
          </w:p>
        </w:tc>
        <w:tc>
          <w:tcPr>
            <w:tcW w:w="673" w:type="pct"/>
            <w:noWrap/>
            <w:vAlign w:val="center"/>
          </w:tcPr>
          <w:p w14:paraId="367DB8FE">
            <w:pPr>
              <w:widowControl/>
              <w:jc w:val="center"/>
              <w:textAlignment w:val="center"/>
              <w:rPr>
                <w:sz w:val="22"/>
                <w:szCs w:val="22"/>
              </w:rPr>
            </w:pPr>
            <w:r>
              <w:rPr>
                <w:kern w:val="0"/>
                <w:sz w:val="22"/>
                <w:szCs w:val="22"/>
                <w:lang w:bidi="ar"/>
              </w:rPr>
              <w:t>/</w:t>
            </w:r>
          </w:p>
        </w:tc>
        <w:tc>
          <w:tcPr>
            <w:tcW w:w="673" w:type="pct"/>
            <w:noWrap/>
            <w:vAlign w:val="center"/>
          </w:tcPr>
          <w:p w14:paraId="102EA92A">
            <w:pPr>
              <w:widowControl/>
              <w:jc w:val="center"/>
              <w:textAlignment w:val="center"/>
              <w:rPr>
                <w:sz w:val="22"/>
                <w:szCs w:val="22"/>
              </w:rPr>
            </w:pPr>
            <w:r>
              <w:rPr>
                <w:kern w:val="0"/>
                <w:sz w:val="22"/>
                <w:szCs w:val="22"/>
                <w:lang w:bidi="ar"/>
              </w:rPr>
              <w:t>/</w:t>
            </w:r>
          </w:p>
        </w:tc>
        <w:tc>
          <w:tcPr>
            <w:tcW w:w="384" w:type="pct"/>
            <w:vAlign w:val="center"/>
          </w:tcPr>
          <w:p w14:paraId="691C6F45">
            <w:pPr>
              <w:widowControl/>
              <w:jc w:val="center"/>
              <w:textAlignment w:val="center"/>
              <w:rPr>
                <w:rFonts w:cs="宋体"/>
                <w:sz w:val="22"/>
                <w:szCs w:val="22"/>
              </w:rPr>
            </w:pPr>
            <w:r>
              <w:rPr>
                <w:rFonts w:hint="eastAsia" w:cs="宋体"/>
                <w:kern w:val="0"/>
                <w:sz w:val="22"/>
                <w:szCs w:val="22"/>
                <w:lang w:bidi="ar"/>
              </w:rPr>
              <w:t>0%</w:t>
            </w:r>
          </w:p>
        </w:tc>
      </w:tr>
      <w:tr w14:paraId="604D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3E605AA5">
            <w:pPr>
              <w:widowControl/>
              <w:jc w:val="center"/>
              <w:textAlignment w:val="center"/>
              <w:rPr>
                <w:rFonts w:cs="宋体"/>
                <w:sz w:val="22"/>
                <w:szCs w:val="22"/>
              </w:rPr>
            </w:pPr>
            <w:r>
              <w:rPr>
                <w:rFonts w:hint="eastAsia" w:cs="宋体"/>
                <w:kern w:val="0"/>
                <w:sz w:val="22"/>
                <w:szCs w:val="22"/>
                <w:lang w:bidi="ar"/>
              </w:rPr>
              <w:t>耗氧量</w:t>
            </w:r>
          </w:p>
        </w:tc>
        <w:tc>
          <w:tcPr>
            <w:tcW w:w="609" w:type="pct"/>
            <w:vAlign w:val="center"/>
          </w:tcPr>
          <w:p w14:paraId="11824D81">
            <w:pPr>
              <w:widowControl/>
              <w:jc w:val="center"/>
              <w:textAlignment w:val="center"/>
              <w:rPr>
                <w:sz w:val="22"/>
                <w:szCs w:val="22"/>
              </w:rPr>
            </w:pPr>
            <w:r>
              <w:rPr>
                <w:kern w:val="0"/>
                <w:sz w:val="22"/>
                <w:szCs w:val="22"/>
                <w:lang w:bidi="ar"/>
              </w:rPr>
              <w:t>mg/L</w:t>
            </w:r>
          </w:p>
        </w:tc>
        <w:tc>
          <w:tcPr>
            <w:tcW w:w="477" w:type="pct"/>
            <w:vAlign w:val="center"/>
          </w:tcPr>
          <w:p w14:paraId="4EE40503">
            <w:pPr>
              <w:widowControl/>
              <w:jc w:val="center"/>
              <w:textAlignment w:val="center"/>
              <w:rPr>
                <w:sz w:val="22"/>
                <w:szCs w:val="22"/>
              </w:rPr>
            </w:pPr>
            <w:r>
              <w:rPr>
                <w:kern w:val="0"/>
                <w:sz w:val="22"/>
                <w:szCs w:val="22"/>
                <w:lang w:bidi="ar"/>
              </w:rPr>
              <w:t>3</w:t>
            </w:r>
          </w:p>
        </w:tc>
        <w:tc>
          <w:tcPr>
            <w:tcW w:w="263" w:type="pct"/>
            <w:vAlign w:val="center"/>
          </w:tcPr>
          <w:p w14:paraId="1CA111F1">
            <w:pPr>
              <w:widowControl/>
              <w:jc w:val="center"/>
              <w:textAlignment w:val="center"/>
              <w:rPr>
                <w:sz w:val="22"/>
                <w:szCs w:val="21"/>
              </w:rPr>
            </w:pPr>
            <w:r>
              <w:rPr>
                <w:kern w:val="0"/>
                <w:sz w:val="22"/>
                <w:szCs w:val="21"/>
                <w:lang w:bidi="ar"/>
              </w:rPr>
              <w:t xml:space="preserve">0.12 </w:t>
            </w:r>
          </w:p>
        </w:tc>
        <w:tc>
          <w:tcPr>
            <w:tcW w:w="263" w:type="pct"/>
            <w:vAlign w:val="center"/>
          </w:tcPr>
          <w:p w14:paraId="6A3A19D3">
            <w:pPr>
              <w:widowControl/>
              <w:jc w:val="center"/>
              <w:textAlignment w:val="center"/>
              <w:rPr>
                <w:sz w:val="22"/>
                <w:szCs w:val="21"/>
              </w:rPr>
            </w:pPr>
            <w:r>
              <w:rPr>
                <w:kern w:val="0"/>
                <w:sz w:val="22"/>
                <w:szCs w:val="21"/>
                <w:lang w:bidi="ar"/>
              </w:rPr>
              <w:t xml:space="preserve">0.30 </w:t>
            </w:r>
          </w:p>
        </w:tc>
        <w:tc>
          <w:tcPr>
            <w:tcW w:w="263" w:type="pct"/>
            <w:vAlign w:val="center"/>
          </w:tcPr>
          <w:p w14:paraId="51FD943C">
            <w:pPr>
              <w:widowControl/>
              <w:jc w:val="center"/>
              <w:textAlignment w:val="center"/>
              <w:rPr>
                <w:sz w:val="22"/>
                <w:szCs w:val="21"/>
              </w:rPr>
            </w:pPr>
            <w:r>
              <w:rPr>
                <w:kern w:val="0"/>
                <w:sz w:val="22"/>
                <w:szCs w:val="21"/>
                <w:lang w:bidi="ar"/>
              </w:rPr>
              <w:t xml:space="preserve">0.12 </w:t>
            </w:r>
          </w:p>
        </w:tc>
        <w:tc>
          <w:tcPr>
            <w:tcW w:w="263" w:type="pct"/>
            <w:vAlign w:val="center"/>
          </w:tcPr>
          <w:p w14:paraId="082CA0CF">
            <w:pPr>
              <w:widowControl/>
              <w:jc w:val="center"/>
              <w:textAlignment w:val="center"/>
              <w:rPr>
                <w:sz w:val="22"/>
                <w:szCs w:val="21"/>
              </w:rPr>
            </w:pPr>
            <w:r>
              <w:rPr>
                <w:kern w:val="0"/>
                <w:sz w:val="22"/>
                <w:szCs w:val="21"/>
                <w:lang w:bidi="ar"/>
              </w:rPr>
              <w:t xml:space="preserve">0.91 </w:t>
            </w:r>
          </w:p>
        </w:tc>
        <w:tc>
          <w:tcPr>
            <w:tcW w:w="263" w:type="pct"/>
            <w:vAlign w:val="center"/>
          </w:tcPr>
          <w:p w14:paraId="3321E4F7">
            <w:pPr>
              <w:widowControl/>
              <w:jc w:val="center"/>
              <w:textAlignment w:val="center"/>
              <w:rPr>
                <w:sz w:val="22"/>
                <w:szCs w:val="21"/>
              </w:rPr>
            </w:pPr>
            <w:r>
              <w:rPr>
                <w:kern w:val="0"/>
                <w:sz w:val="22"/>
                <w:szCs w:val="21"/>
                <w:lang w:bidi="ar"/>
              </w:rPr>
              <w:t xml:space="preserve">0.05 </w:t>
            </w:r>
          </w:p>
        </w:tc>
        <w:tc>
          <w:tcPr>
            <w:tcW w:w="673" w:type="pct"/>
            <w:vAlign w:val="center"/>
          </w:tcPr>
          <w:p w14:paraId="3659A150">
            <w:pPr>
              <w:widowControl/>
              <w:jc w:val="center"/>
              <w:textAlignment w:val="center"/>
              <w:rPr>
                <w:rFonts w:cs="宋体"/>
                <w:sz w:val="22"/>
                <w:szCs w:val="22"/>
              </w:rPr>
            </w:pPr>
            <w:r>
              <w:rPr>
                <w:rFonts w:hint="eastAsia" w:cs="宋体"/>
                <w:kern w:val="0"/>
                <w:sz w:val="22"/>
                <w:szCs w:val="22"/>
                <w:lang w:bidi="ar"/>
              </w:rPr>
              <w:t xml:space="preserve">0.05 </w:t>
            </w:r>
          </w:p>
        </w:tc>
        <w:tc>
          <w:tcPr>
            <w:tcW w:w="673" w:type="pct"/>
            <w:vAlign w:val="center"/>
          </w:tcPr>
          <w:p w14:paraId="278E3BC7">
            <w:pPr>
              <w:widowControl/>
              <w:jc w:val="center"/>
              <w:textAlignment w:val="center"/>
              <w:rPr>
                <w:rFonts w:cs="宋体"/>
                <w:sz w:val="22"/>
                <w:szCs w:val="22"/>
              </w:rPr>
            </w:pPr>
            <w:r>
              <w:rPr>
                <w:rFonts w:hint="eastAsia" w:cs="宋体"/>
                <w:kern w:val="0"/>
                <w:sz w:val="22"/>
                <w:szCs w:val="22"/>
                <w:lang w:bidi="ar"/>
              </w:rPr>
              <w:t xml:space="preserve">0.91 </w:t>
            </w:r>
          </w:p>
        </w:tc>
        <w:tc>
          <w:tcPr>
            <w:tcW w:w="384" w:type="pct"/>
            <w:vAlign w:val="center"/>
          </w:tcPr>
          <w:p w14:paraId="1698003C">
            <w:pPr>
              <w:widowControl/>
              <w:jc w:val="center"/>
              <w:textAlignment w:val="center"/>
              <w:rPr>
                <w:rFonts w:cs="宋体"/>
                <w:sz w:val="22"/>
                <w:szCs w:val="22"/>
              </w:rPr>
            </w:pPr>
            <w:r>
              <w:rPr>
                <w:rFonts w:hint="eastAsia" w:cs="宋体"/>
                <w:kern w:val="0"/>
                <w:sz w:val="22"/>
                <w:szCs w:val="22"/>
                <w:lang w:bidi="ar"/>
              </w:rPr>
              <w:t>0%</w:t>
            </w:r>
          </w:p>
        </w:tc>
      </w:tr>
      <w:tr w14:paraId="12262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22E975D3">
            <w:pPr>
              <w:widowControl/>
              <w:jc w:val="center"/>
              <w:textAlignment w:val="center"/>
              <w:rPr>
                <w:rFonts w:cs="宋体"/>
                <w:sz w:val="22"/>
                <w:szCs w:val="22"/>
              </w:rPr>
            </w:pPr>
            <w:r>
              <w:rPr>
                <w:rFonts w:hint="eastAsia" w:cs="宋体"/>
                <w:kern w:val="0"/>
                <w:sz w:val="22"/>
                <w:szCs w:val="22"/>
                <w:lang w:bidi="ar"/>
              </w:rPr>
              <w:t>总硬度</w:t>
            </w:r>
          </w:p>
        </w:tc>
        <w:tc>
          <w:tcPr>
            <w:tcW w:w="609" w:type="pct"/>
            <w:vAlign w:val="center"/>
          </w:tcPr>
          <w:p w14:paraId="7159DA78">
            <w:pPr>
              <w:widowControl/>
              <w:jc w:val="center"/>
              <w:textAlignment w:val="center"/>
              <w:rPr>
                <w:sz w:val="22"/>
                <w:szCs w:val="21"/>
              </w:rPr>
            </w:pPr>
            <w:r>
              <w:rPr>
                <w:kern w:val="0"/>
                <w:sz w:val="22"/>
                <w:szCs w:val="21"/>
                <w:lang w:bidi="ar"/>
              </w:rPr>
              <w:t>mg/L</w:t>
            </w:r>
          </w:p>
        </w:tc>
        <w:tc>
          <w:tcPr>
            <w:tcW w:w="477" w:type="pct"/>
            <w:vAlign w:val="center"/>
          </w:tcPr>
          <w:p w14:paraId="1F1F1DFD">
            <w:pPr>
              <w:widowControl/>
              <w:jc w:val="center"/>
              <w:textAlignment w:val="center"/>
              <w:rPr>
                <w:sz w:val="22"/>
                <w:szCs w:val="22"/>
              </w:rPr>
            </w:pPr>
            <w:r>
              <w:rPr>
                <w:kern w:val="0"/>
                <w:sz w:val="22"/>
                <w:szCs w:val="22"/>
                <w:lang w:bidi="ar"/>
              </w:rPr>
              <w:t>450</w:t>
            </w:r>
          </w:p>
        </w:tc>
        <w:tc>
          <w:tcPr>
            <w:tcW w:w="263" w:type="pct"/>
            <w:vAlign w:val="center"/>
          </w:tcPr>
          <w:p w14:paraId="07CE3813">
            <w:pPr>
              <w:widowControl/>
              <w:jc w:val="center"/>
              <w:textAlignment w:val="center"/>
              <w:rPr>
                <w:sz w:val="22"/>
                <w:szCs w:val="21"/>
              </w:rPr>
            </w:pPr>
            <w:r>
              <w:rPr>
                <w:kern w:val="0"/>
                <w:sz w:val="22"/>
                <w:szCs w:val="21"/>
                <w:lang w:bidi="ar"/>
              </w:rPr>
              <w:t xml:space="preserve">0.35 </w:t>
            </w:r>
          </w:p>
        </w:tc>
        <w:tc>
          <w:tcPr>
            <w:tcW w:w="263" w:type="pct"/>
            <w:vAlign w:val="center"/>
          </w:tcPr>
          <w:p w14:paraId="0D49D71F">
            <w:pPr>
              <w:widowControl/>
              <w:jc w:val="center"/>
              <w:textAlignment w:val="center"/>
              <w:rPr>
                <w:sz w:val="22"/>
                <w:szCs w:val="21"/>
              </w:rPr>
            </w:pPr>
            <w:r>
              <w:rPr>
                <w:kern w:val="0"/>
                <w:sz w:val="22"/>
                <w:szCs w:val="21"/>
                <w:lang w:bidi="ar"/>
              </w:rPr>
              <w:t xml:space="preserve">0.50 </w:t>
            </w:r>
          </w:p>
        </w:tc>
        <w:tc>
          <w:tcPr>
            <w:tcW w:w="263" w:type="pct"/>
            <w:vAlign w:val="center"/>
          </w:tcPr>
          <w:p w14:paraId="64CE65CD">
            <w:pPr>
              <w:widowControl/>
              <w:jc w:val="center"/>
              <w:textAlignment w:val="center"/>
              <w:rPr>
                <w:sz w:val="22"/>
                <w:szCs w:val="21"/>
              </w:rPr>
            </w:pPr>
            <w:r>
              <w:rPr>
                <w:kern w:val="0"/>
                <w:sz w:val="22"/>
                <w:szCs w:val="21"/>
                <w:lang w:bidi="ar"/>
              </w:rPr>
              <w:t xml:space="preserve">0.37 </w:t>
            </w:r>
          </w:p>
        </w:tc>
        <w:tc>
          <w:tcPr>
            <w:tcW w:w="263" w:type="pct"/>
            <w:vAlign w:val="center"/>
          </w:tcPr>
          <w:p w14:paraId="5D244363">
            <w:pPr>
              <w:widowControl/>
              <w:jc w:val="center"/>
              <w:textAlignment w:val="center"/>
              <w:rPr>
                <w:sz w:val="22"/>
                <w:szCs w:val="21"/>
              </w:rPr>
            </w:pPr>
            <w:r>
              <w:rPr>
                <w:kern w:val="0"/>
                <w:sz w:val="22"/>
                <w:szCs w:val="21"/>
                <w:lang w:bidi="ar"/>
              </w:rPr>
              <w:t xml:space="preserve">0.23 </w:t>
            </w:r>
          </w:p>
        </w:tc>
        <w:tc>
          <w:tcPr>
            <w:tcW w:w="263" w:type="pct"/>
            <w:vAlign w:val="center"/>
          </w:tcPr>
          <w:p w14:paraId="533A059B">
            <w:pPr>
              <w:widowControl/>
              <w:jc w:val="center"/>
              <w:textAlignment w:val="center"/>
              <w:rPr>
                <w:sz w:val="22"/>
                <w:szCs w:val="21"/>
              </w:rPr>
            </w:pPr>
            <w:r>
              <w:rPr>
                <w:kern w:val="0"/>
                <w:sz w:val="22"/>
                <w:szCs w:val="21"/>
                <w:lang w:bidi="ar"/>
              </w:rPr>
              <w:t xml:space="preserve">0.25 </w:t>
            </w:r>
          </w:p>
        </w:tc>
        <w:tc>
          <w:tcPr>
            <w:tcW w:w="673" w:type="pct"/>
            <w:vAlign w:val="center"/>
          </w:tcPr>
          <w:p w14:paraId="73F5E093">
            <w:pPr>
              <w:widowControl/>
              <w:jc w:val="center"/>
              <w:textAlignment w:val="center"/>
              <w:rPr>
                <w:rFonts w:cs="宋体"/>
                <w:sz w:val="22"/>
                <w:szCs w:val="22"/>
              </w:rPr>
            </w:pPr>
            <w:r>
              <w:rPr>
                <w:rFonts w:hint="eastAsia" w:cs="宋体"/>
                <w:kern w:val="0"/>
                <w:sz w:val="22"/>
                <w:szCs w:val="22"/>
                <w:lang w:bidi="ar"/>
              </w:rPr>
              <w:t xml:space="preserve">0.23 </w:t>
            </w:r>
          </w:p>
        </w:tc>
        <w:tc>
          <w:tcPr>
            <w:tcW w:w="673" w:type="pct"/>
            <w:vAlign w:val="center"/>
          </w:tcPr>
          <w:p w14:paraId="3AB55C5E">
            <w:pPr>
              <w:widowControl/>
              <w:jc w:val="center"/>
              <w:textAlignment w:val="center"/>
              <w:rPr>
                <w:rFonts w:cs="宋体"/>
                <w:sz w:val="22"/>
                <w:szCs w:val="22"/>
              </w:rPr>
            </w:pPr>
            <w:r>
              <w:rPr>
                <w:rFonts w:hint="eastAsia" w:cs="宋体"/>
                <w:kern w:val="0"/>
                <w:sz w:val="22"/>
                <w:szCs w:val="22"/>
                <w:lang w:bidi="ar"/>
              </w:rPr>
              <w:t xml:space="preserve">0.50 </w:t>
            </w:r>
          </w:p>
        </w:tc>
        <w:tc>
          <w:tcPr>
            <w:tcW w:w="384" w:type="pct"/>
            <w:vAlign w:val="center"/>
          </w:tcPr>
          <w:p w14:paraId="5AA54A74">
            <w:pPr>
              <w:widowControl/>
              <w:jc w:val="center"/>
              <w:textAlignment w:val="center"/>
              <w:rPr>
                <w:rFonts w:cs="宋体"/>
                <w:sz w:val="22"/>
                <w:szCs w:val="22"/>
              </w:rPr>
            </w:pPr>
            <w:r>
              <w:rPr>
                <w:rFonts w:hint="eastAsia" w:cs="宋体"/>
                <w:kern w:val="0"/>
                <w:sz w:val="22"/>
                <w:szCs w:val="22"/>
                <w:lang w:bidi="ar"/>
              </w:rPr>
              <w:t>0%</w:t>
            </w:r>
          </w:p>
        </w:tc>
      </w:tr>
      <w:tr w14:paraId="5D86A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5CF9C51A">
            <w:pPr>
              <w:widowControl/>
              <w:jc w:val="center"/>
              <w:textAlignment w:val="center"/>
              <w:rPr>
                <w:rFonts w:cs="宋体"/>
                <w:sz w:val="22"/>
                <w:szCs w:val="22"/>
              </w:rPr>
            </w:pPr>
            <w:r>
              <w:rPr>
                <w:rFonts w:hint="eastAsia" w:cs="宋体"/>
                <w:kern w:val="0"/>
                <w:sz w:val="22"/>
                <w:szCs w:val="22"/>
                <w:lang w:bidi="ar"/>
              </w:rPr>
              <w:t>溶解性总固体</w:t>
            </w:r>
          </w:p>
        </w:tc>
        <w:tc>
          <w:tcPr>
            <w:tcW w:w="609" w:type="pct"/>
            <w:vAlign w:val="center"/>
          </w:tcPr>
          <w:p w14:paraId="750B6017">
            <w:pPr>
              <w:widowControl/>
              <w:jc w:val="center"/>
              <w:textAlignment w:val="center"/>
              <w:rPr>
                <w:sz w:val="22"/>
                <w:szCs w:val="22"/>
              </w:rPr>
            </w:pPr>
            <w:r>
              <w:rPr>
                <w:kern w:val="0"/>
                <w:sz w:val="22"/>
                <w:szCs w:val="22"/>
                <w:lang w:bidi="ar"/>
              </w:rPr>
              <w:t>mg/L</w:t>
            </w:r>
          </w:p>
        </w:tc>
        <w:tc>
          <w:tcPr>
            <w:tcW w:w="477" w:type="pct"/>
            <w:vAlign w:val="center"/>
          </w:tcPr>
          <w:p w14:paraId="507256E7">
            <w:pPr>
              <w:widowControl/>
              <w:jc w:val="center"/>
              <w:textAlignment w:val="center"/>
              <w:rPr>
                <w:sz w:val="22"/>
                <w:szCs w:val="22"/>
              </w:rPr>
            </w:pPr>
            <w:r>
              <w:rPr>
                <w:kern w:val="0"/>
                <w:sz w:val="22"/>
                <w:szCs w:val="22"/>
                <w:lang w:bidi="ar"/>
              </w:rPr>
              <w:t>1000</w:t>
            </w:r>
          </w:p>
        </w:tc>
        <w:tc>
          <w:tcPr>
            <w:tcW w:w="263" w:type="pct"/>
            <w:vAlign w:val="center"/>
          </w:tcPr>
          <w:p w14:paraId="4D7CC232">
            <w:pPr>
              <w:widowControl/>
              <w:jc w:val="center"/>
              <w:textAlignment w:val="center"/>
              <w:rPr>
                <w:sz w:val="22"/>
                <w:szCs w:val="21"/>
              </w:rPr>
            </w:pPr>
            <w:r>
              <w:rPr>
                <w:kern w:val="0"/>
                <w:sz w:val="22"/>
                <w:szCs w:val="21"/>
                <w:lang w:bidi="ar"/>
              </w:rPr>
              <w:t xml:space="preserve">0.21 </w:t>
            </w:r>
          </w:p>
        </w:tc>
        <w:tc>
          <w:tcPr>
            <w:tcW w:w="263" w:type="pct"/>
            <w:vAlign w:val="center"/>
          </w:tcPr>
          <w:p w14:paraId="4632CFAE">
            <w:pPr>
              <w:widowControl/>
              <w:jc w:val="center"/>
              <w:textAlignment w:val="center"/>
              <w:rPr>
                <w:sz w:val="22"/>
                <w:szCs w:val="21"/>
              </w:rPr>
            </w:pPr>
            <w:r>
              <w:rPr>
                <w:kern w:val="0"/>
                <w:sz w:val="22"/>
                <w:szCs w:val="21"/>
                <w:lang w:bidi="ar"/>
              </w:rPr>
              <w:t xml:space="preserve">0.28 </w:t>
            </w:r>
          </w:p>
        </w:tc>
        <w:tc>
          <w:tcPr>
            <w:tcW w:w="263" w:type="pct"/>
            <w:vAlign w:val="center"/>
          </w:tcPr>
          <w:p w14:paraId="2656260C">
            <w:pPr>
              <w:widowControl/>
              <w:jc w:val="center"/>
              <w:textAlignment w:val="center"/>
              <w:rPr>
                <w:sz w:val="22"/>
                <w:szCs w:val="21"/>
              </w:rPr>
            </w:pPr>
            <w:r>
              <w:rPr>
                <w:kern w:val="0"/>
                <w:sz w:val="22"/>
                <w:szCs w:val="21"/>
                <w:lang w:bidi="ar"/>
              </w:rPr>
              <w:t xml:space="preserve">0.22 </w:t>
            </w:r>
          </w:p>
        </w:tc>
        <w:tc>
          <w:tcPr>
            <w:tcW w:w="263" w:type="pct"/>
            <w:vAlign w:val="center"/>
          </w:tcPr>
          <w:p w14:paraId="51FE5A0C">
            <w:pPr>
              <w:widowControl/>
              <w:jc w:val="center"/>
              <w:textAlignment w:val="center"/>
              <w:rPr>
                <w:sz w:val="22"/>
                <w:szCs w:val="21"/>
              </w:rPr>
            </w:pPr>
            <w:r>
              <w:rPr>
                <w:kern w:val="0"/>
                <w:sz w:val="22"/>
                <w:szCs w:val="21"/>
                <w:lang w:bidi="ar"/>
              </w:rPr>
              <w:t xml:space="preserve">0.15 </w:t>
            </w:r>
          </w:p>
        </w:tc>
        <w:tc>
          <w:tcPr>
            <w:tcW w:w="263" w:type="pct"/>
            <w:vAlign w:val="center"/>
          </w:tcPr>
          <w:p w14:paraId="25D16756">
            <w:pPr>
              <w:widowControl/>
              <w:jc w:val="center"/>
              <w:textAlignment w:val="center"/>
              <w:rPr>
                <w:sz w:val="22"/>
                <w:szCs w:val="21"/>
              </w:rPr>
            </w:pPr>
            <w:r>
              <w:rPr>
                <w:kern w:val="0"/>
                <w:sz w:val="22"/>
                <w:szCs w:val="21"/>
                <w:lang w:bidi="ar"/>
              </w:rPr>
              <w:t xml:space="preserve">0.16 </w:t>
            </w:r>
          </w:p>
        </w:tc>
        <w:tc>
          <w:tcPr>
            <w:tcW w:w="673" w:type="pct"/>
            <w:vAlign w:val="center"/>
          </w:tcPr>
          <w:p w14:paraId="6D761413">
            <w:pPr>
              <w:widowControl/>
              <w:jc w:val="center"/>
              <w:textAlignment w:val="center"/>
              <w:rPr>
                <w:rFonts w:cs="宋体"/>
                <w:sz w:val="22"/>
                <w:szCs w:val="22"/>
              </w:rPr>
            </w:pPr>
            <w:r>
              <w:rPr>
                <w:rFonts w:hint="eastAsia" w:cs="宋体"/>
                <w:kern w:val="0"/>
                <w:sz w:val="22"/>
                <w:szCs w:val="22"/>
                <w:lang w:bidi="ar"/>
              </w:rPr>
              <w:t xml:space="preserve">0.15 </w:t>
            </w:r>
          </w:p>
        </w:tc>
        <w:tc>
          <w:tcPr>
            <w:tcW w:w="673" w:type="pct"/>
            <w:vAlign w:val="center"/>
          </w:tcPr>
          <w:p w14:paraId="65ED01D4">
            <w:pPr>
              <w:widowControl/>
              <w:jc w:val="center"/>
              <w:textAlignment w:val="center"/>
              <w:rPr>
                <w:rFonts w:cs="宋体"/>
                <w:sz w:val="22"/>
                <w:szCs w:val="22"/>
              </w:rPr>
            </w:pPr>
            <w:r>
              <w:rPr>
                <w:rFonts w:hint="eastAsia" w:cs="宋体"/>
                <w:kern w:val="0"/>
                <w:sz w:val="22"/>
                <w:szCs w:val="22"/>
                <w:lang w:bidi="ar"/>
              </w:rPr>
              <w:t xml:space="preserve">0.28 </w:t>
            </w:r>
          </w:p>
        </w:tc>
        <w:tc>
          <w:tcPr>
            <w:tcW w:w="384" w:type="pct"/>
            <w:vAlign w:val="center"/>
          </w:tcPr>
          <w:p w14:paraId="506C15A1">
            <w:pPr>
              <w:widowControl/>
              <w:jc w:val="center"/>
              <w:textAlignment w:val="center"/>
              <w:rPr>
                <w:rFonts w:cs="宋体"/>
                <w:sz w:val="22"/>
                <w:szCs w:val="22"/>
              </w:rPr>
            </w:pPr>
            <w:r>
              <w:rPr>
                <w:rFonts w:hint="eastAsia" w:cs="宋体"/>
                <w:kern w:val="0"/>
                <w:sz w:val="22"/>
                <w:szCs w:val="22"/>
                <w:lang w:bidi="ar"/>
              </w:rPr>
              <w:t>0%</w:t>
            </w:r>
          </w:p>
        </w:tc>
      </w:tr>
      <w:tr w14:paraId="091C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11914537">
            <w:pPr>
              <w:widowControl/>
              <w:jc w:val="center"/>
              <w:textAlignment w:val="center"/>
              <w:rPr>
                <w:rFonts w:cs="宋体"/>
                <w:sz w:val="22"/>
                <w:szCs w:val="22"/>
              </w:rPr>
            </w:pPr>
            <w:r>
              <w:rPr>
                <w:rFonts w:hint="eastAsia" w:cs="宋体"/>
                <w:kern w:val="0"/>
                <w:sz w:val="22"/>
                <w:szCs w:val="22"/>
                <w:lang w:bidi="ar"/>
              </w:rPr>
              <w:t>氯化物</w:t>
            </w:r>
          </w:p>
        </w:tc>
        <w:tc>
          <w:tcPr>
            <w:tcW w:w="609" w:type="pct"/>
            <w:vAlign w:val="center"/>
          </w:tcPr>
          <w:p w14:paraId="0D1904A2">
            <w:pPr>
              <w:widowControl/>
              <w:jc w:val="center"/>
              <w:textAlignment w:val="center"/>
              <w:rPr>
                <w:sz w:val="22"/>
                <w:szCs w:val="22"/>
              </w:rPr>
            </w:pPr>
            <w:r>
              <w:rPr>
                <w:kern w:val="0"/>
                <w:sz w:val="22"/>
                <w:szCs w:val="22"/>
                <w:lang w:bidi="ar"/>
              </w:rPr>
              <w:t>mg/L</w:t>
            </w:r>
          </w:p>
        </w:tc>
        <w:tc>
          <w:tcPr>
            <w:tcW w:w="477" w:type="pct"/>
            <w:noWrap/>
            <w:vAlign w:val="center"/>
          </w:tcPr>
          <w:p w14:paraId="13D3706E">
            <w:pPr>
              <w:widowControl/>
              <w:jc w:val="center"/>
              <w:textAlignment w:val="center"/>
              <w:rPr>
                <w:sz w:val="22"/>
                <w:szCs w:val="22"/>
              </w:rPr>
            </w:pPr>
            <w:r>
              <w:rPr>
                <w:kern w:val="0"/>
                <w:sz w:val="22"/>
                <w:szCs w:val="22"/>
                <w:lang w:bidi="ar"/>
              </w:rPr>
              <w:t>250</w:t>
            </w:r>
          </w:p>
        </w:tc>
        <w:tc>
          <w:tcPr>
            <w:tcW w:w="263" w:type="pct"/>
            <w:vAlign w:val="center"/>
          </w:tcPr>
          <w:p w14:paraId="318CDA91">
            <w:pPr>
              <w:widowControl/>
              <w:jc w:val="center"/>
              <w:textAlignment w:val="center"/>
              <w:rPr>
                <w:sz w:val="22"/>
                <w:szCs w:val="21"/>
              </w:rPr>
            </w:pPr>
            <w:r>
              <w:rPr>
                <w:kern w:val="0"/>
                <w:sz w:val="22"/>
                <w:szCs w:val="21"/>
                <w:lang w:bidi="ar"/>
              </w:rPr>
              <w:t xml:space="preserve">0.05 </w:t>
            </w:r>
          </w:p>
        </w:tc>
        <w:tc>
          <w:tcPr>
            <w:tcW w:w="263" w:type="pct"/>
            <w:vAlign w:val="center"/>
          </w:tcPr>
          <w:p w14:paraId="03A9C5C5">
            <w:pPr>
              <w:widowControl/>
              <w:jc w:val="center"/>
              <w:textAlignment w:val="center"/>
              <w:rPr>
                <w:sz w:val="22"/>
                <w:szCs w:val="21"/>
              </w:rPr>
            </w:pPr>
            <w:r>
              <w:rPr>
                <w:kern w:val="0"/>
                <w:sz w:val="22"/>
                <w:szCs w:val="21"/>
                <w:lang w:bidi="ar"/>
              </w:rPr>
              <w:t xml:space="preserve">0.10 </w:t>
            </w:r>
          </w:p>
        </w:tc>
        <w:tc>
          <w:tcPr>
            <w:tcW w:w="263" w:type="pct"/>
            <w:vAlign w:val="center"/>
          </w:tcPr>
          <w:p w14:paraId="2314C8EC">
            <w:pPr>
              <w:widowControl/>
              <w:jc w:val="center"/>
              <w:textAlignment w:val="center"/>
              <w:rPr>
                <w:sz w:val="22"/>
                <w:szCs w:val="21"/>
              </w:rPr>
            </w:pPr>
            <w:r>
              <w:rPr>
                <w:kern w:val="0"/>
                <w:sz w:val="22"/>
                <w:szCs w:val="21"/>
                <w:lang w:bidi="ar"/>
              </w:rPr>
              <w:t xml:space="preserve">0.04 </w:t>
            </w:r>
          </w:p>
        </w:tc>
        <w:tc>
          <w:tcPr>
            <w:tcW w:w="263" w:type="pct"/>
            <w:vAlign w:val="center"/>
          </w:tcPr>
          <w:p w14:paraId="6F6CBB9B">
            <w:pPr>
              <w:widowControl/>
              <w:jc w:val="center"/>
              <w:textAlignment w:val="center"/>
              <w:rPr>
                <w:sz w:val="22"/>
                <w:szCs w:val="21"/>
              </w:rPr>
            </w:pPr>
            <w:r>
              <w:rPr>
                <w:kern w:val="0"/>
                <w:sz w:val="22"/>
                <w:szCs w:val="21"/>
                <w:lang w:bidi="ar"/>
              </w:rPr>
              <w:t xml:space="preserve">0.06 </w:t>
            </w:r>
          </w:p>
        </w:tc>
        <w:tc>
          <w:tcPr>
            <w:tcW w:w="263" w:type="pct"/>
            <w:vAlign w:val="center"/>
          </w:tcPr>
          <w:p w14:paraId="39661A27">
            <w:pPr>
              <w:widowControl/>
              <w:jc w:val="center"/>
              <w:textAlignment w:val="center"/>
              <w:rPr>
                <w:sz w:val="22"/>
                <w:szCs w:val="21"/>
              </w:rPr>
            </w:pPr>
            <w:r>
              <w:rPr>
                <w:kern w:val="0"/>
                <w:sz w:val="22"/>
                <w:szCs w:val="21"/>
                <w:lang w:bidi="ar"/>
              </w:rPr>
              <w:t xml:space="preserve">0.04 </w:t>
            </w:r>
          </w:p>
        </w:tc>
        <w:tc>
          <w:tcPr>
            <w:tcW w:w="673" w:type="pct"/>
            <w:vAlign w:val="center"/>
          </w:tcPr>
          <w:p w14:paraId="1D0612ED">
            <w:pPr>
              <w:widowControl/>
              <w:jc w:val="center"/>
              <w:textAlignment w:val="center"/>
              <w:rPr>
                <w:rFonts w:cs="宋体"/>
                <w:sz w:val="22"/>
                <w:szCs w:val="22"/>
              </w:rPr>
            </w:pPr>
            <w:r>
              <w:rPr>
                <w:rFonts w:hint="eastAsia" w:cs="宋体"/>
                <w:kern w:val="0"/>
                <w:sz w:val="22"/>
                <w:szCs w:val="22"/>
                <w:lang w:bidi="ar"/>
              </w:rPr>
              <w:t xml:space="preserve">0.04 </w:t>
            </w:r>
          </w:p>
        </w:tc>
        <w:tc>
          <w:tcPr>
            <w:tcW w:w="673" w:type="pct"/>
            <w:vAlign w:val="center"/>
          </w:tcPr>
          <w:p w14:paraId="0D10CFE3">
            <w:pPr>
              <w:widowControl/>
              <w:jc w:val="center"/>
              <w:textAlignment w:val="center"/>
              <w:rPr>
                <w:rFonts w:cs="宋体"/>
                <w:sz w:val="22"/>
                <w:szCs w:val="22"/>
              </w:rPr>
            </w:pPr>
            <w:r>
              <w:rPr>
                <w:rFonts w:hint="eastAsia" w:cs="宋体"/>
                <w:kern w:val="0"/>
                <w:sz w:val="22"/>
                <w:szCs w:val="22"/>
                <w:lang w:bidi="ar"/>
              </w:rPr>
              <w:t xml:space="preserve">0.10 </w:t>
            </w:r>
          </w:p>
        </w:tc>
        <w:tc>
          <w:tcPr>
            <w:tcW w:w="384" w:type="pct"/>
            <w:vAlign w:val="center"/>
          </w:tcPr>
          <w:p w14:paraId="5903FD5F">
            <w:pPr>
              <w:widowControl/>
              <w:jc w:val="center"/>
              <w:textAlignment w:val="center"/>
              <w:rPr>
                <w:rFonts w:cs="宋体"/>
                <w:sz w:val="22"/>
                <w:szCs w:val="22"/>
              </w:rPr>
            </w:pPr>
            <w:r>
              <w:rPr>
                <w:rFonts w:hint="eastAsia" w:cs="宋体"/>
                <w:kern w:val="0"/>
                <w:sz w:val="22"/>
                <w:szCs w:val="22"/>
                <w:lang w:bidi="ar"/>
              </w:rPr>
              <w:t>0%</w:t>
            </w:r>
          </w:p>
        </w:tc>
      </w:tr>
      <w:tr w14:paraId="5141F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14D4B234">
            <w:pPr>
              <w:widowControl/>
              <w:jc w:val="center"/>
              <w:textAlignment w:val="center"/>
              <w:rPr>
                <w:rFonts w:cs="宋体"/>
                <w:sz w:val="22"/>
                <w:szCs w:val="22"/>
              </w:rPr>
            </w:pPr>
            <w:r>
              <w:rPr>
                <w:rFonts w:hint="eastAsia" w:cs="宋体"/>
                <w:kern w:val="0"/>
                <w:sz w:val="22"/>
                <w:szCs w:val="22"/>
                <w:lang w:bidi="ar"/>
              </w:rPr>
              <w:t>硫酸根</w:t>
            </w:r>
          </w:p>
        </w:tc>
        <w:tc>
          <w:tcPr>
            <w:tcW w:w="609" w:type="pct"/>
            <w:vAlign w:val="center"/>
          </w:tcPr>
          <w:p w14:paraId="3EC52C30">
            <w:pPr>
              <w:widowControl/>
              <w:jc w:val="center"/>
              <w:textAlignment w:val="center"/>
              <w:rPr>
                <w:sz w:val="22"/>
                <w:szCs w:val="22"/>
              </w:rPr>
            </w:pPr>
            <w:r>
              <w:rPr>
                <w:kern w:val="0"/>
                <w:sz w:val="22"/>
                <w:szCs w:val="22"/>
                <w:lang w:bidi="ar"/>
              </w:rPr>
              <w:t>CFU/mL</w:t>
            </w:r>
          </w:p>
        </w:tc>
        <w:tc>
          <w:tcPr>
            <w:tcW w:w="477" w:type="pct"/>
            <w:noWrap/>
            <w:vAlign w:val="center"/>
          </w:tcPr>
          <w:p w14:paraId="2D3D093A">
            <w:pPr>
              <w:widowControl/>
              <w:jc w:val="center"/>
              <w:textAlignment w:val="center"/>
              <w:rPr>
                <w:sz w:val="22"/>
                <w:szCs w:val="22"/>
              </w:rPr>
            </w:pPr>
            <w:r>
              <w:rPr>
                <w:kern w:val="0"/>
                <w:sz w:val="22"/>
                <w:szCs w:val="22"/>
                <w:lang w:bidi="ar"/>
              </w:rPr>
              <w:t>250</w:t>
            </w:r>
          </w:p>
        </w:tc>
        <w:tc>
          <w:tcPr>
            <w:tcW w:w="263" w:type="pct"/>
            <w:vAlign w:val="center"/>
          </w:tcPr>
          <w:p w14:paraId="1997BD1B">
            <w:pPr>
              <w:widowControl/>
              <w:jc w:val="center"/>
              <w:textAlignment w:val="center"/>
              <w:rPr>
                <w:sz w:val="22"/>
                <w:szCs w:val="21"/>
              </w:rPr>
            </w:pPr>
            <w:r>
              <w:rPr>
                <w:kern w:val="0"/>
                <w:sz w:val="22"/>
                <w:szCs w:val="21"/>
                <w:lang w:bidi="ar"/>
              </w:rPr>
              <w:t xml:space="preserve">0.07 </w:t>
            </w:r>
          </w:p>
        </w:tc>
        <w:tc>
          <w:tcPr>
            <w:tcW w:w="263" w:type="pct"/>
            <w:vAlign w:val="center"/>
          </w:tcPr>
          <w:p w14:paraId="6D3E6FC6">
            <w:pPr>
              <w:widowControl/>
              <w:jc w:val="center"/>
              <w:textAlignment w:val="center"/>
              <w:rPr>
                <w:sz w:val="22"/>
                <w:szCs w:val="21"/>
              </w:rPr>
            </w:pPr>
            <w:r>
              <w:rPr>
                <w:kern w:val="0"/>
                <w:sz w:val="22"/>
                <w:szCs w:val="21"/>
                <w:lang w:bidi="ar"/>
              </w:rPr>
              <w:t xml:space="preserve">0.10 </w:t>
            </w:r>
          </w:p>
        </w:tc>
        <w:tc>
          <w:tcPr>
            <w:tcW w:w="263" w:type="pct"/>
            <w:vAlign w:val="center"/>
          </w:tcPr>
          <w:p w14:paraId="0F52FD43">
            <w:pPr>
              <w:widowControl/>
              <w:jc w:val="center"/>
              <w:textAlignment w:val="center"/>
              <w:rPr>
                <w:sz w:val="22"/>
                <w:szCs w:val="21"/>
              </w:rPr>
            </w:pPr>
            <w:r>
              <w:rPr>
                <w:kern w:val="0"/>
                <w:sz w:val="22"/>
                <w:szCs w:val="21"/>
                <w:lang w:bidi="ar"/>
              </w:rPr>
              <w:t xml:space="preserve">0.09 </w:t>
            </w:r>
          </w:p>
        </w:tc>
        <w:tc>
          <w:tcPr>
            <w:tcW w:w="263" w:type="pct"/>
            <w:vAlign w:val="center"/>
          </w:tcPr>
          <w:p w14:paraId="7DCAB067">
            <w:pPr>
              <w:widowControl/>
              <w:jc w:val="center"/>
              <w:textAlignment w:val="center"/>
              <w:rPr>
                <w:sz w:val="22"/>
                <w:szCs w:val="21"/>
              </w:rPr>
            </w:pPr>
            <w:r>
              <w:rPr>
                <w:kern w:val="0"/>
                <w:sz w:val="22"/>
                <w:szCs w:val="21"/>
                <w:lang w:bidi="ar"/>
              </w:rPr>
              <w:t xml:space="preserve">0.06 </w:t>
            </w:r>
          </w:p>
        </w:tc>
        <w:tc>
          <w:tcPr>
            <w:tcW w:w="263" w:type="pct"/>
            <w:vAlign w:val="center"/>
          </w:tcPr>
          <w:p w14:paraId="63DE610B">
            <w:pPr>
              <w:widowControl/>
              <w:jc w:val="center"/>
              <w:textAlignment w:val="center"/>
              <w:rPr>
                <w:sz w:val="22"/>
                <w:szCs w:val="21"/>
              </w:rPr>
            </w:pPr>
            <w:r>
              <w:rPr>
                <w:kern w:val="0"/>
                <w:sz w:val="22"/>
                <w:szCs w:val="21"/>
                <w:lang w:bidi="ar"/>
              </w:rPr>
              <w:t xml:space="preserve">0.07 </w:t>
            </w:r>
          </w:p>
        </w:tc>
        <w:tc>
          <w:tcPr>
            <w:tcW w:w="673" w:type="pct"/>
            <w:vAlign w:val="center"/>
          </w:tcPr>
          <w:p w14:paraId="653DC620">
            <w:pPr>
              <w:widowControl/>
              <w:jc w:val="center"/>
              <w:textAlignment w:val="center"/>
              <w:rPr>
                <w:rFonts w:cs="宋体"/>
                <w:sz w:val="22"/>
                <w:szCs w:val="22"/>
              </w:rPr>
            </w:pPr>
            <w:r>
              <w:rPr>
                <w:rFonts w:hint="eastAsia" w:cs="宋体"/>
                <w:kern w:val="0"/>
                <w:sz w:val="22"/>
                <w:szCs w:val="22"/>
                <w:lang w:bidi="ar"/>
              </w:rPr>
              <w:t xml:space="preserve">0.06 </w:t>
            </w:r>
          </w:p>
        </w:tc>
        <w:tc>
          <w:tcPr>
            <w:tcW w:w="673" w:type="pct"/>
            <w:vAlign w:val="center"/>
          </w:tcPr>
          <w:p w14:paraId="0DE69F62">
            <w:pPr>
              <w:widowControl/>
              <w:jc w:val="center"/>
              <w:textAlignment w:val="center"/>
              <w:rPr>
                <w:rFonts w:cs="宋体"/>
                <w:sz w:val="22"/>
                <w:szCs w:val="22"/>
              </w:rPr>
            </w:pPr>
            <w:r>
              <w:rPr>
                <w:rFonts w:hint="eastAsia" w:cs="宋体"/>
                <w:kern w:val="0"/>
                <w:sz w:val="22"/>
                <w:szCs w:val="22"/>
                <w:lang w:bidi="ar"/>
              </w:rPr>
              <w:t xml:space="preserve">0.10 </w:t>
            </w:r>
          </w:p>
        </w:tc>
        <w:tc>
          <w:tcPr>
            <w:tcW w:w="384" w:type="pct"/>
            <w:vAlign w:val="center"/>
          </w:tcPr>
          <w:p w14:paraId="637D1956">
            <w:pPr>
              <w:widowControl/>
              <w:jc w:val="center"/>
              <w:textAlignment w:val="center"/>
              <w:rPr>
                <w:rFonts w:cs="宋体"/>
                <w:sz w:val="22"/>
                <w:szCs w:val="22"/>
              </w:rPr>
            </w:pPr>
            <w:r>
              <w:rPr>
                <w:rFonts w:hint="eastAsia" w:cs="宋体"/>
                <w:kern w:val="0"/>
                <w:sz w:val="22"/>
                <w:szCs w:val="22"/>
                <w:lang w:bidi="ar"/>
              </w:rPr>
              <w:t>0%</w:t>
            </w:r>
          </w:p>
        </w:tc>
      </w:tr>
      <w:tr w14:paraId="259C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6A5DE529">
            <w:pPr>
              <w:widowControl/>
              <w:jc w:val="center"/>
              <w:textAlignment w:val="center"/>
              <w:rPr>
                <w:rFonts w:cs="宋体"/>
                <w:sz w:val="22"/>
                <w:szCs w:val="22"/>
              </w:rPr>
            </w:pPr>
            <w:r>
              <w:rPr>
                <w:rFonts w:hint="eastAsia" w:cs="宋体"/>
                <w:kern w:val="0"/>
                <w:sz w:val="22"/>
                <w:szCs w:val="22"/>
                <w:lang w:bidi="ar"/>
              </w:rPr>
              <w:t>化学需氧量</w:t>
            </w:r>
          </w:p>
        </w:tc>
        <w:tc>
          <w:tcPr>
            <w:tcW w:w="609" w:type="pct"/>
            <w:vAlign w:val="center"/>
          </w:tcPr>
          <w:p w14:paraId="2F2D5786">
            <w:pPr>
              <w:widowControl/>
              <w:jc w:val="center"/>
              <w:textAlignment w:val="center"/>
              <w:rPr>
                <w:sz w:val="22"/>
                <w:szCs w:val="22"/>
              </w:rPr>
            </w:pPr>
            <w:r>
              <w:rPr>
                <w:kern w:val="0"/>
                <w:sz w:val="22"/>
                <w:szCs w:val="22"/>
                <w:lang w:bidi="ar"/>
              </w:rPr>
              <w:t>MPN/100mL</w:t>
            </w:r>
          </w:p>
        </w:tc>
        <w:tc>
          <w:tcPr>
            <w:tcW w:w="477" w:type="pct"/>
            <w:noWrap/>
            <w:vAlign w:val="center"/>
          </w:tcPr>
          <w:p w14:paraId="79836C4B">
            <w:pPr>
              <w:widowControl/>
              <w:jc w:val="center"/>
              <w:textAlignment w:val="center"/>
              <w:rPr>
                <w:sz w:val="22"/>
                <w:szCs w:val="22"/>
              </w:rPr>
            </w:pPr>
            <w:r>
              <w:rPr>
                <w:kern w:val="0"/>
                <w:sz w:val="22"/>
                <w:szCs w:val="22"/>
                <w:lang w:bidi="ar"/>
              </w:rPr>
              <w:t>20</w:t>
            </w:r>
          </w:p>
        </w:tc>
        <w:tc>
          <w:tcPr>
            <w:tcW w:w="263" w:type="pct"/>
            <w:vAlign w:val="center"/>
          </w:tcPr>
          <w:p w14:paraId="41DE776D">
            <w:pPr>
              <w:widowControl/>
              <w:jc w:val="center"/>
              <w:textAlignment w:val="center"/>
              <w:rPr>
                <w:sz w:val="22"/>
                <w:szCs w:val="21"/>
              </w:rPr>
            </w:pPr>
            <w:r>
              <w:rPr>
                <w:kern w:val="0"/>
                <w:sz w:val="22"/>
                <w:szCs w:val="21"/>
                <w:lang w:bidi="ar"/>
              </w:rPr>
              <w:t xml:space="preserve">0.21 </w:t>
            </w:r>
          </w:p>
        </w:tc>
        <w:tc>
          <w:tcPr>
            <w:tcW w:w="263" w:type="pct"/>
            <w:vAlign w:val="center"/>
          </w:tcPr>
          <w:p w14:paraId="0E9865F2">
            <w:pPr>
              <w:widowControl/>
              <w:jc w:val="center"/>
              <w:textAlignment w:val="center"/>
              <w:rPr>
                <w:sz w:val="22"/>
                <w:szCs w:val="21"/>
              </w:rPr>
            </w:pPr>
            <w:r>
              <w:rPr>
                <w:kern w:val="0"/>
                <w:sz w:val="22"/>
                <w:szCs w:val="21"/>
                <w:lang w:bidi="ar"/>
              </w:rPr>
              <w:t xml:space="preserve">0.33 </w:t>
            </w:r>
          </w:p>
        </w:tc>
        <w:tc>
          <w:tcPr>
            <w:tcW w:w="263" w:type="pct"/>
            <w:vAlign w:val="center"/>
          </w:tcPr>
          <w:p w14:paraId="078BA41F">
            <w:pPr>
              <w:widowControl/>
              <w:jc w:val="center"/>
              <w:textAlignment w:val="center"/>
              <w:rPr>
                <w:sz w:val="22"/>
                <w:szCs w:val="21"/>
              </w:rPr>
            </w:pPr>
            <w:r>
              <w:rPr>
                <w:kern w:val="0"/>
                <w:sz w:val="22"/>
                <w:szCs w:val="21"/>
                <w:lang w:bidi="ar"/>
              </w:rPr>
              <w:t xml:space="preserve">0.40 </w:t>
            </w:r>
          </w:p>
        </w:tc>
        <w:tc>
          <w:tcPr>
            <w:tcW w:w="263" w:type="pct"/>
            <w:vAlign w:val="center"/>
          </w:tcPr>
          <w:p w14:paraId="1323FD60">
            <w:pPr>
              <w:widowControl/>
              <w:jc w:val="center"/>
              <w:textAlignment w:val="center"/>
              <w:rPr>
                <w:sz w:val="22"/>
                <w:szCs w:val="21"/>
              </w:rPr>
            </w:pPr>
            <w:r>
              <w:rPr>
                <w:kern w:val="0"/>
                <w:sz w:val="22"/>
                <w:szCs w:val="21"/>
                <w:lang w:bidi="ar"/>
              </w:rPr>
              <w:t xml:space="preserve">0.36 </w:t>
            </w:r>
          </w:p>
        </w:tc>
        <w:tc>
          <w:tcPr>
            <w:tcW w:w="263" w:type="pct"/>
            <w:vAlign w:val="center"/>
          </w:tcPr>
          <w:p w14:paraId="66BC039F">
            <w:pPr>
              <w:widowControl/>
              <w:jc w:val="center"/>
              <w:textAlignment w:val="center"/>
              <w:rPr>
                <w:sz w:val="22"/>
                <w:szCs w:val="21"/>
              </w:rPr>
            </w:pPr>
            <w:r>
              <w:rPr>
                <w:kern w:val="0"/>
                <w:sz w:val="22"/>
                <w:szCs w:val="21"/>
                <w:lang w:bidi="ar"/>
              </w:rPr>
              <w:t xml:space="preserve">0.42 </w:t>
            </w:r>
          </w:p>
        </w:tc>
        <w:tc>
          <w:tcPr>
            <w:tcW w:w="673" w:type="pct"/>
            <w:vAlign w:val="center"/>
          </w:tcPr>
          <w:p w14:paraId="55E3C9FF">
            <w:pPr>
              <w:widowControl/>
              <w:jc w:val="center"/>
              <w:textAlignment w:val="center"/>
              <w:rPr>
                <w:rFonts w:cs="宋体"/>
                <w:sz w:val="22"/>
                <w:szCs w:val="22"/>
              </w:rPr>
            </w:pPr>
            <w:r>
              <w:rPr>
                <w:rFonts w:hint="eastAsia" w:cs="宋体"/>
                <w:kern w:val="0"/>
                <w:sz w:val="22"/>
                <w:szCs w:val="22"/>
                <w:lang w:bidi="ar"/>
              </w:rPr>
              <w:t xml:space="preserve">0.21 </w:t>
            </w:r>
          </w:p>
        </w:tc>
        <w:tc>
          <w:tcPr>
            <w:tcW w:w="673" w:type="pct"/>
            <w:vAlign w:val="center"/>
          </w:tcPr>
          <w:p w14:paraId="1EC9104F">
            <w:pPr>
              <w:widowControl/>
              <w:jc w:val="center"/>
              <w:textAlignment w:val="center"/>
              <w:rPr>
                <w:rFonts w:cs="宋体"/>
                <w:sz w:val="22"/>
                <w:szCs w:val="22"/>
              </w:rPr>
            </w:pPr>
            <w:r>
              <w:rPr>
                <w:rFonts w:hint="eastAsia" w:cs="宋体"/>
                <w:kern w:val="0"/>
                <w:sz w:val="22"/>
                <w:szCs w:val="22"/>
                <w:lang w:bidi="ar"/>
              </w:rPr>
              <w:t xml:space="preserve">0.42 </w:t>
            </w:r>
          </w:p>
        </w:tc>
        <w:tc>
          <w:tcPr>
            <w:tcW w:w="384" w:type="pct"/>
            <w:vAlign w:val="center"/>
          </w:tcPr>
          <w:p w14:paraId="228363EB">
            <w:pPr>
              <w:widowControl/>
              <w:jc w:val="center"/>
              <w:textAlignment w:val="center"/>
              <w:rPr>
                <w:rFonts w:cs="宋体"/>
                <w:sz w:val="22"/>
                <w:szCs w:val="22"/>
              </w:rPr>
            </w:pPr>
            <w:r>
              <w:rPr>
                <w:rFonts w:hint="eastAsia" w:cs="宋体"/>
                <w:kern w:val="0"/>
                <w:sz w:val="22"/>
                <w:szCs w:val="22"/>
                <w:lang w:bidi="ar"/>
              </w:rPr>
              <w:t>0%</w:t>
            </w:r>
          </w:p>
        </w:tc>
      </w:tr>
      <w:tr w14:paraId="4685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10DE58FF">
            <w:pPr>
              <w:widowControl/>
              <w:jc w:val="center"/>
              <w:textAlignment w:val="center"/>
              <w:rPr>
                <w:rFonts w:cs="宋体"/>
                <w:sz w:val="22"/>
                <w:szCs w:val="21"/>
              </w:rPr>
            </w:pPr>
            <w:r>
              <w:rPr>
                <w:rFonts w:hint="eastAsia" w:cs="宋体"/>
                <w:kern w:val="0"/>
                <w:sz w:val="22"/>
                <w:szCs w:val="21"/>
                <w:lang w:bidi="ar"/>
              </w:rPr>
              <w:t>石油烃（</w:t>
            </w:r>
            <w:r>
              <w:rPr>
                <w:kern w:val="0"/>
                <w:sz w:val="22"/>
                <w:szCs w:val="21"/>
                <w:lang w:bidi="ar"/>
              </w:rPr>
              <w:t>C</w:t>
            </w:r>
            <w:r>
              <w:rPr>
                <w:sz w:val="22"/>
                <w:lang w:bidi="ar"/>
              </w:rPr>
              <w:t>10</w:t>
            </w:r>
            <w:r>
              <w:rPr>
                <w:kern w:val="0"/>
                <w:sz w:val="22"/>
                <w:szCs w:val="21"/>
                <w:lang w:bidi="ar"/>
              </w:rPr>
              <w:t>-C</w:t>
            </w:r>
            <w:r>
              <w:rPr>
                <w:sz w:val="22"/>
                <w:lang w:bidi="ar"/>
              </w:rPr>
              <w:t>40）</w:t>
            </w:r>
          </w:p>
        </w:tc>
        <w:tc>
          <w:tcPr>
            <w:tcW w:w="609" w:type="pct"/>
            <w:vAlign w:val="center"/>
          </w:tcPr>
          <w:p w14:paraId="3D08E0D7">
            <w:pPr>
              <w:widowControl/>
              <w:jc w:val="center"/>
              <w:textAlignment w:val="center"/>
              <w:rPr>
                <w:sz w:val="22"/>
                <w:szCs w:val="21"/>
              </w:rPr>
            </w:pPr>
            <w:r>
              <w:rPr>
                <w:kern w:val="0"/>
                <w:sz w:val="22"/>
                <w:szCs w:val="21"/>
                <w:lang w:bidi="ar"/>
              </w:rPr>
              <w:t>mg/L</w:t>
            </w:r>
          </w:p>
        </w:tc>
        <w:tc>
          <w:tcPr>
            <w:tcW w:w="477" w:type="pct"/>
            <w:noWrap/>
            <w:vAlign w:val="bottom"/>
          </w:tcPr>
          <w:p w14:paraId="18A66669">
            <w:pPr>
              <w:widowControl/>
              <w:jc w:val="left"/>
              <w:textAlignment w:val="bottom"/>
              <w:rPr>
                <w:rFonts w:cs="等线"/>
                <w:sz w:val="22"/>
                <w:szCs w:val="22"/>
              </w:rPr>
            </w:pPr>
            <w:r>
              <w:rPr>
                <w:kern w:val="0"/>
                <w:sz w:val="22"/>
                <w:szCs w:val="22"/>
                <w:lang w:bidi="ar"/>
              </w:rPr>
              <w:t>/</w:t>
            </w:r>
          </w:p>
        </w:tc>
        <w:tc>
          <w:tcPr>
            <w:tcW w:w="263" w:type="pct"/>
            <w:noWrap/>
            <w:vAlign w:val="center"/>
          </w:tcPr>
          <w:p w14:paraId="42B37681">
            <w:pPr>
              <w:widowControl/>
              <w:jc w:val="center"/>
              <w:textAlignment w:val="center"/>
              <w:rPr>
                <w:sz w:val="22"/>
                <w:szCs w:val="22"/>
              </w:rPr>
            </w:pPr>
            <w:r>
              <w:rPr>
                <w:kern w:val="0"/>
                <w:sz w:val="22"/>
                <w:szCs w:val="22"/>
                <w:lang w:bidi="ar"/>
              </w:rPr>
              <w:t>/</w:t>
            </w:r>
          </w:p>
        </w:tc>
        <w:tc>
          <w:tcPr>
            <w:tcW w:w="263" w:type="pct"/>
            <w:noWrap/>
            <w:vAlign w:val="center"/>
          </w:tcPr>
          <w:p w14:paraId="79D5FAB7">
            <w:pPr>
              <w:widowControl/>
              <w:jc w:val="center"/>
              <w:textAlignment w:val="center"/>
              <w:rPr>
                <w:sz w:val="22"/>
                <w:szCs w:val="22"/>
              </w:rPr>
            </w:pPr>
            <w:r>
              <w:rPr>
                <w:kern w:val="0"/>
                <w:sz w:val="22"/>
                <w:szCs w:val="22"/>
                <w:lang w:bidi="ar"/>
              </w:rPr>
              <w:t>/</w:t>
            </w:r>
          </w:p>
        </w:tc>
        <w:tc>
          <w:tcPr>
            <w:tcW w:w="263" w:type="pct"/>
            <w:noWrap/>
            <w:vAlign w:val="center"/>
          </w:tcPr>
          <w:p w14:paraId="2100461A">
            <w:pPr>
              <w:widowControl/>
              <w:jc w:val="center"/>
              <w:textAlignment w:val="center"/>
              <w:rPr>
                <w:sz w:val="22"/>
                <w:szCs w:val="22"/>
              </w:rPr>
            </w:pPr>
            <w:r>
              <w:rPr>
                <w:kern w:val="0"/>
                <w:sz w:val="22"/>
                <w:szCs w:val="22"/>
                <w:lang w:bidi="ar"/>
              </w:rPr>
              <w:t>/</w:t>
            </w:r>
          </w:p>
        </w:tc>
        <w:tc>
          <w:tcPr>
            <w:tcW w:w="263" w:type="pct"/>
            <w:noWrap/>
            <w:vAlign w:val="center"/>
          </w:tcPr>
          <w:p w14:paraId="228E2498">
            <w:pPr>
              <w:widowControl/>
              <w:jc w:val="center"/>
              <w:textAlignment w:val="center"/>
              <w:rPr>
                <w:sz w:val="22"/>
                <w:szCs w:val="22"/>
              </w:rPr>
            </w:pPr>
            <w:r>
              <w:rPr>
                <w:kern w:val="0"/>
                <w:sz w:val="22"/>
                <w:szCs w:val="22"/>
                <w:lang w:bidi="ar"/>
              </w:rPr>
              <w:t>/</w:t>
            </w:r>
          </w:p>
        </w:tc>
        <w:tc>
          <w:tcPr>
            <w:tcW w:w="263" w:type="pct"/>
            <w:noWrap/>
            <w:vAlign w:val="center"/>
          </w:tcPr>
          <w:p w14:paraId="421EAA32">
            <w:pPr>
              <w:widowControl/>
              <w:jc w:val="center"/>
              <w:textAlignment w:val="center"/>
              <w:rPr>
                <w:sz w:val="22"/>
                <w:szCs w:val="22"/>
              </w:rPr>
            </w:pPr>
            <w:r>
              <w:rPr>
                <w:kern w:val="0"/>
                <w:sz w:val="22"/>
                <w:szCs w:val="22"/>
                <w:lang w:bidi="ar"/>
              </w:rPr>
              <w:t>/</w:t>
            </w:r>
          </w:p>
        </w:tc>
        <w:tc>
          <w:tcPr>
            <w:tcW w:w="673" w:type="pct"/>
            <w:noWrap/>
            <w:vAlign w:val="center"/>
          </w:tcPr>
          <w:p w14:paraId="2D7404E0">
            <w:pPr>
              <w:widowControl/>
              <w:jc w:val="center"/>
              <w:textAlignment w:val="center"/>
              <w:rPr>
                <w:sz w:val="22"/>
                <w:szCs w:val="22"/>
              </w:rPr>
            </w:pPr>
            <w:r>
              <w:rPr>
                <w:kern w:val="0"/>
                <w:sz w:val="22"/>
                <w:szCs w:val="22"/>
                <w:lang w:bidi="ar"/>
              </w:rPr>
              <w:t>/</w:t>
            </w:r>
          </w:p>
        </w:tc>
        <w:tc>
          <w:tcPr>
            <w:tcW w:w="673" w:type="pct"/>
            <w:noWrap/>
            <w:vAlign w:val="center"/>
          </w:tcPr>
          <w:p w14:paraId="56EBCE81">
            <w:pPr>
              <w:widowControl/>
              <w:jc w:val="center"/>
              <w:textAlignment w:val="center"/>
              <w:rPr>
                <w:sz w:val="22"/>
                <w:szCs w:val="22"/>
              </w:rPr>
            </w:pPr>
            <w:r>
              <w:rPr>
                <w:kern w:val="0"/>
                <w:sz w:val="22"/>
                <w:szCs w:val="22"/>
                <w:lang w:bidi="ar"/>
              </w:rPr>
              <w:t>/</w:t>
            </w:r>
          </w:p>
        </w:tc>
        <w:tc>
          <w:tcPr>
            <w:tcW w:w="384" w:type="pct"/>
            <w:vAlign w:val="center"/>
          </w:tcPr>
          <w:p w14:paraId="2F5E0F7E">
            <w:pPr>
              <w:widowControl/>
              <w:jc w:val="center"/>
              <w:textAlignment w:val="center"/>
              <w:rPr>
                <w:rFonts w:cs="宋体"/>
                <w:sz w:val="22"/>
                <w:szCs w:val="22"/>
              </w:rPr>
            </w:pPr>
            <w:r>
              <w:rPr>
                <w:rFonts w:hint="eastAsia" w:cs="宋体"/>
                <w:kern w:val="0"/>
                <w:sz w:val="22"/>
                <w:szCs w:val="22"/>
                <w:lang w:bidi="ar"/>
              </w:rPr>
              <w:t>0%</w:t>
            </w:r>
          </w:p>
        </w:tc>
      </w:tr>
      <w:tr w14:paraId="4C62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7E06B274">
            <w:pPr>
              <w:widowControl/>
              <w:jc w:val="center"/>
              <w:textAlignment w:val="center"/>
              <w:rPr>
                <w:rFonts w:cs="宋体"/>
                <w:sz w:val="22"/>
                <w:szCs w:val="21"/>
              </w:rPr>
            </w:pPr>
            <w:r>
              <w:rPr>
                <w:rFonts w:hint="eastAsia" w:cs="宋体"/>
                <w:kern w:val="0"/>
                <w:sz w:val="22"/>
                <w:szCs w:val="21"/>
                <w:lang w:bidi="ar"/>
              </w:rPr>
              <w:t>石油烃（</w:t>
            </w:r>
            <w:r>
              <w:rPr>
                <w:kern w:val="0"/>
                <w:sz w:val="22"/>
                <w:szCs w:val="21"/>
                <w:lang w:bidi="ar"/>
              </w:rPr>
              <w:t>C</w:t>
            </w:r>
            <w:r>
              <w:rPr>
                <w:sz w:val="22"/>
                <w:lang w:bidi="ar"/>
              </w:rPr>
              <w:t>6</w:t>
            </w:r>
            <w:r>
              <w:rPr>
                <w:kern w:val="0"/>
                <w:sz w:val="22"/>
                <w:szCs w:val="21"/>
                <w:lang w:bidi="ar"/>
              </w:rPr>
              <w:t>-C</w:t>
            </w:r>
            <w:r>
              <w:rPr>
                <w:sz w:val="22"/>
                <w:lang w:bidi="ar"/>
              </w:rPr>
              <w:t>9）</w:t>
            </w:r>
          </w:p>
        </w:tc>
        <w:tc>
          <w:tcPr>
            <w:tcW w:w="609" w:type="pct"/>
            <w:vAlign w:val="center"/>
          </w:tcPr>
          <w:p w14:paraId="61F91050">
            <w:pPr>
              <w:widowControl/>
              <w:jc w:val="center"/>
              <w:textAlignment w:val="center"/>
              <w:rPr>
                <w:sz w:val="22"/>
                <w:szCs w:val="21"/>
              </w:rPr>
            </w:pPr>
            <w:r>
              <w:rPr>
                <w:kern w:val="0"/>
                <w:sz w:val="22"/>
                <w:szCs w:val="21"/>
                <w:lang w:bidi="ar"/>
              </w:rPr>
              <w:t>mg/L</w:t>
            </w:r>
          </w:p>
        </w:tc>
        <w:tc>
          <w:tcPr>
            <w:tcW w:w="477" w:type="pct"/>
            <w:noWrap/>
            <w:vAlign w:val="bottom"/>
          </w:tcPr>
          <w:p w14:paraId="2AF3B6CA">
            <w:pPr>
              <w:widowControl/>
              <w:jc w:val="left"/>
              <w:textAlignment w:val="bottom"/>
              <w:rPr>
                <w:rFonts w:cs="等线"/>
                <w:sz w:val="22"/>
                <w:szCs w:val="22"/>
              </w:rPr>
            </w:pPr>
            <w:r>
              <w:rPr>
                <w:kern w:val="0"/>
                <w:sz w:val="22"/>
                <w:szCs w:val="22"/>
                <w:lang w:bidi="ar"/>
              </w:rPr>
              <w:t>/</w:t>
            </w:r>
          </w:p>
        </w:tc>
        <w:tc>
          <w:tcPr>
            <w:tcW w:w="263" w:type="pct"/>
            <w:noWrap/>
            <w:vAlign w:val="center"/>
          </w:tcPr>
          <w:p w14:paraId="62B8222C">
            <w:pPr>
              <w:widowControl/>
              <w:jc w:val="center"/>
              <w:textAlignment w:val="center"/>
              <w:rPr>
                <w:sz w:val="22"/>
                <w:szCs w:val="22"/>
              </w:rPr>
            </w:pPr>
            <w:r>
              <w:rPr>
                <w:kern w:val="0"/>
                <w:sz w:val="22"/>
                <w:szCs w:val="22"/>
                <w:lang w:bidi="ar"/>
              </w:rPr>
              <w:t>/</w:t>
            </w:r>
          </w:p>
        </w:tc>
        <w:tc>
          <w:tcPr>
            <w:tcW w:w="263" w:type="pct"/>
            <w:noWrap/>
            <w:vAlign w:val="center"/>
          </w:tcPr>
          <w:p w14:paraId="4D03D411">
            <w:pPr>
              <w:widowControl/>
              <w:jc w:val="center"/>
              <w:textAlignment w:val="center"/>
              <w:rPr>
                <w:sz w:val="22"/>
                <w:szCs w:val="22"/>
              </w:rPr>
            </w:pPr>
            <w:r>
              <w:rPr>
                <w:kern w:val="0"/>
                <w:sz w:val="22"/>
                <w:szCs w:val="22"/>
                <w:lang w:bidi="ar"/>
              </w:rPr>
              <w:t>/</w:t>
            </w:r>
          </w:p>
        </w:tc>
        <w:tc>
          <w:tcPr>
            <w:tcW w:w="263" w:type="pct"/>
            <w:noWrap/>
            <w:vAlign w:val="center"/>
          </w:tcPr>
          <w:p w14:paraId="26EB611A">
            <w:pPr>
              <w:widowControl/>
              <w:jc w:val="center"/>
              <w:textAlignment w:val="center"/>
              <w:rPr>
                <w:sz w:val="22"/>
                <w:szCs w:val="22"/>
              </w:rPr>
            </w:pPr>
            <w:r>
              <w:rPr>
                <w:kern w:val="0"/>
                <w:sz w:val="22"/>
                <w:szCs w:val="22"/>
                <w:lang w:bidi="ar"/>
              </w:rPr>
              <w:t>/</w:t>
            </w:r>
          </w:p>
        </w:tc>
        <w:tc>
          <w:tcPr>
            <w:tcW w:w="263" w:type="pct"/>
            <w:noWrap/>
            <w:vAlign w:val="center"/>
          </w:tcPr>
          <w:p w14:paraId="2EF8DC84">
            <w:pPr>
              <w:widowControl/>
              <w:jc w:val="center"/>
              <w:textAlignment w:val="center"/>
              <w:rPr>
                <w:sz w:val="22"/>
                <w:szCs w:val="22"/>
              </w:rPr>
            </w:pPr>
            <w:r>
              <w:rPr>
                <w:kern w:val="0"/>
                <w:sz w:val="22"/>
                <w:szCs w:val="22"/>
                <w:lang w:bidi="ar"/>
              </w:rPr>
              <w:t>/</w:t>
            </w:r>
          </w:p>
        </w:tc>
        <w:tc>
          <w:tcPr>
            <w:tcW w:w="263" w:type="pct"/>
            <w:noWrap/>
            <w:vAlign w:val="center"/>
          </w:tcPr>
          <w:p w14:paraId="1C308507">
            <w:pPr>
              <w:widowControl/>
              <w:jc w:val="center"/>
              <w:textAlignment w:val="center"/>
              <w:rPr>
                <w:sz w:val="22"/>
                <w:szCs w:val="22"/>
              </w:rPr>
            </w:pPr>
            <w:r>
              <w:rPr>
                <w:kern w:val="0"/>
                <w:sz w:val="22"/>
                <w:szCs w:val="22"/>
                <w:lang w:bidi="ar"/>
              </w:rPr>
              <w:t>/</w:t>
            </w:r>
          </w:p>
        </w:tc>
        <w:tc>
          <w:tcPr>
            <w:tcW w:w="673" w:type="pct"/>
            <w:noWrap/>
            <w:vAlign w:val="center"/>
          </w:tcPr>
          <w:p w14:paraId="0C6C258D">
            <w:pPr>
              <w:widowControl/>
              <w:jc w:val="center"/>
              <w:textAlignment w:val="center"/>
              <w:rPr>
                <w:sz w:val="22"/>
                <w:szCs w:val="22"/>
              </w:rPr>
            </w:pPr>
            <w:r>
              <w:rPr>
                <w:kern w:val="0"/>
                <w:sz w:val="22"/>
                <w:szCs w:val="22"/>
                <w:lang w:bidi="ar"/>
              </w:rPr>
              <w:t>/</w:t>
            </w:r>
          </w:p>
        </w:tc>
        <w:tc>
          <w:tcPr>
            <w:tcW w:w="673" w:type="pct"/>
            <w:noWrap/>
            <w:vAlign w:val="center"/>
          </w:tcPr>
          <w:p w14:paraId="2BE95B0E">
            <w:pPr>
              <w:widowControl/>
              <w:jc w:val="center"/>
              <w:textAlignment w:val="center"/>
              <w:rPr>
                <w:sz w:val="22"/>
                <w:szCs w:val="22"/>
              </w:rPr>
            </w:pPr>
            <w:r>
              <w:rPr>
                <w:kern w:val="0"/>
                <w:sz w:val="22"/>
                <w:szCs w:val="22"/>
                <w:lang w:bidi="ar"/>
              </w:rPr>
              <w:t>/</w:t>
            </w:r>
          </w:p>
        </w:tc>
        <w:tc>
          <w:tcPr>
            <w:tcW w:w="384" w:type="pct"/>
            <w:vAlign w:val="center"/>
          </w:tcPr>
          <w:p w14:paraId="3256F0D8">
            <w:pPr>
              <w:widowControl/>
              <w:jc w:val="center"/>
              <w:textAlignment w:val="center"/>
              <w:rPr>
                <w:rFonts w:cs="宋体"/>
                <w:sz w:val="22"/>
                <w:szCs w:val="22"/>
              </w:rPr>
            </w:pPr>
            <w:r>
              <w:rPr>
                <w:rFonts w:hint="eastAsia" w:cs="宋体"/>
                <w:kern w:val="0"/>
                <w:sz w:val="22"/>
                <w:szCs w:val="22"/>
                <w:lang w:bidi="ar"/>
              </w:rPr>
              <w:t>0%</w:t>
            </w:r>
          </w:p>
        </w:tc>
      </w:tr>
    </w:tbl>
    <w:p w14:paraId="1C66E78A">
      <w:pPr>
        <w:pStyle w:val="1379"/>
        <w:ind w:firstLine="440"/>
      </w:pPr>
    </w:p>
    <w:p w14:paraId="32CD5C6B">
      <w:pPr>
        <w:tabs>
          <w:tab w:val="left" w:pos="5925"/>
        </w:tabs>
        <w:overflowPunct w:val="0"/>
        <w:spacing w:line="460" w:lineRule="atLeast"/>
        <w:ind w:firstLine="520" w:firstLineChars="200"/>
        <w:rPr>
          <w:sz w:val="26"/>
          <w:szCs w:val="26"/>
        </w:rPr>
        <w:sectPr>
          <w:pgSz w:w="16838" w:h="11906" w:orient="landscape"/>
          <w:pgMar w:top="1588" w:right="1701" w:bottom="1588" w:left="1588" w:header="1304" w:footer="1247" w:gutter="0"/>
          <w:cols w:space="720" w:num="1"/>
          <w:docGrid w:linePitch="312" w:charSpace="0"/>
        </w:sectPr>
      </w:pPr>
    </w:p>
    <w:p w14:paraId="0B5F530F">
      <w:pPr>
        <w:pStyle w:val="1068"/>
        <w:rPr>
          <w:rFonts w:cs="Times New Roman"/>
        </w:rPr>
      </w:pPr>
      <w:bookmarkStart w:id="223" w:name="_Toc165810531"/>
      <w:r>
        <w:rPr>
          <w:rFonts w:cs="Times New Roman"/>
        </w:rPr>
        <w:t>4.2.4 声环境质量</w:t>
      </w:r>
      <w:bookmarkEnd w:id="223"/>
    </w:p>
    <w:p w14:paraId="63022649">
      <w:pPr>
        <w:spacing w:line="460" w:lineRule="exact"/>
        <w:ind w:firstLine="520" w:firstLineChars="200"/>
        <w:rPr>
          <w:sz w:val="26"/>
          <w:szCs w:val="26"/>
        </w:rPr>
      </w:pPr>
      <w:r>
        <w:rPr>
          <w:sz w:val="26"/>
          <w:szCs w:val="26"/>
        </w:rPr>
        <w:t>为了解区域声环境质量现状，</w:t>
      </w:r>
      <w:r>
        <w:rPr>
          <w:rFonts w:hint="eastAsia"/>
          <w:sz w:val="26"/>
          <w:szCs w:val="26"/>
        </w:rPr>
        <w:t>本次环评</w:t>
      </w:r>
      <w:r>
        <w:rPr>
          <w:sz w:val="26"/>
          <w:szCs w:val="26"/>
        </w:rPr>
        <w:t>委托四川力博检测有限公司于2026年3月25日-3</w:t>
      </w:r>
      <w:r>
        <w:rPr>
          <w:rFonts w:hint="eastAsia"/>
          <w:sz w:val="26"/>
          <w:szCs w:val="26"/>
        </w:rPr>
        <w:t>月2</w:t>
      </w:r>
      <w:r>
        <w:rPr>
          <w:sz w:val="26"/>
          <w:szCs w:val="26"/>
        </w:rPr>
        <w:t>6</w:t>
      </w:r>
      <w:r>
        <w:rPr>
          <w:rFonts w:hint="eastAsia"/>
          <w:sz w:val="26"/>
          <w:szCs w:val="26"/>
        </w:rPr>
        <w:t>日</w:t>
      </w:r>
      <w:r>
        <w:rPr>
          <w:sz w:val="26"/>
          <w:szCs w:val="26"/>
        </w:rPr>
        <w:t>对区域声环境敏感点进行了现状监测。</w:t>
      </w:r>
    </w:p>
    <w:p w14:paraId="6483B56E">
      <w:pPr>
        <w:spacing w:line="460" w:lineRule="exact"/>
        <w:ind w:firstLine="520" w:firstLineChars="200"/>
        <w:rPr>
          <w:sz w:val="26"/>
          <w:szCs w:val="26"/>
        </w:rPr>
      </w:pPr>
      <w:r>
        <w:rPr>
          <w:sz w:val="26"/>
          <w:szCs w:val="26"/>
        </w:rPr>
        <w:t>（1）监测点位</w:t>
      </w:r>
    </w:p>
    <w:p w14:paraId="2BD420EB">
      <w:pPr>
        <w:pStyle w:val="1379"/>
        <w:ind w:firstLine="440"/>
      </w:pPr>
    </w:p>
    <w:p w14:paraId="03FF96B1">
      <w:pPr>
        <w:pStyle w:val="1065"/>
        <w:rPr>
          <w:kern w:val="0"/>
        </w:rPr>
      </w:pPr>
      <w:r>
        <w:t>表4.2-11  声环境监测布点表</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3965"/>
        <w:gridCol w:w="2029"/>
        <w:gridCol w:w="1755"/>
      </w:tblGrid>
      <w:tr w14:paraId="50C89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97" w:type="dxa"/>
            <w:vAlign w:val="center"/>
          </w:tcPr>
          <w:p w14:paraId="7F44A411">
            <w:pPr>
              <w:adjustRightInd w:val="0"/>
              <w:snapToGrid w:val="0"/>
              <w:jc w:val="center"/>
              <w:rPr>
                <w:kern w:val="0"/>
                <w:sz w:val="22"/>
                <w:szCs w:val="22"/>
              </w:rPr>
            </w:pPr>
            <w:r>
              <w:rPr>
                <w:kern w:val="0"/>
                <w:sz w:val="22"/>
                <w:szCs w:val="22"/>
              </w:rPr>
              <w:t>编号</w:t>
            </w:r>
          </w:p>
        </w:tc>
        <w:tc>
          <w:tcPr>
            <w:tcW w:w="3965" w:type="dxa"/>
            <w:vAlign w:val="center"/>
          </w:tcPr>
          <w:p w14:paraId="075720FB">
            <w:pPr>
              <w:adjustRightInd w:val="0"/>
              <w:snapToGrid w:val="0"/>
              <w:jc w:val="center"/>
              <w:rPr>
                <w:kern w:val="0"/>
                <w:sz w:val="22"/>
                <w:szCs w:val="22"/>
              </w:rPr>
            </w:pPr>
            <w:r>
              <w:rPr>
                <w:kern w:val="0"/>
                <w:sz w:val="22"/>
                <w:szCs w:val="22"/>
              </w:rPr>
              <w:t>点位</w:t>
            </w:r>
          </w:p>
        </w:tc>
        <w:tc>
          <w:tcPr>
            <w:tcW w:w="2029" w:type="dxa"/>
            <w:vAlign w:val="center"/>
          </w:tcPr>
          <w:p w14:paraId="3498F9F4">
            <w:pPr>
              <w:adjustRightInd w:val="0"/>
              <w:snapToGrid w:val="0"/>
              <w:jc w:val="center"/>
              <w:rPr>
                <w:kern w:val="0"/>
                <w:sz w:val="22"/>
                <w:szCs w:val="22"/>
              </w:rPr>
            </w:pPr>
            <w:r>
              <w:rPr>
                <w:rFonts w:hint="eastAsia"/>
                <w:kern w:val="0"/>
                <w:sz w:val="22"/>
                <w:szCs w:val="22"/>
              </w:rPr>
              <w:t>经度</w:t>
            </w:r>
            <w:r>
              <w:rPr>
                <w:rFonts w:hint="eastAsia"/>
              </w:rPr>
              <w:t>/°</w:t>
            </w:r>
          </w:p>
        </w:tc>
        <w:tc>
          <w:tcPr>
            <w:tcW w:w="1755" w:type="dxa"/>
            <w:vAlign w:val="center"/>
          </w:tcPr>
          <w:p w14:paraId="6BB9C507">
            <w:pPr>
              <w:adjustRightInd w:val="0"/>
              <w:snapToGrid w:val="0"/>
              <w:jc w:val="center"/>
              <w:rPr>
                <w:kern w:val="0"/>
                <w:sz w:val="22"/>
                <w:szCs w:val="22"/>
              </w:rPr>
            </w:pPr>
            <w:r>
              <w:rPr>
                <w:rFonts w:hint="eastAsia"/>
                <w:kern w:val="0"/>
                <w:sz w:val="22"/>
                <w:szCs w:val="22"/>
              </w:rPr>
              <w:t>纬度</w:t>
            </w:r>
            <w:r>
              <w:rPr>
                <w:rFonts w:hint="eastAsia"/>
              </w:rPr>
              <w:t>/°</w:t>
            </w:r>
          </w:p>
        </w:tc>
      </w:tr>
      <w:tr w14:paraId="2478A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97" w:type="dxa"/>
            <w:vAlign w:val="center"/>
          </w:tcPr>
          <w:p w14:paraId="396FD01F">
            <w:pPr>
              <w:adjustRightInd w:val="0"/>
              <w:snapToGrid w:val="0"/>
              <w:jc w:val="center"/>
              <w:rPr>
                <w:kern w:val="0"/>
                <w:sz w:val="22"/>
                <w:szCs w:val="22"/>
              </w:rPr>
            </w:pPr>
            <w:r>
              <w:rPr>
                <w:kern w:val="0"/>
                <w:sz w:val="22"/>
                <w:szCs w:val="22"/>
              </w:rPr>
              <w:t>N1</w:t>
            </w:r>
          </w:p>
        </w:tc>
        <w:tc>
          <w:tcPr>
            <w:tcW w:w="3965" w:type="dxa"/>
            <w:vAlign w:val="center"/>
          </w:tcPr>
          <w:p w14:paraId="118FF94D">
            <w:pPr>
              <w:adjustRightInd w:val="0"/>
              <w:snapToGrid w:val="0"/>
              <w:jc w:val="center"/>
              <w:rPr>
                <w:kern w:val="0"/>
                <w:sz w:val="22"/>
                <w:szCs w:val="22"/>
              </w:rPr>
            </w:pPr>
            <w:r>
              <w:rPr>
                <w:rFonts w:hint="eastAsia"/>
                <w:bCs/>
                <w:szCs w:val="21"/>
              </w:rPr>
              <w:t>站场东侧厂界外1m高1.5m处</w:t>
            </w:r>
          </w:p>
        </w:tc>
        <w:tc>
          <w:tcPr>
            <w:tcW w:w="2029" w:type="dxa"/>
            <w:vAlign w:val="center"/>
          </w:tcPr>
          <w:p w14:paraId="5B5BAFC0">
            <w:pPr>
              <w:pStyle w:val="1444"/>
            </w:pPr>
            <w:r>
              <w:rPr>
                <w:kern w:val="0"/>
                <w:szCs w:val="22"/>
              </w:rPr>
              <w:t>106.429495811</w:t>
            </w:r>
          </w:p>
        </w:tc>
        <w:tc>
          <w:tcPr>
            <w:tcW w:w="1755" w:type="dxa"/>
            <w:vAlign w:val="center"/>
          </w:tcPr>
          <w:p w14:paraId="67723C1A">
            <w:pPr>
              <w:pStyle w:val="1444"/>
            </w:pPr>
            <w:r>
              <w:rPr>
                <w:kern w:val="0"/>
                <w:szCs w:val="22"/>
              </w:rPr>
              <w:t>31.790404831</w:t>
            </w:r>
          </w:p>
        </w:tc>
      </w:tr>
      <w:tr w14:paraId="3AD8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97" w:type="dxa"/>
            <w:vAlign w:val="center"/>
          </w:tcPr>
          <w:p w14:paraId="446F488C">
            <w:pPr>
              <w:adjustRightInd w:val="0"/>
              <w:snapToGrid w:val="0"/>
              <w:jc w:val="center"/>
              <w:rPr>
                <w:kern w:val="0"/>
                <w:sz w:val="22"/>
                <w:szCs w:val="22"/>
              </w:rPr>
            </w:pPr>
            <w:r>
              <w:rPr>
                <w:kern w:val="0"/>
                <w:sz w:val="22"/>
                <w:szCs w:val="22"/>
              </w:rPr>
              <w:t>N2</w:t>
            </w:r>
          </w:p>
        </w:tc>
        <w:tc>
          <w:tcPr>
            <w:tcW w:w="3965" w:type="dxa"/>
            <w:vAlign w:val="center"/>
          </w:tcPr>
          <w:p w14:paraId="7C3EFA4C">
            <w:pPr>
              <w:adjustRightInd w:val="0"/>
              <w:snapToGrid w:val="0"/>
              <w:jc w:val="center"/>
              <w:rPr>
                <w:kern w:val="0"/>
                <w:sz w:val="22"/>
                <w:szCs w:val="22"/>
              </w:rPr>
            </w:pPr>
            <w:r>
              <w:rPr>
                <w:rFonts w:hint="eastAsia"/>
                <w:bCs/>
                <w:szCs w:val="21"/>
              </w:rPr>
              <w:t>站场南侧厂界外1m高1.5m处</w:t>
            </w:r>
          </w:p>
        </w:tc>
        <w:tc>
          <w:tcPr>
            <w:tcW w:w="2029" w:type="dxa"/>
            <w:vAlign w:val="center"/>
          </w:tcPr>
          <w:p w14:paraId="171534D7">
            <w:pPr>
              <w:pStyle w:val="1444"/>
            </w:pPr>
            <w:r>
              <w:rPr>
                <w:kern w:val="0"/>
                <w:szCs w:val="22"/>
              </w:rPr>
              <w:t>106.429616511</w:t>
            </w:r>
          </w:p>
        </w:tc>
        <w:tc>
          <w:tcPr>
            <w:tcW w:w="1755" w:type="dxa"/>
            <w:vAlign w:val="center"/>
          </w:tcPr>
          <w:p w14:paraId="2398E011">
            <w:pPr>
              <w:pStyle w:val="1444"/>
            </w:pPr>
            <w:r>
              <w:rPr>
                <w:kern w:val="0"/>
                <w:szCs w:val="22"/>
              </w:rPr>
              <w:t>31.789704775</w:t>
            </w:r>
          </w:p>
        </w:tc>
      </w:tr>
      <w:tr w14:paraId="28A6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97" w:type="dxa"/>
            <w:vAlign w:val="center"/>
          </w:tcPr>
          <w:p w14:paraId="27BE89CF">
            <w:pPr>
              <w:adjustRightInd w:val="0"/>
              <w:snapToGrid w:val="0"/>
              <w:jc w:val="center"/>
              <w:rPr>
                <w:kern w:val="0"/>
                <w:sz w:val="22"/>
                <w:szCs w:val="22"/>
              </w:rPr>
            </w:pPr>
            <w:r>
              <w:rPr>
                <w:kern w:val="0"/>
                <w:sz w:val="22"/>
                <w:szCs w:val="22"/>
              </w:rPr>
              <w:t>N3</w:t>
            </w:r>
          </w:p>
        </w:tc>
        <w:tc>
          <w:tcPr>
            <w:tcW w:w="3965" w:type="dxa"/>
            <w:vAlign w:val="center"/>
          </w:tcPr>
          <w:p w14:paraId="53B99E1E">
            <w:pPr>
              <w:adjustRightInd w:val="0"/>
              <w:snapToGrid w:val="0"/>
              <w:jc w:val="center"/>
              <w:rPr>
                <w:kern w:val="0"/>
                <w:sz w:val="22"/>
                <w:szCs w:val="22"/>
              </w:rPr>
            </w:pPr>
            <w:r>
              <w:rPr>
                <w:rFonts w:hint="eastAsia"/>
                <w:bCs/>
                <w:szCs w:val="21"/>
              </w:rPr>
              <w:t>站场西侧厂界外1m高1.5m处</w:t>
            </w:r>
          </w:p>
        </w:tc>
        <w:tc>
          <w:tcPr>
            <w:tcW w:w="2029" w:type="dxa"/>
            <w:vAlign w:val="center"/>
          </w:tcPr>
          <w:p w14:paraId="12F3CF86">
            <w:pPr>
              <w:pStyle w:val="1444"/>
            </w:pPr>
            <w:r>
              <w:rPr>
                <w:kern w:val="0"/>
                <w:szCs w:val="22"/>
              </w:rPr>
              <w:t>106.428892314</w:t>
            </w:r>
          </w:p>
        </w:tc>
        <w:tc>
          <w:tcPr>
            <w:tcW w:w="1755" w:type="dxa"/>
            <w:vAlign w:val="center"/>
          </w:tcPr>
          <w:p w14:paraId="2E6D0D5D">
            <w:pPr>
              <w:pStyle w:val="1444"/>
            </w:pPr>
            <w:r>
              <w:rPr>
                <w:kern w:val="0"/>
                <w:szCs w:val="22"/>
              </w:rPr>
              <w:t>31.789997135</w:t>
            </w:r>
          </w:p>
        </w:tc>
      </w:tr>
      <w:tr w14:paraId="7102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97" w:type="dxa"/>
            <w:vAlign w:val="center"/>
          </w:tcPr>
          <w:p w14:paraId="1680CAB7">
            <w:pPr>
              <w:adjustRightInd w:val="0"/>
              <w:snapToGrid w:val="0"/>
              <w:jc w:val="center"/>
              <w:rPr>
                <w:kern w:val="0"/>
                <w:sz w:val="22"/>
                <w:szCs w:val="22"/>
              </w:rPr>
            </w:pPr>
            <w:r>
              <w:rPr>
                <w:kern w:val="0"/>
                <w:sz w:val="22"/>
                <w:szCs w:val="22"/>
              </w:rPr>
              <w:t>N4</w:t>
            </w:r>
          </w:p>
        </w:tc>
        <w:tc>
          <w:tcPr>
            <w:tcW w:w="3965" w:type="dxa"/>
            <w:vAlign w:val="center"/>
          </w:tcPr>
          <w:p w14:paraId="65ED84A7">
            <w:pPr>
              <w:adjustRightInd w:val="0"/>
              <w:snapToGrid w:val="0"/>
              <w:jc w:val="center"/>
              <w:rPr>
                <w:kern w:val="0"/>
                <w:sz w:val="22"/>
                <w:szCs w:val="22"/>
              </w:rPr>
            </w:pPr>
            <w:r>
              <w:rPr>
                <w:rFonts w:hint="eastAsia"/>
                <w:bCs/>
                <w:szCs w:val="21"/>
              </w:rPr>
              <w:t>站场北侧厂界外1m高1.5m处</w:t>
            </w:r>
          </w:p>
        </w:tc>
        <w:tc>
          <w:tcPr>
            <w:tcW w:w="2029" w:type="dxa"/>
            <w:vAlign w:val="center"/>
          </w:tcPr>
          <w:p w14:paraId="6406E105">
            <w:pPr>
              <w:pStyle w:val="1444"/>
            </w:pPr>
            <w:r>
              <w:rPr>
                <w:kern w:val="0"/>
                <w:szCs w:val="22"/>
              </w:rPr>
              <w:t>106.428658962</w:t>
            </w:r>
          </w:p>
        </w:tc>
        <w:tc>
          <w:tcPr>
            <w:tcW w:w="1755" w:type="dxa"/>
            <w:vAlign w:val="center"/>
          </w:tcPr>
          <w:p w14:paraId="76F35B4C">
            <w:pPr>
              <w:pStyle w:val="1444"/>
            </w:pPr>
            <w:r>
              <w:rPr>
                <w:kern w:val="0"/>
                <w:szCs w:val="22"/>
              </w:rPr>
              <w:t>31.790686463</w:t>
            </w:r>
          </w:p>
        </w:tc>
      </w:tr>
      <w:tr w14:paraId="3799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97" w:type="dxa"/>
            <w:vAlign w:val="center"/>
          </w:tcPr>
          <w:p w14:paraId="06434401">
            <w:pPr>
              <w:adjustRightInd w:val="0"/>
              <w:snapToGrid w:val="0"/>
              <w:jc w:val="center"/>
              <w:rPr>
                <w:kern w:val="0"/>
                <w:sz w:val="22"/>
                <w:szCs w:val="22"/>
              </w:rPr>
            </w:pPr>
            <w:r>
              <w:rPr>
                <w:kern w:val="0"/>
                <w:sz w:val="22"/>
                <w:szCs w:val="22"/>
              </w:rPr>
              <w:t>N5</w:t>
            </w:r>
          </w:p>
        </w:tc>
        <w:tc>
          <w:tcPr>
            <w:tcW w:w="3965" w:type="dxa"/>
            <w:vAlign w:val="center"/>
          </w:tcPr>
          <w:p w14:paraId="5D949987">
            <w:pPr>
              <w:adjustRightInd w:val="0"/>
              <w:snapToGrid w:val="0"/>
              <w:jc w:val="center"/>
              <w:rPr>
                <w:kern w:val="0"/>
                <w:sz w:val="22"/>
                <w:szCs w:val="22"/>
              </w:rPr>
            </w:pPr>
            <w:r>
              <w:rPr>
                <w:rFonts w:hint="eastAsia"/>
                <w:bCs/>
                <w:szCs w:val="21"/>
              </w:rPr>
              <w:t>站场东最近居民外1m高1.5m处</w:t>
            </w:r>
          </w:p>
        </w:tc>
        <w:tc>
          <w:tcPr>
            <w:tcW w:w="2029" w:type="dxa"/>
            <w:vAlign w:val="center"/>
          </w:tcPr>
          <w:p w14:paraId="28D2AE9B">
            <w:pPr>
              <w:pStyle w:val="1444"/>
            </w:pPr>
            <w:r>
              <w:rPr>
                <w:kern w:val="0"/>
                <w:szCs w:val="22"/>
              </w:rPr>
              <w:t>106.429970562</w:t>
            </w:r>
          </w:p>
        </w:tc>
        <w:tc>
          <w:tcPr>
            <w:tcW w:w="1755" w:type="dxa"/>
            <w:vAlign w:val="center"/>
          </w:tcPr>
          <w:p w14:paraId="35812CA0">
            <w:pPr>
              <w:pStyle w:val="1444"/>
            </w:pPr>
            <w:r>
              <w:rPr>
                <w:kern w:val="0"/>
                <w:szCs w:val="22"/>
              </w:rPr>
              <w:t>31.790844713</w:t>
            </w:r>
          </w:p>
        </w:tc>
      </w:tr>
      <w:tr w14:paraId="5180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97" w:type="dxa"/>
            <w:vAlign w:val="center"/>
          </w:tcPr>
          <w:p w14:paraId="2410D9CA">
            <w:pPr>
              <w:adjustRightInd w:val="0"/>
              <w:snapToGrid w:val="0"/>
              <w:jc w:val="center"/>
              <w:rPr>
                <w:kern w:val="0"/>
                <w:sz w:val="22"/>
                <w:szCs w:val="22"/>
              </w:rPr>
            </w:pPr>
            <w:r>
              <w:rPr>
                <w:kern w:val="0"/>
                <w:sz w:val="22"/>
                <w:szCs w:val="22"/>
              </w:rPr>
              <w:t>N6</w:t>
            </w:r>
          </w:p>
        </w:tc>
        <w:tc>
          <w:tcPr>
            <w:tcW w:w="3965" w:type="dxa"/>
            <w:vAlign w:val="center"/>
          </w:tcPr>
          <w:p w14:paraId="357FEE74">
            <w:pPr>
              <w:adjustRightInd w:val="0"/>
              <w:snapToGrid w:val="0"/>
              <w:jc w:val="center"/>
              <w:rPr>
                <w:kern w:val="0"/>
                <w:sz w:val="22"/>
                <w:szCs w:val="22"/>
              </w:rPr>
            </w:pPr>
            <w:r>
              <w:rPr>
                <w:rFonts w:hint="eastAsia"/>
                <w:bCs/>
                <w:szCs w:val="21"/>
              </w:rPr>
              <w:t>站场东南侧最近居民外1m高1.5m处</w:t>
            </w:r>
          </w:p>
        </w:tc>
        <w:tc>
          <w:tcPr>
            <w:tcW w:w="2029" w:type="dxa"/>
            <w:vAlign w:val="center"/>
          </w:tcPr>
          <w:p w14:paraId="07EBAA57">
            <w:pPr>
              <w:pStyle w:val="1444"/>
            </w:pPr>
            <w:r>
              <w:rPr>
                <w:kern w:val="0"/>
                <w:szCs w:val="22"/>
              </w:rPr>
              <w:t>106.430276334</w:t>
            </w:r>
          </w:p>
        </w:tc>
        <w:tc>
          <w:tcPr>
            <w:tcW w:w="1755" w:type="dxa"/>
            <w:vAlign w:val="center"/>
          </w:tcPr>
          <w:p w14:paraId="76F2890B">
            <w:pPr>
              <w:pStyle w:val="1444"/>
            </w:pPr>
            <w:r>
              <w:rPr>
                <w:kern w:val="0"/>
                <w:szCs w:val="22"/>
              </w:rPr>
              <w:t>31.789546524</w:t>
            </w:r>
          </w:p>
        </w:tc>
      </w:tr>
      <w:tr w14:paraId="0523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97" w:type="dxa"/>
            <w:vAlign w:val="center"/>
          </w:tcPr>
          <w:p w14:paraId="11E16B40">
            <w:pPr>
              <w:adjustRightInd w:val="0"/>
              <w:snapToGrid w:val="0"/>
              <w:jc w:val="center"/>
              <w:rPr>
                <w:kern w:val="0"/>
                <w:sz w:val="22"/>
                <w:szCs w:val="22"/>
              </w:rPr>
            </w:pPr>
            <w:r>
              <w:rPr>
                <w:rFonts w:hint="eastAsia"/>
                <w:kern w:val="0"/>
                <w:sz w:val="22"/>
                <w:szCs w:val="22"/>
              </w:rPr>
              <w:t>N</w:t>
            </w:r>
            <w:r>
              <w:rPr>
                <w:kern w:val="0"/>
                <w:sz w:val="22"/>
                <w:szCs w:val="22"/>
              </w:rPr>
              <w:t>7</w:t>
            </w:r>
          </w:p>
        </w:tc>
        <w:tc>
          <w:tcPr>
            <w:tcW w:w="3965" w:type="dxa"/>
            <w:vAlign w:val="center"/>
          </w:tcPr>
          <w:p w14:paraId="0FDC1F9D">
            <w:pPr>
              <w:adjustRightInd w:val="0"/>
              <w:snapToGrid w:val="0"/>
              <w:jc w:val="center"/>
              <w:rPr>
                <w:kern w:val="0"/>
                <w:sz w:val="22"/>
                <w:szCs w:val="22"/>
              </w:rPr>
            </w:pPr>
            <w:r>
              <w:rPr>
                <w:rFonts w:hint="eastAsia"/>
                <w:bCs/>
                <w:szCs w:val="21"/>
              </w:rPr>
              <w:t>站场南侧最近居民外1m高1.5m处</w:t>
            </w:r>
          </w:p>
        </w:tc>
        <w:tc>
          <w:tcPr>
            <w:tcW w:w="2029" w:type="dxa"/>
            <w:vAlign w:val="center"/>
          </w:tcPr>
          <w:p w14:paraId="0AB587B4">
            <w:pPr>
              <w:pStyle w:val="1444"/>
            </w:pPr>
            <w:r>
              <w:rPr>
                <w:kern w:val="0"/>
                <w:szCs w:val="22"/>
              </w:rPr>
              <w:t>106.429676861</w:t>
            </w:r>
          </w:p>
        </w:tc>
        <w:tc>
          <w:tcPr>
            <w:tcW w:w="1755" w:type="dxa"/>
            <w:vAlign w:val="center"/>
          </w:tcPr>
          <w:p w14:paraId="7123CAAC">
            <w:pPr>
              <w:pStyle w:val="1444"/>
            </w:pPr>
            <w:r>
              <w:rPr>
                <w:kern w:val="0"/>
                <w:szCs w:val="22"/>
              </w:rPr>
              <w:t>31.788519201</w:t>
            </w:r>
          </w:p>
        </w:tc>
      </w:tr>
      <w:tr w14:paraId="151A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97" w:type="dxa"/>
            <w:vAlign w:val="center"/>
          </w:tcPr>
          <w:p w14:paraId="5D5B7B46">
            <w:pPr>
              <w:adjustRightInd w:val="0"/>
              <w:snapToGrid w:val="0"/>
              <w:jc w:val="center"/>
              <w:rPr>
                <w:kern w:val="0"/>
                <w:sz w:val="22"/>
                <w:szCs w:val="22"/>
              </w:rPr>
            </w:pPr>
            <w:r>
              <w:rPr>
                <w:rFonts w:hint="eastAsia"/>
                <w:kern w:val="0"/>
                <w:sz w:val="22"/>
                <w:szCs w:val="22"/>
              </w:rPr>
              <w:t>N</w:t>
            </w:r>
            <w:r>
              <w:rPr>
                <w:kern w:val="0"/>
                <w:sz w:val="22"/>
                <w:szCs w:val="22"/>
              </w:rPr>
              <w:t>8</w:t>
            </w:r>
          </w:p>
        </w:tc>
        <w:tc>
          <w:tcPr>
            <w:tcW w:w="3965" w:type="dxa"/>
            <w:vAlign w:val="center"/>
          </w:tcPr>
          <w:p w14:paraId="19951FF9">
            <w:pPr>
              <w:adjustRightInd w:val="0"/>
              <w:snapToGrid w:val="0"/>
              <w:jc w:val="center"/>
              <w:rPr>
                <w:kern w:val="0"/>
                <w:sz w:val="22"/>
                <w:szCs w:val="22"/>
              </w:rPr>
            </w:pPr>
            <w:r>
              <w:rPr>
                <w:rFonts w:hint="eastAsia"/>
                <w:bCs/>
                <w:szCs w:val="21"/>
              </w:rPr>
              <w:t>站场北侧最近居民外1m高1.5m处</w:t>
            </w:r>
          </w:p>
        </w:tc>
        <w:tc>
          <w:tcPr>
            <w:tcW w:w="2029" w:type="dxa"/>
            <w:vAlign w:val="center"/>
          </w:tcPr>
          <w:p w14:paraId="08F84A62">
            <w:pPr>
              <w:pStyle w:val="1444"/>
            </w:pPr>
            <w:r>
              <w:rPr>
                <w:kern w:val="0"/>
                <w:szCs w:val="22"/>
              </w:rPr>
              <w:t>106.428699195</w:t>
            </w:r>
          </w:p>
        </w:tc>
        <w:tc>
          <w:tcPr>
            <w:tcW w:w="1755" w:type="dxa"/>
            <w:vAlign w:val="center"/>
          </w:tcPr>
          <w:p w14:paraId="384A4A8C">
            <w:pPr>
              <w:pStyle w:val="1444"/>
            </w:pPr>
            <w:r>
              <w:rPr>
                <w:kern w:val="0"/>
                <w:szCs w:val="22"/>
              </w:rPr>
              <w:t>31.791758006</w:t>
            </w:r>
          </w:p>
        </w:tc>
      </w:tr>
    </w:tbl>
    <w:p w14:paraId="464CD8E5">
      <w:pPr>
        <w:pStyle w:val="1379"/>
        <w:ind w:firstLine="440"/>
      </w:pPr>
    </w:p>
    <w:p w14:paraId="0D29A9DA">
      <w:pPr>
        <w:spacing w:line="460" w:lineRule="exact"/>
        <w:ind w:firstLine="520" w:firstLineChars="200"/>
        <w:rPr>
          <w:sz w:val="26"/>
          <w:szCs w:val="26"/>
        </w:rPr>
      </w:pPr>
      <w:r>
        <w:rPr>
          <w:sz w:val="26"/>
          <w:szCs w:val="26"/>
        </w:rPr>
        <w:t>（2）监测因子</w:t>
      </w:r>
    </w:p>
    <w:p w14:paraId="1265CFD0">
      <w:pPr>
        <w:spacing w:line="460" w:lineRule="exact"/>
        <w:ind w:firstLine="520" w:firstLineChars="200"/>
        <w:rPr>
          <w:sz w:val="26"/>
          <w:szCs w:val="26"/>
        </w:rPr>
      </w:pPr>
      <w:r>
        <w:rPr>
          <w:sz w:val="26"/>
          <w:szCs w:val="26"/>
        </w:rPr>
        <w:t>等效连续A声级（Leq(A)）</w:t>
      </w:r>
      <w:r>
        <w:rPr>
          <w:rFonts w:hint="eastAsia"/>
          <w:sz w:val="26"/>
          <w:szCs w:val="26"/>
        </w:rPr>
        <w:t>。</w:t>
      </w:r>
    </w:p>
    <w:p w14:paraId="66E21A34">
      <w:pPr>
        <w:spacing w:line="460" w:lineRule="exact"/>
        <w:ind w:firstLine="520" w:firstLineChars="200"/>
        <w:rPr>
          <w:sz w:val="26"/>
          <w:szCs w:val="26"/>
        </w:rPr>
      </w:pPr>
      <w:r>
        <w:rPr>
          <w:sz w:val="26"/>
          <w:szCs w:val="26"/>
        </w:rPr>
        <w:t>（3）监测频次</w:t>
      </w:r>
    </w:p>
    <w:p w14:paraId="0B142D36">
      <w:pPr>
        <w:spacing w:line="460" w:lineRule="exact"/>
        <w:ind w:firstLine="520" w:firstLineChars="200"/>
        <w:rPr>
          <w:sz w:val="26"/>
          <w:szCs w:val="26"/>
        </w:rPr>
      </w:pPr>
      <w:r>
        <w:rPr>
          <w:sz w:val="26"/>
          <w:szCs w:val="26"/>
        </w:rPr>
        <w:t>连续监测2天，每天昼间、夜间各监测1次。</w:t>
      </w:r>
    </w:p>
    <w:p w14:paraId="20172ECF">
      <w:pPr>
        <w:spacing w:line="460" w:lineRule="exact"/>
        <w:ind w:firstLine="520" w:firstLineChars="200"/>
        <w:rPr>
          <w:sz w:val="26"/>
          <w:szCs w:val="26"/>
        </w:rPr>
      </w:pPr>
      <w:r>
        <w:rPr>
          <w:sz w:val="26"/>
          <w:szCs w:val="26"/>
        </w:rPr>
        <w:t>（4）评价标准</w:t>
      </w:r>
    </w:p>
    <w:p w14:paraId="346B8BE6">
      <w:pPr>
        <w:spacing w:line="460" w:lineRule="exact"/>
        <w:ind w:firstLine="520" w:firstLineChars="200"/>
        <w:rPr>
          <w:sz w:val="26"/>
          <w:szCs w:val="26"/>
        </w:rPr>
      </w:pPr>
      <w:r>
        <w:rPr>
          <w:sz w:val="26"/>
          <w:szCs w:val="26"/>
        </w:rPr>
        <w:t>《声环境质量标准》（GB3096-2008）2类区标准。</w:t>
      </w:r>
    </w:p>
    <w:p w14:paraId="1CE2C216">
      <w:pPr>
        <w:spacing w:line="460" w:lineRule="exact"/>
        <w:ind w:firstLine="520" w:firstLineChars="200"/>
        <w:rPr>
          <w:sz w:val="26"/>
          <w:szCs w:val="26"/>
        </w:rPr>
      </w:pPr>
      <w:r>
        <w:rPr>
          <w:sz w:val="26"/>
          <w:szCs w:val="26"/>
        </w:rPr>
        <w:t>（5）监测及评价结果</w:t>
      </w:r>
    </w:p>
    <w:p w14:paraId="423C7D11">
      <w:pPr>
        <w:pStyle w:val="702"/>
        <w:ind w:firstLine="520"/>
        <w:rPr>
          <w:rFonts w:cs="Times New Roman"/>
        </w:rPr>
      </w:pPr>
      <w:r>
        <w:rPr>
          <w:rFonts w:cs="Times New Roman"/>
        </w:rPr>
        <w:t>本项目声环境质量监测结果见</w:t>
      </w:r>
      <w:r>
        <w:rPr>
          <w:rFonts w:cs="Times New Roman"/>
          <w:u w:val="single"/>
        </w:rPr>
        <w:t>表4.2-12</w:t>
      </w:r>
      <w:r>
        <w:rPr>
          <w:rFonts w:cs="Times New Roman"/>
        </w:rPr>
        <w:t>。</w:t>
      </w:r>
    </w:p>
    <w:p w14:paraId="2596BC0F">
      <w:pPr>
        <w:pStyle w:val="1066"/>
        <w:ind w:firstLine="520"/>
        <w:rPr>
          <w:rFonts w:cs="Times New Roman"/>
        </w:rPr>
      </w:pPr>
    </w:p>
    <w:p w14:paraId="22B95ED9">
      <w:pPr>
        <w:pStyle w:val="1065"/>
      </w:pPr>
      <w:r>
        <w:t>表4.2-12  项目噪声监测及评价结果统计表   单位：dB（A）</w:t>
      </w:r>
    </w:p>
    <w:tbl>
      <w:tblPr>
        <w:tblStyle w:val="88"/>
        <w:tblW w:w="8946"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22"/>
        <w:gridCol w:w="992"/>
        <w:gridCol w:w="1133"/>
        <w:gridCol w:w="992"/>
        <w:gridCol w:w="1044"/>
        <w:gridCol w:w="799"/>
        <w:gridCol w:w="900"/>
        <w:gridCol w:w="782"/>
        <w:gridCol w:w="782"/>
      </w:tblGrid>
      <w:tr w14:paraId="4D4052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22" w:type="dxa"/>
            <w:vMerge w:val="restart"/>
            <w:noWrap/>
            <w:vAlign w:val="center"/>
          </w:tcPr>
          <w:p w14:paraId="3C7864AD">
            <w:pPr>
              <w:pStyle w:val="1429"/>
              <w:rPr>
                <w:rFonts w:cs="Times New Roman"/>
              </w:rPr>
            </w:pPr>
            <w:r>
              <w:rPr>
                <w:rFonts w:cs="Times New Roman"/>
              </w:rPr>
              <w:t>监测点位置</w:t>
            </w:r>
          </w:p>
        </w:tc>
        <w:tc>
          <w:tcPr>
            <w:tcW w:w="2125" w:type="dxa"/>
            <w:gridSpan w:val="2"/>
            <w:noWrap/>
            <w:vAlign w:val="center"/>
          </w:tcPr>
          <w:p w14:paraId="71BB2360">
            <w:pPr>
              <w:pStyle w:val="1429"/>
              <w:rPr>
                <w:rFonts w:cs="Times New Roman"/>
              </w:rPr>
            </w:pPr>
            <w:r>
              <w:rPr>
                <w:rFonts w:cs="Times New Roman"/>
              </w:rPr>
              <w:t>2026.3.25</w:t>
            </w:r>
          </w:p>
        </w:tc>
        <w:tc>
          <w:tcPr>
            <w:tcW w:w="2036" w:type="dxa"/>
            <w:gridSpan w:val="2"/>
            <w:noWrap/>
            <w:vAlign w:val="center"/>
          </w:tcPr>
          <w:p w14:paraId="3349149C">
            <w:pPr>
              <w:pStyle w:val="1429"/>
              <w:rPr>
                <w:rFonts w:cs="Times New Roman"/>
              </w:rPr>
            </w:pPr>
            <w:r>
              <w:rPr>
                <w:rFonts w:cs="Times New Roman"/>
              </w:rPr>
              <w:t>2026.3.26</w:t>
            </w:r>
          </w:p>
        </w:tc>
        <w:tc>
          <w:tcPr>
            <w:tcW w:w="1699" w:type="dxa"/>
            <w:gridSpan w:val="2"/>
            <w:vAlign w:val="center"/>
          </w:tcPr>
          <w:p w14:paraId="15A86C88">
            <w:pPr>
              <w:pStyle w:val="1429"/>
              <w:rPr>
                <w:rFonts w:cs="Times New Roman"/>
                <w:szCs w:val="21"/>
              </w:rPr>
            </w:pPr>
            <w:r>
              <w:rPr>
                <w:rFonts w:cs="Times New Roman"/>
                <w:szCs w:val="21"/>
              </w:rPr>
              <w:t>2类区标准值</w:t>
            </w:r>
          </w:p>
        </w:tc>
        <w:tc>
          <w:tcPr>
            <w:tcW w:w="1564" w:type="dxa"/>
            <w:gridSpan w:val="2"/>
            <w:noWrap/>
            <w:vAlign w:val="center"/>
          </w:tcPr>
          <w:p w14:paraId="7958584C">
            <w:pPr>
              <w:pStyle w:val="1429"/>
              <w:rPr>
                <w:rFonts w:cs="Times New Roman"/>
              </w:rPr>
            </w:pPr>
            <w:r>
              <w:rPr>
                <w:rFonts w:cs="Times New Roman"/>
              </w:rPr>
              <w:t>达标情况</w:t>
            </w:r>
          </w:p>
        </w:tc>
      </w:tr>
      <w:tr w14:paraId="0206AB5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22" w:type="dxa"/>
            <w:vMerge w:val="continue"/>
            <w:vAlign w:val="center"/>
          </w:tcPr>
          <w:p w14:paraId="37BBDB92">
            <w:pPr>
              <w:pStyle w:val="1429"/>
              <w:rPr>
                <w:rFonts w:cs="Times New Roman"/>
              </w:rPr>
            </w:pPr>
          </w:p>
        </w:tc>
        <w:tc>
          <w:tcPr>
            <w:tcW w:w="992" w:type="dxa"/>
            <w:vAlign w:val="center"/>
          </w:tcPr>
          <w:p w14:paraId="3CE343F6">
            <w:pPr>
              <w:pStyle w:val="1429"/>
              <w:rPr>
                <w:rFonts w:cs="Times New Roman"/>
                <w:szCs w:val="21"/>
              </w:rPr>
            </w:pPr>
            <w:r>
              <w:rPr>
                <w:rFonts w:cs="Times New Roman"/>
                <w:szCs w:val="21"/>
              </w:rPr>
              <w:t>昼间</w:t>
            </w:r>
          </w:p>
        </w:tc>
        <w:tc>
          <w:tcPr>
            <w:tcW w:w="1133" w:type="dxa"/>
            <w:vAlign w:val="center"/>
          </w:tcPr>
          <w:p w14:paraId="75B2F8A0">
            <w:pPr>
              <w:pStyle w:val="1429"/>
              <w:rPr>
                <w:rFonts w:cs="Times New Roman"/>
                <w:szCs w:val="21"/>
              </w:rPr>
            </w:pPr>
            <w:r>
              <w:rPr>
                <w:rFonts w:cs="Times New Roman"/>
                <w:szCs w:val="21"/>
              </w:rPr>
              <w:t>夜间</w:t>
            </w:r>
          </w:p>
        </w:tc>
        <w:tc>
          <w:tcPr>
            <w:tcW w:w="992" w:type="dxa"/>
            <w:vAlign w:val="center"/>
          </w:tcPr>
          <w:p w14:paraId="6DF8FE2B">
            <w:pPr>
              <w:pStyle w:val="1429"/>
              <w:rPr>
                <w:rFonts w:cs="Times New Roman"/>
                <w:szCs w:val="21"/>
              </w:rPr>
            </w:pPr>
            <w:r>
              <w:rPr>
                <w:rFonts w:cs="Times New Roman"/>
                <w:szCs w:val="21"/>
              </w:rPr>
              <w:t>昼间</w:t>
            </w:r>
          </w:p>
        </w:tc>
        <w:tc>
          <w:tcPr>
            <w:tcW w:w="1044" w:type="dxa"/>
            <w:vAlign w:val="center"/>
          </w:tcPr>
          <w:p w14:paraId="043BB521">
            <w:pPr>
              <w:pStyle w:val="1429"/>
              <w:rPr>
                <w:rFonts w:cs="Times New Roman"/>
                <w:szCs w:val="21"/>
              </w:rPr>
            </w:pPr>
            <w:r>
              <w:rPr>
                <w:rFonts w:cs="Times New Roman"/>
                <w:szCs w:val="21"/>
              </w:rPr>
              <w:t>夜间</w:t>
            </w:r>
          </w:p>
        </w:tc>
        <w:tc>
          <w:tcPr>
            <w:tcW w:w="799" w:type="dxa"/>
            <w:vAlign w:val="center"/>
          </w:tcPr>
          <w:p w14:paraId="01A0700F">
            <w:pPr>
              <w:pStyle w:val="1429"/>
              <w:rPr>
                <w:rFonts w:cs="Times New Roman"/>
                <w:szCs w:val="21"/>
              </w:rPr>
            </w:pPr>
            <w:r>
              <w:rPr>
                <w:rFonts w:cs="Times New Roman"/>
                <w:szCs w:val="21"/>
              </w:rPr>
              <w:t>昼间</w:t>
            </w:r>
          </w:p>
        </w:tc>
        <w:tc>
          <w:tcPr>
            <w:tcW w:w="900" w:type="dxa"/>
            <w:vAlign w:val="center"/>
          </w:tcPr>
          <w:p w14:paraId="02F7A45A">
            <w:pPr>
              <w:pStyle w:val="1429"/>
              <w:rPr>
                <w:rFonts w:cs="Times New Roman"/>
                <w:szCs w:val="21"/>
              </w:rPr>
            </w:pPr>
            <w:r>
              <w:rPr>
                <w:rFonts w:cs="Times New Roman"/>
                <w:szCs w:val="21"/>
              </w:rPr>
              <w:t>夜间</w:t>
            </w:r>
          </w:p>
        </w:tc>
        <w:tc>
          <w:tcPr>
            <w:tcW w:w="782" w:type="dxa"/>
            <w:vAlign w:val="center"/>
          </w:tcPr>
          <w:p w14:paraId="7168CD50">
            <w:pPr>
              <w:pStyle w:val="1429"/>
              <w:rPr>
                <w:rFonts w:cs="Times New Roman"/>
                <w:szCs w:val="21"/>
              </w:rPr>
            </w:pPr>
            <w:r>
              <w:rPr>
                <w:rFonts w:cs="Times New Roman"/>
                <w:szCs w:val="21"/>
              </w:rPr>
              <w:t>昼间</w:t>
            </w:r>
          </w:p>
        </w:tc>
        <w:tc>
          <w:tcPr>
            <w:tcW w:w="782" w:type="dxa"/>
            <w:vAlign w:val="center"/>
          </w:tcPr>
          <w:p w14:paraId="5C995960">
            <w:pPr>
              <w:pStyle w:val="1429"/>
              <w:rPr>
                <w:rFonts w:cs="Times New Roman"/>
                <w:szCs w:val="21"/>
              </w:rPr>
            </w:pPr>
            <w:r>
              <w:rPr>
                <w:rFonts w:cs="Times New Roman"/>
                <w:szCs w:val="21"/>
              </w:rPr>
              <w:t>夜间</w:t>
            </w:r>
          </w:p>
        </w:tc>
      </w:tr>
      <w:tr w14:paraId="25B30B7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22" w:type="dxa"/>
            <w:vAlign w:val="center"/>
          </w:tcPr>
          <w:p w14:paraId="54E7FEEC">
            <w:pPr>
              <w:pStyle w:val="1429"/>
              <w:rPr>
                <w:rFonts w:cs="Times New Roman"/>
              </w:rPr>
            </w:pPr>
            <w:r>
              <w:rPr>
                <w:rFonts w:cs="Times New Roman"/>
                <w:kern w:val="0"/>
              </w:rPr>
              <w:t>N1</w:t>
            </w:r>
          </w:p>
        </w:tc>
        <w:tc>
          <w:tcPr>
            <w:tcW w:w="992" w:type="dxa"/>
            <w:vAlign w:val="center"/>
          </w:tcPr>
          <w:p w14:paraId="632B872A">
            <w:pPr>
              <w:pStyle w:val="1429"/>
              <w:rPr>
                <w:rFonts w:cs="Times New Roman"/>
                <w:szCs w:val="21"/>
              </w:rPr>
            </w:pPr>
            <w:r>
              <w:rPr>
                <w:rFonts w:hint="eastAsia" w:cs="Times New Roman"/>
                <w:bCs/>
                <w:sz w:val="21"/>
                <w:szCs w:val="21"/>
              </w:rPr>
              <w:t>44</w:t>
            </w:r>
          </w:p>
        </w:tc>
        <w:tc>
          <w:tcPr>
            <w:tcW w:w="1133" w:type="dxa"/>
            <w:vAlign w:val="center"/>
          </w:tcPr>
          <w:p w14:paraId="17ED4887">
            <w:pPr>
              <w:pStyle w:val="1429"/>
              <w:rPr>
                <w:rFonts w:cs="Times New Roman"/>
                <w:szCs w:val="21"/>
              </w:rPr>
            </w:pPr>
            <w:r>
              <w:rPr>
                <w:rFonts w:hint="eastAsia" w:cs="Times New Roman"/>
                <w:bCs/>
                <w:sz w:val="21"/>
                <w:szCs w:val="21"/>
              </w:rPr>
              <w:t>40</w:t>
            </w:r>
          </w:p>
        </w:tc>
        <w:tc>
          <w:tcPr>
            <w:tcW w:w="992" w:type="dxa"/>
            <w:vAlign w:val="center"/>
          </w:tcPr>
          <w:p w14:paraId="05041699">
            <w:pPr>
              <w:pStyle w:val="1429"/>
              <w:rPr>
                <w:rFonts w:cs="Times New Roman"/>
                <w:szCs w:val="21"/>
              </w:rPr>
            </w:pPr>
            <w:r>
              <w:rPr>
                <w:rFonts w:hint="eastAsia" w:cs="Times New Roman"/>
                <w:bCs/>
                <w:sz w:val="21"/>
                <w:szCs w:val="21"/>
              </w:rPr>
              <w:t>44</w:t>
            </w:r>
          </w:p>
        </w:tc>
        <w:tc>
          <w:tcPr>
            <w:tcW w:w="1044" w:type="dxa"/>
            <w:vAlign w:val="center"/>
          </w:tcPr>
          <w:p w14:paraId="08E39DDD">
            <w:pPr>
              <w:pStyle w:val="1429"/>
              <w:rPr>
                <w:rFonts w:cs="Times New Roman"/>
                <w:szCs w:val="21"/>
              </w:rPr>
            </w:pPr>
            <w:r>
              <w:rPr>
                <w:rFonts w:hint="eastAsia" w:cs="Times New Roman"/>
                <w:bCs/>
                <w:sz w:val="21"/>
                <w:szCs w:val="21"/>
              </w:rPr>
              <w:t>39</w:t>
            </w:r>
          </w:p>
        </w:tc>
        <w:tc>
          <w:tcPr>
            <w:tcW w:w="799" w:type="dxa"/>
            <w:vMerge w:val="restart"/>
            <w:noWrap/>
            <w:vAlign w:val="center"/>
          </w:tcPr>
          <w:p w14:paraId="1F2BD631">
            <w:pPr>
              <w:pStyle w:val="1429"/>
              <w:rPr>
                <w:rFonts w:cs="Times New Roman"/>
              </w:rPr>
            </w:pPr>
            <w:r>
              <w:rPr>
                <w:rFonts w:hint="eastAsia" w:cs="Times New Roman"/>
              </w:rPr>
              <w:t>6</w:t>
            </w:r>
            <w:r>
              <w:rPr>
                <w:rFonts w:cs="Times New Roman"/>
              </w:rPr>
              <w:t>0</w:t>
            </w:r>
          </w:p>
        </w:tc>
        <w:tc>
          <w:tcPr>
            <w:tcW w:w="900" w:type="dxa"/>
            <w:vMerge w:val="restart"/>
            <w:noWrap/>
            <w:vAlign w:val="center"/>
          </w:tcPr>
          <w:p w14:paraId="6FC4E466">
            <w:pPr>
              <w:pStyle w:val="1429"/>
              <w:rPr>
                <w:rFonts w:cs="Times New Roman"/>
              </w:rPr>
            </w:pPr>
            <w:r>
              <w:rPr>
                <w:rFonts w:cs="Times New Roman"/>
              </w:rPr>
              <w:t>50</w:t>
            </w:r>
          </w:p>
        </w:tc>
        <w:tc>
          <w:tcPr>
            <w:tcW w:w="782" w:type="dxa"/>
            <w:noWrap/>
            <w:vAlign w:val="center"/>
          </w:tcPr>
          <w:p w14:paraId="6F7B0BA5">
            <w:pPr>
              <w:pStyle w:val="1429"/>
              <w:rPr>
                <w:rFonts w:cs="Times New Roman"/>
              </w:rPr>
            </w:pPr>
            <w:r>
              <w:rPr>
                <w:rFonts w:cs="Times New Roman"/>
              </w:rPr>
              <w:t>达标</w:t>
            </w:r>
          </w:p>
        </w:tc>
        <w:tc>
          <w:tcPr>
            <w:tcW w:w="782" w:type="dxa"/>
            <w:noWrap/>
            <w:vAlign w:val="center"/>
          </w:tcPr>
          <w:p w14:paraId="5E7ABD0A">
            <w:pPr>
              <w:pStyle w:val="1429"/>
              <w:rPr>
                <w:rFonts w:cs="Times New Roman"/>
              </w:rPr>
            </w:pPr>
            <w:r>
              <w:rPr>
                <w:rFonts w:cs="Times New Roman"/>
              </w:rPr>
              <w:t>达标</w:t>
            </w:r>
          </w:p>
        </w:tc>
      </w:tr>
      <w:tr w14:paraId="229670E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22" w:type="dxa"/>
            <w:vAlign w:val="center"/>
          </w:tcPr>
          <w:p w14:paraId="60CB9E1C">
            <w:pPr>
              <w:pStyle w:val="1429"/>
              <w:rPr>
                <w:rFonts w:cs="Times New Roman"/>
              </w:rPr>
            </w:pPr>
            <w:r>
              <w:rPr>
                <w:rFonts w:cs="Times New Roman"/>
                <w:kern w:val="0"/>
              </w:rPr>
              <w:t>N2</w:t>
            </w:r>
          </w:p>
        </w:tc>
        <w:tc>
          <w:tcPr>
            <w:tcW w:w="992" w:type="dxa"/>
            <w:vAlign w:val="center"/>
          </w:tcPr>
          <w:p w14:paraId="7E7D75C1">
            <w:pPr>
              <w:pStyle w:val="1429"/>
              <w:rPr>
                <w:rFonts w:cs="Times New Roman"/>
                <w:szCs w:val="21"/>
              </w:rPr>
            </w:pPr>
            <w:r>
              <w:rPr>
                <w:rFonts w:hint="eastAsia" w:cs="Times New Roman"/>
                <w:bCs/>
                <w:sz w:val="21"/>
                <w:szCs w:val="21"/>
              </w:rPr>
              <w:t>44</w:t>
            </w:r>
          </w:p>
        </w:tc>
        <w:tc>
          <w:tcPr>
            <w:tcW w:w="1133" w:type="dxa"/>
            <w:vAlign w:val="center"/>
          </w:tcPr>
          <w:p w14:paraId="2E1B684C">
            <w:pPr>
              <w:pStyle w:val="1429"/>
              <w:rPr>
                <w:rFonts w:cs="Times New Roman"/>
                <w:szCs w:val="21"/>
              </w:rPr>
            </w:pPr>
            <w:r>
              <w:rPr>
                <w:rFonts w:hint="eastAsia" w:cs="Times New Roman"/>
                <w:bCs/>
                <w:sz w:val="21"/>
                <w:szCs w:val="21"/>
              </w:rPr>
              <w:t>40</w:t>
            </w:r>
          </w:p>
        </w:tc>
        <w:tc>
          <w:tcPr>
            <w:tcW w:w="992" w:type="dxa"/>
            <w:vAlign w:val="center"/>
          </w:tcPr>
          <w:p w14:paraId="6C7CF6C3">
            <w:pPr>
              <w:pStyle w:val="1429"/>
              <w:rPr>
                <w:rFonts w:cs="Times New Roman"/>
                <w:szCs w:val="21"/>
              </w:rPr>
            </w:pPr>
            <w:r>
              <w:rPr>
                <w:rFonts w:hint="eastAsia" w:cs="Times New Roman"/>
                <w:bCs/>
                <w:sz w:val="21"/>
                <w:szCs w:val="21"/>
              </w:rPr>
              <w:t>44</w:t>
            </w:r>
          </w:p>
        </w:tc>
        <w:tc>
          <w:tcPr>
            <w:tcW w:w="1044" w:type="dxa"/>
            <w:vAlign w:val="center"/>
          </w:tcPr>
          <w:p w14:paraId="111377CD">
            <w:pPr>
              <w:pStyle w:val="1429"/>
              <w:rPr>
                <w:rFonts w:cs="Times New Roman"/>
                <w:szCs w:val="21"/>
              </w:rPr>
            </w:pPr>
            <w:r>
              <w:rPr>
                <w:rFonts w:hint="eastAsia" w:cs="Times New Roman"/>
                <w:bCs/>
                <w:sz w:val="21"/>
                <w:szCs w:val="21"/>
              </w:rPr>
              <w:t>40</w:t>
            </w:r>
          </w:p>
        </w:tc>
        <w:tc>
          <w:tcPr>
            <w:tcW w:w="799" w:type="dxa"/>
            <w:vMerge w:val="continue"/>
            <w:noWrap/>
            <w:vAlign w:val="center"/>
          </w:tcPr>
          <w:p w14:paraId="32E7A8BF">
            <w:pPr>
              <w:pStyle w:val="1429"/>
              <w:rPr>
                <w:rFonts w:cs="Times New Roman"/>
              </w:rPr>
            </w:pPr>
          </w:p>
        </w:tc>
        <w:tc>
          <w:tcPr>
            <w:tcW w:w="900" w:type="dxa"/>
            <w:vMerge w:val="continue"/>
            <w:noWrap/>
            <w:vAlign w:val="center"/>
          </w:tcPr>
          <w:p w14:paraId="7C4186D8">
            <w:pPr>
              <w:pStyle w:val="1429"/>
              <w:rPr>
                <w:rFonts w:cs="Times New Roman"/>
              </w:rPr>
            </w:pPr>
          </w:p>
        </w:tc>
        <w:tc>
          <w:tcPr>
            <w:tcW w:w="782" w:type="dxa"/>
            <w:noWrap/>
            <w:vAlign w:val="center"/>
          </w:tcPr>
          <w:p w14:paraId="78DEF60A">
            <w:pPr>
              <w:pStyle w:val="1429"/>
              <w:rPr>
                <w:rFonts w:cs="Times New Roman"/>
              </w:rPr>
            </w:pPr>
            <w:r>
              <w:rPr>
                <w:rFonts w:cs="Times New Roman"/>
              </w:rPr>
              <w:t>达标</w:t>
            </w:r>
          </w:p>
        </w:tc>
        <w:tc>
          <w:tcPr>
            <w:tcW w:w="782" w:type="dxa"/>
            <w:noWrap/>
            <w:vAlign w:val="center"/>
          </w:tcPr>
          <w:p w14:paraId="1C91DB4A">
            <w:pPr>
              <w:pStyle w:val="1429"/>
              <w:rPr>
                <w:rFonts w:cs="Times New Roman"/>
              </w:rPr>
            </w:pPr>
            <w:r>
              <w:rPr>
                <w:rFonts w:cs="Times New Roman"/>
              </w:rPr>
              <w:t>达标</w:t>
            </w:r>
          </w:p>
        </w:tc>
      </w:tr>
      <w:tr w14:paraId="518FA65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22" w:type="dxa"/>
            <w:vAlign w:val="center"/>
          </w:tcPr>
          <w:p w14:paraId="0075877D">
            <w:pPr>
              <w:pStyle w:val="1429"/>
              <w:rPr>
                <w:rFonts w:cs="Times New Roman"/>
              </w:rPr>
            </w:pPr>
            <w:r>
              <w:rPr>
                <w:rFonts w:cs="Times New Roman"/>
                <w:kern w:val="0"/>
              </w:rPr>
              <w:t>N3</w:t>
            </w:r>
          </w:p>
        </w:tc>
        <w:tc>
          <w:tcPr>
            <w:tcW w:w="992" w:type="dxa"/>
            <w:vAlign w:val="center"/>
          </w:tcPr>
          <w:p w14:paraId="37DB83C7">
            <w:pPr>
              <w:pStyle w:val="1429"/>
              <w:rPr>
                <w:rFonts w:cs="Times New Roman"/>
                <w:szCs w:val="21"/>
              </w:rPr>
            </w:pPr>
            <w:r>
              <w:rPr>
                <w:rFonts w:hint="eastAsia" w:cs="Times New Roman"/>
                <w:bCs/>
                <w:sz w:val="21"/>
                <w:szCs w:val="21"/>
              </w:rPr>
              <w:t>43</w:t>
            </w:r>
          </w:p>
        </w:tc>
        <w:tc>
          <w:tcPr>
            <w:tcW w:w="1133" w:type="dxa"/>
            <w:vAlign w:val="center"/>
          </w:tcPr>
          <w:p w14:paraId="7B5B3A10">
            <w:pPr>
              <w:pStyle w:val="1429"/>
              <w:rPr>
                <w:rFonts w:cs="Times New Roman"/>
                <w:szCs w:val="21"/>
              </w:rPr>
            </w:pPr>
            <w:r>
              <w:rPr>
                <w:rFonts w:hint="eastAsia" w:cs="Times New Roman"/>
                <w:bCs/>
                <w:sz w:val="21"/>
                <w:szCs w:val="21"/>
              </w:rPr>
              <w:t>39</w:t>
            </w:r>
          </w:p>
        </w:tc>
        <w:tc>
          <w:tcPr>
            <w:tcW w:w="992" w:type="dxa"/>
            <w:vAlign w:val="center"/>
          </w:tcPr>
          <w:p w14:paraId="75CF7C22">
            <w:pPr>
              <w:pStyle w:val="1429"/>
              <w:rPr>
                <w:rFonts w:cs="Times New Roman"/>
                <w:szCs w:val="21"/>
              </w:rPr>
            </w:pPr>
            <w:r>
              <w:rPr>
                <w:rFonts w:hint="eastAsia" w:cs="Times New Roman"/>
                <w:bCs/>
                <w:sz w:val="21"/>
                <w:szCs w:val="21"/>
              </w:rPr>
              <w:t>43</w:t>
            </w:r>
          </w:p>
        </w:tc>
        <w:tc>
          <w:tcPr>
            <w:tcW w:w="1044" w:type="dxa"/>
            <w:vAlign w:val="center"/>
          </w:tcPr>
          <w:p w14:paraId="33DA1C2A">
            <w:pPr>
              <w:pStyle w:val="1429"/>
              <w:rPr>
                <w:rFonts w:cs="Times New Roman"/>
                <w:szCs w:val="21"/>
              </w:rPr>
            </w:pPr>
            <w:r>
              <w:rPr>
                <w:rFonts w:hint="eastAsia" w:cs="Times New Roman"/>
                <w:bCs/>
                <w:sz w:val="21"/>
                <w:szCs w:val="21"/>
              </w:rPr>
              <w:t>39</w:t>
            </w:r>
          </w:p>
        </w:tc>
        <w:tc>
          <w:tcPr>
            <w:tcW w:w="799" w:type="dxa"/>
            <w:vMerge w:val="continue"/>
            <w:noWrap/>
            <w:vAlign w:val="center"/>
          </w:tcPr>
          <w:p w14:paraId="51773BD1">
            <w:pPr>
              <w:pStyle w:val="1429"/>
              <w:rPr>
                <w:rFonts w:cs="Times New Roman"/>
              </w:rPr>
            </w:pPr>
          </w:p>
        </w:tc>
        <w:tc>
          <w:tcPr>
            <w:tcW w:w="900" w:type="dxa"/>
            <w:vMerge w:val="continue"/>
            <w:noWrap/>
            <w:vAlign w:val="center"/>
          </w:tcPr>
          <w:p w14:paraId="663EA27B">
            <w:pPr>
              <w:pStyle w:val="1429"/>
              <w:rPr>
                <w:rFonts w:cs="Times New Roman"/>
              </w:rPr>
            </w:pPr>
          </w:p>
        </w:tc>
        <w:tc>
          <w:tcPr>
            <w:tcW w:w="782" w:type="dxa"/>
            <w:noWrap/>
            <w:vAlign w:val="center"/>
          </w:tcPr>
          <w:p w14:paraId="0BEC358F">
            <w:pPr>
              <w:pStyle w:val="1429"/>
              <w:rPr>
                <w:rFonts w:cs="Times New Roman"/>
              </w:rPr>
            </w:pPr>
            <w:r>
              <w:rPr>
                <w:rFonts w:cs="Times New Roman"/>
              </w:rPr>
              <w:t>达标</w:t>
            </w:r>
          </w:p>
        </w:tc>
        <w:tc>
          <w:tcPr>
            <w:tcW w:w="782" w:type="dxa"/>
            <w:noWrap/>
            <w:vAlign w:val="center"/>
          </w:tcPr>
          <w:p w14:paraId="7FCF5F80">
            <w:pPr>
              <w:pStyle w:val="1429"/>
              <w:rPr>
                <w:rFonts w:cs="Times New Roman"/>
              </w:rPr>
            </w:pPr>
            <w:r>
              <w:rPr>
                <w:rFonts w:cs="Times New Roman"/>
              </w:rPr>
              <w:t>达标</w:t>
            </w:r>
          </w:p>
        </w:tc>
      </w:tr>
      <w:tr w14:paraId="491E5D5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22" w:type="dxa"/>
            <w:vAlign w:val="center"/>
          </w:tcPr>
          <w:p w14:paraId="0EEC2BCC">
            <w:pPr>
              <w:pStyle w:val="1429"/>
              <w:rPr>
                <w:rFonts w:cs="Times New Roman"/>
              </w:rPr>
            </w:pPr>
            <w:r>
              <w:rPr>
                <w:rFonts w:cs="Times New Roman"/>
                <w:kern w:val="0"/>
              </w:rPr>
              <w:t>N4</w:t>
            </w:r>
          </w:p>
        </w:tc>
        <w:tc>
          <w:tcPr>
            <w:tcW w:w="992" w:type="dxa"/>
            <w:vAlign w:val="center"/>
          </w:tcPr>
          <w:p w14:paraId="1558F7B2">
            <w:pPr>
              <w:pStyle w:val="1429"/>
              <w:rPr>
                <w:rFonts w:cs="Times New Roman"/>
                <w:szCs w:val="21"/>
              </w:rPr>
            </w:pPr>
            <w:r>
              <w:rPr>
                <w:rFonts w:hint="eastAsia" w:cs="Times New Roman"/>
                <w:bCs/>
                <w:sz w:val="21"/>
                <w:szCs w:val="21"/>
              </w:rPr>
              <w:t>44</w:t>
            </w:r>
          </w:p>
        </w:tc>
        <w:tc>
          <w:tcPr>
            <w:tcW w:w="1133" w:type="dxa"/>
            <w:vAlign w:val="center"/>
          </w:tcPr>
          <w:p w14:paraId="11231F30">
            <w:pPr>
              <w:pStyle w:val="1429"/>
              <w:rPr>
                <w:rFonts w:cs="Times New Roman"/>
                <w:szCs w:val="21"/>
              </w:rPr>
            </w:pPr>
            <w:r>
              <w:rPr>
                <w:rFonts w:hint="eastAsia" w:cs="Times New Roman"/>
                <w:bCs/>
                <w:sz w:val="21"/>
                <w:szCs w:val="21"/>
              </w:rPr>
              <w:t>41</w:t>
            </w:r>
          </w:p>
        </w:tc>
        <w:tc>
          <w:tcPr>
            <w:tcW w:w="992" w:type="dxa"/>
            <w:vAlign w:val="center"/>
          </w:tcPr>
          <w:p w14:paraId="0B703EC5">
            <w:pPr>
              <w:pStyle w:val="1429"/>
              <w:rPr>
                <w:rFonts w:cs="Times New Roman"/>
                <w:szCs w:val="21"/>
              </w:rPr>
            </w:pPr>
            <w:r>
              <w:rPr>
                <w:rFonts w:hint="eastAsia" w:cs="Times New Roman"/>
                <w:bCs/>
                <w:sz w:val="21"/>
                <w:szCs w:val="21"/>
              </w:rPr>
              <w:t>43</w:t>
            </w:r>
          </w:p>
        </w:tc>
        <w:tc>
          <w:tcPr>
            <w:tcW w:w="1044" w:type="dxa"/>
            <w:vAlign w:val="center"/>
          </w:tcPr>
          <w:p w14:paraId="6C24C63C">
            <w:pPr>
              <w:pStyle w:val="1429"/>
              <w:rPr>
                <w:rFonts w:cs="Times New Roman"/>
                <w:szCs w:val="21"/>
              </w:rPr>
            </w:pPr>
            <w:r>
              <w:rPr>
                <w:rFonts w:hint="eastAsia" w:cs="Times New Roman"/>
                <w:bCs/>
                <w:sz w:val="21"/>
                <w:szCs w:val="21"/>
              </w:rPr>
              <w:t>40</w:t>
            </w:r>
          </w:p>
        </w:tc>
        <w:tc>
          <w:tcPr>
            <w:tcW w:w="799" w:type="dxa"/>
            <w:vMerge w:val="continue"/>
            <w:noWrap/>
            <w:vAlign w:val="center"/>
          </w:tcPr>
          <w:p w14:paraId="59D5CE40">
            <w:pPr>
              <w:pStyle w:val="1429"/>
              <w:rPr>
                <w:rFonts w:cs="Times New Roman"/>
              </w:rPr>
            </w:pPr>
          </w:p>
        </w:tc>
        <w:tc>
          <w:tcPr>
            <w:tcW w:w="900" w:type="dxa"/>
            <w:vMerge w:val="continue"/>
            <w:noWrap/>
            <w:vAlign w:val="center"/>
          </w:tcPr>
          <w:p w14:paraId="7A566129">
            <w:pPr>
              <w:pStyle w:val="1429"/>
              <w:rPr>
                <w:rFonts w:cs="Times New Roman"/>
              </w:rPr>
            </w:pPr>
          </w:p>
        </w:tc>
        <w:tc>
          <w:tcPr>
            <w:tcW w:w="782" w:type="dxa"/>
            <w:noWrap/>
            <w:vAlign w:val="center"/>
          </w:tcPr>
          <w:p w14:paraId="5EDA6205">
            <w:pPr>
              <w:pStyle w:val="1429"/>
              <w:rPr>
                <w:rFonts w:cs="Times New Roman"/>
              </w:rPr>
            </w:pPr>
            <w:r>
              <w:rPr>
                <w:rFonts w:cs="Times New Roman"/>
              </w:rPr>
              <w:t>达标</w:t>
            </w:r>
          </w:p>
        </w:tc>
        <w:tc>
          <w:tcPr>
            <w:tcW w:w="782" w:type="dxa"/>
            <w:noWrap/>
            <w:vAlign w:val="center"/>
          </w:tcPr>
          <w:p w14:paraId="7AEF4B08">
            <w:pPr>
              <w:pStyle w:val="1429"/>
              <w:rPr>
                <w:rFonts w:cs="Times New Roman"/>
              </w:rPr>
            </w:pPr>
            <w:r>
              <w:rPr>
                <w:rFonts w:cs="Times New Roman"/>
              </w:rPr>
              <w:t>达标</w:t>
            </w:r>
          </w:p>
        </w:tc>
      </w:tr>
      <w:tr w14:paraId="6238F69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22" w:type="dxa"/>
            <w:vAlign w:val="center"/>
          </w:tcPr>
          <w:p w14:paraId="2CF031D1">
            <w:pPr>
              <w:pStyle w:val="1429"/>
              <w:rPr>
                <w:rFonts w:cs="Times New Roman"/>
              </w:rPr>
            </w:pPr>
            <w:r>
              <w:rPr>
                <w:rFonts w:cs="Times New Roman"/>
                <w:kern w:val="0"/>
              </w:rPr>
              <w:t>N5</w:t>
            </w:r>
          </w:p>
        </w:tc>
        <w:tc>
          <w:tcPr>
            <w:tcW w:w="992" w:type="dxa"/>
            <w:vAlign w:val="center"/>
          </w:tcPr>
          <w:p w14:paraId="15B3FCE4">
            <w:pPr>
              <w:pStyle w:val="1429"/>
              <w:rPr>
                <w:rFonts w:cs="Times New Roman"/>
                <w:szCs w:val="21"/>
              </w:rPr>
            </w:pPr>
            <w:r>
              <w:rPr>
                <w:rFonts w:hint="eastAsia" w:cs="Times New Roman"/>
                <w:bCs/>
                <w:sz w:val="21"/>
                <w:szCs w:val="21"/>
              </w:rPr>
              <w:t>44</w:t>
            </w:r>
          </w:p>
        </w:tc>
        <w:tc>
          <w:tcPr>
            <w:tcW w:w="1133" w:type="dxa"/>
            <w:vAlign w:val="center"/>
          </w:tcPr>
          <w:p w14:paraId="34F961C3">
            <w:pPr>
              <w:pStyle w:val="1429"/>
              <w:rPr>
                <w:rFonts w:cs="Times New Roman"/>
                <w:szCs w:val="21"/>
              </w:rPr>
            </w:pPr>
            <w:r>
              <w:rPr>
                <w:rFonts w:hint="eastAsia" w:cs="Times New Roman"/>
                <w:bCs/>
                <w:sz w:val="21"/>
                <w:szCs w:val="21"/>
              </w:rPr>
              <w:t>40</w:t>
            </w:r>
          </w:p>
        </w:tc>
        <w:tc>
          <w:tcPr>
            <w:tcW w:w="992" w:type="dxa"/>
            <w:vAlign w:val="center"/>
          </w:tcPr>
          <w:p w14:paraId="5E2852C0">
            <w:pPr>
              <w:pStyle w:val="1429"/>
              <w:rPr>
                <w:rFonts w:cs="Times New Roman"/>
                <w:szCs w:val="21"/>
              </w:rPr>
            </w:pPr>
            <w:r>
              <w:rPr>
                <w:rFonts w:hint="eastAsia" w:cs="Times New Roman"/>
                <w:bCs/>
                <w:sz w:val="21"/>
                <w:szCs w:val="21"/>
              </w:rPr>
              <w:t>44</w:t>
            </w:r>
          </w:p>
        </w:tc>
        <w:tc>
          <w:tcPr>
            <w:tcW w:w="1044" w:type="dxa"/>
            <w:vAlign w:val="center"/>
          </w:tcPr>
          <w:p w14:paraId="4BFB7294">
            <w:pPr>
              <w:pStyle w:val="1429"/>
              <w:rPr>
                <w:rFonts w:cs="Times New Roman"/>
                <w:szCs w:val="21"/>
              </w:rPr>
            </w:pPr>
            <w:r>
              <w:rPr>
                <w:rFonts w:hint="eastAsia" w:cs="Times New Roman"/>
                <w:bCs/>
                <w:sz w:val="21"/>
                <w:szCs w:val="21"/>
              </w:rPr>
              <w:t>40</w:t>
            </w:r>
          </w:p>
        </w:tc>
        <w:tc>
          <w:tcPr>
            <w:tcW w:w="799" w:type="dxa"/>
            <w:vMerge w:val="continue"/>
            <w:noWrap/>
            <w:vAlign w:val="center"/>
          </w:tcPr>
          <w:p w14:paraId="08678803">
            <w:pPr>
              <w:pStyle w:val="1429"/>
              <w:rPr>
                <w:rFonts w:cs="Times New Roman"/>
              </w:rPr>
            </w:pPr>
          </w:p>
        </w:tc>
        <w:tc>
          <w:tcPr>
            <w:tcW w:w="900" w:type="dxa"/>
            <w:vMerge w:val="continue"/>
            <w:noWrap/>
            <w:vAlign w:val="center"/>
          </w:tcPr>
          <w:p w14:paraId="06D99251">
            <w:pPr>
              <w:pStyle w:val="1429"/>
              <w:rPr>
                <w:rFonts w:cs="Times New Roman"/>
              </w:rPr>
            </w:pPr>
          </w:p>
        </w:tc>
        <w:tc>
          <w:tcPr>
            <w:tcW w:w="782" w:type="dxa"/>
            <w:noWrap/>
            <w:vAlign w:val="center"/>
          </w:tcPr>
          <w:p w14:paraId="63CEDBE1">
            <w:pPr>
              <w:pStyle w:val="1429"/>
              <w:rPr>
                <w:rFonts w:cs="Times New Roman"/>
              </w:rPr>
            </w:pPr>
            <w:r>
              <w:rPr>
                <w:rFonts w:cs="Times New Roman"/>
              </w:rPr>
              <w:t>达标</w:t>
            </w:r>
          </w:p>
        </w:tc>
        <w:tc>
          <w:tcPr>
            <w:tcW w:w="782" w:type="dxa"/>
            <w:noWrap/>
            <w:vAlign w:val="center"/>
          </w:tcPr>
          <w:p w14:paraId="11D63842">
            <w:pPr>
              <w:pStyle w:val="1429"/>
              <w:rPr>
                <w:rFonts w:cs="Times New Roman"/>
              </w:rPr>
            </w:pPr>
            <w:r>
              <w:rPr>
                <w:rFonts w:cs="Times New Roman"/>
              </w:rPr>
              <w:t>达标</w:t>
            </w:r>
          </w:p>
        </w:tc>
      </w:tr>
      <w:tr w14:paraId="5636A4F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22" w:type="dxa"/>
            <w:vAlign w:val="center"/>
          </w:tcPr>
          <w:p w14:paraId="3E581A87">
            <w:pPr>
              <w:pStyle w:val="1429"/>
              <w:rPr>
                <w:rFonts w:cs="Times New Roman"/>
                <w:kern w:val="0"/>
              </w:rPr>
            </w:pPr>
            <w:r>
              <w:rPr>
                <w:rFonts w:hint="eastAsia" w:cs="Times New Roman"/>
                <w:kern w:val="0"/>
              </w:rPr>
              <w:t>N</w:t>
            </w:r>
            <w:r>
              <w:rPr>
                <w:rFonts w:cs="Times New Roman"/>
                <w:kern w:val="0"/>
              </w:rPr>
              <w:t>6</w:t>
            </w:r>
          </w:p>
        </w:tc>
        <w:tc>
          <w:tcPr>
            <w:tcW w:w="992" w:type="dxa"/>
            <w:vAlign w:val="center"/>
          </w:tcPr>
          <w:p w14:paraId="54FE7E90">
            <w:pPr>
              <w:pStyle w:val="1429"/>
              <w:rPr>
                <w:rFonts w:cs="Times New Roman"/>
                <w:szCs w:val="21"/>
              </w:rPr>
            </w:pPr>
            <w:r>
              <w:rPr>
                <w:rFonts w:hint="eastAsia" w:cs="Times New Roman"/>
                <w:bCs/>
                <w:sz w:val="21"/>
                <w:szCs w:val="21"/>
              </w:rPr>
              <w:t>44</w:t>
            </w:r>
          </w:p>
        </w:tc>
        <w:tc>
          <w:tcPr>
            <w:tcW w:w="1133" w:type="dxa"/>
            <w:vAlign w:val="center"/>
          </w:tcPr>
          <w:p w14:paraId="424A4C21">
            <w:pPr>
              <w:pStyle w:val="1429"/>
              <w:rPr>
                <w:rFonts w:cs="Times New Roman"/>
                <w:szCs w:val="21"/>
              </w:rPr>
            </w:pPr>
            <w:r>
              <w:rPr>
                <w:rFonts w:hint="eastAsia" w:cs="Times New Roman"/>
                <w:bCs/>
                <w:sz w:val="21"/>
                <w:szCs w:val="21"/>
              </w:rPr>
              <w:t>40</w:t>
            </w:r>
          </w:p>
        </w:tc>
        <w:tc>
          <w:tcPr>
            <w:tcW w:w="992" w:type="dxa"/>
            <w:vAlign w:val="center"/>
          </w:tcPr>
          <w:p w14:paraId="37576475">
            <w:pPr>
              <w:pStyle w:val="1429"/>
              <w:rPr>
                <w:rFonts w:cs="Times New Roman"/>
                <w:szCs w:val="21"/>
              </w:rPr>
            </w:pPr>
            <w:r>
              <w:rPr>
                <w:rFonts w:hint="eastAsia" w:cs="Times New Roman"/>
                <w:bCs/>
                <w:sz w:val="21"/>
                <w:szCs w:val="21"/>
              </w:rPr>
              <w:t>44</w:t>
            </w:r>
          </w:p>
        </w:tc>
        <w:tc>
          <w:tcPr>
            <w:tcW w:w="1044" w:type="dxa"/>
            <w:vAlign w:val="center"/>
          </w:tcPr>
          <w:p w14:paraId="2EB5A782">
            <w:pPr>
              <w:pStyle w:val="1429"/>
              <w:rPr>
                <w:rFonts w:cs="Times New Roman"/>
                <w:szCs w:val="21"/>
              </w:rPr>
            </w:pPr>
            <w:r>
              <w:rPr>
                <w:rFonts w:hint="eastAsia" w:cs="Times New Roman"/>
                <w:bCs/>
                <w:sz w:val="21"/>
                <w:szCs w:val="21"/>
              </w:rPr>
              <w:t>40</w:t>
            </w:r>
          </w:p>
        </w:tc>
        <w:tc>
          <w:tcPr>
            <w:tcW w:w="799" w:type="dxa"/>
            <w:vMerge w:val="continue"/>
            <w:noWrap/>
            <w:vAlign w:val="center"/>
          </w:tcPr>
          <w:p w14:paraId="09E7F940">
            <w:pPr>
              <w:pStyle w:val="1429"/>
              <w:rPr>
                <w:rFonts w:cs="Times New Roman"/>
              </w:rPr>
            </w:pPr>
          </w:p>
        </w:tc>
        <w:tc>
          <w:tcPr>
            <w:tcW w:w="900" w:type="dxa"/>
            <w:vMerge w:val="continue"/>
            <w:noWrap/>
            <w:vAlign w:val="center"/>
          </w:tcPr>
          <w:p w14:paraId="2351C99E">
            <w:pPr>
              <w:pStyle w:val="1429"/>
              <w:rPr>
                <w:rFonts w:cs="Times New Roman"/>
              </w:rPr>
            </w:pPr>
          </w:p>
        </w:tc>
        <w:tc>
          <w:tcPr>
            <w:tcW w:w="782" w:type="dxa"/>
            <w:noWrap/>
            <w:vAlign w:val="center"/>
          </w:tcPr>
          <w:p w14:paraId="13B0832D">
            <w:pPr>
              <w:pStyle w:val="1429"/>
              <w:rPr>
                <w:rFonts w:cs="Times New Roman"/>
              </w:rPr>
            </w:pPr>
            <w:r>
              <w:rPr>
                <w:rFonts w:cs="Times New Roman"/>
              </w:rPr>
              <w:t>达标</w:t>
            </w:r>
          </w:p>
        </w:tc>
        <w:tc>
          <w:tcPr>
            <w:tcW w:w="782" w:type="dxa"/>
            <w:noWrap/>
            <w:vAlign w:val="center"/>
          </w:tcPr>
          <w:p w14:paraId="75A5017A">
            <w:pPr>
              <w:pStyle w:val="1429"/>
              <w:rPr>
                <w:rFonts w:cs="Times New Roman"/>
              </w:rPr>
            </w:pPr>
            <w:r>
              <w:rPr>
                <w:rFonts w:cs="Times New Roman"/>
              </w:rPr>
              <w:t>达标</w:t>
            </w:r>
          </w:p>
        </w:tc>
      </w:tr>
      <w:tr w14:paraId="072586C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22" w:type="dxa"/>
            <w:vAlign w:val="center"/>
          </w:tcPr>
          <w:p w14:paraId="032F234E">
            <w:pPr>
              <w:pStyle w:val="1429"/>
              <w:rPr>
                <w:rFonts w:cs="Times New Roman"/>
                <w:kern w:val="0"/>
              </w:rPr>
            </w:pPr>
            <w:r>
              <w:rPr>
                <w:rFonts w:hint="eastAsia"/>
                <w:kern w:val="0"/>
              </w:rPr>
              <w:t>N</w:t>
            </w:r>
            <w:r>
              <w:rPr>
                <w:kern w:val="0"/>
              </w:rPr>
              <w:t>7</w:t>
            </w:r>
          </w:p>
        </w:tc>
        <w:tc>
          <w:tcPr>
            <w:tcW w:w="992" w:type="dxa"/>
            <w:vAlign w:val="center"/>
          </w:tcPr>
          <w:p w14:paraId="426A1471">
            <w:pPr>
              <w:pStyle w:val="1429"/>
              <w:rPr>
                <w:rFonts w:cs="Times New Roman"/>
                <w:szCs w:val="21"/>
              </w:rPr>
            </w:pPr>
            <w:r>
              <w:rPr>
                <w:rFonts w:hint="eastAsia" w:cs="Times New Roman"/>
                <w:bCs/>
                <w:sz w:val="21"/>
                <w:szCs w:val="21"/>
              </w:rPr>
              <w:t>45</w:t>
            </w:r>
          </w:p>
        </w:tc>
        <w:tc>
          <w:tcPr>
            <w:tcW w:w="1133" w:type="dxa"/>
            <w:vAlign w:val="center"/>
          </w:tcPr>
          <w:p w14:paraId="7A9F1A3A">
            <w:pPr>
              <w:pStyle w:val="1429"/>
              <w:rPr>
                <w:rFonts w:cs="Times New Roman"/>
                <w:szCs w:val="21"/>
              </w:rPr>
            </w:pPr>
            <w:r>
              <w:rPr>
                <w:rFonts w:hint="eastAsia" w:cs="Times New Roman"/>
                <w:bCs/>
                <w:sz w:val="21"/>
                <w:szCs w:val="21"/>
              </w:rPr>
              <w:t>41</w:t>
            </w:r>
          </w:p>
        </w:tc>
        <w:tc>
          <w:tcPr>
            <w:tcW w:w="992" w:type="dxa"/>
            <w:vAlign w:val="center"/>
          </w:tcPr>
          <w:p w14:paraId="44BE187C">
            <w:pPr>
              <w:pStyle w:val="1429"/>
              <w:rPr>
                <w:rFonts w:cs="Times New Roman"/>
                <w:szCs w:val="21"/>
              </w:rPr>
            </w:pPr>
            <w:r>
              <w:rPr>
                <w:rFonts w:hint="eastAsia" w:cs="Times New Roman"/>
                <w:bCs/>
                <w:sz w:val="21"/>
                <w:szCs w:val="21"/>
              </w:rPr>
              <w:t>44</w:t>
            </w:r>
          </w:p>
        </w:tc>
        <w:tc>
          <w:tcPr>
            <w:tcW w:w="1044" w:type="dxa"/>
            <w:vAlign w:val="center"/>
          </w:tcPr>
          <w:p w14:paraId="4BBE18CD">
            <w:pPr>
              <w:pStyle w:val="1429"/>
              <w:rPr>
                <w:rFonts w:cs="Times New Roman"/>
                <w:szCs w:val="21"/>
              </w:rPr>
            </w:pPr>
            <w:r>
              <w:rPr>
                <w:rFonts w:hint="eastAsia" w:cs="Times New Roman"/>
                <w:bCs/>
                <w:sz w:val="21"/>
                <w:szCs w:val="21"/>
              </w:rPr>
              <w:t>40</w:t>
            </w:r>
          </w:p>
        </w:tc>
        <w:tc>
          <w:tcPr>
            <w:tcW w:w="799" w:type="dxa"/>
            <w:vMerge w:val="continue"/>
            <w:noWrap/>
            <w:vAlign w:val="center"/>
          </w:tcPr>
          <w:p w14:paraId="56CA3C73">
            <w:pPr>
              <w:pStyle w:val="1429"/>
              <w:rPr>
                <w:rFonts w:cs="Times New Roman"/>
              </w:rPr>
            </w:pPr>
          </w:p>
        </w:tc>
        <w:tc>
          <w:tcPr>
            <w:tcW w:w="900" w:type="dxa"/>
            <w:vMerge w:val="continue"/>
            <w:noWrap/>
            <w:vAlign w:val="center"/>
          </w:tcPr>
          <w:p w14:paraId="277DE8A9">
            <w:pPr>
              <w:pStyle w:val="1429"/>
              <w:rPr>
                <w:rFonts w:cs="Times New Roman"/>
              </w:rPr>
            </w:pPr>
          </w:p>
        </w:tc>
        <w:tc>
          <w:tcPr>
            <w:tcW w:w="782" w:type="dxa"/>
            <w:noWrap/>
            <w:vAlign w:val="center"/>
          </w:tcPr>
          <w:p w14:paraId="24536FEA">
            <w:pPr>
              <w:pStyle w:val="1429"/>
              <w:rPr>
                <w:rFonts w:cs="Times New Roman"/>
              </w:rPr>
            </w:pPr>
            <w:r>
              <w:rPr>
                <w:rFonts w:cs="Times New Roman"/>
              </w:rPr>
              <w:t>达标</w:t>
            </w:r>
          </w:p>
        </w:tc>
        <w:tc>
          <w:tcPr>
            <w:tcW w:w="782" w:type="dxa"/>
            <w:noWrap/>
            <w:vAlign w:val="center"/>
          </w:tcPr>
          <w:p w14:paraId="2FF939A7">
            <w:pPr>
              <w:pStyle w:val="1429"/>
              <w:rPr>
                <w:rFonts w:cs="Times New Roman"/>
              </w:rPr>
            </w:pPr>
            <w:r>
              <w:rPr>
                <w:rFonts w:cs="Times New Roman"/>
              </w:rPr>
              <w:t>达标</w:t>
            </w:r>
          </w:p>
        </w:tc>
      </w:tr>
      <w:tr w14:paraId="6298A0A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22" w:type="dxa"/>
            <w:vAlign w:val="center"/>
          </w:tcPr>
          <w:p w14:paraId="3F5D43B1">
            <w:pPr>
              <w:pStyle w:val="1429"/>
              <w:rPr>
                <w:rFonts w:cs="Times New Roman"/>
                <w:kern w:val="0"/>
              </w:rPr>
            </w:pPr>
            <w:r>
              <w:rPr>
                <w:rFonts w:hint="eastAsia"/>
                <w:kern w:val="0"/>
              </w:rPr>
              <w:t>N</w:t>
            </w:r>
            <w:r>
              <w:rPr>
                <w:kern w:val="0"/>
              </w:rPr>
              <w:t>8</w:t>
            </w:r>
          </w:p>
        </w:tc>
        <w:tc>
          <w:tcPr>
            <w:tcW w:w="992" w:type="dxa"/>
            <w:vAlign w:val="center"/>
          </w:tcPr>
          <w:p w14:paraId="77FAA23B">
            <w:pPr>
              <w:pStyle w:val="1429"/>
              <w:rPr>
                <w:rFonts w:cs="Times New Roman"/>
                <w:szCs w:val="21"/>
              </w:rPr>
            </w:pPr>
            <w:r>
              <w:rPr>
                <w:rFonts w:hint="eastAsia" w:cs="Times New Roman"/>
                <w:bCs/>
                <w:sz w:val="21"/>
                <w:szCs w:val="21"/>
              </w:rPr>
              <w:t>45</w:t>
            </w:r>
          </w:p>
        </w:tc>
        <w:tc>
          <w:tcPr>
            <w:tcW w:w="1133" w:type="dxa"/>
            <w:vAlign w:val="center"/>
          </w:tcPr>
          <w:p w14:paraId="652EB5D4">
            <w:pPr>
              <w:pStyle w:val="1429"/>
              <w:rPr>
                <w:rFonts w:cs="Times New Roman"/>
                <w:szCs w:val="21"/>
              </w:rPr>
            </w:pPr>
            <w:r>
              <w:rPr>
                <w:rFonts w:hint="eastAsia" w:cs="Times New Roman"/>
                <w:bCs/>
                <w:sz w:val="21"/>
                <w:szCs w:val="21"/>
              </w:rPr>
              <w:t>41</w:t>
            </w:r>
          </w:p>
        </w:tc>
        <w:tc>
          <w:tcPr>
            <w:tcW w:w="992" w:type="dxa"/>
            <w:vAlign w:val="center"/>
          </w:tcPr>
          <w:p w14:paraId="4C0284B8">
            <w:pPr>
              <w:pStyle w:val="1429"/>
              <w:rPr>
                <w:rFonts w:cs="Times New Roman"/>
                <w:szCs w:val="21"/>
              </w:rPr>
            </w:pPr>
            <w:r>
              <w:rPr>
                <w:rFonts w:hint="eastAsia" w:cs="Times New Roman"/>
                <w:bCs/>
                <w:sz w:val="21"/>
                <w:szCs w:val="21"/>
              </w:rPr>
              <w:t>44</w:t>
            </w:r>
          </w:p>
        </w:tc>
        <w:tc>
          <w:tcPr>
            <w:tcW w:w="1044" w:type="dxa"/>
            <w:vAlign w:val="center"/>
          </w:tcPr>
          <w:p w14:paraId="17AA669B">
            <w:pPr>
              <w:pStyle w:val="1429"/>
              <w:rPr>
                <w:rFonts w:cs="Times New Roman"/>
                <w:szCs w:val="21"/>
              </w:rPr>
            </w:pPr>
            <w:r>
              <w:rPr>
                <w:rFonts w:hint="eastAsia" w:cs="Times New Roman"/>
                <w:bCs/>
                <w:sz w:val="21"/>
                <w:szCs w:val="21"/>
              </w:rPr>
              <w:t>40</w:t>
            </w:r>
          </w:p>
        </w:tc>
        <w:tc>
          <w:tcPr>
            <w:tcW w:w="799" w:type="dxa"/>
            <w:vMerge w:val="continue"/>
            <w:noWrap/>
            <w:vAlign w:val="center"/>
          </w:tcPr>
          <w:p w14:paraId="7F2F0107">
            <w:pPr>
              <w:pStyle w:val="1429"/>
              <w:rPr>
                <w:rFonts w:cs="Times New Roman"/>
              </w:rPr>
            </w:pPr>
          </w:p>
        </w:tc>
        <w:tc>
          <w:tcPr>
            <w:tcW w:w="900" w:type="dxa"/>
            <w:vMerge w:val="continue"/>
            <w:noWrap/>
            <w:vAlign w:val="center"/>
          </w:tcPr>
          <w:p w14:paraId="494756A3">
            <w:pPr>
              <w:pStyle w:val="1429"/>
              <w:rPr>
                <w:rFonts w:cs="Times New Roman"/>
              </w:rPr>
            </w:pPr>
          </w:p>
        </w:tc>
        <w:tc>
          <w:tcPr>
            <w:tcW w:w="782" w:type="dxa"/>
            <w:noWrap/>
            <w:vAlign w:val="center"/>
          </w:tcPr>
          <w:p w14:paraId="50D39709">
            <w:pPr>
              <w:pStyle w:val="1429"/>
              <w:rPr>
                <w:rFonts w:cs="Times New Roman"/>
              </w:rPr>
            </w:pPr>
            <w:r>
              <w:rPr>
                <w:rFonts w:cs="Times New Roman"/>
              </w:rPr>
              <w:t>达标</w:t>
            </w:r>
          </w:p>
        </w:tc>
        <w:tc>
          <w:tcPr>
            <w:tcW w:w="782" w:type="dxa"/>
            <w:noWrap/>
            <w:vAlign w:val="center"/>
          </w:tcPr>
          <w:p w14:paraId="60561CB8">
            <w:pPr>
              <w:pStyle w:val="1429"/>
              <w:rPr>
                <w:rFonts w:cs="Times New Roman"/>
              </w:rPr>
            </w:pPr>
            <w:r>
              <w:rPr>
                <w:rFonts w:cs="Times New Roman"/>
              </w:rPr>
              <w:t>达标</w:t>
            </w:r>
          </w:p>
        </w:tc>
      </w:tr>
    </w:tbl>
    <w:p w14:paraId="0964B843">
      <w:pPr>
        <w:ind w:firstLine="520" w:firstLineChars="200"/>
        <w:jc w:val="left"/>
        <w:rPr>
          <w:sz w:val="26"/>
          <w:szCs w:val="26"/>
        </w:rPr>
      </w:pPr>
    </w:p>
    <w:p w14:paraId="77FD8BD9">
      <w:pPr>
        <w:spacing w:line="460" w:lineRule="exact"/>
        <w:ind w:firstLine="520" w:firstLineChars="200"/>
        <w:rPr>
          <w:sz w:val="26"/>
          <w:szCs w:val="26"/>
        </w:rPr>
      </w:pPr>
      <w:r>
        <w:rPr>
          <w:sz w:val="26"/>
          <w:szCs w:val="26"/>
        </w:rPr>
        <w:t>由上</w:t>
      </w:r>
      <w:r>
        <w:rPr>
          <w:sz w:val="26"/>
          <w:szCs w:val="26"/>
          <w:u w:val="single"/>
        </w:rPr>
        <w:t>表4.2-12</w:t>
      </w:r>
      <w:r>
        <w:rPr>
          <w:sz w:val="26"/>
          <w:szCs w:val="26"/>
        </w:rPr>
        <w:t>可知：项目噪声监测点昼、夜间噪声值均满足《声环境质量标准》（GB3096-2008）2类区标准要求，项目所在区域声环境质量较好。</w:t>
      </w:r>
    </w:p>
    <w:p w14:paraId="54EAF5CC">
      <w:pPr>
        <w:pStyle w:val="1068"/>
        <w:rPr>
          <w:rFonts w:cs="Times New Roman"/>
        </w:rPr>
      </w:pPr>
      <w:bookmarkStart w:id="224" w:name="_Toc165810532"/>
      <w:r>
        <w:rPr>
          <w:rFonts w:cs="Times New Roman"/>
        </w:rPr>
        <w:t>4.2.5 土壤环境质量</w:t>
      </w:r>
      <w:bookmarkEnd w:id="224"/>
    </w:p>
    <w:p w14:paraId="54E47796">
      <w:pPr>
        <w:tabs>
          <w:tab w:val="left" w:pos="5925"/>
        </w:tabs>
        <w:overflowPunct w:val="0"/>
        <w:spacing w:line="460" w:lineRule="atLeast"/>
        <w:ind w:firstLine="520" w:firstLineChars="200"/>
        <w:rPr>
          <w:sz w:val="26"/>
          <w:szCs w:val="26"/>
        </w:rPr>
      </w:pPr>
      <w:r>
        <w:rPr>
          <w:rFonts w:hint="eastAsia"/>
          <w:sz w:val="26"/>
          <w:szCs w:val="26"/>
        </w:rPr>
        <w:t>（1）监测布点</w:t>
      </w:r>
    </w:p>
    <w:p w14:paraId="5BCCA595">
      <w:pPr>
        <w:tabs>
          <w:tab w:val="left" w:pos="5925"/>
        </w:tabs>
        <w:overflowPunct w:val="0"/>
        <w:spacing w:line="460" w:lineRule="atLeast"/>
        <w:ind w:firstLine="520" w:firstLineChars="200"/>
        <w:rPr>
          <w:sz w:val="26"/>
          <w:szCs w:val="26"/>
        </w:rPr>
      </w:pPr>
      <w:r>
        <w:rPr>
          <w:rFonts w:hint="eastAsia"/>
          <w:sz w:val="26"/>
          <w:szCs w:val="26"/>
        </w:rPr>
        <w:t>本项目试采站土壤污染影响型环境影响评价等级为二级，根据《环境影响评价技术导则 土壤环境（试行）》（HJ 964-2018），土壤污染影响型二级评价应在占地范围内设置3个柱状样和1个表层样，占地范围外设置2个表层样。</w:t>
      </w:r>
    </w:p>
    <w:p w14:paraId="54F93B24">
      <w:pPr>
        <w:tabs>
          <w:tab w:val="left" w:pos="5925"/>
        </w:tabs>
        <w:overflowPunct w:val="0"/>
        <w:spacing w:line="460" w:lineRule="atLeast"/>
        <w:ind w:firstLine="520" w:firstLineChars="200"/>
        <w:rPr>
          <w:sz w:val="26"/>
          <w:szCs w:val="26"/>
        </w:rPr>
      </w:pPr>
      <w:r>
        <w:rPr>
          <w:rFonts w:hint="eastAsia"/>
          <w:sz w:val="26"/>
          <w:szCs w:val="26"/>
        </w:rPr>
        <w:t>本项目土壤污染主要为入渗途径影响，本次评价分别根据试采站的地形特征、地面径流方向，设表层监测点和柱状样监测点，同时站内、外进行监测。本项目设置6个土壤环境监测点位，其中试采站占地范围内设置3个柱状样，位于试采站内靠近污染源，站内设置一个表层样，站外设置2个表层样，并对土壤进行了理化性质调查，监测点布设满足《环境影响评价技术导则 土壤环境（试行）》（HJ 964-2018）的要求。</w:t>
      </w:r>
    </w:p>
    <w:p w14:paraId="785EB123">
      <w:pPr>
        <w:tabs>
          <w:tab w:val="left" w:pos="5925"/>
        </w:tabs>
        <w:overflowPunct w:val="0"/>
        <w:spacing w:line="460" w:lineRule="atLeast"/>
        <w:ind w:firstLine="520" w:firstLineChars="200"/>
        <w:rPr>
          <w:bCs/>
          <w:sz w:val="26"/>
          <w:szCs w:val="26"/>
        </w:rPr>
      </w:pPr>
      <w:r>
        <w:rPr>
          <w:rFonts w:hint="eastAsia"/>
          <w:sz w:val="26"/>
          <w:szCs w:val="26"/>
        </w:rPr>
        <w:t>土壤环境现状监测点位详见</w:t>
      </w:r>
      <w:r>
        <w:rPr>
          <w:rFonts w:hint="eastAsia"/>
          <w:sz w:val="26"/>
          <w:szCs w:val="26"/>
          <w:u w:val="single"/>
        </w:rPr>
        <w:t>表4.3-1</w:t>
      </w:r>
      <w:r>
        <w:rPr>
          <w:sz w:val="26"/>
          <w:szCs w:val="26"/>
          <w:u w:val="single"/>
        </w:rPr>
        <w:t>3</w:t>
      </w:r>
      <w:r>
        <w:rPr>
          <w:rFonts w:hint="eastAsia"/>
          <w:sz w:val="26"/>
          <w:szCs w:val="26"/>
        </w:rPr>
        <w:t>。</w:t>
      </w:r>
    </w:p>
    <w:p w14:paraId="63BE7C7B">
      <w:pPr>
        <w:pStyle w:val="1066"/>
        <w:ind w:firstLine="520"/>
        <w:rPr>
          <w:rFonts w:cs="Times New Roman"/>
        </w:rPr>
      </w:pPr>
    </w:p>
    <w:p w14:paraId="1DBA62C3">
      <w:pPr>
        <w:pStyle w:val="1065"/>
        <w:rPr>
          <w:kern w:val="0"/>
        </w:rPr>
      </w:pPr>
      <w:r>
        <w:t>表4.2-13  监测因子及监测布点统计表</w:t>
      </w:r>
    </w:p>
    <w:tbl>
      <w:tblPr>
        <w:tblStyle w:val="88"/>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95"/>
        <w:gridCol w:w="2208"/>
        <w:gridCol w:w="1327"/>
        <w:gridCol w:w="1191"/>
        <w:gridCol w:w="891"/>
        <w:gridCol w:w="1641"/>
        <w:gridCol w:w="891"/>
      </w:tblGrid>
      <w:tr w14:paraId="04B5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695" w:type="dxa"/>
            <w:vAlign w:val="center"/>
          </w:tcPr>
          <w:p w14:paraId="126B91C8">
            <w:pPr>
              <w:adjustRightInd w:val="0"/>
              <w:snapToGrid w:val="0"/>
              <w:jc w:val="center"/>
              <w:rPr>
                <w:kern w:val="0"/>
                <w:sz w:val="22"/>
                <w:szCs w:val="22"/>
              </w:rPr>
            </w:pPr>
            <w:r>
              <w:rPr>
                <w:kern w:val="0"/>
                <w:sz w:val="22"/>
                <w:szCs w:val="22"/>
              </w:rPr>
              <w:t>序号</w:t>
            </w:r>
          </w:p>
        </w:tc>
        <w:tc>
          <w:tcPr>
            <w:tcW w:w="2208" w:type="dxa"/>
            <w:vAlign w:val="center"/>
          </w:tcPr>
          <w:p w14:paraId="43C46F50">
            <w:pPr>
              <w:adjustRightInd w:val="0"/>
              <w:snapToGrid w:val="0"/>
              <w:jc w:val="center"/>
              <w:rPr>
                <w:kern w:val="0"/>
                <w:sz w:val="22"/>
                <w:szCs w:val="22"/>
              </w:rPr>
            </w:pPr>
            <w:r>
              <w:rPr>
                <w:kern w:val="0"/>
                <w:sz w:val="22"/>
                <w:szCs w:val="22"/>
              </w:rPr>
              <w:t>点位</w:t>
            </w:r>
          </w:p>
        </w:tc>
        <w:tc>
          <w:tcPr>
            <w:tcW w:w="1327" w:type="dxa"/>
            <w:vAlign w:val="center"/>
          </w:tcPr>
          <w:p w14:paraId="61EF18BE">
            <w:pPr>
              <w:adjustRightInd w:val="0"/>
              <w:snapToGrid w:val="0"/>
              <w:jc w:val="center"/>
              <w:rPr>
                <w:kern w:val="0"/>
                <w:sz w:val="22"/>
                <w:szCs w:val="22"/>
              </w:rPr>
            </w:pPr>
            <w:r>
              <w:rPr>
                <w:rFonts w:hint="eastAsia"/>
                <w:kern w:val="0"/>
                <w:sz w:val="22"/>
                <w:szCs w:val="22"/>
              </w:rPr>
              <w:t>经度/°</w:t>
            </w:r>
          </w:p>
        </w:tc>
        <w:tc>
          <w:tcPr>
            <w:tcW w:w="1191" w:type="dxa"/>
            <w:tcBorders>
              <w:bottom w:val="single" w:color="auto" w:sz="4" w:space="0"/>
            </w:tcBorders>
            <w:vAlign w:val="center"/>
          </w:tcPr>
          <w:p w14:paraId="2C951235">
            <w:pPr>
              <w:adjustRightInd w:val="0"/>
              <w:snapToGrid w:val="0"/>
              <w:jc w:val="center"/>
              <w:rPr>
                <w:kern w:val="0"/>
                <w:sz w:val="22"/>
                <w:szCs w:val="22"/>
              </w:rPr>
            </w:pPr>
            <w:r>
              <w:rPr>
                <w:rFonts w:hint="eastAsia"/>
                <w:kern w:val="0"/>
                <w:sz w:val="22"/>
                <w:szCs w:val="22"/>
              </w:rPr>
              <w:t>纬度/°</w:t>
            </w:r>
          </w:p>
        </w:tc>
        <w:tc>
          <w:tcPr>
            <w:tcW w:w="891" w:type="dxa"/>
            <w:vAlign w:val="center"/>
          </w:tcPr>
          <w:p w14:paraId="6DE84548">
            <w:pPr>
              <w:adjustRightInd w:val="0"/>
              <w:snapToGrid w:val="0"/>
              <w:jc w:val="center"/>
              <w:rPr>
                <w:kern w:val="0"/>
                <w:sz w:val="22"/>
                <w:szCs w:val="22"/>
              </w:rPr>
            </w:pPr>
            <w:r>
              <w:rPr>
                <w:kern w:val="0"/>
                <w:sz w:val="22"/>
                <w:szCs w:val="22"/>
              </w:rPr>
              <w:t>取样</w:t>
            </w:r>
          </w:p>
          <w:p w14:paraId="02B6C6AF">
            <w:pPr>
              <w:adjustRightInd w:val="0"/>
              <w:snapToGrid w:val="0"/>
              <w:jc w:val="center"/>
              <w:rPr>
                <w:kern w:val="0"/>
                <w:sz w:val="22"/>
                <w:szCs w:val="22"/>
              </w:rPr>
            </w:pPr>
            <w:r>
              <w:rPr>
                <w:kern w:val="0"/>
                <w:sz w:val="22"/>
                <w:szCs w:val="22"/>
              </w:rPr>
              <w:t>类型</w:t>
            </w:r>
          </w:p>
        </w:tc>
        <w:tc>
          <w:tcPr>
            <w:tcW w:w="1641" w:type="dxa"/>
            <w:vAlign w:val="center"/>
          </w:tcPr>
          <w:p w14:paraId="38F0CDDD">
            <w:pPr>
              <w:adjustRightInd w:val="0"/>
              <w:snapToGrid w:val="0"/>
              <w:jc w:val="center"/>
              <w:rPr>
                <w:kern w:val="0"/>
                <w:sz w:val="22"/>
                <w:szCs w:val="22"/>
              </w:rPr>
            </w:pPr>
            <w:r>
              <w:rPr>
                <w:kern w:val="0"/>
                <w:sz w:val="22"/>
                <w:szCs w:val="22"/>
              </w:rPr>
              <w:t>监测项目</w:t>
            </w:r>
          </w:p>
        </w:tc>
        <w:tc>
          <w:tcPr>
            <w:tcW w:w="891" w:type="dxa"/>
            <w:vAlign w:val="center"/>
          </w:tcPr>
          <w:p w14:paraId="09166A29">
            <w:pPr>
              <w:adjustRightInd w:val="0"/>
              <w:snapToGrid w:val="0"/>
              <w:jc w:val="center"/>
              <w:rPr>
                <w:kern w:val="0"/>
                <w:sz w:val="22"/>
                <w:szCs w:val="22"/>
              </w:rPr>
            </w:pPr>
            <w:r>
              <w:rPr>
                <w:kern w:val="0"/>
                <w:sz w:val="22"/>
                <w:szCs w:val="22"/>
              </w:rPr>
              <w:t>土壤</w:t>
            </w:r>
          </w:p>
          <w:p w14:paraId="3BF36D54">
            <w:pPr>
              <w:adjustRightInd w:val="0"/>
              <w:snapToGrid w:val="0"/>
              <w:jc w:val="center"/>
              <w:rPr>
                <w:kern w:val="0"/>
                <w:sz w:val="22"/>
                <w:szCs w:val="22"/>
              </w:rPr>
            </w:pPr>
            <w:r>
              <w:rPr>
                <w:kern w:val="0"/>
                <w:sz w:val="22"/>
                <w:szCs w:val="22"/>
              </w:rPr>
              <w:t>类型</w:t>
            </w:r>
          </w:p>
        </w:tc>
      </w:tr>
      <w:tr w14:paraId="3574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695" w:type="dxa"/>
            <w:vAlign w:val="center"/>
          </w:tcPr>
          <w:p w14:paraId="55164ACD">
            <w:pPr>
              <w:adjustRightInd w:val="0"/>
              <w:snapToGrid w:val="0"/>
              <w:jc w:val="center"/>
              <w:rPr>
                <w:kern w:val="0"/>
                <w:sz w:val="22"/>
                <w:szCs w:val="22"/>
              </w:rPr>
            </w:pPr>
            <w:r>
              <w:rPr>
                <w:kern w:val="0"/>
                <w:sz w:val="22"/>
                <w:szCs w:val="22"/>
              </w:rPr>
              <w:t>T1</w:t>
            </w:r>
          </w:p>
        </w:tc>
        <w:tc>
          <w:tcPr>
            <w:tcW w:w="2208" w:type="dxa"/>
            <w:vAlign w:val="center"/>
          </w:tcPr>
          <w:p w14:paraId="53407AC1">
            <w:pPr>
              <w:adjustRightInd w:val="0"/>
              <w:snapToGrid w:val="0"/>
              <w:jc w:val="center"/>
              <w:rPr>
                <w:kern w:val="0"/>
                <w:sz w:val="22"/>
                <w:szCs w:val="22"/>
              </w:rPr>
            </w:pPr>
            <w:r>
              <w:rPr>
                <w:rFonts w:hint="eastAsia"/>
                <w:kern w:val="0"/>
                <w:sz w:val="22"/>
                <w:szCs w:val="22"/>
              </w:rPr>
              <w:t>站内凝析油储罐处</w:t>
            </w:r>
          </w:p>
        </w:tc>
        <w:tc>
          <w:tcPr>
            <w:tcW w:w="1327" w:type="dxa"/>
            <w:tcBorders>
              <w:right w:val="single" w:color="auto" w:sz="4" w:space="0"/>
            </w:tcBorders>
            <w:vAlign w:val="center"/>
          </w:tcPr>
          <w:p w14:paraId="6BB2279C">
            <w:pPr>
              <w:pStyle w:val="1444"/>
              <w:rPr>
                <w:kern w:val="0"/>
              </w:rPr>
            </w:pPr>
            <w:r>
              <w:t>106.428954</w:t>
            </w:r>
          </w:p>
        </w:tc>
        <w:tc>
          <w:tcPr>
            <w:tcW w:w="1191" w:type="dxa"/>
            <w:tcBorders>
              <w:top w:val="single" w:color="auto" w:sz="4" w:space="0"/>
              <w:left w:val="single" w:color="auto" w:sz="4" w:space="0"/>
              <w:bottom w:val="single" w:color="auto" w:sz="4" w:space="0"/>
              <w:right w:val="single" w:color="auto" w:sz="4" w:space="0"/>
            </w:tcBorders>
            <w:vAlign w:val="center"/>
          </w:tcPr>
          <w:p w14:paraId="2CA68249">
            <w:pPr>
              <w:pStyle w:val="1444"/>
            </w:pPr>
            <w:r>
              <w:t>31.790706</w:t>
            </w:r>
          </w:p>
        </w:tc>
        <w:tc>
          <w:tcPr>
            <w:tcW w:w="891" w:type="dxa"/>
            <w:vMerge w:val="restart"/>
            <w:tcBorders>
              <w:left w:val="single" w:color="auto" w:sz="4" w:space="0"/>
              <w:right w:val="single" w:color="auto" w:sz="4" w:space="0"/>
            </w:tcBorders>
            <w:vAlign w:val="center"/>
          </w:tcPr>
          <w:p w14:paraId="0AE0F2AE">
            <w:pPr>
              <w:pStyle w:val="1429"/>
            </w:pPr>
            <w:r>
              <w:rPr>
                <w:rFonts w:hint="eastAsia"/>
              </w:rPr>
              <w:t>柱状样</w:t>
            </w:r>
          </w:p>
        </w:tc>
        <w:tc>
          <w:tcPr>
            <w:tcW w:w="1641" w:type="dxa"/>
            <w:tcBorders>
              <w:left w:val="single" w:color="auto" w:sz="4" w:space="0"/>
            </w:tcBorders>
            <w:vAlign w:val="center"/>
          </w:tcPr>
          <w:p w14:paraId="72CAAD9D">
            <w:pPr>
              <w:adjustRightInd w:val="0"/>
              <w:snapToGrid w:val="0"/>
              <w:jc w:val="center"/>
              <w:rPr>
                <w:kern w:val="0"/>
                <w:sz w:val="22"/>
                <w:szCs w:val="22"/>
              </w:rPr>
            </w:pPr>
            <w:r>
              <w:rPr>
                <w:rFonts w:hint="eastAsia"/>
                <w:kern w:val="0"/>
                <w:sz w:val="22"/>
                <w:szCs w:val="22"/>
              </w:rPr>
              <w:t>特征因子</w:t>
            </w:r>
          </w:p>
        </w:tc>
        <w:tc>
          <w:tcPr>
            <w:tcW w:w="891" w:type="dxa"/>
            <w:vMerge w:val="restart"/>
            <w:tcBorders>
              <w:left w:val="single" w:color="auto" w:sz="4" w:space="0"/>
            </w:tcBorders>
            <w:vAlign w:val="center"/>
          </w:tcPr>
          <w:p w14:paraId="647346E9">
            <w:pPr>
              <w:adjustRightInd w:val="0"/>
              <w:snapToGrid w:val="0"/>
              <w:jc w:val="center"/>
              <w:rPr>
                <w:kern w:val="0"/>
                <w:sz w:val="22"/>
                <w:szCs w:val="22"/>
              </w:rPr>
            </w:pPr>
            <w:r>
              <w:rPr>
                <w:rFonts w:hint="eastAsia"/>
                <w:kern w:val="0"/>
                <w:sz w:val="22"/>
                <w:szCs w:val="22"/>
              </w:rPr>
              <w:t>淹育水稻土</w:t>
            </w:r>
          </w:p>
        </w:tc>
      </w:tr>
      <w:tr w14:paraId="6120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695" w:type="dxa"/>
            <w:vAlign w:val="center"/>
          </w:tcPr>
          <w:p w14:paraId="48063698">
            <w:pPr>
              <w:adjustRightInd w:val="0"/>
              <w:snapToGrid w:val="0"/>
              <w:jc w:val="center"/>
              <w:rPr>
                <w:kern w:val="0"/>
                <w:sz w:val="22"/>
                <w:szCs w:val="22"/>
              </w:rPr>
            </w:pPr>
            <w:r>
              <w:rPr>
                <w:kern w:val="0"/>
                <w:sz w:val="22"/>
                <w:szCs w:val="22"/>
              </w:rPr>
              <w:t>T2</w:t>
            </w:r>
          </w:p>
        </w:tc>
        <w:tc>
          <w:tcPr>
            <w:tcW w:w="2208" w:type="dxa"/>
            <w:vAlign w:val="center"/>
          </w:tcPr>
          <w:p w14:paraId="31694A26">
            <w:pPr>
              <w:adjustRightInd w:val="0"/>
              <w:snapToGrid w:val="0"/>
              <w:jc w:val="center"/>
              <w:rPr>
                <w:kern w:val="0"/>
                <w:sz w:val="22"/>
                <w:szCs w:val="22"/>
              </w:rPr>
            </w:pPr>
            <w:r>
              <w:rPr>
                <w:rFonts w:hint="eastAsia"/>
                <w:kern w:val="0"/>
                <w:sz w:val="22"/>
                <w:szCs w:val="22"/>
              </w:rPr>
              <w:t>站内采出水储罐处</w:t>
            </w:r>
          </w:p>
        </w:tc>
        <w:tc>
          <w:tcPr>
            <w:tcW w:w="1327" w:type="dxa"/>
            <w:tcBorders>
              <w:right w:val="single" w:color="auto" w:sz="4" w:space="0"/>
            </w:tcBorders>
            <w:vAlign w:val="center"/>
          </w:tcPr>
          <w:p w14:paraId="2F4E60FB">
            <w:pPr>
              <w:pStyle w:val="1444"/>
            </w:pPr>
            <w:r>
              <w:t>106.42907202</w:t>
            </w:r>
          </w:p>
        </w:tc>
        <w:tc>
          <w:tcPr>
            <w:tcW w:w="1191" w:type="dxa"/>
            <w:tcBorders>
              <w:top w:val="single" w:color="auto" w:sz="4" w:space="0"/>
              <w:left w:val="single" w:color="auto" w:sz="4" w:space="0"/>
              <w:bottom w:val="single" w:color="auto" w:sz="4" w:space="0"/>
              <w:right w:val="single" w:color="auto" w:sz="4" w:space="0"/>
            </w:tcBorders>
            <w:vAlign w:val="center"/>
          </w:tcPr>
          <w:p w14:paraId="6CEB5A78">
            <w:pPr>
              <w:pStyle w:val="1444"/>
            </w:pPr>
            <w:r>
              <w:t>31.790521</w:t>
            </w:r>
          </w:p>
        </w:tc>
        <w:tc>
          <w:tcPr>
            <w:tcW w:w="891" w:type="dxa"/>
            <w:vMerge w:val="continue"/>
            <w:tcBorders>
              <w:left w:val="single" w:color="auto" w:sz="4" w:space="0"/>
              <w:right w:val="single" w:color="auto" w:sz="4" w:space="0"/>
            </w:tcBorders>
            <w:vAlign w:val="center"/>
          </w:tcPr>
          <w:p w14:paraId="1BFA8CE8">
            <w:pPr>
              <w:pStyle w:val="1429"/>
            </w:pPr>
          </w:p>
        </w:tc>
        <w:tc>
          <w:tcPr>
            <w:tcW w:w="1641" w:type="dxa"/>
            <w:tcBorders>
              <w:left w:val="single" w:color="auto" w:sz="4" w:space="0"/>
            </w:tcBorders>
            <w:vAlign w:val="center"/>
          </w:tcPr>
          <w:p w14:paraId="75FC558D">
            <w:pPr>
              <w:adjustRightInd w:val="0"/>
              <w:snapToGrid w:val="0"/>
              <w:jc w:val="center"/>
              <w:rPr>
                <w:kern w:val="0"/>
                <w:sz w:val="22"/>
                <w:szCs w:val="22"/>
              </w:rPr>
            </w:pPr>
            <w:r>
              <w:rPr>
                <w:rFonts w:hint="eastAsia"/>
                <w:kern w:val="0"/>
                <w:sz w:val="22"/>
                <w:szCs w:val="22"/>
              </w:rPr>
              <w:t>特征因子</w:t>
            </w:r>
          </w:p>
        </w:tc>
        <w:tc>
          <w:tcPr>
            <w:tcW w:w="891" w:type="dxa"/>
            <w:vMerge w:val="continue"/>
            <w:tcBorders>
              <w:left w:val="single" w:color="auto" w:sz="4" w:space="0"/>
            </w:tcBorders>
            <w:vAlign w:val="center"/>
          </w:tcPr>
          <w:p w14:paraId="6C6B080B">
            <w:pPr>
              <w:pStyle w:val="1429"/>
              <w:rPr>
                <w:kern w:val="0"/>
              </w:rPr>
            </w:pPr>
          </w:p>
        </w:tc>
      </w:tr>
      <w:tr w14:paraId="5D10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695" w:type="dxa"/>
            <w:vAlign w:val="center"/>
          </w:tcPr>
          <w:p w14:paraId="359DB313">
            <w:pPr>
              <w:adjustRightInd w:val="0"/>
              <w:snapToGrid w:val="0"/>
              <w:jc w:val="center"/>
              <w:rPr>
                <w:kern w:val="0"/>
                <w:sz w:val="22"/>
                <w:szCs w:val="22"/>
              </w:rPr>
            </w:pPr>
            <w:r>
              <w:rPr>
                <w:kern w:val="0"/>
                <w:sz w:val="22"/>
                <w:szCs w:val="22"/>
              </w:rPr>
              <w:t>T3</w:t>
            </w:r>
          </w:p>
        </w:tc>
        <w:tc>
          <w:tcPr>
            <w:tcW w:w="2208" w:type="dxa"/>
            <w:vAlign w:val="center"/>
          </w:tcPr>
          <w:p w14:paraId="7DEBA296">
            <w:pPr>
              <w:adjustRightInd w:val="0"/>
              <w:snapToGrid w:val="0"/>
              <w:jc w:val="center"/>
              <w:rPr>
                <w:kern w:val="0"/>
                <w:sz w:val="22"/>
                <w:szCs w:val="22"/>
              </w:rPr>
            </w:pPr>
            <w:r>
              <w:rPr>
                <w:rFonts w:hint="eastAsia"/>
                <w:kern w:val="0"/>
                <w:sz w:val="22"/>
                <w:szCs w:val="22"/>
              </w:rPr>
              <w:t>站内储罐装车处</w:t>
            </w:r>
          </w:p>
        </w:tc>
        <w:tc>
          <w:tcPr>
            <w:tcW w:w="1327" w:type="dxa"/>
            <w:tcBorders>
              <w:right w:val="single" w:color="auto" w:sz="4" w:space="0"/>
            </w:tcBorders>
            <w:vAlign w:val="center"/>
          </w:tcPr>
          <w:p w14:paraId="53C947A8">
            <w:pPr>
              <w:pStyle w:val="1444"/>
            </w:pPr>
            <w:r>
              <w:t>106.429472</w:t>
            </w:r>
          </w:p>
        </w:tc>
        <w:tc>
          <w:tcPr>
            <w:tcW w:w="1191" w:type="dxa"/>
            <w:tcBorders>
              <w:top w:val="single" w:color="auto" w:sz="4" w:space="0"/>
              <w:left w:val="single" w:color="auto" w:sz="4" w:space="0"/>
              <w:bottom w:val="single" w:color="auto" w:sz="4" w:space="0"/>
              <w:right w:val="single" w:color="auto" w:sz="4" w:space="0"/>
            </w:tcBorders>
            <w:vAlign w:val="center"/>
          </w:tcPr>
          <w:p w14:paraId="6BCED8E9">
            <w:pPr>
              <w:pStyle w:val="1444"/>
            </w:pPr>
            <w:r>
              <w:t>31.790161</w:t>
            </w:r>
          </w:p>
        </w:tc>
        <w:tc>
          <w:tcPr>
            <w:tcW w:w="891" w:type="dxa"/>
            <w:vMerge w:val="continue"/>
            <w:tcBorders>
              <w:left w:val="single" w:color="auto" w:sz="4" w:space="0"/>
              <w:right w:val="single" w:color="auto" w:sz="4" w:space="0"/>
            </w:tcBorders>
            <w:vAlign w:val="center"/>
          </w:tcPr>
          <w:p w14:paraId="79645D86">
            <w:pPr>
              <w:pStyle w:val="1429"/>
            </w:pPr>
          </w:p>
        </w:tc>
        <w:tc>
          <w:tcPr>
            <w:tcW w:w="1641" w:type="dxa"/>
            <w:tcBorders>
              <w:left w:val="single" w:color="auto" w:sz="4" w:space="0"/>
            </w:tcBorders>
            <w:vAlign w:val="center"/>
          </w:tcPr>
          <w:p w14:paraId="1A64D9B0">
            <w:pPr>
              <w:adjustRightInd w:val="0"/>
              <w:snapToGrid w:val="0"/>
              <w:jc w:val="center"/>
              <w:rPr>
                <w:kern w:val="0"/>
                <w:sz w:val="22"/>
                <w:szCs w:val="22"/>
              </w:rPr>
            </w:pPr>
            <w:r>
              <w:rPr>
                <w:rFonts w:hint="eastAsia"/>
                <w:kern w:val="0"/>
                <w:sz w:val="22"/>
                <w:szCs w:val="22"/>
              </w:rPr>
              <w:t>特征因子</w:t>
            </w:r>
          </w:p>
        </w:tc>
        <w:tc>
          <w:tcPr>
            <w:tcW w:w="891" w:type="dxa"/>
            <w:vMerge w:val="continue"/>
            <w:tcBorders>
              <w:left w:val="single" w:color="auto" w:sz="4" w:space="0"/>
            </w:tcBorders>
            <w:vAlign w:val="center"/>
          </w:tcPr>
          <w:p w14:paraId="2A000018">
            <w:pPr>
              <w:adjustRightInd w:val="0"/>
              <w:snapToGrid w:val="0"/>
              <w:jc w:val="center"/>
              <w:rPr>
                <w:kern w:val="0"/>
                <w:sz w:val="22"/>
                <w:szCs w:val="22"/>
              </w:rPr>
            </w:pPr>
          </w:p>
        </w:tc>
      </w:tr>
      <w:tr w14:paraId="39B6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695" w:type="dxa"/>
            <w:vAlign w:val="center"/>
          </w:tcPr>
          <w:p w14:paraId="5658FF8D">
            <w:pPr>
              <w:adjustRightInd w:val="0"/>
              <w:snapToGrid w:val="0"/>
              <w:jc w:val="center"/>
              <w:rPr>
                <w:kern w:val="0"/>
                <w:sz w:val="22"/>
                <w:szCs w:val="22"/>
              </w:rPr>
            </w:pPr>
            <w:r>
              <w:rPr>
                <w:kern w:val="0"/>
                <w:sz w:val="22"/>
                <w:szCs w:val="22"/>
              </w:rPr>
              <w:t>T4</w:t>
            </w:r>
          </w:p>
        </w:tc>
        <w:tc>
          <w:tcPr>
            <w:tcW w:w="2208" w:type="dxa"/>
            <w:vAlign w:val="center"/>
          </w:tcPr>
          <w:p w14:paraId="2F5095BF">
            <w:pPr>
              <w:adjustRightInd w:val="0"/>
              <w:snapToGrid w:val="0"/>
              <w:jc w:val="center"/>
              <w:rPr>
                <w:kern w:val="0"/>
                <w:sz w:val="22"/>
                <w:szCs w:val="22"/>
              </w:rPr>
            </w:pPr>
            <w:r>
              <w:rPr>
                <w:rFonts w:hint="eastAsia"/>
                <w:kern w:val="0"/>
                <w:sz w:val="22"/>
                <w:szCs w:val="22"/>
              </w:rPr>
              <w:t>站内工艺设施处</w:t>
            </w:r>
          </w:p>
        </w:tc>
        <w:tc>
          <w:tcPr>
            <w:tcW w:w="1327" w:type="dxa"/>
            <w:tcBorders>
              <w:right w:val="single" w:color="auto" w:sz="4" w:space="0"/>
            </w:tcBorders>
            <w:vAlign w:val="center"/>
          </w:tcPr>
          <w:p w14:paraId="418D8BD7">
            <w:pPr>
              <w:pStyle w:val="1444"/>
            </w:pPr>
            <w:r>
              <w:t>106.428857</w:t>
            </w:r>
          </w:p>
        </w:tc>
        <w:tc>
          <w:tcPr>
            <w:tcW w:w="1191" w:type="dxa"/>
            <w:tcBorders>
              <w:top w:val="single" w:color="auto" w:sz="4" w:space="0"/>
              <w:left w:val="single" w:color="auto" w:sz="4" w:space="0"/>
              <w:bottom w:val="single" w:color="auto" w:sz="4" w:space="0"/>
              <w:right w:val="single" w:color="auto" w:sz="4" w:space="0"/>
            </w:tcBorders>
            <w:vAlign w:val="center"/>
          </w:tcPr>
          <w:p w14:paraId="6E3A8D92">
            <w:pPr>
              <w:pStyle w:val="1444"/>
            </w:pPr>
            <w:r>
              <w:t>31.790384</w:t>
            </w:r>
          </w:p>
        </w:tc>
        <w:tc>
          <w:tcPr>
            <w:tcW w:w="891" w:type="dxa"/>
            <w:vMerge w:val="restart"/>
            <w:tcBorders>
              <w:left w:val="single" w:color="auto" w:sz="4" w:space="0"/>
              <w:right w:val="single" w:color="auto" w:sz="4" w:space="0"/>
            </w:tcBorders>
            <w:vAlign w:val="center"/>
          </w:tcPr>
          <w:p w14:paraId="57560B68">
            <w:pPr>
              <w:pStyle w:val="1429"/>
            </w:pPr>
            <w:r>
              <w:rPr>
                <w:rFonts w:hint="eastAsia"/>
              </w:rPr>
              <w:t>表层样</w:t>
            </w:r>
          </w:p>
        </w:tc>
        <w:tc>
          <w:tcPr>
            <w:tcW w:w="1641" w:type="dxa"/>
            <w:tcBorders>
              <w:left w:val="single" w:color="auto" w:sz="4" w:space="0"/>
            </w:tcBorders>
            <w:vAlign w:val="center"/>
          </w:tcPr>
          <w:p w14:paraId="1B0067E1">
            <w:pPr>
              <w:adjustRightInd w:val="0"/>
              <w:snapToGrid w:val="0"/>
              <w:jc w:val="center"/>
              <w:rPr>
                <w:kern w:val="0"/>
                <w:sz w:val="22"/>
                <w:szCs w:val="22"/>
              </w:rPr>
            </w:pPr>
            <w:r>
              <w:rPr>
                <w:rFonts w:hint="eastAsia"/>
                <w:kern w:val="0"/>
                <w:sz w:val="22"/>
                <w:szCs w:val="22"/>
              </w:rPr>
              <w:t>基本因子2+特征因子</w:t>
            </w:r>
          </w:p>
        </w:tc>
        <w:tc>
          <w:tcPr>
            <w:tcW w:w="891" w:type="dxa"/>
            <w:vMerge w:val="continue"/>
            <w:tcBorders>
              <w:left w:val="single" w:color="auto" w:sz="4" w:space="0"/>
            </w:tcBorders>
            <w:vAlign w:val="center"/>
          </w:tcPr>
          <w:p w14:paraId="799DE712">
            <w:pPr>
              <w:adjustRightInd w:val="0"/>
              <w:snapToGrid w:val="0"/>
              <w:jc w:val="center"/>
              <w:rPr>
                <w:sz w:val="22"/>
                <w:szCs w:val="22"/>
              </w:rPr>
            </w:pPr>
          </w:p>
        </w:tc>
      </w:tr>
      <w:tr w14:paraId="333BF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695" w:type="dxa"/>
            <w:vAlign w:val="center"/>
          </w:tcPr>
          <w:p w14:paraId="2BD46A88">
            <w:pPr>
              <w:adjustRightInd w:val="0"/>
              <w:snapToGrid w:val="0"/>
              <w:jc w:val="center"/>
              <w:rPr>
                <w:kern w:val="0"/>
                <w:sz w:val="22"/>
                <w:szCs w:val="22"/>
              </w:rPr>
            </w:pPr>
            <w:r>
              <w:rPr>
                <w:kern w:val="0"/>
                <w:sz w:val="22"/>
                <w:szCs w:val="22"/>
              </w:rPr>
              <w:t>T5</w:t>
            </w:r>
          </w:p>
        </w:tc>
        <w:tc>
          <w:tcPr>
            <w:tcW w:w="2208" w:type="dxa"/>
            <w:vAlign w:val="center"/>
          </w:tcPr>
          <w:p w14:paraId="0F07C02C">
            <w:pPr>
              <w:adjustRightInd w:val="0"/>
              <w:snapToGrid w:val="0"/>
              <w:jc w:val="center"/>
              <w:rPr>
                <w:rFonts w:eastAsia="等线"/>
                <w:kern w:val="0"/>
                <w:sz w:val="22"/>
                <w:szCs w:val="22"/>
              </w:rPr>
            </w:pPr>
            <w:r>
              <w:rPr>
                <w:rFonts w:hint="eastAsia"/>
                <w:kern w:val="0"/>
                <w:sz w:val="22"/>
                <w:szCs w:val="22"/>
              </w:rPr>
              <w:t>站外北侧耕地处</w:t>
            </w:r>
          </w:p>
        </w:tc>
        <w:tc>
          <w:tcPr>
            <w:tcW w:w="1327" w:type="dxa"/>
            <w:tcBorders>
              <w:right w:val="single" w:color="auto" w:sz="4" w:space="0"/>
            </w:tcBorders>
            <w:vAlign w:val="center"/>
          </w:tcPr>
          <w:p w14:paraId="37640684">
            <w:pPr>
              <w:pStyle w:val="1444"/>
            </w:pPr>
            <w:r>
              <w:t>106.429372</w:t>
            </w:r>
          </w:p>
        </w:tc>
        <w:tc>
          <w:tcPr>
            <w:tcW w:w="1191" w:type="dxa"/>
            <w:tcBorders>
              <w:top w:val="single" w:color="auto" w:sz="4" w:space="0"/>
              <w:left w:val="single" w:color="auto" w:sz="4" w:space="0"/>
              <w:bottom w:val="single" w:color="auto" w:sz="4" w:space="0"/>
              <w:right w:val="single" w:color="auto" w:sz="4" w:space="0"/>
            </w:tcBorders>
            <w:vAlign w:val="center"/>
          </w:tcPr>
          <w:p w14:paraId="135AC814">
            <w:pPr>
              <w:pStyle w:val="1444"/>
            </w:pPr>
            <w:r>
              <w:t>31.791521</w:t>
            </w:r>
          </w:p>
        </w:tc>
        <w:tc>
          <w:tcPr>
            <w:tcW w:w="891" w:type="dxa"/>
            <w:vMerge w:val="continue"/>
            <w:tcBorders>
              <w:left w:val="single" w:color="auto" w:sz="4" w:space="0"/>
              <w:right w:val="single" w:color="auto" w:sz="4" w:space="0"/>
            </w:tcBorders>
            <w:vAlign w:val="center"/>
          </w:tcPr>
          <w:p w14:paraId="1CBA5DBE">
            <w:pPr>
              <w:pStyle w:val="1429"/>
            </w:pPr>
          </w:p>
        </w:tc>
        <w:tc>
          <w:tcPr>
            <w:tcW w:w="1641" w:type="dxa"/>
            <w:tcBorders>
              <w:left w:val="single" w:color="auto" w:sz="4" w:space="0"/>
            </w:tcBorders>
            <w:vAlign w:val="center"/>
          </w:tcPr>
          <w:p w14:paraId="34AAF786">
            <w:pPr>
              <w:adjustRightInd w:val="0"/>
              <w:snapToGrid w:val="0"/>
              <w:jc w:val="center"/>
              <w:rPr>
                <w:kern w:val="0"/>
                <w:sz w:val="22"/>
                <w:szCs w:val="22"/>
              </w:rPr>
            </w:pPr>
            <w:r>
              <w:rPr>
                <w:rFonts w:hint="eastAsia"/>
                <w:kern w:val="0"/>
                <w:sz w:val="22"/>
                <w:szCs w:val="22"/>
              </w:rPr>
              <w:t>基本因子1+特征因子+理化性质调查</w:t>
            </w:r>
          </w:p>
        </w:tc>
        <w:tc>
          <w:tcPr>
            <w:tcW w:w="891" w:type="dxa"/>
            <w:vMerge w:val="continue"/>
            <w:tcBorders>
              <w:left w:val="single" w:color="auto" w:sz="4" w:space="0"/>
            </w:tcBorders>
            <w:vAlign w:val="center"/>
          </w:tcPr>
          <w:p w14:paraId="1DE69DAF">
            <w:pPr>
              <w:adjustRightInd w:val="0"/>
              <w:snapToGrid w:val="0"/>
              <w:jc w:val="center"/>
              <w:rPr>
                <w:kern w:val="0"/>
                <w:sz w:val="22"/>
                <w:szCs w:val="22"/>
              </w:rPr>
            </w:pPr>
          </w:p>
        </w:tc>
      </w:tr>
      <w:tr w14:paraId="2434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695" w:type="dxa"/>
            <w:vAlign w:val="center"/>
          </w:tcPr>
          <w:p w14:paraId="1EDC7C94">
            <w:pPr>
              <w:adjustRightInd w:val="0"/>
              <w:snapToGrid w:val="0"/>
              <w:jc w:val="center"/>
              <w:rPr>
                <w:rFonts w:eastAsia="等线"/>
                <w:kern w:val="0"/>
                <w:sz w:val="22"/>
                <w:szCs w:val="22"/>
              </w:rPr>
            </w:pPr>
            <w:r>
              <w:rPr>
                <w:rFonts w:hint="eastAsia" w:eastAsia="等线"/>
                <w:kern w:val="0"/>
                <w:sz w:val="22"/>
                <w:szCs w:val="22"/>
              </w:rPr>
              <w:t>T</w:t>
            </w:r>
            <w:r>
              <w:rPr>
                <w:rFonts w:eastAsia="等线"/>
                <w:kern w:val="0"/>
                <w:sz w:val="22"/>
                <w:szCs w:val="22"/>
              </w:rPr>
              <w:t>6</w:t>
            </w:r>
          </w:p>
        </w:tc>
        <w:tc>
          <w:tcPr>
            <w:tcW w:w="2208" w:type="dxa"/>
            <w:vAlign w:val="center"/>
          </w:tcPr>
          <w:p w14:paraId="0BA3F32A">
            <w:pPr>
              <w:adjustRightInd w:val="0"/>
              <w:snapToGrid w:val="0"/>
              <w:jc w:val="center"/>
              <w:rPr>
                <w:rFonts w:eastAsia="等线"/>
                <w:kern w:val="0"/>
                <w:sz w:val="22"/>
                <w:szCs w:val="22"/>
              </w:rPr>
            </w:pPr>
            <w:r>
              <w:rPr>
                <w:rFonts w:hint="eastAsia"/>
                <w:kern w:val="0"/>
                <w:sz w:val="22"/>
                <w:szCs w:val="22"/>
              </w:rPr>
              <w:t>站外西南侧耕地处</w:t>
            </w:r>
          </w:p>
        </w:tc>
        <w:tc>
          <w:tcPr>
            <w:tcW w:w="1327" w:type="dxa"/>
            <w:tcBorders>
              <w:right w:val="single" w:color="auto" w:sz="4" w:space="0"/>
            </w:tcBorders>
            <w:vAlign w:val="center"/>
          </w:tcPr>
          <w:p w14:paraId="2BB44AFB">
            <w:pPr>
              <w:pStyle w:val="1444"/>
            </w:pPr>
            <w:r>
              <w:t>106.428055</w:t>
            </w:r>
          </w:p>
        </w:tc>
        <w:tc>
          <w:tcPr>
            <w:tcW w:w="1191" w:type="dxa"/>
            <w:tcBorders>
              <w:top w:val="single" w:color="auto" w:sz="4" w:space="0"/>
              <w:left w:val="single" w:color="auto" w:sz="4" w:space="0"/>
              <w:bottom w:val="single" w:color="auto" w:sz="4" w:space="0"/>
              <w:right w:val="single" w:color="auto" w:sz="4" w:space="0"/>
            </w:tcBorders>
            <w:vAlign w:val="center"/>
          </w:tcPr>
          <w:p w14:paraId="3EAD45EB">
            <w:pPr>
              <w:pStyle w:val="1444"/>
            </w:pPr>
            <w:r>
              <w:t>31.788936</w:t>
            </w:r>
          </w:p>
        </w:tc>
        <w:tc>
          <w:tcPr>
            <w:tcW w:w="891" w:type="dxa"/>
            <w:vMerge w:val="continue"/>
            <w:tcBorders>
              <w:left w:val="single" w:color="auto" w:sz="4" w:space="0"/>
              <w:right w:val="single" w:color="auto" w:sz="4" w:space="0"/>
            </w:tcBorders>
            <w:vAlign w:val="center"/>
          </w:tcPr>
          <w:p w14:paraId="18600DD5">
            <w:pPr>
              <w:pStyle w:val="1429"/>
            </w:pPr>
          </w:p>
        </w:tc>
        <w:tc>
          <w:tcPr>
            <w:tcW w:w="1641" w:type="dxa"/>
            <w:tcBorders>
              <w:left w:val="single" w:color="auto" w:sz="4" w:space="0"/>
            </w:tcBorders>
            <w:vAlign w:val="center"/>
          </w:tcPr>
          <w:p w14:paraId="37FF6677">
            <w:pPr>
              <w:adjustRightInd w:val="0"/>
              <w:snapToGrid w:val="0"/>
              <w:jc w:val="center"/>
              <w:rPr>
                <w:kern w:val="0"/>
                <w:sz w:val="22"/>
                <w:szCs w:val="22"/>
              </w:rPr>
            </w:pPr>
            <w:r>
              <w:rPr>
                <w:rFonts w:hint="eastAsia"/>
                <w:kern w:val="0"/>
                <w:sz w:val="22"/>
                <w:szCs w:val="22"/>
              </w:rPr>
              <w:t>基本因子1+特征因子+理化性质调查</w:t>
            </w:r>
          </w:p>
        </w:tc>
        <w:tc>
          <w:tcPr>
            <w:tcW w:w="891" w:type="dxa"/>
            <w:tcBorders>
              <w:left w:val="single" w:color="auto" w:sz="4" w:space="0"/>
            </w:tcBorders>
            <w:vAlign w:val="center"/>
          </w:tcPr>
          <w:p w14:paraId="5C0AC503">
            <w:pPr>
              <w:adjustRightInd w:val="0"/>
              <w:snapToGrid w:val="0"/>
              <w:jc w:val="center"/>
              <w:rPr>
                <w:rFonts w:ascii="宋体" w:hAnsi="宋体" w:cs="宋体"/>
                <w:kern w:val="0"/>
                <w:sz w:val="22"/>
                <w:szCs w:val="22"/>
              </w:rPr>
            </w:pPr>
            <w:r>
              <w:rPr>
                <w:rFonts w:hint="eastAsia"/>
                <w:kern w:val="0"/>
                <w:sz w:val="22"/>
                <w:szCs w:val="22"/>
              </w:rPr>
              <w:t>酸性紫色土</w:t>
            </w:r>
          </w:p>
        </w:tc>
      </w:tr>
      <w:tr w14:paraId="11883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8844" w:type="dxa"/>
            <w:gridSpan w:val="7"/>
            <w:vAlign w:val="center"/>
          </w:tcPr>
          <w:p w14:paraId="1B6F226B">
            <w:pPr>
              <w:jc w:val="left"/>
              <w:rPr>
                <w:kern w:val="0"/>
                <w:sz w:val="22"/>
                <w:szCs w:val="22"/>
              </w:rPr>
            </w:pPr>
            <w:r>
              <w:rPr>
                <w:kern w:val="0"/>
                <w:sz w:val="22"/>
                <w:szCs w:val="22"/>
              </w:rPr>
              <w:t>注：表层样在0~0.2m处取样，柱状样在0~0.5m、0.5m~1.5m、1.5m~3m处分别取样。</w:t>
            </w:r>
          </w:p>
        </w:tc>
      </w:tr>
    </w:tbl>
    <w:p w14:paraId="31041582">
      <w:pPr>
        <w:pStyle w:val="1379"/>
        <w:ind w:firstLine="440"/>
      </w:pPr>
    </w:p>
    <w:p w14:paraId="04B9EAC1">
      <w:pPr>
        <w:pStyle w:val="1065"/>
        <w:spacing w:line="460" w:lineRule="exact"/>
        <w:ind w:firstLine="520" w:firstLineChars="200"/>
        <w:jc w:val="both"/>
      </w:pPr>
      <w:r>
        <w:rPr>
          <w:rFonts w:hint="eastAsia"/>
        </w:rPr>
        <w:t>（2）监测因子</w:t>
      </w:r>
    </w:p>
    <w:p w14:paraId="6B6FAF60">
      <w:pPr>
        <w:pStyle w:val="1065"/>
        <w:spacing w:line="460" w:lineRule="exact"/>
        <w:ind w:firstLine="520" w:firstLineChars="200"/>
        <w:jc w:val="both"/>
      </w:pPr>
      <w:r>
        <w:rPr>
          <w:rFonts w:hint="eastAsia"/>
        </w:rPr>
        <w:t>GB15168基本因子：镉、汞、砷、铅、铬、铜、镍、锌；共计8项。</w:t>
      </w:r>
    </w:p>
    <w:p w14:paraId="36A7D7BB">
      <w:pPr>
        <w:pStyle w:val="1065"/>
        <w:spacing w:line="460" w:lineRule="exact"/>
        <w:ind w:firstLine="520" w:firstLineChars="200"/>
        <w:jc w:val="both"/>
      </w:pPr>
      <w:r>
        <w:rPr>
          <w:rFonts w:hint="eastAsia"/>
        </w:rPr>
        <w:t>GB36600基本因子：砷、镉、铬（六价）、铜、铅、汞、镍、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w:t>
      </w:r>
      <w:r>
        <w:t xml:space="preserve">[k] </w:t>
      </w:r>
      <w:r>
        <w:rPr>
          <w:rFonts w:hint="eastAsia"/>
        </w:rPr>
        <w:t>荧蒽、䓛、二苯并</w:t>
      </w:r>
      <w:r>
        <w:t>[a</w:t>
      </w:r>
      <w:r>
        <w:rPr>
          <w:rFonts w:hint="eastAsia"/>
        </w:rPr>
        <w:t>、</w:t>
      </w:r>
      <w:r>
        <w:t>h]</w:t>
      </w:r>
      <w:r>
        <w:rPr>
          <w:rFonts w:hint="eastAsia"/>
        </w:rPr>
        <w:t>蒽、茚并</w:t>
      </w:r>
      <w:r>
        <w:t>[1,2,3-cd]</w:t>
      </w:r>
      <w:r>
        <w:rPr>
          <w:rFonts w:hint="eastAsia"/>
        </w:rPr>
        <w:t>、萘；共计</w:t>
      </w:r>
      <w:r>
        <w:t>45</w:t>
      </w:r>
      <w:r>
        <w:rPr>
          <w:rFonts w:hint="eastAsia"/>
        </w:rPr>
        <w:t>项。</w:t>
      </w:r>
    </w:p>
    <w:p w14:paraId="600C0376">
      <w:pPr>
        <w:pStyle w:val="1065"/>
        <w:spacing w:line="460" w:lineRule="exact"/>
        <w:ind w:firstLine="520" w:firstLineChars="200"/>
        <w:jc w:val="both"/>
      </w:pPr>
      <w:r>
        <w:rPr>
          <w:rFonts w:hint="eastAsia"/>
        </w:rPr>
        <w:t>特征因子：石油烃、氯化物、硫酸盐、钡、全盐量。</w:t>
      </w:r>
    </w:p>
    <w:p w14:paraId="47EDC099">
      <w:pPr>
        <w:pStyle w:val="1065"/>
        <w:spacing w:line="460" w:lineRule="exact"/>
        <w:ind w:firstLine="520" w:firstLineChars="200"/>
        <w:jc w:val="both"/>
      </w:pPr>
      <w:r>
        <w:rPr>
          <w:rFonts w:hint="eastAsia"/>
        </w:rPr>
        <w:t>理化性质：</w:t>
      </w:r>
      <w:r>
        <w:t>颜色、结构、质地、砂砾含量、其他异物；实验室测定：离子交换量、氧化还原电位、饱和导水率、土壤容重、孔隙度</w:t>
      </w:r>
      <w:r>
        <w:rPr>
          <w:rFonts w:hint="eastAsia"/>
        </w:rPr>
        <w:t>。</w:t>
      </w:r>
    </w:p>
    <w:p w14:paraId="07029BA8">
      <w:pPr>
        <w:pStyle w:val="1065"/>
        <w:spacing w:line="460" w:lineRule="exact"/>
        <w:ind w:firstLine="520" w:firstLineChars="200"/>
        <w:jc w:val="both"/>
      </w:pPr>
      <w:r>
        <w:rPr>
          <w:rFonts w:hint="eastAsia"/>
        </w:rPr>
        <w:t>（3）监测频次：</w:t>
      </w:r>
    </w:p>
    <w:p w14:paraId="0A1A28FE">
      <w:pPr>
        <w:pStyle w:val="1065"/>
        <w:spacing w:line="460" w:lineRule="exact"/>
        <w:ind w:firstLine="520" w:firstLineChars="200"/>
        <w:jc w:val="both"/>
      </w:pPr>
      <w:r>
        <w:rPr>
          <w:rFonts w:hint="eastAsia"/>
        </w:rPr>
        <w:t>一次监测；</w:t>
      </w:r>
    </w:p>
    <w:p w14:paraId="28A34B27">
      <w:pPr>
        <w:pStyle w:val="1065"/>
        <w:spacing w:line="460" w:lineRule="exact"/>
        <w:ind w:firstLine="520" w:firstLineChars="200"/>
        <w:jc w:val="both"/>
      </w:pPr>
      <w:r>
        <w:rPr>
          <w:rFonts w:hint="eastAsia"/>
        </w:rPr>
        <w:t>（4）评价标准</w:t>
      </w:r>
    </w:p>
    <w:p w14:paraId="1B86D776">
      <w:pPr>
        <w:spacing w:line="460" w:lineRule="exact"/>
        <w:ind w:firstLine="520" w:firstLineChars="200"/>
      </w:pPr>
      <w:r>
        <w:rPr>
          <w:rFonts w:hint="eastAsia"/>
          <w:sz w:val="26"/>
          <w:szCs w:val="26"/>
        </w:rPr>
        <w:t>试采站占地范围内各因子执行《土壤环境质量 建设用地土壤污染风险管控标准（试行）》（GB 36600-2018）中第二类用地筛选值，钡执行</w:t>
      </w:r>
      <w:r>
        <w:rPr>
          <w:sz w:val="26"/>
          <w:szCs w:val="26"/>
        </w:rPr>
        <w:t>《四川省建设用地土壤污染风险管控标准》（DB51/2978-2023）</w:t>
      </w:r>
      <w:r>
        <w:rPr>
          <w:rFonts w:hint="eastAsia"/>
          <w:sz w:val="26"/>
          <w:szCs w:val="26"/>
        </w:rPr>
        <w:t>第二类用地筛选值；试采站占地范围外耕地执行《土壤环境质量 农用地土壤污染风险管控标准（试行）》（GB15618-2018）中风险筛选值，其中石油烃参照执行</w:t>
      </w:r>
      <w:r>
        <w:rPr>
          <w:sz w:val="26"/>
          <w:szCs w:val="26"/>
        </w:rPr>
        <w:t>《土壤环境质量 建设用地土壤污染风险管控标准（试行）》（GB36600-2018）</w:t>
      </w:r>
      <w:r>
        <w:rPr>
          <w:rFonts w:hint="eastAsia"/>
          <w:sz w:val="26"/>
          <w:szCs w:val="26"/>
        </w:rPr>
        <w:t>第二类用地筛选值，钡参照执行</w:t>
      </w:r>
      <w:r>
        <w:rPr>
          <w:sz w:val="26"/>
          <w:szCs w:val="26"/>
        </w:rPr>
        <w:t>《四川省建设用地土壤污染风险管控标准》（DB51/2978-2023）</w:t>
      </w:r>
      <w:r>
        <w:rPr>
          <w:rFonts w:hint="eastAsia"/>
          <w:sz w:val="26"/>
          <w:szCs w:val="26"/>
        </w:rPr>
        <w:t>第二类用地筛选值。</w:t>
      </w:r>
    </w:p>
    <w:p w14:paraId="1F047780">
      <w:pPr>
        <w:pStyle w:val="1065"/>
        <w:spacing w:line="460" w:lineRule="exact"/>
        <w:ind w:firstLine="520" w:firstLineChars="200"/>
        <w:jc w:val="both"/>
      </w:pPr>
      <w:r>
        <w:rPr>
          <w:rFonts w:hint="eastAsia"/>
        </w:rPr>
        <w:t>（5）评价结果</w:t>
      </w:r>
    </w:p>
    <w:p w14:paraId="096934BB">
      <w:pPr>
        <w:tabs>
          <w:tab w:val="left" w:pos="5925"/>
        </w:tabs>
        <w:overflowPunct w:val="0"/>
        <w:spacing w:line="460" w:lineRule="atLeast"/>
        <w:ind w:firstLine="520" w:firstLineChars="200"/>
        <w:rPr>
          <w:sz w:val="26"/>
          <w:szCs w:val="26"/>
        </w:rPr>
      </w:pPr>
      <w:r>
        <w:rPr>
          <w:sz w:val="26"/>
          <w:szCs w:val="26"/>
        </w:rPr>
        <w:t>本项目土壤理化性质调查结果见</w:t>
      </w:r>
      <w:r>
        <w:rPr>
          <w:sz w:val="26"/>
          <w:szCs w:val="26"/>
          <w:u w:val="single"/>
        </w:rPr>
        <w:t>表4.2-14</w:t>
      </w:r>
      <w:r>
        <w:rPr>
          <w:sz w:val="26"/>
          <w:szCs w:val="26"/>
        </w:rPr>
        <w:t>，土壤环境质量评价结果见表</w:t>
      </w:r>
      <w:r>
        <w:rPr>
          <w:sz w:val="26"/>
          <w:szCs w:val="26"/>
          <w:u w:val="single"/>
        </w:rPr>
        <w:t>4.2-15</w:t>
      </w:r>
      <w:r>
        <w:rPr>
          <w:rFonts w:hint="eastAsia"/>
          <w:sz w:val="26"/>
          <w:szCs w:val="26"/>
        </w:rPr>
        <w:t>、</w:t>
      </w:r>
      <w:r>
        <w:rPr>
          <w:sz w:val="26"/>
          <w:szCs w:val="26"/>
          <w:u w:val="single"/>
        </w:rPr>
        <w:t>表4.2-16</w:t>
      </w:r>
      <w:r>
        <w:rPr>
          <w:rFonts w:hint="eastAsia"/>
          <w:sz w:val="26"/>
          <w:szCs w:val="26"/>
        </w:rPr>
        <w:t>、</w:t>
      </w:r>
      <w:r>
        <w:rPr>
          <w:sz w:val="26"/>
          <w:szCs w:val="26"/>
          <w:u w:val="single"/>
        </w:rPr>
        <w:t>表4.2-17</w:t>
      </w:r>
      <w:r>
        <w:rPr>
          <w:sz w:val="26"/>
          <w:szCs w:val="26"/>
        </w:rPr>
        <w:t>。</w:t>
      </w:r>
    </w:p>
    <w:p w14:paraId="2418AB7F">
      <w:pPr>
        <w:pStyle w:val="1381"/>
        <w:ind w:firstLine="520"/>
      </w:pPr>
      <w:r>
        <w:rPr>
          <w:rFonts w:hint="eastAsia"/>
        </w:rPr>
        <w:t>根据监测结果，本项目试采站占地范围内各因子满足《土壤环境质量 建设用地土壤污染风险管控标准（试行）》（GB 36600-2018）中第二类用地筛选值，钡满足</w:t>
      </w:r>
      <w:r>
        <w:t>《四川省建设用地土壤污染风险管控标准》（DB51/2978-2023）</w:t>
      </w:r>
      <w:r>
        <w:rPr>
          <w:rFonts w:hint="eastAsia"/>
        </w:rPr>
        <w:t>第二类用地筛选值。试采站占地范围外耕地区域满足《土壤环境质量 农用地土壤污染风险管控标准（试行）》（GB15618-2018）中风险筛选值，钡满足参照执行的《四川省建设用地土壤污染风险管控标准》（DB51/2978-2023）第二类用地筛选值，石油烃满足参照执行的《土壤环境质量 建设用地土壤污染风险管控标准》（试行）（GB36600-2018）第二类用地筛选值</w:t>
      </w:r>
      <w:r>
        <w:t>，区域土壤环境质量现状较好。</w:t>
      </w:r>
    </w:p>
    <w:p w14:paraId="6177FE80">
      <w:pPr>
        <w:pStyle w:val="1379"/>
        <w:ind w:firstLine="440"/>
      </w:pPr>
    </w:p>
    <w:p w14:paraId="536B6CC2">
      <w:pPr>
        <w:pStyle w:val="1065"/>
        <w:spacing w:line="460" w:lineRule="exact"/>
        <w:ind w:firstLine="520" w:firstLineChars="200"/>
      </w:pPr>
      <w:r>
        <w:rPr>
          <w:rFonts w:hint="eastAsia"/>
        </w:rPr>
        <w:t>表4.</w:t>
      </w:r>
      <w:r>
        <w:t>2-14</w:t>
      </w:r>
      <w:r>
        <w:rPr>
          <w:rFonts w:hint="eastAsia"/>
        </w:rPr>
        <w:t xml:space="preserve">  土壤理化性质现状监测结果</w:t>
      </w:r>
    </w:p>
    <w:tbl>
      <w:tblPr>
        <w:tblStyle w:val="88"/>
        <w:tblW w:w="8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27"/>
        <w:gridCol w:w="2443"/>
        <w:gridCol w:w="2808"/>
        <w:gridCol w:w="2808"/>
      </w:tblGrid>
      <w:tr w14:paraId="08E9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70" w:type="dxa"/>
            <w:gridSpan w:val="2"/>
            <w:vAlign w:val="center"/>
          </w:tcPr>
          <w:p w14:paraId="5B383CC5">
            <w:pPr>
              <w:adjustRightInd w:val="0"/>
              <w:snapToGrid w:val="0"/>
              <w:jc w:val="center"/>
              <w:rPr>
                <w:kern w:val="0"/>
                <w:sz w:val="22"/>
                <w:szCs w:val="22"/>
              </w:rPr>
            </w:pPr>
            <w:r>
              <w:rPr>
                <w:kern w:val="0"/>
                <w:sz w:val="22"/>
                <w:szCs w:val="22"/>
              </w:rPr>
              <w:t>点位编号</w:t>
            </w:r>
          </w:p>
        </w:tc>
        <w:tc>
          <w:tcPr>
            <w:tcW w:w="2808" w:type="dxa"/>
            <w:vAlign w:val="center"/>
          </w:tcPr>
          <w:p w14:paraId="178039CB">
            <w:pPr>
              <w:adjustRightInd w:val="0"/>
              <w:snapToGrid w:val="0"/>
              <w:jc w:val="center"/>
              <w:rPr>
                <w:kern w:val="0"/>
                <w:sz w:val="22"/>
                <w:szCs w:val="22"/>
              </w:rPr>
            </w:pPr>
            <w:r>
              <w:rPr>
                <w:bCs/>
                <w:kern w:val="0"/>
                <w:sz w:val="22"/>
                <w:szCs w:val="22"/>
              </w:rPr>
              <w:t>T5</w:t>
            </w:r>
          </w:p>
        </w:tc>
        <w:tc>
          <w:tcPr>
            <w:tcW w:w="2808" w:type="dxa"/>
          </w:tcPr>
          <w:p w14:paraId="2D35EDA0">
            <w:pPr>
              <w:adjustRightInd w:val="0"/>
              <w:snapToGrid w:val="0"/>
              <w:jc w:val="center"/>
              <w:rPr>
                <w:kern w:val="0"/>
                <w:sz w:val="22"/>
                <w:szCs w:val="22"/>
              </w:rPr>
            </w:pPr>
            <w:r>
              <w:rPr>
                <w:bCs/>
                <w:kern w:val="0"/>
                <w:sz w:val="22"/>
                <w:szCs w:val="22"/>
              </w:rPr>
              <w:t>T6</w:t>
            </w:r>
          </w:p>
        </w:tc>
      </w:tr>
      <w:tr w14:paraId="5733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170" w:type="dxa"/>
            <w:gridSpan w:val="2"/>
            <w:vAlign w:val="center"/>
          </w:tcPr>
          <w:p w14:paraId="0D8B7B91">
            <w:pPr>
              <w:adjustRightInd w:val="0"/>
              <w:snapToGrid w:val="0"/>
              <w:jc w:val="center"/>
              <w:rPr>
                <w:kern w:val="0"/>
                <w:sz w:val="22"/>
                <w:szCs w:val="22"/>
              </w:rPr>
            </w:pPr>
            <w:r>
              <w:rPr>
                <w:kern w:val="0"/>
                <w:sz w:val="22"/>
                <w:szCs w:val="22"/>
              </w:rPr>
              <w:t>土壤类型</w:t>
            </w:r>
          </w:p>
        </w:tc>
        <w:tc>
          <w:tcPr>
            <w:tcW w:w="2808" w:type="dxa"/>
            <w:vAlign w:val="center"/>
          </w:tcPr>
          <w:p w14:paraId="3B101D74">
            <w:pPr>
              <w:adjustRightInd w:val="0"/>
              <w:snapToGrid w:val="0"/>
              <w:jc w:val="center"/>
              <w:rPr>
                <w:kern w:val="0"/>
                <w:sz w:val="22"/>
                <w:szCs w:val="22"/>
              </w:rPr>
            </w:pPr>
            <w:r>
              <w:rPr>
                <w:rFonts w:hint="eastAsia"/>
                <w:kern w:val="0"/>
                <w:sz w:val="22"/>
                <w:szCs w:val="22"/>
              </w:rPr>
              <w:t>淹育水稻土</w:t>
            </w:r>
          </w:p>
        </w:tc>
        <w:tc>
          <w:tcPr>
            <w:tcW w:w="2808" w:type="dxa"/>
          </w:tcPr>
          <w:p w14:paraId="7446B252">
            <w:pPr>
              <w:adjustRightInd w:val="0"/>
              <w:snapToGrid w:val="0"/>
              <w:jc w:val="center"/>
              <w:rPr>
                <w:kern w:val="0"/>
                <w:sz w:val="22"/>
                <w:szCs w:val="22"/>
              </w:rPr>
            </w:pPr>
            <w:r>
              <w:rPr>
                <w:rFonts w:hint="eastAsia"/>
                <w:kern w:val="0"/>
                <w:sz w:val="22"/>
                <w:szCs w:val="22"/>
              </w:rPr>
              <w:t>酸性紫色土</w:t>
            </w:r>
          </w:p>
        </w:tc>
      </w:tr>
      <w:tr w14:paraId="312E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27" w:type="dxa"/>
            <w:vMerge w:val="restart"/>
            <w:vAlign w:val="center"/>
          </w:tcPr>
          <w:p w14:paraId="7C9A863F">
            <w:pPr>
              <w:adjustRightInd w:val="0"/>
              <w:snapToGrid w:val="0"/>
              <w:jc w:val="center"/>
              <w:rPr>
                <w:kern w:val="0"/>
                <w:sz w:val="22"/>
                <w:szCs w:val="22"/>
              </w:rPr>
            </w:pPr>
            <w:r>
              <w:rPr>
                <w:kern w:val="0"/>
                <w:sz w:val="22"/>
                <w:szCs w:val="22"/>
              </w:rPr>
              <w:t>现场</w:t>
            </w:r>
          </w:p>
          <w:p w14:paraId="4F1D09E2">
            <w:pPr>
              <w:adjustRightInd w:val="0"/>
              <w:snapToGrid w:val="0"/>
              <w:jc w:val="center"/>
              <w:rPr>
                <w:kern w:val="0"/>
                <w:sz w:val="22"/>
                <w:szCs w:val="22"/>
              </w:rPr>
            </w:pPr>
            <w:r>
              <w:rPr>
                <w:kern w:val="0"/>
                <w:sz w:val="22"/>
                <w:szCs w:val="22"/>
              </w:rPr>
              <w:t>记录</w:t>
            </w:r>
          </w:p>
        </w:tc>
        <w:tc>
          <w:tcPr>
            <w:tcW w:w="2443" w:type="dxa"/>
            <w:vAlign w:val="center"/>
          </w:tcPr>
          <w:p w14:paraId="28110BA1">
            <w:pPr>
              <w:adjustRightInd w:val="0"/>
              <w:snapToGrid w:val="0"/>
              <w:jc w:val="center"/>
              <w:rPr>
                <w:kern w:val="0"/>
                <w:sz w:val="22"/>
                <w:szCs w:val="22"/>
              </w:rPr>
            </w:pPr>
            <w:r>
              <w:rPr>
                <w:kern w:val="0"/>
                <w:sz w:val="22"/>
                <w:szCs w:val="22"/>
              </w:rPr>
              <w:t>颜色</w:t>
            </w:r>
          </w:p>
        </w:tc>
        <w:tc>
          <w:tcPr>
            <w:tcW w:w="2808" w:type="dxa"/>
            <w:vAlign w:val="center"/>
          </w:tcPr>
          <w:p w14:paraId="30F7E1E0">
            <w:pPr>
              <w:adjustRightInd w:val="0"/>
              <w:snapToGrid w:val="0"/>
              <w:jc w:val="center"/>
              <w:rPr>
                <w:kern w:val="0"/>
                <w:sz w:val="22"/>
                <w:szCs w:val="22"/>
              </w:rPr>
            </w:pPr>
            <w:r>
              <w:rPr>
                <w:rFonts w:hint="eastAsia"/>
                <w:szCs w:val="21"/>
              </w:rPr>
              <w:t>黄棕</w:t>
            </w:r>
          </w:p>
        </w:tc>
        <w:tc>
          <w:tcPr>
            <w:tcW w:w="2808" w:type="dxa"/>
            <w:vAlign w:val="center"/>
          </w:tcPr>
          <w:p w14:paraId="30A125AB">
            <w:pPr>
              <w:adjustRightInd w:val="0"/>
              <w:snapToGrid w:val="0"/>
              <w:jc w:val="center"/>
              <w:rPr>
                <w:sz w:val="22"/>
                <w:szCs w:val="22"/>
              </w:rPr>
            </w:pPr>
            <w:r>
              <w:rPr>
                <w:rFonts w:hint="eastAsia"/>
                <w:szCs w:val="21"/>
              </w:rPr>
              <w:t>棕</w:t>
            </w:r>
          </w:p>
        </w:tc>
      </w:tr>
      <w:tr w14:paraId="189DD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27" w:type="dxa"/>
            <w:vMerge w:val="continue"/>
            <w:vAlign w:val="center"/>
          </w:tcPr>
          <w:p w14:paraId="6DBCAAC6">
            <w:pPr>
              <w:adjustRightInd w:val="0"/>
              <w:snapToGrid w:val="0"/>
              <w:jc w:val="center"/>
              <w:rPr>
                <w:kern w:val="0"/>
                <w:sz w:val="22"/>
                <w:szCs w:val="22"/>
              </w:rPr>
            </w:pPr>
          </w:p>
        </w:tc>
        <w:tc>
          <w:tcPr>
            <w:tcW w:w="2443" w:type="dxa"/>
            <w:vAlign w:val="center"/>
          </w:tcPr>
          <w:p w14:paraId="79F055C7">
            <w:pPr>
              <w:adjustRightInd w:val="0"/>
              <w:snapToGrid w:val="0"/>
              <w:jc w:val="center"/>
              <w:rPr>
                <w:sz w:val="22"/>
                <w:szCs w:val="22"/>
              </w:rPr>
            </w:pPr>
            <w:r>
              <w:rPr>
                <w:sz w:val="22"/>
                <w:szCs w:val="22"/>
              </w:rPr>
              <w:t>结构</w:t>
            </w:r>
          </w:p>
        </w:tc>
        <w:tc>
          <w:tcPr>
            <w:tcW w:w="2808" w:type="dxa"/>
            <w:vAlign w:val="center"/>
          </w:tcPr>
          <w:p w14:paraId="1417AA35">
            <w:pPr>
              <w:adjustRightInd w:val="0"/>
              <w:snapToGrid w:val="0"/>
              <w:jc w:val="center"/>
              <w:rPr>
                <w:sz w:val="22"/>
                <w:szCs w:val="22"/>
              </w:rPr>
            </w:pPr>
            <w:r>
              <w:rPr>
                <w:rFonts w:hint="eastAsia"/>
                <w:szCs w:val="21"/>
              </w:rPr>
              <w:t>团粒状</w:t>
            </w:r>
          </w:p>
        </w:tc>
        <w:tc>
          <w:tcPr>
            <w:tcW w:w="2808" w:type="dxa"/>
            <w:vAlign w:val="center"/>
          </w:tcPr>
          <w:p w14:paraId="6AE970EB">
            <w:pPr>
              <w:adjustRightInd w:val="0"/>
              <w:snapToGrid w:val="0"/>
              <w:jc w:val="center"/>
              <w:rPr>
                <w:sz w:val="22"/>
                <w:szCs w:val="22"/>
              </w:rPr>
            </w:pPr>
            <w:r>
              <w:rPr>
                <w:rFonts w:hint="eastAsia"/>
                <w:szCs w:val="21"/>
              </w:rPr>
              <w:t>团粒状</w:t>
            </w:r>
          </w:p>
        </w:tc>
      </w:tr>
      <w:tr w14:paraId="7014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27" w:type="dxa"/>
            <w:vMerge w:val="continue"/>
            <w:vAlign w:val="center"/>
          </w:tcPr>
          <w:p w14:paraId="79DB85FA">
            <w:pPr>
              <w:adjustRightInd w:val="0"/>
              <w:snapToGrid w:val="0"/>
              <w:jc w:val="center"/>
              <w:rPr>
                <w:kern w:val="0"/>
                <w:sz w:val="22"/>
                <w:szCs w:val="22"/>
              </w:rPr>
            </w:pPr>
          </w:p>
        </w:tc>
        <w:tc>
          <w:tcPr>
            <w:tcW w:w="2443" w:type="dxa"/>
            <w:vAlign w:val="center"/>
          </w:tcPr>
          <w:p w14:paraId="75AFB091">
            <w:pPr>
              <w:adjustRightInd w:val="0"/>
              <w:snapToGrid w:val="0"/>
              <w:jc w:val="center"/>
              <w:rPr>
                <w:sz w:val="22"/>
                <w:szCs w:val="22"/>
              </w:rPr>
            </w:pPr>
            <w:r>
              <w:rPr>
                <w:sz w:val="22"/>
                <w:szCs w:val="22"/>
              </w:rPr>
              <w:t>质地</w:t>
            </w:r>
          </w:p>
        </w:tc>
        <w:tc>
          <w:tcPr>
            <w:tcW w:w="2808" w:type="dxa"/>
            <w:vAlign w:val="center"/>
          </w:tcPr>
          <w:p w14:paraId="7015A87A">
            <w:pPr>
              <w:adjustRightInd w:val="0"/>
              <w:snapToGrid w:val="0"/>
              <w:jc w:val="center"/>
              <w:rPr>
                <w:sz w:val="22"/>
                <w:szCs w:val="22"/>
              </w:rPr>
            </w:pPr>
            <w:r>
              <w:rPr>
                <w:rFonts w:hint="eastAsia"/>
                <w:szCs w:val="21"/>
              </w:rPr>
              <w:t>砂壤土</w:t>
            </w:r>
          </w:p>
        </w:tc>
        <w:tc>
          <w:tcPr>
            <w:tcW w:w="2808" w:type="dxa"/>
            <w:vAlign w:val="center"/>
          </w:tcPr>
          <w:p w14:paraId="09ED4FA1">
            <w:pPr>
              <w:adjustRightInd w:val="0"/>
              <w:snapToGrid w:val="0"/>
              <w:jc w:val="center"/>
              <w:rPr>
                <w:sz w:val="22"/>
                <w:szCs w:val="22"/>
              </w:rPr>
            </w:pPr>
            <w:r>
              <w:rPr>
                <w:rFonts w:hint="eastAsia"/>
                <w:szCs w:val="21"/>
              </w:rPr>
              <w:t>砂壤土</w:t>
            </w:r>
          </w:p>
        </w:tc>
      </w:tr>
      <w:tr w14:paraId="1D10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27" w:type="dxa"/>
            <w:vMerge w:val="continue"/>
            <w:vAlign w:val="center"/>
          </w:tcPr>
          <w:p w14:paraId="5C4B9D44">
            <w:pPr>
              <w:adjustRightInd w:val="0"/>
              <w:snapToGrid w:val="0"/>
              <w:jc w:val="center"/>
              <w:rPr>
                <w:kern w:val="0"/>
                <w:sz w:val="22"/>
                <w:szCs w:val="22"/>
              </w:rPr>
            </w:pPr>
          </w:p>
        </w:tc>
        <w:tc>
          <w:tcPr>
            <w:tcW w:w="2443" w:type="dxa"/>
            <w:vAlign w:val="center"/>
          </w:tcPr>
          <w:p w14:paraId="5BDD25D3">
            <w:pPr>
              <w:adjustRightInd w:val="0"/>
              <w:snapToGrid w:val="0"/>
              <w:jc w:val="center"/>
              <w:rPr>
                <w:sz w:val="22"/>
                <w:szCs w:val="22"/>
              </w:rPr>
            </w:pPr>
            <w:r>
              <w:rPr>
                <w:sz w:val="22"/>
                <w:szCs w:val="22"/>
              </w:rPr>
              <w:t>砂砾含量/%</w:t>
            </w:r>
          </w:p>
        </w:tc>
        <w:tc>
          <w:tcPr>
            <w:tcW w:w="2808" w:type="dxa"/>
            <w:vAlign w:val="center"/>
          </w:tcPr>
          <w:p w14:paraId="4E00ED9D">
            <w:pPr>
              <w:adjustRightInd w:val="0"/>
              <w:snapToGrid w:val="0"/>
              <w:jc w:val="center"/>
              <w:rPr>
                <w:sz w:val="22"/>
                <w:szCs w:val="22"/>
              </w:rPr>
            </w:pPr>
            <w:r>
              <w:rPr>
                <w:rFonts w:hint="eastAsia"/>
                <w:szCs w:val="21"/>
              </w:rPr>
              <w:t>5</w:t>
            </w:r>
          </w:p>
        </w:tc>
        <w:tc>
          <w:tcPr>
            <w:tcW w:w="2808" w:type="dxa"/>
            <w:vAlign w:val="center"/>
          </w:tcPr>
          <w:p w14:paraId="14A87156">
            <w:pPr>
              <w:adjustRightInd w:val="0"/>
              <w:snapToGrid w:val="0"/>
              <w:jc w:val="center"/>
              <w:rPr>
                <w:sz w:val="22"/>
                <w:szCs w:val="22"/>
              </w:rPr>
            </w:pPr>
            <w:r>
              <w:rPr>
                <w:rFonts w:hint="eastAsia"/>
                <w:szCs w:val="21"/>
              </w:rPr>
              <w:t>5</w:t>
            </w:r>
          </w:p>
        </w:tc>
      </w:tr>
      <w:tr w14:paraId="156F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27" w:type="dxa"/>
            <w:vMerge w:val="continue"/>
            <w:vAlign w:val="center"/>
          </w:tcPr>
          <w:p w14:paraId="22DB7637">
            <w:pPr>
              <w:adjustRightInd w:val="0"/>
              <w:snapToGrid w:val="0"/>
              <w:jc w:val="center"/>
              <w:rPr>
                <w:kern w:val="0"/>
                <w:sz w:val="22"/>
                <w:szCs w:val="22"/>
              </w:rPr>
            </w:pPr>
          </w:p>
        </w:tc>
        <w:tc>
          <w:tcPr>
            <w:tcW w:w="2443" w:type="dxa"/>
            <w:vAlign w:val="center"/>
          </w:tcPr>
          <w:p w14:paraId="5852E5DC">
            <w:pPr>
              <w:adjustRightInd w:val="0"/>
              <w:snapToGrid w:val="0"/>
              <w:jc w:val="center"/>
              <w:rPr>
                <w:sz w:val="22"/>
                <w:szCs w:val="22"/>
              </w:rPr>
            </w:pPr>
            <w:r>
              <w:rPr>
                <w:sz w:val="22"/>
                <w:szCs w:val="22"/>
              </w:rPr>
              <w:t>其它异物</w:t>
            </w:r>
          </w:p>
        </w:tc>
        <w:tc>
          <w:tcPr>
            <w:tcW w:w="2808" w:type="dxa"/>
            <w:vAlign w:val="center"/>
          </w:tcPr>
          <w:p w14:paraId="7F490681">
            <w:pPr>
              <w:adjustRightInd w:val="0"/>
              <w:snapToGrid w:val="0"/>
              <w:jc w:val="center"/>
              <w:rPr>
                <w:sz w:val="22"/>
                <w:szCs w:val="22"/>
              </w:rPr>
            </w:pPr>
            <w:r>
              <w:rPr>
                <w:rFonts w:hint="eastAsia"/>
                <w:szCs w:val="21"/>
              </w:rPr>
              <w:t>少量根系</w:t>
            </w:r>
          </w:p>
        </w:tc>
        <w:tc>
          <w:tcPr>
            <w:tcW w:w="2808" w:type="dxa"/>
            <w:vAlign w:val="center"/>
          </w:tcPr>
          <w:p w14:paraId="2F8B7E0C">
            <w:pPr>
              <w:adjustRightInd w:val="0"/>
              <w:snapToGrid w:val="0"/>
              <w:jc w:val="center"/>
              <w:rPr>
                <w:sz w:val="22"/>
                <w:szCs w:val="22"/>
              </w:rPr>
            </w:pPr>
            <w:r>
              <w:rPr>
                <w:rFonts w:hint="eastAsia"/>
                <w:szCs w:val="21"/>
              </w:rPr>
              <w:t>中量根系</w:t>
            </w:r>
          </w:p>
        </w:tc>
      </w:tr>
      <w:tr w14:paraId="069D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27" w:type="dxa"/>
            <w:vMerge w:val="restart"/>
            <w:vAlign w:val="center"/>
          </w:tcPr>
          <w:p w14:paraId="6C634B8B">
            <w:pPr>
              <w:adjustRightInd w:val="0"/>
              <w:snapToGrid w:val="0"/>
              <w:jc w:val="center"/>
              <w:rPr>
                <w:kern w:val="0"/>
                <w:sz w:val="22"/>
                <w:szCs w:val="22"/>
              </w:rPr>
            </w:pPr>
            <w:r>
              <w:rPr>
                <w:kern w:val="0"/>
                <w:sz w:val="22"/>
                <w:szCs w:val="22"/>
              </w:rPr>
              <w:t>实验室测定</w:t>
            </w:r>
          </w:p>
        </w:tc>
        <w:tc>
          <w:tcPr>
            <w:tcW w:w="2443" w:type="dxa"/>
            <w:vAlign w:val="center"/>
          </w:tcPr>
          <w:p w14:paraId="38561559">
            <w:pPr>
              <w:adjustRightInd w:val="0"/>
              <w:snapToGrid w:val="0"/>
              <w:jc w:val="center"/>
              <w:rPr>
                <w:sz w:val="22"/>
                <w:szCs w:val="22"/>
              </w:rPr>
            </w:pPr>
            <w:r>
              <w:rPr>
                <w:bCs/>
                <w:kern w:val="0"/>
                <w:sz w:val="22"/>
                <w:szCs w:val="22"/>
              </w:rPr>
              <w:t>氧化还原电位（</w:t>
            </w:r>
            <w:r>
              <w:rPr>
                <w:kern w:val="0"/>
                <w:sz w:val="22"/>
                <w:szCs w:val="22"/>
              </w:rPr>
              <w:t>mV</w:t>
            </w:r>
            <w:r>
              <w:rPr>
                <w:bCs/>
                <w:kern w:val="0"/>
                <w:sz w:val="22"/>
                <w:szCs w:val="22"/>
              </w:rPr>
              <w:t>）</w:t>
            </w:r>
          </w:p>
        </w:tc>
        <w:tc>
          <w:tcPr>
            <w:tcW w:w="2808" w:type="dxa"/>
            <w:vAlign w:val="center"/>
          </w:tcPr>
          <w:p w14:paraId="597DC8ED">
            <w:pPr>
              <w:adjustRightInd w:val="0"/>
              <w:snapToGrid w:val="0"/>
              <w:jc w:val="center"/>
              <w:rPr>
                <w:kern w:val="0"/>
                <w:sz w:val="22"/>
                <w:szCs w:val="22"/>
              </w:rPr>
            </w:pPr>
            <w:r>
              <w:rPr>
                <w:rFonts w:hint="eastAsia"/>
                <w:szCs w:val="21"/>
              </w:rPr>
              <w:t>314</w:t>
            </w:r>
          </w:p>
        </w:tc>
        <w:tc>
          <w:tcPr>
            <w:tcW w:w="2808" w:type="dxa"/>
            <w:vAlign w:val="center"/>
          </w:tcPr>
          <w:p w14:paraId="499224E2">
            <w:pPr>
              <w:adjustRightInd w:val="0"/>
              <w:snapToGrid w:val="0"/>
              <w:jc w:val="center"/>
              <w:rPr>
                <w:kern w:val="0"/>
                <w:sz w:val="22"/>
                <w:szCs w:val="22"/>
              </w:rPr>
            </w:pPr>
            <w:r>
              <w:rPr>
                <w:rFonts w:hint="eastAsia"/>
                <w:szCs w:val="21"/>
              </w:rPr>
              <w:t>315</w:t>
            </w:r>
          </w:p>
        </w:tc>
      </w:tr>
      <w:tr w14:paraId="54590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27" w:type="dxa"/>
            <w:vMerge w:val="continue"/>
            <w:vAlign w:val="center"/>
          </w:tcPr>
          <w:p w14:paraId="6D863B27">
            <w:pPr>
              <w:adjustRightInd w:val="0"/>
              <w:snapToGrid w:val="0"/>
              <w:jc w:val="center"/>
              <w:rPr>
                <w:kern w:val="0"/>
                <w:sz w:val="22"/>
                <w:szCs w:val="22"/>
              </w:rPr>
            </w:pPr>
          </w:p>
        </w:tc>
        <w:tc>
          <w:tcPr>
            <w:tcW w:w="2443" w:type="dxa"/>
            <w:vAlign w:val="center"/>
          </w:tcPr>
          <w:p w14:paraId="51983D08">
            <w:pPr>
              <w:adjustRightInd w:val="0"/>
              <w:snapToGrid w:val="0"/>
              <w:jc w:val="center"/>
              <w:rPr>
                <w:kern w:val="0"/>
                <w:sz w:val="22"/>
                <w:szCs w:val="22"/>
              </w:rPr>
            </w:pPr>
            <w:r>
              <w:rPr>
                <w:kern w:val="0"/>
                <w:sz w:val="22"/>
                <w:szCs w:val="22"/>
              </w:rPr>
              <w:t>阳离子交换量（</w:t>
            </w:r>
            <w:r>
              <w:rPr>
                <w:sz w:val="22"/>
                <w:szCs w:val="22"/>
              </w:rPr>
              <w:t>cmol</w:t>
            </w:r>
            <w:r>
              <w:rPr>
                <w:sz w:val="22"/>
                <w:szCs w:val="22"/>
                <w:vertAlign w:val="superscript"/>
              </w:rPr>
              <w:t>+</w:t>
            </w:r>
            <w:r>
              <w:rPr>
                <w:sz w:val="22"/>
                <w:szCs w:val="22"/>
              </w:rPr>
              <w:t>/kg</w:t>
            </w:r>
            <w:r>
              <w:rPr>
                <w:kern w:val="0"/>
                <w:sz w:val="22"/>
                <w:szCs w:val="22"/>
              </w:rPr>
              <w:t>）</w:t>
            </w:r>
          </w:p>
        </w:tc>
        <w:tc>
          <w:tcPr>
            <w:tcW w:w="2808" w:type="dxa"/>
            <w:vAlign w:val="center"/>
          </w:tcPr>
          <w:p w14:paraId="586A2B1B">
            <w:pPr>
              <w:adjustRightInd w:val="0"/>
              <w:snapToGrid w:val="0"/>
              <w:jc w:val="center"/>
              <w:rPr>
                <w:kern w:val="0"/>
                <w:sz w:val="22"/>
                <w:szCs w:val="22"/>
              </w:rPr>
            </w:pPr>
            <w:r>
              <w:rPr>
                <w:rFonts w:hint="eastAsia"/>
                <w:szCs w:val="21"/>
              </w:rPr>
              <w:t>17.2</w:t>
            </w:r>
          </w:p>
        </w:tc>
        <w:tc>
          <w:tcPr>
            <w:tcW w:w="2808" w:type="dxa"/>
            <w:vAlign w:val="center"/>
          </w:tcPr>
          <w:p w14:paraId="7C04846B">
            <w:pPr>
              <w:adjustRightInd w:val="0"/>
              <w:snapToGrid w:val="0"/>
              <w:jc w:val="center"/>
              <w:rPr>
                <w:kern w:val="0"/>
                <w:sz w:val="22"/>
                <w:szCs w:val="22"/>
              </w:rPr>
            </w:pPr>
            <w:r>
              <w:rPr>
                <w:rFonts w:hint="eastAsia"/>
                <w:szCs w:val="21"/>
              </w:rPr>
              <w:t>18.3</w:t>
            </w:r>
          </w:p>
        </w:tc>
      </w:tr>
      <w:tr w14:paraId="1838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27" w:type="dxa"/>
            <w:vMerge w:val="continue"/>
            <w:vAlign w:val="center"/>
          </w:tcPr>
          <w:p w14:paraId="7656039C">
            <w:pPr>
              <w:adjustRightInd w:val="0"/>
              <w:snapToGrid w:val="0"/>
              <w:jc w:val="center"/>
              <w:rPr>
                <w:kern w:val="0"/>
                <w:sz w:val="22"/>
                <w:szCs w:val="22"/>
              </w:rPr>
            </w:pPr>
          </w:p>
        </w:tc>
        <w:tc>
          <w:tcPr>
            <w:tcW w:w="2443" w:type="dxa"/>
            <w:vAlign w:val="center"/>
          </w:tcPr>
          <w:p w14:paraId="5CD5721A">
            <w:pPr>
              <w:adjustRightInd w:val="0"/>
              <w:snapToGrid w:val="0"/>
              <w:jc w:val="center"/>
              <w:rPr>
                <w:kern w:val="0"/>
                <w:sz w:val="22"/>
                <w:szCs w:val="22"/>
              </w:rPr>
            </w:pPr>
            <w:r>
              <w:rPr>
                <w:kern w:val="0"/>
                <w:sz w:val="22"/>
                <w:szCs w:val="22"/>
              </w:rPr>
              <w:t>饱和导水率（mm/min）</w:t>
            </w:r>
          </w:p>
        </w:tc>
        <w:tc>
          <w:tcPr>
            <w:tcW w:w="2808" w:type="dxa"/>
            <w:vAlign w:val="center"/>
          </w:tcPr>
          <w:p w14:paraId="03874829">
            <w:pPr>
              <w:adjustRightInd w:val="0"/>
              <w:snapToGrid w:val="0"/>
              <w:jc w:val="center"/>
              <w:rPr>
                <w:kern w:val="0"/>
                <w:sz w:val="22"/>
                <w:szCs w:val="22"/>
              </w:rPr>
            </w:pPr>
            <w:r>
              <w:rPr>
                <w:rFonts w:hint="eastAsia"/>
                <w:szCs w:val="21"/>
              </w:rPr>
              <w:t>0.404</w:t>
            </w:r>
          </w:p>
        </w:tc>
        <w:tc>
          <w:tcPr>
            <w:tcW w:w="2808" w:type="dxa"/>
            <w:vAlign w:val="center"/>
          </w:tcPr>
          <w:p w14:paraId="77E7F1E8">
            <w:pPr>
              <w:adjustRightInd w:val="0"/>
              <w:snapToGrid w:val="0"/>
              <w:jc w:val="center"/>
              <w:rPr>
                <w:kern w:val="0"/>
                <w:sz w:val="22"/>
                <w:szCs w:val="22"/>
              </w:rPr>
            </w:pPr>
            <w:r>
              <w:rPr>
                <w:rFonts w:hint="eastAsia"/>
                <w:szCs w:val="21"/>
              </w:rPr>
              <w:t>0.418</w:t>
            </w:r>
          </w:p>
        </w:tc>
      </w:tr>
      <w:tr w14:paraId="031F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27" w:type="dxa"/>
            <w:vMerge w:val="continue"/>
            <w:vAlign w:val="center"/>
          </w:tcPr>
          <w:p w14:paraId="420E25A4">
            <w:pPr>
              <w:adjustRightInd w:val="0"/>
              <w:snapToGrid w:val="0"/>
              <w:jc w:val="center"/>
              <w:rPr>
                <w:kern w:val="0"/>
                <w:sz w:val="22"/>
                <w:szCs w:val="22"/>
              </w:rPr>
            </w:pPr>
          </w:p>
        </w:tc>
        <w:tc>
          <w:tcPr>
            <w:tcW w:w="2443" w:type="dxa"/>
            <w:vAlign w:val="center"/>
          </w:tcPr>
          <w:p w14:paraId="33C6DE32">
            <w:pPr>
              <w:adjustRightInd w:val="0"/>
              <w:snapToGrid w:val="0"/>
              <w:jc w:val="center"/>
              <w:rPr>
                <w:kern w:val="0"/>
                <w:sz w:val="22"/>
                <w:szCs w:val="22"/>
              </w:rPr>
            </w:pPr>
            <w:r>
              <w:rPr>
                <w:sz w:val="22"/>
                <w:szCs w:val="22"/>
              </w:rPr>
              <w:t>土壤容重</w:t>
            </w:r>
            <w:r>
              <w:rPr>
                <w:kern w:val="0"/>
                <w:sz w:val="22"/>
                <w:szCs w:val="22"/>
              </w:rPr>
              <w:t>（g/cm</w:t>
            </w:r>
            <w:r>
              <w:rPr>
                <w:kern w:val="0"/>
                <w:sz w:val="22"/>
                <w:szCs w:val="22"/>
                <w:vertAlign w:val="superscript"/>
              </w:rPr>
              <w:t>3</w:t>
            </w:r>
            <w:r>
              <w:rPr>
                <w:kern w:val="0"/>
                <w:sz w:val="22"/>
                <w:szCs w:val="22"/>
              </w:rPr>
              <w:t>）</w:t>
            </w:r>
          </w:p>
        </w:tc>
        <w:tc>
          <w:tcPr>
            <w:tcW w:w="2808" w:type="dxa"/>
            <w:vAlign w:val="center"/>
          </w:tcPr>
          <w:p w14:paraId="6F46E0EE">
            <w:pPr>
              <w:adjustRightInd w:val="0"/>
              <w:snapToGrid w:val="0"/>
              <w:jc w:val="center"/>
              <w:rPr>
                <w:kern w:val="0"/>
                <w:sz w:val="22"/>
                <w:szCs w:val="22"/>
              </w:rPr>
            </w:pPr>
            <w:r>
              <w:rPr>
                <w:rFonts w:hint="eastAsia"/>
                <w:szCs w:val="21"/>
              </w:rPr>
              <w:t>1.3</w:t>
            </w:r>
          </w:p>
        </w:tc>
        <w:tc>
          <w:tcPr>
            <w:tcW w:w="2808" w:type="dxa"/>
            <w:vAlign w:val="center"/>
          </w:tcPr>
          <w:p w14:paraId="0D2FF038">
            <w:pPr>
              <w:adjustRightInd w:val="0"/>
              <w:snapToGrid w:val="0"/>
              <w:jc w:val="center"/>
              <w:rPr>
                <w:kern w:val="0"/>
                <w:sz w:val="22"/>
                <w:szCs w:val="22"/>
              </w:rPr>
            </w:pPr>
            <w:r>
              <w:rPr>
                <w:rFonts w:hint="eastAsia"/>
                <w:szCs w:val="21"/>
              </w:rPr>
              <w:t>1</w:t>
            </w:r>
            <w:r>
              <w:rPr>
                <w:szCs w:val="21"/>
              </w:rPr>
              <w:t>.5</w:t>
            </w:r>
          </w:p>
        </w:tc>
      </w:tr>
      <w:tr w14:paraId="1820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27" w:type="dxa"/>
            <w:vMerge w:val="continue"/>
            <w:vAlign w:val="center"/>
          </w:tcPr>
          <w:p w14:paraId="60302AB0">
            <w:pPr>
              <w:adjustRightInd w:val="0"/>
              <w:snapToGrid w:val="0"/>
              <w:jc w:val="center"/>
              <w:rPr>
                <w:kern w:val="0"/>
                <w:sz w:val="22"/>
                <w:szCs w:val="22"/>
              </w:rPr>
            </w:pPr>
          </w:p>
        </w:tc>
        <w:tc>
          <w:tcPr>
            <w:tcW w:w="2443" w:type="dxa"/>
            <w:vAlign w:val="center"/>
          </w:tcPr>
          <w:p w14:paraId="32E27D21">
            <w:pPr>
              <w:adjustRightInd w:val="0"/>
              <w:snapToGrid w:val="0"/>
              <w:jc w:val="center"/>
              <w:rPr>
                <w:kern w:val="0"/>
                <w:sz w:val="22"/>
                <w:szCs w:val="22"/>
              </w:rPr>
            </w:pPr>
            <w:r>
              <w:rPr>
                <w:sz w:val="22"/>
                <w:szCs w:val="22"/>
              </w:rPr>
              <w:t>孔隙度</w:t>
            </w:r>
            <w:r>
              <w:rPr>
                <w:kern w:val="0"/>
                <w:sz w:val="22"/>
                <w:szCs w:val="22"/>
              </w:rPr>
              <w:t>（%）</w:t>
            </w:r>
          </w:p>
        </w:tc>
        <w:tc>
          <w:tcPr>
            <w:tcW w:w="2808" w:type="dxa"/>
            <w:vAlign w:val="center"/>
          </w:tcPr>
          <w:p w14:paraId="35E727A4">
            <w:pPr>
              <w:adjustRightInd w:val="0"/>
              <w:snapToGrid w:val="0"/>
              <w:jc w:val="center"/>
              <w:rPr>
                <w:kern w:val="0"/>
                <w:sz w:val="22"/>
                <w:szCs w:val="22"/>
              </w:rPr>
            </w:pPr>
            <w:r>
              <w:rPr>
                <w:rFonts w:hint="eastAsia"/>
                <w:szCs w:val="21"/>
              </w:rPr>
              <w:t>28.1</w:t>
            </w:r>
          </w:p>
        </w:tc>
        <w:tc>
          <w:tcPr>
            <w:tcW w:w="2808" w:type="dxa"/>
            <w:vAlign w:val="center"/>
          </w:tcPr>
          <w:p w14:paraId="7FE89172">
            <w:pPr>
              <w:adjustRightInd w:val="0"/>
              <w:snapToGrid w:val="0"/>
              <w:jc w:val="center"/>
              <w:rPr>
                <w:kern w:val="0"/>
                <w:sz w:val="22"/>
                <w:szCs w:val="22"/>
              </w:rPr>
            </w:pPr>
            <w:r>
              <w:rPr>
                <w:rFonts w:hint="eastAsia"/>
                <w:szCs w:val="21"/>
              </w:rPr>
              <w:t>23.8</w:t>
            </w:r>
          </w:p>
        </w:tc>
      </w:tr>
    </w:tbl>
    <w:p w14:paraId="3B3BC021">
      <w:pPr>
        <w:pStyle w:val="1379"/>
        <w:ind w:firstLine="440"/>
      </w:pPr>
    </w:p>
    <w:p w14:paraId="7E468AB3">
      <w:pPr>
        <w:pStyle w:val="1066"/>
        <w:ind w:firstLine="520"/>
        <w:rPr>
          <w:rFonts w:cs="Times New Roman"/>
        </w:rPr>
        <w:sectPr>
          <w:pgSz w:w="11906" w:h="16838"/>
          <w:pgMar w:top="1701" w:right="1588" w:bottom="1588" w:left="1588" w:header="1304" w:footer="1247" w:gutter="0"/>
          <w:cols w:space="720" w:num="1"/>
          <w:docGrid w:linePitch="312" w:charSpace="0"/>
        </w:sectPr>
      </w:pPr>
    </w:p>
    <w:p w14:paraId="7343F7A0">
      <w:pPr>
        <w:pStyle w:val="1065"/>
        <w:ind w:firstLine="480"/>
      </w:pPr>
      <w:r>
        <w:t xml:space="preserve">4.2-15  </w:t>
      </w:r>
      <w:r>
        <w:rPr>
          <w:rFonts w:hint="eastAsia"/>
        </w:rPr>
        <w:t>农用地基本因子监测结果统计表</w:t>
      </w:r>
      <w:r>
        <w:t xml:space="preserve">  单位：mg/kg（pH无量纲）</w:t>
      </w:r>
    </w:p>
    <w:tbl>
      <w:tblPr>
        <w:tblStyle w:val="88"/>
        <w:tblW w:w="13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834"/>
        <w:gridCol w:w="1167"/>
        <w:gridCol w:w="1200"/>
        <w:gridCol w:w="1134"/>
        <w:gridCol w:w="1173"/>
        <w:gridCol w:w="1038"/>
        <w:gridCol w:w="1630"/>
        <w:gridCol w:w="1332"/>
        <w:gridCol w:w="1167"/>
        <w:gridCol w:w="1167"/>
        <w:gridCol w:w="1094"/>
      </w:tblGrid>
      <w:tr w14:paraId="7D21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29" w:type="dxa"/>
            <w:vMerge w:val="restart"/>
            <w:vAlign w:val="center"/>
          </w:tcPr>
          <w:p w14:paraId="117FA60C">
            <w:pPr>
              <w:pStyle w:val="687"/>
            </w:pPr>
            <w:r>
              <w:t>监测</w:t>
            </w:r>
          </w:p>
          <w:p w14:paraId="6911C3A5">
            <w:pPr>
              <w:pStyle w:val="687"/>
            </w:pPr>
            <w:r>
              <w:t>因子</w:t>
            </w:r>
          </w:p>
        </w:tc>
        <w:tc>
          <w:tcPr>
            <w:tcW w:w="834" w:type="dxa"/>
            <w:vMerge w:val="restart"/>
            <w:vAlign w:val="center"/>
          </w:tcPr>
          <w:p w14:paraId="698B6E00">
            <w:pPr>
              <w:pStyle w:val="687"/>
              <w:rPr>
                <w:bCs/>
              </w:rPr>
            </w:pPr>
            <w:r>
              <w:rPr>
                <w:bCs/>
              </w:rPr>
              <w:t>标准值</w:t>
            </w:r>
          </w:p>
        </w:tc>
        <w:tc>
          <w:tcPr>
            <w:tcW w:w="2367" w:type="dxa"/>
            <w:gridSpan w:val="2"/>
            <w:vAlign w:val="center"/>
          </w:tcPr>
          <w:p w14:paraId="2507E6C5">
            <w:pPr>
              <w:pStyle w:val="687"/>
              <w:rPr>
                <w:bCs/>
              </w:rPr>
            </w:pPr>
            <w:r>
              <w:rPr>
                <w:bCs/>
              </w:rPr>
              <w:t>T5</w:t>
            </w:r>
          </w:p>
        </w:tc>
        <w:tc>
          <w:tcPr>
            <w:tcW w:w="2307" w:type="dxa"/>
            <w:gridSpan w:val="2"/>
            <w:vAlign w:val="center"/>
          </w:tcPr>
          <w:p w14:paraId="3B2CD534">
            <w:pPr>
              <w:pStyle w:val="687"/>
              <w:rPr>
                <w:bCs/>
              </w:rPr>
            </w:pPr>
            <w:r>
              <w:rPr>
                <w:bCs/>
              </w:rPr>
              <w:t>T6</w:t>
            </w:r>
          </w:p>
        </w:tc>
        <w:tc>
          <w:tcPr>
            <w:tcW w:w="7428" w:type="dxa"/>
            <w:gridSpan w:val="6"/>
            <w:vAlign w:val="center"/>
          </w:tcPr>
          <w:p w14:paraId="41FC0A3A">
            <w:pPr>
              <w:pStyle w:val="687"/>
              <w:rPr>
                <w:szCs w:val="22"/>
              </w:rPr>
            </w:pPr>
            <w:r>
              <w:rPr>
                <w:szCs w:val="22"/>
              </w:rPr>
              <w:t>数据统计</w:t>
            </w:r>
          </w:p>
        </w:tc>
      </w:tr>
      <w:tr w14:paraId="60FB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829" w:type="dxa"/>
            <w:vMerge w:val="continue"/>
            <w:vAlign w:val="center"/>
          </w:tcPr>
          <w:p w14:paraId="7AF5ED22">
            <w:pPr>
              <w:pStyle w:val="687"/>
            </w:pPr>
          </w:p>
        </w:tc>
        <w:tc>
          <w:tcPr>
            <w:tcW w:w="834" w:type="dxa"/>
            <w:vMerge w:val="continue"/>
            <w:vAlign w:val="center"/>
          </w:tcPr>
          <w:p w14:paraId="47973C7E">
            <w:pPr>
              <w:pStyle w:val="687"/>
            </w:pPr>
          </w:p>
        </w:tc>
        <w:tc>
          <w:tcPr>
            <w:tcW w:w="2367" w:type="dxa"/>
            <w:gridSpan w:val="2"/>
            <w:vAlign w:val="center"/>
          </w:tcPr>
          <w:p w14:paraId="0FF89374">
            <w:pPr>
              <w:pStyle w:val="687"/>
            </w:pPr>
            <w:r>
              <w:t>0~0.2m</w:t>
            </w:r>
          </w:p>
        </w:tc>
        <w:tc>
          <w:tcPr>
            <w:tcW w:w="2307" w:type="dxa"/>
            <w:gridSpan w:val="2"/>
            <w:vAlign w:val="center"/>
          </w:tcPr>
          <w:p w14:paraId="4E3D8F46">
            <w:pPr>
              <w:pStyle w:val="687"/>
            </w:pPr>
            <w:r>
              <w:t>0~0.2m</w:t>
            </w:r>
          </w:p>
        </w:tc>
        <w:tc>
          <w:tcPr>
            <w:tcW w:w="1038" w:type="dxa"/>
            <w:vMerge w:val="restart"/>
            <w:vAlign w:val="center"/>
          </w:tcPr>
          <w:p w14:paraId="2AAE4ADF">
            <w:pPr>
              <w:pStyle w:val="687"/>
            </w:pPr>
            <w:r>
              <w:rPr>
                <w:szCs w:val="22"/>
              </w:rPr>
              <w:t>样本数</w:t>
            </w:r>
          </w:p>
        </w:tc>
        <w:tc>
          <w:tcPr>
            <w:tcW w:w="1630" w:type="dxa"/>
            <w:vMerge w:val="restart"/>
            <w:vAlign w:val="center"/>
          </w:tcPr>
          <w:p w14:paraId="7B7B09B3">
            <w:pPr>
              <w:pStyle w:val="687"/>
            </w:pPr>
            <w:r>
              <w:rPr>
                <w:szCs w:val="22"/>
              </w:rPr>
              <w:t>检出率/%</w:t>
            </w:r>
          </w:p>
        </w:tc>
        <w:tc>
          <w:tcPr>
            <w:tcW w:w="1332" w:type="dxa"/>
            <w:vMerge w:val="restart"/>
            <w:vAlign w:val="center"/>
          </w:tcPr>
          <w:p w14:paraId="3A301D2D">
            <w:pPr>
              <w:pStyle w:val="687"/>
            </w:pPr>
            <w:r>
              <w:rPr>
                <w:szCs w:val="22"/>
              </w:rPr>
              <w:t>最大值</w:t>
            </w:r>
          </w:p>
        </w:tc>
        <w:tc>
          <w:tcPr>
            <w:tcW w:w="1167" w:type="dxa"/>
            <w:vMerge w:val="restart"/>
            <w:vAlign w:val="center"/>
          </w:tcPr>
          <w:p w14:paraId="62DC18A5">
            <w:pPr>
              <w:pStyle w:val="687"/>
            </w:pPr>
            <w:r>
              <w:rPr>
                <w:szCs w:val="22"/>
              </w:rPr>
              <w:t>最小值</w:t>
            </w:r>
          </w:p>
        </w:tc>
        <w:tc>
          <w:tcPr>
            <w:tcW w:w="1167" w:type="dxa"/>
            <w:vMerge w:val="restart"/>
            <w:vAlign w:val="center"/>
          </w:tcPr>
          <w:p w14:paraId="30AA4EDB">
            <w:pPr>
              <w:pStyle w:val="687"/>
            </w:pPr>
            <w:r>
              <w:rPr>
                <w:szCs w:val="22"/>
              </w:rPr>
              <w:t>均值</w:t>
            </w:r>
          </w:p>
        </w:tc>
        <w:tc>
          <w:tcPr>
            <w:tcW w:w="1094" w:type="dxa"/>
            <w:vMerge w:val="restart"/>
            <w:vAlign w:val="center"/>
          </w:tcPr>
          <w:p w14:paraId="109FE407">
            <w:pPr>
              <w:pStyle w:val="687"/>
            </w:pPr>
            <w:r>
              <w:rPr>
                <w:szCs w:val="22"/>
              </w:rPr>
              <w:t>标准差</w:t>
            </w:r>
          </w:p>
        </w:tc>
      </w:tr>
      <w:tr w14:paraId="72BB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829" w:type="dxa"/>
            <w:vMerge w:val="continue"/>
            <w:vAlign w:val="center"/>
          </w:tcPr>
          <w:p w14:paraId="31C5CED2">
            <w:pPr>
              <w:pStyle w:val="687"/>
            </w:pPr>
          </w:p>
        </w:tc>
        <w:tc>
          <w:tcPr>
            <w:tcW w:w="834" w:type="dxa"/>
            <w:vMerge w:val="continue"/>
            <w:vAlign w:val="center"/>
          </w:tcPr>
          <w:p w14:paraId="0C9C231D">
            <w:pPr>
              <w:pStyle w:val="687"/>
            </w:pPr>
          </w:p>
        </w:tc>
        <w:tc>
          <w:tcPr>
            <w:tcW w:w="1167" w:type="dxa"/>
            <w:vAlign w:val="center"/>
          </w:tcPr>
          <w:p w14:paraId="5CFBB453">
            <w:pPr>
              <w:pStyle w:val="687"/>
            </w:pPr>
            <w:r>
              <w:t>监测值</w:t>
            </w:r>
          </w:p>
        </w:tc>
        <w:tc>
          <w:tcPr>
            <w:tcW w:w="1200" w:type="dxa"/>
            <w:vAlign w:val="center"/>
          </w:tcPr>
          <w:p w14:paraId="3F41B51C">
            <w:pPr>
              <w:pStyle w:val="687"/>
            </w:pPr>
            <w:r>
              <w:t>标准指数</w:t>
            </w:r>
          </w:p>
        </w:tc>
        <w:tc>
          <w:tcPr>
            <w:tcW w:w="1134" w:type="dxa"/>
            <w:vAlign w:val="center"/>
          </w:tcPr>
          <w:p w14:paraId="56CDCEA9">
            <w:pPr>
              <w:pStyle w:val="687"/>
            </w:pPr>
            <w:r>
              <w:t>监测值</w:t>
            </w:r>
          </w:p>
        </w:tc>
        <w:tc>
          <w:tcPr>
            <w:tcW w:w="1173" w:type="dxa"/>
            <w:vAlign w:val="center"/>
          </w:tcPr>
          <w:p w14:paraId="307DFAEB">
            <w:pPr>
              <w:pStyle w:val="687"/>
            </w:pPr>
            <w:r>
              <w:t>标准指数</w:t>
            </w:r>
          </w:p>
        </w:tc>
        <w:tc>
          <w:tcPr>
            <w:tcW w:w="1038" w:type="dxa"/>
            <w:vMerge w:val="continue"/>
            <w:vAlign w:val="center"/>
          </w:tcPr>
          <w:p w14:paraId="6C0FD4D2">
            <w:pPr>
              <w:pStyle w:val="687"/>
            </w:pPr>
          </w:p>
        </w:tc>
        <w:tc>
          <w:tcPr>
            <w:tcW w:w="1630" w:type="dxa"/>
            <w:vMerge w:val="continue"/>
            <w:vAlign w:val="center"/>
          </w:tcPr>
          <w:p w14:paraId="3664791F">
            <w:pPr>
              <w:pStyle w:val="687"/>
            </w:pPr>
          </w:p>
        </w:tc>
        <w:tc>
          <w:tcPr>
            <w:tcW w:w="1332" w:type="dxa"/>
            <w:vMerge w:val="continue"/>
            <w:vAlign w:val="center"/>
          </w:tcPr>
          <w:p w14:paraId="4787656A">
            <w:pPr>
              <w:pStyle w:val="687"/>
            </w:pPr>
          </w:p>
        </w:tc>
        <w:tc>
          <w:tcPr>
            <w:tcW w:w="1167" w:type="dxa"/>
            <w:vMerge w:val="continue"/>
            <w:vAlign w:val="center"/>
          </w:tcPr>
          <w:p w14:paraId="304A7477">
            <w:pPr>
              <w:pStyle w:val="687"/>
            </w:pPr>
          </w:p>
        </w:tc>
        <w:tc>
          <w:tcPr>
            <w:tcW w:w="1167" w:type="dxa"/>
            <w:vMerge w:val="continue"/>
            <w:vAlign w:val="center"/>
          </w:tcPr>
          <w:p w14:paraId="3362D4B8">
            <w:pPr>
              <w:pStyle w:val="687"/>
            </w:pPr>
          </w:p>
        </w:tc>
        <w:tc>
          <w:tcPr>
            <w:tcW w:w="1094" w:type="dxa"/>
            <w:vMerge w:val="continue"/>
            <w:vAlign w:val="center"/>
          </w:tcPr>
          <w:p w14:paraId="7187685D">
            <w:pPr>
              <w:pStyle w:val="687"/>
            </w:pPr>
          </w:p>
        </w:tc>
      </w:tr>
      <w:tr w14:paraId="3D54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 w:type="dxa"/>
            <w:vAlign w:val="center"/>
          </w:tcPr>
          <w:p w14:paraId="24664F7D">
            <w:pPr>
              <w:pStyle w:val="687"/>
            </w:pPr>
            <w:r>
              <w:t>pH</w:t>
            </w:r>
          </w:p>
        </w:tc>
        <w:tc>
          <w:tcPr>
            <w:tcW w:w="834" w:type="dxa"/>
            <w:vAlign w:val="center"/>
          </w:tcPr>
          <w:p w14:paraId="04044076">
            <w:pPr>
              <w:pStyle w:val="687"/>
            </w:pPr>
            <w:r>
              <w:t>/</w:t>
            </w:r>
          </w:p>
        </w:tc>
        <w:tc>
          <w:tcPr>
            <w:tcW w:w="1167" w:type="dxa"/>
            <w:vAlign w:val="center"/>
          </w:tcPr>
          <w:p w14:paraId="32299E5F">
            <w:pPr>
              <w:pStyle w:val="687"/>
            </w:pPr>
            <w:r>
              <w:rPr>
                <w:rFonts w:hint="eastAsia"/>
              </w:rPr>
              <w:t>6</w:t>
            </w:r>
            <w:r>
              <w:t>.75</w:t>
            </w:r>
          </w:p>
        </w:tc>
        <w:tc>
          <w:tcPr>
            <w:tcW w:w="1200" w:type="dxa"/>
            <w:vAlign w:val="center"/>
          </w:tcPr>
          <w:p w14:paraId="01AD8280">
            <w:pPr>
              <w:pStyle w:val="687"/>
            </w:pPr>
            <w:r>
              <w:t>/</w:t>
            </w:r>
          </w:p>
        </w:tc>
        <w:tc>
          <w:tcPr>
            <w:tcW w:w="1134" w:type="dxa"/>
            <w:vAlign w:val="center"/>
          </w:tcPr>
          <w:p w14:paraId="78740FC2">
            <w:pPr>
              <w:pStyle w:val="687"/>
            </w:pPr>
            <w:r>
              <w:rPr>
                <w:rFonts w:hint="eastAsia"/>
              </w:rPr>
              <w:t>6</w:t>
            </w:r>
            <w:r>
              <w:t>.79</w:t>
            </w:r>
          </w:p>
        </w:tc>
        <w:tc>
          <w:tcPr>
            <w:tcW w:w="1173" w:type="dxa"/>
            <w:vAlign w:val="center"/>
          </w:tcPr>
          <w:p w14:paraId="178D8C94">
            <w:pPr>
              <w:pStyle w:val="687"/>
            </w:pPr>
            <w:r>
              <w:t>/</w:t>
            </w:r>
          </w:p>
        </w:tc>
        <w:tc>
          <w:tcPr>
            <w:tcW w:w="1038" w:type="dxa"/>
            <w:vAlign w:val="center"/>
          </w:tcPr>
          <w:p w14:paraId="2C56C0FD">
            <w:pPr>
              <w:pStyle w:val="687"/>
            </w:pPr>
            <w:r>
              <w:rPr>
                <w:rFonts w:hint="eastAsia"/>
              </w:rPr>
              <w:t>2</w:t>
            </w:r>
          </w:p>
        </w:tc>
        <w:tc>
          <w:tcPr>
            <w:tcW w:w="1630" w:type="dxa"/>
            <w:vAlign w:val="center"/>
          </w:tcPr>
          <w:p w14:paraId="17367EBB">
            <w:pPr>
              <w:pStyle w:val="687"/>
            </w:pPr>
            <w:r>
              <w:t>100</w:t>
            </w:r>
          </w:p>
        </w:tc>
        <w:tc>
          <w:tcPr>
            <w:tcW w:w="1332" w:type="dxa"/>
            <w:vAlign w:val="center"/>
          </w:tcPr>
          <w:p w14:paraId="20A89717">
            <w:pPr>
              <w:pStyle w:val="687"/>
            </w:pPr>
            <w:r>
              <w:rPr>
                <w:rFonts w:hint="eastAsia"/>
              </w:rPr>
              <w:t>6.79</w:t>
            </w:r>
          </w:p>
        </w:tc>
        <w:tc>
          <w:tcPr>
            <w:tcW w:w="1167" w:type="dxa"/>
            <w:vAlign w:val="center"/>
          </w:tcPr>
          <w:p w14:paraId="7EB907F2">
            <w:pPr>
              <w:pStyle w:val="687"/>
            </w:pPr>
            <w:r>
              <w:rPr>
                <w:rFonts w:hint="eastAsia"/>
              </w:rPr>
              <w:t>6.75</w:t>
            </w:r>
          </w:p>
        </w:tc>
        <w:tc>
          <w:tcPr>
            <w:tcW w:w="1167" w:type="dxa"/>
            <w:vAlign w:val="center"/>
          </w:tcPr>
          <w:p w14:paraId="1B72D0C4">
            <w:pPr>
              <w:pStyle w:val="687"/>
            </w:pPr>
            <w:r>
              <w:rPr>
                <w:rFonts w:hint="eastAsia"/>
              </w:rPr>
              <w:t>6.77</w:t>
            </w:r>
          </w:p>
        </w:tc>
        <w:tc>
          <w:tcPr>
            <w:tcW w:w="1094" w:type="dxa"/>
            <w:vAlign w:val="center"/>
          </w:tcPr>
          <w:p w14:paraId="1EBFC0CD">
            <w:pPr>
              <w:pStyle w:val="687"/>
            </w:pPr>
            <w:r>
              <w:rPr>
                <w:rFonts w:hint="eastAsia"/>
              </w:rPr>
              <w:t>0</w:t>
            </w:r>
            <w:r>
              <w:t>.03</w:t>
            </w:r>
          </w:p>
        </w:tc>
      </w:tr>
      <w:tr w14:paraId="0CC5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 w:type="dxa"/>
            <w:vAlign w:val="center"/>
          </w:tcPr>
          <w:p w14:paraId="65CA0589">
            <w:pPr>
              <w:pStyle w:val="687"/>
            </w:pPr>
            <w:r>
              <w:rPr>
                <w:bCs/>
                <w:szCs w:val="21"/>
              </w:rPr>
              <w:t>汞</w:t>
            </w:r>
          </w:p>
        </w:tc>
        <w:tc>
          <w:tcPr>
            <w:tcW w:w="834" w:type="dxa"/>
            <w:vAlign w:val="center"/>
          </w:tcPr>
          <w:p w14:paraId="12434A84">
            <w:pPr>
              <w:pStyle w:val="687"/>
            </w:pPr>
            <w:r>
              <w:t>3.4</w:t>
            </w:r>
          </w:p>
        </w:tc>
        <w:tc>
          <w:tcPr>
            <w:tcW w:w="1167" w:type="dxa"/>
            <w:vAlign w:val="center"/>
          </w:tcPr>
          <w:p w14:paraId="3A8E5317">
            <w:pPr>
              <w:pStyle w:val="687"/>
            </w:pPr>
            <w:r>
              <w:rPr>
                <w:rFonts w:hint="eastAsia"/>
                <w:bCs/>
                <w:sz w:val="21"/>
                <w:szCs w:val="21"/>
              </w:rPr>
              <w:t>0.195</w:t>
            </w:r>
          </w:p>
        </w:tc>
        <w:tc>
          <w:tcPr>
            <w:tcW w:w="1200" w:type="dxa"/>
            <w:vAlign w:val="center"/>
          </w:tcPr>
          <w:p w14:paraId="0116687C">
            <w:pPr>
              <w:pStyle w:val="687"/>
            </w:pPr>
            <w:r>
              <w:rPr>
                <w:rFonts w:hint="eastAsia"/>
              </w:rPr>
              <w:t>0.06</w:t>
            </w:r>
          </w:p>
        </w:tc>
        <w:tc>
          <w:tcPr>
            <w:tcW w:w="1134" w:type="dxa"/>
            <w:vAlign w:val="center"/>
          </w:tcPr>
          <w:p w14:paraId="53B30954">
            <w:pPr>
              <w:pStyle w:val="687"/>
            </w:pPr>
            <w:r>
              <w:rPr>
                <w:rFonts w:hint="eastAsia"/>
                <w:bCs/>
                <w:sz w:val="21"/>
                <w:szCs w:val="21"/>
              </w:rPr>
              <w:t>0.166</w:t>
            </w:r>
          </w:p>
        </w:tc>
        <w:tc>
          <w:tcPr>
            <w:tcW w:w="1173" w:type="dxa"/>
            <w:vAlign w:val="center"/>
          </w:tcPr>
          <w:p w14:paraId="1679C2C5">
            <w:pPr>
              <w:pStyle w:val="687"/>
            </w:pPr>
            <w:r>
              <w:rPr>
                <w:rFonts w:hint="eastAsia"/>
              </w:rPr>
              <w:t>0.05</w:t>
            </w:r>
          </w:p>
        </w:tc>
        <w:tc>
          <w:tcPr>
            <w:tcW w:w="1038" w:type="dxa"/>
            <w:vAlign w:val="center"/>
          </w:tcPr>
          <w:p w14:paraId="5831CA0B">
            <w:pPr>
              <w:pStyle w:val="687"/>
            </w:pPr>
            <w:r>
              <w:rPr>
                <w:rFonts w:hint="eastAsia"/>
              </w:rPr>
              <w:t>2</w:t>
            </w:r>
          </w:p>
        </w:tc>
        <w:tc>
          <w:tcPr>
            <w:tcW w:w="1630" w:type="dxa"/>
            <w:vAlign w:val="center"/>
          </w:tcPr>
          <w:p w14:paraId="0920F6F8">
            <w:pPr>
              <w:pStyle w:val="687"/>
            </w:pPr>
            <w:r>
              <w:t>100</w:t>
            </w:r>
          </w:p>
        </w:tc>
        <w:tc>
          <w:tcPr>
            <w:tcW w:w="1332" w:type="dxa"/>
            <w:vAlign w:val="center"/>
          </w:tcPr>
          <w:p w14:paraId="50AF3BF2">
            <w:pPr>
              <w:pStyle w:val="687"/>
            </w:pPr>
            <w:r>
              <w:rPr>
                <w:rFonts w:hint="eastAsia"/>
              </w:rPr>
              <w:t>0.195</w:t>
            </w:r>
          </w:p>
        </w:tc>
        <w:tc>
          <w:tcPr>
            <w:tcW w:w="1167" w:type="dxa"/>
            <w:vAlign w:val="center"/>
          </w:tcPr>
          <w:p w14:paraId="6D9B8110">
            <w:pPr>
              <w:pStyle w:val="687"/>
            </w:pPr>
            <w:r>
              <w:rPr>
                <w:rFonts w:hint="eastAsia"/>
              </w:rPr>
              <w:t>0.166</w:t>
            </w:r>
          </w:p>
        </w:tc>
        <w:tc>
          <w:tcPr>
            <w:tcW w:w="1167" w:type="dxa"/>
            <w:vAlign w:val="center"/>
          </w:tcPr>
          <w:p w14:paraId="01B32DF7">
            <w:pPr>
              <w:pStyle w:val="687"/>
            </w:pPr>
            <w:r>
              <w:rPr>
                <w:rFonts w:hint="eastAsia"/>
              </w:rPr>
              <w:t>0.1805</w:t>
            </w:r>
          </w:p>
        </w:tc>
        <w:tc>
          <w:tcPr>
            <w:tcW w:w="1094" w:type="dxa"/>
            <w:vAlign w:val="center"/>
          </w:tcPr>
          <w:p w14:paraId="51F7069D">
            <w:pPr>
              <w:pStyle w:val="687"/>
            </w:pPr>
            <w:r>
              <w:rPr>
                <w:rFonts w:hint="eastAsia"/>
              </w:rPr>
              <w:t>0</w:t>
            </w:r>
            <w:r>
              <w:t>.02</w:t>
            </w:r>
          </w:p>
        </w:tc>
      </w:tr>
      <w:tr w14:paraId="37A4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 w:type="dxa"/>
            <w:vAlign w:val="center"/>
          </w:tcPr>
          <w:p w14:paraId="151D8C7D">
            <w:pPr>
              <w:pStyle w:val="687"/>
            </w:pPr>
            <w:r>
              <w:rPr>
                <w:bCs/>
                <w:szCs w:val="21"/>
              </w:rPr>
              <w:t>砷</w:t>
            </w:r>
          </w:p>
        </w:tc>
        <w:tc>
          <w:tcPr>
            <w:tcW w:w="834" w:type="dxa"/>
            <w:vAlign w:val="center"/>
          </w:tcPr>
          <w:p w14:paraId="29A352FB">
            <w:pPr>
              <w:pStyle w:val="687"/>
            </w:pPr>
            <w:r>
              <w:t>25</w:t>
            </w:r>
          </w:p>
        </w:tc>
        <w:tc>
          <w:tcPr>
            <w:tcW w:w="1167" w:type="dxa"/>
            <w:vAlign w:val="center"/>
          </w:tcPr>
          <w:p w14:paraId="79B32A2B">
            <w:pPr>
              <w:pStyle w:val="687"/>
            </w:pPr>
            <w:r>
              <w:rPr>
                <w:rFonts w:hint="eastAsia"/>
                <w:bCs/>
                <w:sz w:val="21"/>
                <w:szCs w:val="21"/>
              </w:rPr>
              <w:t>5.02</w:t>
            </w:r>
          </w:p>
        </w:tc>
        <w:tc>
          <w:tcPr>
            <w:tcW w:w="1200" w:type="dxa"/>
            <w:vAlign w:val="center"/>
          </w:tcPr>
          <w:p w14:paraId="69659C4B">
            <w:pPr>
              <w:pStyle w:val="687"/>
            </w:pPr>
            <w:r>
              <w:rPr>
                <w:rFonts w:hint="eastAsia"/>
              </w:rPr>
              <w:t>0.20</w:t>
            </w:r>
          </w:p>
        </w:tc>
        <w:tc>
          <w:tcPr>
            <w:tcW w:w="1134" w:type="dxa"/>
            <w:vAlign w:val="center"/>
          </w:tcPr>
          <w:p w14:paraId="7A29E001">
            <w:pPr>
              <w:pStyle w:val="687"/>
            </w:pPr>
            <w:r>
              <w:rPr>
                <w:rFonts w:hint="eastAsia"/>
                <w:bCs/>
                <w:sz w:val="21"/>
                <w:szCs w:val="21"/>
              </w:rPr>
              <w:t>3.71</w:t>
            </w:r>
          </w:p>
        </w:tc>
        <w:tc>
          <w:tcPr>
            <w:tcW w:w="1173" w:type="dxa"/>
            <w:vAlign w:val="center"/>
          </w:tcPr>
          <w:p w14:paraId="338382BF">
            <w:pPr>
              <w:pStyle w:val="687"/>
            </w:pPr>
            <w:r>
              <w:rPr>
                <w:rFonts w:hint="eastAsia"/>
              </w:rPr>
              <w:t>0.15</w:t>
            </w:r>
          </w:p>
        </w:tc>
        <w:tc>
          <w:tcPr>
            <w:tcW w:w="1038" w:type="dxa"/>
            <w:vAlign w:val="center"/>
          </w:tcPr>
          <w:p w14:paraId="573BA0F1">
            <w:pPr>
              <w:pStyle w:val="687"/>
            </w:pPr>
            <w:r>
              <w:rPr>
                <w:rFonts w:hint="eastAsia"/>
              </w:rPr>
              <w:t>2</w:t>
            </w:r>
          </w:p>
        </w:tc>
        <w:tc>
          <w:tcPr>
            <w:tcW w:w="1630" w:type="dxa"/>
            <w:vAlign w:val="center"/>
          </w:tcPr>
          <w:p w14:paraId="259A294D">
            <w:pPr>
              <w:pStyle w:val="687"/>
            </w:pPr>
            <w:r>
              <w:t>100</w:t>
            </w:r>
          </w:p>
        </w:tc>
        <w:tc>
          <w:tcPr>
            <w:tcW w:w="1332" w:type="dxa"/>
            <w:vAlign w:val="center"/>
          </w:tcPr>
          <w:p w14:paraId="262F2A18">
            <w:pPr>
              <w:pStyle w:val="687"/>
            </w:pPr>
            <w:r>
              <w:rPr>
                <w:rFonts w:hint="eastAsia"/>
              </w:rPr>
              <w:t>5.02</w:t>
            </w:r>
          </w:p>
        </w:tc>
        <w:tc>
          <w:tcPr>
            <w:tcW w:w="1167" w:type="dxa"/>
            <w:vAlign w:val="center"/>
          </w:tcPr>
          <w:p w14:paraId="7A6E9A41">
            <w:pPr>
              <w:pStyle w:val="687"/>
            </w:pPr>
            <w:r>
              <w:rPr>
                <w:rFonts w:hint="eastAsia"/>
              </w:rPr>
              <w:t>3.71</w:t>
            </w:r>
          </w:p>
        </w:tc>
        <w:tc>
          <w:tcPr>
            <w:tcW w:w="1167" w:type="dxa"/>
            <w:vAlign w:val="center"/>
          </w:tcPr>
          <w:p w14:paraId="0020B105">
            <w:pPr>
              <w:pStyle w:val="687"/>
            </w:pPr>
            <w:r>
              <w:rPr>
                <w:rFonts w:hint="eastAsia"/>
              </w:rPr>
              <w:t>4.365</w:t>
            </w:r>
          </w:p>
        </w:tc>
        <w:tc>
          <w:tcPr>
            <w:tcW w:w="1094" w:type="dxa"/>
            <w:vAlign w:val="center"/>
          </w:tcPr>
          <w:p w14:paraId="0133B49C">
            <w:pPr>
              <w:pStyle w:val="687"/>
            </w:pPr>
            <w:r>
              <w:rPr>
                <w:rFonts w:hint="eastAsia"/>
              </w:rPr>
              <w:t>0</w:t>
            </w:r>
            <w:r>
              <w:t>.93</w:t>
            </w:r>
          </w:p>
        </w:tc>
      </w:tr>
      <w:tr w14:paraId="4566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 w:type="dxa"/>
            <w:vAlign w:val="center"/>
          </w:tcPr>
          <w:p w14:paraId="387A6E31">
            <w:pPr>
              <w:pStyle w:val="687"/>
            </w:pPr>
            <w:r>
              <w:rPr>
                <w:bCs/>
                <w:szCs w:val="21"/>
              </w:rPr>
              <w:t>铅</w:t>
            </w:r>
          </w:p>
        </w:tc>
        <w:tc>
          <w:tcPr>
            <w:tcW w:w="834" w:type="dxa"/>
            <w:vAlign w:val="center"/>
          </w:tcPr>
          <w:p w14:paraId="4BE21E20">
            <w:pPr>
              <w:pStyle w:val="687"/>
            </w:pPr>
            <w:r>
              <w:t>170</w:t>
            </w:r>
          </w:p>
        </w:tc>
        <w:tc>
          <w:tcPr>
            <w:tcW w:w="1167" w:type="dxa"/>
            <w:vAlign w:val="center"/>
          </w:tcPr>
          <w:p w14:paraId="3CAA80AD">
            <w:pPr>
              <w:pStyle w:val="687"/>
            </w:pPr>
            <w:r>
              <w:rPr>
                <w:rFonts w:hint="eastAsia"/>
                <w:bCs/>
                <w:sz w:val="21"/>
                <w:szCs w:val="21"/>
              </w:rPr>
              <w:t>47.4</w:t>
            </w:r>
          </w:p>
        </w:tc>
        <w:tc>
          <w:tcPr>
            <w:tcW w:w="1200" w:type="dxa"/>
            <w:vAlign w:val="center"/>
          </w:tcPr>
          <w:p w14:paraId="74173886">
            <w:pPr>
              <w:pStyle w:val="687"/>
            </w:pPr>
            <w:r>
              <w:rPr>
                <w:rFonts w:hint="eastAsia"/>
              </w:rPr>
              <w:t>0.28</w:t>
            </w:r>
          </w:p>
        </w:tc>
        <w:tc>
          <w:tcPr>
            <w:tcW w:w="1134" w:type="dxa"/>
            <w:vAlign w:val="center"/>
          </w:tcPr>
          <w:p w14:paraId="39E0580D">
            <w:pPr>
              <w:pStyle w:val="687"/>
            </w:pPr>
            <w:r>
              <w:rPr>
                <w:rFonts w:hint="eastAsia"/>
                <w:bCs/>
                <w:sz w:val="21"/>
                <w:szCs w:val="21"/>
              </w:rPr>
              <w:t>56.8</w:t>
            </w:r>
          </w:p>
        </w:tc>
        <w:tc>
          <w:tcPr>
            <w:tcW w:w="1173" w:type="dxa"/>
            <w:vAlign w:val="center"/>
          </w:tcPr>
          <w:p w14:paraId="6E9ECFCC">
            <w:pPr>
              <w:pStyle w:val="687"/>
            </w:pPr>
            <w:r>
              <w:rPr>
                <w:rFonts w:hint="eastAsia"/>
              </w:rPr>
              <w:t>0.33</w:t>
            </w:r>
          </w:p>
        </w:tc>
        <w:tc>
          <w:tcPr>
            <w:tcW w:w="1038" w:type="dxa"/>
            <w:vAlign w:val="center"/>
          </w:tcPr>
          <w:p w14:paraId="5D96C695">
            <w:pPr>
              <w:pStyle w:val="687"/>
            </w:pPr>
            <w:r>
              <w:rPr>
                <w:rFonts w:hint="eastAsia"/>
              </w:rPr>
              <w:t>2</w:t>
            </w:r>
          </w:p>
        </w:tc>
        <w:tc>
          <w:tcPr>
            <w:tcW w:w="1630" w:type="dxa"/>
            <w:vAlign w:val="center"/>
          </w:tcPr>
          <w:p w14:paraId="7C4D3D88">
            <w:pPr>
              <w:pStyle w:val="687"/>
            </w:pPr>
            <w:r>
              <w:t>100</w:t>
            </w:r>
          </w:p>
        </w:tc>
        <w:tc>
          <w:tcPr>
            <w:tcW w:w="1332" w:type="dxa"/>
            <w:vAlign w:val="center"/>
          </w:tcPr>
          <w:p w14:paraId="3A3E90D4">
            <w:pPr>
              <w:pStyle w:val="687"/>
            </w:pPr>
            <w:r>
              <w:rPr>
                <w:rFonts w:hint="eastAsia"/>
              </w:rPr>
              <w:t>56.8</w:t>
            </w:r>
          </w:p>
        </w:tc>
        <w:tc>
          <w:tcPr>
            <w:tcW w:w="1167" w:type="dxa"/>
            <w:vAlign w:val="center"/>
          </w:tcPr>
          <w:p w14:paraId="0D46E9C3">
            <w:pPr>
              <w:pStyle w:val="687"/>
            </w:pPr>
            <w:r>
              <w:rPr>
                <w:rFonts w:hint="eastAsia"/>
              </w:rPr>
              <w:t>47.4</w:t>
            </w:r>
          </w:p>
        </w:tc>
        <w:tc>
          <w:tcPr>
            <w:tcW w:w="1167" w:type="dxa"/>
            <w:vAlign w:val="center"/>
          </w:tcPr>
          <w:p w14:paraId="7482A206">
            <w:pPr>
              <w:pStyle w:val="687"/>
            </w:pPr>
            <w:r>
              <w:rPr>
                <w:rFonts w:hint="eastAsia"/>
              </w:rPr>
              <w:t>52.1</w:t>
            </w:r>
          </w:p>
        </w:tc>
        <w:tc>
          <w:tcPr>
            <w:tcW w:w="1094" w:type="dxa"/>
            <w:vAlign w:val="center"/>
          </w:tcPr>
          <w:p w14:paraId="528EA542">
            <w:pPr>
              <w:pStyle w:val="687"/>
            </w:pPr>
            <w:r>
              <w:rPr>
                <w:rFonts w:hint="eastAsia"/>
              </w:rPr>
              <w:t>6</w:t>
            </w:r>
            <w:r>
              <w:t>.65</w:t>
            </w:r>
          </w:p>
        </w:tc>
      </w:tr>
      <w:tr w14:paraId="16A1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 w:type="dxa"/>
            <w:vAlign w:val="center"/>
          </w:tcPr>
          <w:p w14:paraId="0F811746">
            <w:pPr>
              <w:pStyle w:val="687"/>
            </w:pPr>
            <w:r>
              <w:rPr>
                <w:bCs/>
                <w:szCs w:val="21"/>
              </w:rPr>
              <w:t>镉</w:t>
            </w:r>
          </w:p>
        </w:tc>
        <w:tc>
          <w:tcPr>
            <w:tcW w:w="834" w:type="dxa"/>
            <w:vAlign w:val="center"/>
          </w:tcPr>
          <w:p w14:paraId="66668E00">
            <w:pPr>
              <w:pStyle w:val="687"/>
            </w:pPr>
            <w:r>
              <w:t>0.6</w:t>
            </w:r>
          </w:p>
        </w:tc>
        <w:tc>
          <w:tcPr>
            <w:tcW w:w="1167" w:type="dxa"/>
            <w:vAlign w:val="center"/>
          </w:tcPr>
          <w:p w14:paraId="07629156">
            <w:pPr>
              <w:pStyle w:val="687"/>
            </w:pPr>
            <w:r>
              <w:rPr>
                <w:rFonts w:hint="eastAsia"/>
                <w:bCs/>
                <w:sz w:val="21"/>
                <w:szCs w:val="21"/>
              </w:rPr>
              <w:t>0.08</w:t>
            </w:r>
          </w:p>
        </w:tc>
        <w:tc>
          <w:tcPr>
            <w:tcW w:w="1200" w:type="dxa"/>
            <w:vAlign w:val="center"/>
          </w:tcPr>
          <w:p w14:paraId="6B6E42F7">
            <w:pPr>
              <w:pStyle w:val="687"/>
            </w:pPr>
            <w:r>
              <w:rPr>
                <w:rFonts w:hint="eastAsia"/>
              </w:rPr>
              <w:t>0.13</w:t>
            </w:r>
          </w:p>
        </w:tc>
        <w:tc>
          <w:tcPr>
            <w:tcW w:w="1134" w:type="dxa"/>
            <w:vAlign w:val="center"/>
          </w:tcPr>
          <w:p w14:paraId="000BFCD0">
            <w:pPr>
              <w:pStyle w:val="687"/>
            </w:pPr>
            <w:r>
              <w:rPr>
                <w:rFonts w:hint="eastAsia"/>
                <w:bCs/>
                <w:sz w:val="21"/>
                <w:szCs w:val="21"/>
              </w:rPr>
              <w:t>0.14</w:t>
            </w:r>
          </w:p>
        </w:tc>
        <w:tc>
          <w:tcPr>
            <w:tcW w:w="1173" w:type="dxa"/>
            <w:vAlign w:val="center"/>
          </w:tcPr>
          <w:p w14:paraId="66EE6D6F">
            <w:pPr>
              <w:pStyle w:val="687"/>
            </w:pPr>
            <w:r>
              <w:rPr>
                <w:rFonts w:hint="eastAsia"/>
              </w:rPr>
              <w:t>0.23</w:t>
            </w:r>
          </w:p>
        </w:tc>
        <w:tc>
          <w:tcPr>
            <w:tcW w:w="1038" w:type="dxa"/>
            <w:vAlign w:val="center"/>
          </w:tcPr>
          <w:p w14:paraId="63E92C2A">
            <w:pPr>
              <w:pStyle w:val="687"/>
            </w:pPr>
            <w:r>
              <w:rPr>
                <w:rFonts w:hint="eastAsia"/>
              </w:rPr>
              <w:t>2</w:t>
            </w:r>
          </w:p>
        </w:tc>
        <w:tc>
          <w:tcPr>
            <w:tcW w:w="1630" w:type="dxa"/>
            <w:vAlign w:val="center"/>
          </w:tcPr>
          <w:p w14:paraId="035043DE">
            <w:pPr>
              <w:pStyle w:val="687"/>
            </w:pPr>
            <w:r>
              <w:t>100</w:t>
            </w:r>
          </w:p>
        </w:tc>
        <w:tc>
          <w:tcPr>
            <w:tcW w:w="1332" w:type="dxa"/>
            <w:vAlign w:val="center"/>
          </w:tcPr>
          <w:p w14:paraId="394851BF">
            <w:pPr>
              <w:pStyle w:val="687"/>
            </w:pPr>
            <w:r>
              <w:rPr>
                <w:rFonts w:hint="eastAsia"/>
              </w:rPr>
              <w:t>0.14</w:t>
            </w:r>
          </w:p>
        </w:tc>
        <w:tc>
          <w:tcPr>
            <w:tcW w:w="1167" w:type="dxa"/>
            <w:vAlign w:val="center"/>
          </w:tcPr>
          <w:p w14:paraId="2674EBC6">
            <w:pPr>
              <w:pStyle w:val="687"/>
            </w:pPr>
            <w:r>
              <w:rPr>
                <w:rFonts w:hint="eastAsia"/>
              </w:rPr>
              <w:t>0.08</w:t>
            </w:r>
          </w:p>
        </w:tc>
        <w:tc>
          <w:tcPr>
            <w:tcW w:w="1167" w:type="dxa"/>
            <w:vAlign w:val="center"/>
          </w:tcPr>
          <w:p w14:paraId="6E85DE2C">
            <w:pPr>
              <w:pStyle w:val="687"/>
            </w:pPr>
            <w:r>
              <w:rPr>
                <w:rFonts w:hint="eastAsia"/>
              </w:rPr>
              <w:t>0.11</w:t>
            </w:r>
          </w:p>
        </w:tc>
        <w:tc>
          <w:tcPr>
            <w:tcW w:w="1094" w:type="dxa"/>
            <w:vAlign w:val="center"/>
          </w:tcPr>
          <w:p w14:paraId="20A9369F">
            <w:pPr>
              <w:pStyle w:val="687"/>
            </w:pPr>
            <w:r>
              <w:rPr>
                <w:rFonts w:hint="eastAsia"/>
              </w:rPr>
              <w:t>0</w:t>
            </w:r>
            <w:r>
              <w:t>.04</w:t>
            </w:r>
          </w:p>
        </w:tc>
      </w:tr>
      <w:tr w14:paraId="4C1C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 w:type="dxa"/>
            <w:vAlign w:val="center"/>
          </w:tcPr>
          <w:p w14:paraId="41ADC959">
            <w:pPr>
              <w:pStyle w:val="687"/>
            </w:pPr>
            <w:r>
              <w:rPr>
                <w:bCs/>
                <w:szCs w:val="21"/>
              </w:rPr>
              <w:t>铜</w:t>
            </w:r>
          </w:p>
        </w:tc>
        <w:tc>
          <w:tcPr>
            <w:tcW w:w="834" w:type="dxa"/>
            <w:vAlign w:val="center"/>
          </w:tcPr>
          <w:p w14:paraId="431221D7">
            <w:pPr>
              <w:pStyle w:val="687"/>
            </w:pPr>
            <w:r>
              <w:t>100</w:t>
            </w:r>
          </w:p>
        </w:tc>
        <w:tc>
          <w:tcPr>
            <w:tcW w:w="1167" w:type="dxa"/>
            <w:vAlign w:val="center"/>
          </w:tcPr>
          <w:p w14:paraId="29A90C06">
            <w:pPr>
              <w:pStyle w:val="687"/>
            </w:pPr>
            <w:r>
              <w:rPr>
                <w:rFonts w:hint="eastAsia"/>
                <w:bCs/>
                <w:sz w:val="21"/>
                <w:szCs w:val="21"/>
              </w:rPr>
              <w:t>19</w:t>
            </w:r>
          </w:p>
        </w:tc>
        <w:tc>
          <w:tcPr>
            <w:tcW w:w="1200" w:type="dxa"/>
            <w:vAlign w:val="center"/>
          </w:tcPr>
          <w:p w14:paraId="553F10A1">
            <w:pPr>
              <w:pStyle w:val="687"/>
            </w:pPr>
            <w:r>
              <w:rPr>
                <w:rFonts w:hint="eastAsia"/>
              </w:rPr>
              <w:t>0.19</w:t>
            </w:r>
          </w:p>
        </w:tc>
        <w:tc>
          <w:tcPr>
            <w:tcW w:w="1134" w:type="dxa"/>
            <w:vAlign w:val="center"/>
          </w:tcPr>
          <w:p w14:paraId="6F6DD125">
            <w:pPr>
              <w:pStyle w:val="687"/>
            </w:pPr>
            <w:r>
              <w:rPr>
                <w:rFonts w:hint="eastAsia"/>
              </w:rPr>
              <w:t>2</w:t>
            </w:r>
            <w:r>
              <w:t>3</w:t>
            </w:r>
          </w:p>
        </w:tc>
        <w:tc>
          <w:tcPr>
            <w:tcW w:w="1173" w:type="dxa"/>
            <w:vAlign w:val="center"/>
          </w:tcPr>
          <w:p w14:paraId="62FD5E6B">
            <w:pPr>
              <w:pStyle w:val="687"/>
            </w:pPr>
            <w:r>
              <w:rPr>
                <w:rFonts w:hint="eastAsia"/>
              </w:rPr>
              <w:t>0.23</w:t>
            </w:r>
          </w:p>
        </w:tc>
        <w:tc>
          <w:tcPr>
            <w:tcW w:w="1038" w:type="dxa"/>
            <w:vAlign w:val="center"/>
          </w:tcPr>
          <w:p w14:paraId="2D1C10F4">
            <w:pPr>
              <w:pStyle w:val="687"/>
            </w:pPr>
            <w:r>
              <w:rPr>
                <w:rFonts w:hint="eastAsia"/>
              </w:rPr>
              <w:t>2</w:t>
            </w:r>
          </w:p>
        </w:tc>
        <w:tc>
          <w:tcPr>
            <w:tcW w:w="1630" w:type="dxa"/>
            <w:vAlign w:val="center"/>
          </w:tcPr>
          <w:p w14:paraId="28C33191">
            <w:pPr>
              <w:pStyle w:val="687"/>
            </w:pPr>
            <w:r>
              <w:t>100</w:t>
            </w:r>
          </w:p>
        </w:tc>
        <w:tc>
          <w:tcPr>
            <w:tcW w:w="1332" w:type="dxa"/>
            <w:vAlign w:val="center"/>
          </w:tcPr>
          <w:p w14:paraId="635141BE">
            <w:pPr>
              <w:pStyle w:val="687"/>
            </w:pPr>
            <w:r>
              <w:rPr>
                <w:rFonts w:hint="eastAsia"/>
              </w:rPr>
              <w:t>23</w:t>
            </w:r>
          </w:p>
        </w:tc>
        <w:tc>
          <w:tcPr>
            <w:tcW w:w="1167" w:type="dxa"/>
            <w:vAlign w:val="center"/>
          </w:tcPr>
          <w:p w14:paraId="3F540D76">
            <w:pPr>
              <w:pStyle w:val="687"/>
            </w:pPr>
            <w:r>
              <w:rPr>
                <w:rFonts w:hint="eastAsia"/>
              </w:rPr>
              <w:t>19</w:t>
            </w:r>
          </w:p>
        </w:tc>
        <w:tc>
          <w:tcPr>
            <w:tcW w:w="1167" w:type="dxa"/>
            <w:vAlign w:val="center"/>
          </w:tcPr>
          <w:p w14:paraId="16952FE0">
            <w:pPr>
              <w:pStyle w:val="687"/>
            </w:pPr>
            <w:r>
              <w:rPr>
                <w:rFonts w:hint="eastAsia"/>
              </w:rPr>
              <w:t>21</w:t>
            </w:r>
          </w:p>
        </w:tc>
        <w:tc>
          <w:tcPr>
            <w:tcW w:w="1094" w:type="dxa"/>
            <w:vAlign w:val="center"/>
          </w:tcPr>
          <w:p w14:paraId="745A6D34">
            <w:pPr>
              <w:pStyle w:val="687"/>
            </w:pPr>
            <w:r>
              <w:rPr>
                <w:rFonts w:hint="eastAsia"/>
              </w:rPr>
              <w:t>2</w:t>
            </w:r>
            <w:r>
              <w:t>.83</w:t>
            </w:r>
          </w:p>
        </w:tc>
      </w:tr>
      <w:tr w14:paraId="75E3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 w:type="dxa"/>
            <w:vAlign w:val="center"/>
          </w:tcPr>
          <w:p w14:paraId="75A95BF3">
            <w:pPr>
              <w:pStyle w:val="687"/>
            </w:pPr>
            <w:r>
              <w:rPr>
                <w:bCs/>
                <w:szCs w:val="21"/>
              </w:rPr>
              <w:t>锌</w:t>
            </w:r>
          </w:p>
        </w:tc>
        <w:tc>
          <w:tcPr>
            <w:tcW w:w="834" w:type="dxa"/>
            <w:vAlign w:val="center"/>
          </w:tcPr>
          <w:p w14:paraId="7D396C83">
            <w:pPr>
              <w:pStyle w:val="687"/>
            </w:pPr>
            <w:r>
              <w:t>300</w:t>
            </w:r>
          </w:p>
        </w:tc>
        <w:tc>
          <w:tcPr>
            <w:tcW w:w="1167" w:type="dxa"/>
            <w:vAlign w:val="center"/>
          </w:tcPr>
          <w:p w14:paraId="1F04EBE2">
            <w:pPr>
              <w:pStyle w:val="687"/>
            </w:pPr>
            <w:r>
              <w:rPr>
                <w:rFonts w:hint="eastAsia"/>
                <w:bCs/>
                <w:sz w:val="21"/>
                <w:szCs w:val="21"/>
              </w:rPr>
              <w:t>79</w:t>
            </w:r>
          </w:p>
        </w:tc>
        <w:tc>
          <w:tcPr>
            <w:tcW w:w="1200" w:type="dxa"/>
            <w:vAlign w:val="center"/>
          </w:tcPr>
          <w:p w14:paraId="1AD9EE2F">
            <w:pPr>
              <w:pStyle w:val="687"/>
            </w:pPr>
            <w:r>
              <w:rPr>
                <w:rFonts w:hint="eastAsia"/>
              </w:rPr>
              <w:t>0.26</w:t>
            </w:r>
          </w:p>
        </w:tc>
        <w:tc>
          <w:tcPr>
            <w:tcW w:w="1134" w:type="dxa"/>
            <w:vAlign w:val="center"/>
          </w:tcPr>
          <w:p w14:paraId="35933394">
            <w:pPr>
              <w:pStyle w:val="687"/>
            </w:pPr>
            <w:r>
              <w:rPr>
                <w:rFonts w:hint="eastAsia"/>
              </w:rPr>
              <w:t>7</w:t>
            </w:r>
            <w:r>
              <w:t>1</w:t>
            </w:r>
          </w:p>
        </w:tc>
        <w:tc>
          <w:tcPr>
            <w:tcW w:w="1173" w:type="dxa"/>
            <w:vAlign w:val="center"/>
          </w:tcPr>
          <w:p w14:paraId="6B2E7893">
            <w:pPr>
              <w:pStyle w:val="687"/>
            </w:pPr>
            <w:r>
              <w:rPr>
                <w:rFonts w:hint="eastAsia"/>
              </w:rPr>
              <w:t>0.24</w:t>
            </w:r>
          </w:p>
        </w:tc>
        <w:tc>
          <w:tcPr>
            <w:tcW w:w="1038" w:type="dxa"/>
            <w:vAlign w:val="center"/>
          </w:tcPr>
          <w:p w14:paraId="70D48800">
            <w:pPr>
              <w:pStyle w:val="687"/>
            </w:pPr>
            <w:r>
              <w:rPr>
                <w:rFonts w:hint="eastAsia"/>
              </w:rPr>
              <w:t>2</w:t>
            </w:r>
          </w:p>
        </w:tc>
        <w:tc>
          <w:tcPr>
            <w:tcW w:w="1630" w:type="dxa"/>
            <w:vAlign w:val="center"/>
          </w:tcPr>
          <w:p w14:paraId="247257B8">
            <w:pPr>
              <w:pStyle w:val="687"/>
            </w:pPr>
            <w:r>
              <w:t>100</w:t>
            </w:r>
          </w:p>
        </w:tc>
        <w:tc>
          <w:tcPr>
            <w:tcW w:w="1332" w:type="dxa"/>
            <w:vAlign w:val="center"/>
          </w:tcPr>
          <w:p w14:paraId="519C0117">
            <w:pPr>
              <w:pStyle w:val="687"/>
            </w:pPr>
            <w:r>
              <w:rPr>
                <w:rFonts w:hint="eastAsia"/>
              </w:rPr>
              <w:t>79</w:t>
            </w:r>
          </w:p>
        </w:tc>
        <w:tc>
          <w:tcPr>
            <w:tcW w:w="1167" w:type="dxa"/>
            <w:vAlign w:val="center"/>
          </w:tcPr>
          <w:p w14:paraId="68E2A1A0">
            <w:pPr>
              <w:pStyle w:val="687"/>
            </w:pPr>
            <w:r>
              <w:rPr>
                <w:rFonts w:hint="eastAsia"/>
              </w:rPr>
              <w:t>71</w:t>
            </w:r>
          </w:p>
        </w:tc>
        <w:tc>
          <w:tcPr>
            <w:tcW w:w="1167" w:type="dxa"/>
            <w:vAlign w:val="center"/>
          </w:tcPr>
          <w:p w14:paraId="595F61E6">
            <w:pPr>
              <w:pStyle w:val="687"/>
            </w:pPr>
            <w:r>
              <w:rPr>
                <w:rFonts w:hint="eastAsia"/>
              </w:rPr>
              <w:t>75</w:t>
            </w:r>
          </w:p>
        </w:tc>
        <w:tc>
          <w:tcPr>
            <w:tcW w:w="1094" w:type="dxa"/>
            <w:vAlign w:val="center"/>
          </w:tcPr>
          <w:p w14:paraId="3B3B882D">
            <w:pPr>
              <w:pStyle w:val="687"/>
            </w:pPr>
            <w:r>
              <w:rPr>
                <w:rFonts w:hint="eastAsia"/>
              </w:rPr>
              <w:t>5</w:t>
            </w:r>
            <w:r>
              <w:t>.66</w:t>
            </w:r>
          </w:p>
        </w:tc>
      </w:tr>
      <w:tr w14:paraId="3B33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 w:type="dxa"/>
            <w:vAlign w:val="center"/>
          </w:tcPr>
          <w:p w14:paraId="453E9640">
            <w:pPr>
              <w:pStyle w:val="687"/>
            </w:pPr>
            <w:r>
              <w:rPr>
                <w:bCs/>
                <w:szCs w:val="21"/>
              </w:rPr>
              <w:t>镍</w:t>
            </w:r>
          </w:p>
        </w:tc>
        <w:tc>
          <w:tcPr>
            <w:tcW w:w="834" w:type="dxa"/>
            <w:vAlign w:val="center"/>
          </w:tcPr>
          <w:p w14:paraId="0D16EAE5">
            <w:pPr>
              <w:pStyle w:val="687"/>
            </w:pPr>
            <w:r>
              <w:t>190</w:t>
            </w:r>
          </w:p>
        </w:tc>
        <w:tc>
          <w:tcPr>
            <w:tcW w:w="1167" w:type="dxa"/>
            <w:vAlign w:val="center"/>
          </w:tcPr>
          <w:p w14:paraId="433E1E45">
            <w:pPr>
              <w:pStyle w:val="687"/>
            </w:pPr>
            <w:r>
              <w:rPr>
                <w:rFonts w:hint="eastAsia"/>
                <w:bCs/>
                <w:sz w:val="21"/>
                <w:szCs w:val="21"/>
              </w:rPr>
              <w:t>28</w:t>
            </w:r>
          </w:p>
        </w:tc>
        <w:tc>
          <w:tcPr>
            <w:tcW w:w="1200" w:type="dxa"/>
            <w:vAlign w:val="center"/>
          </w:tcPr>
          <w:p w14:paraId="411C170E">
            <w:pPr>
              <w:pStyle w:val="687"/>
            </w:pPr>
            <w:r>
              <w:rPr>
                <w:rFonts w:hint="eastAsia"/>
              </w:rPr>
              <w:t>0.15</w:t>
            </w:r>
          </w:p>
        </w:tc>
        <w:tc>
          <w:tcPr>
            <w:tcW w:w="1134" w:type="dxa"/>
            <w:vAlign w:val="center"/>
          </w:tcPr>
          <w:p w14:paraId="6DAD53B1">
            <w:pPr>
              <w:pStyle w:val="687"/>
            </w:pPr>
            <w:r>
              <w:rPr>
                <w:rFonts w:hint="eastAsia"/>
                <w:bCs/>
                <w:sz w:val="21"/>
                <w:szCs w:val="21"/>
              </w:rPr>
              <w:t>35</w:t>
            </w:r>
          </w:p>
        </w:tc>
        <w:tc>
          <w:tcPr>
            <w:tcW w:w="1173" w:type="dxa"/>
            <w:vAlign w:val="center"/>
          </w:tcPr>
          <w:p w14:paraId="2D70A4D0">
            <w:pPr>
              <w:pStyle w:val="687"/>
            </w:pPr>
            <w:r>
              <w:rPr>
                <w:rFonts w:hint="eastAsia"/>
              </w:rPr>
              <w:t>0.18</w:t>
            </w:r>
          </w:p>
        </w:tc>
        <w:tc>
          <w:tcPr>
            <w:tcW w:w="1038" w:type="dxa"/>
            <w:vAlign w:val="center"/>
          </w:tcPr>
          <w:p w14:paraId="556F8E9C">
            <w:pPr>
              <w:pStyle w:val="687"/>
            </w:pPr>
            <w:r>
              <w:rPr>
                <w:rFonts w:hint="eastAsia"/>
              </w:rPr>
              <w:t>2</w:t>
            </w:r>
          </w:p>
        </w:tc>
        <w:tc>
          <w:tcPr>
            <w:tcW w:w="1630" w:type="dxa"/>
            <w:vAlign w:val="center"/>
          </w:tcPr>
          <w:p w14:paraId="33BEE8B7">
            <w:pPr>
              <w:pStyle w:val="687"/>
            </w:pPr>
            <w:r>
              <w:t>100</w:t>
            </w:r>
          </w:p>
        </w:tc>
        <w:tc>
          <w:tcPr>
            <w:tcW w:w="1332" w:type="dxa"/>
            <w:vAlign w:val="center"/>
          </w:tcPr>
          <w:p w14:paraId="3DF2797D">
            <w:pPr>
              <w:pStyle w:val="687"/>
            </w:pPr>
            <w:r>
              <w:rPr>
                <w:rFonts w:hint="eastAsia"/>
              </w:rPr>
              <w:t>35</w:t>
            </w:r>
          </w:p>
        </w:tc>
        <w:tc>
          <w:tcPr>
            <w:tcW w:w="1167" w:type="dxa"/>
            <w:vAlign w:val="center"/>
          </w:tcPr>
          <w:p w14:paraId="1A2B956B">
            <w:pPr>
              <w:pStyle w:val="687"/>
            </w:pPr>
            <w:r>
              <w:rPr>
                <w:rFonts w:hint="eastAsia"/>
              </w:rPr>
              <w:t>28</w:t>
            </w:r>
          </w:p>
        </w:tc>
        <w:tc>
          <w:tcPr>
            <w:tcW w:w="1167" w:type="dxa"/>
            <w:vAlign w:val="center"/>
          </w:tcPr>
          <w:p w14:paraId="150FD7A8">
            <w:pPr>
              <w:pStyle w:val="687"/>
            </w:pPr>
            <w:r>
              <w:rPr>
                <w:rFonts w:hint="eastAsia"/>
              </w:rPr>
              <w:t>31.5</w:t>
            </w:r>
          </w:p>
        </w:tc>
        <w:tc>
          <w:tcPr>
            <w:tcW w:w="1094" w:type="dxa"/>
            <w:vAlign w:val="center"/>
          </w:tcPr>
          <w:p w14:paraId="1BD0FAD6">
            <w:pPr>
              <w:pStyle w:val="687"/>
            </w:pPr>
            <w:r>
              <w:rPr>
                <w:rFonts w:hint="eastAsia"/>
              </w:rPr>
              <w:t>4</w:t>
            </w:r>
            <w:r>
              <w:t>.95</w:t>
            </w:r>
          </w:p>
        </w:tc>
      </w:tr>
      <w:tr w14:paraId="5156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9" w:type="dxa"/>
            <w:vAlign w:val="center"/>
          </w:tcPr>
          <w:p w14:paraId="461D46EE">
            <w:pPr>
              <w:pStyle w:val="687"/>
            </w:pPr>
            <w:r>
              <w:rPr>
                <w:bCs/>
                <w:szCs w:val="21"/>
              </w:rPr>
              <w:t>铬</w:t>
            </w:r>
          </w:p>
        </w:tc>
        <w:tc>
          <w:tcPr>
            <w:tcW w:w="834" w:type="dxa"/>
            <w:vAlign w:val="center"/>
          </w:tcPr>
          <w:p w14:paraId="6C36E350">
            <w:pPr>
              <w:pStyle w:val="687"/>
            </w:pPr>
            <w:r>
              <w:t>250</w:t>
            </w:r>
          </w:p>
        </w:tc>
        <w:tc>
          <w:tcPr>
            <w:tcW w:w="1167" w:type="dxa"/>
            <w:vAlign w:val="center"/>
          </w:tcPr>
          <w:p w14:paraId="10BB5F83">
            <w:pPr>
              <w:pStyle w:val="687"/>
            </w:pPr>
            <w:r>
              <w:rPr>
                <w:rFonts w:hint="eastAsia"/>
                <w:bCs/>
                <w:sz w:val="21"/>
                <w:szCs w:val="21"/>
              </w:rPr>
              <w:t>28</w:t>
            </w:r>
          </w:p>
        </w:tc>
        <w:tc>
          <w:tcPr>
            <w:tcW w:w="1200" w:type="dxa"/>
            <w:vAlign w:val="center"/>
          </w:tcPr>
          <w:p w14:paraId="7F4BEA58">
            <w:pPr>
              <w:pStyle w:val="687"/>
            </w:pPr>
            <w:r>
              <w:rPr>
                <w:rFonts w:hint="eastAsia"/>
              </w:rPr>
              <w:t>0.11</w:t>
            </w:r>
          </w:p>
        </w:tc>
        <w:tc>
          <w:tcPr>
            <w:tcW w:w="1134" w:type="dxa"/>
            <w:vAlign w:val="center"/>
          </w:tcPr>
          <w:p w14:paraId="1E6A364B">
            <w:pPr>
              <w:pStyle w:val="687"/>
            </w:pPr>
            <w:r>
              <w:rPr>
                <w:rFonts w:hint="eastAsia"/>
                <w:bCs/>
                <w:sz w:val="21"/>
                <w:szCs w:val="21"/>
              </w:rPr>
              <w:t>47</w:t>
            </w:r>
          </w:p>
        </w:tc>
        <w:tc>
          <w:tcPr>
            <w:tcW w:w="1173" w:type="dxa"/>
            <w:vAlign w:val="center"/>
          </w:tcPr>
          <w:p w14:paraId="6BB1ACB1">
            <w:pPr>
              <w:pStyle w:val="687"/>
            </w:pPr>
            <w:r>
              <w:rPr>
                <w:rFonts w:hint="eastAsia"/>
              </w:rPr>
              <w:t>0.19</w:t>
            </w:r>
          </w:p>
        </w:tc>
        <w:tc>
          <w:tcPr>
            <w:tcW w:w="1038" w:type="dxa"/>
            <w:vAlign w:val="center"/>
          </w:tcPr>
          <w:p w14:paraId="1A3AED27">
            <w:pPr>
              <w:pStyle w:val="687"/>
            </w:pPr>
            <w:r>
              <w:rPr>
                <w:rFonts w:hint="eastAsia"/>
              </w:rPr>
              <w:t>2</w:t>
            </w:r>
          </w:p>
        </w:tc>
        <w:tc>
          <w:tcPr>
            <w:tcW w:w="1630" w:type="dxa"/>
            <w:vAlign w:val="center"/>
          </w:tcPr>
          <w:p w14:paraId="61A8A58B">
            <w:pPr>
              <w:pStyle w:val="687"/>
            </w:pPr>
            <w:r>
              <w:t>100</w:t>
            </w:r>
          </w:p>
        </w:tc>
        <w:tc>
          <w:tcPr>
            <w:tcW w:w="1332" w:type="dxa"/>
            <w:vAlign w:val="center"/>
          </w:tcPr>
          <w:p w14:paraId="1DE39E10">
            <w:pPr>
              <w:pStyle w:val="687"/>
            </w:pPr>
            <w:r>
              <w:rPr>
                <w:rFonts w:hint="eastAsia"/>
              </w:rPr>
              <w:t>47</w:t>
            </w:r>
          </w:p>
        </w:tc>
        <w:tc>
          <w:tcPr>
            <w:tcW w:w="1167" w:type="dxa"/>
            <w:vAlign w:val="center"/>
          </w:tcPr>
          <w:p w14:paraId="40339A1D">
            <w:pPr>
              <w:pStyle w:val="687"/>
            </w:pPr>
            <w:r>
              <w:rPr>
                <w:rFonts w:hint="eastAsia"/>
              </w:rPr>
              <w:t>28</w:t>
            </w:r>
          </w:p>
        </w:tc>
        <w:tc>
          <w:tcPr>
            <w:tcW w:w="1167" w:type="dxa"/>
            <w:vAlign w:val="center"/>
          </w:tcPr>
          <w:p w14:paraId="16AC1D42">
            <w:pPr>
              <w:pStyle w:val="687"/>
            </w:pPr>
            <w:r>
              <w:rPr>
                <w:rFonts w:hint="eastAsia"/>
              </w:rPr>
              <w:t>37.5</w:t>
            </w:r>
          </w:p>
        </w:tc>
        <w:tc>
          <w:tcPr>
            <w:tcW w:w="1094" w:type="dxa"/>
            <w:vAlign w:val="center"/>
          </w:tcPr>
          <w:p w14:paraId="63EB34D5">
            <w:pPr>
              <w:pStyle w:val="687"/>
            </w:pPr>
            <w:r>
              <w:rPr>
                <w:rFonts w:hint="eastAsia"/>
              </w:rPr>
              <w:t>1</w:t>
            </w:r>
            <w:r>
              <w:t>3.44</w:t>
            </w:r>
          </w:p>
        </w:tc>
      </w:tr>
    </w:tbl>
    <w:p w14:paraId="05C32E37">
      <w:pPr>
        <w:pStyle w:val="1066"/>
        <w:ind w:firstLine="520"/>
        <w:rPr>
          <w:rFonts w:cs="Times New Roman"/>
        </w:rPr>
      </w:pPr>
    </w:p>
    <w:p w14:paraId="2BD0B505">
      <w:pPr>
        <w:pStyle w:val="1065"/>
        <w:ind w:firstLine="480"/>
      </w:pPr>
      <w:r>
        <w:rPr>
          <w:rFonts w:hint="eastAsia"/>
        </w:rPr>
        <w:t>表4</w:t>
      </w:r>
      <w:r>
        <w:t>.2</w:t>
      </w:r>
      <w:r>
        <w:rPr>
          <w:rFonts w:hint="eastAsia"/>
        </w:rPr>
        <w:t>-</w:t>
      </w:r>
      <w:r>
        <w:t xml:space="preserve">16  </w:t>
      </w:r>
      <w:r>
        <w:rPr>
          <w:rFonts w:hint="eastAsia"/>
        </w:rPr>
        <w:t xml:space="preserve">建设用地基本因子监测结果统计表 </w:t>
      </w:r>
      <w:r>
        <w:t xml:space="preserve"> 单位：mg/kg</w:t>
      </w:r>
    </w:p>
    <w:tbl>
      <w:tblPr>
        <w:tblStyle w:val="89"/>
        <w:tblW w:w="137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7"/>
        <w:gridCol w:w="864"/>
        <w:gridCol w:w="1009"/>
        <w:gridCol w:w="723"/>
        <w:gridCol w:w="2161"/>
        <w:gridCol w:w="721"/>
        <w:gridCol w:w="1153"/>
        <w:gridCol w:w="720"/>
        <w:gridCol w:w="1874"/>
        <w:gridCol w:w="865"/>
        <w:gridCol w:w="1009"/>
        <w:gridCol w:w="799"/>
      </w:tblGrid>
      <w:tr w14:paraId="795D4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65" w:type="dxa"/>
            <w:gridSpan w:val="12"/>
            <w:vAlign w:val="center"/>
          </w:tcPr>
          <w:p w14:paraId="00BD4DC6">
            <w:pPr>
              <w:pStyle w:val="1429"/>
            </w:pPr>
            <w:r>
              <w:rPr>
                <w:rFonts w:hint="eastAsia"/>
              </w:rPr>
              <w:t>T</w:t>
            </w:r>
            <w:r>
              <w:t>4</w:t>
            </w:r>
            <w:r>
              <w:rPr>
                <w:rFonts w:hint="eastAsia"/>
              </w:rPr>
              <w:t>（0~</w:t>
            </w:r>
            <w:r>
              <w:t>0.2</w:t>
            </w:r>
            <w:r>
              <w:rPr>
                <w:rFonts w:hint="eastAsia"/>
              </w:rPr>
              <w:t>m）</w:t>
            </w:r>
          </w:p>
        </w:tc>
      </w:tr>
      <w:tr w14:paraId="1B6C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0A779D97">
            <w:pPr>
              <w:pStyle w:val="1429"/>
            </w:pPr>
            <w:r>
              <w:rPr>
                <w:rFonts w:hint="eastAsia"/>
              </w:rPr>
              <w:t>监测因子</w:t>
            </w:r>
          </w:p>
        </w:tc>
        <w:tc>
          <w:tcPr>
            <w:tcW w:w="864" w:type="dxa"/>
            <w:vAlign w:val="center"/>
          </w:tcPr>
          <w:p w14:paraId="29E5699F">
            <w:pPr>
              <w:pStyle w:val="1429"/>
            </w:pPr>
            <w:r>
              <w:rPr>
                <w:rFonts w:hint="eastAsia"/>
              </w:rPr>
              <w:t>标准限值</w:t>
            </w:r>
          </w:p>
        </w:tc>
        <w:tc>
          <w:tcPr>
            <w:tcW w:w="1009" w:type="dxa"/>
            <w:vAlign w:val="center"/>
          </w:tcPr>
          <w:p w14:paraId="6111C257">
            <w:pPr>
              <w:pStyle w:val="1429"/>
            </w:pPr>
            <w:r>
              <w:rPr>
                <w:rFonts w:hint="eastAsia"/>
              </w:rPr>
              <w:t>监测值</w:t>
            </w:r>
          </w:p>
        </w:tc>
        <w:tc>
          <w:tcPr>
            <w:tcW w:w="723" w:type="dxa"/>
            <w:vAlign w:val="center"/>
          </w:tcPr>
          <w:p w14:paraId="01596BAF">
            <w:pPr>
              <w:pStyle w:val="1429"/>
            </w:pPr>
            <w:r>
              <w:rPr>
                <w:rFonts w:hint="eastAsia"/>
              </w:rPr>
              <w:t>标准指数</w:t>
            </w:r>
          </w:p>
        </w:tc>
        <w:tc>
          <w:tcPr>
            <w:tcW w:w="2161" w:type="dxa"/>
            <w:vAlign w:val="center"/>
          </w:tcPr>
          <w:p w14:paraId="5E84D783">
            <w:pPr>
              <w:pStyle w:val="1429"/>
            </w:pPr>
            <w:r>
              <w:rPr>
                <w:rFonts w:hint="eastAsia"/>
              </w:rPr>
              <w:t>监测因子</w:t>
            </w:r>
          </w:p>
        </w:tc>
        <w:tc>
          <w:tcPr>
            <w:tcW w:w="721" w:type="dxa"/>
            <w:vAlign w:val="center"/>
          </w:tcPr>
          <w:p w14:paraId="294CAC9C">
            <w:pPr>
              <w:pStyle w:val="1429"/>
            </w:pPr>
            <w:r>
              <w:rPr>
                <w:rFonts w:hint="eastAsia"/>
              </w:rPr>
              <w:t>标准限值</w:t>
            </w:r>
          </w:p>
        </w:tc>
        <w:tc>
          <w:tcPr>
            <w:tcW w:w="1153" w:type="dxa"/>
            <w:vAlign w:val="center"/>
          </w:tcPr>
          <w:p w14:paraId="7D86B0D0">
            <w:pPr>
              <w:pStyle w:val="1429"/>
            </w:pPr>
            <w:r>
              <w:rPr>
                <w:rFonts w:hint="eastAsia"/>
              </w:rPr>
              <w:t>监测值</w:t>
            </w:r>
          </w:p>
        </w:tc>
        <w:tc>
          <w:tcPr>
            <w:tcW w:w="720" w:type="dxa"/>
            <w:vAlign w:val="center"/>
          </w:tcPr>
          <w:p w14:paraId="333A1B17">
            <w:pPr>
              <w:pStyle w:val="1429"/>
            </w:pPr>
            <w:r>
              <w:rPr>
                <w:rFonts w:hint="eastAsia"/>
              </w:rPr>
              <w:t>标准指数</w:t>
            </w:r>
          </w:p>
        </w:tc>
        <w:tc>
          <w:tcPr>
            <w:tcW w:w="1874" w:type="dxa"/>
            <w:vAlign w:val="center"/>
          </w:tcPr>
          <w:p w14:paraId="572E2130">
            <w:pPr>
              <w:pStyle w:val="1429"/>
            </w:pPr>
            <w:r>
              <w:rPr>
                <w:rFonts w:hint="eastAsia"/>
              </w:rPr>
              <w:t>监测因子</w:t>
            </w:r>
          </w:p>
        </w:tc>
        <w:tc>
          <w:tcPr>
            <w:tcW w:w="865" w:type="dxa"/>
            <w:vAlign w:val="center"/>
          </w:tcPr>
          <w:p w14:paraId="1FBC147E">
            <w:pPr>
              <w:pStyle w:val="1429"/>
            </w:pPr>
            <w:r>
              <w:rPr>
                <w:rFonts w:hint="eastAsia"/>
              </w:rPr>
              <w:t>标准限值</w:t>
            </w:r>
          </w:p>
        </w:tc>
        <w:tc>
          <w:tcPr>
            <w:tcW w:w="1009" w:type="dxa"/>
            <w:vAlign w:val="center"/>
          </w:tcPr>
          <w:p w14:paraId="0D6AE863">
            <w:pPr>
              <w:pStyle w:val="1429"/>
            </w:pPr>
            <w:r>
              <w:rPr>
                <w:rFonts w:hint="eastAsia"/>
              </w:rPr>
              <w:t>监测值</w:t>
            </w:r>
          </w:p>
        </w:tc>
        <w:tc>
          <w:tcPr>
            <w:tcW w:w="799" w:type="dxa"/>
            <w:vAlign w:val="center"/>
          </w:tcPr>
          <w:p w14:paraId="5961E3CC">
            <w:pPr>
              <w:pStyle w:val="1429"/>
            </w:pPr>
            <w:r>
              <w:rPr>
                <w:rFonts w:hint="eastAsia"/>
              </w:rPr>
              <w:t>标准指数</w:t>
            </w:r>
          </w:p>
        </w:tc>
      </w:tr>
      <w:tr w14:paraId="49EE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3CF4C2CF">
            <w:pPr>
              <w:pStyle w:val="1429"/>
            </w:pPr>
            <w:r>
              <w:rPr>
                <w:bCs/>
                <w:szCs w:val="21"/>
              </w:rPr>
              <w:t>汞</w:t>
            </w:r>
          </w:p>
        </w:tc>
        <w:tc>
          <w:tcPr>
            <w:tcW w:w="864" w:type="dxa"/>
            <w:vAlign w:val="center"/>
          </w:tcPr>
          <w:p w14:paraId="14E25C7D">
            <w:pPr>
              <w:pStyle w:val="1429"/>
            </w:pPr>
            <w:r>
              <w:rPr>
                <w:rFonts w:hint="eastAsia"/>
              </w:rPr>
              <w:t>3</w:t>
            </w:r>
            <w:r>
              <w:t>8</w:t>
            </w:r>
          </w:p>
        </w:tc>
        <w:tc>
          <w:tcPr>
            <w:tcW w:w="1009" w:type="dxa"/>
            <w:vAlign w:val="center"/>
          </w:tcPr>
          <w:p w14:paraId="4B02E05B">
            <w:pPr>
              <w:pStyle w:val="1429"/>
            </w:pPr>
            <w:r>
              <w:rPr>
                <w:rFonts w:hint="eastAsia" w:cs="Times New Roman"/>
                <w:bCs/>
                <w:sz w:val="21"/>
                <w:szCs w:val="21"/>
              </w:rPr>
              <w:t>0.177</w:t>
            </w:r>
          </w:p>
        </w:tc>
        <w:tc>
          <w:tcPr>
            <w:tcW w:w="723" w:type="dxa"/>
            <w:vAlign w:val="center"/>
          </w:tcPr>
          <w:p w14:paraId="4865DEB2">
            <w:pPr>
              <w:pStyle w:val="687"/>
            </w:pPr>
            <w:r>
              <w:rPr>
                <w:rFonts w:hint="eastAsia"/>
              </w:rPr>
              <w:t>0.00</w:t>
            </w:r>
          </w:p>
        </w:tc>
        <w:tc>
          <w:tcPr>
            <w:tcW w:w="2161" w:type="dxa"/>
            <w:vAlign w:val="center"/>
          </w:tcPr>
          <w:p w14:paraId="071D3220">
            <w:pPr>
              <w:pStyle w:val="1429"/>
            </w:pPr>
            <w:r>
              <w:rPr>
                <w:bCs/>
              </w:rPr>
              <w:t>二氯甲烷</w:t>
            </w:r>
          </w:p>
        </w:tc>
        <w:tc>
          <w:tcPr>
            <w:tcW w:w="721" w:type="dxa"/>
            <w:vAlign w:val="center"/>
          </w:tcPr>
          <w:p w14:paraId="0618B8D7">
            <w:pPr>
              <w:pStyle w:val="1429"/>
            </w:pPr>
            <w:r>
              <w:t>616</w:t>
            </w:r>
          </w:p>
        </w:tc>
        <w:tc>
          <w:tcPr>
            <w:tcW w:w="1153" w:type="dxa"/>
            <w:vAlign w:val="center"/>
          </w:tcPr>
          <w:p w14:paraId="7D77C0F5">
            <w:pPr>
              <w:pStyle w:val="1429"/>
            </w:pPr>
            <w:r>
              <w:rPr>
                <w:rFonts w:hint="eastAsia"/>
              </w:rPr>
              <w:t>未检出</w:t>
            </w:r>
          </w:p>
        </w:tc>
        <w:tc>
          <w:tcPr>
            <w:tcW w:w="720" w:type="dxa"/>
            <w:vAlign w:val="center"/>
          </w:tcPr>
          <w:p w14:paraId="76326153">
            <w:pPr>
              <w:pStyle w:val="1429"/>
            </w:pPr>
            <w:r>
              <w:rPr>
                <w:rFonts w:hint="eastAsia"/>
              </w:rPr>
              <w:t>/</w:t>
            </w:r>
          </w:p>
        </w:tc>
        <w:tc>
          <w:tcPr>
            <w:tcW w:w="1874" w:type="dxa"/>
            <w:vAlign w:val="center"/>
          </w:tcPr>
          <w:p w14:paraId="05CCA3C5">
            <w:pPr>
              <w:pStyle w:val="1429"/>
            </w:pPr>
            <w:r>
              <w:rPr>
                <w:bCs/>
              </w:rPr>
              <w:t>苯乙烯</w:t>
            </w:r>
          </w:p>
        </w:tc>
        <w:tc>
          <w:tcPr>
            <w:tcW w:w="865" w:type="dxa"/>
            <w:vAlign w:val="center"/>
          </w:tcPr>
          <w:p w14:paraId="16B35E5D">
            <w:pPr>
              <w:pStyle w:val="1429"/>
            </w:pPr>
            <w:r>
              <w:t>1290</w:t>
            </w:r>
          </w:p>
        </w:tc>
        <w:tc>
          <w:tcPr>
            <w:tcW w:w="1009" w:type="dxa"/>
            <w:vAlign w:val="center"/>
          </w:tcPr>
          <w:p w14:paraId="7A37C630">
            <w:pPr>
              <w:pStyle w:val="1429"/>
            </w:pPr>
            <w:r>
              <w:rPr>
                <w:rFonts w:hint="eastAsia"/>
              </w:rPr>
              <w:t>未检出</w:t>
            </w:r>
          </w:p>
        </w:tc>
        <w:tc>
          <w:tcPr>
            <w:tcW w:w="799" w:type="dxa"/>
            <w:vAlign w:val="center"/>
          </w:tcPr>
          <w:p w14:paraId="48BB0650">
            <w:pPr>
              <w:pStyle w:val="1429"/>
            </w:pPr>
            <w:r>
              <w:rPr>
                <w:rFonts w:hint="eastAsia"/>
              </w:rPr>
              <w:t>/</w:t>
            </w:r>
          </w:p>
        </w:tc>
      </w:tr>
      <w:tr w14:paraId="0354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4D838977">
            <w:pPr>
              <w:pStyle w:val="1429"/>
            </w:pPr>
            <w:r>
              <w:rPr>
                <w:bCs/>
                <w:szCs w:val="21"/>
              </w:rPr>
              <w:t>砷</w:t>
            </w:r>
          </w:p>
        </w:tc>
        <w:tc>
          <w:tcPr>
            <w:tcW w:w="864" w:type="dxa"/>
            <w:vAlign w:val="center"/>
          </w:tcPr>
          <w:p w14:paraId="4A3D7F29">
            <w:pPr>
              <w:pStyle w:val="1429"/>
            </w:pPr>
            <w:r>
              <w:rPr>
                <w:rFonts w:hint="eastAsia"/>
              </w:rPr>
              <w:t>6</w:t>
            </w:r>
            <w:r>
              <w:t>0</w:t>
            </w:r>
          </w:p>
        </w:tc>
        <w:tc>
          <w:tcPr>
            <w:tcW w:w="1009" w:type="dxa"/>
            <w:vAlign w:val="center"/>
          </w:tcPr>
          <w:p w14:paraId="34441512">
            <w:pPr>
              <w:pStyle w:val="1429"/>
            </w:pPr>
            <w:r>
              <w:rPr>
                <w:rFonts w:hint="eastAsia" w:cs="Times New Roman"/>
                <w:bCs/>
                <w:sz w:val="21"/>
                <w:szCs w:val="21"/>
              </w:rPr>
              <w:t>6.15</w:t>
            </w:r>
          </w:p>
        </w:tc>
        <w:tc>
          <w:tcPr>
            <w:tcW w:w="723" w:type="dxa"/>
            <w:vAlign w:val="center"/>
          </w:tcPr>
          <w:p w14:paraId="32E930D3">
            <w:pPr>
              <w:pStyle w:val="687"/>
            </w:pPr>
            <w:r>
              <w:rPr>
                <w:rFonts w:hint="eastAsia"/>
              </w:rPr>
              <w:t>0.10</w:t>
            </w:r>
          </w:p>
        </w:tc>
        <w:tc>
          <w:tcPr>
            <w:tcW w:w="2161" w:type="dxa"/>
            <w:vAlign w:val="center"/>
          </w:tcPr>
          <w:p w14:paraId="3702EDF6">
            <w:pPr>
              <w:pStyle w:val="1429"/>
            </w:pPr>
            <w:r>
              <w:rPr>
                <w:bCs/>
              </w:rPr>
              <w:t>1,2-二氯丙烷</w:t>
            </w:r>
          </w:p>
        </w:tc>
        <w:tc>
          <w:tcPr>
            <w:tcW w:w="721" w:type="dxa"/>
            <w:vAlign w:val="center"/>
          </w:tcPr>
          <w:p w14:paraId="066FD202">
            <w:pPr>
              <w:pStyle w:val="1429"/>
            </w:pPr>
            <w:r>
              <w:t>5</w:t>
            </w:r>
          </w:p>
        </w:tc>
        <w:tc>
          <w:tcPr>
            <w:tcW w:w="1153" w:type="dxa"/>
            <w:vAlign w:val="center"/>
          </w:tcPr>
          <w:p w14:paraId="0AD84FD3">
            <w:pPr>
              <w:pStyle w:val="1429"/>
            </w:pPr>
            <w:r>
              <w:rPr>
                <w:rFonts w:hint="eastAsia"/>
              </w:rPr>
              <w:t>未检出</w:t>
            </w:r>
          </w:p>
        </w:tc>
        <w:tc>
          <w:tcPr>
            <w:tcW w:w="720" w:type="dxa"/>
            <w:vAlign w:val="center"/>
          </w:tcPr>
          <w:p w14:paraId="277B14DD">
            <w:pPr>
              <w:pStyle w:val="1429"/>
            </w:pPr>
            <w:r>
              <w:rPr>
                <w:rFonts w:hint="eastAsia"/>
              </w:rPr>
              <w:t>/</w:t>
            </w:r>
          </w:p>
        </w:tc>
        <w:tc>
          <w:tcPr>
            <w:tcW w:w="1874" w:type="dxa"/>
            <w:vAlign w:val="center"/>
          </w:tcPr>
          <w:p w14:paraId="37DC3981">
            <w:pPr>
              <w:pStyle w:val="1429"/>
            </w:pPr>
            <w:r>
              <w:rPr>
                <w:bCs/>
              </w:rPr>
              <w:t>甲苯</w:t>
            </w:r>
          </w:p>
        </w:tc>
        <w:tc>
          <w:tcPr>
            <w:tcW w:w="865" w:type="dxa"/>
            <w:vAlign w:val="center"/>
          </w:tcPr>
          <w:p w14:paraId="1696CDD3">
            <w:pPr>
              <w:pStyle w:val="1429"/>
            </w:pPr>
            <w:r>
              <w:t>1200</w:t>
            </w:r>
          </w:p>
        </w:tc>
        <w:tc>
          <w:tcPr>
            <w:tcW w:w="1009" w:type="dxa"/>
            <w:vAlign w:val="center"/>
          </w:tcPr>
          <w:p w14:paraId="3262E7D4">
            <w:pPr>
              <w:pStyle w:val="1429"/>
            </w:pPr>
            <w:r>
              <w:rPr>
                <w:rFonts w:hint="eastAsia"/>
              </w:rPr>
              <w:t>未检出</w:t>
            </w:r>
          </w:p>
        </w:tc>
        <w:tc>
          <w:tcPr>
            <w:tcW w:w="799" w:type="dxa"/>
            <w:vAlign w:val="center"/>
          </w:tcPr>
          <w:p w14:paraId="17647122">
            <w:pPr>
              <w:pStyle w:val="1429"/>
            </w:pPr>
            <w:r>
              <w:rPr>
                <w:rFonts w:hint="eastAsia"/>
              </w:rPr>
              <w:t>/</w:t>
            </w:r>
          </w:p>
        </w:tc>
      </w:tr>
      <w:tr w14:paraId="7DD2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682BF8E7">
            <w:pPr>
              <w:pStyle w:val="1429"/>
            </w:pPr>
            <w:r>
              <w:rPr>
                <w:bCs/>
                <w:szCs w:val="21"/>
              </w:rPr>
              <w:t>铅</w:t>
            </w:r>
          </w:p>
        </w:tc>
        <w:tc>
          <w:tcPr>
            <w:tcW w:w="864" w:type="dxa"/>
            <w:vAlign w:val="center"/>
          </w:tcPr>
          <w:p w14:paraId="79F8A1F7">
            <w:pPr>
              <w:pStyle w:val="1429"/>
            </w:pPr>
            <w:r>
              <w:rPr>
                <w:rFonts w:hint="eastAsia"/>
              </w:rPr>
              <w:t>8</w:t>
            </w:r>
            <w:r>
              <w:t>00</w:t>
            </w:r>
          </w:p>
        </w:tc>
        <w:tc>
          <w:tcPr>
            <w:tcW w:w="1009" w:type="dxa"/>
            <w:vAlign w:val="center"/>
          </w:tcPr>
          <w:p w14:paraId="526A6EB9">
            <w:pPr>
              <w:pStyle w:val="1429"/>
            </w:pPr>
            <w:r>
              <w:rPr>
                <w:rFonts w:hint="eastAsia" w:cs="Times New Roman"/>
                <w:bCs/>
                <w:sz w:val="21"/>
                <w:szCs w:val="21"/>
              </w:rPr>
              <w:t>54.2</w:t>
            </w:r>
          </w:p>
        </w:tc>
        <w:tc>
          <w:tcPr>
            <w:tcW w:w="723" w:type="dxa"/>
            <w:vAlign w:val="center"/>
          </w:tcPr>
          <w:p w14:paraId="5826A1EC">
            <w:pPr>
              <w:pStyle w:val="687"/>
            </w:pPr>
            <w:r>
              <w:rPr>
                <w:rFonts w:hint="eastAsia"/>
              </w:rPr>
              <w:t>0.07</w:t>
            </w:r>
          </w:p>
        </w:tc>
        <w:tc>
          <w:tcPr>
            <w:tcW w:w="2161" w:type="dxa"/>
            <w:vAlign w:val="center"/>
          </w:tcPr>
          <w:p w14:paraId="5D1EB818">
            <w:pPr>
              <w:pStyle w:val="1429"/>
            </w:pPr>
            <w:r>
              <w:rPr>
                <w:bCs/>
              </w:rPr>
              <w:t>1,1,1,2-四氯乙烷</w:t>
            </w:r>
          </w:p>
        </w:tc>
        <w:tc>
          <w:tcPr>
            <w:tcW w:w="721" w:type="dxa"/>
            <w:vAlign w:val="center"/>
          </w:tcPr>
          <w:p w14:paraId="7E8956FE">
            <w:pPr>
              <w:pStyle w:val="1429"/>
            </w:pPr>
            <w:r>
              <w:t>10</w:t>
            </w:r>
          </w:p>
        </w:tc>
        <w:tc>
          <w:tcPr>
            <w:tcW w:w="1153" w:type="dxa"/>
            <w:vAlign w:val="center"/>
          </w:tcPr>
          <w:p w14:paraId="75DB4C26">
            <w:pPr>
              <w:pStyle w:val="1429"/>
            </w:pPr>
            <w:r>
              <w:rPr>
                <w:rFonts w:hint="eastAsia"/>
              </w:rPr>
              <w:t>未检出</w:t>
            </w:r>
          </w:p>
        </w:tc>
        <w:tc>
          <w:tcPr>
            <w:tcW w:w="720" w:type="dxa"/>
            <w:vAlign w:val="center"/>
          </w:tcPr>
          <w:p w14:paraId="79055400">
            <w:pPr>
              <w:pStyle w:val="1429"/>
            </w:pPr>
            <w:r>
              <w:rPr>
                <w:rFonts w:hint="eastAsia"/>
              </w:rPr>
              <w:t>/</w:t>
            </w:r>
          </w:p>
        </w:tc>
        <w:tc>
          <w:tcPr>
            <w:tcW w:w="1874" w:type="dxa"/>
            <w:vAlign w:val="center"/>
          </w:tcPr>
          <w:p w14:paraId="5C746A20">
            <w:pPr>
              <w:pStyle w:val="1429"/>
            </w:pPr>
            <w:r>
              <w:rPr>
                <w:bCs/>
              </w:rPr>
              <w:t>间+对二甲苯</w:t>
            </w:r>
          </w:p>
        </w:tc>
        <w:tc>
          <w:tcPr>
            <w:tcW w:w="865" w:type="dxa"/>
            <w:vAlign w:val="center"/>
          </w:tcPr>
          <w:p w14:paraId="79183DA4">
            <w:pPr>
              <w:pStyle w:val="1429"/>
            </w:pPr>
            <w:r>
              <w:t>570</w:t>
            </w:r>
          </w:p>
        </w:tc>
        <w:tc>
          <w:tcPr>
            <w:tcW w:w="1009" w:type="dxa"/>
            <w:vAlign w:val="center"/>
          </w:tcPr>
          <w:p w14:paraId="3201AB9F">
            <w:pPr>
              <w:pStyle w:val="1429"/>
            </w:pPr>
            <w:r>
              <w:rPr>
                <w:rFonts w:hint="eastAsia"/>
              </w:rPr>
              <w:t>未检出</w:t>
            </w:r>
          </w:p>
        </w:tc>
        <w:tc>
          <w:tcPr>
            <w:tcW w:w="799" w:type="dxa"/>
            <w:vAlign w:val="center"/>
          </w:tcPr>
          <w:p w14:paraId="0521D419">
            <w:pPr>
              <w:pStyle w:val="1429"/>
            </w:pPr>
            <w:r>
              <w:rPr>
                <w:rFonts w:hint="eastAsia"/>
              </w:rPr>
              <w:t>/</w:t>
            </w:r>
          </w:p>
        </w:tc>
      </w:tr>
      <w:tr w14:paraId="5815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0DD340DC">
            <w:pPr>
              <w:pStyle w:val="1429"/>
            </w:pPr>
            <w:r>
              <w:rPr>
                <w:bCs/>
                <w:szCs w:val="21"/>
              </w:rPr>
              <w:t>镉</w:t>
            </w:r>
          </w:p>
        </w:tc>
        <w:tc>
          <w:tcPr>
            <w:tcW w:w="864" w:type="dxa"/>
            <w:vAlign w:val="center"/>
          </w:tcPr>
          <w:p w14:paraId="7C6BDEF5">
            <w:pPr>
              <w:pStyle w:val="1429"/>
            </w:pPr>
            <w:r>
              <w:rPr>
                <w:rFonts w:hint="eastAsia"/>
              </w:rPr>
              <w:t>6</w:t>
            </w:r>
            <w:r>
              <w:t>5</w:t>
            </w:r>
          </w:p>
        </w:tc>
        <w:tc>
          <w:tcPr>
            <w:tcW w:w="1009" w:type="dxa"/>
            <w:vAlign w:val="center"/>
          </w:tcPr>
          <w:p w14:paraId="51554F32">
            <w:pPr>
              <w:pStyle w:val="1429"/>
            </w:pPr>
            <w:r>
              <w:rPr>
                <w:rFonts w:hint="eastAsia" w:cs="Times New Roman"/>
                <w:bCs/>
                <w:sz w:val="21"/>
                <w:szCs w:val="21"/>
              </w:rPr>
              <w:t>0.12</w:t>
            </w:r>
          </w:p>
        </w:tc>
        <w:tc>
          <w:tcPr>
            <w:tcW w:w="723" w:type="dxa"/>
            <w:vAlign w:val="center"/>
          </w:tcPr>
          <w:p w14:paraId="50CC041C">
            <w:pPr>
              <w:pStyle w:val="687"/>
            </w:pPr>
            <w:r>
              <w:rPr>
                <w:rFonts w:hint="eastAsia"/>
              </w:rPr>
              <w:t>0.00</w:t>
            </w:r>
          </w:p>
        </w:tc>
        <w:tc>
          <w:tcPr>
            <w:tcW w:w="2161" w:type="dxa"/>
            <w:vAlign w:val="center"/>
          </w:tcPr>
          <w:p w14:paraId="3DC682EF">
            <w:pPr>
              <w:pStyle w:val="1429"/>
            </w:pPr>
            <w:r>
              <w:rPr>
                <w:bCs/>
              </w:rPr>
              <w:t>1,1,2,2-四氯乙烷</w:t>
            </w:r>
          </w:p>
        </w:tc>
        <w:tc>
          <w:tcPr>
            <w:tcW w:w="721" w:type="dxa"/>
            <w:vAlign w:val="center"/>
          </w:tcPr>
          <w:p w14:paraId="0399DFB9">
            <w:pPr>
              <w:pStyle w:val="1429"/>
            </w:pPr>
            <w:r>
              <w:t>6.8</w:t>
            </w:r>
          </w:p>
        </w:tc>
        <w:tc>
          <w:tcPr>
            <w:tcW w:w="1153" w:type="dxa"/>
            <w:vAlign w:val="center"/>
          </w:tcPr>
          <w:p w14:paraId="412867F7">
            <w:pPr>
              <w:pStyle w:val="1429"/>
            </w:pPr>
            <w:r>
              <w:rPr>
                <w:rFonts w:hint="eastAsia"/>
              </w:rPr>
              <w:t>未检出</w:t>
            </w:r>
          </w:p>
        </w:tc>
        <w:tc>
          <w:tcPr>
            <w:tcW w:w="720" w:type="dxa"/>
            <w:vAlign w:val="center"/>
          </w:tcPr>
          <w:p w14:paraId="46294B91">
            <w:pPr>
              <w:pStyle w:val="1429"/>
            </w:pPr>
            <w:r>
              <w:rPr>
                <w:rFonts w:hint="eastAsia"/>
              </w:rPr>
              <w:t>/</w:t>
            </w:r>
          </w:p>
        </w:tc>
        <w:tc>
          <w:tcPr>
            <w:tcW w:w="1874" w:type="dxa"/>
            <w:vAlign w:val="center"/>
          </w:tcPr>
          <w:p w14:paraId="3944D58A">
            <w:pPr>
              <w:pStyle w:val="1429"/>
            </w:pPr>
            <w:r>
              <w:rPr>
                <w:bCs/>
              </w:rPr>
              <w:t>邻-二甲苯</w:t>
            </w:r>
          </w:p>
        </w:tc>
        <w:tc>
          <w:tcPr>
            <w:tcW w:w="865" w:type="dxa"/>
            <w:vAlign w:val="center"/>
          </w:tcPr>
          <w:p w14:paraId="20C0DD23">
            <w:pPr>
              <w:pStyle w:val="1429"/>
            </w:pPr>
            <w:r>
              <w:t>640</w:t>
            </w:r>
          </w:p>
        </w:tc>
        <w:tc>
          <w:tcPr>
            <w:tcW w:w="1009" w:type="dxa"/>
            <w:vAlign w:val="center"/>
          </w:tcPr>
          <w:p w14:paraId="21F03E91">
            <w:pPr>
              <w:pStyle w:val="1429"/>
            </w:pPr>
            <w:r>
              <w:rPr>
                <w:rFonts w:hint="eastAsia"/>
              </w:rPr>
              <w:t>未检出</w:t>
            </w:r>
          </w:p>
        </w:tc>
        <w:tc>
          <w:tcPr>
            <w:tcW w:w="799" w:type="dxa"/>
            <w:vAlign w:val="center"/>
          </w:tcPr>
          <w:p w14:paraId="189CF2A8">
            <w:pPr>
              <w:pStyle w:val="1429"/>
            </w:pPr>
            <w:r>
              <w:rPr>
                <w:rFonts w:hint="eastAsia"/>
              </w:rPr>
              <w:t>/</w:t>
            </w:r>
          </w:p>
        </w:tc>
      </w:tr>
      <w:tr w14:paraId="6095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57E9C4AE">
            <w:pPr>
              <w:pStyle w:val="1429"/>
            </w:pPr>
            <w:r>
              <w:rPr>
                <w:bCs/>
                <w:szCs w:val="21"/>
              </w:rPr>
              <w:t>铜</w:t>
            </w:r>
          </w:p>
        </w:tc>
        <w:tc>
          <w:tcPr>
            <w:tcW w:w="864" w:type="dxa"/>
            <w:vAlign w:val="center"/>
          </w:tcPr>
          <w:p w14:paraId="3E2B344F">
            <w:pPr>
              <w:pStyle w:val="1429"/>
            </w:pPr>
            <w:r>
              <w:rPr>
                <w:rFonts w:hint="eastAsia"/>
              </w:rPr>
              <w:t>1</w:t>
            </w:r>
            <w:r>
              <w:t>8000</w:t>
            </w:r>
          </w:p>
        </w:tc>
        <w:tc>
          <w:tcPr>
            <w:tcW w:w="1009" w:type="dxa"/>
            <w:vAlign w:val="center"/>
          </w:tcPr>
          <w:p w14:paraId="1A828029">
            <w:pPr>
              <w:pStyle w:val="1429"/>
            </w:pPr>
            <w:r>
              <w:rPr>
                <w:rFonts w:hint="eastAsia" w:cs="Times New Roman"/>
                <w:bCs/>
                <w:sz w:val="21"/>
                <w:szCs w:val="21"/>
              </w:rPr>
              <w:t>26</w:t>
            </w:r>
          </w:p>
        </w:tc>
        <w:tc>
          <w:tcPr>
            <w:tcW w:w="723" w:type="dxa"/>
            <w:vAlign w:val="center"/>
          </w:tcPr>
          <w:p w14:paraId="1B7B66FC">
            <w:pPr>
              <w:pStyle w:val="687"/>
            </w:pPr>
            <w:r>
              <w:rPr>
                <w:rFonts w:hint="eastAsia"/>
              </w:rPr>
              <w:t>0.00</w:t>
            </w:r>
          </w:p>
        </w:tc>
        <w:tc>
          <w:tcPr>
            <w:tcW w:w="2161" w:type="dxa"/>
            <w:vAlign w:val="center"/>
          </w:tcPr>
          <w:p w14:paraId="682A8CF6">
            <w:pPr>
              <w:pStyle w:val="1429"/>
            </w:pPr>
            <w:r>
              <w:rPr>
                <w:bCs/>
              </w:rPr>
              <w:t>四氯乙烯</w:t>
            </w:r>
          </w:p>
        </w:tc>
        <w:tc>
          <w:tcPr>
            <w:tcW w:w="721" w:type="dxa"/>
            <w:vAlign w:val="center"/>
          </w:tcPr>
          <w:p w14:paraId="436EBB25">
            <w:pPr>
              <w:pStyle w:val="1429"/>
            </w:pPr>
            <w:r>
              <w:t>53</w:t>
            </w:r>
          </w:p>
        </w:tc>
        <w:tc>
          <w:tcPr>
            <w:tcW w:w="1153" w:type="dxa"/>
            <w:vAlign w:val="center"/>
          </w:tcPr>
          <w:p w14:paraId="0A0E4500">
            <w:pPr>
              <w:pStyle w:val="1429"/>
            </w:pPr>
            <w:r>
              <w:rPr>
                <w:rFonts w:hint="eastAsia"/>
              </w:rPr>
              <w:t>未检出</w:t>
            </w:r>
          </w:p>
        </w:tc>
        <w:tc>
          <w:tcPr>
            <w:tcW w:w="720" w:type="dxa"/>
            <w:vAlign w:val="center"/>
          </w:tcPr>
          <w:p w14:paraId="6079BA35">
            <w:pPr>
              <w:pStyle w:val="1429"/>
            </w:pPr>
            <w:r>
              <w:rPr>
                <w:rFonts w:hint="eastAsia"/>
              </w:rPr>
              <w:t>/</w:t>
            </w:r>
          </w:p>
        </w:tc>
        <w:tc>
          <w:tcPr>
            <w:tcW w:w="1874" w:type="dxa"/>
            <w:vAlign w:val="center"/>
          </w:tcPr>
          <w:p w14:paraId="38E97FB6">
            <w:pPr>
              <w:pStyle w:val="1429"/>
            </w:pPr>
            <w:r>
              <w:rPr>
                <w:bCs/>
              </w:rPr>
              <w:t>硝基苯</w:t>
            </w:r>
          </w:p>
        </w:tc>
        <w:tc>
          <w:tcPr>
            <w:tcW w:w="865" w:type="dxa"/>
            <w:vAlign w:val="center"/>
          </w:tcPr>
          <w:p w14:paraId="70D537A4">
            <w:pPr>
              <w:pStyle w:val="1429"/>
            </w:pPr>
            <w:r>
              <w:t>76</w:t>
            </w:r>
          </w:p>
        </w:tc>
        <w:tc>
          <w:tcPr>
            <w:tcW w:w="1009" w:type="dxa"/>
            <w:vAlign w:val="center"/>
          </w:tcPr>
          <w:p w14:paraId="3EC47634">
            <w:pPr>
              <w:pStyle w:val="1429"/>
            </w:pPr>
            <w:r>
              <w:rPr>
                <w:rFonts w:hint="eastAsia"/>
              </w:rPr>
              <w:t>未检出</w:t>
            </w:r>
          </w:p>
        </w:tc>
        <w:tc>
          <w:tcPr>
            <w:tcW w:w="799" w:type="dxa"/>
            <w:vAlign w:val="center"/>
          </w:tcPr>
          <w:p w14:paraId="11F78AD3">
            <w:pPr>
              <w:pStyle w:val="1429"/>
            </w:pPr>
            <w:r>
              <w:rPr>
                <w:rFonts w:hint="eastAsia"/>
              </w:rPr>
              <w:t>/</w:t>
            </w:r>
          </w:p>
        </w:tc>
      </w:tr>
      <w:tr w14:paraId="37833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62E7ECE3">
            <w:pPr>
              <w:pStyle w:val="1429"/>
            </w:pPr>
            <w:r>
              <w:rPr>
                <w:bCs/>
                <w:szCs w:val="21"/>
              </w:rPr>
              <w:t>镍</w:t>
            </w:r>
          </w:p>
        </w:tc>
        <w:tc>
          <w:tcPr>
            <w:tcW w:w="864" w:type="dxa"/>
            <w:vAlign w:val="center"/>
          </w:tcPr>
          <w:p w14:paraId="7677B726">
            <w:pPr>
              <w:pStyle w:val="1429"/>
            </w:pPr>
            <w:r>
              <w:rPr>
                <w:rFonts w:hint="eastAsia"/>
              </w:rPr>
              <w:t>9</w:t>
            </w:r>
            <w:r>
              <w:t>00</w:t>
            </w:r>
          </w:p>
        </w:tc>
        <w:tc>
          <w:tcPr>
            <w:tcW w:w="1009" w:type="dxa"/>
            <w:vAlign w:val="center"/>
          </w:tcPr>
          <w:p w14:paraId="69BA2237">
            <w:pPr>
              <w:pStyle w:val="1429"/>
            </w:pPr>
            <w:r>
              <w:rPr>
                <w:rFonts w:hint="eastAsia" w:cs="Times New Roman"/>
                <w:bCs/>
                <w:sz w:val="21"/>
                <w:szCs w:val="21"/>
              </w:rPr>
              <w:t>32</w:t>
            </w:r>
          </w:p>
        </w:tc>
        <w:tc>
          <w:tcPr>
            <w:tcW w:w="723" w:type="dxa"/>
            <w:vAlign w:val="center"/>
          </w:tcPr>
          <w:p w14:paraId="24BF8A19">
            <w:pPr>
              <w:pStyle w:val="687"/>
            </w:pPr>
            <w:r>
              <w:rPr>
                <w:rFonts w:hint="eastAsia"/>
              </w:rPr>
              <w:t>0.04</w:t>
            </w:r>
          </w:p>
        </w:tc>
        <w:tc>
          <w:tcPr>
            <w:tcW w:w="2161" w:type="dxa"/>
            <w:vAlign w:val="center"/>
          </w:tcPr>
          <w:p w14:paraId="6321AD0F">
            <w:pPr>
              <w:pStyle w:val="1429"/>
            </w:pPr>
            <w:r>
              <w:rPr>
                <w:bCs/>
              </w:rPr>
              <w:t>1,1,1-三氯乙烷</w:t>
            </w:r>
          </w:p>
        </w:tc>
        <w:tc>
          <w:tcPr>
            <w:tcW w:w="721" w:type="dxa"/>
            <w:vAlign w:val="center"/>
          </w:tcPr>
          <w:p w14:paraId="1DF8F955">
            <w:pPr>
              <w:pStyle w:val="1429"/>
            </w:pPr>
            <w:r>
              <w:t>840</w:t>
            </w:r>
          </w:p>
        </w:tc>
        <w:tc>
          <w:tcPr>
            <w:tcW w:w="1153" w:type="dxa"/>
            <w:vAlign w:val="center"/>
          </w:tcPr>
          <w:p w14:paraId="73820665">
            <w:pPr>
              <w:pStyle w:val="1429"/>
            </w:pPr>
            <w:r>
              <w:rPr>
                <w:rFonts w:hint="eastAsia"/>
              </w:rPr>
              <w:t>未检出</w:t>
            </w:r>
          </w:p>
        </w:tc>
        <w:tc>
          <w:tcPr>
            <w:tcW w:w="720" w:type="dxa"/>
            <w:vAlign w:val="center"/>
          </w:tcPr>
          <w:p w14:paraId="5E3C4CB2">
            <w:pPr>
              <w:pStyle w:val="1429"/>
            </w:pPr>
            <w:r>
              <w:rPr>
                <w:rFonts w:hint="eastAsia"/>
              </w:rPr>
              <w:t>/</w:t>
            </w:r>
          </w:p>
        </w:tc>
        <w:tc>
          <w:tcPr>
            <w:tcW w:w="1874" w:type="dxa"/>
            <w:vAlign w:val="center"/>
          </w:tcPr>
          <w:p w14:paraId="4A573A2E">
            <w:pPr>
              <w:pStyle w:val="1429"/>
            </w:pPr>
            <w:r>
              <w:rPr>
                <w:bCs/>
              </w:rPr>
              <w:t>苯胺</w:t>
            </w:r>
          </w:p>
        </w:tc>
        <w:tc>
          <w:tcPr>
            <w:tcW w:w="865" w:type="dxa"/>
            <w:vAlign w:val="center"/>
          </w:tcPr>
          <w:p w14:paraId="0F5FD7AC">
            <w:pPr>
              <w:pStyle w:val="1429"/>
            </w:pPr>
            <w:r>
              <w:t>260</w:t>
            </w:r>
          </w:p>
        </w:tc>
        <w:tc>
          <w:tcPr>
            <w:tcW w:w="1009" w:type="dxa"/>
            <w:vAlign w:val="center"/>
          </w:tcPr>
          <w:p w14:paraId="6AE1969B">
            <w:pPr>
              <w:pStyle w:val="1429"/>
            </w:pPr>
            <w:r>
              <w:rPr>
                <w:rFonts w:cs="Times New Roman"/>
                <w:sz w:val="21"/>
                <w:szCs w:val="21"/>
              </w:rPr>
              <w:t>2×10</w:t>
            </w:r>
            <w:r>
              <w:rPr>
                <w:rFonts w:cs="Times New Roman"/>
                <w:sz w:val="21"/>
                <w:szCs w:val="21"/>
                <w:vertAlign w:val="superscript"/>
              </w:rPr>
              <w:t>-3</w:t>
            </w:r>
          </w:p>
        </w:tc>
        <w:tc>
          <w:tcPr>
            <w:tcW w:w="799" w:type="dxa"/>
            <w:vAlign w:val="center"/>
          </w:tcPr>
          <w:p w14:paraId="6B5BB031">
            <w:pPr>
              <w:pStyle w:val="1429"/>
            </w:pPr>
            <w:r>
              <w:t>0.00</w:t>
            </w:r>
          </w:p>
        </w:tc>
      </w:tr>
      <w:tr w14:paraId="4BF1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404638F1">
            <w:pPr>
              <w:pStyle w:val="1429"/>
            </w:pPr>
            <w:r>
              <w:rPr>
                <w:rFonts w:hint="eastAsia"/>
                <w:bCs/>
                <w:szCs w:val="21"/>
              </w:rPr>
              <w:t>六价</w:t>
            </w:r>
            <w:r>
              <w:rPr>
                <w:bCs/>
                <w:szCs w:val="21"/>
              </w:rPr>
              <w:t>铬</w:t>
            </w:r>
          </w:p>
        </w:tc>
        <w:tc>
          <w:tcPr>
            <w:tcW w:w="864" w:type="dxa"/>
            <w:vAlign w:val="center"/>
          </w:tcPr>
          <w:p w14:paraId="61034785">
            <w:pPr>
              <w:pStyle w:val="1429"/>
            </w:pPr>
            <w:r>
              <w:rPr>
                <w:rFonts w:hint="eastAsia"/>
              </w:rPr>
              <w:t>5</w:t>
            </w:r>
            <w:r>
              <w:t>.7</w:t>
            </w:r>
          </w:p>
        </w:tc>
        <w:tc>
          <w:tcPr>
            <w:tcW w:w="1009" w:type="dxa"/>
            <w:vAlign w:val="center"/>
          </w:tcPr>
          <w:p w14:paraId="55DBAE94">
            <w:pPr>
              <w:pStyle w:val="1429"/>
            </w:pPr>
            <w:r>
              <w:rPr>
                <w:rFonts w:hint="eastAsia"/>
              </w:rPr>
              <w:t>未检出</w:t>
            </w:r>
          </w:p>
        </w:tc>
        <w:tc>
          <w:tcPr>
            <w:tcW w:w="723" w:type="dxa"/>
            <w:vAlign w:val="center"/>
          </w:tcPr>
          <w:p w14:paraId="67C547DE">
            <w:pPr>
              <w:pStyle w:val="1429"/>
            </w:pPr>
            <w:r>
              <w:rPr>
                <w:rFonts w:hint="eastAsia"/>
              </w:rPr>
              <w:t>/</w:t>
            </w:r>
          </w:p>
        </w:tc>
        <w:tc>
          <w:tcPr>
            <w:tcW w:w="2161" w:type="dxa"/>
            <w:vAlign w:val="center"/>
          </w:tcPr>
          <w:p w14:paraId="16630344">
            <w:pPr>
              <w:pStyle w:val="1429"/>
            </w:pPr>
            <w:r>
              <w:rPr>
                <w:bCs/>
              </w:rPr>
              <w:t>1,1,2-三氯乙烷</w:t>
            </w:r>
          </w:p>
        </w:tc>
        <w:tc>
          <w:tcPr>
            <w:tcW w:w="721" w:type="dxa"/>
            <w:vAlign w:val="center"/>
          </w:tcPr>
          <w:p w14:paraId="6F810597">
            <w:pPr>
              <w:pStyle w:val="1429"/>
            </w:pPr>
            <w:r>
              <w:t>2.8</w:t>
            </w:r>
          </w:p>
        </w:tc>
        <w:tc>
          <w:tcPr>
            <w:tcW w:w="1153" w:type="dxa"/>
            <w:vAlign w:val="center"/>
          </w:tcPr>
          <w:p w14:paraId="43C07368">
            <w:pPr>
              <w:pStyle w:val="1429"/>
            </w:pPr>
            <w:r>
              <w:rPr>
                <w:rFonts w:hint="eastAsia"/>
              </w:rPr>
              <w:t>未检出</w:t>
            </w:r>
          </w:p>
        </w:tc>
        <w:tc>
          <w:tcPr>
            <w:tcW w:w="720" w:type="dxa"/>
            <w:vAlign w:val="center"/>
          </w:tcPr>
          <w:p w14:paraId="491838DE">
            <w:pPr>
              <w:pStyle w:val="1429"/>
            </w:pPr>
            <w:r>
              <w:rPr>
                <w:rFonts w:hint="eastAsia"/>
              </w:rPr>
              <w:t>/</w:t>
            </w:r>
          </w:p>
        </w:tc>
        <w:tc>
          <w:tcPr>
            <w:tcW w:w="1874" w:type="dxa"/>
            <w:vAlign w:val="center"/>
          </w:tcPr>
          <w:p w14:paraId="414A7F8E">
            <w:pPr>
              <w:pStyle w:val="1429"/>
            </w:pPr>
            <w:r>
              <w:rPr>
                <w:bCs/>
              </w:rPr>
              <w:t>2-氯酚</w:t>
            </w:r>
          </w:p>
        </w:tc>
        <w:tc>
          <w:tcPr>
            <w:tcW w:w="865" w:type="dxa"/>
            <w:vAlign w:val="center"/>
          </w:tcPr>
          <w:p w14:paraId="620C3B6F">
            <w:pPr>
              <w:pStyle w:val="1429"/>
            </w:pPr>
            <w:r>
              <w:t>2256</w:t>
            </w:r>
          </w:p>
        </w:tc>
        <w:tc>
          <w:tcPr>
            <w:tcW w:w="1009" w:type="dxa"/>
            <w:vAlign w:val="center"/>
          </w:tcPr>
          <w:p w14:paraId="0A50EACB">
            <w:pPr>
              <w:pStyle w:val="1429"/>
            </w:pPr>
            <w:r>
              <w:rPr>
                <w:rFonts w:hint="eastAsia"/>
              </w:rPr>
              <w:t>未检出</w:t>
            </w:r>
          </w:p>
        </w:tc>
        <w:tc>
          <w:tcPr>
            <w:tcW w:w="799" w:type="dxa"/>
            <w:vAlign w:val="center"/>
          </w:tcPr>
          <w:p w14:paraId="5D4C1C93">
            <w:pPr>
              <w:pStyle w:val="1429"/>
            </w:pPr>
            <w:r>
              <w:rPr>
                <w:rFonts w:hint="eastAsia"/>
              </w:rPr>
              <w:t>/</w:t>
            </w:r>
          </w:p>
        </w:tc>
      </w:tr>
      <w:tr w14:paraId="4818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7C9B1267">
            <w:pPr>
              <w:pStyle w:val="1429"/>
            </w:pPr>
            <w:r>
              <w:rPr>
                <w:bCs/>
              </w:rPr>
              <w:t>四氯化碳</w:t>
            </w:r>
          </w:p>
        </w:tc>
        <w:tc>
          <w:tcPr>
            <w:tcW w:w="864" w:type="dxa"/>
            <w:vAlign w:val="center"/>
          </w:tcPr>
          <w:p w14:paraId="641DFD24">
            <w:pPr>
              <w:pStyle w:val="1429"/>
            </w:pPr>
            <w:r>
              <w:t>2.8</w:t>
            </w:r>
          </w:p>
        </w:tc>
        <w:tc>
          <w:tcPr>
            <w:tcW w:w="1009" w:type="dxa"/>
            <w:vAlign w:val="center"/>
          </w:tcPr>
          <w:p w14:paraId="6D853481">
            <w:pPr>
              <w:pStyle w:val="1429"/>
            </w:pPr>
            <w:r>
              <w:rPr>
                <w:rFonts w:hint="eastAsia"/>
              </w:rPr>
              <w:t>未检出</w:t>
            </w:r>
          </w:p>
        </w:tc>
        <w:tc>
          <w:tcPr>
            <w:tcW w:w="723" w:type="dxa"/>
            <w:vAlign w:val="center"/>
          </w:tcPr>
          <w:p w14:paraId="2A3C1E51">
            <w:pPr>
              <w:pStyle w:val="1429"/>
            </w:pPr>
            <w:r>
              <w:rPr>
                <w:rFonts w:hint="eastAsia"/>
              </w:rPr>
              <w:t>/</w:t>
            </w:r>
          </w:p>
        </w:tc>
        <w:tc>
          <w:tcPr>
            <w:tcW w:w="2161" w:type="dxa"/>
            <w:vAlign w:val="center"/>
          </w:tcPr>
          <w:p w14:paraId="5F63E12A">
            <w:pPr>
              <w:pStyle w:val="1429"/>
            </w:pPr>
            <w:r>
              <w:rPr>
                <w:bCs/>
              </w:rPr>
              <w:t>三氯乙烯</w:t>
            </w:r>
          </w:p>
        </w:tc>
        <w:tc>
          <w:tcPr>
            <w:tcW w:w="721" w:type="dxa"/>
            <w:vAlign w:val="center"/>
          </w:tcPr>
          <w:p w14:paraId="15C1FD00">
            <w:pPr>
              <w:pStyle w:val="1429"/>
            </w:pPr>
            <w:r>
              <w:t>2.8</w:t>
            </w:r>
          </w:p>
        </w:tc>
        <w:tc>
          <w:tcPr>
            <w:tcW w:w="1153" w:type="dxa"/>
            <w:vAlign w:val="center"/>
          </w:tcPr>
          <w:p w14:paraId="4E139C53">
            <w:pPr>
              <w:pStyle w:val="1429"/>
            </w:pPr>
            <w:r>
              <w:rPr>
                <w:rFonts w:hint="eastAsia"/>
              </w:rPr>
              <w:t>未检出</w:t>
            </w:r>
          </w:p>
        </w:tc>
        <w:tc>
          <w:tcPr>
            <w:tcW w:w="720" w:type="dxa"/>
            <w:vAlign w:val="center"/>
          </w:tcPr>
          <w:p w14:paraId="61610640">
            <w:pPr>
              <w:pStyle w:val="1429"/>
            </w:pPr>
            <w:r>
              <w:rPr>
                <w:rFonts w:hint="eastAsia"/>
              </w:rPr>
              <w:t>/</w:t>
            </w:r>
          </w:p>
        </w:tc>
        <w:tc>
          <w:tcPr>
            <w:tcW w:w="1874" w:type="dxa"/>
            <w:vAlign w:val="center"/>
          </w:tcPr>
          <w:p w14:paraId="6239A6E1">
            <w:pPr>
              <w:pStyle w:val="1429"/>
            </w:pPr>
            <w:r>
              <w:rPr>
                <w:bCs/>
              </w:rPr>
              <w:t>苯并[a]蒽</w:t>
            </w:r>
          </w:p>
        </w:tc>
        <w:tc>
          <w:tcPr>
            <w:tcW w:w="865" w:type="dxa"/>
            <w:vAlign w:val="center"/>
          </w:tcPr>
          <w:p w14:paraId="58C3F994">
            <w:pPr>
              <w:pStyle w:val="1429"/>
            </w:pPr>
            <w:r>
              <w:t>15</w:t>
            </w:r>
          </w:p>
        </w:tc>
        <w:tc>
          <w:tcPr>
            <w:tcW w:w="1009" w:type="dxa"/>
            <w:vAlign w:val="center"/>
          </w:tcPr>
          <w:p w14:paraId="714A758F">
            <w:pPr>
              <w:pStyle w:val="1429"/>
            </w:pPr>
            <w:r>
              <w:rPr>
                <w:rFonts w:hint="eastAsia"/>
              </w:rPr>
              <w:t>未检出</w:t>
            </w:r>
          </w:p>
        </w:tc>
        <w:tc>
          <w:tcPr>
            <w:tcW w:w="799" w:type="dxa"/>
            <w:vAlign w:val="center"/>
          </w:tcPr>
          <w:p w14:paraId="508CE423">
            <w:pPr>
              <w:pStyle w:val="1429"/>
            </w:pPr>
            <w:r>
              <w:rPr>
                <w:rFonts w:hint="eastAsia"/>
              </w:rPr>
              <w:t>/</w:t>
            </w:r>
          </w:p>
        </w:tc>
      </w:tr>
      <w:tr w14:paraId="2DA4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7FB64F90">
            <w:pPr>
              <w:pStyle w:val="1429"/>
            </w:pPr>
            <w:r>
              <w:rPr>
                <w:bCs/>
              </w:rPr>
              <w:t>氯仿</w:t>
            </w:r>
          </w:p>
        </w:tc>
        <w:tc>
          <w:tcPr>
            <w:tcW w:w="864" w:type="dxa"/>
            <w:vAlign w:val="center"/>
          </w:tcPr>
          <w:p w14:paraId="1017518F">
            <w:pPr>
              <w:pStyle w:val="1429"/>
            </w:pPr>
            <w:r>
              <w:t>0.9</w:t>
            </w:r>
          </w:p>
        </w:tc>
        <w:tc>
          <w:tcPr>
            <w:tcW w:w="1009" w:type="dxa"/>
            <w:vAlign w:val="center"/>
          </w:tcPr>
          <w:p w14:paraId="69A0935E">
            <w:pPr>
              <w:pStyle w:val="1429"/>
            </w:pPr>
            <w:r>
              <w:rPr>
                <w:rFonts w:hint="eastAsia"/>
              </w:rPr>
              <w:t>未检出</w:t>
            </w:r>
          </w:p>
        </w:tc>
        <w:tc>
          <w:tcPr>
            <w:tcW w:w="723" w:type="dxa"/>
            <w:vAlign w:val="center"/>
          </w:tcPr>
          <w:p w14:paraId="504274BC">
            <w:pPr>
              <w:pStyle w:val="1429"/>
            </w:pPr>
            <w:r>
              <w:rPr>
                <w:rFonts w:hint="eastAsia"/>
              </w:rPr>
              <w:t>/</w:t>
            </w:r>
          </w:p>
        </w:tc>
        <w:tc>
          <w:tcPr>
            <w:tcW w:w="2161" w:type="dxa"/>
            <w:vAlign w:val="center"/>
          </w:tcPr>
          <w:p w14:paraId="2085263E">
            <w:pPr>
              <w:pStyle w:val="1429"/>
            </w:pPr>
            <w:r>
              <w:rPr>
                <w:bCs/>
              </w:rPr>
              <w:t>1,2,3-三氯丙烷</w:t>
            </w:r>
          </w:p>
        </w:tc>
        <w:tc>
          <w:tcPr>
            <w:tcW w:w="721" w:type="dxa"/>
            <w:vAlign w:val="center"/>
          </w:tcPr>
          <w:p w14:paraId="2F18D91D">
            <w:pPr>
              <w:pStyle w:val="1429"/>
            </w:pPr>
            <w:r>
              <w:t>0.5</w:t>
            </w:r>
          </w:p>
        </w:tc>
        <w:tc>
          <w:tcPr>
            <w:tcW w:w="1153" w:type="dxa"/>
            <w:vAlign w:val="center"/>
          </w:tcPr>
          <w:p w14:paraId="674DF70A">
            <w:pPr>
              <w:pStyle w:val="1429"/>
            </w:pPr>
            <w:r>
              <w:rPr>
                <w:rFonts w:hint="eastAsia"/>
              </w:rPr>
              <w:t>未检出</w:t>
            </w:r>
          </w:p>
        </w:tc>
        <w:tc>
          <w:tcPr>
            <w:tcW w:w="720" w:type="dxa"/>
            <w:vAlign w:val="center"/>
          </w:tcPr>
          <w:p w14:paraId="350B1BBE">
            <w:pPr>
              <w:pStyle w:val="1429"/>
            </w:pPr>
            <w:r>
              <w:rPr>
                <w:rFonts w:hint="eastAsia"/>
              </w:rPr>
              <w:t>/</w:t>
            </w:r>
          </w:p>
        </w:tc>
        <w:tc>
          <w:tcPr>
            <w:tcW w:w="1874" w:type="dxa"/>
            <w:vAlign w:val="center"/>
          </w:tcPr>
          <w:p w14:paraId="06340B17">
            <w:pPr>
              <w:pStyle w:val="1429"/>
            </w:pPr>
            <w:r>
              <w:rPr>
                <w:bCs/>
              </w:rPr>
              <w:t>苯并[a]芘</w:t>
            </w:r>
          </w:p>
        </w:tc>
        <w:tc>
          <w:tcPr>
            <w:tcW w:w="865" w:type="dxa"/>
            <w:vAlign w:val="center"/>
          </w:tcPr>
          <w:p w14:paraId="159A1446">
            <w:pPr>
              <w:pStyle w:val="1429"/>
            </w:pPr>
            <w:r>
              <w:t>1.5</w:t>
            </w:r>
          </w:p>
        </w:tc>
        <w:tc>
          <w:tcPr>
            <w:tcW w:w="1009" w:type="dxa"/>
            <w:vAlign w:val="center"/>
          </w:tcPr>
          <w:p w14:paraId="53088DA2">
            <w:pPr>
              <w:pStyle w:val="1429"/>
            </w:pPr>
            <w:r>
              <w:rPr>
                <w:rFonts w:hint="eastAsia"/>
              </w:rPr>
              <w:t>未检出</w:t>
            </w:r>
          </w:p>
        </w:tc>
        <w:tc>
          <w:tcPr>
            <w:tcW w:w="799" w:type="dxa"/>
            <w:vAlign w:val="center"/>
          </w:tcPr>
          <w:p w14:paraId="0A2E4F47">
            <w:pPr>
              <w:pStyle w:val="1429"/>
            </w:pPr>
            <w:r>
              <w:rPr>
                <w:rFonts w:hint="eastAsia"/>
              </w:rPr>
              <w:t>/</w:t>
            </w:r>
          </w:p>
        </w:tc>
      </w:tr>
      <w:tr w14:paraId="3926A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0C44270C">
            <w:pPr>
              <w:pStyle w:val="1429"/>
            </w:pPr>
            <w:r>
              <w:rPr>
                <w:bCs/>
              </w:rPr>
              <w:t>氯甲烷</w:t>
            </w:r>
          </w:p>
        </w:tc>
        <w:tc>
          <w:tcPr>
            <w:tcW w:w="864" w:type="dxa"/>
            <w:vAlign w:val="center"/>
          </w:tcPr>
          <w:p w14:paraId="2D9AB7E0">
            <w:pPr>
              <w:pStyle w:val="1429"/>
            </w:pPr>
            <w:r>
              <w:t>37</w:t>
            </w:r>
          </w:p>
        </w:tc>
        <w:tc>
          <w:tcPr>
            <w:tcW w:w="1009" w:type="dxa"/>
            <w:vAlign w:val="center"/>
          </w:tcPr>
          <w:p w14:paraId="238CCEEA">
            <w:pPr>
              <w:pStyle w:val="1429"/>
            </w:pPr>
            <w:r>
              <w:rPr>
                <w:rFonts w:hint="eastAsia"/>
              </w:rPr>
              <w:t>未检出</w:t>
            </w:r>
          </w:p>
        </w:tc>
        <w:tc>
          <w:tcPr>
            <w:tcW w:w="723" w:type="dxa"/>
            <w:vAlign w:val="center"/>
          </w:tcPr>
          <w:p w14:paraId="6BEAA5DF">
            <w:pPr>
              <w:pStyle w:val="1429"/>
            </w:pPr>
            <w:r>
              <w:rPr>
                <w:rFonts w:hint="eastAsia"/>
              </w:rPr>
              <w:t>/</w:t>
            </w:r>
          </w:p>
        </w:tc>
        <w:tc>
          <w:tcPr>
            <w:tcW w:w="2161" w:type="dxa"/>
            <w:vAlign w:val="center"/>
          </w:tcPr>
          <w:p w14:paraId="23EA4510">
            <w:pPr>
              <w:pStyle w:val="1429"/>
            </w:pPr>
            <w:r>
              <w:rPr>
                <w:bCs/>
              </w:rPr>
              <w:t>氯乙烯</w:t>
            </w:r>
          </w:p>
        </w:tc>
        <w:tc>
          <w:tcPr>
            <w:tcW w:w="721" w:type="dxa"/>
            <w:vAlign w:val="center"/>
          </w:tcPr>
          <w:p w14:paraId="6D6843C3">
            <w:pPr>
              <w:pStyle w:val="1429"/>
            </w:pPr>
            <w:r>
              <w:t>0.43</w:t>
            </w:r>
          </w:p>
        </w:tc>
        <w:tc>
          <w:tcPr>
            <w:tcW w:w="1153" w:type="dxa"/>
            <w:vAlign w:val="center"/>
          </w:tcPr>
          <w:p w14:paraId="53FC7E95">
            <w:pPr>
              <w:pStyle w:val="1429"/>
            </w:pPr>
            <w:r>
              <w:rPr>
                <w:rFonts w:hint="eastAsia"/>
              </w:rPr>
              <w:t>未检出</w:t>
            </w:r>
          </w:p>
        </w:tc>
        <w:tc>
          <w:tcPr>
            <w:tcW w:w="720" w:type="dxa"/>
            <w:vAlign w:val="center"/>
          </w:tcPr>
          <w:p w14:paraId="189105F4">
            <w:pPr>
              <w:pStyle w:val="1429"/>
            </w:pPr>
            <w:r>
              <w:rPr>
                <w:rFonts w:hint="eastAsia"/>
              </w:rPr>
              <w:t>/</w:t>
            </w:r>
          </w:p>
        </w:tc>
        <w:tc>
          <w:tcPr>
            <w:tcW w:w="1874" w:type="dxa"/>
            <w:vAlign w:val="center"/>
          </w:tcPr>
          <w:p w14:paraId="0E9E23BB">
            <w:pPr>
              <w:pStyle w:val="1429"/>
            </w:pPr>
            <w:r>
              <w:rPr>
                <w:bCs/>
              </w:rPr>
              <w:t>苯并[b]荧蒽</w:t>
            </w:r>
          </w:p>
        </w:tc>
        <w:tc>
          <w:tcPr>
            <w:tcW w:w="865" w:type="dxa"/>
            <w:vAlign w:val="center"/>
          </w:tcPr>
          <w:p w14:paraId="63CD785A">
            <w:pPr>
              <w:pStyle w:val="1429"/>
            </w:pPr>
            <w:r>
              <w:t>15</w:t>
            </w:r>
          </w:p>
        </w:tc>
        <w:tc>
          <w:tcPr>
            <w:tcW w:w="1009" w:type="dxa"/>
            <w:vAlign w:val="center"/>
          </w:tcPr>
          <w:p w14:paraId="5C8EF01B">
            <w:pPr>
              <w:pStyle w:val="1429"/>
            </w:pPr>
            <w:r>
              <w:rPr>
                <w:rFonts w:hint="eastAsia"/>
              </w:rPr>
              <w:t>未检出</w:t>
            </w:r>
          </w:p>
        </w:tc>
        <w:tc>
          <w:tcPr>
            <w:tcW w:w="799" w:type="dxa"/>
            <w:vAlign w:val="center"/>
          </w:tcPr>
          <w:p w14:paraId="729E2CB9">
            <w:pPr>
              <w:pStyle w:val="1429"/>
            </w:pPr>
            <w:r>
              <w:rPr>
                <w:rFonts w:hint="eastAsia"/>
              </w:rPr>
              <w:t>/</w:t>
            </w:r>
          </w:p>
        </w:tc>
      </w:tr>
      <w:tr w14:paraId="3A3B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1B8080B0">
            <w:pPr>
              <w:pStyle w:val="1429"/>
            </w:pPr>
            <w:r>
              <w:rPr>
                <w:bCs/>
              </w:rPr>
              <w:t>1,1-二氯乙烷</w:t>
            </w:r>
          </w:p>
        </w:tc>
        <w:tc>
          <w:tcPr>
            <w:tcW w:w="864" w:type="dxa"/>
            <w:vAlign w:val="center"/>
          </w:tcPr>
          <w:p w14:paraId="2BD5960A">
            <w:pPr>
              <w:pStyle w:val="1429"/>
            </w:pPr>
            <w:r>
              <w:t>9</w:t>
            </w:r>
          </w:p>
        </w:tc>
        <w:tc>
          <w:tcPr>
            <w:tcW w:w="1009" w:type="dxa"/>
            <w:vAlign w:val="center"/>
          </w:tcPr>
          <w:p w14:paraId="3BE9B6A7">
            <w:pPr>
              <w:pStyle w:val="1429"/>
            </w:pPr>
            <w:r>
              <w:rPr>
                <w:rFonts w:hint="eastAsia"/>
              </w:rPr>
              <w:t>未检出</w:t>
            </w:r>
          </w:p>
        </w:tc>
        <w:tc>
          <w:tcPr>
            <w:tcW w:w="723" w:type="dxa"/>
            <w:vAlign w:val="center"/>
          </w:tcPr>
          <w:p w14:paraId="10110747">
            <w:pPr>
              <w:pStyle w:val="1429"/>
            </w:pPr>
            <w:r>
              <w:rPr>
                <w:rFonts w:hint="eastAsia"/>
              </w:rPr>
              <w:t>/</w:t>
            </w:r>
          </w:p>
        </w:tc>
        <w:tc>
          <w:tcPr>
            <w:tcW w:w="2161" w:type="dxa"/>
            <w:vAlign w:val="center"/>
          </w:tcPr>
          <w:p w14:paraId="7850E3C4">
            <w:pPr>
              <w:pStyle w:val="1429"/>
            </w:pPr>
            <w:r>
              <w:rPr>
                <w:bCs/>
              </w:rPr>
              <w:t>苯</w:t>
            </w:r>
          </w:p>
        </w:tc>
        <w:tc>
          <w:tcPr>
            <w:tcW w:w="721" w:type="dxa"/>
            <w:vAlign w:val="center"/>
          </w:tcPr>
          <w:p w14:paraId="523EC027">
            <w:pPr>
              <w:pStyle w:val="1429"/>
            </w:pPr>
            <w:r>
              <w:t>4</w:t>
            </w:r>
          </w:p>
        </w:tc>
        <w:tc>
          <w:tcPr>
            <w:tcW w:w="1153" w:type="dxa"/>
            <w:vAlign w:val="center"/>
          </w:tcPr>
          <w:p w14:paraId="4C5E6C03">
            <w:pPr>
              <w:pStyle w:val="1429"/>
            </w:pPr>
            <w:r>
              <w:rPr>
                <w:rFonts w:hint="eastAsia"/>
              </w:rPr>
              <w:t>未检出</w:t>
            </w:r>
          </w:p>
        </w:tc>
        <w:tc>
          <w:tcPr>
            <w:tcW w:w="720" w:type="dxa"/>
            <w:vAlign w:val="center"/>
          </w:tcPr>
          <w:p w14:paraId="5D6292BE">
            <w:pPr>
              <w:pStyle w:val="1429"/>
            </w:pPr>
            <w:r>
              <w:rPr>
                <w:rFonts w:hint="eastAsia"/>
              </w:rPr>
              <w:t>/</w:t>
            </w:r>
          </w:p>
        </w:tc>
        <w:tc>
          <w:tcPr>
            <w:tcW w:w="1874" w:type="dxa"/>
            <w:vAlign w:val="center"/>
          </w:tcPr>
          <w:p w14:paraId="29A47331">
            <w:pPr>
              <w:pStyle w:val="1429"/>
            </w:pPr>
            <w:r>
              <w:rPr>
                <w:bCs/>
              </w:rPr>
              <w:t>苯并[k]荧蒽</w:t>
            </w:r>
          </w:p>
        </w:tc>
        <w:tc>
          <w:tcPr>
            <w:tcW w:w="865" w:type="dxa"/>
            <w:vAlign w:val="center"/>
          </w:tcPr>
          <w:p w14:paraId="24E3F56B">
            <w:pPr>
              <w:pStyle w:val="1429"/>
            </w:pPr>
            <w:r>
              <w:t>151</w:t>
            </w:r>
          </w:p>
        </w:tc>
        <w:tc>
          <w:tcPr>
            <w:tcW w:w="1009" w:type="dxa"/>
            <w:vAlign w:val="center"/>
          </w:tcPr>
          <w:p w14:paraId="584AE2CF">
            <w:pPr>
              <w:pStyle w:val="1429"/>
            </w:pPr>
            <w:r>
              <w:rPr>
                <w:rFonts w:hint="eastAsia"/>
              </w:rPr>
              <w:t>未检出</w:t>
            </w:r>
          </w:p>
        </w:tc>
        <w:tc>
          <w:tcPr>
            <w:tcW w:w="799" w:type="dxa"/>
            <w:vAlign w:val="center"/>
          </w:tcPr>
          <w:p w14:paraId="4BEC1057">
            <w:pPr>
              <w:pStyle w:val="1429"/>
            </w:pPr>
            <w:r>
              <w:rPr>
                <w:rFonts w:hint="eastAsia"/>
              </w:rPr>
              <w:t>/</w:t>
            </w:r>
          </w:p>
        </w:tc>
      </w:tr>
      <w:tr w14:paraId="3B4D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20F81BB9">
            <w:pPr>
              <w:pStyle w:val="1429"/>
            </w:pPr>
            <w:r>
              <w:rPr>
                <w:bCs/>
              </w:rPr>
              <w:t>1,2-二氯乙烷</w:t>
            </w:r>
          </w:p>
        </w:tc>
        <w:tc>
          <w:tcPr>
            <w:tcW w:w="864" w:type="dxa"/>
            <w:vAlign w:val="center"/>
          </w:tcPr>
          <w:p w14:paraId="694C57DB">
            <w:pPr>
              <w:pStyle w:val="1429"/>
            </w:pPr>
            <w:r>
              <w:t>5</w:t>
            </w:r>
          </w:p>
        </w:tc>
        <w:tc>
          <w:tcPr>
            <w:tcW w:w="1009" w:type="dxa"/>
            <w:vAlign w:val="center"/>
          </w:tcPr>
          <w:p w14:paraId="30D3499F">
            <w:pPr>
              <w:pStyle w:val="1429"/>
            </w:pPr>
            <w:r>
              <w:rPr>
                <w:rFonts w:hint="eastAsia"/>
              </w:rPr>
              <w:t>未检出</w:t>
            </w:r>
          </w:p>
        </w:tc>
        <w:tc>
          <w:tcPr>
            <w:tcW w:w="723" w:type="dxa"/>
            <w:vAlign w:val="center"/>
          </w:tcPr>
          <w:p w14:paraId="34BC232B">
            <w:pPr>
              <w:pStyle w:val="1429"/>
            </w:pPr>
            <w:r>
              <w:rPr>
                <w:rFonts w:hint="eastAsia"/>
              </w:rPr>
              <w:t>/</w:t>
            </w:r>
          </w:p>
        </w:tc>
        <w:tc>
          <w:tcPr>
            <w:tcW w:w="2161" w:type="dxa"/>
            <w:vAlign w:val="center"/>
          </w:tcPr>
          <w:p w14:paraId="309DEA42">
            <w:pPr>
              <w:pStyle w:val="1429"/>
            </w:pPr>
            <w:r>
              <w:rPr>
                <w:bCs/>
              </w:rPr>
              <w:t>氯苯</w:t>
            </w:r>
          </w:p>
        </w:tc>
        <w:tc>
          <w:tcPr>
            <w:tcW w:w="721" w:type="dxa"/>
            <w:vAlign w:val="center"/>
          </w:tcPr>
          <w:p w14:paraId="3530C450">
            <w:pPr>
              <w:pStyle w:val="1429"/>
            </w:pPr>
            <w:r>
              <w:t>270</w:t>
            </w:r>
          </w:p>
        </w:tc>
        <w:tc>
          <w:tcPr>
            <w:tcW w:w="1153" w:type="dxa"/>
            <w:vAlign w:val="center"/>
          </w:tcPr>
          <w:p w14:paraId="2AE7FED7">
            <w:pPr>
              <w:pStyle w:val="1429"/>
            </w:pPr>
            <w:r>
              <w:rPr>
                <w:rFonts w:hint="eastAsia"/>
              </w:rPr>
              <w:t>未检出</w:t>
            </w:r>
          </w:p>
        </w:tc>
        <w:tc>
          <w:tcPr>
            <w:tcW w:w="720" w:type="dxa"/>
            <w:vAlign w:val="center"/>
          </w:tcPr>
          <w:p w14:paraId="2128466A">
            <w:pPr>
              <w:pStyle w:val="1429"/>
            </w:pPr>
            <w:r>
              <w:rPr>
                <w:rFonts w:hint="eastAsia"/>
              </w:rPr>
              <w:t>/</w:t>
            </w:r>
          </w:p>
        </w:tc>
        <w:tc>
          <w:tcPr>
            <w:tcW w:w="1874" w:type="dxa"/>
            <w:vAlign w:val="center"/>
          </w:tcPr>
          <w:p w14:paraId="21220EDA">
            <w:pPr>
              <w:pStyle w:val="1429"/>
            </w:pPr>
            <w:r>
              <w:rPr>
                <w:bCs/>
              </w:rPr>
              <w:t>䓛</w:t>
            </w:r>
          </w:p>
        </w:tc>
        <w:tc>
          <w:tcPr>
            <w:tcW w:w="865" w:type="dxa"/>
            <w:vAlign w:val="center"/>
          </w:tcPr>
          <w:p w14:paraId="32A07978">
            <w:pPr>
              <w:pStyle w:val="1429"/>
            </w:pPr>
            <w:r>
              <w:t>1293</w:t>
            </w:r>
          </w:p>
        </w:tc>
        <w:tc>
          <w:tcPr>
            <w:tcW w:w="1009" w:type="dxa"/>
            <w:vAlign w:val="center"/>
          </w:tcPr>
          <w:p w14:paraId="5160B3E1">
            <w:pPr>
              <w:pStyle w:val="1429"/>
            </w:pPr>
            <w:r>
              <w:rPr>
                <w:rFonts w:hint="eastAsia"/>
              </w:rPr>
              <w:t>未检出</w:t>
            </w:r>
          </w:p>
        </w:tc>
        <w:tc>
          <w:tcPr>
            <w:tcW w:w="799" w:type="dxa"/>
            <w:vAlign w:val="center"/>
          </w:tcPr>
          <w:p w14:paraId="05E19CED">
            <w:pPr>
              <w:pStyle w:val="1429"/>
            </w:pPr>
            <w:r>
              <w:rPr>
                <w:rFonts w:hint="eastAsia"/>
              </w:rPr>
              <w:t>/</w:t>
            </w:r>
          </w:p>
        </w:tc>
      </w:tr>
      <w:tr w14:paraId="24C1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37FA9ABC">
            <w:pPr>
              <w:pStyle w:val="1429"/>
            </w:pPr>
            <w:r>
              <w:rPr>
                <w:bCs/>
              </w:rPr>
              <w:t>1,1-二氯乙烯</w:t>
            </w:r>
          </w:p>
        </w:tc>
        <w:tc>
          <w:tcPr>
            <w:tcW w:w="864" w:type="dxa"/>
            <w:vAlign w:val="center"/>
          </w:tcPr>
          <w:p w14:paraId="240F0241">
            <w:pPr>
              <w:pStyle w:val="1429"/>
            </w:pPr>
            <w:r>
              <w:t>66</w:t>
            </w:r>
          </w:p>
        </w:tc>
        <w:tc>
          <w:tcPr>
            <w:tcW w:w="1009" w:type="dxa"/>
            <w:vAlign w:val="center"/>
          </w:tcPr>
          <w:p w14:paraId="6ED636ED">
            <w:pPr>
              <w:pStyle w:val="1429"/>
            </w:pPr>
            <w:r>
              <w:rPr>
                <w:rFonts w:hint="eastAsia"/>
              </w:rPr>
              <w:t>未检出</w:t>
            </w:r>
          </w:p>
        </w:tc>
        <w:tc>
          <w:tcPr>
            <w:tcW w:w="723" w:type="dxa"/>
            <w:vAlign w:val="center"/>
          </w:tcPr>
          <w:p w14:paraId="2B060E98">
            <w:pPr>
              <w:pStyle w:val="1429"/>
            </w:pPr>
            <w:r>
              <w:rPr>
                <w:rFonts w:hint="eastAsia"/>
              </w:rPr>
              <w:t>/</w:t>
            </w:r>
          </w:p>
        </w:tc>
        <w:tc>
          <w:tcPr>
            <w:tcW w:w="2161" w:type="dxa"/>
            <w:vAlign w:val="center"/>
          </w:tcPr>
          <w:p w14:paraId="226AB7A9">
            <w:pPr>
              <w:pStyle w:val="1429"/>
            </w:pPr>
            <w:r>
              <w:rPr>
                <w:bCs/>
              </w:rPr>
              <w:t>1,2-二氯苯</w:t>
            </w:r>
          </w:p>
        </w:tc>
        <w:tc>
          <w:tcPr>
            <w:tcW w:w="721" w:type="dxa"/>
            <w:vAlign w:val="center"/>
          </w:tcPr>
          <w:p w14:paraId="73148B15">
            <w:pPr>
              <w:pStyle w:val="1429"/>
            </w:pPr>
            <w:r>
              <w:t>560</w:t>
            </w:r>
          </w:p>
        </w:tc>
        <w:tc>
          <w:tcPr>
            <w:tcW w:w="1153" w:type="dxa"/>
            <w:vAlign w:val="center"/>
          </w:tcPr>
          <w:p w14:paraId="7628A9C6">
            <w:pPr>
              <w:pStyle w:val="1429"/>
            </w:pPr>
            <w:r>
              <w:rPr>
                <w:rFonts w:hint="eastAsia"/>
              </w:rPr>
              <w:t>未检出</w:t>
            </w:r>
          </w:p>
        </w:tc>
        <w:tc>
          <w:tcPr>
            <w:tcW w:w="720" w:type="dxa"/>
            <w:vAlign w:val="center"/>
          </w:tcPr>
          <w:p w14:paraId="11060898">
            <w:pPr>
              <w:pStyle w:val="1429"/>
            </w:pPr>
            <w:r>
              <w:rPr>
                <w:rFonts w:hint="eastAsia"/>
              </w:rPr>
              <w:t>/</w:t>
            </w:r>
          </w:p>
        </w:tc>
        <w:tc>
          <w:tcPr>
            <w:tcW w:w="1874" w:type="dxa"/>
            <w:vAlign w:val="center"/>
          </w:tcPr>
          <w:p w14:paraId="2F8465D8">
            <w:pPr>
              <w:pStyle w:val="1429"/>
            </w:pPr>
            <w:r>
              <w:rPr>
                <w:bCs/>
              </w:rPr>
              <w:t>二苯并[a,h]蒽</w:t>
            </w:r>
          </w:p>
        </w:tc>
        <w:tc>
          <w:tcPr>
            <w:tcW w:w="865" w:type="dxa"/>
            <w:vAlign w:val="center"/>
          </w:tcPr>
          <w:p w14:paraId="0543D2E8">
            <w:pPr>
              <w:pStyle w:val="1429"/>
            </w:pPr>
            <w:r>
              <w:t>1.5</w:t>
            </w:r>
          </w:p>
        </w:tc>
        <w:tc>
          <w:tcPr>
            <w:tcW w:w="1009" w:type="dxa"/>
            <w:vAlign w:val="center"/>
          </w:tcPr>
          <w:p w14:paraId="15FED40B">
            <w:pPr>
              <w:pStyle w:val="1429"/>
            </w:pPr>
            <w:r>
              <w:rPr>
                <w:rFonts w:hint="eastAsia"/>
              </w:rPr>
              <w:t>未检出</w:t>
            </w:r>
          </w:p>
        </w:tc>
        <w:tc>
          <w:tcPr>
            <w:tcW w:w="799" w:type="dxa"/>
            <w:vAlign w:val="center"/>
          </w:tcPr>
          <w:p w14:paraId="6C196197">
            <w:pPr>
              <w:pStyle w:val="1429"/>
            </w:pPr>
            <w:r>
              <w:rPr>
                <w:rFonts w:hint="eastAsia"/>
              </w:rPr>
              <w:t>/</w:t>
            </w:r>
          </w:p>
        </w:tc>
      </w:tr>
      <w:tr w14:paraId="21793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3B2905F1">
            <w:pPr>
              <w:pStyle w:val="1429"/>
            </w:pPr>
            <w:r>
              <w:rPr>
                <w:bCs/>
              </w:rPr>
              <w:t>顺-1,2-二氯乙烯</w:t>
            </w:r>
          </w:p>
        </w:tc>
        <w:tc>
          <w:tcPr>
            <w:tcW w:w="864" w:type="dxa"/>
            <w:vAlign w:val="center"/>
          </w:tcPr>
          <w:p w14:paraId="2FD5B1FD">
            <w:pPr>
              <w:pStyle w:val="1429"/>
            </w:pPr>
            <w:r>
              <w:t>596</w:t>
            </w:r>
          </w:p>
        </w:tc>
        <w:tc>
          <w:tcPr>
            <w:tcW w:w="1009" w:type="dxa"/>
            <w:vAlign w:val="center"/>
          </w:tcPr>
          <w:p w14:paraId="3419FCAB">
            <w:pPr>
              <w:pStyle w:val="1429"/>
            </w:pPr>
            <w:r>
              <w:rPr>
                <w:rFonts w:hint="eastAsia"/>
              </w:rPr>
              <w:t>未检出</w:t>
            </w:r>
          </w:p>
        </w:tc>
        <w:tc>
          <w:tcPr>
            <w:tcW w:w="723" w:type="dxa"/>
            <w:vAlign w:val="center"/>
          </w:tcPr>
          <w:p w14:paraId="63FF0A14">
            <w:pPr>
              <w:pStyle w:val="1429"/>
            </w:pPr>
            <w:r>
              <w:rPr>
                <w:rFonts w:hint="eastAsia"/>
              </w:rPr>
              <w:t>/</w:t>
            </w:r>
          </w:p>
        </w:tc>
        <w:tc>
          <w:tcPr>
            <w:tcW w:w="2161" w:type="dxa"/>
            <w:vAlign w:val="center"/>
          </w:tcPr>
          <w:p w14:paraId="4A3298ED">
            <w:pPr>
              <w:pStyle w:val="1429"/>
            </w:pPr>
            <w:r>
              <w:rPr>
                <w:bCs/>
              </w:rPr>
              <w:t>1,4-二氯苯</w:t>
            </w:r>
          </w:p>
        </w:tc>
        <w:tc>
          <w:tcPr>
            <w:tcW w:w="721" w:type="dxa"/>
            <w:vAlign w:val="center"/>
          </w:tcPr>
          <w:p w14:paraId="12219903">
            <w:pPr>
              <w:pStyle w:val="1429"/>
            </w:pPr>
            <w:r>
              <w:t>20</w:t>
            </w:r>
          </w:p>
        </w:tc>
        <w:tc>
          <w:tcPr>
            <w:tcW w:w="1153" w:type="dxa"/>
            <w:vAlign w:val="center"/>
          </w:tcPr>
          <w:p w14:paraId="2DF7C48F">
            <w:pPr>
              <w:pStyle w:val="1429"/>
            </w:pPr>
            <w:r>
              <w:rPr>
                <w:rFonts w:hint="eastAsia"/>
              </w:rPr>
              <w:t>未检出</w:t>
            </w:r>
          </w:p>
        </w:tc>
        <w:tc>
          <w:tcPr>
            <w:tcW w:w="720" w:type="dxa"/>
            <w:vAlign w:val="center"/>
          </w:tcPr>
          <w:p w14:paraId="153C6BD5">
            <w:pPr>
              <w:pStyle w:val="1429"/>
            </w:pPr>
            <w:r>
              <w:rPr>
                <w:rFonts w:hint="eastAsia"/>
              </w:rPr>
              <w:t>/</w:t>
            </w:r>
          </w:p>
        </w:tc>
        <w:tc>
          <w:tcPr>
            <w:tcW w:w="1874" w:type="dxa"/>
            <w:vAlign w:val="center"/>
          </w:tcPr>
          <w:p w14:paraId="4A01819A">
            <w:pPr>
              <w:pStyle w:val="1429"/>
            </w:pPr>
            <w:r>
              <w:rPr>
                <w:bCs/>
              </w:rPr>
              <w:t>茚并[1,2,3-c,d]芘</w:t>
            </w:r>
          </w:p>
        </w:tc>
        <w:tc>
          <w:tcPr>
            <w:tcW w:w="865" w:type="dxa"/>
            <w:vAlign w:val="center"/>
          </w:tcPr>
          <w:p w14:paraId="36D5C5C4">
            <w:pPr>
              <w:pStyle w:val="1429"/>
            </w:pPr>
            <w:r>
              <w:t>15</w:t>
            </w:r>
          </w:p>
        </w:tc>
        <w:tc>
          <w:tcPr>
            <w:tcW w:w="1009" w:type="dxa"/>
            <w:vAlign w:val="center"/>
          </w:tcPr>
          <w:p w14:paraId="4210BB5B">
            <w:pPr>
              <w:pStyle w:val="1429"/>
            </w:pPr>
            <w:r>
              <w:rPr>
                <w:rFonts w:hint="eastAsia"/>
              </w:rPr>
              <w:t>未检出</w:t>
            </w:r>
          </w:p>
        </w:tc>
        <w:tc>
          <w:tcPr>
            <w:tcW w:w="799" w:type="dxa"/>
            <w:vAlign w:val="center"/>
          </w:tcPr>
          <w:p w14:paraId="16F07305">
            <w:pPr>
              <w:pStyle w:val="1429"/>
            </w:pPr>
            <w:r>
              <w:rPr>
                <w:rFonts w:hint="eastAsia"/>
              </w:rPr>
              <w:t>/</w:t>
            </w:r>
          </w:p>
        </w:tc>
      </w:tr>
      <w:tr w14:paraId="548BD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Align w:val="center"/>
          </w:tcPr>
          <w:p w14:paraId="42FD5E13">
            <w:pPr>
              <w:pStyle w:val="1429"/>
            </w:pPr>
            <w:r>
              <w:rPr>
                <w:bCs/>
              </w:rPr>
              <w:t>反-1,2-二氯乙烯</w:t>
            </w:r>
          </w:p>
        </w:tc>
        <w:tc>
          <w:tcPr>
            <w:tcW w:w="864" w:type="dxa"/>
            <w:vAlign w:val="center"/>
          </w:tcPr>
          <w:p w14:paraId="0D0ECA5C">
            <w:pPr>
              <w:pStyle w:val="1429"/>
            </w:pPr>
            <w:r>
              <w:t>54</w:t>
            </w:r>
          </w:p>
        </w:tc>
        <w:tc>
          <w:tcPr>
            <w:tcW w:w="1009" w:type="dxa"/>
            <w:vAlign w:val="center"/>
          </w:tcPr>
          <w:p w14:paraId="0B75DB88">
            <w:pPr>
              <w:pStyle w:val="1429"/>
            </w:pPr>
            <w:r>
              <w:rPr>
                <w:rFonts w:hint="eastAsia"/>
              </w:rPr>
              <w:t>未检出</w:t>
            </w:r>
          </w:p>
        </w:tc>
        <w:tc>
          <w:tcPr>
            <w:tcW w:w="723" w:type="dxa"/>
            <w:vAlign w:val="center"/>
          </w:tcPr>
          <w:p w14:paraId="4373950C">
            <w:pPr>
              <w:pStyle w:val="1429"/>
            </w:pPr>
            <w:r>
              <w:rPr>
                <w:rFonts w:hint="eastAsia"/>
              </w:rPr>
              <w:t>/</w:t>
            </w:r>
          </w:p>
        </w:tc>
        <w:tc>
          <w:tcPr>
            <w:tcW w:w="2161" w:type="dxa"/>
            <w:vAlign w:val="center"/>
          </w:tcPr>
          <w:p w14:paraId="4429C061">
            <w:pPr>
              <w:pStyle w:val="1429"/>
            </w:pPr>
            <w:r>
              <w:rPr>
                <w:bCs/>
              </w:rPr>
              <w:t>乙苯</w:t>
            </w:r>
          </w:p>
        </w:tc>
        <w:tc>
          <w:tcPr>
            <w:tcW w:w="721" w:type="dxa"/>
            <w:vAlign w:val="center"/>
          </w:tcPr>
          <w:p w14:paraId="10C62CF9">
            <w:pPr>
              <w:pStyle w:val="1429"/>
            </w:pPr>
            <w:r>
              <w:t>28</w:t>
            </w:r>
          </w:p>
        </w:tc>
        <w:tc>
          <w:tcPr>
            <w:tcW w:w="1153" w:type="dxa"/>
            <w:vAlign w:val="center"/>
          </w:tcPr>
          <w:p w14:paraId="1DB7F6DE">
            <w:pPr>
              <w:pStyle w:val="1429"/>
            </w:pPr>
            <w:r>
              <w:rPr>
                <w:rFonts w:hint="eastAsia"/>
              </w:rPr>
              <w:t>未检出</w:t>
            </w:r>
          </w:p>
        </w:tc>
        <w:tc>
          <w:tcPr>
            <w:tcW w:w="720" w:type="dxa"/>
            <w:vAlign w:val="center"/>
          </w:tcPr>
          <w:p w14:paraId="35867525">
            <w:pPr>
              <w:pStyle w:val="1429"/>
            </w:pPr>
            <w:r>
              <w:rPr>
                <w:rFonts w:hint="eastAsia"/>
              </w:rPr>
              <w:t>/</w:t>
            </w:r>
          </w:p>
        </w:tc>
        <w:tc>
          <w:tcPr>
            <w:tcW w:w="1874" w:type="dxa"/>
            <w:vAlign w:val="center"/>
          </w:tcPr>
          <w:p w14:paraId="0248E5C3">
            <w:pPr>
              <w:pStyle w:val="1429"/>
            </w:pPr>
            <w:r>
              <w:rPr>
                <w:bCs/>
              </w:rPr>
              <w:t>萘</w:t>
            </w:r>
          </w:p>
        </w:tc>
        <w:tc>
          <w:tcPr>
            <w:tcW w:w="865" w:type="dxa"/>
            <w:vAlign w:val="center"/>
          </w:tcPr>
          <w:p w14:paraId="41A30ABC">
            <w:pPr>
              <w:pStyle w:val="1429"/>
            </w:pPr>
            <w:r>
              <w:t>70</w:t>
            </w:r>
          </w:p>
        </w:tc>
        <w:tc>
          <w:tcPr>
            <w:tcW w:w="1009" w:type="dxa"/>
            <w:vAlign w:val="center"/>
          </w:tcPr>
          <w:p w14:paraId="26DF9E2D">
            <w:pPr>
              <w:pStyle w:val="1429"/>
            </w:pPr>
            <w:r>
              <w:rPr>
                <w:rFonts w:hint="eastAsia"/>
              </w:rPr>
              <w:t>未检出</w:t>
            </w:r>
          </w:p>
        </w:tc>
        <w:tc>
          <w:tcPr>
            <w:tcW w:w="799" w:type="dxa"/>
            <w:vAlign w:val="center"/>
          </w:tcPr>
          <w:p w14:paraId="6BC3E096">
            <w:pPr>
              <w:pStyle w:val="1429"/>
            </w:pPr>
            <w:r>
              <w:rPr>
                <w:rFonts w:hint="eastAsia"/>
              </w:rPr>
              <w:t>/</w:t>
            </w:r>
          </w:p>
        </w:tc>
      </w:tr>
    </w:tbl>
    <w:p w14:paraId="148B2DD4">
      <w:pPr>
        <w:pStyle w:val="1066"/>
        <w:ind w:firstLine="520"/>
        <w:rPr>
          <w:rFonts w:cs="Times New Roman"/>
        </w:rPr>
      </w:pPr>
    </w:p>
    <w:p w14:paraId="3A69D251">
      <w:pPr>
        <w:pStyle w:val="1065"/>
        <w:ind w:firstLine="480"/>
      </w:pPr>
      <w:r>
        <w:t>4.2-17  特征因子</w:t>
      </w:r>
      <w:r>
        <w:rPr>
          <w:rFonts w:hint="eastAsia"/>
        </w:rPr>
        <w:t>监测结果</w:t>
      </w:r>
      <w:r>
        <w:t>统计表</w:t>
      </w:r>
      <w:r>
        <w:rPr>
          <w:rFonts w:hint="eastAsia"/>
        </w:rPr>
        <w:t xml:space="preserve"> </w:t>
      </w:r>
      <w:r>
        <w:t xml:space="preserve"> 单位：mg/kg（pH无量纲）</w:t>
      </w:r>
    </w:p>
    <w:tbl>
      <w:tblPr>
        <w:tblStyle w:val="88"/>
        <w:tblW w:w="13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721"/>
        <w:gridCol w:w="1008"/>
        <w:gridCol w:w="1010"/>
        <w:gridCol w:w="1008"/>
        <w:gridCol w:w="1010"/>
        <w:gridCol w:w="1010"/>
        <w:gridCol w:w="1010"/>
        <w:gridCol w:w="1010"/>
        <w:gridCol w:w="1010"/>
        <w:gridCol w:w="997"/>
        <w:gridCol w:w="997"/>
        <w:gridCol w:w="991"/>
        <w:gridCol w:w="978"/>
      </w:tblGrid>
      <w:tr w14:paraId="62B9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005" w:type="dxa"/>
            <w:vMerge w:val="restart"/>
            <w:vAlign w:val="center"/>
          </w:tcPr>
          <w:p w14:paraId="08B63F07">
            <w:pPr>
              <w:pStyle w:val="687"/>
              <w:rPr>
                <w:szCs w:val="22"/>
              </w:rPr>
            </w:pPr>
            <w:r>
              <w:rPr>
                <w:szCs w:val="22"/>
              </w:rPr>
              <w:t>监测</w:t>
            </w:r>
          </w:p>
          <w:p w14:paraId="529C9B9A">
            <w:pPr>
              <w:pStyle w:val="687"/>
              <w:rPr>
                <w:szCs w:val="22"/>
              </w:rPr>
            </w:pPr>
            <w:r>
              <w:rPr>
                <w:szCs w:val="22"/>
              </w:rPr>
              <w:t>因子</w:t>
            </w:r>
          </w:p>
        </w:tc>
        <w:tc>
          <w:tcPr>
            <w:tcW w:w="721" w:type="dxa"/>
            <w:vMerge w:val="restart"/>
            <w:vAlign w:val="center"/>
          </w:tcPr>
          <w:p w14:paraId="5D0A354A">
            <w:pPr>
              <w:pStyle w:val="687"/>
              <w:rPr>
                <w:bCs/>
                <w:szCs w:val="22"/>
              </w:rPr>
            </w:pPr>
            <w:r>
              <w:rPr>
                <w:bCs/>
                <w:szCs w:val="22"/>
              </w:rPr>
              <w:t>标准值</w:t>
            </w:r>
          </w:p>
        </w:tc>
        <w:tc>
          <w:tcPr>
            <w:tcW w:w="6056" w:type="dxa"/>
            <w:gridSpan w:val="6"/>
            <w:vAlign w:val="center"/>
          </w:tcPr>
          <w:p w14:paraId="6BAB499F">
            <w:pPr>
              <w:pStyle w:val="687"/>
              <w:rPr>
                <w:szCs w:val="22"/>
              </w:rPr>
            </w:pPr>
            <w:r>
              <w:rPr>
                <w:bCs/>
                <w:szCs w:val="22"/>
              </w:rPr>
              <w:t>T1</w:t>
            </w:r>
          </w:p>
        </w:tc>
        <w:tc>
          <w:tcPr>
            <w:tcW w:w="5983" w:type="dxa"/>
            <w:gridSpan w:val="6"/>
            <w:vAlign w:val="center"/>
          </w:tcPr>
          <w:p w14:paraId="25344EA0">
            <w:pPr>
              <w:pStyle w:val="687"/>
              <w:rPr>
                <w:szCs w:val="22"/>
              </w:rPr>
            </w:pPr>
            <w:r>
              <w:rPr>
                <w:bCs/>
                <w:szCs w:val="22"/>
              </w:rPr>
              <w:t>T2</w:t>
            </w:r>
          </w:p>
        </w:tc>
      </w:tr>
      <w:tr w14:paraId="33C5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Merge w:val="continue"/>
            <w:vAlign w:val="center"/>
          </w:tcPr>
          <w:p w14:paraId="72F38CC4">
            <w:pPr>
              <w:pStyle w:val="687"/>
              <w:rPr>
                <w:szCs w:val="22"/>
              </w:rPr>
            </w:pPr>
          </w:p>
        </w:tc>
        <w:tc>
          <w:tcPr>
            <w:tcW w:w="721" w:type="dxa"/>
            <w:vMerge w:val="continue"/>
            <w:vAlign w:val="center"/>
          </w:tcPr>
          <w:p w14:paraId="046C1E56">
            <w:pPr>
              <w:pStyle w:val="687"/>
              <w:rPr>
                <w:szCs w:val="22"/>
              </w:rPr>
            </w:pPr>
          </w:p>
        </w:tc>
        <w:tc>
          <w:tcPr>
            <w:tcW w:w="2018" w:type="dxa"/>
            <w:gridSpan w:val="2"/>
            <w:vAlign w:val="center"/>
          </w:tcPr>
          <w:p w14:paraId="42D488B5">
            <w:pPr>
              <w:pStyle w:val="687"/>
              <w:rPr>
                <w:szCs w:val="22"/>
              </w:rPr>
            </w:pPr>
            <w:r>
              <w:rPr>
                <w:szCs w:val="22"/>
              </w:rPr>
              <w:t>0~0.5m</w:t>
            </w:r>
          </w:p>
        </w:tc>
        <w:tc>
          <w:tcPr>
            <w:tcW w:w="2018" w:type="dxa"/>
            <w:gridSpan w:val="2"/>
            <w:vAlign w:val="center"/>
          </w:tcPr>
          <w:p w14:paraId="6E8D5BD2">
            <w:pPr>
              <w:pStyle w:val="687"/>
              <w:rPr>
                <w:szCs w:val="22"/>
              </w:rPr>
            </w:pPr>
            <w:r>
              <w:rPr>
                <w:szCs w:val="22"/>
              </w:rPr>
              <w:t>0.5~1.5m</w:t>
            </w:r>
          </w:p>
        </w:tc>
        <w:tc>
          <w:tcPr>
            <w:tcW w:w="2020" w:type="dxa"/>
            <w:gridSpan w:val="2"/>
            <w:vAlign w:val="center"/>
          </w:tcPr>
          <w:p w14:paraId="40087FD9">
            <w:pPr>
              <w:pStyle w:val="687"/>
              <w:rPr>
                <w:szCs w:val="22"/>
              </w:rPr>
            </w:pPr>
            <w:r>
              <w:rPr>
                <w:szCs w:val="22"/>
              </w:rPr>
              <w:t>1.5~3.0m</w:t>
            </w:r>
          </w:p>
        </w:tc>
        <w:tc>
          <w:tcPr>
            <w:tcW w:w="2020" w:type="dxa"/>
            <w:gridSpan w:val="2"/>
            <w:vAlign w:val="center"/>
          </w:tcPr>
          <w:p w14:paraId="211D8BB7">
            <w:pPr>
              <w:pStyle w:val="687"/>
              <w:rPr>
                <w:szCs w:val="22"/>
              </w:rPr>
            </w:pPr>
            <w:r>
              <w:rPr>
                <w:szCs w:val="22"/>
              </w:rPr>
              <w:t>0~0.5m</w:t>
            </w:r>
          </w:p>
        </w:tc>
        <w:tc>
          <w:tcPr>
            <w:tcW w:w="1994" w:type="dxa"/>
            <w:gridSpan w:val="2"/>
            <w:vAlign w:val="center"/>
          </w:tcPr>
          <w:p w14:paraId="0585A3D5">
            <w:pPr>
              <w:pStyle w:val="687"/>
              <w:rPr>
                <w:szCs w:val="22"/>
              </w:rPr>
            </w:pPr>
            <w:r>
              <w:rPr>
                <w:szCs w:val="22"/>
              </w:rPr>
              <w:t>0.5~1.5m</w:t>
            </w:r>
          </w:p>
        </w:tc>
        <w:tc>
          <w:tcPr>
            <w:tcW w:w="1969" w:type="dxa"/>
            <w:gridSpan w:val="2"/>
            <w:vAlign w:val="center"/>
          </w:tcPr>
          <w:p w14:paraId="72EAC644">
            <w:pPr>
              <w:pStyle w:val="687"/>
              <w:rPr>
                <w:szCs w:val="22"/>
              </w:rPr>
            </w:pPr>
            <w:r>
              <w:rPr>
                <w:szCs w:val="22"/>
              </w:rPr>
              <w:t>1.5~3.0m</w:t>
            </w:r>
          </w:p>
        </w:tc>
      </w:tr>
      <w:tr w14:paraId="0EFA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05" w:type="dxa"/>
            <w:vMerge w:val="continue"/>
            <w:vAlign w:val="center"/>
          </w:tcPr>
          <w:p w14:paraId="2C481BB7">
            <w:pPr>
              <w:pStyle w:val="687"/>
              <w:rPr>
                <w:szCs w:val="22"/>
              </w:rPr>
            </w:pPr>
          </w:p>
        </w:tc>
        <w:tc>
          <w:tcPr>
            <w:tcW w:w="721" w:type="dxa"/>
            <w:vMerge w:val="continue"/>
            <w:vAlign w:val="center"/>
          </w:tcPr>
          <w:p w14:paraId="655C1671">
            <w:pPr>
              <w:pStyle w:val="687"/>
              <w:rPr>
                <w:szCs w:val="22"/>
              </w:rPr>
            </w:pPr>
          </w:p>
        </w:tc>
        <w:tc>
          <w:tcPr>
            <w:tcW w:w="1008" w:type="dxa"/>
            <w:vAlign w:val="center"/>
          </w:tcPr>
          <w:p w14:paraId="18D5DA86">
            <w:pPr>
              <w:pStyle w:val="687"/>
              <w:rPr>
                <w:szCs w:val="22"/>
              </w:rPr>
            </w:pPr>
            <w:r>
              <w:rPr>
                <w:szCs w:val="22"/>
              </w:rPr>
              <w:t>监测值</w:t>
            </w:r>
          </w:p>
        </w:tc>
        <w:tc>
          <w:tcPr>
            <w:tcW w:w="1010" w:type="dxa"/>
            <w:vAlign w:val="center"/>
          </w:tcPr>
          <w:p w14:paraId="5F2D089D">
            <w:pPr>
              <w:pStyle w:val="687"/>
              <w:rPr>
                <w:szCs w:val="22"/>
              </w:rPr>
            </w:pPr>
            <w:r>
              <w:rPr>
                <w:szCs w:val="22"/>
              </w:rPr>
              <w:t>标准</w:t>
            </w:r>
          </w:p>
          <w:p w14:paraId="5DB0693E">
            <w:pPr>
              <w:pStyle w:val="687"/>
              <w:rPr>
                <w:szCs w:val="22"/>
              </w:rPr>
            </w:pPr>
            <w:r>
              <w:rPr>
                <w:szCs w:val="22"/>
              </w:rPr>
              <w:t>指数</w:t>
            </w:r>
          </w:p>
        </w:tc>
        <w:tc>
          <w:tcPr>
            <w:tcW w:w="1008" w:type="dxa"/>
            <w:vAlign w:val="center"/>
          </w:tcPr>
          <w:p w14:paraId="53C2532D">
            <w:pPr>
              <w:pStyle w:val="687"/>
              <w:rPr>
                <w:szCs w:val="22"/>
              </w:rPr>
            </w:pPr>
            <w:r>
              <w:rPr>
                <w:szCs w:val="22"/>
              </w:rPr>
              <w:t>监测值</w:t>
            </w:r>
          </w:p>
        </w:tc>
        <w:tc>
          <w:tcPr>
            <w:tcW w:w="1010" w:type="dxa"/>
            <w:vAlign w:val="center"/>
          </w:tcPr>
          <w:p w14:paraId="60FDD583">
            <w:pPr>
              <w:pStyle w:val="687"/>
              <w:rPr>
                <w:szCs w:val="22"/>
              </w:rPr>
            </w:pPr>
            <w:r>
              <w:rPr>
                <w:szCs w:val="22"/>
              </w:rPr>
              <w:t>标准</w:t>
            </w:r>
          </w:p>
          <w:p w14:paraId="04F4FF93">
            <w:pPr>
              <w:pStyle w:val="687"/>
              <w:rPr>
                <w:szCs w:val="22"/>
              </w:rPr>
            </w:pPr>
            <w:r>
              <w:rPr>
                <w:szCs w:val="22"/>
              </w:rPr>
              <w:t>指数</w:t>
            </w:r>
          </w:p>
        </w:tc>
        <w:tc>
          <w:tcPr>
            <w:tcW w:w="1010" w:type="dxa"/>
            <w:vAlign w:val="center"/>
          </w:tcPr>
          <w:p w14:paraId="45FD5CFB">
            <w:pPr>
              <w:pStyle w:val="687"/>
              <w:rPr>
                <w:szCs w:val="22"/>
              </w:rPr>
            </w:pPr>
            <w:r>
              <w:rPr>
                <w:szCs w:val="22"/>
              </w:rPr>
              <w:t>监测值</w:t>
            </w:r>
          </w:p>
        </w:tc>
        <w:tc>
          <w:tcPr>
            <w:tcW w:w="1010" w:type="dxa"/>
            <w:vAlign w:val="center"/>
          </w:tcPr>
          <w:p w14:paraId="23E4D3F7">
            <w:pPr>
              <w:pStyle w:val="687"/>
              <w:rPr>
                <w:szCs w:val="22"/>
              </w:rPr>
            </w:pPr>
            <w:r>
              <w:rPr>
                <w:szCs w:val="22"/>
              </w:rPr>
              <w:t>标准</w:t>
            </w:r>
          </w:p>
          <w:p w14:paraId="1CA468D9">
            <w:pPr>
              <w:pStyle w:val="687"/>
              <w:rPr>
                <w:szCs w:val="22"/>
              </w:rPr>
            </w:pPr>
            <w:r>
              <w:rPr>
                <w:szCs w:val="22"/>
              </w:rPr>
              <w:t>指数</w:t>
            </w:r>
          </w:p>
        </w:tc>
        <w:tc>
          <w:tcPr>
            <w:tcW w:w="1010" w:type="dxa"/>
            <w:vAlign w:val="center"/>
          </w:tcPr>
          <w:p w14:paraId="6A57168F">
            <w:pPr>
              <w:pStyle w:val="687"/>
              <w:rPr>
                <w:szCs w:val="22"/>
              </w:rPr>
            </w:pPr>
            <w:r>
              <w:rPr>
                <w:szCs w:val="22"/>
              </w:rPr>
              <w:t>监测值</w:t>
            </w:r>
          </w:p>
        </w:tc>
        <w:tc>
          <w:tcPr>
            <w:tcW w:w="1010" w:type="dxa"/>
            <w:vAlign w:val="center"/>
          </w:tcPr>
          <w:p w14:paraId="2A0961F7">
            <w:pPr>
              <w:pStyle w:val="687"/>
              <w:rPr>
                <w:szCs w:val="22"/>
              </w:rPr>
            </w:pPr>
            <w:r>
              <w:rPr>
                <w:szCs w:val="22"/>
              </w:rPr>
              <w:t>标准</w:t>
            </w:r>
          </w:p>
          <w:p w14:paraId="44FFF76E">
            <w:pPr>
              <w:pStyle w:val="687"/>
              <w:rPr>
                <w:szCs w:val="22"/>
              </w:rPr>
            </w:pPr>
            <w:r>
              <w:rPr>
                <w:szCs w:val="22"/>
              </w:rPr>
              <w:t>指数</w:t>
            </w:r>
          </w:p>
        </w:tc>
        <w:tc>
          <w:tcPr>
            <w:tcW w:w="997" w:type="dxa"/>
            <w:vAlign w:val="center"/>
          </w:tcPr>
          <w:p w14:paraId="2AC4015E">
            <w:pPr>
              <w:pStyle w:val="687"/>
              <w:rPr>
                <w:szCs w:val="22"/>
              </w:rPr>
            </w:pPr>
            <w:r>
              <w:rPr>
                <w:szCs w:val="22"/>
              </w:rPr>
              <w:t>监测值</w:t>
            </w:r>
          </w:p>
        </w:tc>
        <w:tc>
          <w:tcPr>
            <w:tcW w:w="997" w:type="dxa"/>
            <w:vAlign w:val="center"/>
          </w:tcPr>
          <w:p w14:paraId="3C7534C9">
            <w:pPr>
              <w:pStyle w:val="687"/>
              <w:rPr>
                <w:szCs w:val="22"/>
              </w:rPr>
            </w:pPr>
            <w:r>
              <w:rPr>
                <w:szCs w:val="22"/>
              </w:rPr>
              <w:t>标准</w:t>
            </w:r>
          </w:p>
          <w:p w14:paraId="7776E15A">
            <w:pPr>
              <w:pStyle w:val="687"/>
              <w:rPr>
                <w:szCs w:val="22"/>
              </w:rPr>
            </w:pPr>
            <w:r>
              <w:rPr>
                <w:szCs w:val="22"/>
              </w:rPr>
              <w:t>指数</w:t>
            </w:r>
          </w:p>
        </w:tc>
        <w:tc>
          <w:tcPr>
            <w:tcW w:w="991" w:type="dxa"/>
            <w:vAlign w:val="center"/>
          </w:tcPr>
          <w:p w14:paraId="26B02DD6">
            <w:pPr>
              <w:pStyle w:val="687"/>
              <w:rPr>
                <w:szCs w:val="22"/>
              </w:rPr>
            </w:pPr>
            <w:r>
              <w:rPr>
                <w:szCs w:val="22"/>
              </w:rPr>
              <w:t>监测值</w:t>
            </w:r>
          </w:p>
        </w:tc>
        <w:tc>
          <w:tcPr>
            <w:tcW w:w="978" w:type="dxa"/>
            <w:vAlign w:val="center"/>
          </w:tcPr>
          <w:p w14:paraId="4FDB3332">
            <w:pPr>
              <w:pStyle w:val="687"/>
              <w:rPr>
                <w:szCs w:val="22"/>
              </w:rPr>
            </w:pPr>
            <w:r>
              <w:rPr>
                <w:szCs w:val="22"/>
              </w:rPr>
              <w:t>标准</w:t>
            </w:r>
          </w:p>
          <w:p w14:paraId="2747F7CE">
            <w:pPr>
              <w:pStyle w:val="687"/>
              <w:rPr>
                <w:szCs w:val="22"/>
              </w:rPr>
            </w:pPr>
            <w:r>
              <w:rPr>
                <w:szCs w:val="22"/>
              </w:rPr>
              <w:t>指数</w:t>
            </w:r>
          </w:p>
        </w:tc>
      </w:tr>
      <w:tr w14:paraId="78F7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38B04B78">
            <w:pPr>
              <w:pStyle w:val="687"/>
              <w:rPr>
                <w:szCs w:val="22"/>
              </w:rPr>
            </w:pPr>
            <w:r>
              <w:rPr>
                <w:szCs w:val="22"/>
              </w:rPr>
              <w:t>pH</w:t>
            </w:r>
          </w:p>
        </w:tc>
        <w:tc>
          <w:tcPr>
            <w:tcW w:w="721" w:type="dxa"/>
            <w:vAlign w:val="center"/>
          </w:tcPr>
          <w:p w14:paraId="5E4C11BC">
            <w:pPr>
              <w:pStyle w:val="687"/>
              <w:rPr>
                <w:bCs/>
                <w:szCs w:val="22"/>
              </w:rPr>
            </w:pPr>
            <w:r>
              <w:rPr>
                <w:bCs/>
                <w:szCs w:val="22"/>
              </w:rPr>
              <w:t>/</w:t>
            </w:r>
          </w:p>
        </w:tc>
        <w:tc>
          <w:tcPr>
            <w:tcW w:w="1008" w:type="dxa"/>
            <w:vAlign w:val="center"/>
          </w:tcPr>
          <w:p w14:paraId="27513CA7">
            <w:pPr>
              <w:pStyle w:val="1429"/>
            </w:pPr>
            <w:r>
              <w:rPr>
                <w:rFonts w:hint="eastAsia" w:cs="Times New Roman"/>
                <w:bCs/>
                <w:sz w:val="21"/>
                <w:szCs w:val="21"/>
              </w:rPr>
              <w:t>6.53</w:t>
            </w:r>
          </w:p>
        </w:tc>
        <w:tc>
          <w:tcPr>
            <w:tcW w:w="1010" w:type="dxa"/>
            <w:vAlign w:val="center"/>
          </w:tcPr>
          <w:p w14:paraId="7290A6F6">
            <w:pPr>
              <w:pStyle w:val="687"/>
              <w:rPr>
                <w:szCs w:val="22"/>
              </w:rPr>
            </w:pPr>
            <w:r>
              <w:rPr>
                <w:bCs/>
                <w:szCs w:val="22"/>
              </w:rPr>
              <w:t>/</w:t>
            </w:r>
          </w:p>
        </w:tc>
        <w:tc>
          <w:tcPr>
            <w:tcW w:w="1008" w:type="dxa"/>
            <w:vAlign w:val="center"/>
          </w:tcPr>
          <w:p w14:paraId="32621278">
            <w:pPr>
              <w:pStyle w:val="1429"/>
            </w:pPr>
            <w:r>
              <w:rPr>
                <w:rFonts w:hint="eastAsia" w:cs="Times New Roman"/>
                <w:bCs/>
                <w:sz w:val="21"/>
                <w:szCs w:val="21"/>
              </w:rPr>
              <w:t>6.57</w:t>
            </w:r>
          </w:p>
        </w:tc>
        <w:tc>
          <w:tcPr>
            <w:tcW w:w="1010" w:type="dxa"/>
            <w:vAlign w:val="center"/>
          </w:tcPr>
          <w:p w14:paraId="776B5D08">
            <w:pPr>
              <w:pStyle w:val="687"/>
              <w:rPr>
                <w:szCs w:val="22"/>
              </w:rPr>
            </w:pPr>
            <w:r>
              <w:rPr>
                <w:bCs/>
                <w:szCs w:val="22"/>
              </w:rPr>
              <w:t>/</w:t>
            </w:r>
          </w:p>
        </w:tc>
        <w:tc>
          <w:tcPr>
            <w:tcW w:w="1010" w:type="dxa"/>
            <w:vAlign w:val="center"/>
          </w:tcPr>
          <w:p w14:paraId="6CDCFB22">
            <w:pPr>
              <w:pStyle w:val="1429"/>
            </w:pPr>
            <w:r>
              <w:rPr>
                <w:rFonts w:hint="eastAsia" w:cs="Times New Roman"/>
                <w:bCs/>
                <w:sz w:val="21"/>
                <w:szCs w:val="21"/>
              </w:rPr>
              <w:t>6.60</w:t>
            </w:r>
          </w:p>
        </w:tc>
        <w:tc>
          <w:tcPr>
            <w:tcW w:w="1010" w:type="dxa"/>
            <w:vAlign w:val="center"/>
          </w:tcPr>
          <w:p w14:paraId="749B31AC">
            <w:pPr>
              <w:pStyle w:val="687"/>
              <w:rPr>
                <w:szCs w:val="22"/>
              </w:rPr>
            </w:pPr>
            <w:r>
              <w:rPr>
                <w:bCs/>
                <w:szCs w:val="22"/>
              </w:rPr>
              <w:t>/</w:t>
            </w:r>
          </w:p>
        </w:tc>
        <w:tc>
          <w:tcPr>
            <w:tcW w:w="1010" w:type="dxa"/>
            <w:vAlign w:val="center"/>
          </w:tcPr>
          <w:p w14:paraId="00CD8A1A">
            <w:pPr>
              <w:pStyle w:val="687"/>
              <w:rPr>
                <w:szCs w:val="22"/>
              </w:rPr>
            </w:pPr>
            <w:r>
              <w:rPr>
                <w:rFonts w:hint="eastAsia"/>
                <w:bCs/>
                <w:sz w:val="21"/>
                <w:szCs w:val="21"/>
              </w:rPr>
              <w:t>6.62</w:t>
            </w:r>
          </w:p>
        </w:tc>
        <w:tc>
          <w:tcPr>
            <w:tcW w:w="1010" w:type="dxa"/>
            <w:vAlign w:val="center"/>
          </w:tcPr>
          <w:p w14:paraId="6837A93C">
            <w:pPr>
              <w:pStyle w:val="687"/>
              <w:rPr>
                <w:szCs w:val="22"/>
              </w:rPr>
            </w:pPr>
            <w:r>
              <w:rPr>
                <w:bCs/>
                <w:szCs w:val="22"/>
              </w:rPr>
              <w:t>/</w:t>
            </w:r>
          </w:p>
        </w:tc>
        <w:tc>
          <w:tcPr>
            <w:tcW w:w="997" w:type="dxa"/>
            <w:vAlign w:val="center"/>
          </w:tcPr>
          <w:p w14:paraId="3A645FEE">
            <w:pPr>
              <w:pStyle w:val="687"/>
              <w:rPr>
                <w:szCs w:val="22"/>
              </w:rPr>
            </w:pPr>
            <w:r>
              <w:rPr>
                <w:rFonts w:hint="eastAsia"/>
                <w:bCs/>
                <w:sz w:val="21"/>
                <w:szCs w:val="21"/>
              </w:rPr>
              <w:t>6.58</w:t>
            </w:r>
          </w:p>
        </w:tc>
        <w:tc>
          <w:tcPr>
            <w:tcW w:w="997" w:type="dxa"/>
            <w:vAlign w:val="center"/>
          </w:tcPr>
          <w:p w14:paraId="37C0F970">
            <w:pPr>
              <w:pStyle w:val="687"/>
              <w:rPr>
                <w:szCs w:val="22"/>
              </w:rPr>
            </w:pPr>
            <w:r>
              <w:rPr>
                <w:bCs/>
                <w:szCs w:val="22"/>
              </w:rPr>
              <w:t>/</w:t>
            </w:r>
          </w:p>
        </w:tc>
        <w:tc>
          <w:tcPr>
            <w:tcW w:w="991" w:type="dxa"/>
            <w:vAlign w:val="center"/>
          </w:tcPr>
          <w:p w14:paraId="012E1E93">
            <w:pPr>
              <w:pStyle w:val="687"/>
              <w:rPr>
                <w:szCs w:val="22"/>
              </w:rPr>
            </w:pPr>
            <w:r>
              <w:rPr>
                <w:rFonts w:hint="eastAsia"/>
                <w:bCs/>
                <w:sz w:val="21"/>
                <w:szCs w:val="21"/>
              </w:rPr>
              <w:t>6.55</w:t>
            </w:r>
          </w:p>
        </w:tc>
        <w:tc>
          <w:tcPr>
            <w:tcW w:w="978" w:type="dxa"/>
            <w:vAlign w:val="center"/>
          </w:tcPr>
          <w:p w14:paraId="61579B8E">
            <w:pPr>
              <w:pStyle w:val="687"/>
              <w:rPr>
                <w:szCs w:val="22"/>
              </w:rPr>
            </w:pPr>
            <w:r>
              <w:rPr>
                <w:bCs/>
                <w:szCs w:val="22"/>
              </w:rPr>
              <w:t>/</w:t>
            </w:r>
          </w:p>
        </w:tc>
      </w:tr>
      <w:tr w14:paraId="2DD4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4CBFA7C3">
            <w:pPr>
              <w:pStyle w:val="687"/>
              <w:rPr>
                <w:szCs w:val="22"/>
              </w:rPr>
            </w:pPr>
            <w:r>
              <w:rPr>
                <w:szCs w:val="22"/>
              </w:rPr>
              <w:t>石油烃</w:t>
            </w:r>
          </w:p>
        </w:tc>
        <w:tc>
          <w:tcPr>
            <w:tcW w:w="721" w:type="dxa"/>
            <w:vAlign w:val="center"/>
          </w:tcPr>
          <w:p w14:paraId="6F93B5E2">
            <w:pPr>
              <w:pStyle w:val="687"/>
              <w:rPr>
                <w:bCs/>
                <w:szCs w:val="22"/>
              </w:rPr>
            </w:pPr>
            <w:r>
              <w:rPr>
                <w:szCs w:val="22"/>
              </w:rPr>
              <w:t>4500</w:t>
            </w:r>
          </w:p>
        </w:tc>
        <w:tc>
          <w:tcPr>
            <w:tcW w:w="1008" w:type="dxa"/>
            <w:vAlign w:val="center"/>
          </w:tcPr>
          <w:p w14:paraId="10B59B56">
            <w:pPr>
              <w:pStyle w:val="1429"/>
            </w:pPr>
            <w:r>
              <w:rPr>
                <w:rFonts w:hint="eastAsia" w:cs="Times New Roman"/>
                <w:bCs/>
                <w:sz w:val="21"/>
                <w:szCs w:val="21"/>
              </w:rPr>
              <w:t>35</w:t>
            </w:r>
          </w:p>
        </w:tc>
        <w:tc>
          <w:tcPr>
            <w:tcW w:w="1010" w:type="dxa"/>
            <w:vAlign w:val="center"/>
          </w:tcPr>
          <w:p w14:paraId="2214EC04">
            <w:pPr>
              <w:pStyle w:val="687"/>
              <w:rPr>
                <w:szCs w:val="22"/>
              </w:rPr>
            </w:pPr>
            <w:r>
              <w:rPr>
                <w:rFonts w:hint="eastAsia"/>
                <w:szCs w:val="22"/>
              </w:rPr>
              <w:t>0</w:t>
            </w:r>
            <w:r>
              <w:rPr>
                <w:szCs w:val="22"/>
              </w:rPr>
              <w:t>.01</w:t>
            </w:r>
          </w:p>
        </w:tc>
        <w:tc>
          <w:tcPr>
            <w:tcW w:w="1008" w:type="dxa"/>
            <w:vAlign w:val="center"/>
          </w:tcPr>
          <w:p w14:paraId="17AF0AA8">
            <w:pPr>
              <w:pStyle w:val="1429"/>
            </w:pPr>
            <w:r>
              <w:rPr>
                <w:rFonts w:hint="eastAsia" w:cs="Times New Roman"/>
                <w:bCs/>
                <w:sz w:val="21"/>
                <w:szCs w:val="21"/>
              </w:rPr>
              <w:t>37</w:t>
            </w:r>
          </w:p>
        </w:tc>
        <w:tc>
          <w:tcPr>
            <w:tcW w:w="1010" w:type="dxa"/>
            <w:vAlign w:val="center"/>
          </w:tcPr>
          <w:p w14:paraId="31388129">
            <w:pPr>
              <w:pStyle w:val="687"/>
              <w:rPr>
                <w:szCs w:val="22"/>
              </w:rPr>
            </w:pPr>
            <w:r>
              <w:rPr>
                <w:rFonts w:hint="eastAsia"/>
                <w:szCs w:val="22"/>
              </w:rPr>
              <w:t>0</w:t>
            </w:r>
            <w:r>
              <w:rPr>
                <w:szCs w:val="22"/>
              </w:rPr>
              <w:t>.01</w:t>
            </w:r>
          </w:p>
        </w:tc>
        <w:tc>
          <w:tcPr>
            <w:tcW w:w="1010" w:type="dxa"/>
            <w:vAlign w:val="center"/>
          </w:tcPr>
          <w:p w14:paraId="5FBFC93A">
            <w:pPr>
              <w:pStyle w:val="1429"/>
            </w:pPr>
            <w:r>
              <w:rPr>
                <w:rFonts w:hint="eastAsia" w:cs="Times New Roman"/>
                <w:bCs/>
                <w:sz w:val="21"/>
                <w:szCs w:val="21"/>
              </w:rPr>
              <w:t>42</w:t>
            </w:r>
          </w:p>
        </w:tc>
        <w:tc>
          <w:tcPr>
            <w:tcW w:w="1010" w:type="dxa"/>
            <w:vAlign w:val="center"/>
          </w:tcPr>
          <w:p w14:paraId="5B978CE9">
            <w:pPr>
              <w:pStyle w:val="687"/>
              <w:rPr>
                <w:szCs w:val="22"/>
              </w:rPr>
            </w:pPr>
            <w:r>
              <w:rPr>
                <w:rFonts w:hint="eastAsia"/>
                <w:szCs w:val="22"/>
              </w:rPr>
              <w:t>0</w:t>
            </w:r>
            <w:r>
              <w:rPr>
                <w:szCs w:val="22"/>
              </w:rPr>
              <w:t>.01</w:t>
            </w:r>
          </w:p>
        </w:tc>
        <w:tc>
          <w:tcPr>
            <w:tcW w:w="1010" w:type="dxa"/>
            <w:vAlign w:val="center"/>
          </w:tcPr>
          <w:p w14:paraId="6005B47D">
            <w:pPr>
              <w:pStyle w:val="687"/>
              <w:rPr>
                <w:szCs w:val="22"/>
              </w:rPr>
            </w:pPr>
            <w:r>
              <w:rPr>
                <w:rFonts w:hint="eastAsia"/>
                <w:bCs/>
                <w:sz w:val="21"/>
                <w:szCs w:val="21"/>
              </w:rPr>
              <w:t>13</w:t>
            </w:r>
          </w:p>
        </w:tc>
        <w:tc>
          <w:tcPr>
            <w:tcW w:w="1010" w:type="dxa"/>
            <w:vAlign w:val="center"/>
          </w:tcPr>
          <w:p w14:paraId="55EA0430">
            <w:pPr>
              <w:pStyle w:val="687"/>
              <w:rPr>
                <w:szCs w:val="22"/>
              </w:rPr>
            </w:pPr>
            <w:r>
              <w:rPr>
                <w:rFonts w:hint="eastAsia"/>
                <w:szCs w:val="22"/>
              </w:rPr>
              <w:t>0</w:t>
            </w:r>
            <w:r>
              <w:rPr>
                <w:szCs w:val="22"/>
              </w:rPr>
              <w:t>.00</w:t>
            </w:r>
          </w:p>
        </w:tc>
        <w:tc>
          <w:tcPr>
            <w:tcW w:w="997" w:type="dxa"/>
            <w:vAlign w:val="center"/>
          </w:tcPr>
          <w:p w14:paraId="0DAF8B0B">
            <w:pPr>
              <w:pStyle w:val="687"/>
              <w:rPr>
                <w:szCs w:val="22"/>
              </w:rPr>
            </w:pPr>
            <w:r>
              <w:rPr>
                <w:rFonts w:hint="eastAsia"/>
                <w:bCs/>
                <w:sz w:val="21"/>
                <w:szCs w:val="21"/>
              </w:rPr>
              <w:t>39</w:t>
            </w:r>
          </w:p>
        </w:tc>
        <w:tc>
          <w:tcPr>
            <w:tcW w:w="997" w:type="dxa"/>
            <w:vAlign w:val="center"/>
          </w:tcPr>
          <w:p w14:paraId="2275E42A">
            <w:pPr>
              <w:pStyle w:val="687"/>
              <w:rPr>
                <w:szCs w:val="22"/>
              </w:rPr>
            </w:pPr>
            <w:r>
              <w:rPr>
                <w:rFonts w:hint="eastAsia"/>
                <w:szCs w:val="22"/>
              </w:rPr>
              <w:t>0</w:t>
            </w:r>
            <w:r>
              <w:rPr>
                <w:szCs w:val="22"/>
              </w:rPr>
              <w:t>.01</w:t>
            </w:r>
          </w:p>
        </w:tc>
        <w:tc>
          <w:tcPr>
            <w:tcW w:w="991" w:type="dxa"/>
            <w:vAlign w:val="center"/>
          </w:tcPr>
          <w:p w14:paraId="1FBED775">
            <w:pPr>
              <w:pStyle w:val="687"/>
              <w:rPr>
                <w:szCs w:val="22"/>
              </w:rPr>
            </w:pPr>
            <w:r>
              <w:rPr>
                <w:rFonts w:hint="eastAsia"/>
                <w:bCs/>
                <w:sz w:val="21"/>
                <w:szCs w:val="21"/>
              </w:rPr>
              <w:t>39</w:t>
            </w:r>
          </w:p>
        </w:tc>
        <w:tc>
          <w:tcPr>
            <w:tcW w:w="978" w:type="dxa"/>
            <w:vAlign w:val="center"/>
          </w:tcPr>
          <w:p w14:paraId="775C5FD1">
            <w:pPr>
              <w:pStyle w:val="687"/>
              <w:rPr>
                <w:szCs w:val="22"/>
              </w:rPr>
            </w:pPr>
            <w:r>
              <w:rPr>
                <w:rFonts w:hint="eastAsia"/>
                <w:szCs w:val="22"/>
              </w:rPr>
              <w:t>0</w:t>
            </w:r>
            <w:r>
              <w:rPr>
                <w:szCs w:val="22"/>
              </w:rPr>
              <w:t>.01</w:t>
            </w:r>
          </w:p>
        </w:tc>
      </w:tr>
      <w:tr w14:paraId="3BD0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5A45F60C">
            <w:pPr>
              <w:pStyle w:val="687"/>
              <w:rPr>
                <w:szCs w:val="22"/>
              </w:rPr>
            </w:pPr>
            <w:r>
              <w:rPr>
                <w:szCs w:val="22"/>
              </w:rPr>
              <w:t>钡</w:t>
            </w:r>
          </w:p>
        </w:tc>
        <w:tc>
          <w:tcPr>
            <w:tcW w:w="721" w:type="dxa"/>
            <w:vAlign w:val="center"/>
          </w:tcPr>
          <w:p w14:paraId="48FCFE6E">
            <w:pPr>
              <w:pStyle w:val="687"/>
              <w:rPr>
                <w:szCs w:val="22"/>
              </w:rPr>
            </w:pPr>
            <w:r>
              <w:rPr>
                <w:bCs/>
                <w:szCs w:val="22"/>
              </w:rPr>
              <w:t>8660</w:t>
            </w:r>
          </w:p>
        </w:tc>
        <w:tc>
          <w:tcPr>
            <w:tcW w:w="1008" w:type="dxa"/>
            <w:vAlign w:val="center"/>
          </w:tcPr>
          <w:p w14:paraId="2CB99429">
            <w:pPr>
              <w:pStyle w:val="1429"/>
              <w:rPr>
                <w:rFonts w:cs="Times New Roman"/>
                <w:bCs/>
                <w:sz w:val="21"/>
                <w:szCs w:val="21"/>
              </w:rPr>
            </w:pPr>
            <w:r>
              <w:rPr>
                <w:rFonts w:hint="eastAsia" w:cs="Times New Roman"/>
                <w:sz w:val="21"/>
                <w:szCs w:val="21"/>
              </w:rPr>
              <w:t>558</w:t>
            </w:r>
          </w:p>
        </w:tc>
        <w:tc>
          <w:tcPr>
            <w:tcW w:w="1010" w:type="dxa"/>
            <w:vAlign w:val="center"/>
          </w:tcPr>
          <w:p w14:paraId="6675A655">
            <w:pPr>
              <w:pStyle w:val="687"/>
              <w:rPr>
                <w:szCs w:val="22"/>
              </w:rPr>
            </w:pPr>
            <w:r>
              <w:rPr>
                <w:rFonts w:hint="eastAsia"/>
                <w:szCs w:val="22"/>
              </w:rPr>
              <w:t>0</w:t>
            </w:r>
            <w:r>
              <w:rPr>
                <w:szCs w:val="22"/>
              </w:rPr>
              <w:t>.06</w:t>
            </w:r>
          </w:p>
        </w:tc>
        <w:tc>
          <w:tcPr>
            <w:tcW w:w="1008" w:type="dxa"/>
            <w:vAlign w:val="center"/>
          </w:tcPr>
          <w:p w14:paraId="4A7B08FC">
            <w:pPr>
              <w:pStyle w:val="1429"/>
              <w:rPr>
                <w:rFonts w:cs="Times New Roman"/>
                <w:bCs/>
                <w:sz w:val="21"/>
                <w:szCs w:val="21"/>
              </w:rPr>
            </w:pPr>
            <w:r>
              <w:rPr>
                <w:rFonts w:hint="eastAsia" w:cs="Times New Roman"/>
                <w:sz w:val="21"/>
                <w:szCs w:val="21"/>
              </w:rPr>
              <w:t>632</w:t>
            </w:r>
          </w:p>
        </w:tc>
        <w:tc>
          <w:tcPr>
            <w:tcW w:w="1010" w:type="dxa"/>
            <w:vAlign w:val="center"/>
          </w:tcPr>
          <w:p w14:paraId="6D1479EB">
            <w:pPr>
              <w:pStyle w:val="687"/>
              <w:rPr>
                <w:szCs w:val="22"/>
              </w:rPr>
            </w:pPr>
            <w:r>
              <w:rPr>
                <w:rFonts w:hint="eastAsia"/>
                <w:szCs w:val="22"/>
              </w:rPr>
              <w:t>0</w:t>
            </w:r>
            <w:r>
              <w:rPr>
                <w:szCs w:val="22"/>
              </w:rPr>
              <w:t>.07</w:t>
            </w:r>
          </w:p>
        </w:tc>
        <w:tc>
          <w:tcPr>
            <w:tcW w:w="1010" w:type="dxa"/>
            <w:vAlign w:val="center"/>
          </w:tcPr>
          <w:p w14:paraId="45962C6C">
            <w:pPr>
              <w:pStyle w:val="1429"/>
              <w:rPr>
                <w:rFonts w:cs="Times New Roman"/>
                <w:bCs/>
                <w:sz w:val="21"/>
                <w:szCs w:val="21"/>
              </w:rPr>
            </w:pPr>
            <w:r>
              <w:rPr>
                <w:rFonts w:hint="eastAsia" w:cs="Times New Roman"/>
                <w:sz w:val="21"/>
                <w:szCs w:val="21"/>
              </w:rPr>
              <w:t>574</w:t>
            </w:r>
          </w:p>
        </w:tc>
        <w:tc>
          <w:tcPr>
            <w:tcW w:w="1010" w:type="dxa"/>
            <w:vAlign w:val="center"/>
          </w:tcPr>
          <w:p w14:paraId="2D331569">
            <w:pPr>
              <w:pStyle w:val="687"/>
              <w:rPr>
                <w:szCs w:val="22"/>
              </w:rPr>
            </w:pPr>
            <w:r>
              <w:rPr>
                <w:rFonts w:hint="eastAsia"/>
                <w:szCs w:val="22"/>
              </w:rPr>
              <w:t>0</w:t>
            </w:r>
            <w:r>
              <w:rPr>
                <w:szCs w:val="22"/>
              </w:rPr>
              <w:t>.07</w:t>
            </w:r>
          </w:p>
        </w:tc>
        <w:tc>
          <w:tcPr>
            <w:tcW w:w="1010" w:type="dxa"/>
            <w:vAlign w:val="center"/>
          </w:tcPr>
          <w:p w14:paraId="1BC91F62">
            <w:pPr>
              <w:pStyle w:val="687"/>
              <w:rPr>
                <w:bCs/>
                <w:sz w:val="21"/>
                <w:szCs w:val="21"/>
              </w:rPr>
            </w:pPr>
            <w:r>
              <w:rPr>
                <w:rFonts w:hint="eastAsia"/>
                <w:sz w:val="21"/>
                <w:szCs w:val="21"/>
              </w:rPr>
              <w:t>449</w:t>
            </w:r>
          </w:p>
        </w:tc>
        <w:tc>
          <w:tcPr>
            <w:tcW w:w="1010" w:type="dxa"/>
            <w:vAlign w:val="center"/>
          </w:tcPr>
          <w:p w14:paraId="0DC5BBF6">
            <w:pPr>
              <w:pStyle w:val="687"/>
              <w:rPr>
                <w:szCs w:val="22"/>
              </w:rPr>
            </w:pPr>
            <w:r>
              <w:rPr>
                <w:rFonts w:hint="eastAsia"/>
                <w:szCs w:val="22"/>
              </w:rPr>
              <w:t>0</w:t>
            </w:r>
            <w:r>
              <w:rPr>
                <w:szCs w:val="22"/>
              </w:rPr>
              <w:t>.05</w:t>
            </w:r>
          </w:p>
        </w:tc>
        <w:tc>
          <w:tcPr>
            <w:tcW w:w="997" w:type="dxa"/>
            <w:vAlign w:val="center"/>
          </w:tcPr>
          <w:p w14:paraId="75C8792C">
            <w:pPr>
              <w:pStyle w:val="687"/>
              <w:rPr>
                <w:bCs/>
                <w:sz w:val="21"/>
                <w:szCs w:val="21"/>
              </w:rPr>
            </w:pPr>
            <w:r>
              <w:rPr>
                <w:rFonts w:hint="eastAsia"/>
                <w:sz w:val="21"/>
                <w:szCs w:val="21"/>
              </w:rPr>
              <w:t>488</w:t>
            </w:r>
          </w:p>
        </w:tc>
        <w:tc>
          <w:tcPr>
            <w:tcW w:w="997" w:type="dxa"/>
            <w:vAlign w:val="center"/>
          </w:tcPr>
          <w:p w14:paraId="26DD7EA7">
            <w:pPr>
              <w:pStyle w:val="687"/>
              <w:rPr>
                <w:szCs w:val="22"/>
              </w:rPr>
            </w:pPr>
            <w:r>
              <w:rPr>
                <w:rFonts w:hint="eastAsia"/>
                <w:szCs w:val="22"/>
              </w:rPr>
              <w:t>0</w:t>
            </w:r>
            <w:r>
              <w:rPr>
                <w:szCs w:val="22"/>
              </w:rPr>
              <w:t>.06</w:t>
            </w:r>
          </w:p>
        </w:tc>
        <w:tc>
          <w:tcPr>
            <w:tcW w:w="991" w:type="dxa"/>
            <w:vAlign w:val="center"/>
          </w:tcPr>
          <w:p w14:paraId="1A509547">
            <w:pPr>
              <w:pStyle w:val="687"/>
              <w:rPr>
                <w:bCs/>
                <w:sz w:val="21"/>
                <w:szCs w:val="21"/>
              </w:rPr>
            </w:pPr>
            <w:r>
              <w:rPr>
                <w:rFonts w:hint="eastAsia"/>
                <w:sz w:val="21"/>
                <w:szCs w:val="21"/>
              </w:rPr>
              <w:t>565</w:t>
            </w:r>
          </w:p>
        </w:tc>
        <w:tc>
          <w:tcPr>
            <w:tcW w:w="978" w:type="dxa"/>
            <w:vAlign w:val="center"/>
          </w:tcPr>
          <w:p w14:paraId="207B78A5">
            <w:pPr>
              <w:pStyle w:val="687"/>
              <w:rPr>
                <w:szCs w:val="22"/>
              </w:rPr>
            </w:pPr>
            <w:r>
              <w:rPr>
                <w:rFonts w:hint="eastAsia"/>
                <w:szCs w:val="22"/>
              </w:rPr>
              <w:t>0</w:t>
            </w:r>
            <w:r>
              <w:rPr>
                <w:szCs w:val="22"/>
              </w:rPr>
              <w:t>.07</w:t>
            </w:r>
          </w:p>
        </w:tc>
      </w:tr>
      <w:tr w14:paraId="7183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005" w:type="dxa"/>
            <w:vAlign w:val="center"/>
          </w:tcPr>
          <w:p w14:paraId="3A6BFD81">
            <w:pPr>
              <w:pStyle w:val="687"/>
              <w:rPr>
                <w:szCs w:val="22"/>
              </w:rPr>
            </w:pPr>
            <w:r>
              <w:rPr>
                <w:szCs w:val="22"/>
              </w:rPr>
              <w:t>水溶性硫酸盐</w:t>
            </w:r>
          </w:p>
        </w:tc>
        <w:tc>
          <w:tcPr>
            <w:tcW w:w="721" w:type="dxa"/>
            <w:vAlign w:val="center"/>
          </w:tcPr>
          <w:p w14:paraId="5BE90DF6">
            <w:pPr>
              <w:pStyle w:val="687"/>
              <w:rPr>
                <w:bCs/>
                <w:szCs w:val="22"/>
              </w:rPr>
            </w:pPr>
            <w:r>
              <w:rPr>
                <w:bCs/>
                <w:szCs w:val="22"/>
              </w:rPr>
              <w:t>/</w:t>
            </w:r>
          </w:p>
        </w:tc>
        <w:tc>
          <w:tcPr>
            <w:tcW w:w="1008" w:type="dxa"/>
            <w:vAlign w:val="center"/>
          </w:tcPr>
          <w:p w14:paraId="16C976E1">
            <w:pPr>
              <w:pStyle w:val="1429"/>
            </w:pPr>
            <w:r>
              <w:rPr>
                <w:rFonts w:hint="eastAsia" w:cs="Times New Roman"/>
                <w:bCs/>
                <w:sz w:val="21"/>
                <w:szCs w:val="21"/>
              </w:rPr>
              <w:t>未检出</w:t>
            </w:r>
          </w:p>
        </w:tc>
        <w:tc>
          <w:tcPr>
            <w:tcW w:w="1010" w:type="dxa"/>
            <w:vAlign w:val="center"/>
          </w:tcPr>
          <w:p w14:paraId="49E2476A">
            <w:pPr>
              <w:pStyle w:val="687"/>
              <w:rPr>
                <w:szCs w:val="22"/>
              </w:rPr>
            </w:pPr>
            <w:r>
              <w:rPr>
                <w:bCs/>
                <w:szCs w:val="22"/>
              </w:rPr>
              <w:t>/</w:t>
            </w:r>
          </w:p>
        </w:tc>
        <w:tc>
          <w:tcPr>
            <w:tcW w:w="1008" w:type="dxa"/>
            <w:vAlign w:val="center"/>
          </w:tcPr>
          <w:p w14:paraId="08DA97C3">
            <w:pPr>
              <w:pStyle w:val="1429"/>
            </w:pPr>
            <w:r>
              <w:rPr>
                <w:rFonts w:hint="eastAsia" w:cs="Times New Roman"/>
                <w:bCs/>
                <w:sz w:val="21"/>
                <w:szCs w:val="21"/>
              </w:rPr>
              <w:t>未检出</w:t>
            </w:r>
          </w:p>
        </w:tc>
        <w:tc>
          <w:tcPr>
            <w:tcW w:w="1010" w:type="dxa"/>
            <w:vAlign w:val="center"/>
          </w:tcPr>
          <w:p w14:paraId="44FCB6AE">
            <w:pPr>
              <w:pStyle w:val="687"/>
              <w:rPr>
                <w:szCs w:val="22"/>
              </w:rPr>
            </w:pPr>
            <w:r>
              <w:rPr>
                <w:bCs/>
                <w:szCs w:val="22"/>
              </w:rPr>
              <w:t>/</w:t>
            </w:r>
          </w:p>
        </w:tc>
        <w:tc>
          <w:tcPr>
            <w:tcW w:w="1010" w:type="dxa"/>
            <w:vAlign w:val="center"/>
          </w:tcPr>
          <w:p w14:paraId="2DF91CCF">
            <w:pPr>
              <w:pStyle w:val="1429"/>
            </w:pPr>
            <w:r>
              <w:rPr>
                <w:rFonts w:hint="eastAsia" w:cs="Times New Roman"/>
                <w:bCs/>
                <w:sz w:val="21"/>
                <w:szCs w:val="21"/>
              </w:rPr>
              <w:t>未检出</w:t>
            </w:r>
          </w:p>
        </w:tc>
        <w:tc>
          <w:tcPr>
            <w:tcW w:w="1010" w:type="dxa"/>
            <w:vAlign w:val="center"/>
          </w:tcPr>
          <w:p w14:paraId="48D304BE">
            <w:pPr>
              <w:pStyle w:val="687"/>
              <w:rPr>
                <w:szCs w:val="22"/>
              </w:rPr>
            </w:pPr>
            <w:r>
              <w:rPr>
                <w:bCs/>
                <w:szCs w:val="22"/>
              </w:rPr>
              <w:t>/</w:t>
            </w:r>
          </w:p>
        </w:tc>
        <w:tc>
          <w:tcPr>
            <w:tcW w:w="1010" w:type="dxa"/>
            <w:vAlign w:val="center"/>
          </w:tcPr>
          <w:p w14:paraId="6269DB2B">
            <w:pPr>
              <w:pStyle w:val="687"/>
              <w:rPr>
                <w:szCs w:val="22"/>
              </w:rPr>
            </w:pPr>
            <w:r>
              <w:rPr>
                <w:rFonts w:hint="eastAsia"/>
                <w:bCs/>
                <w:sz w:val="21"/>
                <w:szCs w:val="21"/>
              </w:rPr>
              <w:t>未检出</w:t>
            </w:r>
          </w:p>
        </w:tc>
        <w:tc>
          <w:tcPr>
            <w:tcW w:w="1010" w:type="dxa"/>
            <w:vAlign w:val="center"/>
          </w:tcPr>
          <w:p w14:paraId="1209DAEA">
            <w:pPr>
              <w:pStyle w:val="687"/>
              <w:rPr>
                <w:szCs w:val="22"/>
              </w:rPr>
            </w:pPr>
            <w:r>
              <w:rPr>
                <w:bCs/>
                <w:szCs w:val="22"/>
              </w:rPr>
              <w:t>/</w:t>
            </w:r>
          </w:p>
        </w:tc>
        <w:tc>
          <w:tcPr>
            <w:tcW w:w="997" w:type="dxa"/>
            <w:vAlign w:val="center"/>
          </w:tcPr>
          <w:p w14:paraId="1F1FF1C4">
            <w:pPr>
              <w:pStyle w:val="687"/>
              <w:rPr>
                <w:szCs w:val="22"/>
              </w:rPr>
            </w:pPr>
            <w:r>
              <w:rPr>
                <w:rFonts w:hint="eastAsia"/>
                <w:bCs/>
                <w:sz w:val="21"/>
                <w:szCs w:val="21"/>
              </w:rPr>
              <w:t>未检出</w:t>
            </w:r>
          </w:p>
        </w:tc>
        <w:tc>
          <w:tcPr>
            <w:tcW w:w="997" w:type="dxa"/>
            <w:vAlign w:val="center"/>
          </w:tcPr>
          <w:p w14:paraId="278AACDE">
            <w:pPr>
              <w:pStyle w:val="687"/>
              <w:rPr>
                <w:szCs w:val="22"/>
              </w:rPr>
            </w:pPr>
            <w:r>
              <w:rPr>
                <w:bCs/>
                <w:szCs w:val="22"/>
              </w:rPr>
              <w:t>/</w:t>
            </w:r>
          </w:p>
        </w:tc>
        <w:tc>
          <w:tcPr>
            <w:tcW w:w="991" w:type="dxa"/>
            <w:vAlign w:val="center"/>
          </w:tcPr>
          <w:p w14:paraId="0E169120">
            <w:pPr>
              <w:pStyle w:val="687"/>
              <w:rPr>
                <w:szCs w:val="22"/>
              </w:rPr>
            </w:pPr>
            <w:r>
              <w:rPr>
                <w:rFonts w:hint="eastAsia"/>
                <w:bCs/>
                <w:sz w:val="21"/>
                <w:szCs w:val="21"/>
              </w:rPr>
              <w:t>未检出</w:t>
            </w:r>
          </w:p>
        </w:tc>
        <w:tc>
          <w:tcPr>
            <w:tcW w:w="978" w:type="dxa"/>
            <w:vAlign w:val="center"/>
          </w:tcPr>
          <w:p w14:paraId="12CA2F40">
            <w:pPr>
              <w:pStyle w:val="687"/>
              <w:rPr>
                <w:szCs w:val="22"/>
              </w:rPr>
            </w:pPr>
            <w:r>
              <w:rPr>
                <w:bCs/>
                <w:szCs w:val="22"/>
              </w:rPr>
              <w:t>/</w:t>
            </w:r>
          </w:p>
        </w:tc>
      </w:tr>
      <w:tr w14:paraId="2701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5A13BEB2">
            <w:pPr>
              <w:pStyle w:val="687"/>
              <w:rPr>
                <w:szCs w:val="22"/>
              </w:rPr>
            </w:pPr>
            <w:r>
              <w:rPr>
                <w:rFonts w:hint="eastAsia"/>
                <w:bCs/>
                <w:sz w:val="21"/>
                <w:szCs w:val="21"/>
              </w:rPr>
              <w:t>水溶性盐总量</w:t>
            </w:r>
          </w:p>
        </w:tc>
        <w:tc>
          <w:tcPr>
            <w:tcW w:w="721" w:type="dxa"/>
            <w:vAlign w:val="center"/>
          </w:tcPr>
          <w:p w14:paraId="428790B3">
            <w:pPr>
              <w:pStyle w:val="687"/>
              <w:rPr>
                <w:bCs/>
                <w:szCs w:val="22"/>
              </w:rPr>
            </w:pPr>
            <w:r>
              <w:rPr>
                <w:rFonts w:hint="eastAsia"/>
                <w:bCs/>
                <w:szCs w:val="22"/>
              </w:rPr>
              <w:t>/</w:t>
            </w:r>
          </w:p>
        </w:tc>
        <w:tc>
          <w:tcPr>
            <w:tcW w:w="1008" w:type="dxa"/>
            <w:vAlign w:val="center"/>
          </w:tcPr>
          <w:p w14:paraId="65C6FB4A">
            <w:pPr>
              <w:pStyle w:val="1429"/>
            </w:pPr>
            <w:r>
              <w:rPr>
                <w:rFonts w:cs="Times New Roman"/>
                <w:bCs/>
                <w:sz w:val="21"/>
                <w:szCs w:val="21"/>
              </w:rPr>
              <w:t>900</w:t>
            </w:r>
          </w:p>
        </w:tc>
        <w:tc>
          <w:tcPr>
            <w:tcW w:w="1010" w:type="dxa"/>
            <w:vAlign w:val="center"/>
          </w:tcPr>
          <w:p w14:paraId="1DA3450A">
            <w:pPr>
              <w:pStyle w:val="687"/>
              <w:rPr>
                <w:szCs w:val="22"/>
              </w:rPr>
            </w:pPr>
            <w:r>
              <w:rPr>
                <w:bCs/>
                <w:szCs w:val="22"/>
              </w:rPr>
              <w:t>/</w:t>
            </w:r>
          </w:p>
        </w:tc>
        <w:tc>
          <w:tcPr>
            <w:tcW w:w="1008" w:type="dxa"/>
            <w:vAlign w:val="center"/>
          </w:tcPr>
          <w:p w14:paraId="1B9C4D7A">
            <w:pPr>
              <w:pStyle w:val="1429"/>
            </w:pPr>
            <w:r>
              <w:rPr>
                <w:rFonts w:cs="Times New Roman"/>
                <w:bCs/>
                <w:sz w:val="21"/>
                <w:szCs w:val="21"/>
              </w:rPr>
              <w:t>700</w:t>
            </w:r>
          </w:p>
        </w:tc>
        <w:tc>
          <w:tcPr>
            <w:tcW w:w="1010" w:type="dxa"/>
            <w:vAlign w:val="center"/>
          </w:tcPr>
          <w:p w14:paraId="565507AD">
            <w:pPr>
              <w:pStyle w:val="687"/>
              <w:rPr>
                <w:szCs w:val="22"/>
              </w:rPr>
            </w:pPr>
            <w:r>
              <w:rPr>
                <w:bCs/>
                <w:szCs w:val="22"/>
              </w:rPr>
              <w:t>/</w:t>
            </w:r>
          </w:p>
        </w:tc>
        <w:tc>
          <w:tcPr>
            <w:tcW w:w="1010" w:type="dxa"/>
            <w:vAlign w:val="center"/>
          </w:tcPr>
          <w:p w14:paraId="17146732">
            <w:pPr>
              <w:pStyle w:val="1429"/>
            </w:pPr>
            <w:r>
              <w:rPr>
                <w:rFonts w:cs="Times New Roman"/>
                <w:bCs/>
                <w:sz w:val="21"/>
                <w:szCs w:val="21"/>
              </w:rPr>
              <w:t>600</w:t>
            </w:r>
          </w:p>
        </w:tc>
        <w:tc>
          <w:tcPr>
            <w:tcW w:w="1010" w:type="dxa"/>
            <w:vAlign w:val="center"/>
          </w:tcPr>
          <w:p w14:paraId="04C7997F">
            <w:pPr>
              <w:pStyle w:val="687"/>
              <w:rPr>
                <w:szCs w:val="22"/>
              </w:rPr>
            </w:pPr>
            <w:r>
              <w:rPr>
                <w:bCs/>
                <w:szCs w:val="22"/>
              </w:rPr>
              <w:t>/</w:t>
            </w:r>
          </w:p>
        </w:tc>
        <w:tc>
          <w:tcPr>
            <w:tcW w:w="1010" w:type="dxa"/>
            <w:vAlign w:val="center"/>
          </w:tcPr>
          <w:p w14:paraId="785856AE">
            <w:pPr>
              <w:pStyle w:val="687"/>
              <w:rPr>
                <w:szCs w:val="22"/>
              </w:rPr>
            </w:pPr>
            <w:r>
              <w:rPr>
                <w:rFonts w:hint="eastAsia"/>
                <w:szCs w:val="22"/>
              </w:rPr>
              <w:t>8</w:t>
            </w:r>
            <w:r>
              <w:rPr>
                <w:szCs w:val="22"/>
              </w:rPr>
              <w:t>00</w:t>
            </w:r>
          </w:p>
        </w:tc>
        <w:tc>
          <w:tcPr>
            <w:tcW w:w="1010" w:type="dxa"/>
            <w:vAlign w:val="center"/>
          </w:tcPr>
          <w:p w14:paraId="70023E3B">
            <w:pPr>
              <w:pStyle w:val="687"/>
              <w:rPr>
                <w:szCs w:val="22"/>
              </w:rPr>
            </w:pPr>
            <w:r>
              <w:rPr>
                <w:bCs/>
                <w:szCs w:val="22"/>
              </w:rPr>
              <w:t>/</w:t>
            </w:r>
          </w:p>
        </w:tc>
        <w:tc>
          <w:tcPr>
            <w:tcW w:w="997" w:type="dxa"/>
            <w:vAlign w:val="center"/>
          </w:tcPr>
          <w:p w14:paraId="211A425D">
            <w:pPr>
              <w:pStyle w:val="687"/>
              <w:rPr>
                <w:szCs w:val="22"/>
              </w:rPr>
            </w:pPr>
            <w:r>
              <w:rPr>
                <w:szCs w:val="22"/>
              </w:rPr>
              <w:t>700</w:t>
            </w:r>
          </w:p>
        </w:tc>
        <w:tc>
          <w:tcPr>
            <w:tcW w:w="997" w:type="dxa"/>
            <w:vAlign w:val="center"/>
          </w:tcPr>
          <w:p w14:paraId="0770B70A">
            <w:pPr>
              <w:pStyle w:val="687"/>
              <w:rPr>
                <w:szCs w:val="22"/>
              </w:rPr>
            </w:pPr>
            <w:r>
              <w:rPr>
                <w:bCs/>
                <w:szCs w:val="22"/>
              </w:rPr>
              <w:t>/</w:t>
            </w:r>
          </w:p>
        </w:tc>
        <w:tc>
          <w:tcPr>
            <w:tcW w:w="991" w:type="dxa"/>
            <w:vAlign w:val="center"/>
          </w:tcPr>
          <w:p w14:paraId="0A2AB887">
            <w:pPr>
              <w:pStyle w:val="687"/>
              <w:rPr>
                <w:szCs w:val="22"/>
              </w:rPr>
            </w:pPr>
            <w:r>
              <w:rPr>
                <w:rFonts w:hint="eastAsia"/>
                <w:szCs w:val="22"/>
              </w:rPr>
              <w:t>9</w:t>
            </w:r>
            <w:r>
              <w:rPr>
                <w:szCs w:val="22"/>
              </w:rPr>
              <w:t>00</w:t>
            </w:r>
          </w:p>
        </w:tc>
        <w:tc>
          <w:tcPr>
            <w:tcW w:w="978" w:type="dxa"/>
            <w:vAlign w:val="center"/>
          </w:tcPr>
          <w:p w14:paraId="23F5C7DF">
            <w:pPr>
              <w:pStyle w:val="687"/>
              <w:rPr>
                <w:szCs w:val="22"/>
              </w:rPr>
            </w:pPr>
            <w:r>
              <w:rPr>
                <w:bCs/>
                <w:szCs w:val="22"/>
              </w:rPr>
              <w:t>/</w:t>
            </w:r>
          </w:p>
        </w:tc>
      </w:tr>
      <w:tr w14:paraId="5560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7C8C0E54">
            <w:pPr>
              <w:pStyle w:val="687"/>
              <w:rPr>
                <w:szCs w:val="22"/>
              </w:rPr>
            </w:pPr>
            <w:r>
              <w:rPr>
                <w:szCs w:val="22"/>
              </w:rPr>
              <w:t>氯化物</w:t>
            </w:r>
          </w:p>
        </w:tc>
        <w:tc>
          <w:tcPr>
            <w:tcW w:w="721" w:type="dxa"/>
            <w:vAlign w:val="center"/>
          </w:tcPr>
          <w:p w14:paraId="240EA7DA">
            <w:pPr>
              <w:pStyle w:val="687"/>
              <w:rPr>
                <w:bCs/>
                <w:szCs w:val="22"/>
              </w:rPr>
            </w:pPr>
            <w:r>
              <w:rPr>
                <w:bCs/>
                <w:szCs w:val="22"/>
              </w:rPr>
              <w:t>/</w:t>
            </w:r>
          </w:p>
        </w:tc>
        <w:tc>
          <w:tcPr>
            <w:tcW w:w="1008" w:type="dxa"/>
            <w:vAlign w:val="center"/>
          </w:tcPr>
          <w:p w14:paraId="614A0912">
            <w:pPr>
              <w:pStyle w:val="1429"/>
            </w:pPr>
            <w:r>
              <w:rPr>
                <w:rFonts w:cs="Times New Roman"/>
                <w:bCs/>
                <w:sz w:val="21"/>
                <w:szCs w:val="21"/>
              </w:rPr>
              <w:t>26</w:t>
            </w:r>
          </w:p>
        </w:tc>
        <w:tc>
          <w:tcPr>
            <w:tcW w:w="1010" w:type="dxa"/>
            <w:vAlign w:val="center"/>
          </w:tcPr>
          <w:p w14:paraId="704ADE30">
            <w:pPr>
              <w:pStyle w:val="687"/>
              <w:rPr>
                <w:szCs w:val="22"/>
              </w:rPr>
            </w:pPr>
            <w:r>
              <w:rPr>
                <w:bCs/>
                <w:szCs w:val="22"/>
              </w:rPr>
              <w:t>/</w:t>
            </w:r>
          </w:p>
        </w:tc>
        <w:tc>
          <w:tcPr>
            <w:tcW w:w="1008" w:type="dxa"/>
            <w:vAlign w:val="center"/>
          </w:tcPr>
          <w:p w14:paraId="033AD1CD">
            <w:pPr>
              <w:pStyle w:val="1429"/>
            </w:pPr>
            <w:r>
              <w:rPr>
                <w:rFonts w:cs="Times New Roman"/>
                <w:bCs/>
                <w:sz w:val="21"/>
                <w:szCs w:val="21"/>
              </w:rPr>
              <w:t>22</w:t>
            </w:r>
          </w:p>
        </w:tc>
        <w:tc>
          <w:tcPr>
            <w:tcW w:w="1010" w:type="dxa"/>
            <w:vAlign w:val="center"/>
          </w:tcPr>
          <w:p w14:paraId="028F4A6B">
            <w:pPr>
              <w:pStyle w:val="687"/>
              <w:rPr>
                <w:szCs w:val="22"/>
              </w:rPr>
            </w:pPr>
            <w:r>
              <w:rPr>
                <w:bCs/>
                <w:szCs w:val="22"/>
              </w:rPr>
              <w:t>/</w:t>
            </w:r>
          </w:p>
        </w:tc>
        <w:tc>
          <w:tcPr>
            <w:tcW w:w="1010" w:type="dxa"/>
            <w:vAlign w:val="center"/>
          </w:tcPr>
          <w:p w14:paraId="4E268D0A">
            <w:pPr>
              <w:pStyle w:val="1429"/>
            </w:pPr>
            <w:r>
              <w:rPr>
                <w:rFonts w:cs="Times New Roman"/>
                <w:bCs/>
                <w:sz w:val="21"/>
                <w:szCs w:val="21"/>
              </w:rPr>
              <w:t>12</w:t>
            </w:r>
          </w:p>
        </w:tc>
        <w:tc>
          <w:tcPr>
            <w:tcW w:w="1010" w:type="dxa"/>
            <w:vAlign w:val="center"/>
          </w:tcPr>
          <w:p w14:paraId="37FDA2E1">
            <w:pPr>
              <w:pStyle w:val="687"/>
              <w:rPr>
                <w:szCs w:val="22"/>
              </w:rPr>
            </w:pPr>
            <w:r>
              <w:rPr>
                <w:bCs/>
                <w:szCs w:val="22"/>
              </w:rPr>
              <w:t>/</w:t>
            </w:r>
          </w:p>
        </w:tc>
        <w:tc>
          <w:tcPr>
            <w:tcW w:w="1010" w:type="dxa"/>
            <w:vAlign w:val="center"/>
          </w:tcPr>
          <w:p w14:paraId="185E534E">
            <w:pPr>
              <w:pStyle w:val="687"/>
              <w:rPr>
                <w:szCs w:val="22"/>
              </w:rPr>
            </w:pPr>
            <w:r>
              <w:rPr>
                <w:rFonts w:hint="eastAsia"/>
                <w:szCs w:val="22"/>
              </w:rPr>
              <w:t>1</w:t>
            </w:r>
            <w:r>
              <w:rPr>
                <w:szCs w:val="22"/>
              </w:rPr>
              <w:t>9</w:t>
            </w:r>
          </w:p>
        </w:tc>
        <w:tc>
          <w:tcPr>
            <w:tcW w:w="1010" w:type="dxa"/>
            <w:vAlign w:val="center"/>
          </w:tcPr>
          <w:p w14:paraId="75AE8856">
            <w:pPr>
              <w:pStyle w:val="687"/>
              <w:rPr>
                <w:szCs w:val="22"/>
              </w:rPr>
            </w:pPr>
            <w:r>
              <w:rPr>
                <w:bCs/>
                <w:szCs w:val="22"/>
              </w:rPr>
              <w:t>/</w:t>
            </w:r>
          </w:p>
        </w:tc>
        <w:tc>
          <w:tcPr>
            <w:tcW w:w="997" w:type="dxa"/>
            <w:vAlign w:val="center"/>
          </w:tcPr>
          <w:p w14:paraId="43B14381">
            <w:pPr>
              <w:pStyle w:val="687"/>
              <w:rPr>
                <w:szCs w:val="22"/>
              </w:rPr>
            </w:pPr>
            <w:r>
              <w:rPr>
                <w:rFonts w:hint="eastAsia"/>
                <w:szCs w:val="22"/>
              </w:rPr>
              <w:t>2</w:t>
            </w:r>
            <w:r>
              <w:rPr>
                <w:szCs w:val="22"/>
              </w:rPr>
              <w:t>1</w:t>
            </w:r>
          </w:p>
        </w:tc>
        <w:tc>
          <w:tcPr>
            <w:tcW w:w="997" w:type="dxa"/>
            <w:vAlign w:val="center"/>
          </w:tcPr>
          <w:p w14:paraId="027773E0">
            <w:pPr>
              <w:pStyle w:val="687"/>
              <w:rPr>
                <w:szCs w:val="22"/>
              </w:rPr>
            </w:pPr>
            <w:r>
              <w:rPr>
                <w:bCs/>
                <w:szCs w:val="22"/>
              </w:rPr>
              <w:t>/</w:t>
            </w:r>
          </w:p>
        </w:tc>
        <w:tc>
          <w:tcPr>
            <w:tcW w:w="991" w:type="dxa"/>
            <w:vAlign w:val="center"/>
          </w:tcPr>
          <w:p w14:paraId="3BA4FAD8">
            <w:pPr>
              <w:pStyle w:val="687"/>
              <w:rPr>
                <w:szCs w:val="22"/>
              </w:rPr>
            </w:pPr>
            <w:r>
              <w:rPr>
                <w:rFonts w:hint="eastAsia"/>
                <w:szCs w:val="22"/>
              </w:rPr>
              <w:t>1</w:t>
            </w:r>
            <w:r>
              <w:rPr>
                <w:szCs w:val="22"/>
              </w:rPr>
              <w:t>8</w:t>
            </w:r>
          </w:p>
        </w:tc>
        <w:tc>
          <w:tcPr>
            <w:tcW w:w="978" w:type="dxa"/>
            <w:vAlign w:val="center"/>
          </w:tcPr>
          <w:p w14:paraId="4337F93A">
            <w:pPr>
              <w:pStyle w:val="687"/>
              <w:rPr>
                <w:szCs w:val="22"/>
              </w:rPr>
            </w:pPr>
            <w:r>
              <w:rPr>
                <w:bCs/>
                <w:szCs w:val="22"/>
              </w:rPr>
              <w:t>/</w:t>
            </w:r>
          </w:p>
        </w:tc>
      </w:tr>
      <w:tr w14:paraId="6272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Merge w:val="restart"/>
            <w:vAlign w:val="center"/>
          </w:tcPr>
          <w:p w14:paraId="051E2121">
            <w:pPr>
              <w:pStyle w:val="687"/>
              <w:rPr>
                <w:szCs w:val="22"/>
              </w:rPr>
            </w:pPr>
            <w:r>
              <w:rPr>
                <w:szCs w:val="22"/>
              </w:rPr>
              <w:t>监测</w:t>
            </w:r>
          </w:p>
          <w:p w14:paraId="6FE9B558">
            <w:pPr>
              <w:pStyle w:val="687"/>
              <w:rPr>
                <w:szCs w:val="22"/>
              </w:rPr>
            </w:pPr>
            <w:r>
              <w:rPr>
                <w:szCs w:val="22"/>
              </w:rPr>
              <w:t>因子</w:t>
            </w:r>
          </w:p>
        </w:tc>
        <w:tc>
          <w:tcPr>
            <w:tcW w:w="721" w:type="dxa"/>
            <w:vMerge w:val="restart"/>
            <w:vAlign w:val="center"/>
          </w:tcPr>
          <w:p w14:paraId="73DEE04F">
            <w:pPr>
              <w:pStyle w:val="687"/>
              <w:rPr>
                <w:bCs/>
                <w:szCs w:val="22"/>
              </w:rPr>
            </w:pPr>
            <w:r>
              <w:rPr>
                <w:bCs/>
                <w:szCs w:val="22"/>
              </w:rPr>
              <w:t>标准值</w:t>
            </w:r>
          </w:p>
        </w:tc>
        <w:tc>
          <w:tcPr>
            <w:tcW w:w="6056" w:type="dxa"/>
            <w:gridSpan w:val="6"/>
            <w:vAlign w:val="center"/>
          </w:tcPr>
          <w:p w14:paraId="485033E7">
            <w:pPr>
              <w:pStyle w:val="687"/>
              <w:rPr>
                <w:szCs w:val="22"/>
              </w:rPr>
            </w:pPr>
            <w:r>
              <w:rPr>
                <w:bCs/>
                <w:szCs w:val="22"/>
              </w:rPr>
              <w:t>T3</w:t>
            </w:r>
          </w:p>
        </w:tc>
        <w:tc>
          <w:tcPr>
            <w:tcW w:w="2020" w:type="dxa"/>
            <w:gridSpan w:val="2"/>
            <w:vAlign w:val="center"/>
          </w:tcPr>
          <w:p w14:paraId="47E412D6">
            <w:pPr>
              <w:pStyle w:val="687"/>
              <w:rPr>
                <w:szCs w:val="22"/>
              </w:rPr>
            </w:pPr>
            <w:r>
              <w:rPr>
                <w:bCs/>
                <w:szCs w:val="22"/>
              </w:rPr>
              <w:t>T4</w:t>
            </w:r>
          </w:p>
        </w:tc>
        <w:tc>
          <w:tcPr>
            <w:tcW w:w="1994" w:type="dxa"/>
            <w:gridSpan w:val="2"/>
            <w:vAlign w:val="center"/>
          </w:tcPr>
          <w:p w14:paraId="13B3877E">
            <w:pPr>
              <w:pStyle w:val="687"/>
              <w:rPr>
                <w:szCs w:val="22"/>
              </w:rPr>
            </w:pPr>
            <w:r>
              <w:rPr>
                <w:bCs/>
                <w:szCs w:val="22"/>
              </w:rPr>
              <w:t>T5</w:t>
            </w:r>
          </w:p>
        </w:tc>
        <w:tc>
          <w:tcPr>
            <w:tcW w:w="1969" w:type="dxa"/>
            <w:gridSpan w:val="2"/>
            <w:vAlign w:val="center"/>
          </w:tcPr>
          <w:p w14:paraId="6961A7E4">
            <w:pPr>
              <w:pStyle w:val="687"/>
              <w:rPr>
                <w:szCs w:val="22"/>
              </w:rPr>
            </w:pPr>
            <w:r>
              <w:rPr>
                <w:bCs/>
                <w:szCs w:val="22"/>
              </w:rPr>
              <w:t>T6</w:t>
            </w:r>
          </w:p>
        </w:tc>
      </w:tr>
      <w:tr w14:paraId="4540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Merge w:val="continue"/>
            <w:vAlign w:val="center"/>
          </w:tcPr>
          <w:p w14:paraId="6698CFF8">
            <w:pPr>
              <w:pStyle w:val="687"/>
              <w:rPr>
                <w:szCs w:val="22"/>
              </w:rPr>
            </w:pPr>
          </w:p>
        </w:tc>
        <w:tc>
          <w:tcPr>
            <w:tcW w:w="721" w:type="dxa"/>
            <w:vMerge w:val="continue"/>
            <w:vAlign w:val="center"/>
          </w:tcPr>
          <w:p w14:paraId="0F6F5189">
            <w:pPr>
              <w:pStyle w:val="687"/>
              <w:rPr>
                <w:szCs w:val="22"/>
              </w:rPr>
            </w:pPr>
          </w:p>
        </w:tc>
        <w:tc>
          <w:tcPr>
            <w:tcW w:w="2018" w:type="dxa"/>
            <w:gridSpan w:val="2"/>
            <w:vAlign w:val="center"/>
          </w:tcPr>
          <w:p w14:paraId="3C97B296">
            <w:pPr>
              <w:pStyle w:val="687"/>
              <w:rPr>
                <w:szCs w:val="22"/>
              </w:rPr>
            </w:pPr>
            <w:r>
              <w:rPr>
                <w:szCs w:val="22"/>
              </w:rPr>
              <w:t>0~0.5m</w:t>
            </w:r>
          </w:p>
        </w:tc>
        <w:tc>
          <w:tcPr>
            <w:tcW w:w="2018" w:type="dxa"/>
            <w:gridSpan w:val="2"/>
            <w:vAlign w:val="center"/>
          </w:tcPr>
          <w:p w14:paraId="22AAF8B7">
            <w:pPr>
              <w:pStyle w:val="687"/>
              <w:rPr>
                <w:szCs w:val="22"/>
              </w:rPr>
            </w:pPr>
            <w:r>
              <w:rPr>
                <w:szCs w:val="22"/>
              </w:rPr>
              <w:t>0.5~1.5m</w:t>
            </w:r>
          </w:p>
        </w:tc>
        <w:tc>
          <w:tcPr>
            <w:tcW w:w="2020" w:type="dxa"/>
            <w:gridSpan w:val="2"/>
            <w:vAlign w:val="center"/>
          </w:tcPr>
          <w:p w14:paraId="14143E41">
            <w:pPr>
              <w:pStyle w:val="687"/>
              <w:rPr>
                <w:szCs w:val="22"/>
              </w:rPr>
            </w:pPr>
            <w:r>
              <w:rPr>
                <w:szCs w:val="22"/>
              </w:rPr>
              <w:t>1.5~3.0m</w:t>
            </w:r>
          </w:p>
        </w:tc>
        <w:tc>
          <w:tcPr>
            <w:tcW w:w="2020" w:type="dxa"/>
            <w:gridSpan w:val="2"/>
            <w:vAlign w:val="center"/>
          </w:tcPr>
          <w:p w14:paraId="67A4F8CF">
            <w:pPr>
              <w:pStyle w:val="687"/>
              <w:rPr>
                <w:szCs w:val="22"/>
              </w:rPr>
            </w:pPr>
            <w:r>
              <w:rPr>
                <w:szCs w:val="22"/>
              </w:rPr>
              <w:t>0~0.2m</w:t>
            </w:r>
          </w:p>
        </w:tc>
        <w:tc>
          <w:tcPr>
            <w:tcW w:w="1994" w:type="dxa"/>
            <w:gridSpan w:val="2"/>
            <w:vAlign w:val="center"/>
          </w:tcPr>
          <w:p w14:paraId="3EEA1C0E">
            <w:pPr>
              <w:pStyle w:val="687"/>
              <w:rPr>
                <w:szCs w:val="22"/>
              </w:rPr>
            </w:pPr>
            <w:r>
              <w:rPr>
                <w:szCs w:val="22"/>
              </w:rPr>
              <w:t>0~0.2m</w:t>
            </w:r>
          </w:p>
        </w:tc>
        <w:tc>
          <w:tcPr>
            <w:tcW w:w="1969" w:type="dxa"/>
            <w:gridSpan w:val="2"/>
            <w:vAlign w:val="center"/>
          </w:tcPr>
          <w:p w14:paraId="36430C6B">
            <w:pPr>
              <w:pStyle w:val="687"/>
              <w:rPr>
                <w:szCs w:val="22"/>
              </w:rPr>
            </w:pPr>
            <w:r>
              <w:rPr>
                <w:szCs w:val="22"/>
              </w:rPr>
              <w:t>0~0.2m</w:t>
            </w:r>
          </w:p>
        </w:tc>
      </w:tr>
      <w:tr w14:paraId="5396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05" w:type="dxa"/>
            <w:vMerge w:val="continue"/>
            <w:vAlign w:val="center"/>
          </w:tcPr>
          <w:p w14:paraId="4C3FA2F6">
            <w:pPr>
              <w:pStyle w:val="687"/>
              <w:rPr>
                <w:szCs w:val="22"/>
              </w:rPr>
            </w:pPr>
          </w:p>
        </w:tc>
        <w:tc>
          <w:tcPr>
            <w:tcW w:w="721" w:type="dxa"/>
            <w:vMerge w:val="continue"/>
            <w:vAlign w:val="center"/>
          </w:tcPr>
          <w:p w14:paraId="405B9C25">
            <w:pPr>
              <w:pStyle w:val="687"/>
              <w:rPr>
                <w:szCs w:val="22"/>
              </w:rPr>
            </w:pPr>
          </w:p>
        </w:tc>
        <w:tc>
          <w:tcPr>
            <w:tcW w:w="1008" w:type="dxa"/>
            <w:vAlign w:val="center"/>
          </w:tcPr>
          <w:p w14:paraId="15821D0C">
            <w:pPr>
              <w:pStyle w:val="687"/>
              <w:rPr>
                <w:szCs w:val="22"/>
              </w:rPr>
            </w:pPr>
            <w:r>
              <w:rPr>
                <w:szCs w:val="22"/>
              </w:rPr>
              <w:t>监测值</w:t>
            </w:r>
          </w:p>
        </w:tc>
        <w:tc>
          <w:tcPr>
            <w:tcW w:w="1010" w:type="dxa"/>
            <w:vAlign w:val="center"/>
          </w:tcPr>
          <w:p w14:paraId="3BA11486">
            <w:pPr>
              <w:pStyle w:val="687"/>
              <w:rPr>
                <w:szCs w:val="22"/>
              </w:rPr>
            </w:pPr>
            <w:r>
              <w:rPr>
                <w:szCs w:val="22"/>
              </w:rPr>
              <w:t>标准</w:t>
            </w:r>
          </w:p>
          <w:p w14:paraId="2D9D373E">
            <w:pPr>
              <w:pStyle w:val="687"/>
              <w:rPr>
                <w:szCs w:val="22"/>
              </w:rPr>
            </w:pPr>
            <w:r>
              <w:rPr>
                <w:szCs w:val="22"/>
              </w:rPr>
              <w:t>指数</w:t>
            </w:r>
          </w:p>
        </w:tc>
        <w:tc>
          <w:tcPr>
            <w:tcW w:w="1008" w:type="dxa"/>
            <w:vAlign w:val="center"/>
          </w:tcPr>
          <w:p w14:paraId="035D01D8">
            <w:pPr>
              <w:pStyle w:val="687"/>
              <w:rPr>
                <w:szCs w:val="22"/>
              </w:rPr>
            </w:pPr>
            <w:r>
              <w:rPr>
                <w:szCs w:val="22"/>
              </w:rPr>
              <w:t>监测值</w:t>
            </w:r>
          </w:p>
        </w:tc>
        <w:tc>
          <w:tcPr>
            <w:tcW w:w="1010" w:type="dxa"/>
            <w:vAlign w:val="center"/>
          </w:tcPr>
          <w:p w14:paraId="221C776A">
            <w:pPr>
              <w:pStyle w:val="687"/>
              <w:rPr>
                <w:szCs w:val="22"/>
              </w:rPr>
            </w:pPr>
            <w:r>
              <w:rPr>
                <w:szCs w:val="22"/>
              </w:rPr>
              <w:t>标准</w:t>
            </w:r>
          </w:p>
          <w:p w14:paraId="391DDCF9">
            <w:pPr>
              <w:pStyle w:val="687"/>
              <w:rPr>
                <w:szCs w:val="22"/>
              </w:rPr>
            </w:pPr>
            <w:r>
              <w:rPr>
                <w:szCs w:val="22"/>
              </w:rPr>
              <w:t>指数</w:t>
            </w:r>
          </w:p>
        </w:tc>
        <w:tc>
          <w:tcPr>
            <w:tcW w:w="1010" w:type="dxa"/>
            <w:vAlign w:val="center"/>
          </w:tcPr>
          <w:p w14:paraId="49B31087">
            <w:pPr>
              <w:pStyle w:val="687"/>
              <w:rPr>
                <w:szCs w:val="22"/>
              </w:rPr>
            </w:pPr>
            <w:r>
              <w:rPr>
                <w:szCs w:val="22"/>
              </w:rPr>
              <w:t>监测值</w:t>
            </w:r>
          </w:p>
        </w:tc>
        <w:tc>
          <w:tcPr>
            <w:tcW w:w="1010" w:type="dxa"/>
            <w:vAlign w:val="center"/>
          </w:tcPr>
          <w:p w14:paraId="758DDD3D">
            <w:pPr>
              <w:pStyle w:val="687"/>
              <w:rPr>
                <w:szCs w:val="22"/>
              </w:rPr>
            </w:pPr>
            <w:r>
              <w:rPr>
                <w:szCs w:val="22"/>
              </w:rPr>
              <w:t>标准</w:t>
            </w:r>
          </w:p>
          <w:p w14:paraId="5E6D50F7">
            <w:pPr>
              <w:pStyle w:val="687"/>
              <w:rPr>
                <w:szCs w:val="22"/>
              </w:rPr>
            </w:pPr>
            <w:r>
              <w:rPr>
                <w:szCs w:val="22"/>
              </w:rPr>
              <w:t>指数</w:t>
            </w:r>
          </w:p>
        </w:tc>
        <w:tc>
          <w:tcPr>
            <w:tcW w:w="1010" w:type="dxa"/>
            <w:vAlign w:val="center"/>
          </w:tcPr>
          <w:p w14:paraId="22C7EB79">
            <w:pPr>
              <w:pStyle w:val="687"/>
              <w:rPr>
                <w:szCs w:val="22"/>
              </w:rPr>
            </w:pPr>
            <w:r>
              <w:rPr>
                <w:szCs w:val="22"/>
              </w:rPr>
              <w:t>监测值</w:t>
            </w:r>
          </w:p>
        </w:tc>
        <w:tc>
          <w:tcPr>
            <w:tcW w:w="1010" w:type="dxa"/>
            <w:vAlign w:val="center"/>
          </w:tcPr>
          <w:p w14:paraId="6AA14F54">
            <w:pPr>
              <w:pStyle w:val="687"/>
              <w:rPr>
                <w:szCs w:val="22"/>
              </w:rPr>
            </w:pPr>
            <w:r>
              <w:rPr>
                <w:szCs w:val="22"/>
              </w:rPr>
              <w:t>标准</w:t>
            </w:r>
          </w:p>
          <w:p w14:paraId="496D4991">
            <w:pPr>
              <w:pStyle w:val="687"/>
              <w:rPr>
                <w:szCs w:val="22"/>
              </w:rPr>
            </w:pPr>
            <w:r>
              <w:rPr>
                <w:szCs w:val="22"/>
              </w:rPr>
              <w:t>指数</w:t>
            </w:r>
          </w:p>
        </w:tc>
        <w:tc>
          <w:tcPr>
            <w:tcW w:w="997" w:type="dxa"/>
            <w:vAlign w:val="center"/>
          </w:tcPr>
          <w:p w14:paraId="00AC29C7">
            <w:pPr>
              <w:pStyle w:val="687"/>
              <w:rPr>
                <w:szCs w:val="22"/>
              </w:rPr>
            </w:pPr>
            <w:r>
              <w:rPr>
                <w:szCs w:val="22"/>
              </w:rPr>
              <w:t>监测值</w:t>
            </w:r>
          </w:p>
        </w:tc>
        <w:tc>
          <w:tcPr>
            <w:tcW w:w="997" w:type="dxa"/>
            <w:vAlign w:val="center"/>
          </w:tcPr>
          <w:p w14:paraId="67CB728F">
            <w:pPr>
              <w:pStyle w:val="687"/>
              <w:rPr>
                <w:szCs w:val="22"/>
              </w:rPr>
            </w:pPr>
            <w:r>
              <w:rPr>
                <w:szCs w:val="22"/>
              </w:rPr>
              <w:t>标准</w:t>
            </w:r>
          </w:p>
          <w:p w14:paraId="02F6CBCB">
            <w:pPr>
              <w:pStyle w:val="687"/>
              <w:rPr>
                <w:szCs w:val="22"/>
              </w:rPr>
            </w:pPr>
            <w:r>
              <w:rPr>
                <w:szCs w:val="22"/>
              </w:rPr>
              <w:t>指数</w:t>
            </w:r>
          </w:p>
        </w:tc>
        <w:tc>
          <w:tcPr>
            <w:tcW w:w="991" w:type="dxa"/>
            <w:vAlign w:val="center"/>
          </w:tcPr>
          <w:p w14:paraId="50F4E2A4">
            <w:pPr>
              <w:pStyle w:val="687"/>
              <w:rPr>
                <w:szCs w:val="22"/>
              </w:rPr>
            </w:pPr>
            <w:r>
              <w:rPr>
                <w:szCs w:val="22"/>
              </w:rPr>
              <w:t>监测值</w:t>
            </w:r>
          </w:p>
        </w:tc>
        <w:tc>
          <w:tcPr>
            <w:tcW w:w="978" w:type="dxa"/>
            <w:vAlign w:val="center"/>
          </w:tcPr>
          <w:p w14:paraId="5DA79AC0">
            <w:pPr>
              <w:pStyle w:val="687"/>
              <w:rPr>
                <w:szCs w:val="22"/>
              </w:rPr>
            </w:pPr>
            <w:r>
              <w:rPr>
                <w:szCs w:val="22"/>
              </w:rPr>
              <w:t>标准</w:t>
            </w:r>
          </w:p>
          <w:p w14:paraId="01E89B2F">
            <w:pPr>
              <w:pStyle w:val="687"/>
              <w:rPr>
                <w:szCs w:val="22"/>
              </w:rPr>
            </w:pPr>
            <w:r>
              <w:rPr>
                <w:szCs w:val="22"/>
              </w:rPr>
              <w:t>指数</w:t>
            </w:r>
          </w:p>
        </w:tc>
      </w:tr>
      <w:tr w14:paraId="0748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3EC94971">
            <w:pPr>
              <w:pStyle w:val="687"/>
              <w:rPr>
                <w:szCs w:val="22"/>
              </w:rPr>
            </w:pPr>
            <w:r>
              <w:rPr>
                <w:szCs w:val="22"/>
              </w:rPr>
              <w:t>pH</w:t>
            </w:r>
          </w:p>
        </w:tc>
        <w:tc>
          <w:tcPr>
            <w:tcW w:w="721" w:type="dxa"/>
            <w:vAlign w:val="center"/>
          </w:tcPr>
          <w:p w14:paraId="4B133C82">
            <w:pPr>
              <w:pStyle w:val="687"/>
              <w:rPr>
                <w:bCs/>
                <w:szCs w:val="22"/>
              </w:rPr>
            </w:pPr>
            <w:r>
              <w:rPr>
                <w:bCs/>
                <w:szCs w:val="22"/>
              </w:rPr>
              <w:t>/</w:t>
            </w:r>
          </w:p>
        </w:tc>
        <w:tc>
          <w:tcPr>
            <w:tcW w:w="1008" w:type="dxa"/>
            <w:vAlign w:val="center"/>
          </w:tcPr>
          <w:p w14:paraId="3C051381">
            <w:pPr>
              <w:pStyle w:val="687"/>
              <w:rPr>
                <w:szCs w:val="22"/>
              </w:rPr>
            </w:pPr>
            <w:r>
              <w:rPr>
                <w:rFonts w:hint="eastAsia"/>
                <w:bCs/>
                <w:sz w:val="21"/>
                <w:szCs w:val="21"/>
              </w:rPr>
              <w:t>6.61</w:t>
            </w:r>
          </w:p>
        </w:tc>
        <w:tc>
          <w:tcPr>
            <w:tcW w:w="1010" w:type="dxa"/>
            <w:vAlign w:val="center"/>
          </w:tcPr>
          <w:p w14:paraId="29CA1242">
            <w:pPr>
              <w:pStyle w:val="687"/>
              <w:rPr>
                <w:szCs w:val="22"/>
              </w:rPr>
            </w:pPr>
            <w:r>
              <w:rPr>
                <w:bCs/>
                <w:szCs w:val="22"/>
              </w:rPr>
              <w:t>/</w:t>
            </w:r>
          </w:p>
        </w:tc>
        <w:tc>
          <w:tcPr>
            <w:tcW w:w="1008" w:type="dxa"/>
            <w:vAlign w:val="center"/>
          </w:tcPr>
          <w:p w14:paraId="482B3203">
            <w:pPr>
              <w:pStyle w:val="1429"/>
            </w:pPr>
            <w:r>
              <w:rPr>
                <w:rFonts w:hint="eastAsia" w:cs="Times New Roman"/>
                <w:bCs/>
                <w:sz w:val="21"/>
                <w:szCs w:val="21"/>
              </w:rPr>
              <w:t>6.59</w:t>
            </w:r>
          </w:p>
        </w:tc>
        <w:tc>
          <w:tcPr>
            <w:tcW w:w="1010" w:type="dxa"/>
            <w:vAlign w:val="center"/>
          </w:tcPr>
          <w:p w14:paraId="3C2A743B">
            <w:pPr>
              <w:pStyle w:val="687"/>
              <w:rPr>
                <w:szCs w:val="22"/>
              </w:rPr>
            </w:pPr>
            <w:r>
              <w:rPr>
                <w:bCs/>
                <w:szCs w:val="22"/>
              </w:rPr>
              <w:t>/</w:t>
            </w:r>
          </w:p>
        </w:tc>
        <w:tc>
          <w:tcPr>
            <w:tcW w:w="1010" w:type="dxa"/>
            <w:vAlign w:val="center"/>
          </w:tcPr>
          <w:p w14:paraId="43B9DECA">
            <w:pPr>
              <w:pStyle w:val="1429"/>
            </w:pPr>
            <w:r>
              <w:rPr>
                <w:rFonts w:hint="eastAsia" w:cs="Times New Roman"/>
                <w:bCs/>
                <w:sz w:val="21"/>
                <w:szCs w:val="21"/>
              </w:rPr>
              <w:t>6.52</w:t>
            </w:r>
          </w:p>
        </w:tc>
        <w:tc>
          <w:tcPr>
            <w:tcW w:w="1010" w:type="dxa"/>
            <w:vAlign w:val="center"/>
          </w:tcPr>
          <w:p w14:paraId="4CA4BFAD">
            <w:pPr>
              <w:pStyle w:val="687"/>
              <w:rPr>
                <w:szCs w:val="22"/>
              </w:rPr>
            </w:pPr>
            <w:r>
              <w:rPr>
                <w:bCs/>
                <w:szCs w:val="22"/>
              </w:rPr>
              <w:t>/</w:t>
            </w:r>
          </w:p>
        </w:tc>
        <w:tc>
          <w:tcPr>
            <w:tcW w:w="1010" w:type="dxa"/>
            <w:vAlign w:val="center"/>
          </w:tcPr>
          <w:p w14:paraId="675A36F2">
            <w:pPr>
              <w:pStyle w:val="1429"/>
            </w:pPr>
            <w:r>
              <w:rPr>
                <w:rFonts w:hint="eastAsia" w:cs="Times New Roman"/>
                <w:bCs/>
                <w:sz w:val="21"/>
                <w:szCs w:val="21"/>
              </w:rPr>
              <w:t>6.82</w:t>
            </w:r>
          </w:p>
        </w:tc>
        <w:tc>
          <w:tcPr>
            <w:tcW w:w="1010" w:type="dxa"/>
            <w:vAlign w:val="center"/>
          </w:tcPr>
          <w:p w14:paraId="0AFADFB9">
            <w:pPr>
              <w:pStyle w:val="687"/>
              <w:rPr>
                <w:szCs w:val="22"/>
              </w:rPr>
            </w:pPr>
            <w:r>
              <w:rPr>
                <w:bCs/>
                <w:szCs w:val="22"/>
              </w:rPr>
              <w:t>/</w:t>
            </w:r>
          </w:p>
        </w:tc>
        <w:tc>
          <w:tcPr>
            <w:tcW w:w="997" w:type="dxa"/>
            <w:vAlign w:val="center"/>
          </w:tcPr>
          <w:p w14:paraId="55656EB5">
            <w:pPr>
              <w:pStyle w:val="687"/>
              <w:rPr>
                <w:szCs w:val="22"/>
              </w:rPr>
            </w:pPr>
            <w:r>
              <w:rPr>
                <w:rFonts w:hint="eastAsia"/>
                <w:bCs/>
                <w:sz w:val="21"/>
                <w:szCs w:val="21"/>
              </w:rPr>
              <w:t>6.75</w:t>
            </w:r>
          </w:p>
        </w:tc>
        <w:tc>
          <w:tcPr>
            <w:tcW w:w="997" w:type="dxa"/>
            <w:vAlign w:val="center"/>
          </w:tcPr>
          <w:p w14:paraId="2F54FFEE">
            <w:pPr>
              <w:pStyle w:val="687"/>
              <w:rPr>
                <w:szCs w:val="22"/>
              </w:rPr>
            </w:pPr>
            <w:r>
              <w:rPr>
                <w:bCs/>
                <w:szCs w:val="22"/>
              </w:rPr>
              <w:t>/</w:t>
            </w:r>
          </w:p>
        </w:tc>
        <w:tc>
          <w:tcPr>
            <w:tcW w:w="991" w:type="dxa"/>
            <w:vAlign w:val="center"/>
          </w:tcPr>
          <w:p w14:paraId="6AEB0FB2">
            <w:pPr>
              <w:pStyle w:val="687"/>
              <w:rPr>
                <w:szCs w:val="22"/>
              </w:rPr>
            </w:pPr>
            <w:r>
              <w:rPr>
                <w:rFonts w:hint="eastAsia"/>
                <w:bCs/>
                <w:sz w:val="21"/>
                <w:szCs w:val="21"/>
              </w:rPr>
              <w:t>6.79</w:t>
            </w:r>
          </w:p>
        </w:tc>
        <w:tc>
          <w:tcPr>
            <w:tcW w:w="978" w:type="dxa"/>
            <w:vAlign w:val="center"/>
          </w:tcPr>
          <w:p w14:paraId="56C60F62">
            <w:pPr>
              <w:pStyle w:val="687"/>
              <w:rPr>
                <w:szCs w:val="22"/>
              </w:rPr>
            </w:pPr>
            <w:r>
              <w:rPr>
                <w:bCs/>
                <w:szCs w:val="22"/>
              </w:rPr>
              <w:t>/</w:t>
            </w:r>
          </w:p>
        </w:tc>
      </w:tr>
      <w:tr w14:paraId="32F2B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150C581B">
            <w:pPr>
              <w:pStyle w:val="687"/>
              <w:rPr>
                <w:szCs w:val="22"/>
              </w:rPr>
            </w:pPr>
            <w:r>
              <w:rPr>
                <w:szCs w:val="22"/>
              </w:rPr>
              <w:t>石油烃</w:t>
            </w:r>
          </w:p>
        </w:tc>
        <w:tc>
          <w:tcPr>
            <w:tcW w:w="721" w:type="dxa"/>
            <w:vAlign w:val="center"/>
          </w:tcPr>
          <w:p w14:paraId="159CC839">
            <w:pPr>
              <w:pStyle w:val="687"/>
              <w:rPr>
                <w:bCs/>
                <w:szCs w:val="22"/>
              </w:rPr>
            </w:pPr>
            <w:r>
              <w:rPr>
                <w:szCs w:val="22"/>
              </w:rPr>
              <w:t>4500</w:t>
            </w:r>
          </w:p>
        </w:tc>
        <w:tc>
          <w:tcPr>
            <w:tcW w:w="1008" w:type="dxa"/>
            <w:vAlign w:val="center"/>
          </w:tcPr>
          <w:p w14:paraId="3AB9DFF7">
            <w:pPr>
              <w:pStyle w:val="687"/>
              <w:rPr>
                <w:szCs w:val="22"/>
              </w:rPr>
            </w:pPr>
            <w:r>
              <w:rPr>
                <w:rFonts w:hint="eastAsia"/>
                <w:bCs/>
                <w:sz w:val="21"/>
                <w:szCs w:val="21"/>
              </w:rPr>
              <w:t>42</w:t>
            </w:r>
          </w:p>
        </w:tc>
        <w:tc>
          <w:tcPr>
            <w:tcW w:w="1010" w:type="dxa"/>
            <w:vAlign w:val="center"/>
          </w:tcPr>
          <w:p w14:paraId="07D1D57C">
            <w:pPr>
              <w:pStyle w:val="687"/>
              <w:rPr>
                <w:szCs w:val="22"/>
              </w:rPr>
            </w:pPr>
            <w:r>
              <w:rPr>
                <w:rFonts w:hint="eastAsia"/>
                <w:szCs w:val="22"/>
              </w:rPr>
              <w:t>0</w:t>
            </w:r>
            <w:r>
              <w:rPr>
                <w:szCs w:val="22"/>
              </w:rPr>
              <w:t>.01</w:t>
            </w:r>
          </w:p>
        </w:tc>
        <w:tc>
          <w:tcPr>
            <w:tcW w:w="1008" w:type="dxa"/>
            <w:vAlign w:val="center"/>
          </w:tcPr>
          <w:p w14:paraId="17F7A5DB">
            <w:pPr>
              <w:pStyle w:val="1429"/>
            </w:pPr>
            <w:r>
              <w:rPr>
                <w:rFonts w:hint="eastAsia" w:cs="Times New Roman"/>
                <w:bCs/>
                <w:sz w:val="21"/>
                <w:szCs w:val="21"/>
              </w:rPr>
              <w:t>15</w:t>
            </w:r>
          </w:p>
        </w:tc>
        <w:tc>
          <w:tcPr>
            <w:tcW w:w="1010" w:type="dxa"/>
            <w:vAlign w:val="center"/>
          </w:tcPr>
          <w:p w14:paraId="12A271B1">
            <w:pPr>
              <w:pStyle w:val="687"/>
              <w:rPr>
                <w:szCs w:val="22"/>
              </w:rPr>
            </w:pPr>
            <w:r>
              <w:rPr>
                <w:rFonts w:hint="eastAsia"/>
                <w:szCs w:val="22"/>
              </w:rPr>
              <w:t>0</w:t>
            </w:r>
            <w:r>
              <w:rPr>
                <w:szCs w:val="22"/>
              </w:rPr>
              <w:t>.00</w:t>
            </w:r>
          </w:p>
        </w:tc>
        <w:tc>
          <w:tcPr>
            <w:tcW w:w="1010" w:type="dxa"/>
            <w:vAlign w:val="center"/>
          </w:tcPr>
          <w:p w14:paraId="7CF05070">
            <w:pPr>
              <w:pStyle w:val="1429"/>
            </w:pPr>
            <w:r>
              <w:rPr>
                <w:rFonts w:hint="eastAsia" w:cs="Times New Roman"/>
                <w:bCs/>
                <w:sz w:val="21"/>
                <w:szCs w:val="21"/>
              </w:rPr>
              <w:t>86</w:t>
            </w:r>
          </w:p>
        </w:tc>
        <w:tc>
          <w:tcPr>
            <w:tcW w:w="1010" w:type="dxa"/>
            <w:vAlign w:val="center"/>
          </w:tcPr>
          <w:p w14:paraId="2A4AE149">
            <w:pPr>
              <w:pStyle w:val="687"/>
              <w:rPr>
                <w:szCs w:val="22"/>
              </w:rPr>
            </w:pPr>
            <w:r>
              <w:rPr>
                <w:rFonts w:hint="eastAsia"/>
                <w:szCs w:val="22"/>
              </w:rPr>
              <w:t>0</w:t>
            </w:r>
            <w:r>
              <w:rPr>
                <w:szCs w:val="22"/>
              </w:rPr>
              <w:t>.02</w:t>
            </w:r>
          </w:p>
        </w:tc>
        <w:tc>
          <w:tcPr>
            <w:tcW w:w="1010" w:type="dxa"/>
            <w:vAlign w:val="center"/>
          </w:tcPr>
          <w:p w14:paraId="15B16618">
            <w:pPr>
              <w:pStyle w:val="1429"/>
            </w:pPr>
            <w:r>
              <w:rPr>
                <w:rFonts w:hint="eastAsia" w:cs="Times New Roman"/>
                <w:bCs/>
                <w:sz w:val="21"/>
                <w:szCs w:val="21"/>
              </w:rPr>
              <w:t>82</w:t>
            </w:r>
          </w:p>
        </w:tc>
        <w:tc>
          <w:tcPr>
            <w:tcW w:w="1010" w:type="dxa"/>
            <w:vAlign w:val="center"/>
          </w:tcPr>
          <w:p w14:paraId="51A65F83">
            <w:pPr>
              <w:pStyle w:val="687"/>
              <w:rPr>
                <w:szCs w:val="22"/>
              </w:rPr>
            </w:pPr>
            <w:r>
              <w:rPr>
                <w:rFonts w:hint="eastAsia"/>
                <w:szCs w:val="22"/>
              </w:rPr>
              <w:t>0</w:t>
            </w:r>
            <w:r>
              <w:rPr>
                <w:szCs w:val="22"/>
              </w:rPr>
              <w:t>.02</w:t>
            </w:r>
          </w:p>
        </w:tc>
        <w:tc>
          <w:tcPr>
            <w:tcW w:w="997" w:type="dxa"/>
            <w:vAlign w:val="center"/>
          </w:tcPr>
          <w:p w14:paraId="76AB18A7">
            <w:pPr>
              <w:pStyle w:val="687"/>
              <w:rPr>
                <w:szCs w:val="22"/>
              </w:rPr>
            </w:pPr>
            <w:r>
              <w:rPr>
                <w:rFonts w:hint="eastAsia"/>
                <w:bCs/>
                <w:sz w:val="21"/>
                <w:szCs w:val="21"/>
              </w:rPr>
              <w:t>13</w:t>
            </w:r>
          </w:p>
        </w:tc>
        <w:tc>
          <w:tcPr>
            <w:tcW w:w="997" w:type="dxa"/>
            <w:vAlign w:val="center"/>
          </w:tcPr>
          <w:p w14:paraId="1CDDA65F">
            <w:pPr>
              <w:pStyle w:val="687"/>
              <w:rPr>
                <w:szCs w:val="22"/>
              </w:rPr>
            </w:pPr>
            <w:r>
              <w:rPr>
                <w:rFonts w:hint="eastAsia"/>
                <w:szCs w:val="22"/>
              </w:rPr>
              <w:t>0</w:t>
            </w:r>
            <w:r>
              <w:rPr>
                <w:szCs w:val="22"/>
              </w:rPr>
              <w:t>.00</w:t>
            </w:r>
          </w:p>
        </w:tc>
        <w:tc>
          <w:tcPr>
            <w:tcW w:w="991" w:type="dxa"/>
            <w:vAlign w:val="center"/>
          </w:tcPr>
          <w:p w14:paraId="7E444CF8">
            <w:pPr>
              <w:pStyle w:val="687"/>
              <w:rPr>
                <w:szCs w:val="22"/>
              </w:rPr>
            </w:pPr>
            <w:r>
              <w:rPr>
                <w:rFonts w:hint="eastAsia"/>
                <w:bCs/>
                <w:sz w:val="21"/>
                <w:szCs w:val="21"/>
              </w:rPr>
              <w:t>20</w:t>
            </w:r>
          </w:p>
        </w:tc>
        <w:tc>
          <w:tcPr>
            <w:tcW w:w="978" w:type="dxa"/>
            <w:vAlign w:val="center"/>
          </w:tcPr>
          <w:p w14:paraId="1D49CAB8">
            <w:pPr>
              <w:pStyle w:val="687"/>
              <w:rPr>
                <w:szCs w:val="22"/>
              </w:rPr>
            </w:pPr>
            <w:r>
              <w:rPr>
                <w:rFonts w:hint="eastAsia"/>
                <w:szCs w:val="22"/>
              </w:rPr>
              <w:t>0</w:t>
            </w:r>
            <w:r>
              <w:rPr>
                <w:szCs w:val="22"/>
              </w:rPr>
              <w:t>.00</w:t>
            </w:r>
          </w:p>
        </w:tc>
      </w:tr>
      <w:tr w14:paraId="3CC9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251B81D7">
            <w:pPr>
              <w:pStyle w:val="687"/>
              <w:rPr>
                <w:szCs w:val="22"/>
              </w:rPr>
            </w:pPr>
            <w:r>
              <w:rPr>
                <w:szCs w:val="22"/>
              </w:rPr>
              <w:t>钡</w:t>
            </w:r>
          </w:p>
        </w:tc>
        <w:tc>
          <w:tcPr>
            <w:tcW w:w="721" w:type="dxa"/>
            <w:vAlign w:val="center"/>
          </w:tcPr>
          <w:p w14:paraId="2B50CAD5">
            <w:pPr>
              <w:pStyle w:val="687"/>
              <w:rPr>
                <w:szCs w:val="22"/>
              </w:rPr>
            </w:pPr>
            <w:r>
              <w:rPr>
                <w:bCs/>
                <w:szCs w:val="22"/>
              </w:rPr>
              <w:t>8660</w:t>
            </w:r>
          </w:p>
        </w:tc>
        <w:tc>
          <w:tcPr>
            <w:tcW w:w="1008" w:type="dxa"/>
            <w:vAlign w:val="center"/>
          </w:tcPr>
          <w:p w14:paraId="558209EC">
            <w:pPr>
              <w:pStyle w:val="687"/>
              <w:rPr>
                <w:bCs/>
                <w:sz w:val="21"/>
                <w:szCs w:val="21"/>
              </w:rPr>
            </w:pPr>
            <w:r>
              <w:rPr>
                <w:rFonts w:hint="eastAsia"/>
                <w:sz w:val="21"/>
                <w:szCs w:val="21"/>
              </w:rPr>
              <w:t>575</w:t>
            </w:r>
          </w:p>
        </w:tc>
        <w:tc>
          <w:tcPr>
            <w:tcW w:w="1010" w:type="dxa"/>
            <w:vAlign w:val="center"/>
          </w:tcPr>
          <w:p w14:paraId="78C37394">
            <w:pPr>
              <w:pStyle w:val="687"/>
              <w:rPr>
                <w:szCs w:val="22"/>
              </w:rPr>
            </w:pPr>
            <w:r>
              <w:rPr>
                <w:rFonts w:hint="eastAsia"/>
                <w:szCs w:val="22"/>
              </w:rPr>
              <w:t>0</w:t>
            </w:r>
            <w:r>
              <w:rPr>
                <w:szCs w:val="22"/>
              </w:rPr>
              <w:t>.07</w:t>
            </w:r>
          </w:p>
        </w:tc>
        <w:tc>
          <w:tcPr>
            <w:tcW w:w="1008" w:type="dxa"/>
            <w:vAlign w:val="center"/>
          </w:tcPr>
          <w:p w14:paraId="7D35F497">
            <w:pPr>
              <w:pStyle w:val="1429"/>
              <w:rPr>
                <w:rFonts w:cs="Times New Roman"/>
                <w:bCs/>
                <w:sz w:val="21"/>
                <w:szCs w:val="21"/>
              </w:rPr>
            </w:pPr>
            <w:r>
              <w:rPr>
                <w:rFonts w:hint="eastAsia" w:cs="Times New Roman"/>
                <w:sz w:val="21"/>
                <w:szCs w:val="21"/>
              </w:rPr>
              <w:t>685</w:t>
            </w:r>
          </w:p>
        </w:tc>
        <w:tc>
          <w:tcPr>
            <w:tcW w:w="1010" w:type="dxa"/>
            <w:vAlign w:val="center"/>
          </w:tcPr>
          <w:p w14:paraId="19F54091">
            <w:pPr>
              <w:pStyle w:val="687"/>
              <w:rPr>
                <w:szCs w:val="22"/>
              </w:rPr>
            </w:pPr>
            <w:r>
              <w:rPr>
                <w:rFonts w:hint="eastAsia"/>
                <w:szCs w:val="22"/>
              </w:rPr>
              <w:t>0</w:t>
            </w:r>
            <w:r>
              <w:rPr>
                <w:szCs w:val="22"/>
              </w:rPr>
              <w:t>.08</w:t>
            </w:r>
          </w:p>
        </w:tc>
        <w:tc>
          <w:tcPr>
            <w:tcW w:w="1010" w:type="dxa"/>
            <w:vAlign w:val="center"/>
          </w:tcPr>
          <w:p w14:paraId="70BAA9F4">
            <w:pPr>
              <w:pStyle w:val="1429"/>
              <w:rPr>
                <w:rFonts w:cs="Times New Roman"/>
                <w:bCs/>
                <w:sz w:val="21"/>
                <w:szCs w:val="21"/>
              </w:rPr>
            </w:pPr>
            <w:r>
              <w:rPr>
                <w:rFonts w:hint="eastAsia" w:cs="Times New Roman"/>
                <w:sz w:val="21"/>
                <w:szCs w:val="21"/>
              </w:rPr>
              <w:t>615</w:t>
            </w:r>
          </w:p>
        </w:tc>
        <w:tc>
          <w:tcPr>
            <w:tcW w:w="1010" w:type="dxa"/>
            <w:vAlign w:val="center"/>
          </w:tcPr>
          <w:p w14:paraId="4416E715">
            <w:pPr>
              <w:pStyle w:val="687"/>
              <w:rPr>
                <w:szCs w:val="22"/>
              </w:rPr>
            </w:pPr>
            <w:r>
              <w:rPr>
                <w:rFonts w:hint="eastAsia"/>
                <w:szCs w:val="22"/>
              </w:rPr>
              <w:t>0</w:t>
            </w:r>
            <w:r>
              <w:rPr>
                <w:szCs w:val="22"/>
              </w:rPr>
              <w:t>.07</w:t>
            </w:r>
          </w:p>
        </w:tc>
        <w:tc>
          <w:tcPr>
            <w:tcW w:w="1010" w:type="dxa"/>
            <w:vAlign w:val="center"/>
          </w:tcPr>
          <w:p w14:paraId="3DABEAC5">
            <w:pPr>
              <w:pStyle w:val="1429"/>
              <w:rPr>
                <w:rFonts w:cs="Times New Roman"/>
                <w:bCs/>
                <w:sz w:val="21"/>
                <w:szCs w:val="21"/>
              </w:rPr>
            </w:pPr>
            <w:r>
              <w:rPr>
                <w:rFonts w:hint="eastAsia" w:cs="Times New Roman"/>
                <w:sz w:val="21"/>
                <w:szCs w:val="21"/>
              </w:rPr>
              <w:t>685</w:t>
            </w:r>
          </w:p>
        </w:tc>
        <w:tc>
          <w:tcPr>
            <w:tcW w:w="1010" w:type="dxa"/>
            <w:vAlign w:val="center"/>
          </w:tcPr>
          <w:p w14:paraId="075A4EC1">
            <w:pPr>
              <w:pStyle w:val="687"/>
              <w:rPr>
                <w:szCs w:val="22"/>
              </w:rPr>
            </w:pPr>
            <w:r>
              <w:rPr>
                <w:rFonts w:hint="eastAsia"/>
                <w:szCs w:val="22"/>
              </w:rPr>
              <w:t>0</w:t>
            </w:r>
            <w:r>
              <w:rPr>
                <w:szCs w:val="22"/>
              </w:rPr>
              <w:t>.08</w:t>
            </w:r>
          </w:p>
        </w:tc>
        <w:tc>
          <w:tcPr>
            <w:tcW w:w="997" w:type="dxa"/>
            <w:vAlign w:val="center"/>
          </w:tcPr>
          <w:p w14:paraId="2E8BE4A8">
            <w:pPr>
              <w:pStyle w:val="687"/>
              <w:rPr>
                <w:bCs/>
                <w:sz w:val="21"/>
                <w:szCs w:val="21"/>
              </w:rPr>
            </w:pPr>
            <w:r>
              <w:rPr>
                <w:rFonts w:hint="eastAsia"/>
                <w:sz w:val="21"/>
                <w:szCs w:val="21"/>
              </w:rPr>
              <w:t>700</w:t>
            </w:r>
          </w:p>
        </w:tc>
        <w:tc>
          <w:tcPr>
            <w:tcW w:w="997" w:type="dxa"/>
            <w:vAlign w:val="center"/>
          </w:tcPr>
          <w:p w14:paraId="47CFD0C1">
            <w:pPr>
              <w:pStyle w:val="687"/>
              <w:rPr>
                <w:szCs w:val="22"/>
              </w:rPr>
            </w:pPr>
            <w:r>
              <w:rPr>
                <w:rFonts w:hint="eastAsia"/>
                <w:szCs w:val="22"/>
              </w:rPr>
              <w:t>0</w:t>
            </w:r>
            <w:r>
              <w:rPr>
                <w:szCs w:val="22"/>
              </w:rPr>
              <w:t>.08</w:t>
            </w:r>
          </w:p>
        </w:tc>
        <w:tc>
          <w:tcPr>
            <w:tcW w:w="991" w:type="dxa"/>
            <w:vAlign w:val="center"/>
          </w:tcPr>
          <w:p w14:paraId="0A886025">
            <w:pPr>
              <w:pStyle w:val="687"/>
              <w:rPr>
                <w:bCs/>
                <w:sz w:val="21"/>
                <w:szCs w:val="21"/>
              </w:rPr>
            </w:pPr>
            <w:r>
              <w:rPr>
                <w:rFonts w:hint="eastAsia"/>
                <w:sz w:val="21"/>
                <w:szCs w:val="21"/>
              </w:rPr>
              <w:t>586</w:t>
            </w:r>
          </w:p>
        </w:tc>
        <w:tc>
          <w:tcPr>
            <w:tcW w:w="978" w:type="dxa"/>
            <w:vAlign w:val="center"/>
          </w:tcPr>
          <w:p w14:paraId="2CDD31BA">
            <w:pPr>
              <w:pStyle w:val="687"/>
              <w:rPr>
                <w:szCs w:val="22"/>
              </w:rPr>
            </w:pPr>
            <w:r>
              <w:rPr>
                <w:rFonts w:hint="eastAsia"/>
                <w:szCs w:val="22"/>
              </w:rPr>
              <w:t>0</w:t>
            </w:r>
            <w:r>
              <w:rPr>
                <w:szCs w:val="22"/>
              </w:rPr>
              <w:t>.07</w:t>
            </w:r>
          </w:p>
        </w:tc>
      </w:tr>
      <w:tr w14:paraId="31B26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005" w:type="dxa"/>
            <w:vAlign w:val="center"/>
          </w:tcPr>
          <w:p w14:paraId="16A424F2">
            <w:pPr>
              <w:pStyle w:val="687"/>
              <w:rPr>
                <w:szCs w:val="22"/>
              </w:rPr>
            </w:pPr>
            <w:r>
              <w:rPr>
                <w:szCs w:val="22"/>
              </w:rPr>
              <w:t>水溶性硫酸盐</w:t>
            </w:r>
          </w:p>
        </w:tc>
        <w:tc>
          <w:tcPr>
            <w:tcW w:w="721" w:type="dxa"/>
            <w:vAlign w:val="center"/>
          </w:tcPr>
          <w:p w14:paraId="322A1116">
            <w:pPr>
              <w:pStyle w:val="687"/>
              <w:rPr>
                <w:bCs/>
                <w:szCs w:val="22"/>
              </w:rPr>
            </w:pPr>
            <w:r>
              <w:rPr>
                <w:bCs/>
                <w:szCs w:val="22"/>
              </w:rPr>
              <w:t>/</w:t>
            </w:r>
          </w:p>
        </w:tc>
        <w:tc>
          <w:tcPr>
            <w:tcW w:w="1008" w:type="dxa"/>
            <w:vAlign w:val="center"/>
          </w:tcPr>
          <w:p w14:paraId="12DE432D">
            <w:pPr>
              <w:pStyle w:val="687"/>
              <w:rPr>
                <w:szCs w:val="22"/>
              </w:rPr>
            </w:pPr>
            <w:r>
              <w:rPr>
                <w:rFonts w:hint="eastAsia"/>
                <w:bCs/>
                <w:sz w:val="21"/>
                <w:szCs w:val="21"/>
              </w:rPr>
              <w:t>未检出</w:t>
            </w:r>
          </w:p>
        </w:tc>
        <w:tc>
          <w:tcPr>
            <w:tcW w:w="1010" w:type="dxa"/>
            <w:vAlign w:val="center"/>
          </w:tcPr>
          <w:p w14:paraId="73C3C214">
            <w:pPr>
              <w:pStyle w:val="687"/>
              <w:rPr>
                <w:szCs w:val="22"/>
              </w:rPr>
            </w:pPr>
            <w:r>
              <w:rPr>
                <w:bCs/>
                <w:szCs w:val="22"/>
              </w:rPr>
              <w:t>/</w:t>
            </w:r>
          </w:p>
        </w:tc>
        <w:tc>
          <w:tcPr>
            <w:tcW w:w="1008" w:type="dxa"/>
            <w:vAlign w:val="center"/>
          </w:tcPr>
          <w:p w14:paraId="37F963F7">
            <w:pPr>
              <w:pStyle w:val="1429"/>
            </w:pPr>
            <w:r>
              <w:rPr>
                <w:rFonts w:hint="eastAsia" w:cs="Times New Roman"/>
                <w:bCs/>
                <w:sz w:val="21"/>
                <w:szCs w:val="21"/>
              </w:rPr>
              <w:t>未检出</w:t>
            </w:r>
          </w:p>
        </w:tc>
        <w:tc>
          <w:tcPr>
            <w:tcW w:w="1010" w:type="dxa"/>
            <w:vAlign w:val="center"/>
          </w:tcPr>
          <w:p w14:paraId="757CC761">
            <w:pPr>
              <w:pStyle w:val="687"/>
              <w:rPr>
                <w:szCs w:val="22"/>
              </w:rPr>
            </w:pPr>
            <w:r>
              <w:rPr>
                <w:bCs/>
                <w:szCs w:val="22"/>
              </w:rPr>
              <w:t>/</w:t>
            </w:r>
          </w:p>
        </w:tc>
        <w:tc>
          <w:tcPr>
            <w:tcW w:w="1010" w:type="dxa"/>
            <w:vAlign w:val="center"/>
          </w:tcPr>
          <w:p w14:paraId="4EF9CD79">
            <w:pPr>
              <w:pStyle w:val="1429"/>
            </w:pPr>
            <w:r>
              <w:rPr>
                <w:rFonts w:hint="eastAsia" w:cs="Times New Roman"/>
                <w:bCs/>
                <w:sz w:val="21"/>
                <w:szCs w:val="21"/>
              </w:rPr>
              <w:t>未检出</w:t>
            </w:r>
          </w:p>
        </w:tc>
        <w:tc>
          <w:tcPr>
            <w:tcW w:w="1010" w:type="dxa"/>
            <w:vAlign w:val="center"/>
          </w:tcPr>
          <w:p w14:paraId="604C70E6">
            <w:pPr>
              <w:pStyle w:val="687"/>
              <w:rPr>
                <w:szCs w:val="22"/>
              </w:rPr>
            </w:pPr>
            <w:r>
              <w:rPr>
                <w:bCs/>
                <w:szCs w:val="22"/>
              </w:rPr>
              <w:t>/</w:t>
            </w:r>
          </w:p>
        </w:tc>
        <w:tc>
          <w:tcPr>
            <w:tcW w:w="1010" w:type="dxa"/>
            <w:vAlign w:val="center"/>
          </w:tcPr>
          <w:p w14:paraId="6F940E81">
            <w:pPr>
              <w:pStyle w:val="1429"/>
            </w:pPr>
            <w:r>
              <w:rPr>
                <w:rFonts w:hint="eastAsia" w:cs="Times New Roman"/>
                <w:bCs/>
                <w:sz w:val="21"/>
                <w:szCs w:val="21"/>
              </w:rPr>
              <w:t>未检出</w:t>
            </w:r>
          </w:p>
        </w:tc>
        <w:tc>
          <w:tcPr>
            <w:tcW w:w="1010" w:type="dxa"/>
            <w:vAlign w:val="center"/>
          </w:tcPr>
          <w:p w14:paraId="1DFD5ABC">
            <w:pPr>
              <w:pStyle w:val="687"/>
              <w:rPr>
                <w:szCs w:val="22"/>
              </w:rPr>
            </w:pPr>
            <w:r>
              <w:rPr>
                <w:bCs/>
                <w:szCs w:val="22"/>
              </w:rPr>
              <w:t>/</w:t>
            </w:r>
          </w:p>
        </w:tc>
        <w:tc>
          <w:tcPr>
            <w:tcW w:w="997" w:type="dxa"/>
            <w:vAlign w:val="center"/>
          </w:tcPr>
          <w:p w14:paraId="1B8E991E">
            <w:pPr>
              <w:pStyle w:val="687"/>
              <w:rPr>
                <w:szCs w:val="22"/>
              </w:rPr>
            </w:pPr>
            <w:r>
              <w:rPr>
                <w:rFonts w:hint="eastAsia"/>
                <w:bCs/>
                <w:sz w:val="21"/>
                <w:szCs w:val="21"/>
              </w:rPr>
              <w:t>未检出</w:t>
            </w:r>
          </w:p>
        </w:tc>
        <w:tc>
          <w:tcPr>
            <w:tcW w:w="997" w:type="dxa"/>
            <w:vAlign w:val="center"/>
          </w:tcPr>
          <w:p w14:paraId="4894DDED">
            <w:pPr>
              <w:pStyle w:val="687"/>
              <w:rPr>
                <w:szCs w:val="22"/>
              </w:rPr>
            </w:pPr>
            <w:r>
              <w:rPr>
                <w:bCs/>
                <w:szCs w:val="22"/>
              </w:rPr>
              <w:t>/</w:t>
            </w:r>
          </w:p>
        </w:tc>
        <w:tc>
          <w:tcPr>
            <w:tcW w:w="991" w:type="dxa"/>
            <w:vAlign w:val="center"/>
          </w:tcPr>
          <w:p w14:paraId="1212B89F">
            <w:pPr>
              <w:pStyle w:val="687"/>
              <w:rPr>
                <w:szCs w:val="22"/>
              </w:rPr>
            </w:pPr>
            <w:r>
              <w:rPr>
                <w:rFonts w:hint="eastAsia"/>
                <w:bCs/>
                <w:sz w:val="21"/>
                <w:szCs w:val="21"/>
              </w:rPr>
              <w:t>未检出</w:t>
            </w:r>
          </w:p>
        </w:tc>
        <w:tc>
          <w:tcPr>
            <w:tcW w:w="978" w:type="dxa"/>
            <w:vAlign w:val="center"/>
          </w:tcPr>
          <w:p w14:paraId="73417856">
            <w:pPr>
              <w:pStyle w:val="687"/>
              <w:rPr>
                <w:szCs w:val="22"/>
              </w:rPr>
            </w:pPr>
            <w:r>
              <w:rPr>
                <w:bCs/>
                <w:szCs w:val="22"/>
              </w:rPr>
              <w:t>/</w:t>
            </w:r>
          </w:p>
        </w:tc>
      </w:tr>
      <w:tr w14:paraId="4E84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251FEE38">
            <w:pPr>
              <w:pStyle w:val="687"/>
              <w:rPr>
                <w:szCs w:val="22"/>
              </w:rPr>
            </w:pPr>
            <w:r>
              <w:rPr>
                <w:rFonts w:hint="eastAsia"/>
                <w:bCs/>
                <w:sz w:val="21"/>
                <w:szCs w:val="21"/>
              </w:rPr>
              <w:t>水溶性盐总量</w:t>
            </w:r>
          </w:p>
        </w:tc>
        <w:tc>
          <w:tcPr>
            <w:tcW w:w="721" w:type="dxa"/>
            <w:vAlign w:val="center"/>
          </w:tcPr>
          <w:p w14:paraId="55029397">
            <w:pPr>
              <w:pStyle w:val="687"/>
              <w:rPr>
                <w:bCs/>
                <w:szCs w:val="22"/>
              </w:rPr>
            </w:pPr>
            <w:r>
              <w:rPr>
                <w:rFonts w:hint="eastAsia"/>
                <w:bCs/>
                <w:szCs w:val="22"/>
              </w:rPr>
              <w:t>/</w:t>
            </w:r>
          </w:p>
        </w:tc>
        <w:tc>
          <w:tcPr>
            <w:tcW w:w="1008" w:type="dxa"/>
            <w:vAlign w:val="center"/>
          </w:tcPr>
          <w:p w14:paraId="5EE4D900">
            <w:pPr>
              <w:pStyle w:val="687"/>
              <w:rPr>
                <w:szCs w:val="22"/>
              </w:rPr>
            </w:pPr>
            <w:r>
              <w:rPr>
                <w:rFonts w:hint="eastAsia"/>
                <w:szCs w:val="22"/>
              </w:rPr>
              <w:t>6</w:t>
            </w:r>
            <w:r>
              <w:rPr>
                <w:szCs w:val="22"/>
              </w:rPr>
              <w:t>00</w:t>
            </w:r>
          </w:p>
        </w:tc>
        <w:tc>
          <w:tcPr>
            <w:tcW w:w="1010" w:type="dxa"/>
            <w:vAlign w:val="center"/>
          </w:tcPr>
          <w:p w14:paraId="0C65CA57">
            <w:pPr>
              <w:pStyle w:val="687"/>
              <w:rPr>
                <w:szCs w:val="22"/>
              </w:rPr>
            </w:pPr>
            <w:r>
              <w:rPr>
                <w:bCs/>
                <w:szCs w:val="22"/>
              </w:rPr>
              <w:t>/</w:t>
            </w:r>
          </w:p>
        </w:tc>
        <w:tc>
          <w:tcPr>
            <w:tcW w:w="1008" w:type="dxa"/>
            <w:vAlign w:val="center"/>
          </w:tcPr>
          <w:p w14:paraId="38103051">
            <w:pPr>
              <w:pStyle w:val="1429"/>
            </w:pPr>
            <w:r>
              <w:rPr>
                <w:rFonts w:hint="eastAsia"/>
              </w:rPr>
              <w:t>8</w:t>
            </w:r>
            <w:r>
              <w:t>00</w:t>
            </w:r>
          </w:p>
        </w:tc>
        <w:tc>
          <w:tcPr>
            <w:tcW w:w="1010" w:type="dxa"/>
            <w:vAlign w:val="center"/>
          </w:tcPr>
          <w:p w14:paraId="601A5C8E">
            <w:pPr>
              <w:pStyle w:val="687"/>
              <w:rPr>
                <w:szCs w:val="22"/>
              </w:rPr>
            </w:pPr>
            <w:r>
              <w:rPr>
                <w:bCs/>
                <w:szCs w:val="22"/>
              </w:rPr>
              <w:t>/</w:t>
            </w:r>
          </w:p>
        </w:tc>
        <w:tc>
          <w:tcPr>
            <w:tcW w:w="1010" w:type="dxa"/>
            <w:vAlign w:val="center"/>
          </w:tcPr>
          <w:p w14:paraId="6E5D9836">
            <w:pPr>
              <w:pStyle w:val="1429"/>
            </w:pPr>
            <w:r>
              <w:rPr>
                <w:rFonts w:hint="eastAsia"/>
              </w:rPr>
              <w:t>7</w:t>
            </w:r>
            <w:r>
              <w:t>00</w:t>
            </w:r>
          </w:p>
        </w:tc>
        <w:tc>
          <w:tcPr>
            <w:tcW w:w="1010" w:type="dxa"/>
            <w:vAlign w:val="center"/>
          </w:tcPr>
          <w:p w14:paraId="17A54DA6">
            <w:pPr>
              <w:pStyle w:val="687"/>
              <w:rPr>
                <w:szCs w:val="22"/>
              </w:rPr>
            </w:pPr>
            <w:r>
              <w:rPr>
                <w:bCs/>
                <w:szCs w:val="22"/>
              </w:rPr>
              <w:t>/</w:t>
            </w:r>
          </w:p>
        </w:tc>
        <w:tc>
          <w:tcPr>
            <w:tcW w:w="1010" w:type="dxa"/>
            <w:vAlign w:val="center"/>
          </w:tcPr>
          <w:p w14:paraId="3BA0A0DD">
            <w:pPr>
              <w:pStyle w:val="1429"/>
            </w:pPr>
            <w:r>
              <w:rPr>
                <w:rFonts w:hint="eastAsia"/>
              </w:rPr>
              <w:t>8</w:t>
            </w:r>
            <w:r>
              <w:t>00</w:t>
            </w:r>
          </w:p>
        </w:tc>
        <w:tc>
          <w:tcPr>
            <w:tcW w:w="1010" w:type="dxa"/>
            <w:vAlign w:val="center"/>
          </w:tcPr>
          <w:p w14:paraId="1C4803AC">
            <w:pPr>
              <w:pStyle w:val="687"/>
              <w:rPr>
                <w:szCs w:val="22"/>
              </w:rPr>
            </w:pPr>
            <w:r>
              <w:rPr>
                <w:bCs/>
                <w:szCs w:val="22"/>
              </w:rPr>
              <w:t>/</w:t>
            </w:r>
          </w:p>
        </w:tc>
        <w:tc>
          <w:tcPr>
            <w:tcW w:w="997" w:type="dxa"/>
            <w:vAlign w:val="center"/>
          </w:tcPr>
          <w:p w14:paraId="11C1989B">
            <w:pPr>
              <w:pStyle w:val="687"/>
              <w:rPr>
                <w:szCs w:val="22"/>
              </w:rPr>
            </w:pPr>
            <w:r>
              <w:rPr>
                <w:rFonts w:hint="eastAsia"/>
                <w:szCs w:val="22"/>
              </w:rPr>
              <w:t>9</w:t>
            </w:r>
            <w:r>
              <w:rPr>
                <w:szCs w:val="22"/>
              </w:rPr>
              <w:t>00</w:t>
            </w:r>
          </w:p>
        </w:tc>
        <w:tc>
          <w:tcPr>
            <w:tcW w:w="997" w:type="dxa"/>
            <w:vAlign w:val="center"/>
          </w:tcPr>
          <w:p w14:paraId="4B0831D9">
            <w:pPr>
              <w:pStyle w:val="687"/>
              <w:rPr>
                <w:szCs w:val="22"/>
              </w:rPr>
            </w:pPr>
            <w:r>
              <w:rPr>
                <w:bCs/>
                <w:szCs w:val="22"/>
              </w:rPr>
              <w:t>/</w:t>
            </w:r>
          </w:p>
        </w:tc>
        <w:tc>
          <w:tcPr>
            <w:tcW w:w="991" w:type="dxa"/>
            <w:vAlign w:val="center"/>
          </w:tcPr>
          <w:p w14:paraId="146D2CDF">
            <w:pPr>
              <w:pStyle w:val="687"/>
              <w:rPr>
                <w:szCs w:val="22"/>
              </w:rPr>
            </w:pPr>
            <w:r>
              <w:rPr>
                <w:rFonts w:hint="eastAsia"/>
                <w:szCs w:val="22"/>
              </w:rPr>
              <w:t>7</w:t>
            </w:r>
            <w:r>
              <w:rPr>
                <w:szCs w:val="22"/>
              </w:rPr>
              <w:t>00</w:t>
            </w:r>
          </w:p>
        </w:tc>
        <w:tc>
          <w:tcPr>
            <w:tcW w:w="978" w:type="dxa"/>
            <w:vAlign w:val="center"/>
          </w:tcPr>
          <w:p w14:paraId="3B5F3516">
            <w:pPr>
              <w:pStyle w:val="687"/>
              <w:rPr>
                <w:szCs w:val="22"/>
              </w:rPr>
            </w:pPr>
            <w:r>
              <w:rPr>
                <w:bCs/>
                <w:szCs w:val="22"/>
              </w:rPr>
              <w:t>/</w:t>
            </w:r>
          </w:p>
        </w:tc>
      </w:tr>
      <w:tr w14:paraId="0CA2A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49F67934">
            <w:pPr>
              <w:pStyle w:val="687"/>
              <w:rPr>
                <w:szCs w:val="22"/>
              </w:rPr>
            </w:pPr>
            <w:r>
              <w:rPr>
                <w:szCs w:val="22"/>
              </w:rPr>
              <w:t>氯化物</w:t>
            </w:r>
          </w:p>
        </w:tc>
        <w:tc>
          <w:tcPr>
            <w:tcW w:w="721" w:type="dxa"/>
            <w:vAlign w:val="center"/>
          </w:tcPr>
          <w:p w14:paraId="0F94A007">
            <w:pPr>
              <w:pStyle w:val="687"/>
              <w:rPr>
                <w:bCs/>
                <w:szCs w:val="22"/>
              </w:rPr>
            </w:pPr>
            <w:r>
              <w:rPr>
                <w:bCs/>
                <w:szCs w:val="22"/>
              </w:rPr>
              <w:t>/</w:t>
            </w:r>
          </w:p>
        </w:tc>
        <w:tc>
          <w:tcPr>
            <w:tcW w:w="1008" w:type="dxa"/>
            <w:vAlign w:val="center"/>
          </w:tcPr>
          <w:p w14:paraId="53CBE1BE">
            <w:pPr>
              <w:pStyle w:val="687"/>
              <w:rPr>
                <w:szCs w:val="22"/>
              </w:rPr>
            </w:pPr>
            <w:r>
              <w:rPr>
                <w:rFonts w:hint="eastAsia"/>
                <w:szCs w:val="22"/>
              </w:rPr>
              <w:t>2</w:t>
            </w:r>
            <w:r>
              <w:rPr>
                <w:szCs w:val="22"/>
              </w:rPr>
              <w:t>5</w:t>
            </w:r>
          </w:p>
        </w:tc>
        <w:tc>
          <w:tcPr>
            <w:tcW w:w="1010" w:type="dxa"/>
            <w:vAlign w:val="center"/>
          </w:tcPr>
          <w:p w14:paraId="4FA00E83">
            <w:pPr>
              <w:pStyle w:val="687"/>
              <w:rPr>
                <w:szCs w:val="22"/>
              </w:rPr>
            </w:pPr>
            <w:r>
              <w:rPr>
                <w:bCs/>
                <w:szCs w:val="22"/>
              </w:rPr>
              <w:t>/</w:t>
            </w:r>
          </w:p>
        </w:tc>
        <w:tc>
          <w:tcPr>
            <w:tcW w:w="1008" w:type="dxa"/>
            <w:vAlign w:val="center"/>
          </w:tcPr>
          <w:p w14:paraId="4A59A549">
            <w:pPr>
              <w:pStyle w:val="1429"/>
            </w:pPr>
            <w:r>
              <w:rPr>
                <w:rFonts w:hint="eastAsia"/>
              </w:rPr>
              <w:t>26</w:t>
            </w:r>
          </w:p>
        </w:tc>
        <w:tc>
          <w:tcPr>
            <w:tcW w:w="1010" w:type="dxa"/>
            <w:vAlign w:val="center"/>
          </w:tcPr>
          <w:p w14:paraId="6C26B85C">
            <w:pPr>
              <w:pStyle w:val="687"/>
              <w:rPr>
                <w:szCs w:val="22"/>
              </w:rPr>
            </w:pPr>
            <w:r>
              <w:rPr>
                <w:bCs/>
                <w:szCs w:val="22"/>
              </w:rPr>
              <w:t>/</w:t>
            </w:r>
          </w:p>
        </w:tc>
        <w:tc>
          <w:tcPr>
            <w:tcW w:w="1010" w:type="dxa"/>
            <w:vAlign w:val="center"/>
          </w:tcPr>
          <w:p w14:paraId="247B8F45">
            <w:pPr>
              <w:pStyle w:val="1429"/>
            </w:pPr>
            <w:r>
              <w:rPr>
                <w:rFonts w:hint="eastAsia"/>
              </w:rPr>
              <w:t>2</w:t>
            </w:r>
            <w:r>
              <w:t>8</w:t>
            </w:r>
          </w:p>
        </w:tc>
        <w:tc>
          <w:tcPr>
            <w:tcW w:w="1010" w:type="dxa"/>
            <w:vAlign w:val="center"/>
          </w:tcPr>
          <w:p w14:paraId="333408A2">
            <w:pPr>
              <w:pStyle w:val="687"/>
              <w:rPr>
                <w:szCs w:val="22"/>
              </w:rPr>
            </w:pPr>
            <w:r>
              <w:rPr>
                <w:bCs/>
                <w:szCs w:val="22"/>
              </w:rPr>
              <w:t>/</w:t>
            </w:r>
          </w:p>
        </w:tc>
        <w:tc>
          <w:tcPr>
            <w:tcW w:w="1010" w:type="dxa"/>
            <w:vAlign w:val="center"/>
          </w:tcPr>
          <w:p w14:paraId="6E3BFC06">
            <w:pPr>
              <w:pStyle w:val="1429"/>
            </w:pPr>
            <w:r>
              <w:rPr>
                <w:rFonts w:hint="eastAsia"/>
              </w:rPr>
              <w:t>2</w:t>
            </w:r>
            <w:r>
              <w:t>8</w:t>
            </w:r>
          </w:p>
        </w:tc>
        <w:tc>
          <w:tcPr>
            <w:tcW w:w="1010" w:type="dxa"/>
            <w:vAlign w:val="center"/>
          </w:tcPr>
          <w:p w14:paraId="0E4075D5">
            <w:pPr>
              <w:pStyle w:val="687"/>
              <w:rPr>
                <w:szCs w:val="22"/>
              </w:rPr>
            </w:pPr>
            <w:r>
              <w:rPr>
                <w:bCs/>
                <w:szCs w:val="22"/>
              </w:rPr>
              <w:t>/</w:t>
            </w:r>
          </w:p>
        </w:tc>
        <w:tc>
          <w:tcPr>
            <w:tcW w:w="997" w:type="dxa"/>
            <w:vAlign w:val="center"/>
          </w:tcPr>
          <w:p w14:paraId="59F52566">
            <w:pPr>
              <w:pStyle w:val="687"/>
              <w:rPr>
                <w:szCs w:val="22"/>
              </w:rPr>
            </w:pPr>
            <w:r>
              <w:rPr>
                <w:rFonts w:hint="eastAsia"/>
                <w:szCs w:val="22"/>
              </w:rPr>
              <w:t>2</w:t>
            </w:r>
            <w:r>
              <w:rPr>
                <w:szCs w:val="22"/>
              </w:rPr>
              <w:t>6</w:t>
            </w:r>
          </w:p>
        </w:tc>
        <w:tc>
          <w:tcPr>
            <w:tcW w:w="997" w:type="dxa"/>
            <w:vAlign w:val="center"/>
          </w:tcPr>
          <w:p w14:paraId="2CA89CA9">
            <w:pPr>
              <w:pStyle w:val="687"/>
              <w:rPr>
                <w:szCs w:val="22"/>
              </w:rPr>
            </w:pPr>
            <w:r>
              <w:rPr>
                <w:bCs/>
                <w:szCs w:val="22"/>
              </w:rPr>
              <w:t>/</w:t>
            </w:r>
          </w:p>
        </w:tc>
        <w:tc>
          <w:tcPr>
            <w:tcW w:w="991" w:type="dxa"/>
            <w:vAlign w:val="center"/>
          </w:tcPr>
          <w:p w14:paraId="5B8EDABB">
            <w:pPr>
              <w:pStyle w:val="687"/>
              <w:rPr>
                <w:szCs w:val="22"/>
              </w:rPr>
            </w:pPr>
            <w:r>
              <w:rPr>
                <w:rFonts w:hint="eastAsia"/>
                <w:szCs w:val="22"/>
              </w:rPr>
              <w:t>1</w:t>
            </w:r>
            <w:r>
              <w:rPr>
                <w:szCs w:val="22"/>
              </w:rPr>
              <w:t>4</w:t>
            </w:r>
          </w:p>
        </w:tc>
        <w:tc>
          <w:tcPr>
            <w:tcW w:w="978" w:type="dxa"/>
            <w:vAlign w:val="center"/>
          </w:tcPr>
          <w:p w14:paraId="126A21E3">
            <w:pPr>
              <w:pStyle w:val="687"/>
              <w:rPr>
                <w:szCs w:val="22"/>
              </w:rPr>
            </w:pPr>
            <w:r>
              <w:rPr>
                <w:bCs/>
                <w:szCs w:val="22"/>
              </w:rPr>
              <w:t>/</w:t>
            </w:r>
          </w:p>
        </w:tc>
      </w:tr>
      <w:tr w14:paraId="7E4B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Merge w:val="restart"/>
            <w:vAlign w:val="center"/>
          </w:tcPr>
          <w:p w14:paraId="58189DD4">
            <w:pPr>
              <w:pStyle w:val="687"/>
              <w:rPr>
                <w:szCs w:val="22"/>
              </w:rPr>
            </w:pPr>
            <w:r>
              <w:rPr>
                <w:szCs w:val="22"/>
              </w:rPr>
              <w:t>监测</w:t>
            </w:r>
          </w:p>
          <w:p w14:paraId="436BA010">
            <w:pPr>
              <w:pStyle w:val="687"/>
              <w:rPr>
                <w:szCs w:val="22"/>
              </w:rPr>
            </w:pPr>
            <w:r>
              <w:rPr>
                <w:szCs w:val="22"/>
              </w:rPr>
              <w:t>因子</w:t>
            </w:r>
          </w:p>
        </w:tc>
        <w:tc>
          <w:tcPr>
            <w:tcW w:w="721" w:type="dxa"/>
            <w:vMerge w:val="restart"/>
            <w:vAlign w:val="center"/>
          </w:tcPr>
          <w:p w14:paraId="12E85BAF">
            <w:pPr>
              <w:pStyle w:val="687"/>
              <w:rPr>
                <w:bCs/>
                <w:szCs w:val="22"/>
              </w:rPr>
            </w:pPr>
            <w:r>
              <w:rPr>
                <w:bCs/>
                <w:szCs w:val="22"/>
              </w:rPr>
              <w:t>标准值</w:t>
            </w:r>
          </w:p>
        </w:tc>
        <w:tc>
          <w:tcPr>
            <w:tcW w:w="6056" w:type="dxa"/>
            <w:gridSpan w:val="6"/>
            <w:vAlign w:val="center"/>
          </w:tcPr>
          <w:p w14:paraId="08EB05CB">
            <w:pPr>
              <w:pStyle w:val="687"/>
              <w:rPr>
                <w:szCs w:val="22"/>
              </w:rPr>
            </w:pPr>
            <w:r>
              <w:rPr>
                <w:szCs w:val="22"/>
              </w:rPr>
              <w:t>数据统计</w:t>
            </w:r>
          </w:p>
        </w:tc>
        <w:tc>
          <w:tcPr>
            <w:tcW w:w="1010" w:type="dxa"/>
            <w:vAlign w:val="center"/>
          </w:tcPr>
          <w:p w14:paraId="3B49F71E">
            <w:pPr>
              <w:pStyle w:val="687"/>
              <w:rPr>
                <w:szCs w:val="22"/>
              </w:rPr>
            </w:pPr>
          </w:p>
        </w:tc>
        <w:tc>
          <w:tcPr>
            <w:tcW w:w="1010" w:type="dxa"/>
            <w:vAlign w:val="center"/>
          </w:tcPr>
          <w:p w14:paraId="1F9A007C">
            <w:pPr>
              <w:pStyle w:val="687"/>
              <w:rPr>
                <w:szCs w:val="22"/>
              </w:rPr>
            </w:pPr>
          </w:p>
        </w:tc>
        <w:tc>
          <w:tcPr>
            <w:tcW w:w="997" w:type="dxa"/>
            <w:vAlign w:val="center"/>
          </w:tcPr>
          <w:p w14:paraId="72114C91">
            <w:pPr>
              <w:pStyle w:val="687"/>
              <w:rPr>
                <w:szCs w:val="22"/>
              </w:rPr>
            </w:pPr>
          </w:p>
        </w:tc>
        <w:tc>
          <w:tcPr>
            <w:tcW w:w="997" w:type="dxa"/>
            <w:vAlign w:val="center"/>
          </w:tcPr>
          <w:p w14:paraId="1CB3475F">
            <w:pPr>
              <w:pStyle w:val="687"/>
              <w:rPr>
                <w:szCs w:val="22"/>
              </w:rPr>
            </w:pPr>
          </w:p>
        </w:tc>
        <w:tc>
          <w:tcPr>
            <w:tcW w:w="991" w:type="dxa"/>
            <w:vAlign w:val="center"/>
          </w:tcPr>
          <w:p w14:paraId="24C5C22F">
            <w:pPr>
              <w:pStyle w:val="687"/>
              <w:rPr>
                <w:szCs w:val="22"/>
              </w:rPr>
            </w:pPr>
          </w:p>
        </w:tc>
        <w:tc>
          <w:tcPr>
            <w:tcW w:w="978" w:type="dxa"/>
            <w:vAlign w:val="center"/>
          </w:tcPr>
          <w:p w14:paraId="51B7412A">
            <w:pPr>
              <w:pStyle w:val="687"/>
              <w:rPr>
                <w:szCs w:val="22"/>
              </w:rPr>
            </w:pPr>
          </w:p>
        </w:tc>
      </w:tr>
      <w:tr w14:paraId="3106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005" w:type="dxa"/>
            <w:vMerge w:val="continue"/>
            <w:vAlign w:val="center"/>
          </w:tcPr>
          <w:p w14:paraId="3F449E02">
            <w:pPr>
              <w:pStyle w:val="687"/>
              <w:rPr>
                <w:szCs w:val="22"/>
              </w:rPr>
            </w:pPr>
          </w:p>
        </w:tc>
        <w:tc>
          <w:tcPr>
            <w:tcW w:w="721" w:type="dxa"/>
            <w:vMerge w:val="continue"/>
            <w:vAlign w:val="center"/>
          </w:tcPr>
          <w:p w14:paraId="466E85AC">
            <w:pPr>
              <w:pStyle w:val="687"/>
              <w:rPr>
                <w:szCs w:val="22"/>
              </w:rPr>
            </w:pPr>
          </w:p>
        </w:tc>
        <w:tc>
          <w:tcPr>
            <w:tcW w:w="1008" w:type="dxa"/>
            <w:vAlign w:val="center"/>
          </w:tcPr>
          <w:p w14:paraId="190AF440">
            <w:pPr>
              <w:pStyle w:val="687"/>
              <w:rPr>
                <w:szCs w:val="22"/>
              </w:rPr>
            </w:pPr>
            <w:r>
              <w:rPr>
                <w:szCs w:val="22"/>
              </w:rPr>
              <w:t>样本数</w:t>
            </w:r>
          </w:p>
        </w:tc>
        <w:tc>
          <w:tcPr>
            <w:tcW w:w="1010" w:type="dxa"/>
            <w:vAlign w:val="center"/>
          </w:tcPr>
          <w:p w14:paraId="5448E9C8">
            <w:pPr>
              <w:pStyle w:val="687"/>
              <w:rPr>
                <w:szCs w:val="22"/>
              </w:rPr>
            </w:pPr>
            <w:r>
              <w:rPr>
                <w:szCs w:val="22"/>
              </w:rPr>
              <w:t>检出率/%</w:t>
            </w:r>
          </w:p>
        </w:tc>
        <w:tc>
          <w:tcPr>
            <w:tcW w:w="1008" w:type="dxa"/>
            <w:vAlign w:val="center"/>
          </w:tcPr>
          <w:p w14:paraId="0C3D6FC8">
            <w:pPr>
              <w:pStyle w:val="687"/>
              <w:rPr>
                <w:szCs w:val="22"/>
              </w:rPr>
            </w:pPr>
            <w:r>
              <w:rPr>
                <w:szCs w:val="22"/>
              </w:rPr>
              <w:t>最大值</w:t>
            </w:r>
          </w:p>
        </w:tc>
        <w:tc>
          <w:tcPr>
            <w:tcW w:w="1010" w:type="dxa"/>
            <w:vAlign w:val="center"/>
          </w:tcPr>
          <w:p w14:paraId="2BF60221">
            <w:pPr>
              <w:pStyle w:val="687"/>
              <w:rPr>
                <w:szCs w:val="22"/>
              </w:rPr>
            </w:pPr>
            <w:r>
              <w:rPr>
                <w:szCs w:val="22"/>
              </w:rPr>
              <w:t>最小值</w:t>
            </w:r>
          </w:p>
        </w:tc>
        <w:tc>
          <w:tcPr>
            <w:tcW w:w="1010" w:type="dxa"/>
            <w:vAlign w:val="center"/>
          </w:tcPr>
          <w:p w14:paraId="17BC87DA">
            <w:pPr>
              <w:pStyle w:val="687"/>
              <w:rPr>
                <w:szCs w:val="22"/>
              </w:rPr>
            </w:pPr>
            <w:r>
              <w:rPr>
                <w:szCs w:val="22"/>
              </w:rPr>
              <w:t>均值</w:t>
            </w:r>
          </w:p>
        </w:tc>
        <w:tc>
          <w:tcPr>
            <w:tcW w:w="1010" w:type="dxa"/>
            <w:vAlign w:val="center"/>
          </w:tcPr>
          <w:p w14:paraId="36B48432">
            <w:pPr>
              <w:pStyle w:val="687"/>
              <w:rPr>
                <w:szCs w:val="22"/>
              </w:rPr>
            </w:pPr>
            <w:r>
              <w:rPr>
                <w:szCs w:val="22"/>
              </w:rPr>
              <w:t>标准差</w:t>
            </w:r>
          </w:p>
        </w:tc>
        <w:tc>
          <w:tcPr>
            <w:tcW w:w="1010" w:type="dxa"/>
            <w:vAlign w:val="center"/>
          </w:tcPr>
          <w:p w14:paraId="46404F60">
            <w:pPr>
              <w:pStyle w:val="687"/>
              <w:rPr>
                <w:szCs w:val="22"/>
              </w:rPr>
            </w:pPr>
          </w:p>
        </w:tc>
        <w:tc>
          <w:tcPr>
            <w:tcW w:w="1010" w:type="dxa"/>
            <w:vAlign w:val="center"/>
          </w:tcPr>
          <w:p w14:paraId="2C31EE38">
            <w:pPr>
              <w:pStyle w:val="687"/>
              <w:rPr>
                <w:szCs w:val="22"/>
              </w:rPr>
            </w:pPr>
          </w:p>
        </w:tc>
        <w:tc>
          <w:tcPr>
            <w:tcW w:w="997" w:type="dxa"/>
            <w:vAlign w:val="center"/>
          </w:tcPr>
          <w:p w14:paraId="128C93BE">
            <w:pPr>
              <w:pStyle w:val="687"/>
              <w:rPr>
                <w:szCs w:val="22"/>
              </w:rPr>
            </w:pPr>
          </w:p>
        </w:tc>
        <w:tc>
          <w:tcPr>
            <w:tcW w:w="997" w:type="dxa"/>
            <w:vAlign w:val="center"/>
          </w:tcPr>
          <w:p w14:paraId="360C98BF">
            <w:pPr>
              <w:pStyle w:val="687"/>
              <w:rPr>
                <w:szCs w:val="22"/>
              </w:rPr>
            </w:pPr>
          </w:p>
        </w:tc>
        <w:tc>
          <w:tcPr>
            <w:tcW w:w="991" w:type="dxa"/>
            <w:vAlign w:val="center"/>
          </w:tcPr>
          <w:p w14:paraId="1C4C9E1F">
            <w:pPr>
              <w:pStyle w:val="687"/>
              <w:rPr>
                <w:szCs w:val="22"/>
              </w:rPr>
            </w:pPr>
          </w:p>
        </w:tc>
        <w:tc>
          <w:tcPr>
            <w:tcW w:w="978" w:type="dxa"/>
            <w:vAlign w:val="center"/>
          </w:tcPr>
          <w:p w14:paraId="425AD0B8">
            <w:pPr>
              <w:pStyle w:val="687"/>
              <w:rPr>
                <w:szCs w:val="22"/>
              </w:rPr>
            </w:pPr>
          </w:p>
        </w:tc>
      </w:tr>
      <w:tr w14:paraId="60EA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4FEC1E07">
            <w:pPr>
              <w:pStyle w:val="687"/>
              <w:rPr>
                <w:szCs w:val="22"/>
              </w:rPr>
            </w:pPr>
            <w:r>
              <w:rPr>
                <w:szCs w:val="22"/>
              </w:rPr>
              <w:t>pH</w:t>
            </w:r>
          </w:p>
        </w:tc>
        <w:tc>
          <w:tcPr>
            <w:tcW w:w="721" w:type="dxa"/>
            <w:vAlign w:val="center"/>
          </w:tcPr>
          <w:p w14:paraId="3048CDF5">
            <w:pPr>
              <w:pStyle w:val="687"/>
              <w:rPr>
                <w:bCs/>
                <w:szCs w:val="22"/>
              </w:rPr>
            </w:pPr>
            <w:r>
              <w:rPr>
                <w:bCs/>
                <w:szCs w:val="22"/>
              </w:rPr>
              <w:t>/</w:t>
            </w:r>
          </w:p>
        </w:tc>
        <w:tc>
          <w:tcPr>
            <w:tcW w:w="1008" w:type="dxa"/>
            <w:vAlign w:val="center"/>
          </w:tcPr>
          <w:p w14:paraId="7411FA8E">
            <w:pPr>
              <w:pStyle w:val="687"/>
              <w:rPr>
                <w:szCs w:val="22"/>
              </w:rPr>
            </w:pPr>
            <w:r>
              <w:rPr>
                <w:rFonts w:hint="eastAsia"/>
                <w:szCs w:val="22"/>
              </w:rPr>
              <w:t>1</w:t>
            </w:r>
            <w:r>
              <w:rPr>
                <w:szCs w:val="22"/>
              </w:rPr>
              <w:t>2</w:t>
            </w:r>
          </w:p>
        </w:tc>
        <w:tc>
          <w:tcPr>
            <w:tcW w:w="1010" w:type="dxa"/>
            <w:vAlign w:val="center"/>
          </w:tcPr>
          <w:p w14:paraId="70C60F85">
            <w:pPr>
              <w:pStyle w:val="687"/>
              <w:rPr>
                <w:szCs w:val="22"/>
              </w:rPr>
            </w:pPr>
            <w:r>
              <w:rPr>
                <w:rFonts w:hint="eastAsia"/>
                <w:szCs w:val="22"/>
              </w:rPr>
              <w:t>1</w:t>
            </w:r>
            <w:r>
              <w:rPr>
                <w:szCs w:val="22"/>
              </w:rPr>
              <w:t>00</w:t>
            </w:r>
          </w:p>
        </w:tc>
        <w:tc>
          <w:tcPr>
            <w:tcW w:w="1008" w:type="dxa"/>
            <w:vAlign w:val="center"/>
          </w:tcPr>
          <w:p w14:paraId="794E5DEB">
            <w:pPr>
              <w:pStyle w:val="687"/>
            </w:pPr>
            <w:r>
              <w:rPr>
                <w:rFonts w:hint="eastAsia"/>
              </w:rPr>
              <w:t>6.82</w:t>
            </w:r>
          </w:p>
        </w:tc>
        <w:tc>
          <w:tcPr>
            <w:tcW w:w="1010" w:type="dxa"/>
            <w:vAlign w:val="center"/>
          </w:tcPr>
          <w:p w14:paraId="4E760345">
            <w:pPr>
              <w:pStyle w:val="687"/>
            </w:pPr>
            <w:r>
              <w:rPr>
                <w:rFonts w:hint="eastAsia"/>
              </w:rPr>
              <w:t>6.52</w:t>
            </w:r>
          </w:p>
        </w:tc>
        <w:tc>
          <w:tcPr>
            <w:tcW w:w="1010" w:type="dxa"/>
            <w:vAlign w:val="center"/>
          </w:tcPr>
          <w:p w14:paraId="2068547F">
            <w:pPr>
              <w:pStyle w:val="687"/>
            </w:pPr>
            <w:r>
              <w:rPr>
                <w:rFonts w:hint="eastAsia"/>
              </w:rPr>
              <w:t>6.62</w:t>
            </w:r>
            <w:r>
              <w:t>8</w:t>
            </w:r>
          </w:p>
        </w:tc>
        <w:tc>
          <w:tcPr>
            <w:tcW w:w="1010" w:type="dxa"/>
            <w:vAlign w:val="center"/>
          </w:tcPr>
          <w:p w14:paraId="5D7E4B3A">
            <w:pPr>
              <w:pStyle w:val="687"/>
            </w:pPr>
            <w:r>
              <w:rPr>
                <w:rFonts w:hint="eastAsia"/>
              </w:rPr>
              <w:t>0.10</w:t>
            </w:r>
          </w:p>
        </w:tc>
        <w:tc>
          <w:tcPr>
            <w:tcW w:w="1010" w:type="dxa"/>
            <w:vAlign w:val="center"/>
          </w:tcPr>
          <w:p w14:paraId="5118C7A9">
            <w:pPr>
              <w:pStyle w:val="1429"/>
              <w:rPr>
                <w:rFonts w:cs="Times New Roman"/>
              </w:rPr>
            </w:pPr>
          </w:p>
        </w:tc>
        <w:tc>
          <w:tcPr>
            <w:tcW w:w="1010" w:type="dxa"/>
            <w:vAlign w:val="center"/>
          </w:tcPr>
          <w:p w14:paraId="3EB08532">
            <w:pPr>
              <w:pStyle w:val="1429"/>
              <w:rPr>
                <w:rFonts w:cs="Times New Roman"/>
              </w:rPr>
            </w:pPr>
          </w:p>
        </w:tc>
        <w:tc>
          <w:tcPr>
            <w:tcW w:w="997" w:type="dxa"/>
            <w:vAlign w:val="bottom"/>
          </w:tcPr>
          <w:p w14:paraId="14F2B119">
            <w:pPr>
              <w:pStyle w:val="1429"/>
              <w:rPr>
                <w:rFonts w:cs="Times New Roman"/>
              </w:rPr>
            </w:pPr>
          </w:p>
        </w:tc>
        <w:tc>
          <w:tcPr>
            <w:tcW w:w="997" w:type="dxa"/>
            <w:vAlign w:val="bottom"/>
          </w:tcPr>
          <w:p w14:paraId="3D80CF12">
            <w:pPr>
              <w:pStyle w:val="1429"/>
              <w:rPr>
                <w:rFonts w:cs="Times New Roman"/>
              </w:rPr>
            </w:pPr>
          </w:p>
        </w:tc>
        <w:tc>
          <w:tcPr>
            <w:tcW w:w="991" w:type="dxa"/>
            <w:vAlign w:val="bottom"/>
          </w:tcPr>
          <w:p w14:paraId="1194A7DB">
            <w:pPr>
              <w:pStyle w:val="1429"/>
              <w:rPr>
                <w:rFonts w:cs="Times New Roman"/>
              </w:rPr>
            </w:pPr>
          </w:p>
        </w:tc>
        <w:tc>
          <w:tcPr>
            <w:tcW w:w="978" w:type="dxa"/>
            <w:vAlign w:val="bottom"/>
          </w:tcPr>
          <w:p w14:paraId="0EF82686">
            <w:pPr>
              <w:pStyle w:val="1429"/>
              <w:rPr>
                <w:rFonts w:cs="Times New Roman"/>
              </w:rPr>
            </w:pPr>
          </w:p>
        </w:tc>
      </w:tr>
      <w:tr w14:paraId="1141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20F160D4">
            <w:pPr>
              <w:pStyle w:val="687"/>
              <w:rPr>
                <w:szCs w:val="22"/>
              </w:rPr>
            </w:pPr>
            <w:r>
              <w:rPr>
                <w:szCs w:val="22"/>
              </w:rPr>
              <w:t>石油烃</w:t>
            </w:r>
          </w:p>
        </w:tc>
        <w:tc>
          <w:tcPr>
            <w:tcW w:w="721" w:type="dxa"/>
            <w:vAlign w:val="center"/>
          </w:tcPr>
          <w:p w14:paraId="671C6A06">
            <w:pPr>
              <w:pStyle w:val="687"/>
              <w:rPr>
                <w:bCs/>
                <w:szCs w:val="22"/>
              </w:rPr>
            </w:pPr>
            <w:r>
              <w:rPr>
                <w:szCs w:val="22"/>
              </w:rPr>
              <w:t>4500</w:t>
            </w:r>
          </w:p>
        </w:tc>
        <w:tc>
          <w:tcPr>
            <w:tcW w:w="1008" w:type="dxa"/>
            <w:vAlign w:val="center"/>
          </w:tcPr>
          <w:p w14:paraId="481C4D2F">
            <w:pPr>
              <w:pStyle w:val="687"/>
              <w:rPr>
                <w:szCs w:val="22"/>
              </w:rPr>
            </w:pPr>
            <w:r>
              <w:rPr>
                <w:rFonts w:hint="eastAsia"/>
                <w:szCs w:val="22"/>
              </w:rPr>
              <w:t>1</w:t>
            </w:r>
            <w:r>
              <w:rPr>
                <w:szCs w:val="22"/>
              </w:rPr>
              <w:t>2</w:t>
            </w:r>
          </w:p>
        </w:tc>
        <w:tc>
          <w:tcPr>
            <w:tcW w:w="1010" w:type="dxa"/>
            <w:vAlign w:val="center"/>
          </w:tcPr>
          <w:p w14:paraId="00C9D839">
            <w:pPr>
              <w:pStyle w:val="687"/>
              <w:rPr>
                <w:szCs w:val="22"/>
              </w:rPr>
            </w:pPr>
            <w:r>
              <w:rPr>
                <w:rFonts w:hint="eastAsia"/>
                <w:szCs w:val="22"/>
              </w:rPr>
              <w:t>1</w:t>
            </w:r>
            <w:r>
              <w:rPr>
                <w:szCs w:val="22"/>
              </w:rPr>
              <w:t>00</w:t>
            </w:r>
          </w:p>
        </w:tc>
        <w:tc>
          <w:tcPr>
            <w:tcW w:w="1008" w:type="dxa"/>
            <w:vAlign w:val="center"/>
          </w:tcPr>
          <w:p w14:paraId="5A78B582">
            <w:pPr>
              <w:pStyle w:val="687"/>
              <w:rPr>
                <w:sz w:val="24"/>
              </w:rPr>
            </w:pPr>
            <w:r>
              <w:rPr>
                <w:rFonts w:hint="eastAsia"/>
              </w:rPr>
              <w:t>86</w:t>
            </w:r>
          </w:p>
        </w:tc>
        <w:tc>
          <w:tcPr>
            <w:tcW w:w="1010" w:type="dxa"/>
            <w:vAlign w:val="center"/>
          </w:tcPr>
          <w:p w14:paraId="63D81BE9">
            <w:pPr>
              <w:pStyle w:val="687"/>
            </w:pPr>
            <w:r>
              <w:rPr>
                <w:rFonts w:hint="eastAsia"/>
              </w:rPr>
              <w:t>13</w:t>
            </w:r>
          </w:p>
        </w:tc>
        <w:tc>
          <w:tcPr>
            <w:tcW w:w="1010" w:type="dxa"/>
            <w:vAlign w:val="center"/>
          </w:tcPr>
          <w:p w14:paraId="74B39D39">
            <w:pPr>
              <w:pStyle w:val="687"/>
            </w:pPr>
            <w:r>
              <w:rPr>
                <w:rFonts w:hint="eastAsia"/>
              </w:rPr>
              <w:t>38.</w:t>
            </w:r>
            <w:r>
              <w:t>6</w:t>
            </w:r>
          </w:p>
        </w:tc>
        <w:tc>
          <w:tcPr>
            <w:tcW w:w="1010" w:type="dxa"/>
            <w:vAlign w:val="center"/>
          </w:tcPr>
          <w:p w14:paraId="29A37CE8">
            <w:pPr>
              <w:pStyle w:val="687"/>
            </w:pPr>
            <w:r>
              <w:rPr>
                <w:rFonts w:hint="eastAsia"/>
              </w:rPr>
              <w:t>24.09</w:t>
            </w:r>
          </w:p>
        </w:tc>
        <w:tc>
          <w:tcPr>
            <w:tcW w:w="1010" w:type="dxa"/>
            <w:vAlign w:val="center"/>
          </w:tcPr>
          <w:p w14:paraId="7FFBAB04">
            <w:pPr>
              <w:pStyle w:val="1429"/>
              <w:rPr>
                <w:rFonts w:cs="Times New Roman"/>
              </w:rPr>
            </w:pPr>
          </w:p>
        </w:tc>
        <w:tc>
          <w:tcPr>
            <w:tcW w:w="1010" w:type="dxa"/>
            <w:vAlign w:val="center"/>
          </w:tcPr>
          <w:p w14:paraId="74DCB761">
            <w:pPr>
              <w:pStyle w:val="1429"/>
              <w:rPr>
                <w:rFonts w:cs="Times New Roman"/>
              </w:rPr>
            </w:pPr>
          </w:p>
        </w:tc>
        <w:tc>
          <w:tcPr>
            <w:tcW w:w="997" w:type="dxa"/>
            <w:vAlign w:val="center"/>
          </w:tcPr>
          <w:p w14:paraId="5273F90D">
            <w:pPr>
              <w:pStyle w:val="687"/>
              <w:rPr>
                <w:szCs w:val="22"/>
              </w:rPr>
            </w:pPr>
          </w:p>
        </w:tc>
        <w:tc>
          <w:tcPr>
            <w:tcW w:w="997" w:type="dxa"/>
            <w:vAlign w:val="center"/>
          </w:tcPr>
          <w:p w14:paraId="46264874">
            <w:pPr>
              <w:pStyle w:val="687"/>
              <w:rPr>
                <w:szCs w:val="22"/>
              </w:rPr>
            </w:pPr>
          </w:p>
        </w:tc>
        <w:tc>
          <w:tcPr>
            <w:tcW w:w="991" w:type="dxa"/>
            <w:vAlign w:val="center"/>
          </w:tcPr>
          <w:p w14:paraId="45B67716">
            <w:pPr>
              <w:pStyle w:val="687"/>
              <w:rPr>
                <w:szCs w:val="22"/>
              </w:rPr>
            </w:pPr>
          </w:p>
        </w:tc>
        <w:tc>
          <w:tcPr>
            <w:tcW w:w="978" w:type="dxa"/>
            <w:vAlign w:val="center"/>
          </w:tcPr>
          <w:p w14:paraId="040364E2">
            <w:pPr>
              <w:pStyle w:val="687"/>
              <w:rPr>
                <w:szCs w:val="22"/>
              </w:rPr>
            </w:pPr>
          </w:p>
        </w:tc>
      </w:tr>
      <w:tr w14:paraId="68478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25BE2B36">
            <w:pPr>
              <w:pStyle w:val="687"/>
              <w:rPr>
                <w:szCs w:val="22"/>
              </w:rPr>
            </w:pPr>
            <w:r>
              <w:rPr>
                <w:szCs w:val="22"/>
              </w:rPr>
              <w:t>钡</w:t>
            </w:r>
          </w:p>
        </w:tc>
        <w:tc>
          <w:tcPr>
            <w:tcW w:w="721" w:type="dxa"/>
            <w:vAlign w:val="center"/>
          </w:tcPr>
          <w:p w14:paraId="0B8C72B7">
            <w:pPr>
              <w:pStyle w:val="687"/>
              <w:rPr>
                <w:szCs w:val="22"/>
              </w:rPr>
            </w:pPr>
            <w:r>
              <w:rPr>
                <w:bCs/>
                <w:szCs w:val="22"/>
              </w:rPr>
              <w:t>8660</w:t>
            </w:r>
          </w:p>
        </w:tc>
        <w:tc>
          <w:tcPr>
            <w:tcW w:w="1008" w:type="dxa"/>
            <w:vAlign w:val="center"/>
          </w:tcPr>
          <w:p w14:paraId="26197D85">
            <w:pPr>
              <w:pStyle w:val="687"/>
              <w:rPr>
                <w:szCs w:val="22"/>
              </w:rPr>
            </w:pPr>
            <w:r>
              <w:rPr>
                <w:rFonts w:hint="eastAsia"/>
                <w:szCs w:val="22"/>
              </w:rPr>
              <w:t>1</w:t>
            </w:r>
            <w:r>
              <w:rPr>
                <w:szCs w:val="22"/>
              </w:rPr>
              <w:t>2</w:t>
            </w:r>
          </w:p>
        </w:tc>
        <w:tc>
          <w:tcPr>
            <w:tcW w:w="1010" w:type="dxa"/>
            <w:vAlign w:val="center"/>
          </w:tcPr>
          <w:p w14:paraId="3AF12325">
            <w:pPr>
              <w:pStyle w:val="687"/>
              <w:rPr>
                <w:szCs w:val="22"/>
              </w:rPr>
            </w:pPr>
            <w:r>
              <w:rPr>
                <w:rFonts w:hint="eastAsia"/>
                <w:szCs w:val="22"/>
              </w:rPr>
              <w:t>1</w:t>
            </w:r>
            <w:r>
              <w:rPr>
                <w:szCs w:val="22"/>
              </w:rPr>
              <w:t>00</w:t>
            </w:r>
          </w:p>
        </w:tc>
        <w:tc>
          <w:tcPr>
            <w:tcW w:w="1008" w:type="dxa"/>
            <w:vAlign w:val="center"/>
          </w:tcPr>
          <w:p w14:paraId="4FDE1563">
            <w:pPr>
              <w:pStyle w:val="687"/>
              <w:rPr>
                <w:sz w:val="24"/>
              </w:rPr>
            </w:pPr>
            <w:r>
              <w:rPr>
                <w:rFonts w:hint="eastAsia"/>
              </w:rPr>
              <w:t>700</w:t>
            </w:r>
          </w:p>
        </w:tc>
        <w:tc>
          <w:tcPr>
            <w:tcW w:w="1010" w:type="dxa"/>
            <w:vAlign w:val="center"/>
          </w:tcPr>
          <w:p w14:paraId="15E753BB">
            <w:pPr>
              <w:pStyle w:val="687"/>
            </w:pPr>
            <w:r>
              <w:rPr>
                <w:rFonts w:hint="eastAsia"/>
              </w:rPr>
              <w:t>449</w:t>
            </w:r>
          </w:p>
        </w:tc>
        <w:tc>
          <w:tcPr>
            <w:tcW w:w="1010" w:type="dxa"/>
            <w:vAlign w:val="center"/>
          </w:tcPr>
          <w:p w14:paraId="6683DB76">
            <w:pPr>
              <w:pStyle w:val="687"/>
            </w:pPr>
            <w:r>
              <w:rPr>
                <w:rFonts w:hint="eastAsia"/>
              </w:rPr>
              <w:t>592.7</w:t>
            </w:r>
          </w:p>
        </w:tc>
        <w:tc>
          <w:tcPr>
            <w:tcW w:w="1010" w:type="dxa"/>
            <w:vAlign w:val="center"/>
          </w:tcPr>
          <w:p w14:paraId="6B873659">
            <w:pPr>
              <w:pStyle w:val="687"/>
            </w:pPr>
            <w:r>
              <w:rPr>
                <w:rFonts w:hint="eastAsia"/>
              </w:rPr>
              <w:t>76.80</w:t>
            </w:r>
          </w:p>
        </w:tc>
        <w:tc>
          <w:tcPr>
            <w:tcW w:w="1010" w:type="dxa"/>
            <w:vAlign w:val="center"/>
          </w:tcPr>
          <w:p w14:paraId="3D3CF788">
            <w:pPr>
              <w:pStyle w:val="1429"/>
              <w:rPr>
                <w:rFonts w:cs="Times New Roman"/>
              </w:rPr>
            </w:pPr>
          </w:p>
        </w:tc>
        <w:tc>
          <w:tcPr>
            <w:tcW w:w="1010" w:type="dxa"/>
            <w:vAlign w:val="center"/>
          </w:tcPr>
          <w:p w14:paraId="66F0F857">
            <w:pPr>
              <w:pStyle w:val="1429"/>
              <w:rPr>
                <w:rFonts w:cs="Times New Roman"/>
              </w:rPr>
            </w:pPr>
          </w:p>
        </w:tc>
        <w:tc>
          <w:tcPr>
            <w:tcW w:w="997" w:type="dxa"/>
            <w:vAlign w:val="center"/>
          </w:tcPr>
          <w:p w14:paraId="45741CF0">
            <w:pPr>
              <w:pStyle w:val="687"/>
              <w:rPr>
                <w:szCs w:val="22"/>
              </w:rPr>
            </w:pPr>
          </w:p>
        </w:tc>
        <w:tc>
          <w:tcPr>
            <w:tcW w:w="997" w:type="dxa"/>
            <w:vAlign w:val="center"/>
          </w:tcPr>
          <w:p w14:paraId="1286FC48">
            <w:pPr>
              <w:pStyle w:val="687"/>
              <w:rPr>
                <w:szCs w:val="22"/>
              </w:rPr>
            </w:pPr>
          </w:p>
        </w:tc>
        <w:tc>
          <w:tcPr>
            <w:tcW w:w="991" w:type="dxa"/>
            <w:vAlign w:val="center"/>
          </w:tcPr>
          <w:p w14:paraId="5F890882">
            <w:pPr>
              <w:pStyle w:val="687"/>
              <w:rPr>
                <w:szCs w:val="22"/>
              </w:rPr>
            </w:pPr>
          </w:p>
        </w:tc>
        <w:tc>
          <w:tcPr>
            <w:tcW w:w="978" w:type="dxa"/>
            <w:vAlign w:val="center"/>
          </w:tcPr>
          <w:p w14:paraId="27183F77">
            <w:pPr>
              <w:pStyle w:val="687"/>
              <w:rPr>
                <w:szCs w:val="22"/>
              </w:rPr>
            </w:pPr>
          </w:p>
        </w:tc>
      </w:tr>
      <w:tr w14:paraId="121C4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005" w:type="dxa"/>
            <w:vAlign w:val="center"/>
          </w:tcPr>
          <w:p w14:paraId="1A6E48BA">
            <w:pPr>
              <w:pStyle w:val="687"/>
              <w:rPr>
                <w:szCs w:val="22"/>
              </w:rPr>
            </w:pPr>
            <w:r>
              <w:rPr>
                <w:szCs w:val="22"/>
              </w:rPr>
              <w:t>水溶性硫酸盐</w:t>
            </w:r>
          </w:p>
        </w:tc>
        <w:tc>
          <w:tcPr>
            <w:tcW w:w="721" w:type="dxa"/>
            <w:vAlign w:val="center"/>
          </w:tcPr>
          <w:p w14:paraId="13E8BB6C">
            <w:pPr>
              <w:pStyle w:val="687"/>
              <w:rPr>
                <w:bCs/>
                <w:szCs w:val="22"/>
              </w:rPr>
            </w:pPr>
            <w:r>
              <w:rPr>
                <w:bCs/>
                <w:szCs w:val="22"/>
              </w:rPr>
              <w:t>/</w:t>
            </w:r>
          </w:p>
        </w:tc>
        <w:tc>
          <w:tcPr>
            <w:tcW w:w="1008" w:type="dxa"/>
            <w:vAlign w:val="center"/>
          </w:tcPr>
          <w:p w14:paraId="626AEC62">
            <w:pPr>
              <w:pStyle w:val="687"/>
              <w:rPr>
                <w:szCs w:val="22"/>
              </w:rPr>
            </w:pPr>
            <w:r>
              <w:rPr>
                <w:rFonts w:hint="eastAsia"/>
                <w:szCs w:val="22"/>
              </w:rPr>
              <w:t>1</w:t>
            </w:r>
            <w:r>
              <w:rPr>
                <w:szCs w:val="22"/>
              </w:rPr>
              <w:t>2</w:t>
            </w:r>
          </w:p>
        </w:tc>
        <w:tc>
          <w:tcPr>
            <w:tcW w:w="1010" w:type="dxa"/>
            <w:vAlign w:val="center"/>
          </w:tcPr>
          <w:p w14:paraId="3AFB56C0">
            <w:pPr>
              <w:pStyle w:val="687"/>
              <w:rPr>
                <w:szCs w:val="22"/>
              </w:rPr>
            </w:pPr>
            <w:r>
              <w:rPr>
                <w:rFonts w:hint="eastAsia"/>
                <w:szCs w:val="22"/>
              </w:rPr>
              <w:t>0</w:t>
            </w:r>
          </w:p>
        </w:tc>
        <w:tc>
          <w:tcPr>
            <w:tcW w:w="1008" w:type="dxa"/>
            <w:vAlign w:val="center"/>
          </w:tcPr>
          <w:p w14:paraId="573BD3D9">
            <w:pPr>
              <w:pStyle w:val="687"/>
              <w:rPr>
                <w:sz w:val="24"/>
                <w:szCs w:val="22"/>
              </w:rPr>
            </w:pPr>
            <w:r>
              <w:rPr>
                <w:rFonts w:hint="eastAsia"/>
                <w:sz w:val="24"/>
                <w:szCs w:val="22"/>
              </w:rPr>
              <w:t>/</w:t>
            </w:r>
          </w:p>
        </w:tc>
        <w:tc>
          <w:tcPr>
            <w:tcW w:w="1010" w:type="dxa"/>
            <w:vAlign w:val="center"/>
          </w:tcPr>
          <w:p w14:paraId="2D3B0C57">
            <w:pPr>
              <w:pStyle w:val="687"/>
              <w:rPr>
                <w:szCs w:val="22"/>
              </w:rPr>
            </w:pPr>
            <w:r>
              <w:rPr>
                <w:rFonts w:hint="eastAsia"/>
                <w:szCs w:val="22"/>
              </w:rPr>
              <w:t>/</w:t>
            </w:r>
          </w:p>
        </w:tc>
        <w:tc>
          <w:tcPr>
            <w:tcW w:w="1010" w:type="dxa"/>
            <w:vAlign w:val="center"/>
          </w:tcPr>
          <w:p w14:paraId="4D553DA5">
            <w:pPr>
              <w:pStyle w:val="1429"/>
            </w:pPr>
            <w:r>
              <w:rPr>
                <w:rFonts w:hint="eastAsia"/>
              </w:rPr>
              <w:t>/</w:t>
            </w:r>
          </w:p>
        </w:tc>
        <w:tc>
          <w:tcPr>
            <w:tcW w:w="1010" w:type="dxa"/>
            <w:vAlign w:val="center"/>
          </w:tcPr>
          <w:p w14:paraId="5A2ACD30">
            <w:pPr>
              <w:pStyle w:val="1429"/>
            </w:pPr>
            <w:r>
              <w:rPr>
                <w:rFonts w:hint="eastAsia"/>
              </w:rPr>
              <w:t>/</w:t>
            </w:r>
          </w:p>
        </w:tc>
        <w:tc>
          <w:tcPr>
            <w:tcW w:w="1010" w:type="dxa"/>
            <w:vAlign w:val="center"/>
          </w:tcPr>
          <w:p w14:paraId="370E9A02">
            <w:pPr>
              <w:pStyle w:val="1429"/>
              <w:rPr>
                <w:rFonts w:cs="Times New Roman"/>
              </w:rPr>
            </w:pPr>
          </w:p>
        </w:tc>
        <w:tc>
          <w:tcPr>
            <w:tcW w:w="1010" w:type="dxa"/>
            <w:vAlign w:val="center"/>
          </w:tcPr>
          <w:p w14:paraId="463703F6">
            <w:pPr>
              <w:pStyle w:val="1429"/>
              <w:rPr>
                <w:rFonts w:cs="Times New Roman"/>
              </w:rPr>
            </w:pPr>
          </w:p>
        </w:tc>
        <w:tc>
          <w:tcPr>
            <w:tcW w:w="997" w:type="dxa"/>
            <w:vAlign w:val="center"/>
          </w:tcPr>
          <w:p w14:paraId="479FC7E9">
            <w:pPr>
              <w:pStyle w:val="687"/>
              <w:rPr>
                <w:szCs w:val="22"/>
              </w:rPr>
            </w:pPr>
          </w:p>
        </w:tc>
        <w:tc>
          <w:tcPr>
            <w:tcW w:w="997" w:type="dxa"/>
            <w:vAlign w:val="center"/>
          </w:tcPr>
          <w:p w14:paraId="57C523CA">
            <w:pPr>
              <w:pStyle w:val="687"/>
              <w:rPr>
                <w:szCs w:val="22"/>
              </w:rPr>
            </w:pPr>
          </w:p>
        </w:tc>
        <w:tc>
          <w:tcPr>
            <w:tcW w:w="991" w:type="dxa"/>
            <w:vAlign w:val="center"/>
          </w:tcPr>
          <w:p w14:paraId="40FAD6AC">
            <w:pPr>
              <w:pStyle w:val="687"/>
              <w:rPr>
                <w:szCs w:val="22"/>
              </w:rPr>
            </w:pPr>
          </w:p>
        </w:tc>
        <w:tc>
          <w:tcPr>
            <w:tcW w:w="978" w:type="dxa"/>
            <w:vAlign w:val="center"/>
          </w:tcPr>
          <w:p w14:paraId="720A599A">
            <w:pPr>
              <w:pStyle w:val="687"/>
              <w:rPr>
                <w:szCs w:val="22"/>
              </w:rPr>
            </w:pPr>
          </w:p>
        </w:tc>
      </w:tr>
      <w:tr w14:paraId="2156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6334D401">
            <w:pPr>
              <w:pStyle w:val="687"/>
              <w:rPr>
                <w:szCs w:val="22"/>
              </w:rPr>
            </w:pPr>
            <w:r>
              <w:rPr>
                <w:rFonts w:hint="eastAsia"/>
              </w:rPr>
              <w:t>水溶性盐总量</w:t>
            </w:r>
          </w:p>
        </w:tc>
        <w:tc>
          <w:tcPr>
            <w:tcW w:w="721" w:type="dxa"/>
            <w:vAlign w:val="center"/>
          </w:tcPr>
          <w:p w14:paraId="7CB60E50">
            <w:pPr>
              <w:pStyle w:val="687"/>
              <w:rPr>
                <w:bCs/>
                <w:szCs w:val="22"/>
              </w:rPr>
            </w:pPr>
            <w:r>
              <w:rPr>
                <w:rFonts w:hint="eastAsia"/>
                <w:bCs/>
                <w:szCs w:val="22"/>
              </w:rPr>
              <w:t>/</w:t>
            </w:r>
          </w:p>
        </w:tc>
        <w:tc>
          <w:tcPr>
            <w:tcW w:w="1008" w:type="dxa"/>
            <w:vAlign w:val="center"/>
          </w:tcPr>
          <w:p w14:paraId="6F501F1A">
            <w:pPr>
              <w:pStyle w:val="687"/>
              <w:rPr>
                <w:szCs w:val="22"/>
              </w:rPr>
            </w:pPr>
            <w:r>
              <w:rPr>
                <w:rFonts w:hint="eastAsia"/>
                <w:szCs w:val="22"/>
              </w:rPr>
              <w:t>1</w:t>
            </w:r>
            <w:r>
              <w:rPr>
                <w:szCs w:val="22"/>
              </w:rPr>
              <w:t>2</w:t>
            </w:r>
          </w:p>
        </w:tc>
        <w:tc>
          <w:tcPr>
            <w:tcW w:w="1010" w:type="dxa"/>
            <w:vAlign w:val="center"/>
          </w:tcPr>
          <w:p w14:paraId="6FC61504">
            <w:pPr>
              <w:pStyle w:val="687"/>
              <w:rPr>
                <w:szCs w:val="22"/>
              </w:rPr>
            </w:pPr>
            <w:r>
              <w:rPr>
                <w:rFonts w:hint="eastAsia"/>
                <w:szCs w:val="22"/>
              </w:rPr>
              <w:t>1</w:t>
            </w:r>
            <w:r>
              <w:rPr>
                <w:szCs w:val="22"/>
              </w:rPr>
              <w:t>00</w:t>
            </w:r>
          </w:p>
        </w:tc>
        <w:tc>
          <w:tcPr>
            <w:tcW w:w="1008" w:type="dxa"/>
            <w:vAlign w:val="center"/>
          </w:tcPr>
          <w:p w14:paraId="1D211BF0">
            <w:pPr>
              <w:pStyle w:val="687"/>
            </w:pPr>
            <w:r>
              <w:rPr>
                <w:rFonts w:hint="eastAsia"/>
              </w:rPr>
              <w:t>900</w:t>
            </w:r>
          </w:p>
        </w:tc>
        <w:tc>
          <w:tcPr>
            <w:tcW w:w="1010" w:type="dxa"/>
            <w:vAlign w:val="center"/>
          </w:tcPr>
          <w:p w14:paraId="1A3985CE">
            <w:pPr>
              <w:pStyle w:val="687"/>
            </w:pPr>
            <w:r>
              <w:rPr>
                <w:rFonts w:hint="eastAsia"/>
              </w:rPr>
              <w:t>600</w:t>
            </w:r>
          </w:p>
        </w:tc>
        <w:tc>
          <w:tcPr>
            <w:tcW w:w="1010" w:type="dxa"/>
            <w:vAlign w:val="center"/>
          </w:tcPr>
          <w:p w14:paraId="2BCEEB7B">
            <w:pPr>
              <w:pStyle w:val="687"/>
            </w:pPr>
            <w:r>
              <w:rPr>
                <w:rFonts w:hint="eastAsia"/>
              </w:rPr>
              <w:t>758.</w:t>
            </w:r>
            <w:r>
              <w:t>3</w:t>
            </w:r>
          </w:p>
        </w:tc>
        <w:tc>
          <w:tcPr>
            <w:tcW w:w="1010" w:type="dxa"/>
            <w:vAlign w:val="center"/>
          </w:tcPr>
          <w:p w14:paraId="3C2C97A3">
            <w:pPr>
              <w:pStyle w:val="687"/>
            </w:pPr>
            <w:r>
              <w:rPr>
                <w:rFonts w:hint="eastAsia"/>
              </w:rPr>
              <w:t>108.36</w:t>
            </w:r>
          </w:p>
        </w:tc>
        <w:tc>
          <w:tcPr>
            <w:tcW w:w="1010" w:type="dxa"/>
            <w:vAlign w:val="center"/>
          </w:tcPr>
          <w:p w14:paraId="15C22CC6">
            <w:pPr>
              <w:pStyle w:val="1429"/>
              <w:rPr>
                <w:rFonts w:cs="Times New Roman"/>
              </w:rPr>
            </w:pPr>
          </w:p>
        </w:tc>
        <w:tc>
          <w:tcPr>
            <w:tcW w:w="1010" w:type="dxa"/>
            <w:vAlign w:val="center"/>
          </w:tcPr>
          <w:p w14:paraId="553C5243">
            <w:pPr>
              <w:pStyle w:val="1429"/>
              <w:rPr>
                <w:rFonts w:cs="Times New Roman"/>
              </w:rPr>
            </w:pPr>
          </w:p>
        </w:tc>
        <w:tc>
          <w:tcPr>
            <w:tcW w:w="997" w:type="dxa"/>
            <w:vAlign w:val="center"/>
          </w:tcPr>
          <w:p w14:paraId="062CC63C">
            <w:pPr>
              <w:pStyle w:val="687"/>
              <w:rPr>
                <w:szCs w:val="22"/>
              </w:rPr>
            </w:pPr>
          </w:p>
        </w:tc>
        <w:tc>
          <w:tcPr>
            <w:tcW w:w="997" w:type="dxa"/>
            <w:vAlign w:val="center"/>
          </w:tcPr>
          <w:p w14:paraId="7EBDA2DE">
            <w:pPr>
              <w:pStyle w:val="687"/>
              <w:rPr>
                <w:szCs w:val="22"/>
              </w:rPr>
            </w:pPr>
          </w:p>
        </w:tc>
        <w:tc>
          <w:tcPr>
            <w:tcW w:w="991" w:type="dxa"/>
            <w:vAlign w:val="center"/>
          </w:tcPr>
          <w:p w14:paraId="4C1E0BE5">
            <w:pPr>
              <w:pStyle w:val="687"/>
              <w:rPr>
                <w:szCs w:val="22"/>
              </w:rPr>
            </w:pPr>
          </w:p>
        </w:tc>
        <w:tc>
          <w:tcPr>
            <w:tcW w:w="978" w:type="dxa"/>
            <w:vAlign w:val="center"/>
          </w:tcPr>
          <w:p w14:paraId="37BB23BD">
            <w:pPr>
              <w:pStyle w:val="687"/>
              <w:rPr>
                <w:szCs w:val="22"/>
              </w:rPr>
            </w:pPr>
          </w:p>
        </w:tc>
      </w:tr>
      <w:tr w14:paraId="24B3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5" w:type="dxa"/>
            <w:vAlign w:val="center"/>
          </w:tcPr>
          <w:p w14:paraId="1AADB658">
            <w:pPr>
              <w:pStyle w:val="687"/>
              <w:rPr>
                <w:szCs w:val="22"/>
              </w:rPr>
            </w:pPr>
            <w:r>
              <w:rPr>
                <w:szCs w:val="22"/>
              </w:rPr>
              <w:t>氯化物</w:t>
            </w:r>
          </w:p>
        </w:tc>
        <w:tc>
          <w:tcPr>
            <w:tcW w:w="721" w:type="dxa"/>
            <w:vAlign w:val="center"/>
          </w:tcPr>
          <w:p w14:paraId="1538FCBA">
            <w:pPr>
              <w:pStyle w:val="687"/>
              <w:rPr>
                <w:bCs/>
                <w:szCs w:val="22"/>
              </w:rPr>
            </w:pPr>
            <w:r>
              <w:rPr>
                <w:bCs/>
                <w:szCs w:val="22"/>
              </w:rPr>
              <w:t>/</w:t>
            </w:r>
          </w:p>
        </w:tc>
        <w:tc>
          <w:tcPr>
            <w:tcW w:w="1008" w:type="dxa"/>
            <w:vAlign w:val="center"/>
          </w:tcPr>
          <w:p w14:paraId="46442C3C">
            <w:pPr>
              <w:pStyle w:val="687"/>
              <w:rPr>
                <w:szCs w:val="22"/>
              </w:rPr>
            </w:pPr>
            <w:r>
              <w:rPr>
                <w:rFonts w:hint="eastAsia"/>
                <w:szCs w:val="22"/>
              </w:rPr>
              <w:t>1</w:t>
            </w:r>
            <w:r>
              <w:rPr>
                <w:szCs w:val="22"/>
              </w:rPr>
              <w:t>2</w:t>
            </w:r>
          </w:p>
        </w:tc>
        <w:tc>
          <w:tcPr>
            <w:tcW w:w="1010" w:type="dxa"/>
            <w:vAlign w:val="center"/>
          </w:tcPr>
          <w:p w14:paraId="4061CA45">
            <w:pPr>
              <w:pStyle w:val="687"/>
              <w:rPr>
                <w:szCs w:val="22"/>
              </w:rPr>
            </w:pPr>
            <w:r>
              <w:rPr>
                <w:rFonts w:hint="eastAsia"/>
                <w:szCs w:val="22"/>
              </w:rPr>
              <w:t>1</w:t>
            </w:r>
            <w:r>
              <w:rPr>
                <w:szCs w:val="22"/>
              </w:rPr>
              <w:t>00</w:t>
            </w:r>
          </w:p>
        </w:tc>
        <w:tc>
          <w:tcPr>
            <w:tcW w:w="1008" w:type="dxa"/>
            <w:vAlign w:val="center"/>
          </w:tcPr>
          <w:p w14:paraId="0299960E">
            <w:pPr>
              <w:pStyle w:val="687"/>
            </w:pPr>
            <w:r>
              <w:rPr>
                <w:rFonts w:hint="eastAsia"/>
              </w:rPr>
              <w:t>28</w:t>
            </w:r>
          </w:p>
        </w:tc>
        <w:tc>
          <w:tcPr>
            <w:tcW w:w="1010" w:type="dxa"/>
            <w:vAlign w:val="center"/>
          </w:tcPr>
          <w:p w14:paraId="591E5A85">
            <w:pPr>
              <w:pStyle w:val="687"/>
            </w:pPr>
            <w:r>
              <w:rPr>
                <w:rFonts w:hint="eastAsia"/>
              </w:rPr>
              <w:t>12</w:t>
            </w:r>
          </w:p>
        </w:tc>
        <w:tc>
          <w:tcPr>
            <w:tcW w:w="1010" w:type="dxa"/>
            <w:vAlign w:val="center"/>
          </w:tcPr>
          <w:p w14:paraId="7C838C70">
            <w:pPr>
              <w:pStyle w:val="687"/>
            </w:pPr>
            <w:r>
              <w:rPr>
                <w:rFonts w:hint="eastAsia"/>
              </w:rPr>
              <w:t>22.</w:t>
            </w:r>
            <w:r>
              <w:t>1</w:t>
            </w:r>
          </w:p>
        </w:tc>
        <w:tc>
          <w:tcPr>
            <w:tcW w:w="1010" w:type="dxa"/>
            <w:vAlign w:val="center"/>
          </w:tcPr>
          <w:p w14:paraId="5DAF99A6">
            <w:pPr>
              <w:pStyle w:val="687"/>
            </w:pPr>
            <w:r>
              <w:rPr>
                <w:rFonts w:hint="eastAsia"/>
              </w:rPr>
              <w:t>5.38</w:t>
            </w:r>
          </w:p>
        </w:tc>
        <w:tc>
          <w:tcPr>
            <w:tcW w:w="1010" w:type="dxa"/>
            <w:vAlign w:val="center"/>
          </w:tcPr>
          <w:p w14:paraId="34A663FA">
            <w:pPr>
              <w:pStyle w:val="1429"/>
              <w:rPr>
                <w:rFonts w:cs="Times New Roman"/>
              </w:rPr>
            </w:pPr>
          </w:p>
        </w:tc>
        <w:tc>
          <w:tcPr>
            <w:tcW w:w="1010" w:type="dxa"/>
            <w:vAlign w:val="center"/>
          </w:tcPr>
          <w:p w14:paraId="6E562C28">
            <w:pPr>
              <w:pStyle w:val="1429"/>
              <w:rPr>
                <w:rFonts w:cs="Times New Roman"/>
              </w:rPr>
            </w:pPr>
          </w:p>
        </w:tc>
        <w:tc>
          <w:tcPr>
            <w:tcW w:w="997" w:type="dxa"/>
            <w:vAlign w:val="center"/>
          </w:tcPr>
          <w:p w14:paraId="7AE8FF87">
            <w:pPr>
              <w:pStyle w:val="687"/>
              <w:rPr>
                <w:szCs w:val="22"/>
              </w:rPr>
            </w:pPr>
          </w:p>
        </w:tc>
        <w:tc>
          <w:tcPr>
            <w:tcW w:w="997" w:type="dxa"/>
            <w:vAlign w:val="center"/>
          </w:tcPr>
          <w:p w14:paraId="579FC7C4">
            <w:pPr>
              <w:pStyle w:val="687"/>
              <w:rPr>
                <w:szCs w:val="22"/>
              </w:rPr>
            </w:pPr>
          </w:p>
        </w:tc>
        <w:tc>
          <w:tcPr>
            <w:tcW w:w="991" w:type="dxa"/>
            <w:vAlign w:val="center"/>
          </w:tcPr>
          <w:p w14:paraId="27BF8F6F">
            <w:pPr>
              <w:pStyle w:val="687"/>
              <w:rPr>
                <w:szCs w:val="22"/>
              </w:rPr>
            </w:pPr>
          </w:p>
        </w:tc>
        <w:tc>
          <w:tcPr>
            <w:tcW w:w="978" w:type="dxa"/>
            <w:vAlign w:val="center"/>
          </w:tcPr>
          <w:p w14:paraId="7AEE5802">
            <w:pPr>
              <w:pStyle w:val="687"/>
              <w:rPr>
                <w:szCs w:val="22"/>
              </w:rPr>
            </w:pPr>
          </w:p>
        </w:tc>
      </w:tr>
    </w:tbl>
    <w:p w14:paraId="0A7406B7">
      <w:pPr>
        <w:pStyle w:val="1066"/>
        <w:ind w:firstLine="520"/>
        <w:rPr>
          <w:rFonts w:cs="Times New Roman"/>
        </w:rPr>
      </w:pPr>
    </w:p>
    <w:p w14:paraId="203248A3">
      <w:pPr>
        <w:pStyle w:val="1066"/>
        <w:ind w:firstLine="520"/>
        <w:rPr>
          <w:rFonts w:cs="Times New Roman"/>
        </w:rPr>
      </w:pPr>
    </w:p>
    <w:p w14:paraId="44196ADC">
      <w:pPr>
        <w:pStyle w:val="1066"/>
        <w:ind w:firstLine="520"/>
        <w:rPr>
          <w:rFonts w:cs="Times New Roman"/>
        </w:rPr>
        <w:sectPr>
          <w:pgSz w:w="16838" w:h="11906" w:orient="landscape"/>
          <w:pgMar w:top="1588" w:right="1701" w:bottom="1588" w:left="1588" w:header="1304" w:footer="1247" w:gutter="0"/>
          <w:cols w:space="720" w:num="1"/>
          <w:docGrid w:linePitch="312" w:charSpace="0"/>
        </w:sectPr>
      </w:pPr>
    </w:p>
    <w:p w14:paraId="1E254501">
      <w:pPr>
        <w:pStyle w:val="1059"/>
        <w:rPr>
          <w:rFonts w:cs="Times New Roman"/>
        </w:rPr>
      </w:pPr>
      <w:bookmarkStart w:id="225" w:name="_Toc219907645"/>
      <w:bookmarkStart w:id="226" w:name="_Toc165809731"/>
      <w:bookmarkStart w:id="227" w:name="_Toc165810533"/>
      <w:r>
        <w:rPr>
          <w:rFonts w:cs="Times New Roman"/>
        </w:rPr>
        <w:t>4.3 生态环境现状调查与评价</w:t>
      </w:r>
      <w:bookmarkEnd w:id="225"/>
      <w:bookmarkEnd w:id="226"/>
      <w:bookmarkEnd w:id="227"/>
    </w:p>
    <w:p w14:paraId="16D4EAFE">
      <w:pPr>
        <w:pStyle w:val="702"/>
        <w:ind w:firstLine="522"/>
        <w:outlineLvl w:val="2"/>
        <w:rPr>
          <w:rFonts w:cs="Times New Roman"/>
          <w:b/>
          <w:bCs/>
          <w:szCs w:val="26"/>
        </w:rPr>
      </w:pPr>
      <w:r>
        <w:rPr>
          <w:rFonts w:hint="eastAsia" w:cs="Times New Roman"/>
          <w:b/>
          <w:bCs/>
          <w:szCs w:val="26"/>
        </w:rPr>
        <w:t>4</w:t>
      </w:r>
      <w:r>
        <w:rPr>
          <w:rFonts w:cs="Times New Roman"/>
          <w:b/>
          <w:bCs/>
          <w:szCs w:val="26"/>
        </w:rPr>
        <w:t xml:space="preserve">.3.1 </w:t>
      </w:r>
      <w:r>
        <w:rPr>
          <w:rFonts w:hint="eastAsia" w:cs="Times New Roman"/>
          <w:b/>
          <w:bCs/>
          <w:szCs w:val="26"/>
        </w:rPr>
        <w:t>生态环境现状调查方法</w:t>
      </w:r>
    </w:p>
    <w:p w14:paraId="0147CB86">
      <w:pPr>
        <w:adjustRightInd w:val="0"/>
        <w:snapToGrid w:val="0"/>
        <w:spacing w:line="460" w:lineRule="exact"/>
        <w:ind w:firstLine="520" w:firstLineChars="200"/>
        <w:jc w:val="left"/>
        <w:rPr>
          <w:bCs/>
          <w:sz w:val="26"/>
          <w:szCs w:val="26"/>
        </w:rPr>
      </w:pPr>
      <w:bookmarkStart w:id="228" w:name="_Toc165810534"/>
      <w:r>
        <w:rPr>
          <w:rFonts w:hint="eastAsia"/>
          <w:bCs/>
          <w:sz w:val="26"/>
          <w:szCs w:val="26"/>
        </w:rPr>
        <w:t>本项目采用资料收集法、遥感解译、现场勘查法对评价区生态环境现状进行调查。</w:t>
      </w:r>
    </w:p>
    <w:p w14:paraId="3A577E77">
      <w:pPr>
        <w:spacing w:line="480" w:lineRule="exact"/>
        <w:ind w:firstLine="522" w:firstLineChars="200"/>
        <w:rPr>
          <w:b/>
          <w:bCs/>
          <w:sz w:val="26"/>
        </w:rPr>
      </w:pPr>
      <w:r>
        <w:rPr>
          <w:rFonts w:hint="eastAsia"/>
          <w:b/>
          <w:bCs/>
          <w:sz w:val="26"/>
        </w:rPr>
        <w:t>（1）资料收集</w:t>
      </w:r>
    </w:p>
    <w:p w14:paraId="499B6A35">
      <w:pPr>
        <w:pStyle w:val="952"/>
        <w:adjustRightInd w:val="0"/>
        <w:snapToGrid w:val="0"/>
        <w:ind w:firstLine="520"/>
        <w:rPr>
          <w:rFonts w:ascii="Times New Roman" w:hAnsi="Times New Roman"/>
          <w:szCs w:val="26"/>
        </w:rPr>
      </w:pPr>
      <w:r>
        <w:rPr>
          <w:rFonts w:ascii="Times New Roman" w:hAnsi="Times New Roman"/>
          <w:szCs w:val="26"/>
        </w:rPr>
        <w:t>通过查阅资料，收集土地利用类型遥感资料、植被遥感数据、林业调查数据、土壤侵蚀数据</w:t>
      </w:r>
      <w:r>
        <w:rPr>
          <w:rFonts w:hint="eastAsia" w:ascii="Times New Roman" w:hAnsi="Times New Roman"/>
          <w:szCs w:val="26"/>
        </w:rPr>
        <w:t>等</w:t>
      </w:r>
      <w:r>
        <w:rPr>
          <w:rFonts w:ascii="Times New Roman" w:hAnsi="Times New Roman"/>
          <w:szCs w:val="26"/>
        </w:rPr>
        <w:t>，</w:t>
      </w:r>
      <w:r>
        <w:rPr>
          <w:rFonts w:hint="eastAsia"/>
          <w:szCs w:val="26"/>
        </w:rPr>
        <w:t>并通过对工程拟建地实际踏勘和现场调查，核实收集资料的准确性</w:t>
      </w:r>
      <w:r>
        <w:rPr>
          <w:rFonts w:ascii="Times New Roman" w:hAnsi="Times New Roman"/>
          <w:szCs w:val="26"/>
        </w:rPr>
        <w:t>。</w:t>
      </w:r>
    </w:p>
    <w:p w14:paraId="6A46436D">
      <w:pPr>
        <w:spacing w:line="480" w:lineRule="exact"/>
        <w:ind w:firstLine="522" w:firstLineChars="200"/>
        <w:rPr>
          <w:b/>
          <w:sz w:val="26"/>
          <w:szCs w:val="26"/>
        </w:rPr>
      </w:pPr>
      <w:r>
        <w:rPr>
          <w:rFonts w:hint="eastAsia"/>
          <w:b/>
          <w:sz w:val="26"/>
          <w:szCs w:val="26"/>
        </w:rPr>
        <w:t>（2）</w:t>
      </w:r>
      <w:r>
        <w:rPr>
          <w:rFonts w:hint="eastAsia"/>
          <w:b/>
          <w:bCs/>
          <w:sz w:val="26"/>
        </w:rPr>
        <w:t>遥感解译</w:t>
      </w:r>
    </w:p>
    <w:p w14:paraId="24959413">
      <w:pPr>
        <w:spacing w:line="480" w:lineRule="exact"/>
        <w:ind w:firstLine="520" w:firstLineChars="200"/>
        <w:rPr>
          <w:sz w:val="26"/>
          <w:szCs w:val="26"/>
        </w:rPr>
      </w:pPr>
      <w:r>
        <w:rPr>
          <w:rFonts w:hint="eastAsia"/>
          <w:sz w:val="26"/>
          <w:szCs w:val="26"/>
        </w:rPr>
        <w:t>为了准确地反映项目区植被类型、土地利用现状、土壤侵蚀强度、</w:t>
      </w:r>
      <w:r>
        <w:rPr>
          <w:sz w:val="26"/>
          <w:szCs w:val="26"/>
        </w:rPr>
        <w:t>植被盖度及生态系统类型</w:t>
      </w:r>
      <w:r>
        <w:rPr>
          <w:rFonts w:hint="eastAsia"/>
          <w:sz w:val="26"/>
          <w:szCs w:val="26"/>
        </w:rPr>
        <w:t>等主要生态环境要素信息，本次工作采用3S技术结合的方法进行环境影响项目区生态环境信息的获取。首先，根据国家或相关行业规范，结合遥感图像的时相与空间分辨率，建立土地利用现状、植被类型、土壤侵蚀强度、</w:t>
      </w:r>
      <w:r>
        <w:rPr>
          <w:sz w:val="26"/>
          <w:szCs w:val="26"/>
        </w:rPr>
        <w:t>植被盖度及生态系统类型</w:t>
      </w:r>
      <w:r>
        <w:rPr>
          <w:rFonts w:hint="eastAsia"/>
          <w:sz w:val="26"/>
          <w:szCs w:val="26"/>
        </w:rPr>
        <w:t>等分类或分级体系；其次，对遥感图像数据进行投影转换、几何纠正、直方图匹配等预处理；第三，以项目区遥感影像为信息源，结合项目区的相关资料，建立基于土地利用现状、植被类型、土壤侵蚀强度等的分类分级系统的遥感解译标志，采用人机交互式目视判读对遥感数据进行解译，编制项目区土地利用现状、植被类型、土壤侵蚀强度等生态环境专题图件。第四，采用专业制图软件ArcGIS进行专题图件数字化，并进行分类面积统计。</w:t>
      </w:r>
    </w:p>
    <w:p w14:paraId="195E70D3">
      <w:pPr>
        <w:adjustRightInd w:val="0"/>
        <w:snapToGrid w:val="0"/>
        <w:spacing w:line="480" w:lineRule="exact"/>
        <w:ind w:firstLine="520" w:firstLineChars="200"/>
        <w:rPr>
          <w:sz w:val="26"/>
          <w:szCs w:val="26"/>
        </w:rPr>
      </w:pPr>
      <w:r>
        <w:rPr>
          <w:rFonts w:hint="eastAsia"/>
          <w:sz w:val="26"/>
          <w:szCs w:val="26"/>
        </w:rPr>
        <w:t>①遥感图像处理及其评价</w:t>
      </w:r>
    </w:p>
    <w:p w14:paraId="571B12E9">
      <w:pPr>
        <w:adjustRightInd w:val="0"/>
        <w:snapToGrid w:val="0"/>
        <w:spacing w:line="480" w:lineRule="exact"/>
        <w:ind w:firstLine="520" w:firstLineChars="200"/>
        <w:rPr>
          <w:sz w:val="26"/>
          <w:szCs w:val="26"/>
        </w:rPr>
      </w:pPr>
      <w:r>
        <w:rPr>
          <w:sz w:val="26"/>
          <w:szCs w:val="26"/>
        </w:rPr>
        <w:t>A</w:t>
      </w:r>
      <w:r>
        <w:rPr>
          <w:rFonts w:hint="eastAsia"/>
          <w:sz w:val="26"/>
          <w:szCs w:val="26"/>
        </w:rPr>
        <w:t>、遥感信息源的选取</w:t>
      </w:r>
    </w:p>
    <w:p w14:paraId="44B160B1">
      <w:pPr>
        <w:adjustRightInd w:val="0"/>
        <w:snapToGrid w:val="0"/>
        <w:spacing w:line="480" w:lineRule="exact"/>
        <w:ind w:firstLine="520" w:firstLineChars="200"/>
        <w:rPr>
          <w:sz w:val="26"/>
          <w:szCs w:val="26"/>
        </w:rPr>
      </w:pPr>
      <w:r>
        <w:rPr>
          <w:rFonts w:hint="eastAsia"/>
          <w:sz w:val="26"/>
          <w:szCs w:val="26"/>
        </w:rPr>
        <w:t>以202</w:t>
      </w:r>
      <w:r>
        <w:rPr>
          <w:sz w:val="26"/>
          <w:szCs w:val="26"/>
        </w:rPr>
        <w:t>5</w:t>
      </w:r>
      <w:r>
        <w:rPr>
          <w:rFonts w:hint="eastAsia"/>
          <w:sz w:val="26"/>
          <w:szCs w:val="26"/>
        </w:rPr>
        <w:t>年</w:t>
      </w:r>
      <w:r>
        <w:rPr>
          <w:sz w:val="26"/>
          <w:szCs w:val="26"/>
        </w:rPr>
        <w:t>9</w:t>
      </w:r>
      <w:r>
        <w:rPr>
          <w:rFonts w:hint="eastAsia"/>
          <w:sz w:val="26"/>
          <w:szCs w:val="26"/>
        </w:rPr>
        <w:t>月的</w:t>
      </w:r>
      <w:r>
        <w:rPr>
          <w:sz w:val="26"/>
          <w:szCs w:val="26"/>
        </w:rPr>
        <w:t>Worldview</w:t>
      </w:r>
      <w:bookmarkStart w:id="229" w:name="hmcheck_1e8b5f70d19c40fd9c0581e87470adf9"/>
      <w:r>
        <w:rPr>
          <w:rFonts w:hint="eastAsia"/>
          <w:sz w:val="26"/>
          <w:szCs w:val="26"/>
        </w:rPr>
        <w:t>影像</w:t>
      </w:r>
      <w:bookmarkEnd w:id="229"/>
      <w:r>
        <w:rPr>
          <w:rFonts w:hint="eastAsia"/>
          <w:sz w:val="26"/>
          <w:szCs w:val="26"/>
        </w:rPr>
        <w:t>数据作为基本信息源，经过融合处理后的图像地表信息丰富，有利于生态环境因子遥感解译标志的建立，保证了各生态环境要素解译成果的准确性。</w:t>
      </w:r>
    </w:p>
    <w:p w14:paraId="63D73D4A">
      <w:pPr>
        <w:adjustRightInd w:val="0"/>
        <w:snapToGrid w:val="0"/>
        <w:spacing w:line="480" w:lineRule="exact"/>
        <w:ind w:firstLine="520" w:firstLineChars="200"/>
        <w:rPr>
          <w:sz w:val="26"/>
          <w:szCs w:val="26"/>
        </w:rPr>
      </w:pPr>
      <w:r>
        <w:rPr>
          <w:sz w:val="26"/>
          <w:szCs w:val="26"/>
        </w:rPr>
        <w:t>B</w:t>
      </w:r>
      <w:r>
        <w:rPr>
          <w:rFonts w:hint="eastAsia"/>
          <w:sz w:val="26"/>
          <w:szCs w:val="26"/>
        </w:rPr>
        <w:t>、卫星遥感影像图处理</w:t>
      </w:r>
    </w:p>
    <w:p w14:paraId="53573BAA">
      <w:pPr>
        <w:adjustRightInd w:val="0"/>
        <w:snapToGrid w:val="0"/>
        <w:spacing w:line="480" w:lineRule="exact"/>
        <w:ind w:firstLine="520" w:firstLineChars="200"/>
        <w:rPr>
          <w:sz w:val="26"/>
          <w:szCs w:val="26"/>
        </w:rPr>
      </w:pPr>
      <w:r>
        <w:rPr>
          <w:rFonts w:hint="eastAsia"/>
          <w:sz w:val="26"/>
          <w:szCs w:val="26"/>
        </w:rPr>
        <w:t>在ENVI等遥感图像处理软件的支持下，对影像数据进行了投影转换、几何纠正、直方图匹配等图像预处理。根据土地利用现状、植被类型、土壤侵蚀、</w:t>
      </w:r>
      <w:r>
        <w:rPr>
          <w:sz w:val="26"/>
          <w:szCs w:val="26"/>
        </w:rPr>
        <w:t>植被盖度及生态系统类型</w:t>
      </w:r>
      <w:r>
        <w:rPr>
          <w:rFonts w:hint="eastAsia"/>
          <w:sz w:val="26"/>
          <w:szCs w:val="26"/>
        </w:rPr>
        <w:t>等生态环境要素的地物光谱特征的差异性，选择全波段合成方案，全波段合成图像色彩丰富、层次分明，地类边界明显，有利于生态要素的判读解译。</w:t>
      </w:r>
    </w:p>
    <w:p w14:paraId="5498C54B">
      <w:pPr>
        <w:adjustRightInd w:val="0"/>
        <w:snapToGrid w:val="0"/>
        <w:spacing w:line="480" w:lineRule="exact"/>
        <w:ind w:firstLine="520" w:firstLineChars="200"/>
        <w:rPr>
          <w:sz w:val="26"/>
          <w:szCs w:val="26"/>
        </w:rPr>
      </w:pPr>
      <w:r>
        <w:rPr>
          <w:rFonts w:hint="eastAsia"/>
          <w:sz w:val="26"/>
          <w:szCs w:val="26"/>
        </w:rPr>
        <w:t>②生态环境专题信息遥感解译说明</w:t>
      </w:r>
    </w:p>
    <w:p w14:paraId="03D5B49A">
      <w:pPr>
        <w:adjustRightInd w:val="0"/>
        <w:snapToGrid w:val="0"/>
        <w:spacing w:line="480" w:lineRule="exact"/>
        <w:ind w:firstLine="520" w:firstLineChars="200"/>
        <w:rPr>
          <w:sz w:val="26"/>
          <w:szCs w:val="26"/>
        </w:rPr>
      </w:pPr>
      <w:r>
        <w:rPr>
          <w:rFonts w:hint="eastAsia"/>
          <w:sz w:val="26"/>
          <w:szCs w:val="26"/>
        </w:rPr>
        <w:t>根据遥感解译技术要求，解译内容包括土地利用现状、植被类型、土壤侵蚀强度、</w:t>
      </w:r>
      <w:r>
        <w:rPr>
          <w:sz w:val="26"/>
          <w:szCs w:val="26"/>
        </w:rPr>
        <w:t>植被盖度及生态系统类型</w:t>
      </w:r>
      <w:r>
        <w:rPr>
          <w:rFonts w:hint="eastAsia"/>
          <w:sz w:val="26"/>
          <w:szCs w:val="26"/>
        </w:rPr>
        <w:t>等。</w:t>
      </w:r>
    </w:p>
    <w:p w14:paraId="387E3011">
      <w:pPr>
        <w:pStyle w:val="1381"/>
        <w:ind w:firstLine="522"/>
        <w:rPr>
          <w:b/>
        </w:rPr>
      </w:pPr>
      <w:r>
        <w:rPr>
          <w:rFonts w:hint="eastAsia"/>
          <w:b/>
        </w:rPr>
        <w:t>（3）现场调查</w:t>
      </w:r>
    </w:p>
    <w:p w14:paraId="5C06D7E3">
      <w:pPr>
        <w:snapToGrid w:val="0"/>
        <w:spacing w:line="460" w:lineRule="exact"/>
        <w:ind w:firstLine="520" w:firstLineChars="200"/>
        <w:rPr>
          <w:sz w:val="26"/>
          <w:szCs w:val="26"/>
        </w:rPr>
      </w:pPr>
      <w:r>
        <w:rPr>
          <w:rFonts w:hint="eastAsia"/>
          <w:sz w:val="26"/>
          <w:szCs w:val="26"/>
        </w:rPr>
        <w:t>在资料收集、遥感解译的基础上，于2</w:t>
      </w:r>
      <w:r>
        <w:rPr>
          <w:sz w:val="26"/>
          <w:szCs w:val="26"/>
        </w:rPr>
        <w:t>026</w:t>
      </w:r>
      <w:r>
        <w:rPr>
          <w:rFonts w:hint="eastAsia"/>
          <w:sz w:val="26"/>
          <w:szCs w:val="26"/>
        </w:rPr>
        <w:t>年</w:t>
      </w:r>
      <w:r>
        <w:rPr>
          <w:sz w:val="26"/>
          <w:szCs w:val="26"/>
        </w:rPr>
        <w:t>3</w:t>
      </w:r>
      <w:r>
        <w:rPr>
          <w:rFonts w:hint="eastAsia"/>
          <w:sz w:val="26"/>
          <w:szCs w:val="26"/>
        </w:rPr>
        <w:t>月1</w:t>
      </w:r>
      <w:r>
        <w:rPr>
          <w:sz w:val="26"/>
          <w:szCs w:val="26"/>
        </w:rPr>
        <w:t>5</w:t>
      </w:r>
      <w:r>
        <w:rPr>
          <w:rFonts w:hint="eastAsia"/>
          <w:sz w:val="26"/>
          <w:szCs w:val="26"/>
        </w:rPr>
        <w:t>日开展了野外现状调查。参照《四川植被》、《四川资源动物志》等专著，访问当地居民及现场实地记录，补充区域相关生态环境现状评价。</w:t>
      </w:r>
    </w:p>
    <w:p w14:paraId="0D9505E5">
      <w:pPr>
        <w:pStyle w:val="1068"/>
        <w:rPr>
          <w:rFonts w:cs="Times New Roman"/>
          <w:szCs w:val="26"/>
        </w:rPr>
      </w:pPr>
      <w:r>
        <w:rPr>
          <w:rFonts w:cs="Times New Roman"/>
        </w:rPr>
        <w:t>4.3.2 生态功能区划</w:t>
      </w:r>
      <w:bookmarkEnd w:id="228"/>
    </w:p>
    <w:p w14:paraId="290FE148">
      <w:pPr>
        <w:adjustRightInd w:val="0"/>
        <w:snapToGrid w:val="0"/>
        <w:spacing w:line="460" w:lineRule="exact"/>
        <w:ind w:firstLine="520" w:firstLineChars="200"/>
        <w:jc w:val="left"/>
        <w:rPr>
          <w:bCs/>
          <w:sz w:val="26"/>
          <w:szCs w:val="26"/>
        </w:rPr>
      </w:pPr>
      <w:bookmarkStart w:id="230" w:name="_Toc165810535"/>
      <w:r>
        <w:rPr>
          <w:bCs/>
          <w:sz w:val="26"/>
          <w:szCs w:val="26"/>
        </w:rPr>
        <w:t>根据《四川省生态功能区划》，本项目主要涉及</w:t>
      </w:r>
      <w:r>
        <w:rPr>
          <w:rFonts w:hint="eastAsia"/>
          <w:bCs/>
          <w:sz w:val="26"/>
          <w:szCs w:val="26"/>
        </w:rPr>
        <w:t>“</w:t>
      </w:r>
      <w:r>
        <w:rPr>
          <w:bCs/>
          <w:sz w:val="26"/>
          <w:szCs w:val="26"/>
        </w:rPr>
        <w:t>Ⅰ四川盆地亚热带温润气候生态区</w:t>
      </w:r>
      <w:bookmarkStart w:id="231" w:name="hmcheck_0a4d9d4c1d884d81a0257285ac2ecc18"/>
      <w:r>
        <w:rPr>
          <w:rFonts w:hint="eastAsia"/>
          <w:bCs/>
          <w:sz w:val="26"/>
          <w:szCs w:val="26"/>
          <w:shd w:val="clear" w:color="auto" w:fill="FFFFFF"/>
        </w:rPr>
        <w:t>”</w:t>
      </w:r>
      <w:r>
        <w:rPr>
          <w:bCs/>
          <w:sz w:val="26"/>
          <w:szCs w:val="26"/>
          <w:shd w:val="clear" w:color="auto" w:fill="FFFFFF"/>
        </w:rPr>
        <w:t>、</w:t>
      </w:r>
      <w:r>
        <w:rPr>
          <w:rFonts w:hint="eastAsia"/>
          <w:bCs/>
          <w:sz w:val="26"/>
          <w:szCs w:val="26"/>
          <w:shd w:val="clear" w:color="auto" w:fill="FFFFFF"/>
        </w:rPr>
        <w:t>“</w:t>
      </w:r>
      <w:bookmarkEnd w:id="231"/>
      <w:r>
        <w:rPr>
          <w:bCs/>
          <w:sz w:val="26"/>
          <w:szCs w:val="26"/>
        </w:rPr>
        <w:t>Ⅰ-</w:t>
      </w:r>
      <w:r>
        <w:rPr>
          <w:rFonts w:hint="eastAsia"/>
          <w:bCs/>
          <w:sz w:val="26"/>
          <w:szCs w:val="26"/>
        </w:rPr>
        <w:t>2盆中丘陵农林复合生态亚区</w:t>
      </w:r>
      <w:bookmarkStart w:id="232" w:name="hmcheck_1e4df6756d274af4a7e01d4cc1d25c3b"/>
      <w:r>
        <w:rPr>
          <w:rFonts w:hint="eastAsia"/>
          <w:bCs/>
          <w:sz w:val="26"/>
          <w:szCs w:val="26"/>
          <w:shd w:val="clear" w:color="auto" w:fill="FFFFFF"/>
        </w:rPr>
        <w:t>”</w:t>
      </w:r>
      <w:r>
        <w:rPr>
          <w:bCs/>
          <w:sz w:val="26"/>
          <w:szCs w:val="26"/>
          <w:shd w:val="clear" w:color="auto" w:fill="FFFFFF"/>
        </w:rPr>
        <w:t>、</w:t>
      </w:r>
      <w:r>
        <w:rPr>
          <w:rFonts w:hint="eastAsia"/>
          <w:bCs/>
          <w:sz w:val="26"/>
          <w:szCs w:val="26"/>
          <w:shd w:val="clear" w:color="auto" w:fill="FFFFFF"/>
        </w:rPr>
        <w:t>“</w:t>
      </w:r>
      <w:bookmarkEnd w:id="232"/>
      <w:r>
        <w:rPr>
          <w:bCs/>
          <w:sz w:val="26"/>
          <w:szCs w:val="26"/>
        </w:rPr>
        <w:t>Ⅰ-</w:t>
      </w:r>
      <w:r>
        <w:rPr>
          <w:rFonts w:hint="eastAsia"/>
          <w:bCs/>
          <w:sz w:val="26"/>
          <w:szCs w:val="26"/>
        </w:rPr>
        <w:t>2</w:t>
      </w:r>
      <w:r>
        <w:rPr>
          <w:bCs/>
          <w:sz w:val="26"/>
          <w:szCs w:val="26"/>
        </w:rPr>
        <w:t>-</w:t>
      </w:r>
      <w:r>
        <w:rPr>
          <w:rFonts w:hint="eastAsia"/>
          <w:bCs/>
          <w:sz w:val="26"/>
          <w:szCs w:val="26"/>
        </w:rPr>
        <w:t>2渠江农业生态功能区”</w:t>
      </w:r>
      <w:r>
        <w:rPr>
          <w:bCs/>
          <w:sz w:val="26"/>
          <w:szCs w:val="26"/>
        </w:rPr>
        <w:t>。本项目所在生态功能区三级区特征具体情况见</w:t>
      </w:r>
      <w:r>
        <w:rPr>
          <w:rFonts w:hint="eastAsia"/>
          <w:bCs/>
          <w:sz w:val="26"/>
          <w:szCs w:val="26"/>
        </w:rPr>
        <w:t>下表</w:t>
      </w:r>
      <w:r>
        <w:rPr>
          <w:bCs/>
          <w:sz w:val="26"/>
          <w:szCs w:val="26"/>
        </w:rPr>
        <w:t>。</w:t>
      </w:r>
    </w:p>
    <w:p w14:paraId="61425EBF">
      <w:pPr>
        <w:pStyle w:val="1379"/>
        <w:ind w:firstLine="440"/>
      </w:pPr>
    </w:p>
    <w:p w14:paraId="4A39AC30">
      <w:pPr>
        <w:adjustRightInd w:val="0"/>
        <w:snapToGrid w:val="0"/>
        <w:jc w:val="center"/>
        <w:rPr>
          <w:bCs/>
          <w:sz w:val="26"/>
          <w:szCs w:val="26"/>
        </w:rPr>
      </w:pPr>
      <w:r>
        <w:rPr>
          <w:rFonts w:hint="eastAsia"/>
          <w:bCs/>
          <w:sz w:val="26"/>
          <w:szCs w:val="26"/>
        </w:rPr>
        <w:t>表</w:t>
      </w:r>
      <w:r>
        <w:rPr>
          <w:bCs/>
          <w:sz w:val="26"/>
          <w:szCs w:val="26"/>
        </w:rPr>
        <w:t>4.3</w:t>
      </w:r>
      <w:r>
        <w:rPr>
          <w:rFonts w:hint="eastAsia"/>
          <w:bCs/>
          <w:sz w:val="26"/>
          <w:szCs w:val="26"/>
        </w:rPr>
        <w:t>-1</w:t>
      </w:r>
      <w:r>
        <w:rPr>
          <w:bCs/>
          <w:sz w:val="26"/>
          <w:szCs w:val="26"/>
        </w:rPr>
        <w:t xml:space="preserve">  生态功能区三级区特征一览表</w:t>
      </w:r>
    </w:p>
    <w:tbl>
      <w:tblPr>
        <w:tblStyle w:val="88"/>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59"/>
        <w:gridCol w:w="495"/>
        <w:gridCol w:w="689"/>
        <w:gridCol w:w="2029"/>
        <w:gridCol w:w="1098"/>
        <w:gridCol w:w="717"/>
        <w:gridCol w:w="767"/>
        <w:gridCol w:w="2267"/>
      </w:tblGrid>
      <w:tr w14:paraId="0B52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459" w:type="dxa"/>
            <w:vAlign w:val="center"/>
          </w:tcPr>
          <w:p w14:paraId="218F8F5F">
            <w:pPr>
              <w:spacing w:line="0" w:lineRule="atLeast"/>
              <w:jc w:val="center"/>
              <w:rPr>
                <w:sz w:val="22"/>
                <w:szCs w:val="22"/>
              </w:rPr>
            </w:pPr>
            <w:r>
              <w:rPr>
                <w:sz w:val="22"/>
                <w:szCs w:val="22"/>
              </w:rPr>
              <w:t>生态区</w:t>
            </w:r>
          </w:p>
        </w:tc>
        <w:tc>
          <w:tcPr>
            <w:tcW w:w="495" w:type="dxa"/>
            <w:vAlign w:val="center"/>
          </w:tcPr>
          <w:p w14:paraId="1B7BF280">
            <w:pPr>
              <w:spacing w:line="0" w:lineRule="atLeast"/>
              <w:jc w:val="center"/>
              <w:rPr>
                <w:sz w:val="22"/>
                <w:szCs w:val="22"/>
              </w:rPr>
            </w:pPr>
            <w:r>
              <w:rPr>
                <w:sz w:val="22"/>
                <w:szCs w:val="22"/>
              </w:rPr>
              <w:t>生态亚区</w:t>
            </w:r>
          </w:p>
        </w:tc>
        <w:tc>
          <w:tcPr>
            <w:tcW w:w="689" w:type="dxa"/>
            <w:vAlign w:val="center"/>
          </w:tcPr>
          <w:p w14:paraId="7D12DACF">
            <w:pPr>
              <w:spacing w:line="0" w:lineRule="atLeast"/>
              <w:jc w:val="center"/>
              <w:rPr>
                <w:sz w:val="22"/>
                <w:szCs w:val="22"/>
              </w:rPr>
            </w:pPr>
            <w:r>
              <w:rPr>
                <w:sz w:val="22"/>
                <w:szCs w:val="22"/>
              </w:rPr>
              <w:t>生态功能区</w:t>
            </w:r>
          </w:p>
        </w:tc>
        <w:tc>
          <w:tcPr>
            <w:tcW w:w="2029" w:type="dxa"/>
            <w:vAlign w:val="center"/>
          </w:tcPr>
          <w:p w14:paraId="57612DE2">
            <w:pPr>
              <w:spacing w:line="0" w:lineRule="atLeast"/>
              <w:jc w:val="center"/>
              <w:rPr>
                <w:sz w:val="22"/>
                <w:szCs w:val="22"/>
              </w:rPr>
            </w:pPr>
            <w:r>
              <w:rPr>
                <w:sz w:val="22"/>
                <w:szCs w:val="22"/>
              </w:rPr>
              <w:t>主要生态特征</w:t>
            </w:r>
          </w:p>
        </w:tc>
        <w:tc>
          <w:tcPr>
            <w:tcW w:w="1098" w:type="dxa"/>
            <w:vAlign w:val="center"/>
          </w:tcPr>
          <w:p w14:paraId="462A2C84">
            <w:pPr>
              <w:spacing w:line="0" w:lineRule="atLeast"/>
              <w:jc w:val="center"/>
              <w:rPr>
                <w:sz w:val="22"/>
                <w:szCs w:val="22"/>
              </w:rPr>
            </w:pPr>
            <w:r>
              <w:rPr>
                <w:sz w:val="22"/>
                <w:szCs w:val="22"/>
              </w:rPr>
              <w:t>主要生态问题</w:t>
            </w:r>
          </w:p>
        </w:tc>
        <w:tc>
          <w:tcPr>
            <w:tcW w:w="717" w:type="dxa"/>
            <w:vAlign w:val="center"/>
          </w:tcPr>
          <w:p w14:paraId="5AFA8FA1">
            <w:pPr>
              <w:spacing w:line="0" w:lineRule="atLeast"/>
              <w:jc w:val="center"/>
              <w:rPr>
                <w:spacing w:val="4"/>
                <w:sz w:val="22"/>
                <w:szCs w:val="22"/>
              </w:rPr>
            </w:pPr>
            <w:r>
              <w:rPr>
                <w:rFonts w:hint="eastAsia"/>
                <w:spacing w:val="4"/>
                <w:sz w:val="22"/>
                <w:szCs w:val="22"/>
              </w:rPr>
              <w:t>生态环境敏感性</w:t>
            </w:r>
          </w:p>
        </w:tc>
        <w:tc>
          <w:tcPr>
            <w:tcW w:w="767" w:type="dxa"/>
            <w:vAlign w:val="center"/>
          </w:tcPr>
          <w:p w14:paraId="5964FEDC">
            <w:pPr>
              <w:spacing w:line="0" w:lineRule="atLeast"/>
              <w:jc w:val="center"/>
              <w:rPr>
                <w:spacing w:val="4"/>
                <w:sz w:val="22"/>
                <w:szCs w:val="22"/>
              </w:rPr>
            </w:pPr>
            <w:r>
              <w:rPr>
                <w:spacing w:val="4"/>
                <w:sz w:val="22"/>
                <w:szCs w:val="22"/>
              </w:rPr>
              <w:t>主要生态服务功能</w:t>
            </w:r>
          </w:p>
        </w:tc>
        <w:tc>
          <w:tcPr>
            <w:tcW w:w="2267" w:type="dxa"/>
            <w:vAlign w:val="center"/>
          </w:tcPr>
          <w:p w14:paraId="129222EE">
            <w:pPr>
              <w:spacing w:line="0" w:lineRule="atLeast"/>
              <w:jc w:val="center"/>
              <w:rPr>
                <w:sz w:val="22"/>
                <w:szCs w:val="22"/>
              </w:rPr>
            </w:pPr>
            <w:r>
              <w:rPr>
                <w:sz w:val="22"/>
                <w:szCs w:val="22"/>
              </w:rPr>
              <w:t>生态保护与发展方向</w:t>
            </w:r>
          </w:p>
        </w:tc>
      </w:tr>
      <w:tr w14:paraId="2A4B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459" w:type="dxa"/>
            <w:vAlign w:val="center"/>
          </w:tcPr>
          <w:p w14:paraId="7E8CCDAF">
            <w:pPr>
              <w:spacing w:line="0" w:lineRule="atLeast"/>
              <w:jc w:val="center"/>
              <w:rPr>
                <w:bCs/>
                <w:sz w:val="22"/>
                <w:szCs w:val="26"/>
              </w:rPr>
            </w:pPr>
            <w:r>
              <w:rPr>
                <w:bCs/>
                <w:sz w:val="22"/>
                <w:szCs w:val="26"/>
              </w:rPr>
              <w:t>Ⅰ</w:t>
            </w:r>
          </w:p>
          <w:p w14:paraId="7ABBB89E">
            <w:pPr>
              <w:spacing w:line="0" w:lineRule="atLeast"/>
              <w:jc w:val="center"/>
              <w:rPr>
                <w:sz w:val="22"/>
                <w:szCs w:val="22"/>
              </w:rPr>
            </w:pPr>
            <w:r>
              <w:rPr>
                <w:bCs/>
                <w:sz w:val="22"/>
                <w:szCs w:val="26"/>
              </w:rPr>
              <w:t>四川盆地亚热带温润气候生态区</w:t>
            </w:r>
          </w:p>
        </w:tc>
        <w:tc>
          <w:tcPr>
            <w:tcW w:w="495" w:type="dxa"/>
            <w:vAlign w:val="center"/>
          </w:tcPr>
          <w:p w14:paraId="0EA683F5">
            <w:pPr>
              <w:spacing w:line="0" w:lineRule="atLeast"/>
              <w:jc w:val="center"/>
              <w:rPr>
                <w:sz w:val="22"/>
                <w:szCs w:val="22"/>
              </w:rPr>
            </w:pPr>
            <w:r>
              <w:rPr>
                <w:sz w:val="22"/>
                <w:szCs w:val="22"/>
              </w:rPr>
              <w:t>Ⅰ-2</w:t>
            </w:r>
          </w:p>
          <w:p w14:paraId="2520F98A">
            <w:pPr>
              <w:spacing w:line="0" w:lineRule="atLeast"/>
              <w:jc w:val="center"/>
              <w:rPr>
                <w:sz w:val="22"/>
                <w:szCs w:val="22"/>
              </w:rPr>
            </w:pPr>
            <w:r>
              <w:rPr>
                <w:sz w:val="22"/>
                <w:szCs w:val="22"/>
              </w:rPr>
              <w:t>盆中丘陵农林复合生态亚区</w:t>
            </w:r>
          </w:p>
        </w:tc>
        <w:tc>
          <w:tcPr>
            <w:tcW w:w="689" w:type="dxa"/>
            <w:vAlign w:val="center"/>
          </w:tcPr>
          <w:p w14:paraId="7D11EB10">
            <w:pPr>
              <w:spacing w:line="0" w:lineRule="atLeast"/>
              <w:jc w:val="center"/>
              <w:rPr>
                <w:sz w:val="22"/>
                <w:szCs w:val="22"/>
              </w:rPr>
            </w:pPr>
            <w:r>
              <w:rPr>
                <w:sz w:val="22"/>
                <w:szCs w:val="22"/>
              </w:rPr>
              <w:t>Ⅰ-2-2</w:t>
            </w:r>
          </w:p>
          <w:p w14:paraId="3373AD0A">
            <w:pPr>
              <w:spacing w:line="0" w:lineRule="atLeast"/>
              <w:jc w:val="center"/>
              <w:rPr>
                <w:sz w:val="22"/>
                <w:szCs w:val="22"/>
              </w:rPr>
            </w:pPr>
            <w:r>
              <w:rPr>
                <w:sz w:val="22"/>
                <w:szCs w:val="22"/>
              </w:rPr>
              <w:t>渠江农业生态功能区</w:t>
            </w:r>
          </w:p>
        </w:tc>
        <w:tc>
          <w:tcPr>
            <w:tcW w:w="2029" w:type="dxa"/>
            <w:vAlign w:val="center"/>
          </w:tcPr>
          <w:p w14:paraId="77C22595">
            <w:pPr>
              <w:spacing w:line="0" w:lineRule="atLeast"/>
              <w:rPr>
                <w:sz w:val="22"/>
                <w:szCs w:val="22"/>
              </w:rPr>
            </w:pPr>
            <w:r>
              <w:rPr>
                <w:rFonts w:hint="eastAsia"/>
                <w:sz w:val="22"/>
                <w:szCs w:val="22"/>
              </w:rPr>
              <w:t>低山-丘陵-河谷阶地地貌。年均气温16.7~17.9℃，&gt;10℃活动积温为5287~5827.5℃，年均降水量1039~1194毫米。河流属渠江水系。森林植被主要为人工或次生马尾松、柏木林，次为杉木林、竹林。</w:t>
            </w:r>
          </w:p>
        </w:tc>
        <w:tc>
          <w:tcPr>
            <w:tcW w:w="1098" w:type="dxa"/>
            <w:vAlign w:val="center"/>
          </w:tcPr>
          <w:p w14:paraId="6E28B3DF">
            <w:pPr>
              <w:spacing w:line="0" w:lineRule="atLeast"/>
              <w:rPr>
                <w:sz w:val="22"/>
                <w:szCs w:val="22"/>
              </w:rPr>
            </w:pPr>
            <w:r>
              <w:rPr>
                <w:rFonts w:hint="eastAsia"/>
                <w:sz w:val="22"/>
                <w:szCs w:val="22"/>
              </w:rPr>
              <w:t>土地垦殖过度，农</w:t>
            </w:r>
          </w:p>
          <w:p w14:paraId="2A895DD6">
            <w:pPr>
              <w:spacing w:line="0" w:lineRule="atLeast"/>
              <w:rPr>
                <w:sz w:val="22"/>
                <w:szCs w:val="22"/>
              </w:rPr>
            </w:pPr>
            <w:r>
              <w:rPr>
                <w:rFonts w:hint="eastAsia"/>
                <w:sz w:val="22"/>
                <w:szCs w:val="22"/>
              </w:rPr>
              <w:t>村面源污染及城镇污染呈上升趋势，森林覆盖率较低，水土流失面广。河流支流污染较严重。早灾和洪涝灾害频繁发生。</w:t>
            </w:r>
          </w:p>
        </w:tc>
        <w:tc>
          <w:tcPr>
            <w:tcW w:w="717" w:type="dxa"/>
            <w:vAlign w:val="center"/>
          </w:tcPr>
          <w:p w14:paraId="72E19CE7">
            <w:pPr>
              <w:spacing w:line="0" w:lineRule="atLeast"/>
              <w:jc w:val="left"/>
              <w:rPr>
                <w:spacing w:val="4"/>
                <w:sz w:val="22"/>
                <w:szCs w:val="22"/>
              </w:rPr>
            </w:pPr>
            <w:r>
              <w:rPr>
                <w:rFonts w:hint="eastAsia"/>
                <w:sz w:val="22"/>
                <w:szCs w:val="22"/>
              </w:rPr>
              <w:t>土壤侵蚀中度敏感，水环境汚染高度敏感，酸雨轻度敏感。</w:t>
            </w:r>
          </w:p>
        </w:tc>
        <w:tc>
          <w:tcPr>
            <w:tcW w:w="767" w:type="dxa"/>
            <w:vAlign w:val="center"/>
          </w:tcPr>
          <w:p w14:paraId="544D32AB">
            <w:pPr>
              <w:spacing w:line="0" w:lineRule="atLeast"/>
              <w:jc w:val="center"/>
              <w:rPr>
                <w:spacing w:val="4"/>
                <w:sz w:val="22"/>
                <w:szCs w:val="22"/>
              </w:rPr>
            </w:pPr>
            <w:r>
              <w:rPr>
                <w:rFonts w:hint="eastAsia"/>
                <w:sz w:val="22"/>
                <w:szCs w:val="22"/>
              </w:rPr>
              <w:t>农产品提供功能，人居保障功能</w:t>
            </w:r>
          </w:p>
        </w:tc>
        <w:tc>
          <w:tcPr>
            <w:tcW w:w="2267" w:type="dxa"/>
            <w:vAlign w:val="center"/>
          </w:tcPr>
          <w:p w14:paraId="309DA190">
            <w:pPr>
              <w:spacing w:line="0" w:lineRule="atLeast"/>
              <w:jc w:val="center"/>
              <w:rPr>
                <w:sz w:val="22"/>
                <w:szCs w:val="22"/>
              </w:rPr>
            </w:pPr>
            <w:r>
              <w:rPr>
                <w:rFonts w:hint="eastAsia"/>
                <w:sz w:val="22"/>
                <w:szCs w:val="22"/>
              </w:rPr>
              <w:t>发挥区域中心城市辐射作用，优化人居环境。巩固长江上游防护林成果。完善水利和水保设施，保护耕地。发展生态农业、节水型农业。建设以农产品为主要原料的轻工业基地和以天然气为主的基础原料生产基地。大力发展旅游业。大力发展沼气等新型生物质能。禁止建设污染转移型项目，防止产业开发对生态环境的破坏或不利影响：防治水环境污染，保障饮用水安全。</w:t>
            </w:r>
          </w:p>
        </w:tc>
      </w:tr>
    </w:tbl>
    <w:p w14:paraId="3D63AA86">
      <w:pPr>
        <w:pStyle w:val="1379"/>
        <w:ind w:firstLine="440"/>
      </w:pPr>
    </w:p>
    <w:p w14:paraId="339198EB">
      <w:pPr>
        <w:spacing w:line="480" w:lineRule="exact"/>
        <w:ind w:firstLine="520" w:firstLineChars="200"/>
      </w:pPr>
      <w:r>
        <w:rPr>
          <w:sz w:val="26"/>
          <w:szCs w:val="26"/>
        </w:rPr>
        <w:t>本项目为天然气</w:t>
      </w:r>
      <w:r>
        <w:rPr>
          <w:rFonts w:hint="eastAsia"/>
          <w:sz w:val="26"/>
          <w:szCs w:val="26"/>
        </w:rPr>
        <w:t>试采</w:t>
      </w:r>
      <w:r>
        <w:rPr>
          <w:sz w:val="26"/>
          <w:szCs w:val="26"/>
        </w:rPr>
        <w:t>项目</w:t>
      </w:r>
      <w:r>
        <w:rPr>
          <w:rFonts w:hint="eastAsia"/>
          <w:sz w:val="26"/>
          <w:szCs w:val="26"/>
        </w:rPr>
        <w:t>，</w:t>
      </w:r>
      <w:r>
        <w:rPr>
          <w:sz w:val="26"/>
          <w:szCs w:val="26"/>
        </w:rPr>
        <w:t>项目建设采取的各项环保措施满足项目各项环境保护目标长期稳定达标要求以及区域生态保护要求，天然气清洁能源的开</w:t>
      </w:r>
      <w:r>
        <w:rPr>
          <w:rFonts w:hint="eastAsia"/>
          <w:sz w:val="26"/>
          <w:szCs w:val="26"/>
        </w:rPr>
        <w:t>发</w:t>
      </w:r>
      <w:r>
        <w:rPr>
          <w:sz w:val="26"/>
          <w:szCs w:val="26"/>
        </w:rPr>
        <w:t>和利用，区域能源结构得到优化，区域环境质量将得以改善</w:t>
      </w:r>
      <w:r>
        <w:rPr>
          <w:rFonts w:hint="eastAsia"/>
          <w:sz w:val="26"/>
          <w:szCs w:val="26"/>
        </w:rPr>
        <w:t>，满足</w:t>
      </w:r>
      <w:bookmarkStart w:id="233" w:name="hmcheck_95f7ece58a00429b996fb71f53e3e60f"/>
      <w:r>
        <w:rPr>
          <w:rFonts w:hint="eastAsia"/>
          <w:sz w:val="26"/>
          <w:shd w:val="clear" w:color="auto" w:fill="FFFFFF"/>
        </w:rPr>
        <w:t>《</w:t>
      </w:r>
      <w:bookmarkEnd w:id="233"/>
      <w:r>
        <w:rPr>
          <w:bCs/>
          <w:sz w:val="26"/>
          <w:szCs w:val="26"/>
        </w:rPr>
        <w:t>四川省生态功能</w:t>
      </w:r>
      <w:bookmarkStart w:id="234" w:name="hmcheck_2cd1d87d3f2548a784c9fca63e520c2c"/>
      <w:r>
        <w:rPr>
          <w:bCs/>
          <w:sz w:val="26"/>
          <w:szCs w:val="26"/>
          <w:shd w:val="clear" w:color="auto" w:fill="FFFFFF"/>
        </w:rPr>
        <w:t>区</w:t>
      </w:r>
      <w:bookmarkEnd w:id="234"/>
      <w:r>
        <w:rPr>
          <w:bCs/>
          <w:sz w:val="26"/>
          <w:szCs w:val="26"/>
        </w:rPr>
        <w:t>划》</w:t>
      </w:r>
      <w:r>
        <w:rPr>
          <w:rFonts w:hint="eastAsia"/>
          <w:sz w:val="26"/>
        </w:rPr>
        <w:t>提出的管控要求。</w:t>
      </w:r>
    </w:p>
    <w:p w14:paraId="73A438B9">
      <w:pPr>
        <w:pStyle w:val="1068"/>
        <w:rPr>
          <w:rFonts w:cs="Times New Roman"/>
        </w:rPr>
      </w:pPr>
      <w:r>
        <w:rPr>
          <w:rFonts w:cs="Times New Roman"/>
        </w:rPr>
        <w:t>4.3.3 土地利用现状</w:t>
      </w:r>
      <w:bookmarkEnd w:id="230"/>
    </w:p>
    <w:p w14:paraId="7E210ABD">
      <w:pPr>
        <w:spacing w:line="480" w:lineRule="exact"/>
        <w:ind w:firstLine="520" w:firstLineChars="200"/>
        <w:rPr>
          <w:sz w:val="26"/>
        </w:rPr>
      </w:pPr>
      <w:r>
        <w:rPr>
          <w:sz w:val="26"/>
        </w:rPr>
        <w:t>本次评价以2025年9</w:t>
      </w:r>
      <w:r>
        <w:rPr>
          <w:rFonts w:hint="eastAsia"/>
          <w:sz w:val="26"/>
        </w:rPr>
        <w:t>月</w:t>
      </w:r>
      <w:r>
        <w:rPr>
          <w:sz w:val="26"/>
        </w:rPr>
        <w:t>Worldview卫星影像数据作为信息源，提取评价</w:t>
      </w:r>
      <w:r>
        <w:rPr>
          <w:rFonts w:hint="eastAsia"/>
          <w:sz w:val="26"/>
        </w:rPr>
        <w:t>区</w:t>
      </w:r>
      <w:r>
        <w:rPr>
          <w:sz w:val="26"/>
        </w:rPr>
        <w:t>土地利用信息，数据质量满</w:t>
      </w:r>
      <w:r>
        <w:rPr>
          <w:rFonts w:hint="eastAsia"/>
          <w:sz w:val="26"/>
        </w:rPr>
        <w:t>足</w:t>
      </w:r>
      <w:r>
        <w:rPr>
          <w:sz w:val="26"/>
        </w:rPr>
        <w:t>精度要求。根据最新卫星遥感影像图片解译结果，结合现场调查，采用《土地利用现状分类》（GB/T 21010-2017）对土地利用类型进行分类，本项目区评价范围的土地利用现状情况如下</w:t>
      </w:r>
      <w:r>
        <w:rPr>
          <w:rFonts w:hint="eastAsia"/>
          <w:sz w:val="26"/>
        </w:rPr>
        <w:t>表所示</w:t>
      </w:r>
      <w:r>
        <w:rPr>
          <w:sz w:val="26"/>
        </w:rPr>
        <w:t>。</w:t>
      </w:r>
    </w:p>
    <w:p w14:paraId="54A5E67A">
      <w:pPr>
        <w:pStyle w:val="1379"/>
        <w:ind w:firstLine="440"/>
      </w:pPr>
    </w:p>
    <w:p w14:paraId="7B87ACDC">
      <w:pPr>
        <w:pStyle w:val="1065"/>
      </w:pPr>
      <w:r>
        <w:t>表4.3-2  评价区土地利用类型的面积和比例统计表</w:t>
      </w:r>
      <w:bookmarkStart w:id="235" w:name="_Toc535830619"/>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6"/>
        <w:gridCol w:w="2386"/>
        <w:gridCol w:w="1632"/>
        <w:gridCol w:w="1363"/>
        <w:gridCol w:w="938"/>
      </w:tblGrid>
      <w:tr w14:paraId="193B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18" w:type="dxa"/>
            <w:gridSpan w:val="2"/>
            <w:noWrap/>
            <w:vAlign w:val="center"/>
          </w:tcPr>
          <w:p w14:paraId="1EFF6C42">
            <w:pPr>
              <w:pStyle w:val="687"/>
            </w:pPr>
            <w:r>
              <w:t>土地利用分类</w:t>
            </w:r>
          </w:p>
        </w:tc>
        <w:tc>
          <w:tcPr>
            <w:tcW w:w="1632" w:type="dxa"/>
            <w:vMerge w:val="restart"/>
            <w:noWrap/>
            <w:vAlign w:val="center"/>
          </w:tcPr>
          <w:p w14:paraId="47E8EF07">
            <w:pPr>
              <w:pStyle w:val="687"/>
            </w:pPr>
            <w:r>
              <w:t>面积（公顷）</w:t>
            </w:r>
          </w:p>
        </w:tc>
        <w:tc>
          <w:tcPr>
            <w:tcW w:w="1362" w:type="dxa"/>
            <w:vMerge w:val="restart"/>
            <w:vAlign w:val="center"/>
          </w:tcPr>
          <w:p w14:paraId="4E26AB38">
            <w:pPr>
              <w:pStyle w:val="687"/>
            </w:pPr>
            <w:r>
              <w:t>占比（%）</w:t>
            </w:r>
          </w:p>
        </w:tc>
        <w:tc>
          <w:tcPr>
            <w:tcW w:w="934" w:type="dxa"/>
            <w:vMerge w:val="restart"/>
            <w:vAlign w:val="center"/>
          </w:tcPr>
          <w:p w14:paraId="3C836EB7">
            <w:pPr>
              <w:pStyle w:val="687"/>
            </w:pPr>
            <w:r>
              <w:rPr>
                <w:rFonts w:hint="eastAsia"/>
              </w:rPr>
              <w:t>斑块数</w:t>
            </w:r>
          </w:p>
        </w:tc>
      </w:tr>
      <w:tr w14:paraId="154C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9" w:type="dxa"/>
            <w:noWrap/>
            <w:vAlign w:val="center"/>
          </w:tcPr>
          <w:p w14:paraId="12323432">
            <w:pPr>
              <w:pStyle w:val="687"/>
            </w:pPr>
            <w:r>
              <w:t>一级类</w:t>
            </w:r>
          </w:p>
        </w:tc>
        <w:tc>
          <w:tcPr>
            <w:tcW w:w="2389" w:type="dxa"/>
            <w:noWrap/>
            <w:vAlign w:val="center"/>
          </w:tcPr>
          <w:p w14:paraId="2B0914F8">
            <w:pPr>
              <w:pStyle w:val="687"/>
            </w:pPr>
            <w:r>
              <w:t>二级类</w:t>
            </w:r>
          </w:p>
        </w:tc>
        <w:tc>
          <w:tcPr>
            <w:tcW w:w="1632" w:type="dxa"/>
            <w:vMerge w:val="continue"/>
            <w:vAlign w:val="center"/>
          </w:tcPr>
          <w:p w14:paraId="1676276B">
            <w:pPr>
              <w:pStyle w:val="687"/>
            </w:pPr>
          </w:p>
        </w:tc>
        <w:tc>
          <w:tcPr>
            <w:tcW w:w="1362" w:type="dxa"/>
            <w:vMerge w:val="continue"/>
            <w:vAlign w:val="center"/>
          </w:tcPr>
          <w:p w14:paraId="4DD2E59F">
            <w:pPr>
              <w:pStyle w:val="687"/>
            </w:pPr>
          </w:p>
        </w:tc>
        <w:tc>
          <w:tcPr>
            <w:tcW w:w="934" w:type="dxa"/>
            <w:vMerge w:val="continue"/>
            <w:vAlign w:val="center"/>
          </w:tcPr>
          <w:p w14:paraId="2EBFF5FB">
            <w:pPr>
              <w:pStyle w:val="687"/>
            </w:pPr>
          </w:p>
        </w:tc>
      </w:tr>
      <w:tr w14:paraId="5779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9" w:type="dxa"/>
            <w:noWrap/>
            <w:vAlign w:val="center"/>
          </w:tcPr>
          <w:p w14:paraId="2E8913AD">
            <w:pPr>
              <w:pStyle w:val="687"/>
            </w:pPr>
            <w:r>
              <w:t>01耕地</w:t>
            </w:r>
          </w:p>
        </w:tc>
        <w:tc>
          <w:tcPr>
            <w:tcW w:w="2389" w:type="dxa"/>
            <w:noWrap/>
            <w:vAlign w:val="center"/>
          </w:tcPr>
          <w:p w14:paraId="5BC4A3DF">
            <w:pPr>
              <w:pStyle w:val="687"/>
            </w:pPr>
            <w:r>
              <w:rPr>
                <w:rFonts w:hint="eastAsia"/>
              </w:rPr>
              <w:t>010</w:t>
            </w:r>
            <w:r>
              <w:t>3</w:t>
            </w:r>
            <w:r>
              <w:rPr>
                <w:rFonts w:hint="eastAsia"/>
              </w:rPr>
              <w:t>旱地</w:t>
            </w:r>
          </w:p>
        </w:tc>
        <w:tc>
          <w:tcPr>
            <w:tcW w:w="1632" w:type="dxa"/>
            <w:noWrap/>
            <w:vAlign w:val="center"/>
          </w:tcPr>
          <w:p w14:paraId="21CF7B8E">
            <w:pPr>
              <w:pStyle w:val="687"/>
            </w:pPr>
            <w:r>
              <w:t>2.47</w:t>
            </w:r>
          </w:p>
        </w:tc>
        <w:tc>
          <w:tcPr>
            <w:tcW w:w="1362" w:type="dxa"/>
            <w:vAlign w:val="center"/>
          </w:tcPr>
          <w:p w14:paraId="2FC3AC63">
            <w:pPr>
              <w:pStyle w:val="687"/>
            </w:pPr>
            <w:r>
              <w:t>85.47</w:t>
            </w:r>
          </w:p>
        </w:tc>
        <w:tc>
          <w:tcPr>
            <w:tcW w:w="934" w:type="dxa"/>
            <w:vAlign w:val="center"/>
          </w:tcPr>
          <w:p w14:paraId="00B9157B">
            <w:pPr>
              <w:pStyle w:val="687"/>
            </w:pPr>
            <w:r>
              <w:t>16</w:t>
            </w:r>
          </w:p>
        </w:tc>
      </w:tr>
      <w:tr w14:paraId="7A19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9" w:type="dxa"/>
            <w:noWrap/>
            <w:vAlign w:val="center"/>
          </w:tcPr>
          <w:p w14:paraId="7349C432">
            <w:pPr>
              <w:pStyle w:val="687"/>
            </w:pPr>
            <w:r>
              <w:t>03林地</w:t>
            </w:r>
          </w:p>
        </w:tc>
        <w:tc>
          <w:tcPr>
            <w:tcW w:w="2389" w:type="dxa"/>
            <w:noWrap/>
            <w:vAlign w:val="center"/>
          </w:tcPr>
          <w:p w14:paraId="6FF8B5A9">
            <w:pPr>
              <w:pStyle w:val="687"/>
            </w:pPr>
            <w:r>
              <w:t>0301乔木林地</w:t>
            </w:r>
          </w:p>
        </w:tc>
        <w:tc>
          <w:tcPr>
            <w:tcW w:w="1632" w:type="dxa"/>
            <w:noWrap/>
            <w:vAlign w:val="center"/>
          </w:tcPr>
          <w:p w14:paraId="335E0C35">
            <w:pPr>
              <w:pStyle w:val="687"/>
            </w:pPr>
            <w:r>
              <w:t>0.29</w:t>
            </w:r>
          </w:p>
        </w:tc>
        <w:tc>
          <w:tcPr>
            <w:tcW w:w="1362" w:type="dxa"/>
            <w:vAlign w:val="center"/>
          </w:tcPr>
          <w:p w14:paraId="3A0711D0">
            <w:pPr>
              <w:pStyle w:val="687"/>
            </w:pPr>
            <w:r>
              <w:t>10.38</w:t>
            </w:r>
          </w:p>
        </w:tc>
        <w:tc>
          <w:tcPr>
            <w:tcW w:w="934" w:type="dxa"/>
            <w:vAlign w:val="center"/>
          </w:tcPr>
          <w:p w14:paraId="3C433A1F">
            <w:pPr>
              <w:pStyle w:val="687"/>
            </w:pPr>
            <w:r>
              <w:t>6</w:t>
            </w:r>
          </w:p>
        </w:tc>
      </w:tr>
      <w:tr w14:paraId="6F0B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9" w:type="dxa"/>
            <w:noWrap/>
            <w:vAlign w:val="center"/>
          </w:tcPr>
          <w:p w14:paraId="0C0DC2CE">
            <w:pPr>
              <w:pStyle w:val="687"/>
            </w:pPr>
            <w:r>
              <w:rPr>
                <w:rFonts w:hint="eastAsia"/>
              </w:rPr>
              <w:t>10交通运输用地</w:t>
            </w:r>
          </w:p>
        </w:tc>
        <w:tc>
          <w:tcPr>
            <w:tcW w:w="2389" w:type="dxa"/>
            <w:noWrap/>
            <w:vAlign w:val="center"/>
          </w:tcPr>
          <w:p w14:paraId="06F710BC">
            <w:pPr>
              <w:pStyle w:val="687"/>
            </w:pPr>
            <w:r>
              <w:rPr>
                <w:rFonts w:hint="eastAsia"/>
              </w:rPr>
              <w:t>1006农村道路</w:t>
            </w:r>
          </w:p>
        </w:tc>
        <w:tc>
          <w:tcPr>
            <w:tcW w:w="1632" w:type="dxa"/>
            <w:noWrap/>
            <w:vAlign w:val="center"/>
          </w:tcPr>
          <w:p w14:paraId="4F49C31A">
            <w:pPr>
              <w:pStyle w:val="687"/>
            </w:pPr>
            <w:r>
              <w:rPr>
                <w:rFonts w:hint="eastAsia"/>
              </w:rPr>
              <w:t>0.09</w:t>
            </w:r>
          </w:p>
        </w:tc>
        <w:tc>
          <w:tcPr>
            <w:tcW w:w="1362" w:type="dxa"/>
            <w:vAlign w:val="center"/>
          </w:tcPr>
          <w:p w14:paraId="5BCEAF3C">
            <w:pPr>
              <w:pStyle w:val="687"/>
            </w:pPr>
            <w:r>
              <w:rPr>
                <w:rFonts w:hint="eastAsia"/>
              </w:rPr>
              <w:t>3.11</w:t>
            </w:r>
          </w:p>
        </w:tc>
        <w:tc>
          <w:tcPr>
            <w:tcW w:w="934" w:type="dxa"/>
            <w:vAlign w:val="center"/>
          </w:tcPr>
          <w:p w14:paraId="23257521">
            <w:pPr>
              <w:pStyle w:val="687"/>
            </w:pPr>
            <w:r>
              <w:rPr>
                <w:rFonts w:hint="eastAsia"/>
              </w:rPr>
              <w:t>1</w:t>
            </w:r>
          </w:p>
        </w:tc>
      </w:tr>
      <w:tr w14:paraId="3C1C4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9" w:type="dxa"/>
            <w:noWrap/>
            <w:vAlign w:val="center"/>
          </w:tcPr>
          <w:p w14:paraId="1FBC880D">
            <w:pPr>
              <w:pStyle w:val="687"/>
            </w:pPr>
            <w:r>
              <w:rPr>
                <w:rFonts w:hint="eastAsia"/>
              </w:rPr>
              <w:t>11水域及水利设施用地</w:t>
            </w:r>
          </w:p>
        </w:tc>
        <w:tc>
          <w:tcPr>
            <w:tcW w:w="2389" w:type="dxa"/>
            <w:noWrap/>
            <w:vAlign w:val="center"/>
          </w:tcPr>
          <w:p w14:paraId="1EBC2308">
            <w:pPr>
              <w:pStyle w:val="687"/>
            </w:pPr>
            <w:r>
              <w:rPr>
                <w:rFonts w:hint="eastAsia"/>
              </w:rPr>
              <w:t>1104坑塘水面</w:t>
            </w:r>
          </w:p>
        </w:tc>
        <w:tc>
          <w:tcPr>
            <w:tcW w:w="1632" w:type="dxa"/>
            <w:noWrap/>
            <w:vAlign w:val="center"/>
          </w:tcPr>
          <w:p w14:paraId="3298A83F">
            <w:pPr>
              <w:pStyle w:val="687"/>
            </w:pPr>
            <w:r>
              <w:rPr>
                <w:rFonts w:hint="eastAsia"/>
              </w:rPr>
              <w:t>0.03</w:t>
            </w:r>
          </w:p>
        </w:tc>
        <w:tc>
          <w:tcPr>
            <w:tcW w:w="1362" w:type="dxa"/>
            <w:vAlign w:val="center"/>
          </w:tcPr>
          <w:p w14:paraId="257B5786">
            <w:pPr>
              <w:pStyle w:val="687"/>
            </w:pPr>
            <w:r>
              <w:rPr>
                <w:rFonts w:hint="eastAsia"/>
              </w:rPr>
              <w:t>1.04</w:t>
            </w:r>
          </w:p>
        </w:tc>
        <w:tc>
          <w:tcPr>
            <w:tcW w:w="934" w:type="dxa"/>
            <w:vAlign w:val="center"/>
          </w:tcPr>
          <w:p w14:paraId="07D972F8">
            <w:pPr>
              <w:pStyle w:val="687"/>
            </w:pPr>
            <w:r>
              <w:rPr>
                <w:rFonts w:hint="eastAsia"/>
              </w:rPr>
              <w:t>1</w:t>
            </w:r>
          </w:p>
        </w:tc>
      </w:tr>
      <w:tr w14:paraId="7032F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18" w:type="dxa"/>
            <w:gridSpan w:val="2"/>
            <w:vAlign w:val="center"/>
          </w:tcPr>
          <w:p w14:paraId="3EFAC57C">
            <w:pPr>
              <w:pStyle w:val="687"/>
            </w:pPr>
            <w:r>
              <w:rPr>
                <w:rFonts w:hint="eastAsia"/>
              </w:rPr>
              <w:t>合计</w:t>
            </w:r>
          </w:p>
        </w:tc>
        <w:tc>
          <w:tcPr>
            <w:tcW w:w="1632" w:type="dxa"/>
            <w:noWrap/>
            <w:vAlign w:val="center"/>
          </w:tcPr>
          <w:p w14:paraId="3576F47F">
            <w:pPr>
              <w:pStyle w:val="687"/>
            </w:pPr>
            <w:r>
              <w:t>2.88</w:t>
            </w:r>
          </w:p>
        </w:tc>
        <w:tc>
          <w:tcPr>
            <w:tcW w:w="1362" w:type="dxa"/>
            <w:vAlign w:val="center"/>
          </w:tcPr>
          <w:p w14:paraId="2F8E8CCC">
            <w:pPr>
              <w:pStyle w:val="687"/>
            </w:pPr>
            <w:r>
              <w:t>100.00</w:t>
            </w:r>
          </w:p>
        </w:tc>
        <w:tc>
          <w:tcPr>
            <w:tcW w:w="934" w:type="dxa"/>
            <w:vAlign w:val="center"/>
          </w:tcPr>
          <w:p w14:paraId="0ABC2DBA">
            <w:pPr>
              <w:pStyle w:val="687"/>
            </w:pPr>
            <w:r>
              <w:t>24</w:t>
            </w:r>
          </w:p>
        </w:tc>
      </w:tr>
    </w:tbl>
    <w:p w14:paraId="6DCFABEF">
      <w:pPr>
        <w:pStyle w:val="1379"/>
        <w:ind w:firstLine="440"/>
      </w:pPr>
    </w:p>
    <w:p w14:paraId="5303D474">
      <w:pPr>
        <w:pStyle w:val="1065"/>
      </w:pPr>
      <w:r>
        <w:drawing>
          <wp:inline distT="0" distB="0" distL="0" distR="0">
            <wp:extent cx="5543550" cy="3914775"/>
            <wp:effectExtent l="0" t="0" r="0"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53"/>
                    <a:stretch>
                      <a:fillRect/>
                    </a:stretch>
                  </pic:blipFill>
                  <pic:spPr>
                    <a:xfrm>
                      <a:off x="0" y="0"/>
                      <a:ext cx="5543550" cy="3914775"/>
                    </a:xfrm>
                    <a:prstGeom prst="rect">
                      <a:avLst/>
                    </a:prstGeom>
                  </pic:spPr>
                </pic:pic>
              </a:graphicData>
            </a:graphic>
          </wp:inline>
        </w:drawing>
      </w:r>
    </w:p>
    <w:p w14:paraId="54FA3DE1">
      <w:pPr>
        <w:pStyle w:val="1065"/>
      </w:pPr>
      <w:bookmarkStart w:id="236" w:name="_Hlk184818177"/>
      <w:r>
        <w:rPr>
          <w:rFonts w:hint="eastAsia"/>
        </w:rPr>
        <w:t>图4.</w:t>
      </w:r>
      <w:r>
        <w:t>3</w:t>
      </w:r>
      <w:r>
        <w:rPr>
          <w:rFonts w:hint="eastAsia"/>
        </w:rPr>
        <w:t>-1  区域土地利用现状图</w:t>
      </w:r>
    </w:p>
    <w:bookmarkEnd w:id="236"/>
    <w:p w14:paraId="1F24D57B">
      <w:pPr>
        <w:pStyle w:val="1379"/>
        <w:ind w:firstLine="440"/>
      </w:pPr>
    </w:p>
    <w:p w14:paraId="631E8302">
      <w:pPr>
        <w:pStyle w:val="1381"/>
        <w:ind w:firstLine="392" w:firstLineChars="150"/>
        <w:outlineLvl w:val="2"/>
        <w:rPr>
          <w:rFonts w:cs="Times New Roman"/>
          <w:b/>
          <w:bCs/>
          <w:szCs w:val="26"/>
        </w:rPr>
      </w:pPr>
      <w:r>
        <w:rPr>
          <w:rFonts w:cs="Times New Roman"/>
          <w:b/>
          <w:bCs/>
          <w:szCs w:val="26"/>
        </w:rPr>
        <w:t xml:space="preserve">4.3.4 </w:t>
      </w:r>
      <w:r>
        <w:rPr>
          <w:rFonts w:hint="eastAsia" w:cs="Times New Roman"/>
          <w:b/>
          <w:bCs/>
          <w:szCs w:val="26"/>
        </w:rPr>
        <w:t>区域植被资源</w:t>
      </w:r>
    </w:p>
    <w:p w14:paraId="2494CDD4">
      <w:pPr>
        <w:pStyle w:val="1381"/>
        <w:ind w:firstLine="390" w:firstLineChars="150"/>
        <w:rPr>
          <w:rFonts w:cs="Times New Roman"/>
          <w:szCs w:val="26"/>
        </w:rPr>
      </w:pPr>
      <w:r>
        <w:rPr>
          <w:rFonts w:hint="eastAsia" w:cs="Times New Roman"/>
          <w:szCs w:val="26"/>
        </w:rPr>
        <w:t>（1）区域植被类型</w:t>
      </w:r>
    </w:p>
    <w:p w14:paraId="7BA8F948">
      <w:pPr>
        <w:spacing w:line="460" w:lineRule="exact"/>
        <w:ind w:firstLine="520" w:firstLineChars="200"/>
        <w:rPr>
          <w:sz w:val="26"/>
          <w:szCs w:val="26"/>
        </w:rPr>
      </w:pPr>
      <w:r>
        <w:rPr>
          <w:rFonts w:hint="eastAsia"/>
          <w:sz w:val="26"/>
          <w:szCs w:val="26"/>
        </w:rPr>
        <w:t>评价区域植被类型图参照《1:1000000中国植被图》中植被分类体系，结合区域高分遥感数据、DEM数据、地面调查数据等对评价范围的植被类型进行目视解译，并编制评价范围植被类型图。</w:t>
      </w:r>
      <w:r>
        <w:rPr>
          <w:sz w:val="26"/>
          <w:szCs w:val="26"/>
        </w:rPr>
        <w:t>根据植被类型图，</w:t>
      </w:r>
      <w:r>
        <w:rPr>
          <w:rFonts w:hint="eastAsia"/>
          <w:sz w:val="26"/>
          <w:szCs w:val="26"/>
        </w:rPr>
        <w:t>统计评价范围内的各植被类型面积，具体如下表所示。</w:t>
      </w:r>
    </w:p>
    <w:p w14:paraId="1C7032FF">
      <w:pPr>
        <w:pStyle w:val="1379"/>
        <w:ind w:firstLine="440"/>
      </w:pPr>
    </w:p>
    <w:p w14:paraId="17613396">
      <w:pPr>
        <w:pStyle w:val="1065"/>
      </w:pPr>
      <w:r>
        <w:t>表4.3-3  评价区</w:t>
      </w:r>
      <w:r>
        <w:rPr>
          <w:rFonts w:hint="eastAsia"/>
        </w:rPr>
        <w:t>植被类型统计表</w:t>
      </w:r>
    </w:p>
    <w:tbl>
      <w:tblPr>
        <w:tblStyle w:val="88"/>
        <w:tblW w:w="8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66"/>
        <w:gridCol w:w="856"/>
        <w:gridCol w:w="1574"/>
        <w:gridCol w:w="1430"/>
        <w:gridCol w:w="2393"/>
        <w:gridCol w:w="1024"/>
        <w:gridCol w:w="943"/>
      </w:tblGrid>
      <w:tr w14:paraId="76219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66" w:type="dxa"/>
            <w:vMerge w:val="restart"/>
            <w:vAlign w:val="center"/>
          </w:tcPr>
          <w:p w14:paraId="0704B7E5">
            <w:pPr>
              <w:pStyle w:val="687"/>
            </w:pPr>
            <w:r>
              <w:t>自然植被</w:t>
            </w:r>
          </w:p>
        </w:tc>
        <w:tc>
          <w:tcPr>
            <w:tcW w:w="856" w:type="dxa"/>
            <w:vAlign w:val="center"/>
          </w:tcPr>
          <w:p w14:paraId="5B0F7AB8">
            <w:pPr>
              <w:pStyle w:val="687"/>
            </w:pPr>
            <w:r>
              <w:t>植被型</w:t>
            </w:r>
          </w:p>
        </w:tc>
        <w:tc>
          <w:tcPr>
            <w:tcW w:w="1574" w:type="dxa"/>
            <w:vAlign w:val="center"/>
          </w:tcPr>
          <w:p w14:paraId="7BE3DD53">
            <w:pPr>
              <w:pStyle w:val="687"/>
            </w:pPr>
            <w:r>
              <w:t>群系组</w:t>
            </w:r>
          </w:p>
        </w:tc>
        <w:tc>
          <w:tcPr>
            <w:tcW w:w="1430" w:type="dxa"/>
            <w:vAlign w:val="center"/>
          </w:tcPr>
          <w:p w14:paraId="6FAEBC59">
            <w:pPr>
              <w:pStyle w:val="687"/>
            </w:pPr>
            <w:r>
              <w:t>群系</w:t>
            </w:r>
          </w:p>
        </w:tc>
        <w:tc>
          <w:tcPr>
            <w:tcW w:w="2393" w:type="dxa"/>
            <w:vAlign w:val="center"/>
          </w:tcPr>
          <w:p w14:paraId="1D7CA4A3">
            <w:pPr>
              <w:pStyle w:val="687"/>
            </w:pPr>
            <w:r>
              <w:t>分布情况</w:t>
            </w:r>
          </w:p>
        </w:tc>
        <w:tc>
          <w:tcPr>
            <w:tcW w:w="1024" w:type="dxa"/>
            <w:vAlign w:val="center"/>
          </w:tcPr>
          <w:p w14:paraId="51C4AFE5">
            <w:pPr>
              <w:pStyle w:val="687"/>
            </w:pPr>
            <w:r>
              <w:rPr>
                <w:rFonts w:hint="eastAsia"/>
              </w:rPr>
              <w:t>面积/公顷</w:t>
            </w:r>
          </w:p>
        </w:tc>
        <w:tc>
          <w:tcPr>
            <w:tcW w:w="943" w:type="dxa"/>
            <w:vAlign w:val="center"/>
          </w:tcPr>
          <w:p w14:paraId="019CC441">
            <w:pPr>
              <w:pStyle w:val="687"/>
            </w:pPr>
            <w:r>
              <w:rPr>
                <w:rFonts w:hint="eastAsia"/>
              </w:rPr>
              <w:t>占比/%</w:t>
            </w:r>
          </w:p>
        </w:tc>
      </w:tr>
      <w:tr w14:paraId="0CBB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1" w:hRule="atLeast"/>
          <w:jc w:val="center"/>
        </w:trPr>
        <w:tc>
          <w:tcPr>
            <w:tcW w:w="566" w:type="dxa"/>
            <w:vMerge w:val="continue"/>
            <w:vAlign w:val="center"/>
          </w:tcPr>
          <w:p w14:paraId="02FDFE16">
            <w:pPr>
              <w:pStyle w:val="687"/>
            </w:pPr>
          </w:p>
        </w:tc>
        <w:tc>
          <w:tcPr>
            <w:tcW w:w="856" w:type="dxa"/>
            <w:vAlign w:val="center"/>
          </w:tcPr>
          <w:p w14:paraId="65093E1F">
            <w:pPr>
              <w:pStyle w:val="687"/>
            </w:pPr>
            <w:r>
              <w:t>Ⅰ针叶林</w:t>
            </w:r>
          </w:p>
        </w:tc>
        <w:tc>
          <w:tcPr>
            <w:tcW w:w="1574" w:type="dxa"/>
            <w:vAlign w:val="center"/>
          </w:tcPr>
          <w:p w14:paraId="2EA12AF1">
            <w:pPr>
              <w:pStyle w:val="687"/>
            </w:pPr>
            <w:r>
              <w:t>（一）</w:t>
            </w:r>
            <w:r>
              <w:rPr>
                <w:rFonts w:hint="eastAsia"/>
              </w:rPr>
              <w:t>亚热带</w:t>
            </w:r>
            <w:r>
              <w:t>常绿针叶林</w:t>
            </w:r>
          </w:p>
        </w:tc>
        <w:tc>
          <w:tcPr>
            <w:tcW w:w="1430" w:type="dxa"/>
            <w:vAlign w:val="center"/>
          </w:tcPr>
          <w:p w14:paraId="77F93DCF">
            <w:pPr>
              <w:pStyle w:val="687"/>
            </w:pPr>
            <w:r>
              <w:t>柏木</w:t>
            </w:r>
            <w:r>
              <w:rPr>
                <w:rFonts w:hint="eastAsia"/>
              </w:rPr>
              <w:t>林</w:t>
            </w:r>
          </w:p>
        </w:tc>
        <w:tc>
          <w:tcPr>
            <w:tcW w:w="2393" w:type="dxa"/>
            <w:vAlign w:val="center"/>
          </w:tcPr>
          <w:p w14:paraId="2FC51B5F">
            <w:pPr>
              <w:pStyle w:val="687"/>
            </w:pPr>
            <w:r>
              <w:rPr>
                <w:rFonts w:hint="eastAsia"/>
              </w:rPr>
              <w:t>广泛分布于</w:t>
            </w:r>
            <w:r>
              <w:t>山坡、山脊、崖壁，耐干旱瘠薄</w:t>
            </w:r>
          </w:p>
        </w:tc>
        <w:tc>
          <w:tcPr>
            <w:tcW w:w="1024" w:type="dxa"/>
            <w:vAlign w:val="center"/>
          </w:tcPr>
          <w:p w14:paraId="37B7D804">
            <w:pPr>
              <w:pStyle w:val="687"/>
            </w:pPr>
            <w:r>
              <w:rPr>
                <w:szCs w:val="21"/>
              </w:rPr>
              <w:t>0.29</w:t>
            </w:r>
          </w:p>
        </w:tc>
        <w:tc>
          <w:tcPr>
            <w:tcW w:w="943" w:type="dxa"/>
            <w:vAlign w:val="center"/>
          </w:tcPr>
          <w:p w14:paraId="22E6D664">
            <w:pPr>
              <w:pStyle w:val="687"/>
            </w:pPr>
            <w:r>
              <w:rPr>
                <w:szCs w:val="21"/>
              </w:rPr>
              <w:t>10.38</w:t>
            </w:r>
          </w:p>
        </w:tc>
      </w:tr>
      <w:tr w14:paraId="0CA0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2" w:hRule="atLeast"/>
          <w:jc w:val="center"/>
        </w:trPr>
        <w:tc>
          <w:tcPr>
            <w:tcW w:w="1422" w:type="dxa"/>
            <w:gridSpan w:val="2"/>
            <w:vMerge w:val="restart"/>
            <w:vAlign w:val="center"/>
          </w:tcPr>
          <w:p w14:paraId="0E114245">
            <w:pPr>
              <w:pStyle w:val="687"/>
            </w:pPr>
            <w:r>
              <w:t>栽培植被</w:t>
            </w:r>
          </w:p>
        </w:tc>
        <w:tc>
          <w:tcPr>
            <w:tcW w:w="1574" w:type="dxa"/>
            <w:vMerge w:val="restart"/>
            <w:vAlign w:val="center"/>
          </w:tcPr>
          <w:p w14:paraId="4728037E">
            <w:pPr>
              <w:pStyle w:val="687"/>
            </w:pPr>
            <w:r>
              <w:t>农作物</w:t>
            </w:r>
          </w:p>
        </w:tc>
        <w:tc>
          <w:tcPr>
            <w:tcW w:w="1430" w:type="dxa"/>
            <w:vAlign w:val="center"/>
          </w:tcPr>
          <w:p w14:paraId="651ADBFA">
            <w:pPr>
              <w:pStyle w:val="687"/>
            </w:pPr>
            <w:r>
              <w:t>粮食作物</w:t>
            </w:r>
          </w:p>
        </w:tc>
        <w:tc>
          <w:tcPr>
            <w:tcW w:w="2393" w:type="dxa"/>
            <w:vMerge w:val="restart"/>
            <w:vAlign w:val="center"/>
          </w:tcPr>
          <w:p w14:paraId="5275F28A">
            <w:pPr>
              <w:pStyle w:val="687"/>
            </w:pPr>
            <w:r>
              <w:rPr>
                <w:rFonts w:hint="eastAsia"/>
              </w:rPr>
              <w:t>耕地范围内</w:t>
            </w:r>
          </w:p>
        </w:tc>
        <w:tc>
          <w:tcPr>
            <w:tcW w:w="1024" w:type="dxa"/>
            <w:vMerge w:val="restart"/>
            <w:vAlign w:val="center"/>
          </w:tcPr>
          <w:p w14:paraId="11E6877B">
            <w:pPr>
              <w:pStyle w:val="687"/>
            </w:pPr>
            <w:r>
              <w:rPr>
                <w:szCs w:val="21"/>
              </w:rPr>
              <w:t>0.86</w:t>
            </w:r>
          </w:p>
        </w:tc>
        <w:tc>
          <w:tcPr>
            <w:tcW w:w="943" w:type="dxa"/>
            <w:vMerge w:val="restart"/>
            <w:vAlign w:val="center"/>
          </w:tcPr>
          <w:p w14:paraId="53E82A03">
            <w:pPr>
              <w:pStyle w:val="687"/>
            </w:pPr>
            <w:r>
              <w:rPr>
                <w:szCs w:val="21"/>
              </w:rPr>
              <w:t>29.76</w:t>
            </w:r>
          </w:p>
        </w:tc>
      </w:tr>
      <w:tr w14:paraId="47795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2" w:hRule="atLeast"/>
          <w:jc w:val="center"/>
        </w:trPr>
        <w:tc>
          <w:tcPr>
            <w:tcW w:w="1422" w:type="dxa"/>
            <w:gridSpan w:val="2"/>
            <w:vMerge w:val="continue"/>
            <w:vAlign w:val="center"/>
          </w:tcPr>
          <w:p w14:paraId="0780E7A9">
            <w:pPr>
              <w:pStyle w:val="687"/>
            </w:pPr>
          </w:p>
        </w:tc>
        <w:tc>
          <w:tcPr>
            <w:tcW w:w="1574" w:type="dxa"/>
            <w:vMerge w:val="continue"/>
            <w:vAlign w:val="center"/>
          </w:tcPr>
          <w:p w14:paraId="7743FCE2">
            <w:pPr>
              <w:pStyle w:val="687"/>
            </w:pPr>
          </w:p>
        </w:tc>
        <w:tc>
          <w:tcPr>
            <w:tcW w:w="1430" w:type="dxa"/>
            <w:vAlign w:val="center"/>
          </w:tcPr>
          <w:p w14:paraId="064956AD">
            <w:pPr>
              <w:pStyle w:val="687"/>
            </w:pPr>
            <w:r>
              <w:t>经济作物</w:t>
            </w:r>
          </w:p>
        </w:tc>
        <w:tc>
          <w:tcPr>
            <w:tcW w:w="2393" w:type="dxa"/>
            <w:vMerge w:val="continue"/>
            <w:vAlign w:val="center"/>
          </w:tcPr>
          <w:p w14:paraId="468EE5F7">
            <w:pPr>
              <w:pStyle w:val="687"/>
            </w:pPr>
          </w:p>
        </w:tc>
        <w:tc>
          <w:tcPr>
            <w:tcW w:w="1024" w:type="dxa"/>
            <w:vMerge w:val="continue"/>
            <w:vAlign w:val="center"/>
          </w:tcPr>
          <w:p w14:paraId="73191AA1">
            <w:pPr>
              <w:pStyle w:val="687"/>
            </w:pPr>
          </w:p>
        </w:tc>
        <w:tc>
          <w:tcPr>
            <w:tcW w:w="943" w:type="dxa"/>
            <w:vMerge w:val="continue"/>
            <w:vAlign w:val="center"/>
          </w:tcPr>
          <w:p w14:paraId="251F93E4">
            <w:pPr>
              <w:pStyle w:val="687"/>
            </w:pPr>
          </w:p>
        </w:tc>
      </w:tr>
      <w:tr w14:paraId="2A12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2" w:hRule="atLeast"/>
          <w:jc w:val="center"/>
        </w:trPr>
        <w:tc>
          <w:tcPr>
            <w:tcW w:w="1422" w:type="dxa"/>
            <w:gridSpan w:val="2"/>
            <w:vAlign w:val="center"/>
          </w:tcPr>
          <w:p w14:paraId="1663E4F8">
            <w:pPr>
              <w:pStyle w:val="687"/>
            </w:pPr>
            <w:r>
              <w:t>无植被地段</w:t>
            </w:r>
          </w:p>
        </w:tc>
        <w:tc>
          <w:tcPr>
            <w:tcW w:w="1574" w:type="dxa"/>
            <w:vAlign w:val="center"/>
          </w:tcPr>
          <w:p w14:paraId="1153CE32">
            <w:pPr>
              <w:pStyle w:val="687"/>
            </w:pPr>
            <w:r>
              <w:rPr>
                <w:rFonts w:hint="eastAsia"/>
              </w:rPr>
              <w:t>/</w:t>
            </w:r>
          </w:p>
        </w:tc>
        <w:tc>
          <w:tcPr>
            <w:tcW w:w="1430" w:type="dxa"/>
            <w:vAlign w:val="center"/>
          </w:tcPr>
          <w:p w14:paraId="571A0E4F">
            <w:pPr>
              <w:pStyle w:val="687"/>
            </w:pPr>
            <w:r>
              <w:rPr>
                <w:rFonts w:hint="eastAsia"/>
              </w:rPr>
              <w:t>/</w:t>
            </w:r>
          </w:p>
        </w:tc>
        <w:tc>
          <w:tcPr>
            <w:tcW w:w="2393" w:type="dxa"/>
            <w:vAlign w:val="center"/>
          </w:tcPr>
          <w:p w14:paraId="1DA3C4BE">
            <w:pPr>
              <w:pStyle w:val="687"/>
            </w:pPr>
            <w:r>
              <w:rPr>
                <w:rFonts w:hint="eastAsia"/>
              </w:rPr>
              <w:t>道路等</w:t>
            </w:r>
          </w:p>
        </w:tc>
        <w:tc>
          <w:tcPr>
            <w:tcW w:w="1024" w:type="dxa"/>
            <w:vAlign w:val="center"/>
          </w:tcPr>
          <w:p w14:paraId="2EBF70E9">
            <w:pPr>
              <w:pStyle w:val="687"/>
            </w:pPr>
            <w:r>
              <w:rPr>
                <w:rFonts w:hint="eastAsia"/>
                <w:szCs w:val="21"/>
              </w:rPr>
              <w:t>1</w:t>
            </w:r>
            <w:r>
              <w:rPr>
                <w:szCs w:val="21"/>
              </w:rPr>
              <w:t>.73</w:t>
            </w:r>
          </w:p>
        </w:tc>
        <w:tc>
          <w:tcPr>
            <w:tcW w:w="943" w:type="dxa"/>
            <w:vAlign w:val="center"/>
          </w:tcPr>
          <w:p w14:paraId="015B63DB">
            <w:pPr>
              <w:pStyle w:val="687"/>
            </w:pPr>
            <w:r>
              <w:rPr>
                <w:rFonts w:hint="eastAsia"/>
                <w:szCs w:val="21"/>
              </w:rPr>
              <w:t>5</w:t>
            </w:r>
            <w:r>
              <w:rPr>
                <w:szCs w:val="21"/>
              </w:rPr>
              <w:t>9.86</w:t>
            </w:r>
          </w:p>
        </w:tc>
      </w:tr>
      <w:tr w14:paraId="4764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2" w:hRule="atLeast"/>
          <w:jc w:val="center"/>
        </w:trPr>
        <w:tc>
          <w:tcPr>
            <w:tcW w:w="6819" w:type="dxa"/>
            <w:gridSpan w:val="5"/>
            <w:vAlign w:val="center"/>
          </w:tcPr>
          <w:p w14:paraId="1F16BA82">
            <w:pPr>
              <w:pStyle w:val="687"/>
            </w:pPr>
            <w:r>
              <w:rPr>
                <w:rFonts w:hint="eastAsia"/>
              </w:rPr>
              <w:t>合计</w:t>
            </w:r>
          </w:p>
        </w:tc>
        <w:tc>
          <w:tcPr>
            <w:tcW w:w="1024" w:type="dxa"/>
            <w:vAlign w:val="center"/>
          </w:tcPr>
          <w:p w14:paraId="45FDE082">
            <w:pPr>
              <w:pStyle w:val="687"/>
            </w:pPr>
            <w:r>
              <w:t>2.88</w:t>
            </w:r>
          </w:p>
        </w:tc>
        <w:tc>
          <w:tcPr>
            <w:tcW w:w="943" w:type="dxa"/>
            <w:vAlign w:val="center"/>
          </w:tcPr>
          <w:p w14:paraId="379AC42A">
            <w:pPr>
              <w:pStyle w:val="687"/>
            </w:pPr>
            <w:r>
              <w:t>100.00</w:t>
            </w:r>
          </w:p>
        </w:tc>
      </w:tr>
    </w:tbl>
    <w:p w14:paraId="6F170D1F">
      <w:pPr>
        <w:pStyle w:val="1379"/>
        <w:ind w:firstLine="440"/>
      </w:pPr>
    </w:p>
    <w:p w14:paraId="625F62BC">
      <w:pPr>
        <w:pStyle w:val="1065"/>
      </w:pPr>
      <w:r>
        <w:drawing>
          <wp:inline distT="0" distB="0" distL="0" distR="0">
            <wp:extent cx="5543550" cy="389445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54"/>
                    <a:stretch>
                      <a:fillRect/>
                    </a:stretch>
                  </pic:blipFill>
                  <pic:spPr>
                    <a:xfrm>
                      <a:off x="0" y="0"/>
                      <a:ext cx="5543550" cy="3894455"/>
                    </a:xfrm>
                    <a:prstGeom prst="rect">
                      <a:avLst/>
                    </a:prstGeom>
                  </pic:spPr>
                </pic:pic>
              </a:graphicData>
            </a:graphic>
          </wp:inline>
        </w:drawing>
      </w:r>
      <w:r>
        <w:rPr>
          <w:rFonts w:hint="eastAsia"/>
        </w:rPr>
        <w:t>图4.</w:t>
      </w:r>
      <w:r>
        <w:t>3</w:t>
      </w:r>
      <w:r>
        <w:rPr>
          <w:rFonts w:hint="eastAsia"/>
        </w:rPr>
        <w:t>-</w:t>
      </w:r>
      <w:r>
        <w:t>2</w:t>
      </w:r>
      <w:r>
        <w:rPr>
          <w:rFonts w:hint="eastAsia"/>
        </w:rPr>
        <w:t xml:space="preserve">  </w:t>
      </w:r>
      <w:r>
        <w:t>评价区</w:t>
      </w:r>
      <w:r>
        <w:rPr>
          <w:rFonts w:hint="eastAsia"/>
        </w:rPr>
        <w:t>植被类型图</w:t>
      </w:r>
    </w:p>
    <w:p w14:paraId="005BA589">
      <w:pPr>
        <w:pStyle w:val="1379"/>
        <w:ind w:firstLine="440"/>
      </w:pPr>
    </w:p>
    <w:p w14:paraId="56EA2713">
      <w:pPr>
        <w:pStyle w:val="1381"/>
        <w:ind w:firstLine="390" w:firstLineChars="150"/>
        <w:rPr>
          <w:rFonts w:cs="Times New Roman"/>
          <w:szCs w:val="26"/>
        </w:rPr>
      </w:pPr>
      <w:r>
        <w:rPr>
          <w:rFonts w:hint="eastAsia" w:cs="Times New Roman"/>
          <w:szCs w:val="26"/>
        </w:rPr>
        <w:t>（2）植被覆盖度</w:t>
      </w:r>
    </w:p>
    <w:p w14:paraId="6FE9E77B">
      <w:pPr>
        <w:pStyle w:val="1381"/>
        <w:ind w:firstLine="520"/>
      </w:pPr>
      <w:r>
        <w:t>植被覆盖度可用于定量分析评价范围内的植被现状。本次评价通过遥感手段，采用归一化植被指数（NDVI）方法，对评价区的植被覆盖度进行分析。NDVI计算公式为如下：</w:t>
      </w:r>
    </w:p>
    <w:p w14:paraId="7B625144">
      <w:pPr>
        <w:pStyle w:val="1381"/>
        <w:spacing w:before="120" w:beforeLines="50" w:after="120" w:afterLines="50"/>
        <w:ind w:firstLine="0" w:firstLineChars="0"/>
        <w:jc w:val="center"/>
        <w:rPr>
          <w:bCs/>
          <w:i/>
          <w:iCs/>
          <w:w w:val="99"/>
        </w:rPr>
      </w:pPr>
      <w:r>
        <w:rPr>
          <w:bCs/>
          <w:i/>
          <w:iCs/>
          <w:w w:val="99"/>
        </w:rPr>
        <w:t>NDVI=(NIR-R)/(NIR+R)</w:t>
      </w:r>
    </w:p>
    <w:p w14:paraId="05D49A03">
      <w:pPr>
        <w:pStyle w:val="1381"/>
        <w:ind w:firstLine="512"/>
        <w:rPr>
          <w:bCs/>
          <w:w w:val="99"/>
        </w:rPr>
      </w:pPr>
      <w:r>
        <w:rPr>
          <w:bCs/>
          <w:w w:val="99"/>
        </w:rPr>
        <w:t xml:space="preserve">其中：NIR为近红外波段，R为红波段。 </w:t>
      </w:r>
    </w:p>
    <w:p w14:paraId="482525C1">
      <w:pPr>
        <w:pStyle w:val="1381"/>
        <w:ind w:firstLine="512"/>
        <w:rPr>
          <w:bCs/>
          <w:w w:val="99"/>
        </w:rPr>
      </w:pPr>
      <w:r>
        <w:rPr>
          <w:bCs/>
          <w:w w:val="99"/>
        </w:rPr>
        <w:t>基于NDVI，采用像元二分模型计算植被覆盖度，公式如下：</w:t>
      </w:r>
    </w:p>
    <w:p w14:paraId="54262D96">
      <w:pPr>
        <w:pStyle w:val="1381"/>
        <w:spacing w:before="120" w:beforeLines="50" w:after="120" w:afterLines="50"/>
        <w:ind w:firstLine="0" w:firstLineChars="0"/>
        <w:jc w:val="center"/>
        <w:rPr>
          <w:bCs/>
          <w:i/>
          <w:iCs/>
          <w:w w:val="99"/>
        </w:rPr>
      </w:pPr>
      <w:r>
        <w:rPr>
          <w:bCs/>
          <w:i/>
          <w:iCs/>
          <w:w w:val="99"/>
        </w:rPr>
        <w:t>FVC = (NDVI-NDVIs)/(NDVIv-NDVIs)</w:t>
      </w:r>
    </w:p>
    <w:p w14:paraId="57AFB07A">
      <w:pPr>
        <w:pStyle w:val="1381"/>
        <w:ind w:firstLine="512"/>
        <w:rPr>
          <w:bCs/>
          <w:w w:val="99"/>
        </w:rPr>
      </w:pPr>
      <w:r>
        <w:rPr>
          <w:bCs/>
          <w:w w:val="99"/>
        </w:rPr>
        <w:t>式中：FVC—所计算像元的植被覆盖度；</w:t>
      </w:r>
    </w:p>
    <w:p w14:paraId="0A12221F">
      <w:pPr>
        <w:pStyle w:val="1381"/>
        <w:ind w:firstLine="512"/>
        <w:rPr>
          <w:bCs/>
          <w:w w:val="99"/>
        </w:rPr>
      </w:pPr>
      <w:r>
        <w:rPr>
          <w:bCs/>
          <w:w w:val="99"/>
        </w:rPr>
        <w:t>NDVI—所计算像元的 NDVI 值；</w:t>
      </w:r>
    </w:p>
    <w:p w14:paraId="74B3C504">
      <w:pPr>
        <w:pStyle w:val="1381"/>
        <w:ind w:firstLine="512"/>
        <w:rPr>
          <w:bCs/>
          <w:w w:val="99"/>
        </w:rPr>
      </w:pPr>
      <w:r>
        <w:rPr>
          <w:bCs/>
          <w:w w:val="99"/>
        </w:rPr>
        <w:t>NDVIv—纯植物像元的 NDVI 值；</w:t>
      </w:r>
    </w:p>
    <w:p w14:paraId="2F9A2EC7">
      <w:pPr>
        <w:pStyle w:val="1381"/>
        <w:ind w:firstLine="512"/>
        <w:rPr>
          <w:bCs/>
          <w:w w:val="99"/>
        </w:rPr>
      </w:pPr>
      <w:r>
        <w:rPr>
          <w:bCs/>
          <w:w w:val="99"/>
        </w:rPr>
        <w:t>NDVIs—完全无植被覆盖像元的 NDVI 值。</w:t>
      </w:r>
    </w:p>
    <w:p w14:paraId="490159BD">
      <w:pPr>
        <w:pStyle w:val="1381"/>
        <w:ind w:firstLine="520"/>
      </w:pPr>
      <w:r>
        <w:t>本次计算采用的遥感影像数据为评价区域</w:t>
      </w:r>
      <w:r>
        <w:rPr>
          <w:rFonts w:hint="eastAsia"/>
          <w:szCs w:val="26"/>
        </w:rPr>
        <w:t>202</w:t>
      </w:r>
      <w:r>
        <w:rPr>
          <w:szCs w:val="26"/>
        </w:rPr>
        <w:t>5</w:t>
      </w:r>
      <w:r>
        <w:rPr>
          <w:rFonts w:hint="eastAsia"/>
          <w:szCs w:val="26"/>
        </w:rPr>
        <w:t>年</w:t>
      </w:r>
      <w:r>
        <w:rPr>
          <w:szCs w:val="26"/>
        </w:rPr>
        <w:t>9</w:t>
      </w:r>
      <w:r>
        <w:rPr>
          <w:rFonts w:hint="eastAsia"/>
          <w:szCs w:val="26"/>
        </w:rPr>
        <w:t>月的</w:t>
      </w:r>
      <w:r>
        <w:rPr>
          <w:szCs w:val="26"/>
        </w:rPr>
        <w:t>Worldview</w:t>
      </w:r>
      <w:r>
        <w:rPr>
          <w:rFonts w:hint="eastAsia"/>
          <w:szCs w:val="26"/>
        </w:rPr>
        <w:t>影像数据</w:t>
      </w:r>
      <w:r>
        <w:t>L2A级数据产品，影像分辨率10m，数据经过辐射校正、几何校正、辐射定标和大气校正。采用ENVI软件平台计算FVC，并用GIS软件制作评价范围内植被覆盖度空间分布图</w:t>
      </w:r>
      <w:r>
        <w:rPr>
          <w:rFonts w:hint="eastAsia"/>
        </w:rPr>
        <w:t>，</w:t>
      </w:r>
      <w:r>
        <w:t>对评价范围</w:t>
      </w:r>
      <w:r>
        <w:rPr>
          <w:rFonts w:hint="eastAsia"/>
        </w:rPr>
        <w:t>内不同覆盖度等级进行统计分析，具体如下表所示。</w:t>
      </w:r>
    </w:p>
    <w:p w14:paraId="53DC9282">
      <w:pPr>
        <w:pStyle w:val="1379"/>
        <w:ind w:firstLine="440"/>
      </w:pPr>
    </w:p>
    <w:p w14:paraId="4FED5FD0">
      <w:pPr>
        <w:pStyle w:val="1065"/>
      </w:pPr>
      <w:r>
        <w:t>表4.3-4  评价区</w:t>
      </w:r>
      <w:r>
        <w:rPr>
          <w:rFonts w:hint="eastAsia"/>
        </w:rPr>
        <w:t>植被覆盖度统计表</w:t>
      </w:r>
    </w:p>
    <w:tbl>
      <w:tblPr>
        <w:tblStyle w:val="88"/>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5"/>
        <w:gridCol w:w="2576"/>
        <w:gridCol w:w="2665"/>
      </w:tblGrid>
      <w:tr w14:paraId="2747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705" w:type="dxa"/>
            <w:noWrap/>
            <w:vAlign w:val="center"/>
          </w:tcPr>
          <w:p w14:paraId="60819F8D">
            <w:pPr>
              <w:pStyle w:val="687"/>
            </w:pPr>
            <w:r>
              <w:t>植被覆盖度（%）</w:t>
            </w:r>
          </w:p>
        </w:tc>
        <w:tc>
          <w:tcPr>
            <w:tcW w:w="2576" w:type="dxa"/>
            <w:noWrap/>
            <w:vAlign w:val="center"/>
          </w:tcPr>
          <w:p w14:paraId="67D2E120">
            <w:pPr>
              <w:pStyle w:val="687"/>
            </w:pPr>
            <w:r>
              <w:t>面积（公顷）</w:t>
            </w:r>
          </w:p>
        </w:tc>
        <w:tc>
          <w:tcPr>
            <w:tcW w:w="2665" w:type="dxa"/>
            <w:vAlign w:val="center"/>
          </w:tcPr>
          <w:p w14:paraId="201380F6">
            <w:pPr>
              <w:pStyle w:val="687"/>
            </w:pPr>
            <w:r>
              <w:t>占比（%）</w:t>
            </w:r>
          </w:p>
        </w:tc>
      </w:tr>
      <w:tr w14:paraId="0A16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5" w:type="dxa"/>
            <w:noWrap/>
            <w:vAlign w:val="center"/>
          </w:tcPr>
          <w:p w14:paraId="707A10CE">
            <w:pPr>
              <w:pStyle w:val="687"/>
            </w:pPr>
            <w:r>
              <w:t>0-35（低覆盖度）</w:t>
            </w:r>
          </w:p>
        </w:tc>
        <w:tc>
          <w:tcPr>
            <w:tcW w:w="2576" w:type="dxa"/>
            <w:noWrap/>
            <w:vAlign w:val="center"/>
          </w:tcPr>
          <w:p w14:paraId="15E3A274">
            <w:pPr>
              <w:pStyle w:val="687"/>
            </w:pPr>
            <w:r>
              <w:t>1.25</w:t>
            </w:r>
          </w:p>
        </w:tc>
        <w:tc>
          <w:tcPr>
            <w:tcW w:w="2665" w:type="dxa"/>
            <w:vAlign w:val="center"/>
          </w:tcPr>
          <w:p w14:paraId="58DBFA1B">
            <w:pPr>
              <w:pStyle w:val="687"/>
            </w:pPr>
            <w:r>
              <w:t>43.3.0</w:t>
            </w:r>
          </w:p>
        </w:tc>
      </w:tr>
      <w:tr w14:paraId="3841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5" w:type="dxa"/>
            <w:noWrap/>
            <w:vAlign w:val="center"/>
          </w:tcPr>
          <w:p w14:paraId="25CF3EA0">
            <w:pPr>
              <w:pStyle w:val="687"/>
            </w:pPr>
            <w:bookmarkStart w:id="237" w:name="RANGE!J54"/>
            <w:r>
              <w:t>35-45（中低覆盖度）</w:t>
            </w:r>
            <w:bookmarkEnd w:id="237"/>
          </w:p>
        </w:tc>
        <w:tc>
          <w:tcPr>
            <w:tcW w:w="2576" w:type="dxa"/>
            <w:noWrap/>
            <w:vAlign w:val="center"/>
          </w:tcPr>
          <w:p w14:paraId="1AA23613">
            <w:pPr>
              <w:pStyle w:val="687"/>
            </w:pPr>
            <w:r>
              <w:t>0.28</w:t>
            </w:r>
          </w:p>
        </w:tc>
        <w:tc>
          <w:tcPr>
            <w:tcW w:w="2665" w:type="dxa"/>
            <w:vAlign w:val="center"/>
          </w:tcPr>
          <w:p w14:paraId="5C014859">
            <w:pPr>
              <w:pStyle w:val="687"/>
            </w:pPr>
            <w:r>
              <w:t>9.62</w:t>
            </w:r>
          </w:p>
        </w:tc>
      </w:tr>
      <w:tr w14:paraId="7445F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5" w:type="dxa"/>
            <w:noWrap/>
            <w:vAlign w:val="center"/>
          </w:tcPr>
          <w:p w14:paraId="406CE44D">
            <w:pPr>
              <w:pStyle w:val="687"/>
            </w:pPr>
            <w:r>
              <w:t>45-60（中覆盖度）</w:t>
            </w:r>
          </w:p>
        </w:tc>
        <w:tc>
          <w:tcPr>
            <w:tcW w:w="2576" w:type="dxa"/>
            <w:noWrap/>
            <w:vAlign w:val="center"/>
          </w:tcPr>
          <w:p w14:paraId="2C7F289A">
            <w:pPr>
              <w:pStyle w:val="687"/>
            </w:pPr>
            <w:r>
              <w:t>0.41</w:t>
            </w:r>
          </w:p>
        </w:tc>
        <w:tc>
          <w:tcPr>
            <w:tcW w:w="2665" w:type="dxa"/>
            <w:vAlign w:val="center"/>
          </w:tcPr>
          <w:p w14:paraId="2545727D">
            <w:pPr>
              <w:pStyle w:val="687"/>
            </w:pPr>
            <w:r>
              <w:t>14.43</w:t>
            </w:r>
          </w:p>
        </w:tc>
      </w:tr>
      <w:tr w14:paraId="757A8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5" w:type="dxa"/>
            <w:noWrap/>
            <w:vAlign w:val="center"/>
          </w:tcPr>
          <w:p w14:paraId="3B303980">
            <w:pPr>
              <w:pStyle w:val="687"/>
            </w:pPr>
            <w:r>
              <w:t>60-75（中高覆盖度）</w:t>
            </w:r>
          </w:p>
        </w:tc>
        <w:tc>
          <w:tcPr>
            <w:tcW w:w="2576" w:type="dxa"/>
            <w:noWrap/>
            <w:vAlign w:val="center"/>
          </w:tcPr>
          <w:p w14:paraId="441AC7AE">
            <w:pPr>
              <w:pStyle w:val="687"/>
            </w:pPr>
            <w:r>
              <w:t>0.32</w:t>
            </w:r>
          </w:p>
        </w:tc>
        <w:tc>
          <w:tcPr>
            <w:tcW w:w="2665" w:type="dxa"/>
            <w:vAlign w:val="center"/>
          </w:tcPr>
          <w:p w14:paraId="526B326E">
            <w:pPr>
              <w:pStyle w:val="687"/>
            </w:pPr>
            <w:r>
              <w:t>11.00</w:t>
            </w:r>
          </w:p>
        </w:tc>
      </w:tr>
      <w:tr w14:paraId="7438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5" w:type="dxa"/>
            <w:noWrap/>
            <w:vAlign w:val="center"/>
          </w:tcPr>
          <w:p w14:paraId="78772247">
            <w:pPr>
              <w:pStyle w:val="687"/>
            </w:pPr>
            <w:r>
              <w:t>≥75（高覆盖度）</w:t>
            </w:r>
          </w:p>
        </w:tc>
        <w:tc>
          <w:tcPr>
            <w:tcW w:w="2576" w:type="dxa"/>
            <w:noWrap/>
            <w:vAlign w:val="center"/>
          </w:tcPr>
          <w:p w14:paraId="0D6AFCCD">
            <w:pPr>
              <w:pStyle w:val="687"/>
            </w:pPr>
            <w:r>
              <w:t>0.62</w:t>
            </w:r>
          </w:p>
        </w:tc>
        <w:tc>
          <w:tcPr>
            <w:tcW w:w="2665" w:type="dxa"/>
            <w:vAlign w:val="center"/>
          </w:tcPr>
          <w:p w14:paraId="5C70F374">
            <w:pPr>
              <w:pStyle w:val="687"/>
            </w:pPr>
            <w:r>
              <w:t>21.65</w:t>
            </w:r>
          </w:p>
        </w:tc>
      </w:tr>
      <w:tr w14:paraId="1880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5" w:type="dxa"/>
            <w:noWrap/>
            <w:vAlign w:val="center"/>
          </w:tcPr>
          <w:p w14:paraId="3661D03A">
            <w:pPr>
              <w:pStyle w:val="687"/>
            </w:pPr>
            <w:r>
              <w:t>合计</w:t>
            </w:r>
          </w:p>
        </w:tc>
        <w:tc>
          <w:tcPr>
            <w:tcW w:w="2576" w:type="dxa"/>
            <w:noWrap/>
            <w:vAlign w:val="center"/>
          </w:tcPr>
          <w:p w14:paraId="617E1F41">
            <w:pPr>
              <w:pStyle w:val="687"/>
            </w:pPr>
            <w:r>
              <w:t>2.88</w:t>
            </w:r>
          </w:p>
        </w:tc>
        <w:tc>
          <w:tcPr>
            <w:tcW w:w="2665" w:type="dxa"/>
            <w:vAlign w:val="center"/>
          </w:tcPr>
          <w:p w14:paraId="3E81E6D1">
            <w:pPr>
              <w:pStyle w:val="687"/>
            </w:pPr>
            <w:r>
              <w:t>100.00</w:t>
            </w:r>
          </w:p>
        </w:tc>
      </w:tr>
    </w:tbl>
    <w:p w14:paraId="1BFEF5EA">
      <w:pPr>
        <w:pStyle w:val="1379"/>
        <w:ind w:firstLine="440"/>
      </w:pPr>
    </w:p>
    <w:p w14:paraId="1F2CD153">
      <w:pPr>
        <w:pStyle w:val="1065"/>
      </w:pPr>
      <w:r>
        <w:drawing>
          <wp:inline distT="0" distB="0" distL="0" distR="0">
            <wp:extent cx="5543550" cy="387159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55"/>
                    <a:stretch>
                      <a:fillRect/>
                    </a:stretch>
                  </pic:blipFill>
                  <pic:spPr>
                    <a:xfrm>
                      <a:off x="0" y="0"/>
                      <a:ext cx="5543550" cy="3871595"/>
                    </a:xfrm>
                    <a:prstGeom prst="rect">
                      <a:avLst/>
                    </a:prstGeom>
                  </pic:spPr>
                </pic:pic>
              </a:graphicData>
            </a:graphic>
          </wp:inline>
        </w:drawing>
      </w:r>
      <w:r>
        <w:rPr>
          <w:rFonts w:hint="eastAsia"/>
        </w:rPr>
        <w:t>图4.</w:t>
      </w:r>
      <w:r>
        <w:t>3</w:t>
      </w:r>
      <w:r>
        <w:rPr>
          <w:rFonts w:hint="eastAsia"/>
        </w:rPr>
        <w:t>-</w:t>
      </w:r>
      <w:r>
        <w:t>3</w:t>
      </w:r>
      <w:r>
        <w:rPr>
          <w:rFonts w:hint="eastAsia"/>
        </w:rPr>
        <w:t xml:space="preserve">  </w:t>
      </w:r>
      <w:r>
        <w:t>评价区</w:t>
      </w:r>
      <w:r>
        <w:rPr>
          <w:rFonts w:hint="eastAsia"/>
        </w:rPr>
        <w:t>植被覆盖度空间分布图</w:t>
      </w:r>
    </w:p>
    <w:p w14:paraId="1567234A">
      <w:pPr>
        <w:pStyle w:val="1379"/>
        <w:ind w:firstLine="440"/>
      </w:pPr>
    </w:p>
    <w:p w14:paraId="30C181F6">
      <w:pPr>
        <w:pStyle w:val="1381"/>
        <w:ind w:firstLine="390" w:firstLineChars="150"/>
        <w:rPr>
          <w:rFonts w:cs="Times New Roman"/>
          <w:szCs w:val="26"/>
        </w:rPr>
      </w:pPr>
      <w:r>
        <w:rPr>
          <w:rFonts w:hint="eastAsia" w:cs="Times New Roman"/>
          <w:szCs w:val="26"/>
        </w:rPr>
        <w:t>（</w:t>
      </w:r>
      <w:r>
        <w:rPr>
          <w:rFonts w:cs="Times New Roman"/>
          <w:szCs w:val="26"/>
        </w:rPr>
        <w:t>3</w:t>
      </w:r>
      <w:r>
        <w:rPr>
          <w:rFonts w:hint="eastAsia" w:cs="Times New Roman"/>
          <w:szCs w:val="26"/>
        </w:rPr>
        <w:t>）重要野生植物</w:t>
      </w:r>
    </w:p>
    <w:p w14:paraId="0AA37710">
      <w:pPr>
        <w:spacing w:line="460" w:lineRule="exact"/>
        <w:ind w:firstLine="520" w:firstLineChars="200"/>
        <w:rPr>
          <w:sz w:val="26"/>
          <w:szCs w:val="26"/>
        </w:rPr>
      </w:pPr>
      <w:r>
        <w:rPr>
          <w:sz w:val="26"/>
          <w:szCs w:val="26"/>
        </w:rPr>
        <w:t>根据查阅相关资料和现场调查，</w:t>
      </w:r>
      <w:r>
        <w:rPr>
          <w:rFonts w:hint="eastAsia"/>
          <w:sz w:val="26"/>
          <w:szCs w:val="26"/>
        </w:rPr>
        <w:t>项目所在区域内无国家和四川省重点保护野生植物分布，无古树名木分布，无极危、濒危、易危野生植物分布，无国家及地方所涉及的极小种群野生植物分布。</w:t>
      </w:r>
    </w:p>
    <w:p w14:paraId="3C1B593C">
      <w:pPr>
        <w:spacing w:line="460" w:lineRule="exact"/>
        <w:ind w:firstLine="520" w:firstLineChars="200"/>
        <w:rPr>
          <w:sz w:val="26"/>
          <w:szCs w:val="26"/>
        </w:rPr>
      </w:pPr>
      <w:r>
        <w:rPr>
          <w:rFonts w:hint="eastAsia"/>
          <w:sz w:val="26"/>
          <w:szCs w:val="26"/>
        </w:rPr>
        <w:t>项目所在地农业生产历史悠久，土地肥沃以农田为主，主要农作物为水稻，其次为小麦、玉米、红薯、油菜等。</w:t>
      </w:r>
    </w:p>
    <w:p w14:paraId="003B2406">
      <w:pPr>
        <w:pStyle w:val="1381"/>
        <w:ind w:firstLine="392" w:firstLineChars="150"/>
        <w:outlineLvl w:val="2"/>
        <w:rPr>
          <w:rFonts w:cs="Times New Roman"/>
          <w:b/>
          <w:bCs/>
          <w:szCs w:val="26"/>
        </w:rPr>
      </w:pPr>
      <w:r>
        <w:rPr>
          <w:rFonts w:hint="eastAsia" w:cs="Times New Roman"/>
          <w:b/>
          <w:bCs/>
          <w:szCs w:val="26"/>
        </w:rPr>
        <w:t>4</w:t>
      </w:r>
      <w:r>
        <w:rPr>
          <w:rFonts w:cs="Times New Roman"/>
          <w:b/>
          <w:bCs/>
          <w:szCs w:val="26"/>
        </w:rPr>
        <w:t xml:space="preserve">.3.5 </w:t>
      </w:r>
      <w:r>
        <w:rPr>
          <w:rFonts w:hint="eastAsia" w:cs="Times New Roman"/>
          <w:b/>
          <w:bCs/>
          <w:szCs w:val="26"/>
        </w:rPr>
        <w:t>野生动物资源</w:t>
      </w:r>
    </w:p>
    <w:p w14:paraId="77E1A9C2">
      <w:pPr>
        <w:spacing w:line="460" w:lineRule="exact"/>
        <w:ind w:firstLine="520" w:firstLineChars="200"/>
        <w:rPr>
          <w:sz w:val="26"/>
          <w:szCs w:val="26"/>
        </w:rPr>
      </w:pPr>
      <w:r>
        <w:rPr>
          <w:rFonts w:hint="eastAsia"/>
          <w:sz w:val="26"/>
          <w:szCs w:val="26"/>
        </w:rPr>
        <w:t>（1）区域主要野生动物</w:t>
      </w:r>
    </w:p>
    <w:p w14:paraId="273A5E6E">
      <w:pPr>
        <w:spacing w:line="46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1 \* GB3</w:instrText>
      </w:r>
      <w:r>
        <w:rPr>
          <w:sz w:val="26"/>
          <w:szCs w:val="26"/>
        </w:rPr>
        <w:instrText xml:space="preserve"> </w:instrText>
      </w:r>
      <w:r>
        <w:rPr>
          <w:sz w:val="26"/>
          <w:szCs w:val="26"/>
        </w:rPr>
        <w:fldChar w:fldCharType="separate"/>
      </w:r>
      <w:r>
        <w:rPr>
          <w:rFonts w:hint="eastAsia"/>
          <w:sz w:val="26"/>
          <w:szCs w:val="26"/>
        </w:rPr>
        <w:t>①</w:t>
      </w:r>
      <w:r>
        <w:rPr>
          <w:sz w:val="26"/>
          <w:szCs w:val="26"/>
        </w:rPr>
        <w:fldChar w:fldCharType="end"/>
      </w:r>
      <w:r>
        <w:rPr>
          <w:sz w:val="26"/>
          <w:szCs w:val="26"/>
        </w:rPr>
        <w:t>蛇类</w:t>
      </w:r>
    </w:p>
    <w:p w14:paraId="054579DB">
      <w:pPr>
        <w:spacing w:line="460" w:lineRule="exact"/>
        <w:ind w:firstLine="520" w:firstLineChars="200"/>
        <w:rPr>
          <w:sz w:val="26"/>
          <w:szCs w:val="26"/>
        </w:rPr>
      </w:pPr>
      <w:r>
        <w:rPr>
          <w:sz w:val="26"/>
          <w:szCs w:val="26"/>
        </w:rPr>
        <w:t>评价区域内蛇类分布较少，主要有王锦蛇（</w:t>
      </w:r>
      <w:r>
        <w:rPr>
          <w:i/>
          <w:sz w:val="26"/>
          <w:szCs w:val="26"/>
        </w:rPr>
        <w:t>Elaphe taeniura</w:t>
      </w:r>
      <w:r>
        <w:rPr>
          <w:sz w:val="26"/>
          <w:szCs w:val="26"/>
        </w:rPr>
        <w:t>）、乌梢蛇</w:t>
      </w:r>
      <w:r>
        <w:rPr>
          <w:rFonts w:hint="eastAsia"/>
          <w:sz w:val="26"/>
          <w:szCs w:val="26"/>
        </w:rPr>
        <w:t>（</w:t>
      </w:r>
      <w:r>
        <w:rPr>
          <w:i/>
          <w:sz w:val="26"/>
          <w:szCs w:val="26"/>
        </w:rPr>
        <w:t>Ptyas dhumnades</w:t>
      </w:r>
      <w:r>
        <w:rPr>
          <w:rFonts w:hint="eastAsia"/>
          <w:sz w:val="26"/>
          <w:szCs w:val="26"/>
        </w:rPr>
        <w:t>）</w:t>
      </w:r>
      <w:r>
        <w:rPr>
          <w:sz w:val="26"/>
          <w:szCs w:val="26"/>
        </w:rPr>
        <w:t>等种类。</w:t>
      </w:r>
    </w:p>
    <w:p w14:paraId="55607C82">
      <w:pPr>
        <w:spacing w:line="46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2 \* GB3</w:instrText>
      </w:r>
      <w:r>
        <w:rPr>
          <w:sz w:val="26"/>
          <w:szCs w:val="26"/>
        </w:rPr>
        <w:instrText xml:space="preserve"> </w:instrText>
      </w:r>
      <w:r>
        <w:rPr>
          <w:sz w:val="26"/>
          <w:szCs w:val="26"/>
        </w:rPr>
        <w:fldChar w:fldCharType="separate"/>
      </w:r>
      <w:r>
        <w:rPr>
          <w:rFonts w:hint="eastAsia"/>
          <w:sz w:val="26"/>
          <w:szCs w:val="26"/>
        </w:rPr>
        <w:t>②</w:t>
      </w:r>
      <w:r>
        <w:rPr>
          <w:sz w:val="26"/>
          <w:szCs w:val="26"/>
        </w:rPr>
        <w:fldChar w:fldCharType="end"/>
      </w:r>
      <w:r>
        <w:rPr>
          <w:sz w:val="26"/>
          <w:szCs w:val="26"/>
        </w:rPr>
        <w:t>鸟类</w:t>
      </w:r>
    </w:p>
    <w:p w14:paraId="719558AC">
      <w:pPr>
        <w:spacing w:line="460" w:lineRule="exact"/>
        <w:ind w:firstLine="520" w:firstLineChars="200"/>
        <w:rPr>
          <w:sz w:val="26"/>
          <w:szCs w:val="26"/>
        </w:rPr>
      </w:pPr>
      <w:r>
        <w:rPr>
          <w:sz w:val="26"/>
          <w:szCs w:val="26"/>
        </w:rPr>
        <w:t>主要有斑鸠（</w:t>
      </w:r>
      <w:r>
        <w:rPr>
          <w:i/>
          <w:sz w:val="26"/>
          <w:szCs w:val="26"/>
        </w:rPr>
        <w:t>Streptopelia turtur</w:t>
      </w:r>
      <w:r>
        <w:rPr>
          <w:sz w:val="26"/>
          <w:szCs w:val="26"/>
        </w:rPr>
        <w:t>）、家燕（</w:t>
      </w:r>
      <w:r>
        <w:rPr>
          <w:i/>
          <w:sz w:val="26"/>
          <w:szCs w:val="26"/>
        </w:rPr>
        <w:t>Niltava davidi)</w:t>
      </w:r>
      <w:r>
        <w:rPr>
          <w:sz w:val="26"/>
          <w:szCs w:val="26"/>
        </w:rPr>
        <w:t>、麻雀（</w:t>
      </w:r>
      <w:r>
        <w:rPr>
          <w:i/>
          <w:sz w:val="26"/>
          <w:szCs w:val="26"/>
        </w:rPr>
        <w:t>Passer montanus</w:t>
      </w:r>
      <w:r>
        <w:rPr>
          <w:sz w:val="26"/>
          <w:szCs w:val="26"/>
        </w:rPr>
        <w:t>）、画眉（</w:t>
      </w:r>
      <w:r>
        <w:rPr>
          <w:i/>
          <w:sz w:val="26"/>
          <w:szCs w:val="26"/>
        </w:rPr>
        <w:t>Garrulax canorus</w:t>
      </w:r>
      <w:r>
        <w:rPr>
          <w:sz w:val="26"/>
          <w:szCs w:val="26"/>
        </w:rPr>
        <w:t>）、喜鹊（</w:t>
      </w:r>
      <w:r>
        <w:rPr>
          <w:i/>
          <w:sz w:val="26"/>
          <w:szCs w:val="26"/>
        </w:rPr>
        <w:t>Pica pica</w:t>
      </w:r>
      <w:r>
        <w:rPr>
          <w:sz w:val="26"/>
          <w:szCs w:val="26"/>
        </w:rPr>
        <w:t>）。没有国家级保护物种。</w:t>
      </w:r>
    </w:p>
    <w:p w14:paraId="0977A956">
      <w:pPr>
        <w:spacing w:line="46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3 \* GB3</w:instrText>
      </w:r>
      <w:r>
        <w:rPr>
          <w:sz w:val="26"/>
          <w:szCs w:val="26"/>
        </w:rPr>
        <w:instrText xml:space="preserve"> </w:instrText>
      </w:r>
      <w:r>
        <w:rPr>
          <w:sz w:val="26"/>
          <w:szCs w:val="26"/>
        </w:rPr>
        <w:fldChar w:fldCharType="separate"/>
      </w:r>
      <w:r>
        <w:rPr>
          <w:rFonts w:hint="eastAsia"/>
          <w:sz w:val="26"/>
          <w:szCs w:val="26"/>
        </w:rPr>
        <w:t>③</w:t>
      </w:r>
      <w:r>
        <w:rPr>
          <w:sz w:val="26"/>
          <w:szCs w:val="26"/>
        </w:rPr>
        <w:fldChar w:fldCharType="end"/>
      </w:r>
      <w:r>
        <w:rPr>
          <w:sz w:val="26"/>
          <w:szCs w:val="26"/>
        </w:rPr>
        <w:t>兽类</w:t>
      </w:r>
    </w:p>
    <w:p w14:paraId="4EA7FC9E">
      <w:pPr>
        <w:spacing w:line="460" w:lineRule="exact"/>
        <w:ind w:firstLine="520" w:firstLineChars="200"/>
        <w:rPr>
          <w:sz w:val="26"/>
          <w:szCs w:val="26"/>
        </w:rPr>
      </w:pPr>
      <w:r>
        <w:rPr>
          <w:sz w:val="26"/>
          <w:szCs w:val="26"/>
        </w:rPr>
        <w:t>主要动物有草兔（</w:t>
      </w:r>
      <w:r>
        <w:rPr>
          <w:i/>
          <w:sz w:val="26"/>
          <w:szCs w:val="26"/>
        </w:rPr>
        <w:t>Lepus capensis</w:t>
      </w:r>
      <w:r>
        <w:rPr>
          <w:sz w:val="26"/>
          <w:szCs w:val="26"/>
        </w:rPr>
        <w:t>）、松鼠（</w:t>
      </w:r>
      <w:r>
        <w:rPr>
          <w:i/>
          <w:sz w:val="26"/>
          <w:szCs w:val="26"/>
        </w:rPr>
        <w:t>Sciurus vulgaris</w:t>
      </w:r>
      <w:r>
        <w:rPr>
          <w:sz w:val="26"/>
          <w:szCs w:val="26"/>
        </w:rPr>
        <w:t>）、田鼠（</w:t>
      </w:r>
      <w:r>
        <w:rPr>
          <w:i/>
          <w:sz w:val="26"/>
          <w:szCs w:val="26"/>
        </w:rPr>
        <w:t>MicrotusPhenacomys</w:t>
      </w:r>
      <w:r>
        <w:rPr>
          <w:sz w:val="26"/>
          <w:szCs w:val="26"/>
        </w:rPr>
        <w:t>）、大足鼠（</w:t>
      </w:r>
      <w:r>
        <w:rPr>
          <w:i/>
          <w:sz w:val="26"/>
          <w:szCs w:val="26"/>
        </w:rPr>
        <w:t>Rattus nitidus</w:t>
      </w:r>
      <w:r>
        <w:rPr>
          <w:sz w:val="26"/>
          <w:szCs w:val="26"/>
        </w:rPr>
        <w:t>）、社鼠（</w:t>
      </w:r>
      <w:r>
        <w:rPr>
          <w:i/>
          <w:sz w:val="26"/>
          <w:szCs w:val="26"/>
        </w:rPr>
        <w:t>Rattusniviventer</w:t>
      </w:r>
      <w:r>
        <w:rPr>
          <w:sz w:val="26"/>
          <w:szCs w:val="26"/>
        </w:rPr>
        <w:t>）、小家鼠（</w:t>
      </w:r>
      <w:r>
        <w:rPr>
          <w:i/>
          <w:sz w:val="26"/>
          <w:szCs w:val="26"/>
        </w:rPr>
        <w:t>Mus musculus</w:t>
      </w:r>
      <w:r>
        <w:rPr>
          <w:sz w:val="26"/>
          <w:szCs w:val="26"/>
        </w:rPr>
        <w:t>）等，无国家级保护动物。</w:t>
      </w:r>
    </w:p>
    <w:p w14:paraId="1D9311F7">
      <w:pPr>
        <w:spacing w:line="460" w:lineRule="exact"/>
        <w:ind w:firstLine="520" w:firstLineChars="200"/>
        <w:rPr>
          <w:sz w:val="26"/>
          <w:szCs w:val="26"/>
        </w:rPr>
      </w:pPr>
      <w:r>
        <w:rPr>
          <w:rFonts w:hint="eastAsia"/>
          <w:sz w:val="26"/>
          <w:szCs w:val="26"/>
        </w:rPr>
        <w:t>（2）重要野生动物</w:t>
      </w:r>
    </w:p>
    <w:p w14:paraId="2E24FF08">
      <w:pPr>
        <w:pStyle w:val="1381"/>
        <w:ind w:firstLine="520"/>
      </w:pPr>
      <w:r>
        <w:t>根据考察访问和相关资料，</w:t>
      </w:r>
      <w:r>
        <w:rPr>
          <w:rFonts w:hint="eastAsia"/>
        </w:rPr>
        <w:t>项目所在区域内</w:t>
      </w:r>
      <w:r>
        <w:t>无珍稀</w:t>
      </w:r>
      <w:r>
        <w:rPr>
          <w:rFonts w:hint="eastAsia"/>
        </w:rPr>
        <w:t>、濒危野生</w:t>
      </w:r>
      <w:r>
        <w:t>动物，没有国家级、省级重点保护野生动物物种</w:t>
      </w:r>
      <w:r>
        <w:rPr>
          <w:rFonts w:hint="eastAsia"/>
        </w:rPr>
        <w:t>，无重要物种栖息地。区域偶见《中国生物多样性红色名录</w:t>
      </w:r>
      <w:r>
        <w:t>——</w:t>
      </w:r>
      <w:r>
        <w:rPr>
          <w:rFonts w:hint="eastAsia"/>
        </w:rPr>
        <w:t>脊椎动物卷（2020）》中的易危动物乌梢蛇、王锦蛇。</w:t>
      </w:r>
    </w:p>
    <w:p w14:paraId="5C58A8A0">
      <w:pPr>
        <w:pStyle w:val="1381"/>
        <w:ind w:firstLine="520"/>
        <w:rPr>
          <w:rFonts w:ascii="宋体" w:hAnsi="宋体" w:cs="宋体"/>
          <w:shd w:val="clear" w:color="auto" w:fill="FFFFFF"/>
        </w:rPr>
      </w:pPr>
      <w:r>
        <w:rPr>
          <w:rFonts w:hint="eastAsia" w:ascii="宋体" w:hAnsi="宋体" w:cs="宋体"/>
          <w:shd w:val="clear" w:color="auto" w:fill="FFFFFF"/>
        </w:rPr>
        <w:t>王锦蛇：王锦蛇栖息在山地、平原及丘陵地带，垂直分布范围为海拔300</w:t>
      </w:r>
      <w:r>
        <w:rPr>
          <w:shd w:val="clear" w:color="auto" w:fill="FFFFFF"/>
        </w:rPr>
        <w:t>~</w:t>
      </w:r>
      <w:r>
        <w:rPr>
          <w:rFonts w:hint="eastAsia" w:ascii="宋体" w:hAnsi="宋体" w:cs="宋体"/>
          <w:shd w:val="clear" w:color="auto" w:fill="FFFFFF"/>
        </w:rPr>
        <w:t>2300m，活动于乱石堆、水塘边、山地、田野沟边、山溪旁及草丛中，也可见于温泉水中游泳。王锦蛇具有广泛而多样的食性，其主要捕食对象包括鼠类、蛙类、鸟类及鸟蛋。在食物短缺的情况下，甚至会发生同类相食行为。王锦蛇动作敏捷，性情凶悍，爬行速度快，能攀爬树木，并进入鸟巢中吞食雏鸟。王锦蛇在夜间显得更加活跃。该蛇动作敏捷，性格凶猛，遇到危险时，会将头部竖起并用尾部拍打地面，表现出攻击态势，但无毒。王锦蛇喜群居生活。</w:t>
      </w:r>
    </w:p>
    <w:p w14:paraId="5049F058">
      <w:pPr>
        <w:pStyle w:val="1381"/>
        <w:ind w:firstLine="520"/>
        <w:rPr>
          <w:shd w:val="clear" w:color="auto" w:fill="FFFFFF"/>
        </w:rPr>
      </w:pPr>
      <w:r>
        <w:rPr>
          <w:rFonts w:hint="eastAsia"/>
          <w:shd w:val="clear" w:color="auto" w:fill="FFFFFF"/>
        </w:rPr>
        <w:t>乌梢蛇：乌梢蛇生活在海拔下限为50 米，海拔上限为2000 米的地方，栖息地主要选择在森林、草原和陆地。乌梢蛇通常在乱石堆积的石洞中越冬，越冬的洞穴为蜂窝状，洞穴内的泥土较润滑，洞口通常需要避光和避风，也有乌梢蛇会在朽木树根处越冬。乌梢蛇温度越高时活动越频繁，尤其是温度在27℃~34℃的时候，它们的活动频率也受湿度的影响，湿度越大，活动频率越高。在每年的十月下旬气温降至15℃时，乌梢蛇会进入洞穴将身体卷曲成团冬眠，在冬眠期间不食不动，约180 天左右冬眠结束出蛰觅食。乌梢蛇主要以鱼、蛙、蜥蜴为食，除此之外，它们也食蝗虫、蛾类等昆虫，主要以活食为主。他们在白天和晚上都有捕食行为，但以白天为主。</w:t>
      </w:r>
    </w:p>
    <w:p w14:paraId="3F96413A">
      <w:pPr>
        <w:adjustRightInd w:val="0"/>
        <w:snapToGrid w:val="0"/>
        <w:ind w:firstLine="520" w:firstLineChars="200"/>
        <w:jc w:val="left"/>
        <w:textAlignment w:val="baseline"/>
        <w:rPr>
          <w:kern w:val="0"/>
          <w:sz w:val="26"/>
          <w:szCs w:val="26"/>
        </w:rPr>
      </w:pPr>
    </w:p>
    <w:p w14:paraId="02511F12">
      <w:pPr>
        <w:widowControl/>
        <w:adjustRightInd w:val="0"/>
        <w:snapToGrid w:val="0"/>
        <w:jc w:val="center"/>
        <w:rPr>
          <w:kern w:val="0"/>
          <w:sz w:val="26"/>
          <w:szCs w:val="26"/>
        </w:rPr>
      </w:pPr>
      <w:r>
        <w:rPr>
          <w:rFonts w:hint="eastAsia"/>
          <w:kern w:val="0"/>
          <w:sz w:val="26"/>
          <w:szCs w:val="26"/>
        </w:rPr>
        <w:t>表</w:t>
      </w:r>
      <w:r>
        <w:rPr>
          <w:kern w:val="0"/>
          <w:sz w:val="26"/>
          <w:szCs w:val="26"/>
        </w:rPr>
        <w:t xml:space="preserve">4.3-5  </w:t>
      </w:r>
      <w:r>
        <w:rPr>
          <w:rFonts w:hint="eastAsia"/>
          <w:kern w:val="0"/>
          <w:sz w:val="26"/>
          <w:szCs w:val="26"/>
        </w:rPr>
        <w:t>重要野生动物调查结果统计表</w:t>
      </w:r>
    </w:p>
    <w:tbl>
      <w:tblPr>
        <w:tblStyle w:val="88"/>
        <w:tblW w:w="8757"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37"/>
        <w:gridCol w:w="852"/>
        <w:gridCol w:w="711"/>
        <w:gridCol w:w="711"/>
        <w:gridCol w:w="1137"/>
        <w:gridCol w:w="2557"/>
        <w:gridCol w:w="1081"/>
        <w:gridCol w:w="1271"/>
      </w:tblGrid>
      <w:tr w14:paraId="0397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37" w:type="dxa"/>
            <w:vAlign w:val="center"/>
          </w:tcPr>
          <w:p w14:paraId="7D21B693">
            <w:pPr>
              <w:adjustRightInd w:val="0"/>
              <w:snapToGrid w:val="0"/>
              <w:jc w:val="center"/>
              <w:rPr>
                <w:sz w:val="22"/>
              </w:rPr>
            </w:pPr>
            <w:r>
              <w:rPr>
                <w:sz w:val="22"/>
              </w:rPr>
              <w:t>序号</w:t>
            </w:r>
          </w:p>
        </w:tc>
        <w:tc>
          <w:tcPr>
            <w:tcW w:w="852" w:type="dxa"/>
            <w:vAlign w:val="center"/>
          </w:tcPr>
          <w:p w14:paraId="116618B9">
            <w:pPr>
              <w:adjustRightInd w:val="0"/>
              <w:snapToGrid w:val="0"/>
              <w:jc w:val="center"/>
              <w:rPr>
                <w:sz w:val="22"/>
              </w:rPr>
            </w:pPr>
            <w:r>
              <w:rPr>
                <w:sz w:val="22"/>
              </w:rPr>
              <w:t>物种</w:t>
            </w:r>
          </w:p>
          <w:p w14:paraId="14CF2A3B">
            <w:pPr>
              <w:adjustRightInd w:val="0"/>
              <w:snapToGrid w:val="0"/>
              <w:jc w:val="center"/>
              <w:rPr>
                <w:sz w:val="22"/>
              </w:rPr>
            </w:pPr>
            <w:r>
              <w:rPr>
                <w:sz w:val="22"/>
              </w:rPr>
              <w:t>名称</w:t>
            </w:r>
          </w:p>
        </w:tc>
        <w:tc>
          <w:tcPr>
            <w:tcW w:w="711" w:type="dxa"/>
            <w:vAlign w:val="center"/>
          </w:tcPr>
          <w:p w14:paraId="6A93D5AC">
            <w:pPr>
              <w:adjustRightInd w:val="0"/>
              <w:snapToGrid w:val="0"/>
              <w:jc w:val="center"/>
              <w:rPr>
                <w:sz w:val="22"/>
              </w:rPr>
            </w:pPr>
            <w:r>
              <w:rPr>
                <w:sz w:val="22"/>
              </w:rPr>
              <w:t>保护</w:t>
            </w:r>
          </w:p>
          <w:p w14:paraId="4479292F">
            <w:pPr>
              <w:adjustRightInd w:val="0"/>
              <w:snapToGrid w:val="0"/>
              <w:jc w:val="center"/>
              <w:rPr>
                <w:sz w:val="22"/>
              </w:rPr>
            </w:pPr>
            <w:r>
              <w:rPr>
                <w:sz w:val="22"/>
              </w:rPr>
              <w:t>级别</w:t>
            </w:r>
          </w:p>
        </w:tc>
        <w:tc>
          <w:tcPr>
            <w:tcW w:w="711" w:type="dxa"/>
            <w:vAlign w:val="center"/>
          </w:tcPr>
          <w:p w14:paraId="772DDA05">
            <w:pPr>
              <w:adjustRightInd w:val="0"/>
              <w:snapToGrid w:val="0"/>
              <w:jc w:val="center"/>
              <w:rPr>
                <w:sz w:val="22"/>
              </w:rPr>
            </w:pPr>
            <w:r>
              <w:rPr>
                <w:sz w:val="22"/>
              </w:rPr>
              <w:t>濒危</w:t>
            </w:r>
          </w:p>
          <w:p w14:paraId="3511EBE0">
            <w:pPr>
              <w:adjustRightInd w:val="0"/>
              <w:snapToGrid w:val="0"/>
              <w:jc w:val="center"/>
              <w:rPr>
                <w:sz w:val="22"/>
              </w:rPr>
            </w:pPr>
            <w:r>
              <w:rPr>
                <w:sz w:val="22"/>
              </w:rPr>
              <w:t>等级</w:t>
            </w:r>
          </w:p>
        </w:tc>
        <w:tc>
          <w:tcPr>
            <w:tcW w:w="1137" w:type="dxa"/>
            <w:vAlign w:val="center"/>
          </w:tcPr>
          <w:p w14:paraId="0B92C62C">
            <w:pPr>
              <w:adjustRightInd w:val="0"/>
              <w:snapToGrid w:val="0"/>
              <w:jc w:val="center"/>
              <w:rPr>
                <w:sz w:val="22"/>
              </w:rPr>
            </w:pPr>
            <w:r>
              <w:rPr>
                <w:sz w:val="22"/>
              </w:rPr>
              <w:t>特有种</w:t>
            </w:r>
          </w:p>
          <w:p w14:paraId="18C938A3">
            <w:pPr>
              <w:adjustRightInd w:val="0"/>
              <w:snapToGrid w:val="0"/>
              <w:jc w:val="center"/>
              <w:rPr>
                <w:sz w:val="22"/>
              </w:rPr>
            </w:pPr>
            <w:r>
              <w:rPr>
                <w:sz w:val="22"/>
              </w:rPr>
              <w:t>（是/否）</w:t>
            </w:r>
          </w:p>
        </w:tc>
        <w:tc>
          <w:tcPr>
            <w:tcW w:w="2557" w:type="dxa"/>
            <w:vAlign w:val="center"/>
          </w:tcPr>
          <w:p w14:paraId="7A8E96F5">
            <w:pPr>
              <w:adjustRightInd w:val="0"/>
              <w:snapToGrid w:val="0"/>
              <w:jc w:val="center"/>
              <w:rPr>
                <w:sz w:val="22"/>
              </w:rPr>
            </w:pPr>
            <w:r>
              <w:rPr>
                <w:sz w:val="22"/>
              </w:rPr>
              <w:t>分布区域</w:t>
            </w:r>
          </w:p>
        </w:tc>
        <w:tc>
          <w:tcPr>
            <w:tcW w:w="1081" w:type="dxa"/>
            <w:vAlign w:val="center"/>
          </w:tcPr>
          <w:p w14:paraId="4B423BBA">
            <w:pPr>
              <w:adjustRightInd w:val="0"/>
              <w:snapToGrid w:val="0"/>
              <w:jc w:val="center"/>
              <w:rPr>
                <w:sz w:val="22"/>
              </w:rPr>
            </w:pPr>
            <w:r>
              <w:rPr>
                <w:sz w:val="22"/>
              </w:rPr>
              <w:t>资料来源</w:t>
            </w:r>
          </w:p>
        </w:tc>
        <w:tc>
          <w:tcPr>
            <w:tcW w:w="1271" w:type="dxa"/>
            <w:vAlign w:val="center"/>
          </w:tcPr>
          <w:p w14:paraId="46FA18D3">
            <w:pPr>
              <w:adjustRightInd w:val="0"/>
              <w:snapToGrid w:val="0"/>
              <w:jc w:val="center"/>
              <w:rPr>
                <w:sz w:val="22"/>
              </w:rPr>
            </w:pPr>
            <w:r>
              <w:rPr>
                <w:sz w:val="22"/>
              </w:rPr>
              <w:t>工程占用情况（是/否）</w:t>
            </w:r>
          </w:p>
        </w:tc>
      </w:tr>
      <w:tr w14:paraId="2E7A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37" w:type="dxa"/>
            <w:vAlign w:val="center"/>
          </w:tcPr>
          <w:p w14:paraId="5A34C30E">
            <w:pPr>
              <w:adjustRightInd w:val="0"/>
              <w:snapToGrid w:val="0"/>
              <w:jc w:val="center"/>
              <w:rPr>
                <w:sz w:val="22"/>
              </w:rPr>
            </w:pPr>
            <w:r>
              <w:rPr>
                <w:sz w:val="22"/>
              </w:rPr>
              <w:t>1</w:t>
            </w:r>
          </w:p>
        </w:tc>
        <w:tc>
          <w:tcPr>
            <w:tcW w:w="852" w:type="dxa"/>
            <w:vAlign w:val="center"/>
          </w:tcPr>
          <w:p w14:paraId="352BE37A">
            <w:pPr>
              <w:adjustRightInd w:val="0"/>
              <w:snapToGrid w:val="0"/>
              <w:jc w:val="center"/>
              <w:rPr>
                <w:sz w:val="22"/>
              </w:rPr>
            </w:pPr>
            <w:r>
              <w:rPr>
                <w:sz w:val="22"/>
              </w:rPr>
              <w:t>乌梢蛇</w:t>
            </w:r>
          </w:p>
        </w:tc>
        <w:tc>
          <w:tcPr>
            <w:tcW w:w="711" w:type="dxa"/>
            <w:vAlign w:val="center"/>
          </w:tcPr>
          <w:p w14:paraId="6FC28EAB">
            <w:pPr>
              <w:adjustRightInd w:val="0"/>
              <w:snapToGrid w:val="0"/>
              <w:jc w:val="center"/>
              <w:rPr>
                <w:sz w:val="22"/>
              </w:rPr>
            </w:pPr>
            <w:r>
              <w:rPr>
                <w:sz w:val="22"/>
              </w:rPr>
              <w:t>/</w:t>
            </w:r>
          </w:p>
        </w:tc>
        <w:tc>
          <w:tcPr>
            <w:tcW w:w="711" w:type="dxa"/>
            <w:vAlign w:val="center"/>
          </w:tcPr>
          <w:p w14:paraId="15E81DAD">
            <w:pPr>
              <w:adjustRightInd w:val="0"/>
              <w:snapToGrid w:val="0"/>
              <w:jc w:val="center"/>
              <w:rPr>
                <w:sz w:val="22"/>
              </w:rPr>
            </w:pPr>
            <w:r>
              <w:rPr>
                <w:sz w:val="22"/>
              </w:rPr>
              <w:t>VU</w:t>
            </w:r>
          </w:p>
        </w:tc>
        <w:tc>
          <w:tcPr>
            <w:tcW w:w="1137" w:type="dxa"/>
            <w:vAlign w:val="center"/>
          </w:tcPr>
          <w:p w14:paraId="04C72A87">
            <w:pPr>
              <w:adjustRightInd w:val="0"/>
              <w:snapToGrid w:val="0"/>
              <w:jc w:val="center"/>
              <w:rPr>
                <w:sz w:val="22"/>
              </w:rPr>
            </w:pPr>
            <w:r>
              <w:rPr>
                <w:sz w:val="22"/>
              </w:rPr>
              <w:t>否</w:t>
            </w:r>
          </w:p>
        </w:tc>
        <w:tc>
          <w:tcPr>
            <w:tcW w:w="2557" w:type="dxa"/>
            <w:vAlign w:val="center"/>
          </w:tcPr>
          <w:p w14:paraId="67B724C1">
            <w:pPr>
              <w:adjustRightInd w:val="0"/>
              <w:snapToGrid w:val="0"/>
              <w:jc w:val="center"/>
              <w:rPr>
                <w:sz w:val="22"/>
              </w:rPr>
            </w:pPr>
            <w:r>
              <w:rPr>
                <w:sz w:val="22"/>
              </w:rPr>
              <w:t>常见于田野、山边、河岸、溪边、灌丛、草地、林下、民宅周围等处。</w:t>
            </w:r>
          </w:p>
        </w:tc>
        <w:tc>
          <w:tcPr>
            <w:tcW w:w="1081" w:type="dxa"/>
            <w:vAlign w:val="center"/>
          </w:tcPr>
          <w:p w14:paraId="7809E44A">
            <w:pPr>
              <w:adjustRightInd w:val="0"/>
              <w:snapToGrid w:val="0"/>
              <w:jc w:val="center"/>
              <w:rPr>
                <w:sz w:val="22"/>
              </w:rPr>
            </w:pPr>
            <w:r>
              <w:rPr>
                <w:sz w:val="22"/>
              </w:rPr>
              <w:t>历史调查资料</w:t>
            </w:r>
          </w:p>
        </w:tc>
        <w:tc>
          <w:tcPr>
            <w:tcW w:w="1271" w:type="dxa"/>
            <w:vAlign w:val="center"/>
          </w:tcPr>
          <w:p w14:paraId="2E87E578">
            <w:pPr>
              <w:adjustRightInd w:val="0"/>
              <w:snapToGrid w:val="0"/>
              <w:jc w:val="center"/>
              <w:rPr>
                <w:sz w:val="22"/>
              </w:rPr>
            </w:pPr>
            <w:r>
              <w:rPr>
                <w:sz w:val="22"/>
              </w:rPr>
              <w:t>否</w:t>
            </w:r>
          </w:p>
        </w:tc>
      </w:tr>
      <w:tr w14:paraId="5026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37" w:type="dxa"/>
            <w:vAlign w:val="center"/>
          </w:tcPr>
          <w:p w14:paraId="3BE45959">
            <w:pPr>
              <w:adjustRightInd w:val="0"/>
              <w:snapToGrid w:val="0"/>
              <w:jc w:val="center"/>
              <w:rPr>
                <w:sz w:val="22"/>
              </w:rPr>
            </w:pPr>
            <w:r>
              <w:rPr>
                <w:sz w:val="22"/>
              </w:rPr>
              <w:t>2</w:t>
            </w:r>
          </w:p>
        </w:tc>
        <w:tc>
          <w:tcPr>
            <w:tcW w:w="852" w:type="dxa"/>
            <w:vAlign w:val="center"/>
          </w:tcPr>
          <w:p w14:paraId="424483D3">
            <w:pPr>
              <w:adjustRightInd w:val="0"/>
              <w:snapToGrid w:val="0"/>
              <w:jc w:val="center"/>
              <w:rPr>
                <w:sz w:val="22"/>
              </w:rPr>
            </w:pPr>
            <w:r>
              <w:rPr>
                <w:sz w:val="22"/>
              </w:rPr>
              <w:t>王锦蛇</w:t>
            </w:r>
          </w:p>
        </w:tc>
        <w:tc>
          <w:tcPr>
            <w:tcW w:w="711" w:type="dxa"/>
            <w:vAlign w:val="center"/>
          </w:tcPr>
          <w:p w14:paraId="5981FCFC">
            <w:pPr>
              <w:adjustRightInd w:val="0"/>
              <w:snapToGrid w:val="0"/>
              <w:jc w:val="center"/>
              <w:rPr>
                <w:sz w:val="22"/>
              </w:rPr>
            </w:pPr>
            <w:r>
              <w:rPr>
                <w:sz w:val="22"/>
              </w:rPr>
              <w:t>/</w:t>
            </w:r>
          </w:p>
        </w:tc>
        <w:tc>
          <w:tcPr>
            <w:tcW w:w="711" w:type="dxa"/>
            <w:vAlign w:val="center"/>
          </w:tcPr>
          <w:p w14:paraId="6AD32663">
            <w:pPr>
              <w:adjustRightInd w:val="0"/>
              <w:snapToGrid w:val="0"/>
              <w:jc w:val="center"/>
              <w:rPr>
                <w:sz w:val="22"/>
              </w:rPr>
            </w:pPr>
            <w:r>
              <w:rPr>
                <w:sz w:val="22"/>
              </w:rPr>
              <w:t>VU</w:t>
            </w:r>
          </w:p>
        </w:tc>
        <w:tc>
          <w:tcPr>
            <w:tcW w:w="1137" w:type="dxa"/>
            <w:vAlign w:val="center"/>
          </w:tcPr>
          <w:p w14:paraId="417491CF">
            <w:pPr>
              <w:adjustRightInd w:val="0"/>
              <w:snapToGrid w:val="0"/>
              <w:jc w:val="center"/>
              <w:rPr>
                <w:sz w:val="22"/>
              </w:rPr>
            </w:pPr>
            <w:r>
              <w:rPr>
                <w:sz w:val="22"/>
              </w:rPr>
              <w:t>否</w:t>
            </w:r>
          </w:p>
        </w:tc>
        <w:tc>
          <w:tcPr>
            <w:tcW w:w="2557" w:type="dxa"/>
            <w:vAlign w:val="center"/>
          </w:tcPr>
          <w:p w14:paraId="300A9721">
            <w:pPr>
              <w:adjustRightInd w:val="0"/>
              <w:snapToGrid w:val="0"/>
              <w:jc w:val="center"/>
              <w:rPr>
                <w:sz w:val="22"/>
              </w:rPr>
            </w:pPr>
            <w:r>
              <w:rPr>
                <w:sz w:val="22"/>
              </w:rPr>
              <w:t>栖息于山区、丘陵、平原地带，常于山地灌丛、田野沟边、山溪旁、草丛中活动。</w:t>
            </w:r>
          </w:p>
        </w:tc>
        <w:tc>
          <w:tcPr>
            <w:tcW w:w="1081" w:type="dxa"/>
            <w:vAlign w:val="center"/>
          </w:tcPr>
          <w:p w14:paraId="21549A2B">
            <w:pPr>
              <w:adjustRightInd w:val="0"/>
              <w:snapToGrid w:val="0"/>
              <w:jc w:val="center"/>
              <w:rPr>
                <w:sz w:val="22"/>
              </w:rPr>
            </w:pPr>
            <w:r>
              <w:rPr>
                <w:sz w:val="22"/>
              </w:rPr>
              <w:t>历史调查资料</w:t>
            </w:r>
          </w:p>
        </w:tc>
        <w:tc>
          <w:tcPr>
            <w:tcW w:w="1271" w:type="dxa"/>
            <w:vAlign w:val="center"/>
          </w:tcPr>
          <w:p w14:paraId="45AB1A8B">
            <w:pPr>
              <w:adjustRightInd w:val="0"/>
              <w:snapToGrid w:val="0"/>
              <w:jc w:val="center"/>
              <w:rPr>
                <w:sz w:val="22"/>
              </w:rPr>
            </w:pPr>
            <w:r>
              <w:rPr>
                <w:sz w:val="22"/>
              </w:rPr>
              <w:t>否</w:t>
            </w:r>
          </w:p>
        </w:tc>
      </w:tr>
    </w:tbl>
    <w:p w14:paraId="62852B79">
      <w:pPr>
        <w:widowControl/>
        <w:adjustRightInd w:val="0"/>
        <w:snapToGrid w:val="0"/>
        <w:ind w:firstLine="520" w:firstLineChars="200"/>
        <w:rPr>
          <w:rFonts w:eastAsia="Times New Roman" w:cs="宋体"/>
          <w:bCs/>
          <w:sz w:val="26"/>
          <w:szCs w:val="20"/>
        </w:rPr>
      </w:pPr>
    </w:p>
    <w:p w14:paraId="29E1A06B">
      <w:pPr>
        <w:pStyle w:val="1065"/>
      </w:pPr>
      <w:r>
        <w:drawing>
          <wp:inline distT="0" distB="0" distL="0" distR="0">
            <wp:extent cx="5543550" cy="3883025"/>
            <wp:effectExtent l="0" t="0" r="0" b="317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56"/>
                    <a:stretch>
                      <a:fillRect/>
                    </a:stretch>
                  </pic:blipFill>
                  <pic:spPr>
                    <a:xfrm>
                      <a:off x="0" y="0"/>
                      <a:ext cx="5543550" cy="3883025"/>
                    </a:xfrm>
                    <a:prstGeom prst="rect">
                      <a:avLst/>
                    </a:prstGeom>
                  </pic:spPr>
                </pic:pic>
              </a:graphicData>
            </a:graphic>
          </wp:inline>
        </w:drawing>
      </w:r>
    </w:p>
    <w:p w14:paraId="4FD3EC15">
      <w:pPr>
        <w:pStyle w:val="1065"/>
      </w:pPr>
      <w:r>
        <w:rPr>
          <w:rFonts w:hint="eastAsia"/>
        </w:rPr>
        <w:t>图4</w:t>
      </w:r>
      <w:r>
        <w:t xml:space="preserve">.3-4  </w:t>
      </w:r>
      <w:r>
        <w:rPr>
          <w:rFonts w:hint="eastAsia"/>
        </w:rPr>
        <w:t>重要物种适生生境图</w:t>
      </w:r>
    </w:p>
    <w:p w14:paraId="1014B8D9">
      <w:pPr>
        <w:pStyle w:val="1379"/>
        <w:ind w:firstLine="440"/>
      </w:pPr>
    </w:p>
    <w:p w14:paraId="060420CC">
      <w:pPr>
        <w:pStyle w:val="1068"/>
      </w:pPr>
      <w:r>
        <w:rPr>
          <w:rFonts w:hint="eastAsia"/>
        </w:rPr>
        <w:t>4</w:t>
      </w:r>
      <w:r>
        <w:t xml:space="preserve">.3.6 </w:t>
      </w:r>
      <w:r>
        <w:rPr>
          <w:rFonts w:hint="eastAsia"/>
        </w:rPr>
        <w:t>水生生物现状</w:t>
      </w:r>
    </w:p>
    <w:p w14:paraId="676ADBEB">
      <w:pPr>
        <w:pStyle w:val="1381"/>
        <w:ind w:firstLine="520"/>
      </w:pPr>
      <w:r>
        <w:rPr>
          <w:rFonts w:hint="eastAsia"/>
        </w:rPr>
        <w:t>本项目占地范围土地利用现状为旱地，生态评价范围内无河流、沟渠、坑塘等水体分布。</w:t>
      </w:r>
    </w:p>
    <w:p w14:paraId="0983ADDA">
      <w:pPr>
        <w:pStyle w:val="1443"/>
        <w:ind w:firstLine="522"/>
      </w:pPr>
      <w:r>
        <w:t xml:space="preserve">4.3.7 </w:t>
      </w:r>
      <w:r>
        <w:rPr>
          <w:rFonts w:hint="eastAsia"/>
        </w:rPr>
        <w:t>生态系统类型</w:t>
      </w:r>
    </w:p>
    <w:p w14:paraId="1BB131C1">
      <w:pPr>
        <w:pStyle w:val="702"/>
        <w:ind w:firstLine="520"/>
        <w:rPr>
          <w:szCs w:val="26"/>
        </w:rPr>
      </w:pPr>
      <w:r>
        <w:rPr>
          <w:rFonts w:hint="eastAsia"/>
          <w:szCs w:val="26"/>
        </w:rPr>
        <w:t>评价区域生态系统类型调查按照《全国生态状况调查评估技术规范-生态系统遥感解译与野外核查》（HJ1166-2021）要求，基于评价区域高空间分辨率遥感影像以及野外核查点位照片，将评价范围内生态系统分为森林生态系统、农田生态系统和城镇生态系统，经过人机交互遥感解译、野外核查和精度验证，制作评价区域生态系统类型图。生态系统统计累计面积如下：</w:t>
      </w:r>
    </w:p>
    <w:p w14:paraId="77CE7D5F">
      <w:pPr>
        <w:pStyle w:val="1379"/>
        <w:ind w:firstLine="440"/>
      </w:pPr>
    </w:p>
    <w:p w14:paraId="47AC918F">
      <w:pPr>
        <w:pStyle w:val="1065"/>
        <w:keepNext/>
        <w:rPr>
          <w:rFonts w:eastAsia="黑体"/>
        </w:rPr>
      </w:pPr>
      <w:r>
        <w:t>表4.3-6  评价范围生态系统面积统计表</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2"/>
        <w:gridCol w:w="2086"/>
        <w:gridCol w:w="2333"/>
        <w:gridCol w:w="1945"/>
      </w:tblGrid>
      <w:tr w14:paraId="64EA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4668" w:type="dxa"/>
            <w:gridSpan w:val="2"/>
            <w:noWrap/>
            <w:vAlign w:val="center"/>
          </w:tcPr>
          <w:p w14:paraId="4258F217">
            <w:pPr>
              <w:pStyle w:val="687"/>
            </w:pPr>
            <w:r>
              <w:t>生态系统分类</w:t>
            </w:r>
          </w:p>
        </w:tc>
        <w:tc>
          <w:tcPr>
            <w:tcW w:w="2333" w:type="dxa"/>
            <w:vMerge w:val="restart"/>
            <w:noWrap/>
            <w:vAlign w:val="center"/>
          </w:tcPr>
          <w:p w14:paraId="694C3FB5">
            <w:pPr>
              <w:pStyle w:val="687"/>
            </w:pPr>
            <w:r>
              <w:t>面积（公顷）</w:t>
            </w:r>
          </w:p>
        </w:tc>
        <w:tc>
          <w:tcPr>
            <w:tcW w:w="1945" w:type="dxa"/>
            <w:vMerge w:val="restart"/>
            <w:vAlign w:val="center"/>
          </w:tcPr>
          <w:p w14:paraId="2D34FD6A">
            <w:pPr>
              <w:pStyle w:val="687"/>
            </w:pPr>
            <w:r>
              <w:t>占比（%）</w:t>
            </w:r>
          </w:p>
        </w:tc>
      </w:tr>
      <w:tr w14:paraId="59B0D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582" w:type="dxa"/>
            <w:noWrap/>
            <w:vAlign w:val="center"/>
          </w:tcPr>
          <w:p w14:paraId="15132455">
            <w:pPr>
              <w:pStyle w:val="687"/>
            </w:pPr>
            <w:r>
              <w:t>一级类</w:t>
            </w:r>
          </w:p>
        </w:tc>
        <w:tc>
          <w:tcPr>
            <w:tcW w:w="2086" w:type="dxa"/>
            <w:noWrap/>
            <w:vAlign w:val="center"/>
          </w:tcPr>
          <w:p w14:paraId="1A658362">
            <w:pPr>
              <w:pStyle w:val="687"/>
            </w:pPr>
            <w:r>
              <w:t>二级类</w:t>
            </w:r>
          </w:p>
        </w:tc>
        <w:tc>
          <w:tcPr>
            <w:tcW w:w="2333" w:type="dxa"/>
            <w:vMerge w:val="continue"/>
            <w:vAlign w:val="center"/>
          </w:tcPr>
          <w:p w14:paraId="436E0A69">
            <w:pPr>
              <w:pStyle w:val="687"/>
            </w:pPr>
          </w:p>
        </w:tc>
        <w:tc>
          <w:tcPr>
            <w:tcW w:w="1945" w:type="dxa"/>
            <w:vMerge w:val="continue"/>
            <w:vAlign w:val="center"/>
          </w:tcPr>
          <w:p w14:paraId="6F9246BE">
            <w:pPr>
              <w:pStyle w:val="687"/>
            </w:pPr>
          </w:p>
        </w:tc>
      </w:tr>
      <w:tr w14:paraId="5EA8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582" w:type="dxa"/>
            <w:noWrap/>
            <w:vAlign w:val="center"/>
          </w:tcPr>
          <w:p w14:paraId="702B0A44">
            <w:pPr>
              <w:pStyle w:val="687"/>
            </w:pPr>
            <w:r>
              <w:rPr>
                <w:kern w:val="0"/>
                <w:szCs w:val="21"/>
              </w:rPr>
              <w:t>1森林生态系统</w:t>
            </w:r>
          </w:p>
        </w:tc>
        <w:tc>
          <w:tcPr>
            <w:tcW w:w="2086" w:type="dxa"/>
            <w:noWrap/>
            <w:vAlign w:val="center"/>
          </w:tcPr>
          <w:p w14:paraId="3E35CB57">
            <w:pPr>
              <w:pStyle w:val="687"/>
            </w:pPr>
            <w:r>
              <w:rPr>
                <w:rFonts w:hint="eastAsia"/>
                <w:kern w:val="0"/>
                <w:szCs w:val="21"/>
              </w:rPr>
              <w:t>1</w:t>
            </w:r>
            <w:r>
              <w:rPr>
                <w:kern w:val="0"/>
                <w:szCs w:val="21"/>
              </w:rPr>
              <w:t>2</w:t>
            </w:r>
            <w:r>
              <w:rPr>
                <w:rFonts w:hint="eastAsia"/>
                <w:kern w:val="0"/>
                <w:szCs w:val="21"/>
              </w:rPr>
              <w:t>针叶林</w:t>
            </w:r>
          </w:p>
        </w:tc>
        <w:tc>
          <w:tcPr>
            <w:tcW w:w="2333" w:type="dxa"/>
            <w:noWrap/>
            <w:vAlign w:val="center"/>
          </w:tcPr>
          <w:p w14:paraId="30C68D2B">
            <w:pPr>
              <w:pStyle w:val="687"/>
            </w:pPr>
            <w:r>
              <w:rPr>
                <w:rFonts w:eastAsia="等线"/>
                <w:szCs w:val="21"/>
              </w:rPr>
              <w:t>0.29</w:t>
            </w:r>
          </w:p>
        </w:tc>
        <w:tc>
          <w:tcPr>
            <w:tcW w:w="1945" w:type="dxa"/>
            <w:noWrap/>
            <w:vAlign w:val="center"/>
          </w:tcPr>
          <w:p w14:paraId="4C2265D0">
            <w:pPr>
              <w:pStyle w:val="687"/>
            </w:pPr>
            <w:r>
              <w:rPr>
                <w:rFonts w:eastAsia="等线"/>
                <w:szCs w:val="21"/>
              </w:rPr>
              <w:t>10.38</w:t>
            </w:r>
          </w:p>
        </w:tc>
      </w:tr>
      <w:tr w14:paraId="5BF8D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582" w:type="dxa"/>
            <w:vAlign w:val="center"/>
          </w:tcPr>
          <w:p w14:paraId="0C447E3F">
            <w:pPr>
              <w:pStyle w:val="687"/>
            </w:pPr>
            <w:r>
              <w:rPr>
                <w:kern w:val="0"/>
                <w:szCs w:val="21"/>
              </w:rPr>
              <w:t>5农田生态系统</w:t>
            </w:r>
          </w:p>
        </w:tc>
        <w:tc>
          <w:tcPr>
            <w:tcW w:w="2086" w:type="dxa"/>
            <w:noWrap/>
            <w:vAlign w:val="center"/>
          </w:tcPr>
          <w:p w14:paraId="3AABDEF9">
            <w:pPr>
              <w:pStyle w:val="687"/>
            </w:pPr>
            <w:r>
              <w:rPr>
                <w:kern w:val="0"/>
                <w:szCs w:val="21"/>
              </w:rPr>
              <w:t>51耕地</w:t>
            </w:r>
          </w:p>
        </w:tc>
        <w:tc>
          <w:tcPr>
            <w:tcW w:w="2333" w:type="dxa"/>
            <w:noWrap/>
            <w:vAlign w:val="center"/>
          </w:tcPr>
          <w:p w14:paraId="6E95D71D">
            <w:pPr>
              <w:pStyle w:val="687"/>
            </w:pPr>
            <w:r>
              <w:rPr>
                <w:rFonts w:eastAsia="等线"/>
                <w:szCs w:val="21"/>
              </w:rPr>
              <w:t>2.50</w:t>
            </w:r>
          </w:p>
        </w:tc>
        <w:tc>
          <w:tcPr>
            <w:tcW w:w="1945" w:type="dxa"/>
            <w:noWrap/>
            <w:vAlign w:val="center"/>
          </w:tcPr>
          <w:p w14:paraId="056A5984">
            <w:pPr>
              <w:pStyle w:val="687"/>
            </w:pPr>
            <w:r>
              <w:rPr>
                <w:rFonts w:eastAsia="等线"/>
                <w:szCs w:val="21"/>
              </w:rPr>
              <w:t>86.51</w:t>
            </w:r>
          </w:p>
        </w:tc>
      </w:tr>
      <w:tr w14:paraId="1216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582" w:type="dxa"/>
            <w:vAlign w:val="center"/>
          </w:tcPr>
          <w:p w14:paraId="796B9463">
            <w:pPr>
              <w:pStyle w:val="687"/>
            </w:pPr>
            <w:r>
              <w:rPr>
                <w:rFonts w:hint="eastAsia"/>
                <w:kern w:val="0"/>
                <w:szCs w:val="21"/>
              </w:rPr>
              <w:t>6城镇生态系统</w:t>
            </w:r>
          </w:p>
        </w:tc>
        <w:tc>
          <w:tcPr>
            <w:tcW w:w="2086" w:type="dxa"/>
            <w:noWrap/>
            <w:vAlign w:val="center"/>
          </w:tcPr>
          <w:p w14:paraId="2F288C15">
            <w:pPr>
              <w:pStyle w:val="687"/>
            </w:pPr>
            <w:r>
              <w:rPr>
                <w:rFonts w:hint="eastAsia"/>
                <w:kern w:val="0"/>
                <w:szCs w:val="21"/>
              </w:rPr>
              <w:t>63工矿交通</w:t>
            </w:r>
          </w:p>
        </w:tc>
        <w:tc>
          <w:tcPr>
            <w:tcW w:w="2333" w:type="dxa"/>
            <w:noWrap/>
            <w:vAlign w:val="center"/>
          </w:tcPr>
          <w:p w14:paraId="4192CDAE">
            <w:pPr>
              <w:pStyle w:val="687"/>
              <w:rPr>
                <w:szCs w:val="21"/>
              </w:rPr>
            </w:pPr>
            <w:r>
              <w:rPr>
                <w:rFonts w:eastAsia="等线"/>
                <w:szCs w:val="21"/>
              </w:rPr>
              <w:t>0.09</w:t>
            </w:r>
          </w:p>
        </w:tc>
        <w:tc>
          <w:tcPr>
            <w:tcW w:w="1945" w:type="dxa"/>
            <w:noWrap/>
            <w:vAlign w:val="center"/>
          </w:tcPr>
          <w:p w14:paraId="37E97410">
            <w:pPr>
              <w:pStyle w:val="687"/>
              <w:rPr>
                <w:szCs w:val="21"/>
              </w:rPr>
            </w:pPr>
            <w:r>
              <w:rPr>
                <w:rFonts w:eastAsia="等线"/>
                <w:szCs w:val="21"/>
              </w:rPr>
              <w:t>3.11</w:t>
            </w:r>
          </w:p>
        </w:tc>
      </w:tr>
      <w:tr w14:paraId="4032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668" w:type="dxa"/>
            <w:gridSpan w:val="2"/>
            <w:noWrap/>
            <w:vAlign w:val="center"/>
          </w:tcPr>
          <w:p w14:paraId="749D0F67">
            <w:pPr>
              <w:pStyle w:val="687"/>
            </w:pPr>
            <w:r>
              <w:t>合计</w:t>
            </w:r>
          </w:p>
        </w:tc>
        <w:tc>
          <w:tcPr>
            <w:tcW w:w="2333" w:type="dxa"/>
            <w:noWrap/>
            <w:vAlign w:val="center"/>
          </w:tcPr>
          <w:p w14:paraId="4864E937">
            <w:pPr>
              <w:pStyle w:val="687"/>
            </w:pPr>
            <w:r>
              <w:t>2.88</w:t>
            </w:r>
          </w:p>
        </w:tc>
        <w:tc>
          <w:tcPr>
            <w:tcW w:w="1945" w:type="dxa"/>
            <w:noWrap/>
            <w:vAlign w:val="center"/>
          </w:tcPr>
          <w:p w14:paraId="6253B420">
            <w:pPr>
              <w:pStyle w:val="687"/>
            </w:pPr>
            <w:r>
              <w:t>100.00</w:t>
            </w:r>
          </w:p>
        </w:tc>
      </w:tr>
    </w:tbl>
    <w:p w14:paraId="5EC0DC70">
      <w:pPr>
        <w:pStyle w:val="1379"/>
        <w:ind w:firstLine="440"/>
      </w:pPr>
    </w:p>
    <w:p w14:paraId="27D5A42F">
      <w:pPr>
        <w:pStyle w:val="1065"/>
      </w:pPr>
      <w:r>
        <w:drawing>
          <wp:inline distT="0" distB="0" distL="0" distR="0">
            <wp:extent cx="5543550" cy="3860800"/>
            <wp:effectExtent l="0" t="0" r="0" b="635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57"/>
                    <a:stretch>
                      <a:fillRect/>
                    </a:stretch>
                  </pic:blipFill>
                  <pic:spPr>
                    <a:xfrm>
                      <a:off x="0" y="0"/>
                      <a:ext cx="5543550" cy="3860800"/>
                    </a:xfrm>
                    <a:prstGeom prst="rect">
                      <a:avLst/>
                    </a:prstGeom>
                  </pic:spPr>
                </pic:pic>
              </a:graphicData>
            </a:graphic>
          </wp:inline>
        </w:drawing>
      </w:r>
    </w:p>
    <w:p w14:paraId="4A085D57">
      <w:pPr>
        <w:pStyle w:val="1065"/>
      </w:pPr>
      <w:r>
        <w:rPr>
          <w:rFonts w:hint="eastAsia"/>
        </w:rPr>
        <w:t>图4.3-</w:t>
      </w:r>
      <w:r>
        <w:t>5</w:t>
      </w:r>
      <w:r>
        <w:rPr>
          <w:rFonts w:hint="eastAsia"/>
        </w:rPr>
        <w:t xml:space="preserve">  评价范围生态类型图</w:t>
      </w:r>
    </w:p>
    <w:p w14:paraId="3DF1AA46">
      <w:pPr>
        <w:pStyle w:val="1379"/>
        <w:ind w:firstLine="440"/>
      </w:pPr>
    </w:p>
    <w:p w14:paraId="7B1E06D5">
      <w:pPr>
        <w:pStyle w:val="1381"/>
        <w:ind w:firstLine="520"/>
      </w:pPr>
      <w:r>
        <w:rPr>
          <w:rFonts w:hint="eastAsia"/>
        </w:rPr>
        <w:t>（1）</w:t>
      </w:r>
      <w:r>
        <w:t>森林生态系统</w:t>
      </w:r>
    </w:p>
    <w:p w14:paraId="49F91D8D">
      <w:pPr>
        <w:pStyle w:val="1381"/>
        <w:ind w:firstLine="520"/>
      </w:pPr>
      <w:r>
        <w:rPr>
          <w:rFonts w:hint="eastAsia"/>
        </w:rPr>
        <w:t>评价区内森林生态系统的面积为</w:t>
      </w:r>
      <w:r>
        <w:t>0.29hm</w:t>
      </w:r>
      <w:r>
        <w:rPr>
          <w:vertAlign w:val="superscript"/>
        </w:rPr>
        <w:t>2</w:t>
      </w:r>
      <w:r>
        <w:rPr>
          <w:rFonts w:hint="eastAsia"/>
        </w:rPr>
        <w:t>，占评价区总面积的</w:t>
      </w:r>
      <w:r>
        <w:t>10.38%</w:t>
      </w:r>
      <w:r>
        <w:rPr>
          <w:rFonts w:hint="eastAsia"/>
        </w:rPr>
        <w:t>。森林生态系统的植被类型以针叶林为主，建群种主要以柏木群系为主，在评价区内呈大斑块片状分布。森林生态系统在群落垂直结构上一般由乔木层、灌木层和草本层组成。评价区内的森林生态系统相对稳定。</w:t>
      </w:r>
      <w:r>
        <w:t>森林类态系统及其林下灌丛由于植物的多样性和富于层次的结构，为鸟类、兽类和其它动物提供了丰富的栖息地和食物，是其生存、生活的天然场所。</w:t>
      </w:r>
    </w:p>
    <w:p w14:paraId="74EF93F2">
      <w:pPr>
        <w:pStyle w:val="1381"/>
        <w:ind w:firstLine="520"/>
      </w:pPr>
      <w:r>
        <w:rPr>
          <w:rFonts w:hint="eastAsia"/>
        </w:rPr>
        <w:t>评价范围森林生态系统受人为干扰严重，动植物组成较简单，生态系统空间结构和营养链式结构较简单，生态服务功能一般，森林生态系统服务功能主要包括森林在涵养水源、保育土壤、防风固沙、固碳释氧、净化空气、生物多样性保护及森林游憩等方面提供的生态服务功能。森林生态系统内植被多以纯林为主，林相整齐，植被层次结构、层片结构相对简单；森林生态系统内群系组成单一，群落结构简单，动植物种类组成相对贫乏，食物网结构、营养结构相对较简单。</w:t>
      </w:r>
    </w:p>
    <w:p w14:paraId="260B9012">
      <w:pPr>
        <w:pStyle w:val="1381"/>
        <w:ind w:firstLine="520"/>
      </w:pPr>
      <w:r>
        <w:rPr>
          <w:rFonts w:hint="eastAsia"/>
        </w:rPr>
        <w:t>（</w:t>
      </w:r>
      <w:r>
        <w:t>2</w:t>
      </w:r>
      <w:r>
        <w:rPr>
          <w:rFonts w:hint="eastAsia"/>
        </w:rPr>
        <w:t>）农田生态系统</w:t>
      </w:r>
    </w:p>
    <w:p w14:paraId="24A2BE69">
      <w:pPr>
        <w:pStyle w:val="1381"/>
        <w:ind w:firstLine="520"/>
      </w:pPr>
      <w:r>
        <w:rPr>
          <w:rFonts w:hint="eastAsia"/>
        </w:rPr>
        <w:t>评价区域内农田生态系统组成主要为耕地，主要集中山坡较平缓处以及山谷等人类聚居地附近，在评价区内面积为</w:t>
      </w:r>
      <w:r>
        <w:t>2.50hm</w:t>
      </w:r>
      <w:r>
        <w:rPr>
          <w:vertAlign w:val="superscript"/>
        </w:rPr>
        <w:t>2</w:t>
      </w:r>
      <w:r>
        <w:rPr>
          <w:rFonts w:hint="eastAsia"/>
        </w:rPr>
        <w:t>，占比为</w:t>
      </w:r>
      <w:r>
        <w:t>86.51%</w:t>
      </w:r>
      <w:r>
        <w:rPr>
          <w:rFonts w:hint="eastAsia"/>
        </w:rPr>
        <w:t>。该系统的主要作用是为当地居民提供食物，并为当地居民提高经济收入，但对于保持水土流失及防止环境污染的作用是负面的。</w:t>
      </w:r>
    </w:p>
    <w:p w14:paraId="0789AECD">
      <w:pPr>
        <w:pStyle w:val="1381"/>
        <w:ind w:firstLine="520"/>
      </w:pPr>
      <w:r>
        <w:rPr>
          <w:rFonts w:hint="eastAsia"/>
        </w:rPr>
        <w:t>（3）城镇生态系统</w:t>
      </w:r>
    </w:p>
    <w:p w14:paraId="6A2557A4">
      <w:pPr>
        <w:pStyle w:val="1381"/>
        <w:ind w:firstLine="520"/>
      </w:pPr>
      <w:r>
        <w:t>根据遥感影像解译并结合现场踏勘，城镇生态系统面积为</w:t>
      </w:r>
      <w:r>
        <w:rPr>
          <w:rFonts w:eastAsia="等线"/>
          <w:szCs w:val="21"/>
        </w:rPr>
        <w:t>0.09</w:t>
      </w:r>
      <w:r>
        <w:t>hm</w:t>
      </w:r>
      <w:r>
        <w:rPr>
          <w:vertAlign w:val="superscript"/>
        </w:rPr>
        <w:t>2</w:t>
      </w:r>
      <w:r>
        <w:t>，占总面积的3.11%</w:t>
      </w:r>
      <w:r>
        <w:rPr>
          <w:rFonts w:hint="eastAsia"/>
        </w:rPr>
        <w:t>，主要为道路用地。</w:t>
      </w:r>
      <w:r>
        <w:t>城镇是一个高度复合的人工化生态系统，与自然生态系统在结构和功能上都存在明显差别，生态服务功能主要是提供生活和生产物质的功能，包括食物生产、原材料生产以及满足人类精神和物质生活需求的功能。</w:t>
      </w:r>
    </w:p>
    <w:p w14:paraId="126F7AA5">
      <w:pPr>
        <w:pStyle w:val="1381"/>
        <w:ind w:firstLine="392" w:firstLineChars="150"/>
        <w:outlineLvl w:val="2"/>
        <w:rPr>
          <w:rFonts w:cs="Times New Roman"/>
          <w:b/>
          <w:bCs/>
          <w:szCs w:val="26"/>
        </w:rPr>
      </w:pPr>
      <w:r>
        <w:rPr>
          <w:rFonts w:hint="eastAsia" w:cs="Times New Roman"/>
          <w:b/>
          <w:bCs/>
          <w:szCs w:val="26"/>
        </w:rPr>
        <w:t>4</w:t>
      </w:r>
      <w:r>
        <w:rPr>
          <w:rFonts w:cs="Times New Roman"/>
          <w:b/>
          <w:bCs/>
          <w:szCs w:val="26"/>
        </w:rPr>
        <w:t xml:space="preserve">.3.8 </w:t>
      </w:r>
      <w:r>
        <w:rPr>
          <w:rFonts w:hint="eastAsia" w:cs="Times New Roman"/>
          <w:b/>
          <w:bCs/>
          <w:szCs w:val="26"/>
        </w:rPr>
        <w:t>水土流失调查</w:t>
      </w:r>
    </w:p>
    <w:p w14:paraId="59C0BDC4">
      <w:pPr>
        <w:spacing w:line="460" w:lineRule="exact"/>
        <w:ind w:firstLine="520" w:firstLineChars="200"/>
        <w:rPr>
          <w:sz w:val="26"/>
          <w:szCs w:val="26"/>
        </w:rPr>
      </w:pPr>
      <w:r>
        <w:rPr>
          <w:rFonts w:hint="eastAsia"/>
          <w:sz w:val="26"/>
          <w:szCs w:val="26"/>
        </w:rPr>
        <w:t>根据《水利部办公厅关于印发&lt;全国水土保持规划国家级水土流失重点预防区和重点治理区符合划分成果&gt;的通知》（办水保〔2013〕188号），本项目属于嘉陵江及沱江中下游国家级水土流失重点治理区。项目区土壤侵蚀类型以水力侵蚀为主，按侵蚀类型区划分属于西南土石山区，土壤容许流失量为</w:t>
      </w:r>
      <w:r>
        <w:rPr>
          <w:sz w:val="26"/>
          <w:szCs w:val="26"/>
        </w:rPr>
        <w:t>500t/km</w:t>
      </w:r>
      <w:r>
        <w:rPr>
          <w:sz w:val="26"/>
          <w:szCs w:val="26"/>
          <w:vertAlign w:val="superscript"/>
        </w:rPr>
        <w:t>2</w:t>
      </w:r>
      <w:r>
        <w:rPr>
          <w:rFonts w:hint="eastAsia"/>
          <w:sz w:val="26"/>
          <w:szCs w:val="26"/>
        </w:rPr>
        <w:t>•</w:t>
      </w:r>
      <w:r>
        <w:rPr>
          <w:sz w:val="26"/>
          <w:szCs w:val="26"/>
        </w:rPr>
        <w:t>a</w:t>
      </w:r>
      <w:r>
        <w:rPr>
          <w:rFonts w:hint="eastAsia"/>
          <w:sz w:val="26"/>
          <w:szCs w:val="26"/>
        </w:rPr>
        <w:t>，平均土壤侵蚀模数背景值为</w:t>
      </w:r>
      <w:r>
        <w:rPr>
          <w:sz w:val="26"/>
          <w:szCs w:val="26"/>
        </w:rPr>
        <w:t>2965t/km</w:t>
      </w:r>
      <w:r>
        <w:rPr>
          <w:sz w:val="26"/>
          <w:szCs w:val="26"/>
          <w:vertAlign w:val="superscript"/>
        </w:rPr>
        <w:t>2</w:t>
      </w:r>
      <w:r>
        <w:rPr>
          <w:rFonts w:hint="eastAsia"/>
          <w:sz w:val="26"/>
          <w:szCs w:val="26"/>
        </w:rPr>
        <w:t>•</w:t>
      </w:r>
      <w:r>
        <w:rPr>
          <w:sz w:val="26"/>
          <w:szCs w:val="26"/>
        </w:rPr>
        <w:t>a</w:t>
      </w:r>
      <w:r>
        <w:rPr>
          <w:rFonts w:hint="eastAsia"/>
          <w:sz w:val="26"/>
          <w:szCs w:val="26"/>
        </w:rPr>
        <w:t>。</w:t>
      </w:r>
    </w:p>
    <w:p w14:paraId="523D0063">
      <w:pPr>
        <w:spacing w:line="480" w:lineRule="exact"/>
        <w:ind w:firstLine="520" w:firstLineChars="200"/>
        <w:rPr>
          <w:sz w:val="26"/>
        </w:rPr>
      </w:pPr>
      <w:r>
        <w:rPr>
          <w:rFonts w:hint="eastAsia"/>
          <w:sz w:val="26"/>
        </w:rPr>
        <w:t>本次评价以202</w:t>
      </w:r>
      <w:r>
        <w:rPr>
          <w:sz w:val="26"/>
        </w:rPr>
        <w:t>5</w:t>
      </w:r>
      <w:r>
        <w:rPr>
          <w:rFonts w:hint="eastAsia"/>
          <w:sz w:val="26"/>
        </w:rPr>
        <w:t>年</w:t>
      </w:r>
      <w:r>
        <w:rPr>
          <w:sz w:val="26"/>
        </w:rPr>
        <w:t>9</w:t>
      </w:r>
      <w:r>
        <w:rPr>
          <w:rFonts w:hint="eastAsia"/>
          <w:sz w:val="26"/>
        </w:rPr>
        <w:t>月的Worldview卫星影像数据作为信息源（空间分辨率达0.5m），并结合区域1:1万地形图及相关资料，进行遥感解译，得到区域水土流失现状，再根据《土壤侵蚀分类分级标准》SL190-2007，评价区土壤侵蚀类型主要为水力侵蚀，其分类系统</w:t>
      </w:r>
      <w:r>
        <w:rPr>
          <w:bCs/>
          <w:sz w:val="26"/>
          <w:szCs w:val="26"/>
        </w:rPr>
        <w:t>见</w:t>
      </w:r>
      <w:r>
        <w:rPr>
          <w:rFonts w:hint="eastAsia"/>
          <w:bCs/>
          <w:sz w:val="26"/>
          <w:szCs w:val="26"/>
        </w:rPr>
        <w:t>下表。</w:t>
      </w:r>
    </w:p>
    <w:p w14:paraId="0944BD4B">
      <w:pPr>
        <w:pStyle w:val="1379"/>
        <w:ind w:firstLine="440"/>
      </w:pPr>
    </w:p>
    <w:p w14:paraId="2D1EAC3B">
      <w:pPr>
        <w:pStyle w:val="1065"/>
      </w:pPr>
      <w:r>
        <w:t>表4.3-7  评价区</w:t>
      </w:r>
      <w:r>
        <w:rPr>
          <w:rFonts w:hint="eastAsia"/>
        </w:rPr>
        <w:t>土壤侵蚀强度和面积统计表</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5"/>
        <w:gridCol w:w="3417"/>
        <w:gridCol w:w="2484"/>
      </w:tblGrid>
      <w:tr w14:paraId="16F90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5" w:type="dxa"/>
            <w:noWrap/>
            <w:vAlign w:val="center"/>
          </w:tcPr>
          <w:p w14:paraId="0CC21FF0">
            <w:pPr>
              <w:pStyle w:val="687"/>
            </w:pPr>
            <w:r>
              <w:rPr>
                <w:rFonts w:hint="eastAsia"/>
              </w:rPr>
              <w:t>土壤侵蚀类型</w:t>
            </w:r>
          </w:p>
        </w:tc>
        <w:tc>
          <w:tcPr>
            <w:tcW w:w="3417" w:type="dxa"/>
            <w:noWrap/>
            <w:vAlign w:val="center"/>
          </w:tcPr>
          <w:p w14:paraId="0E4FFF20">
            <w:pPr>
              <w:pStyle w:val="687"/>
            </w:pPr>
            <w:r>
              <w:rPr>
                <w:rFonts w:hint="eastAsia"/>
              </w:rPr>
              <w:t>面积（公顷）</w:t>
            </w:r>
          </w:p>
        </w:tc>
        <w:tc>
          <w:tcPr>
            <w:tcW w:w="2484" w:type="dxa"/>
            <w:noWrap/>
            <w:vAlign w:val="center"/>
          </w:tcPr>
          <w:p w14:paraId="2DFB264C">
            <w:pPr>
              <w:pStyle w:val="687"/>
            </w:pPr>
            <w:r>
              <w:rPr>
                <w:rFonts w:hint="eastAsia"/>
              </w:rPr>
              <w:t>占比（</w:t>
            </w:r>
            <w:r>
              <w:t>%</w:t>
            </w:r>
            <w:r>
              <w:rPr>
                <w:rFonts w:hint="eastAsia"/>
              </w:rPr>
              <w:t>）</w:t>
            </w:r>
          </w:p>
        </w:tc>
      </w:tr>
      <w:tr w14:paraId="79F0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5" w:type="dxa"/>
            <w:noWrap/>
            <w:vAlign w:val="center"/>
          </w:tcPr>
          <w:p w14:paraId="6AFCAF2A">
            <w:pPr>
              <w:pStyle w:val="687"/>
            </w:pPr>
            <w:r>
              <w:t>1</w:t>
            </w:r>
            <w:r>
              <w:rPr>
                <w:rFonts w:hint="eastAsia"/>
              </w:rPr>
              <w:t>微度侵蚀</w:t>
            </w:r>
          </w:p>
        </w:tc>
        <w:tc>
          <w:tcPr>
            <w:tcW w:w="3417" w:type="dxa"/>
            <w:noWrap/>
            <w:vAlign w:val="center"/>
          </w:tcPr>
          <w:p w14:paraId="7AD8C176">
            <w:pPr>
              <w:pStyle w:val="687"/>
            </w:pPr>
            <w:r>
              <w:rPr>
                <w:rFonts w:hint="eastAsia" w:eastAsia="等线"/>
                <w:szCs w:val="21"/>
              </w:rPr>
              <w:t>1</w:t>
            </w:r>
            <w:r>
              <w:rPr>
                <w:rFonts w:eastAsia="等线"/>
                <w:szCs w:val="21"/>
              </w:rPr>
              <w:t>.46</w:t>
            </w:r>
          </w:p>
        </w:tc>
        <w:tc>
          <w:tcPr>
            <w:tcW w:w="2484" w:type="dxa"/>
            <w:noWrap/>
            <w:vAlign w:val="center"/>
          </w:tcPr>
          <w:p w14:paraId="6882B896">
            <w:pPr>
              <w:pStyle w:val="687"/>
            </w:pPr>
            <w:r>
              <w:rPr>
                <w:rFonts w:hint="eastAsia" w:eastAsia="等线"/>
                <w:szCs w:val="21"/>
              </w:rPr>
              <w:t>5</w:t>
            </w:r>
            <w:r>
              <w:rPr>
                <w:rFonts w:eastAsia="等线"/>
                <w:szCs w:val="21"/>
              </w:rPr>
              <w:t>0.83</w:t>
            </w:r>
          </w:p>
        </w:tc>
      </w:tr>
      <w:tr w14:paraId="4DDDD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5" w:type="dxa"/>
            <w:noWrap/>
            <w:vAlign w:val="center"/>
          </w:tcPr>
          <w:p w14:paraId="111D654F">
            <w:pPr>
              <w:pStyle w:val="687"/>
            </w:pPr>
            <w:r>
              <w:t>2</w:t>
            </w:r>
            <w:r>
              <w:rPr>
                <w:rFonts w:hint="eastAsia"/>
              </w:rPr>
              <w:t>轻度侵蚀</w:t>
            </w:r>
          </w:p>
        </w:tc>
        <w:tc>
          <w:tcPr>
            <w:tcW w:w="3417" w:type="dxa"/>
            <w:noWrap/>
            <w:vAlign w:val="center"/>
          </w:tcPr>
          <w:p w14:paraId="2FC43D46">
            <w:pPr>
              <w:pStyle w:val="687"/>
            </w:pPr>
            <w:r>
              <w:rPr>
                <w:rFonts w:hint="eastAsia" w:eastAsia="等线"/>
                <w:szCs w:val="21"/>
              </w:rPr>
              <w:t>1</w:t>
            </w:r>
            <w:r>
              <w:rPr>
                <w:rFonts w:eastAsia="等线"/>
                <w:szCs w:val="21"/>
              </w:rPr>
              <w:t>.26</w:t>
            </w:r>
          </w:p>
        </w:tc>
        <w:tc>
          <w:tcPr>
            <w:tcW w:w="2484" w:type="dxa"/>
            <w:noWrap/>
            <w:vAlign w:val="center"/>
          </w:tcPr>
          <w:p w14:paraId="166F7B67">
            <w:pPr>
              <w:pStyle w:val="687"/>
            </w:pPr>
            <w:r>
              <w:rPr>
                <w:rFonts w:hint="eastAsia" w:eastAsia="等线"/>
                <w:szCs w:val="21"/>
              </w:rPr>
              <w:t>4</w:t>
            </w:r>
            <w:r>
              <w:rPr>
                <w:rFonts w:eastAsia="等线"/>
                <w:szCs w:val="21"/>
              </w:rPr>
              <w:t>3.85</w:t>
            </w:r>
          </w:p>
        </w:tc>
      </w:tr>
      <w:tr w14:paraId="56B7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5" w:type="dxa"/>
            <w:noWrap/>
            <w:vAlign w:val="center"/>
          </w:tcPr>
          <w:p w14:paraId="51AD5128">
            <w:pPr>
              <w:pStyle w:val="687"/>
            </w:pPr>
            <w:r>
              <w:t>3</w:t>
            </w:r>
            <w:r>
              <w:rPr>
                <w:rFonts w:hint="eastAsia"/>
              </w:rPr>
              <w:t>中度侵蚀</w:t>
            </w:r>
          </w:p>
        </w:tc>
        <w:tc>
          <w:tcPr>
            <w:tcW w:w="3417" w:type="dxa"/>
            <w:noWrap/>
            <w:vAlign w:val="center"/>
          </w:tcPr>
          <w:p w14:paraId="010F47C6">
            <w:pPr>
              <w:pStyle w:val="687"/>
            </w:pPr>
            <w:r>
              <w:rPr>
                <w:rFonts w:hint="eastAsia" w:eastAsia="等线"/>
                <w:szCs w:val="21"/>
              </w:rPr>
              <w:t>0</w:t>
            </w:r>
            <w:r>
              <w:rPr>
                <w:rFonts w:eastAsia="等线"/>
                <w:szCs w:val="21"/>
              </w:rPr>
              <w:t>.16</w:t>
            </w:r>
          </w:p>
        </w:tc>
        <w:tc>
          <w:tcPr>
            <w:tcW w:w="2484" w:type="dxa"/>
            <w:noWrap/>
            <w:vAlign w:val="center"/>
          </w:tcPr>
          <w:p w14:paraId="42411B0C">
            <w:pPr>
              <w:pStyle w:val="687"/>
            </w:pPr>
            <w:r>
              <w:rPr>
                <w:rFonts w:hint="eastAsia" w:eastAsia="等线"/>
                <w:szCs w:val="21"/>
              </w:rPr>
              <w:t>5</w:t>
            </w:r>
            <w:r>
              <w:rPr>
                <w:rFonts w:eastAsia="等线"/>
                <w:szCs w:val="21"/>
              </w:rPr>
              <w:t>.32</w:t>
            </w:r>
          </w:p>
        </w:tc>
      </w:tr>
      <w:tr w14:paraId="483C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5" w:type="dxa"/>
            <w:noWrap/>
            <w:vAlign w:val="center"/>
          </w:tcPr>
          <w:p w14:paraId="5482E068">
            <w:pPr>
              <w:pStyle w:val="687"/>
            </w:pPr>
            <w:r>
              <w:t>4</w:t>
            </w:r>
            <w:r>
              <w:rPr>
                <w:rFonts w:hint="eastAsia"/>
              </w:rPr>
              <w:t>强度侵蚀</w:t>
            </w:r>
          </w:p>
        </w:tc>
        <w:tc>
          <w:tcPr>
            <w:tcW w:w="3417" w:type="dxa"/>
            <w:noWrap/>
            <w:vAlign w:val="center"/>
          </w:tcPr>
          <w:p w14:paraId="3BE7E247">
            <w:pPr>
              <w:pStyle w:val="687"/>
            </w:pPr>
            <w:r>
              <w:rPr>
                <w:rFonts w:hint="eastAsia" w:eastAsia="等线"/>
                <w:szCs w:val="21"/>
              </w:rPr>
              <w:t>/</w:t>
            </w:r>
          </w:p>
        </w:tc>
        <w:tc>
          <w:tcPr>
            <w:tcW w:w="2484" w:type="dxa"/>
            <w:noWrap/>
            <w:vAlign w:val="center"/>
          </w:tcPr>
          <w:p w14:paraId="49E0983B">
            <w:pPr>
              <w:pStyle w:val="687"/>
            </w:pPr>
            <w:r>
              <w:rPr>
                <w:rFonts w:hint="eastAsia" w:eastAsia="等线"/>
                <w:szCs w:val="21"/>
              </w:rPr>
              <w:t>/</w:t>
            </w:r>
          </w:p>
        </w:tc>
      </w:tr>
      <w:tr w14:paraId="26F1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5" w:type="dxa"/>
            <w:noWrap/>
            <w:vAlign w:val="center"/>
          </w:tcPr>
          <w:p w14:paraId="652F8431">
            <w:pPr>
              <w:pStyle w:val="687"/>
            </w:pPr>
            <w:r>
              <w:t>5</w:t>
            </w:r>
            <w:r>
              <w:rPr>
                <w:rFonts w:hint="eastAsia"/>
              </w:rPr>
              <w:t>极强度侵蚀</w:t>
            </w:r>
          </w:p>
        </w:tc>
        <w:tc>
          <w:tcPr>
            <w:tcW w:w="3417" w:type="dxa"/>
            <w:noWrap/>
            <w:vAlign w:val="center"/>
          </w:tcPr>
          <w:p w14:paraId="6AEF4362">
            <w:pPr>
              <w:pStyle w:val="687"/>
            </w:pPr>
            <w:r>
              <w:rPr>
                <w:rFonts w:hint="eastAsia" w:eastAsia="等线"/>
                <w:szCs w:val="21"/>
              </w:rPr>
              <w:t>/</w:t>
            </w:r>
          </w:p>
        </w:tc>
        <w:tc>
          <w:tcPr>
            <w:tcW w:w="2484" w:type="dxa"/>
            <w:noWrap/>
            <w:vAlign w:val="center"/>
          </w:tcPr>
          <w:p w14:paraId="77F902E8">
            <w:pPr>
              <w:pStyle w:val="687"/>
            </w:pPr>
            <w:r>
              <w:rPr>
                <w:rFonts w:hint="eastAsia" w:eastAsia="等线"/>
                <w:szCs w:val="21"/>
              </w:rPr>
              <w:t>/</w:t>
            </w:r>
          </w:p>
        </w:tc>
      </w:tr>
      <w:tr w14:paraId="1312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5" w:type="dxa"/>
            <w:noWrap/>
            <w:vAlign w:val="center"/>
          </w:tcPr>
          <w:p w14:paraId="15C85840">
            <w:pPr>
              <w:pStyle w:val="687"/>
            </w:pPr>
            <w:r>
              <w:rPr>
                <w:rFonts w:hint="eastAsia"/>
              </w:rPr>
              <w:t>6剧烈侵蚀</w:t>
            </w:r>
          </w:p>
        </w:tc>
        <w:tc>
          <w:tcPr>
            <w:tcW w:w="3417" w:type="dxa"/>
            <w:noWrap/>
            <w:vAlign w:val="center"/>
          </w:tcPr>
          <w:p w14:paraId="41EE4CD7">
            <w:pPr>
              <w:pStyle w:val="687"/>
            </w:pPr>
            <w:r>
              <w:rPr>
                <w:rFonts w:hint="eastAsia" w:eastAsia="等线"/>
                <w:szCs w:val="21"/>
              </w:rPr>
              <w:t>/</w:t>
            </w:r>
          </w:p>
        </w:tc>
        <w:tc>
          <w:tcPr>
            <w:tcW w:w="2484" w:type="dxa"/>
            <w:noWrap/>
            <w:vAlign w:val="center"/>
          </w:tcPr>
          <w:p w14:paraId="6E06B9C8">
            <w:pPr>
              <w:pStyle w:val="687"/>
            </w:pPr>
            <w:r>
              <w:rPr>
                <w:rFonts w:hint="eastAsia" w:eastAsia="等线"/>
                <w:szCs w:val="21"/>
              </w:rPr>
              <w:t>/</w:t>
            </w:r>
          </w:p>
        </w:tc>
      </w:tr>
      <w:tr w14:paraId="7CE2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45" w:type="dxa"/>
            <w:noWrap/>
            <w:vAlign w:val="center"/>
          </w:tcPr>
          <w:p w14:paraId="3882249B">
            <w:pPr>
              <w:pStyle w:val="687"/>
            </w:pPr>
            <w:r>
              <w:rPr>
                <w:rFonts w:hint="eastAsia"/>
              </w:rPr>
              <w:t>总计</w:t>
            </w:r>
          </w:p>
        </w:tc>
        <w:tc>
          <w:tcPr>
            <w:tcW w:w="3417" w:type="dxa"/>
            <w:noWrap/>
            <w:vAlign w:val="center"/>
          </w:tcPr>
          <w:p w14:paraId="73C3315C">
            <w:pPr>
              <w:pStyle w:val="687"/>
            </w:pPr>
            <w:r>
              <w:rPr>
                <w:rFonts w:eastAsia="等线"/>
                <w:b/>
                <w:bCs/>
                <w:kern w:val="0"/>
                <w:szCs w:val="21"/>
              </w:rPr>
              <w:t>2.88</w:t>
            </w:r>
          </w:p>
        </w:tc>
        <w:tc>
          <w:tcPr>
            <w:tcW w:w="2484" w:type="dxa"/>
            <w:noWrap/>
            <w:vAlign w:val="center"/>
          </w:tcPr>
          <w:p w14:paraId="22499B92">
            <w:pPr>
              <w:pStyle w:val="687"/>
            </w:pPr>
            <w:r>
              <w:rPr>
                <w:rFonts w:eastAsia="等线"/>
                <w:b/>
                <w:bCs/>
                <w:kern w:val="0"/>
                <w:szCs w:val="21"/>
              </w:rPr>
              <w:t>100.00</w:t>
            </w:r>
          </w:p>
        </w:tc>
      </w:tr>
    </w:tbl>
    <w:p w14:paraId="055A1D28">
      <w:pPr>
        <w:pStyle w:val="1379"/>
        <w:ind w:firstLine="440"/>
      </w:pPr>
    </w:p>
    <w:p w14:paraId="6D1D43FF">
      <w:pPr>
        <w:pStyle w:val="1381"/>
        <w:adjustRightInd w:val="0"/>
        <w:snapToGrid w:val="0"/>
        <w:spacing w:line="240" w:lineRule="auto"/>
        <w:ind w:firstLine="0" w:firstLineChars="0"/>
        <w:rPr>
          <w:rFonts w:cs="Times New Roman"/>
          <w:szCs w:val="26"/>
        </w:rPr>
      </w:pPr>
      <w:r>
        <w:drawing>
          <wp:inline distT="0" distB="0" distL="0" distR="0">
            <wp:extent cx="5543550" cy="3917315"/>
            <wp:effectExtent l="0" t="0" r="0" b="698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58"/>
                    <a:stretch>
                      <a:fillRect/>
                    </a:stretch>
                  </pic:blipFill>
                  <pic:spPr>
                    <a:xfrm>
                      <a:off x="0" y="0"/>
                      <a:ext cx="5543550" cy="3917315"/>
                    </a:xfrm>
                    <a:prstGeom prst="rect">
                      <a:avLst/>
                    </a:prstGeom>
                  </pic:spPr>
                </pic:pic>
              </a:graphicData>
            </a:graphic>
          </wp:inline>
        </w:drawing>
      </w:r>
    </w:p>
    <w:p w14:paraId="16C67DE2">
      <w:pPr>
        <w:pStyle w:val="1065"/>
      </w:pPr>
      <w:r>
        <w:rPr>
          <w:rFonts w:hint="eastAsia"/>
        </w:rPr>
        <w:t>图4.3-</w:t>
      </w:r>
      <w:r>
        <w:t>8</w:t>
      </w:r>
      <w:r>
        <w:rPr>
          <w:rFonts w:hint="eastAsia"/>
        </w:rPr>
        <w:t xml:space="preserve">  评价范围土壤侵蚀分布图</w:t>
      </w:r>
    </w:p>
    <w:p w14:paraId="57D7FE79">
      <w:pPr>
        <w:pStyle w:val="1379"/>
        <w:ind w:firstLine="440"/>
      </w:pPr>
    </w:p>
    <w:p w14:paraId="144A4AB7">
      <w:pPr>
        <w:pStyle w:val="1381"/>
        <w:ind w:firstLine="392" w:firstLineChars="150"/>
        <w:outlineLvl w:val="2"/>
        <w:rPr>
          <w:rFonts w:cs="Times New Roman"/>
          <w:b/>
          <w:bCs/>
          <w:szCs w:val="26"/>
        </w:rPr>
      </w:pPr>
      <w:r>
        <w:rPr>
          <w:rFonts w:hint="eastAsia" w:cs="Times New Roman"/>
          <w:b/>
          <w:bCs/>
          <w:szCs w:val="26"/>
        </w:rPr>
        <w:t>4</w:t>
      </w:r>
      <w:r>
        <w:rPr>
          <w:rFonts w:cs="Times New Roman"/>
          <w:b/>
          <w:bCs/>
          <w:szCs w:val="26"/>
        </w:rPr>
        <w:t xml:space="preserve">.3.9 </w:t>
      </w:r>
      <w:r>
        <w:rPr>
          <w:rFonts w:hint="eastAsia" w:cs="Times New Roman"/>
          <w:b/>
          <w:bCs/>
          <w:szCs w:val="26"/>
        </w:rPr>
        <w:t>生态敏感区</w:t>
      </w:r>
    </w:p>
    <w:p w14:paraId="01211165">
      <w:pPr>
        <w:pStyle w:val="1381"/>
        <w:ind w:firstLine="390" w:firstLineChars="150"/>
        <w:rPr>
          <w:rFonts w:cs="Times New Roman"/>
          <w:szCs w:val="26"/>
        </w:rPr>
      </w:pPr>
      <w:r>
        <w:rPr>
          <w:rFonts w:hint="eastAsia" w:cs="Times New Roman"/>
          <w:szCs w:val="26"/>
        </w:rPr>
        <w:t>（1）生态保护红线</w:t>
      </w:r>
    </w:p>
    <w:p w14:paraId="6CA50B08">
      <w:pPr>
        <w:pStyle w:val="1381"/>
        <w:ind w:firstLine="520"/>
        <w:rPr>
          <w:rFonts w:cs="Times New Roman"/>
          <w:szCs w:val="26"/>
        </w:rPr>
      </w:pPr>
      <w:r>
        <w:rPr>
          <w:rFonts w:hint="eastAsia" w:cs="Times New Roman"/>
          <w:szCs w:val="26"/>
        </w:rPr>
        <w:t>生态保护红线是指依法在重点生态功能区、生态环境敏感区和脆弱区等区域划定的严格管控边界，是国家和区域生态安全的底线，对于维护生态安全格局、保障生态服务功能、支撑经济社会可持续发展具有重要作用。</w:t>
      </w:r>
    </w:p>
    <w:p w14:paraId="12A52CB8">
      <w:pPr>
        <w:pStyle w:val="1381"/>
        <w:ind w:firstLine="520"/>
        <w:rPr>
          <w:bCs/>
          <w:szCs w:val="26"/>
        </w:rPr>
      </w:pPr>
      <w:r>
        <w:rPr>
          <w:rFonts w:hint="eastAsia" w:cs="Times New Roman"/>
          <w:szCs w:val="26"/>
        </w:rPr>
        <w:t>根据《四川省生态环境厅关于公布四川省生态环境分区管控动态更新成果（2023年版）的通知》（川环函〔2024〕409号）以及</w:t>
      </w:r>
      <w:r>
        <w:rPr>
          <w:rFonts w:hint="eastAsia"/>
          <w:bCs/>
          <w:szCs w:val="26"/>
        </w:rPr>
        <w:t>《巴中市生态环境保护委员会办公室关于加强生态环境分区管控的通知》（巴环委办〔2024〕3号），本项目所在区域不在四川省及巴中市所划定的生态红线范围内，符合生态红线要求。</w:t>
      </w:r>
    </w:p>
    <w:p w14:paraId="49B2DCFE">
      <w:pPr>
        <w:pStyle w:val="1379"/>
        <w:ind w:firstLine="440"/>
      </w:pPr>
    </w:p>
    <w:p w14:paraId="5F6BE29A">
      <w:pPr>
        <w:pStyle w:val="1065"/>
      </w:pPr>
      <w:r>
        <w:drawing>
          <wp:inline distT="0" distB="0" distL="0" distR="0">
            <wp:extent cx="5543550" cy="365950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59"/>
                    <a:stretch>
                      <a:fillRect/>
                    </a:stretch>
                  </pic:blipFill>
                  <pic:spPr>
                    <a:xfrm>
                      <a:off x="0" y="0"/>
                      <a:ext cx="5543550" cy="3659505"/>
                    </a:xfrm>
                    <a:prstGeom prst="rect">
                      <a:avLst/>
                    </a:prstGeom>
                  </pic:spPr>
                </pic:pic>
              </a:graphicData>
            </a:graphic>
          </wp:inline>
        </w:drawing>
      </w:r>
    </w:p>
    <w:p w14:paraId="51DA1679">
      <w:pPr>
        <w:pStyle w:val="1065"/>
      </w:pPr>
      <w:r>
        <w:rPr>
          <w:rFonts w:hint="eastAsia"/>
        </w:rPr>
        <w:t>图4.3-</w:t>
      </w:r>
      <w:r>
        <w:t xml:space="preserve">9  </w:t>
      </w:r>
      <w:r>
        <w:rPr>
          <w:rFonts w:hint="eastAsia"/>
        </w:rPr>
        <w:t>与生态保护红线位置关系图</w:t>
      </w:r>
    </w:p>
    <w:p w14:paraId="1367179C">
      <w:pPr>
        <w:pStyle w:val="1379"/>
        <w:ind w:firstLine="440"/>
      </w:pPr>
    </w:p>
    <w:p w14:paraId="42BF7DDB">
      <w:pPr>
        <w:pStyle w:val="1381"/>
        <w:ind w:firstLine="390" w:firstLineChars="150"/>
        <w:rPr>
          <w:rFonts w:cs="Times New Roman"/>
          <w:szCs w:val="26"/>
        </w:rPr>
      </w:pPr>
      <w:r>
        <w:rPr>
          <w:rFonts w:hint="eastAsia" w:cs="Times New Roman"/>
          <w:szCs w:val="26"/>
        </w:rPr>
        <w:t>（2）永久基本农田</w:t>
      </w:r>
    </w:p>
    <w:p w14:paraId="453931A4">
      <w:pPr>
        <w:pStyle w:val="1381"/>
        <w:ind w:firstLine="390" w:firstLineChars="150"/>
        <w:rPr>
          <w:rFonts w:cs="Times New Roman"/>
          <w:szCs w:val="26"/>
        </w:rPr>
      </w:pPr>
      <w:r>
        <w:rPr>
          <w:rFonts w:hint="eastAsia" w:cs="Times New Roman"/>
          <w:szCs w:val="26"/>
        </w:rPr>
        <w:t>本项目位于巴中市恩阳区，评价范围内有永久基本农田</w:t>
      </w:r>
      <w:r>
        <w:rPr>
          <w:rFonts w:cs="Times New Roman"/>
          <w:szCs w:val="26"/>
        </w:rPr>
        <w:t>2.06</w:t>
      </w:r>
      <w:r>
        <w:rPr>
          <w:rFonts w:hint="eastAsia" w:cs="Times New Roman"/>
          <w:szCs w:val="26"/>
        </w:rPr>
        <w:t>公顷，巴中2HF试采站临时占用永久基本农田0.</w:t>
      </w:r>
      <w:r>
        <w:rPr>
          <w:rFonts w:cs="Times New Roman"/>
          <w:szCs w:val="26"/>
        </w:rPr>
        <w:t>47</w:t>
      </w:r>
      <w:r>
        <w:rPr>
          <w:rFonts w:hint="eastAsia" w:cs="Times New Roman"/>
          <w:szCs w:val="26"/>
        </w:rPr>
        <w:t>公顷，试采结束后若产气未达预期，将进行土地复垦，若产量达到预期，将转为区块开发，重新办理土地使用手续。</w:t>
      </w:r>
    </w:p>
    <w:p w14:paraId="654F94F9">
      <w:pPr>
        <w:pStyle w:val="1379"/>
        <w:ind w:firstLine="440"/>
      </w:pPr>
    </w:p>
    <w:p w14:paraId="6A8DAF8E">
      <w:pPr>
        <w:pStyle w:val="1065"/>
      </w:pPr>
      <w:r>
        <w:drawing>
          <wp:inline distT="0" distB="0" distL="0" distR="0">
            <wp:extent cx="5543550" cy="38354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60"/>
                    <a:stretch>
                      <a:fillRect/>
                    </a:stretch>
                  </pic:blipFill>
                  <pic:spPr>
                    <a:xfrm>
                      <a:off x="0" y="0"/>
                      <a:ext cx="5543550" cy="3835400"/>
                    </a:xfrm>
                    <a:prstGeom prst="rect">
                      <a:avLst/>
                    </a:prstGeom>
                  </pic:spPr>
                </pic:pic>
              </a:graphicData>
            </a:graphic>
          </wp:inline>
        </w:drawing>
      </w:r>
    </w:p>
    <w:p w14:paraId="3E85896F">
      <w:pPr>
        <w:pStyle w:val="1065"/>
      </w:pPr>
      <w:r>
        <w:rPr>
          <w:rFonts w:hint="eastAsia"/>
        </w:rPr>
        <w:t>图4.3-</w:t>
      </w:r>
      <w:r>
        <w:t xml:space="preserve">10  </w:t>
      </w:r>
      <w:r>
        <w:rPr>
          <w:rFonts w:hint="eastAsia"/>
        </w:rPr>
        <w:t>与永久基本农田位置关系图</w:t>
      </w:r>
    </w:p>
    <w:p w14:paraId="1EA51CE6">
      <w:pPr>
        <w:pStyle w:val="1379"/>
        <w:ind w:firstLine="440"/>
      </w:pPr>
    </w:p>
    <w:p w14:paraId="3E324A61">
      <w:pPr>
        <w:pStyle w:val="1381"/>
        <w:ind w:firstLine="390" w:firstLineChars="150"/>
        <w:rPr>
          <w:rFonts w:cs="Times New Roman"/>
          <w:szCs w:val="26"/>
        </w:rPr>
      </w:pPr>
      <w:r>
        <w:rPr>
          <w:rFonts w:hint="eastAsia" w:cs="Times New Roman"/>
          <w:szCs w:val="26"/>
        </w:rPr>
        <w:t>（3）</w:t>
      </w:r>
      <w:r>
        <w:rPr>
          <w:rFonts w:hint="eastAsia"/>
        </w:rPr>
        <w:t>公益林、天然林</w:t>
      </w:r>
    </w:p>
    <w:p w14:paraId="2A5C3C76">
      <w:pPr>
        <w:pStyle w:val="1381"/>
        <w:ind w:firstLine="390" w:firstLineChars="150"/>
        <w:rPr>
          <w:rFonts w:cs="Times New Roman"/>
          <w:szCs w:val="26"/>
        </w:rPr>
      </w:pPr>
      <w:r>
        <w:rPr>
          <w:rFonts w:hint="eastAsia" w:cs="Times New Roman"/>
          <w:szCs w:val="26"/>
        </w:rPr>
        <w:t>本项目评价范围内无天然林和公益林分布，最近公益林距离本项目试采站边界2</w:t>
      </w:r>
      <w:r>
        <w:rPr>
          <w:rFonts w:cs="Times New Roman"/>
          <w:szCs w:val="26"/>
        </w:rPr>
        <w:t>62</w:t>
      </w:r>
      <w:r>
        <w:rPr>
          <w:rFonts w:hint="eastAsia" w:cs="Times New Roman"/>
          <w:szCs w:val="26"/>
        </w:rPr>
        <w:t>m。</w:t>
      </w:r>
    </w:p>
    <w:p w14:paraId="327B5323">
      <w:pPr>
        <w:pStyle w:val="1379"/>
        <w:ind w:firstLine="440"/>
      </w:pPr>
    </w:p>
    <w:p w14:paraId="60709539">
      <w:pPr>
        <w:pStyle w:val="1065"/>
      </w:pPr>
      <w:r>
        <w:drawing>
          <wp:inline distT="0" distB="0" distL="0" distR="0">
            <wp:extent cx="5543550" cy="383667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61"/>
                    <a:stretch>
                      <a:fillRect/>
                    </a:stretch>
                  </pic:blipFill>
                  <pic:spPr>
                    <a:xfrm>
                      <a:off x="0" y="0"/>
                      <a:ext cx="5543550" cy="3836670"/>
                    </a:xfrm>
                    <a:prstGeom prst="rect">
                      <a:avLst/>
                    </a:prstGeom>
                  </pic:spPr>
                </pic:pic>
              </a:graphicData>
            </a:graphic>
          </wp:inline>
        </w:drawing>
      </w:r>
    </w:p>
    <w:p w14:paraId="7CE3AE15">
      <w:pPr>
        <w:pStyle w:val="1065"/>
      </w:pPr>
      <w:r>
        <w:rPr>
          <w:rFonts w:hint="eastAsia"/>
        </w:rPr>
        <w:t>图4.3-</w:t>
      </w:r>
      <w:r>
        <w:t xml:space="preserve">10  </w:t>
      </w:r>
      <w:r>
        <w:rPr>
          <w:rFonts w:hint="eastAsia"/>
        </w:rPr>
        <w:t>与天然林、公益林位置关系图</w:t>
      </w:r>
    </w:p>
    <w:p w14:paraId="07649108">
      <w:pPr>
        <w:pStyle w:val="1379"/>
        <w:ind w:firstLine="440"/>
      </w:pPr>
    </w:p>
    <w:p w14:paraId="592A8A47">
      <w:pPr>
        <w:pStyle w:val="1068"/>
      </w:pPr>
      <w:r>
        <w:rPr>
          <w:rFonts w:hint="eastAsia"/>
        </w:rPr>
        <w:t>4</w:t>
      </w:r>
      <w:r>
        <w:t xml:space="preserve">.3.10 </w:t>
      </w:r>
      <w:r>
        <w:rPr>
          <w:rFonts w:hint="eastAsia"/>
        </w:rPr>
        <w:t>主要生态问题</w:t>
      </w:r>
    </w:p>
    <w:p w14:paraId="5007B56F">
      <w:pPr>
        <w:spacing w:line="460" w:lineRule="exact"/>
        <w:ind w:firstLine="520" w:firstLineChars="200"/>
        <w:rPr>
          <w:sz w:val="26"/>
          <w:szCs w:val="26"/>
        </w:rPr>
      </w:pPr>
      <w:r>
        <w:rPr>
          <w:rFonts w:hint="eastAsia"/>
          <w:sz w:val="26"/>
          <w:szCs w:val="26"/>
        </w:rPr>
        <w:t>（1）生物多样性不高</w:t>
      </w:r>
    </w:p>
    <w:p w14:paraId="52C855E4">
      <w:pPr>
        <w:spacing w:line="460" w:lineRule="exact"/>
        <w:ind w:firstLine="520" w:firstLineChars="200"/>
        <w:rPr>
          <w:sz w:val="26"/>
          <w:szCs w:val="26"/>
        </w:rPr>
      </w:pPr>
      <w:r>
        <w:rPr>
          <w:rFonts w:hint="eastAsia"/>
          <w:sz w:val="26"/>
          <w:szCs w:val="26"/>
        </w:rPr>
        <w:t>通过评价区现状描述及区域资料分析，该区人为干扰较大，农耕区占地较广，森林植被以人工的纯林为主。评价区内地带性植被、垂直分布特征均不显著，植被类型较为单一，除农作物等栽培植被以外的林灌覆盖率较低。从动物种类组成与分布来看，由于人类活动的影响评价范围内的动物主要为与人类适生的小型动物，大型兽类与保护种类较少，整体而言，整个区域的生物多样性不高。</w:t>
      </w:r>
    </w:p>
    <w:p w14:paraId="6A93DB40">
      <w:pPr>
        <w:spacing w:line="460" w:lineRule="exact"/>
        <w:ind w:firstLine="520" w:firstLineChars="200"/>
        <w:rPr>
          <w:sz w:val="26"/>
          <w:szCs w:val="26"/>
        </w:rPr>
      </w:pPr>
      <w:r>
        <w:rPr>
          <w:rFonts w:hint="eastAsia"/>
          <w:sz w:val="26"/>
          <w:szCs w:val="26"/>
        </w:rPr>
        <w:t>（2）外来植物入侵问题</w:t>
      </w:r>
    </w:p>
    <w:p w14:paraId="454F14C5">
      <w:pPr>
        <w:spacing w:line="460" w:lineRule="exact"/>
        <w:ind w:firstLine="520" w:firstLineChars="200"/>
        <w:rPr>
          <w:sz w:val="26"/>
          <w:szCs w:val="26"/>
        </w:rPr>
      </w:pPr>
      <w:r>
        <w:rPr>
          <w:rFonts w:hint="eastAsia"/>
          <w:sz w:val="26"/>
          <w:szCs w:val="26"/>
        </w:rPr>
        <w:t>本次调查发现评价区内共有需要重点管理的外来入侵植物鬼针草、小蓬草等，均为无意引入的外来物种，在路旁、林下等环境中零星分布。小蓬草生长极快，且能遏制其他植物的生长，在局部区域形成单一群落，对局部生物多样性产生一定影响；鬼针草零星分布于草地当中且个体数量不大，未形成单一优势群落，对当地的生态系统和物种尚未发现产生不利影响。</w:t>
      </w:r>
    </w:p>
    <w:bookmarkEnd w:id="235"/>
    <w:p w14:paraId="05DCA056">
      <w:pPr>
        <w:sectPr>
          <w:pgSz w:w="11906" w:h="16838"/>
          <w:pgMar w:top="1701" w:right="1588" w:bottom="1588" w:left="1588" w:header="1304" w:footer="1247" w:gutter="0"/>
          <w:cols w:space="720" w:num="1"/>
          <w:docGrid w:linePitch="312" w:charSpace="0"/>
        </w:sectPr>
      </w:pPr>
    </w:p>
    <w:p w14:paraId="7BFFC3C1">
      <w:pPr>
        <w:adjustRightInd w:val="0"/>
        <w:snapToGrid w:val="0"/>
        <w:spacing w:before="240" w:beforeLines="100" w:after="240" w:afterLines="100"/>
        <w:jc w:val="center"/>
        <w:outlineLvl w:val="0"/>
        <w:rPr>
          <w:b/>
          <w:sz w:val="32"/>
          <w:szCs w:val="32"/>
        </w:rPr>
      </w:pPr>
      <w:bookmarkStart w:id="238" w:name="_Toc165809732"/>
      <w:bookmarkStart w:id="239" w:name="_Toc165810543"/>
      <w:bookmarkStart w:id="240" w:name="_Toc219907646"/>
      <w:r>
        <w:rPr>
          <w:b/>
          <w:sz w:val="32"/>
          <w:szCs w:val="32"/>
        </w:rPr>
        <w:t>5 施工期环境影响分析</w:t>
      </w:r>
      <w:bookmarkEnd w:id="238"/>
      <w:bookmarkEnd w:id="239"/>
      <w:bookmarkEnd w:id="240"/>
    </w:p>
    <w:p w14:paraId="1E05AC04">
      <w:pPr>
        <w:adjustRightInd w:val="0"/>
        <w:snapToGrid w:val="0"/>
        <w:spacing w:line="460" w:lineRule="exact"/>
        <w:ind w:firstLine="522" w:firstLineChars="200"/>
        <w:outlineLvl w:val="1"/>
        <w:rPr>
          <w:b/>
          <w:bCs/>
          <w:sz w:val="26"/>
          <w:szCs w:val="26"/>
        </w:rPr>
      </w:pPr>
      <w:bookmarkStart w:id="241" w:name="_Toc165810544"/>
      <w:bookmarkStart w:id="242" w:name="_Toc128320917"/>
      <w:bookmarkStart w:id="243" w:name="_Toc219907647"/>
      <w:bookmarkStart w:id="244" w:name="_Toc165809733"/>
      <w:r>
        <w:rPr>
          <w:rFonts w:hint="eastAsia"/>
          <w:b/>
          <w:bCs/>
          <w:sz w:val="26"/>
          <w:szCs w:val="26"/>
        </w:rPr>
        <w:t>5</w:t>
      </w:r>
      <w:r>
        <w:rPr>
          <w:b/>
          <w:bCs/>
          <w:sz w:val="26"/>
          <w:szCs w:val="26"/>
        </w:rPr>
        <w:t xml:space="preserve">.1 </w:t>
      </w:r>
      <w:r>
        <w:rPr>
          <w:rFonts w:hint="eastAsia"/>
          <w:b/>
          <w:bCs/>
          <w:sz w:val="26"/>
          <w:szCs w:val="26"/>
        </w:rPr>
        <w:t>施工期生态环境影响分析</w:t>
      </w:r>
      <w:bookmarkEnd w:id="241"/>
      <w:bookmarkEnd w:id="242"/>
      <w:bookmarkEnd w:id="243"/>
      <w:bookmarkEnd w:id="244"/>
    </w:p>
    <w:p w14:paraId="5AA4D451">
      <w:pPr>
        <w:adjustRightInd w:val="0"/>
        <w:snapToGrid w:val="0"/>
        <w:spacing w:line="460" w:lineRule="exact"/>
        <w:ind w:firstLine="522" w:firstLineChars="200"/>
        <w:outlineLvl w:val="2"/>
        <w:rPr>
          <w:b/>
          <w:bCs/>
          <w:sz w:val="26"/>
          <w:szCs w:val="26"/>
        </w:rPr>
      </w:pPr>
      <w:bookmarkStart w:id="245" w:name="_Toc165810545"/>
      <w:r>
        <w:rPr>
          <w:rFonts w:hint="eastAsia"/>
          <w:b/>
          <w:bCs/>
          <w:sz w:val="26"/>
          <w:szCs w:val="26"/>
        </w:rPr>
        <w:t>5.1.1 对土地利用的影响</w:t>
      </w:r>
      <w:bookmarkEnd w:id="245"/>
    </w:p>
    <w:p w14:paraId="0072107B">
      <w:pPr>
        <w:adjustRightInd w:val="0"/>
        <w:snapToGrid w:val="0"/>
        <w:spacing w:line="460" w:lineRule="exact"/>
        <w:ind w:firstLine="520" w:firstLineChars="200"/>
        <w:rPr>
          <w:sz w:val="26"/>
          <w:szCs w:val="26"/>
        </w:rPr>
      </w:pPr>
      <w:r>
        <w:rPr>
          <w:rFonts w:hint="eastAsia"/>
          <w:sz w:val="26"/>
          <w:szCs w:val="26"/>
        </w:rPr>
        <w:t>本项目临时占地面积</w:t>
      </w:r>
      <w:r>
        <w:rPr>
          <w:sz w:val="26"/>
          <w:szCs w:val="26"/>
        </w:rPr>
        <w:t>5016</w:t>
      </w:r>
      <w:r>
        <w:rPr>
          <w:rFonts w:hint="eastAsia"/>
          <w:sz w:val="26"/>
          <w:szCs w:val="26"/>
        </w:rPr>
        <w:t>m</w:t>
      </w:r>
      <w:r>
        <w:rPr>
          <w:sz w:val="26"/>
          <w:szCs w:val="26"/>
          <w:vertAlign w:val="superscript"/>
        </w:rPr>
        <w:t>2</w:t>
      </w:r>
      <w:r>
        <w:rPr>
          <w:rFonts w:hint="eastAsia"/>
          <w:sz w:val="26"/>
          <w:szCs w:val="26"/>
        </w:rPr>
        <w:t>，在原有钻井井场范围内建设，在不新增占地的前提下，本项目不会导致区域土地利用格局的明显改变，对区域土地利用影响较小。</w:t>
      </w:r>
    </w:p>
    <w:p w14:paraId="32EEE51F">
      <w:pPr>
        <w:adjustRightInd w:val="0"/>
        <w:snapToGrid w:val="0"/>
        <w:spacing w:line="460" w:lineRule="exact"/>
        <w:ind w:firstLine="522" w:firstLineChars="200"/>
        <w:outlineLvl w:val="2"/>
        <w:rPr>
          <w:b/>
          <w:bCs/>
          <w:sz w:val="26"/>
          <w:szCs w:val="26"/>
        </w:rPr>
      </w:pPr>
      <w:r>
        <w:rPr>
          <w:rFonts w:hint="eastAsia"/>
          <w:b/>
          <w:bCs/>
          <w:sz w:val="26"/>
          <w:szCs w:val="26"/>
        </w:rPr>
        <w:t>5</w:t>
      </w:r>
      <w:r>
        <w:rPr>
          <w:b/>
          <w:bCs/>
          <w:sz w:val="26"/>
          <w:szCs w:val="26"/>
        </w:rPr>
        <w:t xml:space="preserve">.1.2 </w:t>
      </w:r>
      <w:r>
        <w:rPr>
          <w:rFonts w:hint="eastAsia"/>
          <w:b/>
          <w:bCs/>
          <w:sz w:val="26"/>
          <w:szCs w:val="26"/>
        </w:rPr>
        <w:t>对植被及植物资源的影响</w:t>
      </w:r>
    </w:p>
    <w:p w14:paraId="11D8B713">
      <w:pPr>
        <w:adjustRightInd w:val="0"/>
        <w:snapToGrid w:val="0"/>
        <w:spacing w:line="460" w:lineRule="exact"/>
        <w:ind w:firstLine="520" w:firstLineChars="200"/>
        <w:rPr>
          <w:sz w:val="26"/>
          <w:szCs w:val="26"/>
        </w:rPr>
      </w:pPr>
      <w:r>
        <w:rPr>
          <w:rFonts w:hint="eastAsia"/>
          <w:sz w:val="26"/>
          <w:szCs w:val="26"/>
        </w:rPr>
        <w:t>本项目在原有钻井井场范围内建设，不新增占地，不会对周边植被造成占压损失。根据调查，本项目施工场地范围内不涉及重点保护野生植物分布，不涉及古树名木分布，也无天然林、公益林分布，在施工过程中采取加强监管，严格在用地红线内作业等措施后，本项目对区域植被及植物资源影响很小。</w:t>
      </w:r>
    </w:p>
    <w:p w14:paraId="41F40697">
      <w:pPr>
        <w:adjustRightInd w:val="0"/>
        <w:snapToGrid w:val="0"/>
        <w:spacing w:line="460" w:lineRule="exact"/>
        <w:ind w:firstLine="522" w:firstLineChars="200"/>
        <w:outlineLvl w:val="2"/>
        <w:rPr>
          <w:b/>
          <w:sz w:val="26"/>
          <w:szCs w:val="26"/>
        </w:rPr>
      </w:pPr>
      <w:r>
        <w:rPr>
          <w:rFonts w:hint="eastAsia"/>
          <w:b/>
          <w:sz w:val="26"/>
          <w:szCs w:val="26"/>
        </w:rPr>
        <w:t>5</w:t>
      </w:r>
      <w:r>
        <w:rPr>
          <w:b/>
          <w:sz w:val="26"/>
          <w:szCs w:val="26"/>
        </w:rPr>
        <w:t xml:space="preserve">.1.3 </w:t>
      </w:r>
      <w:r>
        <w:rPr>
          <w:rFonts w:hint="eastAsia"/>
          <w:b/>
          <w:sz w:val="26"/>
          <w:szCs w:val="26"/>
        </w:rPr>
        <w:t>对野生动物的影响</w:t>
      </w:r>
    </w:p>
    <w:p w14:paraId="49ADB745">
      <w:pPr>
        <w:adjustRightInd w:val="0"/>
        <w:snapToGrid w:val="0"/>
        <w:spacing w:line="460" w:lineRule="exact"/>
        <w:ind w:firstLine="520" w:firstLineChars="200"/>
        <w:rPr>
          <w:bCs/>
          <w:sz w:val="26"/>
          <w:szCs w:val="26"/>
        </w:rPr>
      </w:pPr>
      <w:r>
        <w:rPr>
          <w:rFonts w:hint="eastAsia"/>
          <w:bCs/>
          <w:sz w:val="26"/>
          <w:szCs w:val="26"/>
        </w:rPr>
        <w:t>本次评价区内野生动物种类较少，未见大型野生哺乳动物出没迹象，现有的野生动物多为一些常见的蛇类，啮齿类、鸟类及昆虫等，无珍稀保护动物。本项目未占压周边植被，不会引起该区域野生动物生存环境大面积的明显改变，因此，本项目的建设对野生动物影响不大。</w:t>
      </w:r>
    </w:p>
    <w:p w14:paraId="285C9D25">
      <w:pPr>
        <w:adjustRightInd w:val="0"/>
        <w:snapToGrid w:val="0"/>
        <w:spacing w:line="460" w:lineRule="exact"/>
        <w:ind w:firstLine="520" w:firstLineChars="200"/>
        <w:rPr>
          <w:bCs/>
          <w:sz w:val="26"/>
          <w:szCs w:val="26"/>
        </w:rPr>
      </w:pPr>
      <w:r>
        <w:rPr>
          <w:rFonts w:hint="eastAsia"/>
          <w:bCs/>
          <w:sz w:val="26"/>
          <w:szCs w:val="26"/>
        </w:rPr>
        <w:t>由于工程建设所经过地带人类、机械、车辆等活动均较频繁，不能适应当地环境的野生动物已经迁移，留下的野生动物已能适应当地环境。并且本工程施工时间短，施工量小，因此工程建设不会对动物种类多样性和种群数量产生明显影响，更不会导致动物多样性的降低。</w:t>
      </w:r>
    </w:p>
    <w:p w14:paraId="04056E6F">
      <w:pPr>
        <w:adjustRightInd w:val="0"/>
        <w:snapToGrid w:val="0"/>
        <w:spacing w:line="460" w:lineRule="exact"/>
        <w:ind w:firstLine="522" w:firstLineChars="200"/>
        <w:outlineLvl w:val="2"/>
        <w:rPr>
          <w:b/>
          <w:sz w:val="26"/>
          <w:szCs w:val="26"/>
        </w:rPr>
      </w:pPr>
      <w:r>
        <w:rPr>
          <w:rFonts w:hint="eastAsia"/>
          <w:b/>
          <w:sz w:val="26"/>
          <w:szCs w:val="26"/>
        </w:rPr>
        <w:t>5</w:t>
      </w:r>
      <w:r>
        <w:rPr>
          <w:b/>
          <w:sz w:val="26"/>
          <w:szCs w:val="26"/>
        </w:rPr>
        <w:t xml:space="preserve">.1.4 </w:t>
      </w:r>
      <w:r>
        <w:rPr>
          <w:rFonts w:hint="eastAsia"/>
          <w:b/>
          <w:sz w:val="26"/>
          <w:szCs w:val="26"/>
        </w:rPr>
        <w:t>对生态系统完整性的影响</w:t>
      </w:r>
    </w:p>
    <w:p w14:paraId="5F6A5191">
      <w:pPr>
        <w:adjustRightInd w:val="0"/>
        <w:snapToGrid w:val="0"/>
        <w:spacing w:line="460" w:lineRule="exact"/>
        <w:ind w:firstLine="520" w:firstLineChars="200"/>
        <w:rPr>
          <w:bCs/>
          <w:sz w:val="26"/>
          <w:szCs w:val="26"/>
        </w:rPr>
      </w:pPr>
      <w:r>
        <w:rPr>
          <w:rFonts w:hint="eastAsia"/>
          <w:bCs/>
          <w:sz w:val="26"/>
          <w:szCs w:val="26"/>
        </w:rPr>
        <w:t>本项目所在区域植被类型以农田植被主，评价区域生态系统以农业生态系统为主。由于项目占地面积较小，且在</w:t>
      </w:r>
      <w:r>
        <w:rPr>
          <w:rFonts w:hint="eastAsia"/>
          <w:sz w:val="26"/>
          <w:szCs w:val="26"/>
        </w:rPr>
        <w:t>原有钻井井场范围内</w:t>
      </w:r>
      <w:r>
        <w:rPr>
          <w:rFonts w:hint="eastAsia"/>
          <w:bCs/>
          <w:sz w:val="26"/>
          <w:szCs w:val="26"/>
        </w:rPr>
        <w:t>施工，不涉及外输管线的建设，不新增占地，因此施工活动不会降低区域生物多样性，对本区域生态环境起控制作用的组分未变动，不会造成区域景观破碎化，区域动植物生境的异质性不会发生大的改变。因此，只要在施工时采用严格的管理制度，严禁超越施工红线作业，项目建设不会改变现有生态系统结构的完整性和生态功能的连续性。</w:t>
      </w:r>
    </w:p>
    <w:p w14:paraId="0CC81F31">
      <w:pPr>
        <w:adjustRightInd w:val="0"/>
        <w:snapToGrid w:val="0"/>
        <w:spacing w:line="460" w:lineRule="exact"/>
        <w:ind w:firstLine="522" w:firstLineChars="200"/>
        <w:outlineLvl w:val="2"/>
        <w:rPr>
          <w:b/>
          <w:bCs/>
          <w:sz w:val="26"/>
          <w:szCs w:val="26"/>
        </w:rPr>
      </w:pPr>
      <w:r>
        <w:rPr>
          <w:rFonts w:hint="eastAsia"/>
          <w:b/>
          <w:bCs/>
          <w:sz w:val="26"/>
          <w:szCs w:val="26"/>
        </w:rPr>
        <w:t>5</w:t>
      </w:r>
      <w:r>
        <w:rPr>
          <w:b/>
          <w:bCs/>
          <w:sz w:val="26"/>
          <w:szCs w:val="26"/>
        </w:rPr>
        <w:t xml:space="preserve">.1.5 </w:t>
      </w:r>
      <w:r>
        <w:rPr>
          <w:rFonts w:hint="eastAsia"/>
          <w:b/>
          <w:bCs/>
          <w:sz w:val="26"/>
          <w:szCs w:val="26"/>
        </w:rPr>
        <w:t>对水土保持影响分析</w:t>
      </w:r>
    </w:p>
    <w:p w14:paraId="74614369">
      <w:pPr>
        <w:adjustRightInd w:val="0"/>
        <w:snapToGrid w:val="0"/>
        <w:spacing w:line="460" w:lineRule="exact"/>
        <w:ind w:firstLine="520" w:firstLineChars="200"/>
        <w:rPr>
          <w:sz w:val="26"/>
          <w:szCs w:val="26"/>
        </w:rPr>
      </w:pPr>
      <w:r>
        <w:rPr>
          <w:rFonts w:hint="eastAsia"/>
          <w:sz w:val="26"/>
          <w:szCs w:val="26"/>
        </w:rPr>
        <w:t>本项目在原有钻井井场范围内建设，根据现场调查，井场已采取水泥硬化，场地四周设置有截排水沟、内外环沟、沉砂池等，边坡采取了护坡、堡坎等水土流失保护措施；试采站周边土地主要为旱地、林地等，周边植被生长良好，主要为柏木林等。项目所在区域水土流失情况较为良好。</w:t>
      </w:r>
    </w:p>
    <w:p w14:paraId="5263FE37">
      <w:pPr>
        <w:adjustRightInd w:val="0"/>
        <w:snapToGrid w:val="0"/>
        <w:spacing w:line="460" w:lineRule="exact"/>
        <w:ind w:firstLine="520" w:firstLineChars="200"/>
        <w:rPr>
          <w:sz w:val="26"/>
          <w:szCs w:val="26"/>
        </w:rPr>
      </w:pPr>
      <w:r>
        <w:rPr>
          <w:rFonts w:hint="eastAsia"/>
          <w:sz w:val="26"/>
          <w:szCs w:val="26"/>
        </w:rPr>
        <w:t>本项目原有钻井井场范围内施工，不会突破原有用地红线，亦不会新增植被破坏面积，同时施工单位应严格控制施工红线，施工人员不得在红线外施工，随意破坏周边植被；项目工程较小，施工时间较短，施工单位应避开大风、大雨施工，施工产生的少量土石方就近临时堆存，使用篷布遮盖，避免雨水冲刷；同时施工单位应对粉状建筑材料使用篷布遮盖，避免地表裸露；开挖后的地基应及时进行硬化。</w:t>
      </w:r>
    </w:p>
    <w:p w14:paraId="611C738C">
      <w:pPr>
        <w:adjustRightInd w:val="0"/>
        <w:snapToGrid w:val="0"/>
        <w:spacing w:line="460" w:lineRule="exact"/>
        <w:ind w:firstLine="520" w:firstLineChars="200"/>
        <w:rPr>
          <w:sz w:val="26"/>
          <w:szCs w:val="26"/>
        </w:rPr>
      </w:pPr>
      <w:r>
        <w:rPr>
          <w:rFonts w:hint="eastAsia"/>
          <w:sz w:val="26"/>
          <w:szCs w:val="26"/>
        </w:rPr>
        <w:t>综上，在采取以上措施后，本项目施工产生的水土流失影响较小。</w:t>
      </w:r>
    </w:p>
    <w:p w14:paraId="1B89AD75">
      <w:pPr>
        <w:adjustRightInd w:val="0"/>
        <w:snapToGrid w:val="0"/>
        <w:spacing w:line="460" w:lineRule="exact"/>
        <w:ind w:firstLine="522" w:firstLineChars="200"/>
        <w:outlineLvl w:val="2"/>
        <w:rPr>
          <w:b/>
          <w:bCs/>
          <w:sz w:val="26"/>
          <w:szCs w:val="26"/>
        </w:rPr>
      </w:pPr>
      <w:r>
        <w:rPr>
          <w:rFonts w:hint="eastAsia"/>
          <w:b/>
          <w:bCs/>
          <w:sz w:val="26"/>
          <w:szCs w:val="26"/>
        </w:rPr>
        <w:t>5</w:t>
      </w:r>
      <w:r>
        <w:rPr>
          <w:b/>
          <w:bCs/>
          <w:sz w:val="26"/>
          <w:szCs w:val="26"/>
        </w:rPr>
        <w:t xml:space="preserve">.1.6 </w:t>
      </w:r>
      <w:r>
        <w:rPr>
          <w:rFonts w:hint="eastAsia"/>
          <w:b/>
          <w:bCs/>
          <w:sz w:val="26"/>
          <w:szCs w:val="26"/>
        </w:rPr>
        <w:t>小结</w:t>
      </w:r>
    </w:p>
    <w:p w14:paraId="0BD0350D">
      <w:pPr>
        <w:adjustRightInd w:val="0"/>
        <w:snapToGrid w:val="0"/>
        <w:spacing w:line="460" w:lineRule="exact"/>
        <w:ind w:firstLine="520" w:firstLineChars="200"/>
        <w:rPr>
          <w:sz w:val="26"/>
          <w:szCs w:val="26"/>
        </w:rPr>
      </w:pPr>
      <w:r>
        <w:rPr>
          <w:rFonts w:hint="eastAsia"/>
          <w:sz w:val="26"/>
          <w:szCs w:val="26"/>
        </w:rPr>
        <w:t>本项目在原有钻井井场范围内建设，不会对周边植被造成占压损失，对周边现有耕地和土壤肥力影响较小。项目占地及施工范围内不涉及珍稀濒危野生动物分布区，也没有涉及野生动物的通道、栖息地等敏感区，对野生动物多样性影响非常小。</w:t>
      </w:r>
    </w:p>
    <w:p w14:paraId="4D8FFB81">
      <w:pPr>
        <w:adjustRightInd w:val="0"/>
        <w:snapToGrid w:val="0"/>
        <w:spacing w:line="460" w:lineRule="exact"/>
        <w:ind w:firstLine="520" w:firstLineChars="200"/>
        <w:rPr>
          <w:sz w:val="26"/>
          <w:szCs w:val="26"/>
        </w:rPr>
      </w:pPr>
      <w:r>
        <w:rPr>
          <w:rFonts w:hint="eastAsia"/>
          <w:sz w:val="26"/>
          <w:szCs w:val="26"/>
        </w:rPr>
        <w:t>总体上看，本项目施工期对生态环境影响较小。</w:t>
      </w:r>
    </w:p>
    <w:p w14:paraId="27B05E27">
      <w:pPr>
        <w:adjustRightInd w:val="0"/>
        <w:snapToGrid w:val="0"/>
        <w:spacing w:line="460" w:lineRule="exact"/>
        <w:ind w:firstLine="522" w:firstLineChars="200"/>
        <w:outlineLvl w:val="1"/>
        <w:rPr>
          <w:b/>
          <w:sz w:val="26"/>
          <w:szCs w:val="26"/>
        </w:rPr>
      </w:pPr>
      <w:bookmarkStart w:id="246" w:name="_Toc109319859"/>
      <w:bookmarkStart w:id="247" w:name="_Toc165810555"/>
      <w:bookmarkStart w:id="248" w:name="_Toc128320918"/>
      <w:bookmarkStart w:id="249" w:name="_Toc219907648"/>
      <w:bookmarkStart w:id="250" w:name="_Toc165809734"/>
      <w:r>
        <w:rPr>
          <w:b/>
          <w:sz w:val="26"/>
          <w:szCs w:val="26"/>
        </w:rPr>
        <w:t xml:space="preserve">5.2 </w:t>
      </w:r>
      <w:r>
        <w:rPr>
          <w:rFonts w:hint="eastAsia"/>
          <w:b/>
          <w:sz w:val="26"/>
          <w:szCs w:val="26"/>
        </w:rPr>
        <w:t>施工期</w:t>
      </w:r>
      <w:r>
        <w:rPr>
          <w:b/>
          <w:sz w:val="26"/>
          <w:szCs w:val="26"/>
        </w:rPr>
        <w:t>环境空气影响分析</w:t>
      </w:r>
      <w:bookmarkEnd w:id="246"/>
      <w:bookmarkEnd w:id="247"/>
      <w:bookmarkEnd w:id="248"/>
      <w:bookmarkEnd w:id="249"/>
      <w:bookmarkEnd w:id="250"/>
    </w:p>
    <w:p w14:paraId="3418D34A">
      <w:pPr>
        <w:pStyle w:val="702"/>
        <w:ind w:firstLine="520"/>
        <w:rPr>
          <w:rFonts w:cs="Times New Roman"/>
          <w:kern w:val="2"/>
        </w:rPr>
      </w:pPr>
      <w:r>
        <w:rPr>
          <w:rFonts w:hint="eastAsia" w:cs="Times New Roman"/>
          <w:kern w:val="2"/>
        </w:rPr>
        <w:t>试采站场</w:t>
      </w:r>
      <w:r>
        <w:rPr>
          <w:rFonts w:hint="eastAsia"/>
          <w:szCs w:val="26"/>
        </w:rPr>
        <w:t>建设施工期废气主要为施工机具作业时产生的含CO</w:t>
      </w:r>
      <w:r>
        <w:rPr>
          <w:rFonts w:hint="eastAsia"/>
          <w:szCs w:val="26"/>
          <w:vertAlign w:val="subscript"/>
        </w:rPr>
        <w:t>2</w:t>
      </w:r>
      <w:r>
        <w:rPr>
          <w:rFonts w:hint="eastAsia"/>
          <w:szCs w:val="26"/>
        </w:rPr>
        <w:t>和NO</w:t>
      </w:r>
      <w:r>
        <w:rPr>
          <w:rFonts w:hint="eastAsia"/>
          <w:szCs w:val="26"/>
          <w:vertAlign w:val="subscript"/>
        </w:rPr>
        <w:t>X</w:t>
      </w:r>
      <w:r>
        <w:rPr>
          <w:rFonts w:hint="eastAsia"/>
          <w:szCs w:val="26"/>
        </w:rPr>
        <w:t>废气，土石方开挖、场地平整及物料装卸等施工过程产生的粉尘，管道焊接过程中产生的焊接烟尘。</w:t>
      </w:r>
    </w:p>
    <w:p w14:paraId="376E7E8C">
      <w:pPr>
        <w:adjustRightInd w:val="0"/>
        <w:snapToGrid w:val="0"/>
        <w:spacing w:line="460" w:lineRule="exact"/>
        <w:ind w:firstLine="520" w:firstLineChars="200"/>
        <w:rPr>
          <w:sz w:val="26"/>
          <w:szCs w:val="26"/>
        </w:rPr>
      </w:pPr>
      <w:r>
        <w:rPr>
          <w:rFonts w:hint="eastAsia"/>
          <w:sz w:val="26"/>
          <w:szCs w:val="26"/>
        </w:rPr>
        <w:t>（1）燃油机械废气</w:t>
      </w:r>
    </w:p>
    <w:p w14:paraId="24F99156">
      <w:pPr>
        <w:adjustRightInd w:val="0"/>
        <w:snapToGrid w:val="0"/>
        <w:spacing w:line="460" w:lineRule="exact"/>
        <w:ind w:firstLine="520" w:firstLineChars="200"/>
        <w:rPr>
          <w:sz w:val="26"/>
          <w:szCs w:val="26"/>
        </w:rPr>
      </w:pPr>
      <w:r>
        <w:rPr>
          <w:rFonts w:hint="eastAsia"/>
          <w:sz w:val="26"/>
          <w:szCs w:val="26"/>
        </w:rPr>
        <w:t>施工单位使用新能源或达到国III及以上排放标准机械设备，由于施工的燃油机械为间断作业，且使用数量不多，因此所排的燃油废气对空气质量产生间断的不利影响较小。</w:t>
      </w:r>
    </w:p>
    <w:p w14:paraId="154946DE">
      <w:pPr>
        <w:adjustRightInd w:val="0"/>
        <w:snapToGrid w:val="0"/>
        <w:spacing w:line="460" w:lineRule="exact"/>
        <w:ind w:firstLine="520" w:firstLineChars="200"/>
        <w:rPr>
          <w:sz w:val="26"/>
          <w:szCs w:val="26"/>
        </w:rPr>
      </w:pPr>
      <w:r>
        <w:rPr>
          <w:rFonts w:hint="eastAsia"/>
          <w:sz w:val="26"/>
          <w:szCs w:val="26"/>
        </w:rPr>
        <w:t>（2）施工扬尘</w:t>
      </w:r>
    </w:p>
    <w:p w14:paraId="37307616">
      <w:pPr>
        <w:adjustRightInd w:val="0"/>
        <w:snapToGrid w:val="0"/>
        <w:spacing w:line="460" w:lineRule="exact"/>
        <w:ind w:firstLine="520" w:firstLineChars="200"/>
        <w:rPr>
          <w:sz w:val="26"/>
          <w:szCs w:val="26"/>
        </w:rPr>
      </w:pPr>
      <w:r>
        <w:rPr>
          <w:rFonts w:hint="eastAsia"/>
          <w:sz w:val="26"/>
          <w:szCs w:val="26"/>
        </w:rPr>
        <w:t>工程基础施工时产生粉尘污染，一般情况下，其影响范围主要在施工区域周围100m范围内。在施工过程中，施工方应做到合理组织施工，严格遵守施工管理条例，做到文明施工，对产尘点进行洒水抑尘，禁止物料高空抛洒、必须使用商品砼、禁止设置混凝土搅拌站、易撒漏物质采用密闭车辆运输等措施，减少施工中土石方开挖、场地平整和物料装卸拟将产生的施工粉尘对周边环境的影响。在采取相应的措施后，施工扬尘对周边环境的影响小。</w:t>
      </w:r>
    </w:p>
    <w:p w14:paraId="592EEFC0">
      <w:pPr>
        <w:adjustRightInd w:val="0"/>
        <w:snapToGrid w:val="0"/>
        <w:spacing w:line="460" w:lineRule="exact"/>
        <w:ind w:firstLine="520" w:firstLineChars="200"/>
        <w:rPr>
          <w:sz w:val="26"/>
          <w:szCs w:val="26"/>
        </w:rPr>
      </w:pPr>
      <w:r>
        <w:rPr>
          <w:rFonts w:hint="eastAsia"/>
          <w:sz w:val="26"/>
          <w:szCs w:val="26"/>
        </w:rPr>
        <w:t>（3）焊接烟尘</w:t>
      </w:r>
    </w:p>
    <w:p w14:paraId="78B076B5">
      <w:pPr>
        <w:adjustRightInd w:val="0"/>
        <w:snapToGrid w:val="0"/>
        <w:spacing w:line="460" w:lineRule="exact"/>
        <w:ind w:firstLine="520" w:firstLineChars="200"/>
        <w:rPr>
          <w:sz w:val="26"/>
          <w:szCs w:val="26"/>
        </w:rPr>
      </w:pPr>
      <w:r>
        <w:rPr>
          <w:rFonts w:hint="eastAsia"/>
          <w:sz w:val="26"/>
          <w:szCs w:val="26"/>
        </w:rPr>
        <w:t>管道焊接过程中会产生焊接烟尘，选用优质环保焊条，其烟尘量产生量较少，由于施工现场地域开阔，空气湿润，经扩散及稀释作用后，焊接烟尘对周围空气环境基本无影响。</w:t>
      </w:r>
    </w:p>
    <w:p w14:paraId="24C6F56B">
      <w:pPr>
        <w:adjustRightInd w:val="0"/>
        <w:snapToGrid w:val="0"/>
        <w:spacing w:line="460" w:lineRule="exact"/>
        <w:ind w:firstLine="520" w:firstLineChars="200"/>
        <w:rPr>
          <w:sz w:val="26"/>
          <w:szCs w:val="26"/>
        </w:rPr>
      </w:pPr>
      <w:r>
        <w:rPr>
          <w:rFonts w:hint="eastAsia"/>
          <w:sz w:val="26"/>
          <w:szCs w:val="26"/>
        </w:rPr>
        <w:t>总体来说，由于施工期较短，在采取相应环境保护措施后，试采站施工对大气环境影响不大。</w:t>
      </w:r>
    </w:p>
    <w:p w14:paraId="7FC1C07E">
      <w:pPr>
        <w:adjustRightInd w:val="0"/>
        <w:snapToGrid w:val="0"/>
        <w:spacing w:line="460" w:lineRule="exact"/>
        <w:ind w:firstLine="522" w:firstLineChars="200"/>
        <w:outlineLvl w:val="1"/>
        <w:rPr>
          <w:b/>
          <w:sz w:val="26"/>
          <w:szCs w:val="26"/>
        </w:rPr>
      </w:pPr>
      <w:bookmarkStart w:id="251" w:name="_Toc219907649"/>
      <w:bookmarkStart w:id="252" w:name="_Toc165809735"/>
      <w:bookmarkStart w:id="253" w:name="_Toc165810558"/>
      <w:r>
        <w:rPr>
          <w:b/>
          <w:sz w:val="26"/>
          <w:szCs w:val="26"/>
        </w:rPr>
        <w:t xml:space="preserve">5.3 </w:t>
      </w:r>
      <w:r>
        <w:rPr>
          <w:rFonts w:hint="eastAsia"/>
          <w:b/>
          <w:sz w:val="26"/>
          <w:szCs w:val="26"/>
        </w:rPr>
        <w:t>施工期</w:t>
      </w:r>
      <w:r>
        <w:rPr>
          <w:b/>
          <w:sz w:val="26"/>
          <w:szCs w:val="26"/>
        </w:rPr>
        <w:t>地表水环境影响分析</w:t>
      </w:r>
      <w:bookmarkEnd w:id="251"/>
      <w:bookmarkEnd w:id="252"/>
      <w:bookmarkEnd w:id="253"/>
    </w:p>
    <w:p w14:paraId="47028B92">
      <w:pPr>
        <w:adjustRightInd w:val="0"/>
        <w:snapToGrid w:val="0"/>
        <w:spacing w:line="460" w:lineRule="exact"/>
        <w:ind w:firstLine="520" w:firstLineChars="200"/>
        <w:rPr>
          <w:sz w:val="26"/>
          <w:szCs w:val="26"/>
        </w:rPr>
      </w:pPr>
      <w:r>
        <w:rPr>
          <w:rFonts w:hint="eastAsia"/>
          <w:sz w:val="26"/>
          <w:szCs w:val="26"/>
        </w:rPr>
        <w:t>试采站施工期污废水主要为施工废水、试压废水和生活污水。</w:t>
      </w:r>
    </w:p>
    <w:p w14:paraId="47B14C29">
      <w:pPr>
        <w:adjustRightInd w:val="0"/>
        <w:snapToGrid w:val="0"/>
        <w:spacing w:line="460" w:lineRule="exact"/>
        <w:ind w:firstLine="520" w:firstLineChars="200"/>
        <w:rPr>
          <w:sz w:val="26"/>
          <w:szCs w:val="26"/>
        </w:rPr>
      </w:pPr>
      <w:r>
        <w:rPr>
          <w:rFonts w:hint="eastAsia"/>
          <w:sz w:val="26"/>
          <w:szCs w:val="26"/>
        </w:rPr>
        <w:t>（1）施工废水</w:t>
      </w:r>
    </w:p>
    <w:p w14:paraId="77C39EDA">
      <w:pPr>
        <w:adjustRightInd w:val="0"/>
        <w:snapToGrid w:val="0"/>
        <w:spacing w:line="460" w:lineRule="exact"/>
        <w:ind w:firstLine="520" w:firstLineChars="200"/>
        <w:rPr>
          <w:sz w:val="26"/>
          <w:szCs w:val="26"/>
        </w:rPr>
      </w:pPr>
      <w:r>
        <w:rPr>
          <w:rFonts w:hint="eastAsia"/>
          <w:sz w:val="26"/>
          <w:szCs w:val="26"/>
        </w:rPr>
        <w:t>施工废水主要为来自于砂石料拌合及混凝土养护废水、施工机具保洁废水等，主要污染为以SS为主，施工废水经场地修建的截排水沟截留简单沉淀处理后用于场站施工场地洒水抑尘，不外排，对周围地表水影响小，在当地环境可接受范围内。</w:t>
      </w:r>
    </w:p>
    <w:p w14:paraId="26B208DC">
      <w:pPr>
        <w:adjustRightInd w:val="0"/>
        <w:snapToGrid w:val="0"/>
        <w:spacing w:line="460" w:lineRule="exact"/>
        <w:ind w:firstLine="520" w:firstLineChars="200"/>
        <w:rPr>
          <w:sz w:val="26"/>
          <w:szCs w:val="26"/>
        </w:rPr>
      </w:pPr>
      <w:r>
        <w:rPr>
          <w:rFonts w:hint="eastAsia"/>
          <w:sz w:val="26"/>
          <w:szCs w:val="26"/>
        </w:rPr>
        <w:t>（2）试压废水</w:t>
      </w:r>
    </w:p>
    <w:p w14:paraId="170A968C">
      <w:pPr>
        <w:adjustRightInd w:val="0"/>
        <w:snapToGrid w:val="0"/>
        <w:spacing w:line="460" w:lineRule="exact"/>
        <w:ind w:firstLine="520" w:firstLineChars="200"/>
        <w:rPr>
          <w:sz w:val="26"/>
          <w:szCs w:val="26"/>
        </w:rPr>
      </w:pPr>
      <w:r>
        <w:rPr>
          <w:rFonts w:hint="eastAsia"/>
          <w:sz w:val="26"/>
          <w:szCs w:val="26"/>
        </w:rPr>
        <w:t>采气站场内部管道组焊后采用清水试压，由于试压主要为管道密闭性检验，试压后排出的废水较清洁，主要污染物为焊接铁屑和泥沙产生的悬浮物污染物。试压废水产生量较小约2.5m</w:t>
      </w:r>
      <w:r>
        <w:rPr>
          <w:sz w:val="26"/>
          <w:szCs w:val="26"/>
          <w:vertAlign w:val="superscript"/>
        </w:rPr>
        <w:t>3</w:t>
      </w:r>
      <w:r>
        <w:rPr>
          <w:rFonts w:hint="eastAsia"/>
          <w:sz w:val="26"/>
          <w:szCs w:val="26"/>
        </w:rPr>
        <w:t>，水质较为简单，用于场地洒水抑尘，不外排。</w:t>
      </w:r>
    </w:p>
    <w:p w14:paraId="0C3E3C4C">
      <w:pPr>
        <w:adjustRightInd w:val="0"/>
        <w:snapToGrid w:val="0"/>
        <w:spacing w:line="460" w:lineRule="exact"/>
        <w:ind w:firstLine="520" w:firstLineChars="200"/>
        <w:rPr>
          <w:sz w:val="26"/>
          <w:szCs w:val="26"/>
        </w:rPr>
      </w:pPr>
      <w:r>
        <w:rPr>
          <w:rFonts w:hint="eastAsia"/>
          <w:sz w:val="26"/>
          <w:szCs w:val="26"/>
        </w:rPr>
        <w:t>（3）生活污水</w:t>
      </w:r>
    </w:p>
    <w:p w14:paraId="4A9BF55E">
      <w:pPr>
        <w:adjustRightInd w:val="0"/>
        <w:snapToGrid w:val="0"/>
        <w:spacing w:line="460" w:lineRule="exact"/>
        <w:ind w:firstLine="520" w:firstLineChars="200"/>
        <w:rPr>
          <w:sz w:val="26"/>
          <w:szCs w:val="26"/>
        </w:rPr>
      </w:pPr>
      <w:r>
        <w:rPr>
          <w:rFonts w:hint="eastAsia"/>
          <w:sz w:val="26"/>
          <w:szCs w:val="26"/>
        </w:rPr>
        <w:t>施工现场不单独设置施工营地，生活污水中污染物以COD、BOD</w:t>
      </w:r>
      <w:r>
        <w:rPr>
          <w:rFonts w:hint="eastAsia"/>
          <w:sz w:val="26"/>
          <w:szCs w:val="26"/>
          <w:vertAlign w:val="subscript"/>
        </w:rPr>
        <w:t>5</w:t>
      </w:r>
      <w:r>
        <w:rPr>
          <w:rFonts w:hint="eastAsia"/>
          <w:sz w:val="26"/>
          <w:szCs w:val="26"/>
        </w:rPr>
        <w:t>、SS和NH</w:t>
      </w:r>
      <w:r>
        <w:rPr>
          <w:rFonts w:hint="eastAsia"/>
          <w:sz w:val="26"/>
          <w:szCs w:val="26"/>
          <w:vertAlign w:val="subscript"/>
        </w:rPr>
        <w:t>3</w:t>
      </w:r>
      <w:r>
        <w:rPr>
          <w:rFonts w:hint="eastAsia"/>
          <w:sz w:val="26"/>
          <w:szCs w:val="26"/>
        </w:rPr>
        <w:t>-N为主，依托井场周边居民厕所以及所住旅馆厕所处置。</w:t>
      </w:r>
    </w:p>
    <w:p w14:paraId="5C20F51B">
      <w:pPr>
        <w:adjustRightInd w:val="0"/>
        <w:snapToGrid w:val="0"/>
        <w:spacing w:line="460" w:lineRule="exact"/>
        <w:ind w:firstLine="520" w:firstLineChars="200"/>
        <w:rPr>
          <w:sz w:val="26"/>
          <w:szCs w:val="26"/>
        </w:rPr>
      </w:pPr>
      <w:r>
        <w:rPr>
          <w:rFonts w:hint="eastAsia"/>
          <w:sz w:val="26"/>
          <w:szCs w:val="26"/>
        </w:rPr>
        <w:t>本项目施工期各类废水均得到合理处置，无废水外排，对区域地表水环境影响很小。</w:t>
      </w:r>
    </w:p>
    <w:p w14:paraId="77680477">
      <w:pPr>
        <w:pStyle w:val="1442"/>
        <w:adjustRightInd w:val="0"/>
        <w:snapToGrid w:val="0"/>
        <w:rPr>
          <w:rFonts w:ascii="Times New Roman" w:hAnsi="Times New Roman" w:eastAsia="宋体" w:cs="Times New Roman"/>
        </w:rPr>
      </w:pPr>
      <w:bookmarkStart w:id="254" w:name="_Toc219907650"/>
      <w:bookmarkStart w:id="255" w:name="_Toc165810561"/>
      <w:bookmarkStart w:id="256" w:name="_Toc165809736"/>
      <w:bookmarkStart w:id="257" w:name="_Toc109319861"/>
      <w:bookmarkStart w:id="258" w:name="_Toc161930558"/>
      <w:r>
        <w:rPr>
          <w:rFonts w:ascii="Times New Roman" w:hAnsi="Times New Roman" w:eastAsia="宋体" w:cs="Times New Roman"/>
        </w:rPr>
        <w:t>5.4 施工期地下水环境影响分析</w:t>
      </w:r>
      <w:bookmarkEnd w:id="254"/>
      <w:bookmarkEnd w:id="255"/>
      <w:bookmarkEnd w:id="256"/>
      <w:bookmarkEnd w:id="257"/>
      <w:bookmarkEnd w:id="258"/>
    </w:p>
    <w:p w14:paraId="6C804C81">
      <w:pPr>
        <w:pStyle w:val="1381"/>
        <w:ind w:firstLine="520"/>
      </w:pPr>
      <w:bookmarkStart w:id="259" w:name="_Toc165810562"/>
      <w:r>
        <w:rPr>
          <w:rFonts w:hint="eastAsia"/>
        </w:rPr>
        <w:t>（1）</w:t>
      </w:r>
      <w:r>
        <w:t>废水排放对地下水环境影响分析</w:t>
      </w:r>
      <w:bookmarkEnd w:id="259"/>
    </w:p>
    <w:p w14:paraId="1103D3B2">
      <w:pPr>
        <w:pStyle w:val="702"/>
        <w:adjustRightInd w:val="0"/>
        <w:snapToGrid w:val="0"/>
        <w:ind w:firstLine="520"/>
      </w:pPr>
      <w:r>
        <w:rPr>
          <w:rFonts w:cs="Times New Roman"/>
        </w:rPr>
        <w:t>本项目</w:t>
      </w:r>
      <w:r>
        <w:rPr>
          <w:rFonts w:hint="eastAsia" w:cs="Times New Roman"/>
        </w:rPr>
        <w:t>试采站</w:t>
      </w:r>
      <w:r>
        <w:rPr>
          <w:rFonts w:cs="Times New Roman"/>
        </w:rPr>
        <w:t>施工期会产生</w:t>
      </w:r>
      <w:r>
        <w:rPr>
          <w:rFonts w:cs="Times New Roman"/>
          <w:kern w:val="2"/>
        </w:rPr>
        <w:t>施工废水、试压废水和生活污水。施</w:t>
      </w:r>
      <w:r>
        <w:rPr>
          <w:rFonts w:cs="Times New Roman"/>
        </w:rPr>
        <w:t>工废水经沉淀处理后全部回用于洒水降尘水；管道及设备试压采用清水试压，试压废水简易沉淀后</w:t>
      </w:r>
      <w:r>
        <w:rPr>
          <w:rFonts w:hint="eastAsia" w:cs="Times New Roman"/>
        </w:rPr>
        <w:t>用于场地洒水抑尘</w:t>
      </w:r>
      <w:r>
        <w:rPr>
          <w:rFonts w:cs="Times New Roman"/>
        </w:rPr>
        <w:t>；生活污水</w:t>
      </w:r>
      <w:r>
        <w:rPr>
          <w:rFonts w:hint="eastAsia"/>
          <w:szCs w:val="26"/>
        </w:rPr>
        <w:t>依托井场周边居民厕所以及所住旅馆厕所处置</w:t>
      </w:r>
      <w:r>
        <w:rPr>
          <w:rFonts w:hint="eastAsia"/>
        </w:rPr>
        <w:t>。</w:t>
      </w:r>
    </w:p>
    <w:p w14:paraId="5ADD1D9E">
      <w:pPr>
        <w:pStyle w:val="702"/>
        <w:adjustRightInd w:val="0"/>
        <w:snapToGrid w:val="0"/>
        <w:ind w:firstLine="520"/>
      </w:pPr>
      <w:r>
        <w:rPr>
          <w:rFonts w:hint="eastAsia"/>
        </w:rPr>
        <w:t>本项目施工期各废水均得到合理处置，对地下水环境影响很小。</w:t>
      </w:r>
    </w:p>
    <w:p w14:paraId="6FC61AF3">
      <w:pPr>
        <w:pStyle w:val="1381"/>
        <w:ind w:firstLine="520"/>
      </w:pPr>
      <w:bookmarkStart w:id="260" w:name="_Toc165810563"/>
      <w:r>
        <w:rPr>
          <w:rFonts w:hint="eastAsia"/>
        </w:rPr>
        <w:t>（2）原材料及油类物质对地下水环境影响分析</w:t>
      </w:r>
      <w:bookmarkEnd w:id="260"/>
    </w:p>
    <w:p w14:paraId="1E04D357">
      <w:pPr>
        <w:pStyle w:val="702"/>
        <w:adjustRightInd w:val="0"/>
        <w:snapToGrid w:val="0"/>
        <w:ind w:firstLine="520"/>
      </w:pPr>
      <w:r>
        <w:rPr>
          <w:rFonts w:hint="eastAsia"/>
        </w:rPr>
        <w:t>本项目施工过程中的施工机械等地表污染物如果管理不当、堆放不合理，在雨水淋滤作用下，可通过大气降雨、地表径流入渗进入包气带，渗入到潜水层中对地下水水质有一定影响。因此，施工单位须加强施工期的环保意识，合理堆放机械油品，降雨期间及时做好防护措施，避免降雨对施工场地的淋滤对地下水造成污染，因此项目站场施工对地下水环境水质影响较小。</w:t>
      </w:r>
    </w:p>
    <w:p w14:paraId="3A2C7C35">
      <w:pPr>
        <w:adjustRightInd w:val="0"/>
        <w:snapToGrid w:val="0"/>
        <w:spacing w:line="460" w:lineRule="exact"/>
        <w:ind w:firstLine="522" w:firstLineChars="200"/>
        <w:outlineLvl w:val="1"/>
        <w:rPr>
          <w:b/>
          <w:sz w:val="26"/>
          <w:szCs w:val="26"/>
        </w:rPr>
      </w:pPr>
      <w:bookmarkStart w:id="261" w:name="_Toc165810565"/>
      <w:bookmarkStart w:id="262" w:name="_Toc219907651"/>
      <w:bookmarkStart w:id="263" w:name="_Toc109319862"/>
      <w:bookmarkStart w:id="264" w:name="_Toc165809737"/>
      <w:bookmarkStart w:id="265" w:name="_Toc128320921"/>
      <w:r>
        <w:rPr>
          <w:b/>
          <w:sz w:val="26"/>
          <w:szCs w:val="26"/>
        </w:rPr>
        <w:t>5.5 声环境影响分析</w:t>
      </w:r>
      <w:bookmarkEnd w:id="261"/>
      <w:bookmarkEnd w:id="262"/>
      <w:bookmarkEnd w:id="263"/>
      <w:bookmarkEnd w:id="264"/>
      <w:bookmarkEnd w:id="265"/>
    </w:p>
    <w:p w14:paraId="57A5E1A8">
      <w:pPr>
        <w:adjustRightInd w:val="0"/>
        <w:snapToGrid w:val="0"/>
        <w:spacing w:line="460" w:lineRule="exact"/>
        <w:ind w:firstLine="522" w:firstLineChars="200"/>
        <w:outlineLvl w:val="2"/>
        <w:rPr>
          <w:b/>
          <w:bCs/>
          <w:sz w:val="26"/>
          <w:szCs w:val="26"/>
        </w:rPr>
      </w:pPr>
      <w:r>
        <w:rPr>
          <w:rFonts w:hint="eastAsia"/>
          <w:b/>
          <w:bCs/>
          <w:sz w:val="26"/>
          <w:szCs w:val="26"/>
        </w:rPr>
        <w:t>5</w:t>
      </w:r>
      <w:r>
        <w:rPr>
          <w:b/>
          <w:bCs/>
          <w:sz w:val="26"/>
          <w:szCs w:val="26"/>
        </w:rPr>
        <w:t xml:space="preserve">.5.1 </w:t>
      </w:r>
      <w:r>
        <w:rPr>
          <w:rFonts w:hint="eastAsia"/>
          <w:b/>
          <w:bCs/>
          <w:sz w:val="26"/>
          <w:szCs w:val="26"/>
        </w:rPr>
        <w:t>预测模型</w:t>
      </w:r>
    </w:p>
    <w:p w14:paraId="11CED329">
      <w:pPr>
        <w:adjustRightInd w:val="0"/>
        <w:snapToGrid w:val="0"/>
        <w:spacing w:line="460" w:lineRule="exact"/>
        <w:ind w:firstLine="520" w:firstLineChars="200"/>
        <w:rPr>
          <w:sz w:val="26"/>
          <w:szCs w:val="26"/>
        </w:rPr>
      </w:pPr>
      <w:r>
        <w:rPr>
          <w:rFonts w:hint="eastAsia"/>
          <w:sz w:val="26"/>
          <w:szCs w:val="26"/>
        </w:rPr>
        <w:t>试采站施工过程中采用的机械和运输工具使用时会产生施工噪声，容易对周边声环境保护目标造成影响，因此评价对施工噪声对环境的影响进行预测分析。</w:t>
      </w:r>
    </w:p>
    <w:p w14:paraId="4687794D">
      <w:pPr>
        <w:adjustRightInd w:val="0"/>
        <w:snapToGrid w:val="0"/>
        <w:spacing w:line="460" w:lineRule="exact"/>
        <w:ind w:firstLine="520" w:firstLineChars="200"/>
        <w:rPr>
          <w:sz w:val="26"/>
          <w:szCs w:val="26"/>
        </w:rPr>
      </w:pPr>
      <w:r>
        <w:rPr>
          <w:rFonts w:hint="eastAsia"/>
          <w:sz w:val="26"/>
          <w:szCs w:val="26"/>
        </w:rPr>
        <w:t xml:space="preserve">噪声预测模式采用《环境影响评价技术导则 </w:t>
      </w:r>
      <w:r>
        <w:rPr>
          <w:sz w:val="26"/>
          <w:szCs w:val="26"/>
        </w:rPr>
        <w:t xml:space="preserve"> </w:t>
      </w:r>
      <w:r>
        <w:rPr>
          <w:rFonts w:hint="eastAsia"/>
          <w:sz w:val="26"/>
          <w:szCs w:val="26"/>
        </w:rPr>
        <w:t>声环境》（HJ2.4-20</w:t>
      </w:r>
      <w:r>
        <w:rPr>
          <w:sz w:val="26"/>
          <w:szCs w:val="26"/>
        </w:rPr>
        <w:t>21</w:t>
      </w:r>
      <w:r>
        <w:rPr>
          <w:rFonts w:hint="eastAsia"/>
          <w:sz w:val="26"/>
          <w:szCs w:val="26"/>
        </w:rPr>
        <w:t>）中规定的点源衰减模式进行声环境预测。</w:t>
      </w:r>
    </w:p>
    <w:p w14:paraId="56455BA8">
      <w:pPr>
        <w:adjustRightInd w:val="0"/>
        <w:snapToGrid w:val="0"/>
        <w:spacing w:line="460" w:lineRule="exact"/>
        <w:ind w:firstLine="520" w:firstLineChars="200"/>
        <w:rPr>
          <w:sz w:val="26"/>
          <w:szCs w:val="26"/>
        </w:rPr>
      </w:pPr>
      <w:r>
        <w:rPr>
          <w:sz w:val="26"/>
          <w:szCs w:val="26"/>
        </w:rPr>
        <w:t>点声源衰减模式如下：</w:t>
      </w:r>
    </w:p>
    <w:p w14:paraId="3DDA3052">
      <w:pPr>
        <w:adjustRightInd w:val="0"/>
        <w:snapToGrid w:val="0"/>
        <w:spacing w:before="120" w:beforeLines="50" w:after="120" w:afterLines="50" w:line="460" w:lineRule="exact"/>
        <w:jc w:val="center"/>
        <w:rPr>
          <w:sz w:val="26"/>
          <w:szCs w:val="26"/>
        </w:rPr>
      </w:pPr>
      <w:r>
        <w:rPr>
          <w:sz w:val="26"/>
          <w:szCs w:val="26"/>
        </w:rPr>
        <w:drawing>
          <wp:inline distT="0" distB="0" distL="0" distR="0">
            <wp:extent cx="1388745" cy="284480"/>
            <wp:effectExtent l="0" t="0" r="1905" b="127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388745" cy="284480"/>
                    </a:xfrm>
                    <a:prstGeom prst="rect">
                      <a:avLst/>
                    </a:prstGeom>
                    <a:noFill/>
                    <a:ln>
                      <a:noFill/>
                    </a:ln>
                  </pic:spPr>
                </pic:pic>
              </a:graphicData>
            </a:graphic>
          </wp:inline>
        </w:drawing>
      </w:r>
    </w:p>
    <w:p w14:paraId="767C9007">
      <w:pPr>
        <w:adjustRightInd w:val="0"/>
        <w:snapToGrid w:val="0"/>
        <w:spacing w:line="460" w:lineRule="exact"/>
        <w:ind w:firstLine="520" w:firstLineChars="200"/>
        <w:rPr>
          <w:sz w:val="26"/>
          <w:szCs w:val="26"/>
        </w:rPr>
      </w:pPr>
      <w:r>
        <w:rPr>
          <w:sz w:val="26"/>
          <w:szCs w:val="26"/>
        </w:rPr>
        <w:t>式中：</w:t>
      </w:r>
      <w:r>
        <w:rPr>
          <w:i/>
          <w:sz w:val="26"/>
          <w:szCs w:val="26"/>
        </w:rPr>
        <w:t>L</w:t>
      </w:r>
      <w:r>
        <w:rPr>
          <w:i/>
          <w:sz w:val="26"/>
          <w:szCs w:val="26"/>
          <w:vertAlign w:val="subscript"/>
        </w:rPr>
        <w:t>P</w:t>
      </w:r>
      <w:r>
        <w:rPr>
          <w:i/>
          <w:sz w:val="26"/>
          <w:szCs w:val="26"/>
        </w:rPr>
        <w:t>—</w:t>
      </w:r>
      <w:r>
        <w:rPr>
          <w:sz w:val="26"/>
          <w:szCs w:val="26"/>
        </w:rPr>
        <w:t>距声源</w:t>
      </w:r>
      <w:r>
        <w:rPr>
          <w:i/>
          <w:sz w:val="26"/>
          <w:szCs w:val="26"/>
        </w:rPr>
        <w:t>r（m）</w:t>
      </w:r>
      <w:r>
        <w:rPr>
          <w:sz w:val="26"/>
          <w:szCs w:val="26"/>
        </w:rPr>
        <w:t>处声压级，dB（A）；</w:t>
      </w:r>
    </w:p>
    <w:p w14:paraId="23AE5F5F">
      <w:pPr>
        <w:adjustRightInd w:val="0"/>
        <w:snapToGrid w:val="0"/>
        <w:spacing w:line="460" w:lineRule="exact"/>
        <w:ind w:firstLine="1300" w:firstLineChars="500"/>
        <w:rPr>
          <w:sz w:val="26"/>
          <w:szCs w:val="26"/>
        </w:rPr>
      </w:pPr>
      <w:r>
        <w:rPr>
          <w:i/>
          <w:sz w:val="26"/>
          <w:szCs w:val="26"/>
        </w:rPr>
        <w:t>L</w:t>
      </w:r>
      <w:r>
        <w:rPr>
          <w:i/>
          <w:sz w:val="26"/>
          <w:szCs w:val="26"/>
          <w:vertAlign w:val="subscript"/>
        </w:rPr>
        <w:t>PO</w:t>
      </w:r>
      <w:r>
        <w:rPr>
          <w:sz w:val="26"/>
          <w:szCs w:val="26"/>
        </w:rPr>
        <w:t>—距声源</w:t>
      </w:r>
      <w:r>
        <w:rPr>
          <w:i/>
          <w:sz w:val="26"/>
          <w:szCs w:val="26"/>
        </w:rPr>
        <w:t>r</w:t>
      </w:r>
      <w:r>
        <w:rPr>
          <w:i/>
          <w:sz w:val="26"/>
          <w:szCs w:val="26"/>
          <w:vertAlign w:val="subscript"/>
        </w:rPr>
        <w:t>o</w:t>
      </w:r>
      <w:r>
        <w:rPr>
          <w:i/>
          <w:sz w:val="26"/>
          <w:szCs w:val="26"/>
        </w:rPr>
        <w:t>（m）</w:t>
      </w:r>
      <w:r>
        <w:rPr>
          <w:sz w:val="26"/>
          <w:szCs w:val="26"/>
        </w:rPr>
        <w:t>处声压级，dB（A）。</w:t>
      </w:r>
    </w:p>
    <w:p w14:paraId="738D78AE">
      <w:pPr>
        <w:adjustRightInd w:val="0"/>
        <w:snapToGrid w:val="0"/>
        <w:spacing w:line="460" w:lineRule="exact"/>
        <w:ind w:firstLine="520" w:firstLineChars="200"/>
        <w:rPr>
          <w:sz w:val="26"/>
          <w:szCs w:val="26"/>
        </w:rPr>
      </w:pPr>
      <w:r>
        <w:rPr>
          <w:sz w:val="26"/>
          <w:szCs w:val="26"/>
        </w:rPr>
        <w:t>施工机具综合影响采用以下预测模式：</w:t>
      </w:r>
    </w:p>
    <w:p w14:paraId="155B9BC2">
      <w:pPr>
        <w:adjustRightInd w:val="0"/>
        <w:snapToGrid w:val="0"/>
        <w:spacing w:line="460" w:lineRule="exact"/>
        <w:ind w:firstLine="520" w:firstLineChars="200"/>
        <w:rPr>
          <w:kern w:val="0"/>
          <w:sz w:val="26"/>
          <w:szCs w:val="26"/>
        </w:rPr>
      </w:pPr>
      <w:r>
        <w:rPr>
          <w:kern w:val="0"/>
          <w:sz w:val="26"/>
          <w:szCs w:val="26"/>
        </w:rPr>
        <w:t>建设项目声源在预测点产生的等效声级贡献值(</w:t>
      </w:r>
      <w:r>
        <w:rPr>
          <w:i/>
          <w:iCs/>
          <w:kern w:val="0"/>
          <w:sz w:val="26"/>
          <w:szCs w:val="26"/>
        </w:rPr>
        <w:t>L</w:t>
      </w:r>
      <w:r>
        <w:rPr>
          <w:i/>
          <w:iCs/>
          <w:kern w:val="0"/>
          <w:sz w:val="26"/>
          <w:szCs w:val="26"/>
          <w:vertAlign w:val="subscript"/>
        </w:rPr>
        <w:t>eqg</w:t>
      </w:r>
      <w:r>
        <w:rPr>
          <w:i/>
          <w:iCs/>
          <w:kern w:val="0"/>
          <w:sz w:val="26"/>
          <w:szCs w:val="26"/>
        </w:rPr>
        <w:t xml:space="preserve"> </w:t>
      </w:r>
      <w:r>
        <w:rPr>
          <w:kern w:val="0"/>
          <w:sz w:val="26"/>
          <w:szCs w:val="26"/>
        </w:rPr>
        <w:t>)计算公式：</w:t>
      </w:r>
    </w:p>
    <w:p w14:paraId="76730E5B">
      <w:pPr>
        <w:adjustRightInd w:val="0"/>
        <w:snapToGrid w:val="0"/>
        <w:spacing w:before="120" w:beforeLines="50" w:after="120" w:afterLines="50"/>
        <w:jc w:val="center"/>
        <w:rPr>
          <w:kern w:val="0"/>
          <w:sz w:val="26"/>
          <w:szCs w:val="26"/>
        </w:rPr>
      </w:pPr>
      <w:r>
        <w:rPr>
          <w:position w:val="-30"/>
          <w:sz w:val="26"/>
          <w:szCs w:val="26"/>
        </w:rPr>
        <w:drawing>
          <wp:inline distT="0" distB="0" distL="0" distR="0">
            <wp:extent cx="1923415" cy="474345"/>
            <wp:effectExtent l="0" t="0" r="635" b="190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1923415" cy="474345"/>
                    </a:xfrm>
                    <a:prstGeom prst="rect">
                      <a:avLst/>
                    </a:prstGeom>
                    <a:noFill/>
                    <a:ln>
                      <a:noFill/>
                    </a:ln>
                  </pic:spPr>
                </pic:pic>
              </a:graphicData>
            </a:graphic>
          </wp:inline>
        </w:drawing>
      </w:r>
    </w:p>
    <w:p w14:paraId="36FAB1B2">
      <w:pPr>
        <w:adjustRightInd w:val="0"/>
        <w:snapToGrid w:val="0"/>
        <w:spacing w:line="460" w:lineRule="exact"/>
        <w:ind w:firstLine="520" w:firstLineChars="200"/>
        <w:rPr>
          <w:kern w:val="0"/>
          <w:sz w:val="26"/>
          <w:szCs w:val="26"/>
        </w:rPr>
      </w:pPr>
      <w:r>
        <w:rPr>
          <w:kern w:val="0"/>
          <w:sz w:val="26"/>
          <w:szCs w:val="26"/>
        </w:rPr>
        <w:t>式中：</w:t>
      </w:r>
      <w:r>
        <w:rPr>
          <w:i/>
          <w:iCs/>
          <w:kern w:val="0"/>
          <w:sz w:val="26"/>
          <w:szCs w:val="26"/>
        </w:rPr>
        <w:t>L</w:t>
      </w:r>
      <w:r>
        <w:rPr>
          <w:i/>
          <w:iCs/>
          <w:kern w:val="0"/>
          <w:sz w:val="26"/>
          <w:szCs w:val="26"/>
          <w:vertAlign w:val="subscript"/>
        </w:rPr>
        <w:t>eqg</w:t>
      </w:r>
      <w:r>
        <w:rPr>
          <w:i/>
          <w:iCs/>
          <w:kern w:val="0"/>
          <w:sz w:val="26"/>
          <w:szCs w:val="26"/>
        </w:rPr>
        <w:t xml:space="preserve"> </w:t>
      </w:r>
      <w:r>
        <w:rPr>
          <w:kern w:val="0"/>
          <w:sz w:val="26"/>
          <w:szCs w:val="26"/>
        </w:rPr>
        <w:t>—建设项目声源在预测点的等效声级贡献值，dB</w:t>
      </w:r>
      <w:r>
        <w:rPr>
          <w:sz w:val="26"/>
          <w:szCs w:val="26"/>
        </w:rPr>
        <w:t>（A）</w:t>
      </w:r>
      <w:r>
        <w:rPr>
          <w:kern w:val="0"/>
          <w:sz w:val="26"/>
          <w:szCs w:val="26"/>
        </w:rPr>
        <w:t>；</w:t>
      </w:r>
    </w:p>
    <w:p w14:paraId="4A7FBE39">
      <w:pPr>
        <w:adjustRightInd w:val="0"/>
        <w:snapToGrid w:val="0"/>
        <w:spacing w:line="460" w:lineRule="exact"/>
        <w:ind w:firstLine="1300" w:firstLineChars="500"/>
        <w:rPr>
          <w:kern w:val="0"/>
          <w:sz w:val="26"/>
          <w:szCs w:val="26"/>
        </w:rPr>
      </w:pPr>
      <w:r>
        <w:rPr>
          <w:i/>
          <w:iCs/>
          <w:kern w:val="0"/>
          <w:sz w:val="26"/>
          <w:szCs w:val="26"/>
        </w:rPr>
        <w:t>L</w:t>
      </w:r>
      <w:r>
        <w:rPr>
          <w:i/>
          <w:iCs/>
          <w:kern w:val="0"/>
          <w:sz w:val="26"/>
          <w:szCs w:val="26"/>
          <w:vertAlign w:val="subscript"/>
        </w:rPr>
        <w:t>Ai</w:t>
      </w:r>
      <w:r>
        <w:rPr>
          <w:iCs/>
          <w:kern w:val="0"/>
          <w:sz w:val="26"/>
          <w:szCs w:val="26"/>
        </w:rPr>
        <w:t xml:space="preserve"> </w:t>
      </w:r>
      <w:r>
        <w:rPr>
          <w:kern w:val="0"/>
          <w:sz w:val="26"/>
          <w:szCs w:val="26"/>
        </w:rPr>
        <w:t>—</w:t>
      </w:r>
      <w:r>
        <w:rPr>
          <w:i/>
          <w:iCs/>
          <w:kern w:val="0"/>
          <w:sz w:val="26"/>
          <w:szCs w:val="26"/>
        </w:rPr>
        <w:t xml:space="preserve">i </w:t>
      </w:r>
      <w:r>
        <w:rPr>
          <w:kern w:val="0"/>
          <w:sz w:val="26"/>
          <w:szCs w:val="26"/>
        </w:rPr>
        <w:t>声源在预测点产生的A声级，dB</w:t>
      </w:r>
      <w:r>
        <w:rPr>
          <w:sz w:val="26"/>
          <w:szCs w:val="26"/>
        </w:rPr>
        <w:t>（A）</w:t>
      </w:r>
      <w:r>
        <w:rPr>
          <w:kern w:val="0"/>
          <w:sz w:val="26"/>
          <w:szCs w:val="26"/>
        </w:rPr>
        <w:t>；</w:t>
      </w:r>
    </w:p>
    <w:p w14:paraId="21B17244">
      <w:pPr>
        <w:adjustRightInd w:val="0"/>
        <w:snapToGrid w:val="0"/>
        <w:spacing w:line="460" w:lineRule="exact"/>
        <w:ind w:firstLine="1300" w:firstLineChars="500"/>
        <w:rPr>
          <w:kern w:val="0"/>
          <w:sz w:val="26"/>
          <w:szCs w:val="26"/>
        </w:rPr>
      </w:pPr>
      <w:r>
        <w:rPr>
          <w:i/>
          <w:iCs/>
          <w:kern w:val="0"/>
          <w:sz w:val="26"/>
          <w:szCs w:val="26"/>
        </w:rPr>
        <w:t xml:space="preserve">T </w:t>
      </w:r>
      <w:r>
        <w:rPr>
          <w:kern w:val="0"/>
          <w:sz w:val="26"/>
          <w:szCs w:val="26"/>
        </w:rPr>
        <w:t>— 预测计算的时间段，s；</w:t>
      </w:r>
    </w:p>
    <w:p w14:paraId="2F796136">
      <w:pPr>
        <w:adjustRightInd w:val="0"/>
        <w:snapToGrid w:val="0"/>
        <w:spacing w:line="460" w:lineRule="exact"/>
        <w:ind w:firstLine="1300" w:firstLineChars="500"/>
        <w:rPr>
          <w:kern w:val="0"/>
          <w:sz w:val="26"/>
          <w:szCs w:val="26"/>
        </w:rPr>
      </w:pPr>
      <w:r>
        <w:rPr>
          <w:i/>
          <w:iCs/>
          <w:kern w:val="0"/>
          <w:sz w:val="26"/>
          <w:szCs w:val="26"/>
        </w:rPr>
        <w:t xml:space="preserve">t </w:t>
      </w:r>
      <w:r>
        <w:rPr>
          <w:i/>
          <w:iCs/>
          <w:kern w:val="0"/>
          <w:sz w:val="26"/>
          <w:szCs w:val="26"/>
          <w:vertAlign w:val="subscript"/>
        </w:rPr>
        <w:t>i</w:t>
      </w:r>
      <w:r>
        <w:rPr>
          <w:kern w:val="0"/>
          <w:sz w:val="26"/>
          <w:szCs w:val="26"/>
        </w:rPr>
        <w:t>—</w:t>
      </w:r>
      <w:r>
        <w:rPr>
          <w:i/>
          <w:iCs/>
          <w:kern w:val="0"/>
          <w:sz w:val="26"/>
          <w:szCs w:val="26"/>
        </w:rPr>
        <w:t xml:space="preserve">i </w:t>
      </w:r>
      <w:r>
        <w:rPr>
          <w:kern w:val="0"/>
          <w:sz w:val="26"/>
          <w:szCs w:val="26"/>
        </w:rPr>
        <w:t>声源在</w:t>
      </w:r>
      <w:r>
        <w:rPr>
          <w:i/>
          <w:iCs/>
          <w:kern w:val="0"/>
          <w:sz w:val="26"/>
          <w:szCs w:val="26"/>
        </w:rPr>
        <w:t>T</w:t>
      </w:r>
      <w:r>
        <w:rPr>
          <w:kern w:val="0"/>
          <w:sz w:val="26"/>
          <w:szCs w:val="26"/>
        </w:rPr>
        <w:t>时段内的运行时间，s。</w:t>
      </w:r>
    </w:p>
    <w:p w14:paraId="5E932B88">
      <w:pPr>
        <w:adjustRightInd w:val="0"/>
        <w:snapToGrid w:val="0"/>
        <w:spacing w:line="460" w:lineRule="exact"/>
        <w:ind w:firstLine="520" w:firstLineChars="200"/>
        <w:rPr>
          <w:kern w:val="0"/>
          <w:sz w:val="26"/>
          <w:szCs w:val="26"/>
        </w:rPr>
      </w:pPr>
      <w:r>
        <w:rPr>
          <w:kern w:val="0"/>
          <w:sz w:val="26"/>
          <w:szCs w:val="26"/>
        </w:rPr>
        <w:t>预测点的预测等效声级(</w:t>
      </w:r>
      <w:r>
        <w:rPr>
          <w:i/>
          <w:iCs/>
          <w:kern w:val="0"/>
          <w:sz w:val="26"/>
          <w:szCs w:val="26"/>
        </w:rPr>
        <w:t>L</w:t>
      </w:r>
      <w:r>
        <w:rPr>
          <w:i/>
          <w:iCs/>
          <w:kern w:val="0"/>
          <w:sz w:val="26"/>
          <w:szCs w:val="26"/>
          <w:vertAlign w:val="subscript"/>
        </w:rPr>
        <w:t>eq</w:t>
      </w:r>
      <w:r>
        <w:rPr>
          <w:i/>
          <w:iCs/>
          <w:kern w:val="0"/>
          <w:sz w:val="26"/>
          <w:szCs w:val="26"/>
        </w:rPr>
        <w:t xml:space="preserve"> </w:t>
      </w:r>
      <w:r>
        <w:rPr>
          <w:kern w:val="0"/>
          <w:sz w:val="26"/>
          <w:szCs w:val="26"/>
        </w:rPr>
        <w:t>)计算公式：</w:t>
      </w:r>
    </w:p>
    <w:p w14:paraId="4EF9F538">
      <w:pPr>
        <w:adjustRightInd w:val="0"/>
        <w:snapToGrid w:val="0"/>
        <w:spacing w:before="120" w:beforeLines="50" w:after="120" w:afterLines="50"/>
        <w:ind w:firstLine="520" w:firstLineChars="200"/>
        <w:jc w:val="center"/>
        <w:rPr>
          <w:kern w:val="0"/>
          <w:sz w:val="26"/>
          <w:szCs w:val="26"/>
        </w:rPr>
      </w:pPr>
      <w:r>
        <w:rPr>
          <w:sz w:val="26"/>
          <w:szCs w:val="26"/>
        </w:rPr>
        <w:drawing>
          <wp:inline distT="0" distB="0" distL="0" distR="0">
            <wp:extent cx="1734185" cy="284480"/>
            <wp:effectExtent l="0" t="0" r="0" b="127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1734185" cy="284480"/>
                    </a:xfrm>
                    <a:prstGeom prst="rect">
                      <a:avLst/>
                    </a:prstGeom>
                    <a:noFill/>
                    <a:ln>
                      <a:noFill/>
                    </a:ln>
                  </pic:spPr>
                </pic:pic>
              </a:graphicData>
            </a:graphic>
          </wp:inline>
        </w:drawing>
      </w:r>
    </w:p>
    <w:p w14:paraId="66414600">
      <w:pPr>
        <w:adjustRightInd w:val="0"/>
        <w:snapToGrid w:val="0"/>
        <w:spacing w:line="460" w:lineRule="exact"/>
        <w:ind w:firstLine="520" w:firstLineChars="200"/>
        <w:rPr>
          <w:kern w:val="0"/>
          <w:sz w:val="26"/>
          <w:szCs w:val="26"/>
        </w:rPr>
      </w:pPr>
      <w:r>
        <w:rPr>
          <w:kern w:val="0"/>
          <w:sz w:val="26"/>
          <w:szCs w:val="26"/>
        </w:rPr>
        <w:t>式中：</w:t>
      </w:r>
      <w:r>
        <w:rPr>
          <w:i/>
          <w:iCs/>
          <w:kern w:val="0"/>
          <w:sz w:val="26"/>
          <w:szCs w:val="26"/>
        </w:rPr>
        <w:t>L</w:t>
      </w:r>
      <w:r>
        <w:rPr>
          <w:i/>
          <w:iCs/>
          <w:kern w:val="0"/>
          <w:sz w:val="26"/>
          <w:szCs w:val="26"/>
          <w:vertAlign w:val="subscript"/>
        </w:rPr>
        <w:t>eqg</w:t>
      </w:r>
      <w:r>
        <w:rPr>
          <w:i/>
          <w:iCs/>
          <w:kern w:val="0"/>
          <w:sz w:val="26"/>
          <w:szCs w:val="26"/>
        </w:rPr>
        <w:t xml:space="preserve"> </w:t>
      </w:r>
      <w:r>
        <w:rPr>
          <w:kern w:val="0"/>
          <w:sz w:val="26"/>
          <w:szCs w:val="26"/>
        </w:rPr>
        <w:t>— 建设项目声源在预测点的等效声级贡献值，dB</w:t>
      </w:r>
      <w:r>
        <w:rPr>
          <w:sz w:val="26"/>
          <w:szCs w:val="26"/>
        </w:rPr>
        <w:t>（A）</w:t>
      </w:r>
      <w:r>
        <w:rPr>
          <w:kern w:val="0"/>
          <w:sz w:val="26"/>
          <w:szCs w:val="26"/>
        </w:rPr>
        <w:t>；</w:t>
      </w:r>
    </w:p>
    <w:p w14:paraId="712753FA">
      <w:pPr>
        <w:adjustRightInd w:val="0"/>
        <w:snapToGrid w:val="0"/>
        <w:spacing w:line="460" w:lineRule="exact"/>
        <w:ind w:firstLine="1170" w:firstLineChars="450"/>
        <w:rPr>
          <w:sz w:val="26"/>
          <w:szCs w:val="26"/>
        </w:rPr>
      </w:pPr>
      <w:r>
        <w:rPr>
          <w:i/>
          <w:iCs/>
          <w:kern w:val="0"/>
          <w:sz w:val="26"/>
          <w:szCs w:val="26"/>
        </w:rPr>
        <w:t>L</w:t>
      </w:r>
      <w:r>
        <w:rPr>
          <w:i/>
          <w:iCs/>
          <w:kern w:val="0"/>
          <w:sz w:val="26"/>
          <w:szCs w:val="26"/>
          <w:vertAlign w:val="subscript"/>
        </w:rPr>
        <w:t>eqb</w:t>
      </w:r>
      <w:r>
        <w:rPr>
          <w:i/>
          <w:iCs/>
          <w:kern w:val="0"/>
          <w:sz w:val="26"/>
          <w:szCs w:val="26"/>
        </w:rPr>
        <w:t xml:space="preserve"> </w:t>
      </w:r>
      <w:r>
        <w:rPr>
          <w:kern w:val="0"/>
          <w:sz w:val="26"/>
          <w:szCs w:val="26"/>
        </w:rPr>
        <w:t>— 预测点的背景值，dB</w:t>
      </w:r>
      <w:r>
        <w:rPr>
          <w:sz w:val="26"/>
          <w:szCs w:val="26"/>
        </w:rPr>
        <w:t>（A）</w:t>
      </w:r>
      <w:r>
        <w:rPr>
          <w:kern w:val="0"/>
          <w:sz w:val="26"/>
          <w:szCs w:val="26"/>
        </w:rPr>
        <w:t>。</w:t>
      </w:r>
    </w:p>
    <w:p w14:paraId="0CCD7FD4">
      <w:pPr>
        <w:adjustRightInd w:val="0"/>
        <w:snapToGrid w:val="0"/>
        <w:spacing w:line="460" w:lineRule="exact"/>
        <w:ind w:firstLine="520" w:firstLineChars="200"/>
        <w:rPr>
          <w:b/>
          <w:sz w:val="26"/>
          <w:szCs w:val="26"/>
        </w:rPr>
      </w:pPr>
      <w:r>
        <w:rPr>
          <w:sz w:val="26"/>
          <w:szCs w:val="26"/>
        </w:rPr>
        <w:t>利用公式对施工机械噪声的影响范围（作业点至噪声值达到标准的距离）进行预测，施工机械在不同距离处噪声影响。</w:t>
      </w:r>
    </w:p>
    <w:p w14:paraId="42ADB1F8">
      <w:pPr>
        <w:pStyle w:val="702"/>
        <w:ind w:firstLine="522"/>
        <w:outlineLvl w:val="2"/>
        <w:rPr>
          <w:rFonts w:cs="Times New Roman"/>
          <w:kern w:val="2"/>
        </w:rPr>
      </w:pPr>
      <w:bookmarkStart w:id="266" w:name="_Toc165810566"/>
      <w:r>
        <w:rPr>
          <w:b/>
          <w:bCs/>
          <w:szCs w:val="26"/>
        </w:rPr>
        <w:t xml:space="preserve">5.5.2 </w:t>
      </w:r>
      <w:r>
        <w:rPr>
          <w:rFonts w:hint="eastAsia"/>
          <w:b/>
          <w:bCs/>
          <w:szCs w:val="26"/>
        </w:rPr>
        <w:t>试采站场施工声环境影响分析</w:t>
      </w:r>
      <w:bookmarkEnd w:id="266"/>
    </w:p>
    <w:p w14:paraId="1C915BA6">
      <w:pPr>
        <w:adjustRightInd w:val="0"/>
        <w:snapToGrid w:val="0"/>
        <w:spacing w:line="460" w:lineRule="exact"/>
        <w:ind w:firstLine="520" w:firstLineChars="200"/>
        <w:rPr>
          <w:sz w:val="26"/>
          <w:szCs w:val="26"/>
        </w:rPr>
      </w:pPr>
      <w:r>
        <w:rPr>
          <w:sz w:val="26"/>
          <w:szCs w:val="26"/>
        </w:rPr>
        <w:t>利用噪声衰减公式对施工机械噪声的影响范围（作业点至噪声值达到标准的距离）进行预测，在不考虑任何声屏障和噪声防治措施的情况下，施工机械在不同距离处噪声影响见</w:t>
      </w:r>
      <w:r>
        <w:rPr>
          <w:sz w:val="26"/>
          <w:szCs w:val="26"/>
          <w:u w:val="single"/>
        </w:rPr>
        <w:t>表5.5-1</w:t>
      </w:r>
      <w:r>
        <w:rPr>
          <w:sz w:val="26"/>
          <w:szCs w:val="26"/>
        </w:rPr>
        <w:t>。</w:t>
      </w:r>
    </w:p>
    <w:p w14:paraId="0F75C001">
      <w:pPr>
        <w:pStyle w:val="1379"/>
        <w:ind w:firstLine="440"/>
      </w:pPr>
    </w:p>
    <w:p w14:paraId="3353B1E4">
      <w:pPr>
        <w:pStyle w:val="1065"/>
        <w:ind w:firstLine="520"/>
      </w:pPr>
      <w:r>
        <w:t>表5.5-1   施工机械噪声影响范围预测结果    单位：dB（A）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6"/>
        <w:gridCol w:w="833"/>
        <w:gridCol w:w="789"/>
        <w:gridCol w:w="852"/>
        <w:gridCol w:w="852"/>
        <w:gridCol w:w="852"/>
        <w:gridCol w:w="852"/>
        <w:gridCol w:w="852"/>
        <w:gridCol w:w="852"/>
        <w:gridCol w:w="846"/>
      </w:tblGrid>
      <w:tr w14:paraId="78AE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64" w:type="pct"/>
            <w:vAlign w:val="center"/>
          </w:tcPr>
          <w:p w14:paraId="2CDC5544">
            <w:pPr>
              <w:adjustRightInd w:val="0"/>
              <w:snapToGrid w:val="0"/>
              <w:jc w:val="center"/>
              <w:rPr>
                <w:sz w:val="22"/>
              </w:rPr>
            </w:pPr>
            <w:r>
              <w:rPr>
                <w:sz w:val="22"/>
              </w:rPr>
              <w:t>机械名称</w:t>
            </w:r>
          </w:p>
        </w:tc>
        <w:tc>
          <w:tcPr>
            <w:tcW w:w="466" w:type="pct"/>
            <w:vAlign w:val="center"/>
          </w:tcPr>
          <w:p w14:paraId="1BBFD896">
            <w:pPr>
              <w:adjustRightInd w:val="0"/>
              <w:snapToGrid w:val="0"/>
              <w:jc w:val="center"/>
              <w:rPr>
                <w:sz w:val="22"/>
              </w:rPr>
            </w:pPr>
            <w:r>
              <w:rPr>
                <w:sz w:val="22"/>
              </w:rPr>
              <w:t>10m</w:t>
            </w:r>
          </w:p>
        </w:tc>
        <w:tc>
          <w:tcPr>
            <w:tcW w:w="441" w:type="pct"/>
            <w:vAlign w:val="center"/>
          </w:tcPr>
          <w:p w14:paraId="29E4C5E4">
            <w:pPr>
              <w:adjustRightInd w:val="0"/>
              <w:snapToGrid w:val="0"/>
              <w:jc w:val="center"/>
              <w:rPr>
                <w:sz w:val="22"/>
              </w:rPr>
            </w:pPr>
            <w:r>
              <w:rPr>
                <w:sz w:val="22"/>
              </w:rPr>
              <w:t>30m</w:t>
            </w:r>
          </w:p>
        </w:tc>
        <w:tc>
          <w:tcPr>
            <w:tcW w:w="476" w:type="pct"/>
            <w:vAlign w:val="center"/>
          </w:tcPr>
          <w:p w14:paraId="488875AC">
            <w:pPr>
              <w:adjustRightInd w:val="0"/>
              <w:snapToGrid w:val="0"/>
              <w:jc w:val="center"/>
              <w:rPr>
                <w:sz w:val="22"/>
              </w:rPr>
            </w:pPr>
            <w:r>
              <w:rPr>
                <w:sz w:val="22"/>
              </w:rPr>
              <w:t>50m</w:t>
            </w:r>
          </w:p>
        </w:tc>
        <w:tc>
          <w:tcPr>
            <w:tcW w:w="476" w:type="pct"/>
            <w:vAlign w:val="center"/>
          </w:tcPr>
          <w:p w14:paraId="36172A04">
            <w:pPr>
              <w:adjustRightInd w:val="0"/>
              <w:snapToGrid w:val="0"/>
              <w:jc w:val="center"/>
              <w:rPr>
                <w:sz w:val="22"/>
              </w:rPr>
            </w:pPr>
            <w:r>
              <w:rPr>
                <w:sz w:val="22"/>
              </w:rPr>
              <w:t>70m</w:t>
            </w:r>
          </w:p>
        </w:tc>
        <w:tc>
          <w:tcPr>
            <w:tcW w:w="476" w:type="pct"/>
            <w:vAlign w:val="center"/>
          </w:tcPr>
          <w:p w14:paraId="31B3AFD3">
            <w:pPr>
              <w:adjustRightInd w:val="0"/>
              <w:snapToGrid w:val="0"/>
              <w:jc w:val="center"/>
              <w:rPr>
                <w:sz w:val="22"/>
              </w:rPr>
            </w:pPr>
            <w:r>
              <w:rPr>
                <w:rFonts w:hint="eastAsia"/>
                <w:sz w:val="22"/>
              </w:rPr>
              <w:t>7</w:t>
            </w:r>
            <w:r>
              <w:rPr>
                <w:sz w:val="22"/>
              </w:rPr>
              <w:t>2</w:t>
            </w:r>
            <w:r>
              <w:rPr>
                <w:rFonts w:hint="eastAsia"/>
                <w:sz w:val="22"/>
              </w:rPr>
              <w:t>m</w:t>
            </w:r>
          </w:p>
        </w:tc>
        <w:tc>
          <w:tcPr>
            <w:tcW w:w="476" w:type="pct"/>
            <w:vAlign w:val="center"/>
          </w:tcPr>
          <w:p w14:paraId="556CF95C">
            <w:pPr>
              <w:adjustRightInd w:val="0"/>
              <w:snapToGrid w:val="0"/>
              <w:jc w:val="center"/>
              <w:rPr>
                <w:sz w:val="22"/>
              </w:rPr>
            </w:pPr>
            <w:r>
              <w:rPr>
                <w:sz w:val="22"/>
              </w:rPr>
              <w:t>100m</w:t>
            </w:r>
          </w:p>
        </w:tc>
        <w:tc>
          <w:tcPr>
            <w:tcW w:w="476" w:type="pct"/>
            <w:vAlign w:val="center"/>
          </w:tcPr>
          <w:p w14:paraId="50A711BE">
            <w:pPr>
              <w:adjustRightInd w:val="0"/>
              <w:snapToGrid w:val="0"/>
              <w:jc w:val="center"/>
              <w:rPr>
                <w:sz w:val="22"/>
              </w:rPr>
            </w:pPr>
            <w:r>
              <w:rPr>
                <w:sz w:val="22"/>
              </w:rPr>
              <w:t>130m</w:t>
            </w:r>
          </w:p>
        </w:tc>
        <w:tc>
          <w:tcPr>
            <w:tcW w:w="476" w:type="pct"/>
            <w:vAlign w:val="center"/>
          </w:tcPr>
          <w:p w14:paraId="34607F44">
            <w:pPr>
              <w:adjustRightInd w:val="0"/>
              <w:snapToGrid w:val="0"/>
              <w:jc w:val="center"/>
              <w:rPr>
                <w:sz w:val="22"/>
              </w:rPr>
            </w:pPr>
            <w:r>
              <w:rPr>
                <w:sz w:val="22"/>
              </w:rPr>
              <w:t>150m</w:t>
            </w:r>
          </w:p>
        </w:tc>
        <w:tc>
          <w:tcPr>
            <w:tcW w:w="476" w:type="pct"/>
            <w:vAlign w:val="center"/>
          </w:tcPr>
          <w:p w14:paraId="74FF13FD">
            <w:pPr>
              <w:adjustRightInd w:val="0"/>
              <w:snapToGrid w:val="0"/>
              <w:jc w:val="center"/>
              <w:rPr>
                <w:sz w:val="22"/>
              </w:rPr>
            </w:pPr>
            <w:r>
              <w:rPr>
                <w:sz w:val="22"/>
              </w:rPr>
              <w:t>200m</w:t>
            </w:r>
          </w:p>
        </w:tc>
      </w:tr>
      <w:tr w14:paraId="778A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64" w:type="pct"/>
            <w:vAlign w:val="center"/>
          </w:tcPr>
          <w:p w14:paraId="64B8E15E">
            <w:pPr>
              <w:adjustRightInd w:val="0"/>
              <w:snapToGrid w:val="0"/>
              <w:jc w:val="center"/>
              <w:rPr>
                <w:sz w:val="22"/>
              </w:rPr>
            </w:pPr>
            <w:r>
              <w:rPr>
                <w:sz w:val="22"/>
              </w:rPr>
              <w:t>装载机</w:t>
            </w:r>
          </w:p>
        </w:tc>
        <w:tc>
          <w:tcPr>
            <w:tcW w:w="466" w:type="pct"/>
            <w:vAlign w:val="center"/>
          </w:tcPr>
          <w:p w14:paraId="23AAC21F">
            <w:pPr>
              <w:adjustRightInd w:val="0"/>
              <w:snapToGrid w:val="0"/>
              <w:jc w:val="center"/>
              <w:rPr>
                <w:sz w:val="22"/>
              </w:rPr>
            </w:pPr>
            <w:r>
              <w:rPr>
                <w:sz w:val="22"/>
              </w:rPr>
              <w:t>84.0</w:t>
            </w:r>
          </w:p>
        </w:tc>
        <w:tc>
          <w:tcPr>
            <w:tcW w:w="441" w:type="pct"/>
            <w:vAlign w:val="center"/>
          </w:tcPr>
          <w:p w14:paraId="68E5D31C">
            <w:pPr>
              <w:adjustRightInd w:val="0"/>
              <w:snapToGrid w:val="0"/>
              <w:jc w:val="center"/>
              <w:rPr>
                <w:sz w:val="22"/>
              </w:rPr>
            </w:pPr>
            <w:r>
              <w:rPr>
                <w:sz w:val="22"/>
              </w:rPr>
              <w:t>74.4</w:t>
            </w:r>
          </w:p>
        </w:tc>
        <w:tc>
          <w:tcPr>
            <w:tcW w:w="476" w:type="pct"/>
            <w:vAlign w:val="center"/>
          </w:tcPr>
          <w:p w14:paraId="53E0CDAF">
            <w:pPr>
              <w:adjustRightInd w:val="0"/>
              <w:snapToGrid w:val="0"/>
              <w:jc w:val="center"/>
              <w:rPr>
                <w:sz w:val="22"/>
              </w:rPr>
            </w:pPr>
            <w:r>
              <w:rPr>
                <w:sz w:val="22"/>
              </w:rPr>
              <w:t>70.0</w:t>
            </w:r>
          </w:p>
        </w:tc>
        <w:tc>
          <w:tcPr>
            <w:tcW w:w="476" w:type="pct"/>
            <w:vAlign w:val="center"/>
          </w:tcPr>
          <w:p w14:paraId="723F9DB8">
            <w:pPr>
              <w:adjustRightInd w:val="0"/>
              <w:snapToGrid w:val="0"/>
              <w:jc w:val="center"/>
              <w:rPr>
                <w:sz w:val="22"/>
              </w:rPr>
            </w:pPr>
            <w:r>
              <w:rPr>
                <w:sz w:val="22"/>
              </w:rPr>
              <w:t>67.1</w:t>
            </w:r>
          </w:p>
        </w:tc>
        <w:tc>
          <w:tcPr>
            <w:tcW w:w="476" w:type="pct"/>
            <w:vAlign w:val="center"/>
          </w:tcPr>
          <w:p w14:paraId="0D92924F">
            <w:pPr>
              <w:adjustRightInd w:val="0"/>
              <w:snapToGrid w:val="0"/>
              <w:jc w:val="center"/>
              <w:rPr>
                <w:sz w:val="22"/>
              </w:rPr>
            </w:pPr>
            <w:r>
              <w:rPr>
                <w:rFonts w:hint="eastAsia"/>
                <w:sz w:val="22"/>
              </w:rPr>
              <w:t>6</w:t>
            </w:r>
            <w:r>
              <w:rPr>
                <w:sz w:val="22"/>
              </w:rPr>
              <w:t>6.9</w:t>
            </w:r>
          </w:p>
        </w:tc>
        <w:tc>
          <w:tcPr>
            <w:tcW w:w="476" w:type="pct"/>
            <w:vAlign w:val="center"/>
          </w:tcPr>
          <w:p w14:paraId="4B039AEB">
            <w:pPr>
              <w:adjustRightInd w:val="0"/>
              <w:snapToGrid w:val="0"/>
              <w:jc w:val="center"/>
              <w:rPr>
                <w:sz w:val="22"/>
              </w:rPr>
            </w:pPr>
            <w:r>
              <w:rPr>
                <w:sz w:val="22"/>
              </w:rPr>
              <w:t>64.0</w:t>
            </w:r>
          </w:p>
        </w:tc>
        <w:tc>
          <w:tcPr>
            <w:tcW w:w="476" w:type="pct"/>
            <w:vAlign w:val="center"/>
          </w:tcPr>
          <w:p w14:paraId="645B0861">
            <w:pPr>
              <w:adjustRightInd w:val="0"/>
              <w:snapToGrid w:val="0"/>
              <w:jc w:val="center"/>
              <w:rPr>
                <w:sz w:val="22"/>
              </w:rPr>
            </w:pPr>
            <w:r>
              <w:rPr>
                <w:sz w:val="22"/>
              </w:rPr>
              <w:t>61.7</w:t>
            </w:r>
          </w:p>
        </w:tc>
        <w:tc>
          <w:tcPr>
            <w:tcW w:w="476" w:type="pct"/>
            <w:vAlign w:val="center"/>
          </w:tcPr>
          <w:p w14:paraId="135D575E">
            <w:pPr>
              <w:adjustRightInd w:val="0"/>
              <w:snapToGrid w:val="0"/>
              <w:jc w:val="center"/>
              <w:rPr>
                <w:sz w:val="22"/>
              </w:rPr>
            </w:pPr>
            <w:r>
              <w:rPr>
                <w:sz w:val="22"/>
              </w:rPr>
              <w:t>60.5</w:t>
            </w:r>
          </w:p>
        </w:tc>
        <w:tc>
          <w:tcPr>
            <w:tcW w:w="476" w:type="pct"/>
            <w:vAlign w:val="center"/>
          </w:tcPr>
          <w:p w14:paraId="7EED7AB9">
            <w:pPr>
              <w:adjustRightInd w:val="0"/>
              <w:snapToGrid w:val="0"/>
              <w:jc w:val="center"/>
              <w:rPr>
                <w:sz w:val="22"/>
              </w:rPr>
            </w:pPr>
            <w:r>
              <w:rPr>
                <w:sz w:val="22"/>
              </w:rPr>
              <w:t>58.0</w:t>
            </w:r>
          </w:p>
        </w:tc>
      </w:tr>
      <w:tr w14:paraId="6113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64" w:type="pct"/>
            <w:vAlign w:val="center"/>
          </w:tcPr>
          <w:p w14:paraId="0806B453">
            <w:pPr>
              <w:adjustRightInd w:val="0"/>
              <w:snapToGrid w:val="0"/>
              <w:jc w:val="center"/>
              <w:rPr>
                <w:sz w:val="22"/>
              </w:rPr>
            </w:pPr>
            <w:r>
              <w:rPr>
                <w:sz w:val="22"/>
              </w:rPr>
              <w:t>推土机</w:t>
            </w:r>
          </w:p>
        </w:tc>
        <w:tc>
          <w:tcPr>
            <w:tcW w:w="466" w:type="pct"/>
            <w:vAlign w:val="center"/>
          </w:tcPr>
          <w:p w14:paraId="04407E7E">
            <w:pPr>
              <w:adjustRightInd w:val="0"/>
              <w:snapToGrid w:val="0"/>
              <w:jc w:val="center"/>
              <w:rPr>
                <w:sz w:val="22"/>
              </w:rPr>
            </w:pPr>
            <w:r>
              <w:rPr>
                <w:sz w:val="22"/>
              </w:rPr>
              <w:t>80.0</w:t>
            </w:r>
          </w:p>
        </w:tc>
        <w:tc>
          <w:tcPr>
            <w:tcW w:w="441" w:type="pct"/>
            <w:vAlign w:val="center"/>
          </w:tcPr>
          <w:p w14:paraId="39414CF0">
            <w:pPr>
              <w:adjustRightInd w:val="0"/>
              <w:snapToGrid w:val="0"/>
              <w:jc w:val="center"/>
              <w:rPr>
                <w:sz w:val="22"/>
              </w:rPr>
            </w:pPr>
            <w:r>
              <w:rPr>
                <w:sz w:val="22"/>
              </w:rPr>
              <w:t>70.4</w:t>
            </w:r>
          </w:p>
        </w:tc>
        <w:tc>
          <w:tcPr>
            <w:tcW w:w="476" w:type="pct"/>
            <w:vAlign w:val="center"/>
          </w:tcPr>
          <w:p w14:paraId="193170A0">
            <w:pPr>
              <w:adjustRightInd w:val="0"/>
              <w:snapToGrid w:val="0"/>
              <w:jc w:val="center"/>
              <w:rPr>
                <w:sz w:val="22"/>
              </w:rPr>
            </w:pPr>
            <w:r>
              <w:rPr>
                <w:sz w:val="22"/>
              </w:rPr>
              <w:t>66.0</w:t>
            </w:r>
          </w:p>
        </w:tc>
        <w:tc>
          <w:tcPr>
            <w:tcW w:w="476" w:type="pct"/>
            <w:vAlign w:val="center"/>
          </w:tcPr>
          <w:p w14:paraId="18BA7103">
            <w:pPr>
              <w:adjustRightInd w:val="0"/>
              <w:snapToGrid w:val="0"/>
              <w:jc w:val="center"/>
              <w:rPr>
                <w:sz w:val="22"/>
              </w:rPr>
            </w:pPr>
            <w:r>
              <w:rPr>
                <w:sz w:val="22"/>
              </w:rPr>
              <w:t>63.1</w:t>
            </w:r>
          </w:p>
        </w:tc>
        <w:tc>
          <w:tcPr>
            <w:tcW w:w="476" w:type="pct"/>
            <w:vAlign w:val="center"/>
          </w:tcPr>
          <w:p w14:paraId="438E2D1F">
            <w:pPr>
              <w:adjustRightInd w:val="0"/>
              <w:snapToGrid w:val="0"/>
              <w:jc w:val="center"/>
              <w:rPr>
                <w:sz w:val="22"/>
              </w:rPr>
            </w:pPr>
            <w:r>
              <w:rPr>
                <w:rFonts w:hint="eastAsia"/>
                <w:sz w:val="22"/>
              </w:rPr>
              <w:t>6</w:t>
            </w:r>
            <w:r>
              <w:rPr>
                <w:sz w:val="22"/>
              </w:rPr>
              <w:t>2.9</w:t>
            </w:r>
          </w:p>
        </w:tc>
        <w:tc>
          <w:tcPr>
            <w:tcW w:w="476" w:type="pct"/>
            <w:vAlign w:val="center"/>
          </w:tcPr>
          <w:p w14:paraId="4065DE78">
            <w:pPr>
              <w:adjustRightInd w:val="0"/>
              <w:snapToGrid w:val="0"/>
              <w:jc w:val="center"/>
              <w:rPr>
                <w:sz w:val="22"/>
              </w:rPr>
            </w:pPr>
            <w:r>
              <w:rPr>
                <w:sz w:val="22"/>
              </w:rPr>
              <w:t>60.0</w:t>
            </w:r>
          </w:p>
        </w:tc>
        <w:tc>
          <w:tcPr>
            <w:tcW w:w="476" w:type="pct"/>
            <w:vAlign w:val="center"/>
          </w:tcPr>
          <w:p w14:paraId="1F148420">
            <w:pPr>
              <w:adjustRightInd w:val="0"/>
              <w:snapToGrid w:val="0"/>
              <w:jc w:val="center"/>
              <w:rPr>
                <w:sz w:val="22"/>
              </w:rPr>
            </w:pPr>
            <w:r>
              <w:rPr>
                <w:sz w:val="22"/>
              </w:rPr>
              <w:t>57.7</w:t>
            </w:r>
          </w:p>
        </w:tc>
        <w:tc>
          <w:tcPr>
            <w:tcW w:w="476" w:type="pct"/>
            <w:vAlign w:val="center"/>
          </w:tcPr>
          <w:p w14:paraId="711D93FE">
            <w:pPr>
              <w:adjustRightInd w:val="0"/>
              <w:snapToGrid w:val="0"/>
              <w:jc w:val="center"/>
              <w:rPr>
                <w:sz w:val="22"/>
              </w:rPr>
            </w:pPr>
            <w:r>
              <w:rPr>
                <w:sz w:val="22"/>
              </w:rPr>
              <w:t>56.5</w:t>
            </w:r>
          </w:p>
        </w:tc>
        <w:tc>
          <w:tcPr>
            <w:tcW w:w="476" w:type="pct"/>
            <w:vAlign w:val="center"/>
          </w:tcPr>
          <w:p w14:paraId="16C36559">
            <w:pPr>
              <w:adjustRightInd w:val="0"/>
              <w:snapToGrid w:val="0"/>
              <w:jc w:val="center"/>
              <w:rPr>
                <w:sz w:val="22"/>
              </w:rPr>
            </w:pPr>
            <w:r>
              <w:rPr>
                <w:sz w:val="22"/>
              </w:rPr>
              <w:t>54.0</w:t>
            </w:r>
          </w:p>
        </w:tc>
      </w:tr>
      <w:tr w14:paraId="0AC4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64" w:type="pct"/>
            <w:vAlign w:val="center"/>
          </w:tcPr>
          <w:p w14:paraId="4BFB33FE">
            <w:pPr>
              <w:adjustRightInd w:val="0"/>
              <w:snapToGrid w:val="0"/>
              <w:jc w:val="center"/>
              <w:rPr>
                <w:sz w:val="22"/>
              </w:rPr>
            </w:pPr>
            <w:r>
              <w:rPr>
                <w:sz w:val="22"/>
              </w:rPr>
              <w:t>挖掘机</w:t>
            </w:r>
          </w:p>
        </w:tc>
        <w:tc>
          <w:tcPr>
            <w:tcW w:w="466" w:type="pct"/>
            <w:vAlign w:val="center"/>
          </w:tcPr>
          <w:p w14:paraId="7F0679CD">
            <w:pPr>
              <w:adjustRightInd w:val="0"/>
              <w:snapToGrid w:val="0"/>
              <w:jc w:val="center"/>
              <w:rPr>
                <w:sz w:val="22"/>
              </w:rPr>
            </w:pPr>
            <w:r>
              <w:rPr>
                <w:sz w:val="22"/>
              </w:rPr>
              <w:t>78.0</w:t>
            </w:r>
          </w:p>
        </w:tc>
        <w:tc>
          <w:tcPr>
            <w:tcW w:w="441" w:type="pct"/>
            <w:vAlign w:val="center"/>
          </w:tcPr>
          <w:p w14:paraId="367BA835">
            <w:pPr>
              <w:adjustRightInd w:val="0"/>
              <w:snapToGrid w:val="0"/>
              <w:jc w:val="center"/>
              <w:rPr>
                <w:sz w:val="22"/>
              </w:rPr>
            </w:pPr>
            <w:r>
              <w:rPr>
                <w:sz w:val="22"/>
              </w:rPr>
              <w:t>68.4</w:t>
            </w:r>
          </w:p>
        </w:tc>
        <w:tc>
          <w:tcPr>
            <w:tcW w:w="476" w:type="pct"/>
            <w:vAlign w:val="center"/>
          </w:tcPr>
          <w:p w14:paraId="40F0C11C">
            <w:pPr>
              <w:adjustRightInd w:val="0"/>
              <w:snapToGrid w:val="0"/>
              <w:jc w:val="center"/>
              <w:rPr>
                <w:sz w:val="22"/>
              </w:rPr>
            </w:pPr>
            <w:r>
              <w:rPr>
                <w:sz w:val="22"/>
              </w:rPr>
              <w:t>64.0</w:t>
            </w:r>
          </w:p>
        </w:tc>
        <w:tc>
          <w:tcPr>
            <w:tcW w:w="476" w:type="pct"/>
            <w:vAlign w:val="center"/>
          </w:tcPr>
          <w:p w14:paraId="6F2D306D">
            <w:pPr>
              <w:adjustRightInd w:val="0"/>
              <w:snapToGrid w:val="0"/>
              <w:jc w:val="center"/>
              <w:rPr>
                <w:sz w:val="22"/>
              </w:rPr>
            </w:pPr>
            <w:r>
              <w:rPr>
                <w:sz w:val="22"/>
              </w:rPr>
              <w:t>61.1</w:t>
            </w:r>
          </w:p>
        </w:tc>
        <w:tc>
          <w:tcPr>
            <w:tcW w:w="476" w:type="pct"/>
            <w:vAlign w:val="center"/>
          </w:tcPr>
          <w:p w14:paraId="33A7BCF6">
            <w:pPr>
              <w:adjustRightInd w:val="0"/>
              <w:snapToGrid w:val="0"/>
              <w:jc w:val="center"/>
              <w:rPr>
                <w:sz w:val="22"/>
              </w:rPr>
            </w:pPr>
            <w:r>
              <w:rPr>
                <w:rFonts w:hint="eastAsia"/>
                <w:sz w:val="22"/>
              </w:rPr>
              <w:t>6</w:t>
            </w:r>
            <w:r>
              <w:rPr>
                <w:sz w:val="22"/>
              </w:rPr>
              <w:t>0.9</w:t>
            </w:r>
          </w:p>
        </w:tc>
        <w:tc>
          <w:tcPr>
            <w:tcW w:w="476" w:type="pct"/>
            <w:vAlign w:val="center"/>
          </w:tcPr>
          <w:p w14:paraId="4508EA7B">
            <w:pPr>
              <w:adjustRightInd w:val="0"/>
              <w:snapToGrid w:val="0"/>
              <w:jc w:val="center"/>
              <w:rPr>
                <w:sz w:val="22"/>
              </w:rPr>
            </w:pPr>
            <w:r>
              <w:rPr>
                <w:sz w:val="22"/>
              </w:rPr>
              <w:t>58.0</w:t>
            </w:r>
          </w:p>
        </w:tc>
        <w:tc>
          <w:tcPr>
            <w:tcW w:w="476" w:type="pct"/>
            <w:vAlign w:val="center"/>
          </w:tcPr>
          <w:p w14:paraId="0218449B">
            <w:pPr>
              <w:adjustRightInd w:val="0"/>
              <w:snapToGrid w:val="0"/>
              <w:jc w:val="center"/>
              <w:rPr>
                <w:sz w:val="22"/>
              </w:rPr>
            </w:pPr>
            <w:r>
              <w:rPr>
                <w:sz w:val="22"/>
              </w:rPr>
              <w:t>55.7</w:t>
            </w:r>
          </w:p>
        </w:tc>
        <w:tc>
          <w:tcPr>
            <w:tcW w:w="476" w:type="pct"/>
            <w:vAlign w:val="center"/>
          </w:tcPr>
          <w:p w14:paraId="780CB291">
            <w:pPr>
              <w:adjustRightInd w:val="0"/>
              <w:snapToGrid w:val="0"/>
              <w:jc w:val="center"/>
              <w:rPr>
                <w:sz w:val="22"/>
              </w:rPr>
            </w:pPr>
            <w:r>
              <w:rPr>
                <w:sz w:val="22"/>
              </w:rPr>
              <w:t>54.5</w:t>
            </w:r>
          </w:p>
        </w:tc>
        <w:tc>
          <w:tcPr>
            <w:tcW w:w="476" w:type="pct"/>
            <w:vAlign w:val="center"/>
          </w:tcPr>
          <w:p w14:paraId="1A2B50BA">
            <w:pPr>
              <w:adjustRightInd w:val="0"/>
              <w:snapToGrid w:val="0"/>
              <w:jc w:val="center"/>
              <w:rPr>
                <w:sz w:val="22"/>
              </w:rPr>
            </w:pPr>
            <w:r>
              <w:rPr>
                <w:sz w:val="22"/>
              </w:rPr>
              <w:t>52.0</w:t>
            </w:r>
          </w:p>
        </w:tc>
      </w:tr>
      <w:tr w14:paraId="7A7A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64" w:type="pct"/>
            <w:vAlign w:val="center"/>
          </w:tcPr>
          <w:p w14:paraId="37B7F21D">
            <w:pPr>
              <w:adjustRightInd w:val="0"/>
              <w:snapToGrid w:val="0"/>
              <w:jc w:val="center"/>
              <w:rPr>
                <w:sz w:val="22"/>
              </w:rPr>
            </w:pPr>
            <w:r>
              <w:rPr>
                <w:sz w:val="22"/>
              </w:rPr>
              <w:t>重型碾压机</w:t>
            </w:r>
          </w:p>
        </w:tc>
        <w:tc>
          <w:tcPr>
            <w:tcW w:w="466" w:type="pct"/>
            <w:vAlign w:val="center"/>
          </w:tcPr>
          <w:p w14:paraId="26D01BC7">
            <w:pPr>
              <w:adjustRightInd w:val="0"/>
              <w:snapToGrid w:val="0"/>
              <w:jc w:val="center"/>
              <w:rPr>
                <w:sz w:val="22"/>
              </w:rPr>
            </w:pPr>
            <w:r>
              <w:rPr>
                <w:sz w:val="22"/>
              </w:rPr>
              <w:t>80.0</w:t>
            </w:r>
          </w:p>
        </w:tc>
        <w:tc>
          <w:tcPr>
            <w:tcW w:w="441" w:type="pct"/>
            <w:vAlign w:val="center"/>
          </w:tcPr>
          <w:p w14:paraId="18C66196">
            <w:pPr>
              <w:adjustRightInd w:val="0"/>
              <w:snapToGrid w:val="0"/>
              <w:jc w:val="center"/>
              <w:rPr>
                <w:sz w:val="22"/>
              </w:rPr>
            </w:pPr>
            <w:r>
              <w:rPr>
                <w:sz w:val="22"/>
              </w:rPr>
              <w:t>70.4</w:t>
            </w:r>
          </w:p>
        </w:tc>
        <w:tc>
          <w:tcPr>
            <w:tcW w:w="476" w:type="pct"/>
            <w:vAlign w:val="center"/>
          </w:tcPr>
          <w:p w14:paraId="0D9A6520">
            <w:pPr>
              <w:adjustRightInd w:val="0"/>
              <w:snapToGrid w:val="0"/>
              <w:jc w:val="center"/>
              <w:rPr>
                <w:sz w:val="22"/>
              </w:rPr>
            </w:pPr>
            <w:r>
              <w:rPr>
                <w:sz w:val="22"/>
              </w:rPr>
              <w:t>66.0</w:t>
            </w:r>
          </w:p>
        </w:tc>
        <w:tc>
          <w:tcPr>
            <w:tcW w:w="476" w:type="pct"/>
            <w:vAlign w:val="center"/>
          </w:tcPr>
          <w:p w14:paraId="772647DA">
            <w:pPr>
              <w:adjustRightInd w:val="0"/>
              <w:snapToGrid w:val="0"/>
              <w:jc w:val="center"/>
              <w:rPr>
                <w:sz w:val="22"/>
              </w:rPr>
            </w:pPr>
            <w:r>
              <w:rPr>
                <w:sz w:val="22"/>
              </w:rPr>
              <w:t>63.1</w:t>
            </w:r>
          </w:p>
        </w:tc>
        <w:tc>
          <w:tcPr>
            <w:tcW w:w="476" w:type="pct"/>
            <w:vAlign w:val="center"/>
          </w:tcPr>
          <w:p w14:paraId="129F5E20">
            <w:pPr>
              <w:adjustRightInd w:val="0"/>
              <w:snapToGrid w:val="0"/>
              <w:jc w:val="center"/>
              <w:rPr>
                <w:sz w:val="22"/>
              </w:rPr>
            </w:pPr>
            <w:r>
              <w:rPr>
                <w:rFonts w:hint="eastAsia"/>
                <w:sz w:val="22"/>
              </w:rPr>
              <w:t>6</w:t>
            </w:r>
            <w:r>
              <w:rPr>
                <w:sz w:val="22"/>
              </w:rPr>
              <w:t>2.9</w:t>
            </w:r>
          </w:p>
        </w:tc>
        <w:tc>
          <w:tcPr>
            <w:tcW w:w="476" w:type="pct"/>
            <w:vAlign w:val="center"/>
          </w:tcPr>
          <w:p w14:paraId="06EAA2B5">
            <w:pPr>
              <w:adjustRightInd w:val="0"/>
              <w:snapToGrid w:val="0"/>
              <w:jc w:val="center"/>
              <w:rPr>
                <w:sz w:val="22"/>
              </w:rPr>
            </w:pPr>
            <w:r>
              <w:rPr>
                <w:sz w:val="22"/>
              </w:rPr>
              <w:t>60.0</w:t>
            </w:r>
          </w:p>
        </w:tc>
        <w:tc>
          <w:tcPr>
            <w:tcW w:w="476" w:type="pct"/>
            <w:vAlign w:val="center"/>
          </w:tcPr>
          <w:p w14:paraId="7270AC41">
            <w:pPr>
              <w:adjustRightInd w:val="0"/>
              <w:snapToGrid w:val="0"/>
              <w:jc w:val="center"/>
              <w:rPr>
                <w:sz w:val="22"/>
              </w:rPr>
            </w:pPr>
            <w:r>
              <w:rPr>
                <w:sz w:val="22"/>
              </w:rPr>
              <w:t>57.7</w:t>
            </w:r>
          </w:p>
        </w:tc>
        <w:tc>
          <w:tcPr>
            <w:tcW w:w="476" w:type="pct"/>
            <w:vAlign w:val="center"/>
          </w:tcPr>
          <w:p w14:paraId="678D23C9">
            <w:pPr>
              <w:adjustRightInd w:val="0"/>
              <w:snapToGrid w:val="0"/>
              <w:jc w:val="center"/>
              <w:rPr>
                <w:sz w:val="22"/>
              </w:rPr>
            </w:pPr>
            <w:r>
              <w:rPr>
                <w:sz w:val="22"/>
              </w:rPr>
              <w:t>56.5</w:t>
            </w:r>
          </w:p>
        </w:tc>
        <w:tc>
          <w:tcPr>
            <w:tcW w:w="476" w:type="pct"/>
            <w:vAlign w:val="center"/>
          </w:tcPr>
          <w:p w14:paraId="2CA2BEB2">
            <w:pPr>
              <w:adjustRightInd w:val="0"/>
              <w:snapToGrid w:val="0"/>
              <w:jc w:val="center"/>
              <w:rPr>
                <w:sz w:val="22"/>
              </w:rPr>
            </w:pPr>
            <w:r>
              <w:rPr>
                <w:sz w:val="22"/>
              </w:rPr>
              <w:t>54.0</w:t>
            </w:r>
          </w:p>
        </w:tc>
      </w:tr>
      <w:tr w14:paraId="5311F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64" w:type="pct"/>
            <w:vAlign w:val="center"/>
          </w:tcPr>
          <w:p w14:paraId="48FFF2F6">
            <w:pPr>
              <w:adjustRightInd w:val="0"/>
              <w:snapToGrid w:val="0"/>
              <w:jc w:val="center"/>
              <w:rPr>
                <w:sz w:val="22"/>
              </w:rPr>
            </w:pPr>
            <w:r>
              <w:rPr>
                <w:sz w:val="22"/>
              </w:rPr>
              <w:t>电锯</w:t>
            </w:r>
          </w:p>
        </w:tc>
        <w:tc>
          <w:tcPr>
            <w:tcW w:w="466" w:type="pct"/>
            <w:vAlign w:val="center"/>
          </w:tcPr>
          <w:p w14:paraId="1E18931F">
            <w:pPr>
              <w:adjustRightInd w:val="0"/>
              <w:snapToGrid w:val="0"/>
              <w:jc w:val="center"/>
              <w:rPr>
                <w:sz w:val="22"/>
              </w:rPr>
            </w:pPr>
            <w:r>
              <w:rPr>
                <w:sz w:val="22"/>
              </w:rPr>
              <w:t>87.0</w:t>
            </w:r>
          </w:p>
        </w:tc>
        <w:tc>
          <w:tcPr>
            <w:tcW w:w="441" w:type="pct"/>
            <w:vAlign w:val="center"/>
          </w:tcPr>
          <w:p w14:paraId="2FD0D83E">
            <w:pPr>
              <w:adjustRightInd w:val="0"/>
              <w:snapToGrid w:val="0"/>
              <w:jc w:val="center"/>
              <w:rPr>
                <w:sz w:val="22"/>
              </w:rPr>
            </w:pPr>
            <w:r>
              <w:rPr>
                <w:sz w:val="22"/>
              </w:rPr>
              <w:t>77.4</w:t>
            </w:r>
          </w:p>
        </w:tc>
        <w:tc>
          <w:tcPr>
            <w:tcW w:w="476" w:type="pct"/>
            <w:vAlign w:val="center"/>
          </w:tcPr>
          <w:p w14:paraId="7A047D0A">
            <w:pPr>
              <w:adjustRightInd w:val="0"/>
              <w:snapToGrid w:val="0"/>
              <w:jc w:val="center"/>
              <w:rPr>
                <w:sz w:val="22"/>
              </w:rPr>
            </w:pPr>
            <w:r>
              <w:rPr>
                <w:sz w:val="22"/>
              </w:rPr>
              <w:t>73.0</w:t>
            </w:r>
          </w:p>
        </w:tc>
        <w:tc>
          <w:tcPr>
            <w:tcW w:w="476" w:type="pct"/>
            <w:vAlign w:val="center"/>
          </w:tcPr>
          <w:p w14:paraId="193DE385">
            <w:pPr>
              <w:adjustRightInd w:val="0"/>
              <w:snapToGrid w:val="0"/>
              <w:jc w:val="center"/>
              <w:rPr>
                <w:sz w:val="22"/>
              </w:rPr>
            </w:pPr>
            <w:r>
              <w:rPr>
                <w:sz w:val="22"/>
              </w:rPr>
              <w:t>70.1</w:t>
            </w:r>
          </w:p>
        </w:tc>
        <w:tc>
          <w:tcPr>
            <w:tcW w:w="476" w:type="pct"/>
            <w:vAlign w:val="center"/>
          </w:tcPr>
          <w:p w14:paraId="764E1498">
            <w:pPr>
              <w:adjustRightInd w:val="0"/>
              <w:snapToGrid w:val="0"/>
              <w:jc w:val="center"/>
              <w:rPr>
                <w:sz w:val="22"/>
              </w:rPr>
            </w:pPr>
            <w:r>
              <w:rPr>
                <w:sz w:val="22"/>
              </w:rPr>
              <w:t>69.9</w:t>
            </w:r>
          </w:p>
        </w:tc>
        <w:tc>
          <w:tcPr>
            <w:tcW w:w="476" w:type="pct"/>
            <w:vAlign w:val="center"/>
          </w:tcPr>
          <w:p w14:paraId="2C78FCA9">
            <w:pPr>
              <w:adjustRightInd w:val="0"/>
              <w:snapToGrid w:val="0"/>
              <w:jc w:val="center"/>
              <w:rPr>
                <w:sz w:val="22"/>
              </w:rPr>
            </w:pPr>
            <w:r>
              <w:rPr>
                <w:sz w:val="22"/>
              </w:rPr>
              <w:t>67.0</w:t>
            </w:r>
          </w:p>
        </w:tc>
        <w:tc>
          <w:tcPr>
            <w:tcW w:w="476" w:type="pct"/>
            <w:vAlign w:val="center"/>
          </w:tcPr>
          <w:p w14:paraId="3881B989">
            <w:pPr>
              <w:adjustRightInd w:val="0"/>
              <w:snapToGrid w:val="0"/>
              <w:jc w:val="center"/>
              <w:rPr>
                <w:sz w:val="22"/>
              </w:rPr>
            </w:pPr>
            <w:r>
              <w:rPr>
                <w:sz w:val="22"/>
              </w:rPr>
              <w:t>64.7</w:t>
            </w:r>
          </w:p>
        </w:tc>
        <w:tc>
          <w:tcPr>
            <w:tcW w:w="476" w:type="pct"/>
            <w:vAlign w:val="center"/>
          </w:tcPr>
          <w:p w14:paraId="63B783F3">
            <w:pPr>
              <w:adjustRightInd w:val="0"/>
              <w:snapToGrid w:val="0"/>
              <w:jc w:val="center"/>
              <w:rPr>
                <w:sz w:val="22"/>
              </w:rPr>
            </w:pPr>
            <w:r>
              <w:rPr>
                <w:sz w:val="22"/>
              </w:rPr>
              <w:t>63.5</w:t>
            </w:r>
          </w:p>
        </w:tc>
        <w:tc>
          <w:tcPr>
            <w:tcW w:w="476" w:type="pct"/>
            <w:vAlign w:val="center"/>
          </w:tcPr>
          <w:p w14:paraId="124DF08D">
            <w:pPr>
              <w:adjustRightInd w:val="0"/>
              <w:snapToGrid w:val="0"/>
              <w:jc w:val="center"/>
              <w:rPr>
                <w:sz w:val="22"/>
              </w:rPr>
            </w:pPr>
            <w:r>
              <w:rPr>
                <w:sz w:val="22"/>
              </w:rPr>
              <w:t>61.0</w:t>
            </w:r>
          </w:p>
        </w:tc>
      </w:tr>
      <w:tr w14:paraId="4DE2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64" w:type="pct"/>
            <w:vAlign w:val="center"/>
          </w:tcPr>
          <w:p w14:paraId="73C70A28">
            <w:pPr>
              <w:adjustRightInd w:val="0"/>
              <w:snapToGrid w:val="0"/>
              <w:jc w:val="center"/>
              <w:rPr>
                <w:sz w:val="22"/>
              </w:rPr>
            </w:pPr>
            <w:r>
              <w:rPr>
                <w:sz w:val="22"/>
              </w:rPr>
              <w:t>载重汽车</w:t>
            </w:r>
          </w:p>
        </w:tc>
        <w:tc>
          <w:tcPr>
            <w:tcW w:w="466" w:type="pct"/>
            <w:vAlign w:val="center"/>
          </w:tcPr>
          <w:p w14:paraId="35DD8D2E">
            <w:pPr>
              <w:adjustRightInd w:val="0"/>
              <w:snapToGrid w:val="0"/>
              <w:jc w:val="center"/>
              <w:rPr>
                <w:sz w:val="22"/>
              </w:rPr>
            </w:pPr>
            <w:r>
              <w:rPr>
                <w:sz w:val="22"/>
              </w:rPr>
              <w:t>79.0</w:t>
            </w:r>
          </w:p>
        </w:tc>
        <w:tc>
          <w:tcPr>
            <w:tcW w:w="441" w:type="pct"/>
            <w:vAlign w:val="center"/>
          </w:tcPr>
          <w:p w14:paraId="0F7DDFE0">
            <w:pPr>
              <w:adjustRightInd w:val="0"/>
              <w:snapToGrid w:val="0"/>
              <w:jc w:val="center"/>
              <w:rPr>
                <w:sz w:val="22"/>
              </w:rPr>
            </w:pPr>
            <w:r>
              <w:rPr>
                <w:sz w:val="22"/>
              </w:rPr>
              <w:t>69.4</w:t>
            </w:r>
          </w:p>
        </w:tc>
        <w:tc>
          <w:tcPr>
            <w:tcW w:w="476" w:type="pct"/>
            <w:vAlign w:val="center"/>
          </w:tcPr>
          <w:p w14:paraId="6B0256C2">
            <w:pPr>
              <w:adjustRightInd w:val="0"/>
              <w:snapToGrid w:val="0"/>
              <w:jc w:val="center"/>
              <w:rPr>
                <w:sz w:val="22"/>
              </w:rPr>
            </w:pPr>
            <w:r>
              <w:rPr>
                <w:sz w:val="22"/>
              </w:rPr>
              <w:t>65.0</w:t>
            </w:r>
          </w:p>
        </w:tc>
        <w:tc>
          <w:tcPr>
            <w:tcW w:w="476" w:type="pct"/>
            <w:vAlign w:val="center"/>
          </w:tcPr>
          <w:p w14:paraId="53C74E21">
            <w:pPr>
              <w:adjustRightInd w:val="0"/>
              <w:snapToGrid w:val="0"/>
              <w:jc w:val="center"/>
              <w:rPr>
                <w:sz w:val="22"/>
              </w:rPr>
            </w:pPr>
            <w:r>
              <w:rPr>
                <w:sz w:val="22"/>
              </w:rPr>
              <w:t>62.1</w:t>
            </w:r>
          </w:p>
        </w:tc>
        <w:tc>
          <w:tcPr>
            <w:tcW w:w="476" w:type="pct"/>
            <w:vAlign w:val="center"/>
          </w:tcPr>
          <w:p w14:paraId="200D395B">
            <w:pPr>
              <w:adjustRightInd w:val="0"/>
              <w:snapToGrid w:val="0"/>
              <w:jc w:val="center"/>
              <w:rPr>
                <w:sz w:val="22"/>
              </w:rPr>
            </w:pPr>
            <w:r>
              <w:rPr>
                <w:rFonts w:hint="eastAsia"/>
                <w:sz w:val="22"/>
              </w:rPr>
              <w:t>6</w:t>
            </w:r>
            <w:r>
              <w:rPr>
                <w:sz w:val="22"/>
              </w:rPr>
              <w:t>1.9</w:t>
            </w:r>
          </w:p>
        </w:tc>
        <w:tc>
          <w:tcPr>
            <w:tcW w:w="476" w:type="pct"/>
            <w:vAlign w:val="center"/>
          </w:tcPr>
          <w:p w14:paraId="365E2B14">
            <w:pPr>
              <w:adjustRightInd w:val="0"/>
              <w:snapToGrid w:val="0"/>
              <w:jc w:val="center"/>
              <w:rPr>
                <w:sz w:val="22"/>
              </w:rPr>
            </w:pPr>
            <w:r>
              <w:rPr>
                <w:sz w:val="22"/>
              </w:rPr>
              <w:t>59.0</w:t>
            </w:r>
          </w:p>
        </w:tc>
        <w:tc>
          <w:tcPr>
            <w:tcW w:w="476" w:type="pct"/>
            <w:vAlign w:val="center"/>
          </w:tcPr>
          <w:p w14:paraId="55A781FF">
            <w:pPr>
              <w:adjustRightInd w:val="0"/>
              <w:snapToGrid w:val="0"/>
              <w:jc w:val="center"/>
              <w:rPr>
                <w:sz w:val="22"/>
              </w:rPr>
            </w:pPr>
            <w:r>
              <w:rPr>
                <w:sz w:val="22"/>
              </w:rPr>
              <w:t>56.7</w:t>
            </w:r>
          </w:p>
        </w:tc>
        <w:tc>
          <w:tcPr>
            <w:tcW w:w="476" w:type="pct"/>
            <w:vAlign w:val="center"/>
          </w:tcPr>
          <w:p w14:paraId="1632E46A">
            <w:pPr>
              <w:adjustRightInd w:val="0"/>
              <w:snapToGrid w:val="0"/>
              <w:jc w:val="center"/>
              <w:rPr>
                <w:sz w:val="22"/>
              </w:rPr>
            </w:pPr>
            <w:r>
              <w:rPr>
                <w:sz w:val="22"/>
              </w:rPr>
              <w:t>55.5</w:t>
            </w:r>
          </w:p>
        </w:tc>
        <w:tc>
          <w:tcPr>
            <w:tcW w:w="476" w:type="pct"/>
            <w:vAlign w:val="center"/>
          </w:tcPr>
          <w:p w14:paraId="397162A4">
            <w:pPr>
              <w:adjustRightInd w:val="0"/>
              <w:snapToGrid w:val="0"/>
              <w:jc w:val="center"/>
              <w:rPr>
                <w:sz w:val="22"/>
              </w:rPr>
            </w:pPr>
            <w:r>
              <w:rPr>
                <w:sz w:val="22"/>
              </w:rPr>
              <w:t>53.0</w:t>
            </w:r>
          </w:p>
        </w:tc>
      </w:tr>
    </w:tbl>
    <w:p w14:paraId="732F4672">
      <w:pPr>
        <w:pStyle w:val="1066"/>
        <w:ind w:firstLine="520"/>
      </w:pPr>
    </w:p>
    <w:p w14:paraId="77AE79A6">
      <w:pPr>
        <w:adjustRightInd w:val="0"/>
        <w:snapToGrid w:val="0"/>
        <w:spacing w:line="460" w:lineRule="exact"/>
        <w:ind w:firstLine="520" w:firstLineChars="200"/>
        <w:rPr>
          <w:sz w:val="26"/>
          <w:szCs w:val="26"/>
        </w:rPr>
      </w:pPr>
      <w:r>
        <w:rPr>
          <w:rFonts w:hint="eastAsia"/>
          <w:sz w:val="26"/>
          <w:szCs w:val="26"/>
        </w:rPr>
        <w:t>由上表可知，在不考虑任何声屏障和噪声防治措施的情况下，在距离50m处施工机具对声环境的贡献值为64.0~73.0dB（A），在距离100m处施工机具对声环境的贡献值为58.0~67.0dB（A），在距离200m处施工机具对声环境的贡献值为52.0~61.0dB（A）。</w:t>
      </w:r>
    </w:p>
    <w:p w14:paraId="7B7DC76B">
      <w:pPr>
        <w:adjustRightInd w:val="0"/>
        <w:snapToGrid w:val="0"/>
        <w:spacing w:line="460" w:lineRule="exact"/>
        <w:ind w:firstLine="520" w:firstLineChars="200"/>
        <w:rPr>
          <w:sz w:val="26"/>
          <w:szCs w:val="26"/>
        </w:rPr>
      </w:pPr>
      <w:r>
        <w:rPr>
          <w:rFonts w:hint="eastAsia"/>
          <w:sz w:val="26"/>
          <w:szCs w:val="26"/>
        </w:rPr>
        <w:t>试采站夜间未施工，不存在施工噪声夜间超标环境影响；在不考虑任何声屏障和噪声防治措施的情况下，当施工机具与施工厂界昼间距离小于72m时，施工机具产生的噪声在厂界处容易超过《建筑施工噪声排放标准》（GB</w:t>
      </w:r>
      <w:r>
        <w:rPr>
          <w:sz w:val="26"/>
          <w:szCs w:val="26"/>
        </w:rPr>
        <w:t xml:space="preserve"> </w:t>
      </w:r>
      <w:r>
        <w:rPr>
          <w:rFonts w:hint="eastAsia"/>
          <w:sz w:val="26"/>
          <w:szCs w:val="26"/>
        </w:rPr>
        <w:t>12523-2025）规定的昼间70dB（A）限值要求，需要采取适当措施降低环境影响。</w:t>
      </w:r>
    </w:p>
    <w:p w14:paraId="2358464A">
      <w:pPr>
        <w:adjustRightInd w:val="0"/>
        <w:snapToGrid w:val="0"/>
        <w:spacing w:line="460" w:lineRule="exact"/>
        <w:ind w:firstLine="520" w:firstLineChars="200"/>
        <w:rPr>
          <w:sz w:val="26"/>
          <w:szCs w:val="26"/>
        </w:rPr>
      </w:pPr>
      <w:r>
        <w:rPr>
          <w:rFonts w:hint="eastAsia"/>
          <w:sz w:val="26"/>
          <w:szCs w:val="26"/>
        </w:rPr>
        <w:t>本项目试采站施工过程中，合理进行了施工布局，将高噪声设备安排在远离居民点的场站布置，避开周边居民午休时间施工。总的来说，本项目试采站施工期较短（土建施工时间约10天），且仅昼间施工，施工噪声对环境影响程度有限，施工噪声影响随施工的结束而消失。</w:t>
      </w:r>
    </w:p>
    <w:p w14:paraId="0C8D4673">
      <w:pPr>
        <w:adjustRightInd w:val="0"/>
        <w:snapToGrid w:val="0"/>
        <w:spacing w:line="460" w:lineRule="exact"/>
        <w:ind w:firstLine="522" w:firstLineChars="200"/>
        <w:outlineLvl w:val="1"/>
        <w:rPr>
          <w:b/>
          <w:sz w:val="26"/>
          <w:szCs w:val="26"/>
        </w:rPr>
      </w:pPr>
      <w:bookmarkStart w:id="267" w:name="_Toc219907652"/>
      <w:bookmarkStart w:id="268" w:name="_Toc109319863"/>
      <w:bookmarkStart w:id="269" w:name="_Toc165810568"/>
      <w:bookmarkStart w:id="270" w:name="_Toc165809738"/>
      <w:bookmarkStart w:id="271" w:name="_Toc128320922"/>
      <w:r>
        <w:rPr>
          <w:b/>
          <w:sz w:val="26"/>
          <w:szCs w:val="26"/>
        </w:rPr>
        <w:t>5.6 固体废物影响分析</w:t>
      </w:r>
      <w:bookmarkEnd w:id="267"/>
      <w:bookmarkEnd w:id="268"/>
      <w:bookmarkEnd w:id="269"/>
      <w:bookmarkEnd w:id="270"/>
      <w:bookmarkEnd w:id="271"/>
    </w:p>
    <w:p w14:paraId="22D45AC8">
      <w:pPr>
        <w:pStyle w:val="1381"/>
        <w:ind w:firstLine="520"/>
      </w:pPr>
      <w:r>
        <w:rPr>
          <w:rFonts w:hint="eastAsia"/>
          <w:szCs w:val="26"/>
        </w:rPr>
        <w:t>试采站</w:t>
      </w:r>
      <w:bookmarkStart w:id="272" w:name="_Toc165810571"/>
      <w:bookmarkStart w:id="273" w:name="_Toc165809739"/>
      <w:bookmarkStart w:id="274" w:name="_Toc128320923"/>
      <w:r>
        <w:t>施工期产生的固体废物主要是施工人员生活垃圾、废焊条、废包装材料等。</w:t>
      </w:r>
    </w:p>
    <w:p w14:paraId="47AB7C8D">
      <w:pPr>
        <w:pStyle w:val="1381"/>
        <w:ind w:firstLine="520"/>
      </w:pPr>
      <w:r>
        <w:t>针对施工人员生活垃圾拟采取定点收集，收集后定期交当地环卫部门处理的措施，规范生活垃圾的管理，避免其乱堆放，确保施工场地有良好的卫生条件，减小生活垃圾对环境的不良影响。</w:t>
      </w:r>
      <w:r>
        <w:rPr>
          <w:rFonts w:hint="eastAsia"/>
        </w:rPr>
        <w:t>可回收施工废料可由施工单位回收或外售废品回收站回收处置，不可回收施工废料收集后送当地建筑渣场处置</w:t>
      </w:r>
      <w:r>
        <w:t>。</w:t>
      </w:r>
    </w:p>
    <w:p w14:paraId="18D61B85">
      <w:pPr>
        <w:pStyle w:val="1381"/>
        <w:ind w:firstLine="520"/>
      </w:pPr>
      <w:r>
        <w:t>本工程产生的固体废物量很少，采取上述措施可得到合理的处理与处置，对周边环境的影响小。</w:t>
      </w:r>
    </w:p>
    <w:p w14:paraId="68EA7F2D">
      <w:pPr>
        <w:autoSpaceDE w:val="0"/>
        <w:autoSpaceDN w:val="0"/>
        <w:adjustRightInd w:val="0"/>
        <w:snapToGrid w:val="0"/>
        <w:spacing w:line="460" w:lineRule="exact"/>
        <w:ind w:firstLine="522" w:firstLineChars="200"/>
        <w:textAlignment w:val="baseline"/>
        <w:rPr>
          <w:b/>
          <w:sz w:val="26"/>
          <w:szCs w:val="26"/>
        </w:rPr>
      </w:pPr>
      <w:r>
        <w:rPr>
          <w:rFonts w:hint="eastAsia"/>
          <w:b/>
          <w:sz w:val="26"/>
          <w:szCs w:val="26"/>
        </w:rPr>
        <w:t>5</w:t>
      </w:r>
      <w:r>
        <w:rPr>
          <w:b/>
          <w:sz w:val="26"/>
          <w:szCs w:val="26"/>
        </w:rPr>
        <w:t xml:space="preserve">.7 </w:t>
      </w:r>
      <w:r>
        <w:rPr>
          <w:rFonts w:hint="eastAsia"/>
          <w:b/>
          <w:sz w:val="26"/>
          <w:szCs w:val="26"/>
        </w:rPr>
        <w:t>施工期土壤环境影响分析</w:t>
      </w:r>
      <w:bookmarkEnd w:id="272"/>
      <w:bookmarkEnd w:id="273"/>
      <w:bookmarkEnd w:id="274"/>
    </w:p>
    <w:p w14:paraId="071DD497">
      <w:pPr>
        <w:adjustRightInd w:val="0"/>
        <w:snapToGrid w:val="0"/>
        <w:spacing w:line="460" w:lineRule="exact"/>
        <w:ind w:firstLine="520" w:firstLineChars="200"/>
        <w:rPr>
          <w:bCs/>
          <w:sz w:val="26"/>
          <w:szCs w:val="26"/>
        </w:rPr>
      </w:pPr>
      <w:bookmarkStart w:id="275" w:name="_Hlk128315683"/>
      <w:r>
        <w:rPr>
          <w:rFonts w:hint="eastAsia"/>
          <w:sz w:val="26"/>
          <w:szCs w:val="26"/>
        </w:rPr>
        <w:t>本项目在原有钻井井场范围内建设，不新增占地，在施工作业严格控制在红线范围内的前提下，本项目的建设对土壤环境影响较小。</w:t>
      </w:r>
      <w:bookmarkEnd w:id="275"/>
      <w:bookmarkStart w:id="276" w:name="_Hlk42692450"/>
    </w:p>
    <w:bookmarkEnd w:id="276"/>
    <w:p w14:paraId="1E716645">
      <w:pPr>
        <w:adjustRightInd w:val="0"/>
        <w:snapToGrid w:val="0"/>
        <w:spacing w:line="500" w:lineRule="exact"/>
        <w:ind w:firstLine="522"/>
        <w:rPr>
          <w:sz w:val="26"/>
          <w:szCs w:val="26"/>
        </w:rPr>
        <w:sectPr>
          <w:pgSz w:w="11906" w:h="16838"/>
          <w:pgMar w:top="1701" w:right="1588" w:bottom="1588" w:left="1588" w:header="1304" w:footer="1247" w:gutter="0"/>
          <w:cols w:space="720" w:num="1"/>
          <w:docGrid w:linePitch="312" w:charSpace="0"/>
        </w:sectPr>
      </w:pPr>
    </w:p>
    <w:p w14:paraId="7F6D2E7E">
      <w:pPr>
        <w:adjustRightInd w:val="0"/>
        <w:snapToGrid w:val="0"/>
        <w:spacing w:before="240" w:beforeLines="100" w:after="240" w:afterLines="100"/>
        <w:jc w:val="center"/>
        <w:outlineLvl w:val="0"/>
        <w:rPr>
          <w:b/>
          <w:sz w:val="32"/>
          <w:szCs w:val="32"/>
        </w:rPr>
      </w:pPr>
      <w:bookmarkStart w:id="277" w:name="_Toc165809740"/>
      <w:bookmarkStart w:id="278" w:name="_Toc165810572"/>
      <w:bookmarkStart w:id="279" w:name="_Toc219907653"/>
      <w:r>
        <w:rPr>
          <w:b/>
          <w:sz w:val="32"/>
          <w:szCs w:val="32"/>
        </w:rPr>
        <w:t>6 试采期环境影响分析</w:t>
      </w:r>
      <w:bookmarkEnd w:id="277"/>
      <w:bookmarkEnd w:id="278"/>
      <w:bookmarkEnd w:id="279"/>
    </w:p>
    <w:p w14:paraId="1A9D9847">
      <w:pPr>
        <w:spacing w:line="460" w:lineRule="exact"/>
        <w:ind w:firstLine="522" w:firstLineChars="200"/>
        <w:outlineLvl w:val="1"/>
        <w:rPr>
          <w:b/>
          <w:bCs/>
          <w:sz w:val="26"/>
          <w:szCs w:val="26"/>
        </w:rPr>
      </w:pPr>
      <w:bookmarkStart w:id="280" w:name="_Toc165809741"/>
      <w:bookmarkStart w:id="281" w:name="_Toc128320926"/>
      <w:bookmarkStart w:id="282" w:name="_Toc165810573"/>
      <w:bookmarkStart w:id="283" w:name="_Toc219907654"/>
      <w:r>
        <w:rPr>
          <w:b/>
          <w:bCs/>
          <w:sz w:val="26"/>
          <w:szCs w:val="26"/>
        </w:rPr>
        <w:t>6.1 生态环境影响分析</w:t>
      </w:r>
      <w:bookmarkEnd w:id="280"/>
      <w:bookmarkEnd w:id="281"/>
      <w:bookmarkEnd w:id="282"/>
      <w:bookmarkEnd w:id="283"/>
    </w:p>
    <w:p w14:paraId="2AE7A30D">
      <w:pPr>
        <w:adjustRightInd w:val="0"/>
        <w:snapToGrid w:val="0"/>
        <w:spacing w:line="480" w:lineRule="exact"/>
        <w:ind w:firstLine="520" w:firstLineChars="200"/>
        <w:rPr>
          <w:sz w:val="26"/>
          <w:szCs w:val="26"/>
          <w:lang w:bidi="ar"/>
        </w:rPr>
      </w:pPr>
      <w:r>
        <w:rPr>
          <w:rFonts w:hint="eastAsia"/>
          <w:sz w:val="26"/>
          <w:szCs w:val="26"/>
          <w:lang w:bidi="ar"/>
        </w:rPr>
        <w:t>本项目试采期对生态环境主要影响为临时占用耕地导致农业减产，非正常工况下，天然气放空产生的瞬时强噪声对周边动物造成一定惊吓。本项目试采站占地面积较小，造成的作物损失量较小，在通过货币等方式补偿农户后，影响较小；本项目试采站放空区位于乡村农业生产区域，野生动物多为常见物种，为常见啮齿类和爬行类动物，且周围具有相似生境，在做好噪声防护等措施前提下，对野生动物影响很小。</w:t>
      </w:r>
    </w:p>
    <w:p w14:paraId="1366F999">
      <w:pPr>
        <w:adjustRightInd w:val="0"/>
        <w:snapToGrid w:val="0"/>
        <w:spacing w:line="480" w:lineRule="exact"/>
        <w:ind w:firstLine="520" w:firstLineChars="200"/>
        <w:rPr>
          <w:sz w:val="26"/>
          <w:szCs w:val="26"/>
          <w:lang w:bidi="ar"/>
        </w:rPr>
      </w:pPr>
      <w:r>
        <w:rPr>
          <w:rFonts w:hint="eastAsia"/>
          <w:sz w:val="26"/>
          <w:szCs w:val="26"/>
          <w:lang w:bidi="ar"/>
        </w:rPr>
        <w:t>同时，试采期应加强对值守人员生态环境保护知识的宣传，禁止员工对周边植被、陆生动物的破坏，禁止乱扔乱丢垃圾，禁止破坏和随意践踏已恢复或正在恢复中的植被。</w:t>
      </w:r>
    </w:p>
    <w:p w14:paraId="70822E2F">
      <w:pPr>
        <w:pStyle w:val="1059"/>
        <w:rPr>
          <w:lang w:bidi="ar"/>
        </w:rPr>
      </w:pPr>
      <w:bookmarkStart w:id="284" w:name="_Toc219907655"/>
      <w:r>
        <w:rPr>
          <w:rFonts w:hint="eastAsia"/>
          <w:lang w:bidi="ar"/>
        </w:rPr>
        <w:t>6</w:t>
      </w:r>
      <w:r>
        <w:rPr>
          <w:lang w:bidi="ar"/>
        </w:rPr>
        <w:t xml:space="preserve">.2 </w:t>
      </w:r>
      <w:r>
        <w:rPr>
          <w:rFonts w:hint="eastAsia"/>
          <w:lang w:bidi="ar"/>
        </w:rPr>
        <w:t>大气环境影响分析</w:t>
      </w:r>
      <w:bookmarkEnd w:id="284"/>
    </w:p>
    <w:p w14:paraId="4D32A57A">
      <w:pPr>
        <w:adjustRightInd w:val="0"/>
        <w:snapToGrid w:val="0"/>
        <w:spacing w:line="460" w:lineRule="exact"/>
        <w:ind w:firstLine="522" w:firstLineChars="200"/>
        <w:outlineLvl w:val="2"/>
        <w:rPr>
          <w:b/>
          <w:bCs/>
          <w:sz w:val="26"/>
          <w:szCs w:val="26"/>
        </w:rPr>
      </w:pPr>
      <w:r>
        <w:rPr>
          <w:rFonts w:hint="eastAsia"/>
          <w:b/>
          <w:bCs/>
          <w:sz w:val="26"/>
          <w:szCs w:val="26"/>
        </w:rPr>
        <w:t>6</w:t>
      </w:r>
      <w:r>
        <w:rPr>
          <w:b/>
          <w:bCs/>
          <w:sz w:val="26"/>
          <w:szCs w:val="26"/>
        </w:rPr>
        <w:t xml:space="preserve">.2.1 </w:t>
      </w:r>
      <w:r>
        <w:rPr>
          <w:rFonts w:hint="eastAsia"/>
          <w:b/>
          <w:bCs/>
          <w:sz w:val="26"/>
          <w:szCs w:val="26"/>
        </w:rPr>
        <w:t>评价等级</w:t>
      </w:r>
    </w:p>
    <w:p w14:paraId="2B032272">
      <w:pPr>
        <w:pStyle w:val="1381"/>
        <w:ind w:firstLine="520"/>
      </w:pPr>
      <w:r>
        <w:rPr>
          <w:rFonts w:hint="eastAsia"/>
          <w:szCs w:val="26"/>
        </w:rPr>
        <w:t>依据《环境影响评价技术导则 大气环境》（HJ2.2-2018）要求，评价等级判断主要以运营期为主，本项目施工期环境空气影响为施工机械、施工车辆的尾气、扬尘及少量焊接烟尘，由于施工期较短，暂不考虑其评价等级。</w:t>
      </w:r>
      <w:r>
        <w:rPr>
          <w:szCs w:val="26"/>
        </w:rPr>
        <w:t>试采期间正常工况下主要</w:t>
      </w:r>
      <w:r>
        <w:rPr>
          <w:rFonts w:hint="eastAsia"/>
          <w:szCs w:val="26"/>
        </w:rPr>
        <w:t>排放</w:t>
      </w:r>
      <w:r>
        <w:rPr>
          <w:szCs w:val="26"/>
        </w:rPr>
        <w:t>废气为水套加热炉燃烧废气和</w:t>
      </w:r>
      <w:r>
        <w:rPr>
          <w:rFonts w:hint="eastAsia"/>
          <w:szCs w:val="26"/>
        </w:rPr>
        <w:t>站场</w:t>
      </w:r>
      <w:r>
        <w:rPr>
          <w:szCs w:val="26"/>
        </w:rPr>
        <w:t>无组织</w:t>
      </w:r>
      <w:r>
        <w:rPr>
          <w:rFonts w:hint="eastAsia"/>
          <w:szCs w:val="26"/>
        </w:rPr>
        <w:t>逸散</w:t>
      </w:r>
      <w:r>
        <w:rPr>
          <w:szCs w:val="26"/>
        </w:rPr>
        <w:t>废气</w:t>
      </w:r>
      <w:r>
        <w:t>，非正常情况下大气环境影响主要为放空废气。</w:t>
      </w:r>
    </w:p>
    <w:p w14:paraId="324D432F">
      <w:pPr>
        <w:pStyle w:val="1381"/>
        <w:ind w:firstLine="520"/>
      </w:pPr>
      <w:r>
        <w:t>根据1.5.2章节，本项目大气评价等级为二级，根据《环境影响评价技术导则</w:t>
      </w:r>
      <w:r>
        <w:rPr>
          <w:rFonts w:hint="eastAsia"/>
        </w:rPr>
        <w:t xml:space="preserve"> </w:t>
      </w:r>
      <w:r>
        <w:t>大气环境》（HJ2.2-2018）的要求，二级评价不进行进一步预测和评价。</w:t>
      </w:r>
    </w:p>
    <w:p w14:paraId="59173EC2">
      <w:pPr>
        <w:pStyle w:val="1068"/>
      </w:pPr>
      <w:r>
        <w:t>6.</w:t>
      </w:r>
      <w:r>
        <w:rPr>
          <w:rFonts w:hint="eastAsia"/>
        </w:rPr>
        <w:t>2</w:t>
      </w:r>
      <w:r>
        <w:t>.2 废气污染源参数</w:t>
      </w:r>
    </w:p>
    <w:p w14:paraId="6BCF8CC3">
      <w:pPr>
        <w:pStyle w:val="1381"/>
        <w:ind w:firstLine="520"/>
      </w:pPr>
      <w:r>
        <w:t>本项目</w:t>
      </w:r>
      <w:r>
        <w:rPr>
          <w:rFonts w:hint="eastAsia"/>
        </w:rPr>
        <w:t>有组织排放</w:t>
      </w:r>
      <w:r>
        <w:t>参数源强调查清单详见</w:t>
      </w:r>
      <w:r>
        <w:rPr>
          <w:u w:val="single"/>
        </w:rPr>
        <w:t>表6.2-1</w:t>
      </w:r>
      <w:r>
        <w:rPr>
          <w:rFonts w:hint="eastAsia"/>
        </w:rPr>
        <w:t>，无组织排放源强详见</w:t>
      </w:r>
      <w:r>
        <w:rPr>
          <w:rFonts w:hint="eastAsia"/>
          <w:u w:val="single"/>
        </w:rPr>
        <w:t>表6.</w:t>
      </w:r>
      <w:r>
        <w:rPr>
          <w:u w:val="single"/>
        </w:rPr>
        <w:t>2</w:t>
      </w:r>
      <w:r>
        <w:rPr>
          <w:rFonts w:hint="eastAsia"/>
          <w:u w:val="single"/>
        </w:rPr>
        <w:t>-</w:t>
      </w:r>
      <w:r>
        <w:rPr>
          <w:u w:val="single"/>
        </w:rPr>
        <w:t>2</w:t>
      </w:r>
      <w:r>
        <w:rPr>
          <w:rFonts w:hint="eastAsia"/>
        </w:rPr>
        <w:t>。</w:t>
      </w:r>
    </w:p>
    <w:p w14:paraId="14581173">
      <w:pPr>
        <w:pStyle w:val="1379"/>
        <w:ind w:firstLine="440"/>
      </w:pPr>
    </w:p>
    <w:p w14:paraId="11A21EF4">
      <w:pPr>
        <w:pStyle w:val="1065"/>
        <w:ind w:firstLine="480"/>
      </w:pPr>
      <w:r>
        <w:t xml:space="preserve">表6.2-1  </w:t>
      </w:r>
      <w:r>
        <w:rPr>
          <w:rFonts w:hint="eastAsia"/>
        </w:rPr>
        <w:t>本</w:t>
      </w:r>
      <w:r>
        <w:t>项目有组织排放源排放参数表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8"/>
        <w:gridCol w:w="1149"/>
        <w:gridCol w:w="1191"/>
        <w:gridCol w:w="761"/>
        <w:gridCol w:w="777"/>
        <w:gridCol w:w="876"/>
        <w:gridCol w:w="767"/>
        <w:gridCol w:w="504"/>
        <w:gridCol w:w="822"/>
        <w:gridCol w:w="841"/>
      </w:tblGrid>
      <w:tr w14:paraId="4704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2412" w:type="dxa"/>
            <w:gridSpan w:val="2"/>
            <w:tcBorders>
              <w:bottom w:val="single" w:color="auto" w:sz="4" w:space="0"/>
            </w:tcBorders>
            <w:vAlign w:val="center"/>
          </w:tcPr>
          <w:p w14:paraId="138A36A2">
            <w:pPr>
              <w:widowControl/>
              <w:jc w:val="center"/>
              <w:rPr>
                <w:kern w:val="0"/>
                <w:sz w:val="22"/>
                <w:szCs w:val="22"/>
              </w:rPr>
            </w:pPr>
            <w:r>
              <w:rPr>
                <w:kern w:val="0"/>
                <w:sz w:val="22"/>
                <w:szCs w:val="22"/>
              </w:rPr>
              <w:t>井筒底部</w:t>
            </w:r>
          </w:p>
          <w:p w14:paraId="385E9CF9">
            <w:pPr>
              <w:widowControl/>
              <w:jc w:val="center"/>
              <w:rPr>
                <w:kern w:val="0"/>
                <w:sz w:val="22"/>
                <w:szCs w:val="22"/>
              </w:rPr>
            </w:pPr>
            <w:r>
              <w:rPr>
                <w:kern w:val="0"/>
                <w:sz w:val="22"/>
                <w:szCs w:val="22"/>
              </w:rPr>
              <w:t>中心坐标</w:t>
            </w:r>
          </w:p>
        </w:tc>
        <w:tc>
          <w:tcPr>
            <w:tcW w:w="1194" w:type="dxa"/>
            <w:vMerge w:val="restart"/>
            <w:tcBorders>
              <w:bottom w:val="single" w:color="auto" w:sz="4" w:space="0"/>
            </w:tcBorders>
            <w:vAlign w:val="center"/>
          </w:tcPr>
          <w:p w14:paraId="20B8D82C">
            <w:pPr>
              <w:widowControl/>
              <w:jc w:val="center"/>
              <w:rPr>
                <w:kern w:val="0"/>
                <w:sz w:val="22"/>
                <w:szCs w:val="22"/>
              </w:rPr>
            </w:pPr>
            <w:r>
              <w:rPr>
                <w:kern w:val="0"/>
                <w:sz w:val="22"/>
                <w:szCs w:val="22"/>
              </w:rPr>
              <w:t>排气筒底部海拔高度H</w:t>
            </w:r>
            <w:r>
              <w:rPr>
                <w:kern w:val="0"/>
                <w:sz w:val="22"/>
                <w:szCs w:val="22"/>
                <w:vertAlign w:val="subscript"/>
              </w:rPr>
              <w:t>0</w:t>
            </w:r>
            <w:r>
              <w:rPr>
                <w:kern w:val="0"/>
                <w:sz w:val="22"/>
                <w:szCs w:val="22"/>
              </w:rPr>
              <w:t>（m）</w:t>
            </w:r>
          </w:p>
        </w:tc>
        <w:tc>
          <w:tcPr>
            <w:tcW w:w="760" w:type="dxa"/>
            <w:vMerge w:val="restart"/>
            <w:tcBorders>
              <w:bottom w:val="single" w:color="auto" w:sz="4" w:space="0"/>
            </w:tcBorders>
            <w:vAlign w:val="center"/>
          </w:tcPr>
          <w:p w14:paraId="6E49D00C">
            <w:pPr>
              <w:widowControl/>
              <w:jc w:val="center"/>
              <w:rPr>
                <w:kern w:val="0"/>
                <w:sz w:val="22"/>
                <w:szCs w:val="22"/>
              </w:rPr>
            </w:pPr>
            <w:r>
              <w:rPr>
                <w:kern w:val="0"/>
                <w:sz w:val="22"/>
                <w:szCs w:val="22"/>
              </w:rPr>
              <w:t>排气筒几何高度</w:t>
            </w:r>
          </w:p>
        </w:tc>
        <w:tc>
          <w:tcPr>
            <w:tcW w:w="776" w:type="dxa"/>
            <w:vMerge w:val="restart"/>
            <w:tcBorders>
              <w:bottom w:val="single" w:color="auto" w:sz="4" w:space="0"/>
            </w:tcBorders>
            <w:vAlign w:val="center"/>
          </w:tcPr>
          <w:p w14:paraId="20BF41D1">
            <w:pPr>
              <w:widowControl/>
              <w:jc w:val="center"/>
              <w:rPr>
                <w:kern w:val="0"/>
                <w:sz w:val="22"/>
                <w:szCs w:val="22"/>
              </w:rPr>
            </w:pPr>
            <w:r>
              <w:rPr>
                <w:kern w:val="0"/>
                <w:sz w:val="22"/>
                <w:szCs w:val="22"/>
              </w:rPr>
              <w:t>烟气流量(m</w:t>
            </w:r>
            <w:r>
              <w:rPr>
                <w:kern w:val="0"/>
                <w:sz w:val="22"/>
                <w:szCs w:val="22"/>
                <w:vertAlign w:val="superscript"/>
              </w:rPr>
              <w:t>3</w:t>
            </w:r>
            <w:r>
              <w:rPr>
                <w:kern w:val="0"/>
                <w:sz w:val="22"/>
                <w:szCs w:val="22"/>
              </w:rPr>
              <w:t>/h)</w:t>
            </w:r>
          </w:p>
        </w:tc>
        <w:tc>
          <w:tcPr>
            <w:tcW w:w="876" w:type="dxa"/>
            <w:vMerge w:val="restart"/>
            <w:tcBorders>
              <w:bottom w:val="single" w:color="auto" w:sz="4" w:space="0"/>
            </w:tcBorders>
            <w:vAlign w:val="center"/>
          </w:tcPr>
          <w:p w14:paraId="644CA04D">
            <w:pPr>
              <w:widowControl/>
              <w:jc w:val="center"/>
              <w:rPr>
                <w:kern w:val="0"/>
                <w:sz w:val="22"/>
                <w:szCs w:val="22"/>
              </w:rPr>
            </w:pPr>
            <w:r>
              <w:rPr>
                <w:kern w:val="0"/>
                <w:sz w:val="22"/>
                <w:szCs w:val="22"/>
              </w:rPr>
              <w:t>烟气温度（℃）</w:t>
            </w:r>
          </w:p>
        </w:tc>
        <w:tc>
          <w:tcPr>
            <w:tcW w:w="766" w:type="dxa"/>
            <w:vMerge w:val="restart"/>
            <w:tcBorders>
              <w:bottom w:val="single" w:color="auto" w:sz="4" w:space="0"/>
            </w:tcBorders>
            <w:vAlign w:val="center"/>
          </w:tcPr>
          <w:p w14:paraId="6AAE9EB5">
            <w:pPr>
              <w:widowControl/>
              <w:jc w:val="center"/>
              <w:rPr>
                <w:kern w:val="0"/>
                <w:sz w:val="22"/>
                <w:szCs w:val="22"/>
              </w:rPr>
            </w:pPr>
            <w:r>
              <w:rPr>
                <w:kern w:val="0"/>
                <w:sz w:val="22"/>
                <w:szCs w:val="22"/>
              </w:rPr>
              <w:t>年排放小时数（h）</w:t>
            </w:r>
          </w:p>
        </w:tc>
        <w:tc>
          <w:tcPr>
            <w:tcW w:w="500" w:type="dxa"/>
            <w:vMerge w:val="restart"/>
            <w:tcBorders>
              <w:bottom w:val="single" w:color="auto" w:sz="4" w:space="0"/>
            </w:tcBorders>
            <w:vAlign w:val="center"/>
          </w:tcPr>
          <w:p w14:paraId="480B85CE">
            <w:pPr>
              <w:widowControl/>
              <w:jc w:val="center"/>
              <w:rPr>
                <w:kern w:val="0"/>
                <w:sz w:val="22"/>
                <w:szCs w:val="22"/>
              </w:rPr>
            </w:pPr>
            <w:r>
              <w:rPr>
                <w:kern w:val="0"/>
                <w:sz w:val="22"/>
                <w:szCs w:val="22"/>
              </w:rPr>
              <w:t>排放工况</w:t>
            </w:r>
          </w:p>
        </w:tc>
        <w:tc>
          <w:tcPr>
            <w:tcW w:w="1662" w:type="dxa"/>
            <w:gridSpan w:val="2"/>
            <w:tcBorders>
              <w:bottom w:val="single" w:color="auto" w:sz="4" w:space="0"/>
            </w:tcBorders>
            <w:vAlign w:val="center"/>
          </w:tcPr>
          <w:p w14:paraId="7D1919EE">
            <w:pPr>
              <w:widowControl/>
              <w:jc w:val="center"/>
              <w:rPr>
                <w:kern w:val="0"/>
                <w:sz w:val="22"/>
                <w:szCs w:val="22"/>
              </w:rPr>
            </w:pPr>
            <w:r>
              <w:rPr>
                <w:kern w:val="0"/>
                <w:sz w:val="22"/>
                <w:szCs w:val="22"/>
              </w:rPr>
              <w:t>污染物排放速率（kg/h）</w:t>
            </w:r>
          </w:p>
        </w:tc>
      </w:tr>
      <w:tr w14:paraId="01DD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61" w:type="dxa"/>
            <w:vAlign w:val="center"/>
          </w:tcPr>
          <w:p w14:paraId="1D64A10F">
            <w:pPr>
              <w:widowControl/>
              <w:jc w:val="center"/>
              <w:rPr>
                <w:kern w:val="0"/>
                <w:sz w:val="22"/>
                <w:szCs w:val="22"/>
              </w:rPr>
            </w:pPr>
            <w:r>
              <w:rPr>
                <w:kern w:val="0"/>
                <w:sz w:val="22"/>
                <w:szCs w:val="22"/>
              </w:rPr>
              <w:t>X/°</w:t>
            </w:r>
          </w:p>
        </w:tc>
        <w:tc>
          <w:tcPr>
            <w:tcW w:w="1151" w:type="dxa"/>
            <w:vAlign w:val="center"/>
          </w:tcPr>
          <w:p w14:paraId="38836FDA">
            <w:pPr>
              <w:widowControl/>
              <w:jc w:val="center"/>
              <w:rPr>
                <w:kern w:val="0"/>
                <w:sz w:val="22"/>
                <w:szCs w:val="22"/>
              </w:rPr>
            </w:pPr>
            <w:r>
              <w:rPr>
                <w:kern w:val="0"/>
                <w:sz w:val="22"/>
                <w:szCs w:val="22"/>
              </w:rPr>
              <w:t>Y/°</w:t>
            </w:r>
          </w:p>
        </w:tc>
        <w:tc>
          <w:tcPr>
            <w:tcW w:w="1194" w:type="dxa"/>
            <w:vMerge w:val="continue"/>
            <w:vAlign w:val="center"/>
          </w:tcPr>
          <w:p w14:paraId="2566C8E7">
            <w:pPr>
              <w:widowControl/>
              <w:jc w:val="left"/>
              <w:rPr>
                <w:kern w:val="0"/>
                <w:sz w:val="22"/>
                <w:szCs w:val="22"/>
              </w:rPr>
            </w:pPr>
          </w:p>
        </w:tc>
        <w:tc>
          <w:tcPr>
            <w:tcW w:w="760" w:type="dxa"/>
            <w:vMerge w:val="continue"/>
            <w:vAlign w:val="center"/>
          </w:tcPr>
          <w:p w14:paraId="7335FD10">
            <w:pPr>
              <w:widowControl/>
              <w:jc w:val="left"/>
              <w:rPr>
                <w:kern w:val="0"/>
                <w:sz w:val="22"/>
                <w:szCs w:val="22"/>
              </w:rPr>
            </w:pPr>
          </w:p>
        </w:tc>
        <w:tc>
          <w:tcPr>
            <w:tcW w:w="776" w:type="dxa"/>
            <w:vMerge w:val="continue"/>
            <w:vAlign w:val="center"/>
          </w:tcPr>
          <w:p w14:paraId="793A4306">
            <w:pPr>
              <w:widowControl/>
              <w:jc w:val="left"/>
              <w:rPr>
                <w:kern w:val="0"/>
                <w:sz w:val="22"/>
                <w:szCs w:val="22"/>
              </w:rPr>
            </w:pPr>
          </w:p>
        </w:tc>
        <w:tc>
          <w:tcPr>
            <w:tcW w:w="876" w:type="dxa"/>
            <w:vMerge w:val="continue"/>
            <w:vAlign w:val="center"/>
          </w:tcPr>
          <w:p w14:paraId="4B2A32E4">
            <w:pPr>
              <w:widowControl/>
              <w:jc w:val="left"/>
              <w:rPr>
                <w:kern w:val="0"/>
                <w:sz w:val="22"/>
                <w:szCs w:val="22"/>
              </w:rPr>
            </w:pPr>
          </w:p>
        </w:tc>
        <w:tc>
          <w:tcPr>
            <w:tcW w:w="766" w:type="dxa"/>
            <w:vMerge w:val="continue"/>
            <w:vAlign w:val="center"/>
          </w:tcPr>
          <w:p w14:paraId="2CEF3C75">
            <w:pPr>
              <w:widowControl/>
              <w:jc w:val="left"/>
              <w:rPr>
                <w:kern w:val="0"/>
                <w:sz w:val="22"/>
                <w:szCs w:val="22"/>
              </w:rPr>
            </w:pPr>
          </w:p>
        </w:tc>
        <w:tc>
          <w:tcPr>
            <w:tcW w:w="500" w:type="dxa"/>
            <w:vMerge w:val="continue"/>
            <w:vAlign w:val="center"/>
          </w:tcPr>
          <w:p w14:paraId="70EF0FFF">
            <w:pPr>
              <w:widowControl/>
              <w:jc w:val="left"/>
              <w:rPr>
                <w:kern w:val="0"/>
                <w:sz w:val="22"/>
                <w:szCs w:val="22"/>
              </w:rPr>
            </w:pPr>
          </w:p>
        </w:tc>
        <w:tc>
          <w:tcPr>
            <w:tcW w:w="821" w:type="dxa"/>
            <w:vAlign w:val="center"/>
          </w:tcPr>
          <w:p w14:paraId="1E458C05">
            <w:pPr>
              <w:widowControl/>
              <w:jc w:val="center"/>
              <w:rPr>
                <w:kern w:val="0"/>
                <w:sz w:val="22"/>
                <w:szCs w:val="22"/>
              </w:rPr>
            </w:pPr>
            <w:r>
              <w:rPr>
                <w:rFonts w:hint="eastAsia"/>
                <w:kern w:val="0"/>
                <w:sz w:val="22"/>
                <w:szCs w:val="22"/>
              </w:rPr>
              <w:t>P</w:t>
            </w:r>
            <w:r>
              <w:rPr>
                <w:kern w:val="0"/>
                <w:sz w:val="22"/>
                <w:szCs w:val="22"/>
              </w:rPr>
              <w:t>M</w:t>
            </w:r>
            <w:r>
              <w:rPr>
                <w:kern w:val="0"/>
                <w:sz w:val="22"/>
                <w:szCs w:val="22"/>
                <w:vertAlign w:val="subscript"/>
              </w:rPr>
              <w:t>10</w:t>
            </w:r>
          </w:p>
        </w:tc>
        <w:tc>
          <w:tcPr>
            <w:tcW w:w="841" w:type="dxa"/>
            <w:vAlign w:val="center"/>
          </w:tcPr>
          <w:p w14:paraId="6D196252">
            <w:pPr>
              <w:widowControl/>
              <w:jc w:val="center"/>
              <w:rPr>
                <w:kern w:val="0"/>
                <w:sz w:val="22"/>
                <w:szCs w:val="22"/>
              </w:rPr>
            </w:pPr>
            <w:r>
              <w:rPr>
                <w:kern w:val="0"/>
                <w:sz w:val="22"/>
                <w:szCs w:val="22"/>
              </w:rPr>
              <w:t>NO</w:t>
            </w:r>
            <w:r>
              <w:rPr>
                <w:kern w:val="0"/>
                <w:sz w:val="22"/>
                <w:szCs w:val="22"/>
                <w:vertAlign w:val="subscript"/>
              </w:rPr>
              <w:t>X</w:t>
            </w:r>
          </w:p>
        </w:tc>
      </w:tr>
      <w:tr w14:paraId="2A80F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61" w:type="dxa"/>
            <w:vAlign w:val="center"/>
          </w:tcPr>
          <w:p w14:paraId="38103DFD">
            <w:pPr>
              <w:widowControl/>
              <w:jc w:val="center"/>
              <w:rPr>
                <w:kern w:val="0"/>
                <w:sz w:val="22"/>
                <w:szCs w:val="22"/>
              </w:rPr>
            </w:pPr>
            <w:r>
              <w:rPr>
                <w:kern w:val="0"/>
                <w:sz w:val="22"/>
                <w:szCs w:val="22"/>
              </w:rPr>
              <w:t>106.428964</w:t>
            </w:r>
          </w:p>
        </w:tc>
        <w:tc>
          <w:tcPr>
            <w:tcW w:w="1151" w:type="dxa"/>
            <w:vAlign w:val="center"/>
          </w:tcPr>
          <w:p w14:paraId="6226F391">
            <w:pPr>
              <w:widowControl/>
              <w:jc w:val="center"/>
              <w:rPr>
                <w:kern w:val="0"/>
                <w:sz w:val="22"/>
                <w:szCs w:val="22"/>
              </w:rPr>
            </w:pPr>
            <w:r>
              <w:rPr>
                <w:kern w:val="0"/>
                <w:sz w:val="22"/>
                <w:szCs w:val="22"/>
              </w:rPr>
              <w:t>31.790273</w:t>
            </w:r>
          </w:p>
        </w:tc>
        <w:tc>
          <w:tcPr>
            <w:tcW w:w="1194" w:type="dxa"/>
            <w:vAlign w:val="center"/>
          </w:tcPr>
          <w:p w14:paraId="0B5AFEA9">
            <w:pPr>
              <w:widowControl/>
              <w:jc w:val="center"/>
              <w:rPr>
                <w:kern w:val="0"/>
                <w:sz w:val="22"/>
                <w:szCs w:val="22"/>
              </w:rPr>
            </w:pPr>
            <w:r>
              <w:rPr>
                <w:kern w:val="0"/>
                <w:sz w:val="22"/>
                <w:szCs w:val="22"/>
              </w:rPr>
              <w:t>558.9</w:t>
            </w:r>
          </w:p>
        </w:tc>
        <w:tc>
          <w:tcPr>
            <w:tcW w:w="760" w:type="dxa"/>
            <w:vAlign w:val="center"/>
          </w:tcPr>
          <w:p w14:paraId="3CE84BF9">
            <w:pPr>
              <w:widowControl/>
              <w:jc w:val="center"/>
              <w:rPr>
                <w:kern w:val="0"/>
                <w:sz w:val="22"/>
                <w:szCs w:val="22"/>
              </w:rPr>
            </w:pPr>
            <w:r>
              <w:rPr>
                <w:kern w:val="0"/>
                <w:sz w:val="22"/>
                <w:szCs w:val="22"/>
              </w:rPr>
              <w:t>8</w:t>
            </w:r>
          </w:p>
        </w:tc>
        <w:tc>
          <w:tcPr>
            <w:tcW w:w="776" w:type="dxa"/>
            <w:vAlign w:val="center"/>
          </w:tcPr>
          <w:p w14:paraId="36B75A3D">
            <w:pPr>
              <w:widowControl/>
              <w:jc w:val="center"/>
              <w:rPr>
                <w:kern w:val="0"/>
                <w:sz w:val="22"/>
                <w:szCs w:val="22"/>
              </w:rPr>
            </w:pPr>
            <w:r>
              <w:rPr>
                <w:kern w:val="0"/>
                <w:sz w:val="22"/>
                <w:szCs w:val="22"/>
              </w:rPr>
              <w:t>272</w:t>
            </w:r>
          </w:p>
        </w:tc>
        <w:tc>
          <w:tcPr>
            <w:tcW w:w="876" w:type="dxa"/>
            <w:vAlign w:val="center"/>
          </w:tcPr>
          <w:p w14:paraId="330D9447">
            <w:pPr>
              <w:widowControl/>
              <w:jc w:val="center"/>
              <w:rPr>
                <w:kern w:val="0"/>
                <w:sz w:val="22"/>
                <w:szCs w:val="22"/>
              </w:rPr>
            </w:pPr>
            <w:r>
              <w:rPr>
                <w:kern w:val="0"/>
                <w:sz w:val="22"/>
                <w:szCs w:val="22"/>
              </w:rPr>
              <w:t>130</w:t>
            </w:r>
          </w:p>
        </w:tc>
        <w:tc>
          <w:tcPr>
            <w:tcW w:w="766" w:type="dxa"/>
            <w:vAlign w:val="center"/>
          </w:tcPr>
          <w:p w14:paraId="2AFE3186">
            <w:pPr>
              <w:widowControl/>
              <w:jc w:val="center"/>
              <w:rPr>
                <w:kern w:val="0"/>
                <w:sz w:val="22"/>
                <w:szCs w:val="22"/>
              </w:rPr>
            </w:pPr>
            <w:r>
              <w:rPr>
                <w:kern w:val="0"/>
                <w:sz w:val="22"/>
                <w:szCs w:val="22"/>
              </w:rPr>
              <w:t>2160</w:t>
            </w:r>
          </w:p>
        </w:tc>
        <w:tc>
          <w:tcPr>
            <w:tcW w:w="500" w:type="dxa"/>
            <w:vAlign w:val="center"/>
          </w:tcPr>
          <w:p w14:paraId="74BEB153">
            <w:pPr>
              <w:widowControl/>
              <w:jc w:val="center"/>
              <w:rPr>
                <w:kern w:val="0"/>
                <w:sz w:val="22"/>
                <w:szCs w:val="22"/>
              </w:rPr>
            </w:pPr>
            <w:r>
              <w:rPr>
                <w:rFonts w:hint="eastAsia"/>
                <w:kern w:val="0"/>
                <w:sz w:val="22"/>
                <w:szCs w:val="22"/>
              </w:rPr>
              <w:t>正常工况</w:t>
            </w:r>
          </w:p>
        </w:tc>
        <w:tc>
          <w:tcPr>
            <w:tcW w:w="821" w:type="dxa"/>
            <w:vAlign w:val="center"/>
          </w:tcPr>
          <w:p w14:paraId="52A5C093">
            <w:pPr>
              <w:widowControl/>
              <w:jc w:val="center"/>
              <w:rPr>
                <w:kern w:val="0"/>
                <w:sz w:val="22"/>
                <w:szCs w:val="22"/>
              </w:rPr>
            </w:pPr>
            <w:r>
              <w:rPr>
                <w:rFonts w:hint="eastAsia"/>
                <w:kern w:val="0"/>
                <w:sz w:val="22"/>
                <w:szCs w:val="22"/>
              </w:rPr>
              <w:t>0</w:t>
            </w:r>
            <w:r>
              <w:rPr>
                <w:kern w:val="0"/>
                <w:sz w:val="22"/>
                <w:szCs w:val="22"/>
              </w:rPr>
              <w:t>.0034</w:t>
            </w:r>
          </w:p>
        </w:tc>
        <w:tc>
          <w:tcPr>
            <w:tcW w:w="841" w:type="dxa"/>
            <w:vAlign w:val="center"/>
          </w:tcPr>
          <w:p w14:paraId="3BD9B852">
            <w:pPr>
              <w:widowControl/>
              <w:jc w:val="center"/>
              <w:rPr>
                <w:kern w:val="0"/>
                <w:sz w:val="22"/>
                <w:szCs w:val="22"/>
              </w:rPr>
            </w:pPr>
            <w:r>
              <w:rPr>
                <w:rFonts w:hint="eastAsia"/>
                <w:kern w:val="0"/>
                <w:sz w:val="22"/>
                <w:szCs w:val="22"/>
              </w:rPr>
              <w:t>0</w:t>
            </w:r>
            <w:r>
              <w:rPr>
                <w:kern w:val="0"/>
                <w:sz w:val="22"/>
                <w:szCs w:val="22"/>
              </w:rPr>
              <w:t>.0043</w:t>
            </w:r>
          </w:p>
        </w:tc>
      </w:tr>
    </w:tbl>
    <w:p w14:paraId="2FB852E1">
      <w:pPr>
        <w:pStyle w:val="1379"/>
        <w:ind w:firstLine="440"/>
      </w:pPr>
    </w:p>
    <w:p w14:paraId="2B1D846E">
      <w:pPr>
        <w:pStyle w:val="1065"/>
      </w:pPr>
      <w:r>
        <w:t>表6.2</w:t>
      </w:r>
      <w:r>
        <w:rPr>
          <w:rFonts w:hint="eastAsia"/>
        </w:rPr>
        <w:t>-</w:t>
      </w:r>
      <w:r>
        <w:t xml:space="preserve">2  </w:t>
      </w:r>
      <w:r>
        <w:rPr>
          <w:rFonts w:hint="eastAsia"/>
        </w:rPr>
        <w:t>试采站无组织逸散</w:t>
      </w:r>
      <w:r>
        <w:t>面源排放参数表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4"/>
        <w:gridCol w:w="1308"/>
        <w:gridCol w:w="1245"/>
        <w:gridCol w:w="1206"/>
        <w:gridCol w:w="1040"/>
        <w:gridCol w:w="1145"/>
        <w:gridCol w:w="1698"/>
      </w:tblGrid>
      <w:tr w14:paraId="0FB4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460" w:type="pct"/>
            <w:gridSpan w:val="2"/>
            <w:vAlign w:val="center"/>
          </w:tcPr>
          <w:p w14:paraId="266E4887">
            <w:pPr>
              <w:wordWrap w:val="0"/>
              <w:jc w:val="center"/>
              <w:rPr>
                <w:sz w:val="22"/>
                <w:szCs w:val="22"/>
              </w:rPr>
            </w:pPr>
            <w:r>
              <w:rPr>
                <w:sz w:val="22"/>
                <w:szCs w:val="22"/>
              </w:rPr>
              <w:t>面源</w:t>
            </w:r>
            <w:r>
              <w:rPr>
                <w:rFonts w:hint="eastAsia"/>
                <w:sz w:val="22"/>
                <w:szCs w:val="22"/>
              </w:rPr>
              <w:t>顶点</w:t>
            </w:r>
            <w:r>
              <w:rPr>
                <w:sz w:val="22"/>
                <w:szCs w:val="22"/>
              </w:rPr>
              <w:t>坐标</w:t>
            </w:r>
          </w:p>
        </w:tc>
        <w:tc>
          <w:tcPr>
            <w:tcW w:w="696" w:type="pct"/>
            <w:vMerge w:val="restart"/>
            <w:vAlign w:val="center"/>
          </w:tcPr>
          <w:p w14:paraId="6FE13157">
            <w:pPr>
              <w:wordWrap w:val="0"/>
              <w:jc w:val="center"/>
              <w:rPr>
                <w:sz w:val="22"/>
                <w:szCs w:val="22"/>
              </w:rPr>
            </w:pPr>
            <w:r>
              <w:rPr>
                <w:sz w:val="22"/>
                <w:szCs w:val="22"/>
              </w:rPr>
              <w:t>面源海拔高度m</w:t>
            </w:r>
          </w:p>
        </w:tc>
        <w:tc>
          <w:tcPr>
            <w:tcW w:w="674" w:type="pct"/>
            <w:vMerge w:val="restart"/>
            <w:vAlign w:val="center"/>
          </w:tcPr>
          <w:p w14:paraId="2D2ECFB1">
            <w:pPr>
              <w:wordWrap w:val="0"/>
              <w:jc w:val="center"/>
              <w:rPr>
                <w:sz w:val="22"/>
                <w:szCs w:val="22"/>
              </w:rPr>
            </w:pPr>
            <w:r>
              <w:rPr>
                <w:sz w:val="22"/>
                <w:szCs w:val="22"/>
              </w:rPr>
              <w:t>面源有效排放高度/m</w:t>
            </w:r>
          </w:p>
        </w:tc>
        <w:tc>
          <w:tcPr>
            <w:tcW w:w="581" w:type="pct"/>
            <w:vMerge w:val="restart"/>
            <w:vAlign w:val="center"/>
          </w:tcPr>
          <w:p w14:paraId="77E28127">
            <w:pPr>
              <w:wordWrap w:val="0"/>
              <w:jc w:val="center"/>
              <w:rPr>
                <w:sz w:val="22"/>
                <w:szCs w:val="22"/>
              </w:rPr>
            </w:pPr>
            <w:r>
              <w:rPr>
                <w:sz w:val="22"/>
                <w:szCs w:val="22"/>
              </w:rPr>
              <w:t>年排放小时数</w:t>
            </w:r>
          </w:p>
        </w:tc>
        <w:tc>
          <w:tcPr>
            <w:tcW w:w="640" w:type="pct"/>
            <w:vMerge w:val="restart"/>
            <w:vAlign w:val="center"/>
          </w:tcPr>
          <w:p w14:paraId="4781BCCA">
            <w:pPr>
              <w:wordWrap w:val="0"/>
              <w:jc w:val="center"/>
              <w:rPr>
                <w:sz w:val="22"/>
                <w:szCs w:val="22"/>
              </w:rPr>
            </w:pPr>
            <w:r>
              <w:rPr>
                <w:sz w:val="22"/>
                <w:szCs w:val="22"/>
              </w:rPr>
              <w:t>排放工况</w:t>
            </w:r>
          </w:p>
        </w:tc>
        <w:tc>
          <w:tcPr>
            <w:tcW w:w="949" w:type="pct"/>
            <w:vAlign w:val="center"/>
          </w:tcPr>
          <w:p w14:paraId="57346287">
            <w:pPr>
              <w:wordWrap w:val="0"/>
              <w:jc w:val="center"/>
              <w:rPr>
                <w:sz w:val="22"/>
                <w:szCs w:val="22"/>
              </w:rPr>
            </w:pPr>
            <w:r>
              <w:rPr>
                <w:sz w:val="22"/>
                <w:szCs w:val="22"/>
              </w:rPr>
              <w:t>污染物排放速率（kg/h）</w:t>
            </w:r>
          </w:p>
        </w:tc>
      </w:tr>
      <w:tr w14:paraId="59FA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729" w:type="pct"/>
            <w:vAlign w:val="center"/>
          </w:tcPr>
          <w:p w14:paraId="25C4D650">
            <w:pPr>
              <w:wordWrap w:val="0"/>
              <w:jc w:val="center"/>
              <w:rPr>
                <w:sz w:val="22"/>
                <w:szCs w:val="22"/>
              </w:rPr>
            </w:pPr>
            <w:r>
              <w:rPr>
                <w:sz w:val="22"/>
                <w:szCs w:val="22"/>
              </w:rPr>
              <w:t>X</w:t>
            </w:r>
            <w:r>
              <w:rPr>
                <w:kern w:val="0"/>
                <w:sz w:val="22"/>
                <w:szCs w:val="22"/>
              </w:rPr>
              <w:t>/°</w:t>
            </w:r>
          </w:p>
        </w:tc>
        <w:tc>
          <w:tcPr>
            <w:tcW w:w="731" w:type="pct"/>
            <w:vAlign w:val="center"/>
          </w:tcPr>
          <w:p w14:paraId="0B5E8432">
            <w:pPr>
              <w:wordWrap w:val="0"/>
              <w:jc w:val="center"/>
              <w:rPr>
                <w:sz w:val="22"/>
                <w:szCs w:val="22"/>
              </w:rPr>
            </w:pPr>
            <w:r>
              <w:rPr>
                <w:sz w:val="22"/>
                <w:szCs w:val="22"/>
              </w:rPr>
              <w:t>Y</w:t>
            </w:r>
            <w:r>
              <w:rPr>
                <w:kern w:val="0"/>
                <w:sz w:val="22"/>
                <w:szCs w:val="22"/>
              </w:rPr>
              <w:t>/°</w:t>
            </w:r>
          </w:p>
        </w:tc>
        <w:tc>
          <w:tcPr>
            <w:tcW w:w="696" w:type="pct"/>
            <w:vMerge w:val="continue"/>
            <w:vAlign w:val="center"/>
          </w:tcPr>
          <w:p w14:paraId="4402306E">
            <w:pPr>
              <w:wordWrap w:val="0"/>
              <w:jc w:val="center"/>
              <w:rPr>
                <w:sz w:val="22"/>
                <w:szCs w:val="22"/>
              </w:rPr>
            </w:pPr>
          </w:p>
        </w:tc>
        <w:tc>
          <w:tcPr>
            <w:tcW w:w="674" w:type="pct"/>
            <w:vMerge w:val="continue"/>
            <w:vAlign w:val="center"/>
          </w:tcPr>
          <w:p w14:paraId="2308C3A1">
            <w:pPr>
              <w:wordWrap w:val="0"/>
              <w:jc w:val="center"/>
              <w:rPr>
                <w:sz w:val="22"/>
                <w:szCs w:val="22"/>
              </w:rPr>
            </w:pPr>
          </w:p>
        </w:tc>
        <w:tc>
          <w:tcPr>
            <w:tcW w:w="581" w:type="pct"/>
            <w:vMerge w:val="continue"/>
            <w:vAlign w:val="center"/>
          </w:tcPr>
          <w:p w14:paraId="2245BEE6">
            <w:pPr>
              <w:wordWrap w:val="0"/>
              <w:jc w:val="center"/>
              <w:rPr>
                <w:sz w:val="22"/>
                <w:szCs w:val="22"/>
              </w:rPr>
            </w:pPr>
          </w:p>
        </w:tc>
        <w:tc>
          <w:tcPr>
            <w:tcW w:w="640" w:type="pct"/>
            <w:vMerge w:val="continue"/>
            <w:vAlign w:val="center"/>
          </w:tcPr>
          <w:p w14:paraId="68B93500">
            <w:pPr>
              <w:wordWrap w:val="0"/>
              <w:jc w:val="center"/>
              <w:rPr>
                <w:sz w:val="22"/>
                <w:szCs w:val="22"/>
              </w:rPr>
            </w:pPr>
          </w:p>
        </w:tc>
        <w:tc>
          <w:tcPr>
            <w:tcW w:w="949" w:type="pct"/>
            <w:vAlign w:val="center"/>
          </w:tcPr>
          <w:p w14:paraId="24332ABA">
            <w:pPr>
              <w:wordWrap w:val="0"/>
              <w:jc w:val="center"/>
              <w:rPr>
                <w:sz w:val="22"/>
                <w:szCs w:val="22"/>
              </w:rPr>
            </w:pPr>
            <w:r>
              <w:rPr>
                <w:rFonts w:hint="eastAsia"/>
                <w:sz w:val="22"/>
                <w:szCs w:val="22"/>
              </w:rPr>
              <w:t>N</w:t>
            </w:r>
            <w:r>
              <w:rPr>
                <w:sz w:val="22"/>
                <w:szCs w:val="22"/>
              </w:rPr>
              <w:t>MHC</w:t>
            </w:r>
          </w:p>
        </w:tc>
      </w:tr>
      <w:tr w14:paraId="0C84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087E0B82">
            <w:pPr>
              <w:wordWrap w:val="0"/>
              <w:jc w:val="center"/>
              <w:rPr>
                <w:sz w:val="22"/>
                <w:szCs w:val="22"/>
              </w:rPr>
            </w:pPr>
            <w:r>
              <w:rPr>
                <w:sz w:val="22"/>
                <w:szCs w:val="22"/>
              </w:rPr>
              <w:t>106.428695</w:t>
            </w:r>
          </w:p>
        </w:tc>
        <w:tc>
          <w:tcPr>
            <w:tcW w:w="731" w:type="pct"/>
            <w:vAlign w:val="center"/>
          </w:tcPr>
          <w:p w14:paraId="668C24C9">
            <w:pPr>
              <w:wordWrap w:val="0"/>
              <w:jc w:val="center"/>
              <w:rPr>
                <w:sz w:val="22"/>
                <w:szCs w:val="22"/>
              </w:rPr>
            </w:pPr>
            <w:r>
              <w:rPr>
                <w:sz w:val="22"/>
                <w:szCs w:val="22"/>
              </w:rPr>
              <w:t>31.790476</w:t>
            </w:r>
          </w:p>
        </w:tc>
        <w:tc>
          <w:tcPr>
            <w:tcW w:w="696" w:type="pct"/>
            <w:vMerge w:val="restart"/>
            <w:vAlign w:val="center"/>
          </w:tcPr>
          <w:p w14:paraId="296C1374">
            <w:pPr>
              <w:wordWrap w:val="0"/>
              <w:jc w:val="center"/>
              <w:rPr>
                <w:sz w:val="22"/>
                <w:szCs w:val="22"/>
              </w:rPr>
            </w:pPr>
            <w:r>
              <w:rPr>
                <w:sz w:val="22"/>
                <w:szCs w:val="22"/>
              </w:rPr>
              <w:t>558.9</w:t>
            </w:r>
          </w:p>
        </w:tc>
        <w:tc>
          <w:tcPr>
            <w:tcW w:w="674" w:type="pct"/>
            <w:vMerge w:val="restart"/>
            <w:vAlign w:val="center"/>
          </w:tcPr>
          <w:p w14:paraId="32331A37">
            <w:pPr>
              <w:wordWrap w:val="0"/>
              <w:jc w:val="center"/>
              <w:rPr>
                <w:sz w:val="22"/>
                <w:szCs w:val="22"/>
              </w:rPr>
            </w:pPr>
            <w:r>
              <w:rPr>
                <w:sz w:val="22"/>
                <w:szCs w:val="22"/>
              </w:rPr>
              <w:t>1</w:t>
            </w:r>
          </w:p>
        </w:tc>
        <w:tc>
          <w:tcPr>
            <w:tcW w:w="581" w:type="pct"/>
            <w:vMerge w:val="restart"/>
            <w:vAlign w:val="center"/>
          </w:tcPr>
          <w:p w14:paraId="6D8177FC">
            <w:pPr>
              <w:wordWrap w:val="0"/>
              <w:jc w:val="center"/>
              <w:rPr>
                <w:sz w:val="22"/>
                <w:szCs w:val="22"/>
              </w:rPr>
            </w:pPr>
            <w:r>
              <w:rPr>
                <w:sz w:val="22"/>
                <w:szCs w:val="22"/>
              </w:rPr>
              <w:t>8760</w:t>
            </w:r>
          </w:p>
        </w:tc>
        <w:tc>
          <w:tcPr>
            <w:tcW w:w="640" w:type="pct"/>
            <w:vMerge w:val="restart"/>
            <w:vAlign w:val="center"/>
          </w:tcPr>
          <w:p w14:paraId="1AE4EDBE">
            <w:pPr>
              <w:wordWrap w:val="0"/>
              <w:jc w:val="center"/>
              <w:rPr>
                <w:sz w:val="22"/>
                <w:szCs w:val="22"/>
              </w:rPr>
            </w:pPr>
            <w:r>
              <w:rPr>
                <w:sz w:val="22"/>
                <w:szCs w:val="22"/>
              </w:rPr>
              <w:t>正常工况</w:t>
            </w:r>
          </w:p>
        </w:tc>
        <w:tc>
          <w:tcPr>
            <w:tcW w:w="949" w:type="pct"/>
            <w:vMerge w:val="restart"/>
            <w:vAlign w:val="center"/>
          </w:tcPr>
          <w:p w14:paraId="5B815AC7">
            <w:pPr>
              <w:wordWrap w:val="0"/>
              <w:jc w:val="center"/>
              <w:rPr>
                <w:sz w:val="22"/>
                <w:szCs w:val="22"/>
              </w:rPr>
            </w:pPr>
            <w:r>
              <w:rPr>
                <w:sz w:val="22"/>
                <w:szCs w:val="22"/>
              </w:rPr>
              <w:t>0.00586</w:t>
            </w:r>
          </w:p>
        </w:tc>
      </w:tr>
      <w:tr w14:paraId="01D8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4F411752">
            <w:pPr>
              <w:wordWrap w:val="0"/>
              <w:jc w:val="center"/>
              <w:rPr>
                <w:sz w:val="22"/>
                <w:szCs w:val="22"/>
              </w:rPr>
            </w:pPr>
            <w:r>
              <w:rPr>
                <w:sz w:val="22"/>
                <w:szCs w:val="22"/>
              </w:rPr>
              <w:t>106.428986</w:t>
            </w:r>
          </w:p>
        </w:tc>
        <w:tc>
          <w:tcPr>
            <w:tcW w:w="731" w:type="pct"/>
            <w:vAlign w:val="center"/>
          </w:tcPr>
          <w:p w14:paraId="0F2890B0">
            <w:pPr>
              <w:wordWrap w:val="0"/>
              <w:jc w:val="center"/>
              <w:rPr>
                <w:sz w:val="22"/>
                <w:szCs w:val="22"/>
              </w:rPr>
            </w:pPr>
            <w:r>
              <w:rPr>
                <w:sz w:val="22"/>
                <w:szCs w:val="22"/>
              </w:rPr>
              <w:t>31.790195</w:t>
            </w:r>
          </w:p>
        </w:tc>
        <w:tc>
          <w:tcPr>
            <w:tcW w:w="696" w:type="pct"/>
            <w:vMerge w:val="continue"/>
            <w:vAlign w:val="center"/>
          </w:tcPr>
          <w:p w14:paraId="224378FF">
            <w:pPr>
              <w:wordWrap w:val="0"/>
              <w:jc w:val="center"/>
              <w:rPr>
                <w:sz w:val="22"/>
                <w:szCs w:val="22"/>
              </w:rPr>
            </w:pPr>
          </w:p>
        </w:tc>
        <w:tc>
          <w:tcPr>
            <w:tcW w:w="674" w:type="pct"/>
            <w:vMerge w:val="continue"/>
            <w:vAlign w:val="center"/>
          </w:tcPr>
          <w:p w14:paraId="118585F0">
            <w:pPr>
              <w:wordWrap w:val="0"/>
              <w:jc w:val="center"/>
              <w:rPr>
                <w:sz w:val="22"/>
                <w:szCs w:val="22"/>
              </w:rPr>
            </w:pPr>
          </w:p>
        </w:tc>
        <w:tc>
          <w:tcPr>
            <w:tcW w:w="581" w:type="pct"/>
            <w:vMerge w:val="continue"/>
            <w:vAlign w:val="center"/>
          </w:tcPr>
          <w:p w14:paraId="4A6FFD9C">
            <w:pPr>
              <w:wordWrap w:val="0"/>
              <w:jc w:val="center"/>
              <w:rPr>
                <w:sz w:val="22"/>
                <w:szCs w:val="22"/>
              </w:rPr>
            </w:pPr>
          </w:p>
        </w:tc>
        <w:tc>
          <w:tcPr>
            <w:tcW w:w="640" w:type="pct"/>
            <w:vMerge w:val="continue"/>
            <w:vAlign w:val="center"/>
          </w:tcPr>
          <w:p w14:paraId="45613711">
            <w:pPr>
              <w:wordWrap w:val="0"/>
              <w:jc w:val="center"/>
              <w:rPr>
                <w:sz w:val="22"/>
                <w:szCs w:val="22"/>
              </w:rPr>
            </w:pPr>
          </w:p>
        </w:tc>
        <w:tc>
          <w:tcPr>
            <w:tcW w:w="949" w:type="pct"/>
            <w:vMerge w:val="continue"/>
            <w:vAlign w:val="center"/>
          </w:tcPr>
          <w:p w14:paraId="3D8A6882">
            <w:pPr>
              <w:wordWrap w:val="0"/>
              <w:jc w:val="center"/>
              <w:rPr>
                <w:sz w:val="22"/>
                <w:szCs w:val="22"/>
              </w:rPr>
            </w:pPr>
          </w:p>
        </w:tc>
      </w:tr>
      <w:tr w14:paraId="0AF4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5A980A14">
            <w:pPr>
              <w:wordWrap w:val="0"/>
              <w:jc w:val="center"/>
              <w:rPr>
                <w:sz w:val="22"/>
                <w:szCs w:val="22"/>
              </w:rPr>
            </w:pPr>
            <w:r>
              <w:rPr>
                <w:sz w:val="22"/>
                <w:szCs w:val="22"/>
              </w:rPr>
              <w:t>106.428886</w:t>
            </w:r>
          </w:p>
        </w:tc>
        <w:tc>
          <w:tcPr>
            <w:tcW w:w="731" w:type="pct"/>
            <w:vAlign w:val="center"/>
          </w:tcPr>
          <w:p w14:paraId="15C794F6">
            <w:pPr>
              <w:wordWrap w:val="0"/>
              <w:jc w:val="center"/>
              <w:rPr>
                <w:sz w:val="22"/>
                <w:szCs w:val="22"/>
              </w:rPr>
            </w:pPr>
            <w:r>
              <w:rPr>
                <w:sz w:val="22"/>
                <w:szCs w:val="22"/>
              </w:rPr>
              <w:t>31.790119</w:t>
            </w:r>
          </w:p>
        </w:tc>
        <w:tc>
          <w:tcPr>
            <w:tcW w:w="696" w:type="pct"/>
            <w:vMerge w:val="continue"/>
            <w:vAlign w:val="center"/>
          </w:tcPr>
          <w:p w14:paraId="24AA56DE">
            <w:pPr>
              <w:wordWrap w:val="0"/>
              <w:jc w:val="center"/>
              <w:rPr>
                <w:sz w:val="22"/>
                <w:szCs w:val="22"/>
              </w:rPr>
            </w:pPr>
          </w:p>
        </w:tc>
        <w:tc>
          <w:tcPr>
            <w:tcW w:w="674" w:type="pct"/>
            <w:vMerge w:val="continue"/>
            <w:vAlign w:val="center"/>
          </w:tcPr>
          <w:p w14:paraId="35D350A6">
            <w:pPr>
              <w:wordWrap w:val="0"/>
              <w:jc w:val="center"/>
              <w:rPr>
                <w:sz w:val="22"/>
                <w:szCs w:val="22"/>
              </w:rPr>
            </w:pPr>
          </w:p>
        </w:tc>
        <w:tc>
          <w:tcPr>
            <w:tcW w:w="581" w:type="pct"/>
            <w:vMerge w:val="continue"/>
            <w:vAlign w:val="center"/>
          </w:tcPr>
          <w:p w14:paraId="06C9CD85">
            <w:pPr>
              <w:wordWrap w:val="0"/>
              <w:jc w:val="center"/>
              <w:rPr>
                <w:sz w:val="22"/>
                <w:szCs w:val="22"/>
              </w:rPr>
            </w:pPr>
          </w:p>
        </w:tc>
        <w:tc>
          <w:tcPr>
            <w:tcW w:w="640" w:type="pct"/>
            <w:vMerge w:val="continue"/>
            <w:vAlign w:val="center"/>
          </w:tcPr>
          <w:p w14:paraId="06DE194C">
            <w:pPr>
              <w:wordWrap w:val="0"/>
              <w:jc w:val="center"/>
              <w:rPr>
                <w:sz w:val="22"/>
                <w:szCs w:val="22"/>
              </w:rPr>
            </w:pPr>
          </w:p>
        </w:tc>
        <w:tc>
          <w:tcPr>
            <w:tcW w:w="949" w:type="pct"/>
            <w:vMerge w:val="continue"/>
            <w:vAlign w:val="center"/>
          </w:tcPr>
          <w:p w14:paraId="117D3202">
            <w:pPr>
              <w:wordWrap w:val="0"/>
              <w:jc w:val="center"/>
              <w:rPr>
                <w:sz w:val="22"/>
                <w:szCs w:val="22"/>
              </w:rPr>
            </w:pPr>
          </w:p>
        </w:tc>
      </w:tr>
      <w:tr w14:paraId="79FC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54CD1582">
            <w:pPr>
              <w:wordWrap w:val="0"/>
              <w:jc w:val="center"/>
              <w:rPr>
                <w:sz w:val="22"/>
                <w:szCs w:val="22"/>
              </w:rPr>
            </w:pPr>
            <w:r>
              <w:rPr>
                <w:sz w:val="22"/>
                <w:szCs w:val="22"/>
              </w:rPr>
              <w:t>106.429395</w:t>
            </w:r>
          </w:p>
        </w:tc>
        <w:tc>
          <w:tcPr>
            <w:tcW w:w="731" w:type="pct"/>
            <w:vAlign w:val="center"/>
          </w:tcPr>
          <w:p w14:paraId="5ABF080C">
            <w:pPr>
              <w:wordWrap w:val="0"/>
              <w:jc w:val="center"/>
              <w:rPr>
                <w:sz w:val="22"/>
                <w:szCs w:val="22"/>
              </w:rPr>
            </w:pPr>
            <w:r>
              <w:rPr>
                <w:sz w:val="22"/>
                <w:szCs w:val="22"/>
              </w:rPr>
              <w:t>31.789639</w:t>
            </w:r>
          </w:p>
        </w:tc>
        <w:tc>
          <w:tcPr>
            <w:tcW w:w="696" w:type="pct"/>
            <w:vMerge w:val="continue"/>
            <w:vAlign w:val="center"/>
          </w:tcPr>
          <w:p w14:paraId="6DA49CCF">
            <w:pPr>
              <w:wordWrap w:val="0"/>
              <w:jc w:val="center"/>
              <w:rPr>
                <w:sz w:val="22"/>
                <w:szCs w:val="22"/>
              </w:rPr>
            </w:pPr>
          </w:p>
        </w:tc>
        <w:tc>
          <w:tcPr>
            <w:tcW w:w="674" w:type="pct"/>
            <w:vMerge w:val="continue"/>
            <w:vAlign w:val="center"/>
          </w:tcPr>
          <w:p w14:paraId="5F2092FB">
            <w:pPr>
              <w:wordWrap w:val="0"/>
              <w:jc w:val="center"/>
              <w:rPr>
                <w:sz w:val="22"/>
                <w:szCs w:val="22"/>
              </w:rPr>
            </w:pPr>
          </w:p>
        </w:tc>
        <w:tc>
          <w:tcPr>
            <w:tcW w:w="581" w:type="pct"/>
            <w:vMerge w:val="continue"/>
            <w:vAlign w:val="center"/>
          </w:tcPr>
          <w:p w14:paraId="7FB382AB">
            <w:pPr>
              <w:wordWrap w:val="0"/>
              <w:jc w:val="center"/>
              <w:rPr>
                <w:sz w:val="22"/>
                <w:szCs w:val="22"/>
              </w:rPr>
            </w:pPr>
          </w:p>
        </w:tc>
        <w:tc>
          <w:tcPr>
            <w:tcW w:w="640" w:type="pct"/>
            <w:vMerge w:val="continue"/>
            <w:vAlign w:val="center"/>
          </w:tcPr>
          <w:p w14:paraId="24A8D202">
            <w:pPr>
              <w:wordWrap w:val="0"/>
              <w:jc w:val="center"/>
              <w:rPr>
                <w:sz w:val="22"/>
                <w:szCs w:val="22"/>
              </w:rPr>
            </w:pPr>
          </w:p>
        </w:tc>
        <w:tc>
          <w:tcPr>
            <w:tcW w:w="949" w:type="pct"/>
            <w:vMerge w:val="continue"/>
            <w:vAlign w:val="center"/>
          </w:tcPr>
          <w:p w14:paraId="7B8D622D">
            <w:pPr>
              <w:wordWrap w:val="0"/>
              <w:jc w:val="center"/>
              <w:rPr>
                <w:sz w:val="22"/>
                <w:szCs w:val="22"/>
              </w:rPr>
            </w:pPr>
          </w:p>
        </w:tc>
      </w:tr>
      <w:tr w14:paraId="355D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605C90DD">
            <w:pPr>
              <w:wordWrap w:val="0"/>
              <w:jc w:val="center"/>
              <w:rPr>
                <w:sz w:val="22"/>
                <w:szCs w:val="22"/>
              </w:rPr>
            </w:pPr>
            <w:r>
              <w:rPr>
                <w:sz w:val="22"/>
                <w:szCs w:val="22"/>
              </w:rPr>
              <w:t>106.429607</w:t>
            </w:r>
          </w:p>
        </w:tc>
        <w:tc>
          <w:tcPr>
            <w:tcW w:w="731" w:type="pct"/>
            <w:vAlign w:val="center"/>
          </w:tcPr>
          <w:p w14:paraId="5A2E4F51">
            <w:pPr>
              <w:wordWrap w:val="0"/>
              <w:jc w:val="center"/>
              <w:rPr>
                <w:sz w:val="22"/>
                <w:szCs w:val="22"/>
              </w:rPr>
            </w:pPr>
            <w:r>
              <w:rPr>
                <w:sz w:val="22"/>
                <w:szCs w:val="22"/>
              </w:rPr>
              <w:t>31.789804</w:t>
            </w:r>
          </w:p>
        </w:tc>
        <w:tc>
          <w:tcPr>
            <w:tcW w:w="696" w:type="pct"/>
            <w:vMerge w:val="continue"/>
            <w:vAlign w:val="center"/>
          </w:tcPr>
          <w:p w14:paraId="3DA5B8E2">
            <w:pPr>
              <w:wordWrap w:val="0"/>
              <w:jc w:val="center"/>
              <w:rPr>
                <w:sz w:val="22"/>
                <w:szCs w:val="22"/>
              </w:rPr>
            </w:pPr>
          </w:p>
        </w:tc>
        <w:tc>
          <w:tcPr>
            <w:tcW w:w="674" w:type="pct"/>
            <w:vMerge w:val="continue"/>
            <w:vAlign w:val="center"/>
          </w:tcPr>
          <w:p w14:paraId="19B28381">
            <w:pPr>
              <w:wordWrap w:val="0"/>
              <w:jc w:val="center"/>
              <w:rPr>
                <w:sz w:val="22"/>
                <w:szCs w:val="22"/>
              </w:rPr>
            </w:pPr>
          </w:p>
        </w:tc>
        <w:tc>
          <w:tcPr>
            <w:tcW w:w="581" w:type="pct"/>
            <w:vMerge w:val="continue"/>
            <w:vAlign w:val="center"/>
          </w:tcPr>
          <w:p w14:paraId="706BB7B0">
            <w:pPr>
              <w:wordWrap w:val="0"/>
              <w:jc w:val="center"/>
              <w:rPr>
                <w:sz w:val="22"/>
                <w:szCs w:val="22"/>
              </w:rPr>
            </w:pPr>
          </w:p>
        </w:tc>
        <w:tc>
          <w:tcPr>
            <w:tcW w:w="640" w:type="pct"/>
            <w:vMerge w:val="continue"/>
            <w:vAlign w:val="center"/>
          </w:tcPr>
          <w:p w14:paraId="6F72D43E">
            <w:pPr>
              <w:wordWrap w:val="0"/>
              <w:jc w:val="center"/>
              <w:rPr>
                <w:sz w:val="22"/>
                <w:szCs w:val="22"/>
              </w:rPr>
            </w:pPr>
          </w:p>
        </w:tc>
        <w:tc>
          <w:tcPr>
            <w:tcW w:w="949" w:type="pct"/>
            <w:vMerge w:val="continue"/>
            <w:vAlign w:val="center"/>
          </w:tcPr>
          <w:p w14:paraId="234551BA">
            <w:pPr>
              <w:wordWrap w:val="0"/>
              <w:jc w:val="center"/>
              <w:rPr>
                <w:sz w:val="22"/>
                <w:szCs w:val="22"/>
              </w:rPr>
            </w:pPr>
          </w:p>
        </w:tc>
      </w:tr>
      <w:tr w14:paraId="0979C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4C281A69">
            <w:pPr>
              <w:wordWrap w:val="0"/>
              <w:jc w:val="center"/>
              <w:rPr>
                <w:sz w:val="22"/>
                <w:szCs w:val="22"/>
              </w:rPr>
            </w:pPr>
            <w:r>
              <w:rPr>
                <w:sz w:val="22"/>
                <w:szCs w:val="22"/>
              </w:rPr>
              <w:t>106.429468</w:t>
            </w:r>
          </w:p>
        </w:tc>
        <w:tc>
          <w:tcPr>
            <w:tcW w:w="731" w:type="pct"/>
            <w:vAlign w:val="center"/>
          </w:tcPr>
          <w:p w14:paraId="398A073C">
            <w:pPr>
              <w:wordWrap w:val="0"/>
              <w:jc w:val="center"/>
              <w:rPr>
                <w:sz w:val="22"/>
                <w:szCs w:val="22"/>
              </w:rPr>
            </w:pPr>
            <w:r>
              <w:rPr>
                <w:sz w:val="22"/>
                <w:szCs w:val="22"/>
              </w:rPr>
              <w:t>31.789951</w:t>
            </w:r>
          </w:p>
        </w:tc>
        <w:tc>
          <w:tcPr>
            <w:tcW w:w="696" w:type="pct"/>
            <w:vMerge w:val="continue"/>
            <w:vAlign w:val="center"/>
          </w:tcPr>
          <w:p w14:paraId="7F446182">
            <w:pPr>
              <w:wordWrap w:val="0"/>
              <w:jc w:val="center"/>
              <w:rPr>
                <w:sz w:val="22"/>
                <w:szCs w:val="22"/>
              </w:rPr>
            </w:pPr>
          </w:p>
        </w:tc>
        <w:tc>
          <w:tcPr>
            <w:tcW w:w="674" w:type="pct"/>
            <w:vMerge w:val="continue"/>
            <w:vAlign w:val="center"/>
          </w:tcPr>
          <w:p w14:paraId="7D5DBAD3">
            <w:pPr>
              <w:wordWrap w:val="0"/>
              <w:jc w:val="center"/>
              <w:rPr>
                <w:sz w:val="22"/>
                <w:szCs w:val="22"/>
              </w:rPr>
            </w:pPr>
          </w:p>
        </w:tc>
        <w:tc>
          <w:tcPr>
            <w:tcW w:w="581" w:type="pct"/>
            <w:vMerge w:val="continue"/>
            <w:vAlign w:val="center"/>
          </w:tcPr>
          <w:p w14:paraId="0FD52193">
            <w:pPr>
              <w:wordWrap w:val="0"/>
              <w:jc w:val="center"/>
              <w:rPr>
                <w:sz w:val="22"/>
                <w:szCs w:val="22"/>
              </w:rPr>
            </w:pPr>
          </w:p>
        </w:tc>
        <w:tc>
          <w:tcPr>
            <w:tcW w:w="640" w:type="pct"/>
            <w:vMerge w:val="continue"/>
            <w:vAlign w:val="center"/>
          </w:tcPr>
          <w:p w14:paraId="7E75ADAF">
            <w:pPr>
              <w:wordWrap w:val="0"/>
              <w:jc w:val="center"/>
              <w:rPr>
                <w:sz w:val="22"/>
                <w:szCs w:val="22"/>
              </w:rPr>
            </w:pPr>
          </w:p>
        </w:tc>
        <w:tc>
          <w:tcPr>
            <w:tcW w:w="949" w:type="pct"/>
            <w:vMerge w:val="continue"/>
            <w:vAlign w:val="center"/>
          </w:tcPr>
          <w:p w14:paraId="03951601">
            <w:pPr>
              <w:wordWrap w:val="0"/>
              <w:jc w:val="center"/>
              <w:rPr>
                <w:sz w:val="22"/>
                <w:szCs w:val="22"/>
              </w:rPr>
            </w:pPr>
          </w:p>
        </w:tc>
      </w:tr>
      <w:tr w14:paraId="5A80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200FBF29">
            <w:pPr>
              <w:wordWrap w:val="0"/>
              <w:jc w:val="center"/>
              <w:rPr>
                <w:sz w:val="22"/>
                <w:szCs w:val="22"/>
              </w:rPr>
            </w:pPr>
            <w:r>
              <w:rPr>
                <w:sz w:val="22"/>
                <w:szCs w:val="22"/>
              </w:rPr>
              <w:t>106.429669</w:t>
            </w:r>
          </w:p>
        </w:tc>
        <w:tc>
          <w:tcPr>
            <w:tcW w:w="731" w:type="pct"/>
            <w:vAlign w:val="center"/>
          </w:tcPr>
          <w:p w14:paraId="17255DFD">
            <w:pPr>
              <w:wordWrap w:val="0"/>
              <w:jc w:val="center"/>
              <w:rPr>
                <w:sz w:val="22"/>
                <w:szCs w:val="22"/>
              </w:rPr>
            </w:pPr>
            <w:r>
              <w:rPr>
                <w:sz w:val="22"/>
                <w:szCs w:val="22"/>
              </w:rPr>
              <w:t>31.790101</w:t>
            </w:r>
          </w:p>
        </w:tc>
        <w:tc>
          <w:tcPr>
            <w:tcW w:w="696" w:type="pct"/>
            <w:vMerge w:val="continue"/>
            <w:vAlign w:val="center"/>
          </w:tcPr>
          <w:p w14:paraId="0F938170">
            <w:pPr>
              <w:wordWrap w:val="0"/>
              <w:jc w:val="center"/>
              <w:rPr>
                <w:sz w:val="22"/>
                <w:szCs w:val="22"/>
              </w:rPr>
            </w:pPr>
          </w:p>
        </w:tc>
        <w:tc>
          <w:tcPr>
            <w:tcW w:w="674" w:type="pct"/>
            <w:vMerge w:val="continue"/>
            <w:vAlign w:val="center"/>
          </w:tcPr>
          <w:p w14:paraId="28D966F4">
            <w:pPr>
              <w:wordWrap w:val="0"/>
              <w:jc w:val="center"/>
              <w:rPr>
                <w:sz w:val="22"/>
                <w:szCs w:val="22"/>
              </w:rPr>
            </w:pPr>
          </w:p>
        </w:tc>
        <w:tc>
          <w:tcPr>
            <w:tcW w:w="581" w:type="pct"/>
            <w:vMerge w:val="continue"/>
            <w:vAlign w:val="center"/>
          </w:tcPr>
          <w:p w14:paraId="374F5A22">
            <w:pPr>
              <w:wordWrap w:val="0"/>
              <w:jc w:val="center"/>
              <w:rPr>
                <w:sz w:val="22"/>
                <w:szCs w:val="22"/>
              </w:rPr>
            </w:pPr>
          </w:p>
        </w:tc>
        <w:tc>
          <w:tcPr>
            <w:tcW w:w="640" w:type="pct"/>
            <w:vMerge w:val="continue"/>
            <w:vAlign w:val="center"/>
          </w:tcPr>
          <w:p w14:paraId="7A41ACBB">
            <w:pPr>
              <w:wordWrap w:val="0"/>
              <w:jc w:val="center"/>
              <w:rPr>
                <w:sz w:val="22"/>
                <w:szCs w:val="22"/>
              </w:rPr>
            </w:pPr>
          </w:p>
        </w:tc>
        <w:tc>
          <w:tcPr>
            <w:tcW w:w="949" w:type="pct"/>
            <w:vMerge w:val="continue"/>
            <w:vAlign w:val="center"/>
          </w:tcPr>
          <w:p w14:paraId="448C6EBB">
            <w:pPr>
              <w:wordWrap w:val="0"/>
              <w:jc w:val="center"/>
              <w:rPr>
                <w:sz w:val="22"/>
                <w:szCs w:val="22"/>
              </w:rPr>
            </w:pPr>
          </w:p>
        </w:tc>
      </w:tr>
      <w:tr w14:paraId="1315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9" w:type="pct"/>
            <w:vAlign w:val="center"/>
          </w:tcPr>
          <w:p w14:paraId="496667BA">
            <w:pPr>
              <w:wordWrap w:val="0"/>
              <w:jc w:val="center"/>
              <w:rPr>
                <w:sz w:val="22"/>
                <w:szCs w:val="22"/>
              </w:rPr>
            </w:pPr>
            <w:r>
              <w:rPr>
                <w:sz w:val="22"/>
                <w:szCs w:val="22"/>
              </w:rPr>
              <w:t>106.429020</w:t>
            </w:r>
          </w:p>
        </w:tc>
        <w:tc>
          <w:tcPr>
            <w:tcW w:w="731" w:type="pct"/>
            <w:vAlign w:val="center"/>
          </w:tcPr>
          <w:p w14:paraId="78A618A4">
            <w:pPr>
              <w:wordWrap w:val="0"/>
              <w:jc w:val="center"/>
              <w:rPr>
                <w:sz w:val="22"/>
                <w:szCs w:val="22"/>
              </w:rPr>
            </w:pPr>
            <w:r>
              <w:rPr>
                <w:sz w:val="22"/>
                <w:szCs w:val="22"/>
              </w:rPr>
              <w:t>31.790723</w:t>
            </w:r>
          </w:p>
        </w:tc>
        <w:tc>
          <w:tcPr>
            <w:tcW w:w="696" w:type="pct"/>
            <w:vMerge w:val="continue"/>
            <w:vAlign w:val="center"/>
          </w:tcPr>
          <w:p w14:paraId="170C5620">
            <w:pPr>
              <w:wordWrap w:val="0"/>
              <w:jc w:val="center"/>
              <w:rPr>
                <w:sz w:val="22"/>
                <w:szCs w:val="22"/>
              </w:rPr>
            </w:pPr>
          </w:p>
        </w:tc>
        <w:tc>
          <w:tcPr>
            <w:tcW w:w="674" w:type="pct"/>
            <w:vMerge w:val="continue"/>
            <w:vAlign w:val="center"/>
          </w:tcPr>
          <w:p w14:paraId="4F50B78E">
            <w:pPr>
              <w:wordWrap w:val="0"/>
              <w:jc w:val="center"/>
              <w:rPr>
                <w:sz w:val="22"/>
                <w:szCs w:val="22"/>
              </w:rPr>
            </w:pPr>
          </w:p>
        </w:tc>
        <w:tc>
          <w:tcPr>
            <w:tcW w:w="581" w:type="pct"/>
            <w:vMerge w:val="continue"/>
            <w:vAlign w:val="center"/>
          </w:tcPr>
          <w:p w14:paraId="669EA9AF">
            <w:pPr>
              <w:wordWrap w:val="0"/>
              <w:jc w:val="center"/>
              <w:rPr>
                <w:sz w:val="22"/>
                <w:szCs w:val="22"/>
              </w:rPr>
            </w:pPr>
          </w:p>
        </w:tc>
        <w:tc>
          <w:tcPr>
            <w:tcW w:w="640" w:type="pct"/>
            <w:vMerge w:val="continue"/>
            <w:vAlign w:val="center"/>
          </w:tcPr>
          <w:p w14:paraId="6FE09C60">
            <w:pPr>
              <w:wordWrap w:val="0"/>
              <w:jc w:val="center"/>
              <w:rPr>
                <w:sz w:val="22"/>
                <w:szCs w:val="22"/>
              </w:rPr>
            </w:pPr>
          </w:p>
        </w:tc>
        <w:tc>
          <w:tcPr>
            <w:tcW w:w="949" w:type="pct"/>
            <w:vMerge w:val="continue"/>
            <w:vAlign w:val="center"/>
          </w:tcPr>
          <w:p w14:paraId="16DC0E1B">
            <w:pPr>
              <w:wordWrap w:val="0"/>
              <w:jc w:val="center"/>
              <w:rPr>
                <w:sz w:val="22"/>
                <w:szCs w:val="22"/>
              </w:rPr>
            </w:pPr>
          </w:p>
        </w:tc>
      </w:tr>
    </w:tbl>
    <w:p w14:paraId="1A1A6FAD">
      <w:pPr>
        <w:pStyle w:val="1066"/>
        <w:ind w:firstLine="520"/>
      </w:pPr>
    </w:p>
    <w:p w14:paraId="57088E3E">
      <w:pPr>
        <w:pStyle w:val="1068"/>
        <w:rPr>
          <w:rStyle w:val="1017"/>
          <w:rFonts w:hint="default" w:ascii="Times New Roman" w:hAnsi="Times New Roman"/>
          <w:color w:val="auto"/>
          <w:sz w:val="26"/>
          <w:szCs w:val="20"/>
        </w:rPr>
      </w:pPr>
      <w:r>
        <w:rPr>
          <w:rStyle w:val="1017"/>
          <w:rFonts w:hint="default" w:ascii="Times New Roman" w:hAnsi="Times New Roman"/>
          <w:color w:val="auto"/>
          <w:sz w:val="26"/>
          <w:szCs w:val="20"/>
        </w:rPr>
        <w:t>6.2.3 大气环境影响分析</w:t>
      </w:r>
    </w:p>
    <w:p w14:paraId="7E45CE71">
      <w:pPr>
        <w:pStyle w:val="1381"/>
        <w:ind w:firstLine="520"/>
        <w:rPr>
          <w:rStyle w:val="1017"/>
          <w:rFonts w:hint="default" w:ascii="Times New Roman" w:hAnsi="Times New Roman"/>
          <w:color w:val="auto"/>
          <w:sz w:val="26"/>
          <w:szCs w:val="20"/>
        </w:rPr>
      </w:pPr>
      <w:r>
        <w:rPr>
          <w:rStyle w:val="1017"/>
          <w:rFonts w:hint="default" w:ascii="Times New Roman" w:hAnsi="Times New Roman"/>
          <w:color w:val="auto"/>
          <w:sz w:val="26"/>
          <w:szCs w:val="20"/>
        </w:rPr>
        <w:t>正常情况下，根据估算模式预测结果，本项目各大气污染物最大地面浓度占标率为6.91%，远低于其环境质量标准限值，对区域大气环境影响较小。非正常情况下，在进行检修或事故时，将相关设备及管线中天然气通过放空系统进行放空，本项目输送天然气为净化后的成品天然气，不含硫化氢，燃烧后的污染物主要为NOx和颗粒物，对环境影响较小。</w:t>
      </w:r>
    </w:p>
    <w:p w14:paraId="570DB0CC">
      <w:pPr>
        <w:pStyle w:val="1381"/>
        <w:ind w:firstLine="520"/>
        <w:rPr>
          <w:rStyle w:val="1017"/>
          <w:rFonts w:hint="default" w:ascii="Times New Roman" w:hAnsi="Times New Roman"/>
          <w:color w:val="auto"/>
          <w:sz w:val="26"/>
          <w:szCs w:val="20"/>
        </w:rPr>
      </w:pPr>
      <w:r>
        <w:rPr>
          <w:rStyle w:val="1017"/>
          <w:rFonts w:hint="default" w:ascii="Times New Roman" w:hAnsi="Times New Roman"/>
          <w:color w:val="auto"/>
          <w:sz w:val="26"/>
          <w:szCs w:val="20"/>
        </w:rPr>
        <w:t>本项目产生的气田水为经三相分离器分离后的气田水，含油量很少，在贮存和外输过程中产生的NMHC很少，对环境影响很小；副产品凝析油贮存于凝析油储罐，凝析油储罐设置调压阀（压力设置50kPa），大小呼吸废气引至放空立管燃烧排放，对环境影响很小；外输罐车加强密闭，加强管理，减少NMHC的排放，对外环境影响较小。</w:t>
      </w:r>
    </w:p>
    <w:p w14:paraId="434463BE">
      <w:pPr>
        <w:pStyle w:val="1381"/>
        <w:ind w:firstLine="520"/>
      </w:pPr>
      <w:r>
        <w:rPr>
          <w:rStyle w:val="1017"/>
          <w:rFonts w:hint="default" w:ascii="Times New Roman" w:hAnsi="Times New Roman" w:eastAsiaTheme="minorEastAsia"/>
          <w:color w:val="auto"/>
          <w:sz w:val="26"/>
          <w:szCs w:val="20"/>
        </w:rPr>
        <w:t>同时，</w:t>
      </w:r>
      <w:r>
        <w:rPr>
          <w:rFonts w:hint="eastAsia"/>
        </w:rPr>
        <w:t>本项目试采期采取的大气污染防治措施均为天然气开采</w:t>
      </w:r>
      <w:r>
        <w:t>过程中常用的处置措施</w:t>
      </w:r>
      <w:r>
        <w:rPr>
          <w:rFonts w:hint="eastAsia"/>
        </w:rPr>
        <w:t>，</w:t>
      </w:r>
      <w:r>
        <w:t>已广泛应用于其他类似项目，取得了较好的大气污染物防治效果，</w:t>
      </w:r>
      <w:r>
        <w:rPr>
          <w:rFonts w:hint="eastAsia"/>
        </w:rPr>
        <w:t>因此，本项目试采期对大气环境影响较小。</w:t>
      </w:r>
    </w:p>
    <w:p w14:paraId="31B33D80">
      <w:pPr>
        <w:pStyle w:val="1068"/>
        <w:rPr>
          <w:rStyle w:val="1017"/>
          <w:rFonts w:hint="default" w:ascii="Times New Roman" w:hAnsi="Times New Roman"/>
          <w:color w:val="auto"/>
          <w:sz w:val="26"/>
          <w:szCs w:val="20"/>
        </w:rPr>
      </w:pPr>
      <w:r>
        <w:rPr>
          <w:rStyle w:val="1017"/>
          <w:rFonts w:hint="default" w:ascii="Times New Roman" w:hAnsi="Times New Roman"/>
          <w:color w:val="auto"/>
          <w:sz w:val="26"/>
          <w:szCs w:val="20"/>
        </w:rPr>
        <w:t>6.2.4 污染物排放量核算</w:t>
      </w:r>
    </w:p>
    <w:p w14:paraId="444B2A4C">
      <w:pPr>
        <w:pStyle w:val="1381"/>
        <w:ind w:firstLine="520"/>
        <w:rPr>
          <w:rStyle w:val="1017"/>
          <w:rFonts w:hint="default" w:ascii="Times New Roman" w:hAnsi="Times New Roman"/>
          <w:color w:val="auto"/>
          <w:sz w:val="26"/>
          <w:szCs w:val="20"/>
        </w:rPr>
      </w:pPr>
      <w:r>
        <w:rPr>
          <w:rFonts w:hint="eastAsia"/>
        </w:rPr>
        <w:t>根据《环境影响评价技术导则 大气环境》（HJ2.2-2018）二级评价项目要求，本项目大气污染物排放量核算见下表。</w:t>
      </w:r>
    </w:p>
    <w:p w14:paraId="12A27470">
      <w:pPr>
        <w:pStyle w:val="1066"/>
        <w:ind w:firstLine="480"/>
        <w:rPr>
          <w:rStyle w:val="1017"/>
          <w:rFonts w:hint="default" w:cs="Times New Roman"/>
          <w:color w:val="auto"/>
        </w:rPr>
      </w:pPr>
    </w:p>
    <w:p w14:paraId="7D59A375">
      <w:pPr>
        <w:adjustRightInd w:val="0"/>
        <w:snapToGrid w:val="0"/>
        <w:jc w:val="center"/>
        <w:rPr>
          <w:sz w:val="26"/>
        </w:rPr>
      </w:pPr>
      <w:r>
        <w:rPr>
          <w:sz w:val="26"/>
        </w:rPr>
        <w:t>表</w:t>
      </w:r>
      <w:r>
        <w:rPr>
          <w:rFonts w:hint="eastAsia"/>
          <w:sz w:val="26"/>
        </w:rPr>
        <w:t>6.</w:t>
      </w:r>
      <w:r>
        <w:rPr>
          <w:sz w:val="26"/>
        </w:rPr>
        <w:t>2</w:t>
      </w:r>
      <w:r>
        <w:rPr>
          <w:rFonts w:hint="eastAsia"/>
          <w:sz w:val="26"/>
        </w:rPr>
        <w:t>-</w:t>
      </w:r>
      <w:r>
        <w:rPr>
          <w:sz w:val="26"/>
        </w:rPr>
        <w:t>3  大气污染物有组织排放量</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474"/>
        <w:gridCol w:w="981"/>
        <w:gridCol w:w="1270"/>
        <w:gridCol w:w="1526"/>
        <w:gridCol w:w="1401"/>
        <w:gridCol w:w="1328"/>
      </w:tblGrid>
      <w:tr w14:paraId="15AD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98" w:type="dxa"/>
            <w:vAlign w:val="center"/>
          </w:tcPr>
          <w:p w14:paraId="72E0B73D">
            <w:pPr>
              <w:pStyle w:val="1270"/>
              <w:rPr>
                <w:sz w:val="22"/>
                <w:szCs w:val="22"/>
              </w:rPr>
            </w:pPr>
            <w:r>
              <w:rPr>
                <w:sz w:val="22"/>
                <w:szCs w:val="22"/>
              </w:rPr>
              <w:t>序号</w:t>
            </w:r>
          </w:p>
        </w:tc>
        <w:tc>
          <w:tcPr>
            <w:tcW w:w="1474" w:type="dxa"/>
            <w:vAlign w:val="center"/>
          </w:tcPr>
          <w:p w14:paraId="31E28331">
            <w:pPr>
              <w:pStyle w:val="1270"/>
              <w:rPr>
                <w:sz w:val="22"/>
                <w:szCs w:val="22"/>
              </w:rPr>
            </w:pPr>
            <w:r>
              <w:rPr>
                <w:rFonts w:hint="eastAsia"/>
                <w:sz w:val="22"/>
                <w:szCs w:val="22"/>
              </w:rPr>
              <w:t>名称</w:t>
            </w:r>
          </w:p>
        </w:tc>
        <w:tc>
          <w:tcPr>
            <w:tcW w:w="981" w:type="dxa"/>
            <w:vAlign w:val="center"/>
          </w:tcPr>
          <w:p w14:paraId="59CFB528">
            <w:pPr>
              <w:pStyle w:val="1270"/>
              <w:rPr>
                <w:sz w:val="22"/>
                <w:szCs w:val="22"/>
              </w:rPr>
            </w:pPr>
            <w:r>
              <w:rPr>
                <w:sz w:val="22"/>
                <w:szCs w:val="22"/>
              </w:rPr>
              <w:t>排放口编号</w:t>
            </w:r>
          </w:p>
        </w:tc>
        <w:tc>
          <w:tcPr>
            <w:tcW w:w="1270" w:type="dxa"/>
            <w:vAlign w:val="center"/>
          </w:tcPr>
          <w:p w14:paraId="1065AEE1">
            <w:pPr>
              <w:pStyle w:val="1270"/>
              <w:rPr>
                <w:sz w:val="22"/>
                <w:szCs w:val="22"/>
              </w:rPr>
            </w:pPr>
            <w:r>
              <w:rPr>
                <w:sz w:val="22"/>
                <w:szCs w:val="22"/>
              </w:rPr>
              <w:t>污染物</w:t>
            </w:r>
          </w:p>
        </w:tc>
        <w:tc>
          <w:tcPr>
            <w:tcW w:w="1526" w:type="dxa"/>
            <w:vAlign w:val="center"/>
          </w:tcPr>
          <w:p w14:paraId="27F29E12">
            <w:pPr>
              <w:pStyle w:val="1270"/>
              <w:rPr>
                <w:sz w:val="22"/>
                <w:szCs w:val="22"/>
              </w:rPr>
            </w:pPr>
            <w:r>
              <w:rPr>
                <w:sz w:val="22"/>
                <w:szCs w:val="22"/>
              </w:rPr>
              <w:t>核算排放浓度/（mg/m</w:t>
            </w:r>
            <w:r>
              <w:rPr>
                <w:sz w:val="22"/>
                <w:szCs w:val="22"/>
                <w:vertAlign w:val="superscript"/>
              </w:rPr>
              <w:t>3</w:t>
            </w:r>
            <w:r>
              <w:rPr>
                <w:sz w:val="22"/>
                <w:szCs w:val="22"/>
              </w:rPr>
              <w:t>）</w:t>
            </w:r>
          </w:p>
        </w:tc>
        <w:tc>
          <w:tcPr>
            <w:tcW w:w="1401" w:type="dxa"/>
            <w:vAlign w:val="center"/>
          </w:tcPr>
          <w:p w14:paraId="21A6D216">
            <w:pPr>
              <w:pStyle w:val="1270"/>
              <w:rPr>
                <w:sz w:val="22"/>
                <w:szCs w:val="22"/>
              </w:rPr>
            </w:pPr>
            <w:r>
              <w:rPr>
                <w:sz w:val="22"/>
                <w:szCs w:val="22"/>
              </w:rPr>
              <w:t>核算排放速率/（kg/h）</w:t>
            </w:r>
          </w:p>
        </w:tc>
        <w:tc>
          <w:tcPr>
            <w:tcW w:w="1328" w:type="dxa"/>
            <w:vAlign w:val="center"/>
          </w:tcPr>
          <w:p w14:paraId="17D65CA7">
            <w:pPr>
              <w:pStyle w:val="1270"/>
              <w:rPr>
                <w:sz w:val="22"/>
                <w:szCs w:val="22"/>
              </w:rPr>
            </w:pPr>
            <w:r>
              <w:rPr>
                <w:sz w:val="22"/>
                <w:szCs w:val="22"/>
              </w:rPr>
              <w:t>核算年排放量/（t/a）</w:t>
            </w:r>
          </w:p>
        </w:tc>
      </w:tr>
      <w:tr w14:paraId="30FA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678" w:type="dxa"/>
            <w:gridSpan w:val="7"/>
            <w:vAlign w:val="center"/>
          </w:tcPr>
          <w:p w14:paraId="3043B81B">
            <w:pPr>
              <w:pStyle w:val="1270"/>
              <w:rPr>
                <w:sz w:val="22"/>
                <w:szCs w:val="22"/>
              </w:rPr>
            </w:pPr>
            <w:r>
              <w:rPr>
                <w:sz w:val="22"/>
                <w:szCs w:val="22"/>
              </w:rPr>
              <w:t>主要排放口</w:t>
            </w:r>
          </w:p>
        </w:tc>
      </w:tr>
      <w:tr w14:paraId="25979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98" w:type="dxa"/>
            <w:vMerge w:val="restart"/>
            <w:vAlign w:val="center"/>
          </w:tcPr>
          <w:p w14:paraId="19ACF022">
            <w:pPr>
              <w:pStyle w:val="1270"/>
              <w:rPr>
                <w:sz w:val="22"/>
                <w:szCs w:val="22"/>
              </w:rPr>
            </w:pPr>
            <w:r>
              <w:rPr>
                <w:sz w:val="22"/>
                <w:szCs w:val="22"/>
                <w:lang w:val="zh-CN"/>
              </w:rPr>
              <w:t>1</w:t>
            </w:r>
          </w:p>
        </w:tc>
        <w:tc>
          <w:tcPr>
            <w:tcW w:w="1474" w:type="dxa"/>
            <w:vMerge w:val="restart"/>
            <w:vAlign w:val="center"/>
          </w:tcPr>
          <w:p w14:paraId="1A850126">
            <w:pPr>
              <w:pStyle w:val="1270"/>
              <w:rPr>
                <w:sz w:val="22"/>
                <w:szCs w:val="22"/>
              </w:rPr>
            </w:pPr>
            <w:r>
              <w:rPr>
                <w:rFonts w:hint="eastAsia"/>
                <w:sz w:val="22"/>
                <w:szCs w:val="22"/>
              </w:rPr>
              <w:t>水套加热炉废气</w:t>
            </w:r>
          </w:p>
        </w:tc>
        <w:tc>
          <w:tcPr>
            <w:tcW w:w="981" w:type="dxa"/>
            <w:vMerge w:val="restart"/>
            <w:vAlign w:val="center"/>
          </w:tcPr>
          <w:p w14:paraId="7B89DC81">
            <w:pPr>
              <w:pStyle w:val="1270"/>
              <w:rPr>
                <w:sz w:val="22"/>
                <w:szCs w:val="22"/>
              </w:rPr>
            </w:pPr>
            <w:r>
              <w:rPr>
                <w:sz w:val="22"/>
                <w:szCs w:val="22"/>
              </w:rPr>
              <w:t>DA001</w:t>
            </w:r>
          </w:p>
        </w:tc>
        <w:tc>
          <w:tcPr>
            <w:tcW w:w="1270" w:type="dxa"/>
            <w:vAlign w:val="center"/>
          </w:tcPr>
          <w:p w14:paraId="72DD2890">
            <w:pPr>
              <w:pStyle w:val="1270"/>
              <w:rPr>
                <w:sz w:val="22"/>
                <w:szCs w:val="22"/>
              </w:rPr>
            </w:pPr>
            <w:r>
              <w:rPr>
                <w:rFonts w:hint="eastAsia"/>
                <w:sz w:val="22"/>
                <w:szCs w:val="22"/>
              </w:rPr>
              <w:t>颗粒物</w:t>
            </w:r>
          </w:p>
        </w:tc>
        <w:tc>
          <w:tcPr>
            <w:tcW w:w="1526" w:type="dxa"/>
            <w:vAlign w:val="center"/>
          </w:tcPr>
          <w:p w14:paraId="296A0524">
            <w:pPr>
              <w:pStyle w:val="1270"/>
              <w:rPr>
                <w:sz w:val="22"/>
                <w:szCs w:val="22"/>
              </w:rPr>
            </w:pPr>
            <w:r>
              <w:rPr>
                <w:rFonts w:hint="eastAsia"/>
                <w:sz w:val="22"/>
                <w:szCs w:val="22"/>
              </w:rPr>
              <w:t>18.25</w:t>
            </w:r>
          </w:p>
        </w:tc>
        <w:tc>
          <w:tcPr>
            <w:tcW w:w="1401" w:type="dxa"/>
            <w:vAlign w:val="center"/>
          </w:tcPr>
          <w:p w14:paraId="6353EE0C">
            <w:pPr>
              <w:snapToGrid w:val="0"/>
              <w:jc w:val="center"/>
              <w:rPr>
                <w:sz w:val="22"/>
                <w:szCs w:val="22"/>
              </w:rPr>
            </w:pPr>
            <w:r>
              <w:rPr>
                <w:sz w:val="20"/>
                <w:szCs w:val="20"/>
              </w:rPr>
              <w:t>0.0034</w:t>
            </w:r>
          </w:p>
        </w:tc>
        <w:tc>
          <w:tcPr>
            <w:tcW w:w="1328" w:type="dxa"/>
            <w:vAlign w:val="center"/>
          </w:tcPr>
          <w:p w14:paraId="25E03680">
            <w:pPr>
              <w:pStyle w:val="1270"/>
              <w:rPr>
                <w:sz w:val="22"/>
                <w:szCs w:val="22"/>
              </w:rPr>
            </w:pPr>
            <w:r>
              <w:rPr>
                <w:rFonts w:hint="eastAsia"/>
                <w:snapToGrid w:val="0"/>
                <w:sz w:val="22"/>
                <w:szCs w:val="22"/>
              </w:rPr>
              <w:t>7.</w:t>
            </w:r>
            <w:r>
              <w:rPr>
                <w:snapToGrid w:val="0"/>
                <w:sz w:val="22"/>
                <w:szCs w:val="22"/>
              </w:rPr>
              <w:t>3×10</w:t>
            </w:r>
            <w:r>
              <w:rPr>
                <w:snapToGrid w:val="0"/>
                <w:sz w:val="22"/>
                <w:szCs w:val="22"/>
                <w:vertAlign w:val="superscript"/>
              </w:rPr>
              <w:t>-3</w:t>
            </w:r>
          </w:p>
        </w:tc>
      </w:tr>
      <w:tr w14:paraId="1F18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98" w:type="dxa"/>
            <w:vMerge w:val="continue"/>
            <w:vAlign w:val="center"/>
          </w:tcPr>
          <w:p w14:paraId="4334878A">
            <w:pPr>
              <w:pStyle w:val="1270"/>
              <w:rPr>
                <w:sz w:val="22"/>
                <w:szCs w:val="22"/>
                <w:lang w:val="zh-CN"/>
              </w:rPr>
            </w:pPr>
          </w:p>
        </w:tc>
        <w:tc>
          <w:tcPr>
            <w:tcW w:w="1474" w:type="dxa"/>
            <w:vMerge w:val="continue"/>
            <w:vAlign w:val="center"/>
          </w:tcPr>
          <w:p w14:paraId="514097C4">
            <w:pPr>
              <w:pStyle w:val="1270"/>
              <w:rPr>
                <w:sz w:val="22"/>
                <w:szCs w:val="22"/>
              </w:rPr>
            </w:pPr>
          </w:p>
        </w:tc>
        <w:tc>
          <w:tcPr>
            <w:tcW w:w="981" w:type="dxa"/>
            <w:vMerge w:val="continue"/>
            <w:vAlign w:val="center"/>
          </w:tcPr>
          <w:p w14:paraId="360B23DA">
            <w:pPr>
              <w:pStyle w:val="1270"/>
              <w:rPr>
                <w:sz w:val="22"/>
                <w:szCs w:val="22"/>
              </w:rPr>
            </w:pPr>
          </w:p>
        </w:tc>
        <w:tc>
          <w:tcPr>
            <w:tcW w:w="1270" w:type="dxa"/>
            <w:vAlign w:val="center"/>
          </w:tcPr>
          <w:p w14:paraId="646B4061">
            <w:pPr>
              <w:pStyle w:val="1270"/>
              <w:rPr>
                <w:sz w:val="22"/>
                <w:szCs w:val="22"/>
              </w:rPr>
            </w:pPr>
            <w:r>
              <w:rPr>
                <w:sz w:val="22"/>
                <w:szCs w:val="22"/>
              </w:rPr>
              <w:t>NO</w:t>
            </w:r>
            <w:r>
              <w:rPr>
                <w:sz w:val="22"/>
                <w:szCs w:val="22"/>
                <w:vertAlign w:val="subscript"/>
              </w:rPr>
              <w:t>x</w:t>
            </w:r>
          </w:p>
        </w:tc>
        <w:tc>
          <w:tcPr>
            <w:tcW w:w="1526" w:type="dxa"/>
            <w:vAlign w:val="center"/>
          </w:tcPr>
          <w:p w14:paraId="0191AF72">
            <w:pPr>
              <w:pStyle w:val="1270"/>
              <w:rPr>
                <w:sz w:val="22"/>
                <w:szCs w:val="22"/>
              </w:rPr>
            </w:pPr>
            <w:r>
              <w:rPr>
                <w:rFonts w:hint="eastAsia"/>
                <w:sz w:val="22"/>
                <w:szCs w:val="22"/>
              </w:rPr>
              <w:t>23.01</w:t>
            </w:r>
          </w:p>
        </w:tc>
        <w:tc>
          <w:tcPr>
            <w:tcW w:w="1401" w:type="dxa"/>
            <w:vAlign w:val="center"/>
          </w:tcPr>
          <w:p w14:paraId="4D045299">
            <w:pPr>
              <w:snapToGrid w:val="0"/>
              <w:jc w:val="center"/>
              <w:rPr>
                <w:sz w:val="22"/>
                <w:szCs w:val="22"/>
              </w:rPr>
            </w:pPr>
            <w:r>
              <w:rPr>
                <w:sz w:val="20"/>
                <w:szCs w:val="20"/>
              </w:rPr>
              <w:t>0.0043</w:t>
            </w:r>
          </w:p>
        </w:tc>
        <w:tc>
          <w:tcPr>
            <w:tcW w:w="1328" w:type="dxa"/>
            <w:vAlign w:val="center"/>
          </w:tcPr>
          <w:p w14:paraId="39E19B8A">
            <w:pPr>
              <w:pStyle w:val="1270"/>
              <w:rPr>
                <w:sz w:val="22"/>
                <w:szCs w:val="22"/>
              </w:rPr>
            </w:pPr>
            <w:r>
              <w:rPr>
                <w:rFonts w:hint="eastAsia"/>
                <w:snapToGrid w:val="0"/>
                <w:sz w:val="22"/>
                <w:szCs w:val="22"/>
              </w:rPr>
              <w:t>9.2</w:t>
            </w:r>
            <w:r>
              <w:rPr>
                <w:snapToGrid w:val="0"/>
                <w:sz w:val="22"/>
                <w:szCs w:val="22"/>
              </w:rPr>
              <w:t>×10</w:t>
            </w:r>
            <w:r>
              <w:rPr>
                <w:snapToGrid w:val="0"/>
                <w:sz w:val="22"/>
                <w:szCs w:val="22"/>
                <w:vertAlign w:val="superscript"/>
              </w:rPr>
              <w:t>-3</w:t>
            </w:r>
          </w:p>
        </w:tc>
      </w:tr>
    </w:tbl>
    <w:p w14:paraId="14BA1A20">
      <w:pPr>
        <w:pStyle w:val="1066"/>
        <w:ind w:firstLine="520"/>
      </w:pPr>
    </w:p>
    <w:p w14:paraId="4289075B">
      <w:pPr>
        <w:adjustRightInd w:val="0"/>
        <w:snapToGrid w:val="0"/>
        <w:jc w:val="center"/>
        <w:rPr>
          <w:sz w:val="26"/>
        </w:rPr>
      </w:pPr>
      <w:r>
        <w:rPr>
          <w:sz w:val="26"/>
        </w:rPr>
        <w:t>表</w:t>
      </w:r>
      <w:r>
        <w:rPr>
          <w:rFonts w:hint="eastAsia"/>
          <w:sz w:val="26"/>
        </w:rPr>
        <w:t>6.</w:t>
      </w:r>
      <w:r>
        <w:rPr>
          <w:sz w:val="26"/>
        </w:rPr>
        <w:t>2</w:t>
      </w:r>
      <w:r>
        <w:rPr>
          <w:rFonts w:hint="eastAsia"/>
          <w:sz w:val="26"/>
        </w:rPr>
        <w:t>-</w:t>
      </w:r>
      <w:r>
        <w:rPr>
          <w:sz w:val="26"/>
        </w:rPr>
        <w:t>4  大气污染物无组织排放量核算表</w:t>
      </w:r>
    </w:p>
    <w:tbl>
      <w:tblPr>
        <w:tblStyle w:val="8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62"/>
        <w:gridCol w:w="883"/>
        <w:gridCol w:w="653"/>
        <w:gridCol w:w="714"/>
        <w:gridCol w:w="1999"/>
        <w:gridCol w:w="1568"/>
        <w:gridCol w:w="1147"/>
        <w:gridCol w:w="1096"/>
      </w:tblGrid>
      <w:tr w14:paraId="0607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62" w:type="dxa"/>
            <w:vMerge w:val="restart"/>
            <w:vAlign w:val="center"/>
          </w:tcPr>
          <w:p w14:paraId="1DEBFDB6">
            <w:pPr>
              <w:pStyle w:val="1270"/>
              <w:rPr>
                <w:sz w:val="22"/>
                <w:szCs w:val="22"/>
              </w:rPr>
            </w:pPr>
            <w:r>
              <w:rPr>
                <w:sz w:val="22"/>
                <w:szCs w:val="22"/>
              </w:rPr>
              <w:t>序号</w:t>
            </w:r>
          </w:p>
        </w:tc>
        <w:tc>
          <w:tcPr>
            <w:tcW w:w="883" w:type="dxa"/>
            <w:vMerge w:val="restart"/>
            <w:vAlign w:val="center"/>
          </w:tcPr>
          <w:p w14:paraId="0170E5D2">
            <w:pPr>
              <w:pStyle w:val="1270"/>
              <w:rPr>
                <w:sz w:val="22"/>
                <w:szCs w:val="22"/>
              </w:rPr>
            </w:pPr>
            <w:r>
              <w:rPr>
                <w:sz w:val="22"/>
                <w:szCs w:val="22"/>
              </w:rPr>
              <w:t>排放口编号</w:t>
            </w:r>
          </w:p>
        </w:tc>
        <w:tc>
          <w:tcPr>
            <w:tcW w:w="653" w:type="dxa"/>
            <w:vMerge w:val="restart"/>
            <w:vAlign w:val="center"/>
          </w:tcPr>
          <w:p w14:paraId="632D4D54">
            <w:pPr>
              <w:pStyle w:val="1270"/>
              <w:rPr>
                <w:sz w:val="22"/>
                <w:szCs w:val="22"/>
              </w:rPr>
            </w:pPr>
            <w:r>
              <w:rPr>
                <w:sz w:val="22"/>
                <w:szCs w:val="22"/>
              </w:rPr>
              <w:t>产污环节</w:t>
            </w:r>
          </w:p>
        </w:tc>
        <w:tc>
          <w:tcPr>
            <w:tcW w:w="714" w:type="dxa"/>
            <w:vMerge w:val="restart"/>
            <w:vAlign w:val="center"/>
          </w:tcPr>
          <w:p w14:paraId="5BFC7784">
            <w:pPr>
              <w:pStyle w:val="1270"/>
              <w:rPr>
                <w:sz w:val="22"/>
                <w:szCs w:val="22"/>
              </w:rPr>
            </w:pPr>
            <w:r>
              <w:rPr>
                <w:sz w:val="22"/>
                <w:szCs w:val="22"/>
              </w:rPr>
              <w:t>污染物种类</w:t>
            </w:r>
          </w:p>
        </w:tc>
        <w:tc>
          <w:tcPr>
            <w:tcW w:w="1999" w:type="dxa"/>
            <w:vMerge w:val="restart"/>
            <w:vAlign w:val="center"/>
          </w:tcPr>
          <w:p w14:paraId="7F81ECC0">
            <w:pPr>
              <w:pStyle w:val="1270"/>
              <w:rPr>
                <w:sz w:val="22"/>
                <w:szCs w:val="22"/>
              </w:rPr>
            </w:pPr>
            <w:r>
              <w:rPr>
                <w:sz w:val="22"/>
                <w:szCs w:val="22"/>
              </w:rPr>
              <w:t>主要污染防治措施</w:t>
            </w:r>
          </w:p>
        </w:tc>
        <w:tc>
          <w:tcPr>
            <w:tcW w:w="2715" w:type="dxa"/>
            <w:gridSpan w:val="2"/>
            <w:vAlign w:val="center"/>
          </w:tcPr>
          <w:p w14:paraId="36646DDF">
            <w:pPr>
              <w:pStyle w:val="1270"/>
              <w:rPr>
                <w:sz w:val="22"/>
                <w:szCs w:val="22"/>
              </w:rPr>
            </w:pPr>
            <w:r>
              <w:rPr>
                <w:sz w:val="22"/>
                <w:szCs w:val="22"/>
              </w:rPr>
              <w:t>国家或地方污染物排放标准</w:t>
            </w:r>
          </w:p>
        </w:tc>
        <w:tc>
          <w:tcPr>
            <w:tcW w:w="1096" w:type="dxa"/>
            <w:vMerge w:val="restart"/>
            <w:vAlign w:val="center"/>
          </w:tcPr>
          <w:p w14:paraId="45D7E20C">
            <w:pPr>
              <w:pStyle w:val="1270"/>
              <w:rPr>
                <w:sz w:val="22"/>
                <w:szCs w:val="22"/>
              </w:rPr>
            </w:pPr>
            <w:r>
              <w:rPr>
                <w:sz w:val="22"/>
                <w:szCs w:val="22"/>
              </w:rPr>
              <w:t>年排放量/（t/a）</w:t>
            </w:r>
          </w:p>
        </w:tc>
      </w:tr>
      <w:tr w14:paraId="0C71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62" w:type="dxa"/>
            <w:vMerge w:val="continue"/>
            <w:vAlign w:val="center"/>
          </w:tcPr>
          <w:p w14:paraId="7228D8EA">
            <w:pPr>
              <w:pStyle w:val="1270"/>
              <w:ind w:firstLine="360"/>
              <w:rPr>
                <w:sz w:val="22"/>
                <w:szCs w:val="22"/>
              </w:rPr>
            </w:pPr>
          </w:p>
        </w:tc>
        <w:tc>
          <w:tcPr>
            <w:tcW w:w="883" w:type="dxa"/>
            <w:vMerge w:val="continue"/>
            <w:vAlign w:val="center"/>
          </w:tcPr>
          <w:p w14:paraId="24166C37">
            <w:pPr>
              <w:pStyle w:val="1270"/>
              <w:ind w:firstLine="360"/>
              <w:rPr>
                <w:sz w:val="22"/>
                <w:szCs w:val="22"/>
              </w:rPr>
            </w:pPr>
          </w:p>
        </w:tc>
        <w:tc>
          <w:tcPr>
            <w:tcW w:w="653" w:type="dxa"/>
            <w:vMerge w:val="continue"/>
            <w:vAlign w:val="center"/>
          </w:tcPr>
          <w:p w14:paraId="0B424057">
            <w:pPr>
              <w:pStyle w:val="1270"/>
              <w:ind w:firstLine="360"/>
              <w:rPr>
                <w:sz w:val="22"/>
                <w:szCs w:val="22"/>
              </w:rPr>
            </w:pPr>
          </w:p>
        </w:tc>
        <w:tc>
          <w:tcPr>
            <w:tcW w:w="714" w:type="dxa"/>
            <w:vMerge w:val="continue"/>
            <w:vAlign w:val="center"/>
          </w:tcPr>
          <w:p w14:paraId="07AB1297">
            <w:pPr>
              <w:pStyle w:val="1270"/>
              <w:ind w:firstLine="360"/>
              <w:rPr>
                <w:sz w:val="22"/>
                <w:szCs w:val="22"/>
              </w:rPr>
            </w:pPr>
          </w:p>
        </w:tc>
        <w:tc>
          <w:tcPr>
            <w:tcW w:w="1999" w:type="dxa"/>
            <w:vMerge w:val="continue"/>
            <w:vAlign w:val="center"/>
          </w:tcPr>
          <w:p w14:paraId="48F4DB2F">
            <w:pPr>
              <w:pStyle w:val="1270"/>
              <w:ind w:firstLine="360"/>
              <w:rPr>
                <w:sz w:val="22"/>
                <w:szCs w:val="22"/>
              </w:rPr>
            </w:pPr>
          </w:p>
        </w:tc>
        <w:tc>
          <w:tcPr>
            <w:tcW w:w="1568" w:type="dxa"/>
            <w:vMerge w:val="restart"/>
            <w:vAlign w:val="center"/>
          </w:tcPr>
          <w:p w14:paraId="748979FB">
            <w:pPr>
              <w:pStyle w:val="1270"/>
              <w:rPr>
                <w:sz w:val="22"/>
                <w:szCs w:val="22"/>
              </w:rPr>
            </w:pPr>
            <w:r>
              <w:rPr>
                <w:sz w:val="22"/>
                <w:szCs w:val="22"/>
              </w:rPr>
              <w:t>标准名称</w:t>
            </w:r>
          </w:p>
        </w:tc>
        <w:tc>
          <w:tcPr>
            <w:tcW w:w="1147" w:type="dxa"/>
            <w:vMerge w:val="restart"/>
            <w:vAlign w:val="center"/>
          </w:tcPr>
          <w:p w14:paraId="59197F34">
            <w:pPr>
              <w:pStyle w:val="1270"/>
              <w:rPr>
                <w:sz w:val="22"/>
                <w:szCs w:val="22"/>
              </w:rPr>
            </w:pPr>
            <w:r>
              <w:rPr>
                <w:sz w:val="22"/>
                <w:szCs w:val="22"/>
              </w:rPr>
              <w:t>浓度限值（mg/m</w:t>
            </w:r>
            <w:r>
              <w:rPr>
                <w:sz w:val="22"/>
                <w:szCs w:val="22"/>
                <w:vertAlign w:val="superscript"/>
              </w:rPr>
              <w:t>3</w:t>
            </w:r>
            <w:r>
              <w:rPr>
                <w:sz w:val="22"/>
                <w:szCs w:val="22"/>
              </w:rPr>
              <w:t>）</w:t>
            </w:r>
          </w:p>
        </w:tc>
        <w:tc>
          <w:tcPr>
            <w:tcW w:w="1096" w:type="dxa"/>
            <w:vMerge w:val="continue"/>
            <w:vAlign w:val="center"/>
          </w:tcPr>
          <w:p w14:paraId="4231D2D2">
            <w:pPr>
              <w:pStyle w:val="1270"/>
              <w:ind w:firstLine="360"/>
              <w:rPr>
                <w:sz w:val="22"/>
                <w:szCs w:val="22"/>
              </w:rPr>
            </w:pPr>
          </w:p>
        </w:tc>
      </w:tr>
      <w:tr w14:paraId="315C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blHeader/>
          <w:jc w:val="center"/>
        </w:trPr>
        <w:tc>
          <w:tcPr>
            <w:tcW w:w="462" w:type="dxa"/>
            <w:vMerge w:val="continue"/>
            <w:vAlign w:val="center"/>
          </w:tcPr>
          <w:p w14:paraId="7B99A583">
            <w:pPr>
              <w:pStyle w:val="1270"/>
              <w:ind w:firstLine="360"/>
              <w:rPr>
                <w:sz w:val="22"/>
                <w:szCs w:val="22"/>
              </w:rPr>
            </w:pPr>
          </w:p>
        </w:tc>
        <w:tc>
          <w:tcPr>
            <w:tcW w:w="883" w:type="dxa"/>
            <w:vMerge w:val="continue"/>
            <w:vAlign w:val="center"/>
          </w:tcPr>
          <w:p w14:paraId="506F9843">
            <w:pPr>
              <w:pStyle w:val="1270"/>
              <w:ind w:firstLine="360"/>
              <w:rPr>
                <w:sz w:val="22"/>
                <w:szCs w:val="22"/>
              </w:rPr>
            </w:pPr>
          </w:p>
        </w:tc>
        <w:tc>
          <w:tcPr>
            <w:tcW w:w="653" w:type="dxa"/>
            <w:vMerge w:val="continue"/>
            <w:vAlign w:val="center"/>
          </w:tcPr>
          <w:p w14:paraId="64311DFA">
            <w:pPr>
              <w:pStyle w:val="1270"/>
              <w:ind w:firstLine="360"/>
              <w:rPr>
                <w:sz w:val="22"/>
                <w:szCs w:val="22"/>
              </w:rPr>
            </w:pPr>
          </w:p>
        </w:tc>
        <w:tc>
          <w:tcPr>
            <w:tcW w:w="714" w:type="dxa"/>
            <w:vMerge w:val="continue"/>
            <w:vAlign w:val="center"/>
          </w:tcPr>
          <w:p w14:paraId="4B57DF47">
            <w:pPr>
              <w:pStyle w:val="1270"/>
              <w:ind w:firstLine="360"/>
              <w:rPr>
                <w:sz w:val="22"/>
                <w:szCs w:val="22"/>
              </w:rPr>
            </w:pPr>
          </w:p>
        </w:tc>
        <w:tc>
          <w:tcPr>
            <w:tcW w:w="1999" w:type="dxa"/>
            <w:vMerge w:val="continue"/>
            <w:vAlign w:val="center"/>
          </w:tcPr>
          <w:p w14:paraId="051D905F">
            <w:pPr>
              <w:pStyle w:val="1270"/>
              <w:ind w:firstLine="360"/>
              <w:rPr>
                <w:sz w:val="22"/>
                <w:szCs w:val="22"/>
              </w:rPr>
            </w:pPr>
          </w:p>
        </w:tc>
        <w:tc>
          <w:tcPr>
            <w:tcW w:w="1568" w:type="dxa"/>
            <w:vMerge w:val="continue"/>
            <w:vAlign w:val="center"/>
          </w:tcPr>
          <w:p w14:paraId="5A383D5D">
            <w:pPr>
              <w:pStyle w:val="1270"/>
              <w:ind w:firstLine="360"/>
              <w:rPr>
                <w:sz w:val="22"/>
                <w:szCs w:val="22"/>
              </w:rPr>
            </w:pPr>
          </w:p>
        </w:tc>
        <w:tc>
          <w:tcPr>
            <w:tcW w:w="1147" w:type="dxa"/>
            <w:vMerge w:val="continue"/>
            <w:vAlign w:val="center"/>
          </w:tcPr>
          <w:p w14:paraId="3A97031C">
            <w:pPr>
              <w:pStyle w:val="1270"/>
              <w:ind w:firstLine="360"/>
              <w:rPr>
                <w:sz w:val="22"/>
                <w:szCs w:val="22"/>
              </w:rPr>
            </w:pPr>
          </w:p>
        </w:tc>
        <w:tc>
          <w:tcPr>
            <w:tcW w:w="1096" w:type="dxa"/>
            <w:vMerge w:val="continue"/>
            <w:vAlign w:val="center"/>
          </w:tcPr>
          <w:p w14:paraId="4E5F1958">
            <w:pPr>
              <w:pStyle w:val="1270"/>
              <w:ind w:firstLine="360"/>
              <w:rPr>
                <w:sz w:val="22"/>
                <w:szCs w:val="22"/>
              </w:rPr>
            </w:pPr>
          </w:p>
        </w:tc>
      </w:tr>
      <w:tr w14:paraId="7DCCA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462" w:type="dxa"/>
            <w:vAlign w:val="center"/>
          </w:tcPr>
          <w:p w14:paraId="3821E556">
            <w:pPr>
              <w:pStyle w:val="1270"/>
              <w:rPr>
                <w:sz w:val="22"/>
                <w:szCs w:val="22"/>
              </w:rPr>
            </w:pPr>
            <w:r>
              <w:rPr>
                <w:sz w:val="22"/>
                <w:szCs w:val="22"/>
              </w:rPr>
              <w:t>1</w:t>
            </w:r>
          </w:p>
        </w:tc>
        <w:tc>
          <w:tcPr>
            <w:tcW w:w="883" w:type="dxa"/>
            <w:vAlign w:val="center"/>
          </w:tcPr>
          <w:p w14:paraId="0767D881">
            <w:pPr>
              <w:snapToGrid w:val="0"/>
              <w:jc w:val="center"/>
              <w:rPr>
                <w:sz w:val="22"/>
                <w:szCs w:val="22"/>
              </w:rPr>
            </w:pPr>
            <w:r>
              <w:rPr>
                <w:rFonts w:hint="eastAsia"/>
                <w:sz w:val="22"/>
                <w:szCs w:val="22"/>
              </w:rPr>
              <w:t>巴中2HF试采站</w:t>
            </w:r>
          </w:p>
        </w:tc>
        <w:tc>
          <w:tcPr>
            <w:tcW w:w="653" w:type="dxa"/>
            <w:vAlign w:val="center"/>
          </w:tcPr>
          <w:p w14:paraId="35E9928C">
            <w:pPr>
              <w:pStyle w:val="1270"/>
              <w:rPr>
                <w:sz w:val="22"/>
                <w:szCs w:val="22"/>
              </w:rPr>
            </w:pPr>
            <w:r>
              <w:rPr>
                <w:rFonts w:hint="eastAsia"/>
                <w:sz w:val="22"/>
                <w:szCs w:val="22"/>
              </w:rPr>
              <w:t>试采过程</w:t>
            </w:r>
          </w:p>
        </w:tc>
        <w:tc>
          <w:tcPr>
            <w:tcW w:w="714" w:type="dxa"/>
            <w:vAlign w:val="center"/>
          </w:tcPr>
          <w:p w14:paraId="5CA7DBDA">
            <w:pPr>
              <w:snapToGrid w:val="0"/>
              <w:jc w:val="center"/>
              <w:rPr>
                <w:sz w:val="22"/>
                <w:szCs w:val="22"/>
              </w:rPr>
            </w:pPr>
            <w:r>
              <w:rPr>
                <w:rFonts w:hint="eastAsia"/>
                <w:sz w:val="22"/>
                <w:szCs w:val="22"/>
              </w:rPr>
              <w:t>非甲烷总烃</w:t>
            </w:r>
          </w:p>
        </w:tc>
        <w:tc>
          <w:tcPr>
            <w:tcW w:w="1999" w:type="dxa"/>
            <w:vAlign w:val="center"/>
          </w:tcPr>
          <w:p w14:paraId="2EAA0F9D">
            <w:pPr>
              <w:pStyle w:val="1270"/>
              <w:rPr>
                <w:sz w:val="22"/>
                <w:szCs w:val="22"/>
              </w:rPr>
            </w:pPr>
            <w:r>
              <w:rPr>
                <w:bCs/>
                <w:sz w:val="22"/>
                <w:szCs w:val="22"/>
              </w:rPr>
              <w:t>选用可靠性高的设备、密封性能好的阀门，保证各连接部位的密封，并加强管理</w:t>
            </w:r>
            <w:r>
              <w:rPr>
                <w:rFonts w:hint="eastAsia"/>
                <w:bCs/>
                <w:sz w:val="22"/>
                <w:szCs w:val="22"/>
              </w:rPr>
              <w:t>。</w:t>
            </w:r>
          </w:p>
        </w:tc>
        <w:tc>
          <w:tcPr>
            <w:tcW w:w="1568" w:type="dxa"/>
            <w:vAlign w:val="center"/>
          </w:tcPr>
          <w:p w14:paraId="4D25D692">
            <w:pPr>
              <w:jc w:val="center"/>
              <w:rPr>
                <w:sz w:val="22"/>
                <w:szCs w:val="22"/>
              </w:rPr>
            </w:pPr>
            <w:r>
              <w:rPr>
                <w:rFonts w:hint="eastAsia"/>
                <w:sz w:val="22"/>
                <w:szCs w:val="22"/>
              </w:rPr>
              <w:t>《陆上石油天然气开采工业大气污染物排放标准》（GB39728-2020）</w:t>
            </w:r>
          </w:p>
        </w:tc>
        <w:tc>
          <w:tcPr>
            <w:tcW w:w="1147" w:type="dxa"/>
            <w:vAlign w:val="center"/>
          </w:tcPr>
          <w:p w14:paraId="3FA58564">
            <w:pPr>
              <w:pStyle w:val="1270"/>
              <w:rPr>
                <w:sz w:val="22"/>
                <w:szCs w:val="22"/>
              </w:rPr>
            </w:pPr>
            <w:r>
              <w:rPr>
                <w:sz w:val="22"/>
                <w:szCs w:val="22"/>
              </w:rPr>
              <w:t>4</w:t>
            </w:r>
            <w:r>
              <w:rPr>
                <w:rFonts w:hint="eastAsia"/>
                <w:sz w:val="22"/>
                <w:szCs w:val="22"/>
              </w:rPr>
              <w:t>.0</w:t>
            </w:r>
          </w:p>
        </w:tc>
        <w:tc>
          <w:tcPr>
            <w:tcW w:w="1096" w:type="dxa"/>
            <w:vAlign w:val="center"/>
          </w:tcPr>
          <w:p w14:paraId="4BFB2BD0">
            <w:pPr>
              <w:pStyle w:val="1270"/>
              <w:rPr>
                <w:sz w:val="22"/>
                <w:szCs w:val="22"/>
              </w:rPr>
            </w:pPr>
            <w:r>
              <w:rPr>
                <w:snapToGrid w:val="0"/>
                <w:sz w:val="22"/>
                <w:szCs w:val="22"/>
              </w:rPr>
              <w:t>5.1×10</w:t>
            </w:r>
            <w:r>
              <w:rPr>
                <w:snapToGrid w:val="0"/>
                <w:sz w:val="22"/>
                <w:szCs w:val="22"/>
                <w:vertAlign w:val="superscript"/>
              </w:rPr>
              <w:t>-2</w:t>
            </w:r>
          </w:p>
        </w:tc>
      </w:tr>
      <w:tr w14:paraId="219B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8522" w:type="dxa"/>
            <w:gridSpan w:val="8"/>
            <w:vAlign w:val="center"/>
          </w:tcPr>
          <w:p w14:paraId="2F13B1DC">
            <w:pPr>
              <w:pStyle w:val="1270"/>
              <w:ind w:firstLine="360"/>
              <w:rPr>
                <w:sz w:val="22"/>
                <w:szCs w:val="22"/>
              </w:rPr>
            </w:pPr>
            <w:r>
              <w:rPr>
                <w:sz w:val="22"/>
                <w:szCs w:val="22"/>
              </w:rPr>
              <w:t>无组织排放总计</w:t>
            </w:r>
          </w:p>
        </w:tc>
      </w:tr>
      <w:tr w14:paraId="438D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2712" w:type="dxa"/>
            <w:gridSpan w:val="4"/>
            <w:vAlign w:val="center"/>
          </w:tcPr>
          <w:p w14:paraId="52F89E8D">
            <w:pPr>
              <w:pStyle w:val="1270"/>
              <w:rPr>
                <w:sz w:val="22"/>
                <w:szCs w:val="22"/>
              </w:rPr>
            </w:pPr>
            <w:r>
              <w:rPr>
                <w:sz w:val="22"/>
                <w:szCs w:val="22"/>
              </w:rPr>
              <w:t>全厂无组织排放总计</w:t>
            </w:r>
          </w:p>
        </w:tc>
        <w:tc>
          <w:tcPr>
            <w:tcW w:w="3567" w:type="dxa"/>
            <w:gridSpan w:val="2"/>
            <w:vAlign w:val="center"/>
          </w:tcPr>
          <w:p w14:paraId="26E769E8">
            <w:pPr>
              <w:pStyle w:val="1270"/>
              <w:rPr>
                <w:sz w:val="22"/>
                <w:szCs w:val="22"/>
              </w:rPr>
            </w:pPr>
            <w:r>
              <w:rPr>
                <w:rFonts w:hint="eastAsia"/>
                <w:sz w:val="22"/>
                <w:szCs w:val="22"/>
              </w:rPr>
              <w:t>非甲烷总烃</w:t>
            </w:r>
          </w:p>
        </w:tc>
        <w:tc>
          <w:tcPr>
            <w:tcW w:w="2243" w:type="dxa"/>
            <w:gridSpan w:val="2"/>
            <w:vAlign w:val="center"/>
          </w:tcPr>
          <w:p w14:paraId="16D6A53A">
            <w:pPr>
              <w:pStyle w:val="1270"/>
              <w:rPr>
                <w:sz w:val="22"/>
                <w:szCs w:val="22"/>
              </w:rPr>
            </w:pPr>
            <w:r>
              <w:rPr>
                <w:snapToGrid w:val="0"/>
                <w:sz w:val="22"/>
                <w:szCs w:val="22"/>
              </w:rPr>
              <w:t>5.1×10</w:t>
            </w:r>
            <w:r>
              <w:rPr>
                <w:snapToGrid w:val="0"/>
                <w:sz w:val="22"/>
                <w:szCs w:val="22"/>
                <w:vertAlign w:val="superscript"/>
              </w:rPr>
              <w:t>-2</w:t>
            </w:r>
          </w:p>
        </w:tc>
      </w:tr>
    </w:tbl>
    <w:p w14:paraId="21E398D7">
      <w:pPr>
        <w:pStyle w:val="274"/>
        <w:spacing w:line="240" w:lineRule="auto"/>
        <w:ind w:firstLine="520"/>
        <w:rPr>
          <w:sz w:val="26"/>
          <w:szCs w:val="26"/>
        </w:rPr>
      </w:pPr>
    </w:p>
    <w:p w14:paraId="336B424E">
      <w:pPr>
        <w:adjustRightInd w:val="0"/>
        <w:snapToGrid w:val="0"/>
        <w:jc w:val="center"/>
        <w:rPr>
          <w:sz w:val="26"/>
        </w:rPr>
      </w:pPr>
      <w:r>
        <w:rPr>
          <w:sz w:val="26"/>
        </w:rPr>
        <w:t>表</w:t>
      </w:r>
      <w:r>
        <w:rPr>
          <w:rFonts w:hint="eastAsia"/>
          <w:sz w:val="26"/>
        </w:rPr>
        <w:t>6.</w:t>
      </w:r>
      <w:r>
        <w:rPr>
          <w:sz w:val="26"/>
        </w:rPr>
        <w:t>2</w:t>
      </w:r>
      <w:r>
        <w:rPr>
          <w:rFonts w:hint="eastAsia"/>
          <w:sz w:val="26"/>
        </w:rPr>
        <w:t>-</w:t>
      </w:r>
      <w:r>
        <w:rPr>
          <w:sz w:val="26"/>
        </w:rPr>
        <w:t>5   大气污染物年排放量核算表</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4"/>
        <w:gridCol w:w="2892"/>
        <w:gridCol w:w="4292"/>
      </w:tblGrid>
      <w:tr w14:paraId="08D6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94" w:type="dxa"/>
            <w:noWrap/>
            <w:vAlign w:val="center"/>
          </w:tcPr>
          <w:p w14:paraId="34DB67C7">
            <w:pPr>
              <w:jc w:val="center"/>
              <w:rPr>
                <w:sz w:val="22"/>
                <w:szCs w:val="22"/>
              </w:rPr>
            </w:pPr>
            <w:r>
              <w:rPr>
                <w:sz w:val="22"/>
                <w:szCs w:val="22"/>
              </w:rPr>
              <w:t>序号</w:t>
            </w:r>
          </w:p>
        </w:tc>
        <w:tc>
          <w:tcPr>
            <w:tcW w:w="2892" w:type="dxa"/>
            <w:noWrap/>
            <w:vAlign w:val="center"/>
          </w:tcPr>
          <w:p w14:paraId="60291508">
            <w:pPr>
              <w:jc w:val="center"/>
              <w:rPr>
                <w:sz w:val="22"/>
                <w:szCs w:val="22"/>
              </w:rPr>
            </w:pPr>
            <w:r>
              <w:rPr>
                <w:sz w:val="22"/>
                <w:szCs w:val="22"/>
              </w:rPr>
              <w:t>污染物</w:t>
            </w:r>
          </w:p>
        </w:tc>
        <w:tc>
          <w:tcPr>
            <w:tcW w:w="4292" w:type="dxa"/>
            <w:noWrap/>
            <w:vAlign w:val="center"/>
          </w:tcPr>
          <w:p w14:paraId="2318C8A6">
            <w:pPr>
              <w:jc w:val="center"/>
              <w:rPr>
                <w:sz w:val="22"/>
                <w:szCs w:val="22"/>
              </w:rPr>
            </w:pPr>
            <w:r>
              <w:rPr>
                <w:sz w:val="22"/>
                <w:szCs w:val="22"/>
              </w:rPr>
              <w:t>年排放量/（t/a）</w:t>
            </w:r>
          </w:p>
        </w:tc>
      </w:tr>
      <w:tr w14:paraId="1906E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94" w:type="dxa"/>
            <w:vAlign w:val="center"/>
          </w:tcPr>
          <w:p w14:paraId="1DBA7997">
            <w:pPr>
              <w:widowControl/>
              <w:spacing w:line="380" w:lineRule="exact"/>
              <w:jc w:val="center"/>
              <w:textAlignment w:val="center"/>
              <w:rPr>
                <w:kern w:val="0"/>
                <w:sz w:val="22"/>
                <w:szCs w:val="22"/>
                <w:lang w:bidi="ar"/>
              </w:rPr>
            </w:pPr>
            <w:r>
              <w:rPr>
                <w:kern w:val="0"/>
                <w:sz w:val="22"/>
                <w:szCs w:val="22"/>
                <w:lang w:bidi="ar"/>
              </w:rPr>
              <w:t>1</w:t>
            </w:r>
          </w:p>
        </w:tc>
        <w:tc>
          <w:tcPr>
            <w:tcW w:w="2892" w:type="dxa"/>
            <w:vAlign w:val="center"/>
          </w:tcPr>
          <w:p w14:paraId="15D75120">
            <w:pPr>
              <w:pStyle w:val="1270"/>
              <w:rPr>
                <w:sz w:val="22"/>
                <w:szCs w:val="22"/>
              </w:rPr>
            </w:pPr>
            <w:r>
              <w:rPr>
                <w:sz w:val="22"/>
                <w:szCs w:val="22"/>
              </w:rPr>
              <w:t>颗粒物</w:t>
            </w:r>
          </w:p>
        </w:tc>
        <w:tc>
          <w:tcPr>
            <w:tcW w:w="4292" w:type="dxa"/>
            <w:noWrap/>
            <w:vAlign w:val="center"/>
          </w:tcPr>
          <w:p w14:paraId="0050061B">
            <w:pPr>
              <w:pStyle w:val="1270"/>
              <w:rPr>
                <w:sz w:val="22"/>
                <w:szCs w:val="22"/>
              </w:rPr>
            </w:pPr>
            <w:r>
              <w:rPr>
                <w:rFonts w:hint="eastAsia"/>
                <w:snapToGrid w:val="0"/>
                <w:sz w:val="22"/>
                <w:szCs w:val="22"/>
              </w:rPr>
              <w:t>7.</w:t>
            </w:r>
            <w:r>
              <w:rPr>
                <w:snapToGrid w:val="0"/>
                <w:sz w:val="22"/>
                <w:szCs w:val="22"/>
              </w:rPr>
              <w:t>3×10</w:t>
            </w:r>
            <w:r>
              <w:rPr>
                <w:snapToGrid w:val="0"/>
                <w:sz w:val="22"/>
                <w:szCs w:val="22"/>
                <w:vertAlign w:val="superscript"/>
              </w:rPr>
              <w:t>-3</w:t>
            </w:r>
          </w:p>
        </w:tc>
      </w:tr>
      <w:tr w14:paraId="2843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94" w:type="dxa"/>
            <w:vAlign w:val="center"/>
          </w:tcPr>
          <w:p w14:paraId="38BBA75A">
            <w:pPr>
              <w:widowControl/>
              <w:spacing w:line="380" w:lineRule="exact"/>
              <w:jc w:val="center"/>
              <w:textAlignment w:val="center"/>
              <w:rPr>
                <w:kern w:val="0"/>
                <w:sz w:val="22"/>
                <w:szCs w:val="22"/>
                <w:lang w:bidi="ar"/>
              </w:rPr>
            </w:pPr>
            <w:r>
              <w:rPr>
                <w:kern w:val="0"/>
                <w:sz w:val="22"/>
                <w:szCs w:val="22"/>
                <w:lang w:bidi="ar"/>
              </w:rPr>
              <w:t>2</w:t>
            </w:r>
          </w:p>
        </w:tc>
        <w:tc>
          <w:tcPr>
            <w:tcW w:w="2892" w:type="dxa"/>
            <w:vAlign w:val="center"/>
          </w:tcPr>
          <w:p w14:paraId="120FECD7">
            <w:pPr>
              <w:pStyle w:val="1270"/>
              <w:rPr>
                <w:sz w:val="22"/>
                <w:szCs w:val="22"/>
              </w:rPr>
            </w:pPr>
            <w:r>
              <w:rPr>
                <w:sz w:val="22"/>
                <w:szCs w:val="22"/>
              </w:rPr>
              <w:t>NO</w:t>
            </w:r>
            <w:r>
              <w:rPr>
                <w:sz w:val="22"/>
                <w:szCs w:val="22"/>
                <w:vertAlign w:val="subscript"/>
              </w:rPr>
              <w:t>x</w:t>
            </w:r>
          </w:p>
        </w:tc>
        <w:tc>
          <w:tcPr>
            <w:tcW w:w="4292" w:type="dxa"/>
            <w:noWrap/>
            <w:vAlign w:val="center"/>
          </w:tcPr>
          <w:p w14:paraId="07FDA231">
            <w:pPr>
              <w:pStyle w:val="1270"/>
              <w:rPr>
                <w:sz w:val="22"/>
                <w:szCs w:val="22"/>
              </w:rPr>
            </w:pPr>
            <w:r>
              <w:rPr>
                <w:rFonts w:hint="eastAsia"/>
                <w:snapToGrid w:val="0"/>
                <w:sz w:val="22"/>
                <w:szCs w:val="22"/>
              </w:rPr>
              <w:t>9.2</w:t>
            </w:r>
            <w:r>
              <w:rPr>
                <w:snapToGrid w:val="0"/>
                <w:sz w:val="22"/>
                <w:szCs w:val="22"/>
              </w:rPr>
              <w:t>×10</w:t>
            </w:r>
            <w:r>
              <w:rPr>
                <w:snapToGrid w:val="0"/>
                <w:sz w:val="22"/>
                <w:szCs w:val="22"/>
                <w:vertAlign w:val="superscript"/>
              </w:rPr>
              <w:t>-3</w:t>
            </w:r>
          </w:p>
        </w:tc>
      </w:tr>
      <w:tr w14:paraId="69C4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94" w:type="dxa"/>
            <w:vAlign w:val="center"/>
          </w:tcPr>
          <w:p w14:paraId="4E1359BC">
            <w:pPr>
              <w:widowControl/>
              <w:spacing w:line="380" w:lineRule="exact"/>
              <w:jc w:val="center"/>
              <w:textAlignment w:val="center"/>
              <w:rPr>
                <w:kern w:val="0"/>
                <w:sz w:val="22"/>
                <w:szCs w:val="22"/>
                <w:lang w:bidi="ar"/>
              </w:rPr>
            </w:pPr>
            <w:r>
              <w:rPr>
                <w:kern w:val="0"/>
                <w:sz w:val="22"/>
                <w:szCs w:val="22"/>
                <w:lang w:bidi="ar"/>
              </w:rPr>
              <w:t>3</w:t>
            </w:r>
          </w:p>
        </w:tc>
        <w:tc>
          <w:tcPr>
            <w:tcW w:w="2892" w:type="dxa"/>
            <w:vAlign w:val="center"/>
          </w:tcPr>
          <w:p w14:paraId="57665AE9">
            <w:pPr>
              <w:pStyle w:val="1270"/>
              <w:rPr>
                <w:sz w:val="22"/>
                <w:szCs w:val="22"/>
              </w:rPr>
            </w:pPr>
            <w:r>
              <w:rPr>
                <w:rFonts w:hint="eastAsia"/>
                <w:sz w:val="22"/>
                <w:szCs w:val="22"/>
              </w:rPr>
              <w:t>非甲烷总烃</w:t>
            </w:r>
          </w:p>
        </w:tc>
        <w:tc>
          <w:tcPr>
            <w:tcW w:w="4292" w:type="dxa"/>
            <w:noWrap/>
            <w:vAlign w:val="center"/>
          </w:tcPr>
          <w:p w14:paraId="0CBA7FC7">
            <w:pPr>
              <w:pStyle w:val="1270"/>
              <w:rPr>
                <w:sz w:val="22"/>
                <w:szCs w:val="22"/>
              </w:rPr>
            </w:pPr>
            <w:r>
              <w:rPr>
                <w:snapToGrid w:val="0"/>
                <w:sz w:val="22"/>
                <w:szCs w:val="22"/>
              </w:rPr>
              <w:t>5.1×10</w:t>
            </w:r>
            <w:r>
              <w:rPr>
                <w:snapToGrid w:val="0"/>
                <w:sz w:val="22"/>
                <w:szCs w:val="22"/>
                <w:vertAlign w:val="superscript"/>
              </w:rPr>
              <w:t>-2</w:t>
            </w:r>
          </w:p>
        </w:tc>
      </w:tr>
    </w:tbl>
    <w:p w14:paraId="3A546AAD">
      <w:pPr>
        <w:pStyle w:val="1066"/>
        <w:ind w:firstLine="520"/>
      </w:pPr>
    </w:p>
    <w:p w14:paraId="538D452A">
      <w:pPr>
        <w:spacing w:line="460" w:lineRule="exact"/>
        <w:ind w:firstLine="522" w:firstLineChars="200"/>
        <w:outlineLvl w:val="1"/>
        <w:rPr>
          <w:b/>
          <w:bCs/>
          <w:sz w:val="26"/>
          <w:szCs w:val="26"/>
        </w:rPr>
      </w:pPr>
      <w:bookmarkStart w:id="285" w:name="_Toc165810581"/>
      <w:bookmarkStart w:id="286" w:name="_Toc128320927"/>
      <w:bookmarkStart w:id="287" w:name="_Toc219907656"/>
      <w:bookmarkStart w:id="288" w:name="_Toc165809742"/>
      <w:r>
        <w:rPr>
          <w:rFonts w:hint="eastAsia"/>
          <w:b/>
          <w:bCs/>
          <w:sz w:val="26"/>
          <w:szCs w:val="26"/>
        </w:rPr>
        <w:t>6</w:t>
      </w:r>
      <w:r>
        <w:rPr>
          <w:b/>
          <w:bCs/>
          <w:sz w:val="26"/>
          <w:szCs w:val="26"/>
        </w:rPr>
        <w:t xml:space="preserve">.3 </w:t>
      </w:r>
      <w:r>
        <w:rPr>
          <w:rFonts w:hint="eastAsia"/>
          <w:b/>
          <w:bCs/>
          <w:sz w:val="26"/>
          <w:szCs w:val="26"/>
        </w:rPr>
        <w:t>地表水环境影响分析</w:t>
      </w:r>
      <w:bookmarkEnd w:id="285"/>
      <w:bookmarkEnd w:id="286"/>
      <w:bookmarkEnd w:id="287"/>
      <w:bookmarkEnd w:id="288"/>
    </w:p>
    <w:p w14:paraId="6DA33FAF">
      <w:pPr>
        <w:pStyle w:val="702"/>
        <w:ind w:firstLine="520"/>
        <w:rPr>
          <w:rFonts w:cs="Times New Roman"/>
        </w:rPr>
      </w:pPr>
      <w:r>
        <w:rPr>
          <w:rFonts w:hint="eastAsia" w:cs="Times New Roman"/>
        </w:rPr>
        <w:t>巴中2HF试采站为有人值守站场，试采期废水主要为分离的气田水、放空分离液、分子筛冷凝水、生活污水和检修废水。</w:t>
      </w:r>
    </w:p>
    <w:p w14:paraId="2ACF1E34">
      <w:pPr>
        <w:pStyle w:val="702"/>
        <w:ind w:firstLine="520"/>
        <w:rPr>
          <w:rFonts w:cs="Times New Roman"/>
        </w:rPr>
      </w:pPr>
      <w:r>
        <w:rPr>
          <w:rFonts w:hint="eastAsia"/>
        </w:rPr>
        <w:t>本项目试采期分离气田水暂存于</w:t>
      </w:r>
      <w:r>
        <w:rPr>
          <w:rFonts w:hint="eastAsia" w:cs="Times New Roman"/>
        </w:rPr>
        <w:t>气田水储罐，定期由罐车运输至四川洁安环境科技有限公司油气田废水处理站、四川兴澳环境技术服务有限公司油气井地下水处理站处置，或区域内有合法资质且有处理能力的第三方单位处置。放空分离液泵入闪蒸三相分离器再次进行分离，产生的气田水存入气田水储罐，定期外运处置。分子筛冷凝水和分离气田水成分一致，与气田水一并处置。值守人员生活污水经环保厕所收集后定期外运附近城镇生活污水处理厂处置。试采站少量检修废水存入气田水储罐，定期外运处置。</w:t>
      </w:r>
    </w:p>
    <w:p w14:paraId="66C66DA8">
      <w:pPr>
        <w:pStyle w:val="702"/>
        <w:ind w:firstLine="520"/>
        <w:rPr>
          <w:rFonts w:cs="Times New Roman"/>
        </w:rPr>
      </w:pPr>
      <w:r>
        <w:rPr>
          <w:rFonts w:hint="eastAsia" w:cs="Times New Roman"/>
        </w:rPr>
        <w:t>综上，本项目试采期间正常工况下污废水均可得到妥善的收集和处置，不涉及污废水直接外排，试采期对地表水环境影响较小，环境影响可接受。</w:t>
      </w:r>
    </w:p>
    <w:p w14:paraId="6569ABC8">
      <w:pPr>
        <w:adjustRightInd w:val="0"/>
        <w:snapToGrid w:val="0"/>
        <w:spacing w:line="480" w:lineRule="exact"/>
        <w:ind w:firstLine="522" w:firstLineChars="200"/>
        <w:outlineLvl w:val="1"/>
        <w:rPr>
          <w:sz w:val="26"/>
          <w:szCs w:val="26"/>
          <w:lang w:bidi="ar"/>
        </w:rPr>
      </w:pPr>
      <w:bookmarkStart w:id="289" w:name="_Toc128320928"/>
      <w:bookmarkStart w:id="290" w:name="_Toc165809743"/>
      <w:bookmarkStart w:id="291" w:name="_Toc165810585"/>
      <w:bookmarkStart w:id="292" w:name="_Toc219907657"/>
      <w:r>
        <w:rPr>
          <w:b/>
          <w:bCs/>
          <w:sz w:val="26"/>
          <w:szCs w:val="26"/>
        </w:rPr>
        <w:t xml:space="preserve">6.4 </w:t>
      </w:r>
      <w:r>
        <w:rPr>
          <w:rFonts w:hint="eastAsia"/>
          <w:b/>
          <w:bCs/>
          <w:sz w:val="26"/>
          <w:szCs w:val="26"/>
        </w:rPr>
        <w:t>地下水环境影响分析</w:t>
      </w:r>
      <w:bookmarkEnd w:id="289"/>
      <w:bookmarkEnd w:id="290"/>
      <w:bookmarkEnd w:id="291"/>
      <w:bookmarkEnd w:id="292"/>
    </w:p>
    <w:p w14:paraId="0E27981E">
      <w:pPr>
        <w:adjustRightInd w:val="0"/>
        <w:snapToGrid w:val="0"/>
        <w:spacing w:line="480" w:lineRule="exact"/>
        <w:ind w:firstLine="522" w:firstLineChars="200"/>
        <w:outlineLvl w:val="2"/>
        <w:rPr>
          <w:b/>
          <w:sz w:val="26"/>
          <w:szCs w:val="26"/>
        </w:rPr>
      </w:pPr>
      <w:bookmarkStart w:id="293" w:name="_Toc165810586"/>
      <w:r>
        <w:rPr>
          <w:b/>
          <w:sz w:val="26"/>
          <w:szCs w:val="26"/>
        </w:rPr>
        <w:t>6.4</w:t>
      </w:r>
      <w:r>
        <w:rPr>
          <w:rFonts w:hint="eastAsia"/>
          <w:b/>
          <w:sz w:val="26"/>
          <w:szCs w:val="26"/>
        </w:rPr>
        <w:t>.1 预测情景假设</w:t>
      </w:r>
    </w:p>
    <w:p w14:paraId="2003638F">
      <w:pPr>
        <w:autoSpaceDE w:val="0"/>
        <w:autoSpaceDN w:val="0"/>
        <w:spacing w:line="460" w:lineRule="exact"/>
        <w:ind w:firstLine="520" w:firstLineChars="200"/>
        <w:rPr>
          <w:kern w:val="0"/>
          <w:sz w:val="26"/>
          <w:szCs w:val="26"/>
          <w:lang w:val="zh-CN"/>
        </w:rPr>
      </w:pPr>
      <w:r>
        <w:rPr>
          <w:kern w:val="0"/>
          <w:sz w:val="26"/>
          <w:szCs w:val="26"/>
          <w:lang w:val="zh-CN"/>
        </w:rPr>
        <w:t>（1）正常状况</w:t>
      </w:r>
    </w:p>
    <w:p w14:paraId="3D0F2251">
      <w:pPr>
        <w:autoSpaceDE w:val="0"/>
        <w:autoSpaceDN w:val="0"/>
        <w:spacing w:line="460" w:lineRule="exact"/>
        <w:ind w:firstLine="520" w:firstLineChars="200"/>
        <w:rPr>
          <w:kern w:val="0"/>
          <w:sz w:val="26"/>
          <w:szCs w:val="26"/>
          <w:lang w:val="zh-CN"/>
        </w:rPr>
      </w:pPr>
      <w:r>
        <w:rPr>
          <w:rFonts w:hint="eastAsia"/>
          <w:kern w:val="0"/>
          <w:sz w:val="26"/>
          <w:szCs w:val="26"/>
          <w:lang w:val="zh-CN"/>
        </w:rPr>
        <w:t>本项目主要为试采站工程，各运行环节均按照地下水污染防控要求采取了严格的防渗、防溢流、防泄漏、防腐蚀、定期巡检维护等措施，正常状况下各场地污废物发生跑冒滴漏情况并产生地下水污染影响的可能性较小，各场地采取的污染防控措施对污废水有很好的阻隔效果，泄漏的污染物很难进入到含水层，对地下水环境影响较小。同时，根据《环境影响评价技术导则 地下水环境》（HJ610-2016）要求，本工程实施地下水污染防渗措施，由于防渗层对污废水的阻隔，本项目在正常状况下，对地下水环境影响较小，可不进行正常状况下的预测。</w:t>
      </w:r>
    </w:p>
    <w:p w14:paraId="08A44E34">
      <w:pPr>
        <w:autoSpaceDE w:val="0"/>
        <w:autoSpaceDN w:val="0"/>
        <w:spacing w:line="460" w:lineRule="exact"/>
        <w:ind w:firstLine="520" w:firstLineChars="200"/>
        <w:rPr>
          <w:kern w:val="0"/>
          <w:sz w:val="26"/>
          <w:szCs w:val="26"/>
          <w:lang w:val="zh-CN"/>
        </w:rPr>
      </w:pPr>
      <w:r>
        <w:rPr>
          <w:kern w:val="0"/>
          <w:sz w:val="26"/>
          <w:szCs w:val="26"/>
          <w:lang w:val="zh-CN"/>
        </w:rPr>
        <w:t>（2）非正常状况</w:t>
      </w:r>
    </w:p>
    <w:p w14:paraId="2258CD07">
      <w:pPr>
        <w:adjustRightInd w:val="0"/>
        <w:snapToGrid w:val="0"/>
        <w:spacing w:line="480" w:lineRule="exact"/>
        <w:ind w:firstLine="520" w:firstLineChars="200"/>
        <w:rPr>
          <w:kern w:val="0"/>
          <w:sz w:val="26"/>
          <w:szCs w:val="26"/>
        </w:rPr>
      </w:pPr>
      <w:r>
        <w:rPr>
          <w:rFonts w:hint="eastAsia"/>
          <w:kern w:val="0"/>
          <w:sz w:val="26"/>
          <w:szCs w:val="26"/>
        </w:rPr>
        <w:t>本次评价重点进行非正常状况下的地下水环境影响预测，根据设计资料，井场产生的废水主要为试采过程分离出的气田水，现场暂存入站内气田水罐，另外本项目在站场内设置凝析油储罐储存副产品凝析油。在非正常状况下，气田水罐、凝析油储罐以及污水罐因老化腐蚀或其它外力导致破裂，气田水和油类物质会渗漏进入到浅层含水层并对地下水产生影响。</w:t>
      </w:r>
    </w:p>
    <w:p w14:paraId="43BE387F">
      <w:pPr>
        <w:adjustRightInd w:val="0"/>
        <w:snapToGrid w:val="0"/>
        <w:spacing w:line="480" w:lineRule="exact"/>
        <w:ind w:firstLine="520" w:firstLineChars="200"/>
        <w:rPr>
          <w:kern w:val="0"/>
          <w:sz w:val="26"/>
          <w:szCs w:val="26"/>
        </w:rPr>
      </w:pPr>
      <w:r>
        <w:rPr>
          <w:rFonts w:hint="eastAsia"/>
          <w:kern w:val="0"/>
          <w:sz w:val="26"/>
          <w:szCs w:val="26"/>
        </w:rPr>
        <w:t>本次地下水影响分析重点对气田水罐和凝析油储罐非正常状况下发生泄漏后对地下水的影响分析作为假设预测情景。</w:t>
      </w:r>
    </w:p>
    <w:p w14:paraId="738A2764">
      <w:pPr>
        <w:adjustRightInd w:val="0"/>
        <w:snapToGrid w:val="0"/>
        <w:spacing w:line="480" w:lineRule="exact"/>
        <w:ind w:firstLine="522" w:firstLineChars="200"/>
        <w:outlineLvl w:val="2"/>
        <w:rPr>
          <w:b/>
          <w:sz w:val="26"/>
          <w:szCs w:val="26"/>
        </w:rPr>
      </w:pPr>
      <w:r>
        <w:rPr>
          <w:b/>
          <w:sz w:val="26"/>
          <w:szCs w:val="26"/>
        </w:rPr>
        <w:t>6.4</w:t>
      </w:r>
      <w:r>
        <w:rPr>
          <w:rFonts w:hint="eastAsia"/>
          <w:b/>
          <w:sz w:val="26"/>
          <w:szCs w:val="26"/>
        </w:rPr>
        <w:t>.2 预测时段</w:t>
      </w:r>
    </w:p>
    <w:p w14:paraId="16161D91">
      <w:pPr>
        <w:adjustRightInd w:val="0"/>
        <w:snapToGrid w:val="0"/>
        <w:spacing w:line="480" w:lineRule="exact"/>
        <w:ind w:firstLine="520" w:firstLineChars="200"/>
        <w:rPr>
          <w:sz w:val="26"/>
          <w:szCs w:val="26"/>
        </w:rPr>
      </w:pPr>
      <w:r>
        <w:rPr>
          <w:rFonts w:hint="eastAsia"/>
          <w:sz w:val="26"/>
          <w:szCs w:val="26"/>
        </w:rPr>
        <w:t>根据地下水导则中预测时段的选取要求，本项目地下水影响预测时段选取污染发生后的100d、1000d、跟踪评价年限和能反映特征因子迁移规律的其他重要的时间节点。</w:t>
      </w:r>
    </w:p>
    <w:p w14:paraId="69790F6D">
      <w:pPr>
        <w:adjustRightInd w:val="0"/>
        <w:snapToGrid w:val="0"/>
        <w:spacing w:line="480" w:lineRule="exact"/>
        <w:ind w:firstLine="522" w:firstLineChars="200"/>
        <w:outlineLvl w:val="2"/>
        <w:rPr>
          <w:b/>
          <w:sz w:val="26"/>
          <w:szCs w:val="26"/>
        </w:rPr>
      </w:pPr>
      <w:r>
        <w:rPr>
          <w:b/>
          <w:sz w:val="26"/>
          <w:szCs w:val="26"/>
        </w:rPr>
        <w:t>6.4</w:t>
      </w:r>
      <w:r>
        <w:rPr>
          <w:rFonts w:hint="eastAsia"/>
          <w:b/>
          <w:sz w:val="26"/>
          <w:szCs w:val="26"/>
        </w:rPr>
        <w:t>.3 预测因子</w:t>
      </w:r>
    </w:p>
    <w:p w14:paraId="6451BAF0">
      <w:pPr>
        <w:adjustRightInd w:val="0"/>
        <w:snapToGrid w:val="0"/>
        <w:spacing w:line="480" w:lineRule="exact"/>
        <w:ind w:firstLine="520" w:firstLineChars="200"/>
        <w:rPr>
          <w:sz w:val="26"/>
          <w:szCs w:val="26"/>
        </w:rPr>
      </w:pPr>
      <w:r>
        <w:rPr>
          <w:rFonts w:hint="eastAsia"/>
          <w:sz w:val="26"/>
          <w:szCs w:val="26"/>
        </w:rPr>
        <w:t>根据导则要求，预测因子的选择既要考虑预测的可行性，又要考虑预测因子的代表性。本次评价依据其它同类型开采站场，气田水中污染物确定预测因子为COD、石油类、氯化物和钡离子，并以各污染物最高浓度为源强进行正常状况和非正常状况下（因系统老化或腐蚀程度等设定）的预测分析。</w:t>
      </w:r>
    </w:p>
    <w:p w14:paraId="2E7D6A12">
      <w:pPr>
        <w:adjustRightInd w:val="0"/>
        <w:snapToGrid w:val="0"/>
        <w:spacing w:line="480" w:lineRule="exact"/>
        <w:ind w:firstLine="520" w:firstLineChars="200"/>
        <w:rPr>
          <w:sz w:val="26"/>
          <w:szCs w:val="26"/>
        </w:rPr>
      </w:pPr>
      <w:r>
        <w:rPr>
          <w:rFonts w:hint="eastAsia"/>
          <w:sz w:val="26"/>
          <w:szCs w:val="26"/>
        </w:rPr>
        <w:t>本次环评参照四川洁安环境科技有限公司油气田废水处理站、四川兴澳环境技术服务有限公司油气井地下水处理站处置的进水水质监测结果和项目所在巴中地区周边相似地层气田水水质数据、环评报告，综合确定本次环评各类污染物浓度，见</w:t>
      </w:r>
      <w:r>
        <w:rPr>
          <w:rFonts w:hint="eastAsia"/>
          <w:sz w:val="26"/>
          <w:szCs w:val="26"/>
          <w:u w:val="single"/>
        </w:rPr>
        <w:t>表6.</w:t>
      </w:r>
      <w:r>
        <w:rPr>
          <w:sz w:val="26"/>
          <w:szCs w:val="26"/>
          <w:u w:val="single"/>
        </w:rPr>
        <w:t>4</w:t>
      </w:r>
      <w:r>
        <w:rPr>
          <w:rFonts w:hint="eastAsia"/>
          <w:sz w:val="26"/>
          <w:szCs w:val="26"/>
          <w:u w:val="single"/>
        </w:rPr>
        <w:t>-1</w:t>
      </w:r>
      <w:r>
        <w:rPr>
          <w:rFonts w:hint="eastAsia"/>
          <w:sz w:val="26"/>
          <w:szCs w:val="26"/>
        </w:rPr>
        <w:t>，本次环评按照最不利原则，取最高浓度进行预测。</w:t>
      </w:r>
    </w:p>
    <w:p w14:paraId="1C5B0910">
      <w:pPr>
        <w:pStyle w:val="1379"/>
        <w:ind w:firstLine="440"/>
      </w:pPr>
    </w:p>
    <w:p w14:paraId="6B775A17">
      <w:pPr>
        <w:keepNext/>
        <w:adjustRightInd w:val="0"/>
        <w:snapToGrid w:val="0"/>
        <w:ind w:firstLine="520" w:firstLineChars="200"/>
        <w:jc w:val="center"/>
        <w:rPr>
          <w:sz w:val="26"/>
          <w:szCs w:val="26"/>
        </w:rPr>
      </w:pPr>
      <w:r>
        <w:rPr>
          <w:rFonts w:hint="eastAsia"/>
          <w:sz w:val="26"/>
          <w:szCs w:val="26"/>
        </w:rPr>
        <w:t>表6.</w:t>
      </w:r>
      <w:r>
        <w:rPr>
          <w:sz w:val="26"/>
          <w:szCs w:val="26"/>
        </w:rPr>
        <w:t>4</w:t>
      </w:r>
      <w:r>
        <w:rPr>
          <w:rFonts w:hint="eastAsia"/>
          <w:sz w:val="26"/>
          <w:szCs w:val="26"/>
        </w:rPr>
        <w:t>-1  各环节产生污染物浓度统计表</w:t>
      </w:r>
    </w:p>
    <w:tbl>
      <w:tblPr>
        <w:tblStyle w:val="89"/>
        <w:tblW w:w="48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7"/>
        <w:gridCol w:w="2887"/>
        <w:gridCol w:w="2914"/>
      </w:tblGrid>
      <w:tr w14:paraId="2B55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82" w:type="dxa"/>
            <w:vAlign w:val="center"/>
          </w:tcPr>
          <w:p w14:paraId="5CC815CC">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rPr>
              <w:t>预测情景</w:t>
            </w:r>
          </w:p>
        </w:tc>
        <w:tc>
          <w:tcPr>
            <w:tcW w:w="2982" w:type="dxa"/>
            <w:vAlign w:val="center"/>
          </w:tcPr>
          <w:p w14:paraId="02F90D41">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rPr>
              <w:t>污染物种类</w:t>
            </w:r>
          </w:p>
        </w:tc>
        <w:tc>
          <w:tcPr>
            <w:tcW w:w="2982" w:type="dxa"/>
            <w:vAlign w:val="center"/>
          </w:tcPr>
          <w:p w14:paraId="277E176F">
            <w:pPr>
              <w:adjustRightInd w:val="0"/>
              <w:snapToGrid w:val="0"/>
              <w:jc w:val="center"/>
              <w:rPr>
                <w:sz w:val="26"/>
                <w:szCs w:val="26"/>
              </w:rPr>
            </w:pPr>
            <w:r>
              <w:rPr>
                <w:rFonts w:hint="eastAsia"/>
                <w:sz w:val="26"/>
                <w:szCs w:val="26"/>
              </w:rPr>
              <w:t>污染物浓度（mg/L）</w:t>
            </w:r>
          </w:p>
        </w:tc>
      </w:tr>
      <w:tr w14:paraId="0FC0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82" w:type="dxa"/>
            <w:vMerge w:val="restart"/>
            <w:vAlign w:val="center"/>
          </w:tcPr>
          <w:p w14:paraId="14A2AC2A">
            <w:pPr>
              <w:adjustRightInd w:val="0"/>
              <w:snapToGrid w:val="0"/>
              <w:jc w:val="center"/>
              <w:rPr>
                <w:sz w:val="26"/>
                <w:szCs w:val="26"/>
              </w:rPr>
            </w:pPr>
            <w:r>
              <w:rPr>
                <w:sz w:val="22"/>
                <w:szCs w:val="22"/>
              </w:rPr>
              <w:t>气田水罐</w:t>
            </w:r>
          </w:p>
        </w:tc>
        <w:tc>
          <w:tcPr>
            <w:tcW w:w="2982" w:type="dxa"/>
            <w:vAlign w:val="center"/>
          </w:tcPr>
          <w:p w14:paraId="3FB37BDC">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lang w:bidi="ar"/>
              </w:rPr>
              <w:t>COD</w:t>
            </w:r>
          </w:p>
        </w:tc>
        <w:tc>
          <w:tcPr>
            <w:tcW w:w="2982" w:type="dxa"/>
            <w:vAlign w:val="center"/>
          </w:tcPr>
          <w:p w14:paraId="63A36E07">
            <w:pPr>
              <w:pStyle w:val="59"/>
              <w:adjustRightInd w:val="0"/>
              <w:snapToGrid w:val="0"/>
              <w:spacing w:before="0"/>
              <w:jc w:val="center"/>
              <w:rPr>
                <w:rFonts w:ascii="Times New Roman" w:eastAsia="宋体"/>
                <w:b w:val="0"/>
                <w:bCs w:val="0"/>
                <w:sz w:val="22"/>
                <w:szCs w:val="22"/>
              </w:rPr>
            </w:pPr>
            <w:r>
              <w:rPr>
                <w:rFonts w:ascii="Times New Roman" w:eastAsia="宋体"/>
                <w:b w:val="0"/>
                <w:bCs w:val="0"/>
                <w:kern w:val="0"/>
                <w:sz w:val="22"/>
                <w:szCs w:val="22"/>
                <w:lang w:bidi="ar"/>
              </w:rPr>
              <w:t>3000</w:t>
            </w:r>
            <w:r>
              <w:rPr>
                <w:rFonts w:hint="eastAsia" w:ascii="Times New Roman" w:eastAsia="宋体"/>
                <w:b w:val="0"/>
                <w:bCs w:val="0"/>
                <w:kern w:val="0"/>
                <w:sz w:val="22"/>
                <w:szCs w:val="22"/>
                <w:lang w:bidi="ar"/>
              </w:rPr>
              <w:t>~5000</w:t>
            </w:r>
          </w:p>
        </w:tc>
      </w:tr>
      <w:tr w14:paraId="01FB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82" w:type="dxa"/>
            <w:vMerge w:val="continue"/>
            <w:vAlign w:val="center"/>
          </w:tcPr>
          <w:p w14:paraId="76FE344F">
            <w:pPr>
              <w:adjustRightInd w:val="0"/>
              <w:snapToGrid w:val="0"/>
              <w:jc w:val="center"/>
              <w:rPr>
                <w:sz w:val="26"/>
                <w:szCs w:val="26"/>
              </w:rPr>
            </w:pPr>
          </w:p>
        </w:tc>
        <w:tc>
          <w:tcPr>
            <w:tcW w:w="2982" w:type="dxa"/>
            <w:vAlign w:val="center"/>
          </w:tcPr>
          <w:p w14:paraId="1129C4B8">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rPr>
              <w:t>石油类</w:t>
            </w:r>
          </w:p>
        </w:tc>
        <w:tc>
          <w:tcPr>
            <w:tcW w:w="2982" w:type="dxa"/>
            <w:vAlign w:val="center"/>
          </w:tcPr>
          <w:p w14:paraId="0A6C90CD">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rPr>
              <w:t>50</w:t>
            </w:r>
            <w:r>
              <w:rPr>
                <w:rFonts w:hint="eastAsia" w:ascii="Times New Roman" w:eastAsia="宋体"/>
                <w:b w:val="0"/>
                <w:bCs w:val="0"/>
                <w:sz w:val="22"/>
                <w:szCs w:val="22"/>
              </w:rPr>
              <w:t>~70</w:t>
            </w:r>
          </w:p>
        </w:tc>
      </w:tr>
      <w:tr w14:paraId="7EA2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82" w:type="dxa"/>
            <w:vMerge w:val="continue"/>
            <w:vAlign w:val="center"/>
          </w:tcPr>
          <w:p w14:paraId="33013875">
            <w:pPr>
              <w:adjustRightInd w:val="0"/>
              <w:snapToGrid w:val="0"/>
              <w:jc w:val="center"/>
              <w:rPr>
                <w:sz w:val="26"/>
                <w:szCs w:val="26"/>
              </w:rPr>
            </w:pPr>
          </w:p>
        </w:tc>
        <w:tc>
          <w:tcPr>
            <w:tcW w:w="2982" w:type="dxa"/>
            <w:vAlign w:val="center"/>
          </w:tcPr>
          <w:p w14:paraId="50DFAC09">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lang w:bidi="ar"/>
              </w:rPr>
              <w:t>氯化物</w:t>
            </w:r>
          </w:p>
        </w:tc>
        <w:tc>
          <w:tcPr>
            <w:tcW w:w="2982" w:type="dxa"/>
            <w:vAlign w:val="center"/>
          </w:tcPr>
          <w:p w14:paraId="2FD7A359">
            <w:pPr>
              <w:pStyle w:val="59"/>
              <w:adjustRightInd w:val="0"/>
              <w:snapToGrid w:val="0"/>
              <w:spacing w:before="0"/>
              <w:jc w:val="center"/>
              <w:rPr>
                <w:rFonts w:ascii="Times New Roman" w:eastAsia="宋体"/>
                <w:b w:val="0"/>
                <w:bCs w:val="0"/>
                <w:sz w:val="22"/>
                <w:szCs w:val="22"/>
              </w:rPr>
            </w:pPr>
            <w:r>
              <w:rPr>
                <w:rFonts w:ascii="Times New Roman" w:eastAsia="宋体"/>
                <w:b w:val="0"/>
                <w:bCs w:val="0"/>
                <w:kern w:val="0"/>
                <w:sz w:val="22"/>
                <w:szCs w:val="22"/>
                <w:lang w:bidi="ar"/>
              </w:rPr>
              <w:t>6000</w:t>
            </w:r>
            <w:r>
              <w:rPr>
                <w:rFonts w:hint="eastAsia" w:ascii="Times New Roman" w:eastAsia="宋体"/>
                <w:b w:val="0"/>
                <w:bCs w:val="0"/>
                <w:kern w:val="0"/>
                <w:sz w:val="22"/>
                <w:szCs w:val="22"/>
                <w:lang w:bidi="ar"/>
              </w:rPr>
              <w:t>~10000</w:t>
            </w:r>
          </w:p>
        </w:tc>
      </w:tr>
      <w:tr w14:paraId="46F29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82" w:type="dxa"/>
            <w:vMerge w:val="continue"/>
            <w:vAlign w:val="center"/>
          </w:tcPr>
          <w:p w14:paraId="3329C506">
            <w:pPr>
              <w:adjustRightInd w:val="0"/>
              <w:snapToGrid w:val="0"/>
              <w:jc w:val="center"/>
              <w:rPr>
                <w:sz w:val="26"/>
                <w:szCs w:val="26"/>
              </w:rPr>
            </w:pPr>
          </w:p>
        </w:tc>
        <w:tc>
          <w:tcPr>
            <w:tcW w:w="2982" w:type="dxa"/>
            <w:vAlign w:val="center"/>
          </w:tcPr>
          <w:p w14:paraId="64785750">
            <w:pPr>
              <w:pStyle w:val="59"/>
              <w:adjustRightInd w:val="0"/>
              <w:snapToGrid w:val="0"/>
              <w:spacing w:before="0"/>
              <w:jc w:val="center"/>
              <w:rPr>
                <w:rFonts w:ascii="Times New Roman" w:eastAsia="宋体"/>
                <w:b w:val="0"/>
                <w:bCs w:val="0"/>
                <w:sz w:val="22"/>
                <w:szCs w:val="22"/>
                <w:lang w:bidi="ar"/>
              </w:rPr>
            </w:pPr>
            <w:r>
              <w:rPr>
                <w:rFonts w:ascii="Times New Roman" w:eastAsia="宋体"/>
                <w:b w:val="0"/>
                <w:bCs w:val="0"/>
                <w:sz w:val="22"/>
                <w:szCs w:val="22"/>
              </w:rPr>
              <w:t>钡离子</w:t>
            </w:r>
          </w:p>
        </w:tc>
        <w:tc>
          <w:tcPr>
            <w:tcW w:w="2982" w:type="dxa"/>
            <w:vAlign w:val="center"/>
          </w:tcPr>
          <w:p w14:paraId="77BA739F">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rPr>
              <w:t>90</w:t>
            </w:r>
            <w:r>
              <w:rPr>
                <w:rFonts w:hint="eastAsia" w:ascii="Times New Roman" w:eastAsia="宋体"/>
                <w:b w:val="0"/>
                <w:bCs w:val="0"/>
                <w:sz w:val="22"/>
                <w:szCs w:val="22"/>
              </w:rPr>
              <w:t>~110</w:t>
            </w:r>
          </w:p>
        </w:tc>
      </w:tr>
      <w:tr w14:paraId="371B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82" w:type="dxa"/>
            <w:vAlign w:val="center"/>
          </w:tcPr>
          <w:p w14:paraId="63FC09CE">
            <w:pPr>
              <w:adjustRightInd w:val="0"/>
              <w:snapToGrid w:val="0"/>
              <w:jc w:val="center"/>
              <w:rPr>
                <w:sz w:val="26"/>
                <w:szCs w:val="26"/>
              </w:rPr>
            </w:pPr>
            <w:r>
              <w:rPr>
                <w:sz w:val="22"/>
                <w:szCs w:val="22"/>
              </w:rPr>
              <w:t>凝析油罐</w:t>
            </w:r>
          </w:p>
        </w:tc>
        <w:tc>
          <w:tcPr>
            <w:tcW w:w="2982" w:type="dxa"/>
            <w:vAlign w:val="center"/>
          </w:tcPr>
          <w:p w14:paraId="571101A5">
            <w:pPr>
              <w:pStyle w:val="59"/>
              <w:adjustRightInd w:val="0"/>
              <w:snapToGrid w:val="0"/>
              <w:spacing w:before="0"/>
              <w:jc w:val="center"/>
              <w:rPr>
                <w:rFonts w:ascii="Times New Roman" w:eastAsia="宋体"/>
                <w:b w:val="0"/>
                <w:bCs w:val="0"/>
                <w:sz w:val="22"/>
                <w:szCs w:val="22"/>
              </w:rPr>
            </w:pPr>
            <w:r>
              <w:rPr>
                <w:rFonts w:ascii="Times New Roman" w:eastAsia="宋体"/>
                <w:b w:val="0"/>
                <w:bCs w:val="0"/>
                <w:sz w:val="22"/>
                <w:szCs w:val="22"/>
              </w:rPr>
              <w:t>石油类</w:t>
            </w:r>
          </w:p>
        </w:tc>
        <w:tc>
          <w:tcPr>
            <w:tcW w:w="2982" w:type="dxa"/>
            <w:vAlign w:val="center"/>
          </w:tcPr>
          <w:p w14:paraId="427900AA">
            <w:pPr>
              <w:pStyle w:val="59"/>
              <w:adjustRightInd w:val="0"/>
              <w:snapToGrid w:val="0"/>
              <w:spacing w:before="0"/>
              <w:jc w:val="center"/>
              <w:rPr>
                <w:rFonts w:ascii="Times New Roman" w:eastAsia="宋体"/>
                <w:b w:val="0"/>
                <w:bCs w:val="0"/>
                <w:sz w:val="22"/>
                <w:szCs w:val="22"/>
              </w:rPr>
            </w:pPr>
            <w:r>
              <w:rPr>
                <w:rFonts w:hint="eastAsia" w:ascii="Times New Roman" w:eastAsia="宋体"/>
                <w:b w:val="0"/>
                <w:bCs w:val="0"/>
                <w:sz w:val="22"/>
                <w:szCs w:val="22"/>
              </w:rPr>
              <w:t>850</w:t>
            </w:r>
            <w:r>
              <w:rPr>
                <w:rFonts w:ascii="Times New Roman" w:eastAsia="宋体"/>
                <w:b w:val="0"/>
                <w:bCs w:val="0"/>
                <w:sz w:val="22"/>
                <w:szCs w:val="22"/>
              </w:rPr>
              <w:t>000</w:t>
            </w:r>
          </w:p>
        </w:tc>
      </w:tr>
    </w:tbl>
    <w:p w14:paraId="3014F2BA">
      <w:pPr>
        <w:pStyle w:val="1379"/>
        <w:ind w:firstLine="440"/>
      </w:pPr>
    </w:p>
    <w:p w14:paraId="2EB09A7F">
      <w:pPr>
        <w:adjustRightInd w:val="0"/>
        <w:snapToGrid w:val="0"/>
        <w:spacing w:line="480" w:lineRule="exact"/>
        <w:ind w:firstLine="522" w:firstLineChars="200"/>
        <w:outlineLvl w:val="2"/>
        <w:rPr>
          <w:b/>
          <w:sz w:val="26"/>
          <w:szCs w:val="26"/>
        </w:rPr>
      </w:pPr>
      <w:r>
        <w:rPr>
          <w:b/>
          <w:sz w:val="26"/>
          <w:szCs w:val="26"/>
        </w:rPr>
        <w:t>6.4</w:t>
      </w:r>
      <w:r>
        <w:rPr>
          <w:rFonts w:hint="eastAsia"/>
          <w:b/>
          <w:sz w:val="26"/>
          <w:szCs w:val="26"/>
        </w:rPr>
        <w:t>.4 源强确定</w:t>
      </w:r>
    </w:p>
    <w:p w14:paraId="4823B435">
      <w:pPr>
        <w:pStyle w:val="1381"/>
        <w:ind w:firstLine="520"/>
      </w:pPr>
      <w:r>
        <w:rPr>
          <w:rFonts w:hint="eastAsia"/>
        </w:rPr>
        <w:t>本项目井场部分设置2个50m</w:t>
      </w:r>
      <w:r>
        <w:rPr>
          <w:rFonts w:hint="eastAsia"/>
          <w:vertAlign w:val="superscript"/>
        </w:rPr>
        <w:t>3</w:t>
      </w:r>
      <w:r>
        <w:rPr>
          <w:rFonts w:hint="eastAsia"/>
        </w:rPr>
        <w:t>和1个2</w:t>
      </w:r>
      <w:r>
        <w:t>0</w:t>
      </w:r>
      <w:r>
        <w:rPr>
          <w:rFonts w:hint="eastAsia"/>
        </w:rPr>
        <w:t>m</w:t>
      </w:r>
      <w:r>
        <w:rPr>
          <w:rFonts w:hint="eastAsia"/>
          <w:vertAlign w:val="superscript"/>
        </w:rPr>
        <w:t>3</w:t>
      </w:r>
      <w:r>
        <w:rPr>
          <w:rFonts w:hint="eastAsia"/>
        </w:rPr>
        <w:t>地面架空式的气田水罐暂存开采过程中产生的气田水，设置2个</w:t>
      </w:r>
      <w:r>
        <w:t>5</w:t>
      </w:r>
      <w:r>
        <w:rPr>
          <w:rFonts w:hint="eastAsia"/>
        </w:rPr>
        <w:t>0m</w:t>
      </w:r>
      <w:r>
        <w:rPr>
          <w:rFonts w:hint="eastAsia"/>
          <w:vertAlign w:val="superscript"/>
        </w:rPr>
        <w:t>3</w:t>
      </w:r>
      <w:r>
        <w:rPr>
          <w:rFonts w:hint="eastAsia"/>
        </w:rPr>
        <w:t>的油罐储存凝析油。在非正常状况下，由于腐蚀、地基不均匀沉降或者其他外力作用导致罐体发生底部破顺，且罐体下部的防渗层受老化腐蚀影响损坏，罐体中的污染物会泄漏至地表防渗堰中，沿破损的防渗层裂缝进入到地下水中并发生污染。</w:t>
      </w:r>
    </w:p>
    <w:p w14:paraId="1CC52654">
      <w:pPr>
        <w:pStyle w:val="1381"/>
        <w:ind w:firstLine="520"/>
      </w:pPr>
      <w:r>
        <w:rPr>
          <w:rFonts w:hint="eastAsia"/>
          <w:kern w:val="0"/>
          <w:szCs w:val="26"/>
        </w:rPr>
        <w:t>凝析油储罐两个罐体和</w:t>
      </w:r>
      <w:r>
        <w:rPr>
          <w:rFonts w:hint="eastAsia"/>
        </w:rPr>
        <w:t>气田水罐三个罐体</w:t>
      </w:r>
      <w:r>
        <w:rPr>
          <w:rFonts w:hint="eastAsia"/>
          <w:kern w:val="0"/>
          <w:szCs w:val="26"/>
        </w:rPr>
        <w:t>同时发生概率较小，本次评价按照仅考虑一个罐体发生破损泄漏，泄漏孔径按照泄漏孔径10mm计算；</w:t>
      </w:r>
      <w:r>
        <w:rPr>
          <w:rFonts w:hint="eastAsia"/>
        </w:rPr>
        <w:t>本次评价考虑1个气田水罐或1个凝析油储罐发生泄漏，其气田水泄漏出的污水全部会进入到地下水；油品泄漏出的石油类受包气带粉质黏土层截留85%后，其余渗漏至含水层中，本项目应急时间为60分钟。本次源强参考《建设项目环境风险评价技术导则》（HJ169-2018）中液体泄漏的伯努利方程方法计算，气田水和凝析油泄漏速率按下式计算：</w:t>
      </w:r>
    </w:p>
    <w:p w14:paraId="525C2C85">
      <w:pPr>
        <w:spacing w:before="240" w:beforeLines="100" w:after="120" w:afterLines="50"/>
        <w:jc w:val="center"/>
        <w:rPr>
          <w:kern w:val="0"/>
          <w:sz w:val="26"/>
          <w:szCs w:val="26"/>
        </w:rPr>
      </w:pPr>
      <w:r>
        <w:rPr>
          <w:kern w:val="0"/>
          <w:sz w:val="24"/>
        </w:rPr>
        <w:drawing>
          <wp:inline distT="0" distB="0" distL="0" distR="0">
            <wp:extent cx="1725295" cy="431165"/>
            <wp:effectExtent l="0" t="0" r="8255"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1725295" cy="431165"/>
                    </a:xfrm>
                    <a:prstGeom prst="rect">
                      <a:avLst/>
                    </a:prstGeom>
                    <a:noFill/>
                    <a:ln>
                      <a:noFill/>
                    </a:ln>
                  </pic:spPr>
                </pic:pic>
              </a:graphicData>
            </a:graphic>
          </wp:inline>
        </w:drawing>
      </w:r>
    </w:p>
    <w:p w14:paraId="3524D983">
      <w:pPr>
        <w:spacing w:line="460" w:lineRule="exact"/>
        <w:ind w:firstLine="520" w:firstLineChars="200"/>
        <w:rPr>
          <w:kern w:val="0"/>
          <w:sz w:val="26"/>
          <w:szCs w:val="26"/>
        </w:rPr>
      </w:pPr>
      <w:r>
        <w:rPr>
          <w:kern w:val="0"/>
          <w:sz w:val="26"/>
          <w:szCs w:val="26"/>
        </w:rPr>
        <w:t>式中：Q</w:t>
      </w:r>
      <w:r>
        <w:rPr>
          <w:kern w:val="0"/>
          <w:sz w:val="26"/>
          <w:szCs w:val="26"/>
          <w:vertAlign w:val="subscript"/>
        </w:rPr>
        <w:t>L</w:t>
      </w:r>
      <w:r>
        <w:rPr>
          <w:kern w:val="0"/>
          <w:sz w:val="26"/>
          <w:szCs w:val="26"/>
        </w:rPr>
        <w:t>—液体泄漏速度，kg/s；</w:t>
      </w:r>
    </w:p>
    <w:p w14:paraId="61B93F58">
      <w:pPr>
        <w:spacing w:line="460" w:lineRule="exact"/>
        <w:ind w:firstLine="1300" w:firstLineChars="500"/>
        <w:rPr>
          <w:kern w:val="0"/>
          <w:sz w:val="26"/>
          <w:szCs w:val="26"/>
        </w:rPr>
      </w:pPr>
      <w:r>
        <w:rPr>
          <w:kern w:val="0"/>
          <w:sz w:val="26"/>
          <w:szCs w:val="26"/>
        </w:rPr>
        <w:t>C</w:t>
      </w:r>
      <w:r>
        <w:rPr>
          <w:kern w:val="0"/>
          <w:sz w:val="26"/>
          <w:szCs w:val="26"/>
          <w:vertAlign w:val="subscript"/>
        </w:rPr>
        <w:t>d</w:t>
      </w:r>
      <w:r>
        <w:rPr>
          <w:kern w:val="0"/>
          <w:sz w:val="26"/>
          <w:szCs w:val="26"/>
        </w:rPr>
        <w:t>—液体泄漏系数，本次取值0.65；</w:t>
      </w:r>
    </w:p>
    <w:p w14:paraId="1ABFFB1F">
      <w:pPr>
        <w:adjustRightInd w:val="0"/>
        <w:snapToGrid w:val="0"/>
        <w:spacing w:line="480" w:lineRule="exact"/>
        <w:ind w:firstLine="1300" w:firstLineChars="500"/>
        <w:rPr>
          <w:kern w:val="0"/>
          <w:sz w:val="26"/>
          <w:szCs w:val="26"/>
        </w:rPr>
      </w:pPr>
      <w:r>
        <w:rPr>
          <w:kern w:val="0"/>
          <w:sz w:val="26"/>
          <w:szCs w:val="26"/>
        </w:rPr>
        <w:t>A—裂口面积，m</w:t>
      </w:r>
      <w:r>
        <w:rPr>
          <w:kern w:val="0"/>
          <w:sz w:val="26"/>
          <w:szCs w:val="26"/>
          <w:vertAlign w:val="superscript"/>
        </w:rPr>
        <w:t>2</w:t>
      </w:r>
      <w:r>
        <w:rPr>
          <w:kern w:val="0"/>
          <w:sz w:val="26"/>
          <w:szCs w:val="26"/>
        </w:rPr>
        <w:t>，根据</w:t>
      </w:r>
      <w:r>
        <w:rPr>
          <w:kern w:val="0"/>
          <w:sz w:val="26"/>
          <w:szCs w:val="26"/>
          <w:lang w:val="zh-CN"/>
        </w:rPr>
        <w:t>《建设项目环境风险评价技术导则》（HJ169-2018）中附录E确定</w:t>
      </w:r>
      <w:r>
        <w:rPr>
          <w:kern w:val="0"/>
          <w:sz w:val="26"/>
          <w:szCs w:val="26"/>
        </w:rPr>
        <w:t>；</w:t>
      </w:r>
    </w:p>
    <w:p w14:paraId="52119A2B">
      <w:pPr>
        <w:spacing w:line="460" w:lineRule="exact"/>
        <w:ind w:firstLine="1300" w:firstLineChars="500"/>
        <w:rPr>
          <w:kern w:val="0"/>
          <w:sz w:val="26"/>
          <w:szCs w:val="26"/>
        </w:rPr>
      </w:pPr>
      <w:r>
        <w:rPr>
          <w:kern w:val="0"/>
          <w:sz w:val="26"/>
          <w:szCs w:val="26"/>
        </w:rPr>
        <w:t>P—容器内介质压力，Pa；</w:t>
      </w:r>
    </w:p>
    <w:p w14:paraId="08544F86">
      <w:pPr>
        <w:spacing w:line="460" w:lineRule="exact"/>
        <w:ind w:firstLine="1300" w:firstLineChars="500"/>
        <w:rPr>
          <w:kern w:val="0"/>
          <w:sz w:val="26"/>
          <w:szCs w:val="26"/>
        </w:rPr>
      </w:pPr>
      <w:r>
        <w:rPr>
          <w:kern w:val="0"/>
          <w:sz w:val="26"/>
          <w:szCs w:val="26"/>
        </w:rPr>
        <w:t>P</w:t>
      </w:r>
      <w:r>
        <w:rPr>
          <w:kern w:val="0"/>
          <w:sz w:val="26"/>
          <w:szCs w:val="26"/>
          <w:vertAlign w:val="subscript"/>
        </w:rPr>
        <w:t>0</w:t>
      </w:r>
      <w:r>
        <w:rPr>
          <w:kern w:val="0"/>
          <w:sz w:val="26"/>
          <w:szCs w:val="26"/>
        </w:rPr>
        <w:t>—环境压力，Pa；</w:t>
      </w:r>
    </w:p>
    <w:p w14:paraId="257B6A60">
      <w:pPr>
        <w:spacing w:line="460" w:lineRule="exact"/>
        <w:ind w:firstLine="1300" w:firstLineChars="500"/>
        <w:rPr>
          <w:kern w:val="0"/>
          <w:sz w:val="26"/>
          <w:szCs w:val="26"/>
        </w:rPr>
      </w:pPr>
      <w:r>
        <w:rPr>
          <w:rFonts w:hint="eastAsia" w:ascii="微软雅黑" w:hAnsi="微软雅黑" w:eastAsia="微软雅黑" w:cs="微软雅黑"/>
          <w:kern w:val="0"/>
          <w:sz w:val="26"/>
          <w:szCs w:val="26"/>
        </w:rPr>
        <w:t>ρ</w:t>
      </w:r>
      <w:r>
        <w:rPr>
          <w:rFonts w:hint="eastAsia"/>
          <w:kern w:val="0"/>
          <w:sz w:val="26"/>
          <w:szCs w:val="26"/>
        </w:rPr>
        <w:t>-泄漏液体的密度，kg/m</w:t>
      </w:r>
      <w:r>
        <w:rPr>
          <w:rFonts w:hint="eastAsia"/>
          <w:kern w:val="0"/>
          <w:sz w:val="26"/>
          <w:szCs w:val="26"/>
          <w:vertAlign w:val="superscript"/>
        </w:rPr>
        <w:t>3</w:t>
      </w:r>
      <w:r>
        <w:rPr>
          <w:rFonts w:hint="eastAsia"/>
          <w:kern w:val="0"/>
          <w:sz w:val="26"/>
          <w:szCs w:val="26"/>
        </w:rPr>
        <w:t>；</w:t>
      </w:r>
    </w:p>
    <w:p w14:paraId="0AAC9C2D">
      <w:pPr>
        <w:spacing w:line="460" w:lineRule="exact"/>
        <w:ind w:firstLine="1300" w:firstLineChars="500"/>
        <w:rPr>
          <w:kern w:val="0"/>
          <w:sz w:val="26"/>
          <w:szCs w:val="26"/>
        </w:rPr>
      </w:pPr>
      <w:r>
        <w:rPr>
          <w:kern w:val="0"/>
          <w:sz w:val="26"/>
          <w:szCs w:val="26"/>
        </w:rPr>
        <w:t>g—重力加速度，m/s</w:t>
      </w:r>
      <w:r>
        <w:rPr>
          <w:kern w:val="0"/>
          <w:sz w:val="26"/>
          <w:szCs w:val="26"/>
          <w:vertAlign w:val="superscript"/>
        </w:rPr>
        <w:t>2</w:t>
      </w:r>
      <w:r>
        <w:rPr>
          <w:kern w:val="0"/>
          <w:sz w:val="26"/>
          <w:szCs w:val="26"/>
        </w:rPr>
        <w:t>；</w:t>
      </w:r>
    </w:p>
    <w:p w14:paraId="1AF01FC6">
      <w:pPr>
        <w:spacing w:line="460" w:lineRule="exact"/>
        <w:ind w:firstLine="1300" w:firstLineChars="500"/>
        <w:rPr>
          <w:kern w:val="0"/>
          <w:sz w:val="26"/>
          <w:szCs w:val="26"/>
        </w:rPr>
      </w:pPr>
      <w:r>
        <w:rPr>
          <w:kern w:val="0"/>
          <w:sz w:val="26"/>
          <w:szCs w:val="26"/>
        </w:rPr>
        <w:t>h—裂口之上液位高度，m。</w:t>
      </w:r>
    </w:p>
    <w:p w14:paraId="08FFB5F7">
      <w:pPr>
        <w:adjustRightInd w:val="0"/>
        <w:snapToGrid w:val="0"/>
        <w:spacing w:line="480" w:lineRule="exact"/>
        <w:ind w:firstLine="520" w:firstLineChars="200"/>
        <w:rPr>
          <w:kern w:val="0"/>
          <w:sz w:val="26"/>
          <w:szCs w:val="26"/>
        </w:rPr>
      </w:pPr>
      <w:r>
        <w:rPr>
          <w:rFonts w:hint="eastAsia"/>
          <w:kern w:val="0"/>
          <w:sz w:val="26"/>
          <w:szCs w:val="26"/>
        </w:rPr>
        <w:t>计算可知，站场气田水和凝析油最大泄漏量见</w:t>
      </w:r>
      <w:r>
        <w:rPr>
          <w:rFonts w:hint="eastAsia"/>
          <w:kern w:val="0"/>
          <w:sz w:val="26"/>
          <w:szCs w:val="26"/>
          <w:u w:val="single"/>
        </w:rPr>
        <w:t>表6.4-2</w:t>
      </w:r>
      <w:r>
        <w:rPr>
          <w:rFonts w:hint="eastAsia"/>
          <w:kern w:val="0"/>
          <w:sz w:val="26"/>
          <w:szCs w:val="26"/>
        </w:rPr>
        <w:t>。依据本项目所在地区巴中市同类型项目试采期污水的水质成分情况，非正常状况下试采期污染物预测指标及浓度见</w:t>
      </w:r>
      <w:r>
        <w:rPr>
          <w:rFonts w:hint="eastAsia"/>
          <w:kern w:val="0"/>
          <w:sz w:val="26"/>
          <w:szCs w:val="26"/>
          <w:u w:val="single"/>
        </w:rPr>
        <w:t>表6.4-3</w:t>
      </w:r>
      <w:r>
        <w:rPr>
          <w:rFonts w:hint="eastAsia"/>
          <w:kern w:val="0"/>
          <w:sz w:val="26"/>
          <w:szCs w:val="26"/>
        </w:rPr>
        <w:t>。</w:t>
      </w:r>
    </w:p>
    <w:p w14:paraId="54F47FB3">
      <w:pPr>
        <w:jc w:val="center"/>
        <w:rPr>
          <w:kern w:val="0"/>
          <w:sz w:val="24"/>
        </w:rPr>
      </w:pPr>
    </w:p>
    <w:p w14:paraId="42D3CDFE">
      <w:pPr>
        <w:jc w:val="center"/>
        <w:rPr>
          <w:kern w:val="0"/>
          <w:sz w:val="26"/>
          <w:szCs w:val="26"/>
        </w:rPr>
      </w:pPr>
      <w:r>
        <w:rPr>
          <w:kern w:val="0"/>
          <w:sz w:val="26"/>
          <w:szCs w:val="26"/>
        </w:rPr>
        <w:t>表</w:t>
      </w:r>
      <w:r>
        <w:rPr>
          <w:rFonts w:hint="eastAsia"/>
          <w:kern w:val="0"/>
          <w:sz w:val="26"/>
          <w:szCs w:val="26"/>
        </w:rPr>
        <w:t>6</w:t>
      </w:r>
      <w:r>
        <w:rPr>
          <w:kern w:val="0"/>
          <w:sz w:val="26"/>
          <w:szCs w:val="26"/>
        </w:rPr>
        <w:t xml:space="preserve">.4-2  </w:t>
      </w:r>
      <w:r>
        <w:rPr>
          <w:rFonts w:hint="eastAsia"/>
          <w:kern w:val="0"/>
          <w:sz w:val="26"/>
          <w:szCs w:val="26"/>
        </w:rPr>
        <w:t>试采期</w:t>
      </w:r>
      <w:r>
        <w:rPr>
          <w:rFonts w:hint="eastAsia"/>
          <w:kern w:val="0"/>
          <w:sz w:val="26"/>
          <w:szCs w:val="26"/>
          <w:lang w:val="zh-CN"/>
        </w:rPr>
        <w:t>地下水</w:t>
      </w:r>
      <w:r>
        <w:rPr>
          <w:kern w:val="0"/>
          <w:sz w:val="26"/>
          <w:szCs w:val="26"/>
        </w:rPr>
        <w:t>泄漏量计算结果表</w:t>
      </w:r>
    </w:p>
    <w:tbl>
      <w:tblPr>
        <w:tblStyle w:val="8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9"/>
        <w:gridCol w:w="2993"/>
        <w:gridCol w:w="3189"/>
      </w:tblGrid>
      <w:tr w14:paraId="7CEE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43" w:type="pct"/>
            <w:noWrap/>
            <w:vAlign w:val="center"/>
          </w:tcPr>
          <w:p w14:paraId="52926C8D">
            <w:pPr>
              <w:widowControl/>
              <w:jc w:val="center"/>
              <w:textAlignment w:val="center"/>
              <w:rPr>
                <w:kern w:val="0"/>
                <w:sz w:val="22"/>
                <w:szCs w:val="22"/>
                <w:lang w:bidi="ar"/>
              </w:rPr>
            </w:pPr>
            <w:r>
              <w:rPr>
                <w:rFonts w:hint="eastAsia"/>
                <w:kern w:val="0"/>
                <w:sz w:val="22"/>
                <w:szCs w:val="22"/>
                <w:lang w:bidi="ar"/>
              </w:rPr>
              <w:t>泄漏位置</w:t>
            </w:r>
          </w:p>
        </w:tc>
        <w:tc>
          <w:tcPr>
            <w:tcW w:w="1674" w:type="pct"/>
            <w:vAlign w:val="center"/>
          </w:tcPr>
          <w:p w14:paraId="565B50E9">
            <w:pPr>
              <w:widowControl/>
              <w:jc w:val="center"/>
              <w:textAlignment w:val="center"/>
              <w:rPr>
                <w:kern w:val="0"/>
                <w:sz w:val="22"/>
                <w:szCs w:val="22"/>
                <w:lang w:bidi="ar"/>
              </w:rPr>
            </w:pPr>
            <w:r>
              <w:rPr>
                <w:rFonts w:hint="eastAsia"/>
                <w:kern w:val="0"/>
                <w:sz w:val="22"/>
                <w:szCs w:val="22"/>
                <w:lang w:bidi="ar"/>
              </w:rPr>
              <w:t>气田水储罐</w:t>
            </w:r>
          </w:p>
        </w:tc>
        <w:tc>
          <w:tcPr>
            <w:tcW w:w="1783" w:type="pct"/>
            <w:vAlign w:val="center"/>
          </w:tcPr>
          <w:p w14:paraId="083BE5DF">
            <w:pPr>
              <w:widowControl/>
              <w:jc w:val="center"/>
              <w:textAlignment w:val="center"/>
              <w:rPr>
                <w:kern w:val="0"/>
                <w:sz w:val="22"/>
                <w:szCs w:val="22"/>
                <w:lang w:bidi="ar"/>
              </w:rPr>
            </w:pPr>
            <w:r>
              <w:rPr>
                <w:rFonts w:hint="eastAsia"/>
                <w:kern w:val="0"/>
                <w:sz w:val="22"/>
                <w:szCs w:val="22"/>
                <w:lang w:bidi="ar"/>
              </w:rPr>
              <w:t>凝析油储罐</w:t>
            </w:r>
          </w:p>
        </w:tc>
      </w:tr>
      <w:tr w14:paraId="6005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43" w:type="pct"/>
            <w:vAlign w:val="center"/>
          </w:tcPr>
          <w:p w14:paraId="5D01E4DE">
            <w:pPr>
              <w:widowControl/>
              <w:jc w:val="center"/>
              <w:textAlignment w:val="center"/>
              <w:rPr>
                <w:kern w:val="0"/>
                <w:sz w:val="22"/>
                <w:szCs w:val="22"/>
                <w:lang w:bidi="ar"/>
              </w:rPr>
            </w:pPr>
            <w:r>
              <w:rPr>
                <w:kern w:val="0"/>
                <w:sz w:val="22"/>
                <w:szCs w:val="22"/>
                <w:lang w:bidi="ar"/>
              </w:rPr>
              <w:t>环境压力P</w:t>
            </w:r>
            <w:r>
              <w:rPr>
                <w:kern w:val="0"/>
                <w:sz w:val="22"/>
                <w:szCs w:val="22"/>
                <w:vertAlign w:val="subscript"/>
                <w:lang w:bidi="ar"/>
              </w:rPr>
              <w:t>0</w:t>
            </w:r>
            <w:r>
              <w:rPr>
                <w:kern w:val="0"/>
                <w:sz w:val="22"/>
                <w:szCs w:val="22"/>
                <w:lang w:bidi="ar"/>
              </w:rPr>
              <w:t>（Pa）</w:t>
            </w:r>
          </w:p>
        </w:tc>
        <w:tc>
          <w:tcPr>
            <w:tcW w:w="1674" w:type="pct"/>
            <w:vAlign w:val="center"/>
          </w:tcPr>
          <w:p w14:paraId="2CB5F124">
            <w:pPr>
              <w:widowControl/>
              <w:jc w:val="center"/>
              <w:textAlignment w:val="center"/>
              <w:rPr>
                <w:kern w:val="0"/>
                <w:sz w:val="22"/>
                <w:szCs w:val="22"/>
                <w:lang w:bidi="ar"/>
              </w:rPr>
            </w:pPr>
            <w:r>
              <w:rPr>
                <w:kern w:val="0"/>
                <w:sz w:val="22"/>
                <w:szCs w:val="22"/>
                <w:lang w:bidi="ar"/>
              </w:rPr>
              <w:t>101325</w:t>
            </w:r>
          </w:p>
        </w:tc>
        <w:tc>
          <w:tcPr>
            <w:tcW w:w="1783" w:type="pct"/>
            <w:vAlign w:val="center"/>
          </w:tcPr>
          <w:p w14:paraId="5AF0B969">
            <w:pPr>
              <w:widowControl/>
              <w:jc w:val="center"/>
              <w:textAlignment w:val="center"/>
              <w:rPr>
                <w:kern w:val="0"/>
                <w:sz w:val="22"/>
                <w:szCs w:val="22"/>
                <w:lang w:bidi="ar"/>
              </w:rPr>
            </w:pPr>
            <w:r>
              <w:rPr>
                <w:rFonts w:hint="eastAsia"/>
                <w:kern w:val="0"/>
                <w:sz w:val="22"/>
                <w:szCs w:val="22"/>
                <w:lang w:bidi="ar"/>
              </w:rPr>
              <w:t>101325</w:t>
            </w:r>
          </w:p>
        </w:tc>
      </w:tr>
      <w:tr w14:paraId="4E18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43" w:type="pct"/>
            <w:vAlign w:val="center"/>
          </w:tcPr>
          <w:p w14:paraId="58D5FC64">
            <w:pPr>
              <w:widowControl/>
              <w:jc w:val="center"/>
              <w:textAlignment w:val="center"/>
              <w:rPr>
                <w:kern w:val="0"/>
                <w:sz w:val="22"/>
                <w:szCs w:val="22"/>
                <w:lang w:bidi="ar"/>
              </w:rPr>
            </w:pPr>
            <w:r>
              <w:rPr>
                <w:kern w:val="0"/>
                <w:sz w:val="22"/>
                <w:szCs w:val="22"/>
                <w:lang w:bidi="ar"/>
              </w:rPr>
              <w:t>容器内介质压力P(Pa)</w:t>
            </w:r>
          </w:p>
        </w:tc>
        <w:tc>
          <w:tcPr>
            <w:tcW w:w="1674" w:type="pct"/>
            <w:vAlign w:val="center"/>
          </w:tcPr>
          <w:p w14:paraId="24406D1C">
            <w:pPr>
              <w:widowControl/>
              <w:jc w:val="center"/>
              <w:textAlignment w:val="center"/>
              <w:rPr>
                <w:kern w:val="0"/>
                <w:sz w:val="22"/>
                <w:szCs w:val="22"/>
                <w:lang w:bidi="ar"/>
              </w:rPr>
            </w:pPr>
            <w:r>
              <w:rPr>
                <w:rFonts w:hint="eastAsia"/>
                <w:kern w:val="0"/>
                <w:sz w:val="22"/>
                <w:szCs w:val="22"/>
                <w:lang w:bidi="ar"/>
              </w:rPr>
              <w:t>1000000</w:t>
            </w:r>
          </w:p>
        </w:tc>
        <w:tc>
          <w:tcPr>
            <w:tcW w:w="1783" w:type="pct"/>
            <w:vAlign w:val="center"/>
          </w:tcPr>
          <w:p w14:paraId="56A68A69">
            <w:pPr>
              <w:widowControl/>
              <w:jc w:val="center"/>
              <w:textAlignment w:val="center"/>
              <w:rPr>
                <w:kern w:val="0"/>
                <w:sz w:val="22"/>
                <w:szCs w:val="22"/>
                <w:lang w:bidi="ar"/>
              </w:rPr>
            </w:pPr>
            <w:r>
              <w:rPr>
                <w:rFonts w:hint="eastAsia"/>
                <w:kern w:val="0"/>
                <w:sz w:val="22"/>
                <w:szCs w:val="22"/>
                <w:lang w:bidi="ar"/>
              </w:rPr>
              <w:t>1000000</w:t>
            </w:r>
          </w:p>
        </w:tc>
      </w:tr>
      <w:tr w14:paraId="7C0C2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43" w:type="pct"/>
            <w:vAlign w:val="center"/>
          </w:tcPr>
          <w:p w14:paraId="27177C0C">
            <w:pPr>
              <w:widowControl/>
              <w:jc w:val="center"/>
              <w:textAlignment w:val="center"/>
              <w:rPr>
                <w:kern w:val="0"/>
                <w:sz w:val="22"/>
                <w:szCs w:val="22"/>
                <w:lang w:bidi="ar"/>
              </w:rPr>
            </w:pPr>
            <w:r>
              <w:rPr>
                <w:kern w:val="0"/>
                <w:sz w:val="22"/>
                <w:szCs w:val="22"/>
                <w:lang w:bidi="ar"/>
              </w:rPr>
              <w:t>液体密度ρ（kg/m</w:t>
            </w:r>
            <w:r>
              <w:rPr>
                <w:sz w:val="22"/>
                <w:szCs w:val="22"/>
                <w:vertAlign w:val="superscript"/>
                <w:lang w:bidi="ar"/>
              </w:rPr>
              <w:t>3</w:t>
            </w:r>
            <w:r>
              <w:rPr>
                <w:kern w:val="0"/>
                <w:sz w:val="22"/>
                <w:szCs w:val="22"/>
                <w:lang w:bidi="ar"/>
              </w:rPr>
              <w:t>）</w:t>
            </w:r>
          </w:p>
        </w:tc>
        <w:tc>
          <w:tcPr>
            <w:tcW w:w="1674" w:type="pct"/>
            <w:vAlign w:val="center"/>
          </w:tcPr>
          <w:p w14:paraId="4AFE94AD">
            <w:pPr>
              <w:widowControl/>
              <w:jc w:val="center"/>
              <w:textAlignment w:val="center"/>
              <w:rPr>
                <w:kern w:val="0"/>
                <w:sz w:val="22"/>
                <w:szCs w:val="22"/>
                <w:lang w:bidi="ar"/>
              </w:rPr>
            </w:pPr>
            <w:r>
              <w:rPr>
                <w:kern w:val="0"/>
                <w:sz w:val="22"/>
                <w:szCs w:val="22"/>
                <w:lang w:bidi="ar"/>
              </w:rPr>
              <w:t>1000</w:t>
            </w:r>
          </w:p>
        </w:tc>
        <w:tc>
          <w:tcPr>
            <w:tcW w:w="1783" w:type="pct"/>
            <w:vAlign w:val="center"/>
          </w:tcPr>
          <w:p w14:paraId="239A9328">
            <w:pPr>
              <w:widowControl/>
              <w:jc w:val="center"/>
              <w:textAlignment w:val="center"/>
              <w:rPr>
                <w:kern w:val="0"/>
                <w:sz w:val="22"/>
                <w:szCs w:val="22"/>
                <w:lang w:bidi="ar"/>
              </w:rPr>
            </w:pPr>
            <w:r>
              <w:rPr>
                <w:rFonts w:hint="eastAsia"/>
                <w:kern w:val="0"/>
                <w:sz w:val="22"/>
                <w:szCs w:val="22"/>
                <w:lang w:bidi="ar"/>
              </w:rPr>
              <w:t>850</w:t>
            </w:r>
          </w:p>
        </w:tc>
      </w:tr>
      <w:tr w14:paraId="169A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43" w:type="pct"/>
            <w:vAlign w:val="center"/>
          </w:tcPr>
          <w:p w14:paraId="78F41EB4">
            <w:pPr>
              <w:widowControl/>
              <w:jc w:val="center"/>
              <w:textAlignment w:val="center"/>
              <w:rPr>
                <w:kern w:val="0"/>
                <w:sz w:val="22"/>
                <w:szCs w:val="22"/>
                <w:lang w:bidi="ar"/>
              </w:rPr>
            </w:pPr>
            <w:r>
              <w:rPr>
                <w:kern w:val="0"/>
                <w:sz w:val="22"/>
                <w:szCs w:val="22"/>
                <w:lang w:bidi="ar"/>
              </w:rPr>
              <w:t>裂口面积A（m</w:t>
            </w:r>
            <w:r>
              <w:rPr>
                <w:sz w:val="22"/>
                <w:szCs w:val="22"/>
                <w:vertAlign w:val="superscript"/>
                <w:lang w:bidi="ar"/>
              </w:rPr>
              <w:t>2</w:t>
            </w:r>
            <w:r>
              <w:rPr>
                <w:kern w:val="0"/>
                <w:sz w:val="22"/>
                <w:szCs w:val="22"/>
                <w:lang w:bidi="ar"/>
              </w:rPr>
              <w:t>）</w:t>
            </w:r>
          </w:p>
        </w:tc>
        <w:tc>
          <w:tcPr>
            <w:tcW w:w="1674" w:type="pct"/>
            <w:vAlign w:val="center"/>
          </w:tcPr>
          <w:p w14:paraId="484AD81A">
            <w:pPr>
              <w:widowControl/>
              <w:jc w:val="center"/>
              <w:textAlignment w:val="center"/>
              <w:rPr>
                <w:kern w:val="0"/>
                <w:sz w:val="22"/>
                <w:szCs w:val="22"/>
                <w:lang w:bidi="ar"/>
              </w:rPr>
            </w:pPr>
            <w:r>
              <w:rPr>
                <w:rFonts w:hint="eastAsia"/>
                <w:kern w:val="0"/>
                <w:sz w:val="22"/>
                <w:szCs w:val="22"/>
                <w:lang w:bidi="ar"/>
              </w:rPr>
              <w:t>0.0000785</w:t>
            </w:r>
          </w:p>
        </w:tc>
        <w:tc>
          <w:tcPr>
            <w:tcW w:w="1783" w:type="pct"/>
            <w:vAlign w:val="center"/>
          </w:tcPr>
          <w:p w14:paraId="7A5128E5">
            <w:pPr>
              <w:widowControl/>
              <w:jc w:val="center"/>
              <w:textAlignment w:val="center"/>
              <w:rPr>
                <w:kern w:val="0"/>
                <w:sz w:val="22"/>
                <w:szCs w:val="22"/>
                <w:lang w:bidi="ar"/>
              </w:rPr>
            </w:pPr>
            <w:r>
              <w:rPr>
                <w:rFonts w:hint="eastAsia"/>
                <w:kern w:val="0"/>
                <w:sz w:val="22"/>
                <w:szCs w:val="22"/>
                <w:lang w:bidi="ar"/>
              </w:rPr>
              <w:t>0.0000785</w:t>
            </w:r>
          </w:p>
        </w:tc>
      </w:tr>
      <w:tr w14:paraId="15AA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543" w:type="pct"/>
            <w:vAlign w:val="center"/>
          </w:tcPr>
          <w:p w14:paraId="4D116F55">
            <w:pPr>
              <w:widowControl/>
              <w:jc w:val="center"/>
              <w:textAlignment w:val="center"/>
              <w:rPr>
                <w:kern w:val="0"/>
                <w:sz w:val="22"/>
                <w:szCs w:val="22"/>
                <w:lang w:bidi="ar"/>
              </w:rPr>
            </w:pPr>
            <w:r>
              <w:rPr>
                <w:kern w:val="0"/>
                <w:sz w:val="22"/>
                <w:szCs w:val="22"/>
                <w:lang w:bidi="ar"/>
              </w:rPr>
              <w:t>裂口之上液位高度（m）</w:t>
            </w:r>
          </w:p>
        </w:tc>
        <w:tc>
          <w:tcPr>
            <w:tcW w:w="1674" w:type="pct"/>
            <w:vAlign w:val="center"/>
          </w:tcPr>
          <w:p w14:paraId="30E8F0D6">
            <w:pPr>
              <w:widowControl/>
              <w:jc w:val="center"/>
              <w:textAlignment w:val="center"/>
              <w:rPr>
                <w:kern w:val="0"/>
                <w:sz w:val="22"/>
                <w:szCs w:val="22"/>
                <w:lang w:bidi="ar"/>
              </w:rPr>
            </w:pPr>
            <w:r>
              <w:rPr>
                <w:rFonts w:hint="eastAsia"/>
                <w:kern w:val="0"/>
                <w:sz w:val="22"/>
                <w:szCs w:val="22"/>
                <w:lang w:bidi="ar"/>
              </w:rPr>
              <w:t>5</w:t>
            </w:r>
          </w:p>
        </w:tc>
        <w:tc>
          <w:tcPr>
            <w:tcW w:w="1783" w:type="pct"/>
            <w:vAlign w:val="center"/>
          </w:tcPr>
          <w:p w14:paraId="736C1D3A">
            <w:pPr>
              <w:widowControl/>
              <w:jc w:val="center"/>
              <w:textAlignment w:val="center"/>
              <w:rPr>
                <w:kern w:val="0"/>
                <w:sz w:val="22"/>
                <w:szCs w:val="22"/>
                <w:lang w:bidi="ar"/>
              </w:rPr>
            </w:pPr>
            <w:r>
              <w:rPr>
                <w:rFonts w:hint="eastAsia"/>
                <w:kern w:val="0"/>
                <w:sz w:val="22"/>
                <w:szCs w:val="22"/>
                <w:lang w:bidi="ar"/>
              </w:rPr>
              <w:t>5</w:t>
            </w:r>
          </w:p>
        </w:tc>
      </w:tr>
      <w:tr w14:paraId="69C2A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43" w:type="pct"/>
            <w:vAlign w:val="center"/>
          </w:tcPr>
          <w:p w14:paraId="3D4B4F75">
            <w:pPr>
              <w:widowControl/>
              <w:jc w:val="center"/>
              <w:textAlignment w:val="center"/>
              <w:rPr>
                <w:kern w:val="0"/>
                <w:sz w:val="22"/>
                <w:szCs w:val="22"/>
                <w:lang w:bidi="ar"/>
              </w:rPr>
            </w:pPr>
            <w:r>
              <w:rPr>
                <w:kern w:val="0"/>
                <w:sz w:val="22"/>
                <w:szCs w:val="22"/>
                <w:lang w:bidi="ar"/>
              </w:rPr>
              <w:t>液体泄漏系数Cd</w:t>
            </w:r>
          </w:p>
        </w:tc>
        <w:tc>
          <w:tcPr>
            <w:tcW w:w="1674" w:type="pct"/>
            <w:vAlign w:val="center"/>
          </w:tcPr>
          <w:p w14:paraId="0D3411F9">
            <w:pPr>
              <w:widowControl/>
              <w:jc w:val="center"/>
              <w:textAlignment w:val="center"/>
              <w:rPr>
                <w:kern w:val="0"/>
                <w:sz w:val="22"/>
                <w:szCs w:val="22"/>
                <w:lang w:bidi="ar"/>
              </w:rPr>
            </w:pPr>
            <w:r>
              <w:rPr>
                <w:kern w:val="0"/>
                <w:sz w:val="22"/>
                <w:szCs w:val="22"/>
                <w:lang w:bidi="ar"/>
              </w:rPr>
              <w:t>0.65</w:t>
            </w:r>
          </w:p>
        </w:tc>
        <w:tc>
          <w:tcPr>
            <w:tcW w:w="1783" w:type="pct"/>
            <w:vAlign w:val="center"/>
          </w:tcPr>
          <w:p w14:paraId="21A24876">
            <w:pPr>
              <w:widowControl/>
              <w:jc w:val="center"/>
              <w:textAlignment w:val="center"/>
              <w:rPr>
                <w:kern w:val="0"/>
                <w:sz w:val="22"/>
                <w:szCs w:val="22"/>
                <w:lang w:bidi="ar"/>
              </w:rPr>
            </w:pPr>
            <w:r>
              <w:rPr>
                <w:rFonts w:hint="eastAsia"/>
                <w:kern w:val="0"/>
                <w:sz w:val="22"/>
                <w:szCs w:val="22"/>
                <w:lang w:bidi="ar"/>
              </w:rPr>
              <w:t>0.65</w:t>
            </w:r>
          </w:p>
        </w:tc>
      </w:tr>
      <w:tr w14:paraId="5B58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43" w:type="pct"/>
            <w:vAlign w:val="center"/>
          </w:tcPr>
          <w:p w14:paraId="6BFC4D31">
            <w:pPr>
              <w:widowControl/>
              <w:jc w:val="center"/>
              <w:textAlignment w:val="center"/>
              <w:rPr>
                <w:kern w:val="0"/>
                <w:sz w:val="22"/>
                <w:szCs w:val="22"/>
                <w:lang w:bidi="ar"/>
              </w:rPr>
            </w:pPr>
            <w:r>
              <w:rPr>
                <w:kern w:val="0"/>
                <w:sz w:val="22"/>
                <w:szCs w:val="22"/>
                <w:lang w:bidi="ar"/>
              </w:rPr>
              <w:t>重力加速度m/s</w:t>
            </w:r>
            <w:r>
              <w:rPr>
                <w:sz w:val="22"/>
                <w:szCs w:val="22"/>
                <w:vertAlign w:val="superscript"/>
                <w:lang w:bidi="ar"/>
              </w:rPr>
              <w:t>2</w:t>
            </w:r>
          </w:p>
        </w:tc>
        <w:tc>
          <w:tcPr>
            <w:tcW w:w="1674" w:type="pct"/>
            <w:vAlign w:val="center"/>
          </w:tcPr>
          <w:p w14:paraId="492A47F0">
            <w:pPr>
              <w:widowControl/>
              <w:jc w:val="center"/>
              <w:textAlignment w:val="center"/>
              <w:rPr>
                <w:kern w:val="0"/>
                <w:sz w:val="22"/>
                <w:szCs w:val="22"/>
                <w:lang w:bidi="ar"/>
              </w:rPr>
            </w:pPr>
            <w:r>
              <w:rPr>
                <w:kern w:val="0"/>
                <w:sz w:val="22"/>
                <w:szCs w:val="22"/>
                <w:lang w:bidi="ar"/>
              </w:rPr>
              <w:t>9.81</w:t>
            </w:r>
          </w:p>
        </w:tc>
        <w:tc>
          <w:tcPr>
            <w:tcW w:w="1783" w:type="pct"/>
            <w:vAlign w:val="center"/>
          </w:tcPr>
          <w:p w14:paraId="761694D5">
            <w:pPr>
              <w:widowControl/>
              <w:jc w:val="center"/>
              <w:textAlignment w:val="center"/>
              <w:rPr>
                <w:kern w:val="0"/>
                <w:sz w:val="22"/>
                <w:szCs w:val="22"/>
                <w:lang w:bidi="ar"/>
              </w:rPr>
            </w:pPr>
            <w:r>
              <w:rPr>
                <w:rFonts w:hint="eastAsia"/>
                <w:kern w:val="0"/>
                <w:sz w:val="22"/>
                <w:szCs w:val="22"/>
                <w:lang w:bidi="ar"/>
              </w:rPr>
              <w:t>9.81</w:t>
            </w:r>
          </w:p>
        </w:tc>
      </w:tr>
      <w:tr w14:paraId="7EE6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43" w:type="pct"/>
            <w:vAlign w:val="center"/>
          </w:tcPr>
          <w:p w14:paraId="70978403">
            <w:pPr>
              <w:widowControl/>
              <w:jc w:val="center"/>
              <w:textAlignment w:val="center"/>
              <w:rPr>
                <w:kern w:val="0"/>
                <w:sz w:val="22"/>
                <w:szCs w:val="22"/>
                <w:lang w:bidi="ar"/>
              </w:rPr>
            </w:pPr>
            <w:r>
              <w:rPr>
                <w:kern w:val="0"/>
                <w:sz w:val="22"/>
                <w:szCs w:val="22"/>
                <w:lang w:bidi="ar"/>
              </w:rPr>
              <w:t>液体泄漏速度Q</w:t>
            </w:r>
            <w:r>
              <w:rPr>
                <w:kern w:val="0"/>
                <w:sz w:val="22"/>
                <w:szCs w:val="22"/>
                <w:vertAlign w:val="subscript"/>
                <w:lang w:bidi="ar"/>
              </w:rPr>
              <w:t>L</w:t>
            </w:r>
            <w:r>
              <w:rPr>
                <w:kern w:val="0"/>
                <w:sz w:val="22"/>
                <w:szCs w:val="22"/>
                <w:lang w:bidi="ar"/>
              </w:rPr>
              <w:t>（kg/s）</w:t>
            </w:r>
          </w:p>
        </w:tc>
        <w:tc>
          <w:tcPr>
            <w:tcW w:w="1674" w:type="pct"/>
            <w:vAlign w:val="center"/>
          </w:tcPr>
          <w:p w14:paraId="7FB06C02">
            <w:pPr>
              <w:widowControl/>
              <w:jc w:val="center"/>
              <w:textAlignment w:val="center"/>
              <w:rPr>
                <w:kern w:val="0"/>
                <w:sz w:val="22"/>
                <w:szCs w:val="22"/>
                <w:lang w:bidi="ar"/>
              </w:rPr>
            </w:pPr>
            <w:r>
              <w:rPr>
                <w:rFonts w:hint="eastAsia"/>
                <w:kern w:val="0"/>
                <w:sz w:val="22"/>
                <w:szCs w:val="22"/>
                <w:lang w:bidi="ar"/>
              </w:rPr>
              <w:t>2.22</w:t>
            </w:r>
          </w:p>
        </w:tc>
        <w:tc>
          <w:tcPr>
            <w:tcW w:w="1783" w:type="pct"/>
            <w:vAlign w:val="center"/>
          </w:tcPr>
          <w:p w14:paraId="2E2C91EC">
            <w:pPr>
              <w:widowControl/>
              <w:jc w:val="center"/>
              <w:textAlignment w:val="center"/>
              <w:rPr>
                <w:kern w:val="0"/>
                <w:sz w:val="22"/>
                <w:szCs w:val="22"/>
                <w:lang w:bidi="ar"/>
              </w:rPr>
            </w:pPr>
            <w:r>
              <w:rPr>
                <w:rFonts w:hint="eastAsia"/>
                <w:kern w:val="0"/>
                <w:sz w:val="22"/>
                <w:szCs w:val="22"/>
                <w:lang w:bidi="ar"/>
              </w:rPr>
              <w:t>2.04</w:t>
            </w:r>
          </w:p>
        </w:tc>
      </w:tr>
      <w:tr w14:paraId="2409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43" w:type="pct"/>
            <w:vAlign w:val="center"/>
          </w:tcPr>
          <w:p w14:paraId="787A487D">
            <w:pPr>
              <w:widowControl/>
              <w:jc w:val="center"/>
              <w:textAlignment w:val="center"/>
              <w:rPr>
                <w:kern w:val="0"/>
                <w:sz w:val="22"/>
                <w:szCs w:val="22"/>
                <w:lang w:bidi="ar"/>
              </w:rPr>
            </w:pPr>
            <w:r>
              <w:rPr>
                <w:kern w:val="0"/>
                <w:sz w:val="22"/>
                <w:szCs w:val="22"/>
                <w:lang w:bidi="ar"/>
              </w:rPr>
              <w:t>液体泄漏体积（m</w:t>
            </w:r>
            <w:r>
              <w:rPr>
                <w:sz w:val="22"/>
                <w:szCs w:val="22"/>
                <w:vertAlign w:val="superscript"/>
                <w:lang w:bidi="ar"/>
              </w:rPr>
              <w:t>3</w:t>
            </w:r>
            <w:r>
              <w:rPr>
                <w:kern w:val="0"/>
                <w:sz w:val="22"/>
                <w:szCs w:val="22"/>
                <w:lang w:bidi="ar"/>
              </w:rPr>
              <w:t>）</w:t>
            </w:r>
          </w:p>
        </w:tc>
        <w:tc>
          <w:tcPr>
            <w:tcW w:w="1674" w:type="pct"/>
            <w:noWrap/>
            <w:vAlign w:val="center"/>
          </w:tcPr>
          <w:p w14:paraId="063BDAA0">
            <w:pPr>
              <w:widowControl/>
              <w:jc w:val="center"/>
              <w:textAlignment w:val="center"/>
              <w:rPr>
                <w:kern w:val="0"/>
                <w:sz w:val="22"/>
                <w:szCs w:val="22"/>
                <w:lang w:bidi="ar"/>
              </w:rPr>
            </w:pPr>
            <w:r>
              <w:rPr>
                <w:rFonts w:hint="eastAsia"/>
                <w:kern w:val="0"/>
                <w:sz w:val="22"/>
                <w:szCs w:val="22"/>
                <w:lang w:bidi="ar"/>
              </w:rPr>
              <w:t>8</w:t>
            </w:r>
          </w:p>
        </w:tc>
        <w:tc>
          <w:tcPr>
            <w:tcW w:w="1783" w:type="pct"/>
            <w:noWrap/>
            <w:vAlign w:val="center"/>
          </w:tcPr>
          <w:p w14:paraId="413EDF4D">
            <w:pPr>
              <w:widowControl/>
              <w:jc w:val="center"/>
              <w:textAlignment w:val="center"/>
              <w:rPr>
                <w:kern w:val="0"/>
                <w:sz w:val="22"/>
                <w:szCs w:val="22"/>
                <w:lang w:bidi="ar"/>
              </w:rPr>
            </w:pPr>
            <w:r>
              <w:rPr>
                <w:rFonts w:hint="eastAsia"/>
                <w:kern w:val="0"/>
                <w:sz w:val="22"/>
                <w:szCs w:val="22"/>
                <w:lang w:bidi="ar"/>
              </w:rPr>
              <w:t>8.64</w:t>
            </w:r>
          </w:p>
        </w:tc>
      </w:tr>
    </w:tbl>
    <w:p w14:paraId="1813273A">
      <w:pPr>
        <w:pStyle w:val="1379"/>
        <w:ind w:firstLine="440"/>
      </w:pPr>
    </w:p>
    <w:p w14:paraId="31D4A8CC">
      <w:pPr>
        <w:adjustRightInd w:val="0"/>
        <w:snapToGrid w:val="0"/>
        <w:jc w:val="center"/>
        <w:rPr>
          <w:kern w:val="0"/>
          <w:sz w:val="26"/>
          <w:szCs w:val="26"/>
          <w:lang w:val="zh-CN"/>
        </w:rPr>
      </w:pPr>
      <w:r>
        <w:rPr>
          <w:kern w:val="0"/>
          <w:sz w:val="26"/>
          <w:szCs w:val="26"/>
          <w:lang w:val="zh-CN"/>
        </w:rPr>
        <w:t>表</w:t>
      </w:r>
      <w:r>
        <w:rPr>
          <w:rFonts w:hint="eastAsia"/>
          <w:kern w:val="0"/>
          <w:sz w:val="26"/>
          <w:szCs w:val="26"/>
          <w:lang w:val="zh-CN"/>
        </w:rPr>
        <w:t>6</w:t>
      </w:r>
      <w:r>
        <w:rPr>
          <w:kern w:val="0"/>
          <w:sz w:val="26"/>
          <w:szCs w:val="26"/>
          <w:lang w:val="zh-CN"/>
        </w:rPr>
        <w:t xml:space="preserve">.4-3  </w:t>
      </w:r>
      <w:r>
        <w:rPr>
          <w:rFonts w:hint="eastAsia"/>
          <w:kern w:val="0"/>
          <w:sz w:val="26"/>
          <w:szCs w:val="26"/>
          <w:lang w:val="zh-CN"/>
        </w:rPr>
        <w:t>试采期地下水</w:t>
      </w:r>
      <w:r>
        <w:rPr>
          <w:kern w:val="0"/>
          <w:sz w:val="26"/>
          <w:szCs w:val="26"/>
          <w:lang w:val="zh-CN"/>
        </w:rPr>
        <w:t>污染物预测源强</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1"/>
        <w:gridCol w:w="1598"/>
        <w:gridCol w:w="1136"/>
        <w:gridCol w:w="1580"/>
        <w:gridCol w:w="1433"/>
        <w:gridCol w:w="1918"/>
      </w:tblGrid>
      <w:tr w14:paraId="0A4E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716" w:type="pct"/>
            <w:vAlign w:val="center"/>
          </w:tcPr>
          <w:p w14:paraId="465C73F3">
            <w:pPr>
              <w:widowControl/>
              <w:jc w:val="center"/>
              <w:textAlignment w:val="center"/>
              <w:rPr>
                <w:sz w:val="22"/>
              </w:rPr>
            </w:pPr>
            <w:r>
              <w:rPr>
                <w:kern w:val="0"/>
                <w:sz w:val="22"/>
                <w:lang w:bidi="ar"/>
              </w:rPr>
              <w:t>井位编号</w:t>
            </w:r>
          </w:p>
        </w:tc>
        <w:tc>
          <w:tcPr>
            <w:tcW w:w="893" w:type="pct"/>
            <w:vAlign w:val="center"/>
          </w:tcPr>
          <w:p w14:paraId="63D902F3">
            <w:pPr>
              <w:widowControl/>
              <w:jc w:val="center"/>
              <w:textAlignment w:val="center"/>
              <w:rPr>
                <w:sz w:val="22"/>
              </w:rPr>
            </w:pPr>
            <w:r>
              <w:rPr>
                <w:kern w:val="0"/>
                <w:sz w:val="22"/>
                <w:lang w:bidi="ar"/>
              </w:rPr>
              <w:t>泄漏位置</w:t>
            </w:r>
          </w:p>
        </w:tc>
        <w:tc>
          <w:tcPr>
            <w:tcW w:w="635" w:type="pct"/>
            <w:vAlign w:val="center"/>
          </w:tcPr>
          <w:p w14:paraId="1752FDAB">
            <w:pPr>
              <w:widowControl/>
              <w:jc w:val="center"/>
              <w:textAlignment w:val="center"/>
              <w:rPr>
                <w:sz w:val="22"/>
              </w:rPr>
            </w:pPr>
            <w:r>
              <w:rPr>
                <w:kern w:val="0"/>
                <w:sz w:val="22"/>
                <w:lang w:bidi="ar"/>
              </w:rPr>
              <w:t>污染物</w:t>
            </w:r>
          </w:p>
        </w:tc>
        <w:tc>
          <w:tcPr>
            <w:tcW w:w="883" w:type="pct"/>
            <w:vAlign w:val="center"/>
          </w:tcPr>
          <w:p w14:paraId="65DA5758">
            <w:pPr>
              <w:widowControl/>
              <w:jc w:val="center"/>
              <w:textAlignment w:val="center"/>
              <w:rPr>
                <w:sz w:val="22"/>
              </w:rPr>
            </w:pPr>
            <w:r>
              <w:rPr>
                <w:kern w:val="0"/>
                <w:sz w:val="22"/>
                <w:lang w:bidi="ar"/>
              </w:rPr>
              <w:t>污染物浓度（mg/L）</w:t>
            </w:r>
          </w:p>
        </w:tc>
        <w:tc>
          <w:tcPr>
            <w:tcW w:w="801" w:type="pct"/>
            <w:vAlign w:val="center"/>
          </w:tcPr>
          <w:p w14:paraId="0455BD17">
            <w:pPr>
              <w:widowControl/>
              <w:jc w:val="center"/>
              <w:textAlignment w:val="center"/>
              <w:rPr>
                <w:sz w:val="22"/>
              </w:rPr>
            </w:pPr>
            <w:r>
              <w:rPr>
                <w:rFonts w:hint="eastAsia"/>
                <w:kern w:val="0"/>
                <w:sz w:val="22"/>
                <w:lang w:bidi="ar"/>
              </w:rPr>
              <w:t>泄漏量</w:t>
            </w:r>
            <w:r>
              <w:rPr>
                <w:kern w:val="0"/>
                <w:sz w:val="22"/>
                <w:lang w:bidi="ar"/>
              </w:rPr>
              <w:t>（m</w:t>
            </w:r>
            <w:r>
              <w:rPr>
                <w:kern w:val="0"/>
                <w:sz w:val="22"/>
                <w:vertAlign w:val="superscript"/>
                <w:lang w:bidi="ar"/>
              </w:rPr>
              <w:t>3</w:t>
            </w:r>
            <w:r>
              <w:rPr>
                <w:kern w:val="0"/>
                <w:sz w:val="22"/>
                <w:lang w:bidi="ar"/>
              </w:rPr>
              <w:t>）</w:t>
            </w:r>
          </w:p>
        </w:tc>
        <w:tc>
          <w:tcPr>
            <w:tcW w:w="1072" w:type="pct"/>
            <w:vAlign w:val="center"/>
          </w:tcPr>
          <w:p w14:paraId="6843C0F8">
            <w:pPr>
              <w:widowControl/>
              <w:jc w:val="center"/>
              <w:textAlignment w:val="center"/>
              <w:rPr>
                <w:sz w:val="22"/>
              </w:rPr>
            </w:pPr>
            <w:r>
              <w:rPr>
                <w:kern w:val="0"/>
                <w:sz w:val="22"/>
                <w:lang w:bidi="ar"/>
              </w:rPr>
              <w:t>污染物渗漏量（g）</w:t>
            </w:r>
          </w:p>
        </w:tc>
      </w:tr>
      <w:tr w14:paraId="43FD8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716" w:type="pct"/>
            <w:vMerge w:val="restart"/>
            <w:vAlign w:val="center"/>
          </w:tcPr>
          <w:p w14:paraId="0BCDAD58">
            <w:pPr>
              <w:widowControl/>
              <w:jc w:val="center"/>
              <w:textAlignment w:val="center"/>
              <w:rPr>
                <w:sz w:val="22"/>
              </w:rPr>
            </w:pPr>
            <w:r>
              <w:rPr>
                <w:rFonts w:hint="eastAsia"/>
                <w:sz w:val="22"/>
              </w:rPr>
              <w:t>巴中2HF井和巴页2HF试采站场</w:t>
            </w:r>
          </w:p>
        </w:tc>
        <w:tc>
          <w:tcPr>
            <w:tcW w:w="893" w:type="pct"/>
            <w:vMerge w:val="restart"/>
            <w:vAlign w:val="center"/>
          </w:tcPr>
          <w:p w14:paraId="6C7FB83F">
            <w:pPr>
              <w:widowControl/>
              <w:jc w:val="center"/>
              <w:textAlignment w:val="center"/>
              <w:rPr>
                <w:sz w:val="22"/>
              </w:rPr>
            </w:pPr>
            <w:r>
              <w:rPr>
                <w:rFonts w:hint="eastAsia"/>
                <w:kern w:val="0"/>
                <w:sz w:val="22"/>
                <w:lang w:bidi="ar"/>
              </w:rPr>
              <w:t>气田水罐</w:t>
            </w:r>
            <w:r>
              <w:rPr>
                <w:kern w:val="0"/>
                <w:sz w:val="22"/>
                <w:lang w:bidi="ar"/>
              </w:rPr>
              <w:t>泄漏</w:t>
            </w:r>
          </w:p>
        </w:tc>
        <w:tc>
          <w:tcPr>
            <w:tcW w:w="635" w:type="pct"/>
            <w:vAlign w:val="center"/>
          </w:tcPr>
          <w:p w14:paraId="7ACC3A53">
            <w:pPr>
              <w:widowControl/>
              <w:jc w:val="center"/>
              <w:textAlignment w:val="center"/>
              <w:rPr>
                <w:rFonts w:eastAsia="等线"/>
                <w:sz w:val="22"/>
              </w:rPr>
            </w:pPr>
            <w:r>
              <w:rPr>
                <w:rFonts w:eastAsia="等线"/>
                <w:kern w:val="0"/>
                <w:sz w:val="22"/>
                <w:lang w:bidi="ar"/>
              </w:rPr>
              <w:t>COD</w:t>
            </w:r>
          </w:p>
        </w:tc>
        <w:tc>
          <w:tcPr>
            <w:tcW w:w="1580" w:type="dxa"/>
            <w:vAlign w:val="center"/>
          </w:tcPr>
          <w:p w14:paraId="07E682A8">
            <w:pPr>
              <w:pStyle w:val="59"/>
              <w:adjustRightInd w:val="0"/>
              <w:snapToGrid w:val="0"/>
              <w:spacing w:before="0"/>
              <w:jc w:val="center"/>
              <w:rPr>
                <w:rFonts w:eastAsia="等线"/>
                <w:sz w:val="22"/>
              </w:rPr>
            </w:pPr>
            <w:r>
              <w:rPr>
                <w:rFonts w:hint="eastAsia" w:ascii="Times New Roman" w:eastAsia="宋体"/>
                <w:b w:val="0"/>
                <w:bCs w:val="0"/>
                <w:kern w:val="0"/>
                <w:sz w:val="22"/>
                <w:szCs w:val="22"/>
                <w:lang w:bidi="ar"/>
              </w:rPr>
              <w:t>5000</w:t>
            </w:r>
          </w:p>
        </w:tc>
        <w:tc>
          <w:tcPr>
            <w:tcW w:w="801" w:type="pct"/>
            <w:vMerge w:val="restart"/>
            <w:vAlign w:val="center"/>
          </w:tcPr>
          <w:p w14:paraId="312F2E4A">
            <w:pPr>
              <w:widowControl/>
              <w:jc w:val="center"/>
              <w:textAlignment w:val="center"/>
              <w:rPr>
                <w:rFonts w:eastAsia="等线"/>
                <w:sz w:val="22"/>
              </w:rPr>
            </w:pPr>
            <w:r>
              <w:rPr>
                <w:rFonts w:hint="eastAsia" w:eastAsia="等线"/>
                <w:sz w:val="22"/>
              </w:rPr>
              <w:t>8</w:t>
            </w:r>
          </w:p>
        </w:tc>
        <w:tc>
          <w:tcPr>
            <w:tcW w:w="1918" w:type="dxa"/>
            <w:vAlign w:val="bottom"/>
          </w:tcPr>
          <w:p w14:paraId="7A0F9CC1">
            <w:pPr>
              <w:pStyle w:val="59"/>
              <w:adjustRightInd w:val="0"/>
              <w:snapToGrid w:val="0"/>
              <w:spacing w:before="0"/>
              <w:jc w:val="center"/>
              <w:rPr>
                <w:rFonts w:ascii="Times New Roman" w:eastAsia="宋体"/>
                <w:b w:val="0"/>
                <w:bCs w:val="0"/>
                <w:kern w:val="0"/>
                <w:sz w:val="22"/>
                <w:szCs w:val="22"/>
                <w:lang w:bidi="ar"/>
              </w:rPr>
            </w:pPr>
            <w:r>
              <w:rPr>
                <w:rFonts w:hint="eastAsia" w:ascii="Times New Roman" w:eastAsia="宋体"/>
                <w:b w:val="0"/>
                <w:bCs w:val="0"/>
                <w:kern w:val="0"/>
                <w:sz w:val="22"/>
                <w:szCs w:val="22"/>
                <w:lang w:bidi="ar"/>
              </w:rPr>
              <w:t>40000</w:t>
            </w:r>
          </w:p>
        </w:tc>
      </w:tr>
      <w:tr w14:paraId="16B1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16" w:type="pct"/>
            <w:vMerge w:val="continue"/>
            <w:vAlign w:val="center"/>
          </w:tcPr>
          <w:p w14:paraId="70A705BE">
            <w:pPr>
              <w:jc w:val="center"/>
              <w:rPr>
                <w:sz w:val="22"/>
              </w:rPr>
            </w:pPr>
          </w:p>
        </w:tc>
        <w:tc>
          <w:tcPr>
            <w:tcW w:w="893" w:type="pct"/>
            <w:vMerge w:val="continue"/>
            <w:vAlign w:val="center"/>
          </w:tcPr>
          <w:p w14:paraId="52943A1E">
            <w:pPr>
              <w:jc w:val="center"/>
              <w:rPr>
                <w:sz w:val="22"/>
              </w:rPr>
            </w:pPr>
          </w:p>
        </w:tc>
        <w:tc>
          <w:tcPr>
            <w:tcW w:w="635" w:type="pct"/>
            <w:vAlign w:val="center"/>
          </w:tcPr>
          <w:p w14:paraId="1B86608D">
            <w:pPr>
              <w:widowControl/>
              <w:jc w:val="center"/>
              <w:textAlignment w:val="center"/>
              <w:rPr>
                <w:sz w:val="22"/>
              </w:rPr>
            </w:pPr>
            <w:r>
              <w:rPr>
                <w:rFonts w:hint="eastAsia"/>
                <w:sz w:val="22"/>
              </w:rPr>
              <w:t>石油类</w:t>
            </w:r>
          </w:p>
        </w:tc>
        <w:tc>
          <w:tcPr>
            <w:tcW w:w="1580" w:type="dxa"/>
            <w:vAlign w:val="center"/>
          </w:tcPr>
          <w:p w14:paraId="0D32B7EC">
            <w:pPr>
              <w:pStyle w:val="59"/>
              <w:adjustRightInd w:val="0"/>
              <w:snapToGrid w:val="0"/>
              <w:spacing w:before="0"/>
              <w:jc w:val="center"/>
              <w:rPr>
                <w:rFonts w:eastAsia="等线"/>
                <w:sz w:val="22"/>
              </w:rPr>
            </w:pPr>
            <w:r>
              <w:rPr>
                <w:rFonts w:hint="eastAsia" w:ascii="Times New Roman" w:eastAsia="宋体"/>
                <w:b w:val="0"/>
                <w:bCs w:val="0"/>
                <w:sz w:val="22"/>
                <w:szCs w:val="22"/>
              </w:rPr>
              <w:t>70</w:t>
            </w:r>
          </w:p>
        </w:tc>
        <w:tc>
          <w:tcPr>
            <w:tcW w:w="801" w:type="pct"/>
            <w:vMerge w:val="continue"/>
            <w:vAlign w:val="center"/>
          </w:tcPr>
          <w:p w14:paraId="6DC6A323">
            <w:pPr>
              <w:jc w:val="center"/>
              <w:rPr>
                <w:rFonts w:eastAsia="等线"/>
                <w:sz w:val="22"/>
              </w:rPr>
            </w:pPr>
          </w:p>
        </w:tc>
        <w:tc>
          <w:tcPr>
            <w:tcW w:w="1918" w:type="dxa"/>
            <w:vAlign w:val="bottom"/>
          </w:tcPr>
          <w:p w14:paraId="786D5DB6">
            <w:pPr>
              <w:pStyle w:val="59"/>
              <w:adjustRightInd w:val="0"/>
              <w:snapToGrid w:val="0"/>
              <w:spacing w:before="0"/>
              <w:jc w:val="center"/>
              <w:rPr>
                <w:rFonts w:ascii="Times New Roman" w:eastAsia="宋体"/>
                <w:b w:val="0"/>
                <w:bCs w:val="0"/>
                <w:kern w:val="0"/>
                <w:sz w:val="22"/>
                <w:szCs w:val="22"/>
                <w:lang w:bidi="ar"/>
              </w:rPr>
            </w:pPr>
            <w:r>
              <w:rPr>
                <w:rFonts w:hint="eastAsia" w:ascii="Times New Roman" w:eastAsia="宋体"/>
                <w:b w:val="0"/>
                <w:bCs w:val="0"/>
                <w:kern w:val="0"/>
                <w:sz w:val="22"/>
                <w:szCs w:val="22"/>
                <w:lang w:bidi="ar"/>
              </w:rPr>
              <w:t>560</w:t>
            </w:r>
          </w:p>
        </w:tc>
      </w:tr>
      <w:tr w14:paraId="37F2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16" w:type="pct"/>
            <w:vMerge w:val="continue"/>
            <w:vAlign w:val="center"/>
          </w:tcPr>
          <w:p w14:paraId="225206C7">
            <w:pPr>
              <w:jc w:val="center"/>
              <w:rPr>
                <w:sz w:val="22"/>
              </w:rPr>
            </w:pPr>
          </w:p>
        </w:tc>
        <w:tc>
          <w:tcPr>
            <w:tcW w:w="893" w:type="pct"/>
            <w:vMerge w:val="continue"/>
            <w:vAlign w:val="center"/>
          </w:tcPr>
          <w:p w14:paraId="3FDACF91">
            <w:pPr>
              <w:jc w:val="center"/>
              <w:rPr>
                <w:sz w:val="22"/>
              </w:rPr>
            </w:pPr>
          </w:p>
        </w:tc>
        <w:tc>
          <w:tcPr>
            <w:tcW w:w="635" w:type="pct"/>
            <w:vAlign w:val="center"/>
          </w:tcPr>
          <w:p w14:paraId="4859CE42">
            <w:pPr>
              <w:widowControl/>
              <w:jc w:val="center"/>
              <w:textAlignment w:val="center"/>
              <w:rPr>
                <w:kern w:val="0"/>
                <w:sz w:val="22"/>
                <w:lang w:bidi="ar"/>
              </w:rPr>
            </w:pPr>
            <w:r>
              <w:rPr>
                <w:kern w:val="0"/>
                <w:sz w:val="22"/>
                <w:lang w:bidi="ar"/>
              </w:rPr>
              <w:t>氯化物</w:t>
            </w:r>
          </w:p>
        </w:tc>
        <w:tc>
          <w:tcPr>
            <w:tcW w:w="1580" w:type="dxa"/>
            <w:vAlign w:val="center"/>
          </w:tcPr>
          <w:p w14:paraId="384A98FD">
            <w:pPr>
              <w:pStyle w:val="59"/>
              <w:adjustRightInd w:val="0"/>
              <w:snapToGrid w:val="0"/>
              <w:spacing w:before="0"/>
              <w:jc w:val="center"/>
              <w:rPr>
                <w:kern w:val="0"/>
                <w:lang w:bidi="ar"/>
              </w:rPr>
            </w:pPr>
            <w:r>
              <w:rPr>
                <w:rFonts w:hint="eastAsia" w:ascii="Times New Roman" w:eastAsia="宋体"/>
                <w:b w:val="0"/>
                <w:bCs w:val="0"/>
                <w:kern w:val="0"/>
                <w:sz w:val="22"/>
                <w:szCs w:val="22"/>
                <w:lang w:bidi="ar"/>
              </w:rPr>
              <w:t>10000</w:t>
            </w:r>
          </w:p>
        </w:tc>
        <w:tc>
          <w:tcPr>
            <w:tcW w:w="801" w:type="pct"/>
            <w:vMerge w:val="continue"/>
            <w:vAlign w:val="center"/>
          </w:tcPr>
          <w:p w14:paraId="20DBE1AD">
            <w:pPr>
              <w:jc w:val="center"/>
              <w:rPr>
                <w:rFonts w:eastAsia="等线"/>
                <w:sz w:val="22"/>
              </w:rPr>
            </w:pPr>
          </w:p>
        </w:tc>
        <w:tc>
          <w:tcPr>
            <w:tcW w:w="1918" w:type="dxa"/>
            <w:vAlign w:val="bottom"/>
          </w:tcPr>
          <w:p w14:paraId="2E6D736E">
            <w:pPr>
              <w:pStyle w:val="59"/>
              <w:adjustRightInd w:val="0"/>
              <w:snapToGrid w:val="0"/>
              <w:spacing w:before="0"/>
              <w:jc w:val="center"/>
              <w:rPr>
                <w:rFonts w:ascii="Times New Roman" w:eastAsia="宋体"/>
                <w:b w:val="0"/>
                <w:bCs w:val="0"/>
                <w:kern w:val="0"/>
                <w:sz w:val="22"/>
                <w:szCs w:val="22"/>
                <w:lang w:bidi="ar"/>
              </w:rPr>
            </w:pPr>
            <w:r>
              <w:rPr>
                <w:rFonts w:hint="eastAsia" w:ascii="Times New Roman" w:eastAsia="宋体"/>
                <w:b w:val="0"/>
                <w:bCs w:val="0"/>
                <w:kern w:val="0"/>
                <w:sz w:val="22"/>
                <w:szCs w:val="22"/>
                <w:lang w:bidi="ar"/>
              </w:rPr>
              <w:t>80000</w:t>
            </w:r>
          </w:p>
        </w:tc>
      </w:tr>
      <w:tr w14:paraId="7978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16" w:type="pct"/>
            <w:vMerge w:val="continue"/>
            <w:vAlign w:val="center"/>
          </w:tcPr>
          <w:p w14:paraId="5AAA1FC9">
            <w:pPr>
              <w:jc w:val="center"/>
              <w:rPr>
                <w:sz w:val="22"/>
              </w:rPr>
            </w:pPr>
          </w:p>
        </w:tc>
        <w:tc>
          <w:tcPr>
            <w:tcW w:w="893" w:type="pct"/>
            <w:vMerge w:val="continue"/>
            <w:vAlign w:val="center"/>
          </w:tcPr>
          <w:p w14:paraId="4B925209">
            <w:pPr>
              <w:jc w:val="center"/>
              <w:rPr>
                <w:sz w:val="22"/>
              </w:rPr>
            </w:pPr>
          </w:p>
        </w:tc>
        <w:tc>
          <w:tcPr>
            <w:tcW w:w="635" w:type="pct"/>
            <w:vAlign w:val="center"/>
          </w:tcPr>
          <w:p w14:paraId="47621250">
            <w:pPr>
              <w:widowControl/>
              <w:jc w:val="center"/>
              <w:textAlignment w:val="center"/>
              <w:rPr>
                <w:sz w:val="22"/>
              </w:rPr>
            </w:pPr>
            <w:r>
              <w:rPr>
                <w:rFonts w:hint="eastAsia"/>
                <w:sz w:val="22"/>
              </w:rPr>
              <w:t>钡离子</w:t>
            </w:r>
          </w:p>
        </w:tc>
        <w:tc>
          <w:tcPr>
            <w:tcW w:w="1580" w:type="dxa"/>
            <w:vAlign w:val="center"/>
          </w:tcPr>
          <w:p w14:paraId="1865683F">
            <w:pPr>
              <w:pStyle w:val="59"/>
              <w:adjustRightInd w:val="0"/>
              <w:snapToGrid w:val="0"/>
              <w:spacing w:before="0"/>
              <w:jc w:val="center"/>
              <w:rPr>
                <w:rFonts w:eastAsia="等线"/>
                <w:sz w:val="22"/>
              </w:rPr>
            </w:pPr>
            <w:r>
              <w:rPr>
                <w:rFonts w:hint="eastAsia" w:ascii="Times New Roman" w:eastAsia="宋体"/>
                <w:b w:val="0"/>
                <w:bCs w:val="0"/>
                <w:sz w:val="22"/>
                <w:szCs w:val="22"/>
              </w:rPr>
              <w:t>110</w:t>
            </w:r>
          </w:p>
        </w:tc>
        <w:tc>
          <w:tcPr>
            <w:tcW w:w="801" w:type="pct"/>
            <w:vMerge w:val="continue"/>
            <w:vAlign w:val="center"/>
          </w:tcPr>
          <w:p w14:paraId="055D02EB">
            <w:pPr>
              <w:jc w:val="center"/>
              <w:rPr>
                <w:rFonts w:eastAsia="等线"/>
                <w:sz w:val="22"/>
              </w:rPr>
            </w:pPr>
          </w:p>
        </w:tc>
        <w:tc>
          <w:tcPr>
            <w:tcW w:w="1918" w:type="dxa"/>
            <w:vAlign w:val="bottom"/>
          </w:tcPr>
          <w:p w14:paraId="5C45B687">
            <w:pPr>
              <w:pStyle w:val="59"/>
              <w:adjustRightInd w:val="0"/>
              <w:snapToGrid w:val="0"/>
              <w:spacing w:before="0"/>
              <w:jc w:val="center"/>
              <w:rPr>
                <w:rFonts w:ascii="Times New Roman" w:eastAsia="宋体"/>
                <w:b w:val="0"/>
                <w:bCs w:val="0"/>
                <w:kern w:val="0"/>
                <w:sz w:val="22"/>
                <w:szCs w:val="22"/>
                <w:lang w:bidi="ar"/>
              </w:rPr>
            </w:pPr>
            <w:r>
              <w:rPr>
                <w:rFonts w:hint="eastAsia" w:ascii="Times New Roman" w:eastAsia="宋体"/>
                <w:b w:val="0"/>
                <w:bCs w:val="0"/>
                <w:kern w:val="0"/>
                <w:sz w:val="22"/>
                <w:szCs w:val="22"/>
                <w:lang w:bidi="ar"/>
              </w:rPr>
              <w:t>880</w:t>
            </w:r>
          </w:p>
        </w:tc>
      </w:tr>
      <w:tr w14:paraId="7BB00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16" w:type="pct"/>
            <w:vMerge w:val="continue"/>
            <w:vAlign w:val="center"/>
          </w:tcPr>
          <w:p w14:paraId="1707CE74">
            <w:pPr>
              <w:jc w:val="center"/>
              <w:rPr>
                <w:sz w:val="22"/>
              </w:rPr>
            </w:pPr>
          </w:p>
        </w:tc>
        <w:tc>
          <w:tcPr>
            <w:tcW w:w="893" w:type="pct"/>
            <w:vAlign w:val="center"/>
          </w:tcPr>
          <w:p w14:paraId="2187EBC5">
            <w:pPr>
              <w:jc w:val="center"/>
              <w:rPr>
                <w:sz w:val="22"/>
              </w:rPr>
            </w:pPr>
            <w:r>
              <w:rPr>
                <w:rFonts w:hint="eastAsia"/>
                <w:sz w:val="22"/>
              </w:rPr>
              <w:t>凝析油储罐泄漏</w:t>
            </w:r>
          </w:p>
        </w:tc>
        <w:tc>
          <w:tcPr>
            <w:tcW w:w="635" w:type="pct"/>
            <w:vAlign w:val="center"/>
          </w:tcPr>
          <w:p w14:paraId="766C9DCF">
            <w:pPr>
              <w:widowControl/>
              <w:jc w:val="center"/>
              <w:textAlignment w:val="center"/>
              <w:rPr>
                <w:sz w:val="22"/>
              </w:rPr>
            </w:pPr>
            <w:r>
              <w:rPr>
                <w:rFonts w:hint="eastAsia"/>
                <w:sz w:val="22"/>
              </w:rPr>
              <w:t>石油类</w:t>
            </w:r>
          </w:p>
        </w:tc>
        <w:tc>
          <w:tcPr>
            <w:tcW w:w="883" w:type="pct"/>
            <w:vAlign w:val="center"/>
          </w:tcPr>
          <w:p w14:paraId="3FEF05B6">
            <w:pPr>
              <w:widowControl/>
              <w:jc w:val="center"/>
              <w:textAlignment w:val="center"/>
              <w:rPr>
                <w:rFonts w:eastAsia="等线"/>
              </w:rPr>
            </w:pPr>
            <w:r>
              <w:rPr>
                <w:rFonts w:hint="eastAsia"/>
                <w:sz w:val="22"/>
                <w:szCs w:val="22"/>
              </w:rPr>
              <w:t>850000</w:t>
            </w:r>
          </w:p>
        </w:tc>
        <w:tc>
          <w:tcPr>
            <w:tcW w:w="801" w:type="pct"/>
            <w:vAlign w:val="center"/>
          </w:tcPr>
          <w:p w14:paraId="4FBAE62A">
            <w:pPr>
              <w:jc w:val="center"/>
              <w:rPr>
                <w:rFonts w:eastAsia="等线"/>
                <w:sz w:val="22"/>
              </w:rPr>
            </w:pPr>
            <w:r>
              <w:rPr>
                <w:rFonts w:hint="eastAsia" w:eastAsia="等线"/>
                <w:sz w:val="22"/>
              </w:rPr>
              <w:t>8.64</w:t>
            </w:r>
          </w:p>
        </w:tc>
        <w:tc>
          <w:tcPr>
            <w:tcW w:w="1072" w:type="pct"/>
            <w:vAlign w:val="center"/>
          </w:tcPr>
          <w:p w14:paraId="501CCB4C">
            <w:pPr>
              <w:pStyle w:val="59"/>
              <w:adjustRightInd w:val="0"/>
              <w:snapToGrid w:val="0"/>
              <w:spacing w:before="0"/>
              <w:jc w:val="center"/>
              <w:rPr>
                <w:rFonts w:ascii="Times New Roman" w:eastAsia="宋体"/>
                <w:b w:val="0"/>
                <w:bCs w:val="0"/>
                <w:kern w:val="0"/>
                <w:sz w:val="22"/>
                <w:szCs w:val="22"/>
                <w:lang w:bidi="ar"/>
              </w:rPr>
            </w:pPr>
            <w:r>
              <w:rPr>
                <w:rFonts w:hint="eastAsia" w:ascii="Times New Roman" w:eastAsia="宋体"/>
                <w:b w:val="0"/>
                <w:bCs w:val="0"/>
                <w:kern w:val="0"/>
                <w:sz w:val="22"/>
                <w:szCs w:val="22"/>
                <w:lang w:bidi="ar"/>
              </w:rPr>
              <w:t>1101600</w:t>
            </w:r>
          </w:p>
        </w:tc>
      </w:tr>
    </w:tbl>
    <w:p w14:paraId="2C153B30">
      <w:pPr>
        <w:pStyle w:val="1379"/>
        <w:ind w:firstLine="440"/>
      </w:pPr>
      <w:r>
        <w:rPr>
          <w:rFonts w:hint="eastAsia"/>
          <w:lang w:val="zh-CN"/>
        </w:rPr>
        <w:t>备注：凝析油储罐泄漏后考虑</w:t>
      </w:r>
      <w:r>
        <w:rPr>
          <w:rFonts w:hint="eastAsia"/>
        </w:rPr>
        <w:t>15%的油类物质渗漏至含水层中。</w:t>
      </w:r>
    </w:p>
    <w:p w14:paraId="458C7495">
      <w:pPr>
        <w:pStyle w:val="1379"/>
        <w:ind w:firstLine="440"/>
      </w:pPr>
    </w:p>
    <w:p w14:paraId="3861514B">
      <w:pPr>
        <w:adjustRightInd w:val="0"/>
        <w:snapToGrid w:val="0"/>
        <w:spacing w:line="480" w:lineRule="exact"/>
        <w:ind w:firstLine="522" w:firstLineChars="200"/>
        <w:outlineLvl w:val="2"/>
        <w:rPr>
          <w:b/>
          <w:sz w:val="26"/>
          <w:szCs w:val="26"/>
        </w:rPr>
      </w:pPr>
      <w:r>
        <w:rPr>
          <w:rFonts w:hint="eastAsia"/>
          <w:b/>
          <w:sz w:val="26"/>
          <w:szCs w:val="26"/>
        </w:rPr>
        <w:t>6</w:t>
      </w:r>
      <w:r>
        <w:rPr>
          <w:b/>
          <w:sz w:val="26"/>
          <w:szCs w:val="26"/>
        </w:rPr>
        <w:t xml:space="preserve">.4.5 </w:t>
      </w:r>
      <w:r>
        <w:rPr>
          <w:rFonts w:hint="eastAsia"/>
          <w:b/>
          <w:sz w:val="26"/>
          <w:szCs w:val="26"/>
        </w:rPr>
        <w:t>水文地质条件概化</w:t>
      </w:r>
    </w:p>
    <w:p w14:paraId="087889EF">
      <w:pPr>
        <w:adjustRightInd w:val="0"/>
        <w:snapToGrid w:val="0"/>
        <w:spacing w:line="480" w:lineRule="exact"/>
        <w:ind w:firstLine="520" w:firstLineChars="200"/>
        <w:rPr>
          <w:sz w:val="26"/>
          <w:szCs w:val="26"/>
        </w:rPr>
      </w:pPr>
      <w:r>
        <w:rPr>
          <w:rFonts w:hint="eastAsia"/>
          <w:sz w:val="26"/>
          <w:szCs w:val="26"/>
        </w:rPr>
        <w:t>（1）含水层概化</w:t>
      </w:r>
    </w:p>
    <w:p w14:paraId="13504794">
      <w:pPr>
        <w:adjustRightInd w:val="0"/>
        <w:snapToGrid w:val="0"/>
        <w:spacing w:line="480" w:lineRule="exact"/>
        <w:ind w:firstLine="520" w:firstLineChars="200"/>
        <w:rPr>
          <w:sz w:val="26"/>
          <w:szCs w:val="26"/>
        </w:rPr>
      </w:pPr>
      <w:r>
        <w:rPr>
          <w:rFonts w:hint="eastAsia"/>
          <w:sz w:val="26"/>
          <w:szCs w:val="26"/>
        </w:rPr>
        <w:t>根据对评价区内水文地质条件、仪陇区域水文地质调查报告分析可知，评价区出露的含水岩层为白垩系白龙组风化裂隙含水层，潜水含水层主要为砂岩、砂质泥岩地层，根据区内地层岩性、构造发育程度及含水层空间分布情况，区内具有统一水力联系的中等风化带底界在50m左右。按最大限度考虑，因此将站场50m以上概化为含水层，而50m以下地层裂隙不发育、地下水赋存较差的地层概化为相对隔水层。</w:t>
      </w:r>
    </w:p>
    <w:p w14:paraId="09D6C39F">
      <w:pPr>
        <w:adjustRightInd w:val="0"/>
        <w:snapToGrid w:val="0"/>
        <w:spacing w:line="480" w:lineRule="exact"/>
        <w:ind w:firstLine="520" w:firstLineChars="200"/>
        <w:rPr>
          <w:sz w:val="26"/>
          <w:szCs w:val="26"/>
        </w:rPr>
      </w:pPr>
      <w:r>
        <w:rPr>
          <w:rFonts w:hint="eastAsia"/>
          <w:sz w:val="26"/>
          <w:szCs w:val="26"/>
        </w:rPr>
        <w:t>（2）边界条件概化</w:t>
      </w:r>
    </w:p>
    <w:p w14:paraId="0F1B6FD9">
      <w:pPr>
        <w:adjustRightInd w:val="0"/>
        <w:snapToGrid w:val="0"/>
        <w:spacing w:line="480" w:lineRule="exact"/>
        <w:ind w:firstLine="520" w:firstLineChars="200"/>
        <w:rPr>
          <w:sz w:val="26"/>
          <w:szCs w:val="26"/>
        </w:rPr>
      </w:pPr>
      <w:r>
        <w:rPr>
          <w:rFonts w:hint="eastAsia"/>
          <w:sz w:val="26"/>
          <w:szCs w:val="26"/>
        </w:rPr>
        <w:t>根据对区内地形地貌、水文地质条件和地下水流场分析可知，本次边界具体划分如下：评价区北部南部边界概化为流量边界；东部概化为补给边界，西部边界概化为排泄边界。</w:t>
      </w:r>
    </w:p>
    <w:p w14:paraId="2A9E9D71">
      <w:pPr>
        <w:adjustRightInd w:val="0"/>
        <w:snapToGrid w:val="0"/>
        <w:spacing w:line="480" w:lineRule="exact"/>
        <w:ind w:firstLine="520" w:firstLineChars="200"/>
        <w:rPr>
          <w:sz w:val="26"/>
          <w:szCs w:val="26"/>
        </w:rPr>
      </w:pPr>
      <w:r>
        <w:rPr>
          <w:rFonts w:hint="eastAsia"/>
          <w:sz w:val="26"/>
          <w:szCs w:val="26"/>
        </w:rPr>
        <w:t>（3）水文地质参数确定</w:t>
      </w:r>
    </w:p>
    <w:p w14:paraId="220AC814">
      <w:pPr>
        <w:adjustRightInd w:val="0"/>
        <w:snapToGrid w:val="0"/>
        <w:spacing w:line="480" w:lineRule="exact"/>
        <w:ind w:firstLine="520" w:firstLineChars="200"/>
        <w:rPr>
          <w:sz w:val="26"/>
          <w:szCs w:val="26"/>
        </w:rPr>
      </w:pPr>
      <w:r>
        <w:rPr>
          <w:rFonts w:hint="eastAsia"/>
          <w:sz w:val="26"/>
          <w:szCs w:val="26"/>
        </w:rPr>
        <w:t>水文地质模拟参数的确定是地下水溶质运移模拟模型建立的重要环节，各水文地质参数通常情况下通过野外和室内试验进行确定。在解析法预测模拟中，水力坡度、孔隙度、地下水流速、渗透系数和弥散系数等是最重要的水文地质参数。由于本评价区内已经开展过详细的水文地质调查和勘探工作，本次评价主要引用前人所取得勘探成果。通过对区内水文地质普查报告等资料参数类比分析，结合现场水文地质试验和查阅文献资料，最终确定了本次模拟预测评价的水文地质参数：渗透系数、孔隙度、含水层厚度、地下水流速、纵向（横向）弥散系数等，并结合项目区现场调查情况进行调整校验，各项水文地质参数取值见</w:t>
      </w:r>
      <w:r>
        <w:rPr>
          <w:rFonts w:hint="eastAsia"/>
          <w:sz w:val="26"/>
          <w:szCs w:val="26"/>
          <w:u w:val="single"/>
        </w:rPr>
        <w:t>表6.</w:t>
      </w:r>
      <w:r>
        <w:rPr>
          <w:sz w:val="26"/>
          <w:szCs w:val="26"/>
          <w:u w:val="single"/>
        </w:rPr>
        <w:t>4</w:t>
      </w:r>
      <w:r>
        <w:rPr>
          <w:rFonts w:hint="eastAsia"/>
          <w:sz w:val="26"/>
          <w:szCs w:val="26"/>
          <w:u w:val="single"/>
        </w:rPr>
        <w:t>-4</w:t>
      </w:r>
      <w:r>
        <w:rPr>
          <w:rFonts w:hint="eastAsia"/>
          <w:sz w:val="26"/>
          <w:szCs w:val="26"/>
        </w:rPr>
        <w:t>。</w:t>
      </w:r>
    </w:p>
    <w:p w14:paraId="12AA5A72">
      <w:pPr>
        <w:pStyle w:val="1379"/>
        <w:ind w:firstLine="440"/>
      </w:pPr>
    </w:p>
    <w:p w14:paraId="2C5C7D37">
      <w:pPr>
        <w:keepNext/>
        <w:adjustRightInd w:val="0"/>
        <w:snapToGrid w:val="0"/>
        <w:jc w:val="center"/>
        <w:rPr>
          <w:bCs/>
          <w:sz w:val="26"/>
          <w:szCs w:val="26"/>
        </w:rPr>
      </w:pPr>
      <w:r>
        <w:rPr>
          <w:bCs/>
          <w:sz w:val="26"/>
          <w:szCs w:val="26"/>
        </w:rPr>
        <w:t>表6.4-</w:t>
      </w:r>
      <w:r>
        <w:rPr>
          <w:rFonts w:hint="eastAsia"/>
          <w:bCs/>
          <w:sz w:val="26"/>
          <w:szCs w:val="26"/>
        </w:rPr>
        <w:t>4</w:t>
      </w:r>
      <w:r>
        <w:rPr>
          <w:bCs/>
          <w:sz w:val="26"/>
          <w:szCs w:val="26"/>
        </w:rPr>
        <w:t xml:space="preserve">  </w:t>
      </w:r>
      <w:r>
        <w:rPr>
          <w:rFonts w:hint="eastAsia"/>
          <w:bCs/>
          <w:sz w:val="26"/>
          <w:szCs w:val="26"/>
        </w:rPr>
        <w:t>水文地质</w:t>
      </w:r>
      <w:r>
        <w:rPr>
          <w:bCs/>
          <w:sz w:val="26"/>
          <w:szCs w:val="26"/>
        </w:rPr>
        <w:t>模拟参数取值</w:t>
      </w:r>
    </w:p>
    <w:tbl>
      <w:tblPr>
        <w:tblStyle w:val="88"/>
        <w:tblW w:w="5000" w:type="pct"/>
        <w:tblInd w:w="0" w:type="dxa"/>
        <w:tblLayout w:type="autofit"/>
        <w:tblCellMar>
          <w:top w:w="0" w:type="dxa"/>
          <w:left w:w="108" w:type="dxa"/>
          <w:bottom w:w="0" w:type="dxa"/>
          <w:right w:w="108" w:type="dxa"/>
        </w:tblCellMar>
      </w:tblPr>
      <w:tblGrid>
        <w:gridCol w:w="1802"/>
        <w:gridCol w:w="932"/>
        <w:gridCol w:w="1199"/>
        <w:gridCol w:w="893"/>
        <w:gridCol w:w="1184"/>
        <w:gridCol w:w="923"/>
        <w:gridCol w:w="923"/>
        <w:gridCol w:w="1090"/>
      </w:tblGrid>
      <w:tr w14:paraId="170DD2A7">
        <w:tblPrEx>
          <w:tblCellMar>
            <w:top w:w="0" w:type="dxa"/>
            <w:left w:w="108" w:type="dxa"/>
            <w:bottom w:w="0" w:type="dxa"/>
            <w:right w:w="108" w:type="dxa"/>
          </w:tblCellMar>
        </w:tblPrEx>
        <w:trPr>
          <w:trHeight w:val="340" w:hRule="atLeast"/>
        </w:trPr>
        <w:tc>
          <w:tcPr>
            <w:tcW w:w="1007" w:type="pct"/>
            <w:tcBorders>
              <w:top w:val="single" w:color="auto" w:sz="4" w:space="0"/>
              <w:left w:val="single" w:color="auto" w:sz="4" w:space="0"/>
              <w:bottom w:val="single" w:color="auto" w:sz="4" w:space="0"/>
              <w:right w:val="single" w:color="auto" w:sz="4" w:space="0"/>
            </w:tcBorders>
            <w:noWrap/>
            <w:vAlign w:val="center"/>
          </w:tcPr>
          <w:p w14:paraId="733C6A7D">
            <w:pPr>
              <w:widowControl/>
              <w:jc w:val="center"/>
              <w:rPr>
                <w:rFonts w:ascii="宋体" w:hAnsi="宋体" w:cs="宋体"/>
                <w:kern w:val="0"/>
                <w:sz w:val="22"/>
                <w:szCs w:val="22"/>
              </w:rPr>
            </w:pPr>
            <w:r>
              <w:rPr>
                <w:rFonts w:hint="eastAsia" w:ascii="宋体" w:hAnsi="宋体" w:cs="宋体"/>
                <w:kern w:val="0"/>
                <w:sz w:val="22"/>
                <w:szCs w:val="22"/>
              </w:rPr>
              <w:t>场地</w:t>
            </w:r>
          </w:p>
        </w:tc>
        <w:tc>
          <w:tcPr>
            <w:tcW w:w="521" w:type="pct"/>
            <w:tcBorders>
              <w:top w:val="single" w:color="auto" w:sz="4" w:space="0"/>
              <w:left w:val="nil"/>
              <w:bottom w:val="single" w:color="auto" w:sz="4" w:space="0"/>
              <w:right w:val="single" w:color="auto" w:sz="4" w:space="0"/>
            </w:tcBorders>
            <w:vAlign w:val="center"/>
          </w:tcPr>
          <w:p w14:paraId="6FCE307F">
            <w:pPr>
              <w:widowControl/>
              <w:jc w:val="center"/>
              <w:rPr>
                <w:rFonts w:ascii="宋体" w:hAnsi="宋体" w:cs="宋体"/>
                <w:kern w:val="0"/>
                <w:sz w:val="22"/>
                <w:szCs w:val="22"/>
              </w:rPr>
            </w:pPr>
            <w:r>
              <w:rPr>
                <w:rFonts w:hint="eastAsia" w:ascii="宋体" w:hAnsi="宋体" w:cs="宋体"/>
                <w:kern w:val="0"/>
                <w:sz w:val="22"/>
                <w:szCs w:val="22"/>
              </w:rPr>
              <w:t>含水层厚度</w:t>
            </w:r>
            <w:r>
              <w:rPr>
                <w:kern w:val="0"/>
                <w:sz w:val="22"/>
                <w:szCs w:val="22"/>
              </w:rPr>
              <w:t>/m</w:t>
            </w:r>
          </w:p>
        </w:tc>
        <w:tc>
          <w:tcPr>
            <w:tcW w:w="670" w:type="pct"/>
            <w:tcBorders>
              <w:top w:val="single" w:color="auto" w:sz="4" w:space="0"/>
              <w:left w:val="nil"/>
              <w:bottom w:val="single" w:color="auto" w:sz="4" w:space="0"/>
              <w:right w:val="single" w:color="auto" w:sz="4" w:space="0"/>
            </w:tcBorders>
            <w:vAlign w:val="center"/>
          </w:tcPr>
          <w:p w14:paraId="54277857">
            <w:pPr>
              <w:widowControl/>
              <w:jc w:val="center"/>
              <w:rPr>
                <w:rFonts w:ascii="宋体" w:hAnsi="宋体" w:cs="宋体"/>
                <w:kern w:val="0"/>
                <w:sz w:val="22"/>
                <w:szCs w:val="22"/>
              </w:rPr>
            </w:pPr>
            <w:r>
              <w:rPr>
                <w:rFonts w:hint="eastAsia" w:ascii="宋体" w:hAnsi="宋体" w:cs="宋体"/>
                <w:kern w:val="0"/>
                <w:sz w:val="22"/>
                <w:szCs w:val="22"/>
              </w:rPr>
              <w:t>地下水流速</w:t>
            </w:r>
            <w:r>
              <w:rPr>
                <w:kern w:val="0"/>
                <w:sz w:val="22"/>
                <w:szCs w:val="22"/>
              </w:rPr>
              <w:t>m/d</w:t>
            </w:r>
          </w:p>
        </w:tc>
        <w:tc>
          <w:tcPr>
            <w:tcW w:w="499" w:type="pct"/>
            <w:tcBorders>
              <w:top w:val="single" w:color="auto" w:sz="4" w:space="0"/>
              <w:left w:val="nil"/>
              <w:bottom w:val="single" w:color="auto" w:sz="4" w:space="0"/>
              <w:right w:val="single" w:color="auto" w:sz="4" w:space="0"/>
            </w:tcBorders>
            <w:vAlign w:val="center"/>
          </w:tcPr>
          <w:p w14:paraId="0940735B">
            <w:pPr>
              <w:widowControl/>
              <w:jc w:val="center"/>
              <w:rPr>
                <w:rFonts w:ascii="宋体" w:hAnsi="宋体" w:cs="宋体"/>
                <w:kern w:val="0"/>
                <w:sz w:val="22"/>
                <w:szCs w:val="22"/>
              </w:rPr>
            </w:pPr>
            <w:r>
              <w:rPr>
                <w:rFonts w:hint="eastAsia" w:ascii="宋体" w:hAnsi="宋体" w:cs="宋体"/>
                <w:kern w:val="0"/>
                <w:sz w:val="22"/>
                <w:szCs w:val="22"/>
              </w:rPr>
              <w:t>有效孔隙度</w:t>
            </w:r>
          </w:p>
        </w:tc>
        <w:tc>
          <w:tcPr>
            <w:tcW w:w="662" w:type="pct"/>
            <w:tcBorders>
              <w:top w:val="single" w:color="auto" w:sz="4" w:space="0"/>
              <w:left w:val="nil"/>
              <w:bottom w:val="single" w:color="auto" w:sz="4" w:space="0"/>
              <w:right w:val="single" w:color="auto" w:sz="4" w:space="0"/>
            </w:tcBorders>
            <w:vAlign w:val="center"/>
          </w:tcPr>
          <w:p w14:paraId="0896240F">
            <w:pPr>
              <w:widowControl/>
              <w:jc w:val="center"/>
              <w:rPr>
                <w:rFonts w:ascii="宋体" w:hAnsi="宋体" w:cs="宋体"/>
                <w:kern w:val="0"/>
                <w:sz w:val="22"/>
                <w:szCs w:val="22"/>
              </w:rPr>
            </w:pPr>
            <w:r>
              <w:rPr>
                <w:rFonts w:hint="eastAsia" w:ascii="宋体" w:hAnsi="宋体" w:cs="宋体"/>
                <w:kern w:val="0"/>
                <w:sz w:val="22"/>
                <w:szCs w:val="22"/>
              </w:rPr>
              <w:t>纵向弥散系数</w:t>
            </w:r>
            <w:r>
              <w:rPr>
                <w:kern w:val="0"/>
                <w:sz w:val="22"/>
                <w:szCs w:val="22"/>
              </w:rPr>
              <w:t>m</w:t>
            </w:r>
            <w:r>
              <w:rPr>
                <w:kern w:val="0"/>
                <w:sz w:val="22"/>
                <w:szCs w:val="22"/>
                <w:vertAlign w:val="superscript"/>
              </w:rPr>
              <w:t>2</w:t>
            </w:r>
            <w:r>
              <w:rPr>
                <w:kern w:val="0"/>
                <w:sz w:val="22"/>
                <w:szCs w:val="22"/>
              </w:rPr>
              <w:t>/d</w:t>
            </w:r>
          </w:p>
        </w:tc>
        <w:tc>
          <w:tcPr>
            <w:tcW w:w="516" w:type="pct"/>
            <w:tcBorders>
              <w:top w:val="single" w:color="auto" w:sz="4" w:space="0"/>
              <w:left w:val="nil"/>
              <w:bottom w:val="single" w:color="auto" w:sz="4" w:space="0"/>
              <w:right w:val="single" w:color="auto" w:sz="4" w:space="0"/>
            </w:tcBorders>
            <w:vAlign w:val="center"/>
          </w:tcPr>
          <w:p w14:paraId="02F1F732">
            <w:pPr>
              <w:widowControl/>
              <w:jc w:val="center"/>
              <w:rPr>
                <w:rFonts w:ascii="宋体" w:hAnsi="宋体" w:cs="宋体"/>
                <w:kern w:val="0"/>
                <w:sz w:val="22"/>
                <w:szCs w:val="22"/>
              </w:rPr>
            </w:pPr>
            <w:r>
              <w:rPr>
                <w:rFonts w:hint="eastAsia" w:ascii="宋体" w:hAnsi="宋体" w:cs="宋体"/>
                <w:kern w:val="0"/>
                <w:sz w:val="22"/>
                <w:szCs w:val="22"/>
              </w:rPr>
              <w:t>横向弥散系数</w:t>
            </w:r>
            <w:r>
              <w:rPr>
                <w:kern w:val="0"/>
                <w:sz w:val="22"/>
                <w:szCs w:val="22"/>
              </w:rPr>
              <w:t>m</w:t>
            </w:r>
            <w:r>
              <w:rPr>
                <w:kern w:val="0"/>
                <w:sz w:val="22"/>
                <w:szCs w:val="22"/>
                <w:vertAlign w:val="superscript"/>
              </w:rPr>
              <w:t>2</w:t>
            </w:r>
            <w:r>
              <w:rPr>
                <w:kern w:val="0"/>
                <w:sz w:val="22"/>
                <w:szCs w:val="22"/>
              </w:rPr>
              <w:t>/d</w:t>
            </w:r>
          </w:p>
        </w:tc>
        <w:tc>
          <w:tcPr>
            <w:tcW w:w="516" w:type="pct"/>
            <w:tcBorders>
              <w:top w:val="single" w:color="auto" w:sz="4" w:space="0"/>
              <w:left w:val="nil"/>
              <w:bottom w:val="single" w:color="auto" w:sz="4" w:space="0"/>
              <w:right w:val="single" w:color="auto" w:sz="4" w:space="0"/>
            </w:tcBorders>
            <w:vAlign w:val="center"/>
          </w:tcPr>
          <w:p w14:paraId="17A4DEEE">
            <w:pPr>
              <w:widowControl/>
              <w:jc w:val="center"/>
              <w:rPr>
                <w:rFonts w:ascii="宋体" w:hAnsi="宋体" w:cs="宋体"/>
                <w:kern w:val="0"/>
                <w:sz w:val="22"/>
                <w:szCs w:val="22"/>
              </w:rPr>
            </w:pPr>
            <w:r>
              <w:rPr>
                <w:rFonts w:hint="eastAsia" w:ascii="宋体" w:hAnsi="宋体" w:cs="宋体"/>
                <w:kern w:val="0"/>
                <w:sz w:val="22"/>
                <w:szCs w:val="22"/>
              </w:rPr>
              <w:t>渗透系数</w:t>
            </w:r>
            <w:r>
              <w:rPr>
                <w:kern w:val="0"/>
                <w:sz w:val="22"/>
                <w:szCs w:val="22"/>
              </w:rPr>
              <w:t>m/d</w:t>
            </w:r>
          </w:p>
        </w:tc>
        <w:tc>
          <w:tcPr>
            <w:tcW w:w="609" w:type="pct"/>
            <w:tcBorders>
              <w:top w:val="single" w:color="auto" w:sz="4" w:space="0"/>
              <w:left w:val="nil"/>
              <w:bottom w:val="single" w:color="auto" w:sz="4" w:space="0"/>
              <w:right w:val="single" w:color="auto" w:sz="4" w:space="0"/>
            </w:tcBorders>
            <w:vAlign w:val="center"/>
          </w:tcPr>
          <w:p w14:paraId="2B0918EC">
            <w:pPr>
              <w:widowControl/>
              <w:jc w:val="center"/>
              <w:rPr>
                <w:rFonts w:ascii="宋体" w:hAnsi="宋体" w:cs="宋体"/>
                <w:kern w:val="0"/>
                <w:sz w:val="22"/>
                <w:szCs w:val="22"/>
              </w:rPr>
            </w:pPr>
            <w:r>
              <w:rPr>
                <w:rFonts w:hint="eastAsia" w:ascii="宋体" w:hAnsi="宋体" w:cs="宋体"/>
                <w:kern w:val="0"/>
                <w:sz w:val="22"/>
                <w:szCs w:val="22"/>
              </w:rPr>
              <w:t>水力坡度</w:t>
            </w:r>
          </w:p>
        </w:tc>
      </w:tr>
      <w:tr w14:paraId="47EB32F6">
        <w:tblPrEx>
          <w:tblCellMar>
            <w:top w:w="0" w:type="dxa"/>
            <w:left w:w="108" w:type="dxa"/>
            <w:bottom w:w="0" w:type="dxa"/>
            <w:right w:w="108" w:type="dxa"/>
          </w:tblCellMar>
        </w:tblPrEx>
        <w:trPr>
          <w:trHeight w:val="340" w:hRule="atLeast"/>
        </w:trPr>
        <w:tc>
          <w:tcPr>
            <w:tcW w:w="1007" w:type="pct"/>
            <w:tcBorders>
              <w:top w:val="single" w:color="auto" w:sz="4" w:space="0"/>
              <w:left w:val="single" w:color="auto" w:sz="4" w:space="0"/>
              <w:bottom w:val="single" w:color="auto" w:sz="4" w:space="0"/>
              <w:right w:val="single" w:color="auto" w:sz="4" w:space="0"/>
            </w:tcBorders>
            <w:noWrap/>
            <w:vAlign w:val="center"/>
          </w:tcPr>
          <w:p w14:paraId="08571DFF">
            <w:pPr>
              <w:widowControl/>
              <w:jc w:val="center"/>
              <w:rPr>
                <w:rFonts w:ascii="宋体" w:hAnsi="宋体" w:cs="宋体"/>
                <w:kern w:val="0"/>
                <w:sz w:val="22"/>
                <w:szCs w:val="22"/>
              </w:rPr>
            </w:pPr>
            <w:r>
              <w:rPr>
                <w:rFonts w:hint="eastAsia" w:ascii="宋体" w:hAnsi="宋体" w:cs="宋体"/>
                <w:kern w:val="0"/>
                <w:sz w:val="22"/>
                <w:szCs w:val="22"/>
              </w:rPr>
              <w:t>巴中2HF、</w:t>
            </w:r>
          </w:p>
          <w:p w14:paraId="11268480">
            <w:pPr>
              <w:widowControl/>
              <w:jc w:val="center"/>
              <w:rPr>
                <w:rFonts w:ascii="宋体" w:hAnsi="宋体" w:cs="宋体"/>
                <w:kern w:val="0"/>
                <w:sz w:val="22"/>
                <w:szCs w:val="22"/>
              </w:rPr>
            </w:pPr>
            <w:r>
              <w:rPr>
                <w:rFonts w:hint="eastAsia" w:ascii="宋体" w:hAnsi="宋体" w:cs="宋体"/>
                <w:kern w:val="0"/>
                <w:sz w:val="22"/>
                <w:szCs w:val="22"/>
              </w:rPr>
              <w:t>巴页2HF井站场</w:t>
            </w:r>
          </w:p>
        </w:tc>
        <w:tc>
          <w:tcPr>
            <w:tcW w:w="521" w:type="pct"/>
            <w:tcBorders>
              <w:top w:val="single" w:color="auto" w:sz="4" w:space="0"/>
              <w:left w:val="nil"/>
              <w:bottom w:val="single" w:color="auto" w:sz="4" w:space="0"/>
              <w:right w:val="single" w:color="auto" w:sz="4" w:space="0"/>
            </w:tcBorders>
            <w:noWrap/>
            <w:vAlign w:val="center"/>
          </w:tcPr>
          <w:p w14:paraId="0DB5D335">
            <w:pPr>
              <w:widowControl/>
              <w:jc w:val="center"/>
              <w:rPr>
                <w:rFonts w:eastAsia="等线"/>
                <w:kern w:val="0"/>
                <w:sz w:val="22"/>
                <w:szCs w:val="22"/>
              </w:rPr>
            </w:pPr>
            <w:r>
              <w:rPr>
                <w:rFonts w:hint="eastAsia" w:eastAsia="等线"/>
                <w:kern w:val="0"/>
                <w:sz w:val="22"/>
                <w:szCs w:val="22"/>
              </w:rPr>
              <w:t>50</w:t>
            </w:r>
          </w:p>
        </w:tc>
        <w:tc>
          <w:tcPr>
            <w:tcW w:w="670" w:type="pct"/>
            <w:tcBorders>
              <w:top w:val="single" w:color="auto" w:sz="4" w:space="0"/>
              <w:left w:val="nil"/>
              <w:bottom w:val="single" w:color="auto" w:sz="4" w:space="0"/>
              <w:right w:val="single" w:color="auto" w:sz="4" w:space="0"/>
            </w:tcBorders>
            <w:noWrap/>
            <w:vAlign w:val="center"/>
          </w:tcPr>
          <w:p w14:paraId="13744E48">
            <w:pPr>
              <w:widowControl/>
              <w:jc w:val="center"/>
              <w:rPr>
                <w:rFonts w:eastAsia="等线"/>
                <w:kern w:val="0"/>
                <w:sz w:val="22"/>
                <w:szCs w:val="22"/>
              </w:rPr>
            </w:pPr>
            <w:r>
              <w:rPr>
                <w:rFonts w:hint="eastAsia" w:eastAsia="等线"/>
                <w:kern w:val="0"/>
                <w:sz w:val="22"/>
                <w:szCs w:val="22"/>
              </w:rPr>
              <w:t>0.13</w:t>
            </w:r>
          </w:p>
        </w:tc>
        <w:tc>
          <w:tcPr>
            <w:tcW w:w="499" w:type="pct"/>
            <w:tcBorders>
              <w:top w:val="single" w:color="auto" w:sz="4" w:space="0"/>
              <w:left w:val="nil"/>
              <w:bottom w:val="single" w:color="auto" w:sz="4" w:space="0"/>
              <w:right w:val="single" w:color="auto" w:sz="4" w:space="0"/>
            </w:tcBorders>
            <w:noWrap/>
            <w:vAlign w:val="center"/>
          </w:tcPr>
          <w:p w14:paraId="6FEBD235">
            <w:pPr>
              <w:widowControl/>
              <w:jc w:val="center"/>
              <w:rPr>
                <w:rFonts w:eastAsia="等线"/>
                <w:kern w:val="0"/>
                <w:sz w:val="22"/>
                <w:szCs w:val="22"/>
              </w:rPr>
            </w:pPr>
            <w:r>
              <w:rPr>
                <w:rFonts w:hint="eastAsia" w:eastAsia="等线"/>
                <w:kern w:val="0"/>
                <w:sz w:val="22"/>
                <w:szCs w:val="22"/>
              </w:rPr>
              <w:t>0.09</w:t>
            </w:r>
          </w:p>
        </w:tc>
        <w:tc>
          <w:tcPr>
            <w:tcW w:w="662" w:type="pct"/>
            <w:tcBorders>
              <w:top w:val="single" w:color="auto" w:sz="4" w:space="0"/>
              <w:left w:val="nil"/>
              <w:bottom w:val="single" w:color="auto" w:sz="4" w:space="0"/>
              <w:right w:val="single" w:color="auto" w:sz="4" w:space="0"/>
            </w:tcBorders>
            <w:noWrap/>
            <w:vAlign w:val="center"/>
          </w:tcPr>
          <w:p w14:paraId="44EC21FB">
            <w:pPr>
              <w:widowControl/>
              <w:jc w:val="center"/>
              <w:rPr>
                <w:rFonts w:eastAsia="等线"/>
                <w:kern w:val="0"/>
                <w:sz w:val="22"/>
                <w:szCs w:val="22"/>
              </w:rPr>
            </w:pPr>
            <w:r>
              <w:rPr>
                <w:rFonts w:hint="eastAsia" w:eastAsia="等线"/>
                <w:kern w:val="0"/>
                <w:sz w:val="22"/>
                <w:szCs w:val="22"/>
              </w:rPr>
              <w:t>0.82</w:t>
            </w:r>
          </w:p>
        </w:tc>
        <w:tc>
          <w:tcPr>
            <w:tcW w:w="516" w:type="pct"/>
            <w:tcBorders>
              <w:top w:val="single" w:color="auto" w:sz="4" w:space="0"/>
              <w:left w:val="nil"/>
              <w:bottom w:val="single" w:color="auto" w:sz="4" w:space="0"/>
              <w:right w:val="single" w:color="auto" w:sz="4" w:space="0"/>
            </w:tcBorders>
            <w:noWrap/>
            <w:vAlign w:val="center"/>
          </w:tcPr>
          <w:p w14:paraId="31E07539">
            <w:pPr>
              <w:widowControl/>
              <w:jc w:val="center"/>
              <w:rPr>
                <w:rFonts w:eastAsia="等线"/>
                <w:kern w:val="0"/>
                <w:sz w:val="22"/>
                <w:szCs w:val="22"/>
              </w:rPr>
            </w:pPr>
            <w:r>
              <w:rPr>
                <w:rFonts w:hint="eastAsia" w:eastAsia="等线"/>
                <w:kern w:val="0"/>
                <w:sz w:val="22"/>
                <w:szCs w:val="22"/>
              </w:rPr>
              <w:t>0.082</w:t>
            </w:r>
          </w:p>
        </w:tc>
        <w:tc>
          <w:tcPr>
            <w:tcW w:w="516" w:type="pct"/>
            <w:tcBorders>
              <w:top w:val="single" w:color="auto" w:sz="4" w:space="0"/>
              <w:left w:val="nil"/>
              <w:bottom w:val="single" w:color="auto" w:sz="4" w:space="0"/>
              <w:right w:val="single" w:color="auto" w:sz="4" w:space="0"/>
            </w:tcBorders>
            <w:noWrap/>
            <w:vAlign w:val="center"/>
          </w:tcPr>
          <w:p w14:paraId="0AFDD9C9">
            <w:pPr>
              <w:widowControl/>
              <w:jc w:val="center"/>
              <w:rPr>
                <w:rFonts w:eastAsia="等线"/>
                <w:kern w:val="0"/>
                <w:sz w:val="22"/>
                <w:szCs w:val="22"/>
              </w:rPr>
            </w:pPr>
            <w:r>
              <w:rPr>
                <w:rFonts w:hint="eastAsia" w:eastAsia="等线"/>
                <w:kern w:val="0"/>
                <w:sz w:val="22"/>
                <w:szCs w:val="22"/>
              </w:rPr>
              <w:t>0.066</w:t>
            </w:r>
          </w:p>
        </w:tc>
        <w:tc>
          <w:tcPr>
            <w:tcW w:w="609" w:type="pct"/>
            <w:tcBorders>
              <w:top w:val="single" w:color="auto" w:sz="4" w:space="0"/>
              <w:left w:val="nil"/>
              <w:bottom w:val="single" w:color="auto" w:sz="4" w:space="0"/>
              <w:right w:val="single" w:color="auto" w:sz="4" w:space="0"/>
            </w:tcBorders>
            <w:noWrap/>
            <w:vAlign w:val="center"/>
          </w:tcPr>
          <w:p w14:paraId="4798B1D6">
            <w:pPr>
              <w:widowControl/>
              <w:jc w:val="center"/>
              <w:rPr>
                <w:rFonts w:eastAsia="等线"/>
                <w:kern w:val="0"/>
                <w:sz w:val="22"/>
                <w:szCs w:val="22"/>
              </w:rPr>
            </w:pPr>
            <w:r>
              <w:rPr>
                <w:rFonts w:hint="eastAsia" w:eastAsia="等线"/>
                <w:kern w:val="0"/>
                <w:sz w:val="22"/>
                <w:szCs w:val="22"/>
              </w:rPr>
              <w:t>0.18</w:t>
            </w:r>
          </w:p>
        </w:tc>
      </w:tr>
    </w:tbl>
    <w:p w14:paraId="250EE781">
      <w:pPr>
        <w:pStyle w:val="1379"/>
        <w:ind w:firstLine="440"/>
      </w:pPr>
    </w:p>
    <w:p w14:paraId="47D3F510">
      <w:pPr>
        <w:adjustRightInd w:val="0"/>
        <w:snapToGrid w:val="0"/>
        <w:spacing w:line="48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1 \* GB3</w:instrText>
      </w:r>
      <w:r>
        <w:rPr>
          <w:sz w:val="26"/>
          <w:szCs w:val="26"/>
        </w:rPr>
        <w:instrText xml:space="preserve"> </w:instrText>
      </w:r>
      <w:r>
        <w:rPr>
          <w:sz w:val="26"/>
          <w:szCs w:val="26"/>
        </w:rPr>
        <w:fldChar w:fldCharType="separate"/>
      </w:r>
      <w:r>
        <w:rPr>
          <w:rFonts w:hint="eastAsia"/>
          <w:sz w:val="26"/>
          <w:szCs w:val="26"/>
        </w:rPr>
        <w:t>①</w:t>
      </w:r>
      <w:r>
        <w:rPr>
          <w:sz w:val="26"/>
          <w:szCs w:val="26"/>
        </w:rPr>
        <w:fldChar w:fldCharType="end"/>
      </w:r>
      <w:r>
        <w:rPr>
          <w:rFonts w:hint="eastAsia"/>
          <w:sz w:val="26"/>
          <w:szCs w:val="26"/>
        </w:rPr>
        <w:t>含水层厚度M：所在地含水层为白垩系白龙组风化裂隙含水层，场区含水层的厚度根据本次野外调查情况和周边地下水井井深调查结果确定取值为50m。</w:t>
      </w:r>
    </w:p>
    <w:p w14:paraId="296D3F4E">
      <w:pPr>
        <w:adjustRightInd w:val="0"/>
        <w:snapToGrid w:val="0"/>
        <w:spacing w:line="48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2 \* GB3</w:instrText>
      </w:r>
      <w:r>
        <w:rPr>
          <w:sz w:val="26"/>
          <w:szCs w:val="26"/>
        </w:rPr>
        <w:instrText xml:space="preserve"> </w:instrText>
      </w:r>
      <w:r>
        <w:rPr>
          <w:sz w:val="26"/>
          <w:szCs w:val="26"/>
        </w:rPr>
        <w:fldChar w:fldCharType="separate"/>
      </w:r>
      <w:r>
        <w:rPr>
          <w:rFonts w:hint="eastAsia"/>
          <w:sz w:val="26"/>
          <w:szCs w:val="26"/>
        </w:rPr>
        <w:t>②</w:t>
      </w:r>
      <w:r>
        <w:rPr>
          <w:sz w:val="26"/>
          <w:szCs w:val="26"/>
        </w:rPr>
        <w:fldChar w:fldCharType="end"/>
      </w:r>
      <w:r>
        <w:rPr>
          <w:rFonts w:hint="eastAsia"/>
          <w:sz w:val="26"/>
          <w:szCs w:val="26"/>
        </w:rPr>
        <w:t>瞬时注入的示踪剂质量mM：事故期进入地下水的污染物质量。</w:t>
      </w:r>
    </w:p>
    <w:p w14:paraId="5F225AAB">
      <w:pPr>
        <w:adjustRightInd w:val="0"/>
        <w:snapToGrid w:val="0"/>
        <w:spacing w:line="48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3 \* GB3</w:instrText>
      </w:r>
      <w:r>
        <w:rPr>
          <w:sz w:val="26"/>
          <w:szCs w:val="26"/>
        </w:rPr>
        <w:instrText xml:space="preserve"> </w:instrText>
      </w:r>
      <w:r>
        <w:rPr>
          <w:sz w:val="26"/>
          <w:szCs w:val="26"/>
        </w:rPr>
        <w:fldChar w:fldCharType="separate"/>
      </w:r>
      <w:r>
        <w:rPr>
          <w:rFonts w:hint="eastAsia"/>
          <w:sz w:val="26"/>
          <w:szCs w:val="26"/>
        </w:rPr>
        <w:t>③</w:t>
      </w:r>
      <w:r>
        <w:rPr>
          <w:sz w:val="26"/>
          <w:szCs w:val="26"/>
        </w:rPr>
        <w:fldChar w:fldCharType="end"/>
      </w:r>
      <w:r>
        <w:rPr>
          <w:rFonts w:hint="eastAsia"/>
          <w:sz w:val="26"/>
          <w:szCs w:val="26"/>
        </w:rPr>
        <w:t>含水层的平均有效孔隙度ne：考虑含水层岩性特征，根据水文地质手册相关经验参考值并结合钻探环评报告，确定取值为0.09。</w:t>
      </w:r>
    </w:p>
    <w:p w14:paraId="43FD28F7">
      <w:pPr>
        <w:adjustRightInd w:val="0"/>
        <w:snapToGrid w:val="0"/>
        <w:spacing w:line="48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4 \* GB3</w:instrText>
      </w:r>
      <w:r>
        <w:rPr>
          <w:sz w:val="26"/>
          <w:szCs w:val="26"/>
        </w:rPr>
        <w:instrText xml:space="preserve"> </w:instrText>
      </w:r>
      <w:r>
        <w:rPr>
          <w:sz w:val="26"/>
          <w:szCs w:val="26"/>
        </w:rPr>
        <w:fldChar w:fldCharType="separate"/>
      </w:r>
      <w:r>
        <w:rPr>
          <w:rFonts w:hint="eastAsia"/>
          <w:sz w:val="26"/>
          <w:szCs w:val="26"/>
        </w:rPr>
        <w:t>④</w:t>
      </w:r>
      <w:r>
        <w:rPr>
          <w:sz w:val="26"/>
          <w:szCs w:val="26"/>
        </w:rPr>
        <w:fldChar w:fldCharType="end"/>
      </w:r>
      <w:r>
        <w:rPr>
          <w:rFonts w:hint="eastAsia"/>
          <w:sz w:val="26"/>
          <w:szCs w:val="26"/>
        </w:rPr>
        <w:t>水流速度u：结合项目钻探时期的钻孔抽水试验数据和现场水文地质调查，渗透系数取值0.066m/d，根据现场地下水水位调查，站场地下水评价范围内水力坡度约为0.18，因此地下水的水流实际流速u=KI /ne=0.13m/d。</w:t>
      </w:r>
    </w:p>
    <w:p w14:paraId="62195336">
      <w:pPr>
        <w:adjustRightInd w:val="0"/>
        <w:snapToGrid w:val="0"/>
        <w:spacing w:line="48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5 \* GB3</w:instrText>
      </w:r>
      <w:r>
        <w:rPr>
          <w:sz w:val="26"/>
          <w:szCs w:val="26"/>
        </w:rPr>
        <w:instrText xml:space="preserve"> </w:instrText>
      </w:r>
      <w:r>
        <w:rPr>
          <w:sz w:val="26"/>
          <w:szCs w:val="26"/>
        </w:rPr>
        <w:fldChar w:fldCharType="separate"/>
      </w:r>
      <w:r>
        <w:rPr>
          <w:rFonts w:hint="eastAsia"/>
          <w:sz w:val="26"/>
          <w:szCs w:val="26"/>
        </w:rPr>
        <w:t>⑤</w:t>
      </w:r>
      <w:r>
        <w:rPr>
          <w:sz w:val="26"/>
          <w:szCs w:val="26"/>
        </w:rPr>
        <w:fldChar w:fldCharType="end"/>
      </w:r>
      <w:r>
        <w:rPr>
          <w:rFonts w:hint="eastAsia"/>
          <w:sz w:val="26"/>
          <w:szCs w:val="26"/>
        </w:rPr>
        <w:t>纵向x方向的弥散系数D</w:t>
      </w:r>
      <w:r>
        <w:rPr>
          <w:rFonts w:hint="eastAsia"/>
          <w:sz w:val="26"/>
          <w:szCs w:val="26"/>
          <w:vertAlign w:val="subscript"/>
        </w:rPr>
        <w:t>L</w:t>
      </w:r>
      <w:r>
        <w:rPr>
          <w:rFonts w:hint="eastAsia"/>
          <w:sz w:val="26"/>
          <w:szCs w:val="26"/>
        </w:rPr>
        <w:t>：参考Gelhar等人关于纵向弥散度与观测尺度关系的理论模型，计算得到纵向弥散系数：D</w:t>
      </w:r>
      <w:r>
        <w:rPr>
          <w:rFonts w:hint="eastAsia"/>
          <w:sz w:val="26"/>
          <w:szCs w:val="26"/>
          <w:vertAlign w:val="subscript"/>
        </w:rPr>
        <w:t>L</w:t>
      </w:r>
      <w:r>
        <w:rPr>
          <w:rFonts w:hint="eastAsia"/>
          <w:sz w:val="26"/>
          <w:szCs w:val="26"/>
        </w:rPr>
        <w:t>=</w:t>
      </w:r>
      <w:r>
        <w:rPr>
          <w:sz w:val="26"/>
          <w:szCs w:val="26"/>
        </w:rPr>
        <w:t>α</w:t>
      </w:r>
      <w:r>
        <w:rPr>
          <w:sz w:val="26"/>
          <w:szCs w:val="26"/>
          <w:vertAlign w:val="subscript"/>
        </w:rPr>
        <w:t>L</w:t>
      </w:r>
      <w:r>
        <w:rPr>
          <w:sz w:val="26"/>
          <w:szCs w:val="26"/>
        </w:rPr>
        <w:t>×u</w:t>
      </w:r>
      <w:r>
        <w:rPr>
          <w:rFonts w:hint="eastAsia"/>
          <w:sz w:val="26"/>
          <w:szCs w:val="26"/>
        </w:rPr>
        <w:t>=0.82m</w:t>
      </w:r>
      <w:r>
        <w:rPr>
          <w:rFonts w:hint="eastAsia"/>
          <w:sz w:val="26"/>
          <w:szCs w:val="26"/>
          <w:vertAlign w:val="superscript"/>
        </w:rPr>
        <w:t>2</w:t>
      </w:r>
      <w:r>
        <w:rPr>
          <w:rFonts w:hint="eastAsia"/>
          <w:sz w:val="26"/>
          <w:szCs w:val="26"/>
        </w:rPr>
        <w:t>/d。</w:t>
      </w:r>
    </w:p>
    <w:p w14:paraId="009A2366">
      <w:pPr>
        <w:adjustRightInd w:val="0"/>
        <w:snapToGrid w:val="0"/>
        <w:spacing w:line="48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6 \* GB3</w:instrText>
      </w:r>
      <w:r>
        <w:rPr>
          <w:sz w:val="26"/>
          <w:szCs w:val="26"/>
        </w:rPr>
        <w:instrText xml:space="preserve"> </w:instrText>
      </w:r>
      <w:r>
        <w:rPr>
          <w:sz w:val="26"/>
          <w:szCs w:val="26"/>
        </w:rPr>
        <w:fldChar w:fldCharType="separate"/>
      </w:r>
      <w:r>
        <w:rPr>
          <w:rFonts w:hint="eastAsia"/>
          <w:sz w:val="26"/>
          <w:szCs w:val="26"/>
        </w:rPr>
        <w:t>⑥</w:t>
      </w:r>
      <w:r>
        <w:rPr>
          <w:sz w:val="26"/>
          <w:szCs w:val="26"/>
        </w:rPr>
        <w:fldChar w:fldCharType="end"/>
      </w:r>
      <w:r>
        <w:rPr>
          <w:rFonts w:hint="eastAsia"/>
          <w:sz w:val="26"/>
          <w:szCs w:val="26"/>
        </w:rPr>
        <w:t>横向y方向的弥散系数DT：根据经验一般D</w:t>
      </w:r>
      <w:r>
        <w:rPr>
          <w:rFonts w:hint="eastAsia"/>
          <w:sz w:val="26"/>
          <w:szCs w:val="26"/>
          <w:vertAlign w:val="subscript"/>
        </w:rPr>
        <w:t>T</w:t>
      </w:r>
      <w:r>
        <w:rPr>
          <w:rFonts w:hint="eastAsia"/>
          <w:sz w:val="26"/>
          <w:szCs w:val="26"/>
        </w:rPr>
        <w:t>：D</w:t>
      </w:r>
      <w:r>
        <w:rPr>
          <w:rFonts w:hint="eastAsia"/>
          <w:sz w:val="26"/>
          <w:szCs w:val="26"/>
          <w:vertAlign w:val="subscript"/>
        </w:rPr>
        <w:t>L</w:t>
      </w:r>
      <w:r>
        <w:rPr>
          <w:rFonts w:hint="eastAsia"/>
          <w:sz w:val="26"/>
          <w:szCs w:val="26"/>
        </w:rPr>
        <w:t>=0.1，确定D</w:t>
      </w:r>
      <w:r>
        <w:rPr>
          <w:rFonts w:hint="eastAsia"/>
          <w:sz w:val="26"/>
          <w:szCs w:val="26"/>
          <w:vertAlign w:val="subscript"/>
        </w:rPr>
        <w:t>T</w:t>
      </w:r>
      <w:r>
        <w:rPr>
          <w:rFonts w:hint="eastAsia"/>
          <w:sz w:val="26"/>
          <w:szCs w:val="26"/>
        </w:rPr>
        <w:t>取值为0.082m</w:t>
      </w:r>
      <w:r>
        <w:rPr>
          <w:rFonts w:hint="eastAsia"/>
          <w:sz w:val="26"/>
          <w:szCs w:val="26"/>
          <w:vertAlign w:val="superscript"/>
        </w:rPr>
        <w:t>2</w:t>
      </w:r>
      <w:r>
        <w:rPr>
          <w:rFonts w:hint="eastAsia"/>
          <w:sz w:val="26"/>
          <w:szCs w:val="26"/>
        </w:rPr>
        <w:t>/d。</w:t>
      </w:r>
    </w:p>
    <w:p w14:paraId="344CBF4C">
      <w:pPr>
        <w:adjustRightInd w:val="0"/>
        <w:snapToGrid w:val="0"/>
        <w:spacing w:line="480" w:lineRule="exact"/>
        <w:ind w:firstLine="522" w:firstLineChars="200"/>
        <w:outlineLvl w:val="2"/>
        <w:rPr>
          <w:b/>
          <w:sz w:val="26"/>
          <w:szCs w:val="26"/>
        </w:rPr>
      </w:pPr>
      <w:r>
        <w:rPr>
          <w:rFonts w:hint="eastAsia"/>
          <w:b/>
          <w:sz w:val="26"/>
          <w:szCs w:val="26"/>
        </w:rPr>
        <w:t>6</w:t>
      </w:r>
      <w:r>
        <w:rPr>
          <w:b/>
          <w:sz w:val="26"/>
          <w:szCs w:val="26"/>
        </w:rPr>
        <w:t>.4.6 预测方法</w:t>
      </w:r>
    </w:p>
    <w:p w14:paraId="7F5385C6">
      <w:pPr>
        <w:adjustRightInd w:val="0"/>
        <w:snapToGrid w:val="0"/>
        <w:spacing w:line="480" w:lineRule="exact"/>
        <w:ind w:firstLine="520" w:firstLineChars="200"/>
        <w:rPr>
          <w:sz w:val="26"/>
          <w:szCs w:val="26"/>
        </w:rPr>
      </w:pPr>
      <w:r>
        <w:rPr>
          <w:rFonts w:hint="eastAsia"/>
          <w:sz w:val="26"/>
          <w:szCs w:val="26"/>
        </w:rPr>
        <w:t>通过站场所在地区的水文地质条件的分析，结合评价等级划分情况，本次预测工作的预测方法适合采用解析法。在分析污染源特征及可能的污染途径的基础上，预测方法参考地下水导则附录中地下水溶质运移解析法中一维稳定流动二维水动力弥散问题瞬时注入示踪剂—平面瞬时点源公式，公式如下所示。</w:t>
      </w:r>
    </w:p>
    <w:p w14:paraId="423FE6FE">
      <w:pPr>
        <w:pStyle w:val="948"/>
        <w:spacing w:before="120" w:beforeLines="50" w:after="120" w:afterLines="50" w:line="360" w:lineRule="auto"/>
        <w:ind w:firstLine="522"/>
        <w:rPr>
          <w:rFonts w:eastAsia="宋体"/>
          <w:szCs w:val="26"/>
        </w:rPr>
      </w:pPr>
      <m:oMathPara>
        <m:oMath>
          <m:r>
            <m:rPr>
              <m:sty m:val="p"/>
            </m:rPr>
            <w:rPr>
              <w:rFonts w:ascii="Cambria Math" w:hAnsi="Cambria Math"/>
            </w:rPr>
            <m:t>C</m:t>
          </m:r>
          <m:d>
            <m:dPr>
              <m:ctrlPr>
                <w:rPr>
                  <w:rFonts w:ascii="Cambria Math" w:hAnsi="Cambria Math"/>
                </w:rPr>
              </m:ctrlPr>
            </m:dPr>
            <m:e>
              <m:r>
                <m:rPr/>
                <w:rPr>
                  <w:rFonts w:ascii="Cambria Math" w:hAnsi="Cambria Math"/>
                </w:rPr>
                <m:t>x</m:t>
              </m:r>
              <m:r>
                <m:rPr>
                  <m:sty m:val="p"/>
                </m:rPr>
                <w:rPr>
                  <w:rFonts w:hint="eastAsia" w:ascii="宋体" w:hAnsi="宋体" w:eastAsia="宋体" w:cs="宋体"/>
                </w:rPr>
                <m:t>，</m:t>
              </m:r>
              <m:r>
                <m:rPr>
                  <m:sty m:val="p"/>
                </m:rPr>
                <w:rPr>
                  <w:rFonts w:ascii="Cambria Math" w:hAnsi="Cambria Math"/>
                </w:rPr>
                <m:t>y</m:t>
              </m:r>
              <m:r>
                <m:rPr>
                  <m:sty m:val="p"/>
                </m:rPr>
                <w:rPr>
                  <w:rFonts w:hint="eastAsia" w:ascii="宋体" w:hAnsi="宋体" w:eastAsia="宋体" w:cs="宋体"/>
                </w:rPr>
                <m:t>，</m:t>
              </m:r>
              <m:r>
                <m:rPr>
                  <m:sty m:val="p"/>
                </m:rPr>
                <w:rPr>
                  <w:rFonts w:ascii="Cambria Math" w:hAnsi="Cambria Math"/>
                </w:rPr>
                <m:t>t</m:t>
              </m:r>
              <m:ctrlPr>
                <w:rPr>
                  <w:rFonts w:ascii="Cambria Math" w:hAnsi="Cambria Math"/>
                </w:rPr>
              </m:ctrlPr>
            </m:e>
          </m:d>
          <m:r>
            <m:rPr>
              <m:sty m:val="p"/>
            </m:rPr>
            <w:rPr>
              <w:rFonts w:ascii="Cambria Math" w:hAnsi="Cambria Math"/>
            </w:rPr>
            <m:t>=</m:t>
          </m:r>
          <m:f>
            <m:fPr>
              <m:ctrlPr>
                <w:rPr>
                  <w:rFonts w:ascii="Cambria Math" w:hAnsi="Cambria Math"/>
                </w:rPr>
              </m:ctrlPr>
            </m:fPr>
            <m:num>
              <m:f>
                <m:fPr>
                  <m:type m:val="lin"/>
                  <m:ctrlPr>
                    <w:rPr>
                      <w:rFonts w:ascii="Cambria Math" w:hAnsi="Cambria Math"/>
                    </w:rPr>
                  </m:ctrlPr>
                </m:fPr>
                <m:num>
                  <m:sSub>
                    <m:sSubPr>
                      <m:ctrlPr>
                        <w:rPr>
                          <w:rFonts w:ascii="Cambria Math" w:hAnsi="Cambria Math"/>
                        </w:rPr>
                      </m:ctrlPr>
                    </m:sSubPr>
                    <m:e>
                      <m:r>
                        <m:rPr/>
                        <w:rPr>
                          <w:rFonts w:ascii="Cambria Math" w:hAnsi="Cambria Math"/>
                        </w:rPr>
                        <m:t>m</m:t>
                      </m:r>
                      <m:ctrlPr>
                        <w:rPr>
                          <w:rFonts w:ascii="Cambria Math" w:hAnsi="Cambria Math"/>
                        </w:rPr>
                      </m:ctrlPr>
                    </m:e>
                    <m:sub>
                      <m:r>
                        <m:rPr/>
                        <w:rPr>
                          <w:rFonts w:ascii="Cambria Math" w:hAnsi="Cambria Math"/>
                        </w:rPr>
                        <m:t>M</m:t>
                      </m:r>
                      <m:ctrlPr>
                        <w:rPr>
                          <w:rFonts w:ascii="Cambria Math" w:hAnsi="Cambria Math"/>
                        </w:rPr>
                      </m:ctrlPr>
                    </m:sub>
                  </m:sSub>
                  <m:ctrlPr>
                    <w:rPr>
                      <w:rFonts w:ascii="Cambria Math" w:hAnsi="Cambria Math"/>
                    </w:rPr>
                  </m:ctrlPr>
                </m:num>
                <m:den>
                  <m:r>
                    <m:rPr/>
                    <w:rPr>
                      <w:rFonts w:ascii="Cambria Math" w:hAnsi="Cambria Math"/>
                    </w:rPr>
                    <m:t>M</m:t>
                  </m:r>
                  <m:ctrlPr>
                    <w:rPr>
                      <w:rFonts w:ascii="Cambria Math" w:hAnsi="Cambria Math"/>
                    </w:rPr>
                  </m:ctrlPr>
                </m:den>
              </m:f>
              <m:ctrlPr>
                <w:rPr>
                  <w:rFonts w:ascii="Cambria Math" w:hAnsi="Cambria Math"/>
                </w:rPr>
              </m:ctrlPr>
            </m:num>
            <m:den>
              <m:r>
                <m:rPr>
                  <m:sty m:val="p"/>
                </m:rPr>
                <w:rPr>
                  <w:rFonts w:ascii="Cambria Math" w:hAnsi="Cambria Math"/>
                </w:rPr>
                <m:t>4</m:t>
              </m:r>
              <m:r>
                <m:rPr/>
                <w:rPr>
                  <w:rFonts w:ascii="Cambria Math" w:hAnsi="Cambria Math"/>
                </w:rPr>
                <m:t>πnt</m:t>
              </m:r>
              <m:rad>
                <m:radPr>
                  <m:degHide m:val="1"/>
                  <m:ctrlPr>
                    <w:rPr>
                      <w:rFonts w:ascii="Cambria Math" w:hAnsi="Cambria Math"/>
                    </w:rPr>
                  </m:ctrlPr>
                </m:radPr>
                <m:deg>
                  <m:ctrlPr>
                    <w:rPr>
                      <w:rFonts w:ascii="Cambria Math" w:hAnsi="Cambria Math"/>
                    </w:rPr>
                  </m:ctrlPr>
                </m:deg>
                <m:e>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L</m:t>
                      </m:r>
                      <m:ctrlPr>
                        <w:rPr>
                          <w:rFonts w:ascii="Cambria Math" w:hAnsi="Cambria Math"/>
                        </w:rPr>
                      </m:ctrlPr>
                    </m:sub>
                  </m:sSub>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T</m:t>
                      </m:r>
                      <m:ctrlPr>
                        <w:rPr>
                          <w:rFonts w:ascii="Cambria Math" w:hAnsi="Cambria Math"/>
                        </w:rPr>
                      </m:ctrlPr>
                    </m:sub>
                  </m:sSub>
                  <m:ctrlPr>
                    <w:rPr>
                      <w:rFonts w:ascii="Cambria Math" w:hAnsi="Cambria Math"/>
                    </w:rPr>
                  </m:ctrlPr>
                </m:e>
              </m:rad>
              <m:ctrlPr>
                <w:rPr>
                  <w:rFonts w:ascii="Cambria Math" w:hAnsi="Cambria Math"/>
                </w:rPr>
              </m:ctrlPr>
            </m:den>
          </m:f>
          <m:sSup>
            <m:sSupPr>
              <m:ctrlPr>
                <w:rPr>
                  <w:rFonts w:ascii="Cambria Math" w:hAnsi="Cambria Math"/>
                </w:rPr>
              </m:ctrlPr>
            </m:sSupPr>
            <m:e>
              <m:r>
                <m:rPr/>
                <w:rPr>
                  <w:rFonts w:ascii="Cambria Math" w:hAnsi="Cambria Math"/>
                </w:rPr>
                <m:t>e</m:t>
              </m:r>
              <m:ctrlPr>
                <w:rPr>
                  <w:rFonts w:ascii="Cambria Math" w:hAnsi="Cambria Math"/>
                </w:rPr>
              </m:ctrlPr>
            </m:e>
            <m:sup>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w:rPr>
                                  <w:rFonts w:ascii="Cambria Math" w:hAnsi="Cambria Math"/>
                                </w:rPr>
                                <m:t>x</m:t>
                              </m:r>
                              <m:r>
                                <m:rPr>
                                  <m:sty m:val="p"/>
                                </m:rPr>
                                <w:rPr>
                                  <w:rFonts w:ascii="Cambria Math" w:hAnsi="Cambria Math"/>
                                </w:rPr>
                                <m:t>−</m:t>
                              </m:r>
                              <m:r>
                                <m:rPr/>
                                <w:rPr>
                                  <w:rFonts w:ascii="Cambria Math" w:hAnsi="Cambria Math"/>
                                </w:rPr>
                                <m:t>ut</m:t>
                              </m:r>
                              <m:ctrlPr>
                                <w:rPr>
                                  <w:rFonts w:ascii="Cambria Math" w:hAnsi="Cambria Math"/>
                                </w:rPr>
                              </m:ctrlPr>
                            </m:e>
                          </m:d>
                          <m:ctrlPr>
                            <w:rPr>
                              <w:rFonts w:ascii="Cambria Math" w:hAnsi="Cambria Math"/>
                            </w:rPr>
                          </m:ctrlPr>
                        </m:e>
                        <m:sup>
                          <m:r>
                            <m:rPr>
                              <m:sty m:val="p"/>
                            </m:rPr>
                            <w:rPr>
                              <w:rFonts w:ascii="Cambria Math" w:hAnsi="Cambria Math"/>
                            </w:rPr>
                            <m:t>2</m:t>
                          </m:r>
                          <m:ctrlPr>
                            <w:rPr>
                              <w:rFonts w:ascii="Cambria Math" w:hAnsi="Cambria Math"/>
                            </w:rPr>
                          </m:ctrlPr>
                        </m:sup>
                      </m:sSup>
                      <m:ctrlPr>
                        <w:rPr>
                          <w:rFonts w:ascii="Cambria Math" w:hAnsi="Cambria Math"/>
                        </w:rPr>
                      </m:ctrlPr>
                    </m:num>
                    <m:den>
                      <m:r>
                        <m:rPr>
                          <m:sty m:val="p"/>
                        </m:rPr>
                        <w:rPr>
                          <w:rFonts w:ascii="Cambria Math" w:hAnsi="Cambria Math"/>
                        </w:rPr>
                        <m:t>4</m:t>
                      </m:r>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L</m:t>
                          </m:r>
                          <m:ctrlPr>
                            <w:rPr>
                              <w:rFonts w:ascii="Cambria Math" w:hAnsi="Cambria Math"/>
                            </w:rPr>
                          </m:ctrlPr>
                        </m:sub>
                      </m:sSub>
                      <m:r>
                        <m:rPr/>
                        <w:rPr>
                          <w:rFonts w:ascii="Cambria Math" w:hAnsi="Cambria Math"/>
                        </w:rPr>
                        <m:t>t</m:t>
                      </m:r>
                      <m:ctrlPr>
                        <w:rPr>
                          <w:rFonts w:ascii="Cambria Math" w:hAnsi="Cambria Math"/>
                        </w:rPr>
                      </m:ctrlP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w:rPr>
                              <w:rFonts w:ascii="Cambria Math" w:hAnsi="Cambria Math"/>
                            </w:rPr>
                            <m:t>y</m:t>
                          </m:r>
                          <m:ctrlPr>
                            <w:rPr>
                              <w:rFonts w:ascii="Cambria Math" w:hAnsi="Cambria Math"/>
                            </w:rPr>
                          </m:ctrlPr>
                        </m:e>
                        <m:sup>
                          <m:r>
                            <m:rPr>
                              <m:sty m:val="p"/>
                            </m:rPr>
                            <w:rPr>
                              <w:rFonts w:ascii="Cambria Math" w:hAnsi="Cambria Math"/>
                            </w:rPr>
                            <m:t>2</m:t>
                          </m:r>
                          <m:ctrlPr>
                            <w:rPr>
                              <w:rFonts w:ascii="Cambria Math" w:hAnsi="Cambria Math"/>
                            </w:rPr>
                          </m:ctrlPr>
                        </m:sup>
                      </m:sSup>
                      <m:ctrlPr>
                        <w:rPr>
                          <w:rFonts w:ascii="Cambria Math" w:hAnsi="Cambria Math"/>
                        </w:rPr>
                      </m:ctrlPr>
                    </m:num>
                    <m:den>
                      <m:r>
                        <m:rPr>
                          <m:sty m:val="p"/>
                        </m:rPr>
                        <w:rPr>
                          <w:rFonts w:ascii="Cambria Math" w:hAnsi="Cambria Math"/>
                        </w:rPr>
                        <m:t>4</m:t>
                      </m:r>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T</m:t>
                          </m:r>
                          <m:ctrlPr>
                            <w:rPr>
                              <w:rFonts w:ascii="Cambria Math" w:hAnsi="Cambria Math"/>
                            </w:rPr>
                          </m:ctrlPr>
                        </m:sub>
                      </m:sSub>
                      <m:r>
                        <m:rPr/>
                        <w:rPr>
                          <w:rFonts w:ascii="Cambria Math" w:hAnsi="Cambria Math"/>
                        </w:rPr>
                        <m:t>t</m:t>
                      </m:r>
                      <m:ctrlPr>
                        <w:rPr>
                          <w:rFonts w:ascii="Cambria Math" w:hAnsi="Cambria Math"/>
                        </w:rPr>
                      </m:ctrlPr>
                    </m:den>
                  </m:f>
                  <m:ctrlPr>
                    <w:rPr>
                      <w:rFonts w:ascii="Cambria Math" w:hAnsi="Cambria Math"/>
                    </w:rPr>
                  </m:ctrlPr>
                </m:e>
              </m:d>
              <m:ctrlPr>
                <w:rPr>
                  <w:rFonts w:ascii="Cambria Math" w:hAnsi="Cambria Math"/>
                </w:rPr>
              </m:ctrlPr>
            </m:sup>
          </m:sSup>
        </m:oMath>
      </m:oMathPara>
    </w:p>
    <w:p w14:paraId="288D6947">
      <w:pPr>
        <w:spacing w:line="360" w:lineRule="auto"/>
        <w:ind w:firstLine="520"/>
        <w:rPr>
          <w:sz w:val="26"/>
          <w:szCs w:val="26"/>
        </w:rPr>
      </w:pPr>
      <w:r>
        <w:rPr>
          <w:sz w:val="26"/>
          <w:szCs w:val="26"/>
        </w:rPr>
        <w:t>式中：x、y—计算点处的位置坐标m；</w:t>
      </w:r>
    </w:p>
    <w:p w14:paraId="540C9BD0">
      <w:pPr>
        <w:spacing w:line="360" w:lineRule="auto"/>
        <w:ind w:firstLine="1300" w:firstLineChars="500"/>
        <w:rPr>
          <w:sz w:val="26"/>
          <w:szCs w:val="26"/>
        </w:rPr>
      </w:pPr>
      <w:r>
        <w:rPr>
          <w:sz w:val="26"/>
          <w:szCs w:val="26"/>
        </w:rPr>
        <w:t>t—时间，d；</w:t>
      </w:r>
    </w:p>
    <w:p w14:paraId="02C25E4C">
      <w:pPr>
        <w:spacing w:line="360" w:lineRule="auto"/>
        <w:ind w:firstLine="1300" w:firstLineChars="500"/>
        <w:rPr>
          <w:sz w:val="26"/>
          <w:szCs w:val="26"/>
        </w:rPr>
      </w:pPr>
      <w:r>
        <w:rPr>
          <w:sz w:val="26"/>
          <w:szCs w:val="26"/>
        </w:rPr>
        <w:t>C（x，y，t ）—t时刻点x，y处的示踪剂浓度，mg/L；</w:t>
      </w:r>
    </w:p>
    <w:p w14:paraId="75A83404">
      <w:pPr>
        <w:spacing w:line="360" w:lineRule="auto"/>
        <w:ind w:firstLine="1300" w:firstLineChars="500"/>
        <w:rPr>
          <w:sz w:val="26"/>
          <w:szCs w:val="26"/>
        </w:rPr>
      </w:pPr>
      <w:r>
        <w:rPr>
          <w:sz w:val="26"/>
          <w:szCs w:val="26"/>
        </w:rPr>
        <w:t>M —含水层的厚度，m；</w:t>
      </w:r>
    </w:p>
    <w:p w14:paraId="50E07650">
      <w:pPr>
        <w:spacing w:line="360" w:lineRule="auto"/>
        <w:ind w:firstLine="1300" w:firstLineChars="500"/>
        <w:rPr>
          <w:sz w:val="26"/>
          <w:szCs w:val="26"/>
        </w:rPr>
      </w:pPr>
      <w:r>
        <w:rPr>
          <w:sz w:val="26"/>
          <w:szCs w:val="26"/>
        </w:rPr>
        <w:t>m</w:t>
      </w:r>
      <w:r>
        <w:rPr>
          <w:sz w:val="26"/>
          <w:szCs w:val="26"/>
          <w:vertAlign w:val="subscript"/>
        </w:rPr>
        <w:t>M</w:t>
      </w:r>
      <w:r>
        <w:rPr>
          <w:sz w:val="26"/>
          <w:szCs w:val="26"/>
        </w:rPr>
        <w:t>—长度为M的线源瞬时注入的示踪剂质量，g；</w:t>
      </w:r>
    </w:p>
    <w:p w14:paraId="4E27CB61">
      <w:pPr>
        <w:spacing w:line="360" w:lineRule="auto"/>
        <w:ind w:firstLine="1300" w:firstLineChars="500"/>
        <w:rPr>
          <w:sz w:val="26"/>
          <w:szCs w:val="26"/>
        </w:rPr>
      </w:pPr>
      <w:r>
        <w:rPr>
          <w:sz w:val="26"/>
          <w:szCs w:val="26"/>
        </w:rPr>
        <w:t>u—水流速度，m/d；</w:t>
      </w:r>
    </w:p>
    <w:p w14:paraId="67B22CCA">
      <w:pPr>
        <w:spacing w:line="360" w:lineRule="auto"/>
        <w:ind w:firstLine="1300" w:firstLineChars="500"/>
        <w:rPr>
          <w:sz w:val="26"/>
          <w:szCs w:val="26"/>
        </w:rPr>
      </w:pPr>
      <w:r>
        <w:rPr>
          <w:sz w:val="26"/>
          <w:szCs w:val="26"/>
        </w:rPr>
        <w:t>n</w:t>
      </w:r>
      <w:r>
        <w:rPr>
          <w:sz w:val="26"/>
          <w:szCs w:val="26"/>
          <w:vertAlign w:val="subscript"/>
        </w:rPr>
        <w:t>e</w:t>
      </w:r>
      <w:r>
        <w:rPr>
          <w:sz w:val="26"/>
          <w:szCs w:val="26"/>
        </w:rPr>
        <w:t>—有效孔隙度，无量纲；</w:t>
      </w:r>
    </w:p>
    <w:p w14:paraId="396D3872">
      <w:pPr>
        <w:spacing w:line="360" w:lineRule="auto"/>
        <w:ind w:firstLine="1300" w:firstLineChars="500"/>
        <w:rPr>
          <w:sz w:val="26"/>
          <w:szCs w:val="26"/>
        </w:rPr>
      </w:pPr>
      <w:r>
        <w:rPr>
          <w:sz w:val="26"/>
          <w:szCs w:val="26"/>
        </w:rPr>
        <w:t>D</w:t>
      </w:r>
      <w:r>
        <w:rPr>
          <w:sz w:val="26"/>
          <w:szCs w:val="26"/>
          <w:vertAlign w:val="subscript"/>
        </w:rPr>
        <w:t>L</w:t>
      </w:r>
      <w:r>
        <w:rPr>
          <w:sz w:val="26"/>
          <w:szCs w:val="26"/>
        </w:rPr>
        <w:t>—纵向弥散系数，m</w:t>
      </w:r>
      <w:r>
        <w:rPr>
          <w:sz w:val="26"/>
          <w:szCs w:val="26"/>
          <w:vertAlign w:val="superscript"/>
        </w:rPr>
        <w:t>2</w:t>
      </w:r>
      <w:r>
        <w:rPr>
          <w:sz w:val="26"/>
          <w:szCs w:val="26"/>
        </w:rPr>
        <w:t>/d；</w:t>
      </w:r>
    </w:p>
    <w:p w14:paraId="2E1B38F1">
      <w:pPr>
        <w:spacing w:line="360" w:lineRule="auto"/>
        <w:ind w:firstLine="1300" w:firstLineChars="500"/>
        <w:rPr>
          <w:sz w:val="26"/>
          <w:szCs w:val="26"/>
        </w:rPr>
      </w:pPr>
      <w:r>
        <w:rPr>
          <w:sz w:val="26"/>
          <w:szCs w:val="26"/>
        </w:rPr>
        <w:t>D</w:t>
      </w:r>
      <w:r>
        <w:rPr>
          <w:sz w:val="26"/>
          <w:szCs w:val="26"/>
          <w:vertAlign w:val="subscript"/>
        </w:rPr>
        <w:t>T</w:t>
      </w:r>
      <w:r>
        <w:rPr>
          <w:sz w:val="26"/>
          <w:szCs w:val="26"/>
        </w:rPr>
        <w:t>—横向弥散系数，m</w:t>
      </w:r>
      <w:r>
        <w:rPr>
          <w:sz w:val="26"/>
          <w:szCs w:val="26"/>
          <w:vertAlign w:val="superscript"/>
        </w:rPr>
        <w:t>2</w:t>
      </w:r>
      <w:r>
        <w:rPr>
          <w:sz w:val="26"/>
          <w:szCs w:val="26"/>
        </w:rPr>
        <w:t>/d；</w:t>
      </w:r>
    </w:p>
    <w:p w14:paraId="656452FC">
      <w:pPr>
        <w:spacing w:line="360" w:lineRule="auto"/>
        <w:ind w:firstLine="1300" w:firstLineChars="500"/>
        <w:rPr>
          <w:sz w:val="26"/>
          <w:szCs w:val="26"/>
        </w:rPr>
      </w:pPr>
      <w:r>
        <w:rPr>
          <w:sz w:val="26"/>
          <w:szCs w:val="26"/>
        </w:rPr>
        <w:t>π—圆周率。</w:t>
      </w:r>
    </w:p>
    <w:p w14:paraId="54D07ACB">
      <w:pPr>
        <w:adjustRightInd w:val="0"/>
        <w:snapToGrid w:val="0"/>
        <w:spacing w:line="480" w:lineRule="exact"/>
        <w:ind w:firstLine="522" w:firstLineChars="200"/>
        <w:outlineLvl w:val="2"/>
        <w:rPr>
          <w:b/>
          <w:sz w:val="26"/>
          <w:szCs w:val="26"/>
        </w:rPr>
      </w:pPr>
      <w:r>
        <w:rPr>
          <w:rFonts w:hint="eastAsia"/>
          <w:b/>
          <w:sz w:val="26"/>
          <w:szCs w:val="26"/>
        </w:rPr>
        <w:t>6</w:t>
      </w:r>
      <w:r>
        <w:rPr>
          <w:b/>
          <w:sz w:val="26"/>
          <w:szCs w:val="26"/>
        </w:rPr>
        <w:t>.4.7 地下水预测与评价结果</w:t>
      </w:r>
    </w:p>
    <w:p w14:paraId="5D039124">
      <w:pPr>
        <w:adjustRightInd w:val="0"/>
        <w:snapToGrid w:val="0"/>
        <w:spacing w:line="480" w:lineRule="exact"/>
        <w:ind w:firstLine="520" w:firstLineChars="200"/>
        <w:rPr>
          <w:sz w:val="26"/>
          <w:szCs w:val="26"/>
        </w:rPr>
      </w:pPr>
      <w:r>
        <w:rPr>
          <w:rFonts w:hint="eastAsia"/>
          <w:sz w:val="26"/>
          <w:szCs w:val="26"/>
        </w:rPr>
        <w:t>（1）正常状况下地下水污染预测评价结果</w:t>
      </w:r>
    </w:p>
    <w:p w14:paraId="6CE3F249">
      <w:pPr>
        <w:pStyle w:val="702"/>
        <w:ind w:firstLine="520"/>
        <w:rPr>
          <w:rFonts w:cs="Times New Roman"/>
        </w:rPr>
      </w:pPr>
      <w:r>
        <w:rPr>
          <w:rFonts w:hint="eastAsia" w:cs="Times New Roman"/>
        </w:rPr>
        <w:t>本项目气田水储罐区和凝析油储罐区设置了围堰，储罐区和围堰均采取了严格的防渗、防溢流、防泄漏、防腐蚀等措施，正常状况下污染物不会发生渗漏并进入地下，不会对地下水造成污染。场地修建的防渗层对污废水有较好的阻隔效果，项目场地在正常运行状况下，即使发生轻微的滴漏，在防渗层的阻隔下也不会对地下水环境产生影响。</w:t>
      </w:r>
    </w:p>
    <w:p w14:paraId="7FD2BD0C">
      <w:pPr>
        <w:adjustRightInd w:val="0"/>
        <w:snapToGrid w:val="0"/>
        <w:spacing w:line="480" w:lineRule="exact"/>
        <w:ind w:firstLine="520" w:firstLineChars="200"/>
        <w:rPr>
          <w:sz w:val="26"/>
          <w:szCs w:val="26"/>
        </w:rPr>
      </w:pPr>
      <w:r>
        <w:rPr>
          <w:rFonts w:hint="eastAsia"/>
          <w:sz w:val="26"/>
          <w:szCs w:val="26"/>
        </w:rPr>
        <w:t>（2）非正常状况下地下水污染预测评价结果</w:t>
      </w:r>
    </w:p>
    <w:p w14:paraId="52AB702B">
      <w:pPr>
        <w:autoSpaceDE w:val="0"/>
        <w:autoSpaceDN w:val="0"/>
        <w:spacing w:line="460" w:lineRule="exact"/>
        <w:ind w:firstLine="520" w:firstLineChars="200"/>
        <w:rPr>
          <w:sz w:val="26"/>
          <w:szCs w:val="26"/>
        </w:rPr>
      </w:pPr>
      <w:r>
        <w:rPr>
          <w:rFonts w:hint="eastAsia"/>
          <w:sz w:val="26"/>
          <w:szCs w:val="26"/>
        </w:rPr>
        <w:t>1）</w:t>
      </w:r>
      <w:r>
        <w:rPr>
          <w:rFonts w:ascii="宋体" w:hAnsi="宋体"/>
          <w:snapToGrid w:val="0"/>
          <w:sz w:val="26"/>
          <w:szCs w:val="26"/>
        </w:rPr>
        <w:t>预测因子参照标准</w:t>
      </w:r>
    </w:p>
    <w:p w14:paraId="15FAF060">
      <w:pPr>
        <w:autoSpaceDE w:val="0"/>
        <w:autoSpaceDN w:val="0"/>
        <w:spacing w:line="460" w:lineRule="exact"/>
        <w:ind w:firstLine="520" w:firstLineChars="200"/>
        <w:rPr>
          <w:sz w:val="26"/>
          <w:szCs w:val="26"/>
        </w:rPr>
      </w:pPr>
      <w:r>
        <w:rPr>
          <w:rFonts w:hint="eastAsia"/>
          <w:sz w:val="26"/>
          <w:szCs w:val="26"/>
        </w:rPr>
        <w:t>本项目预测因子地下水水质需执行《地下水质量标准》(GB/T14848-2017)</w:t>
      </w:r>
      <w:r>
        <w:rPr>
          <w:sz w:val="26"/>
          <w:szCs w:val="26"/>
        </w:rPr>
        <w:t>Ⅲ</w:t>
      </w:r>
      <w:r>
        <w:rPr>
          <w:rFonts w:hint="eastAsia"/>
          <w:sz w:val="26"/>
          <w:szCs w:val="26"/>
        </w:rPr>
        <w:t>类水质标准，COD、石油类参考《地表水环境质量标准》（GB3838-2002）中</w:t>
      </w:r>
      <w:r>
        <w:rPr>
          <w:sz w:val="26"/>
          <w:szCs w:val="26"/>
        </w:rPr>
        <w:t>Ⅲ</w:t>
      </w:r>
      <w:r>
        <w:rPr>
          <w:rFonts w:hint="eastAsia"/>
          <w:sz w:val="26"/>
          <w:szCs w:val="26"/>
        </w:rPr>
        <w:t>类水标准。本次评价污染物超标情况以各预测因子的地下水环境质量标准限值为判别依据（见</w:t>
      </w:r>
      <w:r>
        <w:rPr>
          <w:rFonts w:hint="eastAsia"/>
          <w:sz w:val="26"/>
          <w:szCs w:val="26"/>
          <w:u w:val="single"/>
        </w:rPr>
        <w:t>表</w:t>
      </w:r>
      <w:r>
        <w:rPr>
          <w:sz w:val="26"/>
          <w:szCs w:val="26"/>
          <w:u w:val="single"/>
        </w:rPr>
        <w:t>6.4-</w:t>
      </w:r>
      <w:r>
        <w:rPr>
          <w:rFonts w:hint="eastAsia"/>
          <w:sz w:val="26"/>
          <w:szCs w:val="26"/>
          <w:u w:val="single"/>
        </w:rPr>
        <w:t>5</w:t>
      </w:r>
      <w:r>
        <w:rPr>
          <w:rFonts w:hint="eastAsia"/>
          <w:sz w:val="26"/>
          <w:szCs w:val="26"/>
        </w:rPr>
        <w:t>），地下水影响情况以预测因子浓度恢复到环境背景值作为标准。当预测结果叠加环境背景值小于标准限值时，即可视为污染物不会对地下水产生污染，当污染物浓度回到环境背景值时，即可视为对地下水环境没有影响。储油罐的油类物质在水环境中，用污染物石油类表示。</w:t>
      </w:r>
    </w:p>
    <w:p w14:paraId="56E442AE">
      <w:pPr>
        <w:autoSpaceDE w:val="0"/>
        <w:autoSpaceDN w:val="0"/>
        <w:spacing w:line="460" w:lineRule="exact"/>
        <w:ind w:firstLine="520" w:firstLineChars="200"/>
        <w:rPr>
          <w:sz w:val="26"/>
          <w:szCs w:val="26"/>
        </w:rPr>
      </w:pPr>
      <w:r>
        <w:rPr>
          <w:rFonts w:hint="eastAsia"/>
          <w:sz w:val="26"/>
          <w:szCs w:val="26"/>
        </w:rPr>
        <w:t>2）</w:t>
      </w:r>
      <w:r>
        <w:rPr>
          <w:rFonts w:ascii="宋体" w:hAnsi="宋体"/>
          <w:snapToGrid w:val="0"/>
          <w:sz w:val="26"/>
          <w:szCs w:val="26"/>
        </w:rPr>
        <w:t>预测因子地下水中环境背景值</w:t>
      </w:r>
    </w:p>
    <w:p w14:paraId="0DDEE2B5">
      <w:pPr>
        <w:pStyle w:val="1381"/>
        <w:ind w:firstLine="520"/>
      </w:pPr>
      <w:r>
        <w:t>取评价范围内5个地下水质量监测井中预测因子监测结果的平均值作为预测因子在评价范围的地下水中环境背景值（若监测结果小于检出限，</w:t>
      </w:r>
      <w:r>
        <w:rPr>
          <w:rFonts w:hint="eastAsia"/>
        </w:rPr>
        <w:t>按最大污染可能性考虑，即选择</w:t>
      </w:r>
      <w:r>
        <w:t>检出限浓度</w:t>
      </w:r>
      <w:r>
        <w:rPr>
          <w:rFonts w:hint="eastAsia"/>
        </w:rPr>
        <w:t>作为环境背景值</w:t>
      </w:r>
      <w:r>
        <w:t>）。则得到</w:t>
      </w:r>
      <w:r>
        <w:rPr>
          <w:rFonts w:hint="eastAsia"/>
        </w:rPr>
        <w:t>COD</w:t>
      </w:r>
      <w:r>
        <w:t>在地下水中环境背景值为</w:t>
      </w:r>
      <w:r>
        <w:rPr>
          <w:rFonts w:hint="eastAsia"/>
        </w:rPr>
        <w:t>6.84</w:t>
      </w:r>
      <w:r>
        <w:t>mg/L</w:t>
      </w:r>
      <w:r>
        <w:rPr>
          <w:rFonts w:hint="eastAsia"/>
        </w:rPr>
        <w:t>、石油类</w:t>
      </w:r>
      <w:r>
        <w:t>在地下水中环境背景值为</w:t>
      </w:r>
      <w:r>
        <w:rPr>
          <w:rFonts w:hint="eastAsia"/>
        </w:rPr>
        <w:t>0.01</w:t>
      </w:r>
      <w:r>
        <w:t>mg/L</w:t>
      </w:r>
      <w:r>
        <w:rPr>
          <w:rFonts w:hint="eastAsia"/>
        </w:rPr>
        <w:t>（以检出限为指标）、氯化物</w:t>
      </w:r>
      <w:r>
        <w:t>在地下水中环境背景值为</w:t>
      </w:r>
      <w:r>
        <w:rPr>
          <w:rFonts w:hint="eastAsia"/>
        </w:rPr>
        <w:t>14.07</w:t>
      </w:r>
      <w:r>
        <w:t>mg/L</w:t>
      </w:r>
      <w:r>
        <w:rPr>
          <w:rFonts w:hint="eastAsia"/>
        </w:rPr>
        <w:t>、钡离子</w:t>
      </w:r>
      <w:r>
        <w:t>在地下水中环境背景值为</w:t>
      </w:r>
      <w:r>
        <w:rPr>
          <w:rFonts w:hint="eastAsia"/>
        </w:rPr>
        <w:t>0.323</w:t>
      </w:r>
      <w:r>
        <w:t>mg/L</w:t>
      </w:r>
      <w:r>
        <w:rPr>
          <w:rFonts w:hint="eastAsia"/>
        </w:rPr>
        <w:t>。</w:t>
      </w:r>
    </w:p>
    <w:p w14:paraId="3AABF6E5">
      <w:pPr>
        <w:pStyle w:val="1379"/>
        <w:ind w:firstLine="440"/>
      </w:pPr>
    </w:p>
    <w:p w14:paraId="722B916B">
      <w:pPr>
        <w:adjustRightInd w:val="0"/>
        <w:snapToGrid w:val="0"/>
        <w:jc w:val="center"/>
        <w:rPr>
          <w:bCs/>
          <w:sz w:val="26"/>
          <w:szCs w:val="26"/>
        </w:rPr>
      </w:pPr>
      <w:r>
        <w:rPr>
          <w:rFonts w:hint="eastAsia"/>
          <w:bCs/>
          <w:sz w:val="26"/>
          <w:szCs w:val="26"/>
        </w:rPr>
        <w:t>表</w:t>
      </w:r>
      <w:r>
        <w:rPr>
          <w:bCs/>
          <w:sz w:val="26"/>
          <w:szCs w:val="26"/>
        </w:rPr>
        <w:t>6.4-</w:t>
      </w:r>
      <w:r>
        <w:rPr>
          <w:rFonts w:hint="eastAsia"/>
          <w:bCs/>
          <w:sz w:val="26"/>
          <w:szCs w:val="26"/>
        </w:rPr>
        <w:t>5</w:t>
      </w:r>
      <w:r>
        <w:rPr>
          <w:bCs/>
          <w:sz w:val="26"/>
          <w:szCs w:val="26"/>
        </w:rPr>
        <w:t xml:space="preserve">  </w:t>
      </w:r>
      <w:r>
        <w:rPr>
          <w:rFonts w:hint="eastAsia"/>
          <w:bCs/>
          <w:sz w:val="26"/>
          <w:szCs w:val="26"/>
        </w:rPr>
        <w:t>各污染指标质量标准及检出限一览表</w:t>
      </w:r>
    </w:p>
    <w:tbl>
      <w:tblPr>
        <w:tblStyle w:val="88"/>
        <w:tblW w:w="48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5"/>
        <w:gridCol w:w="1696"/>
        <w:gridCol w:w="1696"/>
        <w:gridCol w:w="1459"/>
        <w:gridCol w:w="1682"/>
      </w:tblGrid>
      <w:tr w14:paraId="28E7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noWrap/>
            <w:vAlign w:val="center"/>
          </w:tcPr>
          <w:p w14:paraId="0C76BB19">
            <w:pPr>
              <w:pStyle w:val="951"/>
            </w:pPr>
            <w:r>
              <w:rPr>
                <w:rFonts w:hint="eastAsia" w:ascii="宋体" w:hAnsi="宋体" w:eastAsia="宋体" w:cs="宋体"/>
              </w:rPr>
              <w:t>类别</w:t>
            </w:r>
          </w:p>
        </w:tc>
        <w:tc>
          <w:tcPr>
            <w:tcW w:w="974" w:type="pct"/>
            <w:vAlign w:val="center"/>
          </w:tcPr>
          <w:p w14:paraId="41F4600F">
            <w:pPr>
              <w:pStyle w:val="951"/>
            </w:pPr>
            <w:r>
              <w:rPr>
                <w:rFonts w:hint="eastAsia"/>
              </w:rPr>
              <w:t>COD</w:t>
            </w:r>
          </w:p>
        </w:tc>
        <w:tc>
          <w:tcPr>
            <w:tcW w:w="974" w:type="pct"/>
            <w:noWrap/>
            <w:vAlign w:val="center"/>
          </w:tcPr>
          <w:p w14:paraId="5715FF35">
            <w:pPr>
              <w:pStyle w:val="951"/>
            </w:pPr>
            <w:r>
              <w:rPr>
                <w:rFonts w:hint="eastAsia" w:ascii="宋体" w:hAnsi="宋体" w:eastAsia="宋体" w:cs="宋体"/>
              </w:rPr>
              <w:t>石油类</w:t>
            </w:r>
          </w:p>
        </w:tc>
        <w:tc>
          <w:tcPr>
            <w:tcW w:w="838" w:type="pct"/>
            <w:vAlign w:val="center"/>
          </w:tcPr>
          <w:p w14:paraId="01EC7358">
            <w:pPr>
              <w:pStyle w:val="951"/>
            </w:pPr>
            <w:r>
              <w:rPr>
                <w:rFonts w:hint="eastAsia" w:ascii="宋体" w:hAnsi="宋体" w:eastAsia="宋体" w:cs="宋体"/>
              </w:rPr>
              <w:t>氯化物</w:t>
            </w:r>
          </w:p>
        </w:tc>
        <w:tc>
          <w:tcPr>
            <w:tcW w:w="965" w:type="pct"/>
            <w:vAlign w:val="center"/>
          </w:tcPr>
          <w:p w14:paraId="67119756">
            <w:pPr>
              <w:pStyle w:val="951"/>
            </w:pPr>
            <w:r>
              <w:rPr>
                <w:rFonts w:hint="eastAsia" w:ascii="宋体" w:hAnsi="宋体" w:eastAsia="宋体" w:cs="宋体"/>
              </w:rPr>
              <w:t>钡离子</w:t>
            </w:r>
          </w:p>
        </w:tc>
      </w:tr>
      <w:tr w14:paraId="4B01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noWrap/>
            <w:vAlign w:val="center"/>
          </w:tcPr>
          <w:p w14:paraId="5A742744">
            <w:pPr>
              <w:pStyle w:val="951"/>
            </w:pPr>
            <w:r>
              <w:rPr>
                <w:rFonts w:hint="eastAsia" w:ascii="宋体" w:hAnsi="宋体" w:eastAsia="宋体" w:cs="宋体"/>
              </w:rPr>
              <w:t>环境质量标准</w:t>
            </w:r>
            <w:r>
              <w:t>mg/</w:t>
            </w:r>
            <w:r>
              <w:rPr>
                <w:rFonts w:hint="eastAsia"/>
              </w:rPr>
              <w:t>L</w:t>
            </w:r>
          </w:p>
        </w:tc>
        <w:tc>
          <w:tcPr>
            <w:tcW w:w="974" w:type="pct"/>
            <w:vAlign w:val="center"/>
          </w:tcPr>
          <w:p w14:paraId="3513346B">
            <w:pPr>
              <w:pStyle w:val="951"/>
            </w:pPr>
            <w:r>
              <w:rPr>
                <w:rFonts w:hint="eastAsia"/>
              </w:rPr>
              <w:t>20</w:t>
            </w:r>
          </w:p>
        </w:tc>
        <w:tc>
          <w:tcPr>
            <w:tcW w:w="974" w:type="pct"/>
            <w:noWrap/>
            <w:vAlign w:val="center"/>
          </w:tcPr>
          <w:p w14:paraId="3CCEC91C">
            <w:pPr>
              <w:pStyle w:val="951"/>
            </w:pPr>
            <w:r>
              <w:t>0.05</w:t>
            </w:r>
          </w:p>
        </w:tc>
        <w:tc>
          <w:tcPr>
            <w:tcW w:w="838" w:type="pct"/>
            <w:vAlign w:val="center"/>
          </w:tcPr>
          <w:p w14:paraId="640601A6">
            <w:pPr>
              <w:pStyle w:val="951"/>
            </w:pPr>
            <w:r>
              <w:rPr>
                <w:rFonts w:hint="eastAsia"/>
              </w:rPr>
              <w:t>250</w:t>
            </w:r>
          </w:p>
        </w:tc>
        <w:tc>
          <w:tcPr>
            <w:tcW w:w="965" w:type="pct"/>
            <w:vAlign w:val="center"/>
          </w:tcPr>
          <w:p w14:paraId="557A2C46">
            <w:pPr>
              <w:pStyle w:val="951"/>
            </w:pPr>
            <w:r>
              <w:rPr>
                <w:rFonts w:hint="eastAsia"/>
              </w:rPr>
              <w:t>0.7</w:t>
            </w:r>
          </w:p>
        </w:tc>
      </w:tr>
      <w:tr w14:paraId="38DC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49" w:type="pct"/>
            <w:noWrap/>
            <w:vAlign w:val="center"/>
          </w:tcPr>
          <w:p w14:paraId="0CF2AF18">
            <w:pPr>
              <w:pStyle w:val="951"/>
              <w:rPr>
                <w:rFonts w:cs="宋体"/>
              </w:rPr>
            </w:pPr>
            <w:r>
              <w:rPr>
                <w:rFonts w:hint="eastAsia" w:ascii="宋体" w:hAnsi="宋体" w:eastAsia="宋体" w:cs="宋体"/>
              </w:rPr>
              <w:t>环境背景值</w:t>
            </w:r>
            <w:r>
              <w:t>mg/</w:t>
            </w:r>
            <w:r>
              <w:rPr>
                <w:rFonts w:hint="eastAsia"/>
              </w:rPr>
              <w:t>L</w:t>
            </w:r>
          </w:p>
        </w:tc>
        <w:tc>
          <w:tcPr>
            <w:tcW w:w="974" w:type="pct"/>
            <w:vAlign w:val="center"/>
          </w:tcPr>
          <w:p w14:paraId="5533F081">
            <w:pPr>
              <w:pStyle w:val="951"/>
              <w:rPr>
                <w:rFonts w:eastAsia="宋体"/>
                <w:lang w:val="en-US"/>
              </w:rPr>
            </w:pPr>
            <w:r>
              <w:rPr>
                <w:rFonts w:eastAsia="宋体"/>
                <w:lang w:val="en-US"/>
              </w:rPr>
              <w:t>6.84</w:t>
            </w:r>
          </w:p>
        </w:tc>
        <w:tc>
          <w:tcPr>
            <w:tcW w:w="974" w:type="pct"/>
            <w:noWrap/>
            <w:vAlign w:val="center"/>
          </w:tcPr>
          <w:p w14:paraId="449E54F6">
            <w:pPr>
              <w:pStyle w:val="951"/>
            </w:pPr>
            <w:r>
              <w:rPr>
                <w:rFonts w:hint="eastAsia"/>
              </w:rPr>
              <w:t>0.01</w:t>
            </w:r>
          </w:p>
        </w:tc>
        <w:tc>
          <w:tcPr>
            <w:tcW w:w="838" w:type="pct"/>
            <w:vAlign w:val="center"/>
          </w:tcPr>
          <w:p w14:paraId="092E41E1">
            <w:pPr>
              <w:pStyle w:val="951"/>
              <w:rPr>
                <w:rFonts w:eastAsia="宋体"/>
                <w:lang w:val="en-US"/>
              </w:rPr>
            </w:pPr>
            <w:r>
              <w:rPr>
                <w:rFonts w:hint="eastAsia" w:eastAsia="宋体"/>
                <w:lang w:val="en-US"/>
              </w:rPr>
              <w:t>14.07</w:t>
            </w:r>
          </w:p>
        </w:tc>
        <w:tc>
          <w:tcPr>
            <w:tcW w:w="965" w:type="pct"/>
            <w:vAlign w:val="center"/>
          </w:tcPr>
          <w:p w14:paraId="4EA2066A">
            <w:pPr>
              <w:pStyle w:val="951"/>
              <w:rPr>
                <w:rFonts w:eastAsia="宋体"/>
                <w:lang w:val="en-US"/>
              </w:rPr>
            </w:pPr>
            <w:r>
              <w:rPr>
                <w:rFonts w:hint="eastAsia" w:eastAsia="宋体"/>
                <w:lang w:val="en-US"/>
              </w:rPr>
              <w:t>0.323</w:t>
            </w:r>
          </w:p>
        </w:tc>
      </w:tr>
    </w:tbl>
    <w:p w14:paraId="108CADAF">
      <w:pPr>
        <w:pStyle w:val="1379"/>
        <w:ind w:firstLine="440"/>
      </w:pPr>
    </w:p>
    <w:p w14:paraId="7FEFD7CE">
      <w:pPr>
        <w:pStyle w:val="1085"/>
        <w:spacing w:line="460" w:lineRule="exact"/>
        <w:ind w:firstLine="520"/>
        <w:rPr>
          <w:sz w:val="26"/>
          <w:szCs w:val="26"/>
        </w:rPr>
      </w:pPr>
      <w:r>
        <w:rPr>
          <w:rFonts w:hint="eastAsia"/>
          <w:sz w:val="26"/>
          <w:szCs w:val="26"/>
        </w:rPr>
        <w:t>3）预测结果分析：</w:t>
      </w:r>
    </w:p>
    <w:p w14:paraId="2F36F3BF">
      <w:pPr>
        <w:numPr>
          <w:ilvl w:val="0"/>
          <w:numId w:val="38"/>
        </w:numPr>
        <w:spacing w:line="480" w:lineRule="exact"/>
        <w:ind w:left="884" w:hanging="363"/>
        <w:outlineLvl w:val="4"/>
        <w:rPr>
          <w:rFonts w:cs="Courier New"/>
          <w:sz w:val="26"/>
        </w:rPr>
      </w:pPr>
      <w:r>
        <w:rPr>
          <w:rFonts w:hint="eastAsia" w:cs="Courier New"/>
          <w:sz w:val="26"/>
        </w:rPr>
        <w:t>气田水储罐泄漏</w:t>
      </w:r>
    </w:p>
    <w:p w14:paraId="6A31AE3E">
      <w:pPr>
        <w:pStyle w:val="1381"/>
        <w:ind w:firstLine="520"/>
        <w:rPr>
          <w:rFonts w:eastAsia="黑体"/>
        </w:rPr>
      </w:pPr>
      <w:r>
        <w:t>非正常状况下，由于腐蚀、地基不均匀沉降或者其他外力作用导致采出水储罐</w:t>
      </w:r>
      <w:r>
        <w:rPr>
          <w:rFonts w:hint="eastAsia"/>
        </w:rPr>
        <w:t>和围堰防渗层同时</w:t>
      </w:r>
      <w:r>
        <w:t>发生破裂，</w:t>
      </w:r>
      <w:r>
        <w:rPr>
          <w:rFonts w:hint="eastAsia"/>
        </w:rPr>
        <w:t>气田水</w:t>
      </w:r>
      <w:r>
        <w:t>渗入到地下水中</w:t>
      </w:r>
      <w:r>
        <w:rPr>
          <w:rFonts w:hint="eastAsia"/>
        </w:rPr>
        <w:t>。</w:t>
      </w:r>
      <w:r>
        <w:t>按</w:t>
      </w:r>
      <w:r>
        <w:rPr>
          <w:rFonts w:hint="eastAsia"/>
        </w:rPr>
        <w:t>污染影响</w:t>
      </w:r>
      <w:r>
        <w:t>最大预测，不考虑地面的人工防渗措施，综合考虑地下水流向、周围敏感点的分布开展预测模拟，</w:t>
      </w:r>
      <w:r>
        <w:rPr>
          <w:rFonts w:hint="eastAsia"/>
        </w:rPr>
        <w:t>各污染物在</w:t>
      </w:r>
      <w:r>
        <w:t>含水层中的</w:t>
      </w:r>
      <w:r>
        <w:rPr>
          <w:rFonts w:hint="eastAsia"/>
        </w:rPr>
        <w:t>超标距离和影响距离见</w:t>
      </w:r>
      <w:r>
        <w:rPr>
          <w:rFonts w:hint="eastAsia"/>
          <w:u w:val="single"/>
        </w:rPr>
        <w:t>表6.4-6</w:t>
      </w:r>
      <w:r>
        <w:rPr>
          <w:rFonts w:hint="eastAsia"/>
        </w:rPr>
        <w:t>所示</w:t>
      </w:r>
      <w:r>
        <w:t>，</w:t>
      </w:r>
      <w:r>
        <w:rPr>
          <w:rFonts w:hint="eastAsia"/>
        </w:rPr>
        <w:t>各时段</w:t>
      </w:r>
      <w:r>
        <w:t>污染物的浓度变化曲线</w:t>
      </w:r>
      <w:r>
        <w:rPr>
          <w:rFonts w:hint="eastAsia"/>
        </w:rPr>
        <w:t>如</w:t>
      </w:r>
      <w:r>
        <w:rPr>
          <w:rFonts w:hint="eastAsia"/>
          <w:u w:val="single"/>
        </w:rPr>
        <w:t>图6.4</w:t>
      </w:r>
      <w:r>
        <w:rPr>
          <w:u w:val="single"/>
        </w:rPr>
        <w:t>-1~</w:t>
      </w:r>
      <w:r>
        <w:rPr>
          <w:rFonts w:hint="eastAsia"/>
          <w:u w:val="single"/>
        </w:rPr>
        <w:t>6</w:t>
      </w:r>
      <w:r>
        <w:rPr>
          <w:u w:val="single"/>
        </w:rPr>
        <w:t>.</w:t>
      </w:r>
      <w:r>
        <w:rPr>
          <w:rFonts w:hint="eastAsia"/>
          <w:u w:val="single"/>
        </w:rPr>
        <w:t>4</w:t>
      </w:r>
      <w:r>
        <w:rPr>
          <w:u w:val="single"/>
        </w:rPr>
        <w:t>-</w:t>
      </w:r>
      <w:r>
        <w:rPr>
          <w:rFonts w:hint="eastAsia"/>
          <w:u w:val="single"/>
        </w:rPr>
        <w:t>4</w:t>
      </w:r>
      <w:r>
        <w:t>所示</w:t>
      </w:r>
      <w:r>
        <w:rPr>
          <w:rFonts w:hint="eastAsia"/>
        </w:rPr>
        <w:t>。</w:t>
      </w:r>
    </w:p>
    <w:p w14:paraId="0EF661C9">
      <w:pPr>
        <w:pStyle w:val="1379"/>
        <w:ind w:firstLine="440"/>
      </w:pPr>
    </w:p>
    <w:p w14:paraId="1D1206A8">
      <w:pPr>
        <w:adjustRightInd w:val="0"/>
        <w:snapToGrid w:val="0"/>
        <w:jc w:val="center"/>
        <w:rPr>
          <w:kern w:val="0"/>
          <w:sz w:val="26"/>
          <w:szCs w:val="26"/>
        </w:rPr>
      </w:pPr>
      <w:r>
        <w:rPr>
          <w:kern w:val="0"/>
          <w:sz w:val="26"/>
          <w:szCs w:val="26"/>
        </w:rPr>
        <w:t>表</w:t>
      </w:r>
      <w:r>
        <w:rPr>
          <w:rFonts w:hint="eastAsia"/>
          <w:kern w:val="0"/>
          <w:sz w:val="26"/>
          <w:szCs w:val="26"/>
        </w:rPr>
        <w:t>6</w:t>
      </w:r>
      <w:r>
        <w:rPr>
          <w:kern w:val="0"/>
          <w:sz w:val="26"/>
          <w:szCs w:val="26"/>
        </w:rPr>
        <w:t>.</w:t>
      </w:r>
      <w:r>
        <w:rPr>
          <w:rFonts w:hint="eastAsia"/>
          <w:kern w:val="0"/>
          <w:sz w:val="26"/>
          <w:szCs w:val="26"/>
        </w:rPr>
        <w:t>4</w:t>
      </w:r>
      <w:r>
        <w:rPr>
          <w:kern w:val="0"/>
          <w:sz w:val="26"/>
          <w:szCs w:val="26"/>
        </w:rPr>
        <w:t>-</w:t>
      </w:r>
      <w:r>
        <w:rPr>
          <w:rFonts w:hint="eastAsia"/>
          <w:kern w:val="0"/>
          <w:sz w:val="26"/>
          <w:szCs w:val="26"/>
        </w:rPr>
        <w:t>6</w:t>
      </w:r>
      <w:r>
        <w:rPr>
          <w:kern w:val="0"/>
          <w:sz w:val="26"/>
          <w:szCs w:val="26"/>
        </w:rPr>
        <w:t xml:space="preserve"> 各类污染因子预测评价结果统计表</w:t>
      </w:r>
    </w:p>
    <w:tbl>
      <w:tblPr>
        <w:tblStyle w:val="88"/>
        <w:tblW w:w="48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70"/>
        <w:gridCol w:w="1048"/>
        <w:gridCol w:w="1276"/>
        <w:gridCol w:w="3616"/>
        <w:gridCol w:w="1611"/>
      </w:tblGrid>
      <w:tr w14:paraId="34982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tcBorders>
              <w:top w:val="single" w:color="000000" w:sz="4" w:space="0"/>
              <w:tl2br w:val="nil"/>
              <w:tr2bl w:val="nil"/>
            </w:tcBorders>
            <w:vAlign w:val="center"/>
          </w:tcPr>
          <w:p w14:paraId="57961C11">
            <w:pPr>
              <w:adjustRightInd w:val="0"/>
              <w:snapToGrid w:val="0"/>
              <w:jc w:val="center"/>
              <w:rPr>
                <w:sz w:val="22"/>
                <w:szCs w:val="22"/>
              </w:rPr>
            </w:pPr>
            <w:r>
              <w:rPr>
                <w:kern w:val="0"/>
                <w:sz w:val="22"/>
                <w:szCs w:val="22"/>
                <w:lang w:bidi="ar"/>
              </w:rPr>
              <w:t>污染物种类</w:t>
            </w:r>
          </w:p>
        </w:tc>
        <w:tc>
          <w:tcPr>
            <w:tcW w:w="615" w:type="pct"/>
            <w:tcBorders>
              <w:top w:val="single" w:color="000000" w:sz="4" w:space="0"/>
              <w:tl2br w:val="nil"/>
              <w:tr2bl w:val="nil"/>
            </w:tcBorders>
            <w:vAlign w:val="center"/>
          </w:tcPr>
          <w:p w14:paraId="34BFAB7E">
            <w:pPr>
              <w:widowControl/>
              <w:adjustRightInd w:val="0"/>
              <w:snapToGrid w:val="0"/>
              <w:jc w:val="center"/>
              <w:textAlignment w:val="center"/>
              <w:rPr>
                <w:sz w:val="22"/>
                <w:szCs w:val="22"/>
              </w:rPr>
            </w:pPr>
            <w:r>
              <w:rPr>
                <w:kern w:val="0"/>
                <w:sz w:val="22"/>
                <w:szCs w:val="22"/>
                <w:lang w:bidi="ar"/>
              </w:rPr>
              <w:t>时间</w:t>
            </w:r>
          </w:p>
        </w:tc>
        <w:tc>
          <w:tcPr>
            <w:tcW w:w="749" w:type="pct"/>
            <w:tcBorders>
              <w:right w:val="single" w:color="000000" w:sz="4" w:space="0"/>
              <w:tl2br w:val="nil"/>
              <w:tr2bl w:val="nil"/>
            </w:tcBorders>
            <w:vAlign w:val="center"/>
          </w:tcPr>
          <w:p w14:paraId="3822C928">
            <w:pPr>
              <w:widowControl/>
              <w:adjustRightInd w:val="0"/>
              <w:snapToGrid w:val="0"/>
              <w:jc w:val="center"/>
              <w:textAlignment w:val="center"/>
              <w:rPr>
                <w:sz w:val="22"/>
                <w:szCs w:val="22"/>
              </w:rPr>
            </w:pPr>
            <w:r>
              <w:rPr>
                <w:kern w:val="0"/>
                <w:sz w:val="22"/>
                <w:szCs w:val="22"/>
                <w:lang w:bidi="ar"/>
              </w:rPr>
              <w:t>超标距离（m）</w:t>
            </w:r>
          </w:p>
        </w:tc>
        <w:tc>
          <w:tcPr>
            <w:tcW w:w="2122" w:type="pct"/>
            <w:tcBorders>
              <w:left w:val="single" w:color="000000" w:sz="4" w:space="0"/>
              <w:tl2br w:val="nil"/>
              <w:tr2bl w:val="nil"/>
            </w:tcBorders>
            <w:vAlign w:val="center"/>
          </w:tcPr>
          <w:p w14:paraId="298BC8D7">
            <w:pPr>
              <w:widowControl/>
              <w:adjustRightInd w:val="0"/>
              <w:snapToGrid w:val="0"/>
              <w:jc w:val="center"/>
              <w:textAlignment w:val="center"/>
              <w:rPr>
                <w:sz w:val="22"/>
                <w:szCs w:val="22"/>
              </w:rPr>
            </w:pPr>
            <w:r>
              <w:rPr>
                <w:kern w:val="0"/>
                <w:sz w:val="22"/>
                <w:szCs w:val="22"/>
                <w:lang w:bidi="ar"/>
              </w:rPr>
              <w:t>叠加背景值后污染晕最大浓度（mg/L）</w:t>
            </w:r>
          </w:p>
        </w:tc>
        <w:tc>
          <w:tcPr>
            <w:tcW w:w="945" w:type="pct"/>
            <w:tcBorders>
              <w:left w:val="single" w:color="000000" w:sz="4" w:space="0"/>
              <w:tl2br w:val="nil"/>
              <w:tr2bl w:val="nil"/>
            </w:tcBorders>
            <w:vAlign w:val="center"/>
          </w:tcPr>
          <w:p w14:paraId="72A4BA9E">
            <w:pPr>
              <w:widowControl/>
              <w:adjustRightInd w:val="0"/>
              <w:snapToGrid w:val="0"/>
              <w:jc w:val="center"/>
              <w:textAlignment w:val="center"/>
              <w:rPr>
                <w:kern w:val="0"/>
                <w:sz w:val="22"/>
                <w:szCs w:val="22"/>
                <w:lang w:bidi="ar"/>
              </w:rPr>
            </w:pPr>
            <w:r>
              <w:rPr>
                <w:kern w:val="0"/>
                <w:sz w:val="22"/>
                <w:szCs w:val="22"/>
                <w:lang w:bidi="ar"/>
              </w:rPr>
              <w:t>备注</w:t>
            </w:r>
          </w:p>
        </w:tc>
      </w:tr>
      <w:tr w14:paraId="2C0E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restart"/>
            <w:tcBorders>
              <w:tl2br w:val="nil"/>
              <w:tr2bl w:val="nil"/>
            </w:tcBorders>
            <w:noWrap/>
            <w:vAlign w:val="center"/>
          </w:tcPr>
          <w:p w14:paraId="4C79EEF9">
            <w:pPr>
              <w:widowControl/>
              <w:adjustRightInd w:val="0"/>
              <w:snapToGrid w:val="0"/>
              <w:jc w:val="center"/>
              <w:textAlignment w:val="center"/>
              <w:rPr>
                <w:sz w:val="22"/>
                <w:szCs w:val="22"/>
              </w:rPr>
            </w:pPr>
            <w:r>
              <w:rPr>
                <w:kern w:val="0"/>
                <w:sz w:val="22"/>
                <w:szCs w:val="22"/>
                <w:lang w:bidi="ar"/>
              </w:rPr>
              <w:t>COD</w:t>
            </w:r>
          </w:p>
        </w:tc>
        <w:tc>
          <w:tcPr>
            <w:tcW w:w="615" w:type="pct"/>
            <w:tcBorders>
              <w:tl2br w:val="nil"/>
              <w:tr2bl w:val="nil"/>
            </w:tcBorders>
            <w:noWrap/>
            <w:vAlign w:val="center"/>
          </w:tcPr>
          <w:p w14:paraId="7CD19F05">
            <w:pPr>
              <w:widowControl/>
              <w:adjustRightInd w:val="0"/>
              <w:snapToGrid w:val="0"/>
              <w:jc w:val="center"/>
              <w:textAlignment w:val="center"/>
              <w:rPr>
                <w:sz w:val="22"/>
                <w:szCs w:val="22"/>
              </w:rPr>
            </w:pPr>
            <w:r>
              <w:rPr>
                <w:rFonts w:eastAsia="等线"/>
                <w:sz w:val="22"/>
                <w:szCs w:val="22"/>
              </w:rPr>
              <w:t>100</w:t>
            </w:r>
            <w:r>
              <w:rPr>
                <w:rFonts w:hint="eastAsia"/>
                <w:sz w:val="22"/>
                <w:szCs w:val="22"/>
              </w:rPr>
              <w:t>天</w:t>
            </w:r>
          </w:p>
        </w:tc>
        <w:tc>
          <w:tcPr>
            <w:tcW w:w="749" w:type="pct"/>
            <w:tcBorders>
              <w:tl2br w:val="nil"/>
              <w:tr2bl w:val="nil"/>
            </w:tcBorders>
            <w:noWrap/>
            <w:vAlign w:val="center"/>
          </w:tcPr>
          <w:p w14:paraId="10CE777C">
            <w:pPr>
              <w:widowControl/>
              <w:adjustRightInd w:val="0"/>
              <w:snapToGrid w:val="0"/>
              <w:jc w:val="center"/>
              <w:textAlignment w:val="center"/>
              <w:rPr>
                <w:sz w:val="22"/>
                <w:szCs w:val="22"/>
              </w:rPr>
            </w:pPr>
            <w:r>
              <w:rPr>
                <w:rFonts w:eastAsia="等线"/>
                <w:sz w:val="22"/>
                <w:szCs w:val="22"/>
              </w:rPr>
              <w:t>28</w:t>
            </w:r>
          </w:p>
        </w:tc>
        <w:tc>
          <w:tcPr>
            <w:tcW w:w="2122" w:type="pct"/>
            <w:tcBorders>
              <w:tl2br w:val="nil"/>
              <w:tr2bl w:val="nil"/>
            </w:tcBorders>
            <w:noWrap/>
            <w:vAlign w:val="center"/>
          </w:tcPr>
          <w:p w14:paraId="5BCA7C7A">
            <w:pPr>
              <w:widowControl/>
              <w:jc w:val="center"/>
              <w:textAlignment w:val="center"/>
              <w:rPr>
                <w:kern w:val="0"/>
                <w:sz w:val="22"/>
                <w:szCs w:val="22"/>
                <w:lang w:bidi="ar"/>
              </w:rPr>
            </w:pPr>
            <w:r>
              <w:rPr>
                <w:rFonts w:eastAsia="等线"/>
                <w:sz w:val="22"/>
                <w:szCs w:val="22"/>
              </w:rPr>
              <w:t>34.12</w:t>
            </w:r>
          </w:p>
        </w:tc>
        <w:tc>
          <w:tcPr>
            <w:tcW w:w="945" w:type="pct"/>
            <w:tcBorders>
              <w:tl2br w:val="nil"/>
              <w:tr2bl w:val="nil"/>
            </w:tcBorders>
            <w:noWrap/>
            <w:vAlign w:val="center"/>
          </w:tcPr>
          <w:p w14:paraId="02164983">
            <w:pPr>
              <w:widowControl/>
              <w:adjustRightInd w:val="0"/>
              <w:snapToGrid w:val="0"/>
              <w:jc w:val="center"/>
              <w:textAlignment w:val="center"/>
              <w:rPr>
                <w:sz w:val="22"/>
                <w:szCs w:val="22"/>
              </w:rPr>
            </w:pPr>
            <w:r>
              <w:rPr>
                <w:rFonts w:hint="eastAsia"/>
                <w:sz w:val="22"/>
                <w:szCs w:val="22"/>
              </w:rPr>
              <w:t>超标</w:t>
            </w:r>
          </w:p>
        </w:tc>
      </w:tr>
      <w:tr w14:paraId="7BBC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continue"/>
            <w:tcBorders>
              <w:tl2br w:val="nil"/>
              <w:tr2bl w:val="nil"/>
            </w:tcBorders>
            <w:noWrap/>
            <w:vAlign w:val="center"/>
          </w:tcPr>
          <w:p w14:paraId="514F0A29">
            <w:pPr>
              <w:adjustRightInd w:val="0"/>
              <w:snapToGrid w:val="0"/>
              <w:jc w:val="center"/>
              <w:rPr>
                <w:sz w:val="22"/>
                <w:szCs w:val="22"/>
              </w:rPr>
            </w:pPr>
          </w:p>
        </w:tc>
        <w:tc>
          <w:tcPr>
            <w:tcW w:w="615" w:type="pct"/>
            <w:tcBorders>
              <w:tl2br w:val="nil"/>
              <w:tr2bl w:val="nil"/>
            </w:tcBorders>
            <w:noWrap/>
            <w:vAlign w:val="center"/>
          </w:tcPr>
          <w:p w14:paraId="60459B69">
            <w:pPr>
              <w:widowControl/>
              <w:adjustRightInd w:val="0"/>
              <w:snapToGrid w:val="0"/>
              <w:jc w:val="center"/>
              <w:textAlignment w:val="center"/>
              <w:rPr>
                <w:sz w:val="22"/>
                <w:szCs w:val="22"/>
              </w:rPr>
            </w:pPr>
            <w:r>
              <w:rPr>
                <w:rFonts w:eastAsia="等线"/>
                <w:sz w:val="22"/>
                <w:szCs w:val="22"/>
              </w:rPr>
              <w:t>150</w:t>
            </w:r>
            <w:r>
              <w:rPr>
                <w:rFonts w:hint="eastAsia"/>
                <w:sz w:val="22"/>
                <w:szCs w:val="22"/>
              </w:rPr>
              <w:t>天</w:t>
            </w:r>
          </w:p>
        </w:tc>
        <w:tc>
          <w:tcPr>
            <w:tcW w:w="749" w:type="pct"/>
            <w:tcBorders>
              <w:tl2br w:val="nil"/>
              <w:tr2bl w:val="nil"/>
            </w:tcBorders>
            <w:noWrap/>
            <w:vAlign w:val="center"/>
          </w:tcPr>
          <w:p w14:paraId="69680726">
            <w:pPr>
              <w:widowControl/>
              <w:adjustRightInd w:val="0"/>
              <w:snapToGrid w:val="0"/>
              <w:jc w:val="center"/>
              <w:textAlignment w:val="center"/>
              <w:rPr>
                <w:sz w:val="22"/>
                <w:szCs w:val="22"/>
              </w:rPr>
            </w:pPr>
            <w:r>
              <w:rPr>
                <w:rFonts w:eastAsia="等线"/>
                <w:sz w:val="22"/>
                <w:szCs w:val="22"/>
              </w:rPr>
              <w:t>31</w:t>
            </w:r>
          </w:p>
        </w:tc>
        <w:tc>
          <w:tcPr>
            <w:tcW w:w="2122" w:type="pct"/>
            <w:tcBorders>
              <w:tl2br w:val="nil"/>
              <w:tr2bl w:val="nil"/>
            </w:tcBorders>
            <w:noWrap/>
            <w:vAlign w:val="center"/>
          </w:tcPr>
          <w:p w14:paraId="56E72E3F">
            <w:pPr>
              <w:widowControl/>
              <w:jc w:val="center"/>
              <w:textAlignment w:val="center"/>
              <w:rPr>
                <w:kern w:val="0"/>
                <w:sz w:val="22"/>
                <w:szCs w:val="22"/>
                <w:lang w:bidi="ar"/>
              </w:rPr>
            </w:pPr>
            <w:r>
              <w:rPr>
                <w:rFonts w:eastAsia="等线"/>
                <w:sz w:val="22"/>
                <w:szCs w:val="22"/>
              </w:rPr>
              <w:t>25.02</w:t>
            </w:r>
          </w:p>
        </w:tc>
        <w:tc>
          <w:tcPr>
            <w:tcW w:w="945" w:type="pct"/>
            <w:tcBorders>
              <w:tl2br w:val="nil"/>
              <w:tr2bl w:val="nil"/>
            </w:tcBorders>
            <w:noWrap/>
            <w:vAlign w:val="center"/>
          </w:tcPr>
          <w:p w14:paraId="7DE600DF">
            <w:pPr>
              <w:widowControl/>
              <w:adjustRightInd w:val="0"/>
              <w:snapToGrid w:val="0"/>
              <w:jc w:val="center"/>
              <w:textAlignment w:val="center"/>
              <w:rPr>
                <w:sz w:val="22"/>
                <w:szCs w:val="22"/>
              </w:rPr>
            </w:pPr>
            <w:r>
              <w:rPr>
                <w:rFonts w:hint="eastAsia"/>
                <w:sz w:val="22"/>
                <w:szCs w:val="22"/>
              </w:rPr>
              <w:t>降至标准值附近</w:t>
            </w:r>
          </w:p>
        </w:tc>
      </w:tr>
      <w:tr w14:paraId="6BC7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continue"/>
            <w:tcBorders>
              <w:tl2br w:val="nil"/>
              <w:tr2bl w:val="nil"/>
            </w:tcBorders>
            <w:noWrap/>
            <w:vAlign w:val="center"/>
          </w:tcPr>
          <w:p w14:paraId="074744B3">
            <w:pPr>
              <w:adjustRightInd w:val="0"/>
              <w:snapToGrid w:val="0"/>
              <w:jc w:val="center"/>
              <w:rPr>
                <w:sz w:val="22"/>
                <w:szCs w:val="22"/>
              </w:rPr>
            </w:pPr>
          </w:p>
        </w:tc>
        <w:tc>
          <w:tcPr>
            <w:tcW w:w="615" w:type="pct"/>
            <w:tcBorders>
              <w:tl2br w:val="nil"/>
              <w:tr2bl w:val="nil"/>
            </w:tcBorders>
            <w:noWrap/>
            <w:vAlign w:val="center"/>
          </w:tcPr>
          <w:p w14:paraId="54232FB6">
            <w:pPr>
              <w:widowControl/>
              <w:adjustRightInd w:val="0"/>
              <w:snapToGrid w:val="0"/>
              <w:jc w:val="center"/>
              <w:textAlignment w:val="center"/>
              <w:rPr>
                <w:sz w:val="22"/>
                <w:szCs w:val="22"/>
              </w:rPr>
            </w:pPr>
            <w:r>
              <w:rPr>
                <w:rFonts w:eastAsia="等线"/>
                <w:sz w:val="22"/>
                <w:szCs w:val="22"/>
              </w:rPr>
              <w:t>1000</w:t>
            </w:r>
            <w:r>
              <w:rPr>
                <w:rFonts w:hint="eastAsia"/>
                <w:sz w:val="22"/>
                <w:szCs w:val="22"/>
              </w:rPr>
              <w:t>天</w:t>
            </w:r>
          </w:p>
        </w:tc>
        <w:tc>
          <w:tcPr>
            <w:tcW w:w="749" w:type="pct"/>
            <w:tcBorders>
              <w:tl2br w:val="nil"/>
              <w:tr2bl w:val="nil"/>
            </w:tcBorders>
            <w:noWrap/>
            <w:vAlign w:val="center"/>
          </w:tcPr>
          <w:p w14:paraId="64EA4B28">
            <w:pPr>
              <w:widowControl/>
              <w:adjustRightInd w:val="0"/>
              <w:snapToGrid w:val="0"/>
              <w:jc w:val="center"/>
              <w:textAlignment w:val="center"/>
              <w:rPr>
                <w:sz w:val="22"/>
                <w:szCs w:val="22"/>
              </w:rPr>
            </w:pPr>
            <w:r>
              <w:rPr>
                <w:rFonts w:eastAsia="等线"/>
                <w:sz w:val="22"/>
                <w:szCs w:val="22"/>
              </w:rPr>
              <w:t>/</w:t>
            </w:r>
          </w:p>
        </w:tc>
        <w:tc>
          <w:tcPr>
            <w:tcW w:w="2122" w:type="pct"/>
            <w:tcBorders>
              <w:tl2br w:val="nil"/>
              <w:tr2bl w:val="nil"/>
            </w:tcBorders>
            <w:noWrap/>
            <w:vAlign w:val="center"/>
          </w:tcPr>
          <w:p w14:paraId="0B5228E8">
            <w:pPr>
              <w:widowControl/>
              <w:jc w:val="center"/>
              <w:textAlignment w:val="center"/>
              <w:rPr>
                <w:kern w:val="0"/>
                <w:sz w:val="22"/>
                <w:szCs w:val="22"/>
                <w:lang w:bidi="ar"/>
              </w:rPr>
            </w:pPr>
            <w:r>
              <w:rPr>
                <w:rFonts w:eastAsia="等线"/>
                <w:sz w:val="22"/>
                <w:szCs w:val="22"/>
              </w:rPr>
              <w:t>9.57</w:t>
            </w:r>
          </w:p>
        </w:tc>
        <w:tc>
          <w:tcPr>
            <w:tcW w:w="945" w:type="pct"/>
            <w:tcBorders>
              <w:tl2br w:val="nil"/>
              <w:tr2bl w:val="nil"/>
            </w:tcBorders>
            <w:noWrap/>
            <w:vAlign w:val="center"/>
          </w:tcPr>
          <w:p w14:paraId="69F80AEB">
            <w:pPr>
              <w:widowControl/>
              <w:adjustRightInd w:val="0"/>
              <w:snapToGrid w:val="0"/>
              <w:jc w:val="center"/>
              <w:textAlignment w:val="center"/>
              <w:rPr>
                <w:sz w:val="22"/>
                <w:szCs w:val="22"/>
              </w:rPr>
            </w:pPr>
            <w:r>
              <w:rPr>
                <w:rFonts w:hint="eastAsia"/>
                <w:sz w:val="22"/>
                <w:szCs w:val="22"/>
              </w:rPr>
              <w:t>低于标准值</w:t>
            </w:r>
          </w:p>
        </w:tc>
      </w:tr>
      <w:tr w14:paraId="3529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restart"/>
            <w:tcBorders>
              <w:tl2br w:val="nil"/>
              <w:tr2bl w:val="nil"/>
            </w:tcBorders>
            <w:noWrap/>
            <w:vAlign w:val="center"/>
          </w:tcPr>
          <w:p w14:paraId="6C1837E7">
            <w:pPr>
              <w:widowControl/>
              <w:adjustRightInd w:val="0"/>
              <w:snapToGrid w:val="0"/>
              <w:jc w:val="center"/>
              <w:textAlignment w:val="center"/>
              <w:rPr>
                <w:sz w:val="22"/>
                <w:szCs w:val="22"/>
              </w:rPr>
            </w:pPr>
            <w:r>
              <w:rPr>
                <w:kern w:val="0"/>
                <w:sz w:val="22"/>
                <w:szCs w:val="22"/>
                <w:lang w:bidi="ar"/>
              </w:rPr>
              <w:t>氯化物</w:t>
            </w:r>
          </w:p>
        </w:tc>
        <w:tc>
          <w:tcPr>
            <w:tcW w:w="615" w:type="pct"/>
            <w:tcBorders>
              <w:tl2br w:val="nil"/>
              <w:tr2bl w:val="nil"/>
            </w:tcBorders>
            <w:noWrap/>
            <w:vAlign w:val="center"/>
          </w:tcPr>
          <w:p w14:paraId="782578C0">
            <w:pPr>
              <w:widowControl/>
              <w:adjustRightInd w:val="0"/>
              <w:snapToGrid w:val="0"/>
              <w:jc w:val="center"/>
              <w:textAlignment w:val="center"/>
              <w:rPr>
                <w:sz w:val="22"/>
                <w:szCs w:val="22"/>
              </w:rPr>
            </w:pPr>
            <w:r>
              <w:rPr>
                <w:rFonts w:eastAsia="等线"/>
                <w:sz w:val="22"/>
                <w:szCs w:val="22"/>
              </w:rPr>
              <w:t>20</w:t>
            </w:r>
            <w:r>
              <w:rPr>
                <w:rFonts w:hint="eastAsia"/>
                <w:sz w:val="22"/>
                <w:szCs w:val="22"/>
              </w:rPr>
              <w:t>天</w:t>
            </w:r>
          </w:p>
        </w:tc>
        <w:tc>
          <w:tcPr>
            <w:tcW w:w="749" w:type="pct"/>
            <w:tcBorders>
              <w:tl2br w:val="nil"/>
              <w:tr2bl w:val="nil"/>
            </w:tcBorders>
            <w:noWrap/>
            <w:vAlign w:val="center"/>
          </w:tcPr>
          <w:p w14:paraId="509643E0">
            <w:pPr>
              <w:widowControl/>
              <w:jc w:val="center"/>
              <w:textAlignment w:val="center"/>
              <w:rPr>
                <w:kern w:val="0"/>
                <w:sz w:val="22"/>
                <w:szCs w:val="22"/>
                <w:lang w:bidi="ar"/>
              </w:rPr>
            </w:pPr>
            <w:r>
              <w:rPr>
                <w:rFonts w:eastAsia="等线"/>
                <w:sz w:val="22"/>
                <w:szCs w:val="22"/>
              </w:rPr>
              <w:t>4</w:t>
            </w:r>
          </w:p>
        </w:tc>
        <w:tc>
          <w:tcPr>
            <w:tcW w:w="2122" w:type="pct"/>
            <w:tcBorders>
              <w:tl2br w:val="nil"/>
              <w:tr2bl w:val="nil"/>
            </w:tcBorders>
            <w:noWrap/>
            <w:vAlign w:val="center"/>
          </w:tcPr>
          <w:p w14:paraId="2FB6D865">
            <w:pPr>
              <w:widowControl/>
              <w:jc w:val="center"/>
              <w:textAlignment w:val="center"/>
              <w:rPr>
                <w:kern w:val="0"/>
                <w:sz w:val="22"/>
                <w:szCs w:val="22"/>
                <w:lang w:bidi="ar"/>
              </w:rPr>
            </w:pPr>
            <w:r>
              <w:rPr>
                <w:rFonts w:eastAsia="等线"/>
                <w:sz w:val="22"/>
                <w:szCs w:val="22"/>
              </w:rPr>
              <w:t>286.85</w:t>
            </w:r>
          </w:p>
        </w:tc>
        <w:tc>
          <w:tcPr>
            <w:tcW w:w="945" w:type="pct"/>
            <w:tcBorders>
              <w:tl2br w:val="nil"/>
              <w:tr2bl w:val="nil"/>
            </w:tcBorders>
            <w:noWrap/>
            <w:vAlign w:val="center"/>
          </w:tcPr>
          <w:p w14:paraId="14986360">
            <w:pPr>
              <w:widowControl/>
              <w:adjustRightInd w:val="0"/>
              <w:snapToGrid w:val="0"/>
              <w:jc w:val="center"/>
              <w:textAlignment w:val="center"/>
              <w:rPr>
                <w:sz w:val="22"/>
                <w:szCs w:val="22"/>
              </w:rPr>
            </w:pPr>
            <w:r>
              <w:rPr>
                <w:rFonts w:hint="eastAsia"/>
                <w:sz w:val="22"/>
                <w:szCs w:val="22"/>
              </w:rPr>
              <w:t>降至标准值附近</w:t>
            </w:r>
          </w:p>
        </w:tc>
      </w:tr>
      <w:tr w14:paraId="7D64E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continue"/>
            <w:tcBorders>
              <w:tl2br w:val="nil"/>
              <w:tr2bl w:val="nil"/>
            </w:tcBorders>
            <w:noWrap/>
            <w:vAlign w:val="center"/>
          </w:tcPr>
          <w:p w14:paraId="040BBAB2">
            <w:pPr>
              <w:adjustRightInd w:val="0"/>
              <w:snapToGrid w:val="0"/>
              <w:jc w:val="center"/>
              <w:rPr>
                <w:sz w:val="22"/>
                <w:szCs w:val="22"/>
              </w:rPr>
            </w:pPr>
          </w:p>
        </w:tc>
        <w:tc>
          <w:tcPr>
            <w:tcW w:w="615" w:type="pct"/>
            <w:tcBorders>
              <w:tl2br w:val="nil"/>
              <w:tr2bl w:val="nil"/>
            </w:tcBorders>
            <w:noWrap/>
            <w:vAlign w:val="center"/>
          </w:tcPr>
          <w:p w14:paraId="510603D2">
            <w:pPr>
              <w:widowControl/>
              <w:adjustRightInd w:val="0"/>
              <w:snapToGrid w:val="0"/>
              <w:jc w:val="center"/>
              <w:textAlignment w:val="center"/>
              <w:rPr>
                <w:sz w:val="22"/>
                <w:szCs w:val="22"/>
              </w:rPr>
            </w:pPr>
            <w:r>
              <w:rPr>
                <w:rFonts w:eastAsia="等线"/>
                <w:sz w:val="22"/>
                <w:szCs w:val="22"/>
              </w:rPr>
              <w:t>100</w:t>
            </w:r>
            <w:r>
              <w:rPr>
                <w:rFonts w:hint="eastAsia"/>
                <w:sz w:val="22"/>
                <w:szCs w:val="22"/>
              </w:rPr>
              <w:t>天</w:t>
            </w:r>
          </w:p>
        </w:tc>
        <w:tc>
          <w:tcPr>
            <w:tcW w:w="749" w:type="pct"/>
            <w:tcBorders>
              <w:tl2br w:val="nil"/>
              <w:tr2bl w:val="nil"/>
            </w:tcBorders>
            <w:noWrap/>
            <w:vAlign w:val="center"/>
          </w:tcPr>
          <w:p w14:paraId="6ECD823A">
            <w:pPr>
              <w:widowControl/>
              <w:jc w:val="center"/>
              <w:textAlignment w:val="center"/>
              <w:rPr>
                <w:kern w:val="0"/>
                <w:sz w:val="22"/>
                <w:szCs w:val="22"/>
                <w:lang w:bidi="ar"/>
              </w:rPr>
            </w:pPr>
            <w:r>
              <w:rPr>
                <w:rFonts w:eastAsia="等线"/>
                <w:sz w:val="22"/>
                <w:szCs w:val="22"/>
              </w:rPr>
              <w:t>/</w:t>
            </w:r>
          </w:p>
        </w:tc>
        <w:tc>
          <w:tcPr>
            <w:tcW w:w="2122" w:type="pct"/>
            <w:tcBorders>
              <w:tl2br w:val="nil"/>
              <w:tr2bl w:val="nil"/>
            </w:tcBorders>
            <w:noWrap/>
            <w:vAlign w:val="center"/>
          </w:tcPr>
          <w:p w14:paraId="5D09DD56">
            <w:pPr>
              <w:widowControl/>
              <w:jc w:val="center"/>
              <w:textAlignment w:val="center"/>
              <w:rPr>
                <w:kern w:val="0"/>
                <w:sz w:val="22"/>
                <w:szCs w:val="22"/>
                <w:lang w:bidi="ar"/>
              </w:rPr>
            </w:pPr>
            <w:r>
              <w:rPr>
                <w:rFonts w:eastAsia="等线"/>
                <w:sz w:val="22"/>
                <w:szCs w:val="22"/>
              </w:rPr>
              <w:t>68.63</w:t>
            </w:r>
          </w:p>
        </w:tc>
        <w:tc>
          <w:tcPr>
            <w:tcW w:w="945" w:type="pct"/>
            <w:tcBorders>
              <w:tl2br w:val="nil"/>
              <w:tr2bl w:val="nil"/>
            </w:tcBorders>
            <w:noWrap/>
            <w:vAlign w:val="center"/>
          </w:tcPr>
          <w:p w14:paraId="5E7D063B">
            <w:pPr>
              <w:widowControl/>
              <w:adjustRightInd w:val="0"/>
              <w:snapToGrid w:val="0"/>
              <w:jc w:val="center"/>
              <w:textAlignment w:val="center"/>
              <w:rPr>
                <w:sz w:val="22"/>
                <w:szCs w:val="22"/>
              </w:rPr>
            </w:pPr>
            <w:r>
              <w:rPr>
                <w:rFonts w:hint="eastAsia"/>
                <w:sz w:val="22"/>
                <w:szCs w:val="22"/>
              </w:rPr>
              <w:t>低于标准值</w:t>
            </w:r>
          </w:p>
        </w:tc>
      </w:tr>
      <w:tr w14:paraId="3352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continue"/>
            <w:tcBorders>
              <w:tl2br w:val="nil"/>
              <w:tr2bl w:val="nil"/>
            </w:tcBorders>
            <w:noWrap/>
            <w:vAlign w:val="center"/>
          </w:tcPr>
          <w:p w14:paraId="22B3A825">
            <w:pPr>
              <w:adjustRightInd w:val="0"/>
              <w:snapToGrid w:val="0"/>
              <w:jc w:val="center"/>
              <w:rPr>
                <w:sz w:val="22"/>
                <w:szCs w:val="22"/>
              </w:rPr>
            </w:pPr>
          </w:p>
        </w:tc>
        <w:tc>
          <w:tcPr>
            <w:tcW w:w="615" w:type="pct"/>
            <w:tcBorders>
              <w:tl2br w:val="nil"/>
              <w:tr2bl w:val="nil"/>
            </w:tcBorders>
            <w:noWrap/>
            <w:vAlign w:val="center"/>
          </w:tcPr>
          <w:p w14:paraId="6146627D">
            <w:pPr>
              <w:widowControl/>
              <w:adjustRightInd w:val="0"/>
              <w:snapToGrid w:val="0"/>
              <w:jc w:val="center"/>
              <w:textAlignment w:val="center"/>
              <w:rPr>
                <w:sz w:val="22"/>
                <w:szCs w:val="22"/>
              </w:rPr>
            </w:pPr>
            <w:r>
              <w:rPr>
                <w:rFonts w:eastAsia="等线"/>
                <w:sz w:val="22"/>
                <w:szCs w:val="22"/>
              </w:rPr>
              <w:t>1000</w:t>
            </w:r>
            <w:r>
              <w:rPr>
                <w:rFonts w:hint="eastAsia"/>
                <w:sz w:val="22"/>
                <w:szCs w:val="22"/>
              </w:rPr>
              <w:t>天</w:t>
            </w:r>
          </w:p>
        </w:tc>
        <w:tc>
          <w:tcPr>
            <w:tcW w:w="749" w:type="pct"/>
            <w:tcBorders>
              <w:tl2br w:val="nil"/>
              <w:tr2bl w:val="nil"/>
            </w:tcBorders>
            <w:noWrap/>
            <w:vAlign w:val="center"/>
          </w:tcPr>
          <w:p w14:paraId="643D4773">
            <w:pPr>
              <w:widowControl/>
              <w:jc w:val="center"/>
              <w:textAlignment w:val="center"/>
              <w:rPr>
                <w:kern w:val="0"/>
                <w:sz w:val="22"/>
                <w:szCs w:val="22"/>
                <w:lang w:bidi="ar"/>
              </w:rPr>
            </w:pPr>
            <w:r>
              <w:rPr>
                <w:rFonts w:eastAsia="等线"/>
                <w:sz w:val="22"/>
                <w:szCs w:val="22"/>
              </w:rPr>
              <w:t>/</w:t>
            </w:r>
          </w:p>
        </w:tc>
        <w:tc>
          <w:tcPr>
            <w:tcW w:w="2122" w:type="pct"/>
            <w:tcBorders>
              <w:tl2br w:val="nil"/>
              <w:tr2bl w:val="nil"/>
            </w:tcBorders>
            <w:noWrap/>
            <w:vAlign w:val="center"/>
          </w:tcPr>
          <w:p w14:paraId="1DEAF227">
            <w:pPr>
              <w:widowControl/>
              <w:jc w:val="center"/>
              <w:textAlignment w:val="center"/>
              <w:rPr>
                <w:kern w:val="0"/>
                <w:sz w:val="22"/>
                <w:szCs w:val="22"/>
                <w:lang w:bidi="ar"/>
              </w:rPr>
            </w:pPr>
            <w:r>
              <w:rPr>
                <w:rFonts w:eastAsia="等线"/>
                <w:sz w:val="22"/>
                <w:szCs w:val="22"/>
              </w:rPr>
              <w:t>19.53</w:t>
            </w:r>
          </w:p>
        </w:tc>
        <w:tc>
          <w:tcPr>
            <w:tcW w:w="945" w:type="pct"/>
            <w:tcBorders>
              <w:tl2br w:val="nil"/>
              <w:tr2bl w:val="nil"/>
            </w:tcBorders>
            <w:noWrap/>
            <w:vAlign w:val="center"/>
          </w:tcPr>
          <w:p w14:paraId="595880CF">
            <w:pPr>
              <w:widowControl/>
              <w:adjustRightInd w:val="0"/>
              <w:snapToGrid w:val="0"/>
              <w:jc w:val="center"/>
              <w:textAlignment w:val="center"/>
              <w:rPr>
                <w:sz w:val="22"/>
                <w:szCs w:val="22"/>
              </w:rPr>
            </w:pPr>
            <w:r>
              <w:rPr>
                <w:rFonts w:hint="eastAsia"/>
                <w:sz w:val="22"/>
                <w:szCs w:val="22"/>
              </w:rPr>
              <w:t>低于标准值</w:t>
            </w:r>
          </w:p>
        </w:tc>
      </w:tr>
      <w:tr w14:paraId="6D6B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restart"/>
            <w:tcBorders>
              <w:tl2br w:val="nil"/>
              <w:tr2bl w:val="nil"/>
            </w:tcBorders>
            <w:noWrap/>
            <w:vAlign w:val="center"/>
          </w:tcPr>
          <w:p w14:paraId="793A5E21">
            <w:pPr>
              <w:widowControl/>
              <w:adjustRightInd w:val="0"/>
              <w:snapToGrid w:val="0"/>
              <w:jc w:val="center"/>
              <w:textAlignment w:val="center"/>
              <w:rPr>
                <w:sz w:val="22"/>
                <w:szCs w:val="22"/>
              </w:rPr>
            </w:pPr>
            <w:r>
              <w:rPr>
                <w:kern w:val="0"/>
                <w:sz w:val="22"/>
                <w:szCs w:val="22"/>
                <w:lang w:bidi="ar"/>
              </w:rPr>
              <w:t>石油类</w:t>
            </w:r>
          </w:p>
        </w:tc>
        <w:tc>
          <w:tcPr>
            <w:tcW w:w="615" w:type="pct"/>
            <w:tcBorders>
              <w:tl2br w:val="nil"/>
              <w:tr2bl w:val="nil"/>
            </w:tcBorders>
            <w:noWrap/>
            <w:vAlign w:val="center"/>
          </w:tcPr>
          <w:p w14:paraId="4F3A1E09">
            <w:pPr>
              <w:widowControl/>
              <w:adjustRightInd w:val="0"/>
              <w:snapToGrid w:val="0"/>
              <w:jc w:val="center"/>
              <w:textAlignment w:val="center"/>
              <w:rPr>
                <w:sz w:val="22"/>
                <w:szCs w:val="22"/>
              </w:rPr>
            </w:pPr>
            <w:r>
              <w:rPr>
                <w:rFonts w:eastAsia="等线"/>
                <w:sz w:val="22"/>
                <w:szCs w:val="22"/>
              </w:rPr>
              <w:t>100</w:t>
            </w:r>
            <w:r>
              <w:rPr>
                <w:rFonts w:hint="eastAsia"/>
                <w:sz w:val="22"/>
                <w:szCs w:val="22"/>
              </w:rPr>
              <w:t>天</w:t>
            </w:r>
          </w:p>
        </w:tc>
        <w:tc>
          <w:tcPr>
            <w:tcW w:w="749" w:type="pct"/>
            <w:tcBorders>
              <w:tl2br w:val="nil"/>
              <w:tr2bl w:val="nil"/>
            </w:tcBorders>
            <w:noWrap/>
            <w:vAlign w:val="center"/>
          </w:tcPr>
          <w:p w14:paraId="039F1777">
            <w:pPr>
              <w:widowControl/>
              <w:adjustRightInd w:val="0"/>
              <w:snapToGrid w:val="0"/>
              <w:jc w:val="center"/>
              <w:textAlignment w:val="center"/>
              <w:rPr>
                <w:sz w:val="22"/>
                <w:szCs w:val="22"/>
              </w:rPr>
            </w:pPr>
            <w:r>
              <w:rPr>
                <w:rFonts w:eastAsia="等线"/>
                <w:sz w:val="22"/>
                <w:szCs w:val="22"/>
              </w:rPr>
              <w:t>40</w:t>
            </w:r>
          </w:p>
        </w:tc>
        <w:tc>
          <w:tcPr>
            <w:tcW w:w="2122" w:type="pct"/>
            <w:tcBorders>
              <w:tl2br w:val="nil"/>
              <w:tr2bl w:val="nil"/>
            </w:tcBorders>
            <w:noWrap/>
            <w:vAlign w:val="center"/>
          </w:tcPr>
          <w:p w14:paraId="0953DBB1">
            <w:pPr>
              <w:widowControl/>
              <w:jc w:val="center"/>
              <w:textAlignment w:val="center"/>
              <w:rPr>
                <w:sz w:val="22"/>
                <w:szCs w:val="22"/>
              </w:rPr>
            </w:pPr>
            <w:r>
              <w:rPr>
                <w:rFonts w:eastAsia="等线"/>
                <w:sz w:val="22"/>
                <w:szCs w:val="22"/>
              </w:rPr>
              <w:t>0.39</w:t>
            </w:r>
          </w:p>
        </w:tc>
        <w:tc>
          <w:tcPr>
            <w:tcW w:w="945" w:type="pct"/>
            <w:tcBorders>
              <w:tl2br w:val="nil"/>
              <w:tr2bl w:val="nil"/>
            </w:tcBorders>
            <w:noWrap/>
            <w:vAlign w:val="center"/>
          </w:tcPr>
          <w:p w14:paraId="711FD643">
            <w:pPr>
              <w:widowControl/>
              <w:adjustRightInd w:val="0"/>
              <w:snapToGrid w:val="0"/>
              <w:jc w:val="center"/>
              <w:textAlignment w:val="center"/>
              <w:rPr>
                <w:sz w:val="22"/>
                <w:szCs w:val="22"/>
              </w:rPr>
            </w:pPr>
            <w:r>
              <w:rPr>
                <w:rFonts w:hint="eastAsia"/>
                <w:sz w:val="22"/>
                <w:szCs w:val="22"/>
              </w:rPr>
              <w:t>超标</w:t>
            </w:r>
          </w:p>
        </w:tc>
      </w:tr>
      <w:tr w14:paraId="14E6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continue"/>
            <w:tcBorders>
              <w:tl2br w:val="nil"/>
              <w:tr2bl w:val="nil"/>
            </w:tcBorders>
            <w:noWrap/>
            <w:vAlign w:val="center"/>
          </w:tcPr>
          <w:p w14:paraId="57FF9097">
            <w:pPr>
              <w:adjustRightInd w:val="0"/>
              <w:snapToGrid w:val="0"/>
              <w:jc w:val="center"/>
              <w:rPr>
                <w:sz w:val="22"/>
                <w:szCs w:val="22"/>
              </w:rPr>
            </w:pPr>
          </w:p>
        </w:tc>
        <w:tc>
          <w:tcPr>
            <w:tcW w:w="615" w:type="pct"/>
            <w:tcBorders>
              <w:tl2br w:val="nil"/>
              <w:tr2bl w:val="nil"/>
            </w:tcBorders>
            <w:noWrap/>
            <w:vAlign w:val="center"/>
          </w:tcPr>
          <w:p w14:paraId="025AC3CE">
            <w:pPr>
              <w:widowControl/>
              <w:adjustRightInd w:val="0"/>
              <w:snapToGrid w:val="0"/>
              <w:jc w:val="center"/>
              <w:textAlignment w:val="center"/>
              <w:rPr>
                <w:sz w:val="22"/>
                <w:szCs w:val="22"/>
              </w:rPr>
            </w:pPr>
            <w:r>
              <w:rPr>
                <w:rFonts w:eastAsia="等线"/>
                <w:sz w:val="22"/>
                <w:szCs w:val="22"/>
              </w:rPr>
              <w:t>365</w:t>
            </w:r>
            <w:r>
              <w:rPr>
                <w:rFonts w:hint="eastAsia"/>
                <w:sz w:val="22"/>
                <w:szCs w:val="22"/>
              </w:rPr>
              <w:t>天</w:t>
            </w:r>
          </w:p>
        </w:tc>
        <w:tc>
          <w:tcPr>
            <w:tcW w:w="749" w:type="pct"/>
            <w:tcBorders>
              <w:tl2br w:val="nil"/>
              <w:tr2bl w:val="nil"/>
            </w:tcBorders>
            <w:noWrap/>
            <w:vAlign w:val="center"/>
          </w:tcPr>
          <w:p w14:paraId="6F166C3B">
            <w:pPr>
              <w:widowControl/>
              <w:adjustRightInd w:val="0"/>
              <w:snapToGrid w:val="0"/>
              <w:jc w:val="center"/>
              <w:textAlignment w:val="center"/>
              <w:rPr>
                <w:sz w:val="22"/>
                <w:szCs w:val="22"/>
              </w:rPr>
            </w:pPr>
            <w:r>
              <w:rPr>
                <w:rFonts w:eastAsia="等线"/>
                <w:sz w:val="22"/>
                <w:szCs w:val="22"/>
              </w:rPr>
              <w:t>81</w:t>
            </w:r>
          </w:p>
        </w:tc>
        <w:tc>
          <w:tcPr>
            <w:tcW w:w="2122" w:type="pct"/>
            <w:tcBorders>
              <w:tl2br w:val="nil"/>
              <w:tr2bl w:val="nil"/>
            </w:tcBorders>
            <w:noWrap/>
            <w:vAlign w:val="center"/>
          </w:tcPr>
          <w:p w14:paraId="4A430EB1">
            <w:pPr>
              <w:widowControl/>
              <w:jc w:val="center"/>
              <w:textAlignment w:val="center"/>
              <w:rPr>
                <w:sz w:val="22"/>
                <w:szCs w:val="22"/>
              </w:rPr>
            </w:pPr>
            <w:r>
              <w:rPr>
                <w:rFonts w:eastAsia="等线"/>
                <w:sz w:val="22"/>
                <w:szCs w:val="22"/>
              </w:rPr>
              <w:t>0.11</w:t>
            </w:r>
          </w:p>
        </w:tc>
        <w:tc>
          <w:tcPr>
            <w:tcW w:w="945" w:type="pct"/>
            <w:tcBorders>
              <w:tl2br w:val="nil"/>
              <w:tr2bl w:val="nil"/>
            </w:tcBorders>
            <w:noWrap/>
            <w:vAlign w:val="center"/>
          </w:tcPr>
          <w:p w14:paraId="0997856E">
            <w:pPr>
              <w:widowControl/>
              <w:adjustRightInd w:val="0"/>
              <w:snapToGrid w:val="0"/>
              <w:jc w:val="center"/>
              <w:textAlignment w:val="center"/>
              <w:rPr>
                <w:sz w:val="22"/>
                <w:szCs w:val="22"/>
              </w:rPr>
            </w:pPr>
            <w:r>
              <w:rPr>
                <w:rFonts w:hint="eastAsia"/>
                <w:sz w:val="22"/>
                <w:szCs w:val="22"/>
              </w:rPr>
              <w:t>超标</w:t>
            </w:r>
          </w:p>
        </w:tc>
      </w:tr>
      <w:tr w14:paraId="074FC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continue"/>
            <w:tcBorders>
              <w:tl2br w:val="nil"/>
              <w:tr2bl w:val="nil"/>
            </w:tcBorders>
            <w:noWrap/>
            <w:vAlign w:val="center"/>
          </w:tcPr>
          <w:p w14:paraId="68F144D5">
            <w:pPr>
              <w:adjustRightInd w:val="0"/>
              <w:snapToGrid w:val="0"/>
              <w:jc w:val="center"/>
              <w:rPr>
                <w:sz w:val="22"/>
                <w:szCs w:val="22"/>
              </w:rPr>
            </w:pPr>
          </w:p>
        </w:tc>
        <w:tc>
          <w:tcPr>
            <w:tcW w:w="615" w:type="pct"/>
            <w:tcBorders>
              <w:tl2br w:val="nil"/>
              <w:tr2bl w:val="nil"/>
            </w:tcBorders>
            <w:noWrap/>
            <w:vAlign w:val="center"/>
          </w:tcPr>
          <w:p w14:paraId="0AEA93AC">
            <w:pPr>
              <w:widowControl/>
              <w:adjustRightInd w:val="0"/>
              <w:snapToGrid w:val="0"/>
              <w:jc w:val="center"/>
              <w:textAlignment w:val="center"/>
              <w:rPr>
                <w:sz w:val="22"/>
                <w:szCs w:val="22"/>
              </w:rPr>
            </w:pPr>
            <w:r>
              <w:rPr>
                <w:rFonts w:eastAsia="等线"/>
                <w:sz w:val="22"/>
                <w:szCs w:val="22"/>
              </w:rPr>
              <w:t>700</w:t>
            </w:r>
            <w:r>
              <w:rPr>
                <w:rFonts w:hint="eastAsia"/>
                <w:sz w:val="22"/>
                <w:szCs w:val="22"/>
              </w:rPr>
              <w:t>天</w:t>
            </w:r>
          </w:p>
        </w:tc>
        <w:tc>
          <w:tcPr>
            <w:tcW w:w="749" w:type="pct"/>
            <w:tcBorders>
              <w:tl2br w:val="nil"/>
              <w:tr2bl w:val="nil"/>
            </w:tcBorders>
            <w:noWrap/>
            <w:vAlign w:val="center"/>
          </w:tcPr>
          <w:p w14:paraId="642FDD5D">
            <w:pPr>
              <w:widowControl/>
              <w:adjustRightInd w:val="0"/>
              <w:snapToGrid w:val="0"/>
              <w:jc w:val="center"/>
              <w:textAlignment w:val="center"/>
              <w:rPr>
                <w:sz w:val="22"/>
                <w:szCs w:val="22"/>
              </w:rPr>
            </w:pPr>
            <w:r>
              <w:rPr>
                <w:rFonts w:eastAsia="等线"/>
                <w:sz w:val="22"/>
                <w:szCs w:val="22"/>
              </w:rPr>
              <w:t>117</w:t>
            </w:r>
          </w:p>
        </w:tc>
        <w:tc>
          <w:tcPr>
            <w:tcW w:w="2122" w:type="pct"/>
            <w:tcBorders>
              <w:tl2br w:val="nil"/>
              <w:tr2bl w:val="nil"/>
            </w:tcBorders>
            <w:noWrap/>
            <w:vAlign w:val="center"/>
          </w:tcPr>
          <w:p w14:paraId="1B4C1540">
            <w:pPr>
              <w:widowControl/>
              <w:jc w:val="center"/>
              <w:textAlignment w:val="center"/>
              <w:rPr>
                <w:sz w:val="22"/>
                <w:szCs w:val="22"/>
              </w:rPr>
            </w:pPr>
            <w:r>
              <w:rPr>
                <w:rFonts w:eastAsia="等线"/>
                <w:sz w:val="22"/>
                <w:szCs w:val="22"/>
              </w:rPr>
              <w:t>0.06</w:t>
            </w:r>
          </w:p>
        </w:tc>
        <w:tc>
          <w:tcPr>
            <w:tcW w:w="945" w:type="pct"/>
            <w:tcBorders>
              <w:tl2br w:val="nil"/>
              <w:tr2bl w:val="nil"/>
            </w:tcBorders>
            <w:noWrap/>
            <w:vAlign w:val="center"/>
          </w:tcPr>
          <w:p w14:paraId="50D7F145">
            <w:pPr>
              <w:widowControl/>
              <w:adjustRightInd w:val="0"/>
              <w:snapToGrid w:val="0"/>
              <w:jc w:val="center"/>
              <w:textAlignment w:val="center"/>
              <w:rPr>
                <w:sz w:val="22"/>
                <w:szCs w:val="22"/>
              </w:rPr>
            </w:pPr>
            <w:r>
              <w:rPr>
                <w:rFonts w:hint="eastAsia"/>
                <w:sz w:val="22"/>
                <w:szCs w:val="22"/>
              </w:rPr>
              <w:t>降至标准值附近</w:t>
            </w:r>
          </w:p>
        </w:tc>
      </w:tr>
      <w:tr w14:paraId="76EC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continue"/>
            <w:tcBorders>
              <w:tl2br w:val="nil"/>
              <w:tr2bl w:val="nil"/>
            </w:tcBorders>
            <w:noWrap/>
            <w:vAlign w:val="center"/>
          </w:tcPr>
          <w:p w14:paraId="1A858FD3">
            <w:pPr>
              <w:adjustRightInd w:val="0"/>
              <w:snapToGrid w:val="0"/>
              <w:jc w:val="center"/>
              <w:rPr>
                <w:sz w:val="22"/>
                <w:szCs w:val="22"/>
              </w:rPr>
            </w:pPr>
          </w:p>
        </w:tc>
        <w:tc>
          <w:tcPr>
            <w:tcW w:w="615" w:type="pct"/>
            <w:tcBorders>
              <w:tl2br w:val="nil"/>
              <w:tr2bl w:val="nil"/>
            </w:tcBorders>
            <w:noWrap/>
            <w:vAlign w:val="center"/>
          </w:tcPr>
          <w:p w14:paraId="10EB553E">
            <w:pPr>
              <w:widowControl/>
              <w:adjustRightInd w:val="0"/>
              <w:snapToGrid w:val="0"/>
              <w:jc w:val="center"/>
              <w:textAlignment w:val="center"/>
              <w:rPr>
                <w:sz w:val="22"/>
                <w:szCs w:val="22"/>
              </w:rPr>
            </w:pPr>
            <w:r>
              <w:rPr>
                <w:rFonts w:eastAsia="等线"/>
                <w:sz w:val="22"/>
                <w:szCs w:val="22"/>
              </w:rPr>
              <w:t>1000</w:t>
            </w:r>
            <w:r>
              <w:rPr>
                <w:rFonts w:hint="eastAsia"/>
                <w:sz w:val="22"/>
                <w:szCs w:val="22"/>
              </w:rPr>
              <w:t>天</w:t>
            </w:r>
          </w:p>
        </w:tc>
        <w:tc>
          <w:tcPr>
            <w:tcW w:w="749" w:type="pct"/>
            <w:tcBorders>
              <w:tl2br w:val="nil"/>
              <w:tr2bl w:val="nil"/>
            </w:tcBorders>
            <w:noWrap/>
            <w:vAlign w:val="center"/>
          </w:tcPr>
          <w:p w14:paraId="2F31D8DB">
            <w:pPr>
              <w:widowControl/>
              <w:adjustRightInd w:val="0"/>
              <w:snapToGrid w:val="0"/>
              <w:jc w:val="center"/>
              <w:textAlignment w:val="center"/>
              <w:rPr>
                <w:sz w:val="22"/>
                <w:szCs w:val="22"/>
              </w:rPr>
            </w:pPr>
            <w:r>
              <w:rPr>
                <w:rFonts w:eastAsia="等线"/>
                <w:sz w:val="22"/>
                <w:szCs w:val="22"/>
              </w:rPr>
              <w:t>/</w:t>
            </w:r>
          </w:p>
        </w:tc>
        <w:tc>
          <w:tcPr>
            <w:tcW w:w="2122" w:type="pct"/>
            <w:tcBorders>
              <w:tl2br w:val="nil"/>
              <w:tr2bl w:val="nil"/>
            </w:tcBorders>
            <w:noWrap/>
            <w:vAlign w:val="center"/>
          </w:tcPr>
          <w:p w14:paraId="26591F47">
            <w:pPr>
              <w:widowControl/>
              <w:jc w:val="center"/>
              <w:textAlignment w:val="center"/>
              <w:rPr>
                <w:sz w:val="22"/>
                <w:szCs w:val="22"/>
              </w:rPr>
            </w:pPr>
            <w:r>
              <w:rPr>
                <w:rFonts w:eastAsia="等线"/>
                <w:sz w:val="22"/>
                <w:szCs w:val="22"/>
              </w:rPr>
              <w:t>0.048</w:t>
            </w:r>
          </w:p>
        </w:tc>
        <w:tc>
          <w:tcPr>
            <w:tcW w:w="945" w:type="pct"/>
            <w:tcBorders>
              <w:tl2br w:val="nil"/>
              <w:tr2bl w:val="nil"/>
            </w:tcBorders>
            <w:noWrap/>
            <w:vAlign w:val="center"/>
          </w:tcPr>
          <w:p w14:paraId="4411B8D7">
            <w:pPr>
              <w:widowControl/>
              <w:adjustRightInd w:val="0"/>
              <w:snapToGrid w:val="0"/>
              <w:jc w:val="center"/>
              <w:textAlignment w:val="center"/>
              <w:rPr>
                <w:sz w:val="22"/>
                <w:szCs w:val="22"/>
              </w:rPr>
            </w:pPr>
            <w:r>
              <w:rPr>
                <w:rFonts w:hint="eastAsia"/>
                <w:sz w:val="22"/>
                <w:szCs w:val="22"/>
              </w:rPr>
              <w:t>低于标准值</w:t>
            </w:r>
          </w:p>
        </w:tc>
      </w:tr>
      <w:tr w14:paraId="3865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restart"/>
            <w:tcBorders>
              <w:tl2br w:val="nil"/>
              <w:tr2bl w:val="nil"/>
            </w:tcBorders>
            <w:noWrap/>
            <w:vAlign w:val="center"/>
          </w:tcPr>
          <w:p w14:paraId="793F6170">
            <w:pPr>
              <w:adjustRightInd w:val="0"/>
              <w:snapToGrid w:val="0"/>
              <w:jc w:val="center"/>
              <w:rPr>
                <w:sz w:val="22"/>
                <w:szCs w:val="22"/>
              </w:rPr>
            </w:pPr>
            <w:r>
              <w:rPr>
                <w:sz w:val="22"/>
                <w:szCs w:val="22"/>
              </w:rPr>
              <w:t>钡</w:t>
            </w:r>
          </w:p>
        </w:tc>
        <w:tc>
          <w:tcPr>
            <w:tcW w:w="615" w:type="pct"/>
            <w:tcBorders>
              <w:tl2br w:val="nil"/>
              <w:tr2bl w:val="nil"/>
            </w:tcBorders>
            <w:noWrap/>
            <w:vAlign w:val="center"/>
          </w:tcPr>
          <w:p w14:paraId="0F89F9C1">
            <w:pPr>
              <w:widowControl/>
              <w:adjustRightInd w:val="0"/>
              <w:snapToGrid w:val="0"/>
              <w:jc w:val="center"/>
              <w:textAlignment w:val="center"/>
              <w:rPr>
                <w:kern w:val="0"/>
                <w:sz w:val="22"/>
                <w:szCs w:val="22"/>
                <w:lang w:bidi="ar"/>
              </w:rPr>
            </w:pPr>
            <w:r>
              <w:rPr>
                <w:rFonts w:eastAsia="等线"/>
                <w:sz w:val="22"/>
                <w:szCs w:val="22"/>
              </w:rPr>
              <w:t>100</w:t>
            </w:r>
            <w:r>
              <w:rPr>
                <w:rFonts w:hint="eastAsia"/>
                <w:sz w:val="22"/>
                <w:szCs w:val="22"/>
              </w:rPr>
              <w:t>天</w:t>
            </w:r>
          </w:p>
        </w:tc>
        <w:tc>
          <w:tcPr>
            <w:tcW w:w="749" w:type="pct"/>
            <w:tcBorders>
              <w:tl2br w:val="nil"/>
              <w:tr2bl w:val="nil"/>
            </w:tcBorders>
            <w:noWrap/>
            <w:vAlign w:val="center"/>
          </w:tcPr>
          <w:p w14:paraId="3B3F2287">
            <w:pPr>
              <w:widowControl/>
              <w:adjustRightInd w:val="0"/>
              <w:snapToGrid w:val="0"/>
              <w:jc w:val="center"/>
              <w:textAlignment w:val="center"/>
              <w:rPr>
                <w:kern w:val="0"/>
                <w:sz w:val="22"/>
                <w:szCs w:val="22"/>
                <w:lang w:bidi="ar"/>
              </w:rPr>
            </w:pPr>
            <w:r>
              <w:rPr>
                <w:rFonts w:eastAsia="等线"/>
                <w:sz w:val="22"/>
                <w:szCs w:val="22"/>
              </w:rPr>
              <w:t>25</w:t>
            </w:r>
          </w:p>
        </w:tc>
        <w:tc>
          <w:tcPr>
            <w:tcW w:w="2122" w:type="pct"/>
            <w:tcBorders>
              <w:tl2br w:val="nil"/>
              <w:tr2bl w:val="nil"/>
            </w:tcBorders>
            <w:noWrap/>
            <w:vAlign w:val="center"/>
          </w:tcPr>
          <w:p w14:paraId="001C5E7A">
            <w:pPr>
              <w:widowControl/>
              <w:adjustRightInd w:val="0"/>
              <w:snapToGrid w:val="0"/>
              <w:jc w:val="center"/>
              <w:textAlignment w:val="center"/>
              <w:rPr>
                <w:kern w:val="0"/>
                <w:sz w:val="22"/>
                <w:szCs w:val="22"/>
                <w:lang w:bidi="ar"/>
              </w:rPr>
            </w:pPr>
            <w:r>
              <w:rPr>
                <w:rFonts w:eastAsia="等线"/>
                <w:sz w:val="22"/>
                <w:szCs w:val="22"/>
              </w:rPr>
              <w:t>0.923</w:t>
            </w:r>
          </w:p>
        </w:tc>
        <w:tc>
          <w:tcPr>
            <w:tcW w:w="945" w:type="pct"/>
            <w:tcBorders>
              <w:tl2br w:val="nil"/>
              <w:tr2bl w:val="nil"/>
            </w:tcBorders>
            <w:noWrap/>
            <w:vAlign w:val="center"/>
          </w:tcPr>
          <w:p w14:paraId="5B612218">
            <w:pPr>
              <w:widowControl/>
              <w:adjustRightInd w:val="0"/>
              <w:snapToGrid w:val="0"/>
              <w:jc w:val="center"/>
              <w:textAlignment w:val="center"/>
              <w:rPr>
                <w:kern w:val="0"/>
                <w:sz w:val="22"/>
                <w:szCs w:val="22"/>
                <w:lang w:bidi="ar"/>
              </w:rPr>
            </w:pPr>
            <w:r>
              <w:rPr>
                <w:rFonts w:hint="eastAsia"/>
                <w:sz w:val="22"/>
                <w:szCs w:val="22"/>
              </w:rPr>
              <w:t>超标</w:t>
            </w:r>
          </w:p>
        </w:tc>
      </w:tr>
      <w:tr w14:paraId="4B8D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continue"/>
            <w:tcBorders>
              <w:tl2br w:val="nil"/>
              <w:tr2bl w:val="nil"/>
            </w:tcBorders>
            <w:noWrap/>
            <w:vAlign w:val="center"/>
          </w:tcPr>
          <w:p w14:paraId="375967FF">
            <w:pPr>
              <w:adjustRightInd w:val="0"/>
              <w:snapToGrid w:val="0"/>
              <w:jc w:val="center"/>
              <w:rPr>
                <w:sz w:val="22"/>
                <w:szCs w:val="22"/>
              </w:rPr>
            </w:pPr>
          </w:p>
        </w:tc>
        <w:tc>
          <w:tcPr>
            <w:tcW w:w="615" w:type="pct"/>
            <w:tcBorders>
              <w:tl2br w:val="nil"/>
              <w:tr2bl w:val="nil"/>
            </w:tcBorders>
            <w:noWrap/>
            <w:vAlign w:val="center"/>
          </w:tcPr>
          <w:p w14:paraId="7BF76C90">
            <w:pPr>
              <w:widowControl/>
              <w:adjustRightInd w:val="0"/>
              <w:snapToGrid w:val="0"/>
              <w:jc w:val="center"/>
              <w:textAlignment w:val="center"/>
              <w:rPr>
                <w:kern w:val="0"/>
                <w:sz w:val="22"/>
                <w:szCs w:val="22"/>
                <w:lang w:bidi="ar"/>
              </w:rPr>
            </w:pPr>
            <w:r>
              <w:rPr>
                <w:rFonts w:eastAsia="等线"/>
                <w:sz w:val="22"/>
                <w:szCs w:val="22"/>
              </w:rPr>
              <w:t>150</w:t>
            </w:r>
            <w:r>
              <w:rPr>
                <w:rFonts w:hint="eastAsia"/>
                <w:sz w:val="22"/>
                <w:szCs w:val="22"/>
              </w:rPr>
              <w:t>天</w:t>
            </w:r>
          </w:p>
        </w:tc>
        <w:tc>
          <w:tcPr>
            <w:tcW w:w="749" w:type="pct"/>
            <w:tcBorders>
              <w:tl2br w:val="nil"/>
              <w:tr2bl w:val="nil"/>
            </w:tcBorders>
            <w:noWrap/>
            <w:vAlign w:val="center"/>
          </w:tcPr>
          <w:p w14:paraId="5E0CC2BA">
            <w:pPr>
              <w:widowControl/>
              <w:adjustRightInd w:val="0"/>
              <w:snapToGrid w:val="0"/>
              <w:jc w:val="center"/>
              <w:textAlignment w:val="center"/>
              <w:rPr>
                <w:kern w:val="0"/>
                <w:sz w:val="22"/>
                <w:szCs w:val="22"/>
                <w:lang w:bidi="ar"/>
              </w:rPr>
            </w:pPr>
            <w:r>
              <w:rPr>
                <w:rFonts w:eastAsia="等线"/>
                <w:sz w:val="22"/>
                <w:szCs w:val="22"/>
              </w:rPr>
              <w:t>25</w:t>
            </w:r>
          </w:p>
        </w:tc>
        <w:tc>
          <w:tcPr>
            <w:tcW w:w="2122" w:type="pct"/>
            <w:tcBorders>
              <w:tl2br w:val="nil"/>
              <w:tr2bl w:val="nil"/>
            </w:tcBorders>
            <w:noWrap/>
            <w:vAlign w:val="center"/>
          </w:tcPr>
          <w:p w14:paraId="2A97417F">
            <w:pPr>
              <w:widowControl/>
              <w:adjustRightInd w:val="0"/>
              <w:snapToGrid w:val="0"/>
              <w:jc w:val="center"/>
              <w:textAlignment w:val="center"/>
              <w:rPr>
                <w:kern w:val="0"/>
                <w:sz w:val="22"/>
                <w:szCs w:val="22"/>
                <w:lang w:bidi="ar"/>
              </w:rPr>
            </w:pPr>
            <w:r>
              <w:rPr>
                <w:rFonts w:eastAsia="等线"/>
                <w:sz w:val="22"/>
                <w:szCs w:val="22"/>
              </w:rPr>
              <w:t>0.723</w:t>
            </w:r>
          </w:p>
        </w:tc>
        <w:tc>
          <w:tcPr>
            <w:tcW w:w="945" w:type="pct"/>
            <w:tcBorders>
              <w:tl2br w:val="nil"/>
              <w:tr2bl w:val="nil"/>
            </w:tcBorders>
            <w:noWrap/>
            <w:vAlign w:val="center"/>
          </w:tcPr>
          <w:p w14:paraId="07B87C82">
            <w:pPr>
              <w:widowControl/>
              <w:adjustRightInd w:val="0"/>
              <w:snapToGrid w:val="0"/>
              <w:jc w:val="center"/>
              <w:textAlignment w:val="center"/>
              <w:rPr>
                <w:kern w:val="0"/>
                <w:sz w:val="22"/>
                <w:szCs w:val="22"/>
                <w:lang w:bidi="ar"/>
              </w:rPr>
            </w:pPr>
            <w:r>
              <w:rPr>
                <w:rFonts w:hint="eastAsia"/>
                <w:sz w:val="22"/>
                <w:szCs w:val="22"/>
              </w:rPr>
              <w:t>降至标准值附近</w:t>
            </w:r>
          </w:p>
        </w:tc>
      </w:tr>
      <w:tr w14:paraId="03AD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69" w:type="pct"/>
            <w:vMerge w:val="continue"/>
            <w:tcBorders>
              <w:tl2br w:val="nil"/>
              <w:tr2bl w:val="nil"/>
            </w:tcBorders>
            <w:noWrap/>
            <w:vAlign w:val="center"/>
          </w:tcPr>
          <w:p w14:paraId="02E12AC6">
            <w:pPr>
              <w:adjustRightInd w:val="0"/>
              <w:snapToGrid w:val="0"/>
              <w:jc w:val="center"/>
              <w:rPr>
                <w:sz w:val="22"/>
                <w:szCs w:val="22"/>
              </w:rPr>
            </w:pPr>
          </w:p>
        </w:tc>
        <w:tc>
          <w:tcPr>
            <w:tcW w:w="615" w:type="pct"/>
            <w:tcBorders>
              <w:tl2br w:val="nil"/>
              <w:tr2bl w:val="nil"/>
            </w:tcBorders>
            <w:noWrap/>
            <w:vAlign w:val="center"/>
          </w:tcPr>
          <w:p w14:paraId="1332AFCB">
            <w:pPr>
              <w:widowControl/>
              <w:adjustRightInd w:val="0"/>
              <w:snapToGrid w:val="0"/>
              <w:jc w:val="center"/>
              <w:textAlignment w:val="center"/>
              <w:rPr>
                <w:kern w:val="0"/>
                <w:sz w:val="22"/>
                <w:szCs w:val="22"/>
                <w:lang w:bidi="ar"/>
              </w:rPr>
            </w:pPr>
            <w:r>
              <w:rPr>
                <w:rFonts w:eastAsia="等线"/>
                <w:sz w:val="22"/>
                <w:szCs w:val="22"/>
              </w:rPr>
              <w:t>1000</w:t>
            </w:r>
            <w:r>
              <w:rPr>
                <w:rFonts w:hint="eastAsia"/>
                <w:sz w:val="22"/>
                <w:szCs w:val="22"/>
              </w:rPr>
              <w:t>天</w:t>
            </w:r>
          </w:p>
        </w:tc>
        <w:tc>
          <w:tcPr>
            <w:tcW w:w="749" w:type="pct"/>
            <w:tcBorders>
              <w:tl2br w:val="nil"/>
              <w:tr2bl w:val="nil"/>
            </w:tcBorders>
            <w:noWrap/>
            <w:vAlign w:val="center"/>
          </w:tcPr>
          <w:p w14:paraId="1A8ECBA1">
            <w:pPr>
              <w:widowControl/>
              <w:adjustRightInd w:val="0"/>
              <w:snapToGrid w:val="0"/>
              <w:jc w:val="center"/>
              <w:textAlignment w:val="center"/>
              <w:rPr>
                <w:kern w:val="0"/>
                <w:sz w:val="22"/>
                <w:szCs w:val="22"/>
                <w:lang w:bidi="ar"/>
              </w:rPr>
            </w:pPr>
            <w:r>
              <w:rPr>
                <w:rFonts w:eastAsia="等线"/>
                <w:sz w:val="22"/>
                <w:szCs w:val="22"/>
              </w:rPr>
              <w:t>/</w:t>
            </w:r>
          </w:p>
        </w:tc>
        <w:tc>
          <w:tcPr>
            <w:tcW w:w="2122" w:type="pct"/>
            <w:tcBorders>
              <w:tl2br w:val="nil"/>
              <w:tr2bl w:val="nil"/>
            </w:tcBorders>
            <w:noWrap/>
            <w:vAlign w:val="center"/>
          </w:tcPr>
          <w:p w14:paraId="7326918A">
            <w:pPr>
              <w:widowControl/>
              <w:adjustRightInd w:val="0"/>
              <w:snapToGrid w:val="0"/>
              <w:jc w:val="center"/>
              <w:textAlignment w:val="center"/>
              <w:rPr>
                <w:kern w:val="0"/>
                <w:sz w:val="22"/>
                <w:szCs w:val="22"/>
                <w:lang w:bidi="ar"/>
              </w:rPr>
            </w:pPr>
            <w:r>
              <w:rPr>
                <w:rFonts w:eastAsia="等线"/>
                <w:sz w:val="22"/>
                <w:szCs w:val="22"/>
              </w:rPr>
              <w:t>0.383</w:t>
            </w:r>
          </w:p>
        </w:tc>
        <w:tc>
          <w:tcPr>
            <w:tcW w:w="945" w:type="pct"/>
            <w:tcBorders>
              <w:tl2br w:val="nil"/>
              <w:tr2bl w:val="nil"/>
            </w:tcBorders>
            <w:noWrap/>
            <w:vAlign w:val="center"/>
          </w:tcPr>
          <w:p w14:paraId="29AA41DC">
            <w:pPr>
              <w:widowControl/>
              <w:adjustRightInd w:val="0"/>
              <w:snapToGrid w:val="0"/>
              <w:jc w:val="center"/>
              <w:textAlignment w:val="center"/>
              <w:rPr>
                <w:kern w:val="0"/>
                <w:sz w:val="22"/>
                <w:szCs w:val="22"/>
                <w:lang w:bidi="ar"/>
              </w:rPr>
            </w:pPr>
            <w:r>
              <w:rPr>
                <w:rFonts w:hint="eastAsia"/>
                <w:sz w:val="22"/>
                <w:szCs w:val="22"/>
              </w:rPr>
              <w:t>低于标准值</w:t>
            </w:r>
          </w:p>
        </w:tc>
      </w:tr>
    </w:tbl>
    <w:p w14:paraId="2FACFE72">
      <w:pPr>
        <w:pStyle w:val="1379"/>
        <w:ind w:firstLine="440"/>
      </w:pPr>
    </w:p>
    <w:p w14:paraId="1AAA193C">
      <w:pPr>
        <w:spacing w:line="460" w:lineRule="exact"/>
        <w:ind w:firstLine="520" w:firstLineChars="200"/>
        <w:rPr>
          <w:rFonts w:cs="Calibri"/>
          <w:sz w:val="26"/>
          <w:szCs w:val="20"/>
        </w:rPr>
      </w:pPr>
      <w:r>
        <w:rPr>
          <w:rFonts w:hint="eastAsia" w:cs="Calibri"/>
          <w:sz w:val="26"/>
          <w:szCs w:val="20"/>
        </w:rPr>
        <w:t>A、</w:t>
      </w:r>
      <w:r>
        <w:rPr>
          <w:rFonts w:cs="Calibri"/>
          <w:sz w:val="26"/>
          <w:szCs w:val="20"/>
        </w:rPr>
        <w:t>污染因子COD预测评价结果</w:t>
      </w:r>
    </w:p>
    <w:p w14:paraId="0A96C0A8">
      <w:pPr>
        <w:adjustRightInd w:val="0"/>
        <w:snapToGrid w:val="0"/>
        <w:spacing w:line="460" w:lineRule="exact"/>
        <w:ind w:firstLine="520" w:firstLineChars="200"/>
        <w:rPr>
          <w:sz w:val="26"/>
          <w:szCs w:val="26"/>
        </w:rPr>
      </w:pPr>
      <w:r>
        <w:rPr>
          <w:sz w:val="26"/>
          <w:szCs w:val="26"/>
        </w:rPr>
        <w:t>对COD污染物的模拟预测结果分析可知，当泄漏发生100天时，超标距离为下游</w:t>
      </w:r>
      <w:r>
        <w:rPr>
          <w:rFonts w:hint="eastAsia"/>
          <w:sz w:val="26"/>
          <w:szCs w:val="26"/>
        </w:rPr>
        <w:t>28</w:t>
      </w:r>
      <w:r>
        <w:rPr>
          <w:sz w:val="26"/>
          <w:szCs w:val="26"/>
        </w:rPr>
        <w:t>m处；当泄漏发生</w:t>
      </w:r>
      <w:r>
        <w:rPr>
          <w:rFonts w:hint="eastAsia"/>
          <w:sz w:val="26"/>
          <w:szCs w:val="26"/>
        </w:rPr>
        <w:t>150</w:t>
      </w:r>
      <w:r>
        <w:rPr>
          <w:sz w:val="26"/>
          <w:szCs w:val="26"/>
        </w:rPr>
        <w:t>天时，超标距离为下游</w:t>
      </w:r>
      <w:r>
        <w:rPr>
          <w:rFonts w:hint="eastAsia"/>
          <w:sz w:val="26"/>
          <w:szCs w:val="26"/>
        </w:rPr>
        <w:t>31</w:t>
      </w:r>
      <w:r>
        <w:rPr>
          <w:sz w:val="26"/>
          <w:szCs w:val="26"/>
        </w:rPr>
        <w:t>m处</w:t>
      </w:r>
      <w:r>
        <w:rPr>
          <w:rFonts w:hint="eastAsia"/>
          <w:sz w:val="26"/>
          <w:szCs w:val="26"/>
        </w:rPr>
        <w:t>，污染物降低至标准值附近</w:t>
      </w:r>
      <w:r>
        <w:rPr>
          <w:sz w:val="26"/>
          <w:szCs w:val="26"/>
        </w:rPr>
        <w:t>；当泄漏发生1000天</w:t>
      </w:r>
      <w:r>
        <w:rPr>
          <w:rFonts w:hint="eastAsia"/>
          <w:sz w:val="26"/>
          <w:szCs w:val="26"/>
        </w:rPr>
        <w:t>后，</w:t>
      </w:r>
      <w:r>
        <w:rPr>
          <w:sz w:val="26"/>
          <w:szCs w:val="26"/>
        </w:rPr>
        <w:t>叠加背景值后的最大浓度值均低于标准值，对地下水环境影响小。</w:t>
      </w:r>
    </w:p>
    <w:p w14:paraId="5469A6CD">
      <w:pPr>
        <w:pStyle w:val="1379"/>
        <w:ind w:firstLine="440"/>
      </w:pP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14:paraId="125C4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trPr>
        <w:tc>
          <w:tcPr>
            <w:tcW w:w="8642" w:type="dxa"/>
          </w:tcPr>
          <w:p w14:paraId="7430E208">
            <w:pPr>
              <w:jc w:val="center"/>
            </w:pPr>
            <w:r>
              <w:drawing>
                <wp:inline distT="0" distB="0" distL="0" distR="0">
                  <wp:extent cx="5368290" cy="1600200"/>
                  <wp:effectExtent l="0" t="0" r="3810" b="0"/>
                  <wp:docPr id="13079826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82693" name="图片 1"/>
                          <pic:cNvPicPr>
                            <a:picLocks noChangeAspect="1"/>
                          </pic:cNvPicPr>
                        </pic:nvPicPr>
                        <pic:blipFill>
                          <a:blip r:embed="rId66"/>
                          <a:stretch>
                            <a:fillRect/>
                          </a:stretch>
                        </pic:blipFill>
                        <pic:spPr>
                          <a:xfrm>
                            <a:off x="0" y="0"/>
                            <a:ext cx="5382901" cy="1604388"/>
                          </a:xfrm>
                          <a:prstGeom prst="rect">
                            <a:avLst/>
                          </a:prstGeom>
                        </pic:spPr>
                      </pic:pic>
                    </a:graphicData>
                  </a:graphic>
                </wp:inline>
              </w:drawing>
            </w:r>
          </w:p>
        </w:tc>
      </w:tr>
      <w:tr w14:paraId="382E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79D33F3E">
            <w:pPr>
              <w:jc w:val="center"/>
            </w:pPr>
            <w:r>
              <w:rPr>
                <w:rFonts w:hint="eastAsia"/>
              </w:rPr>
              <w:t>100天</w:t>
            </w:r>
          </w:p>
        </w:tc>
      </w:tr>
      <w:tr w14:paraId="1E32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5F356363">
            <w:pPr>
              <w:jc w:val="center"/>
            </w:pPr>
            <w:r>
              <w:drawing>
                <wp:inline distT="0" distB="0" distL="0" distR="0">
                  <wp:extent cx="5543550" cy="1657985"/>
                  <wp:effectExtent l="0" t="0" r="0" b="0"/>
                  <wp:docPr id="14889085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08555" name="图片 1"/>
                          <pic:cNvPicPr>
                            <a:picLocks noChangeAspect="1"/>
                          </pic:cNvPicPr>
                        </pic:nvPicPr>
                        <pic:blipFill>
                          <a:blip r:embed="rId67"/>
                          <a:stretch>
                            <a:fillRect/>
                          </a:stretch>
                        </pic:blipFill>
                        <pic:spPr>
                          <a:xfrm>
                            <a:off x="0" y="0"/>
                            <a:ext cx="5543550" cy="1657985"/>
                          </a:xfrm>
                          <a:prstGeom prst="rect">
                            <a:avLst/>
                          </a:prstGeom>
                        </pic:spPr>
                      </pic:pic>
                    </a:graphicData>
                  </a:graphic>
                </wp:inline>
              </w:drawing>
            </w:r>
          </w:p>
        </w:tc>
      </w:tr>
      <w:tr w14:paraId="75FA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19E80AFB">
            <w:pPr>
              <w:jc w:val="center"/>
            </w:pPr>
            <w:r>
              <w:rPr>
                <w:rFonts w:hint="eastAsia"/>
              </w:rPr>
              <w:t>150天</w:t>
            </w:r>
          </w:p>
        </w:tc>
      </w:tr>
      <w:tr w14:paraId="226A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1548BC3F">
            <w:pPr>
              <w:jc w:val="center"/>
            </w:pPr>
            <w:r>
              <w:drawing>
                <wp:inline distT="0" distB="0" distL="0" distR="0">
                  <wp:extent cx="5342255" cy="1579880"/>
                  <wp:effectExtent l="0" t="0" r="0" b="1270"/>
                  <wp:docPr id="8837256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25636" name="图片 1"/>
                          <pic:cNvPicPr>
                            <a:picLocks noChangeAspect="1"/>
                          </pic:cNvPicPr>
                        </pic:nvPicPr>
                        <pic:blipFill>
                          <a:blip r:embed="rId68"/>
                          <a:stretch>
                            <a:fillRect/>
                          </a:stretch>
                        </pic:blipFill>
                        <pic:spPr>
                          <a:xfrm>
                            <a:off x="0" y="0"/>
                            <a:ext cx="5345632" cy="1581033"/>
                          </a:xfrm>
                          <a:prstGeom prst="rect">
                            <a:avLst/>
                          </a:prstGeom>
                        </pic:spPr>
                      </pic:pic>
                    </a:graphicData>
                  </a:graphic>
                </wp:inline>
              </w:drawing>
            </w:r>
          </w:p>
        </w:tc>
      </w:tr>
      <w:tr w14:paraId="1ED6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67180075">
            <w:pPr>
              <w:jc w:val="center"/>
            </w:pPr>
            <w:r>
              <w:rPr>
                <w:rFonts w:hint="eastAsia"/>
              </w:rPr>
              <w:t>1000天</w:t>
            </w:r>
          </w:p>
        </w:tc>
      </w:tr>
    </w:tbl>
    <w:p w14:paraId="241CBDE6">
      <w:pPr>
        <w:tabs>
          <w:tab w:val="right" w:pos="8730"/>
        </w:tabs>
        <w:adjustRightInd w:val="0"/>
        <w:snapToGrid w:val="0"/>
        <w:jc w:val="center"/>
        <w:rPr>
          <w:kern w:val="0"/>
          <w:sz w:val="26"/>
          <w:szCs w:val="26"/>
        </w:rPr>
      </w:pPr>
      <w:r>
        <w:rPr>
          <w:kern w:val="0"/>
          <w:sz w:val="26"/>
          <w:szCs w:val="26"/>
        </w:rPr>
        <w:t>图6.</w:t>
      </w:r>
      <w:r>
        <w:rPr>
          <w:rFonts w:hint="eastAsia"/>
          <w:kern w:val="0"/>
          <w:sz w:val="26"/>
          <w:szCs w:val="26"/>
        </w:rPr>
        <w:t>4</w:t>
      </w:r>
      <w:r>
        <w:rPr>
          <w:kern w:val="0"/>
          <w:sz w:val="26"/>
          <w:szCs w:val="26"/>
        </w:rPr>
        <w:t>-1  污染物COD</w:t>
      </w:r>
      <w:r>
        <w:rPr>
          <w:rFonts w:hint="eastAsia"/>
          <w:kern w:val="0"/>
          <w:sz w:val="26"/>
          <w:szCs w:val="26"/>
        </w:rPr>
        <w:t>迁移</w:t>
      </w:r>
      <w:r>
        <w:rPr>
          <w:kern w:val="0"/>
          <w:sz w:val="26"/>
          <w:szCs w:val="26"/>
        </w:rPr>
        <w:t>距离与浓度关系曲线示意图</w:t>
      </w:r>
    </w:p>
    <w:p w14:paraId="7DADDED1">
      <w:pPr>
        <w:pStyle w:val="1379"/>
        <w:ind w:firstLine="440"/>
      </w:pPr>
    </w:p>
    <w:p w14:paraId="1249F5F5">
      <w:pPr>
        <w:spacing w:line="460" w:lineRule="exact"/>
        <w:ind w:firstLine="520" w:firstLineChars="200"/>
        <w:rPr>
          <w:rFonts w:cs="Calibri"/>
          <w:sz w:val="26"/>
          <w:szCs w:val="20"/>
        </w:rPr>
      </w:pPr>
      <w:r>
        <w:rPr>
          <w:rFonts w:hint="eastAsia" w:cs="Calibri"/>
          <w:sz w:val="26"/>
          <w:szCs w:val="20"/>
        </w:rPr>
        <w:t>B、</w:t>
      </w:r>
      <w:r>
        <w:rPr>
          <w:rFonts w:cs="Calibri"/>
          <w:sz w:val="26"/>
          <w:szCs w:val="20"/>
        </w:rPr>
        <w:t>污染因子石油类预测评价结果</w:t>
      </w:r>
    </w:p>
    <w:p w14:paraId="3A6D7F90">
      <w:pPr>
        <w:adjustRightInd w:val="0"/>
        <w:snapToGrid w:val="0"/>
        <w:spacing w:line="460" w:lineRule="exact"/>
        <w:ind w:firstLine="520" w:firstLineChars="200"/>
        <w:rPr>
          <w:sz w:val="26"/>
          <w:szCs w:val="26"/>
        </w:rPr>
      </w:pPr>
      <w:r>
        <w:rPr>
          <w:sz w:val="26"/>
          <w:szCs w:val="26"/>
        </w:rPr>
        <w:t>对石油类污染物的模拟预测结果分析可知，当泄漏发生</w:t>
      </w:r>
      <w:r>
        <w:rPr>
          <w:rFonts w:hint="eastAsia"/>
          <w:sz w:val="26"/>
          <w:szCs w:val="26"/>
        </w:rPr>
        <w:t>100</w:t>
      </w:r>
      <w:r>
        <w:rPr>
          <w:sz w:val="26"/>
          <w:szCs w:val="26"/>
        </w:rPr>
        <w:t>天时，石油类超标距离为下游</w:t>
      </w:r>
      <w:r>
        <w:rPr>
          <w:rFonts w:hint="eastAsia"/>
          <w:sz w:val="26"/>
          <w:szCs w:val="26"/>
        </w:rPr>
        <w:t>40</w:t>
      </w:r>
      <w:r>
        <w:rPr>
          <w:sz w:val="26"/>
          <w:szCs w:val="26"/>
        </w:rPr>
        <w:t>m处；当泄漏发生</w:t>
      </w:r>
      <w:r>
        <w:rPr>
          <w:rFonts w:hint="eastAsia"/>
          <w:sz w:val="26"/>
          <w:szCs w:val="26"/>
        </w:rPr>
        <w:t>365</w:t>
      </w:r>
      <w:r>
        <w:rPr>
          <w:sz w:val="26"/>
          <w:szCs w:val="26"/>
        </w:rPr>
        <w:t>天时，石油类超标距离为下游</w:t>
      </w:r>
      <w:r>
        <w:rPr>
          <w:rFonts w:hint="eastAsia"/>
          <w:sz w:val="26"/>
          <w:szCs w:val="26"/>
        </w:rPr>
        <w:t>81</w:t>
      </w:r>
      <w:r>
        <w:rPr>
          <w:sz w:val="26"/>
          <w:szCs w:val="26"/>
        </w:rPr>
        <w:t>m处；当泄漏发生</w:t>
      </w:r>
      <w:r>
        <w:rPr>
          <w:rFonts w:hint="eastAsia"/>
          <w:sz w:val="26"/>
          <w:szCs w:val="26"/>
        </w:rPr>
        <w:t>700</w:t>
      </w:r>
      <w:r>
        <w:rPr>
          <w:sz w:val="26"/>
          <w:szCs w:val="26"/>
        </w:rPr>
        <w:t>天时，石油类超标距离为下游</w:t>
      </w:r>
      <w:r>
        <w:rPr>
          <w:rFonts w:hint="eastAsia"/>
          <w:sz w:val="26"/>
          <w:szCs w:val="26"/>
        </w:rPr>
        <w:t>117</w:t>
      </w:r>
      <w:r>
        <w:rPr>
          <w:sz w:val="26"/>
          <w:szCs w:val="26"/>
        </w:rPr>
        <w:t>m处</w:t>
      </w:r>
      <w:r>
        <w:rPr>
          <w:rFonts w:hint="eastAsia"/>
          <w:sz w:val="26"/>
          <w:szCs w:val="26"/>
        </w:rPr>
        <w:t>，污染物浓度降低至标准值附近</w:t>
      </w:r>
      <w:r>
        <w:rPr>
          <w:sz w:val="26"/>
          <w:szCs w:val="26"/>
        </w:rPr>
        <w:t>；当泄漏发生</w:t>
      </w:r>
      <w:r>
        <w:rPr>
          <w:rFonts w:hint="eastAsia"/>
          <w:sz w:val="26"/>
          <w:szCs w:val="26"/>
        </w:rPr>
        <w:t>1000</w:t>
      </w:r>
      <w:r>
        <w:rPr>
          <w:sz w:val="26"/>
          <w:szCs w:val="26"/>
        </w:rPr>
        <w:t>天</w:t>
      </w:r>
      <w:r>
        <w:rPr>
          <w:rFonts w:hint="eastAsia"/>
          <w:sz w:val="26"/>
          <w:szCs w:val="26"/>
        </w:rPr>
        <w:t>以后，</w:t>
      </w:r>
      <w:r>
        <w:rPr>
          <w:sz w:val="26"/>
          <w:szCs w:val="26"/>
        </w:rPr>
        <w:t>叠加背景值后的最大浓度值均低于标准值，对地下水环境影响小。</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6"/>
      </w:tblGrid>
      <w:tr w14:paraId="0793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trPr>
        <w:tc>
          <w:tcPr>
            <w:tcW w:w="8706" w:type="dxa"/>
          </w:tcPr>
          <w:p w14:paraId="15C37CB3">
            <w:pPr>
              <w:jc w:val="center"/>
            </w:pPr>
            <w:r>
              <w:drawing>
                <wp:inline distT="0" distB="0" distL="0" distR="0">
                  <wp:extent cx="5358765" cy="1624330"/>
                  <wp:effectExtent l="0" t="0" r="0" b="0"/>
                  <wp:docPr id="8620985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098588" name="图片 1"/>
                          <pic:cNvPicPr>
                            <a:picLocks noChangeAspect="1"/>
                          </pic:cNvPicPr>
                        </pic:nvPicPr>
                        <pic:blipFill>
                          <a:blip r:embed="rId69"/>
                          <a:stretch>
                            <a:fillRect/>
                          </a:stretch>
                        </pic:blipFill>
                        <pic:spPr>
                          <a:xfrm>
                            <a:off x="0" y="0"/>
                            <a:ext cx="5362206" cy="1625247"/>
                          </a:xfrm>
                          <a:prstGeom prst="rect">
                            <a:avLst/>
                          </a:prstGeom>
                        </pic:spPr>
                      </pic:pic>
                    </a:graphicData>
                  </a:graphic>
                </wp:inline>
              </w:drawing>
            </w:r>
          </w:p>
        </w:tc>
      </w:tr>
      <w:tr w14:paraId="7F29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448D6358">
            <w:pPr>
              <w:jc w:val="center"/>
            </w:pPr>
            <w:r>
              <w:rPr>
                <w:rFonts w:hint="eastAsia"/>
              </w:rPr>
              <w:t>100天</w:t>
            </w:r>
          </w:p>
        </w:tc>
      </w:tr>
      <w:tr w14:paraId="7C76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633ED4CD">
            <w:pPr>
              <w:jc w:val="center"/>
            </w:pPr>
            <w:r>
              <w:drawing>
                <wp:inline distT="0" distB="0" distL="0" distR="0">
                  <wp:extent cx="5359400" cy="1605915"/>
                  <wp:effectExtent l="0" t="0" r="0" b="0"/>
                  <wp:docPr id="9542134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13422" name="图片 1"/>
                          <pic:cNvPicPr>
                            <a:picLocks noChangeAspect="1"/>
                          </pic:cNvPicPr>
                        </pic:nvPicPr>
                        <pic:blipFill>
                          <a:blip r:embed="rId70"/>
                          <a:stretch>
                            <a:fillRect/>
                          </a:stretch>
                        </pic:blipFill>
                        <pic:spPr>
                          <a:xfrm>
                            <a:off x="0" y="0"/>
                            <a:ext cx="5360838" cy="1606409"/>
                          </a:xfrm>
                          <a:prstGeom prst="rect">
                            <a:avLst/>
                          </a:prstGeom>
                        </pic:spPr>
                      </pic:pic>
                    </a:graphicData>
                  </a:graphic>
                </wp:inline>
              </w:drawing>
            </w:r>
          </w:p>
        </w:tc>
      </w:tr>
      <w:tr w14:paraId="201B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6E03BAA0">
            <w:pPr>
              <w:jc w:val="center"/>
            </w:pPr>
            <w:r>
              <w:rPr>
                <w:rFonts w:hint="eastAsia"/>
              </w:rPr>
              <w:t>365天</w:t>
            </w:r>
          </w:p>
        </w:tc>
      </w:tr>
      <w:tr w14:paraId="6224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5B9E475D">
            <w:pPr>
              <w:jc w:val="center"/>
            </w:pPr>
            <w:r>
              <w:drawing>
                <wp:inline distT="0" distB="0" distL="0" distR="0">
                  <wp:extent cx="5384165" cy="1630045"/>
                  <wp:effectExtent l="0" t="0" r="6985" b="8255"/>
                  <wp:docPr id="7531787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178748" name="图片 1"/>
                          <pic:cNvPicPr>
                            <a:picLocks noChangeAspect="1"/>
                          </pic:cNvPicPr>
                        </pic:nvPicPr>
                        <pic:blipFill>
                          <a:blip r:embed="rId71"/>
                          <a:stretch>
                            <a:fillRect/>
                          </a:stretch>
                        </pic:blipFill>
                        <pic:spPr>
                          <a:xfrm>
                            <a:off x="0" y="0"/>
                            <a:ext cx="5385953" cy="1630593"/>
                          </a:xfrm>
                          <a:prstGeom prst="rect">
                            <a:avLst/>
                          </a:prstGeom>
                        </pic:spPr>
                      </pic:pic>
                    </a:graphicData>
                  </a:graphic>
                </wp:inline>
              </w:drawing>
            </w:r>
          </w:p>
        </w:tc>
      </w:tr>
      <w:tr w14:paraId="64FFC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34B37E44">
            <w:pPr>
              <w:jc w:val="center"/>
            </w:pPr>
            <w:r>
              <w:rPr>
                <w:rFonts w:hint="eastAsia"/>
              </w:rPr>
              <w:t>700天</w:t>
            </w:r>
          </w:p>
        </w:tc>
      </w:tr>
      <w:tr w14:paraId="46A0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440D2062">
            <w:pPr>
              <w:jc w:val="center"/>
            </w:pPr>
            <w:r>
              <w:drawing>
                <wp:inline distT="0" distB="0" distL="0" distR="0">
                  <wp:extent cx="5375910" cy="1612900"/>
                  <wp:effectExtent l="0" t="0" r="0" b="6350"/>
                  <wp:docPr id="16830825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082599" name="图片 1"/>
                          <pic:cNvPicPr>
                            <a:picLocks noChangeAspect="1"/>
                          </pic:cNvPicPr>
                        </pic:nvPicPr>
                        <pic:blipFill>
                          <a:blip r:embed="rId72"/>
                          <a:stretch>
                            <a:fillRect/>
                          </a:stretch>
                        </pic:blipFill>
                        <pic:spPr>
                          <a:xfrm>
                            <a:off x="0" y="0"/>
                            <a:ext cx="5382454" cy="1614736"/>
                          </a:xfrm>
                          <a:prstGeom prst="rect">
                            <a:avLst/>
                          </a:prstGeom>
                        </pic:spPr>
                      </pic:pic>
                    </a:graphicData>
                  </a:graphic>
                </wp:inline>
              </w:drawing>
            </w:r>
          </w:p>
        </w:tc>
      </w:tr>
      <w:tr w14:paraId="5553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0C1D264D">
            <w:pPr>
              <w:jc w:val="center"/>
            </w:pPr>
            <w:r>
              <w:rPr>
                <w:rFonts w:hint="eastAsia"/>
              </w:rPr>
              <w:t>1000天</w:t>
            </w:r>
          </w:p>
        </w:tc>
      </w:tr>
    </w:tbl>
    <w:p w14:paraId="6D417414">
      <w:pPr>
        <w:pStyle w:val="1379"/>
        <w:ind w:firstLine="440"/>
      </w:pPr>
    </w:p>
    <w:p w14:paraId="030F099F">
      <w:pPr>
        <w:tabs>
          <w:tab w:val="right" w:pos="8730"/>
        </w:tabs>
        <w:adjustRightInd w:val="0"/>
        <w:snapToGrid w:val="0"/>
        <w:jc w:val="center"/>
        <w:rPr>
          <w:kern w:val="0"/>
          <w:sz w:val="26"/>
          <w:szCs w:val="26"/>
        </w:rPr>
      </w:pPr>
      <w:r>
        <w:rPr>
          <w:kern w:val="0"/>
          <w:sz w:val="26"/>
          <w:szCs w:val="26"/>
        </w:rPr>
        <w:t>图6.</w:t>
      </w:r>
      <w:r>
        <w:rPr>
          <w:rFonts w:hint="eastAsia"/>
          <w:kern w:val="0"/>
          <w:sz w:val="26"/>
          <w:szCs w:val="26"/>
        </w:rPr>
        <w:t>4</w:t>
      </w:r>
      <w:r>
        <w:rPr>
          <w:kern w:val="0"/>
          <w:sz w:val="26"/>
          <w:szCs w:val="26"/>
        </w:rPr>
        <w:t>-2  污染物石油类</w:t>
      </w:r>
      <w:r>
        <w:rPr>
          <w:rFonts w:hint="eastAsia"/>
          <w:kern w:val="0"/>
          <w:sz w:val="26"/>
          <w:szCs w:val="26"/>
        </w:rPr>
        <w:t>迁移</w:t>
      </w:r>
      <w:r>
        <w:rPr>
          <w:kern w:val="0"/>
          <w:sz w:val="26"/>
          <w:szCs w:val="26"/>
        </w:rPr>
        <w:t>距离与浓度关系曲线示意图</w:t>
      </w:r>
    </w:p>
    <w:p w14:paraId="72F0D108">
      <w:pPr>
        <w:pStyle w:val="1379"/>
        <w:ind w:firstLine="440"/>
      </w:pPr>
    </w:p>
    <w:p w14:paraId="1B90098F">
      <w:pPr>
        <w:spacing w:line="460" w:lineRule="exact"/>
        <w:ind w:firstLine="520" w:firstLineChars="200"/>
        <w:rPr>
          <w:rFonts w:cs="Calibri"/>
          <w:sz w:val="26"/>
          <w:szCs w:val="20"/>
        </w:rPr>
      </w:pPr>
      <w:r>
        <w:rPr>
          <w:rFonts w:hint="eastAsia" w:cs="Calibri"/>
          <w:sz w:val="26"/>
          <w:szCs w:val="20"/>
        </w:rPr>
        <w:t>C、</w:t>
      </w:r>
      <w:r>
        <w:rPr>
          <w:rFonts w:cs="Calibri"/>
          <w:sz w:val="26"/>
          <w:szCs w:val="20"/>
        </w:rPr>
        <w:t>污染因子氯化物预测评价结果</w:t>
      </w:r>
    </w:p>
    <w:p w14:paraId="7FCB81D8">
      <w:pPr>
        <w:adjustRightInd w:val="0"/>
        <w:snapToGrid w:val="0"/>
        <w:spacing w:line="460" w:lineRule="exact"/>
        <w:ind w:firstLine="520" w:firstLineChars="200"/>
        <w:rPr>
          <w:sz w:val="26"/>
          <w:szCs w:val="26"/>
        </w:rPr>
      </w:pPr>
      <w:r>
        <w:rPr>
          <w:sz w:val="26"/>
          <w:szCs w:val="26"/>
        </w:rPr>
        <w:t>对氯化物污染物的模拟预测结果分析可知，当泄漏发生</w:t>
      </w:r>
      <w:r>
        <w:rPr>
          <w:rFonts w:hint="eastAsia"/>
          <w:sz w:val="26"/>
          <w:szCs w:val="26"/>
        </w:rPr>
        <w:t>20</w:t>
      </w:r>
      <w:r>
        <w:rPr>
          <w:sz w:val="26"/>
          <w:szCs w:val="26"/>
        </w:rPr>
        <w:t>天时，超标距离为下游</w:t>
      </w:r>
      <w:r>
        <w:rPr>
          <w:rFonts w:hint="eastAsia"/>
          <w:sz w:val="26"/>
          <w:szCs w:val="26"/>
        </w:rPr>
        <w:t>4</w:t>
      </w:r>
      <w:r>
        <w:rPr>
          <w:sz w:val="26"/>
          <w:szCs w:val="26"/>
        </w:rPr>
        <w:t>m处；当泄漏发生</w:t>
      </w:r>
      <w:r>
        <w:rPr>
          <w:rFonts w:hint="eastAsia"/>
          <w:sz w:val="26"/>
          <w:szCs w:val="26"/>
        </w:rPr>
        <w:t>100</w:t>
      </w:r>
      <w:r>
        <w:rPr>
          <w:sz w:val="26"/>
          <w:szCs w:val="26"/>
        </w:rPr>
        <w:t>天后，叠加背景值后的最大浓度值均低于标准值，对地下水环境影响小。</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0"/>
      </w:tblGrid>
      <w:tr w14:paraId="0C24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trPr>
        <w:tc>
          <w:tcPr>
            <w:tcW w:w="8720" w:type="dxa"/>
          </w:tcPr>
          <w:p w14:paraId="3D4145F0">
            <w:pPr>
              <w:jc w:val="center"/>
            </w:pPr>
            <w:r>
              <w:drawing>
                <wp:inline distT="0" distB="0" distL="0" distR="0">
                  <wp:extent cx="5372735" cy="1600200"/>
                  <wp:effectExtent l="0" t="0" r="0" b="0"/>
                  <wp:docPr id="18564473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447367" name="图片 1"/>
                          <pic:cNvPicPr>
                            <a:picLocks noChangeAspect="1"/>
                          </pic:cNvPicPr>
                        </pic:nvPicPr>
                        <pic:blipFill>
                          <a:blip r:embed="rId73"/>
                          <a:stretch>
                            <a:fillRect/>
                          </a:stretch>
                        </pic:blipFill>
                        <pic:spPr>
                          <a:xfrm>
                            <a:off x="0" y="0"/>
                            <a:ext cx="5374445" cy="1600637"/>
                          </a:xfrm>
                          <a:prstGeom prst="rect">
                            <a:avLst/>
                          </a:prstGeom>
                        </pic:spPr>
                      </pic:pic>
                    </a:graphicData>
                  </a:graphic>
                </wp:inline>
              </w:drawing>
            </w:r>
          </w:p>
        </w:tc>
      </w:tr>
      <w:tr w14:paraId="01ACB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tcPr>
          <w:p w14:paraId="7C1D0DF0">
            <w:pPr>
              <w:jc w:val="center"/>
            </w:pPr>
            <w:r>
              <w:rPr>
                <w:rFonts w:hint="eastAsia"/>
              </w:rPr>
              <w:t>20天</w:t>
            </w:r>
          </w:p>
        </w:tc>
      </w:tr>
      <w:tr w14:paraId="74373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tcPr>
          <w:p w14:paraId="592B7BBF">
            <w:pPr>
              <w:jc w:val="center"/>
            </w:pPr>
            <w:r>
              <w:drawing>
                <wp:inline distT="0" distB="0" distL="0" distR="0">
                  <wp:extent cx="5380990" cy="1748790"/>
                  <wp:effectExtent l="0" t="0" r="0" b="3810"/>
                  <wp:docPr id="14868936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893647" name="图片 1"/>
                          <pic:cNvPicPr>
                            <a:picLocks noChangeAspect="1"/>
                          </pic:cNvPicPr>
                        </pic:nvPicPr>
                        <pic:blipFill>
                          <a:blip r:embed="rId74"/>
                          <a:stretch>
                            <a:fillRect/>
                          </a:stretch>
                        </pic:blipFill>
                        <pic:spPr>
                          <a:xfrm>
                            <a:off x="0" y="0"/>
                            <a:ext cx="5387125" cy="1751279"/>
                          </a:xfrm>
                          <a:prstGeom prst="rect">
                            <a:avLst/>
                          </a:prstGeom>
                        </pic:spPr>
                      </pic:pic>
                    </a:graphicData>
                  </a:graphic>
                </wp:inline>
              </w:drawing>
            </w:r>
          </w:p>
        </w:tc>
      </w:tr>
      <w:tr w14:paraId="15D6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tcPr>
          <w:p w14:paraId="046AF21A">
            <w:pPr>
              <w:jc w:val="center"/>
            </w:pPr>
            <w:r>
              <w:rPr>
                <w:rFonts w:hint="eastAsia"/>
              </w:rPr>
              <w:t>100天</w:t>
            </w:r>
          </w:p>
        </w:tc>
      </w:tr>
      <w:tr w14:paraId="39E2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tcPr>
          <w:p w14:paraId="6004F971">
            <w:pPr>
              <w:jc w:val="center"/>
            </w:pPr>
            <w:r>
              <w:drawing>
                <wp:inline distT="0" distB="0" distL="0" distR="0">
                  <wp:extent cx="5389245" cy="1624330"/>
                  <wp:effectExtent l="0" t="0" r="1905" b="0"/>
                  <wp:docPr id="12877423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742382" name="图片 1"/>
                          <pic:cNvPicPr>
                            <a:picLocks noChangeAspect="1"/>
                          </pic:cNvPicPr>
                        </pic:nvPicPr>
                        <pic:blipFill>
                          <a:blip r:embed="rId75"/>
                          <a:stretch>
                            <a:fillRect/>
                          </a:stretch>
                        </pic:blipFill>
                        <pic:spPr>
                          <a:xfrm>
                            <a:off x="0" y="0"/>
                            <a:ext cx="5392984" cy="1625926"/>
                          </a:xfrm>
                          <a:prstGeom prst="rect">
                            <a:avLst/>
                          </a:prstGeom>
                        </pic:spPr>
                      </pic:pic>
                    </a:graphicData>
                  </a:graphic>
                </wp:inline>
              </w:drawing>
            </w:r>
          </w:p>
        </w:tc>
      </w:tr>
      <w:tr w14:paraId="00B9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tcPr>
          <w:p w14:paraId="39335111">
            <w:pPr>
              <w:jc w:val="center"/>
            </w:pPr>
            <w:r>
              <w:rPr>
                <w:rFonts w:hint="eastAsia"/>
              </w:rPr>
              <w:t>1000天</w:t>
            </w:r>
          </w:p>
        </w:tc>
      </w:tr>
    </w:tbl>
    <w:p w14:paraId="73F81116">
      <w:pPr>
        <w:tabs>
          <w:tab w:val="right" w:pos="8730"/>
        </w:tabs>
        <w:adjustRightInd w:val="0"/>
        <w:snapToGrid w:val="0"/>
        <w:jc w:val="center"/>
        <w:rPr>
          <w:kern w:val="0"/>
          <w:sz w:val="26"/>
          <w:szCs w:val="26"/>
        </w:rPr>
      </w:pPr>
      <w:r>
        <w:rPr>
          <w:kern w:val="0"/>
          <w:sz w:val="26"/>
          <w:szCs w:val="26"/>
        </w:rPr>
        <w:t>图6.</w:t>
      </w:r>
      <w:r>
        <w:rPr>
          <w:rFonts w:hint="eastAsia"/>
          <w:kern w:val="0"/>
          <w:sz w:val="26"/>
          <w:szCs w:val="26"/>
        </w:rPr>
        <w:t>4</w:t>
      </w:r>
      <w:r>
        <w:rPr>
          <w:kern w:val="0"/>
          <w:sz w:val="26"/>
          <w:szCs w:val="26"/>
        </w:rPr>
        <w:t>-3  污染物氯化物</w:t>
      </w:r>
      <w:r>
        <w:rPr>
          <w:rFonts w:hint="eastAsia"/>
          <w:kern w:val="0"/>
          <w:sz w:val="26"/>
          <w:szCs w:val="26"/>
        </w:rPr>
        <w:t>迁移</w:t>
      </w:r>
      <w:r>
        <w:rPr>
          <w:kern w:val="0"/>
          <w:sz w:val="26"/>
          <w:szCs w:val="26"/>
        </w:rPr>
        <w:t>距离与浓度关系曲线示意图</w:t>
      </w:r>
    </w:p>
    <w:p w14:paraId="0EB47E25">
      <w:pPr>
        <w:pStyle w:val="1379"/>
        <w:ind w:firstLine="440"/>
      </w:pPr>
    </w:p>
    <w:p w14:paraId="3D5807EA">
      <w:pPr>
        <w:spacing w:line="460" w:lineRule="exact"/>
        <w:ind w:firstLine="520" w:firstLineChars="200"/>
        <w:rPr>
          <w:rFonts w:cs="Calibri"/>
          <w:sz w:val="26"/>
          <w:szCs w:val="20"/>
        </w:rPr>
      </w:pPr>
      <w:r>
        <w:rPr>
          <w:rFonts w:hint="eastAsia" w:cs="Calibri"/>
          <w:sz w:val="26"/>
          <w:szCs w:val="20"/>
        </w:rPr>
        <w:t>D、</w:t>
      </w:r>
      <w:r>
        <w:rPr>
          <w:rFonts w:cs="Calibri"/>
          <w:sz w:val="26"/>
          <w:szCs w:val="20"/>
        </w:rPr>
        <w:t>污染因子</w:t>
      </w:r>
      <w:r>
        <w:rPr>
          <w:rFonts w:hint="eastAsia" w:cs="Calibri"/>
          <w:sz w:val="26"/>
          <w:szCs w:val="20"/>
        </w:rPr>
        <w:t>钡离子</w:t>
      </w:r>
      <w:r>
        <w:rPr>
          <w:rFonts w:cs="Calibri"/>
          <w:sz w:val="26"/>
          <w:szCs w:val="20"/>
        </w:rPr>
        <w:t>预测评价结果</w:t>
      </w:r>
    </w:p>
    <w:p w14:paraId="753477DE">
      <w:pPr>
        <w:spacing w:line="460" w:lineRule="exact"/>
        <w:ind w:firstLine="520" w:firstLineChars="200"/>
        <w:rPr>
          <w:rFonts w:cs="Calibri"/>
          <w:sz w:val="26"/>
          <w:szCs w:val="20"/>
        </w:rPr>
      </w:pPr>
      <w:r>
        <w:rPr>
          <w:sz w:val="26"/>
          <w:szCs w:val="26"/>
        </w:rPr>
        <w:t>对</w:t>
      </w:r>
      <w:r>
        <w:rPr>
          <w:rFonts w:hint="eastAsia"/>
          <w:sz w:val="26"/>
          <w:szCs w:val="26"/>
        </w:rPr>
        <w:t>钡</w:t>
      </w:r>
      <w:r>
        <w:rPr>
          <w:sz w:val="26"/>
          <w:szCs w:val="26"/>
        </w:rPr>
        <w:t>污染物的模拟预测结果分析可知，当泄漏发生</w:t>
      </w:r>
      <w:r>
        <w:rPr>
          <w:rFonts w:hint="eastAsia"/>
          <w:sz w:val="26"/>
          <w:szCs w:val="26"/>
        </w:rPr>
        <w:t>1</w:t>
      </w:r>
      <w:r>
        <w:rPr>
          <w:sz w:val="26"/>
          <w:szCs w:val="26"/>
        </w:rPr>
        <w:t>0</w:t>
      </w:r>
      <w:r>
        <w:rPr>
          <w:rFonts w:hint="eastAsia"/>
          <w:sz w:val="26"/>
          <w:szCs w:val="26"/>
        </w:rPr>
        <w:t>0</w:t>
      </w:r>
      <w:r>
        <w:rPr>
          <w:sz w:val="26"/>
          <w:szCs w:val="26"/>
        </w:rPr>
        <w:t>天时，</w:t>
      </w:r>
      <w:r>
        <w:rPr>
          <w:rFonts w:hint="eastAsia"/>
          <w:sz w:val="26"/>
          <w:szCs w:val="26"/>
        </w:rPr>
        <w:t>钡</w:t>
      </w:r>
      <w:r>
        <w:rPr>
          <w:sz w:val="26"/>
          <w:szCs w:val="26"/>
        </w:rPr>
        <w:t>超标距离为下游</w:t>
      </w:r>
      <w:r>
        <w:rPr>
          <w:rFonts w:hint="eastAsia"/>
          <w:sz w:val="26"/>
          <w:szCs w:val="26"/>
        </w:rPr>
        <w:t>25</w:t>
      </w:r>
      <w:r>
        <w:rPr>
          <w:sz w:val="26"/>
          <w:szCs w:val="26"/>
        </w:rPr>
        <w:t>m处；当泄漏发生</w:t>
      </w:r>
      <w:r>
        <w:rPr>
          <w:rFonts w:hint="eastAsia"/>
          <w:sz w:val="26"/>
          <w:szCs w:val="26"/>
        </w:rPr>
        <w:t>150</w:t>
      </w:r>
      <w:r>
        <w:rPr>
          <w:sz w:val="26"/>
          <w:szCs w:val="26"/>
        </w:rPr>
        <w:t>天时，</w:t>
      </w:r>
      <w:r>
        <w:rPr>
          <w:rFonts w:hint="eastAsia"/>
          <w:sz w:val="26"/>
          <w:szCs w:val="26"/>
        </w:rPr>
        <w:t>钡</w:t>
      </w:r>
      <w:r>
        <w:rPr>
          <w:sz w:val="26"/>
          <w:szCs w:val="26"/>
        </w:rPr>
        <w:t>超标距离为下游</w:t>
      </w:r>
      <w:r>
        <w:rPr>
          <w:rFonts w:hint="eastAsia"/>
          <w:sz w:val="26"/>
          <w:szCs w:val="26"/>
        </w:rPr>
        <w:t>25</w:t>
      </w:r>
      <w:r>
        <w:rPr>
          <w:sz w:val="26"/>
          <w:szCs w:val="26"/>
        </w:rPr>
        <w:t>m处</w:t>
      </w:r>
      <w:r>
        <w:rPr>
          <w:rFonts w:hint="eastAsia"/>
          <w:sz w:val="26"/>
          <w:szCs w:val="26"/>
        </w:rPr>
        <w:t>，降至标准值附近</w:t>
      </w:r>
      <w:r>
        <w:rPr>
          <w:sz w:val="26"/>
          <w:szCs w:val="26"/>
        </w:rPr>
        <w:t>；当泄漏发生</w:t>
      </w:r>
      <w:r>
        <w:rPr>
          <w:rFonts w:hint="eastAsia"/>
          <w:sz w:val="26"/>
          <w:szCs w:val="26"/>
        </w:rPr>
        <w:t>1000</w:t>
      </w:r>
      <w:r>
        <w:rPr>
          <w:sz w:val="26"/>
          <w:szCs w:val="26"/>
        </w:rPr>
        <w:t>天后</w:t>
      </w:r>
      <w:r>
        <w:rPr>
          <w:rFonts w:hint="eastAsia"/>
          <w:sz w:val="26"/>
          <w:szCs w:val="26"/>
        </w:rPr>
        <w:t>，</w:t>
      </w:r>
      <w:r>
        <w:rPr>
          <w:sz w:val="26"/>
          <w:szCs w:val="26"/>
        </w:rPr>
        <w:t>叠加背景值后的最大浓度值均低于标准值，对地下水环境影响小。</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14:paraId="625A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trPr>
        <w:tc>
          <w:tcPr>
            <w:tcW w:w="8642" w:type="dxa"/>
          </w:tcPr>
          <w:p w14:paraId="78E77402">
            <w:pPr>
              <w:jc w:val="center"/>
            </w:pPr>
            <w:r>
              <w:drawing>
                <wp:inline distT="0" distB="0" distL="0" distR="0">
                  <wp:extent cx="5384800" cy="1636395"/>
                  <wp:effectExtent l="0" t="0" r="6350" b="1905"/>
                  <wp:docPr id="17251536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53620" name="图片 1"/>
                          <pic:cNvPicPr>
                            <a:picLocks noChangeAspect="1"/>
                          </pic:cNvPicPr>
                        </pic:nvPicPr>
                        <pic:blipFill>
                          <a:blip r:embed="rId76"/>
                          <a:stretch>
                            <a:fillRect/>
                          </a:stretch>
                        </pic:blipFill>
                        <pic:spPr>
                          <a:xfrm>
                            <a:off x="0" y="0"/>
                            <a:ext cx="5389621" cy="1638495"/>
                          </a:xfrm>
                          <a:prstGeom prst="rect">
                            <a:avLst/>
                          </a:prstGeom>
                        </pic:spPr>
                      </pic:pic>
                    </a:graphicData>
                  </a:graphic>
                </wp:inline>
              </w:drawing>
            </w:r>
          </w:p>
        </w:tc>
      </w:tr>
      <w:tr w14:paraId="0C72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432F6642">
            <w:pPr>
              <w:jc w:val="center"/>
            </w:pPr>
            <w:r>
              <w:rPr>
                <w:rFonts w:hint="eastAsia"/>
              </w:rPr>
              <w:t>100天</w:t>
            </w:r>
          </w:p>
        </w:tc>
      </w:tr>
      <w:tr w14:paraId="688D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2C523378">
            <w:pPr>
              <w:jc w:val="center"/>
            </w:pPr>
            <w:r>
              <w:drawing>
                <wp:inline distT="0" distB="0" distL="0" distR="0">
                  <wp:extent cx="5384800" cy="1801495"/>
                  <wp:effectExtent l="0" t="0" r="6350" b="8255"/>
                  <wp:docPr id="19011471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47169" name="图片 1"/>
                          <pic:cNvPicPr>
                            <a:picLocks noChangeAspect="1"/>
                          </pic:cNvPicPr>
                        </pic:nvPicPr>
                        <pic:blipFill>
                          <a:blip r:embed="rId77"/>
                          <a:stretch>
                            <a:fillRect/>
                          </a:stretch>
                        </pic:blipFill>
                        <pic:spPr>
                          <a:xfrm>
                            <a:off x="0" y="0"/>
                            <a:ext cx="5389801" cy="1803391"/>
                          </a:xfrm>
                          <a:prstGeom prst="rect">
                            <a:avLst/>
                          </a:prstGeom>
                        </pic:spPr>
                      </pic:pic>
                    </a:graphicData>
                  </a:graphic>
                </wp:inline>
              </w:drawing>
            </w:r>
          </w:p>
        </w:tc>
      </w:tr>
      <w:tr w14:paraId="7C30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0ECA2669">
            <w:pPr>
              <w:jc w:val="center"/>
            </w:pPr>
            <w:r>
              <w:rPr>
                <w:rFonts w:hint="eastAsia"/>
              </w:rPr>
              <w:t>150天</w:t>
            </w:r>
          </w:p>
        </w:tc>
      </w:tr>
      <w:tr w14:paraId="58B3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611AB58B">
            <w:pPr>
              <w:jc w:val="center"/>
            </w:pPr>
            <w:r>
              <w:drawing>
                <wp:inline distT="0" distB="0" distL="0" distR="0">
                  <wp:extent cx="5543550" cy="1640840"/>
                  <wp:effectExtent l="0" t="0" r="0" b="0"/>
                  <wp:docPr id="16366928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692880" name="图片 1"/>
                          <pic:cNvPicPr>
                            <a:picLocks noChangeAspect="1"/>
                          </pic:cNvPicPr>
                        </pic:nvPicPr>
                        <pic:blipFill>
                          <a:blip r:embed="rId78"/>
                          <a:stretch>
                            <a:fillRect/>
                          </a:stretch>
                        </pic:blipFill>
                        <pic:spPr>
                          <a:xfrm>
                            <a:off x="0" y="0"/>
                            <a:ext cx="5543550" cy="1640840"/>
                          </a:xfrm>
                          <a:prstGeom prst="rect">
                            <a:avLst/>
                          </a:prstGeom>
                        </pic:spPr>
                      </pic:pic>
                    </a:graphicData>
                  </a:graphic>
                </wp:inline>
              </w:drawing>
            </w:r>
          </w:p>
        </w:tc>
      </w:tr>
      <w:tr w14:paraId="5999B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2" w:type="dxa"/>
          </w:tcPr>
          <w:p w14:paraId="7BED4C6C">
            <w:pPr>
              <w:jc w:val="center"/>
            </w:pPr>
            <w:r>
              <w:rPr>
                <w:rFonts w:hint="eastAsia"/>
              </w:rPr>
              <w:t>1000天</w:t>
            </w:r>
          </w:p>
        </w:tc>
      </w:tr>
    </w:tbl>
    <w:p w14:paraId="79ABB5A0">
      <w:pPr>
        <w:pStyle w:val="1379"/>
        <w:ind w:firstLine="440"/>
      </w:pPr>
    </w:p>
    <w:p w14:paraId="4B63AB84">
      <w:pPr>
        <w:pStyle w:val="1085"/>
        <w:spacing w:line="460" w:lineRule="exact"/>
        <w:ind w:firstLine="520"/>
        <w:jc w:val="center"/>
        <w:rPr>
          <w:sz w:val="26"/>
          <w:szCs w:val="26"/>
        </w:rPr>
      </w:pPr>
      <w:r>
        <w:rPr>
          <w:sz w:val="26"/>
          <w:szCs w:val="26"/>
        </w:rPr>
        <w:t>图</w:t>
      </w:r>
      <w:r>
        <w:rPr>
          <w:rFonts w:hint="eastAsia"/>
          <w:sz w:val="26"/>
          <w:szCs w:val="26"/>
        </w:rPr>
        <w:t>6.4-4</w:t>
      </w:r>
      <w:r>
        <w:rPr>
          <w:sz w:val="26"/>
          <w:szCs w:val="26"/>
        </w:rPr>
        <w:t xml:space="preserve"> 污染物</w:t>
      </w:r>
      <w:r>
        <w:rPr>
          <w:rFonts w:hint="eastAsia"/>
          <w:sz w:val="26"/>
          <w:szCs w:val="26"/>
        </w:rPr>
        <w:t>钡离子迁移距离与浓度关系曲线示意图</w:t>
      </w:r>
    </w:p>
    <w:p w14:paraId="49B7D27A">
      <w:pPr>
        <w:pStyle w:val="1379"/>
        <w:ind w:firstLine="440"/>
      </w:pPr>
    </w:p>
    <w:p w14:paraId="2C125EE6">
      <w:pPr>
        <w:numPr>
          <w:ilvl w:val="0"/>
          <w:numId w:val="38"/>
        </w:numPr>
        <w:spacing w:line="480" w:lineRule="exact"/>
        <w:ind w:left="884" w:hanging="363"/>
        <w:outlineLvl w:val="4"/>
        <w:rPr>
          <w:rFonts w:cs="Courier New"/>
          <w:sz w:val="26"/>
        </w:rPr>
      </w:pPr>
      <w:r>
        <w:rPr>
          <w:rFonts w:hint="eastAsia" w:cs="Courier New"/>
          <w:sz w:val="26"/>
        </w:rPr>
        <w:t>凝析油储罐泄漏</w:t>
      </w:r>
    </w:p>
    <w:p w14:paraId="57CF6975">
      <w:pPr>
        <w:pStyle w:val="1381"/>
        <w:ind w:firstLine="520"/>
      </w:pPr>
      <w:r>
        <w:t>非正常状况下，由于腐蚀、地基不均匀沉降或者其他外力作用导致</w:t>
      </w:r>
      <w:r>
        <w:rPr>
          <w:rFonts w:hint="eastAsia"/>
        </w:rPr>
        <w:t>凝析油</w:t>
      </w:r>
      <w:r>
        <w:t>储罐</w:t>
      </w:r>
      <w:r>
        <w:rPr>
          <w:rFonts w:hint="eastAsia"/>
        </w:rPr>
        <w:t>和围堰防渗层同时</w:t>
      </w:r>
      <w:r>
        <w:t>发生破裂，</w:t>
      </w:r>
      <w:r>
        <w:rPr>
          <w:rFonts w:hint="eastAsia"/>
        </w:rPr>
        <w:t>气田水</w:t>
      </w:r>
      <w:r>
        <w:t>渗入到地下水中</w:t>
      </w:r>
      <w:r>
        <w:rPr>
          <w:rFonts w:hint="eastAsia"/>
        </w:rPr>
        <w:t>。</w:t>
      </w:r>
      <w:r>
        <w:t>按</w:t>
      </w:r>
      <w:r>
        <w:rPr>
          <w:rFonts w:hint="eastAsia"/>
        </w:rPr>
        <w:t>污染影响</w:t>
      </w:r>
      <w:r>
        <w:t>最大预测，不考虑地面的人工防渗措施及污染物在含水层中的吸附降解，天然状态下综合考虑地下水流向、周围敏感点的分布开展预测模拟，</w:t>
      </w:r>
      <w:r>
        <w:rPr>
          <w:rFonts w:hint="eastAsia"/>
        </w:rPr>
        <w:t>各污染物在</w:t>
      </w:r>
      <w:r>
        <w:t>含水层中的</w:t>
      </w:r>
      <w:r>
        <w:rPr>
          <w:rFonts w:hint="eastAsia"/>
        </w:rPr>
        <w:t>超标距离和影响距离见</w:t>
      </w:r>
      <w:r>
        <w:rPr>
          <w:rFonts w:hint="eastAsia"/>
          <w:u w:val="single"/>
        </w:rPr>
        <w:t>表6.4-7</w:t>
      </w:r>
      <w:r>
        <w:rPr>
          <w:rFonts w:hint="eastAsia"/>
        </w:rPr>
        <w:t>所示</w:t>
      </w:r>
      <w:r>
        <w:t>，</w:t>
      </w:r>
      <w:r>
        <w:rPr>
          <w:rFonts w:hint="eastAsia"/>
        </w:rPr>
        <w:t>各时段</w:t>
      </w:r>
      <w:r>
        <w:t>污染物的浓度变化曲线</w:t>
      </w:r>
      <w:r>
        <w:rPr>
          <w:rFonts w:hint="eastAsia"/>
        </w:rPr>
        <w:t>如</w:t>
      </w:r>
      <w:r>
        <w:rPr>
          <w:rFonts w:hint="eastAsia"/>
          <w:u w:val="single"/>
        </w:rPr>
        <w:t>图6.4</w:t>
      </w:r>
      <w:r>
        <w:rPr>
          <w:u w:val="single"/>
        </w:rPr>
        <w:t>-</w:t>
      </w:r>
      <w:r>
        <w:rPr>
          <w:rFonts w:hint="eastAsia"/>
          <w:u w:val="single"/>
        </w:rPr>
        <w:t>5</w:t>
      </w:r>
      <w:r>
        <w:t>所示</w:t>
      </w:r>
      <w:r>
        <w:rPr>
          <w:rFonts w:hint="eastAsia"/>
        </w:rPr>
        <w:t>。</w:t>
      </w:r>
    </w:p>
    <w:p w14:paraId="4B0D876B">
      <w:pPr>
        <w:pStyle w:val="1381"/>
        <w:ind w:firstLine="520"/>
      </w:pPr>
      <w:r>
        <w:rPr>
          <w:szCs w:val="26"/>
        </w:rPr>
        <w:t>对石油类污染物的模拟预测结果分析可知，当泄漏发生</w:t>
      </w:r>
      <w:r>
        <w:rPr>
          <w:rFonts w:hint="eastAsia"/>
          <w:szCs w:val="26"/>
        </w:rPr>
        <w:t>100</w:t>
      </w:r>
      <w:r>
        <w:rPr>
          <w:szCs w:val="26"/>
        </w:rPr>
        <w:t>天时，石油类超标距离为下游</w:t>
      </w:r>
      <w:r>
        <w:rPr>
          <w:rFonts w:hint="eastAsia"/>
          <w:szCs w:val="26"/>
        </w:rPr>
        <w:t>73</w:t>
      </w:r>
      <w:r>
        <w:rPr>
          <w:szCs w:val="26"/>
        </w:rPr>
        <w:t>m处；当泄漏发生</w:t>
      </w:r>
      <w:r>
        <w:rPr>
          <w:rFonts w:hint="eastAsia"/>
          <w:szCs w:val="26"/>
        </w:rPr>
        <w:t>1000</w:t>
      </w:r>
      <w:r>
        <w:rPr>
          <w:szCs w:val="26"/>
        </w:rPr>
        <w:t>天时，石油类超标距离为下游</w:t>
      </w:r>
      <w:r>
        <w:rPr>
          <w:rFonts w:hint="eastAsia"/>
          <w:szCs w:val="26"/>
        </w:rPr>
        <w:t>301</w:t>
      </w:r>
      <w:r>
        <w:rPr>
          <w:szCs w:val="26"/>
        </w:rPr>
        <w:t>m处；当泄漏发生</w:t>
      </w:r>
      <w:r>
        <w:rPr>
          <w:rFonts w:hint="eastAsia"/>
          <w:szCs w:val="26"/>
        </w:rPr>
        <w:t>2000</w:t>
      </w:r>
      <w:r>
        <w:rPr>
          <w:szCs w:val="26"/>
        </w:rPr>
        <w:t>天时，石油类超标距离为下游</w:t>
      </w:r>
      <w:r>
        <w:rPr>
          <w:rFonts w:hint="eastAsia"/>
          <w:szCs w:val="26"/>
        </w:rPr>
        <w:t>492</w:t>
      </w:r>
      <w:r>
        <w:rPr>
          <w:szCs w:val="26"/>
        </w:rPr>
        <w:t>m处</w:t>
      </w:r>
      <w:r>
        <w:rPr>
          <w:rFonts w:hint="eastAsia"/>
          <w:szCs w:val="26"/>
        </w:rPr>
        <w:t>，</w:t>
      </w:r>
      <w:r>
        <w:rPr>
          <w:szCs w:val="26"/>
        </w:rPr>
        <w:t>当泄漏发生</w:t>
      </w:r>
      <w:r>
        <w:rPr>
          <w:rFonts w:hint="eastAsia"/>
          <w:szCs w:val="26"/>
        </w:rPr>
        <w:t>3650</w:t>
      </w:r>
      <w:r>
        <w:rPr>
          <w:szCs w:val="26"/>
        </w:rPr>
        <w:t>天时，石油类超标距离为下游</w:t>
      </w:r>
      <w:r>
        <w:rPr>
          <w:rFonts w:hint="eastAsia"/>
          <w:szCs w:val="26"/>
        </w:rPr>
        <w:t>776</w:t>
      </w:r>
      <w:r>
        <w:rPr>
          <w:szCs w:val="26"/>
        </w:rPr>
        <w:t>m处。</w:t>
      </w:r>
    </w:p>
    <w:p w14:paraId="6110EC82">
      <w:pPr>
        <w:pStyle w:val="1379"/>
        <w:ind w:firstLine="440"/>
      </w:pPr>
    </w:p>
    <w:p w14:paraId="614E32DB">
      <w:pPr>
        <w:adjustRightInd w:val="0"/>
        <w:snapToGrid w:val="0"/>
        <w:jc w:val="center"/>
        <w:rPr>
          <w:kern w:val="0"/>
          <w:sz w:val="26"/>
          <w:szCs w:val="26"/>
        </w:rPr>
      </w:pPr>
      <w:r>
        <w:rPr>
          <w:kern w:val="0"/>
          <w:sz w:val="26"/>
          <w:szCs w:val="26"/>
        </w:rPr>
        <w:t>表</w:t>
      </w:r>
      <w:r>
        <w:rPr>
          <w:rFonts w:hint="eastAsia"/>
          <w:kern w:val="0"/>
          <w:sz w:val="26"/>
          <w:szCs w:val="26"/>
        </w:rPr>
        <w:t>6</w:t>
      </w:r>
      <w:r>
        <w:rPr>
          <w:kern w:val="0"/>
          <w:sz w:val="26"/>
          <w:szCs w:val="26"/>
        </w:rPr>
        <w:t>.</w:t>
      </w:r>
      <w:r>
        <w:rPr>
          <w:rFonts w:hint="eastAsia"/>
          <w:kern w:val="0"/>
          <w:sz w:val="26"/>
          <w:szCs w:val="26"/>
        </w:rPr>
        <w:t>4</w:t>
      </w:r>
      <w:r>
        <w:rPr>
          <w:kern w:val="0"/>
          <w:sz w:val="26"/>
          <w:szCs w:val="26"/>
        </w:rPr>
        <w:t>-</w:t>
      </w:r>
      <w:r>
        <w:rPr>
          <w:rFonts w:hint="eastAsia"/>
          <w:kern w:val="0"/>
          <w:sz w:val="26"/>
          <w:szCs w:val="26"/>
        </w:rPr>
        <w:t>7</w:t>
      </w:r>
      <w:r>
        <w:rPr>
          <w:kern w:val="0"/>
          <w:sz w:val="26"/>
          <w:szCs w:val="26"/>
        </w:rPr>
        <w:t xml:space="preserve"> 各类污染因子预测评价结果统计表</w:t>
      </w:r>
    </w:p>
    <w:tbl>
      <w:tblPr>
        <w:tblStyle w:val="88"/>
        <w:tblW w:w="48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87"/>
        <w:gridCol w:w="1063"/>
        <w:gridCol w:w="1290"/>
        <w:gridCol w:w="3587"/>
        <w:gridCol w:w="1594"/>
      </w:tblGrid>
      <w:tr w14:paraId="59B4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79" w:type="pct"/>
            <w:tcBorders>
              <w:top w:val="single" w:color="000000" w:sz="4" w:space="0"/>
              <w:tl2br w:val="nil"/>
              <w:tr2bl w:val="nil"/>
            </w:tcBorders>
            <w:vAlign w:val="center"/>
          </w:tcPr>
          <w:p w14:paraId="1001F086">
            <w:pPr>
              <w:adjustRightInd w:val="0"/>
              <w:snapToGrid w:val="0"/>
              <w:jc w:val="center"/>
              <w:rPr>
                <w:sz w:val="22"/>
                <w:szCs w:val="22"/>
              </w:rPr>
            </w:pPr>
            <w:r>
              <w:rPr>
                <w:kern w:val="0"/>
                <w:sz w:val="22"/>
                <w:szCs w:val="22"/>
                <w:lang w:bidi="ar"/>
              </w:rPr>
              <w:t>污染物种类</w:t>
            </w:r>
          </w:p>
        </w:tc>
        <w:tc>
          <w:tcPr>
            <w:tcW w:w="624" w:type="pct"/>
            <w:tcBorders>
              <w:top w:val="single" w:color="000000" w:sz="4" w:space="0"/>
              <w:tl2br w:val="nil"/>
              <w:tr2bl w:val="nil"/>
            </w:tcBorders>
            <w:vAlign w:val="center"/>
          </w:tcPr>
          <w:p w14:paraId="35750CE9">
            <w:pPr>
              <w:widowControl/>
              <w:adjustRightInd w:val="0"/>
              <w:snapToGrid w:val="0"/>
              <w:jc w:val="center"/>
              <w:textAlignment w:val="center"/>
              <w:rPr>
                <w:sz w:val="22"/>
                <w:szCs w:val="22"/>
              </w:rPr>
            </w:pPr>
            <w:r>
              <w:rPr>
                <w:kern w:val="0"/>
                <w:sz w:val="22"/>
                <w:szCs w:val="22"/>
                <w:lang w:bidi="ar"/>
              </w:rPr>
              <w:t>时间</w:t>
            </w:r>
          </w:p>
        </w:tc>
        <w:tc>
          <w:tcPr>
            <w:tcW w:w="757" w:type="pct"/>
            <w:tcBorders>
              <w:right w:val="single" w:color="000000" w:sz="4" w:space="0"/>
              <w:tl2br w:val="nil"/>
              <w:tr2bl w:val="nil"/>
            </w:tcBorders>
            <w:vAlign w:val="center"/>
          </w:tcPr>
          <w:p w14:paraId="667D2461">
            <w:pPr>
              <w:widowControl/>
              <w:adjustRightInd w:val="0"/>
              <w:snapToGrid w:val="0"/>
              <w:jc w:val="center"/>
              <w:textAlignment w:val="center"/>
              <w:rPr>
                <w:sz w:val="22"/>
                <w:szCs w:val="22"/>
              </w:rPr>
            </w:pPr>
            <w:r>
              <w:rPr>
                <w:kern w:val="0"/>
                <w:sz w:val="22"/>
                <w:szCs w:val="22"/>
                <w:lang w:bidi="ar"/>
              </w:rPr>
              <w:t>超标距离（m）</w:t>
            </w:r>
          </w:p>
        </w:tc>
        <w:tc>
          <w:tcPr>
            <w:tcW w:w="2105" w:type="pct"/>
            <w:tcBorders>
              <w:left w:val="single" w:color="000000" w:sz="4" w:space="0"/>
              <w:tl2br w:val="nil"/>
              <w:tr2bl w:val="nil"/>
            </w:tcBorders>
            <w:vAlign w:val="center"/>
          </w:tcPr>
          <w:p w14:paraId="69E97FFE">
            <w:pPr>
              <w:widowControl/>
              <w:adjustRightInd w:val="0"/>
              <w:snapToGrid w:val="0"/>
              <w:jc w:val="center"/>
              <w:textAlignment w:val="center"/>
              <w:rPr>
                <w:sz w:val="22"/>
                <w:szCs w:val="22"/>
              </w:rPr>
            </w:pPr>
            <w:r>
              <w:rPr>
                <w:kern w:val="0"/>
                <w:sz w:val="22"/>
                <w:szCs w:val="22"/>
                <w:lang w:bidi="ar"/>
              </w:rPr>
              <w:t>叠加背景值后污染晕最大浓度（mg/L）</w:t>
            </w:r>
          </w:p>
        </w:tc>
        <w:tc>
          <w:tcPr>
            <w:tcW w:w="935" w:type="pct"/>
            <w:tcBorders>
              <w:left w:val="single" w:color="000000" w:sz="4" w:space="0"/>
              <w:tl2br w:val="nil"/>
              <w:tr2bl w:val="nil"/>
            </w:tcBorders>
            <w:vAlign w:val="center"/>
          </w:tcPr>
          <w:p w14:paraId="3DE01C8C">
            <w:pPr>
              <w:widowControl/>
              <w:adjustRightInd w:val="0"/>
              <w:snapToGrid w:val="0"/>
              <w:jc w:val="center"/>
              <w:textAlignment w:val="center"/>
              <w:rPr>
                <w:kern w:val="0"/>
                <w:sz w:val="22"/>
                <w:szCs w:val="22"/>
                <w:lang w:bidi="ar"/>
              </w:rPr>
            </w:pPr>
            <w:r>
              <w:rPr>
                <w:kern w:val="0"/>
                <w:sz w:val="22"/>
                <w:szCs w:val="22"/>
                <w:lang w:bidi="ar"/>
              </w:rPr>
              <w:t>备注</w:t>
            </w:r>
          </w:p>
        </w:tc>
      </w:tr>
      <w:tr w14:paraId="2B7A5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79" w:type="pct"/>
            <w:vMerge w:val="restart"/>
            <w:tcBorders>
              <w:tl2br w:val="nil"/>
              <w:tr2bl w:val="nil"/>
            </w:tcBorders>
            <w:noWrap/>
            <w:vAlign w:val="center"/>
          </w:tcPr>
          <w:p w14:paraId="6AB9771E">
            <w:pPr>
              <w:widowControl/>
              <w:adjustRightInd w:val="0"/>
              <w:snapToGrid w:val="0"/>
              <w:jc w:val="center"/>
              <w:textAlignment w:val="center"/>
              <w:rPr>
                <w:sz w:val="22"/>
                <w:szCs w:val="22"/>
              </w:rPr>
            </w:pPr>
            <w:r>
              <w:rPr>
                <w:kern w:val="0"/>
                <w:sz w:val="22"/>
                <w:szCs w:val="22"/>
                <w:lang w:bidi="ar"/>
              </w:rPr>
              <w:t>石油类</w:t>
            </w:r>
          </w:p>
        </w:tc>
        <w:tc>
          <w:tcPr>
            <w:tcW w:w="624" w:type="pct"/>
            <w:tcBorders>
              <w:tl2br w:val="nil"/>
              <w:tr2bl w:val="nil"/>
            </w:tcBorders>
            <w:noWrap/>
            <w:vAlign w:val="center"/>
          </w:tcPr>
          <w:p w14:paraId="681BAEEF">
            <w:pPr>
              <w:widowControl/>
              <w:adjustRightInd w:val="0"/>
              <w:snapToGrid w:val="0"/>
              <w:jc w:val="center"/>
              <w:textAlignment w:val="center"/>
              <w:rPr>
                <w:sz w:val="22"/>
                <w:szCs w:val="22"/>
              </w:rPr>
            </w:pPr>
            <w:r>
              <w:rPr>
                <w:rFonts w:eastAsia="等线"/>
                <w:sz w:val="22"/>
                <w:szCs w:val="22"/>
              </w:rPr>
              <w:t>100</w:t>
            </w:r>
            <w:r>
              <w:rPr>
                <w:rFonts w:hint="eastAsia"/>
                <w:sz w:val="22"/>
                <w:szCs w:val="22"/>
              </w:rPr>
              <w:t>天</w:t>
            </w:r>
          </w:p>
        </w:tc>
        <w:tc>
          <w:tcPr>
            <w:tcW w:w="757" w:type="pct"/>
            <w:tcBorders>
              <w:tl2br w:val="nil"/>
              <w:tr2bl w:val="nil"/>
            </w:tcBorders>
            <w:noWrap/>
            <w:vAlign w:val="center"/>
          </w:tcPr>
          <w:p w14:paraId="0912FC64">
            <w:pPr>
              <w:widowControl/>
              <w:adjustRightInd w:val="0"/>
              <w:snapToGrid w:val="0"/>
              <w:jc w:val="center"/>
              <w:textAlignment w:val="center"/>
              <w:rPr>
                <w:sz w:val="22"/>
                <w:szCs w:val="22"/>
              </w:rPr>
            </w:pPr>
            <w:r>
              <w:rPr>
                <w:rFonts w:eastAsia="等线"/>
                <w:sz w:val="22"/>
                <w:szCs w:val="22"/>
              </w:rPr>
              <w:t>73</w:t>
            </w:r>
          </w:p>
        </w:tc>
        <w:tc>
          <w:tcPr>
            <w:tcW w:w="2105" w:type="pct"/>
            <w:tcBorders>
              <w:tl2br w:val="nil"/>
              <w:tr2bl w:val="nil"/>
            </w:tcBorders>
            <w:noWrap/>
            <w:vAlign w:val="center"/>
          </w:tcPr>
          <w:p w14:paraId="38693B94">
            <w:pPr>
              <w:widowControl/>
              <w:jc w:val="center"/>
              <w:textAlignment w:val="center"/>
              <w:rPr>
                <w:sz w:val="22"/>
                <w:szCs w:val="22"/>
              </w:rPr>
            </w:pPr>
            <w:r>
              <w:rPr>
                <w:rFonts w:eastAsia="等线"/>
                <w:sz w:val="22"/>
                <w:szCs w:val="22"/>
              </w:rPr>
              <w:t>751.26</w:t>
            </w:r>
          </w:p>
        </w:tc>
        <w:tc>
          <w:tcPr>
            <w:tcW w:w="935" w:type="pct"/>
            <w:tcBorders>
              <w:tl2br w:val="nil"/>
              <w:tr2bl w:val="nil"/>
            </w:tcBorders>
            <w:noWrap/>
            <w:vAlign w:val="center"/>
          </w:tcPr>
          <w:p w14:paraId="381F7FE6">
            <w:pPr>
              <w:widowControl/>
              <w:adjustRightInd w:val="0"/>
              <w:snapToGrid w:val="0"/>
              <w:jc w:val="center"/>
              <w:textAlignment w:val="center"/>
              <w:rPr>
                <w:sz w:val="22"/>
                <w:szCs w:val="22"/>
              </w:rPr>
            </w:pPr>
            <w:r>
              <w:rPr>
                <w:rFonts w:hint="eastAsia"/>
                <w:sz w:val="22"/>
                <w:szCs w:val="22"/>
              </w:rPr>
              <w:t>超标</w:t>
            </w:r>
          </w:p>
        </w:tc>
      </w:tr>
      <w:tr w14:paraId="263C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79" w:type="pct"/>
            <w:vMerge w:val="continue"/>
            <w:tcBorders>
              <w:tl2br w:val="nil"/>
              <w:tr2bl w:val="nil"/>
            </w:tcBorders>
            <w:noWrap/>
            <w:vAlign w:val="center"/>
          </w:tcPr>
          <w:p w14:paraId="0FD96605">
            <w:pPr>
              <w:adjustRightInd w:val="0"/>
              <w:snapToGrid w:val="0"/>
              <w:jc w:val="center"/>
              <w:rPr>
                <w:sz w:val="22"/>
                <w:szCs w:val="22"/>
              </w:rPr>
            </w:pPr>
          </w:p>
        </w:tc>
        <w:tc>
          <w:tcPr>
            <w:tcW w:w="624" w:type="pct"/>
            <w:tcBorders>
              <w:tl2br w:val="nil"/>
              <w:tr2bl w:val="nil"/>
            </w:tcBorders>
            <w:noWrap/>
            <w:vAlign w:val="center"/>
          </w:tcPr>
          <w:p w14:paraId="222B7DC6">
            <w:pPr>
              <w:widowControl/>
              <w:adjustRightInd w:val="0"/>
              <w:snapToGrid w:val="0"/>
              <w:jc w:val="center"/>
              <w:textAlignment w:val="center"/>
              <w:rPr>
                <w:sz w:val="22"/>
                <w:szCs w:val="22"/>
              </w:rPr>
            </w:pPr>
            <w:r>
              <w:rPr>
                <w:rFonts w:eastAsia="等线"/>
                <w:sz w:val="22"/>
                <w:szCs w:val="22"/>
              </w:rPr>
              <w:t>1000</w:t>
            </w:r>
            <w:r>
              <w:rPr>
                <w:rFonts w:hint="eastAsia"/>
                <w:sz w:val="22"/>
                <w:szCs w:val="22"/>
              </w:rPr>
              <w:t>天</w:t>
            </w:r>
          </w:p>
        </w:tc>
        <w:tc>
          <w:tcPr>
            <w:tcW w:w="757" w:type="pct"/>
            <w:tcBorders>
              <w:tl2br w:val="nil"/>
              <w:tr2bl w:val="nil"/>
            </w:tcBorders>
            <w:noWrap/>
            <w:vAlign w:val="center"/>
          </w:tcPr>
          <w:p w14:paraId="7984D1FE">
            <w:pPr>
              <w:widowControl/>
              <w:adjustRightInd w:val="0"/>
              <w:snapToGrid w:val="0"/>
              <w:jc w:val="center"/>
              <w:textAlignment w:val="center"/>
              <w:rPr>
                <w:sz w:val="22"/>
                <w:szCs w:val="22"/>
              </w:rPr>
            </w:pPr>
            <w:r>
              <w:rPr>
                <w:rFonts w:eastAsia="等线"/>
                <w:sz w:val="22"/>
                <w:szCs w:val="22"/>
              </w:rPr>
              <w:t>301</w:t>
            </w:r>
          </w:p>
        </w:tc>
        <w:tc>
          <w:tcPr>
            <w:tcW w:w="2105" w:type="pct"/>
            <w:tcBorders>
              <w:tl2br w:val="nil"/>
              <w:tr2bl w:val="nil"/>
            </w:tcBorders>
            <w:noWrap/>
            <w:vAlign w:val="center"/>
          </w:tcPr>
          <w:p w14:paraId="7778FEE5">
            <w:pPr>
              <w:widowControl/>
              <w:jc w:val="center"/>
              <w:textAlignment w:val="center"/>
              <w:rPr>
                <w:sz w:val="22"/>
                <w:szCs w:val="22"/>
              </w:rPr>
            </w:pPr>
            <w:r>
              <w:rPr>
                <w:rFonts w:eastAsia="等线"/>
                <w:sz w:val="22"/>
                <w:szCs w:val="22"/>
              </w:rPr>
              <w:t>75.14</w:t>
            </w:r>
          </w:p>
        </w:tc>
        <w:tc>
          <w:tcPr>
            <w:tcW w:w="935" w:type="pct"/>
            <w:tcBorders>
              <w:tl2br w:val="nil"/>
              <w:tr2bl w:val="nil"/>
            </w:tcBorders>
            <w:noWrap/>
            <w:vAlign w:val="center"/>
          </w:tcPr>
          <w:p w14:paraId="77D7A0AF">
            <w:pPr>
              <w:widowControl/>
              <w:adjustRightInd w:val="0"/>
              <w:snapToGrid w:val="0"/>
              <w:jc w:val="center"/>
              <w:textAlignment w:val="center"/>
              <w:rPr>
                <w:sz w:val="22"/>
                <w:szCs w:val="22"/>
              </w:rPr>
            </w:pPr>
            <w:r>
              <w:rPr>
                <w:rFonts w:hint="eastAsia"/>
                <w:sz w:val="22"/>
                <w:szCs w:val="22"/>
              </w:rPr>
              <w:t>超标</w:t>
            </w:r>
          </w:p>
        </w:tc>
      </w:tr>
      <w:tr w14:paraId="3B88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79" w:type="pct"/>
            <w:vMerge w:val="continue"/>
            <w:tcBorders>
              <w:tl2br w:val="nil"/>
              <w:tr2bl w:val="nil"/>
            </w:tcBorders>
            <w:noWrap/>
            <w:vAlign w:val="center"/>
          </w:tcPr>
          <w:p w14:paraId="7059268F">
            <w:pPr>
              <w:adjustRightInd w:val="0"/>
              <w:snapToGrid w:val="0"/>
              <w:jc w:val="center"/>
              <w:rPr>
                <w:sz w:val="22"/>
                <w:szCs w:val="22"/>
              </w:rPr>
            </w:pPr>
          </w:p>
        </w:tc>
        <w:tc>
          <w:tcPr>
            <w:tcW w:w="624" w:type="pct"/>
            <w:tcBorders>
              <w:tl2br w:val="nil"/>
              <w:tr2bl w:val="nil"/>
            </w:tcBorders>
            <w:noWrap/>
            <w:vAlign w:val="center"/>
          </w:tcPr>
          <w:p w14:paraId="27293B7B">
            <w:pPr>
              <w:widowControl/>
              <w:adjustRightInd w:val="0"/>
              <w:snapToGrid w:val="0"/>
              <w:jc w:val="center"/>
              <w:textAlignment w:val="center"/>
              <w:rPr>
                <w:sz w:val="22"/>
                <w:szCs w:val="22"/>
              </w:rPr>
            </w:pPr>
            <w:r>
              <w:rPr>
                <w:rFonts w:eastAsia="等线"/>
                <w:sz w:val="22"/>
                <w:szCs w:val="22"/>
              </w:rPr>
              <w:t>2000</w:t>
            </w:r>
            <w:r>
              <w:rPr>
                <w:rFonts w:hint="eastAsia"/>
                <w:sz w:val="22"/>
                <w:szCs w:val="22"/>
              </w:rPr>
              <w:t>天</w:t>
            </w:r>
          </w:p>
        </w:tc>
        <w:tc>
          <w:tcPr>
            <w:tcW w:w="757" w:type="pct"/>
            <w:tcBorders>
              <w:tl2br w:val="nil"/>
              <w:tr2bl w:val="nil"/>
            </w:tcBorders>
            <w:noWrap/>
            <w:vAlign w:val="center"/>
          </w:tcPr>
          <w:p w14:paraId="73DB9727">
            <w:pPr>
              <w:widowControl/>
              <w:adjustRightInd w:val="0"/>
              <w:snapToGrid w:val="0"/>
              <w:jc w:val="center"/>
              <w:textAlignment w:val="center"/>
              <w:rPr>
                <w:sz w:val="22"/>
                <w:szCs w:val="22"/>
              </w:rPr>
            </w:pPr>
            <w:r>
              <w:rPr>
                <w:rFonts w:eastAsia="等线"/>
                <w:sz w:val="22"/>
                <w:szCs w:val="22"/>
              </w:rPr>
              <w:t>492</w:t>
            </w:r>
          </w:p>
        </w:tc>
        <w:tc>
          <w:tcPr>
            <w:tcW w:w="2105" w:type="pct"/>
            <w:tcBorders>
              <w:tl2br w:val="nil"/>
              <w:tr2bl w:val="nil"/>
            </w:tcBorders>
            <w:noWrap/>
            <w:vAlign w:val="center"/>
          </w:tcPr>
          <w:p w14:paraId="4A429938">
            <w:pPr>
              <w:widowControl/>
              <w:jc w:val="center"/>
              <w:textAlignment w:val="center"/>
              <w:rPr>
                <w:sz w:val="22"/>
                <w:szCs w:val="22"/>
              </w:rPr>
            </w:pPr>
            <w:r>
              <w:rPr>
                <w:rFonts w:eastAsia="等线"/>
                <w:sz w:val="22"/>
                <w:szCs w:val="22"/>
              </w:rPr>
              <w:t>37.57</w:t>
            </w:r>
          </w:p>
        </w:tc>
        <w:tc>
          <w:tcPr>
            <w:tcW w:w="935" w:type="pct"/>
            <w:tcBorders>
              <w:tl2br w:val="nil"/>
              <w:tr2bl w:val="nil"/>
            </w:tcBorders>
            <w:noWrap/>
            <w:vAlign w:val="center"/>
          </w:tcPr>
          <w:p w14:paraId="77FCE277">
            <w:pPr>
              <w:widowControl/>
              <w:adjustRightInd w:val="0"/>
              <w:snapToGrid w:val="0"/>
              <w:jc w:val="center"/>
              <w:textAlignment w:val="center"/>
              <w:rPr>
                <w:sz w:val="22"/>
                <w:szCs w:val="22"/>
              </w:rPr>
            </w:pPr>
            <w:r>
              <w:rPr>
                <w:rFonts w:hint="eastAsia"/>
                <w:sz w:val="22"/>
                <w:szCs w:val="22"/>
              </w:rPr>
              <w:t>超标</w:t>
            </w:r>
          </w:p>
        </w:tc>
      </w:tr>
      <w:tr w14:paraId="36A3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79" w:type="pct"/>
            <w:vMerge w:val="continue"/>
            <w:tcBorders>
              <w:tl2br w:val="nil"/>
              <w:tr2bl w:val="nil"/>
            </w:tcBorders>
            <w:noWrap/>
            <w:vAlign w:val="center"/>
          </w:tcPr>
          <w:p w14:paraId="0E6D71A0">
            <w:pPr>
              <w:adjustRightInd w:val="0"/>
              <w:snapToGrid w:val="0"/>
              <w:jc w:val="center"/>
              <w:rPr>
                <w:sz w:val="22"/>
                <w:szCs w:val="22"/>
              </w:rPr>
            </w:pPr>
          </w:p>
        </w:tc>
        <w:tc>
          <w:tcPr>
            <w:tcW w:w="624" w:type="pct"/>
            <w:tcBorders>
              <w:tl2br w:val="nil"/>
              <w:tr2bl w:val="nil"/>
            </w:tcBorders>
            <w:noWrap/>
            <w:vAlign w:val="center"/>
          </w:tcPr>
          <w:p w14:paraId="17ACBCA0">
            <w:pPr>
              <w:widowControl/>
              <w:adjustRightInd w:val="0"/>
              <w:snapToGrid w:val="0"/>
              <w:jc w:val="center"/>
              <w:textAlignment w:val="center"/>
              <w:rPr>
                <w:sz w:val="22"/>
                <w:szCs w:val="22"/>
              </w:rPr>
            </w:pPr>
            <w:r>
              <w:rPr>
                <w:rFonts w:eastAsia="等线"/>
                <w:sz w:val="22"/>
                <w:szCs w:val="22"/>
              </w:rPr>
              <w:t>3650</w:t>
            </w:r>
            <w:r>
              <w:rPr>
                <w:rFonts w:hint="eastAsia"/>
                <w:sz w:val="22"/>
                <w:szCs w:val="22"/>
              </w:rPr>
              <w:t>天</w:t>
            </w:r>
          </w:p>
        </w:tc>
        <w:tc>
          <w:tcPr>
            <w:tcW w:w="757" w:type="pct"/>
            <w:tcBorders>
              <w:tl2br w:val="nil"/>
              <w:tr2bl w:val="nil"/>
            </w:tcBorders>
            <w:noWrap/>
            <w:vAlign w:val="center"/>
          </w:tcPr>
          <w:p w14:paraId="58CD1420">
            <w:pPr>
              <w:widowControl/>
              <w:adjustRightInd w:val="0"/>
              <w:snapToGrid w:val="0"/>
              <w:jc w:val="center"/>
              <w:textAlignment w:val="center"/>
              <w:rPr>
                <w:sz w:val="22"/>
                <w:szCs w:val="22"/>
              </w:rPr>
            </w:pPr>
            <w:r>
              <w:rPr>
                <w:rFonts w:eastAsia="等线"/>
                <w:sz w:val="22"/>
                <w:szCs w:val="22"/>
              </w:rPr>
              <w:t>776</w:t>
            </w:r>
          </w:p>
        </w:tc>
        <w:tc>
          <w:tcPr>
            <w:tcW w:w="2105" w:type="pct"/>
            <w:tcBorders>
              <w:tl2br w:val="nil"/>
              <w:tr2bl w:val="nil"/>
            </w:tcBorders>
            <w:noWrap/>
            <w:vAlign w:val="center"/>
          </w:tcPr>
          <w:p w14:paraId="4E89ECD6">
            <w:pPr>
              <w:widowControl/>
              <w:jc w:val="center"/>
              <w:textAlignment w:val="center"/>
              <w:rPr>
                <w:sz w:val="22"/>
                <w:szCs w:val="22"/>
              </w:rPr>
            </w:pPr>
            <w:r>
              <w:rPr>
                <w:rFonts w:eastAsia="等线"/>
                <w:sz w:val="22"/>
                <w:szCs w:val="22"/>
              </w:rPr>
              <w:t>20.59</w:t>
            </w:r>
          </w:p>
        </w:tc>
        <w:tc>
          <w:tcPr>
            <w:tcW w:w="935" w:type="pct"/>
            <w:tcBorders>
              <w:tl2br w:val="nil"/>
              <w:tr2bl w:val="nil"/>
            </w:tcBorders>
            <w:noWrap/>
            <w:vAlign w:val="center"/>
          </w:tcPr>
          <w:p w14:paraId="1C4FA616">
            <w:pPr>
              <w:widowControl/>
              <w:adjustRightInd w:val="0"/>
              <w:snapToGrid w:val="0"/>
              <w:jc w:val="center"/>
              <w:textAlignment w:val="center"/>
              <w:rPr>
                <w:sz w:val="22"/>
                <w:szCs w:val="22"/>
              </w:rPr>
            </w:pPr>
            <w:r>
              <w:rPr>
                <w:rFonts w:hint="eastAsia"/>
                <w:sz w:val="22"/>
                <w:szCs w:val="22"/>
              </w:rPr>
              <w:t>超标</w:t>
            </w:r>
          </w:p>
        </w:tc>
      </w:tr>
    </w:tbl>
    <w:p w14:paraId="32C2DC0D">
      <w:pPr>
        <w:pStyle w:val="1379"/>
        <w:ind w:firstLine="440"/>
      </w:pP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14:paraId="7A58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trPr>
        <w:tc>
          <w:tcPr>
            <w:tcW w:w="8706" w:type="dxa"/>
          </w:tcPr>
          <w:p w14:paraId="7880A574">
            <w:pPr>
              <w:jc w:val="center"/>
            </w:pPr>
            <w:r>
              <w:drawing>
                <wp:inline distT="0" distB="0" distL="0" distR="0">
                  <wp:extent cx="5375910" cy="1621790"/>
                  <wp:effectExtent l="0" t="0" r="0" b="0"/>
                  <wp:docPr id="10870393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39394" name="图片 1"/>
                          <pic:cNvPicPr>
                            <a:picLocks noChangeAspect="1"/>
                          </pic:cNvPicPr>
                        </pic:nvPicPr>
                        <pic:blipFill>
                          <a:blip r:embed="rId79"/>
                          <a:stretch>
                            <a:fillRect/>
                          </a:stretch>
                        </pic:blipFill>
                        <pic:spPr>
                          <a:xfrm>
                            <a:off x="0" y="0"/>
                            <a:ext cx="5377488" cy="1622486"/>
                          </a:xfrm>
                          <a:prstGeom prst="rect">
                            <a:avLst/>
                          </a:prstGeom>
                        </pic:spPr>
                      </pic:pic>
                    </a:graphicData>
                  </a:graphic>
                </wp:inline>
              </w:drawing>
            </w:r>
          </w:p>
        </w:tc>
      </w:tr>
      <w:tr w14:paraId="56905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26744BE5">
            <w:pPr>
              <w:jc w:val="center"/>
            </w:pPr>
            <w:r>
              <w:rPr>
                <w:rFonts w:hint="eastAsia"/>
              </w:rPr>
              <w:t>100天</w:t>
            </w:r>
          </w:p>
        </w:tc>
      </w:tr>
      <w:tr w14:paraId="49A6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79BFAEED">
            <w:pPr>
              <w:jc w:val="center"/>
            </w:pPr>
            <w:r>
              <w:drawing>
                <wp:inline distT="0" distB="0" distL="0" distR="0">
                  <wp:extent cx="5384165" cy="1617345"/>
                  <wp:effectExtent l="0" t="0" r="6985" b="1905"/>
                  <wp:docPr id="5203431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343139" name="图片 1"/>
                          <pic:cNvPicPr>
                            <a:picLocks noChangeAspect="1"/>
                          </pic:cNvPicPr>
                        </pic:nvPicPr>
                        <pic:blipFill>
                          <a:blip r:embed="rId80"/>
                          <a:stretch>
                            <a:fillRect/>
                          </a:stretch>
                        </pic:blipFill>
                        <pic:spPr>
                          <a:xfrm>
                            <a:off x="0" y="0"/>
                            <a:ext cx="5388296" cy="1618957"/>
                          </a:xfrm>
                          <a:prstGeom prst="rect">
                            <a:avLst/>
                          </a:prstGeom>
                        </pic:spPr>
                      </pic:pic>
                    </a:graphicData>
                  </a:graphic>
                </wp:inline>
              </w:drawing>
            </w:r>
          </w:p>
        </w:tc>
      </w:tr>
      <w:tr w14:paraId="57E0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196BCE92">
            <w:pPr>
              <w:jc w:val="center"/>
            </w:pPr>
            <w:r>
              <w:rPr>
                <w:rFonts w:hint="eastAsia"/>
              </w:rPr>
              <w:t>1000天</w:t>
            </w:r>
          </w:p>
        </w:tc>
      </w:tr>
      <w:tr w14:paraId="6E3E0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5A00DD7E">
            <w:pPr>
              <w:jc w:val="center"/>
            </w:pPr>
            <w:r>
              <w:drawing>
                <wp:inline distT="0" distB="0" distL="0" distR="0">
                  <wp:extent cx="5384165" cy="1591945"/>
                  <wp:effectExtent l="0" t="0" r="6985" b="8255"/>
                  <wp:docPr id="13827332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733256" name="图片 1"/>
                          <pic:cNvPicPr>
                            <a:picLocks noChangeAspect="1"/>
                          </pic:cNvPicPr>
                        </pic:nvPicPr>
                        <pic:blipFill>
                          <a:blip r:embed="rId81"/>
                          <a:stretch>
                            <a:fillRect/>
                          </a:stretch>
                        </pic:blipFill>
                        <pic:spPr>
                          <a:xfrm>
                            <a:off x="0" y="0"/>
                            <a:ext cx="5389086" cy="1593885"/>
                          </a:xfrm>
                          <a:prstGeom prst="rect">
                            <a:avLst/>
                          </a:prstGeom>
                        </pic:spPr>
                      </pic:pic>
                    </a:graphicData>
                  </a:graphic>
                </wp:inline>
              </w:drawing>
            </w:r>
          </w:p>
        </w:tc>
      </w:tr>
      <w:tr w14:paraId="244A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5C076F6C">
            <w:pPr>
              <w:jc w:val="center"/>
            </w:pPr>
            <w:r>
              <w:rPr>
                <w:rFonts w:hint="eastAsia"/>
              </w:rPr>
              <w:t>2000天</w:t>
            </w:r>
          </w:p>
        </w:tc>
      </w:tr>
      <w:tr w14:paraId="1205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55254647">
            <w:pPr>
              <w:jc w:val="center"/>
            </w:pPr>
            <w:r>
              <w:drawing>
                <wp:inline distT="0" distB="0" distL="0" distR="0">
                  <wp:extent cx="5543550" cy="1656080"/>
                  <wp:effectExtent l="0" t="0" r="0" b="1270"/>
                  <wp:docPr id="14416186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18679" name="图片 1"/>
                          <pic:cNvPicPr>
                            <a:picLocks noChangeAspect="1"/>
                          </pic:cNvPicPr>
                        </pic:nvPicPr>
                        <pic:blipFill>
                          <a:blip r:embed="rId82"/>
                          <a:stretch>
                            <a:fillRect/>
                          </a:stretch>
                        </pic:blipFill>
                        <pic:spPr>
                          <a:xfrm>
                            <a:off x="0" y="0"/>
                            <a:ext cx="5543550" cy="1656080"/>
                          </a:xfrm>
                          <a:prstGeom prst="rect">
                            <a:avLst/>
                          </a:prstGeom>
                        </pic:spPr>
                      </pic:pic>
                    </a:graphicData>
                  </a:graphic>
                </wp:inline>
              </w:drawing>
            </w:r>
          </w:p>
        </w:tc>
      </w:tr>
      <w:tr w14:paraId="431F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6" w:type="dxa"/>
          </w:tcPr>
          <w:p w14:paraId="0AC85986">
            <w:pPr>
              <w:jc w:val="center"/>
            </w:pPr>
            <w:r>
              <w:rPr>
                <w:rFonts w:hint="eastAsia"/>
              </w:rPr>
              <w:t>3650天</w:t>
            </w:r>
          </w:p>
        </w:tc>
      </w:tr>
    </w:tbl>
    <w:p w14:paraId="1C1014CF">
      <w:pPr>
        <w:pStyle w:val="1379"/>
        <w:ind w:firstLine="440"/>
      </w:pPr>
    </w:p>
    <w:p w14:paraId="2FFB0990">
      <w:pPr>
        <w:pStyle w:val="1085"/>
        <w:spacing w:line="460" w:lineRule="exact"/>
        <w:ind w:firstLine="520"/>
        <w:jc w:val="center"/>
        <w:rPr>
          <w:bCs/>
          <w:sz w:val="26"/>
          <w:szCs w:val="26"/>
        </w:rPr>
      </w:pPr>
      <w:r>
        <w:rPr>
          <w:sz w:val="26"/>
          <w:szCs w:val="26"/>
        </w:rPr>
        <w:t>图</w:t>
      </w:r>
      <w:r>
        <w:rPr>
          <w:rFonts w:hint="eastAsia"/>
          <w:sz w:val="26"/>
          <w:szCs w:val="26"/>
        </w:rPr>
        <w:t>6.4-5</w:t>
      </w:r>
      <w:r>
        <w:rPr>
          <w:sz w:val="26"/>
          <w:szCs w:val="26"/>
        </w:rPr>
        <w:t xml:space="preserve"> 污染物</w:t>
      </w:r>
      <w:r>
        <w:rPr>
          <w:rFonts w:hint="eastAsia"/>
          <w:sz w:val="26"/>
          <w:szCs w:val="26"/>
        </w:rPr>
        <w:t>石油类迁移距离与浓度关系曲线示意图</w:t>
      </w:r>
    </w:p>
    <w:p w14:paraId="4CAAB446">
      <w:pPr>
        <w:pStyle w:val="1379"/>
        <w:ind w:firstLine="440"/>
      </w:pPr>
    </w:p>
    <w:p w14:paraId="4BD2CEE6">
      <w:pPr>
        <w:pStyle w:val="1085"/>
        <w:spacing w:line="460" w:lineRule="exact"/>
        <w:ind w:firstLine="520"/>
      </w:pPr>
      <w:r>
        <w:rPr>
          <w:bCs/>
          <w:sz w:val="26"/>
          <w:szCs w:val="26"/>
        </w:rPr>
        <w:t>根据预测结果可知，当</w:t>
      </w:r>
      <w:r>
        <w:rPr>
          <w:rFonts w:hint="eastAsia"/>
          <w:bCs/>
          <w:sz w:val="26"/>
          <w:szCs w:val="26"/>
        </w:rPr>
        <w:t>气田水罐和储油罐</w:t>
      </w:r>
      <w:r>
        <w:rPr>
          <w:bCs/>
          <w:sz w:val="26"/>
          <w:szCs w:val="26"/>
        </w:rPr>
        <w:t>发生泄漏后地下水中泄漏污染物在短时间内浓度增加，在地下水水流作用下污染羽不断向周边扩散，污染物主要向地下水下游方向运移。随着时间的增加，污染的范围不断扩大，污染晕浓度也随着地下水水流向下游方向发生迁移，污染晕浓度不断减小，超标范围在一段时间达到最大距离后逐渐减小到最后消失。由预测结果可知，</w:t>
      </w:r>
      <w:r>
        <w:rPr>
          <w:rFonts w:hint="eastAsia"/>
          <w:bCs/>
          <w:sz w:val="26"/>
          <w:szCs w:val="26"/>
        </w:rPr>
        <w:t>气田水罐</w:t>
      </w:r>
      <w:r>
        <w:rPr>
          <w:bCs/>
          <w:sz w:val="26"/>
          <w:szCs w:val="26"/>
        </w:rPr>
        <w:t>发生渗漏后，</w:t>
      </w:r>
      <w:r>
        <w:rPr>
          <w:rFonts w:hint="eastAsia"/>
          <w:bCs/>
          <w:sz w:val="26"/>
          <w:szCs w:val="26"/>
        </w:rPr>
        <w:t>3年内，石油类因子超标距离最大，为117m（700天时）；储油罐罐</w:t>
      </w:r>
      <w:r>
        <w:rPr>
          <w:bCs/>
          <w:sz w:val="26"/>
          <w:szCs w:val="26"/>
        </w:rPr>
        <w:t>发生渗漏后，</w:t>
      </w:r>
      <w:r>
        <w:rPr>
          <w:rFonts w:hint="eastAsia"/>
          <w:bCs/>
          <w:sz w:val="26"/>
          <w:szCs w:val="26"/>
        </w:rPr>
        <w:t>10年内，石油类因子超标距离最大，为776m（3650天时）</w:t>
      </w:r>
      <w:r>
        <w:rPr>
          <w:bCs/>
          <w:sz w:val="26"/>
          <w:szCs w:val="26"/>
        </w:rPr>
        <w:t>。</w:t>
      </w:r>
    </w:p>
    <w:p w14:paraId="7BBEDEEB">
      <w:pPr>
        <w:pStyle w:val="1381"/>
        <w:ind w:firstLine="520"/>
      </w:pPr>
      <w:r>
        <w:rPr>
          <w:rFonts w:hint="eastAsia"/>
        </w:rPr>
        <w:t>因此，本项目在实施过程</w:t>
      </w:r>
      <w:r>
        <w:t>中</w:t>
      </w:r>
      <w:r>
        <w:rPr>
          <w:rFonts w:hint="eastAsia"/>
        </w:rPr>
        <w:t>需要采取有效的地下水污染防控措施，</w:t>
      </w:r>
      <w:r>
        <w:t>降低渗漏事故对浅层地下水的影响范围及超标距离，保护项目场地周边地下水环境</w:t>
      </w:r>
      <w:r>
        <w:rPr>
          <w:rFonts w:hint="eastAsia"/>
        </w:rPr>
        <w:t>。在渗漏事故发生后第一时间采取应急预案，一旦事故发生，及时控制现场，同时上报相关部门进行善后。通过长期监测井作为应急抽水井开展抽水，形成水力截获带，控制污染羽，并监测地下水污染物浓度。针对受本项目影响的饮用水水井，建设单位应建立应急供水预案，对受影响的居民采用自来水水源供水，并在应急处置期间可利用其他井水或送水车应急供水解决群众饮水问题</w:t>
      </w:r>
      <w:r>
        <w:rPr>
          <w:rFonts w:hint="eastAsia"/>
          <w:bCs/>
          <w:szCs w:val="26"/>
        </w:rPr>
        <w:t>。</w:t>
      </w:r>
    </w:p>
    <w:bookmarkEnd w:id="293"/>
    <w:p w14:paraId="12A6F677">
      <w:pPr>
        <w:adjustRightInd w:val="0"/>
        <w:snapToGrid w:val="0"/>
        <w:spacing w:line="460" w:lineRule="exact"/>
        <w:ind w:firstLine="522" w:firstLineChars="200"/>
        <w:outlineLvl w:val="1"/>
        <w:rPr>
          <w:b/>
          <w:sz w:val="26"/>
          <w:szCs w:val="26"/>
        </w:rPr>
      </w:pPr>
      <w:bookmarkStart w:id="294" w:name="_Toc165810599"/>
      <w:bookmarkStart w:id="295" w:name="_Toc109319869"/>
      <w:bookmarkStart w:id="296" w:name="_Toc219907658"/>
      <w:bookmarkStart w:id="297" w:name="_Toc128320930"/>
      <w:bookmarkStart w:id="298" w:name="_Toc165809745"/>
      <w:r>
        <w:rPr>
          <w:b/>
          <w:sz w:val="26"/>
          <w:szCs w:val="26"/>
        </w:rPr>
        <w:t>6.5 声环境影响分析</w:t>
      </w:r>
      <w:bookmarkEnd w:id="294"/>
      <w:bookmarkEnd w:id="295"/>
      <w:bookmarkEnd w:id="296"/>
      <w:bookmarkEnd w:id="297"/>
      <w:bookmarkEnd w:id="298"/>
    </w:p>
    <w:p w14:paraId="24EBBE62">
      <w:pPr>
        <w:pStyle w:val="1068"/>
      </w:pPr>
      <w:r>
        <w:rPr>
          <w:rFonts w:hint="eastAsia"/>
        </w:rPr>
        <w:t>6</w:t>
      </w:r>
      <w:r>
        <w:t xml:space="preserve">.5.1 </w:t>
      </w:r>
      <w:r>
        <w:rPr>
          <w:rFonts w:hint="eastAsia"/>
        </w:rPr>
        <w:t>声源源强</w:t>
      </w:r>
    </w:p>
    <w:p w14:paraId="45D2D813">
      <w:pPr>
        <w:pStyle w:val="1381"/>
        <w:ind w:firstLine="520"/>
      </w:pPr>
      <w:r>
        <w:rPr>
          <w:bCs/>
          <w:szCs w:val="26"/>
        </w:rPr>
        <w:t>本项目正常工况下主要噪声源为站场的设备运行噪声。站场采用标准化、模块化生产工艺，正常工况下无高噪声设备运行。</w:t>
      </w:r>
      <w:r>
        <w:rPr>
          <w:rFonts w:hint="eastAsia"/>
          <w:bCs/>
          <w:szCs w:val="26"/>
        </w:rPr>
        <w:t>站场检修或事故时，放空区将产生放空噪声。本项目主要噪声源及源强见</w:t>
      </w:r>
      <w:r>
        <w:rPr>
          <w:rFonts w:hint="eastAsia"/>
          <w:bCs/>
          <w:szCs w:val="26"/>
          <w:u w:val="single"/>
        </w:rPr>
        <w:t>表6.</w:t>
      </w:r>
      <w:r>
        <w:rPr>
          <w:bCs/>
          <w:szCs w:val="26"/>
          <w:u w:val="single"/>
        </w:rPr>
        <w:t>5-1</w:t>
      </w:r>
      <w:r>
        <w:rPr>
          <w:rFonts w:hint="eastAsia"/>
          <w:bCs/>
          <w:szCs w:val="26"/>
        </w:rPr>
        <w:t>。</w:t>
      </w:r>
    </w:p>
    <w:p w14:paraId="27267D95">
      <w:pPr>
        <w:pStyle w:val="1379"/>
        <w:ind w:firstLine="440"/>
      </w:pPr>
    </w:p>
    <w:p w14:paraId="5088D876">
      <w:pPr>
        <w:adjustRightInd w:val="0"/>
        <w:snapToGrid w:val="0"/>
        <w:jc w:val="center"/>
        <w:rPr>
          <w:sz w:val="26"/>
          <w:szCs w:val="26"/>
        </w:rPr>
      </w:pPr>
      <w:r>
        <w:rPr>
          <w:bCs/>
          <w:sz w:val="26"/>
          <w:szCs w:val="26"/>
        </w:rPr>
        <w:t xml:space="preserve">表6.5-1 </w:t>
      </w:r>
      <w:r>
        <w:rPr>
          <w:rFonts w:hint="eastAsia"/>
          <w:bCs/>
          <w:sz w:val="26"/>
          <w:szCs w:val="26"/>
        </w:rPr>
        <w:t>试采站</w:t>
      </w:r>
      <w:r>
        <w:rPr>
          <w:bCs/>
          <w:sz w:val="26"/>
          <w:szCs w:val="26"/>
        </w:rPr>
        <w:t>主要噪声源强表</w:t>
      </w:r>
      <w:r>
        <w:rPr>
          <w:rFonts w:hint="eastAsia"/>
          <w:bCs/>
          <w:sz w:val="26"/>
          <w:szCs w:val="26"/>
        </w:rPr>
        <w:t>（室外）</w:t>
      </w:r>
    </w:p>
    <w:tbl>
      <w:tblPr>
        <w:tblStyle w:val="88"/>
        <w:tblW w:w="8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565"/>
        <w:gridCol w:w="1848"/>
        <w:gridCol w:w="1693"/>
        <w:gridCol w:w="1134"/>
        <w:gridCol w:w="1276"/>
        <w:gridCol w:w="567"/>
        <w:gridCol w:w="567"/>
        <w:gridCol w:w="569"/>
        <w:gridCol w:w="521"/>
      </w:tblGrid>
      <w:tr w14:paraId="7FA7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565" w:type="dxa"/>
            <w:vMerge w:val="restart"/>
            <w:vAlign w:val="center"/>
          </w:tcPr>
          <w:p w14:paraId="2CE4F864">
            <w:pPr>
              <w:pStyle w:val="1429"/>
              <w:rPr>
                <w:rFonts w:cs="Times New Roman"/>
              </w:rPr>
            </w:pPr>
            <w:r>
              <w:rPr>
                <w:rFonts w:hint="eastAsia" w:cs="Times New Roman"/>
              </w:rPr>
              <w:t>序号</w:t>
            </w:r>
          </w:p>
        </w:tc>
        <w:tc>
          <w:tcPr>
            <w:tcW w:w="1848" w:type="dxa"/>
            <w:vMerge w:val="restart"/>
            <w:vAlign w:val="center"/>
          </w:tcPr>
          <w:p w14:paraId="6719DFC7">
            <w:pPr>
              <w:pStyle w:val="1429"/>
              <w:rPr>
                <w:rFonts w:cs="Times New Roman"/>
              </w:rPr>
            </w:pPr>
            <w:r>
              <w:rPr>
                <w:rFonts w:cs="Times New Roman"/>
              </w:rPr>
              <w:t>声源名称</w:t>
            </w:r>
          </w:p>
        </w:tc>
        <w:tc>
          <w:tcPr>
            <w:tcW w:w="1693" w:type="dxa"/>
            <w:vMerge w:val="restart"/>
            <w:vAlign w:val="center"/>
          </w:tcPr>
          <w:p w14:paraId="66AAD21F">
            <w:pPr>
              <w:pStyle w:val="1429"/>
              <w:rPr>
                <w:rFonts w:cs="Times New Roman"/>
              </w:rPr>
            </w:pPr>
            <w:r>
              <w:rPr>
                <w:rFonts w:hint="eastAsia" w:cs="Times New Roman"/>
              </w:rPr>
              <w:t>规格</w:t>
            </w:r>
          </w:p>
        </w:tc>
        <w:tc>
          <w:tcPr>
            <w:tcW w:w="1134" w:type="dxa"/>
            <w:vMerge w:val="restart"/>
            <w:vAlign w:val="center"/>
          </w:tcPr>
          <w:p w14:paraId="424BE0A1">
            <w:pPr>
              <w:pStyle w:val="1429"/>
              <w:rPr>
                <w:rFonts w:cs="Times New Roman"/>
              </w:rPr>
            </w:pPr>
            <w:r>
              <w:rPr>
                <w:rFonts w:cs="Times New Roman"/>
              </w:rPr>
              <w:t>声源源强</w:t>
            </w:r>
            <w:r>
              <w:rPr>
                <w:rFonts w:hint="eastAsia" w:cs="Times New Roman"/>
              </w:rPr>
              <w:t>（治理后）</w:t>
            </w:r>
            <w:r>
              <w:rPr>
                <w:rFonts w:cs="Times New Roman"/>
              </w:rPr>
              <w:t>/dB(A）</w:t>
            </w:r>
          </w:p>
        </w:tc>
        <w:tc>
          <w:tcPr>
            <w:tcW w:w="1276" w:type="dxa"/>
            <w:vMerge w:val="restart"/>
            <w:vAlign w:val="center"/>
          </w:tcPr>
          <w:p w14:paraId="73F55382">
            <w:pPr>
              <w:pStyle w:val="1429"/>
              <w:rPr>
                <w:rFonts w:cs="Times New Roman"/>
              </w:rPr>
            </w:pPr>
            <w:r>
              <w:rPr>
                <w:rFonts w:cs="Times New Roman"/>
              </w:rPr>
              <w:t>声源控制措施</w:t>
            </w:r>
          </w:p>
        </w:tc>
        <w:tc>
          <w:tcPr>
            <w:tcW w:w="1703" w:type="dxa"/>
            <w:gridSpan w:val="3"/>
            <w:vAlign w:val="center"/>
          </w:tcPr>
          <w:p w14:paraId="259185F5">
            <w:pPr>
              <w:pStyle w:val="1429"/>
              <w:rPr>
                <w:rFonts w:cs="Times New Roman"/>
              </w:rPr>
            </w:pPr>
            <w:r>
              <w:rPr>
                <w:rFonts w:cs="Times New Roman"/>
              </w:rPr>
              <w:t>空间相对位置</w:t>
            </w:r>
          </w:p>
        </w:tc>
        <w:tc>
          <w:tcPr>
            <w:tcW w:w="521" w:type="dxa"/>
            <w:vMerge w:val="restart"/>
            <w:vAlign w:val="center"/>
          </w:tcPr>
          <w:p w14:paraId="5ACCD8DA">
            <w:pPr>
              <w:pStyle w:val="1429"/>
              <w:rPr>
                <w:rFonts w:cs="Times New Roman"/>
              </w:rPr>
            </w:pPr>
            <w:r>
              <w:rPr>
                <w:rFonts w:cs="Times New Roman"/>
              </w:rPr>
              <w:t>运行时段</w:t>
            </w:r>
          </w:p>
        </w:tc>
      </w:tr>
      <w:tr w14:paraId="76D4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565" w:type="dxa"/>
            <w:vMerge w:val="continue"/>
            <w:vAlign w:val="center"/>
          </w:tcPr>
          <w:p w14:paraId="6A94B496">
            <w:pPr>
              <w:pStyle w:val="1429"/>
              <w:rPr>
                <w:rFonts w:cs="Times New Roman"/>
              </w:rPr>
            </w:pPr>
          </w:p>
        </w:tc>
        <w:tc>
          <w:tcPr>
            <w:tcW w:w="1848" w:type="dxa"/>
            <w:vMerge w:val="continue"/>
            <w:vAlign w:val="center"/>
          </w:tcPr>
          <w:p w14:paraId="65E0CC8F">
            <w:pPr>
              <w:pStyle w:val="1429"/>
              <w:rPr>
                <w:rFonts w:cs="Times New Roman"/>
              </w:rPr>
            </w:pPr>
          </w:p>
        </w:tc>
        <w:tc>
          <w:tcPr>
            <w:tcW w:w="1693" w:type="dxa"/>
            <w:vMerge w:val="continue"/>
            <w:vAlign w:val="center"/>
          </w:tcPr>
          <w:p w14:paraId="7C1483A1">
            <w:pPr>
              <w:pStyle w:val="1429"/>
              <w:rPr>
                <w:rFonts w:cs="Times New Roman"/>
              </w:rPr>
            </w:pPr>
          </w:p>
        </w:tc>
        <w:tc>
          <w:tcPr>
            <w:tcW w:w="1134" w:type="dxa"/>
            <w:vMerge w:val="continue"/>
            <w:vAlign w:val="center"/>
          </w:tcPr>
          <w:p w14:paraId="3A0AB718">
            <w:pPr>
              <w:pStyle w:val="1429"/>
              <w:rPr>
                <w:rFonts w:cs="Times New Roman"/>
              </w:rPr>
            </w:pPr>
          </w:p>
        </w:tc>
        <w:tc>
          <w:tcPr>
            <w:tcW w:w="1276" w:type="dxa"/>
            <w:vMerge w:val="continue"/>
            <w:vAlign w:val="center"/>
          </w:tcPr>
          <w:p w14:paraId="481ED415">
            <w:pPr>
              <w:pStyle w:val="1429"/>
              <w:rPr>
                <w:rFonts w:cs="Times New Roman"/>
              </w:rPr>
            </w:pPr>
          </w:p>
        </w:tc>
        <w:tc>
          <w:tcPr>
            <w:tcW w:w="567" w:type="dxa"/>
            <w:vAlign w:val="center"/>
          </w:tcPr>
          <w:p w14:paraId="61BB0497">
            <w:pPr>
              <w:pStyle w:val="1429"/>
              <w:rPr>
                <w:rFonts w:cs="Times New Roman"/>
              </w:rPr>
            </w:pPr>
            <w:r>
              <w:rPr>
                <w:rFonts w:cs="Times New Roman"/>
              </w:rPr>
              <w:t>X</w:t>
            </w:r>
          </w:p>
        </w:tc>
        <w:tc>
          <w:tcPr>
            <w:tcW w:w="567" w:type="dxa"/>
            <w:vAlign w:val="center"/>
          </w:tcPr>
          <w:p w14:paraId="5EAC0253">
            <w:pPr>
              <w:pStyle w:val="1429"/>
              <w:rPr>
                <w:rFonts w:cs="Times New Roman"/>
              </w:rPr>
            </w:pPr>
            <w:r>
              <w:rPr>
                <w:rFonts w:cs="Times New Roman"/>
              </w:rPr>
              <w:t>Y</w:t>
            </w:r>
          </w:p>
        </w:tc>
        <w:tc>
          <w:tcPr>
            <w:tcW w:w="569" w:type="dxa"/>
            <w:vAlign w:val="center"/>
          </w:tcPr>
          <w:p w14:paraId="07E21275">
            <w:pPr>
              <w:pStyle w:val="1429"/>
              <w:rPr>
                <w:rFonts w:cs="Times New Roman"/>
              </w:rPr>
            </w:pPr>
            <w:r>
              <w:rPr>
                <w:rFonts w:cs="Times New Roman"/>
              </w:rPr>
              <w:t>Z</w:t>
            </w:r>
          </w:p>
        </w:tc>
        <w:tc>
          <w:tcPr>
            <w:tcW w:w="521" w:type="dxa"/>
            <w:vMerge w:val="continue"/>
            <w:vAlign w:val="center"/>
          </w:tcPr>
          <w:p w14:paraId="06EABFFD">
            <w:pPr>
              <w:pStyle w:val="1429"/>
              <w:rPr>
                <w:rFonts w:cs="Times New Roman"/>
              </w:rPr>
            </w:pPr>
          </w:p>
        </w:tc>
      </w:tr>
      <w:tr w14:paraId="45C72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565" w:type="dxa"/>
            <w:vAlign w:val="center"/>
          </w:tcPr>
          <w:p w14:paraId="3F9836B2">
            <w:pPr>
              <w:pStyle w:val="1429"/>
              <w:rPr>
                <w:rFonts w:cs="Times New Roman"/>
              </w:rPr>
            </w:pPr>
            <w:r>
              <w:rPr>
                <w:rFonts w:hint="eastAsia" w:cs="Times New Roman"/>
              </w:rPr>
              <w:t>1</w:t>
            </w:r>
          </w:p>
        </w:tc>
        <w:tc>
          <w:tcPr>
            <w:tcW w:w="1848" w:type="dxa"/>
            <w:vAlign w:val="center"/>
          </w:tcPr>
          <w:p w14:paraId="4D77215B">
            <w:pPr>
              <w:pStyle w:val="1429"/>
              <w:rPr>
                <w:rFonts w:cs="Times New Roman"/>
              </w:rPr>
            </w:pPr>
            <w:r>
              <w:rPr>
                <w:rFonts w:hint="eastAsia" w:cs="Times New Roman"/>
              </w:rPr>
              <w:t>水套加热炉</w:t>
            </w:r>
          </w:p>
        </w:tc>
        <w:tc>
          <w:tcPr>
            <w:tcW w:w="1693" w:type="dxa"/>
            <w:vAlign w:val="center"/>
          </w:tcPr>
          <w:p w14:paraId="6E477FF7">
            <w:pPr>
              <w:pStyle w:val="1429"/>
              <w:rPr>
                <w:rFonts w:cs="Times New Roman"/>
              </w:rPr>
            </w:pPr>
            <w:r>
              <w:rPr>
                <w:rFonts w:hint="eastAsia" w:cs="Times New Roman"/>
                <w:szCs w:val="21"/>
              </w:rPr>
              <w:t xml:space="preserve">34.5MPa </w:t>
            </w:r>
            <w:r>
              <w:rPr>
                <w:rFonts w:cs="Times New Roman"/>
                <w:szCs w:val="21"/>
              </w:rPr>
              <w:t>25</w:t>
            </w:r>
            <w:r>
              <w:rPr>
                <w:rFonts w:hint="eastAsia" w:cs="Times New Roman"/>
                <w:szCs w:val="21"/>
              </w:rPr>
              <w:t>0kW</w:t>
            </w:r>
          </w:p>
        </w:tc>
        <w:tc>
          <w:tcPr>
            <w:tcW w:w="1134" w:type="dxa"/>
            <w:vAlign w:val="center"/>
          </w:tcPr>
          <w:p w14:paraId="480513C0">
            <w:pPr>
              <w:pStyle w:val="1429"/>
              <w:rPr>
                <w:rFonts w:cs="Times New Roman"/>
              </w:rPr>
            </w:pPr>
            <w:r>
              <w:rPr>
                <w:rFonts w:cs="Times New Roman"/>
              </w:rPr>
              <w:t>55</w:t>
            </w:r>
          </w:p>
        </w:tc>
        <w:tc>
          <w:tcPr>
            <w:tcW w:w="1276" w:type="dxa"/>
            <w:vMerge w:val="restart"/>
            <w:vAlign w:val="center"/>
          </w:tcPr>
          <w:p w14:paraId="05D391AF">
            <w:pPr>
              <w:pStyle w:val="1429"/>
              <w:rPr>
                <w:rFonts w:cs="Times New Roman"/>
              </w:rPr>
            </w:pPr>
            <w:r>
              <w:rPr>
                <w:rFonts w:hint="eastAsia"/>
              </w:rPr>
              <w:t>选用低噪声设备，合理布局，基础减震，</w:t>
            </w:r>
            <w:r>
              <w:rPr>
                <w:rFonts w:hint="eastAsia" w:cs="Times New Roman"/>
              </w:rPr>
              <w:t>控制气流速度</w:t>
            </w:r>
            <w:r>
              <w:rPr>
                <w:rFonts w:hint="eastAsia"/>
              </w:rPr>
              <w:t>；脱水压缩撬安装隔声罩（双层隔声板+高密度吸音棉+密封设计）</w:t>
            </w:r>
          </w:p>
        </w:tc>
        <w:tc>
          <w:tcPr>
            <w:tcW w:w="567" w:type="dxa"/>
            <w:vAlign w:val="center"/>
          </w:tcPr>
          <w:p w14:paraId="20888D64">
            <w:pPr>
              <w:pStyle w:val="1429"/>
              <w:rPr>
                <w:rFonts w:cs="Times New Roman"/>
              </w:rPr>
            </w:pPr>
            <w:r>
              <w:rPr>
                <w:rFonts w:hint="eastAsia" w:cs="Times New Roman"/>
              </w:rPr>
              <w:t>2</w:t>
            </w:r>
            <w:r>
              <w:rPr>
                <w:rFonts w:cs="Times New Roman"/>
              </w:rPr>
              <w:t>8.8</w:t>
            </w:r>
          </w:p>
        </w:tc>
        <w:tc>
          <w:tcPr>
            <w:tcW w:w="567" w:type="dxa"/>
            <w:vAlign w:val="center"/>
          </w:tcPr>
          <w:p w14:paraId="31A4EC40">
            <w:pPr>
              <w:pStyle w:val="1429"/>
              <w:rPr>
                <w:rFonts w:cs="Times New Roman"/>
              </w:rPr>
            </w:pPr>
            <w:r>
              <w:rPr>
                <w:rFonts w:hint="eastAsia" w:cs="Times New Roman"/>
              </w:rPr>
              <w:t>-</w:t>
            </w:r>
            <w:r>
              <w:rPr>
                <w:rFonts w:cs="Times New Roman"/>
              </w:rPr>
              <w:t>19.8</w:t>
            </w:r>
          </w:p>
        </w:tc>
        <w:tc>
          <w:tcPr>
            <w:tcW w:w="569" w:type="dxa"/>
            <w:vAlign w:val="center"/>
          </w:tcPr>
          <w:p w14:paraId="1F083290">
            <w:pPr>
              <w:pStyle w:val="1429"/>
              <w:rPr>
                <w:rFonts w:cs="Times New Roman"/>
              </w:rPr>
            </w:pPr>
            <w:r>
              <w:rPr>
                <w:rFonts w:cs="Times New Roman"/>
              </w:rPr>
              <w:t>1.2</w:t>
            </w:r>
          </w:p>
        </w:tc>
        <w:tc>
          <w:tcPr>
            <w:tcW w:w="521" w:type="dxa"/>
            <w:vAlign w:val="center"/>
          </w:tcPr>
          <w:p w14:paraId="18887397">
            <w:pPr>
              <w:pStyle w:val="1429"/>
              <w:rPr>
                <w:rFonts w:cs="Times New Roman"/>
              </w:rPr>
            </w:pPr>
            <w:r>
              <w:rPr>
                <w:rFonts w:cs="Times New Roman"/>
              </w:rPr>
              <w:t>全天</w:t>
            </w:r>
          </w:p>
        </w:tc>
      </w:tr>
      <w:tr w14:paraId="6A31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565" w:type="dxa"/>
            <w:vAlign w:val="center"/>
          </w:tcPr>
          <w:p w14:paraId="0347F3DB">
            <w:pPr>
              <w:pStyle w:val="1429"/>
              <w:rPr>
                <w:rFonts w:cs="Times New Roman"/>
                <w:szCs w:val="21"/>
              </w:rPr>
            </w:pPr>
            <w:r>
              <w:rPr>
                <w:rFonts w:hint="eastAsia" w:cs="Times New Roman"/>
                <w:szCs w:val="21"/>
              </w:rPr>
              <w:t>2</w:t>
            </w:r>
          </w:p>
        </w:tc>
        <w:tc>
          <w:tcPr>
            <w:tcW w:w="1848" w:type="dxa"/>
            <w:vAlign w:val="center"/>
          </w:tcPr>
          <w:p w14:paraId="7A62C969">
            <w:pPr>
              <w:pStyle w:val="1429"/>
              <w:rPr>
                <w:rFonts w:cs="Times New Roman"/>
              </w:rPr>
            </w:pPr>
            <w:r>
              <w:rPr>
                <w:rFonts w:hint="eastAsia" w:cs="Times New Roman"/>
                <w:szCs w:val="21"/>
              </w:rPr>
              <w:t>三相分离器</w:t>
            </w:r>
            <w:r>
              <w:rPr>
                <w:rFonts w:cs="Times New Roman"/>
                <w:szCs w:val="21"/>
              </w:rPr>
              <w:t>橇</w:t>
            </w:r>
          </w:p>
        </w:tc>
        <w:tc>
          <w:tcPr>
            <w:tcW w:w="1693" w:type="dxa"/>
            <w:vAlign w:val="center"/>
          </w:tcPr>
          <w:p w14:paraId="3AD5AB79">
            <w:pPr>
              <w:pStyle w:val="1429"/>
              <w:rPr>
                <w:rFonts w:cs="Times New Roman"/>
              </w:rPr>
            </w:pPr>
            <w:r>
              <w:rPr>
                <w:rFonts w:hint="eastAsia" w:cs="Times New Roman"/>
                <w:szCs w:val="21"/>
              </w:rPr>
              <w:t>6.3MPa  DN1200</w:t>
            </w:r>
          </w:p>
        </w:tc>
        <w:tc>
          <w:tcPr>
            <w:tcW w:w="1134" w:type="dxa"/>
            <w:vAlign w:val="center"/>
          </w:tcPr>
          <w:p w14:paraId="322001C5">
            <w:pPr>
              <w:pStyle w:val="1429"/>
              <w:rPr>
                <w:rFonts w:cs="Times New Roman"/>
              </w:rPr>
            </w:pPr>
            <w:r>
              <w:rPr>
                <w:rFonts w:cs="Times New Roman"/>
              </w:rPr>
              <w:t>60</w:t>
            </w:r>
          </w:p>
        </w:tc>
        <w:tc>
          <w:tcPr>
            <w:tcW w:w="1276" w:type="dxa"/>
            <w:vMerge w:val="continue"/>
            <w:vAlign w:val="center"/>
          </w:tcPr>
          <w:p w14:paraId="10F0C0FB">
            <w:pPr>
              <w:pStyle w:val="1429"/>
              <w:rPr>
                <w:rFonts w:cs="Times New Roman"/>
              </w:rPr>
            </w:pPr>
          </w:p>
        </w:tc>
        <w:tc>
          <w:tcPr>
            <w:tcW w:w="567" w:type="dxa"/>
            <w:vAlign w:val="center"/>
          </w:tcPr>
          <w:p w14:paraId="7F280B90">
            <w:pPr>
              <w:pStyle w:val="1429"/>
              <w:rPr>
                <w:rFonts w:cs="Times New Roman"/>
              </w:rPr>
            </w:pPr>
            <w:r>
              <w:rPr>
                <w:rFonts w:hint="eastAsia" w:cs="Times New Roman"/>
              </w:rPr>
              <w:t>2</w:t>
            </w:r>
            <w:r>
              <w:rPr>
                <w:rFonts w:cs="Times New Roman"/>
              </w:rPr>
              <w:t>3.7</w:t>
            </w:r>
          </w:p>
        </w:tc>
        <w:tc>
          <w:tcPr>
            <w:tcW w:w="567" w:type="dxa"/>
            <w:vAlign w:val="center"/>
          </w:tcPr>
          <w:p w14:paraId="3E507DDC">
            <w:pPr>
              <w:pStyle w:val="1429"/>
              <w:rPr>
                <w:rFonts w:cs="Times New Roman"/>
              </w:rPr>
            </w:pPr>
            <w:r>
              <w:rPr>
                <w:rFonts w:hint="eastAsia" w:cs="Times New Roman"/>
              </w:rPr>
              <w:t>-</w:t>
            </w:r>
            <w:r>
              <w:rPr>
                <w:rFonts w:cs="Times New Roman"/>
              </w:rPr>
              <w:t>14.0</w:t>
            </w:r>
          </w:p>
        </w:tc>
        <w:tc>
          <w:tcPr>
            <w:tcW w:w="569" w:type="dxa"/>
            <w:vAlign w:val="center"/>
          </w:tcPr>
          <w:p w14:paraId="30F94627">
            <w:pPr>
              <w:pStyle w:val="1429"/>
              <w:rPr>
                <w:rFonts w:cs="Times New Roman"/>
              </w:rPr>
            </w:pPr>
            <w:r>
              <w:rPr>
                <w:rFonts w:cs="Times New Roman"/>
              </w:rPr>
              <w:t>1.2</w:t>
            </w:r>
          </w:p>
        </w:tc>
        <w:tc>
          <w:tcPr>
            <w:tcW w:w="521" w:type="dxa"/>
            <w:vAlign w:val="center"/>
          </w:tcPr>
          <w:p w14:paraId="660508DA">
            <w:pPr>
              <w:pStyle w:val="1429"/>
              <w:rPr>
                <w:rFonts w:cs="Times New Roman"/>
              </w:rPr>
            </w:pPr>
            <w:r>
              <w:rPr>
                <w:rFonts w:cs="Times New Roman"/>
              </w:rPr>
              <w:t>全天</w:t>
            </w:r>
          </w:p>
        </w:tc>
      </w:tr>
      <w:tr w14:paraId="46D8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565" w:type="dxa"/>
            <w:vAlign w:val="center"/>
          </w:tcPr>
          <w:p w14:paraId="08FC583C">
            <w:pPr>
              <w:pStyle w:val="1429"/>
              <w:rPr>
                <w:rFonts w:cs="Times New Roman"/>
                <w:szCs w:val="21"/>
              </w:rPr>
            </w:pPr>
            <w:r>
              <w:rPr>
                <w:rFonts w:hint="eastAsia" w:cs="Times New Roman"/>
                <w:szCs w:val="21"/>
              </w:rPr>
              <w:t>3</w:t>
            </w:r>
          </w:p>
        </w:tc>
        <w:tc>
          <w:tcPr>
            <w:tcW w:w="1848" w:type="dxa"/>
            <w:vAlign w:val="center"/>
          </w:tcPr>
          <w:p w14:paraId="53D19CFC">
            <w:pPr>
              <w:pStyle w:val="1429"/>
              <w:rPr>
                <w:rFonts w:cs="Times New Roman"/>
              </w:rPr>
            </w:pPr>
            <w:r>
              <w:rPr>
                <w:rFonts w:hint="eastAsia" w:cs="Times New Roman"/>
                <w:szCs w:val="21"/>
              </w:rPr>
              <w:t>聚结过滤分离器橇</w:t>
            </w:r>
          </w:p>
        </w:tc>
        <w:tc>
          <w:tcPr>
            <w:tcW w:w="1693" w:type="dxa"/>
            <w:vAlign w:val="center"/>
          </w:tcPr>
          <w:p w14:paraId="2B804950">
            <w:pPr>
              <w:pStyle w:val="1429"/>
            </w:pPr>
            <w:r>
              <w:rPr>
                <w:rFonts w:hint="eastAsia" w:cs="Times New Roman"/>
                <w:szCs w:val="21"/>
              </w:rPr>
              <w:t>6.3MPa  DN400</w:t>
            </w:r>
          </w:p>
        </w:tc>
        <w:tc>
          <w:tcPr>
            <w:tcW w:w="1134" w:type="dxa"/>
            <w:vAlign w:val="center"/>
          </w:tcPr>
          <w:p w14:paraId="73894CC3">
            <w:pPr>
              <w:pStyle w:val="1429"/>
              <w:rPr>
                <w:rFonts w:cs="Times New Roman"/>
              </w:rPr>
            </w:pPr>
            <w:r>
              <w:rPr>
                <w:rFonts w:cs="Times New Roman"/>
              </w:rPr>
              <w:t>60</w:t>
            </w:r>
          </w:p>
        </w:tc>
        <w:tc>
          <w:tcPr>
            <w:tcW w:w="1276" w:type="dxa"/>
            <w:vMerge w:val="continue"/>
            <w:vAlign w:val="center"/>
          </w:tcPr>
          <w:p w14:paraId="7552D8B6">
            <w:pPr>
              <w:pStyle w:val="1429"/>
              <w:rPr>
                <w:rFonts w:cs="Times New Roman"/>
              </w:rPr>
            </w:pPr>
          </w:p>
        </w:tc>
        <w:tc>
          <w:tcPr>
            <w:tcW w:w="567" w:type="dxa"/>
            <w:vAlign w:val="center"/>
          </w:tcPr>
          <w:p w14:paraId="0650B256">
            <w:pPr>
              <w:pStyle w:val="1429"/>
              <w:rPr>
                <w:rFonts w:cs="Times New Roman"/>
              </w:rPr>
            </w:pPr>
            <w:r>
              <w:rPr>
                <w:rFonts w:hint="eastAsia" w:cs="Times New Roman"/>
              </w:rPr>
              <w:t>2</w:t>
            </w:r>
            <w:r>
              <w:rPr>
                <w:rFonts w:cs="Times New Roman"/>
              </w:rPr>
              <w:t>3.0</w:t>
            </w:r>
          </w:p>
        </w:tc>
        <w:tc>
          <w:tcPr>
            <w:tcW w:w="567" w:type="dxa"/>
            <w:vAlign w:val="center"/>
          </w:tcPr>
          <w:p w14:paraId="60D6363A">
            <w:pPr>
              <w:pStyle w:val="1429"/>
              <w:rPr>
                <w:rFonts w:cs="Times New Roman"/>
              </w:rPr>
            </w:pPr>
            <w:r>
              <w:rPr>
                <w:rFonts w:hint="eastAsia" w:cs="Times New Roman"/>
              </w:rPr>
              <w:t>-</w:t>
            </w:r>
            <w:r>
              <w:rPr>
                <w:rFonts w:cs="Times New Roman"/>
              </w:rPr>
              <w:t>8.6</w:t>
            </w:r>
          </w:p>
        </w:tc>
        <w:tc>
          <w:tcPr>
            <w:tcW w:w="569" w:type="dxa"/>
            <w:vAlign w:val="center"/>
          </w:tcPr>
          <w:p w14:paraId="14EB36A0">
            <w:pPr>
              <w:pStyle w:val="1429"/>
              <w:rPr>
                <w:rFonts w:cs="Times New Roman"/>
              </w:rPr>
            </w:pPr>
            <w:r>
              <w:rPr>
                <w:rFonts w:hint="eastAsia" w:cs="Times New Roman"/>
              </w:rPr>
              <w:t>1</w:t>
            </w:r>
            <w:r>
              <w:rPr>
                <w:rFonts w:cs="Times New Roman"/>
              </w:rPr>
              <w:t>.2</w:t>
            </w:r>
          </w:p>
        </w:tc>
        <w:tc>
          <w:tcPr>
            <w:tcW w:w="521" w:type="dxa"/>
            <w:vAlign w:val="center"/>
          </w:tcPr>
          <w:p w14:paraId="1E9B4CA7">
            <w:pPr>
              <w:pStyle w:val="1429"/>
              <w:rPr>
                <w:rFonts w:cs="Times New Roman"/>
              </w:rPr>
            </w:pPr>
            <w:r>
              <w:rPr>
                <w:rFonts w:hint="eastAsia" w:cs="Times New Roman"/>
              </w:rPr>
              <w:t>全天</w:t>
            </w:r>
          </w:p>
        </w:tc>
      </w:tr>
      <w:tr w14:paraId="5381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565" w:type="dxa"/>
            <w:vAlign w:val="center"/>
          </w:tcPr>
          <w:p w14:paraId="76536541">
            <w:pPr>
              <w:pStyle w:val="1429"/>
              <w:rPr>
                <w:rFonts w:cs="Times New Roman"/>
                <w:szCs w:val="21"/>
              </w:rPr>
            </w:pPr>
            <w:r>
              <w:rPr>
                <w:rFonts w:hint="eastAsia" w:cs="Times New Roman"/>
                <w:szCs w:val="21"/>
              </w:rPr>
              <w:t>4</w:t>
            </w:r>
          </w:p>
        </w:tc>
        <w:tc>
          <w:tcPr>
            <w:tcW w:w="1848" w:type="dxa"/>
            <w:vAlign w:val="center"/>
          </w:tcPr>
          <w:p w14:paraId="78606872">
            <w:pPr>
              <w:pStyle w:val="1429"/>
            </w:pPr>
            <w:r>
              <w:rPr>
                <w:rFonts w:hint="eastAsia" w:cs="Times New Roman"/>
                <w:szCs w:val="21"/>
              </w:rPr>
              <w:t>闪蒸三相分离器橇</w:t>
            </w:r>
          </w:p>
        </w:tc>
        <w:tc>
          <w:tcPr>
            <w:tcW w:w="1693" w:type="dxa"/>
            <w:vAlign w:val="center"/>
          </w:tcPr>
          <w:p w14:paraId="2593C4BE">
            <w:pPr>
              <w:pStyle w:val="1429"/>
            </w:pPr>
            <w:r>
              <w:rPr>
                <w:rFonts w:hint="eastAsia" w:cs="Times New Roman"/>
                <w:szCs w:val="21"/>
              </w:rPr>
              <w:t>6.3MPa  DN1200</w:t>
            </w:r>
          </w:p>
        </w:tc>
        <w:tc>
          <w:tcPr>
            <w:tcW w:w="1134" w:type="dxa"/>
            <w:vAlign w:val="center"/>
          </w:tcPr>
          <w:p w14:paraId="30EF7315">
            <w:pPr>
              <w:pStyle w:val="1429"/>
            </w:pPr>
            <w:r>
              <w:t>60</w:t>
            </w:r>
          </w:p>
        </w:tc>
        <w:tc>
          <w:tcPr>
            <w:tcW w:w="1276" w:type="dxa"/>
            <w:vMerge w:val="continue"/>
            <w:vAlign w:val="center"/>
          </w:tcPr>
          <w:p w14:paraId="6D1EC019">
            <w:pPr>
              <w:pStyle w:val="1429"/>
              <w:rPr>
                <w:rFonts w:cs="Times New Roman"/>
              </w:rPr>
            </w:pPr>
          </w:p>
        </w:tc>
        <w:tc>
          <w:tcPr>
            <w:tcW w:w="567" w:type="dxa"/>
            <w:vAlign w:val="center"/>
          </w:tcPr>
          <w:p w14:paraId="4FBC6642">
            <w:pPr>
              <w:pStyle w:val="1429"/>
              <w:rPr>
                <w:rFonts w:cs="Times New Roman"/>
              </w:rPr>
            </w:pPr>
            <w:r>
              <w:rPr>
                <w:rFonts w:hint="eastAsia" w:cs="Times New Roman"/>
              </w:rPr>
              <w:t>1</w:t>
            </w:r>
            <w:r>
              <w:rPr>
                <w:rFonts w:cs="Times New Roman"/>
              </w:rPr>
              <w:t>7.0</w:t>
            </w:r>
          </w:p>
        </w:tc>
        <w:tc>
          <w:tcPr>
            <w:tcW w:w="567" w:type="dxa"/>
            <w:vAlign w:val="center"/>
          </w:tcPr>
          <w:p w14:paraId="09ABD077">
            <w:pPr>
              <w:pStyle w:val="1429"/>
              <w:rPr>
                <w:rFonts w:cs="Times New Roman"/>
              </w:rPr>
            </w:pPr>
            <w:r>
              <w:rPr>
                <w:rFonts w:hint="eastAsia" w:cs="Times New Roman"/>
              </w:rPr>
              <w:t>-</w:t>
            </w:r>
            <w:r>
              <w:rPr>
                <w:rFonts w:cs="Times New Roman"/>
              </w:rPr>
              <w:t>6.5</w:t>
            </w:r>
          </w:p>
        </w:tc>
        <w:tc>
          <w:tcPr>
            <w:tcW w:w="569" w:type="dxa"/>
            <w:vAlign w:val="center"/>
          </w:tcPr>
          <w:p w14:paraId="1F691A95">
            <w:pPr>
              <w:pStyle w:val="1429"/>
              <w:rPr>
                <w:rFonts w:cs="Times New Roman"/>
              </w:rPr>
            </w:pPr>
            <w:r>
              <w:rPr>
                <w:rFonts w:hint="eastAsia" w:cs="Times New Roman"/>
              </w:rPr>
              <w:t>1</w:t>
            </w:r>
            <w:r>
              <w:rPr>
                <w:rFonts w:cs="Times New Roman"/>
              </w:rPr>
              <w:t>.2</w:t>
            </w:r>
          </w:p>
        </w:tc>
        <w:tc>
          <w:tcPr>
            <w:tcW w:w="521" w:type="dxa"/>
            <w:vAlign w:val="center"/>
          </w:tcPr>
          <w:p w14:paraId="1E2D8632">
            <w:pPr>
              <w:pStyle w:val="1429"/>
              <w:rPr>
                <w:rFonts w:cs="Times New Roman"/>
              </w:rPr>
            </w:pPr>
            <w:r>
              <w:rPr>
                <w:rFonts w:hint="eastAsia" w:cs="Times New Roman"/>
              </w:rPr>
              <w:t>全天</w:t>
            </w:r>
          </w:p>
        </w:tc>
      </w:tr>
      <w:tr w14:paraId="36741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565" w:type="dxa"/>
            <w:vAlign w:val="center"/>
          </w:tcPr>
          <w:p w14:paraId="3A2AF435">
            <w:pPr>
              <w:pStyle w:val="1429"/>
              <w:rPr>
                <w:rFonts w:cs="Times New Roman"/>
                <w:szCs w:val="21"/>
              </w:rPr>
            </w:pPr>
            <w:r>
              <w:rPr>
                <w:rFonts w:hint="eastAsia" w:cs="Times New Roman"/>
                <w:szCs w:val="21"/>
              </w:rPr>
              <w:t>5</w:t>
            </w:r>
          </w:p>
        </w:tc>
        <w:tc>
          <w:tcPr>
            <w:tcW w:w="1848" w:type="dxa"/>
            <w:vAlign w:val="center"/>
          </w:tcPr>
          <w:p w14:paraId="1CE755B2">
            <w:pPr>
              <w:pStyle w:val="1429"/>
              <w:rPr>
                <w:rFonts w:cs="Times New Roman"/>
              </w:rPr>
            </w:pPr>
            <w:r>
              <w:rPr>
                <w:rFonts w:hint="eastAsia" w:cs="Times New Roman"/>
                <w:szCs w:val="21"/>
              </w:rPr>
              <w:t>凝析油装车泵橇</w:t>
            </w:r>
          </w:p>
        </w:tc>
        <w:tc>
          <w:tcPr>
            <w:tcW w:w="1693" w:type="dxa"/>
            <w:vAlign w:val="center"/>
          </w:tcPr>
          <w:p w14:paraId="71CF493B">
            <w:pPr>
              <w:pStyle w:val="1429"/>
              <w:rPr>
                <w:rFonts w:cs="Times New Roman"/>
              </w:rPr>
            </w:pPr>
            <w:r>
              <w:rPr>
                <w:rFonts w:hint="eastAsia" w:cs="Times New Roman"/>
                <w:szCs w:val="21"/>
              </w:rPr>
              <w:t>54m</w:t>
            </w:r>
            <w:r>
              <w:rPr>
                <w:rFonts w:hint="eastAsia" w:cs="Times New Roman"/>
                <w:szCs w:val="21"/>
                <w:vertAlign w:val="superscript"/>
              </w:rPr>
              <w:t>3</w:t>
            </w:r>
            <w:r>
              <w:rPr>
                <w:rFonts w:hint="eastAsia" w:cs="Times New Roman"/>
                <w:szCs w:val="21"/>
              </w:rPr>
              <w:t>/h H=30m</w:t>
            </w:r>
          </w:p>
        </w:tc>
        <w:tc>
          <w:tcPr>
            <w:tcW w:w="1134" w:type="dxa"/>
            <w:vAlign w:val="center"/>
          </w:tcPr>
          <w:p w14:paraId="383945C9">
            <w:pPr>
              <w:pStyle w:val="1429"/>
              <w:rPr>
                <w:rFonts w:cs="Times New Roman"/>
              </w:rPr>
            </w:pPr>
            <w:r>
              <w:rPr>
                <w:rFonts w:cs="Times New Roman"/>
              </w:rPr>
              <w:t>63</w:t>
            </w:r>
          </w:p>
        </w:tc>
        <w:tc>
          <w:tcPr>
            <w:tcW w:w="1276" w:type="dxa"/>
            <w:vMerge w:val="continue"/>
            <w:vAlign w:val="center"/>
          </w:tcPr>
          <w:p w14:paraId="0836F27C">
            <w:pPr>
              <w:pStyle w:val="687"/>
            </w:pPr>
          </w:p>
        </w:tc>
        <w:tc>
          <w:tcPr>
            <w:tcW w:w="567" w:type="dxa"/>
            <w:vAlign w:val="center"/>
          </w:tcPr>
          <w:p w14:paraId="3F0136F2">
            <w:pPr>
              <w:pStyle w:val="1429"/>
              <w:rPr>
                <w:rFonts w:cs="Times New Roman"/>
              </w:rPr>
            </w:pPr>
            <w:r>
              <w:rPr>
                <w:rFonts w:hint="eastAsia" w:cs="Times New Roman"/>
              </w:rPr>
              <w:t>5</w:t>
            </w:r>
            <w:r>
              <w:rPr>
                <w:rFonts w:cs="Times New Roman"/>
              </w:rPr>
              <w:t>6.8</w:t>
            </w:r>
          </w:p>
        </w:tc>
        <w:tc>
          <w:tcPr>
            <w:tcW w:w="567" w:type="dxa"/>
            <w:vAlign w:val="center"/>
          </w:tcPr>
          <w:p w14:paraId="2CA5A8B9">
            <w:pPr>
              <w:pStyle w:val="1429"/>
              <w:rPr>
                <w:rFonts w:cs="Times New Roman"/>
              </w:rPr>
            </w:pPr>
            <w:r>
              <w:rPr>
                <w:rFonts w:hint="eastAsia" w:cs="Times New Roman"/>
              </w:rPr>
              <w:t>-</w:t>
            </w:r>
            <w:r>
              <w:rPr>
                <w:rFonts w:cs="Times New Roman"/>
              </w:rPr>
              <w:t>9.3</w:t>
            </w:r>
          </w:p>
        </w:tc>
        <w:tc>
          <w:tcPr>
            <w:tcW w:w="569" w:type="dxa"/>
            <w:vAlign w:val="center"/>
          </w:tcPr>
          <w:p w14:paraId="6A468DA2">
            <w:pPr>
              <w:pStyle w:val="1429"/>
              <w:rPr>
                <w:rFonts w:cs="Times New Roman"/>
              </w:rPr>
            </w:pPr>
            <w:r>
              <w:rPr>
                <w:rFonts w:cs="Times New Roman"/>
              </w:rPr>
              <w:t>1.2</w:t>
            </w:r>
          </w:p>
        </w:tc>
        <w:tc>
          <w:tcPr>
            <w:tcW w:w="521" w:type="dxa"/>
            <w:vAlign w:val="center"/>
          </w:tcPr>
          <w:p w14:paraId="2FB4642F">
            <w:pPr>
              <w:pStyle w:val="1429"/>
              <w:rPr>
                <w:rFonts w:cs="Times New Roman"/>
              </w:rPr>
            </w:pPr>
            <w:r>
              <w:rPr>
                <w:rFonts w:cs="Times New Roman"/>
              </w:rPr>
              <w:t>全天</w:t>
            </w:r>
          </w:p>
        </w:tc>
      </w:tr>
      <w:tr w14:paraId="3477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565" w:type="dxa"/>
            <w:vAlign w:val="center"/>
          </w:tcPr>
          <w:p w14:paraId="1F378E8B">
            <w:pPr>
              <w:pStyle w:val="1429"/>
              <w:rPr>
                <w:rFonts w:cs="Times New Roman"/>
                <w:szCs w:val="21"/>
              </w:rPr>
            </w:pPr>
            <w:r>
              <w:rPr>
                <w:rFonts w:hint="eastAsia" w:cs="Times New Roman"/>
                <w:szCs w:val="21"/>
              </w:rPr>
              <w:t>6</w:t>
            </w:r>
          </w:p>
        </w:tc>
        <w:tc>
          <w:tcPr>
            <w:tcW w:w="1848" w:type="dxa"/>
            <w:vAlign w:val="center"/>
          </w:tcPr>
          <w:p w14:paraId="31642072">
            <w:pPr>
              <w:pStyle w:val="1429"/>
              <w:rPr>
                <w:rFonts w:cs="Times New Roman"/>
                <w:szCs w:val="21"/>
              </w:rPr>
            </w:pPr>
            <w:r>
              <w:rPr>
                <w:rFonts w:hint="eastAsia"/>
              </w:rPr>
              <w:t>脱水压缩撬</w:t>
            </w:r>
          </w:p>
        </w:tc>
        <w:tc>
          <w:tcPr>
            <w:tcW w:w="1693" w:type="dxa"/>
            <w:vAlign w:val="center"/>
          </w:tcPr>
          <w:p w14:paraId="693D86DC">
            <w:pPr>
              <w:pStyle w:val="1429"/>
              <w:rPr>
                <w:rFonts w:cs="Times New Roman"/>
                <w:szCs w:val="21"/>
              </w:rPr>
            </w:pPr>
            <w:r>
              <w:rPr>
                <w:szCs w:val="21"/>
              </w:rPr>
              <w:t>25MPa  11.5m×3m</w:t>
            </w:r>
          </w:p>
        </w:tc>
        <w:tc>
          <w:tcPr>
            <w:tcW w:w="1134" w:type="dxa"/>
            <w:vAlign w:val="center"/>
          </w:tcPr>
          <w:p w14:paraId="786B90C4">
            <w:pPr>
              <w:pStyle w:val="1429"/>
              <w:rPr>
                <w:rFonts w:cs="Times New Roman"/>
              </w:rPr>
            </w:pPr>
            <w:r>
              <w:rPr>
                <w:rFonts w:cs="Times New Roman"/>
              </w:rPr>
              <w:t>65</w:t>
            </w:r>
          </w:p>
        </w:tc>
        <w:tc>
          <w:tcPr>
            <w:tcW w:w="1276" w:type="dxa"/>
            <w:vMerge w:val="continue"/>
            <w:vAlign w:val="center"/>
          </w:tcPr>
          <w:p w14:paraId="519DB027">
            <w:pPr>
              <w:pStyle w:val="1429"/>
              <w:rPr>
                <w:rFonts w:cs="Times New Roman"/>
              </w:rPr>
            </w:pPr>
          </w:p>
        </w:tc>
        <w:tc>
          <w:tcPr>
            <w:tcW w:w="567" w:type="dxa"/>
            <w:vAlign w:val="center"/>
          </w:tcPr>
          <w:p w14:paraId="297BB93D">
            <w:pPr>
              <w:pStyle w:val="1429"/>
              <w:rPr>
                <w:rFonts w:cs="Times New Roman"/>
              </w:rPr>
            </w:pPr>
            <w:r>
              <w:rPr>
                <w:rFonts w:cs="Times New Roman"/>
              </w:rPr>
              <w:t>24.0</w:t>
            </w:r>
          </w:p>
        </w:tc>
        <w:tc>
          <w:tcPr>
            <w:tcW w:w="567" w:type="dxa"/>
            <w:vAlign w:val="center"/>
          </w:tcPr>
          <w:p w14:paraId="0A7E1050">
            <w:pPr>
              <w:pStyle w:val="1429"/>
              <w:rPr>
                <w:rFonts w:cs="Times New Roman"/>
              </w:rPr>
            </w:pPr>
            <w:r>
              <w:rPr>
                <w:rFonts w:hint="eastAsia" w:cs="Times New Roman"/>
              </w:rPr>
              <w:t>-</w:t>
            </w:r>
            <w:r>
              <w:rPr>
                <w:rFonts w:cs="Times New Roman"/>
              </w:rPr>
              <w:t>41.8</w:t>
            </w:r>
          </w:p>
        </w:tc>
        <w:tc>
          <w:tcPr>
            <w:tcW w:w="569" w:type="dxa"/>
            <w:vAlign w:val="center"/>
          </w:tcPr>
          <w:p w14:paraId="2144748D">
            <w:pPr>
              <w:pStyle w:val="1429"/>
              <w:rPr>
                <w:rFonts w:cs="Times New Roman"/>
              </w:rPr>
            </w:pPr>
            <w:r>
              <w:rPr>
                <w:rFonts w:hint="eastAsia" w:cs="Times New Roman"/>
              </w:rPr>
              <w:t>1</w:t>
            </w:r>
            <w:r>
              <w:rPr>
                <w:rFonts w:cs="Times New Roman"/>
              </w:rPr>
              <w:t>.2</w:t>
            </w:r>
          </w:p>
        </w:tc>
        <w:tc>
          <w:tcPr>
            <w:tcW w:w="521" w:type="dxa"/>
            <w:vAlign w:val="center"/>
          </w:tcPr>
          <w:p w14:paraId="5A38147F">
            <w:pPr>
              <w:pStyle w:val="1429"/>
              <w:rPr>
                <w:rFonts w:cs="Times New Roman"/>
              </w:rPr>
            </w:pPr>
            <w:r>
              <w:rPr>
                <w:rFonts w:cs="Times New Roman"/>
              </w:rPr>
              <w:t>全天</w:t>
            </w:r>
          </w:p>
        </w:tc>
      </w:tr>
      <w:tr w14:paraId="7B34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565" w:type="dxa"/>
            <w:vAlign w:val="center"/>
          </w:tcPr>
          <w:p w14:paraId="5AFB6DDA">
            <w:pPr>
              <w:pStyle w:val="1429"/>
              <w:rPr>
                <w:rFonts w:cs="Times New Roman"/>
                <w:szCs w:val="21"/>
              </w:rPr>
            </w:pPr>
            <w:r>
              <w:rPr>
                <w:rFonts w:hint="eastAsia" w:cs="Times New Roman"/>
                <w:szCs w:val="21"/>
              </w:rPr>
              <w:t>7</w:t>
            </w:r>
          </w:p>
        </w:tc>
        <w:tc>
          <w:tcPr>
            <w:tcW w:w="1848" w:type="dxa"/>
            <w:vAlign w:val="center"/>
          </w:tcPr>
          <w:p w14:paraId="7AB22A52">
            <w:pPr>
              <w:pStyle w:val="1429"/>
              <w:rPr>
                <w:rFonts w:cs="Times New Roman"/>
                <w:szCs w:val="21"/>
              </w:rPr>
            </w:pPr>
            <w:r>
              <w:rPr>
                <w:rFonts w:hint="eastAsia" w:cs="Times New Roman"/>
                <w:szCs w:val="21"/>
              </w:rPr>
              <w:t>C</w:t>
            </w:r>
            <w:r>
              <w:rPr>
                <w:rFonts w:cs="Times New Roman"/>
                <w:szCs w:val="21"/>
              </w:rPr>
              <w:t>NG</w:t>
            </w:r>
            <w:r>
              <w:rPr>
                <w:rFonts w:hint="eastAsia" w:cs="Times New Roman"/>
                <w:szCs w:val="21"/>
              </w:rPr>
              <w:t>加气柱1</w:t>
            </w:r>
          </w:p>
        </w:tc>
        <w:tc>
          <w:tcPr>
            <w:tcW w:w="1693" w:type="dxa"/>
            <w:vAlign w:val="center"/>
          </w:tcPr>
          <w:p w14:paraId="200E7BBC">
            <w:pPr>
              <w:pStyle w:val="1429"/>
              <w:rPr>
                <w:rFonts w:cs="Times New Roman"/>
                <w:szCs w:val="21"/>
              </w:rPr>
            </w:pPr>
            <w:r>
              <w:rPr>
                <w:kern w:val="0"/>
                <w:szCs w:val="21"/>
              </w:rPr>
              <w:t>0.5m</w:t>
            </w:r>
            <w:r>
              <w:rPr>
                <w:kern w:val="0"/>
                <w:szCs w:val="21"/>
                <w:vertAlign w:val="superscript"/>
              </w:rPr>
              <w:t>3</w:t>
            </w:r>
            <w:r>
              <w:rPr>
                <w:kern w:val="0"/>
                <w:szCs w:val="21"/>
              </w:rPr>
              <w:t>/min</w:t>
            </w:r>
          </w:p>
        </w:tc>
        <w:tc>
          <w:tcPr>
            <w:tcW w:w="1134" w:type="dxa"/>
            <w:vAlign w:val="center"/>
          </w:tcPr>
          <w:p w14:paraId="66AD9D28">
            <w:pPr>
              <w:pStyle w:val="1429"/>
              <w:rPr>
                <w:rFonts w:cs="Times New Roman"/>
              </w:rPr>
            </w:pPr>
            <w:r>
              <w:rPr>
                <w:rFonts w:hint="eastAsia" w:cs="Times New Roman"/>
              </w:rPr>
              <w:t>5</w:t>
            </w:r>
            <w:r>
              <w:rPr>
                <w:rFonts w:cs="Times New Roman"/>
              </w:rPr>
              <w:t>5</w:t>
            </w:r>
          </w:p>
        </w:tc>
        <w:tc>
          <w:tcPr>
            <w:tcW w:w="1276" w:type="dxa"/>
            <w:vMerge w:val="continue"/>
            <w:vAlign w:val="center"/>
          </w:tcPr>
          <w:p w14:paraId="2D72FAC6">
            <w:pPr>
              <w:pStyle w:val="687"/>
            </w:pPr>
          </w:p>
        </w:tc>
        <w:tc>
          <w:tcPr>
            <w:tcW w:w="567" w:type="dxa"/>
            <w:vAlign w:val="center"/>
          </w:tcPr>
          <w:p w14:paraId="2F0B3F58">
            <w:pPr>
              <w:pStyle w:val="1429"/>
              <w:rPr>
                <w:rFonts w:cs="Times New Roman"/>
              </w:rPr>
            </w:pPr>
            <w:r>
              <w:rPr>
                <w:rFonts w:cs="Times New Roman"/>
              </w:rPr>
              <w:t>62.8</w:t>
            </w:r>
          </w:p>
        </w:tc>
        <w:tc>
          <w:tcPr>
            <w:tcW w:w="567" w:type="dxa"/>
            <w:vAlign w:val="center"/>
          </w:tcPr>
          <w:p w14:paraId="5D89DC66">
            <w:pPr>
              <w:pStyle w:val="1429"/>
              <w:rPr>
                <w:rFonts w:cs="Times New Roman"/>
              </w:rPr>
            </w:pPr>
            <w:r>
              <w:rPr>
                <w:rFonts w:hint="eastAsia" w:cs="Times New Roman"/>
              </w:rPr>
              <w:t>-</w:t>
            </w:r>
            <w:r>
              <w:rPr>
                <w:rFonts w:cs="Times New Roman"/>
              </w:rPr>
              <w:t>84.4</w:t>
            </w:r>
          </w:p>
        </w:tc>
        <w:tc>
          <w:tcPr>
            <w:tcW w:w="569" w:type="dxa"/>
            <w:vAlign w:val="center"/>
          </w:tcPr>
          <w:p w14:paraId="0CD90F32">
            <w:pPr>
              <w:pStyle w:val="1429"/>
              <w:rPr>
                <w:rFonts w:cs="Times New Roman"/>
              </w:rPr>
            </w:pPr>
            <w:r>
              <w:rPr>
                <w:rFonts w:hint="eastAsia" w:cs="Times New Roman"/>
              </w:rPr>
              <w:t>1</w:t>
            </w:r>
            <w:r>
              <w:rPr>
                <w:rFonts w:cs="Times New Roman"/>
              </w:rPr>
              <w:t>.2</w:t>
            </w:r>
          </w:p>
        </w:tc>
        <w:tc>
          <w:tcPr>
            <w:tcW w:w="521" w:type="dxa"/>
            <w:vAlign w:val="center"/>
          </w:tcPr>
          <w:p w14:paraId="7E28B858">
            <w:pPr>
              <w:pStyle w:val="1429"/>
              <w:rPr>
                <w:rFonts w:cs="Times New Roman"/>
              </w:rPr>
            </w:pPr>
            <w:r>
              <w:rPr>
                <w:rFonts w:cs="Times New Roman"/>
              </w:rPr>
              <w:t>全天</w:t>
            </w:r>
          </w:p>
        </w:tc>
      </w:tr>
      <w:tr w14:paraId="738F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565" w:type="dxa"/>
            <w:vAlign w:val="center"/>
          </w:tcPr>
          <w:p w14:paraId="39FDAEF6">
            <w:pPr>
              <w:pStyle w:val="1429"/>
              <w:rPr>
                <w:rFonts w:cs="Times New Roman"/>
                <w:szCs w:val="21"/>
              </w:rPr>
            </w:pPr>
            <w:r>
              <w:rPr>
                <w:rFonts w:hint="eastAsia" w:cs="Times New Roman"/>
                <w:szCs w:val="21"/>
              </w:rPr>
              <w:t>7</w:t>
            </w:r>
          </w:p>
        </w:tc>
        <w:tc>
          <w:tcPr>
            <w:tcW w:w="1848" w:type="dxa"/>
            <w:vAlign w:val="center"/>
          </w:tcPr>
          <w:p w14:paraId="542DD813">
            <w:pPr>
              <w:pStyle w:val="1429"/>
              <w:rPr>
                <w:rFonts w:cs="Times New Roman"/>
                <w:szCs w:val="21"/>
              </w:rPr>
            </w:pPr>
            <w:r>
              <w:rPr>
                <w:rFonts w:hint="eastAsia" w:cs="Times New Roman"/>
                <w:szCs w:val="21"/>
              </w:rPr>
              <w:t>C</w:t>
            </w:r>
            <w:r>
              <w:rPr>
                <w:rFonts w:cs="Times New Roman"/>
                <w:szCs w:val="21"/>
              </w:rPr>
              <w:t>NG</w:t>
            </w:r>
            <w:r>
              <w:rPr>
                <w:rFonts w:hint="eastAsia" w:cs="Times New Roman"/>
                <w:szCs w:val="21"/>
              </w:rPr>
              <w:t>加气柱</w:t>
            </w:r>
            <w:r>
              <w:rPr>
                <w:rFonts w:cs="Times New Roman"/>
                <w:szCs w:val="21"/>
              </w:rPr>
              <w:t>2</w:t>
            </w:r>
          </w:p>
        </w:tc>
        <w:tc>
          <w:tcPr>
            <w:tcW w:w="1693" w:type="dxa"/>
            <w:vAlign w:val="center"/>
          </w:tcPr>
          <w:p w14:paraId="7DC74064">
            <w:pPr>
              <w:pStyle w:val="1429"/>
              <w:rPr>
                <w:kern w:val="0"/>
                <w:szCs w:val="21"/>
              </w:rPr>
            </w:pPr>
            <w:r>
              <w:rPr>
                <w:kern w:val="0"/>
                <w:szCs w:val="21"/>
              </w:rPr>
              <w:t>0.5m</w:t>
            </w:r>
            <w:r>
              <w:rPr>
                <w:kern w:val="0"/>
                <w:szCs w:val="21"/>
                <w:vertAlign w:val="superscript"/>
              </w:rPr>
              <w:t>3</w:t>
            </w:r>
            <w:r>
              <w:rPr>
                <w:kern w:val="0"/>
                <w:szCs w:val="21"/>
              </w:rPr>
              <w:t>/min</w:t>
            </w:r>
          </w:p>
        </w:tc>
        <w:tc>
          <w:tcPr>
            <w:tcW w:w="1134" w:type="dxa"/>
            <w:vAlign w:val="center"/>
          </w:tcPr>
          <w:p w14:paraId="5FFE4752">
            <w:pPr>
              <w:pStyle w:val="1429"/>
              <w:rPr>
                <w:rFonts w:cs="Times New Roman"/>
              </w:rPr>
            </w:pPr>
            <w:r>
              <w:rPr>
                <w:rFonts w:hint="eastAsia" w:cs="Times New Roman"/>
              </w:rPr>
              <w:t>5</w:t>
            </w:r>
            <w:r>
              <w:rPr>
                <w:rFonts w:cs="Times New Roman"/>
              </w:rPr>
              <w:t>5</w:t>
            </w:r>
          </w:p>
        </w:tc>
        <w:tc>
          <w:tcPr>
            <w:tcW w:w="1276" w:type="dxa"/>
            <w:vMerge w:val="continue"/>
            <w:vAlign w:val="center"/>
          </w:tcPr>
          <w:p w14:paraId="3902EC88">
            <w:pPr>
              <w:pStyle w:val="687"/>
            </w:pPr>
          </w:p>
        </w:tc>
        <w:tc>
          <w:tcPr>
            <w:tcW w:w="567" w:type="dxa"/>
            <w:vAlign w:val="center"/>
          </w:tcPr>
          <w:p w14:paraId="4038EBC8">
            <w:pPr>
              <w:pStyle w:val="1429"/>
              <w:rPr>
                <w:rFonts w:cs="Times New Roman"/>
              </w:rPr>
            </w:pPr>
            <w:r>
              <w:rPr>
                <w:rFonts w:cs="Times New Roman"/>
              </w:rPr>
              <w:t>66.8</w:t>
            </w:r>
          </w:p>
        </w:tc>
        <w:tc>
          <w:tcPr>
            <w:tcW w:w="567" w:type="dxa"/>
            <w:vAlign w:val="center"/>
          </w:tcPr>
          <w:p w14:paraId="62BA3158">
            <w:pPr>
              <w:pStyle w:val="1429"/>
              <w:rPr>
                <w:rFonts w:cs="Times New Roman"/>
              </w:rPr>
            </w:pPr>
            <w:r>
              <w:rPr>
                <w:rFonts w:hint="eastAsia" w:cs="Times New Roman"/>
              </w:rPr>
              <w:t>-</w:t>
            </w:r>
            <w:r>
              <w:rPr>
                <w:rFonts w:cs="Times New Roman"/>
              </w:rPr>
              <w:t>88.8</w:t>
            </w:r>
          </w:p>
        </w:tc>
        <w:tc>
          <w:tcPr>
            <w:tcW w:w="569" w:type="dxa"/>
            <w:vAlign w:val="center"/>
          </w:tcPr>
          <w:p w14:paraId="1C03E712">
            <w:pPr>
              <w:pStyle w:val="1429"/>
              <w:rPr>
                <w:rFonts w:cs="Times New Roman"/>
              </w:rPr>
            </w:pPr>
            <w:r>
              <w:rPr>
                <w:rFonts w:hint="eastAsia" w:cs="Times New Roman"/>
              </w:rPr>
              <w:t>1</w:t>
            </w:r>
            <w:r>
              <w:rPr>
                <w:rFonts w:cs="Times New Roman"/>
              </w:rPr>
              <w:t>.2</w:t>
            </w:r>
          </w:p>
        </w:tc>
        <w:tc>
          <w:tcPr>
            <w:tcW w:w="521" w:type="dxa"/>
            <w:vAlign w:val="center"/>
          </w:tcPr>
          <w:p w14:paraId="5CC458CE">
            <w:pPr>
              <w:pStyle w:val="1429"/>
              <w:rPr>
                <w:rFonts w:cs="Times New Roman"/>
              </w:rPr>
            </w:pPr>
            <w:r>
              <w:rPr>
                <w:rFonts w:cs="Times New Roman"/>
              </w:rPr>
              <w:t>全天</w:t>
            </w:r>
          </w:p>
        </w:tc>
      </w:tr>
      <w:tr w14:paraId="459D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rPr>
        <w:tc>
          <w:tcPr>
            <w:tcW w:w="565" w:type="dxa"/>
            <w:vAlign w:val="center"/>
          </w:tcPr>
          <w:p w14:paraId="6E5F21A4">
            <w:pPr>
              <w:pStyle w:val="1429"/>
              <w:rPr>
                <w:rFonts w:cs="Times New Roman"/>
              </w:rPr>
            </w:pPr>
            <w:r>
              <w:rPr>
                <w:rFonts w:cs="Times New Roman"/>
              </w:rPr>
              <w:t>8</w:t>
            </w:r>
          </w:p>
        </w:tc>
        <w:tc>
          <w:tcPr>
            <w:tcW w:w="1848" w:type="dxa"/>
            <w:vAlign w:val="center"/>
          </w:tcPr>
          <w:p w14:paraId="529A85D7">
            <w:pPr>
              <w:pStyle w:val="1429"/>
              <w:rPr>
                <w:rFonts w:cs="Times New Roman"/>
              </w:rPr>
            </w:pPr>
            <w:r>
              <w:rPr>
                <w:rFonts w:cs="Times New Roman"/>
              </w:rPr>
              <w:t>放空立管</w:t>
            </w:r>
          </w:p>
        </w:tc>
        <w:tc>
          <w:tcPr>
            <w:tcW w:w="1693" w:type="dxa"/>
            <w:vAlign w:val="center"/>
          </w:tcPr>
          <w:p w14:paraId="0D0D6D4A">
            <w:pPr>
              <w:pStyle w:val="1429"/>
              <w:rPr>
                <w:rFonts w:cs="Times New Roman"/>
              </w:rPr>
            </w:pPr>
            <w:r>
              <w:rPr>
                <w:rFonts w:hint="eastAsia" w:cs="Times New Roman"/>
                <w:szCs w:val="21"/>
              </w:rPr>
              <w:t>DN100   H=15m</w:t>
            </w:r>
          </w:p>
        </w:tc>
        <w:tc>
          <w:tcPr>
            <w:tcW w:w="1134" w:type="dxa"/>
            <w:vAlign w:val="center"/>
          </w:tcPr>
          <w:p w14:paraId="57265DBD">
            <w:pPr>
              <w:pStyle w:val="1429"/>
              <w:rPr>
                <w:rFonts w:cs="Times New Roman"/>
              </w:rPr>
            </w:pPr>
            <w:r>
              <w:t>100~110</w:t>
            </w:r>
          </w:p>
        </w:tc>
        <w:tc>
          <w:tcPr>
            <w:tcW w:w="1276" w:type="dxa"/>
            <w:vAlign w:val="center"/>
          </w:tcPr>
          <w:p w14:paraId="75E6FBCA">
            <w:pPr>
              <w:pStyle w:val="1429"/>
              <w:rPr>
                <w:rFonts w:cs="Times New Roman"/>
              </w:rPr>
            </w:pPr>
            <w:r>
              <w:rPr>
                <w:rFonts w:hint="eastAsia" w:cs="Times New Roman"/>
              </w:rPr>
              <w:t>减少放空次数</w:t>
            </w:r>
          </w:p>
        </w:tc>
        <w:tc>
          <w:tcPr>
            <w:tcW w:w="567" w:type="dxa"/>
            <w:vAlign w:val="center"/>
          </w:tcPr>
          <w:p w14:paraId="3956764F">
            <w:pPr>
              <w:pStyle w:val="1429"/>
              <w:rPr>
                <w:rFonts w:cs="Times New Roman"/>
              </w:rPr>
            </w:pPr>
            <w:r>
              <w:rPr>
                <w:rFonts w:hint="eastAsia" w:cs="Times New Roman"/>
              </w:rPr>
              <w:t>4</w:t>
            </w:r>
            <w:r>
              <w:rPr>
                <w:rFonts w:cs="Times New Roman"/>
              </w:rPr>
              <w:t>.2</w:t>
            </w:r>
          </w:p>
        </w:tc>
        <w:tc>
          <w:tcPr>
            <w:tcW w:w="567" w:type="dxa"/>
            <w:vAlign w:val="center"/>
          </w:tcPr>
          <w:p w14:paraId="45058D57">
            <w:pPr>
              <w:pStyle w:val="1429"/>
              <w:rPr>
                <w:rFonts w:cs="Times New Roman"/>
              </w:rPr>
            </w:pPr>
            <w:r>
              <w:rPr>
                <w:rFonts w:hint="eastAsia" w:cs="Times New Roman"/>
              </w:rPr>
              <w:t>-</w:t>
            </w:r>
            <w:r>
              <w:rPr>
                <w:rFonts w:cs="Times New Roman"/>
              </w:rPr>
              <w:t>0.2</w:t>
            </w:r>
          </w:p>
        </w:tc>
        <w:tc>
          <w:tcPr>
            <w:tcW w:w="569" w:type="dxa"/>
            <w:vAlign w:val="center"/>
          </w:tcPr>
          <w:p w14:paraId="010C17E1">
            <w:pPr>
              <w:pStyle w:val="1429"/>
              <w:rPr>
                <w:rFonts w:cs="Times New Roman"/>
              </w:rPr>
            </w:pPr>
            <w:r>
              <w:rPr>
                <w:rFonts w:cs="Times New Roman"/>
              </w:rPr>
              <w:t>15</w:t>
            </w:r>
          </w:p>
        </w:tc>
        <w:tc>
          <w:tcPr>
            <w:tcW w:w="521" w:type="dxa"/>
            <w:vAlign w:val="center"/>
          </w:tcPr>
          <w:p w14:paraId="47FCBAFA">
            <w:pPr>
              <w:pStyle w:val="1429"/>
              <w:rPr>
                <w:rFonts w:cs="Times New Roman"/>
              </w:rPr>
            </w:pPr>
            <w:r>
              <w:rPr>
                <w:rFonts w:hint="eastAsia" w:cs="Times New Roman"/>
              </w:rPr>
              <w:t>偶尔</w:t>
            </w:r>
          </w:p>
        </w:tc>
      </w:tr>
    </w:tbl>
    <w:p w14:paraId="5269C8EC">
      <w:pPr>
        <w:pStyle w:val="1066"/>
        <w:ind w:firstLine="210" w:firstLineChars="100"/>
        <w:rPr>
          <w:rFonts w:cs="Times New Roman"/>
          <w:bCs/>
          <w:kern w:val="44"/>
          <w:sz w:val="21"/>
        </w:rPr>
      </w:pPr>
      <w:r>
        <w:rPr>
          <w:rFonts w:cs="Times New Roman"/>
          <w:bCs/>
          <w:kern w:val="44"/>
          <w:sz w:val="21"/>
        </w:rPr>
        <w:t>注： XY坐标系</w:t>
      </w:r>
      <w:r>
        <w:rPr>
          <w:rFonts w:cs="Times New Roman"/>
          <w:bCs/>
          <w:sz w:val="21"/>
        </w:rPr>
        <w:t>以</w:t>
      </w:r>
      <w:r>
        <w:rPr>
          <w:rFonts w:hint="eastAsia" w:cs="Times New Roman"/>
          <w:bCs/>
          <w:sz w:val="21"/>
        </w:rPr>
        <w:t>试采站工艺区西南角为</w:t>
      </w:r>
      <w:r>
        <w:rPr>
          <w:rFonts w:cs="Times New Roman"/>
          <w:bCs/>
          <w:sz w:val="21"/>
        </w:rPr>
        <w:t>坐标原点（0，</w:t>
      </w:r>
      <w:r>
        <w:rPr>
          <w:rFonts w:hint="eastAsia" w:cs="Times New Roman"/>
          <w:bCs/>
          <w:sz w:val="21"/>
        </w:rPr>
        <w:t>0，</w:t>
      </w:r>
      <w:r>
        <w:rPr>
          <w:rFonts w:cs="Times New Roman"/>
          <w:bCs/>
          <w:sz w:val="21"/>
        </w:rPr>
        <w:t>0）</w:t>
      </w:r>
      <w:r>
        <w:rPr>
          <w:rFonts w:hint="eastAsia" w:cs="Times New Roman"/>
          <w:bCs/>
          <w:sz w:val="21"/>
        </w:rPr>
        <w:t>，</w:t>
      </w:r>
      <w:r>
        <w:rPr>
          <w:rFonts w:hint="eastAsia" w:cs="Times New Roman"/>
          <w:bCs/>
          <w:kern w:val="44"/>
          <w:sz w:val="21"/>
        </w:rPr>
        <w:t>正北方向为Y轴正向</w:t>
      </w:r>
      <w:r>
        <w:rPr>
          <w:rFonts w:cs="Times New Roman"/>
          <w:bCs/>
          <w:kern w:val="44"/>
          <w:sz w:val="21"/>
        </w:rPr>
        <w:t>，正东方向为X轴正向。</w:t>
      </w:r>
    </w:p>
    <w:p w14:paraId="3F4DE079">
      <w:pPr>
        <w:pStyle w:val="1379"/>
        <w:ind w:firstLine="440"/>
      </w:pPr>
    </w:p>
    <w:p w14:paraId="12D678CC">
      <w:pPr>
        <w:spacing w:line="460" w:lineRule="exact"/>
        <w:ind w:firstLine="522" w:firstLineChars="200"/>
        <w:outlineLvl w:val="2"/>
        <w:rPr>
          <w:b/>
          <w:sz w:val="26"/>
          <w:szCs w:val="26"/>
        </w:rPr>
      </w:pPr>
      <w:r>
        <w:rPr>
          <w:rFonts w:hint="eastAsia"/>
          <w:b/>
          <w:sz w:val="26"/>
          <w:szCs w:val="26"/>
        </w:rPr>
        <w:t>6</w:t>
      </w:r>
      <w:r>
        <w:rPr>
          <w:b/>
          <w:sz w:val="26"/>
          <w:szCs w:val="26"/>
        </w:rPr>
        <w:t xml:space="preserve">.5.2 </w:t>
      </w:r>
      <w:r>
        <w:rPr>
          <w:rFonts w:hint="eastAsia"/>
          <w:b/>
          <w:sz w:val="26"/>
          <w:szCs w:val="26"/>
        </w:rPr>
        <w:t>预测模式</w:t>
      </w:r>
    </w:p>
    <w:p w14:paraId="48E4EAFF">
      <w:pPr>
        <w:spacing w:line="460" w:lineRule="exact"/>
        <w:ind w:firstLine="520" w:firstLineChars="200"/>
        <w:rPr>
          <w:bCs/>
          <w:sz w:val="26"/>
          <w:szCs w:val="26"/>
        </w:rPr>
      </w:pPr>
      <w:r>
        <w:rPr>
          <w:bCs/>
          <w:sz w:val="26"/>
          <w:szCs w:val="26"/>
        </w:rPr>
        <w:t>本次噪声影响评价选用点源的噪声预测模式，在声源传播过程中，经过距离衰减和空气吸收后，到达受声点，其预测模式如下：</w:t>
      </w:r>
    </w:p>
    <w:p w14:paraId="11181E05">
      <w:pPr>
        <w:spacing w:line="460" w:lineRule="exact"/>
        <w:ind w:firstLine="520" w:firstLineChars="200"/>
        <w:rPr>
          <w:bCs/>
          <w:sz w:val="26"/>
          <w:szCs w:val="26"/>
        </w:rPr>
      </w:pPr>
      <w:r>
        <w:rPr>
          <w:rFonts w:hint="eastAsia"/>
          <w:bCs/>
          <w:sz w:val="26"/>
          <w:szCs w:val="26"/>
        </w:rPr>
        <w:t>（1）</w:t>
      </w:r>
      <w:r>
        <w:rPr>
          <w:bCs/>
          <w:sz w:val="26"/>
          <w:szCs w:val="26"/>
        </w:rPr>
        <w:t>点声源模式，在预测点的贡献值计算：</w:t>
      </w:r>
    </w:p>
    <w:p w14:paraId="65445013">
      <w:pPr>
        <w:pStyle w:val="1441"/>
        <w:spacing w:before="120" w:beforeLines="50" w:after="120" w:afterLines="50"/>
      </w:pPr>
      <w:r>
        <w:drawing>
          <wp:inline distT="0" distB="0" distL="0" distR="0">
            <wp:extent cx="2251710" cy="379730"/>
            <wp:effectExtent l="0" t="0" r="0" b="127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83">
                      <a:extLst>
                        <a:ext uri="{28A0092B-C50C-407E-A947-70E740481C1C}">
                          <a14:useLocalDpi xmlns:a14="http://schemas.microsoft.com/office/drawing/2010/main" val="0"/>
                        </a:ext>
                      </a:extLst>
                    </a:blip>
                    <a:srcRect t="8910" b="6648"/>
                    <a:stretch>
                      <a:fillRect/>
                    </a:stretch>
                  </pic:blipFill>
                  <pic:spPr>
                    <a:xfrm>
                      <a:off x="0" y="0"/>
                      <a:ext cx="2251710" cy="379730"/>
                    </a:xfrm>
                    <a:prstGeom prst="rect">
                      <a:avLst/>
                    </a:prstGeom>
                    <a:noFill/>
                    <a:ln>
                      <a:noFill/>
                    </a:ln>
                  </pic:spPr>
                </pic:pic>
              </a:graphicData>
            </a:graphic>
          </wp:inline>
        </w:drawing>
      </w:r>
    </w:p>
    <w:p w14:paraId="08C0D3D4">
      <w:pPr>
        <w:spacing w:line="460" w:lineRule="exact"/>
        <w:ind w:firstLine="520" w:firstLineChars="200"/>
        <w:rPr>
          <w:bCs/>
          <w:sz w:val="26"/>
          <w:szCs w:val="26"/>
        </w:rPr>
      </w:pPr>
      <w:r>
        <w:rPr>
          <w:bCs/>
          <w:sz w:val="26"/>
          <w:szCs w:val="26"/>
        </w:rPr>
        <w:t>若声源处于半自由声场，且已知声源声功率级，则公式等效为：</w:t>
      </w:r>
    </w:p>
    <w:p w14:paraId="688B2735">
      <w:pPr>
        <w:pStyle w:val="1441"/>
        <w:spacing w:before="120" w:beforeLines="50" w:after="120" w:afterLines="50"/>
      </w:pPr>
      <w:r>
        <w:drawing>
          <wp:inline distT="0" distB="0" distL="0" distR="0">
            <wp:extent cx="2130425" cy="353695"/>
            <wp:effectExtent l="0" t="0" r="3175" b="825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84">
                      <a:extLst>
                        <a:ext uri="{28A0092B-C50C-407E-A947-70E740481C1C}">
                          <a14:useLocalDpi xmlns:a14="http://schemas.microsoft.com/office/drawing/2010/main" val="0"/>
                        </a:ext>
                      </a:extLst>
                    </a:blip>
                    <a:srcRect t="12651" b="4970"/>
                    <a:stretch>
                      <a:fillRect/>
                    </a:stretch>
                  </pic:blipFill>
                  <pic:spPr>
                    <a:xfrm>
                      <a:off x="0" y="0"/>
                      <a:ext cx="2130425" cy="353695"/>
                    </a:xfrm>
                    <a:prstGeom prst="rect">
                      <a:avLst/>
                    </a:prstGeom>
                    <a:noFill/>
                    <a:ln>
                      <a:noFill/>
                    </a:ln>
                  </pic:spPr>
                </pic:pic>
              </a:graphicData>
            </a:graphic>
          </wp:inline>
        </w:drawing>
      </w:r>
    </w:p>
    <w:p w14:paraId="3D6C0920">
      <w:pPr>
        <w:spacing w:line="460" w:lineRule="exact"/>
        <w:ind w:firstLine="520" w:firstLineChars="200"/>
        <w:rPr>
          <w:bCs/>
          <w:sz w:val="26"/>
          <w:szCs w:val="26"/>
        </w:rPr>
      </w:pPr>
      <w:r>
        <w:rPr>
          <w:bCs/>
          <w:sz w:val="26"/>
          <w:szCs w:val="26"/>
        </w:rPr>
        <w:t>式中：L</w:t>
      </w:r>
      <w:r>
        <w:rPr>
          <w:bCs/>
          <w:sz w:val="26"/>
          <w:szCs w:val="26"/>
          <w:vertAlign w:val="subscript"/>
        </w:rPr>
        <w:t>A</w:t>
      </w:r>
      <w:r>
        <w:rPr>
          <w:bCs/>
          <w:sz w:val="26"/>
          <w:szCs w:val="26"/>
        </w:rPr>
        <w:t>(r)——距声源r处的声级值，dB(A)；</w:t>
      </w:r>
    </w:p>
    <w:p w14:paraId="74A6E78A">
      <w:pPr>
        <w:spacing w:line="460" w:lineRule="exact"/>
        <w:ind w:firstLine="1300" w:firstLineChars="500"/>
        <w:rPr>
          <w:bCs/>
          <w:sz w:val="26"/>
          <w:szCs w:val="26"/>
        </w:rPr>
      </w:pPr>
      <w:r>
        <w:rPr>
          <w:bCs/>
          <w:sz w:val="26"/>
          <w:szCs w:val="26"/>
        </w:rPr>
        <w:t>L</w:t>
      </w:r>
      <w:r>
        <w:rPr>
          <w:bCs/>
          <w:sz w:val="26"/>
          <w:szCs w:val="26"/>
          <w:vertAlign w:val="subscript"/>
        </w:rPr>
        <w:t>A</w:t>
      </w:r>
      <w:r>
        <w:rPr>
          <w:bCs/>
          <w:sz w:val="26"/>
          <w:szCs w:val="26"/>
        </w:rPr>
        <w:t>(r</w:t>
      </w:r>
      <w:r>
        <w:rPr>
          <w:bCs/>
          <w:sz w:val="26"/>
          <w:szCs w:val="26"/>
          <w:vertAlign w:val="subscript"/>
        </w:rPr>
        <w:t>0</w:t>
      </w:r>
      <w:r>
        <w:rPr>
          <w:bCs/>
          <w:sz w:val="26"/>
          <w:szCs w:val="26"/>
        </w:rPr>
        <w:t>)——参考位置r</w:t>
      </w:r>
      <w:r>
        <w:rPr>
          <w:bCs/>
          <w:sz w:val="26"/>
          <w:szCs w:val="26"/>
          <w:vertAlign w:val="subscript"/>
        </w:rPr>
        <w:t>0</w:t>
      </w:r>
      <w:r>
        <w:rPr>
          <w:bCs/>
          <w:sz w:val="26"/>
          <w:szCs w:val="26"/>
        </w:rPr>
        <w:t>处的声级值，dB(A)；</w:t>
      </w:r>
    </w:p>
    <w:p w14:paraId="420D8DF2">
      <w:pPr>
        <w:spacing w:line="460" w:lineRule="exact"/>
        <w:ind w:firstLine="1300" w:firstLineChars="500"/>
        <w:rPr>
          <w:bCs/>
          <w:sz w:val="26"/>
          <w:szCs w:val="26"/>
        </w:rPr>
      </w:pPr>
      <w:r>
        <w:rPr>
          <w:bCs/>
          <w:sz w:val="26"/>
          <w:szCs w:val="26"/>
        </w:rPr>
        <w:t>L</w:t>
      </w:r>
      <w:r>
        <w:rPr>
          <w:bCs/>
          <w:sz w:val="26"/>
          <w:szCs w:val="26"/>
          <w:vertAlign w:val="subscript"/>
        </w:rPr>
        <w:t>AW</w:t>
      </w:r>
      <w:r>
        <w:rPr>
          <w:bCs/>
          <w:sz w:val="26"/>
          <w:szCs w:val="26"/>
        </w:rPr>
        <w:t>(r</w:t>
      </w:r>
      <w:r>
        <w:rPr>
          <w:bCs/>
          <w:sz w:val="26"/>
          <w:szCs w:val="26"/>
          <w:vertAlign w:val="subscript"/>
        </w:rPr>
        <w:t>0</w:t>
      </w:r>
      <w:r>
        <w:rPr>
          <w:bCs/>
          <w:sz w:val="26"/>
          <w:szCs w:val="26"/>
        </w:rPr>
        <w:t>)——参考位置r</w:t>
      </w:r>
      <w:r>
        <w:rPr>
          <w:bCs/>
          <w:sz w:val="26"/>
          <w:szCs w:val="26"/>
          <w:vertAlign w:val="subscript"/>
        </w:rPr>
        <w:t>0</w:t>
      </w:r>
      <w:r>
        <w:rPr>
          <w:bCs/>
          <w:sz w:val="26"/>
          <w:szCs w:val="26"/>
        </w:rPr>
        <w:t>处的声功率值，dB；</w:t>
      </w:r>
    </w:p>
    <w:p w14:paraId="1D0B5DA6">
      <w:pPr>
        <w:spacing w:line="460" w:lineRule="exact"/>
        <w:ind w:firstLine="1300" w:firstLineChars="500"/>
        <w:rPr>
          <w:bCs/>
          <w:sz w:val="26"/>
          <w:szCs w:val="26"/>
        </w:rPr>
      </w:pPr>
      <w:r>
        <w:rPr>
          <w:bCs/>
          <w:sz w:val="26"/>
          <w:szCs w:val="26"/>
        </w:rPr>
        <w:t>r——预测点至声源的距离，m；</w:t>
      </w:r>
    </w:p>
    <w:p w14:paraId="58146FE3">
      <w:pPr>
        <w:spacing w:line="460" w:lineRule="exact"/>
        <w:ind w:firstLine="1300" w:firstLineChars="500"/>
        <w:rPr>
          <w:bCs/>
          <w:sz w:val="26"/>
          <w:szCs w:val="26"/>
        </w:rPr>
      </w:pPr>
      <w:r>
        <w:rPr>
          <w:bCs/>
          <w:sz w:val="26"/>
          <w:szCs w:val="26"/>
        </w:rPr>
        <w:t>r</w:t>
      </w:r>
      <w:r>
        <w:rPr>
          <w:bCs/>
          <w:sz w:val="26"/>
          <w:szCs w:val="26"/>
          <w:vertAlign w:val="subscript"/>
        </w:rPr>
        <w:t>0</w:t>
      </w:r>
      <w:r>
        <w:rPr>
          <w:bCs/>
          <w:sz w:val="26"/>
          <w:szCs w:val="26"/>
        </w:rPr>
        <w:t>——参考点至声源的距离，m。</w:t>
      </w:r>
    </w:p>
    <w:p w14:paraId="2315355A">
      <w:pPr>
        <w:spacing w:line="460" w:lineRule="exact"/>
        <w:ind w:firstLine="1300" w:firstLineChars="500"/>
        <w:rPr>
          <w:bCs/>
          <w:sz w:val="26"/>
          <w:szCs w:val="26"/>
        </w:rPr>
      </w:pPr>
      <w:r>
        <w:rPr>
          <w:bCs/>
          <w:sz w:val="26"/>
          <w:szCs w:val="26"/>
        </w:rPr>
        <w:t>ΔL</w:t>
      </w:r>
      <w:r>
        <w:rPr>
          <w:bCs/>
          <w:sz w:val="26"/>
          <w:szCs w:val="26"/>
          <w:vertAlign w:val="subscript"/>
        </w:rPr>
        <w:t>A</w:t>
      </w:r>
      <w:r>
        <w:rPr>
          <w:bCs/>
          <w:sz w:val="26"/>
          <w:szCs w:val="26"/>
        </w:rPr>
        <w:t>——各种因素引起的噪声衰减量，dB(A)。一般指房间墙壁、室外建筑、绿化带和空气吸声衰减值。</w:t>
      </w:r>
    </w:p>
    <w:p w14:paraId="7FAC8805">
      <w:pPr>
        <w:spacing w:line="460" w:lineRule="exact"/>
        <w:ind w:firstLine="520" w:firstLineChars="200"/>
        <w:rPr>
          <w:bCs/>
          <w:sz w:val="26"/>
          <w:szCs w:val="26"/>
        </w:rPr>
      </w:pPr>
      <w:r>
        <w:rPr>
          <w:rFonts w:hint="eastAsia"/>
          <w:bCs/>
          <w:sz w:val="26"/>
          <w:szCs w:val="26"/>
        </w:rPr>
        <w:t>（2）</w:t>
      </w:r>
      <w:r>
        <w:rPr>
          <w:bCs/>
          <w:sz w:val="26"/>
          <w:szCs w:val="26"/>
        </w:rPr>
        <w:t>多个声源对某预测声能量叠加模式</w:t>
      </w:r>
    </w:p>
    <w:p w14:paraId="18EB2F37">
      <w:pPr>
        <w:pStyle w:val="1441"/>
        <w:spacing w:before="120" w:beforeLines="50" w:after="120" w:afterLines="50"/>
      </w:pPr>
      <w:r>
        <w:drawing>
          <wp:inline distT="0" distB="0" distL="0" distR="0">
            <wp:extent cx="1475105" cy="387985"/>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1475105" cy="387985"/>
                    </a:xfrm>
                    <a:prstGeom prst="rect">
                      <a:avLst/>
                    </a:prstGeom>
                    <a:noFill/>
                    <a:ln>
                      <a:noFill/>
                    </a:ln>
                  </pic:spPr>
                </pic:pic>
              </a:graphicData>
            </a:graphic>
          </wp:inline>
        </w:drawing>
      </w:r>
    </w:p>
    <w:p w14:paraId="117F0D27">
      <w:pPr>
        <w:spacing w:line="460" w:lineRule="exact"/>
        <w:ind w:firstLine="520" w:firstLineChars="200"/>
        <w:rPr>
          <w:bCs/>
          <w:sz w:val="26"/>
          <w:szCs w:val="26"/>
        </w:rPr>
      </w:pPr>
      <w:r>
        <w:rPr>
          <w:bCs/>
          <w:sz w:val="26"/>
          <w:szCs w:val="26"/>
        </w:rPr>
        <w:t>式中：L</w:t>
      </w:r>
      <w:r>
        <w:rPr>
          <w:bCs/>
          <w:sz w:val="26"/>
          <w:szCs w:val="26"/>
          <w:vertAlign w:val="subscript"/>
        </w:rPr>
        <w:t>A</w:t>
      </w:r>
      <w:r>
        <w:rPr>
          <w:bCs/>
          <w:sz w:val="26"/>
          <w:szCs w:val="26"/>
        </w:rPr>
        <w:t>－评价区内某预测点的总声级值，dB(A)；</w:t>
      </w:r>
    </w:p>
    <w:p w14:paraId="52283F2C">
      <w:pPr>
        <w:spacing w:line="460" w:lineRule="exact"/>
        <w:ind w:firstLine="1300" w:firstLineChars="500"/>
        <w:rPr>
          <w:bCs/>
          <w:sz w:val="26"/>
          <w:szCs w:val="26"/>
        </w:rPr>
      </w:pPr>
      <w:r>
        <w:rPr>
          <w:bCs/>
          <w:sz w:val="26"/>
          <w:szCs w:val="26"/>
        </w:rPr>
        <w:t>n－某预测点接受声源个数；</w:t>
      </w:r>
    </w:p>
    <w:p w14:paraId="6D0C690D">
      <w:pPr>
        <w:spacing w:line="460" w:lineRule="exact"/>
        <w:ind w:firstLine="1300" w:firstLineChars="500"/>
        <w:rPr>
          <w:bCs/>
          <w:sz w:val="26"/>
          <w:szCs w:val="26"/>
        </w:rPr>
      </w:pPr>
      <w:r>
        <w:rPr>
          <w:bCs/>
          <w:sz w:val="26"/>
          <w:szCs w:val="26"/>
        </w:rPr>
        <w:t>L</w:t>
      </w:r>
      <w:r>
        <w:rPr>
          <w:bCs/>
          <w:sz w:val="26"/>
          <w:szCs w:val="26"/>
          <w:vertAlign w:val="subscript"/>
        </w:rPr>
        <w:t>Ai</w:t>
      </w:r>
      <w:r>
        <w:rPr>
          <w:bCs/>
          <w:sz w:val="26"/>
          <w:szCs w:val="26"/>
        </w:rPr>
        <w:t>－第 i 个点声源贡献值，dB(A)。</w:t>
      </w:r>
    </w:p>
    <w:p w14:paraId="10271169">
      <w:pPr>
        <w:spacing w:line="460" w:lineRule="exact"/>
        <w:ind w:firstLine="520" w:firstLineChars="200"/>
        <w:rPr>
          <w:bCs/>
          <w:sz w:val="26"/>
          <w:szCs w:val="26"/>
        </w:rPr>
      </w:pPr>
      <w:r>
        <w:rPr>
          <w:rFonts w:hint="eastAsia"/>
          <w:bCs/>
          <w:sz w:val="26"/>
          <w:szCs w:val="26"/>
        </w:rPr>
        <w:t>（3）</w:t>
      </w:r>
      <w:r>
        <w:rPr>
          <w:bCs/>
          <w:sz w:val="26"/>
          <w:szCs w:val="26"/>
        </w:rPr>
        <w:t>预测点叠加值：</w:t>
      </w:r>
    </w:p>
    <w:p w14:paraId="45D39C05">
      <w:pPr>
        <w:pStyle w:val="1441"/>
        <w:spacing w:before="120" w:after="60"/>
      </w:pPr>
      <w:r>
        <w:drawing>
          <wp:inline distT="0" distB="0" distL="0" distR="0">
            <wp:extent cx="1898015" cy="259080"/>
            <wp:effectExtent l="0" t="0" r="6985" b="762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1898015" cy="259080"/>
                    </a:xfrm>
                    <a:prstGeom prst="rect">
                      <a:avLst/>
                    </a:prstGeom>
                    <a:noFill/>
                    <a:ln>
                      <a:noFill/>
                    </a:ln>
                  </pic:spPr>
                </pic:pic>
              </a:graphicData>
            </a:graphic>
          </wp:inline>
        </w:drawing>
      </w:r>
    </w:p>
    <w:p w14:paraId="62155277">
      <w:pPr>
        <w:spacing w:line="460" w:lineRule="exact"/>
        <w:ind w:firstLine="520" w:firstLineChars="200"/>
        <w:rPr>
          <w:bCs/>
          <w:sz w:val="26"/>
          <w:szCs w:val="26"/>
        </w:rPr>
      </w:pPr>
      <w:r>
        <w:rPr>
          <w:bCs/>
          <w:sz w:val="26"/>
          <w:szCs w:val="26"/>
        </w:rPr>
        <w:t>式中：L</w:t>
      </w:r>
      <w:r>
        <w:rPr>
          <w:bCs/>
          <w:sz w:val="26"/>
          <w:szCs w:val="26"/>
          <w:vertAlign w:val="subscript"/>
        </w:rPr>
        <w:t>Ar</w:t>
      </w:r>
      <w:r>
        <w:rPr>
          <w:bCs/>
          <w:sz w:val="26"/>
          <w:szCs w:val="26"/>
        </w:rPr>
        <w:t>—预测贡献值，dB(A)；</w:t>
      </w:r>
    </w:p>
    <w:p w14:paraId="67099996">
      <w:pPr>
        <w:spacing w:line="460" w:lineRule="exact"/>
        <w:ind w:firstLine="1300" w:firstLineChars="500"/>
        <w:rPr>
          <w:bCs/>
          <w:sz w:val="26"/>
          <w:szCs w:val="26"/>
        </w:rPr>
      </w:pPr>
      <w:r>
        <w:rPr>
          <w:bCs/>
          <w:sz w:val="26"/>
          <w:szCs w:val="26"/>
        </w:rPr>
        <w:t>L</w:t>
      </w:r>
      <w:r>
        <w:rPr>
          <w:bCs/>
          <w:sz w:val="26"/>
          <w:szCs w:val="26"/>
          <w:vertAlign w:val="subscript"/>
        </w:rPr>
        <w:t>Ab</w:t>
      </w:r>
      <w:r>
        <w:rPr>
          <w:bCs/>
          <w:sz w:val="26"/>
          <w:szCs w:val="26"/>
        </w:rPr>
        <w:t>—背景值，dB(A)。</w:t>
      </w:r>
    </w:p>
    <w:p w14:paraId="76560115">
      <w:pPr>
        <w:spacing w:line="460" w:lineRule="exact"/>
        <w:ind w:firstLine="522" w:firstLineChars="200"/>
        <w:outlineLvl w:val="2"/>
        <w:rPr>
          <w:b/>
          <w:sz w:val="26"/>
          <w:szCs w:val="26"/>
        </w:rPr>
      </w:pPr>
      <w:r>
        <w:rPr>
          <w:rFonts w:hint="eastAsia"/>
          <w:b/>
          <w:sz w:val="26"/>
          <w:szCs w:val="26"/>
        </w:rPr>
        <w:t>6</w:t>
      </w:r>
      <w:r>
        <w:rPr>
          <w:b/>
          <w:sz w:val="26"/>
          <w:szCs w:val="26"/>
        </w:rPr>
        <w:t xml:space="preserve">.5.3 </w:t>
      </w:r>
      <w:r>
        <w:rPr>
          <w:rFonts w:hint="eastAsia"/>
          <w:b/>
          <w:sz w:val="26"/>
          <w:szCs w:val="26"/>
        </w:rPr>
        <w:t>噪声预测结果</w:t>
      </w:r>
    </w:p>
    <w:p w14:paraId="5C746A8E">
      <w:pPr>
        <w:spacing w:line="460" w:lineRule="exact"/>
        <w:ind w:firstLine="520" w:firstLineChars="200"/>
        <w:rPr>
          <w:bCs/>
          <w:sz w:val="26"/>
          <w:szCs w:val="26"/>
        </w:rPr>
      </w:pPr>
      <w:r>
        <w:rPr>
          <w:rFonts w:hint="eastAsia"/>
          <w:bCs/>
          <w:sz w:val="26"/>
          <w:szCs w:val="26"/>
        </w:rPr>
        <w:t>（1）正常情况下噪声预测结果</w:t>
      </w:r>
    </w:p>
    <w:p w14:paraId="7928A106">
      <w:pPr>
        <w:spacing w:line="460" w:lineRule="exact"/>
        <w:ind w:firstLine="520" w:firstLineChars="200"/>
        <w:rPr>
          <w:bCs/>
          <w:sz w:val="26"/>
          <w:szCs w:val="26"/>
        </w:rPr>
      </w:pPr>
      <w:r>
        <w:rPr>
          <w:rFonts w:hint="eastAsia"/>
          <w:bCs/>
          <w:sz w:val="26"/>
          <w:szCs w:val="26"/>
        </w:rPr>
        <w:t>正常工况下，考虑噪声随距离的衰减，经地面吸收和空气吸收后，</w:t>
      </w:r>
      <w:r>
        <w:rPr>
          <w:bCs/>
          <w:sz w:val="26"/>
          <w:szCs w:val="26"/>
        </w:rPr>
        <w:t>本项目</w:t>
      </w:r>
      <w:r>
        <w:rPr>
          <w:rFonts w:hint="eastAsia"/>
          <w:bCs/>
          <w:sz w:val="26"/>
          <w:szCs w:val="26"/>
        </w:rPr>
        <w:t>试采</w:t>
      </w:r>
      <w:r>
        <w:rPr>
          <w:bCs/>
          <w:sz w:val="26"/>
          <w:szCs w:val="26"/>
        </w:rPr>
        <w:t>站噪声贡献值等声级线图见</w:t>
      </w:r>
      <w:r>
        <w:rPr>
          <w:bCs/>
          <w:sz w:val="26"/>
          <w:szCs w:val="26"/>
          <w:u w:val="single"/>
        </w:rPr>
        <w:t>图6.5-1</w:t>
      </w:r>
      <w:r>
        <w:rPr>
          <w:bCs/>
          <w:sz w:val="26"/>
          <w:szCs w:val="26"/>
        </w:rPr>
        <w:t>，场界噪声贡献值见表</w:t>
      </w:r>
      <w:r>
        <w:rPr>
          <w:bCs/>
          <w:sz w:val="26"/>
          <w:szCs w:val="26"/>
          <w:u w:val="single"/>
        </w:rPr>
        <w:t>6.5-2</w:t>
      </w:r>
      <w:r>
        <w:rPr>
          <w:bCs/>
          <w:sz w:val="26"/>
          <w:szCs w:val="26"/>
        </w:rPr>
        <w:t>，对最近敏感点噪声影响预测结果见</w:t>
      </w:r>
      <w:r>
        <w:rPr>
          <w:bCs/>
          <w:sz w:val="26"/>
          <w:szCs w:val="26"/>
          <w:u w:val="single"/>
        </w:rPr>
        <w:t>表6.5-3</w:t>
      </w:r>
      <w:r>
        <w:rPr>
          <w:bCs/>
          <w:sz w:val="26"/>
          <w:szCs w:val="26"/>
        </w:rPr>
        <w:t>。</w:t>
      </w:r>
    </w:p>
    <w:p w14:paraId="26B66269">
      <w:pPr>
        <w:pStyle w:val="1379"/>
        <w:ind w:firstLine="440"/>
      </w:pPr>
    </w:p>
    <w:p w14:paraId="3DEA1A1B">
      <w:pPr>
        <w:pStyle w:val="1065"/>
      </w:pPr>
      <w:r>
        <w:drawing>
          <wp:inline distT="0" distB="0" distL="0" distR="0">
            <wp:extent cx="5543550" cy="5236845"/>
            <wp:effectExtent l="0" t="0" r="0" b="190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87"/>
                    <a:stretch>
                      <a:fillRect/>
                    </a:stretch>
                  </pic:blipFill>
                  <pic:spPr>
                    <a:xfrm>
                      <a:off x="0" y="0"/>
                      <a:ext cx="5543550" cy="5236845"/>
                    </a:xfrm>
                    <a:prstGeom prst="rect">
                      <a:avLst/>
                    </a:prstGeom>
                  </pic:spPr>
                </pic:pic>
              </a:graphicData>
            </a:graphic>
          </wp:inline>
        </w:drawing>
      </w:r>
    </w:p>
    <w:p w14:paraId="58F84DFB">
      <w:pPr>
        <w:pStyle w:val="1065"/>
        <w:ind w:firstLine="480"/>
      </w:pPr>
      <w:r>
        <w:t>图6.5-1  噪声贡献值等声级线图</w:t>
      </w:r>
    </w:p>
    <w:p w14:paraId="48D47DA9">
      <w:pPr>
        <w:pStyle w:val="1379"/>
        <w:ind w:firstLine="440"/>
      </w:pPr>
    </w:p>
    <w:p w14:paraId="1AE59051">
      <w:pPr>
        <w:pStyle w:val="1431"/>
      </w:pPr>
      <w:r>
        <w:t>表6.5-2  场界噪声排放值预测表  单位：dB(A)</w:t>
      </w:r>
    </w:p>
    <w:tbl>
      <w:tblPr>
        <w:tblStyle w:val="88"/>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609"/>
        <w:gridCol w:w="1609"/>
        <w:gridCol w:w="1609"/>
        <w:gridCol w:w="1609"/>
        <w:gridCol w:w="1254"/>
        <w:gridCol w:w="1254"/>
      </w:tblGrid>
      <w:tr w14:paraId="3C0248B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10" w:type="dxa"/>
            <w:vMerge w:val="restart"/>
            <w:vAlign w:val="center"/>
          </w:tcPr>
          <w:p w14:paraId="73DE37AF">
            <w:pPr>
              <w:pStyle w:val="687"/>
            </w:pPr>
            <w:r>
              <w:t>预测位置</w:t>
            </w:r>
          </w:p>
        </w:tc>
        <w:tc>
          <w:tcPr>
            <w:tcW w:w="1610" w:type="dxa"/>
            <w:vMerge w:val="restart"/>
            <w:vAlign w:val="center"/>
          </w:tcPr>
          <w:p w14:paraId="2F0B209F">
            <w:pPr>
              <w:pStyle w:val="687"/>
            </w:pPr>
            <w:r>
              <w:t>贡献值</w:t>
            </w:r>
          </w:p>
        </w:tc>
        <w:tc>
          <w:tcPr>
            <w:tcW w:w="3220" w:type="dxa"/>
            <w:gridSpan w:val="2"/>
            <w:vMerge w:val="restart"/>
            <w:vAlign w:val="center"/>
          </w:tcPr>
          <w:p w14:paraId="58EF4AE7">
            <w:pPr>
              <w:pStyle w:val="687"/>
            </w:pPr>
            <w:r>
              <w:t>标准值</w:t>
            </w:r>
          </w:p>
        </w:tc>
        <w:tc>
          <w:tcPr>
            <w:tcW w:w="2506" w:type="dxa"/>
            <w:gridSpan w:val="2"/>
            <w:vAlign w:val="center"/>
          </w:tcPr>
          <w:p w14:paraId="6F196345">
            <w:pPr>
              <w:pStyle w:val="687"/>
            </w:pPr>
            <w:r>
              <w:t>达标情况</w:t>
            </w:r>
          </w:p>
        </w:tc>
      </w:tr>
      <w:tr w14:paraId="41E4747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10" w:type="dxa"/>
            <w:vMerge w:val="continue"/>
            <w:vAlign w:val="center"/>
          </w:tcPr>
          <w:p w14:paraId="3EACC862">
            <w:pPr>
              <w:pStyle w:val="687"/>
            </w:pPr>
          </w:p>
        </w:tc>
        <w:tc>
          <w:tcPr>
            <w:tcW w:w="1610" w:type="dxa"/>
            <w:vMerge w:val="continue"/>
            <w:vAlign w:val="center"/>
          </w:tcPr>
          <w:p w14:paraId="05903604">
            <w:pPr>
              <w:pStyle w:val="687"/>
            </w:pPr>
          </w:p>
        </w:tc>
        <w:tc>
          <w:tcPr>
            <w:tcW w:w="3220" w:type="dxa"/>
            <w:gridSpan w:val="2"/>
            <w:vMerge w:val="continue"/>
            <w:vAlign w:val="center"/>
          </w:tcPr>
          <w:p w14:paraId="0874E5D6">
            <w:pPr>
              <w:pStyle w:val="687"/>
            </w:pPr>
          </w:p>
        </w:tc>
        <w:tc>
          <w:tcPr>
            <w:tcW w:w="1253" w:type="dxa"/>
            <w:vAlign w:val="center"/>
          </w:tcPr>
          <w:p w14:paraId="07A206EE">
            <w:pPr>
              <w:pStyle w:val="687"/>
            </w:pPr>
            <w:r>
              <w:t>昼间</w:t>
            </w:r>
          </w:p>
        </w:tc>
        <w:tc>
          <w:tcPr>
            <w:tcW w:w="1253" w:type="dxa"/>
            <w:vAlign w:val="center"/>
          </w:tcPr>
          <w:p w14:paraId="6DF0972C">
            <w:pPr>
              <w:pStyle w:val="687"/>
            </w:pPr>
            <w:r>
              <w:t>夜间</w:t>
            </w:r>
          </w:p>
        </w:tc>
      </w:tr>
      <w:tr w14:paraId="1944634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10" w:type="dxa"/>
            <w:vAlign w:val="center"/>
          </w:tcPr>
          <w:p w14:paraId="7454A7E8">
            <w:pPr>
              <w:pStyle w:val="687"/>
            </w:pPr>
            <w:r>
              <w:t>东侧场界</w:t>
            </w:r>
          </w:p>
        </w:tc>
        <w:tc>
          <w:tcPr>
            <w:tcW w:w="1610" w:type="dxa"/>
            <w:vAlign w:val="center"/>
          </w:tcPr>
          <w:p w14:paraId="6EBA75B3">
            <w:pPr>
              <w:pStyle w:val="687"/>
            </w:pPr>
            <w:r>
              <w:rPr>
                <w:rFonts w:hint="eastAsia"/>
              </w:rPr>
              <w:t>3</w:t>
            </w:r>
            <w:r>
              <w:t>0.1</w:t>
            </w:r>
          </w:p>
        </w:tc>
        <w:tc>
          <w:tcPr>
            <w:tcW w:w="1610" w:type="dxa"/>
            <w:vAlign w:val="center"/>
          </w:tcPr>
          <w:p w14:paraId="02424F23">
            <w:pPr>
              <w:pStyle w:val="687"/>
            </w:pPr>
            <w:r>
              <w:t>60</w:t>
            </w:r>
          </w:p>
        </w:tc>
        <w:tc>
          <w:tcPr>
            <w:tcW w:w="1610" w:type="dxa"/>
            <w:vAlign w:val="center"/>
          </w:tcPr>
          <w:p w14:paraId="44E2B5F9">
            <w:pPr>
              <w:pStyle w:val="687"/>
            </w:pPr>
            <w:r>
              <w:t>50</w:t>
            </w:r>
          </w:p>
        </w:tc>
        <w:tc>
          <w:tcPr>
            <w:tcW w:w="1253" w:type="dxa"/>
            <w:vAlign w:val="center"/>
          </w:tcPr>
          <w:p w14:paraId="486BFD81">
            <w:pPr>
              <w:pStyle w:val="687"/>
            </w:pPr>
            <w:r>
              <w:t>达标</w:t>
            </w:r>
          </w:p>
        </w:tc>
        <w:tc>
          <w:tcPr>
            <w:tcW w:w="1253" w:type="dxa"/>
            <w:vAlign w:val="center"/>
          </w:tcPr>
          <w:p w14:paraId="71E92BDB">
            <w:pPr>
              <w:pStyle w:val="687"/>
            </w:pPr>
            <w:r>
              <w:t>达标</w:t>
            </w:r>
          </w:p>
        </w:tc>
      </w:tr>
      <w:tr w14:paraId="45B746E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10" w:type="dxa"/>
            <w:vAlign w:val="center"/>
          </w:tcPr>
          <w:p w14:paraId="6FA151DD">
            <w:pPr>
              <w:pStyle w:val="687"/>
            </w:pPr>
            <w:r>
              <w:t>南侧场界</w:t>
            </w:r>
          </w:p>
        </w:tc>
        <w:tc>
          <w:tcPr>
            <w:tcW w:w="1610" w:type="dxa"/>
            <w:vAlign w:val="center"/>
          </w:tcPr>
          <w:p w14:paraId="1ACE7889">
            <w:pPr>
              <w:pStyle w:val="687"/>
            </w:pPr>
            <w:r>
              <w:rPr>
                <w:rFonts w:hint="eastAsia"/>
              </w:rPr>
              <w:t>4</w:t>
            </w:r>
            <w:r>
              <w:t>8.6</w:t>
            </w:r>
          </w:p>
        </w:tc>
        <w:tc>
          <w:tcPr>
            <w:tcW w:w="1610" w:type="dxa"/>
            <w:vAlign w:val="center"/>
          </w:tcPr>
          <w:p w14:paraId="7DF2CCF3">
            <w:pPr>
              <w:pStyle w:val="687"/>
            </w:pPr>
            <w:r>
              <w:t>60</w:t>
            </w:r>
          </w:p>
        </w:tc>
        <w:tc>
          <w:tcPr>
            <w:tcW w:w="1610" w:type="dxa"/>
            <w:vAlign w:val="center"/>
          </w:tcPr>
          <w:p w14:paraId="66AD746B">
            <w:pPr>
              <w:pStyle w:val="687"/>
            </w:pPr>
            <w:r>
              <w:t>50</w:t>
            </w:r>
          </w:p>
        </w:tc>
        <w:tc>
          <w:tcPr>
            <w:tcW w:w="1253" w:type="dxa"/>
            <w:vAlign w:val="center"/>
          </w:tcPr>
          <w:p w14:paraId="27582DAD">
            <w:pPr>
              <w:pStyle w:val="687"/>
            </w:pPr>
            <w:r>
              <w:t>达标</w:t>
            </w:r>
          </w:p>
        </w:tc>
        <w:tc>
          <w:tcPr>
            <w:tcW w:w="1253" w:type="dxa"/>
            <w:vAlign w:val="center"/>
          </w:tcPr>
          <w:p w14:paraId="7CDD0289">
            <w:pPr>
              <w:pStyle w:val="687"/>
            </w:pPr>
            <w:r>
              <w:t>达标</w:t>
            </w:r>
          </w:p>
        </w:tc>
      </w:tr>
      <w:tr w14:paraId="51F3C2E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10" w:type="dxa"/>
            <w:vAlign w:val="center"/>
          </w:tcPr>
          <w:p w14:paraId="232876AC">
            <w:pPr>
              <w:pStyle w:val="687"/>
            </w:pPr>
            <w:r>
              <w:t>西侧场界</w:t>
            </w:r>
          </w:p>
        </w:tc>
        <w:tc>
          <w:tcPr>
            <w:tcW w:w="1610" w:type="dxa"/>
            <w:vAlign w:val="center"/>
          </w:tcPr>
          <w:p w14:paraId="625D5B08">
            <w:pPr>
              <w:pStyle w:val="687"/>
            </w:pPr>
            <w:r>
              <w:rPr>
                <w:rFonts w:hint="eastAsia"/>
              </w:rPr>
              <w:t>3</w:t>
            </w:r>
            <w:r>
              <w:t>4.7</w:t>
            </w:r>
          </w:p>
        </w:tc>
        <w:tc>
          <w:tcPr>
            <w:tcW w:w="1610" w:type="dxa"/>
            <w:vAlign w:val="center"/>
          </w:tcPr>
          <w:p w14:paraId="327A24BD">
            <w:pPr>
              <w:pStyle w:val="687"/>
            </w:pPr>
            <w:r>
              <w:t>60</w:t>
            </w:r>
          </w:p>
        </w:tc>
        <w:tc>
          <w:tcPr>
            <w:tcW w:w="1610" w:type="dxa"/>
            <w:vAlign w:val="center"/>
          </w:tcPr>
          <w:p w14:paraId="12E0308B">
            <w:pPr>
              <w:pStyle w:val="687"/>
            </w:pPr>
            <w:r>
              <w:t>50</w:t>
            </w:r>
          </w:p>
        </w:tc>
        <w:tc>
          <w:tcPr>
            <w:tcW w:w="1253" w:type="dxa"/>
            <w:vAlign w:val="center"/>
          </w:tcPr>
          <w:p w14:paraId="3DB2FBB8">
            <w:pPr>
              <w:pStyle w:val="687"/>
            </w:pPr>
            <w:r>
              <w:t>达标</w:t>
            </w:r>
          </w:p>
        </w:tc>
        <w:tc>
          <w:tcPr>
            <w:tcW w:w="1253" w:type="dxa"/>
            <w:vAlign w:val="center"/>
          </w:tcPr>
          <w:p w14:paraId="166F96AA">
            <w:pPr>
              <w:pStyle w:val="687"/>
            </w:pPr>
            <w:r>
              <w:t>达标</w:t>
            </w:r>
          </w:p>
        </w:tc>
      </w:tr>
      <w:tr w14:paraId="261E31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10" w:type="dxa"/>
            <w:vAlign w:val="center"/>
          </w:tcPr>
          <w:p w14:paraId="0F89459B">
            <w:pPr>
              <w:pStyle w:val="687"/>
            </w:pPr>
            <w:r>
              <w:t>北侧场界</w:t>
            </w:r>
          </w:p>
        </w:tc>
        <w:tc>
          <w:tcPr>
            <w:tcW w:w="1610" w:type="dxa"/>
            <w:vAlign w:val="center"/>
          </w:tcPr>
          <w:p w14:paraId="2040006F">
            <w:pPr>
              <w:pStyle w:val="687"/>
            </w:pPr>
            <w:r>
              <w:rPr>
                <w:rFonts w:hint="eastAsia"/>
              </w:rPr>
              <w:t>4</w:t>
            </w:r>
            <w:r>
              <w:t>2.8</w:t>
            </w:r>
          </w:p>
        </w:tc>
        <w:tc>
          <w:tcPr>
            <w:tcW w:w="1610" w:type="dxa"/>
            <w:vAlign w:val="center"/>
          </w:tcPr>
          <w:p w14:paraId="525D73D8">
            <w:pPr>
              <w:pStyle w:val="687"/>
            </w:pPr>
            <w:r>
              <w:t>60</w:t>
            </w:r>
          </w:p>
        </w:tc>
        <w:tc>
          <w:tcPr>
            <w:tcW w:w="1610" w:type="dxa"/>
            <w:vAlign w:val="center"/>
          </w:tcPr>
          <w:p w14:paraId="66321748">
            <w:pPr>
              <w:pStyle w:val="687"/>
            </w:pPr>
            <w:r>
              <w:t>50</w:t>
            </w:r>
          </w:p>
        </w:tc>
        <w:tc>
          <w:tcPr>
            <w:tcW w:w="1253" w:type="dxa"/>
            <w:vAlign w:val="center"/>
          </w:tcPr>
          <w:p w14:paraId="2AB421FD">
            <w:pPr>
              <w:pStyle w:val="687"/>
            </w:pPr>
            <w:r>
              <w:t>达标</w:t>
            </w:r>
          </w:p>
        </w:tc>
        <w:tc>
          <w:tcPr>
            <w:tcW w:w="1253" w:type="dxa"/>
            <w:vAlign w:val="center"/>
          </w:tcPr>
          <w:p w14:paraId="5B88B1E9">
            <w:pPr>
              <w:pStyle w:val="687"/>
            </w:pPr>
            <w:r>
              <w:t>达标</w:t>
            </w:r>
          </w:p>
        </w:tc>
      </w:tr>
    </w:tbl>
    <w:p w14:paraId="6F4BBD45">
      <w:pPr>
        <w:pStyle w:val="1066"/>
        <w:ind w:firstLine="520"/>
        <w:rPr>
          <w:rFonts w:cs="Times New Roman"/>
        </w:rPr>
      </w:pPr>
    </w:p>
    <w:p w14:paraId="47A8F734">
      <w:pPr>
        <w:pStyle w:val="1065"/>
        <w:ind w:firstLine="480"/>
      </w:pPr>
      <w:r>
        <w:t>表6.5-3  周边最近敏感点噪声预测表  单位dB(A)</w:t>
      </w:r>
    </w:p>
    <w:tbl>
      <w:tblPr>
        <w:tblStyle w:val="88"/>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768"/>
        <w:gridCol w:w="509"/>
        <w:gridCol w:w="509"/>
        <w:gridCol w:w="510"/>
        <w:gridCol w:w="511"/>
        <w:gridCol w:w="511"/>
        <w:gridCol w:w="511"/>
        <w:gridCol w:w="601"/>
        <w:gridCol w:w="601"/>
        <w:gridCol w:w="601"/>
        <w:gridCol w:w="601"/>
        <w:gridCol w:w="518"/>
        <w:gridCol w:w="511"/>
        <w:gridCol w:w="511"/>
        <w:gridCol w:w="511"/>
      </w:tblGrid>
      <w:tr w14:paraId="56E6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Merge w:val="restart"/>
            <w:vAlign w:val="center"/>
          </w:tcPr>
          <w:p w14:paraId="3820588A">
            <w:pPr>
              <w:pStyle w:val="687"/>
            </w:pPr>
            <w:r>
              <w:t>序号</w:t>
            </w:r>
          </w:p>
        </w:tc>
        <w:tc>
          <w:tcPr>
            <w:tcW w:w="768" w:type="dxa"/>
            <w:vMerge w:val="restart"/>
            <w:vAlign w:val="center"/>
          </w:tcPr>
          <w:p w14:paraId="4BF16705">
            <w:pPr>
              <w:pStyle w:val="687"/>
            </w:pPr>
            <w:r>
              <w:t>保护目标</w:t>
            </w:r>
          </w:p>
        </w:tc>
        <w:tc>
          <w:tcPr>
            <w:tcW w:w="1018" w:type="dxa"/>
            <w:gridSpan w:val="2"/>
            <w:vAlign w:val="center"/>
          </w:tcPr>
          <w:p w14:paraId="070A1033">
            <w:pPr>
              <w:pStyle w:val="687"/>
            </w:pPr>
            <w:r>
              <w:t>背景值</w:t>
            </w:r>
          </w:p>
        </w:tc>
        <w:tc>
          <w:tcPr>
            <w:tcW w:w="1021" w:type="dxa"/>
            <w:gridSpan w:val="2"/>
            <w:vAlign w:val="center"/>
          </w:tcPr>
          <w:p w14:paraId="281C1ECA">
            <w:pPr>
              <w:pStyle w:val="687"/>
            </w:pPr>
            <w:r>
              <w:t>现状值</w:t>
            </w:r>
          </w:p>
        </w:tc>
        <w:tc>
          <w:tcPr>
            <w:tcW w:w="1022" w:type="dxa"/>
            <w:gridSpan w:val="2"/>
            <w:vAlign w:val="center"/>
          </w:tcPr>
          <w:p w14:paraId="59D5EFF1">
            <w:pPr>
              <w:pStyle w:val="687"/>
            </w:pPr>
            <w:r>
              <w:t>标准值</w:t>
            </w:r>
          </w:p>
        </w:tc>
        <w:tc>
          <w:tcPr>
            <w:tcW w:w="1202" w:type="dxa"/>
            <w:gridSpan w:val="2"/>
            <w:vAlign w:val="center"/>
          </w:tcPr>
          <w:p w14:paraId="7F62D21B">
            <w:pPr>
              <w:pStyle w:val="687"/>
            </w:pPr>
            <w:r>
              <w:t>贡献值</w:t>
            </w:r>
          </w:p>
        </w:tc>
        <w:tc>
          <w:tcPr>
            <w:tcW w:w="1202" w:type="dxa"/>
            <w:gridSpan w:val="2"/>
            <w:vAlign w:val="center"/>
          </w:tcPr>
          <w:p w14:paraId="0D2342AF">
            <w:pPr>
              <w:pStyle w:val="687"/>
            </w:pPr>
            <w:r>
              <w:t>预测值</w:t>
            </w:r>
          </w:p>
        </w:tc>
        <w:tc>
          <w:tcPr>
            <w:tcW w:w="1029" w:type="dxa"/>
            <w:gridSpan w:val="2"/>
            <w:vAlign w:val="center"/>
          </w:tcPr>
          <w:p w14:paraId="1CC1E435">
            <w:pPr>
              <w:pStyle w:val="687"/>
            </w:pPr>
            <w:r>
              <w:t>较现状增量</w:t>
            </w:r>
          </w:p>
        </w:tc>
        <w:tc>
          <w:tcPr>
            <w:tcW w:w="1022" w:type="dxa"/>
            <w:gridSpan w:val="2"/>
            <w:vAlign w:val="center"/>
          </w:tcPr>
          <w:p w14:paraId="555C744F">
            <w:pPr>
              <w:pStyle w:val="687"/>
            </w:pPr>
            <w:r>
              <w:t>超达标情况</w:t>
            </w:r>
          </w:p>
        </w:tc>
      </w:tr>
      <w:tr w14:paraId="5592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Merge w:val="continue"/>
            <w:vAlign w:val="center"/>
          </w:tcPr>
          <w:p w14:paraId="70DBFF25">
            <w:pPr>
              <w:pStyle w:val="687"/>
            </w:pPr>
          </w:p>
        </w:tc>
        <w:tc>
          <w:tcPr>
            <w:tcW w:w="768" w:type="dxa"/>
            <w:vMerge w:val="continue"/>
            <w:vAlign w:val="center"/>
          </w:tcPr>
          <w:p w14:paraId="42D8334A">
            <w:pPr>
              <w:pStyle w:val="687"/>
            </w:pPr>
          </w:p>
        </w:tc>
        <w:tc>
          <w:tcPr>
            <w:tcW w:w="509" w:type="dxa"/>
            <w:vAlign w:val="center"/>
          </w:tcPr>
          <w:p w14:paraId="7B3479AB">
            <w:pPr>
              <w:pStyle w:val="687"/>
            </w:pPr>
            <w:r>
              <w:t>昼</w:t>
            </w:r>
          </w:p>
        </w:tc>
        <w:tc>
          <w:tcPr>
            <w:tcW w:w="509" w:type="dxa"/>
            <w:vAlign w:val="center"/>
          </w:tcPr>
          <w:p w14:paraId="272C8285">
            <w:pPr>
              <w:pStyle w:val="687"/>
            </w:pPr>
            <w:r>
              <w:t>夜</w:t>
            </w:r>
          </w:p>
        </w:tc>
        <w:tc>
          <w:tcPr>
            <w:tcW w:w="510" w:type="dxa"/>
            <w:vAlign w:val="center"/>
          </w:tcPr>
          <w:p w14:paraId="7197E348">
            <w:pPr>
              <w:pStyle w:val="687"/>
            </w:pPr>
            <w:r>
              <w:t>昼</w:t>
            </w:r>
          </w:p>
        </w:tc>
        <w:tc>
          <w:tcPr>
            <w:tcW w:w="511" w:type="dxa"/>
            <w:vAlign w:val="center"/>
          </w:tcPr>
          <w:p w14:paraId="6AF73F7C">
            <w:pPr>
              <w:pStyle w:val="687"/>
            </w:pPr>
            <w:r>
              <w:t>夜</w:t>
            </w:r>
          </w:p>
        </w:tc>
        <w:tc>
          <w:tcPr>
            <w:tcW w:w="511" w:type="dxa"/>
            <w:vAlign w:val="center"/>
          </w:tcPr>
          <w:p w14:paraId="2A4B5B7A">
            <w:pPr>
              <w:pStyle w:val="687"/>
            </w:pPr>
            <w:r>
              <w:t>昼</w:t>
            </w:r>
          </w:p>
        </w:tc>
        <w:tc>
          <w:tcPr>
            <w:tcW w:w="511" w:type="dxa"/>
            <w:vAlign w:val="center"/>
          </w:tcPr>
          <w:p w14:paraId="280132A9">
            <w:pPr>
              <w:pStyle w:val="687"/>
            </w:pPr>
            <w:r>
              <w:t>夜</w:t>
            </w:r>
          </w:p>
        </w:tc>
        <w:tc>
          <w:tcPr>
            <w:tcW w:w="601" w:type="dxa"/>
            <w:vAlign w:val="center"/>
          </w:tcPr>
          <w:p w14:paraId="510140FB">
            <w:pPr>
              <w:pStyle w:val="687"/>
            </w:pPr>
            <w:r>
              <w:t>昼</w:t>
            </w:r>
          </w:p>
        </w:tc>
        <w:tc>
          <w:tcPr>
            <w:tcW w:w="601" w:type="dxa"/>
            <w:vAlign w:val="center"/>
          </w:tcPr>
          <w:p w14:paraId="3826B0E1">
            <w:pPr>
              <w:pStyle w:val="687"/>
            </w:pPr>
            <w:r>
              <w:t>夜</w:t>
            </w:r>
          </w:p>
        </w:tc>
        <w:tc>
          <w:tcPr>
            <w:tcW w:w="601" w:type="dxa"/>
            <w:vAlign w:val="center"/>
          </w:tcPr>
          <w:p w14:paraId="3F5C7D75">
            <w:pPr>
              <w:pStyle w:val="687"/>
            </w:pPr>
            <w:r>
              <w:t>昼</w:t>
            </w:r>
          </w:p>
        </w:tc>
        <w:tc>
          <w:tcPr>
            <w:tcW w:w="601" w:type="dxa"/>
            <w:vAlign w:val="center"/>
          </w:tcPr>
          <w:p w14:paraId="5A45C38D">
            <w:pPr>
              <w:pStyle w:val="687"/>
            </w:pPr>
            <w:r>
              <w:t>夜</w:t>
            </w:r>
          </w:p>
        </w:tc>
        <w:tc>
          <w:tcPr>
            <w:tcW w:w="518" w:type="dxa"/>
            <w:vAlign w:val="center"/>
          </w:tcPr>
          <w:p w14:paraId="416BCE17">
            <w:pPr>
              <w:pStyle w:val="687"/>
            </w:pPr>
            <w:r>
              <w:t>昼</w:t>
            </w:r>
          </w:p>
        </w:tc>
        <w:tc>
          <w:tcPr>
            <w:tcW w:w="511" w:type="dxa"/>
            <w:vAlign w:val="center"/>
          </w:tcPr>
          <w:p w14:paraId="5FCE2856">
            <w:pPr>
              <w:pStyle w:val="687"/>
            </w:pPr>
            <w:r>
              <w:t>夜</w:t>
            </w:r>
          </w:p>
        </w:tc>
        <w:tc>
          <w:tcPr>
            <w:tcW w:w="511" w:type="dxa"/>
            <w:vAlign w:val="center"/>
          </w:tcPr>
          <w:p w14:paraId="02EE5F3C">
            <w:pPr>
              <w:pStyle w:val="687"/>
            </w:pPr>
            <w:r>
              <w:t>昼</w:t>
            </w:r>
          </w:p>
        </w:tc>
        <w:tc>
          <w:tcPr>
            <w:tcW w:w="511" w:type="dxa"/>
            <w:vAlign w:val="center"/>
          </w:tcPr>
          <w:p w14:paraId="0DC83B2B">
            <w:pPr>
              <w:pStyle w:val="687"/>
            </w:pPr>
            <w:r>
              <w:t>夜</w:t>
            </w:r>
          </w:p>
        </w:tc>
      </w:tr>
      <w:tr w14:paraId="36AD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Align w:val="center"/>
          </w:tcPr>
          <w:p w14:paraId="76256AC7">
            <w:pPr>
              <w:pStyle w:val="687"/>
            </w:pPr>
            <w:r>
              <w:t>1</w:t>
            </w:r>
          </w:p>
        </w:tc>
        <w:tc>
          <w:tcPr>
            <w:tcW w:w="768" w:type="dxa"/>
            <w:vAlign w:val="center"/>
          </w:tcPr>
          <w:p w14:paraId="147E3BEC">
            <w:pPr>
              <w:pStyle w:val="687"/>
            </w:pPr>
            <w:r>
              <w:rPr>
                <w:rFonts w:hint="eastAsia"/>
              </w:rPr>
              <w:t>1#居民点</w:t>
            </w:r>
          </w:p>
        </w:tc>
        <w:tc>
          <w:tcPr>
            <w:tcW w:w="509" w:type="dxa"/>
            <w:vAlign w:val="center"/>
          </w:tcPr>
          <w:p w14:paraId="49CD884D">
            <w:pPr>
              <w:pStyle w:val="687"/>
            </w:pPr>
            <w:r>
              <w:rPr>
                <w:rFonts w:hint="eastAsia"/>
              </w:rPr>
              <w:t>4</w:t>
            </w:r>
            <w:r>
              <w:t>5</w:t>
            </w:r>
          </w:p>
        </w:tc>
        <w:tc>
          <w:tcPr>
            <w:tcW w:w="509" w:type="dxa"/>
            <w:vAlign w:val="center"/>
          </w:tcPr>
          <w:p w14:paraId="6CF2DB52">
            <w:pPr>
              <w:pStyle w:val="687"/>
            </w:pPr>
            <w:r>
              <w:rPr>
                <w:rFonts w:hint="eastAsia"/>
              </w:rPr>
              <w:t>4</w:t>
            </w:r>
            <w:r>
              <w:t>1</w:t>
            </w:r>
          </w:p>
        </w:tc>
        <w:tc>
          <w:tcPr>
            <w:tcW w:w="510" w:type="dxa"/>
            <w:vAlign w:val="center"/>
          </w:tcPr>
          <w:p w14:paraId="3BD4C177">
            <w:pPr>
              <w:pStyle w:val="687"/>
            </w:pPr>
            <w:r>
              <w:rPr>
                <w:rFonts w:hint="eastAsia"/>
              </w:rPr>
              <w:t>4</w:t>
            </w:r>
            <w:r>
              <w:t>5</w:t>
            </w:r>
          </w:p>
        </w:tc>
        <w:tc>
          <w:tcPr>
            <w:tcW w:w="511" w:type="dxa"/>
            <w:vAlign w:val="center"/>
          </w:tcPr>
          <w:p w14:paraId="6C0EC2A0">
            <w:pPr>
              <w:pStyle w:val="687"/>
            </w:pPr>
            <w:r>
              <w:rPr>
                <w:rFonts w:hint="eastAsia"/>
              </w:rPr>
              <w:t>4</w:t>
            </w:r>
            <w:r>
              <w:t>1</w:t>
            </w:r>
          </w:p>
        </w:tc>
        <w:tc>
          <w:tcPr>
            <w:tcW w:w="511" w:type="dxa"/>
            <w:vAlign w:val="center"/>
          </w:tcPr>
          <w:p w14:paraId="0D4D7082">
            <w:pPr>
              <w:pStyle w:val="687"/>
            </w:pPr>
            <w:r>
              <w:rPr>
                <w:rFonts w:hint="eastAsia"/>
              </w:rPr>
              <w:t>6</w:t>
            </w:r>
            <w:r>
              <w:t>0</w:t>
            </w:r>
          </w:p>
        </w:tc>
        <w:tc>
          <w:tcPr>
            <w:tcW w:w="511" w:type="dxa"/>
            <w:vAlign w:val="center"/>
          </w:tcPr>
          <w:p w14:paraId="6EE1F2C8">
            <w:pPr>
              <w:pStyle w:val="687"/>
            </w:pPr>
            <w:r>
              <w:rPr>
                <w:rFonts w:hint="eastAsia"/>
              </w:rPr>
              <w:t>5</w:t>
            </w:r>
            <w:r>
              <w:t>0</w:t>
            </w:r>
          </w:p>
        </w:tc>
        <w:tc>
          <w:tcPr>
            <w:tcW w:w="601" w:type="dxa"/>
            <w:vAlign w:val="center"/>
          </w:tcPr>
          <w:p w14:paraId="6D2BCE67">
            <w:pPr>
              <w:pStyle w:val="687"/>
            </w:pPr>
            <w:r>
              <w:rPr>
                <w:rFonts w:hint="eastAsia"/>
              </w:rPr>
              <w:t>2</w:t>
            </w:r>
            <w:r>
              <w:t>2.1</w:t>
            </w:r>
          </w:p>
        </w:tc>
        <w:tc>
          <w:tcPr>
            <w:tcW w:w="601" w:type="dxa"/>
            <w:vAlign w:val="center"/>
          </w:tcPr>
          <w:p w14:paraId="449A270D">
            <w:pPr>
              <w:pStyle w:val="687"/>
            </w:pPr>
            <w:r>
              <w:rPr>
                <w:rFonts w:hint="eastAsia"/>
              </w:rPr>
              <w:t>2</w:t>
            </w:r>
            <w:r>
              <w:t>2.1</w:t>
            </w:r>
          </w:p>
        </w:tc>
        <w:tc>
          <w:tcPr>
            <w:tcW w:w="601" w:type="dxa"/>
            <w:vAlign w:val="center"/>
          </w:tcPr>
          <w:p w14:paraId="68D8EB45">
            <w:pPr>
              <w:pStyle w:val="687"/>
            </w:pPr>
            <w:r>
              <w:rPr>
                <w:rFonts w:hint="eastAsia"/>
              </w:rPr>
              <w:t>4</w:t>
            </w:r>
            <w:r>
              <w:t>5.0</w:t>
            </w:r>
          </w:p>
        </w:tc>
        <w:tc>
          <w:tcPr>
            <w:tcW w:w="601" w:type="dxa"/>
            <w:vAlign w:val="center"/>
          </w:tcPr>
          <w:p w14:paraId="64C6B631">
            <w:pPr>
              <w:pStyle w:val="687"/>
            </w:pPr>
            <w:r>
              <w:rPr>
                <w:rFonts w:hint="eastAsia"/>
              </w:rPr>
              <w:t>4</w:t>
            </w:r>
            <w:r>
              <w:t>1.1</w:t>
            </w:r>
          </w:p>
        </w:tc>
        <w:tc>
          <w:tcPr>
            <w:tcW w:w="518" w:type="dxa"/>
            <w:vAlign w:val="center"/>
          </w:tcPr>
          <w:p w14:paraId="364866DE">
            <w:pPr>
              <w:pStyle w:val="687"/>
            </w:pPr>
            <w:r>
              <w:rPr>
                <w:rFonts w:hint="eastAsia"/>
              </w:rPr>
              <w:t>0</w:t>
            </w:r>
          </w:p>
        </w:tc>
        <w:tc>
          <w:tcPr>
            <w:tcW w:w="511" w:type="dxa"/>
            <w:vAlign w:val="center"/>
          </w:tcPr>
          <w:p w14:paraId="129F3029">
            <w:pPr>
              <w:pStyle w:val="687"/>
            </w:pPr>
            <w:r>
              <w:t>0.1</w:t>
            </w:r>
          </w:p>
        </w:tc>
        <w:tc>
          <w:tcPr>
            <w:tcW w:w="511" w:type="dxa"/>
            <w:vAlign w:val="center"/>
          </w:tcPr>
          <w:p w14:paraId="000762C0">
            <w:pPr>
              <w:pStyle w:val="687"/>
            </w:pPr>
            <w:r>
              <w:t>达标</w:t>
            </w:r>
          </w:p>
        </w:tc>
        <w:tc>
          <w:tcPr>
            <w:tcW w:w="511" w:type="dxa"/>
            <w:vAlign w:val="center"/>
          </w:tcPr>
          <w:p w14:paraId="366408A9">
            <w:pPr>
              <w:pStyle w:val="687"/>
            </w:pPr>
            <w:r>
              <w:t>达标</w:t>
            </w:r>
          </w:p>
        </w:tc>
      </w:tr>
      <w:tr w14:paraId="0DD8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Align w:val="center"/>
          </w:tcPr>
          <w:p w14:paraId="2A173278">
            <w:pPr>
              <w:pStyle w:val="687"/>
            </w:pPr>
            <w:r>
              <w:rPr>
                <w:rFonts w:hint="eastAsia"/>
              </w:rPr>
              <w:t>2</w:t>
            </w:r>
          </w:p>
        </w:tc>
        <w:tc>
          <w:tcPr>
            <w:tcW w:w="768" w:type="dxa"/>
            <w:vAlign w:val="center"/>
          </w:tcPr>
          <w:p w14:paraId="56F7E79B">
            <w:pPr>
              <w:pStyle w:val="687"/>
            </w:pPr>
            <w:r>
              <w:rPr>
                <w:rFonts w:hint="eastAsia"/>
              </w:rPr>
              <w:t>2#居民点</w:t>
            </w:r>
          </w:p>
        </w:tc>
        <w:tc>
          <w:tcPr>
            <w:tcW w:w="509" w:type="dxa"/>
            <w:vAlign w:val="center"/>
          </w:tcPr>
          <w:p w14:paraId="7F7D001E">
            <w:pPr>
              <w:pStyle w:val="687"/>
            </w:pPr>
            <w:r>
              <w:rPr>
                <w:rFonts w:hint="eastAsia"/>
              </w:rPr>
              <w:t>4</w:t>
            </w:r>
            <w:r>
              <w:t>4</w:t>
            </w:r>
          </w:p>
        </w:tc>
        <w:tc>
          <w:tcPr>
            <w:tcW w:w="509" w:type="dxa"/>
            <w:vAlign w:val="center"/>
          </w:tcPr>
          <w:p w14:paraId="797A84CB">
            <w:pPr>
              <w:pStyle w:val="687"/>
            </w:pPr>
            <w:r>
              <w:rPr>
                <w:rFonts w:hint="eastAsia"/>
              </w:rPr>
              <w:t>4</w:t>
            </w:r>
            <w:r>
              <w:t>0</w:t>
            </w:r>
          </w:p>
        </w:tc>
        <w:tc>
          <w:tcPr>
            <w:tcW w:w="510" w:type="dxa"/>
            <w:vAlign w:val="center"/>
          </w:tcPr>
          <w:p w14:paraId="6C45505C">
            <w:pPr>
              <w:pStyle w:val="687"/>
            </w:pPr>
            <w:r>
              <w:rPr>
                <w:rFonts w:hint="eastAsia"/>
              </w:rPr>
              <w:t>4</w:t>
            </w:r>
            <w:r>
              <w:t>4</w:t>
            </w:r>
          </w:p>
        </w:tc>
        <w:tc>
          <w:tcPr>
            <w:tcW w:w="511" w:type="dxa"/>
            <w:vAlign w:val="center"/>
          </w:tcPr>
          <w:p w14:paraId="3A28D9ED">
            <w:pPr>
              <w:pStyle w:val="687"/>
            </w:pPr>
            <w:r>
              <w:rPr>
                <w:rFonts w:hint="eastAsia"/>
              </w:rPr>
              <w:t>4</w:t>
            </w:r>
            <w:r>
              <w:t>0</w:t>
            </w:r>
          </w:p>
        </w:tc>
        <w:tc>
          <w:tcPr>
            <w:tcW w:w="511" w:type="dxa"/>
            <w:vAlign w:val="center"/>
          </w:tcPr>
          <w:p w14:paraId="4C3D205B">
            <w:pPr>
              <w:pStyle w:val="687"/>
            </w:pPr>
            <w:r>
              <w:rPr>
                <w:rFonts w:hint="eastAsia"/>
              </w:rPr>
              <w:t>6</w:t>
            </w:r>
            <w:r>
              <w:t>0</w:t>
            </w:r>
          </w:p>
        </w:tc>
        <w:tc>
          <w:tcPr>
            <w:tcW w:w="511" w:type="dxa"/>
            <w:vAlign w:val="center"/>
          </w:tcPr>
          <w:p w14:paraId="600F12EE">
            <w:pPr>
              <w:pStyle w:val="687"/>
            </w:pPr>
            <w:r>
              <w:rPr>
                <w:rFonts w:hint="eastAsia"/>
              </w:rPr>
              <w:t>5</w:t>
            </w:r>
            <w:r>
              <w:t>0</w:t>
            </w:r>
          </w:p>
        </w:tc>
        <w:tc>
          <w:tcPr>
            <w:tcW w:w="601" w:type="dxa"/>
            <w:vAlign w:val="center"/>
          </w:tcPr>
          <w:p w14:paraId="3D56266D">
            <w:pPr>
              <w:pStyle w:val="687"/>
            </w:pPr>
            <w:r>
              <w:rPr>
                <w:rFonts w:hint="eastAsia"/>
              </w:rPr>
              <w:t>1</w:t>
            </w:r>
            <w:r>
              <w:t>9.7</w:t>
            </w:r>
          </w:p>
        </w:tc>
        <w:tc>
          <w:tcPr>
            <w:tcW w:w="601" w:type="dxa"/>
            <w:vAlign w:val="center"/>
          </w:tcPr>
          <w:p w14:paraId="2D0D0801">
            <w:pPr>
              <w:pStyle w:val="687"/>
            </w:pPr>
            <w:r>
              <w:rPr>
                <w:rFonts w:hint="eastAsia"/>
              </w:rPr>
              <w:t>1</w:t>
            </w:r>
            <w:r>
              <w:t>9.7</w:t>
            </w:r>
          </w:p>
        </w:tc>
        <w:tc>
          <w:tcPr>
            <w:tcW w:w="601" w:type="dxa"/>
            <w:vAlign w:val="center"/>
          </w:tcPr>
          <w:p w14:paraId="67F8D11F">
            <w:pPr>
              <w:pStyle w:val="687"/>
            </w:pPr>
            <w:r>
              <w:rPr>
                <w:rFonts w:hint="eastAsia"/>
              </w:rPr>
              <w:t>4</w:t>
            </w:r>
            <w:r>
              <w:t>4.0</w:t>
            </w:r>
          </w:p>
        </w:tc>
        <w:tc>
          <w:tcPr>
            <w:tcW w:w="601" w:type="dxa"/>
            <w:vAlign w:val="center"/>
          </w:tcPr>
          <w:p w14:paraId="4F7B8C65">
            <w:pPr>
              <w:pStyle w:val="687"/>
            </w:pPr>
            <w:r>
              <w:rPr>
                <w:rFonts w:hint="eastAsia"/>
              </w:rPr>
              <w:t>4</w:t>
            </w:r>
            <w:r>
              <w:t>0.0</w:t>
            </w:r>
          </w:p>
        </w:tc>
        <w:tc>
          <w:tcPr>
            <w:tcW w:w="518" w:type="dxa"/>
            <w:vAlign w:val="center"/>
          </w:tcPr>
          <w:p w14:paraId="51C5DB60">
            <w:pPr>
              <w:pStyle w:val="687"/>
            </w:pPr>
            <w:r>
              <w:rPr>
                <w:rFonts w:hint="eastAsia"/>
              </w:rPr>
              <w:t>0</w:t>
            </w:r>
          </w:p>
        </w:tc>
        <w:tc>
          <w:tcPr>
            <w:tcW w:w="511" w:type="dxa"/>
            <w:vAlign w:val="center"/>
          </w:tcPr>
          <w:p w14:paraId="2E7DE62A">
            <w:pPr>
              <w:pStyle w:val="687"/>
            </w:pPr>
            <w:r>
              <w:rPr>
                <w:rFonts w:hint="eastAsia"/>
              </w:rPr>
              <w:t>0</w:t>
            </w:r>
          </w:p>
        </w:tc>
        <w:tc>
          <w:tcPr>
            <w:tcW w:w="511" w:type="dxa"/>
            <w:vAlign w:val="center"/>
          </w:tcPr>
          <w:p w14:paraId="2EF3AF80">
            <w:pPr>
              <w:pStyle w:val="687"/>
            </w:pPr>
            <w:r>
              <w:t>达标</w:t>
            </w:r>
          </w:p>
        </w:tc>
        <w:tc>
          <w:tcPr>
            <w:tcW w:w="511" w:type="dxa"/>
            <w:vAlign w:val="center"/>
          </w:tcPr>
          <w:p w14:paraId="55A09DF6">
            <w:pPr>
              <w:pStyle w:val="687"/>
            </w:pPr>
            <w:r>
              <w:t>达标</w:t>
            </w:r>
          </w:p>
        </w:tc>
      </w:tr>
      <w:tr w14:paraId="2529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Align w:val="center"/>
          </w:tcPr>
          <w:p w14:paraId="5027395B">
            <w:pPr>
              <w:pStyle w:val="687"/>
            </w:pPr>
            <w:r>
              <w:rPr>
                <w:rFonts w:hint="eastAsia"/>
              </w:rPr>
              <w:t>3</w:t>
            </w:r>
          </w:p>
        </w:tc>
        <w:tc>
          <w:tcPr>
            <w:tcW w:w="768" w:type="dxa"/>
            <w:vAlign w:val="center"/>
          </w:tcPr>
          <w:p w14:paraId="0BD03366">
            <w:pPr>
              <w:pStyle w:val="687"/>
            </w:pPr>
            <w:r>
              <w:rPr>
                <w:rFonts w:hint="eastAsia"/>
              </w:rPr>
              <w:t>3#居民点</w:t>
            </w:r>
          </w:p>
        </w:tc>
        <w:tc>
          <w:tcPr>
            <w:tcW w:w="509" w:type="dxa"/>
            <w:vAlign w:val="center"/>
          </w:tcPr>
          <w:p w14:paraId="4D5093A4">
            <w:pPr>
              <w:pStyle w:val="687"/>
            </w:pPr>
            <w:r>
              <w:rPr>
                <w:rFonts w:hint="eastAsia"/>
              </w:rPr>
              <w:t>4</w:t>
            </w:r>
            <w:r>
              <w:t>4</w:t>
            </w:r>
          </w:p>
        </w:tc>
        <w:tc>
          <w:tcPr>
            <w:tcW w:w="509" w:type="dxa"/>
            <w:vAlign w:val="center"/>
          </w:tcPr>
          <w:p w14:paraId="273CCE46">
            <w:pPr>
              <w:pStyle w:val="687"/>
            </w:pPr>
            <w:r>
              <w:rPr>
                <w:rFonts w:hint="eastAsia"/>
              </w:rPr>
              <w:t>4</w:t>
            </w:r>
            <w:r>
              <w:t>0</w:t>
            </w:r>
          </w:p>
        </w:tc>
        <w:tc>
          <w:tcPr>
            <w:tcW w:w="510" w:type="dxa"/>
            <w:vAlign w:val="center"/>
          </w:tcPr>
          <w:p w14:paraId="62C22925">
            <w:pPr>
              <w:pStyle w:val="687"/>
            </w:pPr>
            <w:r>
              <w:rPr>
                <w:rFonts w:hint="eastAsia"/>
              </w:rPr>
              <w:t>4</w:t>
            </w:r>
            <w:r>
              <w:t>4</w:t>
            </w:r>
          </w:p>
        </w:tc>
        <w:tc>
          <w:tcPr>
            <w:tcW w:w="511" w:type="dxa"/>
            <w:vAlign w:val="center"/>
          </w:tcPr>
          <w:p w14:paraId="4DB168DA">
            <w:pPr>
              <w:pStyle w:val="687"/>
            </w:pPr>
            <w:r>
              <w:rPr>
                <w:rFonts w:hint="eastAsia"/>
              </w:rPr>
              <w:t>4</w:t>
            </w:r>
            <w:r>
              <w:t>0</w:t>
            </w:r>
          </w:p>
        </w:tc>
        <w:tc>
          <w:tcPr>
            <w:tcW w:w="511" w:type="dxa"/>
            <w:vAlign w:val="center"/>
          </w:tcPr>
          <w:p w14:paraId="2A104911">
            <w:pPr>
              <w:pStyle w:val="687"/>
            </w:pPr>
            <w:r>
              <w:rPr>
                <w:rFonts w:hint="eastAsia"/>
              </w:rPr>
              <w:t>6</w:t>
            </w:r>
            <w:r>
              <w:t>0</w:t>
            </w:r>
          </w:p>
        </w:tc>
        <w:tc>
          <w:tcPr>
            <w:tcW w:w="511" w:type="dxa"/>
            <w:vAlign w:val="center"/>
          </w:tcPr>
          <w:p w14:paraId="4DCFCACC">
            <w:pPr>
              <w:pStyle w:val="687"/>
            </w:pPr>
            <w:r>
              <w:rPr>
                <w:rFonts w:hint="eastAsia"/>
              </w:rPr>
              <w:t>5</w:t>
            </w:r>
            <w:r>
              <w:t>0</w:t>
            </w:r>
          </w:p>
        </w:tc>
        <w:tc>
          <w:tcPr>
            <w:tcW w:w="601" w:type="dxa"/>
            <w:vAlign w:val="center"/>
          </w:tcPr>
          <w:p w14:paraId="37A3C1BC">
            <w:pPr>
              <w:pStyle w:val="687"/>
            </w:pPr>
            <w:r>
              <w:rPr>
                <w:rFonts w:hint="eastAsia"/>
              </w:rPr>
              <w:t>2</w:t>
            </w:r>
            <w:r>
              <w:t>5.0</w:t>
            </w:r>
          </w:p>
        </w:tc>
        <w:tc>
          <w:tcPr>
            <w:tcW w:w="601" w:type="dxa"/>
            <w:vAlign w:val="center"/>
          </w:tcPr>
          <w:p w14:paraId="204C2A08">
            <w:pPr>
              <w:pStyle w:val="687"/>
            </w:pPr>
            <w:r>
              <w:rPr>
                <w:rFonts w:hint="eastAsia"/>
              </w:rPr>
              <w:t>2</w:t>
            </w:r>
            <w:r>
              <w:t>5.0</w:t>
            </w:r>
          </w:p>
        </w:tc>
        <w:tc>
          <w:tcPr>
            <w:tcW w:w="601" w:type="dxa"/>
            <w:vAlign w:val="center"/>
          </w:tcPr>
          <w:p w14:paraId="24F53B7E">
            <w:pPr>
              <w:pStyle w:val="687"/>
            </w:pPr>
            <w:r>
              <w:rPr>
                <w:rFonts w:hint="eastAsia"/>
              </w:rPr>
              <w:t>4</w:t>
            </w:r>
            <w:r>
              <w:t>4.1</w:t>
            </w:r>
          </w:p>
        </w:tc>
        <w:tc>
          <w:tcPr>
            <w:tcW w:w="601" w:type="dxa"/>
            <w:vAlign w:val="center"/>
          </w:tcPr>
          <w:p w14:paraId="6EF8084B">
            <w:pPr>
              <w:pStyle w:val="687"/>
            </w:pPr>
            <w:r>
              <w:rPr>
                <w:rFonts w:hint="eastAsia"/>
              </w:rPr>
              <w:t>4</w:t>
            </w:r>
            <w:r>
              <w:t>0.1</w:t>
            </w:r>
          </w:p>
        </w:tc>
        <w:tc>
          <w:tcPr>
            <w:tcW w:w="518" w:type="dxa"/>
            <w:vAlign w:val="center"/>
          </w:tcPr>
          <w:p w14:paraId="3C6315F0">
            <w:pPr>
              <w:pStyle w:val="687"/>
            </w:pPr>
            <w:r>
              <w:t>0.1</w:t>
            </w:r>
          </w:p>
        </w:tc>
        <w:tc>
          <w:tcPr>
            <w:tcW w:w="511" w:type="dxa"/>
            <w:vAlign w:val="center"/>
          </w:tcPr>
          <w:p w14:paraId="404D7938">
            <w:pPr>
              <w:pStyle w:val="687"/>
            </w:pPr>
            <w:r>
              <w:t>0.1</w:t>
            </w:r>
          </w:p>
        </w:tc>
        <w:tc>
          <w:tcPr>
            <w:tcW w:w="511" w:type="dxa"/>
            <w:vAlign w:val="center"/>
          </w:tcPr>
          <w:p w14:paraId="77303BCC">
            <w:pPr>
              <w:pStyle w:val="687"/>
            </w:pPr>
            <w:r>
              <w:t>达标</w:t>
            </w:r>
          </w:p>
        </w:tc>
        <w:tc>
          <w:tcPr>
            <w:tcW w:w="511" w:type="dxa"/>
            <w:vAlign w:val="center"/>
          </w:tcPr>
          <w:p w14:paraId="1072F4E0">
            <w:pPr>
              <w:pStyle w:val="687"/>
            </w:pPr>
            <w:r>
              <w:t>达标</w:t>
            </w:r>
          </w:p>
        </w:tc>
      </w:tr>
      <w:tr w14:paraId="638E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Align w:val="center"/>
          </w:tcPr>
          <w:p w14:paraId="3122DAB5">
            <w:pPr>
              <w:pStyle w:val="687"/>
            </w:pPr>
            <w:r>
              <w:rPr>
                <w:rFonts w:hint="eastAsia"/>
              </w:rPr>
              <w:t>4</w:t>
            </w:r>
          </w:p>
        </w:tc>
        <w:tc>
          <w:tcPr>
            <w:tcW w:w="768" w:type="dxa"/>
            <w:vAlign w:val="center"/>
          </w:tcPr>
          <w:p w14:paraId="212D2A65">
            <w:pPr>
              <w:pStyle w:val="687"/>
            </w:pPr>
            <w:r>
              <w:rPr>
                <w:rFonts w:hint="eastAsia"/>
              </w:rPr>
              <w:t>4#居民点</w:t>
            </w:r>
          </w:p>
        </w:tc>
        <w:tc>
          <w:tcPr>
            <w:tcW w:w="509" w:type="dxa"/>
            <w:vAlign w:val="center"/>
          </w:tcPr>
          <w:p w14:paraId="5CC039F5">
            <w:pPr>
              <w:pStyle w:val="687"/>
            </w:pPr>
            <w:r>
              <w:rPr>
                <w:rFonts w:hint="eastAsia"/>
              </w:rPr>
              <w:t>4</w:t>
            </w:r>
            <w:r>
              <w:t>4</w:t>
            </w:r>
          </w:p>
        </w:tc>
        <w:tc>
          <w:tcPr>
            <w:tcW w:w="509" w:type="dxa"/>
            <w:vAlign w:val="center"/>
          </w:tcPr>
          <w:p w14:paraId="557C60F7">
            <w:pPr>
              <w:pStyle w:val="687"/>
            </w:pPr>
            <w:r>
              <w:rPr>
                <w:rFonts w:hint="eastAsia"/>
              </w:rPr>
              <w:t>4</w:t>
            </w:r>
            <w:r>
              <w:t>0</w:t>
            </w:r>
          </w:p>
        </w:tc>
        <w:tc>
          <w:tcPr>
            <w:tcW w:w="510" w:type="dxa"/>
            <w:vAlign w:val="center"/>
          </w:tcPr>
          <w:p w14:paraId="1FA0D254">
            <w:pPr>
              <w:pStyle w:val="687"/>
            </w:pPr>
            <w:r>
              <w:rPr>
                <w:rFonts w:hint="eastAsia"/>
              </w:rPr>
              <w:t>4</w:t>
            </w:r>
            <w:r>
              <w:t>4</w:t>
            </w:r>
          </w:p>
        </w:tc>
        <w:tc>
          <w:tcPr>
            <w:tcW w:w="511" w:type="dxa"/>
            <w:vAlign w:val="center"/>
          </w:tcPr>
          <w:p w14:paraId="77B197E2">
            <w:pPr>
              <w:pStyle w:val="687"/>
            </w:pPr>
            <w:r>
              <w:rPr>
                <w:rFonts w:hint="eastAsia"/>
              </w:rPr>
              <w:t>4</w:t>
            </w:r>
            <w:r>
              <w:t>0</w:t>
            </w:r>
          </w:p>
        </w:tc>
        <w:tc>
          <w:tcPr>
            <w:tcW w:w="511" w:type="dxa"/>
            <w:vAlign w:val="center"/>
          </w:tcPr>
          <w:p w14:paraId="731CC238">
            <w:pPr>
              <w:pStyle w:val="687"/>
            </w:pPr>
            <w:r>
              <w:rPr>
                <w:rFonts w:hint="eastAsia"/>
              </w:rPr>
              <w:t>6</w:t>
            </w:r>
            <w:r>
              <w:t>0</w:t>
            </w:r>
          </w:p>
        </w:tc>
        <w:tc>
          <w:tcPr>
            <w:tcW w:w="511" w:type="dxa"/>
            <w:vAlign w:val="center"/>
          </w:tcPr>
          <w:p w14:paraId="3153C7C5">
            <w:pPr>
              <w:pStyle w:val="687"/>
            </w:pPr>
            <w:r>
              <w:rPr>
                <w:rFonts w:hint="eastAsia"/>
              </w:rPr>
              <w:t>5</w:t>
            </w:r>
            <w:r>
              <w:t>0</w:t>
            </w:r>
          </w:p>
        </w:tc>
        <w:tc>
          <w:tcPr>
            <w:tcW w:w="601" w:type="dxa"/>
            <w:vAlign w:val="center"/>
          </w:tcPr>
          <w:p w14:paraId="762399EB">
            <w:pPr>
              <w:pStyle w:val="687"/>
            </w:pPr>
            <w:r>
              <w:rPr>
                <w:rFonts w:hint="eastAsia"/>
              </w:rPr>
              <w:t>2</w:t>
            </w:r>
            <w:r>
              <w:t>8.2</w:t>
            </w:r>
          </w:p>
        </w:tc>
        <w:tc>
          <w:tcPr>
            <w:tcW w:w="601" w:type="dxa"/>
            <w:vAlign w:val="center"/>
          </w:tcPr>
          <w:p w14:paraId="4ED4C5E7">
            <w:pPr>
              <w:pStyle w:val="687"/>
            </w:pPr>
            <w:r>
              <w:rPr>
                <w:rFonts w:hint="eastAsia"/>
              </w:rPr>
              <w:t>2</w:t>
            </w:r>
            <w:r>
              <w:t>8.2</w:t>
            </w:r>
          </w:p>
        </w:tc>
        <w:tc>
          <w:tcPr>
            <w:tcW w:w="601" w:type="dxa"/>
            <w:vAlign w:val="center"/>
          </w:tcPr>
          <w:p w14:paraId="53B920BC">
            <w:pPr>
              <w:pStyle w:val="687"/>
            </w:pPr>
            <w:r>
              <w:rPr>
                <w:rFonts w:hint="eastAsia"/>
              </w:rPr>
              <w:t>4</w:t>
            </w:r>
            <w:r>
              <w:t>4.1</w:t>
            </w:r>
          </w:p>
        </w:tc>
        <w:tc>
          <w:tcPr>
            <w:tcW w:w="601" w:type="dxa"/>
            <w:vAlign w:val="center"/>
          </w:tcPr>
          <w:p w14:paraId="0029A2C5">
            <w:pPr>
              <w:pStyle w:val="687"/>
            </w:pPr>
            <w:r>
              <w:rPr>
                <w:rFonts w:hint="eastAsia"/>
              </w:rPr>
              <w:t>4</w:t>
            </w:r>
            <w:r>
              <w:t>0.3</w:t>
            </w:r>
          </w:p>
        </w:tc>
        <w:tc>
          <w:tcPr>
            <w:tcW w:w="518" w:type="dxa"/>
            <w:vAlign w:val="center"/>
          </w:tcPr>
          <w:p w14:paraId="58560435">
            <w:pPr>
              <w:pStyle w:val="687"/>
            </w:pPr>
            <w:r>
              <w:rPr>
                <w:rFonts w:hint="eastAsia"/>
              </w:rPr>
              <w:t>0</w:t>
            </w:r>
            <w:r>
              <w:t>.1</w:t>
            </w:r>
          </w:p>
        </w:tc>
        <w:tc>
          <w:tcPr>
            <w:tcW w:w="511" w:type="dxa"/>
            <w:vAlign w:val="center"/>
          </w:tcPr>
          <w:p w14:paraId="76EC3846">
            <w:pPr>
              <w:pStyle w:val="687"/>
            </w:pPr>
            <w:r>
              <w:rPr>
                <w:rFonts w:hint="eastAsia"/>
              </w:rPr>
              <w:t>0</w:t>
            </w:r>
            <w:r>
              <w:t>.3</w:t>
            </w:r>
          </w:p>
        </w:tc>
        <w:tc>
          <w:tcPr>
            <w:tcW w:w="511" w:type="dxa"/>
            <w:vAlign w:val="center"/>
          </w:tcPr>
          <w:p w14:paraId="5F37C78B">
            <w:pPr>
              <w:pStyle w:val="687"/>
            </w:pPr>
            <w:r>
              <w:t>达标</w:t>
            </w:r>
          </w:p>
        </w:tc>
        <w:tc>
          <w:tcPr>
            <w:tcW w:w="511" w:type="dxa"/>
            <w:vAlign w:val="center"/>
          </w:tcPr>
          <w:p w14:paraId="79EF11E9">
            <w:pPr>
              <w:pStyle w:val="687"/>
            </w:pPr>
            <w:r>
              <w:t>达标</w:t>
            </w:r>
          </w:p>
        </w:tc>
      </w:tr>
      <w:tr w14:paraId="30E4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Align w:val="center"/>
          </w:tcPr>
          <w:p w14:paraId="1CAC1920">
            <w:pPr>
              <w:pStyle w:val="687"/>
            </w:pPr>
            <w:r>
              <w:rPr>
                <w:rFonts w:hint="eastAsia"/>
              </w:rPr>
              <w:t>5</w:t>
            </w:r>
          </w:p>
        </w:tc>
        <w:tc>
          <w:tcPr>
            <w:tcW w:w="768" w:type="dxa"/>
            <w:vAlign w:val="center"/>
          </w:tcPr>
          <w:p w14:paraId="114CB1B3">
            <w:pPr>
              <w:pStyle w:val="687"/>
            </w:pPr>
            <w:r>
              <w:rPr>
                <w:rFonts w:hint="eastAsia"/>
              </w:rPr>
              <w:t>5#居民点</w:t>
            </w:r>
          </w:p>
        </w:tc>
        <w:tc>
          <w:tcPr>
            <w:tcW w:w="509" w:type="dxa"/>
            <w:vAlign w:val="center"/>
          </w:tcPr>
          <w:p w14:paraId="4649E809">
            <w:pPr>
              <w:pStyle w:val="687"/>
            </w:pPr>
            <w:r>
              <w:rPr>
                <w:rFonts w:hint="eastAsia"/>
              </w:rPr>
              <w:t>4</w:t>
            </w:r>
            <w:r>
              <w:t>5</w:t>
            </w:r>
          </w:p>
        </w:tc>
        <w:tc>
          <w:tcPr>
            <w:tcW w:w="509" w:type="dxa"/>
            <w:vAlign w:val="center"/>
          </w:tcPr>
          <w:p w14:paraId="1C576A1A">
            <w:pPr>
              <w:pStyle w:val="687"/>
            </w:pPr>
            <w:r>
              <w:rPr>
                <w:rFonts w:hint="eastAsia"/>
              </w:rPr>
              <w:t>4</w:t>
            </w:r>
            <w:r>
              <w:t>1</w:t>
            </w:r>
          </w:p>
        </w:tc>
        <w:tc>
          <w:tcPr>
            <w:tcW w:w="510" w:type="dxa"/>
            <w:vAlign w:val="center"/>
          </w:tcPr>
          <w:p w14:paraId="608E3033">
            <w:pPr>
              <w:pStyle w:val="687"/>
            </w:pPr>
            <w:r>
              <w:rPr>
                <w:rFonts w:hint="eastAsia"/>
              </w:rPr>
              <w:t>4</w:t>
            </w:r>
            <w:r>
              <w:t>5</w:t>
            </w:r>
          </w:p>
        </w:tc>
        <w:tc>
          <w:tcPr>
            <w:tcW w:w="511" w:type="dxa"/>
            <w:vAlign w:val="center"/>
          </w:tcPr>
          <w:p w14:paraId="49DBFCAD">
            <w:pPr>
              <w:pStyle w:val="687"/>
            </w:pPr>
            <w:r>
              <w:rPr>
                <w:rFonts w:hint="eastAsia"/>
              </w:rPr>
              <w:t>4</w:t>
            </w:r>
            <w:r>
              <w:t>1</w:t>
            </w:r>
          </w:p>
        </w:tc>
        <w:tc>
          <w:tcPr>
            <w:tcW w:w="511" w:type="dxa"/>
            <w:vAlign w:val="center"/>
          </w:tcPr>
          <w:p w14:paraId="1779651F">
            <w:pPr>
              <w:pStyle w:val="687"/>
            </w:pPr>
            <w:r>
              <w:rPr>
                <w:rFonts w:hint="eastAsia"/>
              </w:rPr>
              <w:t>6</w:t>
            </w:r>
            <w:r>
              <w:t>0</w:t>
            </w:r>
          </w:p>
        </w:tc>
        <w:tc>
          <w:tcPr>
            <w:tcW w:w="511" w:type="dxa"/>
            <w:vAlign w:val="center"/>
          </w:tcPr>
          <w:p w14:paraId="27291BCC">
            <w:pPr>
              <w:pStyle w:val="687"/>
            </w:pPr>
            <w:r>
              <w:rPr>
                <w:rFonts w:hint="eastAsia"/>
              </w:rPr>
              <w:t>5</w:t>
            </w:r>
            <w:r>
              <w:t>0</w:t>
            </w:r>
          </w:p>
        </w:tc>
        <w:tc>
          <w:tcPr>
            <w:tcW w:w="601" w:type="dxa"/>
            <w:vAlign w:val="center"/>
          </w:tcPr>
          <w:p w14:paraId="6F1C2A29">
            <w:pPr>
              <w:pStyle w:val="687"/>
            </w:pPr>
            <w:r>
              <w:rPr>
                <w:rFonts w:hint="eastAsia"/>
              </w:rPr>
              <w:t>2</w:t>
            </w:r>
            <w:r>
              <w:t>4.3</w:t>
            </w:r>
          </w:p>
        </w:tc>
        <w:tc>
          <w:tcPr>
            <w:tcW w:w="601" w:type="dxa"/>
            <w:vAlign w:val="center"/>
          </w:tcPr>
          <w:p w14:paraId="268A6AEC">
            <w:pPr>
              <w:pStyle w:val="687"/>
            </w:pPr>
            <w:r>
              <w:rPr>
                <w:rFonts w:hint="eastAsia"/>
              </w:rPr>
              <w:t>2</w:t>
            </w:r>
            <w:r>
              <w:t>4.3</w:t>
            </w:r>
          </w:p>
        </w:tc>
        <w:tc>
          <w:tcPr>
            <w:tcW w:w="601" w:type="dxa"/>
            <w:vAlign w:val="center"/>
          </w:tcPr>
          <w:p w14:paraId="2734954F">
            <w:pPr>
              <w:pStyle w:val="687"/>
            </w:pPr>
            <w:r>
              <w:rPr>
                <w:rFonts w:hint="eastAsia"/>
              </w:rPr>
              <w:t>4</w:t>
            </w:r>
            <w:r>
              <w:t>5.0</w:t>
            </w:r>
          </w:p>
        </w:tc>
        <w:tc>
          <w:tcPr>
            <w:tcW w:w="601" w:type="dxa"/>
            <w:vAlign w:val="center"/>
          </w:tcPr>
          <w:p w14:paraId="2750CCAB">
            <w:pPr>
              <w:pStyle w:val="687"/>
            </w:pPr>
            <w:r>
              <w:rPr>
                <w:rFonts w:hint="eastAsia"/>
              </w:rPr>
              <w:t>4</w:t>
            </w:r>
            <w:r>
              <w:t>1.1</w:t>
            </w:r>
          </w:p>
        </w:tc>
        <w:tc>
          <w:tcPr>
            <w:tcW w:w="518" w:type="dxa"/>
            <w:vAlign w:val="center"/>
          </w:tcPr>
          <w:p w14:paraId="61C89536">
            <w:pPr>
              <w:pStyle w:val="687"/>
            </w:pPr>
            <w:r>
              <w:rPr>
                <w:rFonts w:hint="eastAsia"/>
              </w:rPr>
              <w:t>0</w:t>
            </w:r>
          </w:p>
        </w:tc>
        <w:tc>
          <w:tcPr>
            <w:tcW w:w="511" w:type="dxa"/>
            <w:vAlign w:val="center"/>
          </w:tcPr>
          <w:p w14:paraId="67111155">
            <w:pPr>
              <w:pStyle w:val="687"/>
            </w:pPr>
            <w:r>
              <w:rPr>
                <w:rFonts w:hint="eastAsia"/>
              </w:rPr>
              <w:t>0</w:t>
            </w:r>
            <w:r>
              <w:t>.1</w:t>
            </w:r>
          </w:p>
        </w:tc>
        <w:tc>
          <w:tcPr>
            <w:tcW w:w="511" w:type="dxa"/>
            <w:vAlign w:val="center"/>
          </w:tcPr>
          <w:p w14:paraId="14D2C61E">
            <w:pPr>
              <w:pStyle w:val="687"/>
            </w:pPr>
            <w:r>
              <w:t>达标</w:t>
            </w:r>
          </w:p>
        </w:tc>
        <w:tc>
          <w:tcPr>
            <w:tcW w:w="511" w:type="dxa"/>
            <w:vAlign w:val="center"/>
          </w:tcPr>
          <w:p w14:paraId="75073760">
            <w:pPr>
              <w:pStyle w:val="687"/>
            </w:pPr>
            <w:r>
              <w:t>达标</w:t>
            </w:r>
          </w:p>
        </w:tc>
      </w:tr>
    </w:tbl>
    <w:p w14:paraId="7FEC7BAE">
      <w:pPr>
        <w:pStyle w:val="1066"/>
        <w:ind w:firstLine="520"/>
        <w:rPr>
          <w:rFonts w:cs="Times New Roman"/>
        </w:rPr>
      </w:pPr>
    </w:p>
    <w:p w14:paraId="2E51CC88">
      <w:pPr>
        <w:pStyle w:val="702"/>
        <w:ind w:firstLine="520"/>
        <w:rPr>
          <w:rFonts w:cs="Times New Roman"/>
          <w:bCs/>
          <w:szCs w:val="26"/>
        </w:rPr>
      </w:pPr>
      <w:bookmarkStart w:id="299" w:name="_Toc165810603"/>
      <w:bookmarkStart w:id="300" w:name="_Toc165809746"/>
      <w:r>
        <w:rPr>
          <w:rFonts w:cs="Times New Roman"/>
          <w:bCs/>
          <w:szCs w:val="26"/>
        </w:rPr>
        <w:t>（2）非正常状况下噪声预测结果</w:t>
      </w:r>
    </w:p>
    <w:p w14:paraId="13203CE0">
      <w:pPr>
        <w:pStyle w:val="702"/>
        <w:ind w:firstLine="520"/>
        <w:rPr>
          <w:rFonts w:cs="Times New Roman"/>
        </w:rPr>
      </w:pPr>
      <w:r>
        <w:rPr>
          <w:rFonts w:cs="Times New Roman"/>
        </w:rPr>
        <w:t>检修或事故时，噪声主要来自放空立管的气流声，其声级大小取决于放空量的大小。经调查，放空噪声值较大，其声级一般为100~110dB(A)，但放空时间较短，在距声源不同距离的贡献值见</w:t>
      </w:r>
      <w:r>
        <w:rPr>
          <w:rFonts w:cs="Times New Roman"/>
          <w:u w:val="single"/>
        </w:rPr>
        <w:t>表6.5</w:t>
      </w:r>
      <w:r>
        <w:rPr>
          <w:rFonts w:hint="eastAsia" w:cs="Times New Roman"/>
          <w:u w:val="single"/>
        </w:rPr>
        <w:t>-</w:t>
      </w:r>
      <w:r>
        <w:rPr>
          <w:rFonts w:cs="Times New Roman"/>
          <w:u w:val="single"/>
        </w:rPr>
        <w:t>4</w:t>
      </w:r>
      <w:r>
        <w:rPr>
          <w:rFonts w:cs="Times New Roman"/>
        </w:rPr>
        <w:t>。</w:t>
      </w:r>
    </w:p>
    <w:p w14:paraId="56CC0B15">
      <w:pPr>
        <w:pStyle w:val="1066"/>
        <w:ind w:firstLine="520"/>
        <w:rPr>
          <w:rFonts w:cs="Times New Roman"/>
        </w:rPr>
      </w:pPr>
    </w:p>
    <w:p w14:paraId="6CD1F6D3">
      <w:pPr>
        <w:pStyle w:val="1065"/>
        <w:ind w:firstLine="480"/>
      </w:pPr>
      <w:r>
        <w:t>表6.5-4  放空噪声在距声源不同距离的贡献值</w:t>
      </w:r>
    </w:p>
    <w:tbl>
      <w:tblPr>
        <w:tblStyle w:val="88"/>
        <w:tblW w:w="9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7"/>
        <w:gridCol w:w="804"/>
        <w:gridCol w:w="704"/>
        <w:gridCol w:w="877"/>
        <w:gridCol w:w="877"/>
        <w:gridCol w:w="877"/>
        <w:gridCol w:w="877"/>
        <w:gridCol w:w="877"/>
        <w:gridCol w:w="873"/>
      </w:tblGrid>
      <w:tr w14:paraId="141B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237" w:type="dxa"/>
            <w:vAlign w:val="center"/>
          </w:tcPr>
          <w:p w14:paraId="4DF6E075">
            <w:pPr>
              <w:pStyle w:val="687"/>
            </w:pPr>
            <w:r>
              <w:t>距声源（m）</w:t>
            </w:r>
          </w:p>
        </w:tc>
        <w:tc>
          <w:tcPr>
            <w:tcW w:w="804" w:type="dxa"/>
            <w:vAlign w:val="center"/>
          </w:tcPr>
          <w:p w14:paraId="130DC03F">
            <w:pPr>
              <w:pStyle w:val="687"/>
            </w:pPr>
            <w:r>
              <w:t>50</w:t>
            </w:r>
          </w:p>
        </w:tc>
        <w:tc>
          <w:tcPr>
            <w:tcW w:w="704" w:type="dxa"/>
            <w:vAlign w:val="center"/>
          </w:tcPr>
          <w:p w14:paraId="1194FF44">
            <w:pPr>
              <w:pStyle w:val="687"/>
            </w:pPr>
            <w:r>
              <w:t>100</w:t>
            </w:r>
          </w:p>
        </w:tc>
        <w:tc>
          <w:tcPr>
            <w:tcW w:w="877" w:type="dxa"/>
            <w:vAlign w:val="center"/>
          </w:tcPr>
          <w:p w14:paraId="1C118708">
            <w:pPr>
              <w:pStyle w:val="687"/>
            </w:pPr>
            <w:r>
              <w:t>177</w:t>
            </w:r>
          </w:p>
        </w:tc>
        <w:tc>
          <w:tcPr>
            <w:tcW w:w="877" w:type="dxa"/>
            <w:vAlign w:val="center"/>
          </w:tcPr>
          <w:p w14:paraId="677601A4">
            <w:pPr>
              <w:pStyle w:val="687"/>
            </w:pPr>
            <w:r>
              <w:t>200</w:t>
            </w:r>
          </w:p>
        </w:tc>
        <w:tc>
          <w:tcPr>
            <w:tcW w:w="877" w:type="dxa"/>
            <w:vAlign w:val="center"/>
          </w:tcPr>
          <w:p w14:paraId="3529D236">
            <w:pPr>
              <w:pStyle w:val="687"/>
            </w:pPr>
            <w:r>
              <w:t>300</w:t>
            </w:r>
          </w:p>
        </w:tc>
        <w:tc>
          <w:tcPr>
            <w:tcW w:w="877" w:type="dxa"/>
            <w:vAlign w:val="center"/>
          </w:tcPr>
          <w:p w14:paraId="20722F18">
            <w:pPr>
              <w:pStyle w:val="687"/>
            </w:pPr>
            <w:r>
              <w:t>400</w:t>
            </w:r>
          </w:p>
        </w:tc>
        <w:tc>
          <w:tcPr>
            <w:tcW w:w="877" w:type="dxa"/>
            <w:vAlign w:val="center"/>
          </w:tcPr>
          <w:p w14:paraId="57857E83">
            <w:pPr>
              <w:pStyle w:val="687"/>
            </w:pPr>
            <w:r>
              <w:t>500</w:t>
            </w:r>
          </w:p>
        </w:tc>
        <w:tc>
          <w:tcPr>
            <w:tcW w:w="873" w:type="dxa"/>
            <w:vAlign w:val="center"/>
          </w:tcPr>
          <w:p w14:paraId="37535CC7">
            <w:pPr>
              <w:pStyle w:val="687"/>
            </w:pPr>
            <w:r>
              <w:t>560</w:t>
            </w:r>
          </w:p>
        </w:tc>
      </w:tr>
      <w:tr w14:paraId="6C01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237" w:type="dxa"/>
            <w:vAlign w:val="center"/>
          </w:tcPr>
          <w:p w14:paraId="6EF81C55">
            <w:pPr>
              <w:pStyle w:val="687"/>
            </w:pPr>
            <w:r>
              <w:t>贡献值（dB(A)）</w:t>
            </w:r>
          </w:p>
        </w:tc>
        <w:tc>
          <w:tcPr>
            <w:tcW w:w="804" w:type="dxa"/>
            <w:vAlign w:val="center"/>
          </w:tcPr>
          <w:p w14:paraId="3F63CCC2">
            <w:pPr>
              <w:pStyle w:val="687"/>
            </w:pPr>
            <w:r>
              <w:t>71.0</w:t>
            </w:r>
          </w:p>
        </w:tc>
        <w:tc>
          <w:tcPr>
            <w:tcW w:w="704" w:type="dxa"/>
            <w:vAlign w:val="center"/>
          </w:tcPr>
          <w:p w14:paraId="72B30D42">
            <w:pPr>
              <w:pStyle w:val="687"/>
            </w:pPr>
            <w:r>
              <w:t>65.0</w:t>
            </w:r>
          </w:p>
        </w:tc>
        <w:tc>
          <w:tcPr>
            <w:tcW w:w="877" w:type="dxa"/>
            <w:vAlign w:val="center"/>
          </w:tcPr>
          <w:p w14:paraId="5A109490">
            <w:pPr>
              <w:pStyle w:val="687"/>
            </w:pPr>
            <w:r>
              <w:t>60.0</w:t>
            </w:r>
          </w:p>
        </w:tc>
        <w:tc>
          <w:tcPr>
            <w:tcW w:w="877" w:type="dxa"/>
            <w:vAlign w:val="center"/>
          </w:tcPr>
          <w:p w14:paraId="49202E41">
            <w:pPr>
              <w:pStyle w:val="687"/>
            </w:pPr>
            <w:r>
              <w:t>59.0</w:t>
            </w:r>
          </w:p>
        </w:tc>
        <w:tc>
          <w:tcPr>
            <w:tcW w:w="877" w:type="dxa"/>
            <w:vAlign w:val="center"/>
          </w:tcPr>
          <w:p w14:paraId="729B5A90">
            <w:pPr>
              <w:pStyle w:val="687"/>
            </w:pPr>
            <w:r>
              <w:t>55.5</w:t>
            </w:r>
          </w:p>
        </w:tc>
        <w:tc>
          <w:tcPr>
            <w:tcW w:w="877" w:type="dxa"/>
            <w:vAlign w:val="center"/>
          </w:tcPr>
          <w:p w14:paraId="4CEE362E">
            <w:pPr>
              <w:pStyle w:val="687"/>
            </w:pPr>
            <w:r>
              <w:t>53.0</w:t>
            </w:r>
          </w:p>
        </w:tc>
        <w:tc>
          <w:tcPr>
            <w:tcW w:w="877" w:type="dxa"/>
            <w:vAlign w:val="center"/>
          </w:tcPr>
          <w:p w14:paraId="69A163E4">
            <w:pPr>
              <w:pStyle w:val="687"/>
            </w:pPr>
            <w:r>
              <w:t>51.0</w:t>
            </w:r>
          </w:p>
        </w:tc>
        <w:tc>
          <w:tcPr>
            <w:tcW w:w="873" w:type="dxa"/>
            <w:vAlign w:val="center"/>
          </w:tcPr>
          <w:p w14:paraId="6F821238">
            <w:pPr>
              <w:pStyle w:val="687"/>
            </w:pPr>
            <w:r>
              <w:t>50.0</w:t>
            </w:r>
          </w:p>
        </w:tc>
      </w:tr>
    </w:tbl>
    <w:p w14:paraId="1E0FE64D">
      <w:pPr>
        <w:pStyle w:val="1066"/>
        <w:ind w:firstLine="520"/>
        <w:rPr>
          <w:rFonts w:cs="Times New Roman"/>
        </w:rPr>
      </w:pPr>
    </w:p>
    <w:p w14:paraId="6302EAEB">
      <w:pPr>
        <w:pStyle w:val="702"/>
        <w:ind w:firstLine="520"/>
        <w:rPr>
          <w:rFonts w:cs="Times New Roman"/>
        </w:rPr>
      </w:pPr>
      <w:r>
        <w:rPr>
          <w:rFonts w:cs="Times New Roman"/>
        </w:rPr>
        <w:t>根据预测结果可以看出，放空噪声在2类区昼间达标距离为177m，夜间达标距离为560m。但考虑到本工程仅在非正常工况下才会使用放空系统，放空频率低、时间短，且非事故情况下尽可能不在夜间放空。因此</w:t>
      </w:r>
      <w:r>
        <w:rPr>
          <w:rFonts w:hint="eastAsia" w:cs="Times New Roman"/>
        </w:rPr>
        <w:t>，项目</w:t>
      </w:r>
      <w:r>
        <w:rPr>
          <w:rFonts w:cs="Times New Roman"/>
        </w:rPr>
        <w:t>放空噪声对声环境的影响可接受。</w:t>
      </w:r>
    </w:p>
    <w:p w14:paraId="01FB1623">
      <w:pPr>
        <w:snapToGrid w:val="0"/>
        <w:spacing w:line="460" w:lineRule="exact"/>
        <w:ind w:firstLine="522" w:firstLineChars="200"/>
        <w:outlineLvl w:val="1"/>
        <w:rPr>
          <w:b/>
          <w:sz w:val="26"/>
          <w:szCs w:val="26"/>
        </w:rPr>
      </w:pPr>
      <w:bookmarkStart w:id="301" w:name="_Toc219907659"/>
      <w:r>
        <w:rPr>
          <w:rFonts w:hint="eastAsia"/>
          <w:b/>
          <w:sz w:val="26"/>
          <w:szCs w:val="26"/>
        </w:rPr>
        <w:t>6</w:t>
      </w:r>
      <w:r>
        <w:rPr>
          <w:b/>
          <w:sz w:val="26"/>
          <w:szCs w:val="26"/>
        </w:rPr>
        <w:t xml:space="preserve">.6 </w:t>
      </w:r>
      <w:r>
        <w:rPr>
          <w:rFonts w:hint="eastAsia"/>
          <w:b/>
          <w:sz w:val="26"/>
          <w:szCs w:val="26"/>
        </w:rPr>
        <w:t>固体废物环境影响分析</w:t>
      </w:r>
      <w:bookmarkEnd w:id="299"/>
      <w:bookmarkEnd w:id="300"/>
      <w:bookmarkEnd w:id="301"/>
    </w:p>
    <w:p w14:paraId="188CEB40">
      <w:pPr>
        <w:pStyle w:val="702"/>
        <w:adjustRightInd w:val="0"/>
        <w:snapToGrid w:val="0"/>
        <w:spacing w:line="440" w:lineRule="exact"/>
        <w:ind w:firstLine="520"/>
        <w:rPr>
          <w:rFonts w:cs="Times New Roman"/>
        </w:rPr>
      </w:pPr>
      <w:r>
        <w:rPr>
          <w:rFonts w:hint="eastAsia" w:cs="Times New Roman"/>
        </w:rPr>
        <w:t>试采期主要固体废物包括储罐清掏沉渣、站场检修废渣、聚结</w:t>
      </w:r>
      <w:r>
        <w:rPr>
          <w:rFonts w:hint="eastAsia" w:cs="Times New Roman"/>
          <w:szCs w:val="21"/>
        </w:rPr>
        <w:t>过滤分离器产生的废滤芯、</w:t>
      </w:r>
      <w:r>
        <w:rPr>
          <w:rFonts w:hint="eastAsia" w:cs="Times New Roman"/>
          <w:bCs/>
          <w:shd w:val="clear" w:color="auto" w:fill="FFFFFF"/>
        </w:rPr>
        <w:t>脱水压缩撬产生的</w:t>
      </w:r>
      <w:r>
        <w:rPr>
          <w:rFonts w:hint="eastAsia" w:cs="Times New Roman"/>
          <w:szCs w:val="21"/>
        </w:rPr>
        <w:t>废分子筛、维护保养产生的</w:t>
      </w:r>
      <w:r>
        <w:rPr>
          <w:rFonts w:hint="eastAsia"/>
          <w:szCs w:val="26"/>
        </w:rPr>
        <w:t>废油、废油桶、含油擦拭物和</w:t>
      </w:r>
      <w:r>
        <w:rPr>
          <w:rFonts w:hint="eastAsia" w:cs="Times New Roman"/>
        </w:rPr>
        <w:t>值守人员产生的生活垃圾。</w:t>
      </w:r>
    </w:p>
    <w:p w14:paraId="7129A202">
      <w:pPr>
        <w:pStyle w:val="1068"/>
      </w:pPr>
      <w:r>
        <w:rPr>
          <w:rFonts w:hint="eastAsia"/>
        </w:rPr>
        <w:t>6</w:t>
      </w:r>
      <w:r>
        <w:t xml:space="preserve">.6.1 </w:t>
      </w:r>
      <w:r>
        <w:rPr>
          <w:rFonts w:hint="eastAsia"/>
        </w:rPr>
        <w:t>固废处置措施</w:t>
      </w:r>
    </w:p>
    <w:p w14:paraId="054E2287">
      <w:pPr>
        <w:pStyle w:val="702"/>
        <w:adjustRightInd w:val="0"/>
        <w:snapToGrid w:val="0"/>
        <w:spacing w:line="440" w:lineRule="exact"/>
        <w:ind w:firstLine="520"/>
        <w:rPr>
          <w:rFonts w:cs="Times New Roman"/>
        </w:rPr>
      </w:pPr>
      <w:r>
        <w:rPr>
          <w:rFonts w:hint="eastAsia" w:cs="Times New Roman"/>
        </w:rPr>
        <w:t>（1）一般工业固废</w:t>
      </w:r>
    </w:p>
    <w:p w14:paraId="218F4E84">
      <w:pPr>
        <w:pStyle w:val="702"/>
        <w:adjustRightInd w:val="0"/>
        <w:snapToGrid w:val="0"/>
        <w:spacing w:line="440" w:lineRule="exact"/>
        <w:ind w:firstLine="520"/>
        <w:rPr>
          <w:rFonts w:cs="Times New Roman"/>
        </w:rPr>
      </w:pPr>
      <w:r>
        <w:rPr>
          <w:rFonts w:cs="Times New Roman"/>
          <w:szCs w:val="21"/>
        </w:rPr>
        <w:fldChar w:fldCharType="begin"/>
      </w:r>
      <w:r>
        <w:rPr>
          <w:rFonts w:cs="Times New Roman"/>
          <w:szCs w:val="21"/>
        </w:rPr>
        <w:instrText xml:space="preserve"> </w:instrText>
      </w:r>
      <w:r>
        <w:rPr>
          <w:rFonts w:hint="eastAsia" w:cs="Times New Roman"/>
          <w:szCs w:val="21"/>
        </w:rPr>
        <w:instrText xml:space="preserve">= 1 \* GB3</w:instrText>
      </w:r>
      <w:r>
        <w:rPr>
          <w:rFonts w:cs="Times New Roman"/>
          <w:szCs w:val="21"/>
        </w:rPr>
        <w:instrText xml:space="preserve"> </w:instrText>
      </w:r>
      <w:r>
        <w:rPr>
          <w:rFonts w:cs="Times New Roman"/>
          <w:szCs w:val="21"/>
        </w:rPr>
        <w:fldChar w:fldCharType="separate"/>
      </w:r>
      <w:r>
        <w:rPr>
          <w:rFonts w:hint="eastAsia" w:cs="Times New Roman"/>
          <w:szCs w:val="21"/>
        </w:rPr>
        <w:t>①</w:t>
      </w:r>
      <w:r>
        <w:rPr>
          <w:rFonts w:cs="Times New Roman"/>
          <w:szCs w:val="21"/>
        </w:rPr>
        <w:fldChar w:fldCharType="end"/>
      </w:r>
      <w:r>
        <w:rPr>
          <w:rFonts w:hint="eastAsia" w:cs="Times New Roman"/>
          <w:szCs w:val="21"/>
        </w:rPr>
        <w:t>废滤芯</w:t>
      </w:r>
    </w:p>
    <w:p w14:paraId="11C3DDA5">
      <w:pPr>
        <w:pStyle w:val="702"/>
        <w:spacing w:line="440" w:lineRule="exact"/>
        <w:ind w:firstLine="520"/>
        <w:rPr>
          <w:rFonts w:cs="Times New Roman"/>
          <w:bCs/>
          <w:shd w:val="clear" w:color="auto" w:fill="FFFFFF"/>
        </w:rPr>
      </w:pPr>
      <w:r>
        <w:rPr>
          <w:rFonts w:hint="eastAsia" w:cs="Times New Roman"/>
        </w:rPr>
        <w:t>本项目聚结过滤分离器在运行过程中会产生废滤芯，</w:t>
      </w:r>
      <w:r>
        <w:rPr>
          <w:rFonts w:hint="eastAsia"/>
          <w:bCs/>
          <w:szCs w:val="26"/>
        </w:rPr>
        <w:t>根据同类项目产污情况，本项目滤芯每年更换一次，废滤芯产生量为1</w:t>
      </w:r>
      <w:r>
        <w:rPr>
          <w:bCs/>
          <w:szCs w:val="26"/>
        </w:rPr>
        <w:t>.5t/a</w:t>
      </w:r>
      <w:r>
        <w:rPr>
          <w:rFonts w:hint="eastAsia"/>
          <w:bCs/>
          <w:szCs w:val="26"/>
        </w:rPr>
        <w:t>。本项目</w:t>
      </w:r>
      <w:r>
        <w:rPr>
          <w:rFonts w:hint="eastAsia" w:cs="Times New Roman"/>
        </w:rPr>
        <w:t>聚结过滤分离器的滤芯主要为物理</w:t>
      </w:r>
      <w:r>
        <w:rPr>
          <w:rFonts w:ascii="Helvetica" w:hAnsi="Helvetica" w:cs="Helvetica"/>
          <w:shd w:val="clear" w:color="auto" w:fill="FFFFFF"/>
        </w:rPr>
        <w:t>粘附</w:t>
      </w:r>
      <w:r>
        <w:rPr>
          <w:rFonts w:hint="eastAsia" w:ascii="Helvetica" w:hAnsi="Helvetica" w:cs="Helvetica"/>
          <w:shd w:val="clear" w:color="auto" w:fill="FFFFFF"/>
        </w:rPr>
        <w:t>作用，将小液滴拦截在滤芯表面聚结成大的液滴而实</w:t>
      </w:r>
      <w:r>
        <w:rPr>
          <w:rFonts w:cs="Times New Roman"/>
          <w:shd w:val="clear" w:color="auto" w:fill="FFFFFF"/>
        </w:rPr>
        <w:t>现气水分离，粘附的介质是经三相分离后的天然气，</w:t>
      </w:r>
      <w:r>
        <w:rPr>
          <w:rFonts w:cs="Times New Roman"/>
          <w:bCs/>
          <w:shd w:val="clear" w:color="auto" w:fill="FFFFFF"/>
        </w:rPr>
        <w:t>对照《国家危险废物名录》（2025年版），不属于名录所列的吸附介质，因此废滤芯不属于危险废物，为一般工业固废，由厂家统一更换后回收，不在站内存储。</w:t>
      </w:r>
    </w:p>
    <w:p w14:paraId="221AC58E">
      <w:pPr>
        <w:pStyle w:val="702"/>
        <w:spacing w:line="440" w:lineRule="exact"/>
        <w:ind w:firstLine="520"/>
        <w:rPr>
          <w:rFonts w:cs="Times New Roman"/>
          <w:bCs/>
          <w:shd w:val="clear" w:color="auto" w:fill="FFFFFF"/>
        </w:rPr>
      </w:pPr>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cs="Times New Roman"/>
          <w:bCs/>
          <w:shd w:val="clear" w:color="auto" w:fill="FFFFFF"/>
        </w:rPr>
        <w:t>废分子筛</w:t>
      </w:r>
    </w:p>
    <w:p w14:paraId="78199E6A">
      <w:pPr>
        <w:pStyle w:val="702"/>
        <w:spacing w:line="440" w:lineRule="exact"/>
        <w:ind w:firstLine="520"/>
        <w:rPr>
          <w:rFonts w:cs="Times New Roman"/>
          <w:bCs/>
          <w:shd w:val="clear" w:color="auto" w:fill="FFFFFF"/>
        </w:rPr>
      </w:pPr>
      <w:r>
        <w:rPr>
          <w:rFonts w:hint="eastAsia" w:cs="Times New Roman"/>
          <w:bCs/>
          <w:shd w:val="clear" w:color="auto" w:fill="FFFFFF"/>
        </w:rPr>
        <w:t>本项目脱水压缩撬采用分子筛进行脱水，运行过程中会产生废分子筛，</w:t>
      </w:r>
      <w:r>
        <w:rPr>
          <w:rFonts w:hint="eastAsia"/>
        </w:rPr>
        <w:t>更换周期约为</w:t>
      </w:r>
      <w:r>
        <w:t>1</w:t>
      </w:r>
      <w:r>
        <w:rPr>
          <w:rFonts w:hint="eastAsia" w:cs="Times New Roman"/>
        </w:rPr>
        <w:t>年</w:t>
      </w:r>
      <w:r>
        <w:rPr>
          <w:rFonts w:cs="Times New Roman"/>
        </w:rPr>
        <w:t>1</w:t>
      </w:r>
      <w:r>
        <w:rPr>
          <w:rFonts w:hint="eastAsia" w:cs="Times New Roman"/>
        </w:rPr>
        <w:t>次，每次更换量为</w:t>
      </w:r>
      <w:r>
        <w:rPr>
          <w:rFonts w:cs="Times New Roman"/>
        </w:rPr>
        <w:t>1.0t</w:t>
      </w:r>
      <w:r>
        <w:rPr>
          <w:rFonts w:hint="eastAsia" w:cs="Times New Roman"/>
        </w:rPr>
        <w:t>，由厂家更换后带走回收。本项目分子筛</w:t>
      </w:r>
      <w:r>
        <w:rPr>
          <w:rFonts w:hint="eastAsia"/>
          <w:bCs/>
          <w:szCs w:val="26"/>
        </w:rPr>
        <w:t>对天然气进行脱水，属于物理过滤和吸附，吸附的</w:t>
      </w:r>
      <w:r>
        <w:rPr>
          <w:rFonts w:cs="Times New Roman"/>
          <w:shd w:val="clear" w:color="auto" w:fill="FFFFFF"/>
        </w:rPr>
        <w:t>介质是经三相分离后的天然气</w:t>
      </w:r>
      <w:r>
        <w:rPr>
          <w:rFonts w:hint="eastAsia" w:cs="Times New Roman"/>
          <w:shd w:val="clear" w:color="auto" w:fill="FFFFFF"/>
        </w:rPr>
        <w:t>，</w:t>
      </w:r>
      <w:r>
        <w:rPr>
          <w:rFonts w:cs="Times New Roman"/>
          <w:bCs/>
          <w:shd w:val="clear" w:color="auto" w:fill="FFFFFF"/>
        </w:rPr>
        <w:t>对照《国家危险废物名录》（2025年版），不属于名录所列的吸附介质，因此废滤芯不属于危险废物，为一般工业固废，由厂家统一更换后回收，不在站内存储。</w:t>
      </w:r>
    </w:p>
    <w:p w14:paraId="09DF53CE">
      <w:pPr>
        <w:pStyle w:val="702"/>
        <w:adjustRightInd w:val="0"/>
        <w:snapToGrid w:val="0"/>
        <w:spacing w:line="440" w:lineRule="exact"/>
        <w:ind w:firstLine="520"/>
        <w:rPr>
          <w:rFonts w:cs="Times New Roman"/>
        </w:rPr>
      </w:pPr>
      <w:r>
        <w:rPr>
          <w:rFonts w:hint="eastAsia" w:cs="Times New Roman"/>
        </w:rPr>
        <w:t>（2）危险废物</w:t>
      </w:r>
    </w:p>
    <w:p w14:paraId="1E46A12B">
      <w:pPr>
        <w:pStyle w:val="702"/>
        <w:adjustRightInd w:val="0"/>
        <w:snapToGrid w:val="0"/>
        <w:spacing w:line="440" w:lineRule="exact"/>
        <w:ind w:firstLine="520"/>
        <w:rPr>
          <w:rFonts w:cs="Times New Roman"/>
        </w:rPr>
      </w:pPr>
      <w:r>
        <w:rPr>
          <w:rFonts w:cs="Times New Roman"/>
        </w:rPr>
        <w:fldChar w:fldCharType="begin"/>
      </w:r>
      <w:r>
        <w:rPr>
          <w:rFonts w:cs="Times New Roman"/>
        </w:rPr>
        <w:instrText xml:space="preserve"> </w:instrText>
      </w:r>
      <w:r>
        <w:rPr>
          <w:rFonts w:hint="eastAsia" w:cs="Times New Roman"/>
        </w:rPr>
        <w:instrText xml:space="preserve">= 1 \* GB3</w:instrText>
      </w:r>
      <w:r>
        <w:rPr>
          <w:rFonts w:cs="Times New Roman"/>
        </w:rPr>
        <w:instrText xml:space="preserve"> </w:instrText>
      </w:r>
      <w:r>
        <w:rPr>
          <w:rFonts w:cs="Times New Roman"/>
        </w:rPr>
        <w:fldChar w:fldCharType="separate"/>
      </w:r>
      <w:r>
        <w:rPr>
          <w:rFonts w:hint="eastAsia" w:cs="Times New Roman"/>
        </w:rPr>
        <w:t>①</w:t>
      </w:r>
      <w:r>
        <w:rPr>
          <w:rFonts w:cs="Times New Roman"/>
        </w:rPr>
        <w:fldChar w:fldCharType="end"/>
      </w:r>
      <w:r>
        <w:rPr>
          <w:rFonts w:hint="eastAsia" w:cs="Times New Roman"/>
        </w:rPr>
        <w:t>储罐沉渣</w:t>
      </w:r>
    </w:p>
    <w:p w14:paraId="16A1B1AF">
      <w:pPr>
        <w:pStyle w:val="702"/>
        <w:adjustRightInd w:val="0"/>
        <w:snapToGrid w:val="0"/>
        <w:spacing w:line="440" w:lineRule="exact"/>
        <w:ind w:firstLine="520"/>
      </w:pPr>
      <w:r>
        <w:rPr>
          <w:rFonts w:hint="eastAsia" w:cs="Times New Roman"/>
        </w:rPr>
        <w:t>本项目设置</w:t>
      </w:r>
      <w:r>
        <w:rPr>
          <w:rFonts w:cs="Times New Roman"/>
        </w:rPr>
        <w:t>2</w:t>
      </w:r>
      <w:r>
        <w:rPr>
          <w:rFonts w:hint="eastAsia" w:cs="Times New Roman"/>
        </w:rPr>
        <w:t>个5</w:t>
      </w:r>
      <w:r>
        <w:rPr>
          <w:rFonts w:cs="Times New Roman"/>
        </w:rPr>
        <w:t>0</w:t>
      </w:r>
      <w:r>
        <w:rPr>
          <w:rFonts w:hint="eastAsia" w:cs="Times New Roman"/>
        </w:rPr>
        <w:t>m</w:t>
      </w:r>
      <w:r>
        <w:rPr>
          <w:rFonts w:cs="Times New Roman"/>
          <w:vertAlign w:val="superscript"/>
        </w:rPr>
        <w:t>3</w:t>
      </w:r>
      <w:r>
        <w:rPr>
          <w:rFonts w:hint="eastAsia" w:cs="Times New Roman"/>
        </w:rPr>
        <w:t>凝析油储罐、</w:t>
      </w:r>
      <w:r>
        <w:rPr>
          <w:rFonts w:cs="Times New Roman"/>
        </w:rPr>
        <w:t>2</w:t>
      </w:r>
      <w:r>
        <w:rPr>
          <w:rFonts w:hint="eastAsia" w:cs="Times New Roman"/>
        </w:rPr>
        <w:t>个5</w:t>
      </w:r>
      <w:r>
        <w:rPr>
          <w:rFonts w:cs="Times New Roman"/>
        </w:rPr>
        <w:t>0</w:t>
      </w:r>
      <w:r>
        <w:rPr>
          <w:rFonts w:hint="eastAsia" w:cs="Times New Roman"/>
        </w:rPr>
        <w:t>m</w:t>
      </w:r>
      <w:r>
        <w:rPr>
          <w:rFonts w:cs="Times New Roman"/>
          <w:vertAlign w:val="superscript"/>
        </w:rPr>
        <w:t>3</w:t>
      </w:r>
      <w:r>
        <w:rPr>
          <w:rFonts w:hint="eastAsia" w:cs="Times New Roman"/>
        </w:rPr>
        <w:t>气田水储罐和1个2</w:t>
      </w:r>
      <w:r>
        <w:rPr>
          <w:rFonts w:cs="Times New Roman"/>
        </w:rPr>
        <w:t>0</w:t>
      </w:r>
      <w:r>
        <w:rPr>
          <w:rFonts w:hint="eastAsia" w:cs="Times New Roman"/>
        </w:rPr>
        <w:t>m</w:t>
      </w:r>
      <w:r>
        <w:rPr>
          <w:rFonts w:cs="Times New Roman"/>
          <w:vertAlign w:val="superscript"/>
        </w:rPr>
        <w:t>3</w:t>
      </w:r>
      <w:r>
        <w:rPr>
          <w:rFonts w:hint="eastAsia" w:cs="Times New Roman"/>
        </w:rPr>
        <w:t>气田水储罐，试采站每年清掏1次，产生清掏沉渣约</w:t>
      </w:r>
      <w:r>
        <w:rPr>
          <w:rFonts w:cs="Times New Roman"/>
        </w:rPr>
        <w:t>1.5t/a</w:t>
      </w:r>
      <w:r>
        <w:rPr>
          <w:rFonts w:hint="eastAsia" w:cs="Times New Roman"/>
        </w:rPr>
        <w:t>，主要成分为石油类、</w:t>
      </w:r>
      <w:r>
        <w:rPr>
          <w:bCs/>
          <w:szCs w:val="26"/>
        </w:rPr>
        <w:t>井内杂屑</w:t>
      </w:r>
      <w:r>
        <w:rPr>
          <w:rFonts w:hint="eastAsia"/>
          <w:bCs/>
          <w:szCs w:val="26"/>
        </w:rPr>
        <w:t>和</w:t>
      </w:r>
      <w:r>
        <w:rPr>
          <w:bCs/>
          <w:szCs w:val="26"/>
        </w:rPr>
        <w:t>机械杂质</w:t>
      </w:r>
      <w:r>
        <w:rPr>
          <w:rFonts w:hint="eastAsia"/>
          <w:bCs/>
          <w:szCs w:val="26"/>
        </w:rPr>
        <w:t>，属于危险废物（废物类别为HW08，废物代码</w:t>
      </w:r>
      <w:r>
        <w:t>900-249-08</w:t>
      </w:r>
      <w:r>
        <w:rPr>
          <w:rFonts w:hint="eastAsia"/>
          <w:bCs/>
          <w:szCs w:val="26"/>
        </w:rPr>
        <w:t>），</w:t>
      </w:r>
      <w:r>
        <w:rPr>
          <w:rFonts w:hint="eastAsia" w:cs="Times New Roman"/>
        </w:rPr>
        <w:t>储罐清掏沉渣</w:t>
      </w:r>
      <w:r>
        <w:rPr>
          <w:rFonts w:hint="eastAsia"/>
          <w:bCs/>
          <w:szCs w:val="26"/>
        </w:rPr>
        <w:t>即产即运，由作业区收集后</w:t>
      </w:r>
      <w:r>
        <w:rPr>
          <w:rFonts w:hint="eastAsia"/>
        </w:rPr>
        <w:t>暂存于河飞2</w:t>
      </w:r>
      <w:r>
        <w:t>03</w:t>
      </w:r>
      <w:r>
        <w:rPr>
          <w:rFonts w:hint="eastAsia"/>
        </w:rPr>
        <w:t>中心站危废暂存间，统一交由资质单位处置。</w:t>
      </w:r>
    </w:p>
    <w:p w14:paraId="542A4FDA">
      <w:pPr>
        <w:pStyle w:val="1381"/>
        <w:ind w:firstLine="520"/>
      </w:pPr>
      <w:r>
        <w:rPr>
          <w:rFonts w:hint="eastAsia"/>
          <w:bCs/>
          <w:szCs w:val="26"/>
        </w:rPr>
        <w:t>河飞203中心站位于巴中市通江县陈河乡，距离本项目约6</w:t>
      </w:r>
      <w:r>
        <w:rPr>
          <w:bCs/>
          <w:szCs w:val="26"/>
        </w:rPr>
        <w:t>9</w:t>
      </w:r>
      <w:r>
        <w:rPr>
          <w:rFonts w:hint="eastAsia"/>
          <w:bCs/>
          <w:szCs w:val="26"/>
        </w:rPr>
        <w:t>km，</w:t>
      </w:r>
      <w:r>
        <w:rPr>
          <w:rFonts w:hint="eastAsia"/>
        </w:rPr>
        <w:t>站内已建设一座危废暂存间，主要贮存含油废物和化验室废液，危废暂存间面积约2</w:t>
      </w:r>
      <w:r>
        <w:t>0m</w:t>
      </w:r>
      <w:r>
        <w:rPr>
          <w:vertAlign w:val="superscript"/>
        </w:rPr>
        <w:t>2</w:t>
      </w:r>
      <w:r>
        <w:rPr>
          <w:rFonts w:hint="eastAsia"/>
        </w:rPr>
        <w:t>，</w:t>
      </w:r>
      <w:r>
        <w:rPr>
          <w:bCs/>
        </w:rPr>
        <w:t>主体支架采用方镀锌钢搭建，顶部采用彩钢瓦铺设，四面采用彩钢瓦铺面</w:t>
      </w:r>
      <w:r>
        <w:rPr>
          <w:rFonts w:hint="eastAsia"/>
        </w:rPr>
        <w:t>，地面采用P8 C30抗渗商品混凝土进行浇筑，并设置3</w:t>
      </w:r>
      <w:r>
        <w:t>0</w:t>
      </w:r>
      <w:r>
        <w:rPr>
          <w:rFonts w:hint="eastAsia"/>
        </w:rPr>
        <w:t>cm高围堰，满足本项目依托要求。</w:t>
      </w:r>
    </w:p>
    <w:p w14:paraId="764650C2">
      <w:pPr>
        <w:pStyle w:val="702"/>
        <w:adjustRightInd w:val="0"/>
        <w:snapToGrid w:val="0"/>
        <w:spacing w:line="440" w:lineRule="exact"/>
        <w:ind w:firstLine="520"/>
        <w:rPr>
          <w:rFonts w:cs="Times New Roman"/>
        </w:rPr>
      </w:pPr>
      <w:r>
        <w:rPr>
          <w:rFonts w:cs="Times New Roman"/>
        </w:rPr>
        <w:fldChar w:fldCharType="begin"/>
      </w:r>
      <w:r>
        <w:rPr>
          <w:rFonts w:cs="Times New Roman"/>
        </w:rPr>
        <w:instrText xml:space="preserve"> </w:instrText>
      </w:r>
      <w:r>
        <w:rPr>
          <w:rFonts w:hint="eastAsia" w:cs="Times New Roman"/>
        </w:rPr>
        <w:instrText xml:space="preserve">= 2 \* GB3</w:instrText>
      </w:r>
      <w:r>
        <w:rPr>
          <w:rFonts w:cs="Times New Roman"/>
        </w:rPr>
        <w:instrText xml:space="preserve"> </w:instrText>
      </w:r>
      <w:r>
        <w:rPr>
          <w:rFonts w:cs="Times New Roman"/>
        </w:rPr>
        <w:fldChar w:fldCharType="separate"/>
      </w:r>
      <w:r>
        <w:rPr>
          <w:rFonts w:hint="eastAsia" w:cs="Times New Roman"/>
        </w:rPr>
        <w:t>②</w:t>
      </w:r>
      <w:r>
        <w:rPr>
          <w:rFonts w:cs="Times New Roman"/>
        </w:rPr>
        <w:fldChar w:fldCharType="end"/>
      </w:r>
      <w:r>
        <w:rPr>
          <w:rFonts w:hint="eastAsia" w:cs="Times New Roman"/>
        </w:rPr>
        <w:t>检修废渣</w:t>
      </w:r>
    </w:p>
    <w:p w14:paraId="02951845">
      <w:pPr>
        <w:adjustRightInd w:val="0"/>
        <w:snapToGrid w:val="0"/>
        <w:spacing w:line="460" w:lineRule="exact"/>
        <w:ind w:firstLine="520" w:firstLineChars="200"/>
        <w:rPr>
          <w:bCs/>
          <w:sz w:val="26"/>
          <w:szCs w:val="26"/>
        </w:rPr>
      </w:pPr>
      <w:r>
        <w:rPr>
          <w:rFonts w:hint="eastAsia"/>
          <w:bCs/>
          <w:sz w:val="26"/>
          <w:szCs w:val="26"/>
        </w:rPr>
        <w:t>试采站设备正常情况下24小时连续运行，每年进行1次检修。检修将产生少量检修废渣，约</w:t>
      </w:r>
      <w:r>
        <w:rPr>
          <w:bCs/>
          <w:sz w:val="26"/>
          <w:szCs w:val="26"/>
        </w:rPr>
        <w:t>2.0</w:t>
      </w:r>
      <w:r>
        <w:rPr>
          <w:rFonts w:hint="eastAsia"/>
          <w:bCs/>
          <w:sz w:val="26"/>
          <w:szCs w:val="26"/>
        </w:rPr>
        <w:t>kg次。检修废渣主要成分为油类物质、铁屑杂质、砂砾等，</w:t>
      </w:r>
      <w:r>
        <w:rPr>
          <w:bCs/>
          <w:sz w:val="26"/>
          <w:szCs w:val="26"/>
        </w:rPr>
        <w:t>属于危险废物（废物类别为HW08，废物代码900-249-08）</w:t>
      </w:r>
      <w:r>
        <w:rPr>
          <w:rFonts w:hint="eastAsia"/>
          <w:bCs/>
          <w:sz w:val="26"/>
          <w:szCs w:val="26"/>
        </w:rPr>
        <w:t>，设备检修废渣即产即运，由作业区收集后暂存于河飞203中心站危废暂存间，统一交由资质单位处置。</w:t>
      </w:r>
    </w:p>
    <w:p w14:paraId="2CD0B0DC">
      <w:pPr>
        <w:pStyle w:val="702"/>
        <w:adjustRightInd w:val="0"/>
        <w:snapToGrid w:val="0"/>
        <w:spacing w:line="440" w:lineRule="exact"/>
        <w:ind w:firstLine="520"/>
        <w:rPr>
          <w:rFonts w:cs="Times New Roman"/>
        </w:rPr>
      </w:pPr>
      <w:r>
        <w:rPr>
          <w:rFonts w:cs="Times New Roman"/>
        </w:rPr>
        <w:fldChar w:fldCharType="begin"/>
      </w:r>
      <w:r>
        <w:rPr>
          <w:rFonts w:cs="Times New Roman"/>
        </w:rPr>
        <w:instrText xml:space="preserve"> </w:instrText>
      </w:r>
      <w:r>
        <w:rPr>
          <w:rFonts w:hint="eastAsia" w:cs="Times New Roman"/>
        </w:rPr>
        <w:instrText xml:space="preserve">= 3 \* GB3</w:instrText>
      </w:r>
      <w:r>
        <w:rPr>
          <w:rFonts w:cs="Times New Roman"/>
        </w:rPr>
        <w:instrText xml:space="preserve"> </w:instrText>
      </w:r>
      <w:r>
        <w:rPr>
          <w:rFonts w:cs="Times New Roman"/>
        </w:rPr>
        <w:fldChar w:fldCharType="separate"/>
      </w:r>
      <w:r>
        <w:rPr>
          <w:rFonts w:hint="eastAsia" w:cs="Times New Roman"/>
        </w:rPr>
        <w:t>③</w:t>
      </w:r>
      <w:r>
        <w:rPr>
          <w:rFonts w:cs="Times New Roman"/>
        </w:rPr>
        <w:fldChar w:fldCharType="end"/>
      </w:r>
      <w:r>
        <w:rPr>
          <w:rFonts w:hint="eastAsia" w:cs="Times New Roman"/>
        </w:rPr>
        <w:t>废油</w:t>
      </w:r>
    </w:p>
    <w:p w14:paraId="5D1DBEB1">
      <w:pPr>
        <w:pStyle w:val="702"/>
        <w:adjustRightInd w:val="0"/>
        <w:snapToGrid w:val="0"/>
        <w:spacing w:line="440" w:lineRule="exact"/>
        <w:ind w:firstLine="520"/>
        <w:rPr>
          <w:rFonts w:cs="Times New Roman"/>
        </w:rPr>
      </w:pPr>
      <w:r>
        <w:rPr>
          <w:rFonts w:hint="eastAsia" w:cs="Times New Roman"/>
        </w:rPr>
        <w:t>本项目脱水压缩撬等机械设备在</w:t>
      </w:r>
      <w:r>
        <w:rPr>
          <w:rFonts w:hint="eastAsia"/>
          <w:szCs w:val="26"/>
        </w:rPr>
        <w:t>换油和换滤清器过程中均会产生废机油，因而需要增补或更换，产生废润滑油均为</w:t>
      </w:r>
      <w:r>
        <w:rPr>
          <w:szCs w:val="26"/>
        </w:rPr>
        <w:t>3</w:t>
      </w:r>
      <w:r>
        <w:rPr>
          <w:rFonts w:hint="eastAsia"/>
          <w:szCs w:val="26"/>
        </w:rPr>
        <w:t>.0</w:t>
      </w:r>
      <w:r>
        <w:rPr>
          <w:szCs w:val="26"/>
        </w:rPr>
        <w:t>t/a</w:t>
      </w:r>
      <w:r>
        <w:rPr>
          <w:rFonts w:hint="eastAsia"/>
          <w:szCs w:val="26"/>
        </w:rPr>
        <w:t>。废机油属于危险废物</w:t>
      </w:r>
      <w:r>
        <w:rPr>
          <w:bCs/>
          <w:szCs w:val="26"/>
        </w:rPr>
        <w:t>（废物类别为HW08，废物代码900-249-08）</w:t>
      </w:r>
      <w:r>
        <w:rPr>
          <w:rFonts w:hint="eastAsia"/>
          <w:szCs w:val="26"/>
        </w:rPr>
        <w:t>。废油产生后</w:t>
      </w:r>
      <w:r>
        <w:rPr>
          <w:rFonts w:hint="eastAsia"/>
          <w:bCs/>
          <w:szCs w:val="26"/>
        </w:rPr>
        <w:t>即产即运，由作业区收集后暂存于河飞203中心站危废暂存间，统一交由资质单位处置。</w:t>
      </w:r>
    </w:p>
    <w:p w14:paraId="592963D1">
      <w:pPr>
        <w:pStyle w:val="702"/>
        <w:adjustRightInd w:val="0"/>
        <w:snapToGrid w:val="0"/>
        <w:spacing w:line="440" w:lineRule="exact"/>
        <w:ind w:firstLine="520"/>
        <w:rPr>
          <w:rFonts w:cs="Times New Roman"/>
        </w:rPr>
      </w:pPr>
      <w:r>
        <w:rPr>
          <w:rFonts w:cs="Times New Roman"/>
        </w:rPr>
        <w:fldChar w:fldCharType="begin"/>
      </w:r>
      <w:r>
        <w:rPr>
          <w:rFonts w:cs="Times New Roman"/>
        </w:rPr>
        <w:instrText xml:space="preserve"> </w:instrText>
      </w:r>
      <w:r>
        <w:rPr>
          <w:rFonts w:hint="eastAsia" w:cs="Times New Roman"/>
        </w:rPr>
        <w:instrText xml:space="preserve">= 4 \* GB3</w:instrText>
      </w:r>
      <w:r>
        <w:rPr>
          <w:rFonts w:cs="Times New Roman"/>
        </w:rPr>
        <w:instrText xml:space="preserve"> </w:instrText>
      </w:r>
      <w:r>
        <w:rPr>
          <w:rFonts w:cs="Times New Roman"/>
        </w:rPr>
        <w:fldChar w:fldCharType="separate"/>
      </w:r>
      <w:r>
        <w:rPr>
          <w:rFonts w:hint="eastAsia" w:cs="Times New Roman"/>
        </w:rPr>
        <w:t>④</w:t>
      </w:r>
      <w:r>
        <w:rPr>
          <w:rFonts w:cs="Times New Roman"/>
        </w:rPr>
        <w:fldChar w:fldCharType="end"/>
      </w:r>
      <w:r>
        <w:rPr>
          <w:rFonts w:hint="eastAsia"/>
          <w:szCs w:val="26"/>
        </w:rPr>
        <w:t>废油桶</w:t>
      </w:r>
    </w:p>
    <w:p w14:paraId="23E728C3">
      <w:pPr>
        <w:pStyle w:val="702"/>
        <w:adjustRightInd w:val="0"/>
        <w:snapToGrid w:val="0"/>
        <w:spacing w:line="440" w:lineRule="exact"/>
        <w:ind w:firstLine="520"/>
        <w:rPr>
          <w:rFonts w:cs="Times New Roman"/>
        </w:rPr>
      </w:pPr>
      <w:r>
        <w:rPr>
          <w:rFonts w:hint="eastAsia"/>
          <w:szCs w:val="26"/>
        </w:rPr>
        <w:t>主要为机油等矿物油类辅料包装桶，产生量约0.05t/a，含有油类物质，属于危险废物（废物类别为HW08，废物代码900-249-08）。</w:t>
      </w:r>
      <w:r>
        <w:rPr>
          <w:rFonts w:hint="eastAsia"/>
          <w:bCs/>
          <w:szCs w:val="26"/>
        </w:rPr>
        <w:t>由作业区收集后暂存于河飞203中心站危废暂存间，统一交由资质单位处置。</w:t>
      </w:r>
    </w:p>
    <w:p w14:paraId="76138087">
      <w:pPr>
        <w:pStyle w:val="702"/>
        <w:adjustRightInd w:val="0"/>
        <w:snapToGrid w:val="0"/>
        <w:spacing w:line="440" w:lineRule="exact"/>
        <w:ind w:firstLine="520"/>
        <w:rPr>
          <w:rFonts w:cs="Times New Roman"/>
        </w:rPr>
      </w:pPr>
      <w:r>
        <w:rPr>
          <w:rFonts w:cs="Times New Roman"/>
        </w:rPr>
        <w:fldChar w:fldCharType="begin"/>
      </w:r>
      <w:r>
        <w:rPr>
          <w:rFonts w:cs="Times New Roman"/>
        </w:rPr>
        <w:instrText xml:space="preserve"> </w:instrText>
      </w:r>
      <w:r>
        <w:rPr>
          <w:rFonts w:hint="eastAsia" w:cs="Times New Roman"/>
        </w:rPr>
        <w:instrText xml:space="preserve">= 5 \* GB3</w:instrText>
      </w:r>
      <w:r>
        <w:rPr>
          <w:rFonts w:cs="Times New Roman"/>
        </w:rPr>
        <w:instrText xml:space="preserve"> </w:instrText>
      </w:r>
      <w:r>
        <w:rPr>
          <w:rFonts w:cs="Times New Roman"/>
        </w:rPr>
        <w:fldChar w:fldCharType="separate"/>
      </w:r>
      <w:r>
        <w:rPr>
          <w:rFonts w:hint="eastAsia" w:cs="Times New Roman"/>
        </w:rPr>
        <w:t>⑤</w:t>
      </w:r>
      <w:r>
        <w:rPr>
          <w:rFonts w:cs="Times New Roman"/>
        </w:rPr>
        <w:fldChar w:fldCharType="end"/>
      </w:r>
      <w:r>
        <w:rPr>
          <w:rFonts w:hint="eastAsia"/>
          <w:szCs w:val="26"/>
        </w:rPr>
        <w:t>含油擦拭物</w:t>
      </w:r>
    </w:p>
    <w:p w14:paraId="6536A404">
      <w:pPr>
        <w:pStyle w:val="702"/>
        <w:adjustRightInd w:val="0"/>
        <w:snapToGrid w:val="0"/>
        <w:spacing w:line="440" w:lineRule="exact"/>
        <w:ind w:firstLine="520"/>
        <w:rPr>
          <w:rFonts w:cs="Times New Roman"/>
        </w:rPr>
      </w:pPr>
      <w:r>
        <w:rPr>
          <w:rFonts w:hint="eastAsia"/>
          <w:szCs w:val="26"/>
        </w:rPr>
        <w:t>在使用机油等油类物质过程中，会产生含油手套、抹布等含油擦拭物，含油擦拭物产生量约</w:t>
      </w:r>
      <w:r>
        <w:rPr>
          <w:szCs w:val="26"/>
        </w:rPr>
        <w:t>0.01t/a</w:t>
      </w:r>
      <w:r>
        <w:rPr>
          <w:rFonts w:hint="eastAsia"/>
          <w:szCs w:val="26"/>
        </w:rPr>
        <w:t>。含油擦拭物属于危险废物（废物类别为HW08，废物代码900-249-08）。</w:t>
      </w:r>
      <w:r>
        <w:rPr>
          <w:rFonts w:hint="eastAsia"/>
          <w:bCs/>
          <w:szCs w:val="26"/>
        </w:rPr>
        <w:t>由作业区收集后暂存于河飞203中心站危废暂存间，统一交由资质单位处置。</w:t>
      </w:r>
    </w:p>
    <w:p w14:paraId="352BF7CC">
      <w:pPr>
        <w:pStyle w:val="702"/>
        <w:spacing w:line="440" w:lineRule="exact"/>
        <w:ind w:firstLine="520"/>
        <w:rPr>
          <w:rFonts w:cs="Times New Roman"/>
        </w:rPr>
      </w:pPr>
      <w:r>
        <w:rPr>
          <w:rFonts w:hint="eastAsia" w:cs="Times New Roman"/>
        </w:rPr>
        <w:t>（3）</w:t>
      </w:r>
      <w:r>
        <w:rPr>
          <w:rFonts w:cs="Times New Roman"/>
        </w:rPr>
        <w:t>生活垃圾</w:t>
      </w:r>
    </w:p>
    <w:p w14:paraId="72CE266C">
      <w:pPr>
        <w:adjustRightInd w:val="0"/>
        <w:snapToGrid w:val="0"/>
        <w:spacing w:line="440" w:lineRule="exact"/>
        <w:ind w:firstLine="520" w:firstLineChars="200"/>
        <w:rPr>
          <w:sz w:val="26"/>
          <w:szCs w:val="26"/>
        </w:rPr>
      </w:pPr>
      <w:r>
        <w:rPr>
          <w:rFonts w:hint="eastAsia"/>
          <w:sz w:val="26"/>
          <w:szCs w:val="26"/>
        </w:rPr>
        <w:t>试采站</w:t>
      </w:r>
      <w:r>
        <w:rPr>
          <w:sz w:val="26"/>
          <w:szCs w:val="26"/>
        </w:rPr>
        <w:t>设置2名值守人员，生活垃圾产生量按0.5kg/人d计，则生活垃圾产生量为1.0kg/d（0.365t/a）。生活垃圾分类收集后，交当地环卫部门处置。</w:t>
      </w:r>
    </w:p>
    <w:p w14:paraId="63F76764">
      <w:pPr>
        <w:pStyle w:val="1068"/>
      </w:pPr>
      <w:r>
        <w:rPr>
          <w:rFonts w:hint="eastAsia"/>
        </w:rPr>
        <w:t>6</w:t>
      </w:r>
      <w:r>
        <w:t xml:space="preserve">.6.2 </w:t>
      </w:r>
      <w:r>
        <w:rPr>
          <w:rFonts w:hint="eastAsia"/>
        </w:rPr>
        <w:t>固体废物管理</w:t>
      </w:r>
    </w:p>
    <w:p w14:paraId="25464690">
      <w:pPr>
        <w:pStyle w:val="1381"/>
        <w:ind w:firstLine="520"/>
      </w:pPr>
      <w:r>
        <w:rPr>
          <w:rFonts w:hint="eastAsia"/>
        </w:rPr>
        <w:t>本项目试采站不设置危废暂存间，项目产生的储罐沉渣、检修废渣、废油、废油桶和</w:t>
      </w:r>
      <w:r>
        <w:rPr>
          <w:rFonts w:hint="eastAsia"/>
          <w:szCs w:val="26"/>
        </w:rPr>
        <w:t>含油擦拭物</w:t>
      </w:r>
      <w:r>
        <w:rPr>
          <w:rFonts w:hint="eastAsia"/>
        </w:rPr>
        <w:t>等危险废物即产即运，由作业区收集后暂存于河飞203中心站危废暂存间，统一交由有危险废物处理资质的单位（危废处置协议见</w:t>
      </w:r>
      <w:r>
        <w:rPr>
          <w:rFonts w:hint="eastAsia"/>
          <w:u w:val="single"/>
        </w:rPr>
        <w:t>附件1</w:t>
      </w:r>
      <w:r>
        <w:rPr>
          <w:u w:val="single"/>
        </w:rPr>
        <w:t>3</w:t>
      </w:r>
      <w:r>
        <w:rPr>
          <w:rFonts w:hint="eastAsia"/>
        </w:rPr>
        <w:t>和</w:t>
      </w:r>
      <w:r>
        <w:rPr>
          <w:rFonts w:hint="eastAsia"/>
          <w:u w:val="single"/>
        </w:rPr>
        <w:t>附件1</w:t>
      </w:r>
      <w:r>
        <w:rPr>
          <w:u w:val="single"/>
        </w:rPr>
        <w:t>4</w:t>
      </w:r>
      <w:r>
        <w:rPr>
          <w:rFonts w:hint="eastAsia"/>
        </w:rPr>
        <w:t>）处置，不在井站储存，本次仅对项目产生的危险废物运输提出管理要求：</w:t>
      </w:r>
    </w:p>
    <w:p w14:paraId="140DD6FC">
      <w:pPr>
        <w:pStyle w:val="1381"/>
        <w:ind w:firstLine="520"/>
      </w:pPr>
      <w:r>
        <w:rPr>
          <w:rFonts w:hint="eastAsia"/>
        </w:rPr>
        <w:t>（1）危险废物公路运输应按照《道路危险货物运输管理规定》、JT/T 617-2018以及JT/T 617-2018执行。</w:t>
      </w:r>
    </w:p>
    <w:p w14:paraId="71FD3EC3">
      <w:pPr>
        <w:pStyle w:val="1381"/>
        <w:ind w:firstLine="520"/>
      </w:pPr>
      <w:r>
        <w:rPr>
          <w:rFonts w:hint="eastAsia"/>
        </w:rPr>
        <w:t>（2）运输单位承运危险废物时，应在危险废物包装上按照GB18597附录A设置标志。</w:t>
      </w:r>
    </w:p>
    <w:p w14:paraId="1B5DA80B">
      <w:pPr>
        <w:pStyle w:val="1381"/>
        <w:ind w:firstLine="520"/>
      </w:pPr>
      <w:r>
        <w:rPr>
          <w:rFonts w:hint="eastAsia"/>
        </w:rPr>
        <w:t>（3）危险废物公路运输时，运输车辆应按GB13392设置车辆标志。</w:t>
      </w:r>
    </w:p>
    <w:p w14:paraId="7304625E">
      <w:pPr>
        <w:pStyle w:val="1381"/>
        <w:ind w:firstLine="520"/>
      </w:pPr>
      <w:r>
        <w:rPr>
          <w:rFonts w:hint="eastAsia"/>
        </w:rPr>
        <w:t>（4）危险废物运输应遵守危险货物运输管理的相关规定，按照危险废物特性分类运输。自行运输危险废物的应描述拟采用运输工具状况，包括工具种类、载重量、使用年限、危险货物运输资质、污染防治和事故预防措施等；委托外单位运输危险废物的，应描述委托运输具体状况，包括委托运输单位、危险货物运输资质等。</w:t>
      </w:r>
    </w:p>
    <w:p w14:paraId="0A3EAF15">
      <w:pPr>
        <w:snapToGrid w:val="0"/>
        <w:spacing w:line="450" w:lineRule="exact"/>
        <w:ind w:firstLine="522" w:firstLineChars="200"/>
        <w:outlineLvl w:val="1"/>
        <w:rPr>
          <w:b/>
          <w:sz w:val="26"/>
          <w:szCs w:val="26"/>
        </w:rPr>
      </w:pPr>
      <w:bookmarkStart w:id="302" w:name="_Toc165809747"/>
      <w:bookmarkStart w:id="303" w:name="_Toc219907660"/>
      <w:bookmarkStart w:id="304" w:name="_Toc165810604"/>
      <w:r>
        <w:rPr>
          <w:rFonts w:hint="eastAsia"/>
          <w:b/>
          <w:sz w:val="26"/>
          <w:szCs w:val="26"/>
        </w:rPr>
        <w:t>6</w:t>
      </w:r>
      <w:r>
        <w:rPr>
          <w:b/>
          <w:sz w:val="26"/>
          <w:szCs w:val="26"/>
        </w:rPr>
        <w:t xml:space="preserve">.7 </w:t>
      </w:r>
      <w:r>
        <w:rPr>
          <w:rFonts w:hint="eastAsia"/>
          <w:b/>
          <w:sz w:val="26"/>
          <w:szCs w:val="26"/>
        </w:rPr>
        <w:t>土壤环境影响分析</w:t>
      </w:r>
      <w:bookmarkEnd w:id="302"/>
      <w:bookmarkEnd w:id="303"/>
      <w:bookmarkEnd w:id="304"/>
    </w:p>
    <w:p w14:paraId="21CF60B8">
      <w:pPr>
        <w:pStyle w:val="1068"/>
        <w:spacing w:line="450" w:lineRule="exact"/>
        <w:rPr>
          <w:rFonts w:cs="Times New Roman"/>
        </w:rPr>
      </w:pPr>
      <w:bookmarkStart w:id="305" w:name="_Toc165810605"/>
      <w:r>
        <w:rPr>
          <w:rFonts w:cs="Times New Roman"/>
        </w:rPr>
        <w:t>6.7.1 土壤污染途径识别</w:t>
      </w:r>
      <w:bookmarkEnd w:id="305"/>
    </w:p>
    <w:p w14:paraId="2EF1727C">
      <w:pPr>
        <w:spacing w:line="460" w:lineRule="exact"/>
        <w:ind w:firstLine="520" w:firstLineChars="200"/>
        <w:rPr>
          <w:sz w:val="26"/>
          <w:szCs w:val="26"/>
        </w:rPr>
      </w:pPr>
      <w:r>
        <w:rPr>
          <w:sz w:val="26"/>
          <w:szCs w:val="26"/>
        </w:rPr>
        <w:t>正常状况下，本项目试采期产生的气田水</w:t>
      </w:r>
      <w:r>
        <w:rPr>
          <w:rFonts w:hint="eastAsia"/>
          <w:sz w:val="26"/>
          <w:szCs w:val="26"/>
        </w:rPr>
        <w:t>和凝析油</w:t>
      </w:r>
      <w:r>
        <w:rPr>
          <w:sz w:val="26"/>
          <w:szCs w:val="26"/>
        </w:rPr>
        <w:t>储存在储罐内，罐体下方地面采用了防渗处理，并设置了围堰，不会通过渗漏进入土壤环境。站内输气管线是全封闭系统，管道采取了防腐处理，输气过程对土壤不会造成影响。</w:t>
      </w:r>
    </w:p>
    <w:p w14:paraId="2BBE2D24">
      <w:pPr>
        <w:spacing w:line="460" w:lineRule="exact"/>
        <w:ind w:firstLine="520" w:firstLineChars="200"/>
        <w:rPr>
          <w:sz w:val="26"/>
          <w:szCs w:val="26"/>
        </w:rPr>
      </w:pPr>
      <w:r>
        <w:rPr>
          <w:sz w:val="26"/>
          <w:szCs w:val="26"/>
        </w:rPr>
        <w:t>非正常状况下，储罐发生泄漏</w:t>
      </w:r>
      <w:r>
        <w:rPr>
          <w:rFonts w:hint="eastAsia"/>
          <w:sz w:val="26"/>
          <w:szCs w:val="26"/>
        </w:rPr>
        <w:t>且罐区防渗层破坏</w:t>
      </w:r>
      <w:r>
        <w:rPr>
          <w:sz w:val="26"/>
          <w:szCs w:val="26"/>
        </w:rPr>
        <w:t>，将对泄漏处周边土壤环境造成一定污染。</w:t>
      </w:r>
      <w:r>
        <w:rPr>
          <w:rFonts w:hint="eastAsia"/>
          <w:sz w:val="26"/>
          <w:szCs w:val="26"/>
        </w:rPr>
        <w:t>同时，本项目水套加热炉和站场设备废气排放会对土壤造成一定的沉降影响。</w:t>
      </w:r>
    </w:p>
    <w:p w14:paraId="39D67DB1">
      <w:pPr>
        <w:spacing w:line="460" w:lineRule="exact"/>
        <w:ind w:firstLine="520" w:firstLineChars="200"/>
        <w:rPr>
          <w:sz w:val="26"/>
          <w:szCs w:val="26"/>
        </w:rPr>
      </w:pPr>
      <w:r>
        <w:rPr>
          <w:sz w:val="26"/>
          <w:szCs w:val="26"/>
        </w:rPr>
        <w:t>项目土壤环境影响类型与途径见下表：</w:t>
      </w:r>
    </w:p>
    <w:p w14:paraId="74A0D14E">
      <w:pPr>
        <w:pStyle w:val="1379"/>
        <w:ind w:firstLine="440"/>
      </w:pPr>
    </w:p>
    <w:p w14:paraId="588A8DA7">
      <w:pPr>
        <w:pStyle w:val="1065"/>
      </w:pPr>
      <w:r>
        <w:t>表6.7-1   土壤环境影响类型与影响途径表</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2170"/>
        <w:gridCol w:w="2169"/>
        <w:gridCol w:w="2169"/>
      </w:tblGrid>
      <w:tr w14:paraId="1AA2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678" w:type="dxa"/>
            <w:gridSpan w:val="4"/>
            <w:vAlign w:val="center"/>
          </w:tcPr>
          <w:p w14:paraId="5669244C">
            <w:pPr>
              <w:jc w:val="center"/>
              <w:rPr>
                <w:sz w:val="22"/>
                <w:szCs w:val="22"/>
              </w:rPr>
            </w:pPr>
            <w:r>
              <w:rPr>
                <w:sz w:val="22"/>
                <w:szCs w:val="22"/>
              </w:rPr>
              <w:t>污染影响类型</w:t>
            </w:r>
          </w:p>
        </w:tc>
      </w:tr>
      <w:tr w14:paraId="15063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170" w:type="dxa"/>
            <w:vAlign w:val="center"/>
          </w:tcPr>
          <w:p w14:paraId="5FC81E33">
            <w:pPr>
              <w:jc w:val="center"/>
              <w:rPr>
                <w:sz w:val="22"/>
                <w:szCs w:val="22"/>
              </w:rPr>
            </w:pPr>
            <w:r>
              <w:rPr>
                <w:sz w:val="22"/>
                <w:szCs w:val="22"/>
              </w:rPr>
              <w:t>大气沉降</w:t>
            </w:r>
          </w:p>
        </w:tc>
        <w:tc>
          <w:tcPr>
            <w:tcW w:w="2170" w:type="dxa"/>
            <w:vAlign w:val="center"/>
          </w:tcPr>
          <w:p w14:paraId="1B3B6857">
            <w:pPr>
              <w:jc w:val="center"/>
              <w:rPr>
                <w:sz w:val="22"/>
                <w:szCs w:val="22"/>
              </w:rPr>
            </w:pPr>
            <w:r>
              <w:rPr>
                <w:sz w:val="22"/>
                <w:szCs w:val="22"/>
              </w:rPr>
              <w:t>地面漫流</w:t>
            </w:r>
          </w:p>
        </w:tc>
        <w:tc>
          <w:tcPr>
            <w:tcW w:w="2169" w:type="dxa"/>
            <w:vAlign w:val="center"/>
          </w:tcPr>
          <w:p w14:paraId="511E94F7">
            <w:pPr>
              <w:jc w:val="center"/>
              <w:rPr>
                <w:sz w:val="22"/>
                <w:szCs w:val="22"/>
              </w:rPr>
            </w:pPr>
            <w:r>
              <w:rPr>
                <w:sz w:val="22"/>
                <w:szCs w:val="22"/>
              </w:rPr>
              <w:t>垂直入渗</w:t>
            </w:r>
          </w:p>
        </w:tc>
        <w:tc>
          <w:tcPr>
            <w:tcW w:w="2169" w:type="dxa"/>
            <w:vAlign w:val="center"/>
          </w:tcPr>
          <w:p w14:paraId="1D45ACE3">
            <w:pPr>
              <w:jc w:val="center"/>
              <w:rPr>
                <w:sz w:val="22"/>
                <w:szCs w:val="22"/>
              </w:rPr>
            </w:pPr>
            <w:r>
              <w:rPr>
                <w:sz w:val="22"/>
                <w:szCs w:val="22"/>
              </w:rPr>
              <w:t>其他</w:t>
            </w:r>
          </w:p>
        </w:tc>
      </w:tr>
      <w:tr w14:paraId="7CFDC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170" w:type="dxa"/>
            <w:vAlign w:val="center"/>
          </w:tcPr>
          <w:p w14:paraId="2B3FA800">
            <w:pPr>
              <w:jc w:val="center"/>
              <w:rPr>
                <w:sz w:val="22"/>
                <w:szCs w:val="22"/>
              </w:rPr>
            </w:pPr>
            <w:r>
              <w:rPr>
                <w:sz w:val="22"/>
                <w:szCs w:val="22"/>
              </w:rPr>
              <w:t>√</w:t>
            </w:r>
          </w:p>
        </w:tc>
        <w:tc>
          <w:tcPr>
            <w:tcW w:w="2170" w:type="dxa"/>
            <w:vAlign w:val="center"/>
          </w:tcPr>
          <w:p w14:paraId="441CC212">
            <w:pPr>
              <w:jc w:val="center"/>
              <w:rPr>
                <w:sz w:val="22"/>
                <w:szCs w:val="22"/>
              </w:rPr>
            </w:pPr>
            <w:r>
              <w:rPr>
                <w:sz w:val="22"/>
                <w:szCs w:val="22"/>
              </w:rPr>
              <w:t>/</w:t>
            </w:r>
          </w:p>
        </w:tc>
        <w:tc>
          <w:tcPr>
            <w:tcW w:w="2169" w:type="dxa"/>
            <w:vAlign w:val="center"/>
          </w:tcPr>
          <w:p w14:paraId="1E4DFD9D">
            <w:pPr>
              <w:jc w:val="center"/>
              <w:rPr>
                <w:sz w:val="22"/>
                <w:szCs w:val="22"/>
              </w:rPr>
            </w:pPr>
            <w:r>
              <w:rPr>
                <w:sz w:val="22"/>
                <w:szCs w:val="22"/>
              </w:rPr>
              <w:t>√</w:t>
            </w:r>
          </w:p>
        </w:tc>
        <w:tc>
          <w:tcPr>
            <w:tcW w:w="2169" w:type="dxa"/>
            <w:vAlign w:val="center"/>
          </w:tcPr>
          <w:p w14:paraId="3107380B">
            <w:pPr>
              <w:jc w:val="center"/>
              <w:rPr>
                <w:sz w:val="22"/>
                <w:szCs w:val="22"/>
              </w:rPr>
            </w:pPr>
            <w:r>
              <w:rPr>
                <w:sz w:val="22"/>
                <w:szCs w:val="22"/>
              </w:rPr>
              <w:t>/</w:t>
            </w:r>
          </w:p>
        </w:tc>
      </w:tr>
    </w:tbl>
    <w:p w14:paraId="2EC17BC6">
      <w:pPr>
        <w:pStyle w:val="1379"/>
        <w:ind w:firstLine="440"/>
      </w:pPr>
    </w:p>
    <w:p w14:paraId="4FB61CCB">
      <w:pPr>
        <w:pStyle w:val="1068"/>
      </w:pPr>
      <w:r>
        <w:rPr>
          <w:rFonts w:hint="eastAsia"/>
        </w:rPr>
        <w:t>6</w:t>
      </w:r>
      <w:r>
        <w:t xml:space="preserve">.7.2 </w:t>
      </w:r>
      <w:r>
        <w:rPr>
          <w:rFonts w:hint="eastAsia"/>
        </w:rPr>
        <w:t>土壤环境影响源及影响因子识别</w:t>
      </w:r>
    </w:p>
    <w:p w14:paraId="187B64A0">
      <w:pPr>
        <w:spacing w:line="460" w:lineRule="exact"/>
        <w:ind w:firstLine="520" w:firstLineChars="200"/>
        <w:rPr>
          <w:sz w:val="26"/>
          <w:szCs w:val="26"/>
        </w:rPr>
      </w:pPr>
      <w:r>
        <w:rPr>
          <w:sz w:val="26"/>
          <w:szCs w:val="26"/>
        </w:rPr>
        <w:t>本项目土壤环境影响源及影响因子见下表。</w:t>
      </w:r>
    </w:p>
    <w:p w14:paraId="50D00F89">
      <w:pPr>
        <w:adjustRightInd w:val="0"/>
        <w:snapToGrid w:val="0"/>
        <w:ind w:firstLine="440" w:firstLineChars="200"/>
        <w:rPr>
          <w:snapToGrid w:val="0"/>
          <w:kern w:val="0"/>
          <w:sz w:val="22"/>
          <w:szCs w:val="20"/>
        </w:rPr>
      </w:pPr>
    </w:p>
    <w:p w14:paraId="58F0EA90">
      <w:pPr>
        <w:pStyle w:val="1065"/>
      </w:pPr>
      <w:r>
        <w:t>表6.7-2   土壤环境影响类型与影响途径表</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7"/>
        <w:gridCol w:w="1736"/>
        <w:gridCol w:w="1735"/>
        <w:gridCol w:w="2563"/>
        <w:gridCol w:w="907"/>
      </w:tblGrid>
      <w:tr w14:paraId="2BE2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37" w:type="dxa"/>
            <w:vAlign w:val="center"/>
          </w:tcPr>
          <w:p w14:paraId="2D637074">
            <w:pPr>
              <w:jc w:val="center"/>
              <w:rPr>
                <w:sz w:val="22"/>
              </w:rPr>
            </w:pPr>
            <w:r>
              <w:rPr>
                <w:sz w:val="22"/>
              </w:rPr>
              <w:t>污染源</w:t>
            </w:r>
          </w:p>
        </w:tc>
        <w:tc>
          <w:tcPr>
            <w:tcW w:w="1736" w:type="dxa"/>
            <w:vAlign w:val="center"/>
          </w:tcPr>
          <w:p w14:paraId="5ADDD952">
            <w:pPr>
              <w:jc w:val="center"/>
              <w:rPr>
                <w:sz w:val="22"/>
              </w:rPr>
            </w:pPr>
            <w:r>
              <w:rPr>
                <w:sz w:val="22"/>
              </w:rPr>
              <w:t>工艺流程</w:t>
            </w:r>
          </w:p>
        </w:tc>
        <w:tc>
          <w:tcPr>
            <w:tcW w:w="1735" w:type="dxa"/>
            <w:vAlign w:val="center"/>
          </w:tcPr>
          <w:p w14:paraId="0BE70E10">
            <w:pPr>
              <w:jc w:val="center"/>
              <w:rPr>
                <w:sz w:val="22"/>
              </w:rPr>
            </w:pPr>
            <w:r>
              <w:rPr>
                <w:sz w:val="22"/>
              </w:rPr>
              <w:t>污染途径</w:t>
            </w:r>
          </w:p>
        </w:tc>
        <w:tc>
          <w:tcPr>
            <w:tcW w:w="2563" w:type="dxa"/>
            <w:vAlign w:val="center"/>
          </w:tcPr>
          <w:p w14:paraId="3A13252C">
            <w:pPr>
              <w:jc w:val="center"/>
              <w:rPr>
                <w:sz w:val="22"/>
              </w:rPr>
            </w:pPr>
            <w:r>
              <w:rPr>
                <w:rFonts w:hint="eastAsia"/>
                <w:sz w:val="22"/>
              </w:rPr>
              <w:t>污染</w:t>
            </w:r>
            <w:r>
              <w:rPr>
                <w:sz w:val="22"/>
              </w:rPr>
              <w:t>因子</w:t>
            </w:r>
          </w:p>
        </w:tc>
        <w:tc>
          <w:tcPr>
            <w:tcW w:w="907" w:type="dxa"/>
            <w:vAlign w:val="center"/>
          </w:tcPr>
          <w:p w14:paraId="0B85ED04">
            <w:pPr>
              <w:jc w:val="center"/>
              <w:rPr>
                <w:sz w:val="22"/>
              </w:rPr>
            </w:pPr>
            <w:r>
              <w:rPr>
                <w:sz w:val="22"/>
              </w:rPr>
              <w:t>备注</w:t>
            </w:r>
          </w:p>
        </w:tc>
      </w:tr>
      <w:tr w14:paraId="31C4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37" w:type="dxa"/>
            <w:vAlign w:val="center"/>
          </w:tcPr>
          <w:p w14:paraId="2A3EACAC">
            <w:pPr>
              <w:jc w:val="center"/>
              <w:rPr>
                <w:sz w:val="22"/>
              </w:rPr>
            </w:pPr>
            <w:r>
              <w:rPr>
                <w:sz w:val="22"/>
              </w:rPr>
              <w:t>气田水储罐</w:t>
            </w:r>
          </w:p>
        </w:tc>
        <w:tc>
          <w:tcPr>
            <w:tcW w:w="1736" w:type="dxa"/>
            <w:vAlign w:val="center"/>
          </w:tcPr>
          <w:p w14:paraId="41731D4C">
            <w:pPr>
              <w:jc w:val="center"/>
              <w:rPr>
                <w:sz w:val="22"/>
              </w:rPr>
            </w:pPr>
            <w:r>
              <w:rPr>
                <w:sz w:val="22"/>
              </w:rPr>
              <w:t>气田水储存</w:t>
            </w:r>
          </w:p>
        </w:tc>
        <w:tc>
          <w:tcPr>
            <w:tcW w:w="1735" w:type="dxa"/>
            <w:vAlign w:val="center"/>
          </w:tcPr>
          <w:p w14:paraId="7837CC24">
            <w:pPr>
              <w:jc w:val="center"/>
              <w:rPr>
                <w:sz w:val="22"/>
              </w:rPr>
            </w:pPr>
            <w:r>
              <w:rPr>
                <w:sz w:val="22"/>
              </w:rPr>
              <w:t>垂直入渗</w:t>
            </w:r>
          </w:p>
        </w:tc>
        <w:tc>
          <w:tcPr>
            <w:tcW w:w="2563" w:type="dxa"/>
            <w:vAlign w:val="center"/>
          </w:tcPr>
          <w:p w14:paraId="0F9F71A0">
            <w:pPr>
              <w:jc w:val="center"/>
              <w:rPr>
                <w:sz w:val="22"/>
              </w:rPr>
            </w:pPr>
            <w:r>
              <w:rPr>
                <w:sz w:val="22"/>
              </w:rPr>
              <w:t>氯化物</w:t>
            </w:r>
            <w:r>
              <w:rPr>
                <w:rFonts w:hint="eastAsia"/>
                <w:sz w:val="22"/>
              </w:rPr>
              <w:t>、石油烃、钡</w:t>
            </w:r>
          </w:p>
        </w:tc>
        <w:tc>
          <w:tcPr>
            <w:tcW w:w="907" w:type="dxa"/>
            <w:vAlign w:val="center"/>
          </w:tcPr>
          <w:p w14:paraId="72D6B401">
            <w:pPr>
              <w:jc w:val="center"/>
              <w:rPr>
                <w:sz w:val="22"/>
              </w:rPr>
            </w:pPr>
            <w:r>
              <w:rPr>
                <w:sz w:val="22"/>
              </w:rPr>
              <w:t>事故</w:t>
            </w:r>
          </w:p>
        </w:tc>
      </w:tr>
      <w:tr w14:paraId="438C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37" w:type="dxa"/>
            <w:vAlign w:val="center"/>
          </w:tcPr>
          <w:p w14:paraId="5AE25B8F">
            <w:pPr>
              <w:jc w:val="center"/>
              <w:rPr>
                <w:sz w:val="22"/>
              </w:rPr>
            </w:pPr>
            <w:r>
              <w:rPr>
                <w:rFonts w:hint="eastAsia"/>
                <w:sz w:val="22"/>
              </w:rPr>
              <w:t>凝析油储罐</w:t>
            </w:r>
          </w:p>
        </w:tc>
        <w:tc>
          <w:tcPr>
            <w:tcW w:w="1736" w:type="dxa"/>
            <w:vAlign w:val="center"/>
          </w:tcPr>
          <w:p w14:paraId="38DF5E82">
            <w:pPr>
              <w:jc w:val="center"/>
              <w:rPr>
                <w:sz w:val="22"/>
              </w:rPr>
            </w:pPr>
            <w:r>
              <w:rPr>
                <w:rFonts w:hint="eastAsia"/>
                <w:sz w:val="22"/>
              </w:rPr>
              <w:t>凝析油储存</w:t>
            </w:r>
          </w:p>
        </w:tc>
        <w:tc>
          <w:tcPr>
            <w:tcW w:w="1735" w:type="dxa"/>
            <w:vAlign w:val="center"/>
          </w:tcPr>
          <w:p w14:paraId="6C3967BB">
            <w:pPr>
              <w:jc w:val="center"/>
              <w:rPr>
                <w:sz w:val="22"/>
              </w:rPr>
            </w:pPr>
            <w:r>
              <w:rPr>
                <w:sz w:val="22"/>
              </w:rPr>
              <w:t>垂直入渗</w:t>
            </w:r>
          </w:p>
        </w:tc>
        <w:tc>
          <w:tcPr>
            <w:tcW w:w="2563" w:type="dxa"/>
            <w:vAlign w:val="center"/>
          </w:tcPr>
          <w:p w14:paraId="714D6E36">
            <w:pPr>
              <w:jc w:val="center"/>
              <w:rPr>
                <w:sz w:val="22"/>
              </w:rPr>
            </w:pPr>
            <w:r>
              <w:rPr>
                <w:rFonts w:hint="eastAsia"/>
                <w:sz w:val="22"/>
              </w:rPr>
              <w:t>石油烃</w:t>
            </w:r>
          </w:p>
        </w:tc>
        <w:tc>
          <w:tcPr>
            <w:tcW w:w="907" w:type="dxa"/>
            <w:vAlign w:val="center"/>
          </w:tcPr>
          <w:p w14:paraId="428A026E">
            <w:pPr>
              <w:jc w:val="center"/>
              <w:rPr>
                <w:sz w:val="22"/>
              </w:rPr>
            </w:pPr>
            <w:r>
              <w:rPr>
                <w:rFonts w:hint="eastAsia"/>
                <w:sz w:val="22"/>
              </w:rPr>
              <w:t>事故</w:t>
            </w:r>
          </w:p>
        </w:tc>
      </w:tr>
      <w:tr w14:paraId="6199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37" w:type="dxa"/>
            <w:vAlign w:val="center"/>
          </w:tcPr>
          <w:p w14:paraId="704F713E">
            <w:pPr>
              <w:jc w:val="center"/>
              <w:rPr>
                <w:sz w:val="22"/>
              </w:rPr>
            </w:pPr>
            <w:r>
              <w:rPr>
                <w:rFonts w:hint="eastAsia"/>
                <w:sz w:val="22"/>
              </w:rPr>
              <w:t>废气排放</w:t>
            </w:r>
          </w:p>
        </w:tc>
        <w:tc>
          <w:tcPr>
            <w:tcW w:w="1736" w:type="dxa"/>
            <w:vAlign w:val="center"/>
          </w:tcPr>
          <w:p w14:paraId="32B85BC6">
            <w:pPr>
              <w:jc w:val="center"/>
              <w:rPr>
                <w:sz w:val="22"/>
              </w:rPr>
            </w:pPr>
            <w:r>
              <w:rPr>
                <w:rFonts w:hint="eastAsia"/>
                <w:sz w:val="22"/>
              </w:rPr>
              <w:t>水套加热炉、站场设备</w:t>
            </w:r>
          </w:p>
        </w:tc>
        <w:tc>
          <w:tcPr>
            <w:tcW w:w="1735" w:type="dxa"/>
            <w:vAlign w:val="center"/>
          </w:tcPr>
          <w:p w14:paraId="65A58555">
            <w:pPr>
              <w:jc w:val="center"/>
              <w:rPr>
                <w:sz w:val="22"/>
              </w:rPr>
            </w:pPr>
            <w:r>
              <w:rPr>
                <w:rFonts w:hint="eastAsia"/>
                <w:sz w:val="22"/>
              </w:rPr>
              <w:t>大气沉降</w:t>
            </w:r>
          </w:p>
        </w:tc>
        <w:tc>
          <w:tcPr>
            <w:tcW w:w="2563" w:type="dxa"/>
            <w:vAlign w:val="center"/>
          </w:tcPr>
          <w:p w14:paraId="19F8F5E2">
            <w:pPr>
              <w:jc w:val="center"/>
              <w:rPr>
                <w:sz w:val="22"/>
              </w:rPr>
            </w:pPr>
            <w:r>
              <w:rPr>
                <w:bCs/>
                <w:szCs w:val="21"/>
              </w:rPr>
              <w:t>NOx</w:t>
            </w:r>
            <w:r>
              <w:rPr>
                <w:rFonts w:hint="eastAsia"/>
                <w:sz w:val="22"/>
              </w:rPr>
              <w:t>、颗粒物、N</w:t>
            </w:r>
            <w:r>
              <w:rPr>
                <w:sz w:val="22"/>
              </w:rPr>
              <w:t>MHC</w:t>
            </w:r>
          </w:p>
        </w:tc>
        <w:tc>
          <w:tcPr>
            <w:tcW w:w="907" w:type="dxa"/>
            <w:vAlign w:val="center"/>
          </w:tcPr>
          <w:p w14:paraId="7EFD9712">
            <w:pPr>
              <w:jc w:val="center"/>
              <w:rPr>
                <w:sz w:val="22"/>
              </w:rPr>
            </w:pPr>
          </w:p>
        </w:tc>
      </w:tr>
    </w:tbl>
    <w:p w14:paraId="5910B8AA">
      <w:pPr>
        <w:adjustRightInd w:val="0"/>
        <w:snapToGrid w:val="0"/>
        <w:ind w:firstLine="440" w:firstLineChars="200"/>
        <w:rPr>
          <w:snapToGrid w:val="0"/>
          <w:kern w:val="0"/>
          <w:sz w:val="22"/>
          <w:szCs w:val="20"/>
        </w:rPr>
      </w:pPr>
    </w:p>
    <w:p w14:paraId="71894465">
      <w:pPr>
        <w:pStyle w:val="1068"/>
      </w:pPr>
      <w:r>
        <w:rPr>
          <w:rFonts w:hint="eastAsia"/>
        </w:rPr>
        <w:t>6</w:t>
      </w:r>
      <w:r>
        <w:t xml:space="preserve">.7.3 </w:t>
      </w:r>
      <w:r>
        <w:rPr>
          <w:rFonts w:hint="eastAsia"/>
        </w:rPr>
        <w:t>土壤环境影响预测与评价</w:t>
      </w:r>
    </w:p>
    <w:p w14:paraId="3A11D373">
      <w:pPr>
        <w:spacing w:line="460" w:lineRule="exact"/>
        <w:ind w:firstLine="522" w:firstLineChars="200"/>
        <w:rPr>
          <w:b/>
          <w:sz w:val="26"/>
          <w:szCs w:val="26"/>
        </w:rPr>
      </w:pPr>
      <w:r>
        <w:rPr>
          <w:rFonts w:hint="eastAsia"/>
          <w:b/>
          <w:sz w:val="26"/>
          <w:szCs w:val="26"/>
        </w:rPr>
        <w:t>6</w:t>
      </w:r>
      <w:r>
        <w:rPr>
          <w:b/>
          <w:sz w:val="26"/>
          <w:szCs w:val="26"/>
        </w:rPr>
        <w:t xml:space="preserve">.7.3.1 </w:t>
      </w:r>
      <w:r>
        <w:rPr>
          <w:rFonts w:hint="eastAsia"/>
          <w:b/>
          <w:sz w:val="26"/>
          <w:szCs w:val="26"/>
        </w:rPr>
        <w:t>垂直入渗影响预测与评价</w:t>
      </w:r>
    </w:p>
    <w:p w14:paraId="58E9A6E3">
      <w:pPr>
        <w:spacing w:line="460" w:lineRule="exact"/>
        <w:ind w:firstLine="520" w:firstLineChars="200"/>
        <w:rPr>
          <w:sz w:val="26"/>
          <w:szCs w:val="26"/>
        </w:rPr>
      </w:pPr>
      <w:r>
        <w:rPr>
          <w:sz w:val="26"/>
          <w:szCs w:val="26"/>
        </w:rPr>
        <w:t>（1）预测方法</w:t>
      </w:r>
    </w:p>
    <w:p w14:paraId="16B43094">
      <w:pPr>
        <w:spacing w:line="460" w:lineRule="exact"/>
        <w:ind w:firstLine="520" w:firstLineChars="200"/>
        <w:rPr>
          <w:sz w:val="26"/>
          <w:szCs w:val="26"/>
        </w:rPr>
      </w:pPr>
      <w:r>
        <w:rPr>
          <w:sz w:val="26"/>
          <w:szCs w:val="26"/>
        </w:rPr>
        <w:t>根据《环境影响评价技术导则</w:t>
      </w:r>
      <w:r>
        <w:rPr>
          <w:rFonts w:hint="eastAsia"/>
          <w:sz w:val="26"/>
          <w:szCs w:val="26"/>
        </w:rPr>
        <w:t xml:space="preserve"> </w:t>
      </w:r>
      <w:r>
        <w:rPr>
          <w:sz w:val="26"/>
          <w:szCs w:val="26"/>
        </w:rPr>
        <w:t>土壤环境》（试行）（HJ964-2018），</w:t>
      </w:r>
      <w:r>
        <w:rPr>
          <w:rFonts w:hint="eastAsia"/>
          <w:sz w:val="26"/>
          <w:szCs w:val="26"/>
        </w:rPr>
        <w:t>本项目采用</w:t>
      </w:r>
      <w:r>
        <w:rPr>
          <w:sz w:val="26"/>
          <w:szCs w:val="26"/>
        </w:rPr>
        <w:t>附录E.1.3中</w:t>
      </w:r>
      <w:r>
        <w:rPr>
          <w:rFonts w:hint="eastAsia"/>
          <w:sz w:val="26"/>
          <w:szCs w:val="26"/>
        </w:rPr>
        <w:t>的</w:t>
      </w:r>
      <w:r>
        <w:rPr>
          <w:sz w:val="26"/>
          <w:szCs w:val="26"/>
        </w:rPr>
        <w:t>预测方法进行计算。</w:t>
      </w:r>
    </w:p>
    <w:p w14:paraId="19B856A4">
      <w:pPr>
        <w:spacing w:line="460" w:lineRule="exact"/>
        <w:ind w:firstLine="520" w:firstLineChars="200"/>
        <w:rPr>
          <w:sz w:val="26"/>
          <w:szCs w:val="26"/>
        </w:rPr>
      </w:pPr>
      <w:r>
        <w:rPr>
          <w:sz w:val="26"/>
          <w:szCs w:val="26"/>
        </w:rPr>
        <w:t>单位质量土壤中某种物质的增量可用下式计算：</w:t>
      </w:r>
    </w:p>
    <w:p w14:paraId="4FE07FE2">
      <w:pPr>
        <w:adjustRightInd w:val="0"/>
        <w:snapToGrid w:val="0"/>
        <w:spacing w:before="120" w:beforeLines="50" w:after="120" w:afterLines="50"/>
        <w:jc w:val="center"/>
        <w:rPr>
          <w:sz w:val="26"/>
          <w:szCs w:val="26"/>
        </w:rPr>
      </w:pPr>
      <w:r>
        <w:drawing>
          <wp:inline distT="0" distB="0" distL="0" distR="0">
            <wp:extent cx="3042920" cy="541020"/>
            <wp:effectExtent l="0" t="0" r="508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3042920" cy="541020"/>
                    </a:xfrm>
                    <a:prstGeom prst="rect">
                      <a:avLst/>
                    </a:prstGeom>
                    <a:noFill/>
                    <a:ln>
                      <a:noFill/>
                    </a:ln>
                  </pic:spPr>
                </pic:pic>
              </a:graphicData>
            </a:graphic>
          </wp:inline>
        </w:drawing>
      </w:r>
    </w:p>
    <w:p w14:paraId="7296E4AE">
      <w:pPr>
        <w:spacing w:line="460" w:lineRule="exact"/>
        <w:ind w:firstLine="520" w:firstLineChars="200"/>
        <w:rPr>
          <w:sz w:val="26"/>
          <w:szCs w:val="26"/>
        </w:rPr>
      </w:pPr>
      <w:r>
        <w:rPr>
          <w:sz w:val="26"/>
          <w:szCs w:val="26"/>
        </w:rPr>
        <w:t>式中：</w:t>
      </w:r>
    </w:p>
    <w:p w14:paraId="21CFD06A">
      <w:pPr>
        <w:spacing w:line="460" w:lineRule="exact"/>
        <w:ind w:firstLine="520" w:firstLineChars="200"/>
        <w:rPr>
          <w:sz w:val="26"/>
          <w:szCs w:val="26"/>
        </w:rPr>
      </w:pPr>
      <w:r>
        <w:rPr>
          <w:sz w:val="26"/>
          <w:szCs w:val="26"/>
        </w:rPr>
        <w:t>ΔS—单位质量表层土壤中某种物质的增量，g/kg；</w:t>
      </w:r>
    </w:p>
    <w:p w14:paraId="3C7B26E2">
      <w:pPr>
        <w:spacing w:line="460" w:lineRule="exact"/>
        <w:ind w:firstLine="520" w:firstLineChars="200"/>
        <w:rPr>
          <w:sz w:val="26"/>
          <w:szCs w:val="26"/>
        </w:rPr>
      </w:pPr>
      <w:r>
        <w:rPr>
          <w:sz w:val="26"/>
          <w:szCs w:val="26"/>
        </w:rPr>
        <w:t>I</w:t>
      </w:r>
      <w:r>
        <w:rPr>
          <w:sz w:val="26"/>
          <w:szCs w:val="26"/>
          <w:vertAlign w:val="subscript"/>
        </w:rPr>
        <w:t>S</w:t>
      </w:r>
      <w:r>
        <w:rPr>
          <w:sz w:val="26"/>
          <w:szCs w:val="26"/>
        </w:rPr>
        <w:t>—预测评价范围内单位年份表层土壤中某种物质的输入量，g；</w:t>
      </w:r>
    </w:p>
    <w:p w14:paraId="5B8F84AA">
      <w:pPr>
        <w:spacing w:line="460" w:lineRule="exact"/>
        <w:ind w:firstLine="520" w:firstLineChars="200"/>
        <w:rPr>
          <w:sz w:val="26"/>
          <w:szCs w:val="26"/>
        </w:rPr>
      </w:pPr>
      <w:r>
        <w:rPr>
          <w:sz w:val="26"/>
          <w:szCs w:val="26"/>
        </w:rPr>
        <w:t>L</w:t>
      </w:r>
      <w:r>
        <w:rPr>
          <w:sz w:val="26"/>
          <w:szCs w:val="26"/>
          <w:vertAlign w:val="subscript"/>
        </w:rPr>
        <w:t>S</w:t>
      </w:r>
      <w:r>
        <w:rPr>
          <w:sz w:val="26"/>
          <w:szCs w:val="26"/>
        </w:rPr>
        <w:t>—预测评价范围内单位年份表层土壤中某种物质经淋溶排出的量</w:t>
      </w:r>
      <w:r>
        <w:rPr>
          <w:rFonts w:hint="eastAsia"/>
          <w:sz w:val="26"/>
          <w:szCs w:val="26"/>
        </w:rPr>
        <w:t>，本项目为短时间渗漏，不考虑</w:t>
      </w:r>
      <w:r>
        <w:rPr>
          <w:sz w:val="26"/>
          <w:szCs w:val="26"/>
        </w:rPr>
        <w:t>淋溶排出</w:t>
      </w:r>
      <w:r>
        <w:rPr>
          <w:rFonts w:hint="eastAsia"/>
          <w:sz w:val="26"/>
          <w:szCs w:val="26"/>
        </w:rPr>
        <w:t>量，取0</w:t>
      </w:r>
      <w:r>
        <w:rPr>
          <w:sz w:val="26"/>
          <w:szCs w:val="26"/>
        </w:rPr>
        <w:t>g；</w:t>
      </w:r>
    </w:p>
    <w:p w14:paraId="2BE1626C">
      <w:pPr>
        <w:spacing w:line="460" w:lineRule="exact"/>
        <w:ind w:firstLine="520" w:firstLineChars="200"/>
        <w:rPr>
          <w:sz w:val="26"/>
          <w:szCs w:val="26"/>
        </w:rPr>
      </w:pPr>
      <w:r>
        <w:rPr>
          <w:sz w:val="26"/>
          <w:szCs w:val="26"/>
        </w:rPr>
        <w:t>R</w:t>
      </w:r>
      <w:r>
        <w:rPr>
          <w:sz w:val="26"/>
          <w:szCs w:val="26"/>
          <w:vertAlign w:val="subscript"/>
        </w:rPr>
        <w:t>S</w:t>
      </w:r>
      <w:r>
        <w:rPr>
          <w:sz w:val="26"/>
          <w:szCs w:val="26"/>
        </w:rPr>
        <w:t>—预测评价范围内单位年份表层土壤中某种物质经径流排出的量，</w:t>
      </w:r>
      <w:r>
        <w:rPr>
          <w:rFonts w:hint="eastAsia"/>
          <w:sz w:val="26"/>
          <w:szCs w:val="26"/>
        </w:rPr>
        <w:t>本项目为短时间渗漏，不考虑</w:t>
      </w:r>
      <w:r>
        <w:rPr>
          <w:sz w:val="26"/>
          <w:szCs w:val="26"/>
        </w:rPr>
        <w:t>径流排出</w:t>
      </w:r>
      <w:r>
        <w:rPr>
          <w:rFonts w:hint="eastAsia"/>
          <w:sz w:val="26"/>
          <w:szCs w:val="26"/>
        </w:rPr>
        <w:t>量，取0</w:t>
      </w:r>
      <w:r>
        <w:rPr>
          <w:sz w:val="26"/>
          <w:szCs w:val="26"/>
        </w:rPr>
        <w:t>g；</w:t>
      </w:r>
    </w:p>
    <w:p w14:paraId="00899BF6">
      <w:pPr>
        <w:spacing w:line="460" w:lineRule="exact"/>
        <w:ind w:firstLine="520" w:firstLineChars="200"/>
        <w:rPr>
          <w:sz w:val="26"/>
          <w:szCs w:val="26"/>
        </w:rPr>
      </w:pPr>
      <w:r>
        <w:rPr>
          <w:kern w:val="0"/>
          <w:sz w:val="26"/>
          <w:szCs w:val="26"/>
        </w:rPr>
        <w:t>ρ</w:t>
      </w:r>
      <w:r>
        <w:rPr>
          <w:kern w:val="0"/>
          <w:sz w:val="26"/>
          <w:szCs w:val="26"/>
          <w:vertAlign w:val="subscript"/>
        </w:rPr>
        <w:t>b</w:t>
      </w:r>
      <w:r>
        <w:rPr>
          <w:kern w:val="0"/>
          <w:sz w:val="26"/>
          <w:szCs w:val="26"/>
        </w:rPr>
        <w:t>—表层土壤容重，</w:t>
      </w:r>
      <w:r>
        <w:rPr>
          <w:rFonts w:hint="eastAsia"/>
          <w:kern w:val="0"/>
          <w:sz w:val="26"/>
          <w:szCs w:val="26"/>
        </w:rPr>
        <w:t>根据理化性质调查结果取均值，</w:t>
      </w:r>
      <w:r>
        <w:rPr>
          <w:kern w:val="0"/>
          <w:sz w:val="26"/>
          <w:szCs w:val="26"/>
        </w:rPr>
        <w:t>1400kg/m</w:t>
      </w:r>
      <w:r>
        <w:rPr>
          <w:kern w:val="0"/>
          <w:sz w:val="26"/>
          <w:szCs w:val="26"/>
          <w:vertAlign w:val="superscript"/>
        </w:rPr>
        <w:t>3</w:t>
      </w:r>
      <w:r>
        <w:rPr>
          <w:kern w:val="0"/>
          <w:sz w:val="26"/>
          <w:szCs w:val="26"/>
        </w:rPr>
        <w:t>；</w:t>
      </w:r>
    </w:p>
    <w:p w14:paraId="3A30CDDC">
      <w:pPr>
        <w:spacing w:line="460" w:lineRule="exact"/>
        <w:ind w:firstLine="520" w:firstLineChars="200"/>
        <w:rPr>
          <w:sz w:val="26"/>
          <w:szCs w:val="26"/>
        </w:rPr>
      </w:pPr>
      <w:r>
        <w:rPr>
          <w:kern w:val="0"/>
          <w:sz w:val="26"/>
          <w:szCs w:val="26"/>
        </w:rPr>
        <w:t>A—预测评价范围，</w:t>
      </w:r>
      <w:r>
        <w:rPr>
          <w:rFonts w:hint="eastAsia"/>
          <w:kern w:val="0"/>
          <w:sz w:val="26"/>
          <w:szCs w:val="26"/>
        </w:rPr>
        <w:t>试采站2</w:t>
      </w:r>
      <w:r>
        <w:rPr>
          <w:kern w:val="0"/>
          <w:sz w:val="26"/>
          <w:szCs w:val="26"/>
        </w:rPr>
        <w:t>00</w:t>
      </w:r>
      <w:r>
        <w:rPr>
          <w:rFonts w:hint="eastAsia"/>
          <w:kern w:val="0"/>
          <w:sz w:val="26"/>
          <w:szCs w:val="26"/>
        </w:rPr>
        <w:t>m范围</w:t>
      </w:r>
      <w:r>
        <w:rPr>
          <w:kern w:val="0"/>
          <w:sz w:val="26"/>
          <w:szCs w:val="26"/>
        </w:rPr>
        <w:t>面积</w:t>
      </w:r>
      <w:r>
        <w:rPr>
          <w:rFonts w:hint="eastAsia"/>
          <w:kern w:val="0"/>
          <w:sz w:val="26"/>
          <w:szCs w:val="26"/>
        </w:rPr>
        <w:t>2</w:t>
      </w:r>
      <w:r>
        <w:rPr>
          <w:kern w:val="0"/>
          <w:sz w:val="26"/>
          <w:szCs w:val="26"/>
        </w:rPr>
        <w:t>31971m</w:t>
      </w:r>
      <w:r>
        <w:rPr>
          <w:kern w:val="0"/>
          <w:sz w:val="26"/>
          <w:szCs w:val="26"/>
          <w:vertAlign w:val="superscript"/>
        </w:rPr>
        <w:t>2</w:t>
      </w:r>
      <w:r>
        <w:rPr>
          <w:kern w:val="0"/>
          <w:sz w:val="26"/>
          <w:szCs w:val="26"/>
        </w:rPr>
        <w:t>；</w:t>
      </w:r>
    </w:p>
    <w:p w14:paraId="7D56522D">
      <w:pPr>
        <w:spacing w:line="460" w:lineRule="exact"/>
        <w:ind w:firstLine="520" w:firstLineChars="200"/>
        <w:rPr>
          <w:sz w:val="26"/>
          <w:szCs w:val="26"/>
        </w:rPr>
      </w:pPr>
      <w:r>
        <w:rPr>
          <w:kern w:val="0"/>
          <w:sz w:val="26"/>
          <w:szCs w:val="26"/>
        </w:rPr>
        <w:t>D—表层土壤深度，一般取0.2m；</w:t>
      </w:r>
    </w:p>
    <w:p w14:paraId="739B8B2B">
      <w:pPr>
        <w:spacing w:line="460" w:lineRule="exact"/>
        <w:ind w:firstLine="520" w:firstLineChars="200"/>
        <w:rPr>
          <w:kern w:val="0"/>
          <w:sz w:val="26"/>
          <w:szCs w:val="26"/>
        </w:rPr>
      </w:pPr>
      <w:r>
        <w:rPr>
          <w:kern w:val="0"/>
          <w:sz w:val="26"/>
          <w:szCs w:val="26"/>
        </w:rPr>
        <w:t>n—持续年份</w:t>
      </w:r>
      <w:r>
        <w:rPr>
          <w:rFonts w:hint="eastAsia"/>
          <w:kern w:val="0"/>
          <w:sz w:val="26"/>
          <w:szCs w:val="26"/>
        </w:rPr>
        <w:t>，本项目为短时间渗漏，取1</w:t>
      </w:r>
      <w:r>
        <w:rPr>
          <w:kern w:val="0"/>
          <w:sz w:val="26"/>
          <w:szCs w:val="26"/>
        </w:rPr>
        <w:t>a。</w:t>
      </w:r>
    </w:p>
    <w:p w14:paraId="3136F685">
      <w:pPr>
        <w:spacing w:line="460" w:lineRule="exact"/>
        <w:ind w:firstLine="520" w:firstLineChars="200"/>
        <w:rPr>
          <w:kern w:val="0"/>
          <w:sz w:val="26"/>
          <w:szCs w:val="26"/>
        </w:rPr>
      </w:pPr>
      <w:r>
        <w:rPr>
          <w:kern w:val="0"/>
          <w:sz w:val="26"/>
          <w:szCs w:val="26"/>
        </w:rPr>
        <w:t>单位质量土壤中某种物质的预测值可根据其增量叠加现状值进行计算：</w:t>
      </w:r>
    </w:p>
    <w:p w14:paraId="249C1693">
      <w:pPr>
        <w:adjustRightInd w:val="0"/>
        <w:snapToGrid w:val="0"/>
        <w:spacing w:before="120" w:beforeLines="50" w:after="120" w:afterLines="50"/>
        <w:jc w:val="center"/>
        <w:rPr>
          <w:kern w:val="0"/>
          <w:sz w:val="26"/>
          <w:szCs w:val="26"/>
        </w:rPr>
      </w:pPr>
      <w:r>
        <w:drawing>
          <wp:inline distT="0" distB="0" distL="0" distR="0">
            <wp:extent cx="1945640" cy="49720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1945640" cy="497205"/>
                    </a:xfrm>
                    <a:prstGeom prst="rect">
                      <a:avLst/>
                    </a:prstGeom>
                    <a:noFill/>
                    <a:ln>
                      <a:noFill/>
                    </a:ln>
                  </pic:spPr>
                </pic:pic>
              </a:graphicData>
            </a:graphic>
          </wp:inline>
        </w:drawing>
      </w:r>
    </w:p>
    <w:p w14:paraId="131AB91B">
      <w:pPr>
        <w:spacing w:line="460" w:lineRule="exact"/>
        <w:ind w:firstLine="520" w:firstLineChars="200"/>
        <w:rPr>
          <w:kern w:val="0"/>
          <w:sz w:val="26"/>
          <w:szCs w:val="26"/>
        </w:rPr>
      </w:pPr>
      <w:r>
        <w:rPr>
          <w:kern w:val="0"/>
          <w:sz w:val="26"/>
          <w:szCs w:val="26"/>
        </w:rPr>
        <w:t>式中：</w:t>
      </w:r>
    </w:p>
    <w:p w14:paraId="033C0107">
      <w:pPr>
        <w:spacing w:line="460" w:lineRule="exact"/>
        <w:ind w:firstLine="520" w:firstLineChars="200"/>
        <w:rPr>
          <w:kern w:val="0"/>
          <w:sz w:val="26"/>
          <w:szCs w:val="26"/>
        </w:rPr>
      </w:pPr>
      <w:r>
        <w:rPr>
          <w:kern w:val="0"/>
          <w:sz w:val="26"/>
          <w:szCs w:val="26"/>
        </w:rPr>
        <w:t>Sb—单位质量土壤中某种物质的现状值，g/kg；</w:t>
      </w:r>
    </w:p>
    <w:p w14:paraId="30001035">
      <w:pPr>
        <w:spacing w:line="460" w:lineRule="exact"/>
        <w:ind w:firstLine="520" w:firstLineChars="200"/>
        <w:rPr>
          <w:sz w:val="26"/>
          <w:szCs w:val="26"/>
        </w:rPr>
      </w:pPr>
      <w:r>
        <w:rPr>
          <w:sz w:val="26"/>
          <w:szCs w:val="26"/>
        </w:rPr>
        <w:t>S—单位质量土壤中某种物质的预测值，g/kg。</w:t>
      </w:r>
    </w:p>
    <w:p w14:paraId="0D7A909C">
      <w:pPr>
        <w:spacing w:line="460" w:lineRule="exact"/>
        <w:ind w:firstLine="520" w:firstLineChars="200"/>
        <w:rPr>
          <w:sz w:val="26"/>
          <w:szCs w:val="26"/>
        </w:rPr>
      </w:pPr>
      <w:r>
        <w:rPr>
          <w:sz w:val="26"/>
          <w:szCs w:val="26"/>
        </w:rPr>
        <w:t>（2）表层土壤中某种物质的输入量I</w:t>
      </w:r>
      <w:r>
        <w:rPr>
          <w:sz w:val="26"/>
          <w:szCs w:val="26"/>
          <w:vertAlign w:val="subscript"/>
        </w:rPr>
        <w:t>S</w:t>
      </w:r>
    </w:p>
    <w:p w14:paraId="320A6280">
      <w:pPr>
        <w:spacing w:line="460" w:lineRule="exact"/>
        <w:ind w:firstLine="520" w:firstLineChars="200"/>
        <w:rPr>
          <w:sz w:val="26"/>
          <w:szCs w:val="26"/>
        </w:rPr>
      </w:pPr>
      <w:r>
        <w:rPr>
          <w:sz w:val="26"/>
          <w:szCs w:val="26"/>
        </w:rPr>
        <w:t>本项目I</w:t>
      </w:r>
      <w:r>
        <w:rPr>
          <w:sz w:val="26"/>
          <w:szCs w:val="26"/>
          <w:vertAlign w:val="subscript"/>
        </w:rPr>
        <w:t>S</w:t>
      </w:r>
      <w:r>
        <w:rPr>
          <w:sz w:val="26"/>
          <w:szCs w:val="26"/>
        </w:rPr>
        <w:t>考虑为气田水储罐非正常情况下的</w:t>
      </w:r>
      <w:r>
        <w:rPr>
          <w:rFonts w:hint="eastAsia"/>
          <w:sz w:val="26"/>
          <w:szCs w:val="26"/>
        </w:rPr>
        <w:t>泄漏</w:t>
      </w:r>
      <w:r>
        <w:rPr>
          <w:sz w:val="26"/>
          <w:szCs w:val="26"/>
        </w:rPr>
        <w:t>量</w:t>
      </w:r>
      <w:r>
        <w:rPr>
          <w:rFonts w:hint="eastAsia"/>
          <w:sz w:val="26"/>
          <w:szCs w:val="26"/>
        </w:rPr>
        <w:t>，</w:t>
      </w:r>
      <w:r>
        <w:rPr>
          <w:sz w:val="26"/>
          <w:szCs w:val="26"/>
        </w:rPr>
        <w:t>参照</w:t>
      </w:r>
      <w:r>
        <w:rPr>
          <w:rFonts w:hint="eastAsia"/>
          <w:sz w:val="26"/>
          <w:szCs w:val="26"/>
        </w:rPr>
        <w:t>地下水环境影响分析章节的</w:t>
      </w:r>
      <w:r>
        <w:rPr>
          <w:sz w:val="26"/>
          <w:szCs w:val="26"/>
        </w:rPr>
        <w:t>泄漏源强</w:t>
      </w:r>
      <w:r>
        <w:rPr>
          <w:rFonts w:hint="eastAsia"/>
          <w:sz w:val="26"/>
          <w:szCs w:val="26"/>
        </w:rPr>
        <w:t>，本项目土壤污染输入量</w:t>
      </w:r>
      <w:r>
        <w:rPr>
          <w:sz w:val="26"/>
          <w:szCs w:val="26"/>
        </w:rPr>
        <w:t>详见</w:t>
      </w:r>
      <w:r>
        <w:rPr>
          <w:rFonts w:hint="eastAsia"/>
          <w:sz w:val="26"/>
          <w:szCs w:val="26"/>
        </w:rPr>
        <w:t>下表。</w:t>
      </w:r>
    </w:p>
    <w:p w14:paraId="53719A52">
      <w:pPr>
        <w:pStyle w:val="1379"/>
        <w:ind w:firstLine="440"/>
      </w:pPr>
    </w:p>
    <w:p w14:paraId="483A231D">
      <w:pPr>
        <w:pStyle w:val="1065"/>
        <w:rPr>
          <w:kern w:val="0"/>
          <w:lang w:val="zh-CN"/>
        </w:rPr>
      </w:pPr>
      <w:r>
        <w:t>表6.7-3   土壤污染输入量</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4"/>
        <w:gridCol w:w="1864"/>
        <w:gridCol w:w="1136"/>
        <w:gridCol w:w="1580"/>
        <w:gridCol w:w="1433"/>
        <w:gridCol w:w="1919"/>
      </w:tblGrid>
      <w:tr w14:paraId="1A87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014" w:type="dxa"/>
            <w:vAlign w:val="center"/>
          </w:tcPr>
          <w:p w14:paraId="7961FBE1">
            <w:pPr>
              <w:widowControl/>
              <w:jc w:val="center"/>
              <w:textAlignment w:val="center"/>
              <w:rPr>
                <w:sz w:val="22"/>
              </w:rPr>
            </w:pPr>
            <w:r>
              <w:rPr>
                <w:kern w:val="0"/>
                <w:sz w:val="22"/>
                <w:lang w:bidi="ar"/>
              </w:rPr>
              <w:t>井位编号</w:t>
            </w:r>
          </w:p>
        </w:tc>
        <w:tc>
          <w:tcPr>
            <w:tcW w:w="1864" w:type="dxa"/>
            <w:vAlign w:val="center"/>
          </w:tcPr>
          <w:p w14:paraId="3F08D99B">
            <w:pPr>
              <w:widowControl/>
              <w:jc w:val="center"/>
              <w:textAlignment w:val="center"/>
              <w:rPr>
                <w:sz w:val="22"/>
              </w:rPr>
            </w:pPr>
            <w:r>
              <w:rPr>
                <w:kern w:val="0"/>
                <w:sz w:val="22"/>
                <w:lang w:bidi="ar"/>
              </w:rPr>
              <w:t>泄漏位置</w:t>
            </w:r>
          </w:p>
        </w:tc>
        <w:tc>
          <w:tcPr>
            <w:tcW w:w="1136" w:type="dxa"/>
            <w:vAlign w:val="center"/>
          </w:tcPr>
          <w:p w14:paraId="5190D451">
            <w:pPr>
              <w:widowControl/>
              <w:jc w:val="center"/>
              <w:textAlignment w:val="center"/>
              <w:rPr>
                <w:sz w:val="22"/>
              </w:rPr>
            </w:pPr>
            <w:r>
              <w:rPr>
                <w:kern w:val="0"/>
                <w:sz w:val="22"/>
                <w:lang w:bidi="ar"/>
              </w:rPr>
              <w:t>污染物</w:t>
            </w:r>
          </w:p>
        </w:tc>
        <w:tc>
          <w:tcPr>
            <w:tcW w:w="1580" w:type="dxa"/>
            <w:vAlign w:val="center"/>
          </w:tcPr>
          <w:p w14:paraId="3C2E0C6E">
            <w:pPr>
              <w:widowControl/>
              <w:jc w:val="center"/>
              <w:textAlignment w:val="center"/>
              <w:rPr>
                <w:sz w:val="22"/>
              </w:rPr>
            </w:pPr>
            <w:r>
              <w:rPr>
                <w:kern w:val="0"/>
                <w:sz w:val="22"/>
                <w:lang w:bidi="ar"/>
              </w:rPr>
              <w:t>污染物浓度（mg/L）</w:t>
            </w:r>
          </w:p>
        </w:tc>
        <w:tc>
          <w:tcPr>
            <w:tcW w:w="1433" w:type="dxa"/>
            <w:vAlign w:val="center"/>
          </w:tcPr>
          <w:p w14:paraId="4D9FAC1B">
            <w:pPr>
              <w:widowControl/>
              <w:jc w:val="center"/>
              <w:textAlignment w:val="center"/>
              <w:rPr>
                <w:sz w:val="22"/>
              </w:rPr>
            </w:pPr>
            <w:r>
              <w:rPr>
                <w:rFonts w:hint="eastAsia"/>
                <w:kern w:val="0"/>
                <w:sz w:val="22"/>
                <w:lang w:bidi="ar"/>
              </w:rPr>
              <w:t>泄漏量</w:t>
            </w:r>
            <w:r>
              <w:rPr>
                <w:kern w:val="0"/>
                <w:sz w:val="22"/>
                <w:lang w:bidi="ar"/>
              </w:rPr>
              <w:t>（m</w:t>
            </w:r>
            <w:r>
              <w:rPr>
                <w:kern w:val="0"/>
                <w:sz w:val="22"/>
                <w:vertAlign w:val="superscript"/>
                <w:lang w:bidi="ar"/>
              </w:rPr>
              <w:t>3</w:t>
            </w:r>
            <w:r>
              <w:rPr>
                <w:kern w:val="0"/>
                <w:sz w:val="22"/>
                <w:lang w:bidi="ar"/>
              </w:rPr>
              <w:t>）</w:t>
            </w:r>
          </w:p>
        </w:tc>
        <w:tc>
          <w:tcPr>
            <w:tcW w:w="1919" w:type="dxa"/>
            <w:vAlign w:val="center"/>
          </w:tcPr>
          <w:p w14:paraId="019A60FA">
            <w:pPr>
              <w:widowControl/>
              <w:jc w:val="center"/>
              <w:textAlignment w:val="center"/>
              <w:rPr>
                <w:sz w:val="22"/>
              </w:rPr>
            </w:pPr>
            <w:r>
              <w:rPr>
                <w:kern w:val="0"/>
                <w:sz w:val="22"/>
                <w:lang w:bidi="ar"/>
              </w:rPr>
              <w:t>污染物渗漏量（g）</w:t>
            </w:r>
          </w:p>
        </w:tc>
      </w:tr>
      <w:tr w14:paraId="5099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014" w:type="dxa"/>
            <w:vMerge w:val="restart"/>
            <w:vAlign w:val="center"/>
          </w:tcPr>
          <w:p w14:paraId="4A830D32">
            <w:pPr>
              <w:widowControl/>
              <w:jc w:val="center"/>
              <w:textAlignment w:val="center"/>
              <w:rPr>
                <w:sz w:val="22"/>
              </w:rPr>
            </w:pPr>
            <w:r>
              <w:rPr>
                <w:rFonts w:hint="eastAsia"/>
                <w:sz w:val="22"/>
              </w:rPr>
              <w:t>巴中2HF井试采站场</w:t>
            </w:r>
          </w:p>
        </w:tc>
        <w:tc>
          <w:tcPr>
            <w:tcW w:w="1864" w:type="dxa"/>
            <w:vMerge w:val="restart"/>
            <w:vAlign w:val="center"/>
          </w:tcPr>
          <w:p w14:paraId="209E0D85">
            <w:pPr>
              <w:widowControl/>
              <w:jc w:val="center"/>
              <w:textAlignment w:val="center"/>
              <w:rPr>
                <w:sz w:val="22"/>
              </w:rPr>
            </w:pPr>
            <w:r>
              <w:rPr>
                <w:rFonts w:hint="eastAsia"/>
                <w:kern w:val="0"/>
                <w:sz w:val="22"/>
                <w:lang w:bidi="ar"/>
              </w:rPr>
              <w:t>气田水罐</w:t>
            </w:r>
            <w:r>
              <w:rPr>
                <w:kern w:val="0"/>
                <w:sz w:val="22"/>
                <w:lang w:bidi="ar"/>
              </w:rPr>
              <w:t>泄漏</w:t>
            </w:r>
          </w:p>
        </w:tc>
        <w:tc>
          <w:tcPr>
            <w:tcW w:w="1136" w:type="dxa"/>
            <w:vAlign w:val="center"/>
          </w:tcPr>
          <w:p w14:paraId="6A797B15">
            <w:pPr>
              <w:widowControl/>
              <w:jc w:val="center"/>
              <w:textAlignment w:val="center"/>
              <w:rPr>
                <w:rFonts w:eastAsia="等线"/>
                <w:sz w:val="22"/>
              </w:rPr>
            </w:pPr>
            <w:r>
              <w:rPr>
                <w:rFonts w:hint="eastAsia"/>
                <w:sz w:val="22"/>
                <w:szCs w:val="22"/>
              </w:rPr>
              <w:t>石油烃</w:t>
            </w:r>
          </w:p>
        </w:tc>
        <w:tc>
          <w:tcPr>
            <w:tcW w:w="1580" w:type="dxa"/>
            <w:vAlign w:val="center"/>
          </w:tcPr>
          <w:p w14:paraId="5173D7AE">
            <w:pPr>
              <w:pStyle w:val="59"/>
              <w:adjustRightInd w:val="0"/>
              <w:snapToGrid w:val="0"/>
              <w:spacing w:before="0"/>
              <w:jc w:val="center"/>
              <w:rPr>
                <w:rFonts w:eastAsia="等线"/>
                <w:sz w:val="22"/>
              </w:rPr>
            </w:pPr>
            <w:r>
              <w:rPr>
                <w:rFonts w:hint="eastAsia" w:ascii="Times New Roman" w:eastAsia="宋体"/>
                <w:b w:val="0"/>
                <w:bCs w:val="0"/>
                <w:sz w:val="22"/>
                <w:szCs w:val="22"/>
              </w:rPr>
              <w:t>70</w:t>
            </w:r>
          </w:p>
        </w:tc>
        <w:tc>
          <w:tcPr>
            <w:tcW w:w="1433" w:type="dxa"/>
            <w:vMerge w:val="restart"/>
            <w:vAlign w:val="center"/>
          </w:tcPr>
          <w:p w14:paraId="6425FC22">
            <w:pPr>
              <w:widowControl/>
              <w:jc w:val="center"/>
              <w:textAlignment w:val="center"/>
              <w:rPr>
                <w:rFonts w:eastAsia="等线"/>
                <w:sz w:val="22"/>
              </w:rPr>
            </w:pPr>
            <w:r>
              <w:rPr>
                <w:rFonts w:hint="eastAsia" w:eastAsia="等线"/>
                <w:sz w:val="22"/>
              </w:rPr>
              <w:t>8</w:t>
            </w:r>
          </w:p>
        </w:tc>
        <w:tc>
          <w:tcPr>
            <w:tcW w:w="1919" w:type="dxa"/>
            <w:vAlign w:val="bottom"/>
          </w:tcPr>
          <w:p w14:paraId="2046A0F6">
            <w:pPr>
              <w:pStyle w:val="59"/>
              <w:adjustRightInd w:val="0"/>
              <w:snapToGrid w:val="0"/>
              <w:spacing w:before="0"/>
              <w:jc w:val="center"/>
              <w:rPr>
                <w:rFonts w:ascii="Times New Roman" w:eastAsia="宋体"/>
                <w:b w:val="0"/>
                <w:bCs w:val="0"/>
                <w:kern w:val="0"/>
                <w:sz w:val="22"/>
                <w:szCs w:val="22"/>
                <w:lang w:bidi="ar"/>
              </w:rPr>
            </w:pPr>
            <w:r>
              <w:rPr>
                <w:rFonts w:hint="eastAsia" w:ascii="Times New Roman" w:eastAsia="宋体"/>
                <w:b w:val="0"/>
                <w:bCs w:val="0"/>
                <w:kern w:val="0"/>
                <w:sz w:val="22"/>
                <w:szCs w:val="22"/>
                <w:lang w:bidi="ar"/>
              </w:rPr>
              <w:t>560</w:t>
            </w:r>
          </w:p>
        </w:tc>
      </w:tr>
      <w:tr w14:paraId="2B45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14" w:type="dxa"/>
            <w:vMerge w:val="continue"/>
            <w:vAlign w:val="center"/>
          </w:tcPr>
          <w:p w14:paraId="3386BB9E">
            <w:pPr>
              <w:jc w:val="center"/>
              <w:rPr>
                <w:sz w:val="22"/>
              </w:rPr>
            </w:pPr>
          </w:p>
        </w:tc>
        <w:tc>
          <w:tcPr>
            <w:tcW w:w="1864" w:type="dxa"/>
            <w:vMerge w:val="continue"/>
            <w:vAlign w:val="center"/>
          </w:tcPr>
          <w:p w14:paraId="52D858A4">
            <w:pPr>
              <w:jc w:val="center"/>
              <w:rPr>
                <w:sz w:val="22"/>
              </w:rPr>
            </w:pPr>
          </w:p>
        </w:tc>
        <w:tc>
          <w:tcPr>
            <w:tcW w:w="1136" w:type="dxa"/>
            <w:vAlign w:val="center"/>
          </w:tcPr>
          <w:p w14:paraId="50CD66EA">
            <w:pPr>
              <w:widowControl/>
              <w:jc w:val="center"/>
              <w:textAlignment w:val="center"/>
              <w:rPr>
                <w:kern w:val="0"/>
                <w:sz w:val="22"/>
                <w:lang w:bidi="ar"/>
              </w:rPr>
            </w:pPr>
            <w:r>
              <w:rPr>
                <w:kern w:val="0"/>
                <w:sz w:val="22"/>
                <w:lang w:bidi="ar"/>
              </w:rPr>
              <w:t>氯化物</w:t>
            </w:r>
          </w:p>
        </w:tc>
        <w:tc>
          <w:tcPr>
            <w:tcW w:w="1580" w:type="dxa"/>
            <w:vAlign w:val="center"/>
          </w:tcPr>
          <w:p w14:paraId="72F208F4">
            <w:pPr>
              <w:pStyle w:val="59"/>
              <w:adjustRightInd w:val="0"/>
              <w:snapToGrid w:val="0"/>
              <w:spacing w:before="0"/>
              <w:jc w:val="center"/>
              <w:rPr>
                <w:kern w:val="0"/>
                <w:lang w:bidi="ar"/>
              </w:rPr>
            </w:pPr>
            <w:r>
              <w:rPr>
                <w:rFonts w:hint="eastAsia" w:ascii="Times New Roman" w:eastAsia="宋体"/>
                <w:b w:val="0"/>
                <w:bCs w:val="0"/>
                <w:kern w:val="0"/>
                <w:sz w:val="22"/>
                <w:szCs w:val="22"/>
                <w:lang w:bidi="ar"/>
              </w:rPr>
              <w:t>10000</w:t>
            </w:r>
          </w:p>
        </w:tc>
        <w:tc>
          <w:tcPr>
            <w:tcW w:w="1433" w:type="dxa"/>
            <w:vMerge w:val="continue"/>
            <w:vAlign w:val="center"/>
          </w:tcPr>
          <w:p w14:paraId="4A4E72B3">
            <w:pPr>
              <w:jc w:val="center"/>
              <w:rPr>
                <w:rFonts w:eastAsia="等线"/>
                <w:sz w:val="22"/>
              </w:rPr>
            </w:pPr>
          </w:p>
        </w:tc>
        <w:tc>
          <w:tcPr>
            <w:tcW w:w="1919" w:type="dxa"/>
            <w:vAlign w:val="bottom"/>
          </w:tcPr>
          <w:p w14:paraId="3E9312D2">
            <w:pPr>
              <w:pStyle w:val="59"/>
              <w:adjustRightInd w:val="0"/>
              <w:snapToGrid w:val="0"/>
              <w:spacing w:before="0"/>
              <w:jc w:val="center"/>
              <w:rPr>
                <w:rFonts w:ascii="Times New Roman" w:eastAsia="宋体"/>
                <w:b w:val="0"/>
                <w:bCs w:val="0"/>
                <w:kern w:val="0"/>
                <w:sz w:val="22"/>
                <w:szCs w:val="22"/>
                <w:lang w:bidi="ar"/>
              </w:rPr>
            </w:pPr>
            <w:r>
              <w:rPr>
                <w:rFonts w:hint="eastAsia" w:ascii="Times New Roman" w:eastAsia="宋体"/>
                <w:b w:val="0"/>
                <w:bCs w:val="0"/>
                <w:kern w:val="0"/>
                <w:sz w:val="22"/>
                <w:szCs w:val="22"/>
                <w:lang w:bidi="ar"/>
              </w:rPr>
              <w:t>80000</w:t>
            </w:r>
          </w:p>
        </w:tc>
      </w:tr>
      <w:tr w14:paraId="156F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14" w:type="dxa"/>
            <w:vMerge w:val="continue"/>
            <w:vAlign w:val="center"/>
          </w:tcPr>
          <w:p w14:paraId="31FB1115">
            <w:pPr>
              <w:jc w:val="center"/>
              <w:rPr>
                <w:sz w:val="22"/>
              </w:rPr>
            </w:pPr>
          </w:p>
        </w:tc>
        <w:tc>
          <w:tcPr>
            <w:tcW w:w="1864" w:type="dxa"/>
            <w:vMerge w:val="continue"/>
            <w:vAlign w:val="center"/>
          </w:tcPr>
          <w:p w14:paraId="07CB32FE">
            <w:pPr>
              <w:jc w:val="center"/>
              <w:rPr>
                <w:sz w:val="22"/>
              </w:rPr>
            </w:pPr>
          </w:p>
        </w:tc>
        <w:tc>
          <w:tcPr>
            <w:tcW w:w="1136" w:type="dxa"/>
            <w:vAlign w:val="center"/>
          </w:tcPr>
          <w:p w14:paraId="196FDE04">
            <w:pPr>
              <w:widowControl/>
              <w:jc w:val="center"/>
              <w:textAlignment w:val="center"/>
              <w:rPr>
                <w:sz w:val="22"/>
              </w:rPr>
            </w:pPr>
            <w:r>
              <w:rPr>
                <w:rFonts w:hint="eastAsia"/>
                <w:sz w:val="22"/>
              </w:rPr>
              <w:t>钡离子</w:t>
            </w:r>
          </w:p>
        </w:tc>
        <w:tc>
          <w:tcPr>
            <w:tcW w:w="1580" w:type="dxa"/>
            <w:vAlign w:val="center"/>
          </w:tcPr>
          <w:p w14:paraId="73A50B94">
            <w:pPr>
              <w:pStyle w:val="59"/>
              <w:adjustRightInd w:val="0"/>
              <w:snapToGrid w:val="0"/>
              <w:spacing w:before="0"/>
              <w:jc w:val="center"/>
              <w:rPr>
                <w:rFonts w:eastAsia="等线"/>
                <w:sz w:val="22"/>
              </w:rPr>
            </w:pPr>
            <w:r>
              <w:rPr>
                <w:rFonts w:hint="eastAsia" w:ascii="Times New Roman" w:eastAsia="宋体"/>
                <w:b w:val="0"/>
                <w:bCs w:val="0"/>
                <w:sz w:val="22"/>
                <w:szCs w:val="22"/>
              </w:rPr>
              <w:t>110</w:t>
            </w:r>
          </w:p>
        </w:tc>
        <w:tc>
          <w:tcPr>
            <w:tcW w:w="1433" w:type="dxa"/>
            <w:vMerge w:val="continue"/>
            <w:vAlign w:val="center"/>
          </w:tcPr>
          <w:p w14:paraId="1DBA1B96">
            <w:pPr>
              <w:jc w:val="center"/>
              <w:rPr>
                <w:rFonts w:eastAsia="等线"/>
                <w:sz w:val="22"/>
              </w:rPr>
            </w:pPr>
          </w:p>
        </w:tc>
        <w:tc>
          <w:tcPr>
            <w:tcW w:w="1919" w:type="dxa"/>
            <w:vAlign w:val="bottom"/>
          </w:tcPr>
          <w:p w14:paraId="07C115D9">
            <w:pPr>
              <w:pStyle w:val="59"/>
              <w:adjustRightInd w:val="0"/>
              <w:snapToGrid w:val="0"/>
              <w:spacing w:before="0"/>
              <w:jc w:val="center"/>
              <w:rPr>
                <w:rFonts w:ascii="Times New Roman" w:eastAsia="宋体"/>
                <w:b w:val="0"/>
                <w:bCs w:val="0"/>
                <w:kern w:val="0"/>
                <w:sz w:val="22"/>
                <w:szCs w:val="22"/>
                <w:lang w:bidi="ar"/>
              </w:rPr>
            </w:pPr>
            <w:r>
              <w:rPr>
                <w:rFonts w:hint="eastAsia" w:ascii="Times New Roman" w:eastAsia="宋体"/>
                <w:b w:val="0"/>
                <w:bCs w:val="0"/>
                <w:kern w:val="0"/>
                <w:sz w:val="22"/>
                <w:szCs w:val="22"/>
                <w:lang w:bidi="ar"/>
              </w:rPr>
              <w:t>880</w:t>
            </w:r>
          </w:p>
        </w:tc>
      </w:tr>
      <w:tr w14:paraId="368D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14" w:type="dxa"/>
            <w:vMerge w:val="continue"/>
            <w:vAlign w:val="center"/>
          </w:tcPr>
          <w:p w14:paraId="7F77974A">
            <w:pPr>
              <w:jc w:val="center"/>
              <w:rPr>
                <w:sz w:val="22"/>
              </w:rPr>
            </w:pPr>
          </w:p>
        </w:tc>
        <w:tc>
          <w:tcPr>
            <w:tcW w:w="1864" w:type="dxa"/>
            <w:vAlign w:val="center"/>
          </w:tcPr>
          <w:p w14:paraId="29F3EFC4">
            <w:pPr>
              <w:jc w:val="center"/>
              <w:rPr>
                <w:sz w:val="22"/>
              </w:rPr>
            </w:pPr>
            <w:r>
              <w:rPr>
                <w:rFonts w:hint="eastAsia"/>
                <w:sz w:val="22"/>
              </w:rPr>
              <w:t>凝析油储罐泄漏</w:t>
            </w:r>
          </w:p>
        </w:tc>
        <w:tc>
          <w:tcPr>
            <w:tcW w:w="1136" w:type="dxa"/>
            <w:vAlign w:val="center"/>
          </w:tcPr>
          <w:p w14:paraId="0E41EBAD">
            <w:pPr>
              <w:widowControl/>
              <w:jc w:val="center"/>
              <w:textAlignment w:val="center"/>
              <w:rPr>
                <w:sz w:val="22"/>
              </w:rPr>
            </w:pPr>
            <w:r>
              <w:rPr>
                <w:rFonts w:hint="eastAsia"/>
                <w:sz w:val="22"/>
                <w:szCs w:val="22"/>
              </w:rPr>
              <w:t>石油烃</w:t>
            </w:r>
          </w:p>
        </w:tc>
        <w:tc>
          <w:tcPr>
            <w:tcW w:w="1580" w:type="dxa"/>
            <w:vAlign w:val="center"/>
          </w:tcPr>
          <w:p w14:paraId="11FB0B8A">
            <w:pPr>
              <w:widowControl/>
              <w:jc w:val="center"/>
              <w:textAlignment w:val="center"/>
              <w:rPr>
                <w:rFonts w:eastAsia="等线"/>
              </w:rPr>
            </w:pPr>
            <w:r>
              <w:rPr>
                <w:rFonts w:hint="eastAsia"/>
                <w:sz w:val="22"/>
                <w:szCs w:val="22"/>
              </w:rPr>
              <w:t>850000</w:t>
            </w:r>
          </w:p>
        </w:tc>
        <w:tc>
          <w:tcPr>
            <w:tcW w:w="1433" w:type="dxa"/>
            <w:vAlign w:val="center"/>
          </w:tcPr>
          <w:p w14:paraId="66F66FBE">
            <w:pPr>
              <w:jc w:val="center"/>
              <w:rPr>
                <w:rFonts w:eastAsia="等线"/>
                <w:sz w:val="22"/>
              </w:rPr>
            </w:pPr>
            <w:r>
              <w:rPr>
                <w:rFonts w:hint="eastAsia" w:eastAsia="等线"/>
                <w:sz w:val="22"/>
              </w:rPr>
              <w:t>8.64</w:t>
            </w:r>
          </w:p>
        </w:tc>
        <w:tc>
          <w:tcPr>
            <w:tcW w:w="1919" w:type="dxa"/>
            <w:vAlign w:val="center"/>
          </w:tcPr>
          <w:p w14:paraId="1729B839">
            <w:pPr>
              <w:pStyle w:val="59"/>
              <w:adjustRightInd w:val="0"/>
              <w:snapToGrid w:val="0"/>
              <w:spacing w:before="0"/>
              <w:jc w:val="center"/>
              <w:rPr>
                <w:rFonts w:ascii="Times New Roman" w:eastAsia="宋体"/>
                <w:b w:val="0"/>
                <w:bCs w:val="0"/>
                <w:kern w:val="0"/>
                <w:sz w:val="22"/>
                <w:szCs w:val="22"/>
                <w:lang w:bidi="ar"/>
              </w:rPr>
            </w:pPr>
            <w:r>
              <w:rPr>
                <w:rFonts w:hint="eastAsia" w:ascii="Times New Roman" w:eastAsia="宋体"/>
                <w:b w:val="0"/>
                <w:bCs w:val="0"/>
                <w:kern w:val="0"/>
                <w:sz w:val="22"/>
                <w:szCs w:val="22"/>
                <w:lang w:bidi="ar"/>
              </w:rPr>
              <w:t>1101600</w:t>
            </w:r>
          </w:p>
        </w:tc>
      </w:tr>
    </w:tbl>
    <w:p w14:paraId="5F42479B">
      <w:pPr>
        <w:pStyle w:val="1379"/>
        <w:ind w:firstLine="440"/>
      </w:pPr>
    </w:p>
    <w:p w14:paraId="0CC1E299">
      <w:pPr>
        <w:spacing w:line="460" w:lineRule="exact"/>
        <w:ind w:firstLine="520" w:firstLineChars="200"/>
        <w:rPr>
          <w:sz w:val="26"/>
          <w:szCs w:val="26"/>
        </w:rPr>
      </w:pPr>
      <w:r>
        <w:rPr>
          <w:sz w:val="26"/>
          <w:szCs w:val="26"/>
        </w:rPr>
        <w:t>（3）预测值</w:t>
      </w:r>
    </w:p>
    <w:p w14:paraId="051EC088">
      <w:pPr>
        <w:spacing w:line="460" w:lineRule="exact"/>
        <w:ind w:firstLine="520" w:firstLineChars="200"/>
        <w:rPr>
          <w:sz w:val="26"/>
          <w:szCs w:val="26"/>
        </w:rPr>
      </w:pPr>
      <w:r>
        <w:rPr>
          <w:sz w:val="26"/>
          <w:szCs w:val="26"/>
        </w:rPr>
        <w:t>采用《环境影响评价技术导则</w:t>
      </w:r>
      <w:r>
        <w:rPr>
          <w:rFonts w:hint="eastAsia"/>
          <w:sz w:val="26"/>
          <w:szCs w:val="26"/>
        </w:rPr>
        <w:t xml:space="preserve"> </w:t>
      </w:r>
      <w:r>
        <w:rPr>
          <w:sz w:val="26"/>
          <w:szCs w:val="26"/>
        </w:rPr>
        <w:t>土壤环境（试行）》（HJ964-2018）中E.1.3 中预测方法及选取的参数，可计算非正常工况下最大增量ΔS：</w:t>
      </w:r>
    </w:p>
    <w:p w14:paraId="07CCD6AF">
      <w:pPr>
        <w:pStyle w:val="1379"/>
        <w:ind w:firstLine="440"/>
      </w:pPr>
    </w:p>
    <w:p w14:paraId="5854B0AB">
      <w:pPr>
        <w:spacing w:line="460" w:lineRule="exact"/>
        <w:ind w:firstLine="520" w:firstLineChars="200"/>
        <w:jc w:val="center"/>
        <w:rPr>
          <w:sz w:val="26"/>
          <w:szCs w:val="26"/>
        </w:rPr>
      </w:pPr>
      <w:r>
        <w:rPr>
          <w:sz w:val="26"/>
          <w:szCs w:val="26"/>
        </w:rPr>
        <w:t>表6.7-4   土壤</w:t>
      </w:r>
      <w:r>
        <w:rPr>
          <w:rFonts w:hint="eastAsia"/>
          <w:sz w:val="26"/>
          <w:szCs w:val="26"/>
        </w:rPr>
        <w:t xml:space="preserve">预测表 </w:t>
      </w:r>
      <w:r>
        <w:rPr>
          <w:sz w:val="26"/>
          <w:szCs w:val="26"/>
        </w:rPr>
        <w:t xml:space="preserve"> </w:t>
      </w:r>
      <w:r>
        <w:rPr>
          <w:rFonts w:hint="eastAsia"/>
          <w:sz w:val="26"/>
          <w:szCs w:val="26"/>
        </w:rPr>
        <w:t>单位：m</w:t>
      </w:r>
      <w:r>
        <w:rPr>
          <w:sz w:val="26"/>
          <w:szCs w:val="26"/>
        </w:rPr>
        <w:t>g/kg</w:t>
      </w:r>
    </w:p>
    <w:tbl>
      <w:tblPr>
        <w:tblStyle w:val="8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1455"/>
        <w:gridCol w:w="1097"/>
        <w:gridCol w:w="1565"/>
        <w:gridCol w:w="1220"/>
        <w:gridCol w:w="1317"/>
        <w:gridCol w:w="1135"/>
      </w:tblGrid>
      <w:tr w14:paraId="1959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57" w:type="dxa"/>
            <w:vAlign w:val="center"/>
          </w:tcPr>
          <w:p w14:paraId="440A79B2">
            <w:pPr>
              <w:jc w:val="center"/>
              <w:rPr>
                <w:sz w:val="22"/>
                <w:szCs w:val="22"/>
              </w:rPr>
            </w:pPr>
            <w:r>
              <w:rPr>
                <w:sz w:val="22"/>
                <w:szCs w:val="22"/>
              </w:rPr>
              <w:t>渗漏情景</w:t>
            </w:r>
          </w:p>
        </w:tc>
        <w:tc>
          <w:tcPr>
            <w:tcW w:w="1455" w:type="dxa"/>
            <w:vAlign w:val="center"/>
          </w:tcPr>
          <w:p w14:paraId="60EB78E1">
            <w:pPr>
              <w:jc w:val="center"/>
              <w:rPr>
                <w:sz w:val="22"/>
                <w:szCs w:val="22"/>
              </w:rPr>
            </w:pPr>
            <w:r>
              <w:rPr>
                <w:sz w:val="22"/>
                <w:szCs w:val="22"/>
              </w:rPr>
              <w:t>渗漏位置</w:t>
            </w:r>
          </w:p>
        </w:tc>
        <w:tc>
          <w:tcPr>
            <w:tcW w:w="1097" w:type="dxa"/>
            <w:vAlign w:val="center"/>
          </w:tcPr>
          <w:p w14:paraId="44893A10">
            <w:pPr>
              <w:jc w:val="center"/>
              <w:rPr>
                <w:sz w:val="22"/>
                <w:szCs w:val="22"/>
              </w:rPr>
            </w:pPr>
            <w:r>
              <w:rPr>
                <w:sz w:val="22"/>
                <w:szCs w:val="22"/>
              </w:rPr>
              <w:t>污染物</w:t>
            </w:r>
          </w:p>
        </w:tc>
        <w:tc>
          <w:tcPr>
            <w:tcW w:w="1565" w:type="dxa"/>
            <w:vAlign w:val="center"/>
          </w:tcPr>
          <w:p w14:paraId="5F8547FC">
            <w:pPr>
              <w:jc w:val="center"/>
              <w:rPr>
                <w:sz w:val="22"/>
                <w:szCs w:val="22"/>
              </w:rPr>
            </w:pPr>
            <w:r>
              <w:rPr>
                <w:sz w:val="22"/>
                <w:szCs w:val="22"/>
              </w:rPr>
              <w:t>ΔS</w:t>
            </w:r>
          </w:p>
        </w:tc>
        <w:tc>
          <w:tcPr>
            <w:tcW w:w="1220" w:type="dxa"/>
            <w:vAlign w:val="center"/>
          </w:tcPr>
          <w:p w14:paraId="17277607">
            <w:pPr>
              <w:jc w:val="center"/>
              <w:rPr>
                <w:sz w:val="22"/>
                <w:szCs w:val="22"/>
              </w:rPr>
            </w:pPr>
            <w:r>
              <w:rPr>
                <w:rFonts w:hint="eastAsia"/>
                <w:sz w:val="22"/>
                <w:szCs w:val="22"/>
              </w:rPr>
              <w:t>S</w:t>
            </w:r>
            <w:r>
              <w:rPr>
                <w:rFonts w:hint="eastAsia"/>
                <w:sz w:val="22"/>
                <w:szCs w:val="22"/>
                <w:vertAlign w:val="subscript"/>
              </w:rPr>
              <w:t>b</w:t>
            </w:r>
          </w:p>
        </w:tc>
        <w:tc>
          <w:tcPr>
            <w:tcW w:w="1317" w:type="dxa"/>
            <w:vAlign w:val="center"/>
          </w:tcPr>
          <w:p w14:paraId="5FE79819">
            <w:pPr>
              <w:jc w:val="center"/>
              <w:rPr>
                <w:sz w:val="22"/>
                <w:szCs w:val="22"/>
              </w:rPr>
            </w:pPr>
            <w:r>
              <w:rPr>
                <w:rFonts w:hint="eastAsia"/>
                <w:sz w:val="22"/>
                <w:szCs w:val="22"/>
              </w:rPr>
              <w:t>S</w:t>
            </w:r>
          </w:p>
        </w:tc>
        <w:tc>
          <w:tcPr>
            <w:tcW w:w="1135" w:type="dxa"/>
            <w:vAlign w:val="center"/>
          </w:tcPr>
          <w:p w14:paraId="52C2E1B4">
            <w:pPr>
              <w:jc w:val="center"/>
              <w:rPr>
                <w:sz w:val="22"/>
                <w:szCs w:val="22"/>
              </w:rPr>
            </w:pPr>
            <w:r>
              <w:rPr>
                <w:rFonts w:hint="eastAsia"/>
                <w:sz w:val="22"/>
                <w:szCs w:val="22"/>
              </w:rPr>
              <w:t>标准值</w:t>
            </w:r>
          </w:p>
        </w:tc>
      </w:tr>
      <w:tr w14:paraId="47E8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57" w:type="dxa"/>
            <w:vMerge w:val="restart"/>
            <w:vAlign w:val="center"/>
          </w:tcPr>
          <w:p w14:paraId="1EB979AE">
            <w:pPr>
              <w:jc w:val="center"/>
              <w:rPr>
                <w:sz w:val="22"/>
                <w:szCs w:val="22"/>
              </w:rPr>
            </w:pPr>
            <w:r>
              <w:rPr>
                <w:sz w:val="22"/>
                <w:szCs w:val="22"/>
              </w:rPr>
              <w:t>非正常</w:t>
            </w:r>
          </w:p>
          <w:p w14:paraId="4C7DDDA1">
            <w:pPr>
              <w:jc w:val="center"/>
              <w:rPr>
                <w:sz w:val="22"/>
                <w:szCs w:val="22"/>
              </w:rPr>
            </w:pPr>
            <w:r>
              <w:rPr>
                <w:sz w:val="22"/>
                <w:szCs w:val="22"/>
              </w:rPr>
              <w:t>工况</w:t>
            </w:r>
          </w:p>
        </w:tc>
        <w:tc>
          <w:tcPr>
            <w:tcW w:w="1455" w:type="dxa"/>
            <w:vMerge w:val="restart"/>
            <w:vAlign w:val="center"/>
          </w:tcPr>
          <w:p w14:paraId="13AC4607">
            <w:pPr>
              <w:jc w:val="center"/>
              <w:rPr>
                <w:sz w:val="22"/>
                <w:szCs w:val="22"/>
              </w:rPr>
            </w:pPr>
            <w:r>
              <w:rPr>
                <w:sz w:val="22"/>
                <w:szCs w:val="22"/>
              </w:rPr>
              <w:t>气田水储罐</w:t>
            </w:r>
          </w:p>
        </w:tc>
        <w:tc>
          <w:tcPr>
            <w:tcW w:w="1097" w:type="dxa"/>
            <w:vAlign w:val="center"/>
          </w:tcPr>
          <w:p w14:paraId="53073A88">
            <w:pPr>
              <w:jc w:val="center"/>
              <w:rPr>
                <w:sz w:val="22"/>
                <w:szCs w:val="22"/>
              </w:rPr>
            </w:pPr>
            <w:r>
              <w:rPr>
                <w:rFonts w:hint="eastAsia"/>
                <w:sz w:val="22"/>
                <w:szCs w:val="22"/>
              </w:rPr>
              <w:t>石油烃</w:t>
            </w:r>
          </w:p>
        </w:tc>
        <w:tc>
          <w:tcPr>
            <w:tcW w:w="1565" w:type="dxa"/>
            <w:vAlign w:val="center"/>
          </w:tcPr>
          <w:p w14:paraId="575D51E4">
            <w:pPr>
              <w:jc w:val="center"/>
              <w:rPr>
                <w:sz w:val="22"/>
                <w:szCs w:val="22"/>
              </w:rPr>
            </w:pPr>
            <w:r>
              <w:rPr>
                <w:rFonts w:hint="eastAsia"/>
                <w:sz w:val="22"/>
                <w:szCs w:val="22"/>
              </w:rPr>
              <w:t>0</w:t>
            </w:r>
            <w:r>
              <w:rPr>
                <w:sz w:val="22"/>
                <w:szCs w:val="22"/>
              </w:rPr>
              <w:t>.009</w:t>
            </w:r>
          </w:p>
        </w:tc>
        <w:tc>
          <w:tcPr>
            <w:tcW w:w="1220" w:type="dxa"/>
            <w:vAlign w:val="center"/>
          </w:tcPr>
          <w:p w14:paraId="321B738B">
            <w:pPr>
              <w:jc w:val="center"/>
              <w:rPr>
                <w:sz w:val="22"/>
                <w:szCs w:val="22"/>
              </w:rPr>
            </w:pPr>
            <w:r>
              <w:rPr>
                <w:rFonts w:hint="eastAsia"/>
              </w:rPr>
              <w:t>38.</w:t>
            </w:r>
            <w:r>
              <w:t>6</w:t>
            </w:r>
          </w:p>
        </w:tc>
        <w:tc>
          <w:tcPr>
            <w:tcW w:w="1317" w:type="dxa"/>
            <w:vAlign w:val="center"/>
          </w:tcPr>
          <w:p w14:paraId="622C5B8F">
            <w:pPr>
              <w:pStyle w:val="687"/>
            </w:pPr>
            <w:r>
              <w:rPr>
                <w:rFonts w:hint="eastAsia"/>
              </w:rPr>
              <w:t>38.609</w:t>
            </w:r>
          </w:p>
        </w:tc>
        <w:tc>
          <w:tcPr>
            <w:tcW w:w="1135" w:type="dxa"/>
            <w:vAlign w:val="center"/>
          </w:tcPr>
          <w:p w14:paraId="5AC16267">
            <w:pPr>
              <w:jc w:val="center"/>
              <w:rPr>
                <w:sz w:val="22"/>
                <w:szCs w:val="22"/>
              </w:rPr>
            </w:pPr>
            <w:r>
              <w:rPr>
                <w:rFonts w:hint="eastAsia"/>
                <w:sz w:val="22"/>
                <w:szCs w:val="22"/>
              </w:rPr>
              <w:t>4</w:t>
            </w:r>
            <w:r>
              <w:rPr>
                <w:sz w:val="22"/>
                <w:szCs w:val="22"/>
              </w:rPr>
              <w:t>500</w:t>
            </w:r>
          </w:p>
        </w:tc>
      </w:tr>
      <w:tr w14:paraId="4C50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57" w:type="dxa"/>
            <w:vMerge w:val="continue"/>
            <w:vAlign w:val="center"/>
          </w:tcPr>
          <w:p w14:paraId="4C0CF087">
            <w:pPr>
              <w:jc w:val="center"/>
              <w:rPr>
                <w:sz w:val="22"/>
                <w:szCs w:val="22"/>
              </w:rPr>
            </w:pPr>
          </w:p>
        </w:tc>
        <w:tc>
          <w:tcPr>
            <w:tcW w:w="1455" w:type="dxa"/>
            <w:vMerge w:val="continue"/>
            <w:vAlign w:val="center"/>
          </w:tcPr>
          <w:p w14:paraId="27744CFA">
            <w:pPr>
              <w:jc w:val="center"/>
              <w:rPr>
                <w:sz w:val="22"/>
                <w:szCs w:val="22"/>
              </w:rPr>
            </w:pPr>
          </w:p>
        </w:tc>
        <w:tc>
          <w:tcPr>
            <w:tcW w:w="1097" w:type="dxa"/>
            <w:vAlign w:val="center"/>
          </w:tcPr>
          <w:p w14:paraId="33B9D5CF">
            <w:pPr>
              <w:jc w:val="center"/>
              <w:rPr>
                <w:sz w:val="22"/>
                <w:szCs w:val="22"/>
              </w:rPr>
            </w:pPr>
            <w:r>
              <w:rPr>
                <w:sz w:val="22"/>
                <w:szCs w:val="22"/>
              </w:rPr>
              <w:t>氯化物</w:t>
            </w:r>
          </w:p>
        </w:tc>
        <w:tc>
          <w:tcPr>
            <w:tcW w:w="1565" w:type="dxa"/>
            <w:vAlign w:val="center"/>
          </w:tcPr>
          <w:p w14:paraId="7B4C2882">
            <w:pPr>
              <w:jc w:val="center"/>
              <w:rPr>
                <w:sz w:val="22"/>
                <w:szCs w:val="22"/>
              </w:rPr>
            </w:pPr>
            <w:r>
              <w:rPr>
                <w:rFonts w:hint="eastAsia"/>
                <w:sz w:val="22"/>
                <w:szCs w:val="22"/>
              </w:rPr>
              <w:t>1</w:t>
            </w:r>
            <w:r>
              <w:rPr>
                <w:sz w:val="22"/>
                <w:szCs w:val="22"/>
              </w:rPr>
              <w:t>.232</w:t>
            </w:r>
          </w:p>
        </w:tc>
        <w:tc>
          <w:tcPr>
            <w:tcW w:w="1220" w:type="dxa"/>
            <w:vAlign w:val="center"/>
          </w:tcPr>
          <w:p w14:paraId="33BAF9EA">
            <w:pPr>
              <w:jc w:val="center"/>
              <w:rPr>
                <w:sz w:val="22"/>
                <w:szCs w:val="22"/>
              </w:rPr>
            </w:pPr>
            <w:r>
              <w:rPr>
                <w:rFonts w:hint="eastAsia"/>
                <w:sz w:val="22"/>
                <w:szCs w:val="22"/>
              </w:rPr>
              <w:t>2</w:t>
            </w:r>
            <w:r>
              <w:rPr>
                <w:sz w:val="22"/>
                <w:szCs w:val="22"/>
              </w:rPr>
              <w:t>2.1</w:t>
            </w:r>
          </w:p>
        </w:tc>
        <w:tc>
          <w:tcPr>
            <w:tcW w:w="1317" w:type="dxa"/>
            <w:vAlign w:val="center"/>
          </w:tcPr>
          <w:p w14:paraId="2712550F">
            <w:pPr>
              <w:pStyle w:val="687"/>
            </w:pPr>
            <w:r>
              <w:rPr>
                <w:rFonts w:hint="eastAsia"/>
              </w:rPr>
              <w:t>23.332</w:t>
            </w:r>
          </w:p>
        </w:tc>
        <w:tc>
          <w:tcPr>
            <w:tcW w:w="1135" w:type="dxa"/>
            <w:vAlign w:val="center"/>
          </w:tcPr>
          <w:p w14:paraId="0555EC21">
            <w:pPr>
              <w:jc w:val="center"/>
              <w:rPr>
                <w:sz w:val="22"/>
                <w:szCs w:val="22"/>
              </w:rPr>
            </w:pPr>
            <w:r>
              <w:rPr>
                <w:rFonts w:hint="eastAsia"/>
                <w:sz w:val="22"/>
                <w:szCs w:val="22"/>
              </w:rPr>
              <w:t>/</w:t>
            </w:r>
          </w:p>
        </w:tc>
      </w:tr>
      <w:tr w14:paraId="5C5F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57" w:type="dxa"/>
            <w:vMerge w:val="continue"/>
            <w:vAlign w:val="center"/>
          </w:tcPr>
          <w:p w14:paraId="455885A4">
            <w:pPr>
              <w:jc w:val="center"/>
              <w:rPr>
                <w:sz w:val="22"/>
                <w:szCs w:val="22"/>
              </w:rPr>
            </w:pPr>
          </w:p>
        </w:tc>
        <w:tc>
          <w:tcPr>
            <w:tcW w:w="1455" w:type="dxa"/>
            <w:vMerge w:val="continue"/>
            <w:vAlign w:val="center"/>
          </w:tcPr>
          <w:p w14:paraId="700BB8B8">
            <w:pPr>
              <w:jc w:val="center"/>
              <w:rPr>
                <w:sz w:val="22"/>
                <w:szCs w:val="22"/>
              </w:rPr>
            </w:pPr>
          </w:p>
        </w:tc>
        <w:tc>
          <w:tcPr>
            <w:tcW w:w="1097" w:type="dxa"/>
            <w:vAlign w:val="center"/>
          </w:tcPr>
          <w:p w14:paraId="0CBA6A60">
            <w:pPr>
              <w:jc w:val="center"/>
              <w:rPr>
                <w:sz w:val="22"/>
                <w:szCs w:val="22"/>
              </w:rPr>
            </w:pPr>
            <w:r>
              <w:rPr>
                <w:rFonts w:hint="eastAsia"/>
                <w:sz w:val="22"/>
                <w:szCs w:val="22"/>
              </w:rPr>
              <w:t>钡</w:t>
            </w:r>
          </w:p>
        </w:tc>
        <w:tc>
          <w:tcPr>
            <w:tcW w:w="1565" w:type="dxa"/>
            <w:vAlign w:val="center"/>
          </w:tcPr>
          <w:p w14:paraId="668F9E58">
            <w:pPr>
              <w:jc w:val="center"/>
              <w:rPr>
                <w:sz w:val="22"/>
                <w:szCs w:val="22"/>
              </w:rPr>
            </w:pPr>
            <w:r>
              <w:rPr>
                <w:rFonts w:hint="eastAsia"/>
                <w:sz w:val="22"/>
                <w:szCs w:val="22"/>
              </w:rPr>
              <w:t>0</w:t>
            </w:r>
            <w:r>
              <w:rPr>
                <w:sz w:val="22"/>
                <w:szCs w:val="22"/>
              </w:rPr>
              <w:t>.014</w:t>
            </w:r>
          </w:p>
        </w:tc>
        <w:tc>
          <w:tcPr>
            <w:tcW w:w="1220" w:type="dxa"/>
            <w:vAlign w:val="center"/>
          </w:tcPr>
          <w:p w14:paraId="2EBA7C06">
            <w:pPr>
              <w:jc w:val="center"/>
              <w:rPr>
                <w:sz w:val="22"/>
                <w:szCs w:val="22"/>
              </w:rPr>
            </w:pPr>
            <w:r>
              <w:rPr>
                <w:rFonts w:hint="eastAsia"/>
              </w:rPr>
              <w:t>592.7</w:t>
            </w:r>
          </w:p>
        </w:tc>
        <w:tc>
          <w:tcPr>
            <w:tcW w:w="1317" w:type="dxa"/>
            <w:vAlign w:val="center"/>
          </w:tcPr>
          <w:p w14:paraId="4334B4CB">
            <w:pPr>
              <w:pStyle w:val="687"/>
            </w:pPr>
            <w:r>
              <w:rPr>
                <w:rFonts w:hint="eastAsia"/>
              </w:rPr>
              <w:t>592.714</w:t>
            </w:r>
          </w:p>
        </w:tc>
        <w:tc>
          <w:tcPr>
            <w:tcW w:w="1135" w:type="dxa"/>
            <w:vAlign w:val="center"/>
          </w:tcPr>
          <w:p w14:paraId="58089594">
            <w:pPr>
              <w:jc w:val="center"/>
              <w:rPr>
                <w:sz w:val="22"/>
                <w:szCs w:val="22"/>
              </w:rPr>
            </w:pPr>
            <w:r>
              <w:rPr>
                <w:rFonts w:hint="eastAsia"/>
                <w:sz w:val="22"/>
                <w:szCs w:val="22"/>
              </w:rPr>
              <w:t>8</w:t>
            </w:r>
            <w:r>
              <w:rPr>
                <w:sz w:val="22"/>
                <w:szCs w:val="22"/>
              </w:rPr>
              <w:t>660</w:t>
            </w:r>
          </w:p>
        </w:tc>
      </w:tr>
      <w:tr w14:paraId="48BD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57" w:type="dxa"/>
            <w:vMerge w:val="continue"/>
            <w:vAlign w:val="center"/>
          </w:tcPr>
          <w:p w14:paraId="4B4F00D7">
            <w:pPr>
              <w:jc w:val="center"/>
              <w:rPr>
                <w:sz w:val="22"/>
                <w:szCs w:val="22"/>
              </w:rPr>
            </w:pPr>
          </w:p>
        </w:tc>
        <w:tc>
          <w:tcPr>
            <w:tcW w:w="1455" w:type="dxa"/>
            <w:vAlign w:val="center"/>
          </w:tcPr>
          <w:p w14:paraId="30E01564">
            <w:pPr>
              <w:jc w:val="center"/>
              <w:rPr>
                <w:sz w:val="22"/>
                <w:szCs w:val="22"/>
              </w:rPr>
            </w:pPr>
            <w:r>
              <w:rPr>
                <w:rFonts w:hint="eastAsia"/>
                <w:sz w:val="22"/>
                <w:szCs w:val="22"/>
              </w:rPr>
              <w:t>凝析油储罐</w:t>
            </w:r>
          </w:p>
        </w:tc>
        <w:tc>
          <w:tcPr>
            <w:tcW w:w="1097" w:type="dxa"/>
            <w:vAlign w:val="center"/>
          </w:tcPr>
          <w:p w14:paraId="1FA17CA4">
            <w:pPr>
              <w:jc w:val="center"/>
              <w:rPr>
                <w:sz w:val="22"/>
                <w:szCs w:val="22"/>
              </w:rPr>
            </w:pPr>
            <w:r>
              <w:rPr>
                <w:rFonts w:hint="eastAsia"/>
                <w:sz w:val="22"/>
                <w:szCs w:val="22"/>
              </w:rPr>
              <w:t>石油烃</w:t>
            </w:r>
          </w:p>
        </w:tc>
        <w:tc>
          <w:tcPr>
            <w:tcW w:w="1565" w:type="dxa"/>
            <w:vAlign w:val="center"/>
          </w:tcPr>
          <w:p w14:paraId="113754DB">
            <w:pPr>
              <w:jc w:val="center"/>
              <w:rPr>
                <w:sz w:val="22"/>
                <w:szCs w:val="22"/>
              </w:rPr>
            </w:pPr>
            <w:r>
              <w:rPr>
                <w:rFonts w:hint="eastAsia"/>
                <w:sz w:val="22"/>
                <w:szCs w:val="22"/>
              </w:rPr>
              <w:t>1</w:t>
            </w:r>
            <w:r>
              <w:rPr>
                <w:sz w:val="22"/>
                <w:szCs w:val="22"/>
              </w:rPr>
              <w:t>6.960</w:t>
            </w:r>
          </w:p>
        </w:tc>
        <w:tc>
          <w:tcPr>
            <w:tcW w:w="1220" w:type="dxa"/>
            <w:vAlign w:val="center"/>
          </w:tcPr>
          <w:p w14:paraId="12BF0EA8">
            <w:pPr>
              <w:jc w:val="center"/>
              <w:rPr>
                <w:sz w:val="22"/>
                <w:szCs w:val="22"/>
              </w:rPr>
            </w:pPr>
            <w:r>
              <w:rPr>
                <w:rFonts w:hint="eastAsia"/>
              </w:rPr>
              <w:t>38.</w:t>
            </w:r>
            <w:r>
              <w:t>6</w:t>
            </w:r>
          </w:p>
        </w:tc>
        <w:tc>
          <w:tcPr>
            <w:tcW w:w="1317" w:type="dxa"/>
            <w:vAlign w:val="center"/>
          </w:tcPr>
          <w:p w14:paraId="46A2063E">
            <w:pPr>
              <w:pStyle w:val="687"/>
            </w:pPr>
            <w:r>
              <w:rPr>
                <w:rFonts w:hint="eastAsia"/>
              </w:rPr>
              <w:t>55.56</w:t>
            </w:r>
          </w:p>
        </w:tc>
        <w:tc>
          <w:tcPr>
            <w:tcW w:w="1135" w:type="dxa"/>
            <w:vAlign w:val="center"/>
          </w:tcPr>
          <w:p w14:paraId="50D64FBD">
            <w:pPr>
              <w:jc w:val="center"/>
              <w:rPr>
                <w:sz w:val="22"/>
                <w:szCs w:val="22"/>
              </w:rPr>
            </w:pPr>
            <w:r>
              <w:rPr>
                <w:rFonts w:hint="eastAsia"/>
                <w:sz w:val="22"/>
                <w:szCs w:val="22"/>
              </w:rPr>
              <w:t>4</w:t>
            </w:r>
            <w:r>
              <w:rPr>
                <w:sz w:val="22"/>
                <w:szCs w:val="22"/>
              </w:rPr>
              <w:t>500</w:t>
            </w:r>
          </w:p>
        </w:tc>
      </w:tr>
    </w:tbl>
    <w:p w14:paraId="39AC66B9">
      <w:pPr>
        <w:pStyle w:val="1379"/>
        <w:ind w:firstLine="440"/>
      </w:pPr>
    </w:p>
    <w:p w14:paraId="25ED8852">
      <w:pPr>
        <w:pStyle w:val="1381"/>
        <w:ind w:firstLine="520"/>
      </w:pPr>
      <w:r>
        <w:rPr>
          <w:rFonts w:hint="eastAsia"/>
        </w:rPr>
        <w:t>（</w:t>
      </w:r>
      <w:r>
        <w:t>4</w:t>
      </w:r>
      <w:r>
        <w:rPr>
          <w:rFonts w:hint="eastAsia"/>
        </w:rPr>
        <w:t>）</w:t>
      </w:r>
      <w:r>
        <w:t>影响分析</w:t>
      </w:r>
    </w:p>
    <w:p w14:paraId="249385B6">
      <w:pPr>
        <w:spacing w:line="460" w:lineRule="exact"/>
        <w:ind w:firstLine="520" w:firstLineChars="200"/>
        <w:rPr>
          <w:sz w:val="26"/>
          <w:szCs w:val="26"/>
        </w:rPr>
      </w:pPr>
      <w:r>
        <w:rPr>
          <w:sz w:val="26"/>
          <w:szCs w:val="26"/>
        </w:rPr>
        <w:t>正常状况下本项目运行对土壤不会造成影响</w:t>
      </w:r>
      <w:r>
        <w:rPr>
          <w:rFonts w:hint="eastAsia"/>
          <w:sz w:val="26"/>
          <w:szCs w:val="26"/>
        </w:rPr>
        <w:t>，</w:t>
      </w:r>
      <w:r>
        <w:rPr>
          <w:sz w:val="26"/>
          <w:szCs w:val="26"/>
        </w:rPr>
        <w:t>非正常状况下，气田水储罐</w:t>
      </w:r>
      <w:r>
        <w:rPr>
          <w:rFonts w:hint="eastAsia"/>
          <w:sz w:val="26"/>
          <w:szCs w:val="26"/>
        </w:rPr>
        <w:t>或凝析油储罐</w:t>
      </w:r>
      <w:r>
        <w:rPr>
          <w:sz w:val="26"/>
          <w:szCs w:val="26"/>
        </w:rPr>
        <w:t>发生泄漏，将对泄漏处周边土壤环境造成</w:t>
      </w:r>
      <w:r>
        <w:rPr>
          <w:rFonts w:hint="eastAsia"/>
          <w:sz w:val="26"/>
          <w:szCs w:val="26"/>
        </w:rPr>
        <w:t>不利影响</w:t>
      </w:r>
      <w:r>
        <w:rPr>
          <w:sz w:val="26"/>
          <w:szCs w:val="26"/>
        </w:rPr>
        <w:t>。</w:t>
      </w:r>
      <w:r>
        <w:rPr>
          <w:rFonts w:hint="eastAsia"/>
          <w:sz w:val="26"/>
          <w:szCs w:val="26"/>
        </w:rPr>
        <w:t>根据预测结果，最不利情况下，本项目土壤污染</w:t>
      </w:r>
      <w:r>
        <w:rPr>
          <w:sz w:val="26"/>
          <w:szCs w:val="26"/>
        </w:rPr>
        <w:t>最大增量</w:t>
      </w:r>
      <w:r>
        <w:rPr>
          <w:rFonts w:hint="eastAsia"/>
          <w:sz w:val="26"/>
          <w:szCs w:val="26"/>
        </w:rPr>
        <w:t>叠加背景值后均低于标准限值，</w:t>
      </w:r>
      <w:r>
        <w:rPr>
          <w:sz w:val="26"/>
          <w:szCs w:val="26"/>
        </w:rPr>
        <w:t>项目试采期间对土壤影响</w:t>
      </w:r>
      <w:r>
        <w:rPr>
          <w:rFonts w:hint="eastAsia"/>
          <w:sz w:val="26"/>
          <w:szCs w:val="26"/>
        </w:rPr>
        <w:t>较</w:t>
      </w:r>
      <w:r>
        <w:rPr>
          <w:sz w:val="26"/>
          <w:szCs w:val="26"/>
        </w:rPr>
        <w:t>小。</w:t>
      </w:r>
    </w:p>
    <w:p w14:paraId="4A7D5B60">
      <w:pPr>
        <w:spacing w:line="460" w:lineRule="exact"/>
        <w:ind w:firstLine="522" w:firstLineChars="200"/>
        <w:rPr>
          <w:b/>
          <w:sz w:val="26"/>
          <w:szCs w:val="26"/>
        </w:rPr>
      </w:pPr>
      <w:r>
        <w:rPr>
          <w:rFonts w:hint="eastAsia"/>
          <w:b/>
          <w:sz w:val="26"/>
          <w:szCs w:val="26"/>
        </w:rPr>
        <w:t>6</w:t>
      </w:r>
      <w:r>
        <w:rPr>
          <w:b/>
          <w:sz w:val="26"/>
          <w:szCs w:val="26"/>
        </w:rPr>
        <w:t xml:space="preserve">.7.3.2 </w:t>
      </w:r>
      <w:r>
        <w:rPr>
          <w:rFonts w:hint="eastAsia"/>
          <w:b/>
          <w:sz w:val="26"/>
          <w:szCs w:val="26"/>
        </w:rPr>
        <w:t>大气沉降影响分析</w:t>
      </w:r>
    </w:p>
    <w:p w14:paraId="46275DEC">
      <w:pPr>
        <w:spacing w:line="460" w:lineRule="exact"/>
        <w:ind w:firstLine="520" w:firstLineChars="200"/>
        <w:rPr>
          <w:sz w:val="26"/>
          <w:szCs w:val="26"/>
          <w:lang w:eastAsia="zh-TW"/>
        </w:rPr>
      </w:pPr>
      <w:r>
        <w:rPr>
          <w:rFonts w:hint="eastAsia"/>
          <w:sz w:val="26"/>
          <w:szCs w:val="26"/>
          <w:lang w:eastAsia="zh-TW"/>
        </w:rPr>
        <w:t>项目</w:t>
      </w:r>
      <w:r>
        <w:rPr>
          <w:rFonts w:hint="eastAsia"/>
          <w:sz w:val="26"/>
          <w:szCs w:val="26"/>
        </w:rPr>
        <w:t>试采期</w:t>
      </w:r>
      <w:r>
        <w:rPr>
          <w:rFonts w:hint="eastAsia"/>
          <w:sz w:val="26"/>
          <w:szCs w:val="26"/>
          <w:lang w:eastAsia="zh-TW"/>
        </w:rPr>
        <w:t>废气主要污染因子为运行过程中产生的颗粒物、氮氧化物、非甲烷总烃等，且均采取了可行的治理措施，同时无重金属等累积性沉降因子，故大气沉降对区域土壤环境影响较小。</w:t>
      </w:r>
    </w:p>
    <w:p w14:paraId="6F4AFDB9">
      <w:pPr>
        <w:pStyle w:val="1068"/>
      </w:pPr>
      <w:r>
        <w:rPr>
          <w:rFonts w:hint="eastAsia"/>
        </w:rPr>
        <w:t>6</w:t>
      </w:r>
      <w:r>
        <w:t>.7.5 土壤</w:t>
      </w:r>
      <w:r>
        <w:rPr>
          <w:rFonts w:hint="eastAsia"/>
        </w:rPr>
        <w:t>污染防治</w:t>
      </w:r>
      <w:r>
        <w:t>措施</w:t>
      </w:r>
    </w:p>
    <w:p w14:paraId="2AF49DFD">
      <w:pPr>
        <w:spacing w:line="450" w:lineRule="exact"/>
        <w:ind w:firstLine="520" w:firstLineChars="200"/>
        <w:rPr>
          <w:sz w:val="26"/>
          <w:szCs w:val="26"/>
        </w:rPr>
      </w:pPr>
      <w:r>
        <w:rPr>
          <w:sz w:val="26"/>
          <w:szCs w:val="26"/>
        </w:rPr>
        <w:t>依据土壤导则，本项目主要从“源头控制”、“过程防控”</w:t>
      </w:r>
      <w:r>
        <w:rPr>
          <w:rFonts w:hint="eastAsia"/>
          <w:sz w:val="26"/>
          <w:szCs w:val="26"/>
        </w:rPr>
        <w:t>、</w:t>
      </w:r>
      <w:r>
        <w:rPr>
          <w:sz w:val="26"/>
          <w:szCs w:val="26"/>
        </w:rPr>
        <w:t>“跟踪监测”</w:t>
      </w:r>
      <w:r>
        <w:rPr>
          <w:rFonts w:hint="eastAsia"/>
          <w:sz w:val="26"/>
          <w:szCs w:val="26"/>
        </w:rPr>
        <w:t>和应急响应等</w:t>
      </w:r>
      <w:r>
        <w:rPr>
          <w:sz w:val="26"/>
          <w:szCs w:val="26"/>
        </w:rPr>
        <w:t>方面保护土壤环境。</w:t>
      </w:r>
    </w:p>
    <w:p w14:paraId="055DCF73">
      <w:pPr>
        <w:spacing w:line="450" w:lineRule="exact"/>
        <w:ind w:firstLine="520" w:firstLineChars="200"/>
        <w:rPr>
          <w:sz w:val="26"/>
          <w:szCs w:val="26"/>
        </w:rPr>
      </w:pPr>
      <w:r>
        <w:rPr>
          <w:rFonts w:hint="eastAsia"/>
          <w:sz w:val="26"/>
          <w:szCs w:val="26"/>
        </w:rPr>
        <w:t>（1）</w:t>
      </w:r>
      <w:r>
        <w:rPr>
          <w:sz w:val="26"/>
          <w:szCs w:val="26"/>
        </w:rPr>
        <w:t>源头控制措施</w:t>
      </w:r>
    </w:p>
    <w:p w14:paraId="7AEC2EC3">
      <w:pPr>
        <w:spacing w:line="45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1 \* GB3</w:instrText>
      </w:r>
      <w:r>
        <w:rPr>
          <w:sz w:val="26"/>
          <w:szCs w:val="26"/>
        </w:rPr>
        <w:instrText xml:space="preserve"> </w:instrText>
      </w:r>
      <w:r>
        <w:rPr>
          <w:sz w:val="26"/>
          <w:szCs w:val="26"/>
        </w:rPr>
        <w:fldChar w:fldCharType="separate"/>
      </w:r>
      <w:r>
        <w:rPr>
          <w:rFonts w:hint="eastAsia"/>
          <w:sz w:val="26"/>
          <w:szCs w:val="26"/>
        </w:rPr>
        <w:t>①</w:t>
      </w:r>
      <w:r>
        <w:rPr>
          <w:sz w:val="26"/>
          <w:szCs w:val="26"/>
        </w:rPr>
        <w:fldChar w:fldCharType="end"/>
      </w:r>
      <w:r>
        <w:rPr>
          <w:sz w:val="26"/>
          <w:szCs w:val="26"/>
        </w:rPr>
        <w:t>选用符合国家标准的原辅料，减少有毒、有害原料的贮存、使用。</w:t>
      </w:r>
    </w:p>
    <w:p w14:paraId="51CAF3B0">
      <w:pPr>
        <w:spacing w:line="45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2 \* GB3</w:instrText>
      </w:r>
      <w:r>
        <w:rPr>
          <w:sz w:val="26"/>
          <w:szCs w:val="26"/>
        </w:rPr>
        <w:instrText xml:space="preserve"> </w:instrText>
      </w:r>
      <w:r>
        <w:rPr>
          <w:sz w:val="26"/>
          <w:szCs w:val="26"/>
        </w:rPr>
        <w:fldChar w:fldCharType="separate"/>
      </w:r>
      <w:r>
        <w:rPr>
          <w:rFonts w:hint="eastAsia"/>
          <w:sz w:val="26"/>
          <w:szCs w:val="26"/>
        </w:rPr>
        <w:t>②</w:t>
      </w:r>
      <w:r>
        <w:rPr>
          <w:sz w:val="26"/>
          <w:szCs w:val="26"/>
        </w:rPr>
        <w:fldChar w:fldCharType="end"/>
      </w:r>
      <w:r>
        <w:rPr>
          <w:sz w:val="26"/>
          <w:szCs w:val="26"/>
        </w:rPr>
        <w:t>选用成熟或先进的生产工艺，提高原料利用率，减少工艺过程中污染物的产生。</w:t>
      </w:r>
    </w:p>
    <w:p w14:paraId="71F382B9">
      <w:pPr>
        <w:spacing w:line="45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3 \* GB3</w:instrText>
      </w:r>
      <w:r>
        <w:rPr>
          <w:sz w:val="26"/>
          <w:szCs w:val="26"/>
        </w:rPr>
        <w:instrText xml:space="preserve"> </w:instrText>
      </w:r>
      <w:r>
        <w:rPr>
          <w:sz w:val="26"/>
          <w:szCs w:val="26"/>
        </w:rPr>
        <w:fldChar w:fldCharType="separate"/>
      </w:r>
      <w:r>
        <w:rPr>
          <w:rFonts w:hint="eastAsia"/>
          <w:sz w:val="26"/>
          <w:szCs w:val="26"/>
        </w:rPr>
        <w:t>③</w:t>
      </w:r>
      <w:r>
        <w:rPr>
          <w:sz w:val="26"/>
          <w:szCs w:val="26"/>
        </w:rPr>
        <w:fldChar w:fldCharType="end"/>
      </w:r>
      <w:r>
        <w:rPr>
          <w:sz w:val="26"/>
          <w:szCs w:val="26"/>
        </w:rPr>
        <w:t>设备、污水收集设施采取防腐、防渗漏措施，防止污染物“跑、冒、滴、漏”。</w:t>
      </w:r>
    </w:p>
    <w:p w14:paraId="25EAE09B">
      <w:pPr>
        <w:spacing w:line="450" w:lineRule="exact"/>
        <w:ind w:firstLine="520" w:firstLineChars="200"/>
        <w:rPr>
          <w:sz w:val="26"/>
          <w:szCs w:val="26"/>
        </w:rPr>
      </w:pPr>
      <w:r>
        <w:rPr>
          <w:rFonts w:hint="eastAsia"/>
          <w:sz w:val="26"/>
          <w:szCs w:val="26"/>
        </w:rPr>
        <w:t>（2）</w:t>
      </w:r>
      <w:r>
        <w:rPr>
          <w:sz w:val="26"/>
          <w:szCs w:val="26"/>
        </w:rPr>
        <w:t>过程防控措施</w:t>
      </w:r>
    </w:p>
    <w:p w14:paraId="3EB75547">
      <w:pPr>
        <w:snapToGrid w:val="0"/>
        <w:spacing w:line="46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1 \* GB3</w:instrText>
      </w:r>
      <w:r>
        <w:rPr>
          <w:sz w:val="26"/>
          <w:szCs w:val="26"/>
        </w:rPr>
        <w:instrText xml:space="preserve"> </w:instrText>
      </w:r>
      <w:r>
        <w:rPr>
          <w:sz w:val="26"/>
          <w:szCs w:val="26"/>
        </w:rPr>
        <w:fldChar w:fldCharType="separate"/>
      </w:r>
      <w:r>
        <w:rPr>
          <w:rFonts w:hint="eastAsia"/>
          <w:sz w:val="26"/>
          <w:szCs w:val="26"/>
        </w:rPr>
        <w:t>①</w:t>
      </w:r>
      <w:r>
        <w:rPr>
          <w:sz w:val="26"/>
          <w:szCs w:val="26"/>
        </w:rPr>
        <w:fldChar w:fldCharType="end"/>
      </w:r>
      <w:r>
        <w:rPr>
          <w:rFonts w:hint="eastAsia"/>
          <w:sz w:val="26"/>
          <w:szCs w:val="26"/>
        </w:rPr>
        <w:t>井口区、气田水罐区、凝析油罐区域进行重点防渗工作，防渗性能满足等效防渗性能不低于黏土层6.0m厚、渗透系数为1.0×10</w:t>
      </w:r>
      <w:r>
        <w:rPr>
          <w:rFonts w:hint="eastAsia"/>
          <w:sz w:val="26"/>
          <w:szCs w:val="26"/>
          <w:vertAlign w:val="superscript"/>
        </w:rPr>
        <w:t>-7</w:t>
      </w:r>
      <w:r>
        <w:rPr>
          <w:rFonts w:hint="eastAsia"/>
          <w:sz w:val="26"/>
          <w:szCs w:val="26"/>
        </w:rPr>
        <w:t>cm/s的防渗效果。</w:t>
      </w:r>
    </w:p>
    <w:p w14:paraId="1A4F5CC3">
      <w:pPr>
        <w:snapToGrid w:val="0"/>
        <w:spacing w:line="46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2 \* GB3</w:instrText>
      </w:r>
      <w:r>
        <w:rPr>
          <w:sz w:val="26"/>
          <w:szCs w:val="26"/>
        </w:rPr>
        <w:instrText xml:space="preserve"> </w:instrText>
      </w:r>
      <w:r>
        <w:rPr>
          <w:sz w:val="26"/>
          <w:szCs w:val="26"/>
        </w:rPr>
        <w:fldChar w:fldCharType="separate"/>
      </w:r>
      <w:r>
        <w:rPr>
          <w:rFonts w:hint="eastAsia"/>
          <w:sz w:val="26"/>
          <w:szCs w:val="26"/>
        </w:rPr>
        <w:t>②</w:t>
      </w:r>
      <w:r>
        <w:rPr>
          <w:sz w:val="26"/>
          <w:szCs w:val="26"/>
        </w:rPr>
        <w:fldChar w:fldCharType="end"/>
      </w:r>
      <w:r>
        <w:rPr>
          <w:rFonts w:hint="eastAsia"/>
          <w:sz w:val="26"/>
          <w:szCs w:val="26"/>
        </w:rPr>
        <w:t>气田水罐区、凝析油罐区在重点防渗基础上设置围堰，围堰容积应大于单个罐体容积。</w:t>
      </w:r>
    </w:p>
    <w:p w14:paraId="71A661C1">
      <w:pPr>
        <w:snapToGrid w:val="0"/>
        <w:spacing w:line="46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3 \* GB3</w:instrText>
      </w:r>
      <w:r>
        <w:rPr>
          <w:sz w:val="26"/>
          <w:szCs w:val="26"/>
        </w:rPr>
        <w:instrText xml:space="preserve"> </w:instrText>
      </w:r>
      <w:r>
        <w:rPr>
          <w:sz w:val="26"/>
          <w:szCs w:val="26"/>
        </w:rPr>
        <w:fldChar w:fldCharType="separate"/>
      </w:r>
      <w:r>
        <w:rPr>
          <w:rFonts w:hint="eastAsia"/>
          <w:sz w:val="26"/>
          <w:szCs w:val="26"/>
        </w:rPr>
        <w:t>③</w:t>
      </w:r>
      <w:r>
        <w:rPr>
          <w:sz w:val="26"/>
          <w:szCs w:val="26"/>
        </w:rPr>
        <w:fldChar w:fldCharType="end"/>
      </w:r>
      <w:r>
        <w:rPr>
          <w:rFonts w:hint="eastAsia"/>
          <w:sz w:val="26"/>
          <w:szCs w:val="26"/>
        </w:rPr>
        <w:t>工艺装置区按导则要求进行一般防渗，保证其防渗效果等效“渗透系数≤1.0×10</w:t>
      </w:r>
      <w:r>
        <w:rPr>
          <w:rFonts w:hint="eastAsia"/>
          <w:sz w:val="26"/>
          <w:szCs w:val="26"/>
          <w:vertAlign w:val="superscript"/>
        </w:rPr>
        <w:t>-7</w:t>
      </w:r>
      <w:r>
        <w:rPr>
          <w:rFonts w:hint="eastAsia"/>
          <w:sz w:val="26"/>
          <w:szCs w:val="26"/>
        </w:rPr>
        <w:t>cm/s，厚度Mb≥1.5m的黏土的防渗性能”。</w:t>
      </w:r>
    </w:p>
    <w:p w14:paraId="17011CCE">
      <w:pPr>
        <w:spacing w:line="450" w:lineRule="exact"/>
        <w:ind w:firstLine="520" w:firstLineChars="200"/>
        <w:rPr>
          <w:sz w:val="26"/>
          <w:szCs w:val="26"/>
        </w:rPr>
      </w:pPr>
      <w:r>
        <w:rPr>
          <w:rFonts w:hint="eastAsia"/>
          <w:sz w:val="26"/>
          <w:szCs w:val="26"/>
        </w:rPr>
        <w:t>（3）</w:t>
      </w:r>
      <w:r>
        <w:rPr>
          <w:sz w:val="26"/>
          <w:szCs w:val="26"/>
        </w:rPr>
        <w:t>跟踪监测</w:t>
      </w:r>
      <w:r>
        <w:rPr>
          <w:rFonts w:hint="eastAsia"/>
          <w:sz w:val="26"/>
          <w:szCs w:val="26"/>
        </w:rPr>
        <w:t>措施</w:t>
      </w:r>
    </w:p>
    <w:p w14:paraId="20BACFB3">
      <w:pPr>
        <w:spacing w:line="450" w:lineRule="exact"/>
        <w:ind w:firstLine="520" w:firstLineChars="200"/>
        <w:rPr>
          <w:sz w:val="26"/>
          <w:szCs w:val="26"/>
        </w:rPr>
      </w:pPr>
      <w:r>
        <w:rPr>
          <w:sz w:val="26"/>
          <w:szCs w:val="26"/>
        </w:rPr>
        <w:t>根据《环境影响评价技术导则 土壤环境（试行）》（HJ964-2018）“9.3 跟踪监测，二级</w:t>
      </w:r>
      <w:r>
        <w:rPr>
          <w:rFonts w:hint="eastAsia"/>
          <w:sz w:val="26"/>
          <w:szCs w:val="26"/>
        </w:rPr>
        <w:t>评价</w:t>
      </w:r>
      <w:r>
        <w:rPr>
          <w:sz w:val="26"/>
          <w:szCs w:val="26"/>
        </w:rPr>
        <w:t>每5年内开展一次”，故本次评价要求，企业建立土壤污染监控制度和环境管理体系，及时采取措施，要求企业每5年内开展一次跟踪监测。</w:t>
      </w:r>
    </w:p>
    <w:p w14:paraId="39BEB6BB">
      <w:pPr>
        <w:spacing w:line="450" w:lineRule="exact"/>
        <w:ind w:firstLine="520" w:firstLineChars="200"/>
        <w:rPr>
          <w:sz w:val="26"/>
          <w:szCs w:val="26"/>
        </w:rPr>
      </w:pPr>
      <w:r>
        <w:rPr>
          <w:rFonts w:hint="eastAsia"/>
          <w:sz w:val="26"/>
          <w:szCs w:val="26"/>
        </w:rPr>
        <w:t>（4）应急响应措施</w:t>
      </w:r>
    </w:p>
    <w:p w14:paraId="64750051">
      <w:pPr>
        <w:spacing w:line="450" w:lineRule="exact"/>
        <w:ind w:firstLine="520" w:firstLineChars="200"/>
        <w:rPr>
          <w:sz w:val="26"/>
          <w:szCs w:val="26"/>
        </w:rPr>
      </w:pPr>
      <w:r>
        <w:rPr>
          <w:sz w:val="26"/>
          <w:szCs w:val="26"/>
        </w:rPr>
        <w:t>项目试采期间</w:t>
      </w:r>
      <w:r>
        <w:rPr>
          <w:rFonts w:hint="eastAsia"/>
          <w:sz w:val="26"/>
          <w:szCs w:val="26"/>
        </w:rPr>
        <w:t>储罐</w:t>
      </w:r>
      <w:r>
        <w:rPr>
          <w:sz w:val="26"/>
          <w:szCs w:val="26"/>
        </w:rPr>
        <w:t>泄漏时，应</w:t>
      </w:r>
      <w:r>
        <w:rPr>
          <w:rFonts w:hint="eastAsia"/>
          <w:sz w:val="26"/>
          <w:szCs w:val="26"/>
        </w:rPr>
        <w:t>及时</w:t>
      </w:r>
      <w:r>
        <w:rPr>
          <w:sz w:val="26"/>
          <w:szCs w:val="26"/>
        </w:rPr>
        <w:t>安排调度罐车进行外运处理。泄漏进入农田的，应堵住农田缺口，挖坑收集，防止流入地表水污染水体。对受污染土壤表层土进行剥离收集安全处置，对受污染农田水处理达标排放。对庄稼造成的经济影响进行补偿，避免造成环境纠纷。发生事故后应及时通报当地环保部门，并积极配合环保部门抢险。</w:t>
      </w:r>
    </w:p>
    <w:p w14:paraId="779A2234">
      <w:pPr>
        <w:spacing w:line="450" w:lineRule="exact"/>
        <w:ind w:firstLine="520" w:firstLineChars="200"/>
        <w:rPr>
          <w:sz w:val="26"/>
          <w:szCs w:val="26"/>
        </w:rPr>
      </w:pPr>
    </w:p>
    <w:p w14:paraId="6F1F0B9D">
      <w:pPr>
        <w:adjustRightInd w:val="0"/>
        <w:snapToGrid w:val="0"/>
        <w:spacing w:line="500" w:lineRule="exact"/>
        <w:ind w:firstLine="522"/>
        <w:outlineLvl w:val="1"/>
        <w:rPr>
          <w:b/>
          <w:sz w:val="26"/>
          <w:szCs w:val="26"/>
        </w:rPr>
        <w:sectPr>
          <w:pgSz w:w="11906" w:h="16838"/>
          <w:pgMar w:top="1701" w:right="1588" w:bottom="1588" w:left="1588" w:header="1304" w:footer="1247" w:gutter="0"/>
          <w:cols w:space="720" w:num="1"/>
          <w:docGrid w:linePitch="312" w:charSpace="0"/>
        </w:sectPr>
      </w:pPr>
    </w:p>
    <w:p w14:paraId="150D8770">
      <w:pPr>
        <w:adjustRightInd w:val="0"/>
        <w:snapToGrid w:val="0"/>
        <w:spacing w:before="240" w:beforeLines="100" w:after="240" w:afterLines="100"/>
        <w:jc w:val="center"/>
        <w:outlineLvl w:val="0"/>
        <w:rPr>
          <w:b/>
          <w:sz w:val="32"/>
          <w:szCs w:val="32"/>
        </w:rPr>
      </w:pPr>
      <w:bookmarkStart w:id="306" w:name="_Toc91161337"/>
      <w:bookmarkStart w:id="307" w:name="_Toc165809748"/>
      <w:bookmarkStart w:id="308" w:name="_Toc219907661"/>
      <w:bookmarkStart w:id="309" w:name="_Toc165810607"/>
      <w:r>
        <w:rPr>
          <w:b/>
          <w:sz w:val="32"/>
          <w:szCs w:val="32"/>
        </w:rPr>
        <w:t>7 环境风险评价</w:t>
      </w:r>
      <w:bookmarkEnd w:id="306"/>
      <w:bookmarkEnd w:id="307"/>
      <w:bookmarkEnd w:id="308"/>
      <w:bookmarkEnd w:id="309"/>
    </w:p>
    <w:p w14:paraId="4311A1D6">
      <w:pPr>
        <w:pStyle w:val="1381"/>
        <w:ind w:firstLine="520"/>
        <w:rPr>
          <w:rFonts w:cs="Times New Roman"/>
        </w:rPr>
      </w:pPr>
      <w:bookmarkStart w:id="310" w:name="_Toc91161338"/>
      <w:r>
        <w:rPr>
          <w:rFonts w:hint="eastAsia" w:cs="Times New Roman"/>
        </w:rPr>
        <w:t>按照《建设项目环境风险评价技术导则》（HJ 169-2018）的要求，环境风险评价应以突发性事故导致的危险物质环境急性损害防控为目标，对建设项目的环境风险进行分析、预测和评估，提出环境风险预防、控制、减缓措施，明确环境风险监控及应急要求，为建设项目环境风险防控提供科学依据。</w:t>
      </w:r>
    </w:p>
    <w:p w14:paraId="167A79E4">
      <w:pPr>
        <w:pStyle w:val="1381"/>
        <w:ind w:firstLine="520"/>
        <w:rPr>
          <w:rFonts w:cs="Times New Roman"/>
        </w:rPr>
      </w:pPr>
      <w:r>
        <w:rPr>
          <w:rFonts w:hint="eastAsia" w:cs="Times New Roman"/>
        </w:rPr>
        <w:t>本次环境风险评价的主要目的是分析本项目试采过程中存在的潜在危险、有害因素，可能发生的突发性事件和事故，可能造成的危害，提出合理可行的风险防范措施、应急与减缓措施，以使事故率和事故影响达到可接受水平。</w:t>
      </w:r>
    </w:p>
    <w:p w14:paraId="73A2EFEC">
      <w:pPr>
        <w:adjustRightInd w:val="0"/>
        <w:snapToGrid w:val="0"/>
        <w:spacing w:line="460" w:lineRule="exact"/>
        <w:ind w:firstLine="522" w:firstLineChars="200"/>
        <w:outlineLvl w:val="1"/>
        <w:rPr>
          <w:b/>
          <w:bCs/>
          <w:sz w:val="26"/>
          <w:szCs w:val="26"/>
        </w:rPr>
      </w:pPr>
      <w:bookmarkStart w:id="311" w:name="_Toc165810608"/>
      <w:bookmarkStart w:id="312" w:name="_Toc219907662"/>
      <w:bookmarkStart w:id="313" w:name="_Toc165809749"/>
      <w:bookmarkStart w:id="314" w:name="_Toc104907154"/>
      <w:r>
        <w:rPr>
          <w:b/>
          <w:bCs/>
          <w:sz w:val="26"/>
          <w:szCs w:val="26"/>
        </w:rPr>
        <w:t xml:space="preserve">7.1 </w:t>
      </w:r>
      <w:r>
        <w:rPr>
          <w:rFonts w:hint="eastAsia"/>
          <w:b/>
          <w:bCs/>
          <w:sz w:val="26"/>
          <w:szCs w:val="26"/>
        </w:rPr>
        <w:t>风险调查</w:t>
      </w:r>
      <w:bookmarkEnd w:id="311"/>
      <w:bookmarkEnd w:id="312"/>
      <w:bookmarkEnd w:id="313"/>
      <w:bookmarkEnd w:id="314"/>
    </w:p>
    <w:p w14:paraId="4CDB379B">
      <w:pPr>
        <w:adjustRightInd w:val="0"/>
        <w:snapToGrid w:val="0"/>
        <w:spacing w:line="460" w:lineRule="exact"/>
        <w:ind w:firstLine="522" w:firstLineChars="200"/>
        <w:outlineLvl w:val="2"/>
        <w:rPr>
          <w:b/>
          <w:bCs/>
          <w:sz w:val="26"/>
          <w:szCs w:val="26"/>
        </w:rPr>
      </w:pPr>
      <w:bookmarkStart w:id="315" w:name="_Toc165810609"/>
      <w:r>
        <w:rPr>
          <w:b/>
          <w:bCs/>
          <w:sz w:val="26"/>
          <w:szCs w:val="26"/>
        </w:rPr>
        <w:t xml:space="preserve">7.1.1 </w:t>
      </w:r>
      <w:r>
        <w:rPr>
          <w:rFonts w:hint="eastAsia"/>
          <w:b/>
          <w:bCs/>
          <w:sz w:val="26"/>
          <w:szCs w:val="26"/>
        </w:rPr>
        <w:t>风险源调查</w:t>
      </w:r>
      <w:bookmarkEnd w:id="315"/>
    </w:p>
    <w:p w14:paraId="10F10D5A">
      <w:pPr>
        <w:spacing w:line="460" w:lineRule="exact"/>
        <w:ind w:firstLine="520" w:firstLineChars="200"/>
        <w:rPr>
          <w:sz w:val="26"/>
          <w:szCs w:val="26"/>
        </w:rPr>
      </w:pPr>
      <w:r>
        <w:rPr>
          <w:rFonts w:hint="eastAsia"/>
          <w:sz w:val="26"/>
          <w:szCs w:val="26"/>
        </w:rPr>
        <w:t>本项目为天然气试采站建设项目，所涉及的环境风险物质主要为天然气、凝析油和气田水，风险物质的成分、物理化学特性及毒理性如下：</w:t>
      </w:r>
    </w:p>
    <w:p w14:paraId="0A99F995">
      <w:pPr>
        <w:pStyle w:val="1381"/>
        <w:ind w:firstLine="520"/>
        <w:rPr>
          <w:rFonts w:cs="Times New Roman"/>
        </w:rPr>
      </w:pPr>
      <w:r>
        <w:rPr>
          <w:rFonts w:hint="eastAsia" w:cs="Times New Roman"/>
        </w:rPr>
        <w:t>（1）天然气危险性分析</w:t>
      </w:r>
    </w:p>
    <w:p w14:paraId="50089255">
      <w:pPr>
        <w:adjustRightInd w:val="0"/>
        <w:snapToGrid w:val="0"/>
        <w:spacing w:line="460" w:lineRule="exact"/>
        <w:ind w:firstLine="520" w:firstLineChars="200"/>
        <w:rPr>
          <w:kern w:val="0"/>
          <w:sz w:val="26"/>
          <w:szCs w:val="20"/>
        </w:rPr>
      </w:pPr>
      <w:r>
        <w:rPr>
          <w:rFonts w:hint="eastAsia"/>
          <w:kern w:val="0"/>
          <w:sz w:val="26"/>
          <w:szCs w:val="20"/>
        </w:rPr>
        <w:t>根据本项目气质报告，本项目所采天然气不含硫化氢，</w:t>
      </w:r>
      <w:r>
        <w:rPr>
          <w:bCs/>
          <w:sz w:val="26"/>
          <w:szCs w:val="26"/>
        </w:rPr>
        <w:t>主要成分为甲烷，含少量乙烷</w:t>
      </w:r>
      <w:r>
        <w:rPr>
          <w:rFonts w:hint="eastAsia"/>
          <w:bCs/>
          <w:sz w:val="26"/>
          <w:szCs w:val="26"/>
        </w:rPr>
        <w:t>、</w:t>
      </w:r>
      <w:r>
        <w:rPr>
          <w:bCs/>
          <w:sz w:val="26"/>
          <w:szCs w:val="26"/>
        </w:rPr>
        <w:t>丙烷</w:t>
      </w:r>
      <w:r>
        <w:rPr>
          <w:rFonts w:hint="eastAsia"/>
          <w:kern w:val="0"/>
          <w:sz w:val="26"/>
          <w:szCs w:val="20"/>
        </w:rPr>
        <w:t>，主要危险性质如下：</w:t>
      </w:r>
    </w:p>
    <w:p w14:paraId="73E2B279">
      <w:pPr>
        <w:adjustRightInd w:val="0"/>
        <w:snapToGrid w:val="0"/>
        <w:spacing w:line="460" w:lineRule="exact"/>
        <w:ind w:firstLine="520" w:firstLineChars="200"/>
        <w:rPr>
          <w:kern w:val="0"/>
          <w:sz w:val="26"/>
          <w:szCs w:val="20"/>
        </w:rPr>
      </w:pPr>
      <w:r>
        <w:rPr>
          <w:kern w:val="0"/>
          <w:sz w:val="26"/>
          <w:szCs w:val="20"/>
        </w:rPr>
        <w:fldChar w:fldCharType="begin"/>
      </w:r>
      <w:r>
        <w:rPr>
          <w:kern w:val="0"/>
          <w:sz w:val="26"/>
          <w:szCs w:val="20"/>
        </w:rPr>
        <w:instrText xml:space="preserve"> </w:instrText>
      </w:r>
      <w:r>
        <w:rPr>
          <w:rFonts w:hint="eastAsia"/>
          <w:kern w:val="0"/>
          <w:sz w:val="26"/>
          <w:szCs w:val="20"/>
        </w:rPr>
        <w:instrText xml:space="preserve">= 1 \* GB3</w:instrText>
      </w:r>
      <w:r>
        <w:rPr>
          <w:kern w:val="0"/>
          <w:sz w:val="26"/>
          <w:szCs w:val="20"/>
        </w:rPr>
        <w:instrText xml:space="preserve"> </w:instrText>
      </w:r>
      <w:r>
        <w:rPr>
          <w:kern w:val="0"/>
          <w:sz w:val="26"/>
          <w:szCs w:val="20"/>
        </w:rPr>
        <w:fldChar w:fldCharType="separate"/>
      </w:r>
      <w:r>
        <w:rPr>
          <w:rFonts w:hint="eastAsia"/>
          <w:kern w:val="0"/>
          <w:sz w:val="26"/>
          <w:szCs w:val="20"/>
        </w:rPr>
        <w:t>①</w:t>
      </w:r>
      <w:r>
        <w:rPr>
          <w:kern w:val="0"/>
          <w:sz w:val="26"/>
          <w:szCs w:val="20"/>
        </w:rPr>
        <w:fldChar w:fldCharType="end"/>
      </w:r>
      <w:r>
        <w:rPr>
          <w:kern w:val="0"/>
          <w:sz w:val="26"/>
          <w:szCs w:val="20"/>
        </w:rPr>
        <w:t>易燃性：天然气属于甲类火灾危险物质。对于石油蒸汽、天然气常常在作业场所或者储存区弥散、扩散或在低洼处聚集，在空气中较小的点燃能量就会燃烧，因此具有较大的火灾危险性。</w:t>
      </w:r>
    </w:p>
    <w:p w14:paraId="5AE5C5DD">
      <w:pPr>
        <w:adjustRightInd w:val="0"/>
        <w:snapToGrid w:val="0"/>
        <w:spacing w:line="460" w:lineRule="exact"/>
        <w:ind w:firstLine="520" w:firstLineChars="200"/>
        <w:rPr>
          <w:kern w:val="0"/>
          <w:sz w:val="26"/>
          <w:szCs w:val="20"/>
        </w:rPr>
      </w:pPr>
      <w:r>
        <w:rPr>
          <w:kern w:val="0"/>
          <w:sz w:val="26"/>
          <w:szCs w:val="20"/>
        </w:rPr>
        <w:fldChar w:fldCharType="begin"/>
      </w:r>
      <w:r>
        <w:rPr>
          <w:kern w:val="0"/>
          <w:sz w:val="26"/>
          <w:szCs w:val="20"/>
        </w:rPr>
        <w:instrText xml:space="preserve"> </w:instrText>
      </w:r>
      <w:r>
        <w:rPr>
          <w:rFonts w:hint="eastAsia"/>
          <w:kern w:val="0"/>
          <w:sz w:val="26"/>
          <w:szCs w:val="20"/>
        </w:rPr>
        <w:instrText xml:space="preserve">= 2 \* GB3</w:instrText>
      </w:r>
      <w:r>
        <w:rPr>
          <w:kern w:val="0"/>
          <w:sz w:val="26"/>
          <w:szCs w:val="20"/>
        </w:rPr>
        <w:instrText xml:space="preserve"> </w:instrText>
      </w:r>
      <w:r>
        <w:rPr>
          <w:kern w:val="0"/>
          <w:sz w:val="26"/>
          <w:szCs w:val="20"/>
        </w:rPr>
        <w:fldChar w:fldCharType="separate"/>
      </w:r>
      <w:r>
        <w:rPr>
          <w:rFonts w:hint="eastAsia"/>
          <w:kern w:val="0"/>
          <w:sz w:val="26"/>
          <w:szCs w:val="20"/>
        </w:rPr>
        <w:t>②</w:t>
      </w:r>
      <w:r>
        <w:rPr>
          <w:kern w:val="0"/>
          <w:sz w:val="26"/>
          <w:szCs w:val="20"/>
        </w:rPr>
        <w:fldChar w:fldCharType="end"/>
      </w:r>
      <w:r>
        <w:rPr>
          <w:kern w:val="0"/>
          <w:sz w:val="26"/>
          <w:szCs w:val="20"/>
        </w:rPr>
        <w:t>易爆性：天然气与空气组成混合气体，其浓度处于一定范围时，遇火即发生爆炸。天然气（甲烷）的爆炸极限为5.3%～15%，爆炸浓度极限范围越宽，爆炸下限浓度值越低，物质爆炸危险性越大。</w:t>
      </w:r>
    </w:p>
    <w:p w14:paraId="3BE49D81">
      <w:pPr>
        <w:adjustRightInd w:val="0"/>
        <w:snapToGrid w:val="0"/>
        <w:spacing w:line="460" w:lineRule="exact"/>
        <w:ind w:firstLine="520" w:firstLineChars="200"/>
        <w:rPr>
          <w:kern w:val="0"/>
          <w:sz w:val="26"/>
          <w:szCs w:val="20"/>
        </w:rPr>
      </w:pPr>
      <w:r>
        <w:rPr>
          <w:kern w:val="0"/>
          <w:sz w:val="26"/>
          <w:szCs w:val="20"/>
        </w:rPr>
        <w:fldChar w:fldCharType="begin"/>
      </w:r>
      <w:r>
        <w:rPr>
          <w:kern w:val="0"/>
          <w:sz w:val="26"/>
          <w:szCs w:val="20"/>
        </w:rPr>
        <w:instrText xml:space="preserve"> </w:instrText>
      </w:r>
      <w:r>
        <w:rPr>
          <w:rFonts w:hint="eastAsia"/>
          <w:kern w:val="0"/>
          <w:sz w:val="26"/>
          <w:szCs w:val="20"/>
        </w:rPr>
        <w:instrText xml:space="preserve">= 3 \* GB3</w:instrText>
      </w:r>
      <w:r>
        <w:rPr>
          <w:kern w:val="0"/>
          <w:sz w:val="26"/>
          <w:szCs w:val="20"/>
        </w:rPr>
        <w:instrText xml:space="preserve"> </w:instrText>
      </w:r>
      <w:r>
        <w:rPr>
          <w:kern w:val="0"/>
          <w:sz w:val="26"/>
          <w:szCs w:val="20"/>
        </w:rPr>
        <w:fldChar w:fldCharType="separate"/>
      </w:r>
      <w:r>
        <w:rPr>
          <w:rFonts w:hint="eastAsia"/>
          <w:kern w:val="0"/>
          <w:sz w:val="26"/>
          <w:szCs w:val="20"/>
        </w:rPr>
        <w:t>③</w:t>
      </w:r>
      <w:r>
        <w:rPr>
          <w:kern w:val="0"/>
          <w:sz w:val="26"/>
          <w:szCs w:val="20"/>
        </w:rPr>
        <w:fldChar w:fldCharType="end"/>
      </w:r>
      <w:r>
        <w:rPr>
          <w:kern w:val="0"/>
          <w:sz w:val="26"/>
          <w:szCs w:val="20"/>
        </w:rPr>
        <w:t>毒性：天然气作为烃类混合物，属低毒性物质，但长期接触可导致神经衰弱综合症。甲烷属“单纯窒息性”气体，高浓度时因缺氧窒息而引起中毒。空气中甲烷浓度达到25%～30%时出现头晕、呼吸加速、运动失调。</w:t>
      </w:r>
    </w:p>
    <w:p w14:paraId="4C7B3F1F">
      <w:pPr>
        <w:pStyle w:val="1379"/>
        <w:ind w:firstLine="440"/>
      </w:pPr>
    </w:p>
    <w:p w14:paraId="2F315943">
      <w:pPr>
        <w:autoSpaceDE w:val="0"/>
        <w:autoSpaceDN w:val="0"/>
        <w:adjustRightInd w:val="0"/>
        <w:snapToGrid w:val="0"/>
        <w:jc w:val="center"/>
        <w:rPr>
          <w:sz w:val="26"/>
          <w:szCs w:val="26"/>
        </w:rPr>
      </w:pPr>
      <w:r>
        <w:rPr>
          <w:sz w:val="26"/>
          <w:szCs w:val="26"/>
        </w:rPr>
        <w:t>表7.1-1  甲烷物理化学特征表</w:t>
      </w:r>
    </w:p>
    <w:tbl>
      <w:tblPr>
        <w:tblStyle w:val="88"/>
        <w:tblW w:w="83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55"/>
        <w:gridCol w:w="1547"/>
        <w:gridCol w:w="2052"/>
        <w:gridCol w:w="1876"/>
        <w:gridCol w:w="99"/>
        <w:gridCol w:w="2233"/>
      </w:tblGrid>
      <w:tr w14:paraId="1409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7" w:hRule="atLeast"/>
          <w:jc w:val="center"/>
        </w:trPr>
        <w:tc>
          <w:tcPr>
            <w:tcW w:w="555" w:type="dxa"/>
            <w:vMerge w:val="restart"/>
            <w:vAlign w:val="center"/>
          </w:tcPr>
          <w:p w14:paraId="133A2061">
            <w:pPr>
              <w:adjustRightInd w:val="0"/>
              <w:snapToGrid w:val="0"/>
              <w:jc w:val="center"/>
              <w:rPr>
                <w:sz w:val="22"/>
                <w:szCs w:val="22"/>
              </w:rPr>
            </w:pPr>
            <w:r>
              <w:rPr>
                <w:sz w:val="22"/>
                <w:szCs w:val="22"/>
              </w:rPr>
              <w:t>标</w:t>
            </w:r>
          </w:p>
          <w:p w14:paraId="37F8F631">
            <w:pPr>
              <w:adjustRightInd w:val="0"/>
              <w:snapToGrid w:val="0"/>
              <w:jc w:val="center"/>
              <w:rPr>
                <w:sz w:val="22"/>
                <w:szCs w:val="22"/>
              </w:rPr>
            </w:pPr>
            <w:r>
              <w:rPr>
                <w:sz w:val="22"/>
                <w:szCs w:val="22"/>
              </w:rPr>
              <w:t>识</w:t>
            </w:r>
          </w:p>
        </w:tc>
        <w:tc>
          <w:tcPr>
            <w:tcW w:w="1547" w:type="dxa"/>
            <w:vAlign w:val="center"/>
          </w:tcPr>
          <w:p w14:paraId="65097E2E">
            <w:pPr>
              <w:adjustRightInd w:val="0"/>
              <w:snapToGrid w:val="0"/>
              <w:spacing w:before="24" w:beforeLines="10" w:after="24" w:afterLines="10"/>
              <w:jc w:val="center"/>
              <w:rPr>
                <w:sz w:val="22"/>
                <w:szCs w:val="22"/>
              </w:rPr>
            </w:pPr>
            <w:r>
              <w:rPr>
                <w:sz w:val="22"/>
                <w:szCs w:val="22"/>
              </w:rPr>
              <w:t>中文名</w:t>
            </w:r>
          </w:p>
        </w:tc>
        <w:tc>
          <w:tcPr>
            <w:tcW w:w="2052" w:type="dxa"/>
            <w:vAlign w:val="center"/>
          </w:tcPr>
          <w:p w14:paraId="383A9662">
            <w:pPr>
              <w:adjustRightInd w:val="0"/>
              <w:snapToGrid w:val="0"/>
              <w:spacing w:before="24" w:beforeLines="10" w:after="24" w:afterLines="10"/>
              <w:jc w:val="center"/>
              <w:rPr>
                <w:sz w:val="22"/>
                <w:szCs w:val="22"/>
              </w:rPr>
            </w:pPr>
            <w:r>
              <w:rPr>
                <w:sz w:val="22"/>
                <w:szCs w:val="22"/>
              </w:rPr>
              <w:t>甲烷</w:t>
            </w:r>
          </w:p>
        </w:tc>
        <w:tc>
          <w:tcPr>
            <w:tcW w:w="1876" w:type="dxa"/>
            <w:vAlign w:val="center"/>
          </w:tcPr>
          <w:p w14:paraId="3AA8081E">
            <w:pPr>
              <w:adjustRightInd w:val="0"/>
              <w:snapToGrid w:val="0"/>
              <w:spacing w:before="24" w:beforeLines="10" w:after="24" w:afterLines="10"/>
              <w:jc w:val="center"/>
              <w:rPr>
                <w:sz w:val="22"/>
                <w:szCs w:val="22"/>
              </w:rPr>
            </w:pPr>
            <w:r>
              <w:rPr>
                <w:sz w:val="22"/>
                <w:szCs w:val="22"/>
              </w:rPr>
              <w:t>英文名</w:t>
            </w:r>
          </w:p>
        </w:tc>
        <w:tc>
          <w:tcPr>
            <w:tcW w:w="2332" w:type="dxa"/>
            <w:gridSpan w:val="2"/>
            <w:vAlign w:val="center"/>
          </w:tcPr>
          <w:p w14:paraId="5B4C2A8F">
            <w:pPr>
              <w:adjustRightInd w:val="0"/>
              <w:snapToGrid w:val="0"/>
              <w:spacing w:before="24" w:beforeLines="10" w:after="24" w:afterLines="10"/>
              <w:jc w:val="center"/>
              <w:rPr>
                <w:sz w:val="22"/>
                <w:szCs w:val="22"/>
              </w:rPr>
            </w:pPr>
            <w:r>
              <w:rPr>
                <w:sz w:val="22"/>
                <w:szCs w:val="22"/>
              </w:rPr>
              <w:t>Methane</w:t>
            </w:r>
          </w:p>
        </w:tc>
      </w:tr>
      <w:tr w14:paraId="388BD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8" w:hRule="atLeast"/>
          <w:jc w:val="center"/>
        </w:trPr>
        <w:tc>
          <w:tcPr>
            <w:tcW w:w="555" w:type="dxa"/>
            <w:vMerge w:val="continue"/>
            <w:vAlign w:val="center"/>
          </w:tcPr>
          <w:p w14:paraId="4D177AA2">
            <w:pPr>
              <w:adjustRightInd w:val="0"/>
              <w:snapToGrid w:val="0"/>
              <w:jc w:val="center"/>
              <w:rPr>
                <w:sz w:val="22"/>
                <w:szCs w:val="22"/>
              </w:rPr>
            </w:pPr>
          </w:p>
        </w:tc>
        <w:tc>
          <w:tcPr>
            <w:tcW w:w="1547" w:type="dxa"/>
            <w:vAlign w:val="center"/>
          </w:tcPr>
          <w:p w14:paraId="18C86B47">
            <w:pPr>
              <w:adjustRightInd w:val="0"/>
              <w:snapToGrid w:val="0"/>
              <w:spacing w:before="24" w:beforeLines="10" w:after="24" w:afterLines="10"/>
              <w:jc w:val="center"/>
              <w:rPr>
                <w:sz w:val="22"/>
                <w:szCs w:val="22"/>
              </w:rPr>
            </w:pPr>
            <w:r>
              <w:rPr>
                <w:sz w:val="22"/>
                <w:szCs w:val="22"/>
              </w:rPr>
              <w:t>化学式</w:t>
            </w:r>
          </w:p>
        </w:tc>
        <w:tc>
          <w:tcPr>
            <w:tcW w:w="2052" w:type="dxa"/>
            <w:vAlign w:val="center"/>
          </w:tcPr>
          <w:p w14:paraId="5BC82EC6">
            <w:pPr>
              <w:adjustRightInd w:val="0"/>
              <w:snapToGrid w:val="0"/>
              <w:spacing w:before="24" w:beforeLines="10" w:after="24" w:afterLines="10"/>
              <w:jc w:val="center"/>
              <w:rPr>
                <w:sz w:val="22"/>
                <w:szCs w:val="22"/>
              </w:rPr>
            </w:pPr>
            <w:r>
              <w:rPr>
                <w:sz w:val="22"/>
                <w:szCs w:val="22"/>
              </w:rPr>
              <w:t>CH</w:t>
            </w:r>
            <w:r>
              <w:rPr>
                <w:sz w:val="22"/>
                <w:szCs w:val="22"/>
                <w:vertAlign w:val="subscript"/>
              </w:rPr>
              <w:t>4</w:t>
            </w:r>
          </w:p>
        </w:tc>
        <w:tc>
          <w:tcPr>
            <w:tcW w:w="1876" w:type="dxa"/>
            <w:vAlign w:val="center"/>
          </w:tcPr>
          <w:p w14:paraId="29B753AC">
            <w:pPr>
              <w:adjustRightInd w:val="0"/>
              <w:snapToGrid w:val="0"/>
              <w:spacing w:before="24" w:beforeLines="10" w:after="24" w:afterLines="10"/>
              <w:jc w:val="center"/>
              <w:rPr>
                <w:sz w:val="22"/>
                <w:szCs w:val="22"/>
              </w:rPr>
            </w:pPr>
            <w:r>
              <w:rPr>
                <w:sz w:val="22"/>
                <w:szCs w:val="22"/>
              </w:rPr>
              <w:t>分子量</w:t>
            </w:r>
          </w:p>
        </w:tc>
        <w:tc>
          <w:tcPr>
            <w:tcW w:w="2332" w:type="dxa"/>
            <w:gridSpan w:val="2"/>
            <w:vAlign w:val="center"/>
          </w:tcPr>
          <w:p w14:paraId="7911BCFB">
            <w:pPr>
              <w:adjustRightInd w:val="0"/>
              <w:snapToGrid w:val="0"/>
              <w:spacing w:before="24" w:beforeLines="10" w:after="24" w:afterLines="10"/>
              <w:jc w:val="center"/>
              <w:rPr>
                <w:sz w:val="22"/>
                <w:szCs w:val="22"/>
              </w:rPr>
            </w:pPr>
            <w:r>
              <w:rPr>
                <w:sz w:val="22"/>
                <w:szCs w:val="22"/>
              </w:rPr>
              <w:t>16.04</w:t>
            </w:r>
          </w:p>
        </w:tc>
      </w:tr>
      <w:tr w14:paraId="313B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8" w:hRule="atLeast"/>
          <w:jc w:val="center"/>
        </w:trPr>
        <w:tc>
          <w:tcPr>
            <w:tcW w:w="555" w:type="dxa"/>
            <w:vMerge w:val="continue"/>
            <w:vAlign w:val="center"/>
          </w:tcPr>
          <w:p w14:paraId="68EA3F21">
            <w:pPr>
              <w:adjustRightInd w:val="0"/>
              <w:snapToGrid w:val="0"/>
              <w:jc w:val="center"/>
              <w:rPr>
                <w:sz w:val="22"/>
                <w:szCs w:val="22"/>
              </w:rPr>
            </w:pPr>
          </w:p>
        </w:tc>
        <w:tc>
          <w:tcPr>
            <w:tcW w:w="1547" w:type="dxa"/>
            <w:vAlign w:val="center"/>
          </w:tcPr>
          <w:p w14:paraId="7D84BC3C">
            <w:pPr>
              <w:adjustRightInd w:val="0"/>
              <w:snapToGrid w:val="0"/>
              <w:spacing w:before="24" w:beforeLines="10" w:after="24" w:afterLines="10"/>
              <w:jc w:val="center"/>
              <w:rPr>
                <w:sz w:val="22"/>
                <w:szCs w:val="22"/>
              </w:rPr>
            </w:pPr>
            <w:r>
              <w:rPr>
                <w:sz w:val="22"/>
                <w:szCs w:val="22"/>
              </w:rPr>
              <w:t>ICSC编号</w:t>
            </w:r>
          </w:p>
        </w:tc>
        <w:tc>
          <w:tcPr>
            <w:tcW w:w="2052" w:type="dxa"/>
            <w:vAlign w:val="center"/>
          </w:tcPr>
          <w:p w14:paraId="68365589">
            <w:pPr>
              <w:adjustRightInd w:val="0"/>
              <w:snapToGrid w:val="0"/>
              <w:spacing w:before="24" w:beforeLines="10" w:after="24" w:afterLines="10"/>
              <w:jc w:val="center"/>
              <w:rPr>
                <w:sz w:val="22"/>
                <w:szCs w:val="22"/>
              </w:rPr>
            </w:pPr>
            <w:r>
              <w:rPr>
                <w:sz w:val="22"/>
                <w:szCs w:val="22"/>
              </w:rPr>
              <w:t>0291</w:t>
            </w:r>
          </w:p>
        </w:tc>
        <w:tc>
          <w:tcPr>
            <w:tcW w:w="1876" w:type="dxa"/>
            <w:vAlign w:val="center"/>
          </w:tcPr>
          <w:p w14:paraId="077C5FD6">
            <w:pPr>
              <w:adjustRightInd w:val="0"/>
              <w:snapToGrid w:val="0"/>
              <w:spacing w:before="24" w:beforeLines="10" w:after="24" w:afterLines="10"/>
              <w:jc w:val="center"/>
              <w:rPr>
                <w:sz w:val="22"/>
                <w:szCs w:val="22"/>
              </w:rPr>
            </w:pPr>
            <w:r>
              <w:rPr>
                <w:sz w:val="22"/>
                <w:szCs w:val="22"/>
              </w:rPr>
              <w:t>IMDG规则页码</w:t>
            </w:r>
          </w:p>
        </w:tc>
        <w:tc>
          <w:tcPr>
            <w:tcW w:w="2332" w:type="dxa"/>
            <w:gridSpan w:val="2"/>
            <w:vAlign w:val="center"/>
          </w:tcPr>
          <w:p w14:paraId="497539E8">
            <w:pPr>
              <w:adjustRightInd w:val="0"/>
              <w:snapToGrid w:val="0"/>
              <w:spacing w:before="24" w:beforeLines="10" w:after="24" w:afterLines="10"/>
              <w:jc w:val="center"/>
              <w:rPr>
                <w:sz w:val="22"/>
                <w:szCs w:val="22"/>
              </w:rPr>
            </w:pPr>
            <w:r>
              <w:rPr>
                <w:sz w:val="22"/>
                <w:szCs w:val="22"/>
              </w:rPr>
              <w:t>2156</w:t>
            </w:r>
          </w:p>
        </w:tc>
      </w:tr>
      <w:tr w14:paraId="2526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7" w:hRule="atLeast"/>
          <w:jc w:val="center"/>
        </w:trPr>
        <w:tc>
          <w:tcPr>
            <w:tcW w:w="555" w:type="dxa"/>
            <w:vMerge w:val="continue"/>
            <w:vAlign w:val="center"/>
          </w:tcPr>
          <w:p w14:paraId="4C7A97BA">
            <w:pPr>
              <w:adjustRightInd w:val="0"/>
              <w:snapToGrid w:val="0"/>
              <w:jc w:val="center"/>
              <w:rPr>
                <w:sz w:val="22"/>
                <w:szCs w:val="22"/>
              </w:rPr>
            </w:pPr>
          </w:p>
        </w:tc>
        <w:tc>
          <w:tcPr>
            <w:tcW w:w="1547" w:type="dxa"/>
            <w:vAlign w:val="center"/>
          </w:tcPr>
          <w:p w14:paraId="161B8DF8">
            <w:pPr>
              <w:adjustRightInd w:val="0"/>
              <w:snapToGrid w:val="0"/>
              <w:spacing w:before="24" w:beforeLines="10" w:after="24" w:afterLines="10"/>
              <w:jc w:val="center"/>
              <w:rPr>
                <w:sz w:val="22"/>
                <w:szCs w:val="22"/>
              </w:rPr>
            </w:pPr>
            <w:r>
              <w:rPr>
                <w:sz w:val="22"/>
                <w:szCs w:val="22"/>
              </w:rPr>
              <w:t>CAS号</w:t>
            </w:r>
          </w:p>
        </w:tc>
        <w:tc>
          <w:tcPr>
            <w:tcW w:w="2052" w:type="dxa"/>
            <w:vAlign w:val="center"/>
          </w:tcPr>
          <w:p w14:paraId="3A221CF0">
            <w:pPr>
              <w:adjustRightInd w:val="0"/>
              <w:snapToGrid w:val="0"/>
              <w:spacing w:before="24" w:beforeLines="10" w:after="24" w:afterLines="10"/>
              <w:jc w:val="center"/>
              <w:rPr>
                <w:sz w:val="22"/>
                <w:szCs w:val="22"/>
              </w:rPr>
            </w:pPr>
            <w:r>
              <w:rPr>
                <w:sz w:val="22"/>
                <w:szCs w:val="22"/>
              </w:rPr>
              <w:t>74-82-8</w:t>
            </w:r>
          </w:p>
        </w:tc>
        <w:tc>
          <w:tcPr>
            <w:tcW w:w="1876" w:type="dxa"/>
            <w:vAlign w:val="center"/>
          </w:tcPr>
          <w:p w14:paraId="49BD05B8">
            <w:pPr>
              <w:adjustRightInd w:val="0"/>
              <w:snapToGrid w:val="0"/>
              <w:spacing w:before="24" w:beforeLines="10" w:after="24" w:afterLines="10"/>
              <w:jc w:val="center"/>
              <w:rPr>
                <w:sz w:val="22"/>
                <w:szCs w:val="22"/>
              </w:rPr>
            </w:pPr>
            <w:r>
              <w:rPr>
                <w:sz w:val="22"/>
                <w:szCs w:val="22"/>
              </w:rPr>
              <w:t>RTECS号</w:t>
            </w:r>
          </w:p>
        </w:tc>
        <w:tc>
          <w:tcPr>
            <w:tcW w:w="2332" w:type="dxa"/>
            <w:gridSpan w:val="2"/>
            <w:vAlign w:val="center"/>
          </w:tcPr>
          <w:p w14:paraId="73913836">
            <w:pPr>
              <w:adjustRightInd w:val="0"/>
              <w:snapToGrid w:val="0"/>
              <w:spacing w:before="24" w:beforeLines="10" w:after="24" w:afterLines="10"/>
              <w:jc w:val="center"/>
              <w:rPr>
                <w:sz w:val="22"/>
                <w:szCs w:val="22"/>
              </w:rPr>
            </w:pPr>
            <w:r>
              <w:rPr>
                <w:sz w:val="22"/>
                <w:szCs w:val="22"/>
              </w:rPr>
              <w:t>PA1490000</w:t>
            </w:r>
          </w:p>
        </w:tc>
      </w:tr>
      <w:tr w14:paraId="6651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8" w:hRule="atLeast"/>
          <w:jc w:val="center"/>
        </w:trPr>
        <w:tc>
          <w:tcPr>
            <w:tcW w:w="555" w:type="dxa"/>
            <w:vMerge w:val="continue"/>
            <w:vAlign w:val="center"/>
          </w:tcPr>
          <w:p w14:paraId="4BE4FC55">
            <w:pPr>
              <w:adjustRightInd w:val="0"/>
              <w:snapToGrid w:val="0"/>
              <w:jc w:val="center"/>
              <w:rPr>
                <w:sz w:val="22"/>
                <w:szCs w:val="22"/>
              </w:rPr>
            </w:pPr>
          </w:p>
        </w:tc>
        <w:tc>
          <w:tcPr>
            <w:tcW w:w="1547" w:type="dxa"/>
            <w:vAlign w:val="center"/>
          </w:tcPr>
          <w:p w14:paraId="2AB12917">
            <w:pPr>
              <w:adjustRightInd w:val="0"/>
              <w:snapToGrid w:val="0"/>
              <w:spacing w:before="24" w:beforeLines="10" w:after="24" w:afterLines="10"/>
              <w:jc w:val="center"/>
              <w:rPr>
                <w:sz w:val="22"/>
                <w:szCs w:val="22"/>
              </w:rPr>
            </w:pPr>
            <w:r>
              <w:rPr>
                <w:sz w:val="22"/>
                <w:szCs w:val="22"/>
              </w:rPr>
              <w:t>UN编号</w:t>
            </w:r>
          </w:p>
        </w:tc>
        <w:tc>
          <w:tcPr>
            <w:tcW w:w="2052" w:type="dxa"/>
            <w:vAlign w:val="center"/>
          </w:tcPr>
          <w:p w14:paraId="69821385">
            <w:pPr>
              <w:adjustRightInd w:val="0"/>
              <w:snapToGrid w:val="0"/>
              <w:spacing w:before="24" w:beforeLines="10" w:after="24" w:afterLines="10"/>
              <w:jc w:val="center"/>
              <w:rPr>
                <w:sz w:val="22"/>
                <w:szCs w:val="22"/>
              </w:rPr>
            </w:pPr>
            <w:r>
              <w:rPr>
                <w:sz w:val="22"/>
                <w:szCs w:val="22"/>
              </w:rPr>
              <w:t>1971</w:t>
            </w:r>
          </w:p>
        </w:tc>
        <w:tc>
          <w:tcPr>
            <w:tcW w:w="1876" w:type="dxa"/>
            <w:vAlign w:val="center"/>
          </w:tcPr>
          <w:p w14:paraId="3E33D00D">
            <w:pPr>
              <w:adjustRightInd w:val="0"/>
              <w:snapToGrid w:val="0"/>
              <w:spacing w:before="24" w:beforeLines="10" w:after="24" w:afterLines="10"/>
              <w:jc w:val="center"/>
              <w:rPr>
                <w:sz w:val="22"/>
                <w:szCs w:val="22"/>
              </w:rPr>
            </w:pPr>
            <w:r>
              <w:rPr>
                <w:sz w:val="22"/>
                <w:szCs w:val="22"/>
              </w:rPr>
              <w:t>危险货物编号</w:t>
            </w:r>
          </w:p>
        </w:tc>
        <w:tc>
          <w:tcPr>
            <w:tcW w:w="2332" w:type="dxa"/>
            <w:gridSpan w:val="2"/>
            <w:vAlign w:val="center"/>
          </w:tcPr>
          <w:p w14:paraId="64C14A6D">
            <w:pPr>
              <w:adjustRightInd w:val="0"/>
              <w:snapToGrid w:val="0"/>
              <w:spacing w:before="24" w:beforeLines="10" w:after="24" w:afterLines="10"/>
              <w:jc w:val="center"/>
              <w:rPr>
                <w:sz w:val="22"/>
                <w:szCs w:val="22"/>
              </w:rPr>
            </w:pPr>
            <w:r>
              <w:rPr>
                <w:sz w:val="22"/>
                <w:szCs w:val="22"/>
              </w:rPr>
              <w:t>21007</w:t>
            </w:r>
          </w:p>
        </w:tc>
      </w:tr>
      <w:tr w14:paraId="2C8B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8" w:hRule="atLeast"/>
          <w:jc w:val="center"/>
        </w:trPr>
        <w:tc>
          <w:tcPr>
            <w:tcW w:w="555" w:type="dxa"/>
            <w:vMerge w:val="continue"/>
            <w:vAlign w:val="center"/>
          </w:tcPr>
          <w:p w14:paraId="53DC7065">
            <w:pPr>
              <w:adjustRightInd w:val="0"/>
              <w:snapToGrid w:val="0"/>
              <w:jc w:val="center"/>
              <w:rPr>
                <w:sz w:val="22"/>
                <w:szCs w:val="22"/>
              </w:rPr>
            </w:pPr>
          </w:p>
        </w:tc>
        <w:tc>
          <w:tcPr>
            <w:tcW w:w="1547" w:type="dxa"/>
            <w:vAlign w:val="center"/>
          </w:tcPr>
          <w:p w14:paraId="4AD0B958">
            <w:pPr>
              <w:adjustRightInd w:val="0"/>
              <w:snapToGrid w:val="0"/>
              <w:spacing w:before="24" w:beforeLines="10" w:after="24" w:afterLines="10"/>
              <w:jc w:val="center"/>
              <w:rPr>
                <w:sz w:val="22"/>
                <w:szCs w:val="22"/>
              </w:rPr>
            </w:pPr>
            <w:r>
              <w:rPr>
                <w:sz w:val="22"/>
                <w:szCs w:val="22"/>
              </w:rPr>
              <w:t>EC编号</w:t>
            </w:r>
          </w:p>
        </w:tc>
        <w:tc>
          <w:tcPr>
            <w:tcW w:w="2052" w:type="dxa"/>
            <w:vAlign w:val="center"/>
          </w:tcPr>
          <w:p w14:paraId="446338F7">
            <w:pPr>
              <w:adjustRightInd w:val="0"/>
              <w:snapToGrid w:val="0"/>
              <w:spacing w:before="24" w:beforeLines="10" w:after="24" w:afterLines="10"/>
              <w:jc w:val="center"/>
              <w:rPr>
                <w:sz w:val="22"/>
                <w:szCs w:val="22"/>
              </w:rPr>
            </w:pPr>
            <w:r>
              <w:rPr>
                <w:sz w:val="22"/>
                <w:szCs w:val="22"/>
              </w:rPr>
              <w:t>601-001-00-4</w:t>
            </w:r>
          </w:p>
        </w:tc>
        <w:tc>
          <w:tcPr>
            <w:tcW w:w="1876" w:type="dxa"/>
            <w:vAlign w:val="center"/>
          </w:tcPr>
          <w:p w14:paraId="2D8D26F6">
            <w:pPr>
              <w:adjustRightInd w:val="0"/>
              <w:snapToGrid w:val="0"/>
              <w:spacing w:before="24" w:beforeLines="10" w:after="24" w:afterLines="10"/>
              <w:jc w:val="center"/>
              <w:rPr>
                <w:sz w:val="22"/>
                <w:szCs w:val="22"/>
              </w:rPr>
            </w:pPr>
          </w:p>
        </w:tc>
        <w:tc>
          <w:tcPr>
            <w:tcW w:w="2332" w:type="dxa"/>
            <w:gridSpan w:val="2"/>
            <w:vAlign w:val="center"/>
          </w:tcPr>
          <w:p w14:paraId="1B1C6CEF">
            <w:pPr>
              <w:adjustRightInd w:val="0"/>
              <w:snapToGrid w:val="0"/>
              <w:spacing w:before="24" w:beforeLines="10" w:after="24" w:afterLines="10"/>
              <w:jc w:val="center"/>
              <w:rPr>
                <w:sz w:val="22"/>
                <w:szCs w:val="22"/>
              </w:rPr>
            </w:pPr>
          </w:p>
        </w:tc>
      </w:tr>
      <w:tr w14:paraId="7039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restart"/>
            <w:vAlign w:val="center"/>
          </w:tcPr>
          <w:p w14:paraId="07FE3FEA">
            <w:pPr>
              <w:adjustRightInd w:val="0"/>
              <w:snapToGrid w:val="0"/>
              <w:jc w:val="center"/>
              <w:rPr>
                <w:sz w:val="22"/>
                <w:szCs w:val="22"/>
              </w:rPr>
            </w:pPr>
            <w:r>
              <w:rPr>
                <w:sz w:val="22"/>
                <w:szCs w:val="22"/>
              </w:rPr>
              <w:t>理</w:t>
            </w:r>
          </w:p>
          <w:p w14:paraId="3FE6BBF0">
            <w:pPr>
              <w:adjustRightInd w:val="0"/>
              <w:snapToGrid w:val="0"/>
              <w:jc w:val="center"/>
              <w:rPr>
                <w:sz w:val="22"/>
                <w:szCs w:val="22"/>
              </w:rPr>
            </w:pPr>
            <w:r>
              <w:rPr>
                <w:sz w:val="22"/>
                <w:szCs w:val="22"/>
              </w:rPr>
              <w:t>化</w:t>
            </w:r>
          </w:p>
          <w:p w14:paraId="11C4CE6A">
            <w:pPr>
              <w:adjustRightInd w:val="0"/>
              <w:snapToGrid w:val="0"/>
              <w:jc w:val="center"/>
              <w:rPr>
                <w:sz w:val="22"/>
                <w:szCs w:val="22"/>
              </w:rPr>
            </w:pPr>
            <w:r>
              <w:rPr>
                <w:sz w:val="22"/>
                <w:szCs w:val="22"/>
              </w:rPr>
              <w:t>性</w:t>
            </w:r>
          </w:p>
          <w:p w14:paraId="462F8562">
            <w:pPr>
              <w:adjustRightInd w:val="0"/>
              <w:snapToGrid w:val="0"/>
              <w:jc w:val="center"/>
              <w:rPr>
                <w:sz w:val="22"/>
                <w:szCs w:val="22"/>
              </w:rPr>
            </w:pPr>
            <w:r>
              <w:rPr>
                <w:sz w:val="22"/>
                <w:szCs w:val="22"/>
              </w:rPr>
              <w:t>质</w:t>
            </w:r>
          </w:p>
        </w:tc>
        <w:tc>
          <w:tcPr>
            <w:tcW w:w="1547" w:type="dxa"/>
            <w:vAlign w:val="center"/>
          </w:tcPr>
          <w:p w14:paraId="281CE861">
            <w:pPr>
              <w:adjustRightInd w:val="0"/>
              <w:snapToGrid w:val="0"/>
              <w:spacing w:before="24" w:beforeLines="10" w:after="24" w:afterLines="10"/>
              <w:jc w:val="center"/>
              <w:rPr>
                <w:sz w:val="22"/>
                <w:szCs w:val="22"/>
              </w:rPr>
            </w:pPr>
            <w:r>
              <w:rPr>
                <w:sz w:val="22"/>
                <w:szCs w:val="22"/>
              </w:rPr>
              <w:t>外观与性状</w:t>
            </w:r>
          </w:p>
        </w:tc>
        <w:tc>
          <w:tcPr>
            <w:tcW w:w="6260" w:type="dxa"/>
            <w:gridSpan w:val="4"/>
            <w:vAlign w:val="center"/>
          </w:tcPr>
          <w:p w14:paraId="780B9AAA">
            <w:pPr>
              <w:adjustRightInd w:val="0"/>
              <w:snapToGrid w:val="0"/>
              <w:spacing w:before="24" w:beforeLines="10" w:after="24" w:afterLines="10"/>
              <w:jc w:val="center"/>
              <w:rPr>
                <w:sz w:val="22"/>
                <w:szCs w:val="22"/>
              </w:rPr>
            </w:pPr>
            <w:r>
              <w:rPr>
                <w:sz w:val="22"/>
                <w:szCs w:val="22"/>
              </w:rPr>
              <w:t>无色无臭气体。</w:t>
            </w:r>
          </w:p>
        </w:tc>
      </w:tr>
      <w:tr w14:paraId="6F7B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65FB0D98">
            <w:pPr>
              <w:adjustRightInd w:val="0"/>
              <w:snapToGrid w:val="0"/>
              <w:jc w:val="center"/>
              <w:rPr>
                <w:sz w:val="22"/>
                <w:szCs w:val="22"/>
              </w:rPr>
            </w:pPr>
          </w:p>
        </w:tc>
        <w:tc>
          <w:tcPr>
            <w:tcW w:w="1547" w:type="dxa"/>
            <w:vAlign w:val="center"/>
          </w:tcPr>
          <w:p w14:paraId="6B457687">
            <w:pPr>
              <w:adjustRightInd w:val="0"/>
              <w:snapToGrid w:val="0"/>
              <w:spacing w:before="24" w:beforeLines="10" w:after="24" w:afterLines="10"/>
              <w:jc w:val="center"/>
              <w:rPr>
                <w:sz w:val="22"/>
                <w:szCs w:val="22"/>
              </w:rPr>
            </w:pPr>
            <w:r>
              <w:rPr>
                <w:sz w:val="22"/>
                <w:szCs w:val="22"/>
              </w:rPr>
              <w:t>溶解性</w:t>
            </w:r>
          </w:p>
        </w:tc>
        <w:tc>
          <w:tcPr>
            <w:tcW w:w="6260" w:type="dxa"/>
            <w:gridSpan w:val="4"/>
            <w:vAlign w:val="center"/>
          </w:tcPr>
          <w:p w14:paraId="62E111FA">
            <w:pPr>
              <w:adjustRightInd w:val="0"/>
              <w:snapToGrid w:val="0"/>
              <w:spacing w:before="24" w:beforeLines="10" w:after="24" w:afterLines="10"/>
              <w:jc w:val="center"/>
              <w:rPr>
                <w:sz w:val="22"/>
                <w:szCs w:val="22"/>
              </w:rPr>
            </w:pPr>
            <w:r>
              <w:rPr>
                <w:sz w:val="22"/>
                <w:szCs w:val="22"/>
              </w:rPr>
              <w:t>微溶于水，溶于乙醇、乙醚。</w:t>
            </w:r>
          </w:p>
        </w:tc>
      </w:tr>
      <w:tr w14:paraId="592E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708D82AF">
            <w:pPr>
              <w:adjustRightInd w:val="0"/>
              <w:snapToGrid w:val="0"/>
              <w:jc w:val="center"/>
              <w:rPr>
                <w:sz w:val="22"/>
                <w:szCs w:val="22"/>
              </w:rPr>
            </w:pPr>
          </w:p>
        </w:tc>
        <w:tc>
          <w:tcPr>
            <w:tcW w:w="1547" w:type="dxa"/>
            <w:vAlign w:val="center"/>
          </w:tcPr>
          <w:p w14:paraId="7FDB6217">
            <w:pPr>
              <w:adjustRightInd w:val="0"/>
              <w:snapToGrid w:val="0"/>
              <w:spacing w:before="24" w:beforeLines="10" w:after="24" w:afterLines="10"/>
              <w:jc w:val="center"/>
              <w:rPr>
                <w:sz w:val="22"/>
                <w:szCs w:val="22"/>
              </w:rPr>
            </w:pPr>
            <w:r>
              <w:rPr>
                <w:sz w:val="22"/>
                <w:szCs w:val="22"/>
              </w:rPr>
              <w:t>主要用途</w:t>
            </w:r>
          </w:p>
        </w:tc>
        <w:tc>
          <w:tcPr>
            <w:tcW w:w="6260" w:type="dxa"/>
            <w:gridSpan w:val="4"/>
            <w:vAlign w:val="center"/>
          </w:tcPr>
          <w:p w14:paraId="1E4F0990">
            <w:pPr>
              <w:adjustRightInd w:val="0"/>
              <w:snapToGrid w:val="0"/>
              <w:spacing w:before="24" w:beforeLines="10" w:after="24" w:afterLines="10"/>
              <w:jc w:val="center"/>
              <w:rPr>
                <w:sz w:val="22"/>
                <w:szCs w:val="22"/>
              </w:rPr>
            </w:pPr>
            <w:r>
              <w:rPr>
                <w:sz w:val="22"/>
                <w:szCs w:val="22"/>
              </w:rPr>
              <w:t>用作燃料和用于炭黑、氢、乙炔、甲醛等的制造</w:t>
            </w:r>
          </w:p>
        </w:tc>
      </w:tr>
      <w:tr w14:paraId="2DBA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6CDE5065">
            <w:pPr>
              <w:adjustRightInd w:val="0"/>
              <w:snapToGrid w:val="0"/>
              <w:jc w:val="center"/>
              <w:rPr>
                <w:sz w:val="22"/>
                <w:szCs w:val="22"/>
              </w:rPr>
            </w:pPr>
          </w:p>
        </w:tc>
        <w:tc>
          <w:tcPr>
            <w:tcW w:w="1547" w:type="dxa"/>
            <w:vAlign w:val="center"/>
          </w:tcPr>
          <w:p w14:paraId="27BF142D">
            <w:pPr>
              <w:adjustRightInd w:val="0"/>
              <w:snapToGrid w:val="0"/>
              <w:spacing w:before="24" w:beforeLines="10" w:after="24" w:afterLines="10"/>
              <w:jc w:val="center"/>
              <w:rPr>
                <w:sz w:val="22"/>
                <w:szCs w:val="22"/>
              </w:rPr>
            </w:pPr>
            <w:r>
              <w:rPr>
                <w:sz w:val="22"/>
                <w:szCs w:val="22"/>
              </w:rPr>
              <w:t>熔点(℃)</w:t>
            </w:r>
          </w:p>
        </w:tc>
        <w:tc>
          <w:tcPr>
            <w:tcW w:w="2052" w:type="dxa"/>
            <w:vAlign w:val="center"/>
          </w:tcPr>
          <w:p w14:paraId="6875C1F6">
            <w:pPr>
              <w:adjustRightInd w:val="0"/>
              <w:snapToGrid w:val="0"/>
              <w:spacing w:before="24" w:beforeLines="10" w:after="24" w:afterLines="10"/>
              <w:jc w:val="center"/>
              <w:rPr>
                <w:sz w:val="22"/>
                <w:szCs w:val="22"/>
              </w:rPr>
            </w:pPr>
            <w:r>
              <w:rPr>
                <w:sz w:val="22"/>
                <w:szCs w:val="22"/>
              </w:rPr>
              <w:t>-182.5</w:t>
            </w:r>
          </w:p>
        </w:tc>
        <w:tc>
          <w:tcPr>
            <w:tcW w:w="1975" w:type="dxa"/>
            <w:gridSpan w:val="2"/>
            <w:vAlign w:val="center"/>
          </w:tcPr>
          <w:p w14:paraId="089EDC61">
            <w:pPr>
              <w:adjustRightInd w:val="0"/>
              <w:snapToGrid w:val="0"/>
              <w:spacing w:before="24" w:beforeLines="10" w:after="24" w:afterLines="10"/>
              <w:jc w:val="center"/>
              <w:rPr>
                <w:sz w:val="22"/>
                <w:szCs w:val="22"/>
              </w:rPr>
            </w:pPr>
            <w:r>
              <w:rPr>
                <w:sz w:val="22"/>
                <w:szCs w:val="22"/>
              </w:rPr>
              <w:t>相对密度(水=1)</w:t>
            </w:r>
          </w:p>
        </w:tc>
        <w:tc>
          <w:tcPr>
            <w:tcW w:w="2233" w:type="dxa"/>
            <w:vAlign w:val="center"/>
          </w:tcPr>
          <w:p w14:paraId="517918D4">
            <w:pPr>
              <w:adjustRightInd w:val="0"/>
              <w:snapToGrid w:val="0"/>
              <w:spacing w:before="24" w:beforeLines="10" w:after="24" w:afterLines="10"/>
              <w:jc w:val="center"/>
              <w:rPr>
                <w:sz w:val="22"/>
                <w:szCs w:val="22"/>
              </w:rPr>
            </w:pPr>
            <w:r>
              <w:rPr>
                <w:sz w:val="22"/>
                <w:szCs w:val="22"/>
              </w:rPr>
              <w:t>0.42/-164℃</w:t>
            </w:r>
          </w:p>
        </w:tc>
      </w:tr>
      <w:tr w14:paraId="5C3C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623DEEBC">
            <w:pPr>
              <w:adjustRightInd w:val="0"/>
              <w:snapToGrid w:val="0"/>
              <w:jc w:val="center"/>
              <w:rPr>
                <w:sz w:val="22"/>
                <w:szCs w:val="22"/>
              </w:rPr>
            </w:pPr>
          </w:p>
        </w:tc>
        <w:tc>
          <w:tcPr>
            <w:tcW w:w="1547" w:type="dxa"/>
            <w:vAlign w:val="center"/>
          </w:tcPr>
          <w:p w14:paraId="7CFC942F">
            <w:pPr>
              <w:adjustRightInd w:val="0"/>
              <w:snapToGrid w:val="0"/>
              <w:spacing w:before="24" w:beforeLines="10" w:after="24" w:afterLines="10"/>
              <w:jc w:val="center"/>
              <w:rPr>
                <w:sz w:val="22"/>
                <w:szCs w:val="22"/>
              </w:rPr>
            </w:pPr>
            <w:r>
              <w:rPr>
                <w:sz w:val="22"/>
                <w:szCs w:val="22"/>
              </w:rPr>
              <w:t>沸点(℃)</w:t>
            </w:r>
          </w:p>
        </w:tc>
        <w:tc>
          <w:tcPr>
            <w:tcW w:w="2052" w:type="dxa"/>
            <w:vAlign w:val="center"/>
          </w:tcPr>
          <w:p w14:paraId="00CDD2E1">
            <w:pPr>
              <w:adjustRightInd w:val="0"/>
              <w:snapToGrid w:val="0"/>
              <w:spacing w:before="24" w:beforeLines="10" w:after="24" w:afterLines="10"/>
              <w:jc w:val="center"/>
              <w:rPr>
                <w:sz w:val="22"/>
                <w:szCs w:val="22"/>
              </w:rPr>
            </w:pPr>
            <w:r>
              <w:rPr>
                <w:sz w:val="22"/>
                <w:szCs w:val="22"/>
              </w:rPr>
              <w:t>-161.5</w:t>
            </w:r>
          </w:p>
        </w:tc>
        <w:tc>
          <w:tcPr>
            <w:tcW w:w="1975" w:type="dxa"/>
            <w:gridSpan w:val="2"/>
            <w:vAlign w:val="center"/>
          </w:tcPr>
          <w:p w14:paraId="731FA254">
            <w:pPr>
              <w:adjustRightInd w:val="0"/>
              <w:snapToGrid w:val="0"/>
              <w:spacing w:before="24" w:beforeLines="10" w:after="24" w:afterLines="10"/>
              <w:jc w:val="center"/>
              <w:rPr>
                <w:sz w:val="22"/>
                <w:szCs w:val="22"/>
              </w:rPr>
            </w:pPr>
            <w:r>
              <w:rPr>
                <w:sz w:val="22"/>
                <w:szCs w:val="22"/>
              </w:rPr>
              <w:t>相对密度(空气=1)</w:t>
            </w:r>
          </w:p>
        </w:tc>
        <w:tc>
          <w:tcPr>
            <w:tcW w:w="2233" w:type="dxa"/>
            <w:vAlign w:val="center"/>
          </w:tcPr>
          <w:p w14:paraId="1FA3713F">
            <w:pPr>
              <w:adjustRightInd w:val="0"/>
              <w:snapToGrid w:val="0"/>
              <w:spacing w:before="24" w:beforeLines="10" w:after="24" w:afterLines="10"/>
              <w:jc w:val="center"/>
              <w:rPr>
                <w:sz w:val="22"/>
                <w:szCs w:val="22"/>
              </w:rPr>
            </w:pPr>
            <w:r>
              <w:rPr>
                <w:sz w:val="22"/>
                <w:szCs w:val="22"/>
              </w:rPr>
              <w:t>0.55</w:t>
            </w:r>
          </w:p>
        </w:tc>
      </w:tr>
      <w:tr w14:paraId="7B0F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0E4F76AA">
            <w:pPr>
              <w:adjustRightInd w:val="0"/>
              <w:snapToGrid w:val="0"/>
              <w:jc w:val="center"/>
              <w:rPr>
                <w:sz w:val="22"/>
                <w:szCs w:val="22"/>
              </w:rPr>
            </w:pPr>
          </w:p>
        </w:tc>
        <w:tc>
          <w:tcPr>
            <w:tcW w:w="1547" w:type="dxa"/>
            <w:vAlign w:val="center"/>
          </w:tcPr>
          <w:p w14:paraId="198813C7">
            <w:pPr>
              <w:adjustRightInd w:val="0"/>
              <w:snapToGrid w:val="0"/>
              <w:spacing w:before="24" w:beforeLines="10" w:after="24" w:afterLines="10"/>
              <w:jc w:val="center"/>
              <w:rPr>
                <w:sz w:val="22"/>
                <w:szCs w:val="22"/>
              </w:rPr>
            </w:pPr>
            <w:r>
              <w:rPr>
                <w:sz w:val="22"/>
                <w:szCs w:val="22"/>
              </w:rPr>
              <w:t>饱和蒸汽压(kpa)</w:t>
            </w:r>
          </w:p>
        </w:tc>
        <w:tc>
          <w:tcPr>
            <w:tcW w:w="6260" w:type="dxa"/>
            <w:gridSpan w:val="4"/>
            <w:vAlign w:val="center"/>
          </w:tcPr>
          <w:p w14:paraId="146B7FBB">
            <w:pPr>
              <w:adjustRightInd w:val="0"/>
              <w:snapToGrid w:val="0"/>
              <w:spacing w:before="24" w:beforeLines="10" w:after="24" w:afterLines="10"/>
              <w:jc w:val="center"/>
              <w:rPr>
                <w:sz w:val="22"/>
                <w:szCs w:val="22"/>
              </w:rPr>
            </w:pPr>
            <w:r>
              <w:rPr>
                <w:sz w:val="22"/>
                <w:szCs w:val="22"/>
              </w:rPr>
              <w:t>53.32(-168.8℃)</w:t>
            </w:r>
          </w:p>
        </w:tc>
      </w:tr>
      <w:tr w14:paraId="5890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290C0AE4">
            <w:pPr>
              <w:adjustRightInd w:val="0"/>
              <w:snapToGrid w:val="0"/>
              <w:jc w:val="center"/>
              <w:rPr>
                <w:sz w:val="22"/>
                <w:szCs w:val="22"/>
              </w:rPr>
            </w:pPr>
          </w:p>
        </w:tc>
        <w:tc>
          <w:tcPr>
            <w:tcW w:w="1547" w:type="dxa"/>
            <w:vAlign w:val="center"/>
          </w:tcPr>
          <w:p w14:paraId="4E0A86E6">
            <w:pPr>
              <w:adjustRightInd w:val="0"/>
              <w:snapToGrid w:val="0"/>
              <w:spacing w:before="24" w:beforeLines="10" w:after="24" w:afterLines="10"/>
              <w:jc w:val="center"/>
              <w:rPr>
                <w:sz w:val="22"/>
                <w:szCs w:val="22"/>
              </w:rPr>
            </w:pPr>
            <w:r>
              <w:rPr>
                <w:sz w:val="22"/>
                <w:szCs w:val="22"/>
              </w:rPr>
              <w:t>临界温度(℃)</w:t>
            </w:r>
          </w:p>
        </w:tc>
        <w:tc>
          <w:tcPr>
            <w:tcW w:w="2052" w:type="dxa"/>
            <w:vAlign w:val="center"/>
          </w:tcPr>
          <w:p w14:paraId="04E5F6A2">
            <w:pPr>
              <w:adjustRightInd w:val="0"/>
              <w:snapToGrid w:val="0"/>
              <w:spacing w:before="24" w:beforeLines="10" w:after="24" w:afterLines="10"/>
              <w:jc w:val="center"/>
              <w:rPr>
                <w:sz w:val="22"/>
                <w:szCs w:val="22"/>
              </w:rPr>
            </w:pPr>
            <w:r>
              <w:rPr>
                <w:sz w:val="22"/>
                <w:szCs w:val="22"/>
              </w:rPr>
              <w:t>-82.6</w:t>
            </w:r>
          </w:p>
        </w:tc>
        <w:tc>
          <w:tcPr>
            <w:tcW w:w="1975" w:type="dxa"/>
            <w:gridSpan w:val="2"/>
            <w:vAlign w:val="center"/>
          </w:tcPr>
          <w:p w14:paraId="05334680">
            <w:pPr>
              <w:adjustRightInd w:val="0"/>
              <w:snapToGrid w:val="0"/>
              <w:spacing w:before="24" w:beforeLines="10" w:after="24" w:afterLines="10"/>
              <w:jc w:val="center"/>
              <w:rPr>
                <w:sz w:val="22"/>
                <w:szCs w:val="22"/>
              </w:rPr>
            </w:pPr>
            <w:r>
              <w:rPr>
                <w:sz w:val="22"/>
                <w:szCs w:val="22"/>
              </w:rPr>
              <w:t>临界压力(Mpa)</w:t>
            </w:r>
          </w:p>
        </w:tc>
        <w:tc>
          <w:tcPr>
            <w:tcW w:w="2233" w:type="dxa"/>
            <w:vAlign w:val="center"/>
          </w:tcPr>
          <w:p w14:paraId="1B243EF8">
            <w:pPr>
              <w:adjustRightInd w:val="0"/>
              <w:snapToGrid w:val="0"/>
              <w:spacing w:before="24" w:beforeLines="10" w:after="24" w:afterLines="10"/>
              <w:jc w:val="center"/>
              <w:rPr>
                <w:sz w:val="22"/>
                <w:szCs w:val="22"/>
              </w:rPr>
            </w:pPr>
            <w:r>
              <w:rPr>
                <w:sz w:val="22"/>
                <w:szCs w:val="22"/>
              </w:rPr>
              <w:t>4.59</w:t>
            </w:r>
          </w:p>
        </w:tc>
      </w:tr>
      <w:tr w14:paraId="40B5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397904FC">
            <w:pPr>
              <w:adjustRightInd w:val="0"/>
              <w:snapToGrid w:val="0"/>
              <w:jc w:val="center"/>
              <w:rPr>
                <w:sz w:val="22"/>
                <w:szCs w:val="22"/>
              </w:rPr>
            </w:pPr>
          </w:p>
        </w:tc>
        <w:tc>
          <w:tcPr>
            <w:tcW w:w="1547" w:type="dxa"/>
            <w:vAlign w:val="center"/>
          </w:tcPr>
          <w:p w14:paraId="72C0FD74">
            <w:pPr>
              <w:adjustRightInd w:val="0"/>
              <w:snapToGrid w:val="0"/>
              <w:spacing w:before="24" w:beforeLines="10" w:after="24" w:afterLines="10"/>
              <w:jc w:val="center"/>
              <w:rPr>
                <w:sz w:val="22"/>
                <w:szCs w:val="22"/>
              </w:rPr>
            </w:pPr>
            <w:r>
              <w:rPr>
                <w:sz w:val="22"/>
                <w:szCs w:val="22"/>
              </w:rPr>
              <w:t>燃烧热(KJ/mol)</w:t>
            </w:r>
          </w:p>
        </w:tc>
        <w:tc>
          <w:tcPr>
            <w:tcW w:w="2052" w:type="dxa"/>
            <w:vAlign w:val="center"/>
          </w:tcPr>
          <w:p w14:paraId="70C83709">
            <w:pPr>
              <w:adjustRightInd w:val="0"/>
              <w:snapToGrid w:val="0"/>
              <w:spacing w:before="24" w:beforeLines="10" w:after="24" w:afterLines="10"/>
              <w:jc w:val="center"/>
              <w:rPr>
                <w:sz w:val="22"/>
                <w:szCs w:val="22"/>
              </w:rPr>
            </w:pPr>
            <w:r>
              <w:rPr>
                <w:sz w:val="22"/>
                <w:szCs w:val="22"/>
              </w:rPr>
              <w:t>889.5</w:t>
            </w:r>
          </w:p>
        </w:tc>
        <w:tc>
          <w:tcPr>
            <w:tcW w:w="1975" w:type="dxa"/>
            <w:gridSpan w:val="2"/>
            <w:vAlign w:val="center"/>
          </w:tcPr>
          <w:p w14:paraId="4BF443B0">
            <w:pPr>
              <w:adjustRightInd w:val="0"/>
              <w:snapToGrid w:val="0"/>
              <w:spacing w:before="24" w:beforeLines="10" w:after="24" w:afterLines="10"/>
              <w:jc w:val="center"/>
              <w:rPr>
                <w:sz w:val="22"/>
                <w:szCs w:val="22"/>
              </w:rPr>
            </w:pPr>
            <w:r>
              <w:rPr>
                <w:sz w:val="22"/>
                <w:szCs w:val="22"/>
              </w:rPr>
              <w:t>最小引燃能量(mJ)</w:t>
            </w:r>
          </w:p>
        </w:tc>
        <w:tc>
          <w:tcPr>
            <w:tcW w:w="2233" w:type="dxa"/>
            <w:vAlign w:val="center"/>
          </w:tcPr>
          <w:p w14:paraId="74D594AB">
            <w:pPr>
              <w:adjustRightInd w:val="0"/>
              <w:snapToGrid w:val="0"/>
              <w:spacing w:before="24" w:beforeLines="10" w:after="24" w:afterLines="10"/>
              <w:jc w:val="center"/>
              <w:rPr>
                <w:sz w:val="22"/>
                <w:szCs w:val="22"/>
              </w:rPr>
            </w:pPr>
            <w:r>
              <w:rPr>
                <w:sz w:val="22"/>
                <w:szCs w:val="22"/>
              </w:rPr>
              <w:t>0.28</w:t>
            </w:r>
          </w:p>
        </w:tc>
      </w:tr>
      <w:tr w14:paraId="30C9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restart"/>
            <w:vAlign w:val="center"/>
          </w:tcPr>
          <w:p w14:paraId="0B2CA696">
            <w:pPr>
              <w:adjustRightInd w:val="0"/>
              <w:snapToGrid w:val="0"/>
              <w:jc w:val="center"/>
              <w:rPr>
                <w:sz w:val="22"/>
                <w:szCs w:val="22"/>
              </w:rPr>
            </w:pPr>
            <w:r>
              <w:rPr>
                <w:sz w:val="22"/>
                <w:szCs w:val="22"/>
              </w:rPr>
              <w:t>毒</w:t>
            </w:r>
          </w:p>
          <w:p w14:paraId="4AFF91C6">
            <w:pPr>
              <w:adjustRightInd w:val="0"/>
              <w:snapToGrid w:val="0"/>
              <w:jc w:val="center"/>
              <w:rPr>
                <w:sz w:val="22"/>
                <w:szCs w:val="22"/>
              </w:rPr>
            </w:pPr>
            <w:r>
              <w:rPr>
                <w:sz w:val="22"/>
                <w:szCs w:val="22"/>
              </w:rPr>
              <w:t>性</w:t>
            </w:r>
          </w:p>
          <w:p w14:paraId="49882522">
            <w:pPr>
              <w:adjustRightInd w:val="0"/>
              <w:snapToGrid w:val="0"/>
              <w:jc w:val="center"/>
              <w:rPr>
                <w:sz w:val="22"/>
                <w:szCs w:val="22"/>
              </w:rPr>
            </w:pPr>
            <w:r>
              <w:rPr>
                <w:sz w:val="22"/>
                <w:szCs w:val="22"/>
              </w:rPr>
              <w:t>及</w:t>
            </w:r>
          </w:p>
          <w:p w14:paraId="070558C8">
            <w:pPr>
              <w:adjustRightInd w:val="0"/>
              <w:snapToGrid w:val="0"/>
              <w:jc w:val="center"/>
              <w:rPr>
                <w:sz w:val="22"/>
                <w:szCs w:val="22"/>
              </w:rPr>
            </w:pPr>
            <w:r>
              <w:rPr>
                <w:sz w:val="22"/>
                <w:szCs w:val="22"/>
              </w:rPr>
              <w:t>健</w:t>
            </w:r>
          </w:p>
          <w:p w14:paraId="732B9272">
            <w:pPr>
              <w:adjustRightInd w:val="0"/>
              <w:snapToGrid w:val="0"/>
              <w:jc w:val="center"/>
              <w:rPr>
                <w:sz w:val="22"/>
                <w:szCs w:val="22"/>
              </w:rPr>
            </w:pPr>
            <w:r>
              <w:rPr>
                <w:sz w:val="22"/>
                <w:szCs w:val="22"/>
              </w:rPr>
              <w:t>康</w:t>
            </w:r>
          </w:p>
          <w:p w14:paraId="699E1C8B">
            <w:pPr>
              <w:adjustRightInd w:val="0"/>
              <w:snapToGrid w:val="0"/>
              <w:jc w:val="center"/>
              <w:rPr>
                <w:sz w:val="22"/>
                <w:szCs w:val="22"/>
              </w:rPr>
            </w:pPr>
            <w:r>
              <w:rPr>
                <w:sz w:val="22"/>
                <w:szCs w:val="22"/>
              </w:rPr>
              <w:t>危</w:t>
            </w:r>
          </w:p>
          <w:p w14:paraId="71B9E785">
            <w:pPr>
              <w:adjustRightInd w:val="0"/>
              <w:snapToGrid w:val="0"/>
              <w:jc w:val="center"/>
              <w:rPr>
                <w:sz w:val="22"/>
                <w:szCs w:val="22"/>
              </w:rPr>
            </w:pPr>
            <w:r>
              <w:rPr>
                <w:sz w:val="22"/>
                <w:szCs w:val="22"/>
              </w:rPr>
              <w:t>害</w:t>
            </w:r>
          </w:p>
        </w:tc>
        <w:tc>
          <w:tcPr>
            <w:tcW w:w="1547" w:type="dxa"/>
            <w:vMerge w:val="restart"/>
            <w:vAlign w:val="center"/>
          </w:tcPr>
          <w:p w14:paraId="03F3D028">
            <w:pPr>
              <w:adjustRightInd w:val="0"/>
              <w:snapToGrid w:val="0"/>
              <w:jc w:val="center"/>
              <w:rPr>
                <w:sz w:val="22"/>
                <w:szCs w:val="22"/>
              </w:rPr>
            </w:pPr>
            <w:r>
              <w:rPr>
                <w:sz w:val="22"/>
                <w:szCs w:val="22"/>
              </w:rPr>
              <w:t>接触限值</w:t>
            </w:r>
          </w:p>
        </w:tc>
        <w:tc>
          <w:tcPr>
            <w:tcW w:w="2052" w:type="dxa"/>
            <w:vAlign w:val="center"/>
          </w:tcPr>
          <w:p w14:paraId="3B85454E">
            <w:pPr>
              <w:adjustRightInd w:val="0"/>
              <w:snapToGrid w:val="0"/>
              <w:jc w:val="center"/>
              <w:rPr>
                <w:sz w:val="22"/>
                <w:szCs w:val="22"/>
              </w:rPr>
            </w:pPr>
            <w:r>
              <w:rPr>
                <w:sz w:val="22"/>
                <w:szCs w:val="22"/>
              </w:rPr>
              <w:t>中国MAC</w:t>
            </w:r>
          </w:p>
        </w:tc>
        <w:tc>
          <w:tcPr>
            <w:tcW w:w="4208" w:type="dxa"/>
            <w:gridSpan w:val="3"/>
            <w:vAlign w:val="center"/>
          </w:tcPr>
          <w:p w14:paraId="02C092B6">
            <w:pPr>
              <w:adjustRightInd w:val="0"/>
              <w:snapToGrid w:val="0"/>
              <w:jc w:val="center"/>
              <w:rPr>
                <w:sz w:val="22"/>
                <w:szCs w:val="22"/>
              </w:rPr>
            </w:pPr>
            <w:r>
              <w:rPr>
                <w:sz w:val="22"/>
                <w:szCs w:val="22"/>
              </w:rPr>
              <w:t>未制定标准</w:t>
            </w:r>
          </w:p>
        </w:tc>
      </w:tr>
      <w:tr w14:paraId="09731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2C1CDE91">
            <w:pPr>
              <w:adjustRightInd w:val="0"/>
              <w:snapToGrid w:val="0"/>
              <w:jc w:val="center"/>
              <w:rPr>
                <w:sz w:val="22"/>
                <w:szCs w:val="22"/>
              </w:rPr>
            </w:pPr>
          </w:p>
        </w:tc>
        <w:tc>
          <w:tcPr>
            <w:tcW w:w="1547" w:type="dxa"/>
            <w:vMerge w:val="continue"/>
            <w:vAlign w:val="center"/>
          </w:tcPr>
          <w:p w14:paraId="6A931B91">
            <w:pPr>
              <w:adjustRightInd w:val="0"/>
              <w:snapToGrid w:val="0"/>
              <w:jc w:val="center"/>
              <w:rPr>
                <w:sz w:val="22"/>
                <w:szCs w:val="22"/>
              </w:rPr>
            </w:pPr>
          </w:p>
        </w:tc>
        <w:tc>
          <w:tcPr>
            <w:tcW w:w="2052" w:type="dxa"/>
            <w:vAlign w:val="center"/>
          </w:tcPr>
          <w:p w14:paraId="2895810A">
            <w:pPr>
              <w:adjustRightInd w:val="0"/>
              <w:snapToGrid w:val="0"/>
              <w:jc w:val="center"/>
              <w:rPr>
                <w:sz w:val="22"/>
                <w:szCs w:val="22"/>
              </w:rPr>
            </w:pPr>
            <w:r>
              <w:rPr>
                <w:sz w:val="22"/>
                <w:szCs w:val="22"/>
              </w:rPr>
              <w:t>前苏联MAC</w:t>
            </w:r>
          </w:p>
        </w:tc>
        <w:tc>
          <w:tcPr>
            <w:tcW w:w="4208" w:type="dxa"/>
            <w:gridSpan w:val="3"/>
            <w:vAlign w:val="center"/>
          </w:tcPr>
          <w:p w14:paraId="0A841DAD">
            <w:pPr>
              <w:adjustRightInd w:val="0"/>
              <w:snapToGrid w:val="0"/>
              <w:jc w:val="center"/>
              <w:rPr>
                <w:sz w:val="22"/>
                <w:szCs w:val="22"/>
              </w:rPr>
            </w:pPr>
            <w:r>
              <w:rPr>
                <w:sz w:val="22"/>
                <w:szCs w:val="22"/>
              </w:rPr>
              <w:t>300mg/m</w:t>
            </w:r>
            <w:r>
              <w:rPr>
                <w:sz w:val="22"/>
                <w:szCs w:val="22"/>
                <w:vertAlign w:val="superscript"/>
              </w:rPr>
              <w:t>3</w:t>
            </w:r>
          </w:p>
        </w:tc>
      </w:tr>
      <w:tr w14:paraId="3407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2016BD12">
            <w:pPr>
              <w:adjustRightInd w:val="0"/>
              <w:snapToGrid w:val="0"/>
              <w:jc w:val="center"/>
              <w:rPr>
                <w:sz w:val="22"/>
                <w:szCs w:val="22"/>
              </w:rPr>
            </w:pPr>
          </w:p>
        </w:tc>
        <w:tc>
          <w:tcPr>
            <w:tcW w:w="1547" w:type="dxa"/>
            <w:vMerge w:val="continue"/>
            <w:vAlign w:val="center"/>
          </w:tcPr>
          <w:p w14:paraId="236020DA">
            <w:pPr>
              <w:adjustRightInd w:val="0"/>
              <w:snapToGrid w:val="0"/>
              <w:jc w:val="center"/>
              <w:rPr>
                <w:sz w:val="22"/>
                <w:szCs w:val="22"/>
              </w:rPr>
            </w:pPr>
          </w:p>
        </w:tc>
        <w:tc>
          <w:tcPr>
            <w:tcW w:w="2052" w:type="dxa"/>
            <w:vAlign w:val="center"/>
          </w:tcPr>
          <w:p w14:paraId="39D8FF59">
            <w:pPr>
              <w:adjustRightInd w:val="0"/>
              <w:snapToGrid w:val="0"/>
              <w:jc w:val="center"/>
              <w:rPr>
                <w:sz w:val="22"/>
                <w:szCs w:val="22"/>
              </w:rPr>
            </w:pPr>
            <w:r>
              <w:rPr>
                <w:sz w:val="22"/>
                <w:szCs w:val="22"/>
              </w:rPr>
              <w:t>美国TWA</w:t>
            </w:r>
          </w:p>
        </w:tc>
        <w:tc>
          <w:tcPr>
            <w:tcW w:w="4208" w:type="dxa"/>
            <w:gridSpan w:val="3"/>
            <w:vAlign w:val="center"/>
          </w:tcPr>
          <w:p w14:paraId="54C8BCFE">
            <w:pPr>
              <w:adjustRightInd w:val="0"/>
              <w:snapToGrid w:val="0"/>
              <w:jc w:val="center"/>
              <w:rPr>
                <w:sz w:val="22"/>
                <w:szCs w:val="22"/>
              </w:rPr>
            </w:pPr>
            <w:r>
              <w:rPr>
                <w:sz w:val="22"/>
                <w:szCs w:val="22"/>
              </w:rPr>
              <w:t>ACGIH窒息性气体</w:t>
            </w:r>
          </w:p>
        </w:tc>
      </w:tr>
      <w:tr w14:paraId="14E13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13D366CA">
            <w:pPr>
              <w:adjustRightInd w:val="0"/>
              <w:snapToGrid w:val="0"/>
              <w:jc w:val="center"/>
              <w:rPr>
                <w:sz w:val="22"/>
                <w:szCs w:val="22"/>
              </w:rPr>
            </w:pPr>
          </w:p>
        </w:tc>
        <w:tc>
          <w:tcPr>
            <w:tcW w:w="1547" w:type="dxa"/>
            <w:vMerge w:val="continue"/>
            <w:vAlign w:val="center"/>
          </w:tcPr>
          <w:p w14:paraId="301AFF71">
            <w:pPr>
              <w:adjustRightInd w:val="0"/>
              <w:snapToGrid w:val="0"/>
              <w:jc w:val="center"/>
              <w:rPr>
                <w:sz w:val="22"/>
                <w:szCs w:val="22"/>
              </w:rPr>
            </w:pPr>
          </w:p>
        </w:tc>
        <w:tc>
          <w:tcPr>
            <w:tcW w:w="2052" w:type="dxa"/>
            <w:vAlign w:val="center"/>
          </w:tcPr>
          <w:p w14:paraId="16C66466">
            <w:pPr>
              <w:adjustRightInd w:val="0"/>
              <w:snapToGrid w:val="0"/>
              <w:jc w:val="center"/>
              <w:rPr>
                <w:sz w:val="22"/>
                <w:szCs w:val="22"/>
              </w:rPr>
            </w:pPr>
            <w:r>
              <w:rPr>
                <w:sz w:val="22"/>
                <w:szCs w:val="22"/>
              </w:rPr>
              <w:t>美国STEL</w:t>
            </w:r>
          </w:p>
        </w:tc>
        <w:tc>
          <w:tcPr>
            <w:tcW w:w="4208" w:type="dxa"/>
            <w:gridSpan w:val="3"/>
            <w:vAlign w:val="center"/>
          </w:tcPr>
          <w:p w14:paraId="5406686F">
            <w:pPr>
              <w:adjustRightInd w:val="0"/>
              <w:snapToGrid w:val="0"/>
              <w:jc w:val="center"/>
              <w:rPr>
                <w:sz w:val="22"/>
                <w:szCs w:val="22"/>
              </w:rPr>
            </w:pPr>
            <w:r>
              <w:rPr>
                <w:sz w:val="22"/>
                <w:szCs w:val="22"/>
              </w:rPr>
              <w:t>未制定标准</w:t>
            </w:r>
          </w:p>
        </w:tc>
      </w:tr>
      <w:tr w14:paraId="4635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1F7422C7">
            <w:pPr>
              <w:adjustRightInd w:val="0"/>
              <w:snapToGrid w:val="0"/>
              <w:jc w:val="center"/>
              <w:rPr>
                <w:sz w:val="22"/>
                <w:szCs w:val="22"/>
              </w:rPr>
            </w:pPr>
          </w:p>
        </w:tc>
        <w:tc>
          <w:tcPr>
            <w:tcW w:w="1547" w:type="dxa"/>
            <w:vAlign w:val="center"/>
          </w:tcPr>
          <w:p w14:paraId="4566FEF0">
            <w:pPr>
              <w:adjustRightInd w:val="0"/>
              <w:snapToGrid w:val="0"/>
              <w:jc w:val="center"/>
              <w:rPr>
                <w:sz w:val="22"/>
                <w:szCs w:val="22"/>
              </w:rPr>
            </w:pPr>
            <w:r>
              <w:rPr>
                <w:sz w:val="22"/>
                <w:szCs w:val="22"/>
              </w:rPr>
              <w:t>侵入途径</w:t>
            </w:r>
          </w:p>
        </w:tc>
        <w:tc>
          <w:tcPr>
            <w:tcW w:w="6260" w:type="dxa"/>
            <w:gridSpan w:val="4"/>
            <w:vAlign w:val="center"/>
          </w:tcPr>
          <w:p w14:paraId="1B4F2471">
            <w:pPr>
              <w:adjustRightInd w:val="0"/>
              <w:snapToGrid w:val="0"/>
              <w:jc w:val="center"/>
              <w:rPr>
                <w:sz w:val="22"/>
                <w:szCs w:val="22"/>
              </w:rPr>
            </w:pPr>
            <w:r>
              <w:rPr>
                <w:sz w:val="22"/>
                <w:szCs w:val="22"/>
              </w:rPr>
              <w:t>吸入</w:t>
            </w:r>
          </w:p>
        </w:tc>
      </w:tr>
      <w:tr w14:paraId="47C0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1762D6CD">
            <w:pPr>
              <w:adjustRightInd w:val="0"/>
              <w:snapToGrid w:val="0"/>
              <w:jc w:val="center"/>
              <w:rPr>
                <w:sz w:val="22"/>
                <w:szCs w:val="22"/>
              </w:rPr>
            </w:pPr>
          </w:p>
        </w:tc>
        <w:tc>
          <w:tcPr>
            <w:tcW w:w="1547" w:type="dxa"/>
            <w:vAlign w:val="center"/>
          </w:tcPr>
          <w:p w14:paraId="45D73B08">
            <w:pPr>
              <w:adjustRightInd w:val="0"/>
              <w:snapToGrid w:val="0"/>
              <w:jc w:val="center"/>
              <w:rPr>
                <w:sz w:val="22"/>
                <w:szCs w:val="22"/>
              </w:rPr>
            </w:pPr>
            <w:r>
              <w:rPr>
                <w:sz w:val="22"/>
                <w:szCs w:val="22"/>
              </w:rPr>
              <w:t>健康危害</w:t>
            </w:r>
          </w:p>
        </w:tc>
        <w:tc>
          <w:tcPr>
            <w:tcW w:w="6260" w:type="dxa"/>
            <w:gridSpan w:val="4"/>
            <w:vAlign w:val="center"/>
          </w:tcPr>
          <w:p w14:paraId="6D008376">
            <w:pPr>
              <w:adjustRightInd w:val="0"/>
              <w:snapToGrid w:val="0"/>
              <w:jc w:val="left"/>
              <w:rPr>
                <w:sz w:val="22"/>
                <w:szCs w:val="22"/>
              </w:rPr>
            </w:pPr>
            <w:r>
              <w:rPr>
                <w:sz w:val="22"/>
                <w:szCs w:val="22"/>
              </w:rPr>
              <w:t>1、当空气中甲烷浓度达25%～30%时，可引起头痛、头晕、乏力、注意力不集中、呼吸和心跳加速、精细动作障碍等；2、当空气中甲烷浓度更高时，可能使人出现窒息、昏迷等。</w:t>
            </w:r>
          </w:p>
        </w:tc>
      </w:tr>
      <w:tr w14:paraId="7F8A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restart"/>
            <w:vAlign w:val="center"/>
          </w:tcPr>
          <w:p w14:paraId="336753A7">
            <w:pPr>
              <w:adjustRightInd w:val="0"/>
              <w:snapToGrid w:val="0"/>
              <w:jc w:val="center"/>
              <w:rPr>
                <w:sz w:val="22"/>
                <w:szCs w:val="22"/>
              </w:rPr>
            </w:pPr>
            <w:r>
              <w:rPr>
                <w:sz w:val="22"/>
                <w:szCs w:val="22"/>
              </w:rPr>
              <w:t>燃</w:t>
            </w:r>
          </w:p>
          <w:p w14:paraId="1E010317">
            <w:pPr>
              <w:adjustRightInd w:val="0"/>
              <w:snapToGrid w:val="0"/>
              <w:jc w:val="center"/>
              <w:rPr>
                <w:sz w:val="22"/>
                <w:szCs w:val="22"/>
              </w:rPr>
            </w:pPr>
            <w:r>
              <w:rPr>
                <w:sz w:val="22"/>
                <w:szCs w:val="22"/>
              </w:rPr>
              <w:t>烧</w:t>
            </w:r>
          </w:p>
          <w:p w14:paraId="27E03F88">
            <w:pPr>
              <w:adjustRightInd w:val="0"/>
              <w:snapToGrid w:val="0"/>
              <w:jc w:val="center"/>
              <w:rPr>
                <w:sz w:val="22"/>
                <w:szCs w:val="22"/>
              </w:rPr>
            </w:pPr>
            <w:r>
              <w:rPr>
                <w:sz w:val="22"/>
                <w:szCs w:val="22"/>
              </w:rPr>
              <w:t>爆</w:t>
            </w:r>
          </w:p>
          <w:p w14:paraId="60F20465">
            <w:pPr>
              <w:adjustRightInd w:val="0"/>
              <w:snapToGrid w:val="0"/>
              <w:jc w:val="center"/>
              <w:rPr>
                <w:sz w:val="22"/>
                <w:szCs w:val="22"/>
              </w:rPr>
            </w:pPr>
            <w:r>
              <w:rPr>
                <w:sz w:val="22"/>
                <w:szCs w:val="22"/>
              </w:rPr>
              <w:t>炸</w:t>
            </w:r>
          </w:p>
          <w:p w14:paraId="3F9F752D">
            <w:pPr>
              <w:adjustRightInd w:val="0"/>
              <w:snapToGrid w:val="0"/>
              <w:jc w:val="center"/>
              <w:rPr>
                <w:sz w:val="22"/>
                <w:szCs w:val="22"/>
              </w:rPr>
            </w:pPr>
            <w:r>
              <w:rPr>
                <w:sz w:val="22"/>
                <w:szCs w:val="22"/>
              </w:rPr>
              <w:t>危</w:t>
            </w:r>
          </w:p>
          <w:p w14:paraId="635F1B0F">
            <w:pPr>
              <w:adjustRightInd w:val="0"/>
              <w:snapToGrid w:val="0"/>
              <w:jc w:val="center"/>
              <w:rPr>
                <w:sz w:val="22"/>
                <w:szCs w:val="22"/>
              </w:rPr>
            </w:pPr>
            <w:r>
              <w:rPr>
                <w:sz w:val="22"/>
                <w:szCs w:val="22"/>
              </w:rPr>
              <w:t>险</w:t>
            </w:r>
          </w:p>
          <w:p w14:paraId="529DF4E0">
            <w:pPr>
              <w:adjustRightInd w:val="0"/>
              <w:snapToGrid w:val="0"/>
              <w:jc w:val="center"/>
              <w:rPr>
                <w:sz w:val="22"/>
                <w:szCs w:val="22"/>
              </w:rPr>
            </w:pPr>
            <w:r>
              <w:rPr>
                <w:sz w:val="22"/>
                <w:szCs w:val="22"/>
              </w:rPr>
              <w:t>性</w:t>
            </w:r>
          </w:p>
        </w:tc>
        <w:tc>
          <w:tcPr>
            <w:tcW w:w="1547" w:type="dxa"/>
            <w:vAlign w:val="center"/>
          </w:tcPr>
          <w:p w14:paraId="10C81AD5">
            <w:pPr>
              <w:adjustRightInd w:val="0"/>
              <w:snapToGrid w:val="0"/>
              <w:jc w:val="center"/>
              <w:rPr>
                <w:sz w:val="22"/>
                <w:szCs w:val="22"/>
              </w:rPr>
            </w:pPr>
            <w:r>
              <w:rPr>
                <w:sz w:val="22"/>
                <w:szCs w:val="22"/>
              </w:rPr>
              <w:t>燃烧性</w:t>
            </w:r>
          </w:p>
        </w:tc>
        <w:tc>
          <w:tcPr>
            <w:tcW w:w="2052" w:type="dxa"/>
            <w:vAlign w:val="center"/>
          </w:tcPr>
          <w:p w14:paraId="67BA0E9B">
            <w:pPr>
              <w:adjustRightInd w:val="0"/>
              <w:snapToGrid w:val="0"/>
              <w:jc w:val="center"/>
              <w:rPr>
                <w:sz w:val="22"/>
                <w:szCs w:val="22"/>
              </w:rPr>
            </w:pPr>
            <w:r>
              <w:rPr>
                <w:sz w:val="22"/>
                <w:szCs w:val="22"/>
              </w:rPr>
              <w:t>易燃</w:t>
            </w:r>
          </w:p>
        </w:tc>
        <w:tc>
          <w:tcPr>
            <w:tcW w:w="1975" w:type="dxa"/>
            <w:gridSpan w:val="2"/>
            <w:vAlign w:val="center"/>
          </w:tcPr>
          <w:p w14:paraId="67CF371C">
            <w:pPr>
              <w:adjustRightInd w:val="0"/>
              <w:snapToGrid w:val="0"/>
              <w:jc w:val="center"/>
              <w:rPr>
                <w:sz w:val="22"/>
                <w:szCs w:val="22"/>
              </w:rPr>
            </w:pPr>
            <w:r>
              <w:rPr>
                <w:sz w:val="22"/>
                <w:szCs w:val="22"/>
              </w:rPr>
              <w:t>建筑火险等级</w:t>
            </w:r>
          </w:p>
        </w:tc>
        <w:tc>
          <w:tcPr>
            <w:tcW w:w="2233" w:type="dxa"/>
            <w:vAlign w:val="center"/>
          </w:tcPr>
          <w:p w14:paraId="13820F1B">
            <w:pPr>
              <w:adjustRightInd w:val="0"/>
              <w:snapToGrid w:val="0"/>
              <w:jc w:val="center"/>
              <w:rPr>
                <w:sz w:val="22"/>
                <w:szCs w:val="22"/>
              </w:rPr>
            </w:pPr>
            <w:r>
              <w:rPr>
                <w:sz w:val="22"/>
                <w:szCs w:val="22"/>
              </w:rPr>
              <w:t>甲</w:t>
            </w:r>
          </w:p>
        </w:tc>
      </w:tr>
      <w:tr w14:paraId="44CEC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760AF16B">
            <w:pPr>
              <w:adjustRightInd w:val="0"/>
              <w:snapToGrid w:val="0"/>
              <w:jc w:val="center"/>
              <w:rPr>
                <w:sz w:val="22"/>
                <w:szCs w:val="22"/>
              </w:rPr>
            </w:pPr>
          </w:p>
        </w:tc>
        <w:tc>
          <w:tcPr>
            <w:tcW w:w="1547" w:type="dxa"/>
            <w:vAlign w:val="center"/>
          </w:tcPr>
          <w:p w14:paraId="1CDC8CA3">
            <w:pPr>
              <w:adjustRightInd w:val="0"/>
              <w:snapToGrid w:val="0"/>
              <w:jc w:val="center"/>
              <w:rPr>
                <w:sz w:val="22"/>
                <w:szCs w:val="22"/>
              </w:rPr>
            </w:pPr>
            <w:r>
              <w:rPr>
                <w:sz w:val="22"/>
                <w:szCs w:val="22"/>
              </w:rPr>
              <w:t>闪点(℃)</w:t>
            </w:r>
          </w:p>
        </w:tc>
        <w:tc>
          <w:tcPr>
            <w:tcW w:w="2052" w:type="dxa"/>
            <w:vAlign w:val="center"/>
          </w:tcPr>
          <w:p w14:paraId="540BF8F1">
            <w:pPr>
              <w:adjustRightInd w:val="0"/>
              <w:snapToGrid w:val="0"/>
              <w:jc w:val="center"/>
              <w:rPr>
                <w:sz w:val="22"/>
                <w:szCs w:val="22"/>
              </w:rPr>
            </w:pPr>
            <w:r>
              <w:rPr>
                <w:sz w:val="22"/>
                <w:szCs w:val="22"/>
              </w:rPr>
              <w:t>-188</w:t>
            </w:r>
          </w:p>
        </w:tc>
        <w:tc>
          <w:tcPr>
            <w:tcW w:w="1975" w:type="dxa"/>
            <w:gridSpan w:val="2"/>
            <w:vAlign w:val="center"/>
          </w:tcPr>
          <w:p w14:paraId="6A5A2A70">
            <w:pPr>
              <w:adjustRightInd w:val="0"/>
              <w:snapToGrid w:val="0"/>
              <w:jc w:val="center"/>
              <w:rPr>
                <w:sz w:val="22"/>
                <w:szCs w:val="22"/>
              </w:rPr>
            </w:pPr>
            <w:r>
              <w:rPr>
                <w:sz w:val="22"/>
                <w:szCs w:val="22"/>
              </w:rPr>
              <w:t>爆炸下限(v%)</w:t>
            </w:r>
          </w:p>
        </w:tc>
        <w:tc>
          <w:tcPr>
            <w:tcW w:w="2233" w:type="dxa"/>
            <w:vAlign w:val="center"/>
          </w:tcPr>
          <w:p w14:paraId="201AF251">
            <w:pPr>
              <w:adjustRightInd w:val="0"/>
              <w:snapToGrid w:val="0"/>
              <w:jc w:val="center"/>
              <w:rPr>
                <w:sz w:val="22"/>
                <w:szCs w:val="22"/>
              </w:rPr>
            </w:pPr>
            <w:r>
              <w:rPr>
                <w:sz w:val="22"/>
                <w:szCs w:val="22"/>
              </w:rPr>
              <w:t>5</w:t>
            </w:r>
          </w:p>
        </w:tc>
      </w:tr>
      <w:tr w14:paraId="1E6E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4BFEC1C0">
            <w:pPr>
              <w:adjustRightInd w:val="0"/>
              <w:snapToGrid w:val="0"/>
              <w:jc w:val="center"/>
              <w:rPr>
                <w:sz w:val="22"/>
                <w:szCs w:val="22"/>
              </w:rPr>
            </w:pPr>
          </w:p>
        </w:tc>
        <w:tc>
          <w:tcPr>
            <w:tcW w:w="1547" w:type="dxa"/>
            <w:vAlign w:val="center"/>
          </w:tcPr>
          <w:p w14:paraId="075BCF8D">
            <w:pPr>
              <w:adjustRightInd w:val="0"/>
              <w:snapToGrid w:val="0"/>
              <w:jc w:val="center"/>
              <w:rPr>
                <w:sz w:val="22"/>
                <w:szCs w:val="22"/>
              </w:rPr>
            </w:pPr>
            <w:r>
              <w:rPr>
                <w:sz w:val="22"/>
                <w:szCs w:val="22"/>
              </w:rPr>
              <w:t>自然温度(℃)</w:t>
            </w:r>
          </w:p>
        </w:tc>
        <w:tc>
          <w:tcPr>
            <w:tcW w:w="2052" w:type="dxa"/>
            <w:vAlign w:val="center"/>
          </w:tcPr>
          <w:p w14:paraId="6835FDCE">
            <w:pPr>
              <w:adjustRightInd w:val="0"/>
              <w:snapToGrid w:val="0"/>
              <w:jc w:val="center"/>
              <w:rPr>
                <w:sz w:val="22"/>
                <w:szCs w:val="22"/>
              </w:rPr>
            </w:pPr>
            <w:r>
              <w:rPr>
                <w:sz w:val="22"/>
                <w:szCs w:val="22"/>
              </w:rPr>
              <w:t>538</w:t>
            </w:r>
          </w:p>
        </w:tc>
        <w:tc>
          <w:tcPr>
            <w:tcW w:w="1975" w:type="dxa"/>
            <w:gridSpan w:val="2"/>
            <w:vAlign w:val="center"/>
          </w:tcPr>
          <w:p w14:paraId="7A56C0C4">
            <w:pPr>
              <w:adjustRightInd w:val="0"/>
              <w:snapToGrid w:val="0"/>
              <w:jc w:val="center"/>
              <w:rPr>
                <w:sz w:val="22"/>
                <w:szCs w:val="22"/>
              </w:rPr>
            </w:pPr>
            <w:r>
              <w:rPr>
                <w:sz w:val="22"/>
                <w:szCs w:val="22"/>
              </w:rPr>
              <w:t>爆炸上限(v%)</w:t>
            </w:r>
          </w:p>
        </w:tc>
        <w:tc>
          <w:tcPr>
            <w:tcW w:w="2233" w:type="dxa"/>
            <w:vAlign w:val="center"/>
          </w:tcPr>
          <w:p w14:paraId="6D2E25D9">
            <w:pPr>
              <w:adjustRightInd w:val="0"/>
              <w:snapToGrid w:val="0"/>
              <w:jc w:val="center"/>
              <w:rPr>
                <w:sz w:val="22"/>
                <w:szCs w:val="22"/>
              </w:rPr>
            </w:pPr>
            <w:r>
              <w:rPr>
                <w:sz w:val="22"/>
                <w:szCs w:val="22"/>
              </w:rPr>
              <w:t>15</w:t>
            </w:r>
          </w:p>
        </w:tc>
      </w:tr>
      <w:tr w14:paraId="6D170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1E7D7013">
            <w:pPr>
              <w:adjustRightInd w:val="0"/>
              <w:snapToGrid w:val="0"/>
              <w:jc w:val="center"/>
              <w:rPr>
                <w:sz w:val="22"/>
                <w:szCs w:val="22"/>
              </w:rPr>
            </w:pPr>
          </w:p>
        </w:tc>
        <w:tc>
          <w:tcPr>
            <w:tcW w:w="1547" w:type="dxa"/>
            <w:vAlign w:val="center"/>
          </w:tcPr>
          <w:p w14:paraId="4D4153D5">
            <w:pPr>
              <w:adjustRightInd w:val="0"/>
              <w:snapToGrid w:val="0"/>
              <w:jc w:val="center"/>
              <w:rPr>
                <w:sz w:val="22"/>
                <w:szCs w:val="22"/>
              </w:rPr>
            </w:pPr>
            <w:r>
              <w:rPr>
                <w:sz w:val="22"/>
                <w:szCs w:val="22"/>
              </w:rPr>
              <w:t>危险特性</w:t>
            </w:r>
          </w:p>
        </w:tc>
        <w:tc>
          <w:tcPr>
            <w:tcW w:w="6260" w:type="dxa"/>
            <w:gridSpan w:val="4"/>
            <w:vAlign w:val="center"/>
          </w:tcPr>
          <w:p w14:paraId="5E39DE6E">
            <w:pPr>
              <w:adjustRightInd w:val="0"/>
              <w:snapToGrid w:val="0"/>
              <w:jc w:val="left"/>
              <w:rPr>
                <w:sz w:val="22"/>
                <w:szCs w:val="22"/>
              </w:rPr>
            </w:pPr>
            <w:r>
              <w:rPr>
                <w:sz w:val="22"/>
                <w:szCs w:val="22"/>
              </w:rPr>
              <w:t>1、甲烷与空气混合能形成爆炸性混合物，当在爆炸极限范围内遇明火、高热能时引起燃烧爆炸。2、甲烷与氟、氯等能发生剧烈的化学反应。3、甲烷若遇高热，容器内压增大，有开裂和爆炸的危险。</w:t>
            </w:r>
          </w:p>
        </w:tc>
      </w:tr>
      <w:tr w14:paraId="4D4B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27E040F6">
            <w:pPr>
              <w:adjustRightInd w:val="0"/>
              <w:snapToGrid w:val="0"/>
              <w:jc w:val="center"/>
              <w:rPr>
                <w:sz w:val="22"/>
                <w:szCs w:val="22"/>
              </w:rPr>
            </w:pPr>
          </w:p>
        </w:tc>
        <w:tc>
          <w:tcPr>
            <w:tcW w:w="1547" w:type="dxa"/>
            <w:vAlign w:val="center"/>
          </w:tcPr>
          <w:p w14:paraId="6128F375">
            <w:pPr>
              <w:adjustRightInd w:val="0"/>
              <w:snapToGrid w:val="0"/>
              <w:jc w:val="center"/>
              <w:rPr>
                <w:sz w:val="22"/>
                <w:szCs w:val="22"/>
              </w:rPr>
            </w:pPr>
            <w:r>
              <w:rPr>
                <w:sz w:val="22"/>
                <w:szCs w:val="22"/>
              </w:rPr>
              <w:t>稳定性</w:t>
            </w:r>
          </w:p>
        </w:tc>
        <w:tc>
          <w:tcPr>
            <w:tcW w:w="6260" w:type="dxa"/>
            <w:gridSpan w:val="4"/>
            <w:vAlign w:val="center"/>
          </w:tcPr>
          <w:p w14:paraId="7B10C464">
            <w:pPr>
              <w:adjustRightInd w:val="0"/>
              <w:snapToGrid w:val="0"/>
              <w:jc w:val="center"/>
              <w:rPr>
                <w:sz w:val="22"/>
                <w:szCs w:val="22"/>
              </w:rPr>
            </w:pPr>
            <w:r>
              <w:rPr>
                <w:sz w:val="22"/>
                <w:szCs w:val="22"/>
              </w:rPr>
              <w:t>稳定</w:t>
            </w:r>
          </w:p>
        </w:tc>
      </w:tr>
      <w:tr w14:paraId="1576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54E2CD92">
            <w:pPr>
              <w:adjustRightInd w:val="0"/>
              <w:snapToGrid w:val="0"/>
              <w:jc w:val="center"/>
              <w:rPr>
                <w:sz w:val="22"/>
                <w:szCs w:val="22"/>
              </w:rPr>
            </w:pPr>
          </w:p>
        </w:tc>
        <w:tc>
          <w:tcPr>
            <w:tcW w:w="1547" w:type="dxa"/>
            <w:vAlign w:val="center"/>
          </w:tcPr>
          <w:p w14:paraId="1BF54364">
            <w:pPr>
              <w:adjustRightInd w:val="0"/>
              <w:snapToGrid w:val="0"/>
              <w:jc w:val="center"/>
              <w:rPr>
                <w:sz w:val="22"/>
                <w:szCs w:val="22"/>
              </w:rPr>
            </w:pPr>
            <w:r>
              <w:rPr>
                <w:sz w:val="22"/>
                <w:szCs w:val="22"/>
              </w:rPr>
              <w:t>聚合危害</w:t>
            </w:r>
          </w:p>
        </w:tc>
        <w:tc>
          <w:tcPr>
            <w:tcW w:w="6260" w:type="dxa"/>
            <w:gridSpan w:val="4"/>
            <w:vAlign w:val="center"/>
          </w:tcPr>
          <w:p w14:paraId="2B2715A4">
            <w:pPr>
              <w:adjustRightInd w:val="0"/>
              <w:snapToGrid w:val="0"/>
              <w:jc w:val="center"/>
              <w:rPr>
                <w:sz w:val="22"/>
                <w:szCs w:val="22"/>
              </w:rPr>
            </w:pPr>
            <w:r>
              <w:rPr>
                <w:sz w:val="22"/>
                <w:szCs w:val="22"/>
              </w:rPr>
              <w:t>不会出现聚合危害</w:t>
            </w:r>
          </w:p>
        </w:tc>
      </w:tr>
      <w:tr w14:paraId="669E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6BA6E0F7">
            <w:pPr>
              <w:adjustRightInd w:val="0"/>
              <w:snapToGrid w:val="0"/>
              <w:jc w:val="center"/>
              <w:rPr>
                <w:sz w:val="22"/>
                <w:szCs w:val="22"/>
              </w:rPr>
            </w:pPr>
          </w:p>
        </w:tc>
        <w:tc>
          <w:tcPr>
            <w:tcW w:w="1547" w:type="dxa"/>
            <w:vAlign w:val="center"/>
          </w:tcPr>
          <w:p w14:paraId="7C1155C5">
            <w:pPr>
              <w:adjustRightInd w:val="0"/>
              <w:snapToGrid w:val="0"/>
              <w:jc w:val="center"/>
              <w:rPr>
                <w:sz w:val="22"/>
                <w:szCs w:val="22"/>
              </w:rPr>
            </w:pPr>
            <w:r>
              <w:rPr>
                <w:sz w:val="22"/>
                <w:szCs w:val="22"/>
              </w:rPr>
              <w:t>禁忌物</w:t>
            </w:r>
          </w:p>
        </w:tc>
        <w:tc>
          <w:tcPr>
            <w:tcW w:w="6260" w:type="dxa"/>
            <w:gridSpan w:val="4"/>
            <w:vAlign w:val="center"/>
          </w:tcPr>
          <w:p w14:paraId="40145217">
            <w:pPr>
              <w:adjustRightInd w:val="0"/>
              <w:snapToGrid w:val="0"/>
              <w:jc w:val="center"/>
              <w:rPr>
                <w:sz w:val="22"/>
                <w:szCs w:val="22"/>
              </w:rPr>
            </w:pPr>
            <w:r>
              <w:rPr>
                <w:sz w:val="22"/>
                <w:szCs w:val="22"/>
              </w:rPr>
              <w:t>强氧化剂，如氟、氯等</w:t>
            </w:r>
          </w:p>
        </w:tc>
      </w:tr>
      <w:tr w14:paraId="02FE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57CC6499">
            <w:pPr>
              <w:adjustRightInd w:val="0"/>
              <w:snapToGrid w:val="0"/>
              <w:jc w:val="center"/>
              <w:rPr>
                <w:sz w:val="22"/>
                <w:szCs w:val="22"/>
              </w:rPr>
            </w:pPr>
          </w:p>
        </w:tc>
        <w:tc>
          <w:tcPr>
            <w:tcW w:w="1547" w:type="dxa"/>
            <w:vAlign w:val="center"/>
          </w:tcPr>
          <w:p w14:paraId="573C1760">
            <w:pPr>
              <w:adjustRightInd w:val="0"/>
              <w:snapToGrid w:val="0"/>
              <w:jc w:val="center"/>
              <w:rPr>
                <w:sz w:val="22"/>
                <w:szCs w:val="22"/>
              </w:rPr>
            </w:pPr>
            <w:r>
              <w:rPr>
                <w:sz w:val="22"/>
                <w:szCs w:val="22"/>
              </w:rPr>
              <w:t>灭火方法</w:t>
            </w:r>
          </w:p>
        </w:tc>
        <w:tc>
          <w:tcPr>
            <w:tcW w:w="6260" w:type="dxa"/>
            <w:gridSpan w:val="4"/>
            <w:vAlign w:val="center"/>
          </w:tcPr>
          <w:p w14:paraId="375996E4">
            <w:pPr>
              <w:adjustRightInd w:val="0"/>
              <w:snapToGrid w:val="0"/>
              <w:jc w:val="left"/>
              <w:rPr>
                <w:sz w:val="22"/>
                <w:szCs w:val="22"/>
              </w:rPr>
            </w:pPr>
            <w:r>
              <w:rPr>
                <w:sz w:val="22"/>
                <w:szCs w:val="22"/>
              </w:rPr>
              <w:t>1、立即切断气源。2、若不能立即切断气源，则不允许熄灭正在燃烧的气体。3、喷水冷却容器，如果可能应将容器从火场移至空旷处。4、采用雾状水、泡沫灭火器和二氧化碳灭火器等。</w:t>
            </w:r>
          </w:p>
        </w:tc>
      </w:tr>
      <w:tr w14:paraId="7977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restart"/>
            <w:vAlign w:val="center"/>
          </w:tcPr>
          <w:p w14:paraId="77B139C2">
            <w:pPr>
              <w:adjustRightInd w:val="0"/>
              <w:snapToGrid w:val="0"/>
              <w:jc w:val="center"/>
              <w:rPr>
                <w:sz w:val="22"/>
                <w:szCs w:val="22"/>
              </w:rPr>
            </w:pPr>
            <w:r>
              <w:rPr>
                <w:sz w:val="22"/>
                <w:szCs w:val="22"/>
              </w:rPr>
              <w:t>包装</w:t>
            </w:r>
          </w:p>
          <w:p w14:paraId="6501B7F2">
            <w:pPr>
              <w:adjustRightInd w:val="0"/>
              <w:snapToGrid w:val="0"/>
              <w:jc w:val="center"/>
              <w:rPr>
                <w:sz w:val="22"/>
                <w:szCs w:val="22"/>
              </w:rPr>
            </w:pPr>
            <w:r>
              <w:rPr>
                <w:sz w:val="22"/>
                <w:szCs w:val="22"/>
              </w:rPr>
              <w:t>储运</w:t>
            </w:r>
          </w:p>
        </w:tc>
        <w:tc>
          <w:tcPr>
            <w:tcW w:w="1547" w:type="dxa"/>
            <w:vAlign w:val="center"/>
          </w:tcPr>
          <w:p w14:paraId="0DFAA20C">
            <w:pPr>
              <w:adjustRightInd w:val="0"/>
              <w:snapToGrid w:val="0"/>
              <w:jc w:val="center"/>
              <w:rPr>
                <w:sz w:val="22"/>
                <w:szCs w:val="22"/>
              </w:rPr>
            </w:pPr>
            <w:r>
              <w:rPr>
                <w:sz w:val="22"/>
                <w:szCs w:val="22"/>
              </w:rPr>
              <w:t>危险性类别</w:t>
            </w:r>
          </w:p>
        </w:tc>
        <w:tc>
          <w:tcPr>
            <w:tcW w:w="6260" w:type="dxa"/>
            <w:gridSpan w:val="4"/>
            <w:vAlign w:val="center"/>
          </w:tcPr>
          <w:p w14:paraId="632765BF">
            <w:pPr>
              <w:adjustRightInd w:val="0"/>
              <w:snapToGrid w:val="0"/>
              <w:jc w:val="center"/>
              <w:rPr>
                <w:sz w:val="22"/>
                <w:szCs w:val="22"/>
              </w:rPr>
            </w:pPr>
            <w:r>
              <w:rPr>
                <w:sz w:val="22"/>
                <w:szCs w:val="22"/>
              </w:rPr>
              <w:t>第2.1类(UN类别)易燃气体</w:t>
            </w:r>
          </w:p>
        </w:tc>
      </w:tr>
      <w:tr w14:paraId="6BBD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6F72D883">
            <w:pPr>
              <w:adjustRightInd w:val="0"/>
              <w:snapToGrid w:val="0"/>
              <w:jc w:val="center"/>
              <w:rPr>
                <w:sz w:val="22"/>
                <w:szCs w:val="22"/>
              </w:rPr>
            </w:pPr>
          </w:p>
        </w:tc>
        <w:tc>
          <w:tcPr>
            <w:tcW w:w="1547" w:type="dxa"/>
            <w:vAlign w:val="center"/>
          </w:tcPr>
          <w:p w14:paraId="23E8FD06">
            <w:pPr>
              <w:adjustRightInd w:val="0"/>
              <w:snapToGrid w:val="0"/>
              <w:jc w:val="center"/>
              <w:rPr>
                <w:sz w:val="22"/>
                <w:szCs w:val="22"/>
              </w:rPr>
            </w:pPr>
            <w:r>
              <w:rPr>
                <w:sz w:val="22"/>
                <w:szCs w:val="22"/>
              </w:rPr>
              <w:t>危险货物包装标志</w:t>
            </w:r>
          </w:p>
        </w:tc>
        <w:tc>
          <w:tcPr>
            <w:tcW w:w="6260" w:type="dxa"/>
            <w:gridSpan w:val="4"/>
            <w:vAlign w:val="center"/>
          </w:tcPr>
          <w:p w14:paraId="3C3F8428">
            <w:pPr>
              <w:adjustRightInd w:val="0"/>
              <w:snapToGrid w:val="0"/>
              <w:jc w:val="center"/>
              <w:rPr>
                <w:sz w:val="22"/>
                <w:szCs w:val="22"/>
              </w:rPr>
            </w:pPr>
            <w:r>
              <w:rPr>
                <w:sz w:val="22"/>
                <w:szCs w:val="22"/>
              </w:rPr>
              <w:t>/</w:t>
            </w:r>
          </w:p>
        </w:tc>
      </w:tr>
      <w:tr w14:paraId="5C49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Align w:val="center"/>
          </w:tcPr>
          <w:p w14:paraId="68007097">
            <w:pPr>
              <w:adjustRightInd w:val="0"/>
              <w:snapToGrid w:val="0"/>
              <w:jc w:val="center"/>
              <w:rPr>
                <w:sz w:val="22"/>
                <w:szCs w:val="22"/>
              </w:rPr>
            </w:pPr>
            <w:r>
              <w:rPr>
                <w:sz w:val="22"/>
                <w:szCs w:val="22"/>
              </w:rPr>
              <w:t>包</w:t>
            </w:r>
          </w:p>
          <w:p w14:paraId="73EC4D02">
            <w:pPr>
              <w:adjustRightInd w:val="0"/>
              <w:snapToGrid w:val="0"/>
              <w:jc w:val="center"/>
              <w:rPr>
                <w:sz w:val="22"/>
                <w:szCs w:val="22"/>
              </w:rPr>
            </w:pPr>
            <w:r>
              <w:rPr>
                <w:sz w:val="22"/>
                <w:szCs w:val="22"/>
              </w:rPr>
              <w:t>装</w:t>
            </w:r>
          </w:p>
          <w:p w14:paraId="4B53451B">
            <w:pPr>
              <w:adjustRightInd w:val="0"/>
              <w:snapToGrid w:val="0"/>
              <w:jc w:val="center"/>
              <w:rPr>
                <w:sz w:val="22"/>
                <w:szCs w:val="22"/>
              </w:rPr>
            </w:pPr>
            <w:r>
              <w:rPr>
                <w:sz w:val="22"/>
                <w:szCs w:val="22"/>
              </w:rPr>
              <w:t>储</w:t>
            </w:r>
          </w:p>
          <w:p w14:paraId="548EEE8E">
            <w:pPr>
              <w:adjustRightInd w:val="0"/>
              <w:snapToGrid w:val="0"/>
              <w:jc w:val="center"/>
              <w:rPr>
                <w:sz w:val="22"/>
                <w:szCs w:val="22"/>
              </w:rPr>
            </w:pPr>
            <w:r>
              <w:rPr>
                <w:sz w:val="22"/>
                <w:szCs w:val="22"/>
              </w:rPr>
              <w:t>运</w:t>
            </w:r>
          </w:p>
        </w:tc>
        <w:tc>
          <w:tcPr>
            <w:tcW w:w="1547" w:type="dxa"/>
            <w:vAlign w:val="center"/>
          </w:tcPr>
          <w:p w14:paraId="0A629DF3">
            <w:pPr>
              <w:adjustRightInd w:val="0"/>
              <w:snapToGrid w:val="0"/>
              <w:jc w:val="center"/>
              <w:rPr>
                <w:sz w:val="22"/>
                <w:szCs w:val="22"/>
              </w:rPr>
            </w:pPr>
            <w:r>
              <w:rPr>
                <w:sz w:val="22"/>
                <w:szCs w:val="22"/>
              </w:rPr>
              <w:t>储运注意事项</w:t>
            </w:r>
          </w:p>
        </w:tc>
        <w:tc>
          <w:tcPr>
            <w:tcW w:w="6260" w:type="dxa"/>
            <w:gridSpan w:val="4"/>
            <w:vAlign w:val="center"/>
          </w:tcPr>
          <w:p w14:paraId="04521706">
            <w:pPr>
              <w:adjustRightInd w:val="0"/>
              <w:snapToGrid w:val="0"/>
              <w:jc w:val="left"/>
              <w:rPr>
                <w:sz w:val="22"/>
                <w:szCs w:val="22"/>
              </w:rPr>
            </w:pPr>
            <w:r>
              <w:rPr>
                <w:sz w:val="22"/>
                <w:szCs w:val="22"/>
              </w:rPr>
              <w:t>1、储存于阴凉、通风的储存间内，且储存间内温度不宜超过30℃，储存间内的照明、通风设施应采用防爆型，开关设置于储存间外。2、罐储时，要有防火防爆措施，若为露天储罐夏季应有降温措施。3、储存间和储罐附近应配备相应品种和数量的消防器材。4、远离火种、热源，禁止使用易产生火花的机械设备和工具。5、防止阳光直射。6、与氧气、压缩空气、卤素(氟、氯、溴)等分开存放，切忌混储混运。7、验收时应注意品名，注意验瓶日期，先进储存的先发用。8、搬运时轻装轻卸，防止钢瓶及附件破损。</w:t>
            </w:r>
          </w:p>
        </w:tc>
      </w:tr>
      <w:tr w14:paraId="4E950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restart"/>
            <w:vAlign w:val="center"/>
          </w:tcPr>
          <w:p w14:paraId="1A2D9A5F">
            <w:pPr>
              <w:adjustRightInd w:val="0"/>
              <w:snapToGrid w:val="0"/>
              <w:jc w:val="center"/>
              <w:rPr>
                <w:sz w:val="22"/>
                <w:szCs w:val="22"/>
              </w:rPr>
            </w:pPr>
            <w:r>
              <w:rPr>
                <w:sz w:val="22"/>
                <w:szCs w:val="22"/>
              </w:rPr>
              <w:t>急</w:t>
            </w:r>
          </w:p>
          <w:p w14:paraId="6287FAC9">
            <w:pPr>
              <w:adjustRightInd w:val="0"/>
              <w:snapToGrid w:val="0"/>
              <w:jc w:val="center"/>
              <w:rPr>
                <w:sz w:val="22"/>
                <w:szCs w:val="22"/>
              </w:rPr>
            </w:pPr>
            <w:r>
              <w:rPr>
                <w:sz w:val="22"/>
                <w:szCs w:val="22"/>
              </w:rPr>
              <w:t>救</w:t>
            </w:r>
          </w:p>
        </w:tc>
        <w:tc>
          <w:tcPr>
            <w:tcW w:w="1547" w:type="dxa"/>
            <w:vAlign w:val="center"/>
          </w:tcPr>
          <w:p w14:paraId="15ACEDC7">
            <w:pPr>
              <w:adjustRightInd w:val="0"/>
              <w:snapToGrid w:val="0"/>
              <w:jc w:val="center"/>
              <w:rPr>
                <w:sz w:val="22"/>
                <w:szCs w:val="22"/>
              </w:rPr>
            </w:pPr>
            <w:r>
              <w:rPr>
                <w:sz w:val="22"/>
                <w:szCs w:val="22"/>
              </w:rPr>
              <w:t>皮肤接触</w:t>
            </w:r>
          </w:p>
        </w:tc>
        <w:tc>
          <w:tcPr>
            <w:tcW w:w="6260" w:type="dxa"/>
            <w:gridSpan w:val="4"/>
            <w:vAlign w:val="center"/>
          </w:tcPr>
          <w:p w14:paraId="262AAF54">
            <w:pPr>
              <w:adjustRightInd w:val="0"/>
              <w:snapToGrid w:val="0"/>
              <w:jc w:val="center"/>
              <w:rPr>
                <w:sz w:val="22"/>
                <w:szCs w:val="22"/>
              </w:rPr>
            </w:pPr>
            <w:r>
              <w:rPr>
                <w:sz w:val="22"/>
                <w:szCs w:val="22"/>
              </w:rPr>
              <w:t>若有冻伤，就医治疗。</w:t>
            </w:r>
          </w:p>
        </w:tc>
      </w:tr>
      <w:tr w14:paraId="6E97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45471063">
            <w:pPr>
              <w:adjustRightInd w:val="0"/>
              <w:snapToGrid w:val="0"/>
              <w:jc w:val="center"/>
              <w:rPr>
                <w:sz w:val="22"/>
                <w:szCs w:val="22"/>
              </w:rPr>
            </w:pPr>
          </w:p>
        </w:tc>
        <w:tc>
          <w:tcPr>
            <w:tcW w:w="1547" w:type="dxa"/>
            <w:vAlign w:val="center"/>
          </w:tcPr>
          <w:p w14:paraId="524C7A42">
            <w:pPr>
              <w:adjustRightInd w:val="0"/>
              <w:snapToGrid w:val="0"/>
              <w:jc w:val="center"/>
              <w:rPr>
                <w:sz w:val="22"/>
                <w:szCs w:val="22"/>
              </w:rPr>
            </w:pPr>
            <w:r>
              <w:rPr>
                <w:sz w:val="22"/>
                <w:szCs w:val="22"/>
              </w:rPr>
              <w:t>吸入</w:t>
            </w:r>
          </w:p>
        </w:tc>
        <w:tc>
          <w:tcPr>
            <w:tcW w:w="6260" w:type="dxa"/>
            <w:gridSpan w:val="4"/>
            <w:vAlign w:val="center"/>
          </w:tcPr>
          <w:p w14:paraId="5AFB1D14">
            <w:pPr>
              <w:adjustRightInd w:val="0"/>
              <w:snapToGrid w:val="0"/>
              <w:jc w:val="left"/>
              <w:rPr>
                <w:sz w:val="22"/>
                <w:szCs w:val="22"/>
              </w:rPr>
            </w:pPr>
            <w:r>
              <w:rPr>
                <w:sz w:val="22"/>
                <w:szCs w:val="22"/>
              </w:rPr>
              <w:t>1、迅速脱离现场至空气新鲜处。2、注意保暖，呼吸困难时给输氧。3、呼吸及心跳停止者立即进行人工呼吸和心脏按压术，并就医治疗。</w:t>
            </w:r>
          </w:p>
        </w:tc>
      </w:tr>
      <w:tr w14:paraId="213E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restart"/>
            <w:vAlign w:val="center"/>
          </w:tcPr>
          <w:p w14:paraId="403F7B9F">
            <w:pPr>
              <w:adjustRightInd w:val="0"/>
              <w:snapToGrid w:val="0"/>
              <w:jc w:val="center"/>
              <w:rPr>
                <w:sz w:val="22"/>
                <w:szCs w:val="22"/>
              </w:rPr>
            </w:pPr>
            <w:r>
              <w:rPr>
                <w:sz w:val="22"/>
                <w:szCs w:val="22"/>
              </w:rPr>
              <w:t>防</w:t>
            </w:r>
          </w:p>
          <w:p w14:paraId="5E7646B8">
            <w:pPr>
              <w:adjustRightInd w:val="0"/>
              <w:snapToGrid w:val="0"/>
              <w:jc w:val="center"/>
              <w:rPr>
                <w:sz w:val="22"/>
                <w:szCs w:val="22"/>
              </w:rPr>
            </w:pPr>
            <w:r>
              <w:rPr>
                <w:sz w:val="22"/>
                <w:szCs w:val="22"/>
              </w:rPr>
              <w:t>护</w:t>
            </w:r>
          </w:p>
          <w:p w14:paraId="7A83F761">
            <w:pPr>
              <w:adjustRightInd w:val="0"/>
              <w:snapToGrid w:val="0"/>
              <w:jc w:val="center"/>
              <w:rPr>
                <w:sz w:val="22"/>
                <w:szCs w:val="22"/>
              </w:rPr>
            </w:pPr>
            <w:r>
              <w:rPr>
                <w:sz w:val="22"/>
                <w:szCs w:val="22"/>
              </w:rPr>
              <w:t>措</w:t>
            </w:r>
          </w:p>
          <w:p w14:paraId="33B62BB7">
            <w:pPr>
              <w:adjustRightInd w:val="0"/>
              <w:snapToGrid w:val="0"/>
              <w:jc w:val="center"/>
              <w:rPr>
                <w:sz w:val="22"/>
                <w:szCs w:val="22"/>
              </w:rPr>
            </w:pPr>
            <w:r>
              <w:rPr>
                <w:sz w:val="22"/>
                <w:szCs w:val="22"/>
              </w:rPr>
              <w:t>施</w:t>
            </w:r>
          </w:p>
        </w:tc>
        <w:tc>
          <w:tcPr>
            <w:tcW w:w="1547" w:type="dxa"/>
            <w:vAlign w:val="center"/>
          </w:tcPr>
          <w:p w14:paraId="6EB7DF79">
            <w:pPr>
              <w:adjustRightInd w:val="0"/>
              <w:snapToGrid w:val="0"/>
              <w:jc w:val="center"/>
              <w:rPr>
                <w:sz w:val="22"/>
                <w:szCs w:val="22"/>
              </w:rPr>
            </w:pPr>
            <w:r>
              <w:rPr>
                <w:sz w:val="22"/>
                <w:szCs w:val="22"/>
              </w:rPr>
              <w:t>工程控制</w:t>
            </w:r>
          </w:p>
        </w:tc>
        <w:tc>
          <w:tcPr>
            <w:tcW w:w="6260" w:type="dxa"/>
            <w:gridSpan w:val="4"/>
            <w:vAlign w:val="center"/>
          </w:tcPr>
          <w:p w14:paraId="1F05168D">
            <w:pPr>
              <w:adjustRightInd w:val="0"/>
              <w:snapToGrid w:val="0"/>
              <w:jc w:val="center"/>
              <w:rPr>
                <w:sz w:val="22"/>
                <w:szCs w:val="22"/>
              </w:rPr>
            </w:pPr>
            <w:r>
              <w:rPr>
                <w:sz w:val="22"/>
                <w:szCs w:val="22"/>
              </w:rPr>
              <w:t>全面通风。</w:t>
            </w:r>
          </w:p>
        </w:tc>
      </w:tr>
      <w:tr w14:paraId="61628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04425664">
            <w:pPr>
              <w:adjustRightInd w:val="0"/>
              <w:snapToGrid w:val="0"/>
              <w:jc w:val="center"/>
              <w:rPr>
                <w:sz w:val="22"/>
                <w:szCs w:val="22"/>
              </w:rPr>
            </w:pPr>
          </w:p>
        </w:tc>
        <w:tc>
          <w:tcPr>
            <w:tcW w:w="1547" w:type="dxa"/>
            <w:vAlign w:val="center"/>
          </w:tcPr>
          <w:p w14:paraId="7FF8E5DC">
            <w:pPr>
              <w:adjustRightInd w:val="0"/>
              <w:snapToGrid w:val="0"/>
              <w:jc w:val="center"/>
              <w:rPr>
                <w:sz w:val="22"/>
                <w:szCs w:val="22"/>
              </w:rPr>
            </w:pPr>
            <w:r>
              <w:rPr>
                <w:sz w:val="22"/>
                <w:szCs w:val="22"/>
              </w:rPr>
              <w:t>呼吸系统防护</w:t>
            </w:r>
          </w:p>
        </w:tc>
        <w:tc>
          <w:tcPr>
            <w:tcW w:w="6260" w:type="dxa"/>
            <w:gridSpan w:val="4"/>
            <w:vAlign w:val="center"/>
          </w:tcPr>
          <w:p w14:paraId="0A971738">
            <w:pPr>
              <w:adjustRightInd w:val="0"/>
              <w:snapToGrid w:val="0"/>
              <w:jc w:val="left"/>
              <w:rPr>
                <w:sz w:val="22"/>
                <w:szCs w:val="22"/>
              </w:rPr>
            </w:pPr>
            <w:r>
              <w:rPr>
                <w:sz w:val="22"/>
                <w:szCs w:val="22"/>
              </w:rPr>
              <w:t>一般不需要特殊防护，高浓度环境中，可佩戴供气式呼吸器。</w:t>
            </w:r>
          </w:p>
        </w:tc>
      </w:tr>
      <w:tr w14:paraId="29C8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1B039B22">
            <w:pPr>
              <w:adjustRightInd w:val="0"/>
              <w:snapToGrid w:val="0"/>
              <w:jc w:val="center"/>
              <w:rPr>
                <w:sz w:val="22"/>
                <w:szCs w:val="22"/>
              </w:rPr>
            </w:pPr>
          </w:p>
        </w:tc>
        <w:tc>
          <w:tcPr>
            <w:tcW w:w="1547" w:type="dxa"/>
            <w:vAlign w:val="center"/>
          </w:tcPr>
          <w:p w14:paraId="746328C3">
            <w:pPr>
              <w:adjustRightInd w:val="0"/>
              <w:snapToGrid w:val="0"/>
              <w:jc w:val="center"/>
              <w:rPr>
                <w:sz w:val="22"/>
                <w:szCs w:val="22"/>
              </w:rPr>
            </w:pPr>
            <w:r>
              <w:rPr>
                <w:sz w:val="22"/>
                <w:szCs w:val="22"/>
              </w:rPr>
              <w:t>眼睛防护</w:t>
            </w:r>
          </w:p>
        </w:tc>
        <w:tc>
          <w:tcPr>
            <w:tcW w:w="6260" w:type="dxa"/>
            <w:gridSpan w:val="4"/>
            <w:vAlign w:val="center"/>
          </w:tcPr>
          <w:p w14:paraId="1B1FB0A3">
            <w:pPr>
              <w:adjustRightInd w:val="0"/>
              <w:snapToGrid w:val="0"/>
              <w:jc w:val="left"/>
              <w:rPr>
                <w:sz w:val="22"/>
                <w:szCs w:val="22"/>
              </w:rPr>
            </w:pPr>
            <w:r>
              <w:rPr>
                <w:sz w:val="22"/>
                <w:szCs w:val="22"/>
              </w:rPr>
              <w:t>一般不需要特殊防护，高浓度接触时可戴安全防护眼镜。</w:t>
            </w:r>
          </w:p>
        </w:tc>
      </w:tr>
      <w:tr w14:paraId="5C87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7B40A774">
            <w:pPr>
              <w:adjustRightInd w:val="0"/>
              <w:snapToGrid w:val="0"/>
              <w:jc w:val="center"/>
              <w:rPr>
                <w:sz w:val="22"/>
                <w:szCs w:val="22"/>
              </w:rPr>
            </w:pPr>
          </w:p>
        </w:tc>
        <w:tc>
          <w:tcPr>
            <w:tcW w:w="1547" w:type="dxa"/>
            <w:vAlign w:val="center"/>
          </w:tcPr>
          <w:p w14:paraId="7A64FC68">
            <w:pPr>
              <w:adjustRightInd w:val="0"/>
              <w:snapToGrid w:val="0"/>
              <w:jc w:val="center"/>
              <w:rPr>
                <w:sz w:val="22"/>
                <w:szCs w:val="22"/>
              </w:rPr>
            </w:pPr>
            <w:r>
              <w:rPr>
                <w:sz w:val="22"/>
                <w:szCs w:val="22"/>
              </w:rPr>
              <w:t>手防护</w:t>
            </w:r>
          </w:p>
        </w:tc>
        <w:tc>
          <w:tcPr>
            <w:tcW w:w="6260" w:type="dxa"/>
            <w:gridSpan w:val="4"/>
            <w:vAlign w:val="center"/>
          </w:tcPr>
          <w:p w14:paraId="0F3417F2">
            <w:pPr>
              <w:adjustRightInd w:val="0"/>
              <w:snapToGrid w:val="0"/>
              <w:jc w:val="left"/>
              <w:rPr>
                <w:sz w:val="22"/>
                <w:szCs w:val="22"/>
              </w:rPr>
            </w:pPr>
            <w:r>
              <w:rPr>
                <w:sz w:val="22"/>
                <w:szCs w:val="22"/>
              </w:rPr>
              <w:t>一般不需要特殊防护，高浓度接触可戴防护手套。</w:t>
            </w:r>
          </w:p>
        </w:tc>
      </w:tr>
      <w:tr w14:paraId="6FF64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Merge w:val="continue"/>
            <w:vAlign w:val="center"/>
          </w:tcPr>
          <w:p w14:paraId="5105BA41">
            <w:pPr>
              <w:adjustRightInd w:val="0"/>
              <w:snapToGrid w:val="0"/>
              <w:jc w:val="center"/>
              <w:rPr>
                <w:sz w:val="22"/>
                <w:szCs w:val="22"/>
              </w:rPr>
            </w:pPr>
          </w:p>
        </w:tc>
        <w:tc>
          <w:tcPr>
            <w:tcW w:w="1547" w:type="dxa"/>
            <w:vAlign w:val="center"/>
          </w:tcPr>
          <w:p w14:paraId="63C7343D">
            <w:pPr>
              <w:adjustRightInd w:val="0"/>
              <w:snapToGrid w:val="0"/>
              <w:jc w:val="center"/>
              <w:rPr>
                <w:sz w:val="22"/>
                <w:szCs w:val="22"/>
              </w:rPr>
            </w:pPr>
            <w:r>
              <w:rPr>
                <w:sz w:val="22"/>
                <w:szCs w:val="22"/>
              </w:rPr>
              <w:t>其它</w:t>
            </w:r>
          </w:p>
        </w:tc>
        <w:tc>
          <w:tcPr>
            <w:tcW w:w="6260" w:type="dxa"/>
            <w:gridSpan w:val="4"/>
            <w:vAlign w:val="center"/>
          </w:tcPr>
          <w:p w14:paraId="6C2C0630">
            <w:pPr>
              <w:adjustRightInd w:val="0"/>
              <w:snapToGrid w:val="0"/>
              <w:jc w:val="left"/>
              <w:rPr>
                <w:sz w:val="22"/>
                <w:szCs w:val="22"/>
              </w:rPr>
            </w:pPr>
            <w:r>
              <w:rPr>
                <w:sz w:val="22"/>
                <w:szCs w:val="22"/>
              </w:rPr>
              <w:t>1、工作现场严禁吸烟；2、避免长期反复接触；3、进入罐区或其它高浓度区作业时须有人监护。</w:t>
            </w:r>
          </w:p>
        </w:tc>
      </w:tr>
      <w:tr w14:paraId="31E21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 w:hRule="atLeast"/>
          <w:jc w:val="center"/>
        </w:trPr>
        <w:tc>
          <w:tcPr>
            <w:tcW w:w="555" w:type="dxa"/>
            <w:vAlign w:val="center"/>
          </w:tcPr>
          <w:p w14:paraId="56FCC823">
            <w:pPr>
              <w:adjustRightInd w:val="0"/>
              <w:snapToGrid w:val="0"/>
              <w:jc w:val="center"/>
              <w:rPr>
                <w:sz w:val="22"/>
                <w:szCs w:val="22"/>
              </w:rPr>
            </w:pPr>
            <w:r>
              <w:rPr>
                <w:sz w:val="22"/>
                <w:szCs w:val="22"/>
              </w:rPr>
              <w:t>泄</w:t>
            </w:r>
          </w:p>
          <w:p w14:paraId="3A96D77C">
            <w:pPr>
              <w:adjustRightInd w:val="0"/>
              <w:snapToGrid w:val="0"/>
              <w:jc w:val="center"/>
              <w:rPr>
                <w:sz w:val="22"/>
                <w:szCs w:val="22"/>
              </w:rPr>
            </w:pPr>
            <w:r>
              <w:rPr>
                <w:sz w:val="22"/>
                <w:szCs w:val="22"/>
              </w:rPr>
              <w:t>漏</w:t>
            </w:r>
          </w:p>
          <w:p w14:paraId="47D571AF">
            <w:pPr>
              <w:adjustRightInd w:val="0"/>
              <w:snapToGrid w:val="0"/>
              <w:jc w:val="center"/>
              <w:rPr>
                <w:sz w:val="22"/>
                <w:szCs w:val="22"/>
              </w:rPr>
            </w:pPr>
            <w:r>
              <w:rPr>
                <w:sz w:val="22"/>
                <w:szCs w:val="22"/>
              </w:rPr>
              <w:t>处</w:t>
            </w:r>
          </w:p>
          <w:p w14:paraId="627724E8">
            <w:pPr>
              <w:adjustRightInd w:val="0"/>
              <w:snapToGrid w:val="0"/>
              <w:jc w:val="center"/>
              <w:rPr>
                <w:sz w:val="22"/>
                <w:szCs w:val="22"/>
              </w:rPr>
            </w:pPr>
            <w:r>
              <w:rPr>
                <w:sz w:val="22"/>
                <w:szCs w:val="22"/>
              </w:rPr>
              <w:t>理</w:t>
            </w:r>
          </w:p>
        </w:tc>
        <w:tc>
          <w:tcPr>
            <w:tcW w:w="7807" w:type="dxa"/>
            <w:gridSpan w:val="5"/>
            <w:vAlign w:val="center"/>
          </w:tcPr>
          <w:p w14:paraId="0FCFCC6C">
            <w:pPr>
              <w:adjustRightInd w:val="0"/>
              <w:snapToGrid w:val="0"/>
              <w:jc w:val="left"/>
              <w:rPr>
                <w:sz w:val="22"/>
                <w:szCs w:val="22"/>
              </w:rPr>
            </w:pPr>
            <w:r>
              <w:rPr>
                <w:sz w:val="22"/>
                <w:szCs w:val="22"/>
              </w:rPr>
              <w:t>1、切断气源，喷雾状水稀释、降温，抽排(室内)或强力通风(室外)。2、切断火源，迅速撤离泄漏污染区人员至上风处，并隔离直至气体散尽。3、应急处理人员应戴自给式呼吸器，穿一般消防防护服。4、如有可能，应将漏出气用排风机送至空旷地方或装设适当喷头烧掉；也可以将漏气的容器移至空旷处，注意通风。5、漏气容器不能再用，且要经过技术处理以清除可能剩下的气体。</w:t>
            </w:r>
          </w:p>
        </w:tc>
      </w:tr>
    </w:tbl>
    <w:p w14:paraId="491479D6">
      <w:pPr>
        <w:pStyle w:val="1379"/>
        <w:ind w:firstLine="440"/>
      </w:pPr>
    </w:p>
    <w:p w14:paraId="3192E561">
      <w:pPr>
        <w:tabs>
          <w:tab w:val="right" w:pos="8730"/>
        </w:tabs>
        <w:adjustRightInd w:val="0"/>
        <w:snapToGrid w:val="0"/>
        <w:ind w:firstLine="560"/>
        <w:jc w:val="center"/>
        <w:rPr>
          <w:kern w:val="0"/>
          <w:sz w:val="24"/>
        </w:rPr>
      </w:pPr>
      <w:r>
        <w:rPr>
          <w:sz w:val="26"/>
          <w:szCs w:val="26"/>
          <w:lang w:bidi="ar"/>
        </w:rPr>
        <w:t>表7.1-2  乙烷理化性质特性表</w:t>
      </w:r>
    </w:p>
    <w:tbl>
      <w:tblPr>
        <w:tblStyle w:val="88"/>
        <w:tblW w:w="8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4"/>
        <w:gridCol w:w="2159"/>
        <w:gridCol w:w="1692"/>
        <w:gridCol w:w="2062"/>
        <w:gridCol w:w="2024"/>
      </w:tblGrid>
      <w:tr w14:paraId="2160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restart"/>
            <w:vAlign w:val="center"/>
          </w:tcPr>
          <w:p w14:paraId="6B767D86">
            <w:pPr>
              <w:spacing w:line="0" w:lineRule="atLeast"/>
              <w:rPr>
                <w:sz w:val="22"/>
                <w:szCs w:val="22"/>
              </w:rPr>
            </w:pPr>
            <w:r>
              <w:rPr>
                <w:sz w:val="22"/>
                <w:szCs w:val="22"/>
                <w:lang w:bidi="ar"/>
              </w:rPr>
              <w:t>标</w:t>
            </w:r>
          </w:p>
          <w:p w14:paraId="3BBA5BDD">
            <w:pPr>
              <w:spacing w:line="0" w:lineRule="atLeast"/>
              <w:rPr>
                <w:sz w:val="22"/>
                <w:szCs w:val="22"/>
              </w:rPr>
            </w:pPr>
            <w:r>
              <w:rPr>
                <w:sz w:val="22"/>
                <w:szCs w:val="22"/>
                <w:lang w:bidi="ar"/>
              </w:rPr>
              <w:t>识</w:t>
            </w:r>
          </w:p>
        </w:tc>
        <w:tc>
          <w:tcPr>
            <w:tcW w:w="3851" w:type="dxa"/>
            <w:gridSpan w:val="2"/>
            <w:vAlign w:val="center"/>
          </w:tcPr>
          <w:p w14:paraId="7763138F">
            <w:pPr>
              <w:spacing w:line="0" w:lineRule="atLeast"/>
              <w:rPr>
                <w:sz w:val="22"/>
                <w:szCs w:val="22"/>
              </w:rPr>
            </w:pPr>
            <w:r>
              <w:rPr>
                <w:sz w:val="22"/>
                <w:szCs w:val="22"/>
                <w:lang w:bidi="ar"/>
              </w:rPr>
              <w:t>中文名：乙烷</w:t>
            </w:r>
          </w:p>
        </w:tc>
        <w:tc>
          <w:tcPr>
            <w:tcW w:w="4086" w:type="dxa"/>
            <w:gridSpan w:val="2"/>
            <w:vAlign w:val="center"/>
          </w:tcPr>
          <w:p w14:paraId="2EF252D5">
            <w:pPr>
              <w:spacing w:line="0" w:lineRule="atLeast"/>
              <w:rPr>
                <w:sz w:val="22"/>
                <w:szCs w:val="22"/>
              </w:rPr>
            </w:pPr>
            <w:r>
              <w:rPr>
                <w:sz w:val="22"/>
                <w:szCs w:val="22"/>
                <w:lang w:bidi="ar"/>
              </w:rPr>
              <w:t xml:space="preserve">英文名：propane  </w:t>
            </w:r>
          </w:p>
        </w:tc>
      </w:tr>
      <w:tr w14:paraId="37B2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vAlign w:val="center"/>
          </w:tcPr>
          <w:p w14:paraId="0B8960E3">
            <w:pPr>
              <w:rPr>
                <w:sz w:val="20"/>
              </w:rPr>
            </w:pPr>
          </w:p>
        </w:tc>
        <w:tc>
          <w:tcPr>
            <w:tcW w:w="2159" w:type="dxa"/>
            <w:vAlign w:val="center"/>
          </w:tcPr>
          <w:p w14:paraId="3056A714">
            <w:pPr>
              <w:spacing w:line="0" w:lineRule="atLeast"/>
              <w:rPr>
                <w:sz w:val="22"/>
                <w:szCs w:val="22"/>
                <w:vertAlign w:val="subscript"/>
              </w:rPr>
            </w:pPr>
            <w:r>
              <w:rPr>
                <w:sz w:val="22"/>
                <w:szCs w:val="22"/>
                <w:lang w:bidi="ar"/>
              </w:rPr>
              <w:t>分子式：CH</w:t>
            </w:r>
            <w:r>
              <w:rPr>
                <w:sz w:val="22"/>
                <w:szCs w:val="22"/>
                <w:vertAlign w:val="subscript"/>
                <w:lang w:bidi="ar"/>
              </w:rPr>
              <w:t>3</w:t>
            </w:r>
            <w:r>
              <w:rPr>
                <w:sz w:val="22"/>
                <w:szCs w:val="22"/>
                <w:lang w:bidi="ar"/>
              </w:rPr>
              <w:t>CH</w:t>
            </w:r>
            <w:r>
              <w:rPr>
                <w:sz w:val="22"/>
                <w:szCs w:val="22"/>
                <w:vertAlign w:val="subscript"/>
                <w:lang w:bidi="ar"/>
              </w:rPr>
              <w:t>3</w:t>
            </w:r>
          </w:p>
        </w:tc>
        <w:tc>
          <w:tcPr>
            <w:tcW w:w="1692" w:type="dxa"/>
            <w:vAlign w:val="center"/>
          </w:tcPr>
          <w:p w14:paraId="0754701A">
            <w:pPr>
              <w:spacing w:line="0" w:lineRule="atLeast"/>
              <w:rPr>
                <w:sz w:val="22"/>
                <w:szCs w:val="22"/>
              </w:rPr>
            </w:pPr>
            <w:r>
              <w:rPr>
                <w:sz w:val="22"/>
                <w:szCs w:val="22"/>
                <w:lang w:bidi="ar"/>
              </w:rPr>
              <w:t>分子量：30.07</w:t>
            </w:r>
          </w:p>
        </w:tc>
        <w:tc>
          <w:tcPr>
            <w:tcW w:w="2062" w:type="dxa"/>
            <w:vAlign w:val="center"/>
          </w:tcPr>
          <w:p w14:paraId="4D5D5403">
            <w:pPr>
              <w:spacing w:line="0" w:lineRule="atLeast"/>
              <w:rPr>
                <w:sz w:val="22"/>
                <w:szCs w:val="22"/>
              </w:rPr>
            </w:pPr>
            <w:r>
              <w:rPr>
                <w:sz w:val="22"/>
                <w:szCs w:val="22"/>
                <w:lang w:bidi="ar"/>
              </w:rPr>
              <w:t>CAS号：74-84-0</w:t>
            </w:r>
          </w:p>
        </w:tc>
        <w:tc>
          <w:tcPr>
            <w:tcW w:w="2024" w:type="dxa"/>
            <w:vAlign w:val="center"/>
          </w:tcPr>
          <w:p w14:paraId="106CC445">
            <w:pPr>
              <w:spacing w:line="0" w:lineRule="atLeast"/>
              <w:rPr>
                <w:sz w:val="22"/>
                <w:szCs w:val="22"/>
              </w:rPr>
            </w:pPr>
            <w:r>
              <w:rPr>
                <w:sz w:val="22"/>
                <w:szCs w:val="22"/>
                <w:lang w:bidi="ar"/>
              </w:rPr>
              <w:t>化学类别：烷烃</w:t>
            </w:r>
          </w:p>
        </w:tc>
      </w:tr>
      <w:tr w14:paraId="2327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vAlign w:val="center"/>
          </w:tcPr>
          <w:p w14:paraId="4C9A6638">
            <w:pPr>
              <w:rPr>
                <w:sz w:val="20"/>
              </w:rPr>
            </w:pPr>
          </w:p>
        </w:tc>
        <w:tc>
          <w:tcPr>
            <w:tcW w:w="3851" w:type="dxa"/>
            <w:gridSpan w:val="2"/>
            <w:vAlign w:val="center"/>
          </w:tcPr>
          <w:p w14:paraId="5A504DFB">
            <w:pPr>
              <w:spacing w:line="0" w:lineRule="atLeast"/>
              <w:rPr>
                <w:sz w:val="22"/>
                <w:szCs w:val="22"/>
              </w:rPr>
            </w:pPr>
            <w:r>
              <w:rPr>
                <w:sz w:val="22"/>
                <w:szCs w:val="22"/>
                <w:lang w:bidi="ar"/>
              </w:rPr>
              <w:t>危险性类别：第2.1类 易燃气体</w:t>
            </w:r>
          </w:p>
        </w:tc>
        <w:tc>
          <w:tcPr>
            <w:tcW w:w="2062" w:type="dxa"/>
            <w:vAlign w:val="center"/>
          </w:tcPr>
          <w:p w14:paraId="55CC75A4">
            <w:pPr>
              <w:spacing w:line="0" w:lineRule="atLeast"/>
              <w:rPr>
                <w:sz w:val="22"/>
                <w:szCs w:val="22"/>
              </w:rPr>
            </w:pPr>
            <w:r>
              <w:rPr>
                <w:sz w:val="22"/>
                <w:szCs w:val="22"/>
                <w:lang w:bidi="ar"/>
              </w:rPr>
              <w:t>危规号：21011</w:t>
            </w:r>
          </w:p>
        </w:tc>
        <w:tc>
          <w:tcPr>
            <w:tcW w:w="2024" w:type="dxa"/>
            <w:vAlign w:val="center"/>
          </w:tcPr>
          <w:p w14:paraId="1FC9FE28">
            <w:pPr>
              <w:spacing w:line="0" w:lineRule="atLeast"/>
              <w:rPr>
                <w:sz w:val="22"/>
                <w:szCs w:val="22"/>
              </w:rPr>
            </w:pPr>
            <w:r>
              <w:rPr>
                <w:sz w:val="22"/>
                <w:szCs w:val="22"/>
                <w:lang w:bidi="ar"/>
              </w:rPr>
              <w:t>UN编号：1035</w:t>
            </w:r>
          </w:p>
        </w:tc>
      </w:tr>
      <w:tr w14:paraId="1FB6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restart"/>
            <w:vAlign w:val="center"/>
          </w:tcPr>
          <w:p w14:paraId="4EFD9AED">
            <w:pPr>
              <w:spacing w:line="0" w:lineRule="atLeast"/>
              <w:jc w:val="center"/>
              <w:rPr>
                <w:sz w:val="22"/>
                <w:szCs w:val="22"/>
              </w:rPr>
            </w:pPr>
            <w:r>
              <w:rPr>
                <w:sz w:val="22"/>
                <w:szCs w:val="22"/>
                <w:lang w:bidi="ar"/>
              </w:rPr>
              <w:t>理</w:t>
            </w:r>
          </w:p>
          <w:p w14:paraId="722D4645">
            <w:pPr>
              <w:spacing w:line="0" w:lineRule="atLeast"/>
              <w:jc w:val="center"/>
              <w:rPr>
                <w:sz w:val="22"/>
                <w:szCs w:val="22"/>
              </w:rPr>
            </w:pPr>
            <w:r>
              <w:rPr>
                <w:sz w:val="22"/>
                <w:szCs w:val="22"/>
                <w:lang w:bidi="ar"/>
              </w:rPr>
              <w:t>化</w:t>
            </w:r>
          </w:p>
          <w:p w14:paraId="4DEDAC8B">
            <w:pPr>
              <w:spacing w:line="0" w:lineRule="atLeast"/>
              <w:jc w:val="center"/>
              <w:rPr>
                <w:sz w:val="22"/>
                <w:szCs w:val="22"/>
              </w:rPr>
            </w:pPr>
            <w:r>
              <w:rPr>
                <w:sz w:val="22"/>
                <w:szCs w:val="22"/>
                <w:lang w:bidi="ar"/>
              </w:rPr>
              <w:t>性</w:t>
            </w:r>
          </w:p>
          <w:p w14:paraId="3201247E">
            <w:pPr>
              <w:spacing w:line="0" w:lineRule="atLeast"/>
              <w:jc w:val="center"/>
              <w:rPr>
                <w:sz w:val="22"/>
                <w:szCs w:val="22"/>
              </w:rPr>
            </w:pPr>
            <w:r>
              <w:rPr>
                <w:sz w:val="22"/>
                <w:szCs w:val="22"/>
                <w:lang w:bidi="ar"/>
              </w:rPr>
              <w:t>质</w:t>
            </w:r>
          </w:p>
        </w:tc>
        <w:tc>
          <w:tcPr>
            <w:tcW w:w="7937" w:type="dxa"/>
            <w:gridSpan w:val="4"/>
            <w:vAlign w:val="center"/>
          </w:tcPr>
          <w:p w14:paraId="70E1C100">
            <w:pPr>
              <w:spacing w:line="0" w:lineRule="atLeast"/>
              <w:rPr>
                <w:sz w:val="22"/>
                <w:szCs w:val="22"/>
              </w:rPr>
            </w:pPr>
            <w:r>
              <w:rPr>
                <w:sz w:val="22"/>
                <w:szCs w:val="22"/>
                <w:lang w:bidi="ar"/>
              </w:rPr>
              <w:t>性状与用途：无色气体。纯品无臭。</w:t>
            </w:r>
          </w:p>
        </w:tc>
      </w:tr>
      <w:tr w14:paraId="67657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vAlign w:val="center"/>
          </w:tcPr>
          <w:p w14:paraId="24E7CF8A">
            <w:pPr>
              <w:rPr>
                <w:sz w:val="20"/>
              </w:rPr>
            </w:pPr>
          </w:p>
        </w:tc>
        <w:tc>
          <w:tcPr>
            <w:tcW w:w="3851" w:type="dxa"/>
            <w:gridSpan w:val="2"/>
            <w:vAlign w:val="center"/>
          </w:tcPr>
          <w:p w14:paraId="6C11B9FF">
            <w:pPr>
              <w:spacing w:line="0" w:lineRule="atLeast"/>
              <w:rPr>
                <w:sz w:val="22"/>
                <w:szCs w:val="22"/>
              </w:rPr>
            </w:pPr>
            <w:r>
              <w:rPr>
                <w:sz w:val="22"/>
                <w:szCs w:val="22"/>
                <w:lang w:bidi="ar"/>
              </w:rPr>
              <w:t xml:space="preserve">熔点（℃）：-183 </w:t>
            </w:r>
          </w:p>
          <w:p w14:paraId="7F1955CE">
            <w:pPr>
              <w:spacing w:line="0" w:lineRule="atLeast"/>
              <w:rPr>
                <w:sz w:val="22"/>
                <w:szCs w:val="22"/>
              </w:rPr>
            </w:pPr>
            <w:r>
              <w:rPr>
                <w:sz w:val="22"/>
                <w:szCs w:val="22"/>
                <w:lang w:bidi="ar"/>
              </w:rPr>
              <w:t>沸点（℃）：-88.6</w:t>
            </w:r>
          </w:p>
          <w:p w14:paraId="09FDCEE1">
            <w:pPr>
              <w:spacing w:line="0" w:lineRule="atLeast"/>
              <w:rPr>
                <w:sz w:val="22"/>
                <w:szCs w:val="22"/>
              </w:rPr>
            </w:pPr>
            <w:r>
              <w:rPr>
                <w:sz w:val="22"/>
                <w:szCs w:val="22"/>
                <w:lang w:bidi="ar"/>
              </w:rPr>
              <w:t>相对密度（水=1）：0.45（0℃）</w:t>
            </w:r>
          </w:p>
          <w:p w14:paraId="68F637C5">
            <w:pPr>
              <w:spacing w:line="0" w:lineRule="atLeast"/>
              <w:rPr>
                <w:sz w:val="22"/>
                <w:szCs w:val="22"/>
              </w:rPr>
            </w:pPr>
            <w:r>
              <w:rPr>
                <w:sz w:val="22"/>
                <w:szCs w:val="22"/>
                <w:lang w:bidi="ar"/>
              </w:rPr>
              <w:t>相对密度(空气=1)：1.05</w:t>
            </w:r>
          </w:p>
          <w:p w14:paraId="48C67CF2">
            <w:pPr>
              <w:spacing w:line="0" w:lineRule="atLeast"/>
              <w:rPr>
                <w:sz w:val="22"/>
                <w:szCs w:val="22"/>
              </w:rPr>
            </w:pPr>
            <w:r>
              <w:rPr>
                <w:rFonts w:hint="eastAsia"/>
                <w:sz w:val="22"/>
                <w:szCs w:val="22"/>
                <w:lang w:bidi="ar"/>
              </w:rPr>
              <w:t>饱和蒸汽</w:t>
            </w:r>
            <w:r>
              <w:rPr>
                <w:sz w:val="22"/>
                <w:szCs w:val="22"/>
                <w:lang w:bidi="ar"/>
              </w:rPr>
              <w:t>压(kpa)：3850（20℃）</w:t>
            </w:r>
          </w:p>
          <w:p w14:paraId="01B43DD7">
            <w:pPr>
              <w:spacing w:line="0" w:lineRule="atLeast"/>
              <w:rPr>
                <w:sz w:val="22"/>
                <w:szCs w:val="22"/>
              </w:rPr>
            </w:pPr>
            <w:r>
              <w:rPr>
                <w:sz w:val="22"/>
                <w:szCs w:val="22"/>
                <w:lang w:bidi="ar"/>
              </w:rPr>
              <w:t>辛醇/水分配系数的对数值</w:t>
            </w:r>
          </w:p>
        </w:tc>
        <w:tc>
          <w:tcPr>
            <w:tcW w:w="4086" w:type="dxa"/>
            <w:gridSpan w:val="2"/>
            <w:vAlign w:val="center"/>
          </w:tcPr>
          <w:p w14:paraId="7AB5001F">
            <w:pPr>
              <w:spacing w:line="0" w:lineRule="atLeast"/>
              <w:rPr>
                <w:sz w:val="22"/>
                <w:szCs w:val="22"/>
              </w:rPr>
            </w:pPr>
            <w:r>
              <w:rPr>
                <w:sz w:val="22"/>
                <w:szCs w:val="22"/>
                <w:lang w:bidi="ar"/>
              </w:rPr>
              <w:t>燃烧热（kJ.mol）：1558.3</w:t>
            </w:r>
          </w:p>
          <w:p w14:paraId="0CD2AD1D">
            <w:pPr>
              <w:spacing w:line="0" w:lineRule="atLeast"/>
              <w:rPr>
                <w:sz w:val="22"/>
                <w:szCs w:val="22"/>
              </w:rPr>
            </w:pPr>
            <w:r>
              <w:rPr>
                <w:sz w:val="22"/>
                <w:szCs w:val="22"/>
                <w:lang w:bidi="ar"/>
              </w:rPr>
              <w:t>临界温度(℃)：32.2</w:t>
            </w:r>
          </w:p>
          <w:p w14:paraId="0947E1B8">
            <w:pPr>
              <w:spacing w:line="0" w:lineRule="atLeast"/>
              <w:rPr>
                <w:sz w:val="22"/>
                <w:szCs w:val="22"/>
              </w:rPr>
            </w:pPr>
            <w:r>
              <w:rPr>
                <w:sz w:val="22"/>
                <w:szCs w:val="22"/>
                <w:lang w:bidi="ar"/>
              </w:rPr>
              <w:t>临界压力(Mpa)：4.87</w:t>
            </w:r>
          </w:p>
          <w:p w14:paraId="25AAFB74">
            <w:pPr>
              <w:spacing w:line="0" w:lineRule="atLeast"/>
              <w:rPr>
                <w:sz w:val="22"/>
                <w:szCs w:val="22"/>
              </w:rPr>
            </w:pPr>
            <w:r>
              <w:rPr>
                <w:sz w:val="22"/>
                <w:szCs w:val="22"/>
                <w:lang w:bidi="ar"/>
              </w:rPr>
              <w:t>溶解性：不溶于水，溶于乙醇、乙醚、丙酮、苯。</w:t>
            </w:r>
          </w:p>
          <w:p w14:paraId="2B7D600B">
            <w:pPr>
              <w:spacing w:line="0" w:lineRule="atLeast"/>
              <w:rPr>
                <w:sz w:val="22"/>
                <w:szCs w:val="22"/>
              </w:rPr>
            </w:pPr>
            <w:r>
              <w:rPr>
                <w:sz w:val="22"/>
                <w:szCs w:val="22"/>
                <w:lang w:bidi="ar"/>
              </w:rPr>
              <w:t>最小点火能（mJ）：0.31</w:t>
            </w:r>
          </w:p>
          <w:p w14:paraId="03DA43BE">
            <w:pPr>
              <w:spacing w:line="0" w:lineRule="atLeast"/>
              <w:rPr>
                <w:sz w:val="22"/>
                <w:szCs w:val="22"/>
              </w:rPr>
            </w:pPr>
            <w:r>
              <w:rPr>
                <w:sz w:val="22"/>
                <w:szCs w:val="22"/>
                <w:lang w:bidi="ar"/>
              </w:rPr>
              <w:t>最大爆炸压力：0.843</w:t>
            </w:r>
          </w:p>
        </w:tc>
      </w:tr>
      <w:tr w14:paraId="388F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restart"/>
            <w:vAlign w:val="center"/>
          </w:tcPr>
          <w:p w14:paraId="3A8FACE6">
            <w:pPr>
              <w:spacing w:line="0" w:lineRule="atLeast"/>
              <w:jc w:val="center"/>
              <w:rPr>
                <w:sz w:val="22"/>
                <w:szCs w:val="22"/>
              </w:rPr>
            </w:pPr>
            <w:r>
              <w:rPr>
                <w:sz w:val="22"/>
                <w:szCs w:val="22"/>
                <w:lang w:bidi="ar"/>
              </w:rPr>
              <w:t>燃爆特性与消防</w:t>
            </w:r>
          </w:p>
        </w:tc>
        <w:tc>
          <w:tcPr>
            <w:tcW w:w="3851" w:type="dxa"/>
            <w:gridSpan w:val="2"/>
            <w:vAlign w:val="center"/>
          </w:tcPr>
          <w:p w14:paraId="34E8CEBE">
            <w:pPr>
              <w:spacing w:line="0" w:lineRule="atLeast"/>
              <w:rPr>
                <w:sz w:val="22"/>
                <w:szCs w:val="22"/>
              </w:rPr>
            </w:pPr>
            <w:r>
              <w:rPr>
                <w:sz w:val="22"/>
                <w:szCs w:val="22"/>
                <w:lang w:bidi="ar"/>
              </w:rPr>
              <w:t>燃烧性：易燃     闪点：-135</w:t>
            </w:r>
          </w:p>
        </w:tc>
        <w:tc>
          <w:tcPr>
            <w:tcW w:w="4086" w:type="dxa"/>
            <w:gridSpan w:val="2"/>
            <w:vAlign w:val="center"/>
          </w:tcPr>
          <w:p w14:paraId="62502B09">
            <w:pPr>
              <w:spacing w:line="0" w:lineRule="atLeast"/>
              <w:rPr>
                <w:sz w:val="22"/>
                <w:szCs w:val="22"/>
              </w:rPr>
            </w:pPr>
            <w:r>
              <w:rPr>
                <w:sz w:val="22"/>
                <w:szCs w:val="22"/>
                <w:lang w:bidi="ar"/>
              </w:rPr>
              <w:t>稳定性：稳定      聚合危害： 不聚合</w:t>
            </w:r>
          </w:p>
        </w:tc>
      </w:tr>
      <w:tr w14:paraId="565F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vAlign w:val="center"/>
          </w:tcPr>
          <w:p w14:paraId="00CCCA3A">
            <w:pPr>
              <w:rPr>
                <w:sz w:val="20"/>
              </w:rPr>
            </w:pPr>
          </w:p>
        </w:tc>
        <w:tc>
          <w:tcPr>
            <w:tcW w:w="3851" w:type="dxa"/>
            <w:gridSpan w:val="2"/>
            <w:vAlign w:val="center"/>
          </w:tcPr>
          <w:p w14:paraId="4B76C5CC">
            <w:pPr>
              <w:spacing w:line="0" w:lineRule="atLeast"/>
              <w:rPr>
                <w:sz w:val="22"/>
                <w:szCs w:val="22"/>
              </w:rPr>
            </w:pPr>
            <w:r>
              <w:rPr>
                <w:sz w:val="22"/>
                <w:szCs w:val="22"/>
                <w:lang w:bidi="ar"/>
              </w:rPr>
              <w:t>爆炸极限下限：3.0  爆炸极限上限：12.5</w:t>
            </w:r>
          </w:p>
        </w:tc>
        <w:tc>
          <w:tcPr>
            <w:tcW w:w="4086" w:type="dxa"/>
            <w:gridSpan w:val="2"/>
            <w:vAlign w:val="center"/>
          </w:tcPr>
          <w:p w14:paraId="268EFBD4">
            <w:pPr>
              <w:spacing w:line="0" w:lineRule="atLeast"/>
              <w:rPr>
                <w:sz w:val="22"/>
                <w:szCs w:val="22"/>
              </w:rPr>
            </w:pPr>
            <w:r>
              <w:rPr>
                <w:sz w:val="22"/>
                <w:szCs w:val="22"/>
                <w:lang w:bidi="ar"/>
              </w:rPr>
              <w:t xml:space="preserve">避免接触条件： </w:t>
            </w:r>
          </w:p>
        </w:tc>
      </w:tr>
      <w:tr w14:paraId="69CB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vAlign w:val="center"/>
          </w:tcPr>
          <w:p w14:paraId="30BD2685">
            <w:pPr>
              <w:rPr>
                <w:sz w:val="20"/>
              </w:rPr>
            </w:pPr>
          </w:p>
        </w:tc>
        <w:tc>
          <w:tcPr>
            <w:tcW w:w="3851" w:type="dxa"/>
            <w:gridSpan w:val="2"/>
            <w:vAlign w:val="center"/>
          </w:tcPr>
          <w:p w14:paraId="637B9A93">
            <w:pPr>
              <w:spacing w:line="0" w:lineRule="atLeast"/>
              <w:rPr>
                <w:sz w:val="22"/>
                <w:szCs w:val="22"/>
              </w:rPr>
            </w:pPr>
            <w:r>
              <w:rPr>
                <w:sz w:val="22"/>
                <w:szCs w:val="22"/>
                <w:lang w:bidi="ar"/>
              </w:rPr>
              <w:t>引燃温度：472</w:t>
            </w:r>
          </w:p>
        </w:tc>
        <w:tc>
          <w:tcPr>
            <w:tcW w:w="4086" w:type="dxa"/>
            <w:gridSpan w:val="2"/>
            <w:vAlign w:val="center"/>
          </w:tcPr>
          <w:p w14:paraId="17E5E693">
            <w:pPr>
              <w:spacing w:line="0" w:lineRule="atLeast"/>
              <w:rPr>
                <w:sz w:val="22"/>
                <w:szCs w:val="22"/>
              </w:rPr>
            </w:pPr>
            <w:r>
              <w:rPr>
                <w:sz w:val="22"/>
                <w:szCs w:val="22"/>
                <w:lang w:bidi="ar"/>
              </w:rPr>
              <w:t>禁忌物：强氧化剂、卤素。</w:t>
            </w:r>
          </w:p>
        </w:tc>
      </w:tr>
      <w:tr w14:paraId="0D75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vAlign w:val="center"/>
          </w:tcPr>
          <w:p w14:paraId="3A74E658">
            <w:pPr>
              <w:rPr>
                <w:sz w:val="20"/>
              </w:rPr>
            </w:pPr>
          </w:p>
        </w:tc>
        <w:tc>
          <w:tcPr>
            <w:tcW w:w="3851" w:type="dxa"/>
            <w:gridSpan w:val="2"/>
            <w:vAlign w:val="center"/>
          </w:tcPr>
          <w:p w14:paraId="31B5A020">
            <w:pPr>
              <w:spacing w:line="0" w:lineRule="atLeast"/>
              <w:rPr>
                <w:sz w:val="22"/>
                <w:szCs w:val="22"/>
              </w:rPr>
            </w:pPr>
            <w:r>
              <w:rPr>
                <w:sz w:val="22"/>
                <w:szCs w:val="22"/>
                <w:lang w:bidi="ar"/>
              </w:rPr>
              <w:t>最大爆炸压力：---</w:t>
            </w:r>
          </w:p>
        </w:tc>
        <w:tc>
          <w:tcPr>
            <w:tcW w:w="4086" w:type="dxa"/>
            <w:gridSpan w:val="2"/>
            <w:vAlign w:val="center"/>
          </w:tcPr>
          <w:p w14:paraId="1FCCC385">
            <w:pPr>
              <w:spacing w:line="0" w:lineRule="atLeast"/>
              <w:rPr>
                <w:sz w:val="22"/>
                <w:szCs w:val="22"/>
              </w:rPr>
            </w:pPr>
            <w:r>
              <w:rPr>
                <w:sz w:val="22"/>
                <w:szCs w:val="22"/>
                <w:lang w:bidi="ar"/>
              </w:rPr>
              <w:t>燃烧分解产物：一氧化碳、二氧化碳</w:t>
            </w:r>
          </w:p>
        </w:tc>
      </w:tr>
      <w:tr w14:paraId="5FFE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vAlign w:val="center"/>
          </w:tcPr>
          <w:p w14:paraId="6F06B126">
            <w:pPr>
              <w:rPr>
                <w:sz w:val="20"/>
              </w:rPr>
            </w:pPr>
          </w:p>
        </w:tc>
        <w:tc>
          <w:tcPr>
            <w:tcW w:w="7937" w:type="dxa"/>
            <w:gridSpan w:val="4"/>
            <w:vAlign w:val="center"/>
          </w:tcPr>
          <w:p w14:paraId="6EC6E9A6">
            <w:pPr>
              <w:spacing w:line="0" w:lineRule="atLeast"/>
              <w:rPr>
                <w:sz w:val="22"/>
                <w:szCs w:val="22"/>
              </w:rPr>
            </w:pPr>
            <w:r>
              <w:rPr>
                <w:sz w:val="22"/>
                <w:szCs w:val="22"/>
                <w:lang w:bidi="ar"/>
              </w:rPr>
              <w:t>危险特性：易燃气体，与空气混合能形成爆炸性混合物，遇热源和明火有燃烧爆炸的危险，与氧化剂接触会猛烈反应。气体比空气重，能在较低处扩散到相当远的地方，遇明火会引起回燃。</w:t>
            </w:r>
          </w:p>
        </w:tc>
      </w:tr>
      <w:tr w14:paraId="4673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vAlign w:val="center"/>
          </w:tcPr>
          <w:p w14:paraId="42771C6C">
            <w:pPr>
              <w:rPr>
                <w:sz w:val="20"/>
              </w:rPr>
            </w:pPr>
          </w:p>
        </w:tc>
        <w:tc>
          <w:tcPr>
            <w:tcW w:w="7937" w:type="dxa"/>
            <w:gridSpan w:val="4"/>
            <w:vAlign w:val="center"/>
          </w:tcPr>
          <w:p w14:paraId="6E8A3080">
            <w:pPr>
              <w:spacing w:line="0" w:lineRule="atLeast"/>
              <w:rPr>
                <w:sz w:val="22"/>
                <w:szCs w:val="22"/>
              </w:rPr>
            </w:pPr>
            <w:r>
              <w:rPr>
                <w:sz w:val="22"/>
                <w:szCs w:val="22"/>
                <w:lang w:bidi="ar"/>
              </w:rPr>
              <w:t>灭火方法：切断气源。若不能立即切断气源，则不允许熄灭正在燃烧的气体。喷水冷却容器，可能的话将容器从火场移至空旷处。</w:t>
            </w:r>
            <w:r>
              <w:rPr>
                <w:vanish/>
                <w:sz w:val="22"/>
                <w:szCs w:val="22"/>
                <w:lang w:bidi="ar"/>
              </w:rPr>
              <w:t>气体内温度不宜超过</w:t>
            </w:r>
            <w:r>
              <w:rPr>
                <w:sz w:val="22"/>
                <w:szCs w:val="22"/>
                <w:lang w:bidi="ar"/>
              </w:rPr>
              <w:t>灭火剂：雾状水、泡沫、干粉、二氧化碳</w:t>
            </w:r>
            <w:r>
              <w:rPr>
                <w:rFonts w:hint="eastAsia"/>
                <w:sz w:val="22"/>
                <w:szCs w:val="22"/>
                <w:lang w:bidi="ar"/>
              </w:rPr>
              <w:t>。</w:t>
            </w:r>
          </w:p>
        </w:tc>
      </w:tr>
      <w:tr w14:paraId="4857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Align w:val="center"/>
          </w:tcPr>
          <w:p w14:paraId="5AED0489">
            <w:pPr>
              <w:spacing w:line="0" w:lineRule="atLeast"/>
              <w:jc w:val="center"/>
              <w:rPr>
                <w:sz w:val="22"/>
                <w:szCs w:val="22"/>
              </w:rPr>
            </w:pPr>
            <w:r>
              <w:rPr>
                <w:sz w:val="22"/>
                <w:szCs w:val="22"/>
                <w:lang w:bidi="ar"/>
              </w:rPr>
              <w:t>毒性</w:t>
            </w:r>
          </w:p>
        </w:tc>
        <w:tc>
          <w:tcPr>
            <w:tcW w:w="7937" w:type="dxa"/>
            <w:gridSpan w:val="4"/>
            <w:vAlign w:val="center"/>
          </w:tcPr>
          <w:p w14:paraId="51D3E079">
            <w:pPr>
              <w:spacing w:line="0" w:lineRule="atLeast"/>
              <w:rPr>
                <w:sz w:val="22"/>
                <w:szCs w:val="22"/>
              </w:rPr>
            </w:pPr>
            <w:r>
              <w:rPr>
                <w:sz w:val="22"/>
                <w:szCs w:val="22"/>
                <w:lang w:bidi="ar"/>
              </w:rPr>
              <w:t xml:space="preserve">急性毒性： </w:t>
            </w:r>
          </w:p>
        </w:tc>
      </w:tr>
      <w:tr w14:paraId="7D4B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Align w:val="center"/>
          </w:tcPr>
          <w:p w14:paraId="5B216A81">
            <w:pPr>
              <w:spacing w:line="0" w:lineRule="atLeast"/>
              <w:jc w:val="center"/>
              <w:rPr>
                <w:sz w:val="22"/>
                <w:szCs w:val="22"/>
              </w:rPr>
            </w:pPr>
            <w:r>
              <w:rPr>
                <w:sz w:val="22"/>
                <w:szCs w:val="22"/>
                <w:lang w:bidi="ar"/>
              </w:rPr>
              <w:t>健康危害</w:t>
            </w:r>
          </w:p>
        </w:tc>
        <w:tc>
          <w:tcPr>
            <w:tcW w:w="7937" w:type="dxa"/>
            <w:gridSpan w:val="4"/>
            <w:vAlign w:val="center"/>
          </w:tcPr>
          <w:p w14:paraId="2BFFB50D">
            <w:pPr>
              <w:spacing w:line="0" w:lineRule="atLeast"/>
              <w:rPr>
                <w:sz w:val="22"/>
                <w:szCs w:val="22"/>
              </w:rPr>
            </w:pPr>
            <w:r>
              <w:rPr>
                <w:sz w:val="22"/>
                <w:szCs w:val="22"/>
                <w:lang w:bidi="ar"/>
              </w:rPr>
              <w:t>侵入途径：吸入。</w:t>
            </w:r>
          </w:p>
          <w:p w14:paraId="0BD17391">
            <w:pPr>
              <w:spacing w:line="0" w:lineRule="atLeast"/>
              <w:rPr>
                <w:sz w:val="22"/>
                <w:szCs w:val="22"/>
              </w:rPr>
            </w:pPr>
            <w:r>
              <w:rPr>
                <w:sz w:val="22"/>
                <w:szCs w:val="22"/>
                <w:lang w:bidi="ar"/>
              </w:rPr>
              <w:t>健康危害：本品有单纯性窒息及麻醉作用。人短暂接触1%丙烷，不引起症状；10%以下浓度只引起轻度头晕；高浓度时可出现麻醉状态、意识</w:t>
            </w:r>
            <w:r>
              <w:rPr>
                <w:rFonts w:hint="eastAsia"/>
                <w:sz w:val="22"/>
                <w:szCs w:val="22"/>
                <w:lang w:bidi="ar"/>
              </w:rPr>
              <w:t>丧失</w:t>
            </w:r>
            <w:r>
              <w:rPr>
                <w:sz w:val="22"/>
                <w:szCs w:val="22"/>
                <w:lang w:bidi="ar"/>
              </w:rPr>
              <w:t>；极高浓度时可致窒息。</w:t>
            </w:r>
          </w:p>
        </w:tc>
      </w:tr>
      <w:tr w14:paraId="23D2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Align w:val="center"/>
          </w:tcPr>
          <w:p w14:paraId="47DE7AE0">
            <w:pPr>
              <w:spacing w:line="0" w:lineRule="atLeast"/>
              <w:jc w:val="center"/>
              <w:rPr>
                <w:sz w:val="22"/>
                <w:szCs w:val="22"/>
              </w:rPr>
            </w:pPr>
            <w:r>
              <w:rPr>
                <w:sz w:val="22"/>
                <w:szCs w:val="22"/>
                <w:lang w:bidi="ar"/>
              </w:rPr>
              <w:t>急救</w:t>
            </w:r>
          </w:p>
        </w:tc>
        <w:tc>
          <w:tcPr>
            <w:tcW w:w="7937" w:type="dxa"/>
            <w:gridSpan w:val="4"/>
            <w:vAlign w:val="center"/>
          </w:tcPr>
          <w:p w14:paraId="3D1CC934">
            <w:pPr>
              <w:spacing w:line="0" w:lineRule="atLeast"/>
              <w:rPr>
                <w:sz w:val="22"/>
                <w:szCs w:val="22"/>
              </w:rPr>
            </w:pPr>
            <w:r>
              <w:rPr>
                <w:sz w:val="22"/>
                <w:szCs w:val="22"/>
                <w:lang w:bidi="ar"/>
              </w:rPr>
              <w:t>眼睛接触：</w:t>
            </w:r>
          </w:p>
          <w:p w14:paraId="145FA3F7">
            <w:pPr>
              <w:spacing w:line="0" w:lineRule="atLeast"/>
              <w:rPr>
                <w:sz w:val="22"/>
                <w:szCs w:val="22"/>
              </w:rPr>
            </w:pPr>
            <w:r>
              <w:rPr>
                <w:sz w:val="22"/>
                <w:szCs w:val="22"/>
                <w:lang w:bidi="ar"/>
              </w:rPr>
              <w:t xml:space="preserve">皮肤接触： </w:t>
            </w:r>
          </w:p>
          <w:p w14:paraId="3421E691">
            <w:pPr>
              <w:spacing w:line="0" w:lineRule="atLeast"/>
              <w:rPr>
                <w:sz w:val="22"/>
                <w:szCs w:val="22"/>
              </w:rPr>
            </w:pPr>
            <w:r>
              <w:rPr>
                <w:sz w:val="22"/>
                <w:szCs w:val="22"/>
                <w:lang w:bidi="ar"/>
              </w:rPr>
              <w:t>吸入：迅速脱离现场至空气新鲜处，保持呼吸道畅通。如呼吸困难时给输氧。如呼吸停止时，立即进行人工呼吸。就医。</w:t>
            </w:r>
          </w:p>
          <w:p w14:paraId="1397061F">
            <w:pPr>
              <w:spacing w:line="0" w:lineRule="atLeast"/>
              <w:rPr>
                <w:sz w:val="22"/>
                <w:szCs w:val="22"/>
              </w:rPr>
            </w:pPr>
          </w:p>
        </w:tc>
      </w:tr>
      <w:tr w14:paraId="47F2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restart"/>
            <w:vAlign w:val="center"/>
          </w:tcPr>
          <w:p w14:paraId="5E3755F4">
            <w:pPr>
              <w:spacing w:line="0" w:lineRule="atLeast"/>
              <w:jc w:val="center"/>
              <w:rPr>
                <w:sz w:val="22"/>
                <w:szCs w:val="22"/>
              </w:rPr>
            </w:pPr>
            <w:r>
              <w:rPr>
                <w:sz w:val="22"/>
                <w:szCs w:val="22"/>
                <w:lang w:bidi="ar"/>
              </w:rPr>
              <w:t>防护措施</w:t>
            </w:r>
          </w:p>
        </w:tc>
        <w:tc>
          <w:tcPr>
            <w:tcW w:w="7937" w:type="dxa"/>
            <w:gridSpan w:val="4"/>
            <w:vAlign w:val="center"/>
          </w:tcPr>
          <w:p w14:paraId="0BE94B55">
            <w:pPr>
              <w:spacing w:line="0" w:lineRule="atLeast"/>
              <w:rPr>
                <w:sz w:val="22"/>
                <w:szCs w:val="22"/>
              </w:rPr>
            </w:pPr>
            <w:r>
              <w:rPr>
                <w:sz w:val="22"/>
                <w:szCs w:val="22"/>
                <w:lang w:bidi="ar"/>
              </w:rPr>
              <w:t>车间卫生标准：中国MAC（mg/m</w:t>
            </w:r>
            <w:r>
              <w:rPr>
                <w:sz w:val="22"/>
                <w:szCs w:val="22"/>
                <w:vertAlign w:val="superscript"/>
                <w:lang w:bidi="ar"/>
              </w:rPr>
              <w:t>3</w:t>
            </w:r>
            <w:r>
              <w:rPr>
                <w:sz w:val="22"/>
                <w:szCs w:val="22"/>
                <w:lang w:bidi="ar"/>
              </w:rPr>
              <w:t>）：---          美国TVL-TWA：---</w:t>
            </w:r>
          </w:p>
          <w:p w14:paraId="0FFBBF9E">
            <w:pPr>
              <w:spacing w:line="0" w:lineRule="atLeast"/>
              <w:ind w:firstLine="1540" w:firstLineChars="700"/>
              <w:jc w:val="left"/>
              <w:rPr>
                <w:sz w:val="22"/>
                <w:szCs w:val="22"/>
              </w:rPr>
            </w:pPr>
            <w:r>
              <w:rPr>
                <w:sz w:val="22"/>
                <w:szCs w:val="22"/>
                <w:lang w:bidi="ar"/>
              </w:rPr>
              <w:t>苏联MAC（mg/m</w:t>
            </w:r>
            <w:r>
              <w:rPr>
                <w:sz w:val="22"/>
                <w:szCs w:val="22"/>
                <w:vertAlign w:val="superscript"/>
                <w:lang w:bidi="ar"/>
              </w:rPr>
              <w:t>3</w:t>
            </w:r>
            <w:r>
              <w:rPr>
                <w:sz w:val="22"/>
                <w:szCs w:val="22"/>
                <w:lang w:bidi="ar"/>
              </w:rPr>
              <w:t>）：300          美国TLV-STEL:---</w:t>
            </w:r>
          </w:p>
        </w:tc>
      </w:tr>
      <w:tr w14:paraId="219A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vAlign w:val="center"/>
          </w:tcPr>
          <w:p w14:paraId="487C2C99">
            <w:pPr>
              <w:rPr>
                <w:sz w:val="20"/>
              </w:rPr>
            </w:pPr>
          </w:p>
        </w:tc>
        <w:tc>
          <w:tcPr>
            <w:tcW w:w="7937" w:type="dxa"/>
            <w:gridSpan w:val="4"/>
            <w:vAlign w:val="center"/>
          </w:tcPr>
          <w:p w14:paraId="5EC7BC60">
            <w:pPr>
              <w:spacing w:line="0" w:lineRule="atLeast"/>
              <w:rPr>
                <w:sz w:val="22"/>
                <w:szCs w:val="22"/>
              </w:rPr>
            </w:pPr>
            <w:r>
              <w:rPr>
                <w:sz w:val="22"/>
                <w:szCs w:val="22"/>
                <w:lang w:bidi="ar"/>
              </w:rPr>
              <w:t>工程控制：生产过程密闭，全面通风。</w:t>
            </w:r>
          </w:p>
          <w:p w14:paraId="2F92A410">
            <w:pPr>
              <w:spacing w:line="0" w:lineRule="atLeast"/>
              <w:rPr>
                <w:sz w:val="22"/>
                <w:szCs w:val="22"/>
              </w:rPr>
            </w:pPr>
            <w:r>
              <w:rPr>
                <w:sz w:val="22"/>
                <w:szCs w:val="22"/>
                <w:lang w:bidi="ar"/>
              </w:rPr>
              <w:t>呼吸系统防护：一般不需要特殊防护，但建议特殊情况下佩戴自吸过滤式防毒（半面罩）</w:t>
            </w:r>
          </w:p>
          <w:p w14:paraId="27ACD6F3">
            <w:pPr>
              <w:spacing w:line="0" w:lineRule="atLeast"/>
              <w:rPr>
                <w:sz w:val="22"/>
                <w:szCs w:val="22"/>
              </w:rPr>
            </w:pPr>
            <w:r>
              <w:rPr>
                <w:sz w:val="22"/>
                <w:szCs w:val="22"/>
                <w:lang w:bidi="ar"/>
              </w:rPr>
              <w:t>眼睛防护：一般不需要特殊防护，高浓度接触时可戴安全防护镜。</w:t>
            </w:r>
          </w:p>
          <w:p w14:paraId="2CBEF9A7">
            <w:pPr>
              <w:spacing w:line="0" w:lineRule="atLeast"/>
              <w:rPr>
                <w:sz w:val="22"/>
                <w:szCs w:val="22"/>
              </w:rPr>
            </w:pPr>
            <w:r>
              <w:rPr>
                <w:sz w:val="22"/>
                <w:szCs w:val="22"/>
                <w:lang w:bidi="ar"/>
              </w:rPr>
              <w:t>身体防护：穿防静电工作服。</w:t>
            </w:r>
          </w:p>
          <w:p w14:paraId="357C392F">
            <w:pPr>
              <w:spacing w:line="0" w:lineRule="atLeast"/>
              <w:rPr>
                <w:sz w:val="22"/>
                <w:szCs w:val="22"/>
              </w:rPr>
            </w:pPr>
            <w:r>
              <w:rPr>
                <w:sz w:val="22"/>
                <w:szCs w:val="22"/>
                <w:lang w:bidi="ar"/>
              </w:rPr>
              <w:t>手防护：戴一般作业防护手套。</w:t>
            </w:r>
          </w:p>
          <w:p w14:paraId="79AA9EC8">
            <w:pPr>
              <w:spacing w:line="0" w:lineRule="atLeast"/>
              <w:rPr>
                <w:sz w:val="22"/>
                <w:szCs w:val="22"/>
              </w:rPr>
            </w:pPr>
            <w:r>
              <w:rPr>
                <w:sz w:val="22"/>
                <w:szCs w:val="22"/>
                <w:lang w:bidi="ar"/>
              </w:rPr>
              <w:t>其它：工作现场严禁吸烟。避免长期反复接触。进入罐、限制性空间或其他高浓度区作业，须有人监护。</w:t>
            </w:r>
          </w:p>
        </w:tc>
      </w:tr>
      <w:tr w14:paraId="57E6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Align w:val="center"/>
          </w:tcPr>
          <w:p w14:paraId="37E00A92">
            <w:pPr>
              <w:spacing w:line="0" w:lineRule="atLeast"/>
              <w:jc w:val="center"/>
              <w:rPr>
                <w:sz w:val="22"/>
                <w:szCs w:val="22"/>
              </w:rPr>
            </w:pPr>
            <w:r>
              <w:rPr>
                <w:sz w:val="22"/>
                <w:szCs w:val="22"/>
                <w:lang w:bidi="ar"/>
              </w:rPr>
              <w:t>泄漏处理</w:t>
            </w:r>
          </w:p>
        </w:tc>
        <w:tc>
          <w:tcPr>
            <w:tcW w:w="7937" w:type="dxa"/>
            <w:gridSpan w:val="4"/>
            <w:vAlign w:val="center"/>
          </w:tcPr>
          <w:p w14:paraId="29024A39">
            <w:pPr>
              <w:spacing w:line="0" w:lineRule="atLeast"/>
              <w:ind w:firstLine="440" w:firstLineChars="200"/>
              <w:rPr>
                <w:sz w:val="22"/>
                <w:szCs w:val="22"/>
              </w:rPr>
            </w:pPr>
            <w:r>
              <w:rPr>
                <w:sz w:val="22"/>
                <w:szCs w:val="22"/>
                <w:lang w:bidi="ar"/>
              </w:rPr>
              <w:t>迅速撤离泄漏污染区人员至上风处，并进行隔离，严格限制出入。切断火源，建议应急处理人员戴自给正压式呼吸器，穿消防作业服。尽可能切断泄漏源。用工业覆盖层或吸附/吸收剂盖住泄漏点附近的下水道等地方，防止气体进入。合理通风，加速扩散。喷雾状水稀释、溶解。构筑围堤或挖坑收容产生的大量废水。如有可能，将漏出气用排风机送至空旷地方或装设适当喷头烧掉。漏气的容器妥善处理，修复、检验后使用。</w:t>
            </w:r>
          </w:p>
        </w:tc>
      </w:tr>
      <w:tr w14:paraId="6738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Align w:val="center"/>
          </w:tcPr>
          <w:p w14:paraId="35A397C3">
            <w:pPr>
              <w:spacing w:line="0" w:lineRule="atLeast"/>
              <w:jc w:val="center"/>
              <w:rPr>
                <w:sz w:val="22"/>
                <w:szCs w:val="22"/>
              </w:rPr>
            </w:pPr>
            <w:r>
              <w:rPr>
                <w:sz w:val="22"/>
                <w:szCs w:val="22"/>
                <w:lang w:bidi="ar"/>
              </w:rPr>
              <w:t>储运包装</w:t>
            </w:r>
          </w:p>
        </w:tc>
        <w:tc>
          <w:tcPr>
            <w:tcW w:w="7937" w:type="dxa"/>
            <w:gridSpan w:val="4"/>
            <w:vAlign w:val="center"/>
          </w:tcPr>
          <w:p w14:paraId="6001D181">
            <w:pPr>
              <w:spacing w:line="0" w:lineRule="atLeast"/>
              <w:rPr>
                <w:sz w:val="22"/>
                <w:szCs w:val="22"/>
              </w:rPr>
            </w:pPr>
            <w:r>
              <w:rPr>
                <w:sz w:val="22"/>
                <w:szCs w:val="22"/>
                <w:lang w:bidi="ar"/>
              </w:rPr>
              <w:t>储运注意事项</w:t>
            </w:r>
          </w:p>
          <w:p w14:paraId="40CF2E82">
            <w:pPr>
              <w:spacing w:line="0" w:lineRule="atLeast"/>
              <w:ind w:firstLine="440" w:firstLineChars="200"/>
              <w:rPr>
                <w:sz w:val="22"/>
                <w:szCs w:val="22"/>
              </w:rPr>
            </w:pPr>
            <w:r>
              <w:rPr>
                <w:sz w:val="22"/>
                <w:szCs w:val="22"/>
                <w:lang w:bidi="ar"/>
              </w:rPr>
              <w:t>易燃压缩气体。储存于阴凉、通风仓内。仓内温度不宜超过30℃。远离火种、热源。防止阳光直射。应与氧气、压缩空气、氧化剂等分开存放。储存间内的照明、通风等设施采用防爆型，开关设在仓外。配备</w:t>
            </w:r>
            <w:r>
              <w:rPr>
                <w:rFonts w:hint="eastAsia"/>
                <w:sz w:val="22"/>
                <w:szCs w:val="22"/>
                <w:lang w:bidi="ar"/>
              </w:rPr>
              <w:t>相应</w:t>
            </w:r>
            <w:r>
              <w:rPr>
                <w:sz w:val="22"/>
                <w:szCs w:val="22"/>
                <w:lang w:bidi="ar"/>
              </w:rPr>
              <w:t>品种和数量的消防器材。罐储时要有防火防爆技术措施。露天贮罐夏季要有降温措施。禁止使用易产生火花的机械设备和工具。验收时要注意品名，注意验瓶日期，先进仓的先发用。灌装适量，不可超压超量盛装。搬运时轻装轻</w:t>
            </w:r>
            <w:r>
              <w:rPr>
                <w:rFonts w:hint="eastAsia"/>
                <w:sz w:val="22"/>
                <w:szCs w:val="22"/>
                <w:lang w:bidi="ar"/>
              </w:rPr>
              <w:t>卸</w:t>
            </w:r>
            <w:r>
              <w:rPr>
                <w:sz w:val="22"/>
                <w:szCs w:val="22"/>
                <w:lang w:bidi="ar"/>
              </w:rPr>
              <w:t>，防止钢瓶及附件破损。</w:t>
            </w:r>
          </w:p>
        </w:tc>
      </w:tr>
    </w:tbl>
    <w:p w14:paraId="6E3B03C2">
      <w:pPr>
        <w:pStyle w:val="1379"/>
        <w:ind w:firstLine="440"/>
      </w:pPr>
    </w:p>
    <w:p w14:paraId="690C0902">
      <w:pPr>
        <w:tabs>
          <w:tab w:val="right" w:pos="8730"/>
        </w:tabs>
        <w:adjustRightInd w:val="0"/>
        <w:snapToGrid w:val="0"/>
        <w:ind w:firstLine="560"/>
        <w:jc w:val="center"/>
        <w:rPr>
          <w:kern w:val="0"/>
          <w:sz w:val="24"/>
        </w:rPr>
      </w:pPr>
      <w:r>
        <w:rPr>
          <w:sz w:val="26"/>
          <w:szCs w:val="26"/>
          <w:lang w:bidi="ar"/>
        </w:rPr>
        <w:t>表7.1-3  丙烷理化性质特性表</w:t>
      </w:r>
    </w:p>
    <w:tbl>
      <w:tblPr>
        <w:tblStyle w:val="88"/>
        <w:tblW w:w="8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4"/>
        <w:gridCol w:w="2159"/>
        <w:gridCol w:w="1692"/>
        <w:gridCol w:w="2062"/>
        <w:gridCol w:w="2024"/>
      </w:tblGrid>
      <w:tr w14:paraId="46F81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restart"/>
            <w:tcBorders>
              <w:bottom w:val="single" w:color="auto" w:sz="4" w:space="0"/>
              <w:right w:val="single" w:color="auto" w:sz="4" w:space="0"/>
            </w:tcBorders>
            <w:vAlign w:val="center"/>
          </w:tcPr>
          <w:p w14:paraId="0DC28259">
            <w:pPr>
              <w:spacing w:line="0" w:lineRule="atLeast"/>
              <w:rPr>
                <w:sz w:val="22"/>
                <w:szCs w:val="22"/>
              </w:rPr>
            </w:pPr>
            <w:r>
              <w:rPr>
                <w:sz w:val="22"/>
                <w:szCs w:val="22"/>
                <w:lang w:bidi="ar"/>
              </w:rPr>
              <w:t>标</w:t>
            </w:r>
          </w:p>
          <w:p w14:paraId="7A0F4408">
            <w:pPr>
              <w:spacing w:line="0" w:lineRule="atLeast"/>
              <w:rPr>
                <w:sz w:val="22"/>
                <w:szCs w:val="22"/>
              </w:rPr>
            </w:pPr>
            <w:r>
              <w:rPr>
                <w:sz w:val="22"/>
                <w:szCs w:val="22"/>
                <w:lang w:bidi="ar"/>
              </w:rPr>
              <w:t>识</w:t>
            </w:r>
          </w:p>
        </w:tc>
        <w:tc>
          <w:tcPr>
            <w:tcW w:w="3851" w:type="dxa"/>
            <w:gridSpan w:val="2"/>
            <w:tcBorders>
              <w:left w:val="single" w:color="auto" w:sz="4" w:space="0"/>
              <w:bottom w:val="single" w:color="auto" w:sz="4" w:space="0"/>
              <w:right w:val="single" w:color="auto" w:sz="4" w:space="0"/>
            </w:tcBorders>
            <w:vAlign w:val="center"/>
          </w:tcPr>
          <w:p w14:paraId="36B1CD7C">
            <w:pPr>
              <w:spacing w:line="0" w:lineRule="atLeast"/>
              <w:rPr>
                <w:sz w:val="22"/>
                <w:szCs w:val="22"/>
              </w:rPr>
            </w:pPr>
            <w:r>
              <w:rPr>
                <w:sz w:val="22"/>
                <w:szCs w:val="22"/>
                <w:lang w:bidi="ar"/>
              </w:rPr>
              <w:t>中文名：丙烷</w:t>
            </w:r>
          </w:p>
        </w:tc>
        <w:tc>
          <w:tcPr>
            <w:tcW w:w="4086" w:type="dxa"/>
            <w:gridSpan w:val="2"/>
            <w:tcBorders>
              <w:left w:val="single" w:color="auto" w:sz="4" w:space="0"/>
              <w:bottom w:val="single" w:color="auto" w:sz="4" w:space="0"/>
            </w:tcBorders>
            <w:vAlign w:val="center"/>
          </w:tcPr>
          <w:p w14:paraId="5E24DB26">
            <w:pPr>
              <w:spacing w:line="0" w:lineRule="atLeast"/>
              <w:rPr>
                <w:sz w:val="22"/>
                <w:szCs w:val="22"/>
              </w:rPr>
            </w:pPr>
            <w:r>
              <w:rPr>
                <w:sz w:val="22"/>
                <w:szCs w:val="22"/>
                <w:lang w:bidi="ar"/>
              </w:rPr>
              <w:t xml:space="preserve">英文名：propane  </w:t>
            </w:r>
          </w:p>
        </w:tc>
      </w:tr>
      <w:tr w14:paraId="6A9D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tcBorders>
              <w:top w:val="single" w:color="auto" w:sz="4" w:space="0"/>
              <w:bottom w:val="single" w:color="auto" w:sz="4" w:space="0"/>
              <w:right w:val="single" w:color="auto" w:sz="4" w:space="0"/>
            </w:tcBorders>
            <w:vAlign w:val="center"/>
          </w:tcPr>
          <w:p w14:paraId="369BE3B1">
            <w:pPr>
              <w:rPr>
                <w:sz w:val="20"/>
              </w:rPr>
            </w:pPr>
          </w:p>
        </w:tc>
        <w:tc>
          <w:tcPr>
            <w:tcW w:w="2159" w:type="dxa"/>
            <w:tcBorders>
              <w:top w:val="single" w:color="auto" w:sz="4" w:space="0"/>
              <w:left w:val="single" w:color="auto" w:sz="4" w:space="0"/>
              <w:bottom w:val="single" w:color="auto" w:sz="4" w:space="0"/>
              <w:right w:val="single" w:color="auto" w:sz="4" w:space="0"/>
            </w:tcBorders>
            <w:vAlign w:val="center"/>
          </w:tcPr>
          <w:p w14:paraId="157AD891">
            <w:pPr>
              <w:spacing w:line="0" w:lineRule="atLeast"/>
              <w:rPr>
                <w:sz w:val="22"/>
                <w:szCs w:val="22"/>
                <w:vertAlign w:val="subscript"/>
              </w:rPr>
            </w:pPr>
            <w:r>
              <w:rPr>
                <w:sz w:val="22"/>
                <w:szCs w:val="22"/>
                <w:lang w:bidi="ar"/>
              </w:rPr>
              <w:t>分子式：C</w:t>
            </w:r>
            <w:r>
              <w:rPr>
                <w:sz w:val="22"/>
                <w:szCs w:val="22"/>
                <w:vertAlign w:val="subscript"/>
                <w:lang w:bidi="ar"/>
              </w:rPr>
              <w:t>3</w:t>
            </w:r>
            <w:r>
              <w:rPr>
                <w:sz w:val="22"/>
                <w:szCs w:val="22"/>
                <w:lang w:bidi="ar"/>
              </w:rPr>
              <w:t>H</w:t>
            </w:r>
            <w:r>
              <w:rPr>
                <w:sz w:val="22"/>
                <w:szCs w:val="22"/>
                <w:vertAlign w:val="subscript"/>
                <w:lang w:bidi="ar"/>
              </w:rPr>
              <w:t>8</w:t>
            </w:r>
          </w:p>
        </w:tc>
        <w:tc>
          <w:tcPr>
            <w:tcW w:w="1692" w:type="dxa"/>
            <w:tcBorders>
              <w:top w:val="single" w:color="auto" w:sz="4" w:space="0"/>
              <w:left w:val="single" w:color="auto" w:sz="4" w:space="0"/>
              <w:bottom w:val="single" w:color="auto" w:sz="4" w:space="0"/>
              <w:right w:val="single" w:color="auto" w:sz="4" w:space="0"/>
            </w:tcBorders>
            <w:vAlign w:val="center"/>
          </w:tcPr>
          <w:p w14:paraId="24D2EF4B">
            <w:pPr>
              <w:spacing w:line="0" w:lineRule="atLeast"/>
              <w:rPr>
                <w:sz w:val="22"/>
                <w:szCs w:val="22"/>
              </w:rPr>
            </w:pPr>
            <w:r>
              <w:rPr>
                <w:sz w:val="22"/>
                <w:szCs w:val="22"/>
                <w:lang w:bidi="ar"/>
              </w:rPr>
              <w:t>分子量：44.40</w:t>
            </w:r>
          </w:p>
        </w:tc>
        <w:tc>
          <w:tcPr>
            <w:tcW w:w="2062" w:type="dxa"/>
            <w:tcBorders>
              <w:top w:val="single" w:color="auto" w:sz="4" w:space="0"/>
              <w:left w:val="single" w:color="auto" w:sz="4" w:space="0"/>
              <w:bottom w:val="single" w:color="auto" w:sz="4" w:space="0"/>
              <w:right w:val="single" w:color="auto" w:sz="4" w:space="0"/>
            </w:tcBorders>
            <w:vAlign w:val="center"/>
          </w:tcPr>
          <w:p w14:paraId="4B32E810">
            <w:pPr>
              <w:spacing w:line="0" w:lineRule="atLeast"/>
              <w:rPr>
                <w:sz w:val="22"/>
                <w:szCs w:val="22"/>
              </w:rPr>
            </w:pPr>
            <w:r>
              <w:rPr>
                <w:sz w:val="22"/>
                <w:szCs w:val="22"/>
                <w:lang w:bidi="ar"/>
              </w:rPr>
              <w:t>CAS号：74-98-6</w:t>
            </w:r>
          </w:p>
        </w:tc>
        <w:tc>
          <w:tcPr>
            <w:tcW w:w="2024" w:type="dxa"/>
            <w:tcBorders>
              <w:top w:val="single" w:color="auto" w:sz="4" w:space="0"/>
              <w:left w:val="single" w:color="auto" w:sz="4" w:space="0"/>
              <w:bottom w:val="single" w:color="auto" w:sz="4" w:space="0"/>
            </w:tcBorders>
            <w:vAlign w:val="center"/>
          </w:tcPr>
          <w:p w14:paraId="7AFD8327">
            <w:pPr>
              <w:spacing w:line="0" w:lineRule="atLeast"/>
              <w:rPr>
                <w:sz w:val="22"/>
                <w:szCs w:val="22"/>
              </w:rPr>
            </w:pPr>
            <w:r>
              <w:rPr>
                <w:sz w:val="22"/>
                <w:szCs w:val="22"/>
                <w:lang w:bidi="ar"/>
              </w:rPr>
              <w:t>化学类别：烷烃</w:t>
            </w:r>
          </w:p>
        </w:tc>
      </w:tr>
      <w:tr w14:paraId="6EF4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tcBorders>
              <w:top w:val="single" w:color="auto" w:sz="4" w:space="0"/>
              <w:bottom w:val="single" w:color="auto" w:sz="4" w:space="0"/>
              <w:right w:val="single" w:color="auto" w:sz="4" w:space="0"/>
            </w:tcBorders>
            <w:vAlign w:val="center"/>
          </w:tcPr>
          <w:p w14:paraId="342288B5">
            <w:pPr>
              <w:rPr>
                <w:sz w:val="20"/>
              </w:rPr>
            </w:pPr>
          </w:p>
        </w:tc>
        <w:tc>
          <w:tcPr>
            <w:tcW w:w="3851" w:type="dxa"/>
            <w:gridSpan w:val="2"/>
            <w:tcBorders>
              <w:top w:val="single" w:color="auto" w:sz="4" w:space="0"/>
              <w:left w:val="single" w:color="auto" w:sz="4" w:space="0"/>
              <w:bottom w:val="single" w:color="auto" w:sz="4" w:space="0"/>
              <w:right w:val="single" w:color="auto" w:sz="4" w:space="0"/>
            </w:tcBorders>
            <w:vAlign w:val="center"/>
          </w:tcPr>
          <w:p w14:paraId="2BE34D70">
            <w:pPr>
              <w:spacing w:line="0" w:lineRule="atLeast"/>
              <w:rPr>
                <w:sz w:val="22"/>
                <w:szCs w:val="22"/>
              </w:rPr>
            </w:pPr>
            <w:r>
              <w:rPr>
                <w:sz w:val="22"/>
                <w:szCs w:val="22"/>
                <w:lang w:bidi="ar"/>
              </w:rPr>
              <w:t>危险性类别：第2.1类 易燃气体</w:t>
            </w:r>
          </w:p>
        </w:tc>
        <w:tc>
          <w:tcPr>
            <w:tcW w:w="2062" w:type="dxa"/>
            <w:tcBorders>
              <w:top w:val="single" w:color="auto" w:sz="4" w:space="0"/>
              <w:left w:val="single" w:color="auto" w:sz="4" w:space="0"/>
              <w:bottom w:val="single" w:color="auto" w:sz="4" w:space="0"/>
              <w:right w:val="single" w:color="auto" w:sz="4" w:space="0"/>
            </w:tcBorders>
            <w:vAlign w:val="center"/>
          </w:tcPr>
          <w:p w14:paraId="4A1E98AE">
            <w:pPr>
              <w:spacing w:line="0" w:lineRule="atLeast"/>
              <w:rPr>
                <w:sz w:val="22"/>
                <w:szCs w:val="22"/>
              </w:rPr>
            </w:pPr>
            <w:r>
              <w:rPr>
                <w:sz w:val="22"/>
                <w:szCs w:val="22"/>
                <w:lang w:bidi="ar"/>
              </w:rPr>
              <w:t>危规号：21011</w:t>
            </w:r>
          </w:p>
        </w:tc>
        <w:tc>
          <w:tcPr>
            <w:tcW w:w="2024" w:type="dxa"/>
            <w:tcBorders>
              <w:top w:val="single" w:color="auto" w:sz="4" w:space="0"/>
              <w:left w:val="single" w:color="auto" w:sz="4" w:space="0"/>
              <w:bottom w:val="single" w:color="auto" w:sz="4" w:space="0"/>
            </w:tcBorders>
            <w:vAlign w:val="center"/>
          </w:tcPr>
          <w:p w14:paraId="12D420A2">
            <w:pPr>
              <w:spacing w:line="0" w:lineRule="atLeast"/>
              <w:rPr>
                <w:sz w:val="22"/>
                <w:szCs w:val="22"/>
              </w:rPr>
            </w:pPr>
            <w:r>
              <w:rPr>
                <w:sz w:val="22"/>
                <w:szCs w:val="22"/>
                <w:lang w:bidi="ar"/>
              </w:rPr>
              <w:t>UN编号：1978</w:t>
            </w:r>
          </w:p>
        </w:tc>
      </w:tr>
      <w:tr w14:paraId="38EB0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restart"/>
            <w:tcBorders>
              <w:top w:val="single" w:color="auto" w:sz="4" w:space="0"/>
              <w:bottom w:val="single" w:color="auto" w:sz="4" w:space="0"/>
              <w:right w:val="single" w:color="auto" w:sz="4" w:space="0"/>
            </w:tcBorders>
            <w:vAlign w:val="center"/>
          </w:tcPr>
          <w:p w14:paraId="3938D588">
            <w:pPr>
              <w:spacing w:line="0" w:lineRule="atLeast"/>
              <w:jc w:val="center"/>
              <w:rPr>
                <w:sz w:val="22"/>
                <w:szCs w:val="22"/>
              </w:rPr>
            </w:pPr>
            <w:r>
              <w:rPr>
                <w:sz w:val="22"/>
                <w:szCs w:val="22"/>
                <w:lang w:bidi="ar"/>
              </w:rPr>
              <w:t>理</w:t>
            </w:r>
          </w:p>
          <w:p w14:paraId="5464A10A">
            <w:pPr>
              <w:spacing w:line="0" w:lineRule="atLeast"/>
              <w:jc w:val="center"/>
              <w:rPr>
                <w:sz w:val="22"/>
                <w:szCs w:val="22"/>
              </w:rPr>
            </w:pPr>
            <w:r>
              <w:rPr>
                <w:sz w:val="22"/>
                <w:szCs w:val="22"/>
                <w:lang w:bidi="ar"/>
              </w:rPr>
              <w:t>化</w:t>
            </w:r>
          </w:p>
          <w:p w14:paraId="3382E648">
            <w:pPr>
              <w:spacing w:line="0" w:lineRule="atLeast"/>
              <w:jc w:val="center"/>
              <w:rPr>
                <w:sz w:val="22"/>
                <w:szCs w:val="22"/>
              </w:rPr>
            </w:pPr>
            <w:r>
              <w:rPr>
                <w:sz w:val="22"/>
                <w:szCs w:val="22"/>
                <w:lang w:bidi="ar"/>
              </w:rPr>
              <w:t>性</w:t>
            </w:r>
          </w:p>
          <w:p w14:paraId="3FC93657">
            <w:pPr>
              <w:spacing w:line="0" w:lineRule="atLeast"/>
              <w:jc w:val="center"/>
              <w:rPr>
                <w:sz w:val="22"/>
                <w:szCs w:val="22"/>
              </w:rPr>
            </w:pPr>
            <w:r>
              <w:rPr>
                <w:sz w:val="22"/>
                <w:szCs w:val="22"/>
                <w:lang w:bidi="ar"/>
              </w:rPr>
              <w:t>质</w:t>
            </w:r>
          </w:p>
        </w:tc>
        <w:tc>
          <w:tcPr>
            <w:tcW w:w="7937" w:type="dxa"/>
            <w:gridSpan w:val="4"/>
            <w:tcBorders>
              <w:top w:val="single" w:color="auto" w:sz="4" w:space="0"/>
              <w:left w:val="single" w:color="auto" w:sz="4" w:space="0"/>
              <w:bottom w:val="single" w:color="auto" w:sz="4" w:space="0"/>
            </w:tcBorders>
            <w:vAlign w:val="center"/>
          </w:tcPr>
          <w:p w14:paraId="25368DCF">
            <w:pPr>
              <w:spacing w:line="0" w:lineRule="atLeast"/>
              <w:rPr>
                <w:sz w:val="22"/>
                <w:szCs w:val="22"/>
              </w:rPr>
            </w:pPr>
            <w:r>
              <w:rPr>
                <w:sz w:val="22"/>
                <w:szCs w:val="22"/>
                <w:lang w:bidi="ar"/>
              </w:rPr>
              <w:t>性状与用途：无色气体。纯品无臭。</w:t>
            </w:r>
          </w:p>
        </w:tc>
      </w:tr>
      <w:tr w14:paraId="4A77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tcBorders>
              <w:top w:val="single" w:color="auto" w:sz="4" w:space="0"/>
              <w:bottom w:val="single" w:color="auto" w:sz="4" w:space="0"/>
              <w:right w:val="single" w:color="auto" w:sz="4" w:space="0"/>
            </w:tcBorders>
            <w:vAlign w:val="center"/>
          </w:tcPr>
          <w:p w14:paraId="2CA19958">
            <w:pPr>
              <w:rPr>
                <w:sz w:val="20"/>
              </w:rPr>
            </w:pPr>
          </w:p>
        </w:tc>
        <w:tc>
          <w:tcPr>
            <w:tcW w:w="3851" w:type="dxa"/>
            <w:gridSpan w:val="2"/>
            <w:tcBorders>
              <w:top w:val="single" w:color="auto" w:sz="4" w:space="0"/>
              <w:left w:val="single" w:color="auto" w:sz="4" w:space="0"/>
              <w:bottom w:val="single" w:color="auto" w:sz="4" w:space="0"/>
              <w:right w:val="single" w:color="auto" w:sz="4" w:space="0"/>
            </w:tcBorders>
            <w:vAlign w:val="center"/>
          </w:tcPr>
          <w:p w14:paraId="4E848448">
            <w:pPr>
              <w:spacing w:line="0" w:lineRule="atLeast"/>
              <w:rPr>
                <w:sz w:val="22"/>
                <w:szCs w:val="22"/>
              </w:rPr>
            </w:pPr>
            <w:r>
              <w:rPr>
                <w:sz w:val="22"/>
                <w:szCs w:val="22"/>
                <w:lang w:bidi="ar"/>
              </w:rPr>
              <w:t xml:space="preserve">熔点（℃）：-187.6 </w:t>
            </w:r>
          </w:p>
          <w:p w14:paraId="4CD3AAA7">
            <w:pPr>
              <w:spacing w:line="0" w:lineRule="atLeast"/>
              <w:rPr>
                <w:sz w:val="22"/>
                <w:szCs w:val="22"/>
              </w:rPr>
            </w:pPr>
            <w:r>
              <w:rPr>
                <w:sz w:val="22"/>
                <w:szCs w:val="22"/>
                <w:lang w:bidi="ar"/>
              </w:rPr>
              <w:t>沸点（℃）：-42.1</w:t>
            </w:r>
          </w:p>
          <w:p w14:paraId="6F46A31B">
            <w:pPr>
              <w:spacing w:line="0" w:lineRule="atLeast"/>
              <w:rPr>
                <w:sz w:val="22"/>
                <w:szCs w:val="22"/>
              </w:rPr>
            </w:pPr>
            <w:r>
              <w:rPr>
                <w:sz w:val="22"/>
                <w:szCs w:val="22"/>
                <w:lang w:bidi="ar"/>
              </w:rPr>
              <w:t>相对密度（水=1）：0.58（-44.5℃）</w:t>
            </w:r>
          </w:p>
          <w:p w14:paraId="03EC25DE">
            <w:pPr>
              <w:spacing w:line="0" w:lineRule="atLeast"/>
              <w:rPr>
                <w:sz w:val="22"/>
                <w:szCs w:val="22"/>
              </w:rPr>
            </w:pPr>
            <w:r>
              <w:rPr>
                <w:sz w:val="22"/>
                <w:szCs w:val="22"/>
                <w:lang w:bidi="ar"/>
              </w:rPr>
              <w:t>相对密度(空气=1)：1.56</w:t>
            </w:r>
          </w:p>
          <w:p w14:paraId="15756E39">
            <w:pPr>
              <w:spacing w:line="0" w:lineRule="atLeast"/>
              <w:rPr>
                <w:sz w:val="22"/>
                <w:szCs w:val="22"/>
              </w:rPr>
            </w:pPr>
            <w:r>
              <w:rPr>
                <w:rFonts w:hint="eastAsia"/>
                <w:sz w:val="22"/>
                <w:szCs w:val="22"/>
                <w:lang w:bidi="ar"/>
              </w:rPr>
              <w:t>饱和蒸汽</w:t>
            </w:r>
            <w:r>
              <w:rPr>
                <w:sz w:val="22"/>
                <w:szCs w:val="22"/>
                <w:lang w:bidi="ar"/>
              </w:rPr>
              <w:t>压(kpa)：53.32（-55.6℃）</w:t>
            </w:r>
          </w:p>
          <w:p w14:paraId="55123980">
            <w:pPr>
              <w:spacing w:line="0" w:lineRule="atLeast"/>
              <w:rPr>
                <w:sz w:val="22"/>
                <w:szCs w:val="22"/>
              </w:rPr>
            </w:pPr>
            <w:r>
              <w:rPr>
                <w:sz w:val="22"/>
                <w:szCs w:val="22"/>
                <w:lang w:bidi="ar"/>
              </w:rPr>
              <w:t>辛醇/水分配系数的对数值</w:t>
            </w:r>
          </w:p>
        </w:tc>
        <w:tc>
          <w:tcPr>
            <w:tcW w:w="4086" w:type="dxa"/>
            <w:gridSpan w:val="2"/>
            <w:tcBorders>
              <w:top w:val="single" w:color="auto" w:sz="4" w:space="0"/>
              <w:left w:val="single" w:color="auto" w:sz="4" w:space="0"/>
              <w:bottom w:val="single" w:color="auto" w:sz="4" w:space="0"/>
            </w:tcBorders>
            <w:vAlign w:val="center"/>
          </w:tcPr>
          <w:p w14:paraId="3734D791">
            <w:pPr>
              <w:spacing w:line="0" w:lineRule="atLeast"/>
              <w:rPr>
                <w:sz w:val="22"/>
                <w:szCs w:val="22"/>
              </w:rPr>
            </w:pPr>
            <w:r>
              <w:rPr>
                <w:sz w:val="22"/>
                <w:szCs w:val="22"/>
                <w:lang w:bidi="ar"/>
              </w:rPr>
              <w:t>燃烧热（kJ.mol）：2217.8</w:t>
            </w:r>
          </w:p>
          <w:p w14:paraId="013E9704">
            <w:pPr>
              <w:spacing w:line="0" w:lineRule="atLeast"/>
              <w:rPr>
                <w:sz w:val="22"/>
                <w:szCs w:val="22"/>
              </w:rPr>
            </w:pPr>
            <w:r>
              <w:rPr>
                <w:sz w:val="22"/>
                <w:szCs w:val="22"/>
                <w:lang w:bidi="ar"/>
              </w:rPr>
              <w:t>临界温度(℃)：96.8</w:t>
            </w:r>
          </w:p>
          <w:p w14:paraId="593436EA">
            <w:pPr>
              <w:spacing w:line="0" w:lineRule="atLeast"/>
              <w:rPr>
                <w:sz w:val="22"/>
                <w:szCs w:val="22"/>
              </w:rPr>
            </w:pPr>
            <w:r>
              <w:rPr>
                <w:sz w:val="22"/>
                <w:szCs w:val="22"/>
                <w:lang w:bidi="ar"/>
              </w:rPr>
              <w:t>临界压力(Mpa)：4.25</w:t>
            </w:r>
          </w:p>
          <w:p w14:paraId="432B8D45">
            <w:pPr>
              <w:spacing w:line="0" w:lineRule="atLeast"/>
              <w:rPr>
                <w:sz w:val="22"/>
                <w:szCs w:val="22"/>
              </w:rPr>
            </w:pPr>
            <w:r>
              <w:rPr>
                <w:sz w:val="22"/>
                <w:szCs w:val="22"/>
                <w:lang w:bidi="ar"/>
              </w:rPr>
              <w:t>溶解性：微溶于水，溶于乙醇、乙醚等。</w:t>
            </w:r>
          </w:p>
          <w:p w14:paraId="78D76256">
            <w:pPr>
              <w:spacing w:line="0" w:lineRule="atLeast"/>
              <w:rPr>
                <w:sz w:val="22"/>
                <w:szCs w:val="22"/>
              </w:rPr>
            </w:pPr>
            <w:r>
              <w:rPr>
                <w:sz w:val="22"/>
                <w:szCs w:val="22"/>
                <w:lang w:bidi="ar"/>
              </w:rPr>
              <w:t>最小点火能（mJ）：0.31</w:t>
            </w:r>
          </w:p>
          <w:p w14:paraId="79E46803">
            <w:pPr>
              <w:spacing w:line="0" w:lineRule="atLeast"/>
              <w:rPr>
                <w:sz w:val="22"/>
                <w:szCs w:val="22"/>
              </w:rPr>
            </w:pPr>
            <w:r>
              <w:rPr>
                <w:sz w:val="22"/>
                <w:szCs w:val="22"/>
                <w:lang w:bidi="ar"/>
              </w:rPr>
              <w:t>最大爆炸压力：0.843</w:t>
            </w:r>
          </w:p>
        </w:tc>
      </w:tr>
      <w:tr w14:paraId="5F2E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restart"/>
            <w:tcBorders>
              <w:top w:val="single" w:color="auto" w:sz="4" w:space="0"/>
              <w:bottom w:val="single" w:color="auto" w:sz="4" w:space="0"/>
              <w:right w:val="single" w:color="auto" w:sz="4" w:space="0"/>
            </w:tcBorders>
            <w:vAlign w:val="center"/>
          </w:tcPr>
          <w:p w14:paraId="5A3EC899">
            <w:pPr>
              <w:spacing w:line="0" w:lineRule="atLeast"/>
              <w:jc w:val="center"/>
              <w:rPr>
                <w:sz w:val="22"/>
                <w:szCs w:val="22"/>
              </w:rPr>
            </w:pPr>
            <w:r>
              <w:rPr>
                <w:sz w:val="22"/>
                <w:szCs w:val="22"/>
                <w:lang w:bidi="ar"/>
              </w:rPr>
              <w:t>燃爆特性与消防</w:t>
            </w:r>
          </w:p>
        </w:tc>
        <w:tc>
          <w:tcPr>
            <w:tcW w:w="3851" w:type="dxa"/>
            <w:gridSpan w:val="2"/>
            <w:tcBorders>
              <w:top w:val="single" w:color="auto" w:sz="4" w:space="0"/>
              <w:left w:val="single" w:color="auto" w:sz="4" w:space="0"/>
              <w:bottom w:val="single" w:color="auto" w:sz="4" w:space="0"/>
              <w:right w:val="single" w:color="auto" w:sz="4" w:space="0"/>
            </w:tcBorders>
            <w:vAlign w:val="center"/>
          </w:tcPr>
          <w:p w14:paraId="35A26E99">
            <w:pPr>
              <w:spacing w:line="0" w:lineRule="atLeast"/>
              <w:rPr>
                <w:sz w:val="22"/>
                <w:szCs w:val="22"/>
              </w:rPr>
            </w:pPr>
            <w:r>
              <w:rPr>
                <w:sz w:val="22"/>
                <w:szCs w:val="22"/>
                <w:lang w:bidi="ar"/>
              </w:rPr>
              <w:t xml:space="preserve">燃烧性：易燃     闪点：-104  </w:t>
            </w:r>
          </w:p>
        </w:tc>
        <w:tc>
          <w:tcPr>
            <w:tcW w:w="4086" w:type="dxa"/>
            <w:gridSpan w:val="2"/>
            <w:tcBorders>
              <w:top w:val="single" w:color="auto" w:sz="4" w:space="0"/>
              <w:left w:val="single" w:color="auto" w:sz="4" w:space="0"/>
              <w:bottom w:val="single" w:color="auto" w:sz="4" w:space="0"/>
            </w:tcBorders>
            <w:vAlign w:val="center"/>
          </w:tcPr>
          <w:p w14:paraId="3379B554">
            <w:pPr>
              <w:spacing w:line="0" w:lineRule="atLeast"/>
              <w:rPr>
                <w:sz w:val="22"/>
                <w:szCs w:val="22"/>
              </w:rPr>
            </w:pPr>
            <w:r>
              <w:rPr>
                <w:sz w:val="22"/>
                <w:szCs w:val="22"/>
                <w:lang w:bidi="ar"/>
              </w:rPr>
              <w:t>稳定性：稳定      聚合危害： 不聚合</w:t>
            </w:r>
          </w:p>
        </w:tc>
      </w:tr>
      <w:tr w14:paraId="0C6F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tcBorders>
              <w:top w:val="single" w:color="auto" w:sz="4" w:space="0"/>
              <w:bottom w:val="single" w:color="auto" w:sz="4" w:space="0"/>
              <w:right w:val="single" w:color="auto" w:sz="4" w:space="0"/>
            </w:tcBorders>
            <w:vAlign w:val="center"/>
          </w:tcPr>
          <w:p w14:paraId="0B22567C">
            <w:pPr>
              <w:rPr>
                <w:sz w:val="20"/>
              </w:rPr>
            </w:pPr>
          </w:p>
        </w:tc>
        <w:tc>
          <w:tcPr>
            <w:tcW w:w="3851" w:type="dxa"/>
            <w:gridSpan w:val="2"/>
            <w:tcBorders>
              <w:top w:val="single" w:color="auto" w:sz="4" w:space="0"/>
              <w:left w:val="single" w:color="auto" w:sz="4" w:space="0"/>
              <w:bottom w:val="single" w:color="auto" w:sz="4" w:space="0"/>
              <w:right w:val="single" w:color="auto" w:sz="4" w:space="0"/>
            </w:tcBorders>
            <w:vAlign w:val="center"/>
          </w:tcPr>
          <w:p w14:paraId="3F5C78D0">
            <w:pPr>
              <w:spacing w:line="0" w:lineRule="atLeast"/>
              <w:rPr>
                <w:sz w:val="22"/>
                <w:szCs w:val="22"/>
              </w:rPr>
            </w:pPr>
            <w:r>
              <w:rPr>
                <w:sz w:val="22"/>
                <w:szCs w:val="22"/>
                <w:lang w:bidi="ar"/>
              </w:rPr>
              <w:t>爆炸极限下限：2.1    爆炸极限上限：9.5</w:t>
            </w:r>
          </w:p>
        </w:tc>
        <w:tc>
          <w:tcPr>
            <w:tcW w:w="4086" w:type="dxa"/>
            <w:gridSpan w:val="2"/>
            <w:tcBorders>
              <w:top w:val="single" w:color="auto" w:sz="4" w:space="0"/>
              <w:left w:val="single" w:color="auto" w:sz="4" w:space="0"/>
              <w:bottom w:val="single" w:color="auto" w:sz="4" w:space="0"/>
            </w:tcBorders>
            <w:vAlign w:val="center"/>
          </w:tcPr>
          <w:p w14:paraId="59938C04">
            <w:pPr>
              <w:spacing w:line="0" w:lineRule="atLeast"/>
              <w:rPr>
                <w:sz w:val="22"/>
                <w:szCs w:val="22"/>
              </w:rPr>
            </w:pPr>
            <w:r>
              <w:rPr>
                <w:sz w:val="22"/>
                <w:szCs w:val="22"/>
                <w:lang w:bidi="ar"/>
              </w:rPr>
              <w:t xml:space="preserve">避免接触条件： </w:t>
            </w:r>
          </w:p>
        </w:tc>
      </w:tr>
      <w:tr w14:paraId="38F1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tcBorders>
              <w:top w:val="single" w:color="auto" w:sz="4" w:space="0"/>
              <w:bottom w:val="single" w:color="auto" w:sz="4" w:space="0"/>
              <w:right w:val="single" w:color="auto" w:sz="4" w:space="0"/>
            </w:tcBorders>
            <w:vAlign w:val="center"/>
          </w:tcPr>
          <w:p w14:paraId="28F9371D">
            <w:pPr>
              <w:rPr>
                <w:sz w:val="20"/>
              </w:rPr>
            </w:pPr>
          </w:p>
        </w:tc>
        <w:tc>
          <w:tcPr>
            <w:tcW w:w="3851" w:type="dxa"/>
            <w:gridSpan w:val="2"/>
            <w:tcBorders>
              <w:top w:val="single" w:color="auto" w:sz="4" w:space="0"/>
              <w:left w:val="single" w:color="auto" w:sz="4" w:space="0"/>
              <w:bottom w:val="single" w:color="auto" w:sz="4" w:space="0"/>
              <w:right w:val="single" w:color="auto" w:sz="4" w:space="0"/>
            </w:tcBorders>
            <w:vAlign w:val="center"/>
          </w:tcPr>
          <w:p w14:paraId="7BC41791">
            <w:pPr>
              <w:spacing w:line="0" w:lineRule="atLeast"/>
              <w:rPr>
                <w:sz w:val="22"/>
                <w:szCs w:val="22"/>
              </w:rPr>
            </w:pPr>
            <w:r>
              <w:rPr>
                <w:sz w:val="22"/>
                <w:szCs w:val="22"/>
                <w:lang w:bidi="ar"/>
              </w:rPr>
              <w:t>引燃温度：450</w:t>
            </w:r>
          </w:p>
        </w:tc>
        <w:tc>
          <w:tcPr>
            <w:tcW w:w="4086" w:type="dxa"/>
            <w:gridSpan w:val="2"/>
            <w:tcBorders>
              <w:top w:val="single" w:color="auto" w:sz="4" w:space="0"/>
              <w:left w:val="single" w:color="auto" w:sz="4" w:space="0"/>
              <w:bottom w:val="single" w:color="auto" w:sz="4" w:space="0"/>
            </w:tcBorders>
            <w:vAlign w:val="center"/>
          </w:tcPr>
          <w:p w14:paraId="2CC9132F">
            <w:pPr>
              <w:spacing w:line="0" w:lineRule="atLeast"/>
              <w:rPr>
                <w:sz w:val="22"/>
                <w:szCs w:val="22"/>
              </w:rPr>
            </w:pPr>
            <w:r>
              <w:rPr>
                <w:sz w:val="22"/>
                <w:szCs w:val="22"/>
                <w:lang w:bidi="ar"/>
              </w:rPr>
              <w:t>禁忌物：强氧化剂、卤素。</w:t>
            </w:r>
          </w:p>
        </w:tc>
      </w:tr>
      <w:tr w14:paraId="57C3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tcBorders>
              <w:top w:val="single" w:color="auto" w:sz="4" w:space="0"/>
              <w:bottom w:val="single" w:color="auto" w:sz="4" w:space="0"/>
              <w:right w:val="single" w:color="auto" w:sz="4" w:space="0"/>
            </w:tcBorders>
            <w:vAlign w:val="center"/>
          </w:tcPr>
          <w:p w14:paraId="2AD8D358">
            <w:pPr>
              <w:rPr>
                <w:sz w:val="20"/>
              </w:rPr>
            </w:pPr>
          </w:p>
        </w:tc>
        <w:tc>
          <w:tcPr>
            <w:tcW w:w="3851" w:type="dxa"/>
            <w:gridSpan w:val="2"/>
            <w:tcBorders>
              <w:top w:val="single" w:color="auto" w:sz="4" w:space="0"/>
              <w:left w:val="single" w:color="auto" w:sz="4" w:space="0"/>
              <w:bottom w:val="single" w:color="auto" w:sz="4" w:space="0"/>
              <w:right w:val="single" w:color="auto" w:sz="4" w:space="0"/>
            </w:tcBorders>
            <w:vAlign w:val="center"/>
          </w:tcPr>
          <w:p w14:paraId="5B309396">
            <w:pPr>
              <w:spacing w:line="0" w:lineRule="atLeast"/>
              <w:rPr>
                <w:sz w:val="22"/>
                <w:szCs w:val="22"/>
              </w:rPr>
            </w:pPr>
            <w:r>
              <w:rPr>
                <w:sz w:val="22"/>
                <w:szCs w:val="22"/>
                <w:lang w:bidi="ar"/>
              </w:rPr>
              <w:t>最大爆炸压力：---</w:t>
            </w:r>
          </w:p>
        </w:tc>
        <w:tc>
          <w:tcPr>
            <w:tcW w:w="4086" w:type="dxa"/>
            <w:gridSpan w:val="2"/>
            <w:tcBorders>
              <w:top w:val="single" w:color="auto" w:sz="4" w:space="0"/>
              <w:left w:val="single" w:color="auto" w:sz="4" w:space="0"/>
              <w:bottom w:val="single" w:color="auto" w:sz="4" w:space="0"/>
            </w:tcBorders>
            <w:vAlign w:val="center"/>
          </w:tcPr>
          <w:p w14:paraId="719AB94E">
            <w:pPr>
              <w:spacing w:line="0" w:lineRule="atLeast"/>
              <w:rPr>
                <w:sz w:val="22"/>
                <w:szCs w:val="22"/>
              </w:rPr>
            </w:pPr>
            <w:r>
              <w:rPr>
                <w:sz w:val="22"/>
                <w:szCs w:val="22"/>
                <w:lang w:bidi="ar"/>
              </w:rPr>
              <w:t>燃烧分解产物：一氧化碳、二氧化碳</w:t>
            </w:r>
          </w:p>
        </w:tc>
      </w:tr>
      <w:tr w14:paraId="69762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tcBorders>
              <w:top w:val="single" w:color="auto" w:sz="4" w:space="0"/>
              <w:bottom w:val="single" w:color="auto" w:sz="4" w:space="0"/>
              <w:right w:val="single" w:color="auto" w:sz="4" w:space="0"/>
            </w:tcBorders>
            <w:vAlign w:val="center"/>
          </w:tcPr>
          <w:p w14:paraId="109D38A4">
            <w:pPr>
              <w:rPr>
                <w:sz w:val="20"/>
              </w:rPr>
            </w:pPr>
          </w:p>
        </w:tc>
        <w:tc>
          <w:tcPr>
            <w:tcW w:w="7937" w:type="dxa"/>
            <w:gridSpan w:val="4"/>
            <w:tcBorders>
              <w:top w:val="single" w:color="auto" w:sz="4" w:space="0"/>
              <w:left w:val="single" w:color="auto" w:sz="4" w:space="0"/>
              <w:bottom w:val="single" w:color="auto" w:sz="4" w:space="0"/>
            </w:tcBorders>
            <w:vAlign w:val="center"/>
          </w:tcPr>
          <w:p w14:paraId="7A92B6A7">
            <w:pPr>
              <w:spacing w:line="0" w:lineRule="atLeast"/>
              <w:rPr>
                <w:sz w:val="22"/>
                <w:szCs w:val="22"/>
              </w:rPr>
            </w:pPr>
            <w:r>
              <w:rPr>
                <w:sz w:val="22"/>
                <w:szCs w:val="22"/>
                <w:lang w:bidi="ar"/>
              </w:rPr>
              <w:t>危险特性：易燃气体，与空气混合能形成爆炸性混合物，遇热源和明火有燃烧爆炸的危险，与氧化剂接触会猛烈反应。气体比空气重，能在较低处扩散到相当远的地方，遇明火会引起回燃。</w:t>
            </w:r>
          </w:p>
        </w:tc>
      </w:tr>
      <w:tr w14:paraId="7EF6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tcBorders>
              <w:top w:val="single" w:color="auto" w:sz="4" w:space="0"/>
              <w:bottom w:val="single" w:color="auto" w:sz="4" w:space="0"/>
              <w:right w:val="single" w:color="auto" w:sz="4" w:space="0"/>
            </w:tcBorders>
            <w:vAlign w:val="center"/>
          </w:tcPr>
          <w:p w14:paraId="7477107F">
            <w:pPr>
              <w:rPr>
                <w:sz w:val="20"/>
              </w:rPr>
            </w:pPr>
          </w:p>
        </w:tc>
        <w:tc>
          <w:tcPr>
            <w:tcW w:w="7937" w:type="dxa"/>
            <w:gridSpan w:val="4"/>
            <w:tcBorders>
              <w:top w:val="single" w:color="auto" w:sz="4" w:space="0"/>
              <w:left w:val="single" w:color="auto" w:sz="4" w:space="0"/>
              <w:bottom w:val="single" w:color="auto" w:sz="4" w:space="0"/>
            </w:tcBorders>
            <w:vAlign w:val="center"/>
          </w:tcPr>
          <w:p w14:paraId="16C0D69E">
            <w:pPr>
              <w:spacing w:line="0" w:lineRule="atLeast"/>
              <w:rPr>
                <w:sz w:val="22"/>
                <w:szCs w:val="22"/>
              </w:rPr>
            </w:pPr>
            <w:r>
              <w:rPr>
                <w:sz w:val="22"/>
                <w:szCs w:val="22"/>
                <w:lang w:bidi="ar"/>
              </w:rPr>
              <w:t>灭火方法：切断气源。若不能立即切断气源，则不允许熄灭正在燃烧的气体。喷水冷却容器，可能的话将容器从火场移至空旷处。</w:t>
            </w:r>
            <w:r>
              <w:rPr>
                <w:vanish/>
                <w:sz w:val="22"/>
                <w:szCs w:val="22"/>
                <w:lang w:bidi="ar"/>
              </w:rPr>
              <w:t>气体内温度不宜超过</w:t>
            </w:r>
            <w:r>
              <w:rPr>
                <w:sz w:val="22"/>
                <w:szCs w:val="22"/>
                <w:lang w:bidi="ar"/>
              </w:rPr>
              <w:t>灭火剂：雾状水、泡沫、干粉、二氧化碳。</w:t>
            </w:r>
          </w:p>
        </w:tc>
      </w:tr>
      <w:tr w14:paraId="10C25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tcBorders>
              <w:top w:val="single" w:color="auto" w:sz="4" w:space="0"/>
              <w:bottom w:val="single" w:color="auto" w:sz="4" w:space="0"/>
              <w:right w:val="single" w:color="auto" w:sz="4" w:space="0"/>
            </w:tcBorders>
            <w:vAlign w:val="center"/>
          </w:tcPr>
          <w:p w14:paraId="468C20B2">
            <w:pPr>
              <w:spacing w:line="0" w:lineRule="atLeast"/>
              <w:jc w:val="center"/>
              <w:rPr>
                <w:sz w:val="22"/>
                <w:szCs w:val="22"/>
              </w:rPr>
            </w:pPr>
            <w:r>
              <w:rPr>
                <w:sz w:val="22"/>
                <w:szCs w:val="22"/>
                <w:lang w:bidi="ar"/>
              </w:rPr>
              <w:t>毒性</w:t>
            </w:r>
          </w:p>
        </w:tc>
        <w:tc>
          <w:tcPr>
            <w:tcW w:w="7937" w:type="dxa"/>
            <w:gridSpan w:val="4"/>
            <w:tcBorders>
              <w:top w:val="single" w:color="auto" w:sz="4" w:space="0"/>
              <w:left w:val="single" w:color="auto" w:sz="4" w:space="0"/>
              <w:bottom w:val="single" w:color="auto" w:sz="4" w:space="0"/>
            </w:tcBorders>
            <w:vAlign w:val="center"/>
          </w:tcPr>
          <w:p w14:paraId="08CF38CA">
            <w:pPr>
              <w:spacing w:line="0" w:lineRule="atLeast"/>
              <w:rPr>
                <w:sz w:val="22"/>
                <w:szCs w:val="22"/>
              </w:rPr>
            </w:pPr>
            <w:r>
              <w:rPr>
                <w:sz w:val="22"/>
                <w:szCs w:val="22"/>
                <w:lang w:bidi="ar"/>
              </w:rPr>
              <w:t>急性毒性：/</w:t>
            </w:r>
          </w:p>
        </w:tc>
      </w:tr>
      <w:tr w14:paraId="138F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tcBorders>
              <w:top w:val="single" w:color="auto" w:sz="4" w:space="0"/>
              <w:bottom w:val="single" w:color="auto" w:sz="4" w:space="0"/>
              <w:right w:val="single" w:color="auto" w:sz="4" w:space="0"/>
            </w:tcBorders>
            <w:vAlign w:val="center"/>
          </w:tcPr>
          <w:p w14:paraId="0A42F27C">
            <w:pPr>
              <w:spacing w:line="0" w:lineRule="atLeast"/>
              <w:jc w:val="center"/>
              <w:rPr>
                <w:sz w:val="22"/>
                <w:szCs w:val="22"/>
              </w:rPr>
            </w:pPr>
            <w:r>
              <w:rPr>
                <w:sz w:val="22"/>
                <w:szCs w:val="22"/>
                <w:lang w:bidi="ar"/>
              </w:rPr>
              <w:t>健康危害</w:t>
            </w:r>
          </w:p>
        </w:tc>
        <w:tc>
          <w:tcPr>
            <w:tcW w:w="7937" w:type="dxa"/>
            <w:gridSpan w:val="4"/>
            <w:tcBorders>
              <w:top w:val="single" w:color="auto" w:sz="4" w:space="0"/>
              <w:left w:val="single" w:color="auto" w:sz="4" w:space="0"/>
              <w:bottom w:val="single" w:color="auto" w:sz="4" w:space="0"/>
            </w:tcBorders>
            <w:vAlign w:val="center"/>
          </w:tcPr>
          <w:p w14:paraId="455D3598">
            <w:pPr>
              <w:spacing w:line="0" w:lineRule="atLeast"/>
              <w:rPr>
                <w:sz w:val="22"/>
                <w:szCs w:val="22"/>
              </w:rPr>
            </w:pPr>
            <w:r>
              <w:rPr>
                <w:sz w:val="22"/>
                <w:szCs w:val="22"/>
                <w:lang w:bidi="ar"/>
              </w:rPr>
              <w:t>侵入途径：吸入。</w:t>
            </w:r>
          </w:p>
          <w:p w14:paraId="23DDEB0D">
            <w:pPr>
              <w:spacing w:line="0" w:lineRule="atLeast"/>
              <w:rPr>
                <w:sz w:val="22"/>
                <w:szCs w:val="22"/>
              </w:rPr>
            </w:pPr>
            <w:r>
              <w:rPr>
                <w:sz w:val="22"/>
                <w:szCs w:val="22"/>
                <w:lang w:bidi="ar"/>
              </w:rPr>
              <w:t>健康危害：本品有单纯性窒息及麻醉作用。人短暂接触1%丙烷，不引起症状；10%以下浓度只引起轻度头晕；高浓度时可出现麻醉状态、意识</w:t>
            </w:r>
            <w:r>
              <w:rPr>
                <w:rFonts w:hint="eastAsia"/>
                <w:sz w:val="22"/>
                <w:szCs w:val="22"/>
                <w:lang w:bidi="ar"/>
              </w:rPr>
              <w:t>丧失</w:t>
            </w:r>
            <w:r>
              <w:rPr>
                <w:sz w:val="22"/>
                <w:szCs w:val="22"/>
                <w:lang w:bidi="ar"/>
              </w:rPr>
              <w:t>；极高浓度时可致窒息。</w:t>
            </w:r>
          </w:p>
        </w:tc>
      </w:tr>
      <w:tr w14:paraId="0BB2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tcBorders>
              <w:top w:val="single" w:color="auto" w:sz="4" w:space="0"/>
              <w:bottom w:val="single" w:color="auto" w:sz="4" w:space="0"/>
              <w:right w:val="single" w:color="auto" w:sz="4" w:space="0"/>
            </w:tcBorders>
            <w:vAlign w:val="center"/>
          </w:tcPr>
          <w:p w14:paraId="7422C087">
            <w:pPr>
              <w:spacing w:line="0" w:lineRule="atLeast"/>
              <w:jc w:val="center"/>
              <w:rPr>
                <w:sz w:val="22"/>
                <w:szCs w:val="22"/>
              </w:rPr>
            </w:pPr>
            <w:r>
              <w:rPr>
                <w:sz w:val="22"/>
                <w:szCs w:val="22"/>
                <w:lang w:bidi="ar"/>
              </w:rPr>
              <w:t>急救</w:t>
            </w:r>
          </w:p>
        </w:tc>
        <w:tc>
          <w:tcPr>
            <w:tcW w:w="7937" w:type="dxa"/>
            <w:gridSpan w:val="4"/>
            <w:tcBorders>
              <w:top w:val="single" w:color="auto" w:sz="4" w:space="0"/>
              <w:left w:val="single" w:color="auto" w:sz="4" w:space="0"/>
              <w:bottom w:val="single" w:color="auto" w:sz="4" w:space="0"/>
            </w:tcBorders>
            <w:vAlign w:val="center"/>
          </w:tcPr>
          <w:p w14:paraId="7440F639">
            <w:pPr>
              <w:spacing w:line="0" w:lineRule="atLeast"/>
              <w:rPr>
                <w:sz w:val="22"/>
                <w:szCs w:val="22"/>
              </w:rPr>
            </w:pPr>
            <w:r>
              <w:rPr>
                <w:sz w:val="22"/>
                <w:szCs w:val="22"/>
                <w:lang w:bidi="ar"/>
              </w:rPr>
              <w:t>眼睛接触：</w:t>
            </w:r>
          </w:p>
          <w:p w14:paraId="7B32DA38">
            <w:pPr>
              <w:spacing w:line="0" w:lineRule="atLeast"/>
              <w:rPr>
                <w:sz w:val="22"/>
                <w:szCs w:val="22"/>
              </w:rPr>
            </w:pPr>
            <w:r>
              <w:rPr>
                <w:sz w:val="22"/>
                <w:szCs w:val="22"/>
                <w:lang w:bidi="ar"/>
              </w:rPr>
              <w:t xml:space="preserve">皮肤接触： </w:t>
            </w:r>
          </w:p>
          <w:p w14:paraId="68EA9DBD">
            <w:pPr>
              <w:spacing w:line="0" w:lineRule="atLeast"/>
              <w:rPr>
                <w:sz w:val="22"/>
                <w:szCs w:val="22"/>
              </w:rPr>
            </w:pPr>
            <w:r>
              <w:rPr>
                <w:sz w:val="22"/>
                <w:szCs w:val="22"/>
                <w:lang w:bidi="ar"/>
              </w:rPr>
              <w:t>吸入：迅速脱离现场至空气新鲜处，保持呼吸道畅通。如呼吸困难时给输氧。如呼吸停止时，立即进行人工呼吸。就医。</w:t>
            </w:r>
          </w:p>
        </w:tc>
      </w:tr>
      <w:tr w14:paraId="513A1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restart"/>
            <w:tcBorders>
              <w:top w:val="single" w:color="auto" w:sz="4" w:space="0"/>
              <w:bottom w:val="single" w:color="auto" w:sz="4" w:space="0"/>
              <w:right w:val="single" w:color="auto" w:sz="4" w:space="0"/>
            </w:tcBorders>
            <w:vAlign w:val="center"/>
          </w:tcPr>
          <w:p w14:paraId="5008B22B">
            <w:pPr>
              <w:spacing w:line="0" w:lineRule="atLeast"/>
              <w:jc w:val="center"/>
              <w:rPr>
                <w:sz w:val="22"/>
                <w:szCs w:val="22"/>
              </w:rPr>
            </w:pPr>
            <w:r>
              <w:rPr>
                <w:sz w:val="22"/>
                <w:szCs w:val="22"/>
                <w:lang w:bidi="ar"/>
              </w:rPr>
              <w:t>防护措施</w:t>
            </w:r>
          </w:p>
        </w:tc>
        <w:tc>
          <w:tcPr>
            <w:tcW w:w="7937" w:type="dxa"/>
            <w:gridSpan w:val="4"/>
            <w:tcBorders>
              <w:top w:val="single" w:color="auto" w:sz="4" w:space="0"/>
              <w:left w:val="single" w:color="auto" w:sz="4" w:space="0"/>
              <w:bottom w:val="single" w:color="auto" w:sz="4" w:space="0"/>
            </w:tcBorders>
            <w:vAlign w:val="center"/>
          </w:tcPr>
          <w:p w14:paraId="78A809B0">
            <w:pPr>
              <w:spacing w:line="0" w:lineRule="atLeast"/>
              <w:rPr>
                <w:sz w:val="22"/>
                <w:szCs w:val="22"/>
              </w:rPr>
            </w:pPr>
            <w:r>
              <w:rPr>
                <w:sz w:val="22"/>
                <w:szCs w:val="22"/>
                <w:lang w:bidi="ar"/>
              </w:rPr>
              <w:t>车间卫生标准：中国MAC（mg/m</w:t>
            </w:r>
            <w:r>
              <w:rPr>
                <w:sz w:val="22"/>
                <w:szCs w:val="22"/>
                <w:vertAlign w:val="superscript"/>
                <w:lang w:bidi="ar"/>
              </w:rPr>
              <w:t>3</w:t>
            </w:r>
            <w:r>
              <w:rPr>
                <w:sz w:val="22"/>
                <w:szCs w:val="22"/>
                <w:lang w:bidi="ar"/>
              </w:rPr>
              <w:t>）：---          美国TVL-TWA：---</w:t>
            </w:r>
          </w:p>
          <w:p w14:paraId="61889E9F">
            <w:pPr>
              <w:spacing w:line="0" w:lineRule="atLeast"/>
              <w:ind w:firstLine="1540" w:firstLineChars="700"/>
              <w:jc w:val="left"/>
              <w:rPr>
                <w:sz w:val="22"/>
                <w:szCs w:val="22"/>
              </w:rPr>
            </w:pPr>
            <w:r>
              <w:rPr>
                <w:sz w:val="22"/>
                <w:szCs w:val="22"/>
                <w:lang w:bidi="ar"/>
              </w:rPr>
              <w:t>苏联MAC（mg/m</w:t>
            </w:r>
            <w:r>
              <w:rPr>
                <w:sz w:val="22"/>
                <w:szCs w:val="22"/>
                <w:vertAlign w:val="superscript"/>
                <w:lang w:bidi="ar"/>
              </w:rPr>
              <w:t>3</w:t>
            </w:r>
            <w:r>
              <w:rPr>
                <w:sz w:val="22"/>
                <w:szCs w:val="22"/>
                <w:lang w:bidi="ar"/>
              </w:rPr>
              <w:t>）：300          美国TLV-STEL:---</w:t>
            </w:r>
          </w:p>
        </w:tc>
      </w:tr>
      <w:tr w14:paraId="37BD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vMerge w:val="continue"/>
            <w:tcBorders>
              <w:top w:val="single" w:color="auto" w:sz="4" w:space="0"/>
              <w:bottom w:val="single" w:color="auto" w:sz="4" w:space="0"/>
              <w:right w:val="single" w:color="auto" w:sz="4" w:space="0"/>
            </w:tcBorders>
            <w:vAlign w:val="center"/>
          </w:tcPr>
          <w:p w14:paraId="3BF7CDA7">
            <w:pPr>
              <w:rPr>
                <w:sz w:val="20"/>
              </w:rPr>
            </w:pPr>
          </w:p>
        </w:tc>
        <w:tc>
          <w:tcPr>
            <w:tcW w:w="7937" w:type="dxa"/>
            <w:gridSpan w:val="4"/>
            <w:tcBorders>
              <w:top w:val="single" w:color="auto" w:sz="4" w:space="0"/>
              <w:left w:val="single" w:color="auto" w:sz="4" w:space="0"/>
              <w:bottom w:val="single" w:color="auto" w:sz="4" w:space="0"/>
            </w:tcBorders>
            <w:vAlign w:val="center"/>
          </w:tcPr>
          <w:p w14:paraId="2C9953AA">
            <w:pPr>
              <w:spacing w:line="0" w:lineRule="atLeast"/>
              <w:rPr>
                <w:sz w:val="22"/>
                <w:szCs w:val="22"/>
              </w:rPr>
            </w:pPr>
            <w:r>
              <w:rPr>
                <w:sz w:val="22"/>
                <w:szCs w:val="22"/>
                <w:lang w:bidi="ar"/>
              </w:rPr>
              <w:t>工程控制：生产过程密闭，全面通风。</w:t>
            </w:r>
          </w:p>
          <w:p w14:paraId="112B6BFD">
            <w:pPr>
              <w:spacing w:line="0" w:lineRule="atLeast"/>
              <w:rPr>
                <w:sz w:val="22"/>
                <w:szCs w:val="22"/>
              </w:rPr>
            </w:pPr>
            <w:r>
              <w:rPr>
                <w:sz w:val="22"/>
                <w:szCs w:val="22"/>
                <w:lang w:bidi="ar"/>
              </w:rPr>
              <w:t>呼吸系统防护：一般不需要特殊防护，但建议特殊情况下佩戴自吸过滤式防毒（半面罩）</w:t>
            </w:r>
          </w:p>
          <w:p w14:paraId="49DA8A79">
            <w:pPr>
              <w:spacing w:line="0" w:lineRule="atLeast"/>
              <w:rPr>
                <w:sz w:val="22"/>
                <w:szCs w:val="22"/>
              </w:rPr>
            </w:pPr>
            <w:r>
              <w:rPr>
                <w:sz w:val="22"/>
                <w:szCs w:val="22"/>
                <w:lang w:bidi="ar"/>
              </w:rPr>
              <w:t>眼睛防护：一般不需要特殊防护，高浓度接触时可戴安全防护镜。</w:t>
            </w:r>
          </w:p>
          <w:p w14:paraId="5FFF1B52">
            <w:pPr>
              <w:spacing w:line="0" w:lineRule="atLeast"/>
              <w:rPr>
                <w:sz w:val="22"/>
                <w:szCs w:val="22"/>
              </w:rPr>
            </w:pPr>
            <w:r>
              <w:rPr>
                <w:sz w:val="22"/>
                <w:szCs w:val="22"/>
                <w:lang w:bidi="ar"/>
              </w:rPr>
              <w:t>身体防护：穿防静电工作服。</w:t>
            </w:r>
          </w:p>
          <w:p w14:paraId="58C8110C">
            <w:pPr>
              <w:spacing w:line="0" w:lineRule="atLeast"/>
              <w:rPr>
                <w:sz w:val="22"/>
                <w:szCs w:val="22"/>
              </w:rPr>
            </w:pPr>
            <w:r>
              <w:rPr>
                <w:sz w:val="22"/>
                <w:szCs w:val="22"/>
                <w:lang w:bidi="ar"/>
              </w:rPr>
              <w:t>手防护：戴一般作业防护手套。</w:t>
            </w:r>
          </w:p>
          <w:p w14:paraId="0E42E7A8">
            <w:pPr>
              <w:spacing w:line="0" w:lineRule="atLeast"/>
              <w:rPr>
                <w:sz w:val="22"/>
                <w:szCs w:val="22"/>
              </w:rPr>
            </w:pPr>
            <w:r>
              <w:rPr>
                <w:sz w:val="22"/>
                <w:szCs w:val="22"/>
                <w:lang w:bidi="ar"/>
              </w:rPr>
              <w:t>其它：工作现场严禁吸烟。避免长期反复接触。进入罐、限制性空间或其他高浓度区作业，须有人监护。</w:t>
            </w:r>
          </w:p>
        </w:tc>
      </w:tr>
      <w:tr w14:paraId="0141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tcBorders>
              <w:top w:val="single" w:color="auto" w:sz="4" w:space="0"/>
              <w:bottom w:val="single" w:color="auto" w:sz="4" w:space="0"/>
              <w:right w:val="single" w:color="auto" w:sz="4" w:space="0"/>
            </w:tcBorders>
            <w:vAlign w:val="center"/>
          </w:tcPr>
          <w:p w14:paraId="095CF312">
            <w:pPr>
              <w:spacing w:line="0" w:lineRule="atLeast"/>
              <w:jc w:val="center"/>
              <w:rPr>
                <w:sz w:val="22"/>
                <w:szCs w:val="22"/>
              </w:rPr>
            </w:pPr>
            <w:r>
              <w:rPr>
                <w:sz w:val="22"/>
                <w:szCs w:val="22"/>
                <w:lang w:bidi="ar"/>
              </w:rPr>
              <w:t>泄漏处理</w:t>
            </w:r>
          </w:p>
        </w:tc>
        <w:tc>
          <w:tcPr>
            <w:tcW w:w="7937" w:type="dxa"/>
            <w:gridSpan w:val="4"/>
            <w:tcBorders>
              <w:top w:val="single" w:color="auto" w:sz="4" w:space="0"/>
              <w:left w:val="single" w:color="auto" w:sz="4" w:space="0"/>
              <w:bottom w:val="single" w:color="auto" w:sz="4" w:space="0"/>
            </w:tcBorders>
            <w:vAlign w:val="center"/>
          </w:tcPr>
          <w:p w14:paraId="4DE5BAF3">
            <w:pPr>
              <w:spacing w:line="0" w:lineRule="atLeast"/>
              <w:ind w:firstLine="440" w:firstLineChars="200"/>
              <w:rPr>
                <w:sz w:val="22"/>
                <w:szCs w:val="22"/>
              </w:rPr>
            </w:pPr>
            <w:r>
              <w:rPr>
                <w:sz w:val="22"/>
                <w:szCs w:val="22"/>
                <w:lang w:bidi="ar"/>
              </w:rPr>
              <w:t>迅速撤离泄漏污染区人员至上风处，并进行隔离，严格限制出入。切断火源，建议应急处理人员戴自给正压式呼吸器，穿消防作业服。尽可能切断泄漏源。用工业覆盖层或吸附/吸收剂盖住泄漏点附近的下水道等地方，防止气体进入。合理通风，加速扩散。喷雾状水稀释、溶解。构筑围堤或挖坑收容产生的大量废水。如有可能，将漏出气用排风机送至空旷地方或装设适当喷头烧掉。漏气的容器妥善处理，修复、检验后使用。</w:t>
            </w:r>
          </w:p>
        </w:tc>
      </w:tr>
      <w:tr w14:paraId="5EC87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424" w:type="dxa"/>
            <w:tcBorders>
              <w:top w:val="single" w:color="auto" w:sz="4" w:space="0"/>
              <w:right w:val="single" w:color="auto" w:sz="4" w:space="0"/>
            </w:tcBorders>
            <w:vAlign w:val="center"/>
          </w:tcPr>
          <w:p w14:paraId="590A48AD">
            <w:pPr>
              <w:spacing w:line="0" w:lineRule="atLeast"/>
              <w:jc w:val="center"/>
              <w:rPr>
                <w:sz w:val="22"/>
                <w:szCs w:val="22"/>
              </w:rPr>
            </w:pPr>
            <w:r>
              <w:rPr>
                <w:sz w:val="22"/>
                <w:szCs w:val="22"/>
                <w:lang w:bidi="ar"/>
              </w:rPr>
              <w:t>储运包装</w:t>
            </w:r>
          </w:p>
        </w:tc>
        <w:tc>
          <w:tcPr>
            <w:tcW w:w="7937" w:type="dxa"/>
            <w:gridSpan w:val="4"/>
            <w:tcBorders>
              <w:top w:val="single" w:color="auto" w:sz="4" w:space="0"/>
              <w:left w:val="single" w:color="auto" w:sz="4" w:space="0"/>
            </w:tcBorders>
            <w:vAlign w:val="center"/>
          </w:tcPr>
          <w:p w14:paraId="7A930264">
            <w:pPr>
              <w:spacing w:line="0" w:lineRule="atLeast"/>
              <w:rPr>
                <w:sz w:val="22"/>
                <w:szCs w:val="22"/>
              </w:rPr>
            </w:pPr>
            <w:r>
              <w:rPr>
                <w:sz w:val="22"/>
                <w:szCs w:val="22"/>
                <w:lang w:bidi="ar"/>
              </w:rPr>
              <w:t>储运注意事项</w:t>
            </w:r>
          </w:p>
          <w:p w14:paraId="74CFB10F">
            <w:pPr>
              <w:spacing w:line="0" w:lineRule="atLeast"/>
              <w:ind w:firstLine="440" w:firstLineChars="200"/>
              <w:rPr>
                <w:sz w:val="22"/>
                <w:szCs w:val="22"/>
              </w:rPr>
            </w:pPr>
            <w:r>
              <w:rPr>
                <w:sz w:val="22"/>
                <w:szCs w:val="22"/>
                <w:lang w:bidi="ar"/>
              </w:rPr>
              <w:t>易燃压缩气体。储存于阴凉、通风仓内。仓内温度不宜超过30℃。远离火种、热源。防止阳光直射。应与氧气、压缩空气、氧化剂等分开存放。储存间内的照明、通风等设施采用防爆型，开关设在仓外。配备</w:t>
            </w:r>
            <w:r>
              <w:rPr>
                <w:rFonts w:hint="eastAsia"/>
                <w:sz w:val="22"/>
                <w:szCs w:val="22"/>
                <w:lang w:bidi="ar"/>
              </w:rPr>
              <w:t>相应</w:t>
            </w:r>
            <w:r>
              <w:rPr>
                <w:sz w:val="22"/>
                <w:szCs w:val="22"/>
                <w:lang w:bidi="ar"/>
              </w:rPr>
              <w:t>品种和数量的消防器材。罐储时要有防火防爆技术措施。露天贮罐夏季要有降温措施。禁止使用易产生火花的机械设备和工具。验收时要注意品名，注意验瓶日期，先进仓的先发用。灌装适量，不可超压超量盛装。搬运时轻装轻</w:t>
            </w:r>
            <w:r>
              <w:rPr>
                <w:rFonts w:hint="eastAsia"/>
                <w:sz w:val="22"/>
                <w:szCs w:val="22"/>
                <w:lang w:bidi="ar"/>
              </w:rPr>
              <w:t>卸</w:t>
            </w:r>
            <w:r>
              <w:rPr>
                <w:sz w:val="22"/>
                <w:szCs w:val="22"/>
                <w:lang w:bidi="ar"/>
              </w:rPr>
              <w:t>，防止钢瓶及附件破损。</w:t>
            </w:r>
          </w:p>
        </w:tc>
      </w:tr>
    </w:tbl>
    <w:p w14:paraId="4C16D374">
      <w:pPr>
        <w:pStyle w:val="1379"/>
        <w:ind w:firstLine="440"/>
      </w:pPr>
    </w:p>
    <w:p w14:paraId="22BAE11C">
      <w:pPr>
        <w:pStyle w:val="1381"/>
        <w:ind w:firstLine="520"/>
        <w:rPr>
          <w:rFonts w:cs="Times New Roman"/>
        </w:rPr>
      </w:pPr>
      <w:r>
        <w:rPr>
          <w:rFonts w:hint="eastAsia" w:cs="Times New Roman"/>
        </w:rPr>
        <w:t>（2）凝析油危险特性</w:t>
      </w:r>
    </w:p>
    <w:p w14:paraId="765AAC16">
      <w:pPr>
        <w:pStyle w:val="1381"/>
        <w:ind w:firstLine="520"/>
        <w:rPr>
          <w:rFonts w:cs="Times New Roman"/>
        </w:rPr>
      </w:pPr>
      <w:r>
        <w:rPr>
          <w:rFonts w:hint="eastAsia" w:cs="Times New Roman"/>
        </w:rPr>
        <w:t>本项目副产品凝析油暂存于</w:t>
      </w:r>
      <w:r>
        <w:rPr>
          <w:rFonts w:cs="Times New Roman"/>
        </w:rPr>
        <w:t>2</w:t>
      </w:r>
      <w:r>
        <w:rPr>
          <w:rFonts w:hint="eastAsia" w:cs="Times New Roman"/>
        </w:rPr>
        <w:t>个5</w:t>
      </w:r>
      <w:r>
        <w:rPr>
          <w:rFonts w:cs="Times New Roman"/>
        </w:rPr>
        <w:t>0</w:t>
      </w:r>
      <w:r>
        <w:rPr>
          <w:rFonts w:hint="eastAsia" w:cs="Times New Roman"/>
        </w:rPr>
        <w:t>m</w:t>
      </w:r>
      <w:r>
        <w:rPr>
          <w:rFonts w:cs="Times New Roman"/>
          <w:vertAlign w:val="superscript"/>
        </w:rPr>
        <w:t>3</w:t>
      </w:r>
      <w:r>
        <w:rPr>
          <w:rFonts w:hint="eastAsia" w:cs="Times New Roman"/>
        </w:rPr>
        <w:t>/个的凝析油储罐，定期作为副产品外售，凝析油为易燃液体，其理化性质见下表。</w:t>
      </w:r>
    </w:p>
    <w:p w14:paraId="0F88BBAF">
      <w:pPr>
        <w:pStyle w:val="1379"/>
        <w:ind w:firstLine="440"/>
      </w:pPr>
    </w:p>
    <w:p w14:paraId="0B94ED70">
      <w:pPr>
        <w:tabs>
          <w:tab w:val="right" w:pos="8730"/>
        </w:tabs>
        <w:adjustRightInd w:val="0"/>
        <w:snapToGrid w:val="0"/>
        <w:ind w:firstLine="560"/>
        <w:jc w:val="center"/>
      </w:pPr>
      <w:r>
        <w:rPr>
          <w:sz w:val="26"/>
          <w:szCs w:val="26"/>
          <w:lang w:bidi="ar"/>
        </w:rPr>
        <w:t xml:space="preserve">表7.1-4  </w:t>
      </w:r>
      <w:r>
        <w:rPr>
          <w:rFonts w:hint="eastAsia"/>
          <w:sz w:val="26"/>
          <w:szCs w:val="26"/>
          <w:lang w:bidi="ar"/>
        </w:rPr>
        <w:t>凝析油</w:t>
      </w:r>
      <w:r>
        <w:rPr>
          <w:sz w:val="26"/>
          <w:szCs w:val="26"/>
          <w:lang w:bidi="ar"/>
        </w:rPr>
        <w:t>理化性质特性表</w:t>
      </w:r>
    </w:p>
    <w:tbl>
      <w:tblPr>
        <w:tblStyle w:val="89"/>
        <w:tblW w:w="829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704"/>
        <w:gridCol w:w="2308"/>
        <w:gridCol w:w="1075"/>
        <w:gridCol w:w="615"/>
        <w:gridCol w:w="1173"/>
        <w:gridCol w:w="314"/>
        <w:gridCol w:w="305"/>
        <w:gridCol w:w="1802"/>
      </w:tblGrid>
      <w:tr w14:paraId="508E4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704" w:type="dxa"/>
            <w:vMerge w:val="restart"/>
            <w:shd w:val="clear" w:color="auto" w:fill="FFFFFF"/>
            <w:vAlign w:val="center"/>
          </w:tcPr>
          <w:p w14:paraId="6B659263">
            <w:pPr>
              <w:jc w:val="center"/>
              <w:rPr>
                <w:sz w:val="22"/>
                <w:szCs w:val="22"/>
              </w:rPr>
            </w:pPr>
            <w:r>
              <w:rPr>
                <w:sz w:val="22"/>
                <w:szCs w:val="22"/>
              </w:rPr>
              <w:t>标识</w:t>
            </w:r>
          </w:p>
        </w:tc>
        <w:tc>
          <w:tcPr>
            <w:tcW w:w="3383" w:type="dxa"/>
            <w:gridSpan w:val="2"/>
            <w:shd w:val="clear" w:color="auto" w:fill="FFFFFF"/>
            <w:vAlign w:val="center"/>
          </w:tcPr>
          <w:p w14:paraId="32ADE2B7">
            <w:pPr>
              <w:jc w:val="center"/>
              <w:rPr>
                <w:sz w:val="22"/>
                <w:szCs w:val="22"/>
              </w:rPr>
            </w:pPr>
            <w:r>
              <w:rPr>
                <w:sz w:val="22"/>
                <w:szCs w:val="22"/>
              </w:rPr>
              <w:t>中文名：凝析油</w:t>
            </w:r>
          </w:p>
        </w:tc>
        <w:tc>
          <w:tcPr>
            <w:tcW w:w="2102" w:type="dxa"/>
            <w:gridSpan w:val="3"/>
            <w:shd w:val="clear" w:color="auto" w:fill="FFFFFF"/>
            <w:vAlign w:val="center"/>
          </w:tcPr>
          <w:p w14:paraId="53DF5EF8">
            <w:pPr>
              <w:jc w:val="center"/>
              <w:rPr>
                <w:sz w:val="22"/>
                <w:szCs w:val="22"/>
              </w:rPr>
            </w:pPr>
            <w:r>
              <w:rPr>
                <w:sz w:val="22"/>
                <w:szCs w:val="22"/>
              </w:rPr>
              <w:t>英文名：/</w:t>
            </w:r>
          </w:p>
        </w:tc>
        <w:tc>
          <w:tcPr>
            <w:tcW w:w="2107" w:type="dxa"/>
            <w:gridSpan w:val="2"/>
            <w:shd w:val="clear" w:color="auto" w:fill="FFFFFF"/>
            <w:vAlign w:val="center"/>
          </w:tcPr>
          <w:p w14:paraId="3B4B3DCA">
            <w:pPr>
              <w:jc w:val="center"/>
              <w:rPr>
                <w:sz w:val="22"/>
                <w:szCs w:val="22"/>
              </w:rPr>
            </w:pPr>
            <w:r>
              <w:rPr>
                <w:sz w:val="22"/>
                <w:szCs w:val="22"/>
              </w:rPr>
              <w:t>CAS号：/</w:t>
            </w:r>
          </w:p>
        </w:tc>
      </w:tr>
      <w:tr w14:paraId="1C28A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704" w:type="dxa"/>
            <w:vMerge w:val="continue"/>
            <w:shd w:val="clear" w:color="auto" w:fill="FFFFFF"/>
            <w:vAlign w:val="center"/>
          </w:tcPr>
          <w:p w14:paraId="7D02898C">
            <w:pPr>
              <w:jc w:val="center"/>
              <w:rPr>
                <w:sz w:val="22"/>
                <w:szCs w:val="22"/>
              </w:rPr>
            </w:pPr>
          </w:p>
        </w:tc>
        <w:tc>
          <w:tcPr>
            <w:tcW w:w="3383" w:type="dxa"/>
            <w:gridSpan w:val="2"/>
            <w:shd w:val="clear" w:color="auto" w:fill="FFFFFF"/>
            <w:vAlign w:val="center"/>
          </w:tcPr>
          <w:p w14:paraId="6563CB00">
            <w:pPr>
              <w:jc w:val="center"/>
              <w:rPr>
                <w:sz w:val="22"/>
                <w:szCs w:val="22"/>
              </w:rPr>
            </w:pPr>
            <w:r>
              <w:rPr>
                <w:sz w:val="22"/>
                <w:szCs w:val="22"/>
              </w:rPr>
              <w:t>分子式：C</w:t>
            </w:r>
            <w:r>
              <w:rPr>
                <w:sz w:val="22"/>
                <w:szCs w:val="22"/>
                <w:vertAlign w:val="subscript"/>
              </w:rPr>
              <w:t>5</w:t>
            </w:r>
            <w:r>
              <w:rPr>
                <w:sz w:val="22"/>
                <w:szCs w:val="22"/>
              </w:rPr>
              <w:t>~C</w:t>
            </w:r>
            <w:r>
              <w:rPr>
                <w:sz w:val="22"/>
                <w:szCs w:val="22"/>
                <w:vertAlign w:val="subscript"/>
              </w:rPr>
              <w:t>8</w:t>
            </w:r>
            <w:r>
              <w:rPr>
                <w:sz w:val="22"/>
                <w:szCs w:val="22"/>
              </w:rPr>
              <w:t>的混合物</w:t>
            </w:r>
          </w:p>
        </w:tc>
        <w:tc>
          <w:tcPr>
            <w:tcW w:w="2102" w:type="dxa"/>
            <w:gridSpan w:val="3"/>
            <w:shd w:val="clear" w:color="auto" w:fill="FFFFFF"/>
            <w:vAlign w:val="center"/>
          </w:tcPr>
          <w:p w14:paraId="406FA4AE">
            <w:pPr>
              <w:jc w:val="center"/>
              <w:rPr>
                <w:sz w:val="22"/>
                <w:szCs w:val="22"/>
              </w:rPr>
            </w:pPr>
            <w:r>
              <w:rPr>
                <w:sz w:val="22"/>
                <w:szCs w:val="22"/>
              </w:rPr>
              <w:t>分子量：/</w:t>
            </w:r>
          </w:p>
        </w:tc>
        <w:tc>
          <w:tcPr>
            <w:tcW w:w="2107" w:type="dxa"/>
            <w:gridSpan w:val="2"/>
            <w:shd w:val="clear" w:color="auto" w:fill="FFFFFF"/>
            <w:vAlign w:val="center"/>
          </w:tcPr>
          <w:p w14:paraId="160D6D59">
            <w:pPr>
              <w:jc w:val="center"/>
              <w:rPr>
                <w:sz w:val="22"/>
                <w:szCs w:val="22"/>
              </w:rPr>
            </w:pPr>
          </w:p>
        </w:tc>
      </w:tr>
      <w:tr w14:paraId="52441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704" w:type="dxa"/>
            <w:vMerge w:val="restart"/>
            <w:shd w:val="clear" w:color="auto" w:fill="FFFFFF"/>
            <w:vAlign w:val="center"/>
          </w:tcPr>
          <w:p w14:paraId="5E11AFD6">
            <w:pPr>
              <w:jc w:val="center"/>
              <w:rPr>
                <w:sz w:val="22"/>
                <w:szCs w:val="22"/>
              </w:rPr>
            </w:pPr>
            <w:r>
              <w:rPr>
                <w:sz w:val="22"/>
                <w:szCs w:val="22"/>
              </w:rPr>
              <w:t>理化特性</w:t>
            </w:r>
          </w:p>
        </w:tc>
        <w:tc>
          <w:tcPr>
            <w:tcW w:w="2308" w:type="dxa"/>
            <w:shd w:val="clear" w:color="auto" w:fill="FFFFFF"/>
            <w:vAlign w:val="center"/>
          </w:tcPr>
          <w:p w14:paraId="67938386">
            <w:pPr>
              <w:jc w:val="center"/>
              <w:rPr>
                <w:sz w:val="22"/>
                <w:szCs w:val="22"/>
              </w:rPr>
            </w:pPr>
            <w:r>
              <w:rPr>
                <w:sz w:val="22"/>
                <w:szCs w:val="22"/>
              </w:rPr>
              <w:t>形状</w:t>
            </w:r>
          </w:p>
        </w:tc>
        <w:tc>
          <w:tcPr>
            <w:tcW w:w="1690" w:type="dxa"/>
            <w:gridSpan w:val="2"/>
            <w:shd w:val="clear" w:color="auto" w:fill="FFFFFF"/>
            <w:vAlign w:val="center"/>
          </w:tcPr>
          <w:p w14:paraId="2129A344">
            <w:pPr>
              <w:jc w:val="center"/>
              <w:rPr>
                <w:sz w:val="22"/>
                <w:szCs w:val="22"/>
              </w:rPr>
            </w:pPr>
            <w:r>
              <w:rPr>
                <w:sz w:val="22"/>
                <w:szCs w:val="22"/>
              </w:rPr>
              <w:t>无色透明液体</w:t>
            </w:r>
          </w:p>
        </w:tc>
        <w:tc>
          <w:tcPr>
            <w:tcW w:w="1173" w:type="dxa"/>
            <w:shd w:val="clear" w:color="auto" w:fill="FFFFFF"/>
            <w:vAlign w:val="center"/>
          </w:tcPr>
          <w:p w14:paraId="55693DA5">
            <w:pPr>
              <w:jc w:val="center"/>
              <w:rPr>
                <w:sz w:val="22"/>
                <w:szCs w:val="22"/>
              </w:rPr>
            </w:pPr>
            <w:r>
              <w:rPr>
                <w:sz w:val="22"/>
                <w:szCs w:val="22"/>
              </w:rPr>
              <w:t>溶解性</w:t>
            </w:r>
          </w:p>
        </w:tc>
        <w:tc>
          <w:tcPr>
            <w:tcW w:w="2421" w:type="dxa"/>
            <w:gridSpan w:val="3"/>
            <w:shd w:val="clear" w:color="auto" w:fill="FFFFFF"/>
            <w:vAlign w:val="center"/>
          </w:tcPr>
          <w:p w14:paraId="416EC9E5">
            <w:pPr>
              <w:jc w:val="center"/>
              <w:rPr>
                <w:sz w:val="22"/>
                <w:szCs w:val="22"/>
              </w:rPr>
            </w:pPr>
            <w:r>
              <w:rPr>
                <w:sz w:val="22"/>
                <w:szCs w:val="22"/>
              </w:rPr>
              <w:t>可与醇、柴油等混溶</w:t>
            </w:r>
          </w:p>
        </w:tc>
      </w:tr>
      <w:tr w14:paraId="1FFE9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704" w:type="dxa"/>
            <w:vMerge w:val="continue"/>
            <w:shd w:val="clear" w:color="auto" w:fill="FFFFFF"/>
            <w:vAlign w:val="center"/>
          </w:tcPr>
          <w:p w14:paraId="1A80D0C6">
            <w:pPr>
              <w:jc w:val="center"/>
              <w:rPr>
                <w:sz w:val="22"/>
                <w:szCs w:val="22"/>
              </w:rPr>
            </w:pPr>
          </w:p>
        </w:tc>
        <w:tc>
          <w:tcPr>
            <w:tcW w:w="2308" w:type="dxa"/>
            <w:shd w:val="clear" w:color="auto" w:fill="FFFFFF"/>
            <w:vAlign w:val="center"/>
          </w:tcPr>
          <w:p w14:paraId="5AD5FEFD">
            <w:pPr>
              <w:jc w:val="center"/>
              <w:rPr>
                <w:sz w:val="22"/>
                <w:szCs w:val="22"/>
              </w:rPr>
            </w:pPr>
            <w:r>
              <w:rPr>
                <w:sz w:val="22"/>
                <w:szCs w:val="22"/>
              </w:rPr>
              <w:t>熔点</w:t>
            </w:r>
          </w:p>
        </w:tc>
        <w:tc>
          <w:tcPr>
            <w:tcW w:w="1690" w:type="dxa"/>
            <w:gridSpan w:val="2"/>
            <w:shd w:val="clear" w:color="auto" w:fill="FFFFFF"/>
            <w:vAlign w:val="center"/>
          </w:tcPr>
          <w:p w14:paraId="5EA41F8D">
            <w:pPr>
              <w:jc w:val="center"/>
              <w:rPr>
                <w:sz w:val="22"/>
                <w:szCs w:val="22"/>
              </w:rPr>
            </w:pPr>
            <w:r>
              <w:rPr>
                <w:sz w:val="22"/>
                <w:szCs w:val="22"/>
              </w:rPr>
              <w:t>无资料</w:t>
            </w:r>
          </w:p>
        </w:tc>
        <w:tc>
          <w:tcPr>
            <w:tcW w:w="1792" w:type="dxa"/>
            <w:gridSpan w:val="3"/>
            <w:shd w:val="clear" w:color="auto" w:fill="FFFFFF"/>
            <w:vAlign w:val="center"/>
          </w:tcPr>
          <w:p w14:paraId="595B56C9">
            <w:pPr>
              <w:jc w:val="center"/>
              <w:rPr>
                <w:sz w:val="22"/>
                <w:szCs w:val="22"/>
              </w:rPr>
            </w:pPr>
            <w:r>
              <w:rPr>
                <w:sz w:val="22"/>
                <w:szCs w:val="22"/>
              </w:rPr>
              <w:t>临界压力（Mpa）</w:t>
            </w:r>
          </w:p>
        </w:tc>
        <w:tc>
          <w:tcPr>
            <w:tcW w:w="1802" w:type="dxa"/>
            <w:shd w:val="clear" w:color="auto" w:fill="FFFFFF"/>
            <w:vAlign w:val="center"/>
          </w:tcPr>
          <w:p w14:paraId="201D52CF">
            <w:pPr>
              <w:jc w:val="center"/>
              <w:rPr>
                <w:sz w:val="22"/>
                <w:szCs w:val="22"/>
              </w:rPr>
            </w:pPr>
            <w:r>
              <w:rPr>
                <w:sz w:val="22"/>
                <w:szCs w:val="22"/>
              </w:rPr>
              <w:t>/</w:t>
            </w:r>
          </w:p>
        </w:tc>
      </w:tr>
      <w:tr w14:paraId="081A8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704" w:type="dxa"/>
            <w:vMerge w:val="continue"/>
            <w:shd w:val="clear" w:color="auto" w:fill="FFFFFF"/>
            <w:vAlign w:val="center"/>
          </w:tcPr>
          <w:p w14:paraId="050154D4">
            <w:pPr>
              <w:jc w:val="center"/>
              <w:rPr>
                <w:sz w:val="22"/>
                <w:szCs w:val="22"/>
              </w:rPr>
            </w:pPr>
          </w:p>
        </w:tc>
        <w:tc>
          <w:tcPr>
            <w:tcW w:w="2308" w:type="dxa"/>
            <w:shd w:val="clear" w:color="auto" w:fill="FFFFFF"/>
            <w:vAlign w:val="center"/>
          </w:tcPr>
          <w:p w14:paraId="1F200988">
            <w:pPr>
              <w:jc w:val="center"/>
              <w:rPr>
                <w:sz w:val="22"/>
                <w:szCs w:val="22"/>
              </w:rPr>
            </w:pPr>
            <w:r>
              <w:rPr>
                <w:sz w:val="22"/>
                <w:szCs w:val="22"/>
              </w:rPr>
              <w:t>沸点</w:t>
            </w:r>
          </w:p>
        </w:tc>
        <w:tc>
          <w:tcPr>
            <w:tcW w:w="1690" w:type="dxa"/>
            <w:gridSpan w:val="2"/>
            <w:shd w:val="clear" w:color="auto" w:fill="FFFFFF"/>
            <w:vAlign w:val="center"/>
          </w:tcPr>
          <w:p w14:paraId="2B1A68F2">
            <w:pPr>
              <w:jc w:val="center"/>
              <w:rPr>
                <w:sz w:val="22"/>
                <w:szCs w:val="22"/>
              </w:rPr>
            </w:pPr>
            <w:r>
              <w:rPr>
                <w:sz w:val="22"/>
                <w:szCs w:val="22"/>
              </w:rPr>
              <w:t>无资料</w:t>
            </w:r>
          </w:p>
        </w:tc>
        <w:tc>
          <w:tcPr>
            <w:tcW w:w="1792" w:type="dxa"/>
            <w:gridSpan w:val="3"/>
            <w:shd w:val="clear" w:color="auto" w:fill="FFFFFF"/>
            <w:vAlign w:val="center"/>
          </w:tcPr>
          <w:p w14:paraId="2F38CAC8">
            <w:pPr>
              <w:jc w:val="center"/>
              <w:rPr>
                <w:sz w:val="22"/>
                <w:szCs w:val="22"/>
              </w:rPr>
            </w:pPr>
            <w:r>
              <w:rPr>
                <w:sz w:val="22"/>
                <w:szCs w:val="22"/>
              </w:rPr>
              <w:t>相对密度（水=1）</w:t>
            </w:r>
          </w:p>
        </w:tc>
        <w:tc>
          <w:tcPr>
            <w:tcW w:w="1802" w:type="dxa"/>
            <w:shd w:val="clear" w:color="auto" w:fill="FFFFFF"/>
            <w:vAlign w:val="center"/>
          </w:tcPr>
          <w:p w14:paraId="30C81D58">
            <w:pPr>
              <w:jc w:val="center"/>
              <w:rPr>
                <w:sz w:val="22"/>
                <w:szCs w:val="22"/>
              </w:rPr>
            </w:pPr>
            <w:r>
              <w:rPr>
                <w:sz w:val="22"/>
                <w:szCs w:val="22"/>
              </w:rPr>
              <w:t>0.68~0.79</w:t>
            </w:r>
          </w:p>
        </w:tc>
      </w:tr>
      <w:tr w14:paraId="10B6A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704" w:type="dxa"/>
            <w:vMerge w:val="continue"/>
            <w:shd w:val="clear" w:color="auto" w:fill="FFFFFF"/>
            <w:vAlign w:val="center"/>
          </w:tcPr>
          <w:p w14:paraId="7C8AB75F">
            <w:pPr>
              <w:jc w:val="center"/>
              <w:rPr>
                <w:sz w:val="22"/>
                <w:szCs w:val="22"/>
              </w:rPr>
            </w:pPr>
          </w:p>
        </w:tc>
        <w:tc>
          <w:tcPr>
            <w:tcW w:w="2308" w:type="dxa"/>
            <w:shd w:val="clear" w:color="auto" w:fill="FFFFFF"/>
            <w:vAlign w:val="center"/>
          </w:tcPr>
          <w:p w14:paraId="70A9AB6C">
            <w:pPr>
              <w:jc w:val="center"/>
              <w:rPr>
                <w:sz w:val="22"/>
                <w:szCs w:val="22"/>
              </w:rPr>
            </w:pPr>
            <w:r>
              <w:rPr>
                <w:rFonts w:hint="eastAsia"/>
                <w:sz w:val="22"/>
                <w:szCs w:val="22"/>
              </w:rPr>
              <w:t>饱和蒸汽压</w:t>
            </w:r>
            <w:r>
              <w:rPr>
                <w:sz w:val="22"/>
                <w:szCs w:val="22"/>
              </w:rPr>
              <w:t>（kpa）</w:t>
            </w:r>
          </w:p>
        </w:tc>
        <w:tc>
          <w:tcPr>
            <w:tcW w:w="1690" w:type="dxa"/>
            <w:gridSpan w:val="2"/>
            <w:shd w:val="clear" w:color="auto" w:fill="FFFFFF"/>
            <w:vAlign w:val="center"/>
          </w:tcPr>
          <w:p w14:paraId="38224E70">
            <w:pPr>
              <w:jc w:val="center"/>
              <w:rPr>
                <w:sz w:val="22"/>
                <w:szCs w:val="22"/>
              </w:rPr>
            </w:pPr>
            <w:r>
              <w:rPr>
                <w:sz w:val="22"/>
                <w:szCs w:val="22"/>
              </w:rPr>
              <w:t>无资料</w:t>
            </w:r>
          </w:p>
        </w:tc>
        <w:tc>
          <w:tcPr>
            <w:tcW w:w="1792" w:type="dxa"/>
            <w:gridSpan w:val="3"/>
            <w:shd w:val="clear" w:color="auto" w:fill="FFFFFF"/>
            <w:vAlign w:val="center"/>
          </w:tcPr>
          <w:p w14:paraId="1727F070">
            <w:pPr>
              <w:jc w:val="center"/>
              <w:rPr>
                <w:sz w:val="22"/>
                <w:szCs w:val="22"/>
              </w:rPr>
            </w:pPr>
            <w:r>
              <w:rPr>
                <w:sz w:val="22"/>
                <w:szCs w:val="22"/>
              </w:rPr>
              <w:t>相对密度（空气=1）</w:t>
            </w:r>
          </w:p>
        </w:tc>
        <w:tc>
          <w:tcPr>
            <w:tcW w:w="1802" w:type="dxa"/>
            <w:shd w:val="clear" w:color="auto" w:fill="FFFFFF"/>
            <w:vAlign w:val="center"/>
          </w:tcPr>
          <w:p w14:paraId="723FB2AE">
            <w:pPr>
              <w:jc w:val="center"/>
              <w:rPr>
                <w:sz w:val="22"/>
                <w:szCs w:val="22"/>
              </w:rPr>
            </w:pPr>
            <w:r>
              <w:rPr>
                <w:sz w:val="22"/>
                <w:szCs w:val="22"/>
              </w:rPr>
              <w:t>无资料</w:t>
            </w:r>
          </w:p>
        </w:tc>
      </w:tr>
      <w:tr w14:paraId="79044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704" w:type="dxa"/>
            <w:shd w:val="clear" w:color="auto" w:fill="FFFFFF"/>
            <w:vAlign w:val="center"/>
          </w:tcPr>
          <w:p w14:paraId="4B31B86A">
            <w:pPr>
              <w:jc w:val="center"/>
              <w:rPr>
                <w:sz w:val="22"/>
                <w:szCs w:val="22"/>
              </w:rPr>
            </w:pPr>
            <w:r>
              <w:rPr>
                <w:sz w:val="22"/>
                <w:szCs w:val="22"/>
              </w:rPr>
              <w:t>危险性概述</w:t>
            </w:r>
          </w:p>
        </w:tc>
        <w:tc>
          <w:tcPr>
            <w:tcW w:w="7592" w:type="dxa"/>
            <w:gridSpan w:val="7"/>
            <w:shd w:val="clear" w:color="auto" w:fill="FFFFFF"/>
            <w:vAlign w:val="center"/>
          </w:tcPr>
          <w:p w14:paraId="4D7C89EE">
            <w:pPr>
              <w:rPr>
                <w:sz w:val="22"/>
                <w:szCs w:val="22"/>
              </w:rPr>
            </w:pPr>
            <w:r>
              <w:rPr>
                <w:sz w:val="22"/>
                <w:szCs w:val="22"/>
              </w:rPr>
              <w:t>危险性类别：第3.1类，低闪点易燃液体。</w:t>
            </w:r>
          </w:p>
          <w:p w14:paraId="3DC45DFB">
            <w:pPr>
              <w:rPr>
                <w:sz w:val="22"/>
                <w:szCs w:val="22"/>
              </w:rPr>
            </w:pPr>
            <w:r>
              <w:rPr>
                <w:sz w:val="22"/>
                <w:szCs w:val="22"/>
              </w:rPr>
              <w:t>侵入途径：经口、鼻进入消化和呼吸系统。</w:t>
            </w:r>
          </w:p>
          <w:p w14:paraId="31563CF4">
            <w:pPr>
              <w:rPr>
                <w:sz w:val="22"/>
                <w:szCs w:val="22"/>
              </w:rPr>
            </w:pPr>
            <w:r>
              <w:rPr>
                <w:sz w:val="22"/>
                <w:szCs w:val="22"/>
              </w:rPr>
              <w:t>健康危害：油品蒸汽经口、鼻进入消化和呼吸系统，能使人器官受害而产生急性和慢性中毒。如果空气中的油品蒸汽含量为0.28%时，经过12~14min，人便会感到头昏；如含量达到1.13~2.22%时，便会产生急性中毒，使人难以支持；当油品含量更高时，会使人立即昏倒，丧失知觉。慢性中毒的结果会使人患慢性病，产生头昏、疲倦、嗜睡等症状。若皮肤经常与油品接触，会产生脱脂、干燥、裂口、皮炎和局部神经麻木。油品落入口腔、眼睛时，会使黏膜枯萎、有时会出血。</w:t>
            </w:r>
          </w:p>
          <w:p w14:paraId="546D1D27">
            <w:pPr>
              <w:rPr>
                <w:sz w:val="22"/>
                <w:szCs w:val="22"/>
              </w:rPr>
            </w:pPr>
            <w:r>
              <w:rPr>
                <w:sz w:val="22"/>
                <w:szCs w:val="22"/>
              </w:rPr>
              <w:t>环境危害：该物质对环境有危害，对水体应给予特别注意。</w:t>
            </w:r>
          </w:p>
        </w:tc>
      </w:tr>
      <w:tr w14:paraId="5455C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704" w:type="dxa"/>
            <w:shd w:val="clear" w:color="auto" w:fill="FFFFFF"/>
            <w:vAlign w:val="center"/>
          </w:tcPr>
          <w:p w14:paraId="349A5368">
            <w:pPr>
              <w:jc w:val="center"/>
              <w:rPr>
                <w:sz w:val="22"/>
                <w:szCs w:val="22"/>
              </w:rPr>
            </w:pPr>
            <w:r>
              <w:rPr>
                <w:sz w:val="22"/>
                <w:szCs w:val="22"/>
              </w:rPr>
              <w:t>毒理学资料</w:t>
            </w:r>
          </w:p>
        </w:tc>
        <w:tc>
          <w:tcPr>
            <w:tcW w:w="7592" w:type="dxa"/>
            <w:gridSpan w:val="7"/>
            <w:shd w:val="clear" w:color="auto" w:fill="FFFFFF"/>
            <w:vAlign w:val="center"/>
          </w:tcPr>
          <w:p w14:paraId="1F7E7F8B">
            <w:pPr>
              <w:rPr>
                <w:sz w:val="22"/>
                <w:szCs w:val="22"/>
              </w:rPr>
            </w:pPr>
            <w:r>
              <w:rPr>
                <w:sz w:val="22"/>
                <w:szCs w:val="22"/>
              </w:rPr>
              <w:t>急性毒性：急性中毒：轻者有头痛、头晕、轻度兴奋、步态蹒跚等醉酒状态。重者出现明显头痛、恶心、呕吐、神志模糊、知觉丧失、昏迷、抽搐等，可因呼吸和循环衰竭而死亡。</w:t>
            </w:r>
          </w:p>
          <w:p w14:paraId="52EFCB44">
            <w:pPr>
              <w:rPr>
                <w:sz w:val="22"/>
                <w:szCs w:val="22"/>
              </w:rPr>
            </w:pPr>
            <w:r>
              <w:rPr>
                <w:sz w:val="22"/>
                <w:szCs w:val="22"/>
              </w:rPr>
              <w:t>刺激性：对皮肤、黏膜有刺激、致敏作用。</w:t>
            </w:r>
          </w:p>
        </w:tc>
      </w:tr>
      <w:tr w14:paraId="5D8C7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704" w:type="dxa"/>
            <w:shd w:val="clear" w:color="auto" w:fill="FFFFFF"/>
            <w:vAlign w:val="center"/>
          </w:tcPr>
          <w:p w14:paraId="7A8EE640">
            <w:pPr>
              <w:jc w:val="center"/>
              <w:rPr>
                <w:sz w:val="22"/>
                <w:szCs w:val="22"/>
              </w:rPr>
            </w:pPr>
            <w:r>
              <w:rPr>
                <w:sz w:val="22"/>
                <w:szCs w:val="22"/>
              </w:rPr>
              <w:t>急救措施</w:t>
            </w:r>
          </w:p>
        </w:tc>
        <w:tc>
          <w:tcPr>
            <w:tcW w:w="7592" w:type="dxa"/>
            <w:gridSpan w:val="7"/>
            <w:shd w:val="clear" w:color="auto" w:fill="FFFFFF"/>
            <w:vAlign w:val="center"/>
          </w:tcPr>
          <w:p w14:paraId="572421DB">
            <w:pPr>
              <w:rPr>
                <w:sz w:val="22"/>
                <w:szCs w:val="22"/>
              </w:rPr>
            </w:pPr>
            <w:r>
              <w:rPr>
                <w:sz w:val="22"/>
                <w:szCs w:val="22"/>
              </w:rPr>
              <w:t>皮肤接触：立即脱去被污染的衣着，用肥皂水及清水彻底冲洗皮肤，就医。</w:t>
            </w:r>
          </w:p>
          <w:p w14:paraId="2033AB19">
            <w:pPr>
              <w:rPr>
                <w:sz w:val="22"/>
                <w:szCs w:val="22"/>
              </w:rPr>
            </w:pPr>
            <w:r>
              <w:rPr>
                <w:sz w:val="22"/>
                <w:szCs w:val="22"/>
              </w:rPr>
              <w:t>眼睛接触：立即翻开上下眼睑，用大量流动水冲洗或生理盐水彻底冲洗至少15min，就医。</w:t>
            </w:r>
          </w:p>
          <w:p w14:paraId="79379E11">
            <w:pPr>
              <w:rPr>
                <w:sz w:val="22"/>
                <w:szCs w:val="22"/>
              </w:rPr>
            </w:pPr>
            <w:r>
              <w:rPr>
                <w:sz w:val="22"/>
                <w:szCs w:val="22"/>
              </w:rPr>
              <w:t>吸入：迅速脱离现场至空气新鲜处。保持呼吸道畅通。如呼吸困难，给输氧。如呼吸停止，立即进行人工呼吸，就医。</w:t>
            </w:r>
          </w:p>
          <w:p w14:paraId="65B7F706">
            <w:pPr>
              <w:rPr>
                <w:sz w:val="22"/>
                <w:szCs w:val="22"/>
              </w:rPr>
            </w:pPr>
            <w:r>
              <w:rPr>
                <w:sz w:val="22"/>
                <w:szCs w:val="22"/>
              </w:rPr>
              <w:t>食入：误服者立即漱口，给饮牛奶或用植物油洗胃和灌肠，就医。</w:t>
            </w:r>
          </w:p>
        </w:tc>
      </w:tr>
      <w:tr w14:paraId="78463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704" w:type="dxa"/>
            <w:shd w:val="clear" w:color="auto" w:fill="FFFFFF"/>
            <w:vAlign w:val="center"/>
          </w:tcPr>
          <w:p w14:paraId="71A2FD20">
            <w:pPr>
              <w:jc w:val="center"/>
              <w:rPr>
                <w:sz w:val="22"/>
                <w:szCs w:val="22"/>
              </w:rPr>
            </w:pPr>
            <w:r>
              <w:rPr>
                <w:sz w:val="22"/>
                <w:szCs w:val="22"/>
              </w:rPr>
              <w:t>防护</w:t>
            </w:r>
          </w:p>
        </w:tc>
        <w:tc>
          <w:tcPr>
            <w:tcW w:w="7592" w:type="dxa"/>
            <w:gridSpan w:val="7"/>
            <w:shd w:val="clear" w:color="auto" w:fill="FFFFFF"/>
            <w:vAlign w:val="center"/>
          </w:tcPr>
          <w:p w14:paraId="14D595F6">
            <w:pPr>
              <w:rPr>
                <w:sz w:val="22"/>
                <w:szCs w:val="22"/>
              </w:rPr>
            </w:pPr>
            <w:r>
              <w:rPr>
                <w:sz w:val="22"/>
                <w:szCs w:val="22"/>
              </w:rPr>
              <w:t>最高容许浓度：300mg/m</w:t>
            </w:r>
            <w:r>
              <w:rPr>
                <w:sz w:val="22"/>
                <w:szCs w:val="22"/>
                <w:vertAlign w:val="superscript"/>
              </w:rPr>
              <w:t>3</w:t>
            </w:r>
            <w:r>
              <w:rPr>
                <w:sz w:val="22"/>
                <w:szCs w:val="22"/>
              </w:rPr>
              <w:t>。</w:t>
            </w:r>
          </w:p>
          <w:p w14:paraId="60E6B00B">
            <w:pPr>
              <w:rPr>
                <w:sz w:val="22"/>
                <w:szCs w:val="22"/>
              </w:rPr>
            </w:pPr>
            <w:r>
              <w:rPr>
                <w:sz w:val="22"/>
                <w:szCs w:val="22"/>
              </w:rPr>
              <w:t>监测方法：气相色谱法。</w:t>
            </w:r>
          </w:p>
          <w:p w14:paraId="0CFC803F">
            <w:pPr>
              <w:rPr>
                <w:sz w:val="22"/>
                <w:szCs w:val="22"/>
              </w:rPr>
            </w:pPr>
            <w:r>
              <w:rPr>
                <w:sz w:val="22"/>
                <w:szCs w:val="22"/>
              </w:rPr>
              <w:t>工程控制：生产过程密闭，全面通风。</w:t>
            </w:r>
          </w:p>
          <w:p w14:paraId="4DD0BA17">
            <w:pPr>
              <w:rPr>
                <w:sz w:val="22"/>
                <w:szCs w:val="22"/>
              </w:rPr>
            </w:pPr>
            <w:r>
              <w:rPr>
                <w:sz w:val="22"/>
                <w:szCs w:val="22"/>
              </w:rPr>
              <w:t>呼吸系统防护：一般不需要特殊防护，高浓度接触式可佩戴自吸过滤式防毒面具。</w:t>
            </w:r>
          </w:p>
          <w:p w14:paraId="5B7FEFF3">
            <w:pPr>
              <w:rPr>
                <w:sz w:val="22"/>
                <w:szCs w:val="22"/>
              </w:rPr>
            </w:pPr>
            <w:r>
              <w:rPr>
                <w:sz w:val="22"/>
                <w:szCs w:val="22"/>
              </w:rPr>
              <w:t>眼睛防护：一般不需要特殊防护，高浓度接触时可佩戴安全防护镜。</w:t>
            </w:r>
          </w:p>
          <w:p w14:paraId="5625372F">
            <w:pPr>
              <w:rPr>
                <w:sz w:val="22"/>
                <w:szCs w:val="22"/>
              </w:rPr>
            </w:pPr>
            <w:r>
              <w:rPr>
                <w:sz w:val="22"/>
                <w:szCs w:val="22"/>
              </w:rPr>
              <w:t>防护服：穿防静电工作服。</w:t>
            </w:r>
          </w:p>
          <w:p w14:paraId="6CC2F437">
            <w:pPr>
              <w:rPr>
                <w:sz w:val="22"/>
                <w:szCs w:val="22"/>
              </w:rPr>
            </w:pPr>
            <w:r>
              <w:rPr>
                <w:sz w:val="22"/>
                <w:szCs w:val="22"/>
              </w:rPr>
              <w:t>手防护：戴耐油防护手套。</w:t>
            </w:r>
          </w:p>
          <w:p w14:paraId="0E1FE2A3">
            <w:pPr>
              <w:rPr>
                <w:sz w:val="22"/>
                <w:szCs w:val="22"/>
              </w:rPr>
            </w:pPr>
            <w:r>
              <w:rPr>
                <w:sz w:val="22"/>
                <w:szCs w:val="22"/>
              </w:rPr>
              <w:t>其他防护：工作现场</w:t>
            </w:r>
            <w:r>
              <w:rPr>
                <w:rFonts w:hint="eastAsia"/>
                <w:sz w:val="22"/>
                <w:szCs w:val="22"/>
              </w:rPr>
              <w:t>禁止吸烟</w:t>
            </w:r>
            <w:r>
              <w:rPr>
                <w:sz w:val="22"/>
                <w:szCs w:val="22"/>
              </w:rPr>
              <w:t>、进食和饮水。工作后，淋浴更衣。进行就业前和定期的体检。</w:t>
            </w:r>
          </w:p>
        </w:tc>
      </w:tr>
      <w:tr w14:paraId="3EF34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704" w:type="dxa"/>
            <w:shd w:val="clear" w:color="auto" w:fill="FFFFFF"/>
            <w:vAlign w:val="center"/>
          </w:tcPr>
          <w:p w14:paraId="389431FE">
            <w:pPr>
              <w:jc w:val="center"/>
              <w:rPr>
                <w:sz w:val="22"/>
                <w:szCs w:val="22"/>
              </w:rPr>
            </w:pPr>
            <w:r>
              <w:rPr>
                <w:sz w:val="22"/>
                <w:szCs w:val="22"/>
              </w:rPr>
              <w:t>泄漏应急处理</w:t>
            </w:r>
          </w:p>
        </w:tc>
        <w:tc>
          <w:tcPr>
            <w:tcW w:w="7592" w:type="dxa"/>
            <w:gridSpan w:val="7"/>
            <w:shd w:val="clear" w:color="auto" w:fill="FFFFFF"/>
            <w:vAlign w:val="center"/>
          </w:tcPr>
          <w:p w14:paraId="284EA9A1">
            <w:pPr>
              <w:rPr>
                <w:sz w:val="22"/>
                <w:szCs w:val="22"/>
              </w:rPr>
            </w:pPr>
            <w:r>
              <w:rPr>
                <w:sz w:val="22"/>
                <w:szCs w:val="22"/>
              </w:rPr>
              <w:t>应急处理：切断火源。疏散泄漏污染的人员至安全区，禁止无关人员进入污染区。建议应急处理人员戴自给式呼吸器，穿一般消防防护服，戴防毒面具及手套。在确保安全情况下堵漏。喷水雾可减少蒸发，但不能降低泄漏物在受限空间内的易燃性。可用活性炭或其他惰性材料吸收，然后使用无火花工具收集运至废物处理场所处理。或用沙土混合，倒至空旷地方任其蒸发，污染地面用不燃性分散剂制成的乳液刷洗，清洗水可放入废水处理系统回收处理。如大量泄漏，利用围堤收容，然后收集、转移、回收或无害化处理。</w:t>
            </w:r>
          </w:p>
          <w:p w14:paraId="6CCE3C7C">
            <w:pPr>
              <w:rPr>
                <w:sz w:val="22"/>
                <w:szCs w:val="22"/>
              </w:rPr>
            </w:pPr>
            <w:r>
              <w:rPr>
                <w:sz w:val="22"/>
                <w:szCs w:val="22"/>
              </w:rPr>
              <w:t>消除方法：用沙土等防止扩散或进入下水道、排水沟或河流。收集后运至废物处理场所处置。</w:t>
            </w:r>
          </w:p>
        </w:tc>
      </w:tr>
      <w:tr w14:paraId="55CA2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704" w:type="dxa"/>
            <w:shd w:val="clear" w:color="auto" w:fill="FFFFFF"/>
            <w:vAlign w:val="center"/>
          </w:tcPr>
          <w:p w14:paraId="160412BF">
            <w:pPr>
              <w:jc w:val="center"/>
              <w:rPr>
                <w:sz w:val="22"/>
                <w:szCs w:val="22"/>
              </w:rPr>
            </w:pPr>
            <w:r>
              <w:rPr>
                <w:sz w:val="22"/>
                <w:szCs w:val="22"/>
              </w:rPr>
              <w:t>储存</w:t>
            </w:r>
          </w:p>
        </w:tc>
        <w:tc>
          <w:tcPr>
            <w:tcW w:w="7592" w:type="dxa"/>
            <w:gridSpan w:val="7"/>
            <w:shd w:val="clear" w:color="auto" w:fill="FFFFFF"/>
            <w:vAlign w:val="center"/>
          </w:tcPr>
          <w:p w14:paraId="354FE9D3">
            <w:pPr>
              <w:rPr>
                <w:sz w:val="22"/>
                <w:szCs w:val="22"/>
              </w:rPr>
            </w:pPr>
            <w:r>
              <w:rPr>
                <w:sz w:val="22"/>
                <w:szCs w:val="22"/>
              </w:rPr>
              <w:t>储存注意事项：（1）大量易燃液体应储存在储罐内，桶装易燃液体应储存在规定要求的库存房内。（2）库房地坪和铺垫不渗油，不会因撞击而发生火花。（3）桶装易燃液体应直立存放，堆高不超过三层。（4）远离明火、热源、氧化剂和氧化性</w:t>
            </w:r>
            <w:r>
              <w:rPr>
                <w:rFonts w:hint="eastAsia"/>
                <w:sz w:val="22"/>
                <w:szCs w:val="22"/>
              </w:rPr>
              <w:t>酸类</w:t>
            </w:r>
            <w:r>
              <w:rPr>
                <w:sz w:val="22"/>
                <w:szCs w:val="22"/>
              </w:rPr>
              <w:t>。（5）不得与其他类别商品混储共运。（6）毒性较大的易燃液体在装卸和冲罐时应穿戴防护用品，有防护措施。（7）操作人员不得身带火种和穿着有铁钉的鞋和易产生静电的工作服。（8）操作人员不得离开岗位，夜间装卸作业应使用防爆式照明设备。</w:t>
            </w:r>
          </w:p>
        </w:tc>
      </w:tr>
    </w:tbl>
    <w:p w14:paraId="4710AE7A">
      <w:pPr>
        <w:pStyle w:val="1379"/>
        <w:ind w:firstLine="440"/>
      </w:pPr>
    </w:p>
    <w:p w14:paraId="660266FE">
      <w:pPr>
        <w:adjustRightInd w:val="0"/>
        <w:snapToGrid w:val="0"/>
        <w:spacing w:line="460" w:lineRule="exact"/>
        <w:ind w:firstLine="520" w:firstLineChars="200"/>
        <w:rPr>
          <w:sz w:val="26"/>
          <w:szCs w:val="26"/>
        </w:rPr>
      </w:pPr>
      <w:r>
        <w:rPr>
          <w:rFonts w:hint="eastAsia"/>
          <w:sz w:val="26"/>
          <w:szCs w:val="26"/>
        </w:rPr>
        <w:t>（</w:t>
      </w:r>
      <w:r>
        <w:rPr>
          <w:sz w:val="26"/>
          <w:szCs w:val="26"/>
        </w:rPr>
        <w:t>3</w:t>
      </w:r>
      <w:r>
        <w:rPr>
          <w:rFonts w:hint="eastAsia"/>
          <w:sz w:val="26"/>
          <w:szCs w:val="26"/>
        </w:rPr>
        <w:t>）气田水危险性分析</w:t>
      </w:r>
    </w:p>
    <w:p w14:paraId="053614F7">
      <w:pPr>
        <w:pStyle w:val="1381"/>
        <w:adjustRightInd w:val="0"/>
        <w:snapToGrid w:val="0"/>
        <w:ind w:firstLine="520"/>
      </w:pPr>
      <w:r>
        <w:rPr>
          <w:rFonts w:hint="eastAsia"/>
        </w:rPr>
        <w:t>本项目分离出的气田水暂存于</w:t>
      </w:r>
      <w:r>
        <w:rPr>
          <w:rFonts w:hint="eastAsia" w:cs="Times New Roman"/>
        </w:rPr>
        <w:t>气田水储罐（2个5</w:t>
      </w:r>
      <w:r>
        <w:rPr>
          <w:rFonts w:cs="Times New Roman"/>
        </w:rPr>
        <w:t>0m</w:t>
      </w:r>
      <w:r>
        <w:rPr>
          <w:rFonts w:cs="Times New Roman"/>
          <w:vertAlign w:val="superscript"/>
        </w:rPr>
        <w:t>3</w:t>
      </w:r>
      <w:r>
        <w:rPr>
          <w:rFonts w:hint="eastAsia" w:cs="Times New Roman"/>
        </w:rPr>
        <w:t>，1个2</w:t>
      </w:r>
      <w:r>
        <w:rPr>
          <w:rFonts w:cs="Times New Roman"/>
        </w:rPr>
        <w:t>0</w:t>
      </w:r>
      <w:r>
        <w:rPr>
          <w:rFonts w:hint="eastAsia" w:cs="Times New Roman"/>
        </w:rPr>
        <w:t>m</w:t>
      </w:r>
      <w:r>
        <w:rPr>
          <w:rFonts w:cs="Times New Roman"/>
          <w:vertAlign w:val="superscript"/>
        </w:rPr>
        <w:t>3</w:t>
      </w:r>
      <w:r>
        <w:rPr>
          <w:rFonts w:hint="eastAsia" w:cs="Times New Roman"/>
        </w:rPr>
        <w:t>）</w:t>
      </w:r>
      <w:r>
        <w:rPr>
          <w:rFonts w:hint="eastAsia"/>
        </w:rPr>
        <w:t>，由罐车定期外运处置，</w:t>
      </w:r>
      <w:r>
        <w:t>根据既有开发经验，采气阶段产生的</w:t>
      </w:r>
      <w:r>
        <w:rPr>
          <w:rFonts w:hint="eastAsia"/>
        </w:rPr>
        <w:t>气田水</w:t>
      </w:r>
      <w:r>
        <w:t>呈弱酸性，阳离子以Na</w:t>
      </w:r>
      <w:r>
        <w:rPr>
          <w:vertAlign w:val="superscript"/>
        </w:rPr>
        <w:t>+</w:t>
      </w:r>
      <w:r>
        <w:t>为主，阴离子以Cl</w:t>
      </w:r>
      <w:r>
        <w:rPr>
          <w:vertAlign w:val="superscript"/>
        </w:rPr>
        <w:t>-</w:t>
      </w:r>
      <w:r>
        <w:t>为主，重金属含量低，污染物以仍以COD（最高可达5000mg/L）、石油类（最高可达70mg/L）、氯化物（最高可达10000mg/L）等为主。根据查阅《建设项目环境风险评价技术导则》（HJ 169-2018），其不属于《建设项目环境风险评价技术导则》（HJ169-2018）附录B.2危害水环境物质（急性毒性类别1），无临界量规定，不需要计算Q值。</w:t>
      </w:r>
    </w:p>
    <w:p w14:paraId="06CEF06C">
      <w:pPr>
        <w:adjustRightInd w:val="0"/>
        <w:snapToGrid w:val="0"/>
        <w:spacing w:line="480" w:lineRule="exact"/>
        <w:ind w:firstLine="522" w:firstLineChars="200"/>
        <w:outlineLvl w:val="2"/>
        <w:rPr>
          <w:b/>
          <w:sz w:val="26"/>
          <w:szCs w:val="26"/>
        </w:rPr>
      </w:pPr>
      <w:bookmarkStart w:id="316" w:name="_Toc165810610"/>
      <w:r>
        <w:rPr>
          <w:rFonts w:hint="eastAsia"/>
          <w:b/>
          <w:sz w:val="26"/>
          <w:szCs w:val="26"/>
        </w:rPr>
        <w:t>7</w:t>
      </w:r>
      <w:r>
        <w:rPr>
          <w:b/>
          <w:sz w:val="26"/>
          <w:szCs w:val="26"/>
        </w:rPr>
        <w:t xml:space="preserve">.1.2 </w:t>
      </w:r>
      <w:r>
        <w:rPr>
          <w:rFonts w:hint="eastAsia"/>
          <w:b/>
          <w:sz w:val="26"/>
          <w:szCs w:val="26"/>
        </w:rPr>
        <w:t>风险物质最大在线量</w:t>
      </w:r>
      <w:bookmarkEnd w:id="316"/>
    </w:p>
    <w:p w14:paraId="4BEA048C">
      <w:pPr>
        <w:spacing w:line="460" w:lineRule="exact"/>
        <w:ind w:firstLine="520" w:firstLineChars="200"/>
        <w:rPr>
          <w:sz w:val="24"/>
        </w:rPr>
      </w:pPr>
      <w:r>
        <w:rPr>
          <w:rFonts w:hint="eastAsia"/>
          <w:sz w:val="26"/>
          <w:szCs w:val="26"/>
        </w:rPr>
        <w:t>本项目为天然气试采站建设项目，所涉及的环境风险物质主要为天然气</w:t>
      </w:r>
      <w:r>
        <w:rPr>
          <w:bCs/>
          <w:sz w:val="26"/>
          <w:szCs w:val="26"/>
        </w:rPr>
        <w:t>（主要成分为甲烷，含少量乙烷</w:t>
      </w:r>
      <w:r>
        <w:rPr>
          <w:rFonts w:hint="eastAsia"/>
          <w:bCs/>
          <w:sz w:val="26"/>
          <w:szCs w:val="26"/>
        </w:rPr>
        <w:t>、</w:t>
      </w:r>
      <w:r>
        <w:rPr>
          <w:bCs/>
          <w:sz w:val="26"/>
          <w:szCs w:val="26"/>
        </w:rPr>
        <w:t>丙烷，</w:t>
      </w:r>
      <w:r>
        <w:rPr>
          <w:b/>
          <w:bCs/>
          <w:sz w:val="26"/>
          <w:szCs w:val="26"/>
        </w:rPr>
        <w:t>不含硫化氢</w:t>
      </w:r>
      <w:r>
        <w:rPr>
          <w:rFonts w:hint="eastAsia"/>
          <w:bCs/>
          <w:sz w:val="26"/>
          <w:szCs w:val="26"/>
        </w:rPr>
        <w:t>）、</w:t>
      </w:r>
      <w:r>
        <w:rPr>
          <w:rFonts w:hint="eastAsia"/>
          <w:sz w:val="26"/>
          <w:szCs w:val="26"/>
        </w:rPr>
        <w:t>凝析油和气田水。天然气主要成分中</w:t>
      </w:r>
      <w:r>
        <w:rPr>
          <w:bCs/>
          <w:sz w:val="26"/>
          <w:szCs w:val="26"/>
        </w:rPr>
        <w:t>甲烷、乙烷、丙烷均属于《建设项目环境风险评价技术导则》（HJ169-2018</w:t>
      </w:r>
      <w:r>
        <w:rPr>
          <w:rFonts w:hint="eastAsia"/>
          <w:bCs/>
          <w:sz w:val="26"/>
          <w:szCs w:val="26"/>
        </w:rPr>
        <w:t>）</w:t>
      </w:r>
      <w:r>
        <w:rPr>
          <w:bCs/>
          <w:sz w:val="26"/>
          <w:szCs w:val="26"/>
        </w:rPr>
        <w:t>附录B中危险物质（甲烷、乙烷、丙烷的临界量要求均为10t</w:t>
      </w:r>
      <w:r>
        <w:rPr>
          <w:rFonts w:hint="eastAsia"/>
          <w:bCs/>
          <w:sz w:val="26"/>
          <w:szCs w:val="26"/>
        </w:rPr>
        <w:t>），本次按照最不利情况以试采站全部天然气在线量为计算对象进行风险分析，凝析油和气田水以储罐设计容量进行分析。本项目风险物质</w:t>
      </w:r>
      <w:r>
        <w:rPr>
          <w:rFonts w:hint="eastAsia"/>
          <w:sz w:val="24"/>
        </w:rPr>
        <w:t>最大在线量详见</w:t>
      </w:r>
      <w:r>
        <w:rPr>
          <w:rFonts w:hint="eastAsia"/>
          <w:sz w:val="24"/>
          <w:u w:val="single"/>
        </w:rPr>
        <w:t>表7</w:t>
      </w:r>
      <w:r>
        <w:rPr>
          <w:sz w:val="24"/>
          <w:u w:val="single"/>
        </w:rPr>
        <w:t>.1-5</w:t>
      </w:r>
      <w:r>
        <w:rPr>
          <w:rFonts w:hint="eastAsia"/>
          <w:sz w:val="24"/>
        </w:rPr>
        <w:t>。</w:t>
      </w:r>
    </w:p>
    <w:p w14:paraId="6BBD5A3B">
      <w:pPr>
        <w:pStyle w:val="1379"/>
        <w:ind w:firstLine="440"/>
      </w:pPr>
    </w:p>
    <w:p w14:paraId="05335094">
      <w:pPr>
        <w:autoSpaceDE w:val="0"/>
        <w:autoSpaceDN w:val="0"/>
        <w:adjustRightInd w:val="0"/>
        <w:snapToGrid w:val="0"/>
        <w:jc w:val="center"/>
      </w:pPr>
      <w:r>
        <w:rPr>
          <w:rFonts w:hint="eastAsia"/>
          <w:sz w:val="26"/>
          <w:szCs w:val="26"/>
        </w:rPr>
        <w:t>表</w:t>
      </w:r>
      <w:r>
        <w:rPr>
          <w:sz w:val="26"/>
          <w:szCs w:val="26"/>
        </w:rPr>
        <w:t xml:space="preserve">7.1-5  </w:t>
      </w:r>
      <w:r>
        <w:rPr>
          <w:rFonts w:hint="eastAsia"/>
          <w:sz w:val="26"/>
          <w:szCs w:val="26"/>
        </w:rPr>
        <w:t>风险物质最大在线量</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99"/>
        <w:gridCol w:w="1549"/>
        <w:gridCol w:w="1204"/>
        <w:gridCol w:w="1676"/>
        <w:gridCol w:w="2734"/>
      </w:tblGrid>
      <w:tr w14:paraId="639D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1642" w:type="pct"/>
            <w:gridSpan w:val="2"/>
            <w:vAlign w:val="center"/>
          </w:tcPr>
          <w:p w14:paraId="1CA6F8E3">
            <w:pPr>
              <w:widowControl/>
              <w:jc w:val="center"/>
              <w:rPr>
                <w:sz w:val="22"/>
                <w:szCs w:val="22"/>
              </w:rPr>
            </w:pPr>
            <w:r>
              <w:rPr>
                <w:rFonts w:hint="eastAsia"/>
                <w:sz w:val="22"/>
                <w:szCs w:val="22"/>
              </w:rPr>
              <w:t>危险单元</w:t>
            </w:r>
          </w:p>
        </w:tc>
        <w:tc>
          <w:tcPr>
            <w:tcW w:w="720" w:type="pct"/>
            <w:vAlign w:val="center"/>
          </w:tcPr>
          <w:p w14:paraId="4CA6DC01">
            <w:pPr>
              <w:widowControl/>
              <w:jc w:val="center"/>
              <w:rPr>
                <w:sz w:val="22"/>
                <w:szCs w:val="22"/>
              </w:rPr>
            </w:pPr>
            <w:r>
              <w:rPr>
                <w:sz w:val="22"/>
                <w:szCs w:val="22"/>
              </w:rPr>
              <w:t>风险物质</w:t>
            </w:r>
          </w:p>
        </w:tc>
        <w:tc>
          <w:tcPr>
            <w:tcW w:w="1002" w:type="pct"/>
            <w:vAlign w:val="center"/>
          </w:tcPr>
          <w:p w14:paraId="3852ED67">
            <w:pPr>
              <w:widowControl/>
              <w:jc w:val="center"/>
              <w:rPr>
                <w:sz w:val="22"/>
                <w:szCs w:val="22"/>
              </w:rPr>
            </w:pPr>
            <w:r>
              <w:rPr>
                <w:sz w:val="22"/>
                <w:szCs w:val="22"/>
              </w:rPr>
              <w:t>最大在线量</w:t>
            </w:r>
            <w:r>
              <w:rPr>
                <w:rFonts w:hint="eastAsia"/>
                <w:sz w:val="22"/>
                <w:szCs w:val="22"/>
              </w:rPr>
              <w:t>/</w:t>
            </w:r>
            <w:r>
              <w:rPr>
                <w:sz w:val="22"/>
                <w:szCs w:val="22"/>
              </w:rPr>
              <w:t>t</w:t>
            </w:r>
          </w:p>
        </w:tc>
        <w:tc>
          <w:tcPr>
            <w:tcW w:w="1635" w:type="pct"/>
            <w:vAlign w:val="center"/>
          </w:tcPr>
          <w:p w14:paraId="0BF57BDD">
            <w:pPr>
              <w:widowControl/>
              <w:jc w:val="center"/>
              <w:rPr>
                <w:sz w:val="22"/>
                <w:szCs w:val="22"/>
              </w:rPr>
            </w:pPr>
            <w:r>
              <w:rPr>
                <w:sz w:val="22"/>
                <w:szCs w:val="22"/>
              </w:rPr>
              <w:t>备注</w:t>
            </w:r>
          </w:p>
        </w:tc>
      </w:tr>
      <w:tr w14:paraId="5803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17" w:type="pct"/>
            <w:vMerge w:val="restart"/>
            <w:vAlign w:val="center"/>
          </w:tcPr>
          <w:p w14:paraId="2D52FFA6">
            <w:pPr>
              <w:jc w:val="center"/>
              <w:rPr>
                <w:sz w:val="22"/>
                <w:szCs w:val="22"/>
              </w:rPr>
            </w:pPr>
            <w:r>
              <w:rPr>
                <w:rFonts w:hint="eastAsia"/>
                <w:sz w:val="22"/>
                <w:szCs w:val="22"/>
              </w:rPr>
              <w:t>巴中2HF试采站</w:t>
            </w:r>
          </w:p>
        </w:tc>
        <w:tc>
          <w:tcPr>
            <w:tcW w:w="925" w:type="pct"/>
            <w:vAlign w:val="center"/>
          </w:tcPr>
          <w:p w14:paraId="64265BCB">
            <w:pPr>
              <w:widowControl/>
              <w:jc w:val="center"/>
              <w:rPr>
                <w:sz w:val="22"/>
                <w:szCs w:val="22"/>
              </w:rPr>
            </w:pPr>
            <w:r>
              <w:rPr>
                <w:rFonts w:hint="eastAsia"/>
                <w:sz w:val="22"/>
                <w:szCs w:val="22"/>
              </w:rPr>
              <w:t>站内工艺装置（含管道）</w:t>
            </w:r>
          </w:p>
        </w:tc>
        <w:tc>
          <w:tcPr>
            <w:tcW w:w="720" w:type="pct"/>
            <w:vAlign w:val="center"/>
          </w:tcPr>
          <w:p w14:paraId="2E9C6871">
            <w:pPr>
              <w:widowControl/>
              <w:jc w:val="center"/>
              <w:rPr>
                <w:sz w:val="22"/>
                <w:szCs w:val="22"/>
              </w:rPr>
            </w:pPr>
            <w:r>
              <w:rPr>
                <w:rFonts w:hint="eastAsia"/>
                <w:sz w:val="22"/>
                <w:szCs w:val="22"/>
              </w:rPr>
              <w:t>甲烷、乙烷、丙烷等</w:t>
            </w:r>
          </w:p>
        </w:tc>
        <w:tc>
          <w:tcPr>
            <w:tcW w:w="1002" w:type="pct"/>
            <w:vAlign w:val="center"/>
          </w:tcPr>
          <w:p w14:paraId="415F8DE5">
            <w:pPr>
              <w:widowControl/>
              <w:jc w:val="center"/>
              <w:rPr>
                <w:sz w:val="22"/>
                <w:szCs w:val="22"/>
              </w:rPr>
            </w:pPr>
            <w:r>
              <w:rPr>
                <w:rFonts w:hint="eastAsia"/>
                <w:sz w:val="22"/>
                <w:szCs w:val="22"/>
              </w:rPr>
              <w:t>0</w:t>
            </w:r>
            <w:r>
              <w:rPr>
                <w:sz w:val="22"/>
                <w:szCs w:val="22"/>
              </w:rPr>
              <w:t>.15</w:t>
            </w:r>
          </w:p>
        </w:tc>
        <w:tc>
          <w:tcPr>
            <w:tcW w:w="1635" w:type="pct"/>
            <w:vAlign w:val="center"/>
          </w:tcPr>
          <w:p w14:paraId="5E3CA7F1">
            <w:pPr>
              <w:widowControl/>
              <w:jc w:val="center"/>
              <w:rPr>
                <w:sz w:val="22"/>
                <w:szCs w:val="22"/>
              </w:rPr>
            </w:pPr>
            <w:r>
              <w:rPr>
                <w:sz w:val="22"/>
                <w:szCs w:val="22"/>
              </w:rPr>
              <w:t>以站内的管道、设施估算</w:t>
            </w:r>
          </w:p>
        </w:tc>
      </w:tr>
      <w:tr w14:paraId="4604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17" w:type="pct"/>
            <w:vMerge w:val="continue"/>
            <w:vAlign w:val="center"/>
          </w:tcPr>
          <w:p w14:paraId="203A13D4">
            <w:pPr>
              <w:jc w:val="center"/>
              <w:rPr>
                <w:sz w:val="22"/>
                <w:szCs w:val="22"/>
              </w:rPr>
            </w:pPr>
          </w:p>
        </w:tc>
        <w:tc>
          <w:tcPr>
            <w:tcW w:w="926" w:type="pct"/>
            <w:vAlign w:val="center"/>
          </w:tcPr>
          <w:p w14:paraId="6F176855">
            <w:pPr>
              <w:widowControl/>
              <w:jc w:val="center"/>
              <w:rPr>
                <w:sz w:val="22"/>
                <w:szCs w:val="22"/>
              </w:rPr>
            </w:pPr>
            <w:r>
              <w:rPr>
                <w:rFonts w:hint="eastAsia"/>
                <w:sz w:val="22"/>
                <w:szCs w:val="22"/>
              </w:rPr>
              <w:t>C</w:t>
            </w:r>
            <w:r>
              <w:rPr>
                <w:sz w:val="22"/>
                <w:szCs w:val="22"/>
              </w:rPr>
              <w:t>NG</w:t>
            </w:r>
            <w:r>
              <w:rPr>
                <w:rFonts w:hint="eastAsia"/>
                <w:sz w:val="22"/>
                <w:szCs w:val="22"/>
              </w:rPr>
              <w:t>管束车</w:t>
            </w:r>
          </w:p>
        </w:tc>
        <w:tc>
          <w:tcPr>
            <w:tcW w:w="720" w:type="pct"/>
            <w:vAlign w:val="center"/>
          </w:tcPr>
          <w:p w14:paraId="700A672F">
            <w:pPr>
              <w:widowControl/>
              <w:jc w:val="center"/>
              <w:rPr>
                <w:sz w:val="22"/>
                <w:szCs w:val="22"/>
              </w:rPr>
            </w:pPr>
            <w:r>
              <w:rPr>
                <w:rFonts w:hint="eastAsia"/>
                <w:sz w:val="22"/>
                <w:szCs w:val="22"/>
              </w:rPr>
              <w:t>CNG（压缩天然气）</w:t>
            </w:r>
          </w:p>
        </w:tc>
        <w:tc>
          <w:tcPr>
            <w:tcW w:w="1002" w:type="pct"/>
            <w:vAlign w:val="center"/>
          </w:tcPr>
          <w:p w14:paraId="5A255BE7">
            <w:pPr>
              <w:widowControl/>
              <w:jc w:val="center"/>
              <w:rPr>
                <w:sz w:val="22"/>
                <w:szCs w:val="22"/>
              </w:rPr>
            </w:pPr>
            <w:r>
              <w:rPr>
                <w:rFonts w:hint="eastAsia"/>
                <w:sz w:val="22"/>
                <w:szCs w:val="22"/>
              </w:rPr>
              <w:t>3</w:t>
            </w:r>
            <w:r>
              <w:rPr>
                <w:sz w:val="22"/>
                <w:szCs w:val="22"/>
              </w:rPr>
              <w:t>.6</w:t>
            </w:r>
          </w:p>
        </w:tc>
        <w:tc>
          <w:tcPr>
            <w:tcW w:w="1635" w:type="pct"/>
            <w:vAlign w:val="center"/>
          </w:tcPr>
          <w:p w14:paraId="132D2582">
            <w:pPr>
              <w:widowControl/>
              <w:jc w:val="center"/>
              <w:rPr>
                <w:sz w:val="22"/>
                <w:szCs w:val="22"/>
              </w:rPr>
            </w:pPr>
            <w:r>
              <w:rPr>
                <w:rFonts w:hint="eastAsia"/>
                <w:sz w:val="22"/>
                <w:szCs w:val="22"/>
              </w:rPr>
              <w:t>按照单个</w:t>
            </w:r>
            <w:r>
              <w:rPr>
                <w:sz w:val="22"/>
                <w:szCs w:val="22"/>
              </w:rPr>
              <w:t>CNG</w:t>
            </w:r>
            <w:r>
              <w:rPr>
                <w:rFonts w:hint="eastAsia"/>
                <w:sz w:val="22"/>
                <w:szCs w:val="22"/>
              </w:rPr>
              <w:t>管束车全部泄漏</w:t>
            </w:r>
          </w:p>
        </w:tc>
      </w:tr>
      <w:tr w14:paraId="058F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17" w:type="pct"/>
            <w:vMerge w:val="continue"/>
            <w:vAlign w:val="center"/>
          </w:tcPr>
          <w:p w14:paraId="3A2D710A">
            <w:pPr>
              <w:widowControl/>
              <w:jc w:val="center"/>
              <w:rPr>
                <w:sz w:val="22"/>
                <w:szCs w:val="22"/>
              </w:rPr>
            </w:pPr>
          </w:p>
        </w:tc>
        <w:tc>
          <w:tcPr>
            <w:tcW w:w="926" w:type="pct"/>
            <w:vAlign w:val="center"/>
          </w:tcPr>
          <w:p w14:paraId="7C5651B7">
            <w:pPr>
              <w:widowControl/>
              <w:jc w:val="center"/>
              <w:rPr>
                <w:sz w:val="22"/>
                <w:szCs w:val="22"/>
              </w:rPr>
            </w:pPr>
            <w:r>
              <w:rPr>
                <w:rFonts w:hint="eastAsia"/>
                <w:sz w:val="22"/>
                <w:szCs w:val="22"/>
              </w:rPr>
              <w:t>凝析油储罐</w:t>
            </w:r>
          </w:p>
        </w:tc>
        <w:tc>
          <w:tcPr>
            <w:tcW w:w="720" w:type="pct"/>
            <w:vAlign w:val="center"/>
          </w:tcPr>
          <w:p w14:paraId="1689C574">
            <w:pPr>
              <w:widowControl/>
              <w:jc w:val="center"/>
              <w:rPr>
                <w:sz w:val="22"/>
                <w:szCs w:val="22"/>
              </w:rPr>
            </w:pPr>
            <w:r>
              <w:rPr>
                <w:rFonts w:hint="eastAsia"/>
                <w:sz w:val="22"/>
                <w:szCs w:val="22"/>
              </w:rPr>
              <w:t>凝析油</w:t>
            </w:r>
          </w:p>
        </w:tc>
        <w:tc>
          <w:tcPr>
            <w:tcW w:w="1002" w:type="pct"/>
            <w:vAlign w:val="center"/>
          </w:tcPr>
          <w:p w14:paraId="3E68C33D">
            <w:pPr>
              <w:widowControl/>
              <w:jc w:val="center"/>
              <w:rPr>
                <w:sz w:val="22"/>
                <w:szCs w:val="22"/>
              </w:rPr>
            </w:pPr>
            <w:r>
              <w:rPr>
                <w:sz w:val="22"/>
                <w:szCs w:val="22"/>
              </w:rPr>
              <w:t>79.1</w:t>
            </w:r>
          </w:p>
        </w:tc>
        <w:tc>
          <w:tcPr>
            <w:tcW w:w="1635" w:type="pct"/>
            <w:vAlign w:val="center"/>
          </w:tcPr>
          <w:p w14:paraId="787D9A24">
            <w:pPr>
              <w:widowControl/>
              <w:jc w:val="center"/>
              <w:rPr>
                <w:sz w:val="22"/>
                <w:szCs w:val="22"/>
              </w:rPr>
            </w:pPr>
            <w:r>
              <w:rPr>
                <w:rFonts w:hint="eastAsia"/>
                <w:sz w:val="22"/>
                <w:szCs w:val="22"/>
              </w:rPr>
              <w:t>储罐罐总容积</w:t>
            </w:r>
            <w:r>
              <w:rPr>
                <w:sz w:val="22"/>
                <w:szCs w:val="22"/>
              </w:rPr>
              <w:t>100</w:t>
            </w:r>
            <w:r>
              <w:rPr>
                <w:rFonts w:hint="eastAsia"/>
                <w:sz w:val="22"/>
                <w:szCs w:val="22"/>
              </w:rPr>
              <w:t>m</w:t>
            </w:r>
            <w:r>
              <w:rPr>
                <w:sz w:val="22"/>
                <w:szCs w:val="22"/>
                <w:vertAlign w:val="superscript"/>
              </w:rPr>
              <w:t>3</w:t>
            </w:r>
            <w:r>
              <w:rPr>
                <w:rFonts w:hint="eastAsia"/>
                <w:sz w:val="22"/>
                <w:szCs w:val="22"/>
              </w:rPr>
              <w:t>，凝析油密度0</w:t>
            </w:r>
            <w:r>
              <w:rPr>
                <w:sz w:val="22"/>
                <w:szCs w:val="22"/>
              </w:rPr>
              <w:t>.791g/cm</w:t>
            </w:r>
            <w:r>
              <w:rPr>
                <w:sz w:val="22"/>
                <w:szCs w:val="22"/>
                <w:vertAlign w:val="superscript"/>
              </w:rPr>
              <w:t>3</w:t>
            </w:r>
          </w:p>
        </w:tc>
      </w:tr>
      <w:tr w14:paraId="48C4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17" w:type="pct"/>
            <w:vMerge w:val="continue"/>
            <w:vAlign w:val="center"/>
          </w:tcPr>
          <w:p w14:paraId="5716D6D1">
            <w:pPr>
              <w:widowControl/>
              <w:jc w:val="center"/>
              <w:rPr>
                <w:sz w:val="22"/>
                <w:szCs w:val="22"/>
              </w:rPr>
            </w:pPr>
          </w:p>
        </w:tc>
        <w:tc>
          <w:tcPr>
            <w:tcW w:w="926" w:type="pct"/>
            <w:vAlign w:val="center"/>
          </w:tcPr>
          <w:p w14:paraId="223BF442">
            <w:pPr>
              <w:widowControl/>
              <w:jc w:val="center"/>
              <w:rPr>
                <w:sz w:val="22"/>
                <w:szCs w:val="22"/>
              </w:rPr>
            </w:pPr>
            <w:r>
              <w:rPr>
                <w:rFonts w:hint="eastAsia"/>
                <w:sz w:val="22"/>
                <w:szCs w:val="22"/>
              </w:rPr>
              <w:t>气田水储罐</w:t>
            </w:r>
          </w:p>
        </w:tc>
        <w:tc>
          <w:tcPr>
            <w:tcW w:w="720" w:type="pct"/>
            <w:vAlign w:val="center"/>
          </w:tcPr>
          <w:p w14:paraId="711643C4">
            <w:pPr>
              <w:widowControl/>
              <w:jc w:val="center"/>
              <w:rPr>
                <w:sz w:val="22"/>
                <w:szCs w:val="22"/>
              </w:rPr>
            </w:pPr>
            <w:r>
              <w:rPr>
                <w:rFonts w:hint="eastAsia"/>
                <w:sz w:val="22"/>
                <w:szCs w:val="22"/>
              </w:rPr>
              <w:t>气田水</w:t>
            </w:r>
          </w:p>
        </w:tc>
        <w:tc>
          <w:tcPr>
            <w:tcW w:w="1002" w:type="pct"/>
            <w:vAlign w:val="center"/>
          </w:tcPr>
          <w:p w14:paraId="7E32B474">
            <w:pPr>
              <w:widowControl/>
              <w:jc w:val="center"/>
              <w:rPr>
                <w:sz w:val="22"/>
                <w:szCs w:val="22"/>
              </w:rPr>
            </w:pPr>
            <w:r>
              <w:rPr>
                <w:sz w:val="22"/>
                <w:szCs w:val="22"/>
              </w:rPr>
              <w:t>120</w:t>
            </w:r>
          </w:p>
        </w:tc>
        <w:tc>
          <w:tcPr>
            <w:tcW w:w="1635" w:type="pct"/>
            <w:vAlign w:val="center"/>
          </w:tcPr>
          <w:p w14:paraId="7A41C8E3">
            <w:pPr>
              <w:widowControl/>
              <w:jc w:val="center"/>
              <w:rPr>
                <w:sz w:val="22"/>
                <w:szCs w:val="22"/>
              </w:rPr>
            </w:pPr>
            <w:r>
              <w:rPr>
                <w:rFonts w:hint="eastAsia"/>
                <w:sz w:val="22"/>
                <w:szCs w:val="22"/>
              </w:rPr>
              <w:t>储罐罐总容积</w:t>
            </w:r>
            <w:r>
              <w:rPr>
                <w:sz w:val="22"/>
                <w:szCs w:val="22"/>
              </w:rPr>
              <w:t>120</w:t>
            </w:r>
            <w:r>
              <w:rPr>
                <w:rFonts w:hint="eastAsia"/>
                <w:sz w:val="22"/>
                <w:szCs w:val="22"/>
              </w:rPr>
              <w:t>m</w:t>
            </w:r>
            <w:r>
              <w:rPr>
                <w:sz w:val="22"/>
                <w:szCs w:val="22"/>
                <w:vertAlign w:val="superscript"/>
              </w:rPr>
              <w:t>3</w:t>
            </w:r>
          </w:p>
        </w:tc>
      </w:tr>
    </w:tbl>
    <w:p w14:paraId="49F09889">
      <w:pPr>
        <w:pStyle w:val="1379"/>
        <w:ind w:firstLine="440"/>
      </w:pPr>
    </w:p>
    <w:p w14:paraId="2E18A6CC">
      <w:pPr>
        <w:adjustRightInd w:val="0"/>
        <w:snapToGrid w:val="0"/>
        <w:spacing w:line="460" w:lineRule="exact"/>
        <w:ind w:firstLine="522" w:firstLineChars="200"/>
        <w:outlineLvl w:val="1"/>
        <w:rPr>
          <w:b/>
          <w:bCs/>
          <w:sz w:val="26"/>
          <w:szCs w:val="26"/>
        </w:rPr>
      </w:pPr>
      <w:bookmarkStart w:id="317" w:name="_Toc219907663"/>
      <w:bookmarkStart w:id="318" w:name="_Toc165809750"/>
      <w:bookmarkStart w:id="319" w:name="_Toc104907155"/>
      <w:bookmarkStart w:id="320" w:name="_Toc165810611"/>
      <w:r>
        <w:rPr>
          <w:b/>
          <w:bCs/>
          <w:sz w:val="26"/>
          <w:szCs w:val="26"/>
        </w:rPr>
        <w:t xml:space="preserve">7.2 </w:t>
      </w:r>
      <w:r>
        <w:rPr>
          <w:rFonts w:hint="eastAsia"/>
          <w:b/>
          <w:bCs/>
          <w:sz w:val="26"/>
          <w:szCs w:val="26"/>
        </w:rPr>
        <w:t>环境风险潜势初判</w:t>
      </w:r>
      <w:bookmarkEnd w:id="317"/>
      <w:bookmarkEnd w:id="318"/>
      <w:bookmarkEnd w:id="319"/>
      <w:bookmarkEnd w:id="320"/>
    </w:p>
    <w:p w14:paraId="02C3B096">
      <w:pPr>
        <w:adjustRightInd w:val="0"/>
        <w:snapToGrid w:val="0"/>
        <w:spacing w:line="460" w:lineRule="exact"/>
        <w:ind w:firstLine="522" w:firstLineChars="200"/>
        <w:outlineLvl w:val="2"/>
        <w:rPr>
          <w:b/>
          <w:bCs/>
          <w:sz w:val="26"/>
          <w:szCs w:val="26"/>
        </w:rPr>
      </w:pPr>
      <w:bookmarkStart w:id="321" w:name="_Toc165810612"/>
      <w:r>
        <w:rPr>
          <w:b/>
          <w:bCs/>
          <w:sz w:val="26"/>
          <w:szCs w:val="26"/>
        </w:rPr>
        <w:t xml:space="preserve">7.2.1 </w:t>
      </w:r>
      <w:r>
        <w:rPr>
          <w:rFonts w:hint="eastAsia"/>
          <w:b/>
          <w:bCs/>
          <w:sz w:val="26"/>
          <w:szCs w:val="26"/>
        </w:rPr>
        <w:t>危险物质数量与临界量比值Q</w:t>
      </w:r>
      <w:bookmarkEnd w:id="321"/>
    </w:p>
    <w:p w14:paraId="285A211E">
      <w:pPr>
        <w:adjustRightInd w:val="0"/>
        <w:snapToGrid w:val="0"/>
        <w:spacing w:line="460" w:lineRule="exact"/>
        <w:ind w:firstLine="520" w:firstLineChars="200"/>
        <w:rPr>
          <w:sz w:val="26"/>
          <w:szCs w:val="26"/>
        </w:rPr>
      </w:pPr>
      <w:r>
        <w:rPr>
          <w:rFonts w:hint="eastAsia"/>
          <w:sz w:val="26"/>
          <w:szCs w:val="26"/>
        </w:rPr>
        <w:t>依据《建设项目环境风险评价技术导则》（HJ 169-2018）可知：危险物质数量与临界量比值（Q）应计算所涉及的每种危险物质在厂界内的最大存在总量与其附录B中对应临界量的比值Q。计算公式如下：</w:t>
      </w:r>
    </w:p>
    <w:p w14:paraId="24B53F57">
      <w:pPr>
        <w:widowControl/>
        <w:spacing w:line="460" w:lineRule="exact"/>
        <w:ind w:firstLine="520" w:firstLineChars="200"/>
        <w:rPr>
          <w:sz w:val="26"/>
          <w:szCs w:val="26"/>
        </w:rPr>
      </w:pPr>
      <w:r>
        <w:rPr>
          <w:sz w:val="26"/>
          <w:szCs w:val="26"/>
        </w:rPr>
        <w:t>当只涉及一种危险物质时，计算该物质的总量与其临界量比值，即为Q；</w:t>
      </w:r>
    </w:p>
    <w:p w14:paraId="584BA301">
      <w:pPr>
        <w:widowControl/>
        <w:spacing w:line="460" w:lineRule="exact"/>
        <w:ind w:firstLine="520" w:firstLineChars="200"/>
        <w:rPr>
          <w:sz w:val="26"/>
          <w:szCs w:val="26"/>
        </w:rPr>
      </w:pPr>
      <w:r>
        <w:rPr>
          <w:sz w:val="26"/>
          <w:szCs w:val="26"/>
        </w:rPr>
        <w:t>当存在多种危险物质时，则按下式计算物质总量与其临界量比值（Q）：</w:t>
      </w:r>
    </w:p>
    <w:p w14:paraId="68B93241">
      <w:pPr>
        <w:widowControl/>
        <w:ind w:firstLine="420" w:firstLineChars="200"/>
        <w:jc w:val="center"/>
        <w:rPr>
          <w:szCs w:val="26"/>
        </w:rPr>
      </w:pPr>
      <w:r>
        <w:drawing>
          <wp:inline distT="0" distB="0" distL="0" distR="0">
            <wp:extent cx="1880235" cy="570865"/>
            <wp:effectExtent l="0" t="0" r="5715" b="6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1880235" cy="570865"/>
                    </a:xfrm>
                    <a:prstGeom prst="rect">
                      <a:avLst/>
                    </a:prstGeom>
                    <a:noFill/>
                    <a:ln>
                      <a:noFill/>
                    </a:ln>
                  </pic:spPr>
                </pic:pic>
              </a:graphicData>
            </a:graphic>
          </wp:inline>
        </w:drawing>
      </w:r>
    </w:p>
    <w:p w14:paraId="23C9E01A">
      <w:pPr>
        <w:widowControl/>
        <w:spacing w:line="460" w:lineRule="exact"/>
        <w:ind w:firstLine="520" w:firstLineChars="200"/>
        <w:rPr>
          <w:sz w:val="26"/>
          <w:szCs w:val="26"/>
        </w:rPr>
      </w:pPr>
      <w:r>
        <w:rPr>
          <w:sz w:val="26"/>
          <w:szCs w:val="26"/>
        </w:rPr>
        <w:t>式中：q</w:t>
      </w:r>
      <w:r>
        <w:rPr>
          <w:sz w:val="26"/>
          <w:szCs w:val="26"/>
          <w:vertAlign w:val="subscript"/>
        </w:rPr>
        <w:t>1</w:t>
      </w:r>
      <w:r>
        <w:rPr>
          <w:sz w:val="26"/>
          <w:szCs w:val="26"/>
        </w:rPr>
        <w:t>，q</w:t>
      </w:r>
      <w:r>
        <w:rPr>
          <w:sz w:val="26"/>
          <w:szCs w:val="26"/>
          <w:vertAlign w:val="subscript"/>
        </w:rPr>
        <w:t>2</w:t>
      </w:r>
      <w:r>
        <w:rPr>
          <w:sz w:val="26"/>
          <w:szCs w:val="26"/>
        </w:rPr>
        <w:t>，...，q</w:t>
      </w:r>
      <w:r>
        <w:rPr>
          <w:sz w:val="26"/>
          <w:szCs w:val="26"/>
          <w:vertAlign w:val="subscript"/>
        </w:rPr>
        <w:t>n</w:t>
      </w:r>
      <w:r>
        <w:rPr>
          <w:sz w:val="26"/>
          <w:szCs w:val="26"/>
        </w:rPr>
        <w:t>——每种危险物质的最大存在总量，t；</w:t>
      </w:r>
    </w:p>
    <w:p w14:paraId="12A6FBEC">
      <w:pPr>
        <w:widowControl/>
        <w:spacing w:line="460" w:lineRule="exact"/>
        <w:ind w:firstLine="1300" w:firstLineChars="500"/>
        <w:rPr>
          <w:sz w:val="26"/>
          <w:szCs w:val="26"/>
        </w:rPr>
      </w:pPr>
      <w:r>
        <w:rPr>
          <w:sz w:val="26"/>
          <w:szCs w:val="26"/>
        </w:rPr>
        <w:t>Q</w:t>
      </w:r>
      <w:r>
        <w:rPr>
          <w:sz w:val="26"/>
          <w:szCs w:val="26"/>
          <w:vertAlign w:val="subscript"/>
        </w:rPr>
        <w:t>1</w:t>
      </w:r>
      <w:r>
        <w:rPr>
          <w:sz w:val="26"/>
          <w:szCs w:val="26"/>
        </w:rPr>
        <w:t>，Q</w:t>
      </w:r>
      <w:r>
        <w:rPr>
          <w:sz w:val="26"/>
          <w:szCs w:val="26"/>
          <w:vertAlign w:val="subscript"/>
        </w:rPr>
        <w:t>2</w:t>
      </w:r>
      <w:r>
        <w:rPr>
          <w:sz w:val="26"/>
          <w:szCs w:val="26"/>
        </w:rPr>
        <w:t>…Q</w:t>
      </w:r>
      <w:r>
        <w:rPr>
          <w:sz w:val="26"/>
          <w:szCs w:val="26"/>
          <w:vertAlign w:val="subscript"/>
        </w:rPr>
        <w:t>n</w:t>
      </w:r>
      <w:r>
        <w:rPr>
          <w:sz w:val="26"/>
          <w:szCs w:val="26"/>
        </w:rPr>
        <w:t>——每种危险物质的临界量，t。</w:t>
      </w:r>
    </w:p>
    <w:p w14:paraId="2B1B423C">
      <w:pPr>
        <w:widowControl/>
        <w:spacing w:line="460" w:lineRule="exact"/>
        <w:ind w:firstLine="1300" w:firstLineChars="500"/>
        <w:rPr>
          <w:bCs/>
          <w:sz w:val="26"/>
          <w:szCs w:val="26"/>
        </w:rPr>
      </w:pPr>
      <w:r>
        <w:rPr>
          <w:bCs/>
          <w:sz w:val="26"/>
          <w:szCs w:val="26"/>
        </w:rPr>
        <w:t>当Q＜1时，该项目环境风险潜势为</w:t>
      </w:r>
      <w:r>
        <w:rPr>
          <w:rFonts w:hint="eastAsia" w:ascii="宋体" w:hAnsi="宋体" w:cs="宋体"/>
          <w:bCs/>
          <w:sz w:val="26"/>
          <w:szCs w:val="26"/>
        </w:rPr>
        <w:t>Ⅰ</w:t>
      </w:r>
      <w:r>
        <w:rPr>
          <w:bCs/>
          <w:sz w:val="26"/>
          <w:szCs w:val="26"/>
        </w:rPr>
        <w:t>。</w:t>
      </w:r>
    </w:p>
    <w:p w14:paraId="4FC8C5CC">
      <w:pPr>
        <w:widowControl/>
        <w:spacing w:line="460" w:lineRule="exact"/>
        <w:ind w:firstLine="520" w:firstLineChars="200"/>
        <w:rPr>
          <w:sz w:val="26"/>
          <w:szCs w:val="26"/>
        </w:rPr>
      </w:pPr>
      <w:r>
        <w:rPr>
          <w:sz w:val="26"/>
          <w:szCs w:val="26"/>
        </w:rPr>
        <w:t>本项目</w:t>
      </w:r>
      <w:r>
        <w:rPr>
          <w:rFonts w:hint="eastAsia"/>
          <w:sz w:val="26"/>
          <w:szCs w:val="26"/>
        </w:rPr>
        <w:t>风险</w:t>
      </w:r>
      <w:r>
        <w:rPr>
          <w:sz w:val="26"/>
          <w:szCs w:val="26"/>
        </w:rPr>
        <w:t>单元</w:t>
      </w:r>
      <w:r>
        <w:rPr>
          <w:rFonts w:hint="eastAsia"/>
          <w:sz w:val="26"/>
          <w:szCs w:val="26"/>
        </w:rPr>
        <w:t>涉及</w:t>
      </w:r>
      <w:r>
        <w:rPr>
          <w:sz w:val="26"/>
          <w:szCs w:val="26"/>
        </w:rPr>
        <w:t>的</w:t>
      </w:r>
      <w:r>
        <w:rPr>
          <w:rFonts w:hint="eastAsia"/>
          <w:sz w:val="26"/>
          <w:szCs w:val="26"/>
        </w:rPr>
        <w:t>风险</w:t>
      </w:r>
      <w:r>
        <w:rPr>
          <w:sz w:val="26"/>
          <w:szCs w:val="26"/>
        </w:rPr>
        <w:t>物质的Q值计算结果详见</w:t>
      </w:r>
      <w:r>
        <w:rPr>
          <w:sz w:val="26"/>
          <w:szCs w:val="26"/>
          <w:u w:val="single"/>
        </w:rPr>
        <w:t>表7.2-1</w:t>
      </w:r>
      <w:r>
        <w:rPr>
          <w:sz w:val="26"/>
          <w:szCs w:val="26"/>
        </w:rPr>
        <w:t>。</w:t>
      </w:r>
    </w:p>
    <w:p w14:paraId="64590051">
      <w:pPr>
        <w:pStyle w:val="1379"/>
        <w:ind w:firstLine="440"/>
      </w:pPr>
    </w:p>
    <w:p w14:paraId="456E2221">
      <w:pPr>
        <w:autoSpaceDE w:val="0"/>
        <w:autoSpaceDN w:val="0"/>
        <w:adjustRightInd w:val="0"/>
        <w:snapToGrid w:val="0"/>
        <w:jc w:val="center"/>
        <w:rPr>
          <w:sz w:val="26"/>
          <w:szCs w:val="26"/>
        </w:rPr>
      </w:pPr>
      <w:r>
        <w:rPr>
          <w:sz w:val="26"/>
          <w:szCs w:val="26"/>
        </w:rPr>
        <w:t>表7.2-1  项目</w:t>
      </w:r>
      <w:r>
        <w:rPr>
          <w:rFonts w:hint="eastAsia"/>
          <w:sz w:val="26"/>
          <w:szCs w:val="26"/>
        </w:rPr>
        <w:t>风险</w:t>
      </w:r>
      <w:r>
        <w:rPr>
          <w:sz w:val="26"/>
          <w:szCs w:val="26"/>
        </w:rPr>
        <w:t>物质Q值一览表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77"/>
        <w:gridCol w:w="1649"/>
        <w:gridCol w:w="1283"/>
        <w:gridCol w:w="1786"/>
        <w:gridCol w:w="1457"/>
        <w:gridCol w:w="910"/>
      </w:tblGrid>
      <w:tr w14:paraId="184C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1750" w:type="pct"/>
            <w:gridSpan w:val="2"/>
            <w:vAlign w:val="center"/>
          </w:tcPr>
          <w:p w14:paraId="4096DAF1">
            <w:pPr>
              <w:widowControl/>
              <w:jc w:val="center"/>
              <w:rPr>
                <w:sz w:val="22"/>
                <w:szCs w:val="22"/>
              </w:rPr>
            </w:pPr>
            <w:r>
              <w:rPr>
                <w:rFonts w:hint="eastAsia"/>
                <w:sz w:val="22"/>
                <w:szCs w:val="22"/>
              </w:rPr>
              <w:t>危险单元</w:t>
            </w:r>
          </w:p>
        </w:tc>
        <w:tc>
          <w:tcPr>
            <w:tcW w:w="767" w:type="pct"/>
            <w:vAlign w:val="center"/>
          </w:tcPr>
          <w:p w14:paraId="765A330D">
            <w:pPr>
              <w:widowControl/>
              <w:jc w:val="center"/>
              <w:rPr>
                <w:sz w:val="22"/>
                <w:szCs w:val="22"/>
              </w:rPr>
            </w:pPr>
            <w:r>
              <w:rPr>
                <w:sz w:val="22"/>
                <w:szCs w:val="22"/>
              </w:rPr>
              <w:t>风险物质</w:t>
            </w:r>
          </w:p>
        </w:tc>
        <w:tc>
          <w:tcPr>
            <w:tcW w:w="1068" w:type="pct"/>
            <w:vAlign w:val="center"/>
          </w:tcPr>
          <w:p w14:paraId="7D658250">
            <w:pPr>
              <w:widowControl/>
              <w:jc w:val="center"/>
              <w:rPr>
                <w:sz w:val="22"/>
                <w:szCs w:val="22"/>
              </w:rPr>
            </w:pPr>
            <w:r>
              <w:rPr>
                <w:sz w:val="22"/>
                <w:szCs w:val="22"/>
              </w:rPr>
              <w:t>最大在线量</w:t>
            </w:r>
            <w:r>
              <w:rPr>
                <w:rFonts w:hint="eastAsia"/>
                <w:sz w:val="22"/>
                <w:szCs w:val="22"/>
              </w:rPr>
              <w:t>/</w:t>
            </w:r>
            <w:r>
              <w:rPr>
                <w:sz w:val="22"/>
                <w:szCs w:val="22"/>
              </w:rPr>
              <w:t>t</w:t>
            </w:r>
          </w:p>
        </w:tc>
        <w:tc>
          <w:tcPr>
            <w:tcW w:w="871" w:type="pct"/>
            <w:vAlign w:val="center"/>
          </w:tcPr>
          <w:p w14:paraId="3A453C5C">
            <w:pPr>
              <w:widowControl/>
              <w:jc w:val="center"/>
              <w:rPr>
                <w:sz w:val="22"/>
                <w:szCs w:val="22"/>
              </w:rPr>
            </w:pPr>
            <w:r>
              <w:rPr>
                <w:sz w:val="22"/>
                <w:szCs w:val="22"/>
              </w:rPr>
              <w:t>临界量</w:t>
            </w:r>
            <w:r>
              <w:rPr>
                <w:rFonts w:hint="eastAsia"/>
                <w:sz w:val="22"/>
                <w:szCs w:val="22"/>
              </w:rPr>
              <w:t>/</w:t>
            </w:r>
            <w:r>
              <w:rPr>
                <w:sz w:val="22"/>
                <w:szCs w:val="22"/>
              </w:rPr>
              <w:t>t</w:t>
            </w:r>
          </w:p>
        </w:tc>
        <w:tc>
          <w:tcPr>
            <w:tcW w:w="544" w:type="pct"/>
            <w:vAlign w:val="center"/>
          </w:tcPr>
          <w:p w14:paraId="0D2974A9">
            <w:pPr>
              <w:widowControl/>
              <w:jc w:val="center"/>
              <w:rPr>
                <w:sz w:val="22"/>
                <w:szCs w:val="22"/>
              </w:rPr>
            </w:pPr>
            <w:r>
              <w:rPr>
                <w:rFonts w:hint="eastAsia"/>
                <w:sz w:val="22"/>
                <w:szCs w:val="22"/>
              </w:rPr>
              <w:t>Q值</w:t>
            </w:r>
          </w:p>
        </w:tc>
      </w:tr>
      <w:tr w14:paraId="040A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64" w:type="pct"/>
            <w:vMerge w:val="restart"/>
            <w:vAlign w:val="center"/>
          </w:tcPr>
          <w:p w14:paraId="3C984E82">
            <w:pPr>
              <w:jc w:val="center"/>
              <w:rPr>
                <w:sz w:val="22"/>
                <w:szCs w:val="22"/>
              </w:rPr>
            </w:pPr>
            <w:r>
              <w:rPr>
                <w:rFonts w:hint="eastAsia"/>
                <w:sz w:val="22"/>
                <w:szCs w:val="22"/>
              </w:rPr>
              <w:t>巴中2HF试采站</w:t>
            </w:r>
          </w:p>
        </w:tc>
        <w:tc>
          <w:tcPr>
            <w:tcW w:w="986" w:type="pct"/>
            <w:vAlign w:val="center"/>
          </w:tcPr>
          <w:p w14:paraId="3A08ABF7">
            <w:pPr>
              <w:widowControl/>
              <w:jc w:val="center"/>
              <w:rPr>
                <w:sz w:val="22"/>
                <w:szCs w:val="22"/>
              </w:rPr>
            </w:pPr>
            <w:r>
              <w:rPr>
                <w:rFonts w:hint="eastAsia"/>
                <w:sz w:val="22"/>
                <w:szCs w:val="22"/>
              </w:rPr>
              <w:t>站内工艺装置（含管道）</w:t>
            </w:r>
          </w:p>
        </w:tc>
        <w:tc>
          <w:tcPr>
            <w:tcW w:w="767" w:type="pct"/>
            <w:vAlign w:val="center"/>
          </w:tcPr>
          <w:p w14:paraId="79B9FB4B">
            <w:pPr>
              <w:widowControl/>
              <w:jc w:val="center"/>
              <w:rPr>
                <w:sz w:val="22"/>
                <w:szCs w:val="22"/>
              </w:rPr>
            </w:pPr>
            <w:r>
              <w:rPr>
                <w:rFonts w:hint="eastAsia"/>
                <w:sz w:val="22"/>
                <w:szCs w:val="22"/>
              </w:rPr>
              <w:t>甲烷、乙烷、丙烷等</w:t>
            </w:r>
          </w:p>
        </w:tc>
        <w:tc>
          <w:tcPr>
            <w:tcW w:w="1068" w:type="pct"/>
            <w:vAlign w:val="center"/>
          </w:tcPr>
          <w:p w14:paraId="6EEA60E8">
            <w:pPr>
              <w:widowControl/>
              <w:jc w:val="center"/>
              <w:rPr>
                <w:sz w:val="22"/>
                <w:szCs w:val="22"/>
              </w:rPr>
            </w:pPr>
            <w:r>
              <w:rPr>
                <w:rFonts w:hint="eastAsia"/>
                <w:sz w:val="22"/>
                <w:szCs w:val="22"/>
              </w:rPr>
              <w:t>0</w:t>
            </w:r>
            <w:r>
              <w:rPr>
                <w:sz w:val="22"/>
                <w:szCs w:val="22"/>
              </w:rPr>
              <w:t>.15</w:t>
            </w:r>
          </w:p>
        </w:tc>
        <w:tc>
          <w:tcPr>
            <w:tcW w:w="871" w:type="pct"/>
            <w:vAlign w:val="center"/>
          </w:tcPr>
          <w:p w14:paraId="30949D71">
            <w:pPr>
              <w:widowControl/>
              <w:jc w:val="center"/>
              <w:rPr>
                <w:sz w:val="22"/>
                <w:szCs w:val="22"/>
              </w:rPr>
            </w:pPr>
            <w:r>
              <w:rPr>
                <w:sz w:val="22"/>
                <w:szCs w:val="22"/>
              </w:rPr>
              <w:t>10</w:t>
            </w:r>
            <w:r>
              <w:rPr>
                <w:rFonts w:hint="eastAsia"/>
                <w:sz w:val="22"/>
                <w:szCs w:val="22"/>
              </w:rPr>
              <w:t>t</w:t>
            </w:r>
          </w:p>
        </w:tc>
        <w:tc>
          <w:tcPr>
            <w:tcW w:w="544" w:type="pct"/>
            <w:vAlign w:val="center"/>
          </w:tcPr>
          <w:p w14:paraId="5068C6F3">
            <w:pPr>
              <w:widowControl/>
              <w:jc w:val="center"/>
              <w:rPr>
                <w:sz w:val="22"/>
                <w:szCs w:val="22"/>
              </w:rPr>
            </w:pPr>
            <w:r>
              <w:rPr>
                <w:rFonts w:hint="eastAsia"/>
                <w:sz w:val="22"/>
                <w:szCs w:val="22"/>
              </w:rPr>
              <w:t>0</w:t>
            </w:r>
            <w:r>
              <w:rPr>
                <w:sz w:val="22"/>
                <w:szCs w:val="22"/>
              </w:rPr>
              <w:t>.015</w:t>
            </w:r>
          </w:p>
        </w:tc>
      </w:tr>
      <w:tr w14:paraId="16F6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64" w:type="pct"/>
            <w:vMerge w:val="continue"/>
            <w:vAlign w:val="center"/>
          </w:tcPr>
          <w:p w14:paraId="1999B774">
            <w:pPr>
              <w:jc w:val="center"/>
              <w:rPr>
                <w:sz w:val="22"/>
                <w:szCs w:val="22"/>
              </w:rPr>
            </w:pPr>
          </w:p>
        </w:tc>
        <w:tc>
          <w:tcPr>
            <w:tcW w:w="986" w:type="pct"/>
            <w:vAlign w:val="center"/>
          </w:tcPr>
          <w:p w14:paraId="391F91F7">
            <w:pPr>
              <w:widowControl/>
              <w:jc w:val="center"/>
              <w:rPr>
                <w:sz w:val="22"/>
                <w:szCs w:val="22"/>
              </w:rPr>
            </w:pPr>
            <w:r>
              <w:rPr>
                <w:rFonts w:hint="eastAsia"/>
                <w:sz w:val="22"/>
                <w:szCs w:val="22"/>
              </w:rPr>
              <w:t>C</w:t>
            </w:r>
            <w:r>
              <w:rPr>
                <w:sz w:val="22"/>
                <w:szCs w:val="22"/>
              </w:rPr>
              <w:t>NG</w:t>
            </w:r>
            <w:r>
              <w:rPr>
                <w:rFonts w:hint="eastAsia"/>
                <w:sz w:val="22"/>
                <w:szCs w:val="22"/>
              </w:rPr>
              <w:t>管束车</w:t>
            </w:r>
          </w:p>
        </w:tc>
        <w:tc>
          <w:tcPr>
            <w:tcW w:w="767" w:type="pct"/>
            <w:vAlign w:val="center"/>
          </w:tcPr>
          <w:p w14:paraId="0B2F8CBF">
            <w:pPr>
              <w:widowControl/>
              <w:jc w:val="center"/>
              <w:rPr>
                <w:sz w:val="22"/>
                <w:szCs w:val="22"/>
              </w:rPr>
            </w:pPr>
            <w:r>
              <w:rPr>
                <w:rFonts w:hint="eastAsia"/>
                <w:sz w:val="22"/>
                <w:szCs w:val="22"/>
              </w:rPr>
              <w:t>CNG（压缩天然气）</w:t>
            </w:r>
          </w:p>
        </w:tc>
        <w:tc>
          <w:tcPr>
            <w:tcW w:w="1068" w:type="pct"/>
            <w:vAlign w:val="center"/>
          </w:tcPr>
          <w:p w14:paraId="3A3730F6">
            <w:pPr>
              <w:widowControl/>
              <w:jc w:val="center"/>
              <w:rPr>
                <w:sz w:val="22"/>
                <w:szCs w:val="22"/>
              </w:rPr>
            </w:pPr>
            <w:r>
              <w:rPr>
                <w:rFonts w:hint="eastAsia"/>
                <w:sz w:val="22"/>
                <w:szCs w:val="22"/>
              </w:rPr>
              <w:t>3</w:t>
            </w:r>
            <w:r>
              <w:rPr>
                <w:sz w:val="22"/>
                <w:szCs w:val="22"/>
              </w:rPr>
              <w:t>.6</w:t>
            </w:r>
          </w:p>
        </w:tc>
        <w:tc>
          <w:tcPr>
            <w:tcW w:w="871" w:type="pct"/>
            <w:vAlign w:val="center"/>
          </w:tcPr>
          <w:p w14:paraId="725E2255">
            <w:pPr>
              <w:widowControl/>
              <w:jc w:val="center"/>
              <w:rPr>
                <w:sz w:val="22"/>
                <w:szCs w:val="22"/>
              </w:rPr>
            </w:pPr>
            <w:r>
              <w:rPr>
                <w:rFonts w:hint="eastAsia"/>
                <w:sz w:val="22"/>
                <w:szCs w:val="22"/>
              </w:rPr>
              <w:t>1</w:t>
            </w:r>
            <w:r>
              <w:rPr>
                <w:sz w:val="22"/>
                <w:szCs w:val="22"/>
              </w:rPr>
              <w:t>0</w:t>
            </w:r>
          </w:p>
        </w:tc>
        <w:tc>
          <w:tcPr>
            <w:tcW w:w="544" w:type="pct"/>
            <w:vAlign w:val="center"/>
          </w:tcPr>
          <w:p w14:paraId="20581656">
            <w:pPr>
              <w:widowControl/>
              <w:jc w:val="center"/>
              <w:rPr>
                <w:sz w:val="22"/>
                <w:szCs w:val="22"/>
              </w:rPr>
            </w:pPr>
            <w:r>
              <w:rPr>
                <w:rFonts w:hint="eastAsia"/>
                <w:sz w:val="22"/>
                <w:szCs w:val="22"/>
              </w:rPr>
              <w:t>0</w:t>
            </w:r>
            <w:r>
              <w:rPr>
                <w:sz w:val="22"/>
                <w:szCs w:val="22"/>
              </w:rPr>
              <w:t>.36</w:t>
            </w:r>
          </w:p>
        </w:tc>
      </w:tr>
      <w:tr w14:paraId="1200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64" w:type="pct"/>
            <w:vMerge w:val="continue"/>
            <w:vAlign w:val="center"/>
          </w:tcPr>
          <w:p w14:paraId="19885EE0">
            <w:pPr>
              <w:widowControl/>
              <w:jc w:val="center"/>
              <w:rPr>
                <w:sz w:val="22"/>
                <w:szCs w:val="22"/>
              </w:rPr>
            </w:pPr>
          </w:p>
        </w:tc>
        <w:tc>
          <w:tcPr>
            <w:tcW w:w="986" w:type="pct"/>
            <w:vAlign w:val="center"/>
          </w:tcPr>
          <w:p w14:paraId="1FAC805C">
            <w:pPr>
              <w:widowControl/>
              <w:jc w:val="center"/>
              <w:rPr>
                <w:sz w:val="22"/>
                <w:szCs w:val="22"/>
              </w:rPr>
            </w:pPr>
            <w:r>
              <w:rPr>
                <w:rFonts w:hint="eastAsia"/>
                <w:sz w:val="22"/>
                <w:szCs w:val="22"/>
              </w:rPr>
              <w:t>凝析油储罐</w:t>
            </w:r>
          </w:p>
        </w:tc>
        <w:tc>
          <w:tcPr>
            <w:tcW w:w="767" w:type="pct"/>
            <w:vAlign w:val="center"/>
          </w:tcPr>
          <w:p w14:paraId="37C4F9C0">
            <w:pPr>
              <w:widowControl/>
              <w:jc w:val="center"/>
              <w:rPr>
                <w:sz w:val="22"/>
                <w:szCs w:val="22"/>
              </w:rPr>
            </w:pPr>
            <w:r>
              <w:rPr>
                <w:rFonts w:hint="eastAsia"/>
                <w:sz w:val="22"/>
                <w:szCs w:val="22"/>
              </w:rPr>
              <w:t>凝析油</w:t>
            </w:r>
          </w:p>
        </w:tc>
        <w:tc>
          <w:tcPr>
            <w:tcW w:w="1068" w:type="pct"/>
            <w:vAlign w:val="center"/>
          </w:tcPr>
          <w:p w14:paraId="1AAE1AA9">
            <w:pPr>
              <w:widowControl/>
              <w:jc w:val="center"/>
              <w:rPr>
                <w:sz w:val="22"/>
                <w:szCs w:val="22"/>
              </w:rPr>
            </w:pPr>
            <w:r>
              <w:rPr>
                <w:sz w:val="22"/>
                <w:szCs w:val="22"/>
              </w:rPr>
              <w:t>79.1</w:t>
            </w:r>
          </w:p>
        </w:tc>
        <w:tc>
          <w:tcPr>
            <w:tcW w:w="871" w:type="pct"/>
            <w:vAlign w:val="center"/>
          </w:tcPr>
          <w:p w14:paraId="24418C0E">
            <w:pPr>
              <w:widowControl/>
              <w:jc w:val="center"/>
              <w:rPr>
                <w:sz w:val="22"/>
                <w:szCs w:val="22"/>
              </w:rPr>
            </w:pPr>
            <w:r>
              <w:rPr>
                <w:sz w:val="22"/>
                <w:szCs w:val="22"/>
              </w:rPr>
              <w:t>2500</w:t>
            </w:r>
          </w:p>
        </w:tc>
        <w:tc>
          <w:tcPr>
            <w:tcW w:w="544" w:type="pct"/>
            <w:vAlign w:val="center"/>
          </w:tcPr>
          <w:p w14:paraId="01A6B395">
            <w:pPr>
              <w:widowControl/>
              <w:jc w:val="center"/>
              <w:rPr>
                <w:sz w:val="22"/>
                <w:szCs w:val="22"/>
              </w:rPr>
            </w:pPr>
            <w:r>
              <w:rPr>
                <w:rFonts w:hint="eastAsia"/>
                <w:sz w:val="22"/>
                <w:szCs w:val="22"/>
              </w:rPr>
              <w:t>0</w:t>
            </w:r>
            <w:r>
              <w:rPr>
                <w:sz w:val="22"/>
                <w:szCs w:val="22"/>
              </w:rPr>
              <w:t>.032</w:t>
            </w:r>
          </w:p>
        </w:tc>
      </w:tr>
      <w:tr w14:paraId="15F8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64" w:type="pct"/>
            <w:vMerge w:val="continue"/>
            <w:vAlign w:val="center"/>
          </w:tcPr>
          <w:p w14:paraId="399C073C">
            <w:pPr>
              <w:widowControl/>
              <w:jc w:val="center"/>
              <w:rPr>
                <w:sz w:val="22"/>
                <w:szCs w:val="22"/>
              </w:rPr>
            </w:pPr>
          </w:p>
        </w:tc>
        <w:tc>
          <w:tcPr>
            <w:tcW w:w="986" w:type="pct"/>
            <w:vAlign w:val="center"/>
          </w:tcPr>
          <w:p w14:paraId="31CE5227">
            <w:pPr>
              <w:widowControl/>
              <w:jc w:val="center"/>
              <w:rPr>
                <w:sz w:val="22"/>
                <w:szCs w:val="22"/>
              </w:rPr>
            </w:pPr>
            <w:r>
              <w:rPr>
                <w:rFonts w:hint="eastAsia"/>
                <w:sz w:val="22"/>
                <w:szCs w:val="22"/>
              </w:rPr>
              <w:t>气田水储罐</w:t>
            </w:r>
          </w:p>
        </w:tc>
        <w:tc>
          <w:tcPr>
            <w:tcW w:w="767" w:type="pct"/>
            <w:vAlign w:val="center"/>
          </w:tcPr>
          <w:p w14:paraId="53327556">
            <w:pPr>
              <w:widowControl/>
              <w:jc w:val="center"/>
              <w:rPr>
                <w:sz w:val="22"/>
                <w:szCs w:val="22"/>
              </w:rPr>
            </w:pPr>
            <w:r>
              <w:rPr>
                <w:rFonts w:hint="eastAsia"/>
                <w:sz w:val="22"/>
                <w:szCs w:val="22"/>
              </w:rPr>
              <w:t>气田水</w:t>
            </w:r>
          </w:p>
        </w:tc>
        <w:tc>
          <w:tcPr>
            <w:tcW w:w="1068" w:type="pct"/>
            <w:vAlign w:val="center"/>
          </w:tcPr>
          <w:p w14:paraId="51CC55E8">
            <w:pPr>
              <w:widowControl/>
              <w:jc w:val="center"/>
              <w:rPr>
                <w:sz w:val="22"/>
                <w:szCs w:val="22"/>
              </w:rPr>
            </w:pPr>
            <w:r>
              <w:rPr>
                <w:sz w:val="22"/>
                <w:szCs w:val="22"/>
              </w:rPr>
              <w:t>120</w:t>
            </w:r>
          </w:p>
        </w:tc>
        <w:tc>
          <w:tcPr>
            <w:tcW w:w="871" w:type="pct"/>
            <w:vAlign w:val="center"/>
          </w:tcPr>
          <w:p w14:paraId="2708942D">
            <w:pPr>
              <w:widowControl/>
              <w:jc w:val="center"/>
              <w:rPr>
                <w:sz w:val="22"/>
                <w:szCs w:val="22"/>
              </w:rPr>
            </w:pPr>
            <w:r>
              <w:rPr>
                <w:rFonts w:hint="eastAsia"/>
                <w:sz w:val="22"/>
                <w:szCs w:val="22"/>
              </w:rPr>
              <w:t>/</w:t>
            </w:r>
          </w:p>
        </w:tc>
        <w:tc>
          <w:tcPr>
            <w:tcW w:w="544" w:type="pct"/>
            <w:vAlign w:val="center"/>
          </w:tcPr>
          <w:p w14:paraId="0F295599">
            <w:pPr>
              <w:widowControl/>
              <w:jc w:val="center"/>
              <w:rPr>
                <w:sz w:val="22"/>
                <w:szCs w:val="22"/>
              </w:rPr>
            </w:pPr>
            <w:r>
              <w:rPr>
                <w:rFonts w:hint="eastAsia"/>
                <w:sz w:val="22"/>
                <w:szCs w:val="22"/>
              </w:rPr>
              <w:t>/</w:t>
            </w:r>
          </w:p>
        </w:tc>
      </w:tr>
      <w:tr w14:paraId="5962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64" w:type="pct"/>
            <w:vMerge w:val="continue"/>
            <w:vAlign w:val="center"/>
          </w:tcPr>
          <w:p w14:paraId="25A11FC3">
            <w:pPr>
              <w:widowControl/>
              <w:jc w:val="center"/>
              <w:rPr>
                <w:sz w:val="22"/>
                <w:szCs w:val="22"/>
              </w:rPr>
            </w:pPr>
          </w:p>
        </w:tc>
        <w:tc>
          <w:tcPr>
            <w:tcW w:w="3692" w:type="pct"/>
            <w:gridSpan w:val="4"/>
            <w:vAlign w:val="center"/>
          </w:tcPr>
          <w:p w14:paraId="314C3396">
            <w:pPr>
              <w:widowControl/>
              <w:jc w:val="center"/>
              <w:rPr>
                <w:sz w:val="22"/>
                <w:szCs w:val="22"/>
              </w:rPr>
            </w:pPr>
            <w:r>
              <w:rPr>
                <w:rFonts w:hint="eastAsia"/>
                <w:sz w:val="22"/>
                <w:szCs w:val="22"/>
              </w:rPr>
              <w:t>合计</w:t>
            </w:r>
          </w:p>
        </w:tc>
        <w:tc>
          <w:tcPr>
            <w:tcW w:w="544" w:type="pct"/>
            <w:vAlign w:val="center"/>
          </w:tcPr>
          <w:p w14:paraId="5363E0BA">
            <w:pPr>
              <w:widowControl/>
              <w:jc w:val="center"/>
              <w:rPr>
                <w:sz w:val="22"/>
                <w:szCs w:val="22"/>
              </w:rPr>
            </w:pPr>
            <w:r>
              <w:rPr>
                <w:rFonts w:hint="eastAsia"/>
                <w:sz w:val="22"/>
                <w:szCs w:val="22"/>
              </w:rPr>
              <w:t>0</w:t>
            </w:r>
            <w:r>
              <w:rPr>
                <w:sz w:val="22"/>
                <w:szCs w:val="22"/>
              </w:rPr>
              <w:t>.407</w:t>
            </w:r>
          </w:p>
        </w:tc>
      </w:tr>
    </w:tbl>
    <w:p w14:paraId="60FDD19D">
      <w:pPr>
        <w:pStyle w:val="1379"/>
        <w:ind w:firstLine="210" w:firstLineChars="100"/>
        <w:rPr>
          <w:sz w:val="21"/>
        </w:rPr>
      </w:pPr>
      <w:r>
        <w:rPr>
          <w:rFonts w:hint="eastAsia"/>
          <w:sz w:val="21"/>
        </w:rPr>
        <w:t>注：气田水不属于《建设项目环境风险评价技术导则》（HJ169-2018）附录B中危险物质，不参与计算Q值。</w:t>
      </w:r>
    </w:p>
    <w:p w14:paraId="045F713F">
      <w:pPr>
        <w:pStyle w:val="1379"/>
        <w:ind w:firstLine="440"/>
      </w:pPr>
    </w:p>
    <w:p w14:paraId="5C881F01">
      <w:pPr>
        <w:spacing w:line="480" w:lineRule="exact"/>
        <w:ind w:firstLine="520" w:firstLineChars="200"/>
        <w:rPr>
          <w:sz w:val="26"/>
          <w:szCs w:val="26"/>
        </w:rPr>
      </w:pPr>
      <w:r>
        <w:rPr>
          <w:rFonts w:hint="eastAsia"/>
          <w:sz w:val="26"/>
          <w:szCs w:val="26"/>
        </w:rPr>
        <w:t>根据导则附录C相关计算方法，本项目危险物质最大在线量与临界量的比值Q＜1，本项目环境风险潜势为Ⅰ。</w:t>
      </w:r>
    </w:p>
    <w:p w14:paraId="6D1A4E24">
      <w:pPr>
        <w:spacing w:line="460" w:lineRule="exact"/>
        <w:ind w:firstLine="522" w:firstLineChars="200"/>
        <w:outlineLvl w:val="1"/>
        <w:rPr>
          <w:b/>
          <w:bCs/>
          <w:sz w:val="26"/>
          <w:szCs w:val="26"/>
        </w:rPr>
      </w:pPr>
      <w:bookmarkStart w:id="322" w:name="_Toc219907664"/>
      <w:r>
        <w:rPr>
          <w:b/>
          <w:bCs/>
          <w:sz w:val="26"/>
          <w:szCs w:val="26"/>
        </w:rPr>
        <w:t xml:space="preserve">7.3 </w:t>
      </w:r>
      <w:r>
        <w:rPr>
          <w:rFonts w:hint="eastAsia"/>
          <w:b/>
          <w:bCs/>
          <w:sz w:val="26"/>
          <w:szCs w:val="26"/>
        </w:rPr>
        <w:t>风险评价工作等级及评价范围</w:t>
      </w:r>
      <w:bookmarkEnd w:id="322"/>
    </w:p>
    <w:p w14:paraId="2534A0AF">
      <w:pPr>
        <w:adjustRightInd w:val="0"/>
        <w:snapToGrid w:val="0"/>
        <w:spacing w:line="480" w:lineRule="exact"/>
        <w:ind w:firstLine="522" w:firstLineChars="200"/>
        <w:outlineLvl w:val="2"/>
        <w:rPr>
          <w:b/>
          <w:sz w:val="26"/>
          <w:szCs w:val="26"/>
        </w:rPr>
      </w:pPr>
      <w:r>
        <w:rPr>
          <w:rFonts w:hint="eastAsia"/>
          <w:b/>
          <w:sz w:val="26"/>
          <w:szCs w:val="26"/>
        </w:rPr>
        <w:t>7</w:t>
      </w:r>
      <w:r>
        <w:rPr>
          <w:b/>
          <w:sz w:val="26"/>
          <w:szCs w:val="26"/>
        </w:rPr>
        <w:t xml:space="preserve">.3.1 </w:t>
      </w:r>
      <w:r>
        <w:rPr>
          <w:rFonts w:hint="eastAsia"/>
          <w:b/>
          <w:sz w:val="26"/>
          <w:szCs w:val="26"/>
        </w:rPr>
        <w:t>环境风险评价等级</w:t>
      </w:r>
    </w:p>
    <w:p w14:paraId="6F0518BC">
      <w:pPr>
        <w:spacing w:line="460" w:lineRule="exact"/>
        <w:ind w:firstLine="520" w:firstLineChars="200"/>
        <w:rPr>
          <w:sz w:val="26"/>
          <w:szCs w:val="26"/>
        </w:rPr>
      </w:pPr>
      <w:r>
        <w:rPr>
          <w:sz w:val="26"/>
          <w:szCs w:val="26"/>
        </w:rPr>
        <w:t>根据《建设项目环境风险评价技术导则》（HJ 169-2018），通过对拟建项目涉及的物质及工艺系统危险性和所在地的环境敏感性确定环境风险潜势，按照导则</w:t>
      </w:r>
      <w:r>
        <w:rPr>
          <w:sz w:val="26"/>
          <w:szCs w:val="26"/>
          <w:u w:val="single"/>
        </w:rPr>
        <w:t>表7.3-1</w:t>
      </w:r>
      <w:r>
        <w:rPr>
          <w:sz w:val="26"/>
          <w:szCs w:val="26"/>
        </w:rPr>
        <w:t>确定评价工作等级。</w:t>
      </w:r>
    </w:p>
    <w:p w14:paraId="3192E939">
      <w:pPr>
        <w:pStyle w:val="1379"/>
        <w:ind w:firstLine="440"/>
      </w:pPr>
    </w:p>
    <w:p w14:paraId="6C09EC2C">
      <w:pPr>
        <w:pStyle w:val="1065"/>
        <w:keepNext/>
      </w:pPr>
      <w:r>
        <w:rPr>
          <w:rFonts w:hint="eastAsia"/>
        </w:rPr>
        <w:t>表7.3-1  评价工作等级划分</w:t>
      </w:r>
    </w:p>
    <w:tbl>
      <w:tblPr>
        <w:tblStyle w:val="88"/>
        <w:tblW w:w="82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1661"/>
        <w:gridCol w:w="1651"/>
        <w:gridCol w:w="1652"/>
        <w:gridCol w:w="1652"/>
      </w:tblGrid>
      <w:tr w14:paraId="7BC72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50" w:type="dxa"/>
            <w:vAlign w:val="center"/>
          </w:tcPr>
          <w:p w14:paraId="53B6443A">
            <w:pPr>
              <w:widowControl/>
              <w:jc w:val="center"/>
              <w:rPr>
                <w:sz w:val="22"/>
              </w:rPr>
            </w:pPr>
            <w:r>
              <w:rPr>
                <w:sz w:val="22"/>
              </w:rPr>
              <w:t>环境风险潜势</w:t>
            </w:r>
          </w:p>
        </w:tc>
        <w:tc>
          <w:tcPr>
            <w:tcW w:w="1661" w:type="dxa"/>
            <w:vAlign w:val="center"/>
          </w:tcPr>
          <w:p w14:paraId="126442CF">
            <w:pPr>
              <w:widowControl/>
              <w:jc w:val="center"/>
              <w:rPr>
                <w:sz w:val="22"/>
              </w:rPr>
            </w:pPr>
            <w:r>
              <w:rPr>
                <w:sz w:val="22"/>
              </w:rPr>
              <w:t>IV、IV+</w:t>
            </w:r>
          </w:p>
        </w:tc>
        <w:tc>
          <w:tcPr>
            <w:tcW w:w="1651" w:type="dxa"/>
            <w:vAlign w:val="center"/>
          </w:tcPr>
          <w:p w14:paraId="2B63BB98">
            <w:pPr>
              <w:widowControl/>
              <w:jc w:val="center"/>
              <w:rPr>
                <w:sz w:val="22"/>
              </w:rPr>
            </w:pPr>
            <w:r>
              <w:rPr>
                <w:sz w:val="22"/>
              </w:rPr>
              <w:t>III</w:t>
            </w:r>
          </w:p>
        </w:tc>
        <w:tc>
          <w:tcPr>
            <w:tcW w:w="1652" w:type="dxa"/>
            <w:vAlign w:val="center"/>
          </w:tcPr>
          <w:p w14:paraId="2C207922">
            <w:pPr>
              <w:widowControl/>
              <w:jc w:val="center"/>
              <w:rPr>
                <w:sz w:val="22"/>
              </w:rPr>
            </w:pPr>
            <w:r>
              <w:rPr>
                <w:sz w:val="22"/>
              </w:rPr>
              <w:t>II</w:t>
            </w:r>
          </w:p>
        </w:tc>
        <w:tc>
          <w:tcPr>
            <w:tcW w:w="1652" w:type="dxa"/>
            <w:vAlign w:val="center"/>
          </w:tcPr>
          <w:p w14:paraId="74D3C8B1">
            <w:pPr>
              <w:widowControl/>
              <w:jc w:val="center"/>
              <w:rPr>
                <w:sz w:val="22"/>
              </w:rPr>
            </w:pPr>
            <w:r>
              <w:rPr>
                <w:sz w:val="22"/>
              </w:rPr>
              <w:t>I</w:t>
            </w:r>
          </w:p>
        </w:tc>
      </w:tr>
      <w:tr w14:paraId="3E45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650" w:type="dxa"/>
            <w:vAlign w:val="center"/>
          </w:tcPr>
          <w:p w14:paraId="2280E5EC">
            <w:pPr>
              <w:widowControl/>
              <w:jc w:val="center"/>
              <w:rPr>
                <w:sz w:val="22"/>
              </w:rPr>
            </w:pPr>
            <w:r>
              <w:rPr>
                <w:sz w:val="22"/>
              </w:rPr>
              <w:t>评价工作等级</w:t>
            </w:r>
          </w:p>
        </w:tc>
        <w:tc>
          <w:tcPr>
            <w:tcW w:w="1661" w:type="dxa"/>
            <w:vAlign w:val="center"/>
          </w:tcPr>
          <w:p w14:paraId="460164FA">
            <w:pPr>
              <w:widowControl/>
              <w:jc w:val="center"/>
              <w:rPr>
                <w:sz w:val="22"/>
              </w:rPr>
            </w:pPr>
            <w:r>
              <w:rPr>
                <w:sz w:val="22"/>
              </w:rPr>
              <w:t>一</w:t>
            </w:r>
          </w:p>
        </w:tc>
        <w:tc>
          <w:tcPr>
            <w:tcW w:w="1651" w:type="dxa"/>
            <w:vAlign w:val="center"/>
          </w:tcPr>
          <w:p w14:paraId="3E8BA748">
            <w:pPr>
              <w:widowControl/>
              <w:jc w:val="center"/>
              <w:rPr>
                <w:sz w:val="22"/>
              </w:rPr>
            </w:pPr>
            <w:r>
              <w:rPr>
                <w:sz w:val="22"/>
              </w:rPr>
              <w:t>二</w:t>
            </w:r>
          </w:p>
        </w:tc>
        <w:tc>
          <w:tcPr>
            <w:tcW w:w="1652" w:type="dxa"/>
            <w:vAlign w:val="center"/>
          </w:tcPr>
          <w:p w14:paraId="0E9D548B">
            <w:pPr>
              <w:widowControl/>
              <w:jc w:val="center"/>
              <w:rPr>
                <w:sz w:val="22"/>
              </w:rPr>
            </w:pPr>
            <w:r>
              <w:rPr>
                <w:sz w:val="22"/>
              </w:rPr>
              <w:t>三</w:t>
            </w:r>
          </w:p>
        </w:tc>
        <w:tc>
          <w:tcPr>
            <w:tcW w:w="1652" w:type="dxa"/>
            <w:shd w:val="clear" w:color="auto" w:fill="D9D9D9"/>
            <w:vAlign w:val="center"/>
          </w:tcPr>
          <w:p w14:paraId="44C114BD">
            <w:pPr>
              <w:widowControl/>
              <w:jc w:val="center"/>
              <w:rPr>
                <w:sz w:val="22"/>
              </w:rPr>
            </w:pPr>
            <w:r>
              <w:rPr>
                <w:sz w:val="22"/>
              </w:rPr>
              <w:t>简单分析a</w:t>
            </w:r>
          </w:p>
        </w:tc>
      </w:tr>
      <w:tr w14:paraId="0B68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66" w:type="dxa"/>
            <w:gridSpan w:val="5"/>
            <w:vAlign w:val="center"/>
          </w:tcPr>
          <w:p w14:paraId="09332D97">
            <w:pPr>
              <w:widowControl/>
              <w:rPr>
                <w:sz w:val="22"/>
              </w:rPr>
            </w:pPr>
            <w:r>
              <w:rPr>
                <w:sz w:val="22"/>
              </w:rPr>
              <w:t>a是相对详细评价工作内容而言，在描述危险物质、环境影响途径、环境危害后果、环境防范措施等方面给出定性的说明。</w:t>
            </w:r>
          </w:p>
        </w:tc>
      </w:tr>
    </w:tbl>
    <w:p w14:paraId="48E2B228">
      <w:pPr>
        <w:pStyle w:val="1379"/>
        <w:ind w:firstLine="440"/>
      </w:pPr>
    </w:p>
    <w:p w14:paraId="3BD97A94">
      <w:pPr>
        <w:spacing w:line="480" w:lineRule="exact"/>
        <w:ind w:firstLine="520" w:firstLineChars="200"/>
        <w:rPr>
          <w:sz w:val="26"/>
          <w:szCs w:val="26"/>
        </w:rPr>
      </w:pPr>
      <w:r>
        <w:rPr>
          <w:rFonts w:hint="eastAsia"/>
          <w:sz w:val="26"/>
          <w:szCs w:val="26"/>
        </w:rPr>
        <w:t>由于本项目环境风险潜势直接判定为Ⅰ，本项目环境风险评价工作等级为简单分析。</w:t>
      </w:r>
    </w:p>
    <w:p w14:paraId="214055A3">
      <w:pPr>
        <w:adjustRightInd w:val="0"/>
        <w:snapToGrid w:val="0"/>
        <w:spacing w:line="480" w:lineRule="exact"/>
        <w:ind w:firstLine="522" w:firstLineChars="200"/>
        <w:outlineLvl w:val="2"/>
        <w:rPr>
          <w:b/>
          <w:sz w:val="26"/>
          <w:szCs w:val="26"/>
        </w:rPr>
      </w:pPr>
      <w:r>
        <w:rPr>
          <w:b/>
          <w:sz w:val="26"/>
          <w:szCs w:val="26"/>
        </w:rPr>
        <w:t xml:space="preserve">7.3.2 </w:t>
      </w:r>
      <w:r>
        <w:rPr>
          <w:rFonts w:hint="eastAsia"/>
          <w:b/>
          <w:sz w:val="26"/>
          <w:szCs w:val="26"/>
        </w:rPr>
        <w:t>评价范围</w:t>
      </w:r>
    </w:p>
    <w:p w14:paraId="326478E2">
      <w:pPr>
        <w:adjustRightInd w:val="0"/>
        <w:snapToGrid w:val="0"/>
        <w:spacing w:line="460" w:lineRule="exact"/>
        <w:ind w:firstLine="520" w:firstLineChars="200"/>
        <w:rPr>
          <w:kern w:val="0"/>
          <w:sz w:val="26"/>
          <w:szCs w:val="20"/>
        </w:rPr>
      </w:pPr>
      <w:r>
        <w:rPr>
          <w:rFonts w:hint="eastAsia"/>
          <w:kern w:val="0"/>
          <w:sz w:val="26"/>
          <w:szCs w:val="20"/>
        </w:rPr>
        <w:t>本项目环境风险评价等级为简单分析，不设置具体评价范围。</w:t>
      </w:r>
    </w:p>
    <w:p w14:paraId="537E3CAF">
      <w:pPr>
        <w:spacing w:line="460" w:lineRule="exact"/>
        <w:ind w:firstLine="522" w:firstLineChars="200"/>
        <w:outlineLvl w:val="1"/>
        <w:rPr>
          <w:b/>
          <w:bCs/>
          <w:sz w:val="26"/>
          <w:szCs w:val="26"/>
        </w:rPr>
      </w:pPr>
      <w:bookmarkStart w:id="323" w:name="_Toc161930574"/>
      <w:bookmarkStart w:id="324" w:name="_Toc219907665"/>
      <w:r>
        <w:rPr>
          <w:rFonts w:hint="eastAsia"/>
          <w:b/>
          <w:bCs/>
          <w:sz w:val="26"/>
          <w:szCs w:val="26"/>
        </w:rPr>
        <w:t>7</w:t>
      </w:r>
      <w:r>
        <w:rPr>
          <w:b/>
          <w:bCs/>
          <w:sz w:val="26"/>
          <w:szCs w:val="26"/>
        </w:rPr>
        <w:t xml:space="preserve">.4 </w:t>
      </w:r>
      <w:r>
        <w:rPr>
          <w:rFonts w:hint="eastAsia"/>
          <w:b/>
          <w:bCs/>
          <w:sz w:val="26"/>
          <w:szCs w:val="26"/>
        </w:rPr>
        <w:t>环境风险识别</w:t>
      </w:r>
      <w:bookmarkEnd w:id="323"/>
      <w:bookmarkEnd w:id="324"/>
    </w:p>
    <w:p w14:paraId="2CEAEEF6">
      <w:pPr>
        <w:adjustRightInd w:val="0"/>
        <w:snapToGrid w:val="0"/>
        <w:spacing w:line="480" w:lineRule="exact"/>
        <w:ind w:firstLine="522" w:firstLineChars="200"/>
        <w:outlineLvl w:val="2"/>
        <w:rPr>
          <w:b/>
          <w:sz w:val="26"/>
          <w:szCs w:val="26"/>
        </w:rPr>
      </w:pPr>
      <w:r>
        <w:rPr>
          <w:rFonts w:hint="eastAsia"/>
          <w:b/>
          <w:sz w:val="26"/>
          <w:szCs w:val="26"/>
        </w:rPr>
        <w:t>7</w:t>
      </w:r>
      <w:r>
        <w:rPr>
          <w:b/>
          <w:sz w:val="26"/>
          <w:szCs w:val="26"/>
        </w:rPr>
        <w:t xml:space="preserve">.4.1 </w:t>
      </w:r>
      <w:r>
        <w:rPr>
          <w:rFonts w:hint="eastAsia"/>
          <w:b/>
          <w:sz w:val="26"/>
          <w:szCs w:val="26"/>
        </w:rPr>
        <w:t>主要危险物质及分布情况</w:t>
      </w:r>
    </w:p>
    <w:p w14:paraId="4BDE2C62">
      <w:pPr>
        <w:adjustRightInd w:val="0"/>
        <w:snapToGrid w:val="0"/>
        <w:spacing w:line="460" w:lineRule="exact"/>
        <w:ind w:firstLine="520" w:firstLineChars="200"/>
        <w:rPr>
          <w:sz w:val="26"/>
          <w:szCs w:val="26"/>
        </w:rPr>
      </w:pPr>
      <w:r>
        <w:rPr>
          <w:rFonts w:hint="eastAsia"/>
          <w:sz w:val="26"/>
          <w:szCs w:val="26"/>
        </w:rPr>
        <w:t>本项目生产过程中涉及的危险物质有天然气、凝析油和气田水等，具体见“</w:t>
      </w:r>
      <w:r>
        <w:rPr>
          <w:sz w:val="26"/>
          <w:szCs w:val="26"/>
        </w:rPr>
        <w:t>7</w:t>
      </w:r>
      <w:r>
        <w:rPr>
          <w:rFonts w:hint="eastAsia"/>
          <w:sz w:val="26"/>
          <w:szCs w:val="26"/>
        </w:rPr>
        <w:t>.1-1</w:t>
      </w:r>
      <w:r>
        <w:rPr>
          <w:sz w:val="26"/>
          <w:szCs w:val="26"/>
        </w:rPr>
        <w:t xml:space="preserve"> </w:t>
      </w:r>
      <w:r>
        <w:rPr>
          <w:rFonts w:hint="eastAsia"/>
          <w:sz w:val="26"/>
          <w:szCs w:val="26"/>
        </w:rPr>
        <w:t>风险源调查”章节内容。</w:t>
      </w:r>
    </w:p>
    <w:p w14:paraId="25597D5A">
      <w:pPr>
        <w:adjustRightInd w:val="0"/>
        <w:snapToGrid w:val="0"/>
        <w:spacing w:line="480" w:lineRule="exact"/>
        <w:ind w:firstLine="522" w:firstLineChars="200"/>
        <w:outlineLvl w:val="2"/>
        <w:rPr>
          <w:b/>
          <w:sz w:val="26"/>
          <w:szCs w:val="26"/>
        </w:rPr>
      </w:pPr>
      <w:r>
        <w:rPr>
          <w:rFonts w:hint="eastAsia"/>
          <w:b/>
          <w:sz w:val="26"/>
          <w:szCs w:val="26"/>
        </w:rPr>
        <w:t>7</w:t>
      </w:r>
      <w:r>
        <w:rPr>
          <w:b/>
          <w:sz w:val="26"/>
          <w:szCs w:val="26"/>
        </w:rPr>
        <w:t xml:space="preserve">.4.2 </w:t>
      </w:r>
      <w:r>
        <w:rPr>
          <w:rFonts w:hint="eastAsia"/>
          <w:b/>
          <w:sz w:val="26"/>
          <w:szCs w:val="26"/>
        </w:rPr>
        <w:t>生产设施及生产过程危险性识别</w:t>
      </w:r>
    </w:p>
    <w:p w14:paraId="752A9FB0">
      <w:pPr>
        <w:autoSpaceDE w:val="0"/>
        <w:autoSpaceDN w:val="0"/>
        <w:snapToGrid w:val="0"/>
        <w:spacing w:line="460" w:lineRule="exact"/>
        <w:ind w:firstLine="520" w:firstLineChars="200"/>
        <w:jc w:val="left"/>
        <w:rPr>
          <w:sz w:val="26"/>
          <w:szCs w:val="26"/>
        </w:rPr>
      </w:pPr>
      <w:r>
        <w:rPr>
          <w:rFonts w:hint="eastAsia"/>
          <w:snapToGrid w:val="0"/>
          <w:kern w:val="0"/>
          <w:sz w:val="26"/>
          <w:szCs w:val="26"/>
        </w:rPr>
        <w:t>本项目涉及的危险单元主要为试采站场，主要环境风险设施为站内采气设施、凝析油储罐、气田水储罐等，主要生产过程包括天然气的开采过程环境风险，气田水和凝析油在贮存和转运中的泄漏风险，C</w:t>
      </w:r>
      <w:r>
        <w:rPr>
          <w:snapToGrid w:val="0"/>
          <w:kern w:val="0"/>
          <w:sz w:val="26"/>
          <w:szCs w:val="26"/>
        </w:rPr>
        <w:t>NG</w:t>
      </w:r>
      <w:r>
        <w:rPr>
          <w:rFonts w:hint="eastAsia"/>
          <w:snapToGrid w:val="0"/>
          <w:kern w:val="0"/>
          <w:sz w:val="26"/>
          <w:szCs w:val="26"/>
        </w:rPr>
        <w:t>管束车转运过程的环境风险。</w:t>
      </w:r>
    </w:p>
    <w:p w14:paraId="7F3D1367">
      <w:pPr>
        <w:autoSpaceDE w:val="0"/>
        <w:autoSpaceDN w:val="0"/>
        <w:snapToGrid w:val="0"/>
        <w:spacing w:line="460" w:lineRule="exact"/>
        <w:ind w:firstLine="520" w:firstLineChars="200"/>
        <w:jc w:val="left"/>
        <w:rPr>
          <w:sz w:val="26"/>
          <w:szCs w:val="26"/>
        </w:rPr>
      </w:pPr>
      <w:r>
        <w:rPr>
          <w:rFonts w:hint="eastAsia"/>
          <w:sz w:val="26"/>
          <w:szCs w:val="26"/>
        </w:rPr>
        <w:t>（1）试采站内天然气泄漏风险</w:t>
      </w:r>
    </w:p>
    <w:p w14:paraId="651E48FB">
      <w:pPr>
        <w:pStyle w:val="1381"/>
        <w:ind w:firstLine="520"/>
      </w:pPr>
      <w:r>
        <w:t>本项目天然气泄漏情形包括</w:t>
      </w:r>
      <w:r>
        <w:rPr>
          <w:rFonts w:hint="eastAsia"/>
        </w:rPr>
        <w:t>试采站</w:t>
      </w:r>
      <w:r>
        <w:t>内部的管线或设备泄漏。管线和设备破裂原因为内、外腐蚀作用，母体材料缺陷或焊口缺陷隐患，意外重大的机械损伤或地震、地陷、洪水等自然灾害破坏作用。管线或设备破裂会造成天然气泄漏，本项目天然气不含硫，天然气泄漏对空气影响较小。</w:t>
      </w:r>
    </w:p>
    <w:p w14:paraId="55E2BB0B">
      <w:pPr>
        <w:autoSpaceDE w:val="0"/>
        <w:autoSpaceDN w:val="0"/>
        <w:snapToGrid w:val="0"/>
        <w:spacing w:line="460" w:lineRule="exact"/>
        <w:ind w:firstLine="520" w:firstLineChars="200"/>
        <w:jc w:val="left"/>
        <w:rPr>
          <w:sz w:val="26"/>
          <w:szCs w:val="26"/>
        </w:rPr>
      </w:pPr>
      <w:r>
        <w:rPr>
          <w:rFonts w:hint="eastAsia"/>
          <w:sz w:val="26"/>
          <w:szCs w:val="26"/>
        </w:rPr>
        <w:t>（2）</w:t>
      </w:r>
      <w:r>
        <w:rPr>
          <w:sz w:val="24"/>
          <w:szCs w:val="32"/>
        </w:rPr>
        <w:t>火灾爆炸引发次生污染</w:t>
      </w:r>
    </w:p>
    <w:p w14:paraId="762E8A7B">
      <w:pPr>
        <w:pStyle w:val="1381"/>
        <w:ind w:firstLine="520"/>
        <w:rPr>
          <w:b/>
          <w:bCs/>
          <w:szCs w:val="32"/>
        </w:rPr>
      </w:pPr>
      <w:r>
        <w:rPr>
          <w:rFonts w:hint="eastAsia"/>
          <w:szCs w:val="32"/>
        </w:rPr>
        <w:t>试采站内天然气开采设备或</w:t>
      </w:r>
      <w:r>
        <w:rPr>
          <w:szCs w:val="32"/>
        </w:rPr>
        <w:t>管线发生天</w:t>
      </w:r>
      <w:r>
        <w:t>然气泄漏后，遇明火燃烧产生污染物CO进入大气</w:t>
      </w:r>
      <w:r>
        <w:rPr>
          <w:rFonts w:hint="eastAsia"/>
        </w:rPr>
        <w:t>，对大气环境造成污染</w:t>
      </w:r>
      <w:r>
        <w:t>。</w:t>
      </w:r>
    </w:p>
    <w:p w14:paraId="728389B1">
      <w:pPr>
        <w:autoSpaceDE w:val="0"/>
        <w:autoSpaceDN w:val="0"/>
        <w:snapToGrid w:val="0"/>
        <w:spacing w:line="460" w:lineRule="exact"/>
        <w:ind w:firstLine="520" w:firstLineChars="200"/>
        <w:jc w:val="left"/>
        <w:rPr>
          <w:sz w:val="26"/>
          <w:szCs w:val="26"/>
        </w:rPr>
      </w:pPr>
      <w:r>
        <w:rPr>
          <w:rFonts w:hint="eastAsia"/>
          <w:sz w:val="26"/>
          <w:szCs w:val="26"/>
        </w:rPr>
        <w:t>（3）凝析油储罐、气田水储罐泄漏</w:t>
      </w:r>
    </w:p>
    <w:p w14:paraId="3B4632A1">
      <w:pPr>
        <w:pStyle w:val="1381"/>
        <w:ind w:firstLine="520"/>
      </w:pPr>
      <w:r>
        <w:rPr>
          <w:rFonts w:hint="eastAsia"/>
          <w:szCs w:val="26"/>
        </w:rPr>
        <w:t>本项目设置</w:t>
      </w:r>
      <w:r>
        <w:rPr>
          <w:szCs w:val="26"/>
        </w:rPr>
        <w:t>2</w:t>
      </w:r>
      <w:r>
        <w:rPr>
          <w:rFonts w:hint="eastAsia"/>
          <w:szCs w:val="26"/>
        </w:rPr>
        <w:t>个</w:t>
      </w:r>
      <w:r>
        <w:rPr>
          <w:rFonts w:hint="eastAsia"/>
        </w:rPr>
        <w:t>5</w:t>
      </w:r>
      <w:r>
        <w:t>0</w:t>
      </w:r>
      <w:r>
        <w:rPr>
          <w:rFonts w:hint="eastAsia"/>
        </w:rPr>
        <w:t>m</w:t>
      </w:r>
      <w:r>
        <w:rPr>
          <w:vertAlign w:val="superscript"/>
        </w:rPr>
        <w:t>3</w:t>
      </w:r>
      <w:r>
        <w:t>/</w:t>
      </w:r>
      <w:r>
        <w:rPr>
          <w:rFonts w:hint="eastAsia"/>
        </w:rPr>
        <w:t>个的凝析油储罐和</w:t>
      </w:r>
      <w:r>
        <w:t>2</w:t>
      </w:r>
      <w:r>
        <w:rPr>
          <w:rFonts w:hint="eastAsia"/>
        </w:rPr>
        <w:t>个5</w:t>
      </w:r>
      <w:r>
        <w:t>0</w:t>
      </w:r>
      <w:r>
        <w:rPr>
          <w:rFonts w:hint="eastAsia"/>
        </w:rPr>
        <w:t>m</w:t>
      </w:r>
      <w:r>
        <w:rPr>
          <w:vertAlign w:val="superscript"/>
        </w:rPr>
        <w:t>3</w:t>
      </w:r>
      <w:r>
        <w:rPr>
          <w:rFonts w:hint="eastAsia"/>
        </w:rPr>
        <w:t>、</w:t>
      </w:r>
      <w:r>
        <w:t>1</w:t>
      </w:r>
      <w:r>
        <w:rPr>
          <w:rFonts w:hint="eastAsia"/>
        </w:rPr>
        <w:t>个</w:t>
      </w:r>
      <w:r>
        <w:t>20</w:t>
      </w:r>
      <w:r>
        <w:rPr>
          <w:rFonts w:hint="eastAsia"/>
        </w:rPr>
        <w:t>m</w:t>
      </w:r>
      <w:r>
        <w:rPr>
          <w:vertAlign w:val="superscript"/>
        </w:rPr>
        <w:t>3</w:t>
      </w:r>
      <w:r>
        <w:rPr>
          <w:rFonts w:hint="eastAsia"/>
        </w:rPr>
        <w:t>的气田水储罐，储罐可能因</w:t>
      </w:r>
      <w:r>
        <w:t>罐体老化、管道破损或人为破坏及洪水、地震等不可抗拒因素</w:t>
      </w:r>
      <w:r>
        <w:rPr>
          <w:rFonts w:hint="eastAsia"/>
        </w:rPr>
        <w:t>，导致凝析油或气田水进入附近地表水、</w:t>
      </w:r>
      <w:r>
        <w:t>地下水及土壤，影响农作物生长发育和产量。</w:t>
      </w:r>
    </w:p>
    <w:p w14:paraId="0F11108D">
      <w:pPr>
        <w:autoSpaceDE w:val="0"/>
        <w:autoSpaceDN w:val="0"/>
        <w:snapToGrid w:val="0"/>
        <w:spacing w:line="460" w:lineRule="exact"/>
        <w:ind w:firstLine="520" w:firstLineChars="200"/>
        <w:jc w:val="left"/>
        <w:rPr>
          <w:sz w:val="26"/>
          <w:szCs w:val="26"/>
        </w:rPr>
      </w:pPr>
      <w:r>
        <w:rPr>
          <w:rFonts w:hint="eastAsia"/>
          <w:sz w:val="26"/>
          <w:szCs w:val="26"/>
        </w:rPr>
        <w:t>（4）凝析油罐车、气田水罐车转运过程泄漏</w:t>
      </w:r>
    </w:p>
    <w:p w14:paraId="1CB49E55">
      <w:pPr>
        <w:autoSpaceDE w:val="0"/>
        <w:autoSpaceDN w:val="0"/>
        <w:snapToGrid w:val="0"/>
        <w:spacing w:line="460" w:lineRule="exact"/>
        <w:ind w:firstLine="520" w:firstLineChars="200"/>
        <w:jc w:val="left"/>
        <w:rPr>
          <w:sz w:val="26"/>
          <w:szCs w:val="26"/>
        </w:rPr>
      </w:pPr>
      <w:r>
        <w:rPr>
          <w:rFonts w:hint="eastAsia"/>
          <w:sz w:val="26"/>
          <w:szCs w:val="26"/>
        </w:rPr>
        <w:t>凝析油罐车或气田水罐车在转运过程中，可能存在罐体泄漏、运输车侧翻导致凝析油或气田水外溢的风险，若途经集中式饮用水水源保护区等特别敏感区域时发生泄漏，将产生一定的环境风险。</w:t>
      </w:r>
    </w:p>
    <w:p w14:paraId="31C48F3E">
      <w:pPr>
        <w:autoSpaceDE w:val="0"/>
        <w:autoSpaceDN w:val="0"/>
        <w:snapToGrid w:val="0"/>
        <w:spacing w:line="460" w:lineRule="exact"/>
        <w:ind w:firstLine="520" w:firstLineChars="200"/>
        <w:jc w:val="left"/>
        <w:rPr>
          <w:sz w:val="26"/>
          <w:szCs w:val="26"/>
        </w:rPr>
      </w:pPr>
      <w:r>
        <w:rPr>
          <w:rFonts w:hint="eastAsia"/>
          <w:sz w:val="26"/>
          <w:szCs w:val="26"/>
        </w:rPr>
        <w:t>（5）</w:t>
      </w:r>
      <w:r>
        <w:rPr>
          <w:rFonts w:hint="eastAsia"/>
          <w:snapToGrid w:val="0"/>
          <w:kern w:val="0"/>
          <w:sz w:val="26"/>
          <w:szCs w:val="26"/>
        </w:rPr>
        <w:t>C</w:t>
      </w:r>
      <w:r>
        <w:rPr>
          <w:snapToGrid w:val="0"/>
          <w:kern w:val="0"/>
          <w:sz w:val="26"/>
          <w:szCs w:val="26"/>
        </w:rPr>
        <w:t>NG</w:t>
      </w:r>
      <w:r>
        <w:rPr>
          <w:rFonts w:hint="eastAsia"/>
          <w:snapToGrid w:val="0"/>
          <w:kern w:val="0"/>
          <w:sz w:val="26"/>
          <w:szCs w:val="26"/>
        </w:rPr>
        <w:t>管束车转运过程的环境风险</w:t>
      </w:r>
    </w:p>
    <w:p w14:paraId="41491B30">
      <w:pPr>
        <w:adjustRightInd w:val="0"/>
        <w:snapToGrid w:val="0"/>
        <w:spacing w:line="460" w:lineRule="exact"/>
        <w:ind w:firstLine="520" w:firstLineChars="200"/>
        <w:rPr>
          <w:snapToGrid w:val="0"/>
          <w:kern w:val="0"/>
          <w:sz w:val="26"/>
          <w:szCs w:val="26"/>
        </w:rPr>
      </w:pPr>
      <w:r>
        <w:rPr>
          <w:snapToGrid w:val="0"/>
          <w:kern w:val="0"/>
          <w:sz w:val="26"/>
          <w:szCs w:val="26"/>
        </w:rPr>
        <w:t>CNG</w:t>
      </w:r>
      <w:r>
        <w:rPr>
          <w:rFonts w:hint="eastAsia"/>
          <w:snapToGrid w:val="0"/>
          <w:kern w:val="0"/>
          <w:sz w:val="26"/>
          <w:szCs w:val="26"/>
        </w:rPr>
        <w:t>管束车在运输过程，控制阀门、压力表正常磨损或车辆事故引起失效，引发天然气泄漏，泄漏气体一旦遇火源，就会发生火灾和爆炸，对运输路线沿线居民、大气环境易造成不利影响。</w:t>
      </w:r>
    </w:p>
    <w:p w14:paraId="582AE3B1">
      <w:pPr>
        <w:autoSpaceDE w:val="0"/>
        <w:autoSpaceDN w:val="0"/>
        <w:snapToGrid w:val="0"/>
        <w:spacing w:line="460" w:lineRule="exact"/>
        <w:ind w:firstLine="520" w:firstLineChars="200"/>
        <w:jc w:val="left"/>
        <w:rPr>
          <w:sz w:val="26"/>
          <w:szCs w:val="26"/>
        </w:rPr>
      </w:pPr>
      <w:r>
        <w:rPr>
          <w:rFonts w:hint="eastAsia"/>
          <w:sz w:val="26"/>
          <w:szCs w:val="26"/>
        </w:rPr>
        <w:t>本项目试采站在运营过程中的风险因素分析见下表。</w:t>
      </w:r>
    </w:p>
    <w:p w14:paraId="006DDBB7">
      <w:pPr>
        <w:pStyle w:val="1379"/>
        <w:ind w:firstLine="440"/>
      </w:pPr>
    </w:p>
    <w:p w14:paraId="1192A9DD">
      <w:pPr>
        <w:adjustRightInd w:val="0"/>
        <w:snapToGrid w:val="0"/>
        <w:jc w:val="center"/>
        <w:rPr>
          <w:bCs/>
          <w:kern w:val="0"/>
          <w:sz w:val="26"/>
          <w:szCs w:val="26"/>
        </w:rPr>
      </w:pPr>
      <w:r>
        <w:rPr>
          <w:rFonts w:hint="eastAsia"/>
          <w:snapToGrid w:val="0"/>
          <w:kern w:val="0"/>
          <w:sz w:val="26"/>
          <w:szCs w:val="26"/>
        </w:rPr>
        <w:t>表</w:t>
      </w:r>
      <w:r>
        <w:rPr>
          <w:snapToGrid w:val="0"/>
          <w:kern w:val="0"/>
          <w:sz w:val="26"/>
          <w:szCs w:val="26"/>
        </w:rPr>
        <w:t xml:space="preserve">7.4-1   </w:t>
      </w:r>
      <w:r>
        <w:rPr>
          <w:rFonts w:hint="eastAsia"/>
          <w:snapToGrid w:val="0"/>
          <w:kern w:val="0"/>
          <w:sz w:val="26"/>
          <w:szCs w:val="26"/>
        </w:rPr>
        <w:t>站场危险及</w:t>
      </w:r>
      <w:r>
        <w:rPr>
          <w:bCs/>
          <w:kern w:val="0"/>
          <w:sz w:val="26"/>
          <w:szCs w:val="26"/>
        </w:rPr>
        <w:t>有害因素分析</w:t>
      </w:r>
    </w:p>
    <w:tbl>
      <w:tblPr>
        <w:tblStyle w:val="88"/>
        <w:tblW w:w="83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67"/>
        <w:gridCol w:w="1142"/>
        <w:gridCol w:w="3343"/>
        <w:gridCol w:w="3310"/>
      </w:tblGrid>
      <w:tr w14:paraId="30656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428B4779">
            <w:pPr>
              <w:adjustRightInd w:val="0"/>
              <w:snapToGrid w:val="0"/>
              <w:ind w:left="-53" w:leftChars="-25" w:right="-53" w:rightChars="-25"/>
              <w:jc w:val="center"/>
              <w:rPr>
                <w:sz w:val="22"/>
              </w:rPr>
            </w:pPr>
            <w:r>
              <w:rPr>
                <w:sz w:val="22"/>
              </w:rPr>
              <w:t>序号</w:t>
            </w:r>
          </w:p>
        </w:tc>
        <w:tc>
          <w:tcPr>
            <w:tcW w:w="1142" w:type="dxa"/>
            <w:vAlign w:val="center"/>
          </w:tcPr>
          <w:p w14:paraId="7441B72C">
            <w:pPr>
              <w:adjustRightInd w:val="0"/>
              <w:snapToGrid w:val="0"/>
              <w:ind w:left="-53" w:leftChars="-25" w:right="-53" w:rightChars="-25"/>
              <w:jc w:val="center"/>
              <w:rPr>
                <w:sz w:val="22"/>
              </w:rPr>
            </w:pPr>
            <w:r>
              <w:rPr>
                <w:sz w:val="22"/>
              </w:rPr>
              <w:t>类别</w:t>
            </w:r>
          </w:p>
        </w:tc>
        <w:tc>
          <w:tcPr>
            <w:tcW w:w="3343" w:type="dxa"/>
            <w:vAlign w:val="center"/>
          </w:tcPr>
          <w:p w14:paraId="181CFCC9">
            <w:pPr>
              <w:adjustRightInd w:val="0"/>
              <w:snapToGrid w:val="0"/>
              <w:ind w:left="-53" w:leftChars="-25" w:right="-53" w:rightChars="-25"/>
              <w:jc w:val="center"/>
              <w:rPr>
                <w:sz w:val="22"/>
              </w:rPr>
            </w:pPr>
            <w:r>
              <w:rPr>
                <w:sz w:val="22"/>
              </w:rPr>
              <w:t>可能引发泄漏的原因</w:t>
            </w:r>
          </w:p>
        </w:tc>
        <w:tc>
          <w:tcPr>
            <w:tcW w:w="3310" w:type="dxa"/>
            <w:vAlign w:val="center"/>
          </w:tcPr>
          <w:p w14:paraId="2B1A70C8">
            <w:pPr>
              <w:adjustRightInd w:val="0"/>
              <w:snapToGrid w:val="0"/>
              <w:ind w:left="-53" w:leftChars="-25" w:right="-53" w:rightChars="-25"/>
              <w:jc w:val="center"/>
              <w:rPr>
                <w:sz w:val="22"/>
              </w:rPr>
            </w:pPr>
            <w:r>
              <w:rPr>
                <w:sz w:val="22"/>
              </w:rPr>
              <w:t>可能性后果</w:t>
            </w:r>
          </w:p>
        </w:tc>
      </w:tr>
      <w:tr w14:paraId="69EF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3C2A6EE9">
            <w:pPr>
              <w:adjustRightInd w:val="0"/>
              <w:snapToGrid w:val="0"/>
              <w:ind w:left="-53" w:leftChars="-25" w:right="-53" w:rightChars="-25"/>
              <w:jc w:val="center"/>
              <w:rPr>
                <w:sz w:val="22"/>
              </w:rPr>
            </w:pPr>
            <w:r>
              <w:rPr>
                <w:sz w:val="22"/>
              </w:rPr>
              <w:t>1</w:t>
            </w:r>
          </w:p>
        </w:tc>
        <w:tc>
          <w:tcPr>
            <w:tcW w:w="1142" w:type="dxa"/>
            <w:vAlign w:val="center"/>
          </w:tcPr>
          <w:p w14:paraId="42EDBD8E">
            <w:pPr>
              <w:adjustRightInd w:val="0"/>
              <w:snapToGrid w:val="0"/>
              <w:ind w:left="-53" w:leftChars="-25" w:right="-53" w:rightChars="-25"/>
              <w:jc w:val="center"/>
              <w:rPr>
                <w:sz w:val="22"/>
              </w:rPr>
            </w:pPr>
            <w:r>
              <w:rPr>
                <w:sz w:val="22"/>
              </w:rPr>
              <w:t>钢管因素</w:t>
            </w:r>
          </w:p>
        </w:tc>
        <w:tc>
          <w:tcPr>
            <w:tcW w:w="3343" w:type="dxa"/>
            <w:vAlign w:val="center"/>
          </w:tcPr>
          <w:p w14:paraId="358DD36B">
            <w:pPr>
              <w:adjustRightInd w:val="0"/>
              <w:snapToGrid w:val="0"/>
              <w:ind w:left="-53" w:leftChars="-25" w:right="-53" w:rightChars="-25"/>
              <w:jc w:val="center"/>
              <w:rPr>
                <w:sz w:val="22"/>
              </w:rPr>
            </w:pPr>
            <w:r>
              <w:rPr>
                <w:sz w:val="22"/>
              </w:rPr>
              <w:t>钢管母材质量不合格</w:t>
            </w:r>
          </w:p>
        </w:tc>
        <w:tc>
          <w:tcPr>
            <w:tcW w:w="3310" w:type="dxa"/>
            <w:vAlign w:val="center"/>
          </w:tcPr>
          <w:p w14:paraId="1CF479C1">
            <w:pPr>
              <w:adjustRightInd w:val="0"/>
              <w:snapToGrid w:val="0"/>
              <w:ind w:left="-53" w:leftChars="-25" w:right="-53" w:rightChars="-25"/>
              <w:rPr>
                <w:sz w:val="22"/>
              </w:rPr>
            </w:pPr>
            <w:r>
              <w:rPr>
                <w:sz w:val="22"/>
              </w:rPr>
              <w:t>易于形成砂眼、裂缝，甚至爆管。</w:t>
            </w:r>
            <w:r>
              <w:rPr>
                <w:rFonts w:hint="eastAsia"/>
                <w:sz w:val="22"/>
              </w:rPr>
              <w:t>天然气</w:t>
            </w:r>
            <w:r>
              <w:rPr>
                <w:sz w:val="22"/>
              </w:rPr>
              <w:t>燃烧爆炸、大气环境及人群健康影响</w:t>
            </w:r>
          </w:p>
        </w:tc>
      </w:tr>
      <w:tr w14:paraId="5AE27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27B3F010">
            <w:pPr>
              <w:adjustRightInd w:val="0"/>
              <w:snapToGrid w:val="0"/>
              <w:ind w:left="-53" w:leftChars="-25" w:right="-53" w:rightChars="-25"/>
              <w:jc w:val="center"/>
              <w:rPr>
                <w:sz w:val="22"/>
              </w:rPr>
            </w:pPr>
            <w:r>
              <w:rPr>
                <w:sz w:val="22"/>
              </w:rPr>
              <w:t>2</w:t>
            </w:r>
          </w:p>
        </w:tc>
        <w:tc>
          <w:tcPr>
            <w:tcW w:w="1142" w:type="dxa"/>
            <w:vMerge w:val="restart"/>
            <w:vAlign w:val="center"/>
          </w:tcPr>
          <w:p w14:paraId="3D0D60F7">
            <w:pPr>
              <w:adjustRightInd w:val="0"/>
              <w:snapToGrid w:val="0"/>
              <w:ind w:left="-53" w:leftChars="-25" w:right="-53" w:rightChars="-25"/>
              <w:jc w:val="center"/>
              <w:rPr>
                <w:sz w:val="22"/>
              </w:rPr>
            </w:pPr>
            <w:r>
              <w:rPr>
                <w:sz w:val="22"/>
              </w:rPr>
              <w:t>焊缝因素</w:t>
            </w:r>
          </w:p>
        </w:tc>
        <w:tc>
          <w:tcPr>
            <w:tcW w:w="3343" w:type="dxa"/>
            <w:vAlign w:val="center"/>
          </w:tcPr>
          <w:p w14:paraId="454DC4B0">
            <w:pPr>
              <w:adjustRightInd w:val="0"/>
              <w:snapToGrid w:val="0"/>
              <w:ind w:left="-53" w:leftChars="-25" w:right="-53" w:rightChars="-25"/>
              <w:jc w:val="center"/>
              <w:rPr>
                <w:sz w:val="22"/>
              </w:rPr>
            </w:pPr>
            <w:r>
              <w:rPr>
                <w:sz w:val="22"/>
              </w:rPr>
              <w:t>焊缝焊接时严重错边</w:t>
            </w:r>
          </w:p>
        </w:tc>
        <w:tc>
          <w:tcPr>
            <w:tcW w:w="3310" w:type="dxa"/>
            <w:vMerge w:val="restart"/>
            <w:vAlign w:val="center"/>
          </w:tcPr>
          <w:p w14:paraId="537F6F6D">
            <w:pPr>
              <w:adjustRightInd w:val="0"/>
              <w:snapToGrid w:val="0"/>
              <w:ind w:left="-53" w:leftChars="-25" w:right="-53" w:rightChars="-25"/>
              <w:rPr>
                <w:sz w:val="22"/>
              </w:rPr>
            </w:pPr>
            <w:r>
              <w:rPr>
                <w:sz w:val="22"/>
              </w:rPr>
              <w:t>焊缝裂口、爆管等。</w:t>
            </w:r>
            <w:r>
              <w:rPr>
                <w:rFonts w:hint="eastAsia"/>
                <w:sz w:val="22"/>
              </w:rPr>
              <w:t>天然气</w:t>
            </w:r>
            <w:r>
              <w:rPr>
                <w:sz w:val="22"/>
              </w:rPr>
              <w:t>燃烧爆炸、大气环境及人群健康影响</w:t>
            </w:r>
          </w:p>
        </w:tc>
      </w:tr>
      <w:tr w14:paraId="0CA1F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3D73C2B7">
            <w:pPr>
              <w:adjustRightInd w:val="0"/>
              <w:snapToGrid w:val="0"/>
              <w:ind w:left="-53" w:leftChars="-25" w:right="-53" w:rightChars="-25"/>
              <w:jc w:val="center"/>
              <w:rPr>
                <w:sz w:val="22"/>
              </w:rPr>
            </w:pPr>
            <w:r>
              <w:rPr>
                <w:sz w:val="22"/>
              </w:rPr>
              <w:t>3</w:t>
            </w:r>
          </w:p>
        </w:tc>
        <w:tc>
          <w:tcPr>
            <w:tcW w:w="1142" w:type="dxa"/>
            <w:vMerge w:val="continue"/>
            <w:vAlign w:val="center"/>
          </w:tcPr>
          <w:p w14:paraId="1D01BCF3">
            <w:pPr>
              <w:adjustRightInd w:val="0"/>
              <w:snapToGrid w:val="0"/>
              <w:ind w:left="-53" w:leftChars="-25" w:right="-53" w:rightChars="-25"/>
              <w:jc w:val="center"/>
              <w:rPr>
                <w:sz w:val="22"/>
              </w:rPr>
            </w:pPr>
          </w:p>
        </w:tc>
        <w:tc>
          <w:tcPr>
            <w:tcW w:w="3343" w:type="dxa"/>
            <w:vAlign w:val="center"/>
          </w:tcPr>
          <w:p w14:paraId="66BA8147">
            <w:pPr>
              <w:adjustRightInd w:val="0"/>
              <w:snapToGrid w:val="0"/>
              <w:ind w:left="-53" w:leftChars="-25" w:right="-53" w:rightChars="-25"/>
              <w:jc w:val="center"/>
              <w:rPr>
                <w:sz w:val="22"/>
              </w:rPr>
            </w:pPr>
            <w:r>
              <w:rPr>
                <w:sz w:val="22"/>
              </w:rPr>
              <w:t>焊缝未焊透</w:t>
            </w:r>
          </w:p>
        </w:tc>
        <w:tc>
          <w:tcPr>
            <w:tcW w:w="3310" w:type="dxa"/>
            <w:vMerge w:val="continue"/>
            <w:vAlign w:val="center"/>
          </w:tcPr>
          <w:p w14:paraId="1BFE7A2E">
            <w:pPr>
              <w:adjustRightInd w:val="0"/>
              <w:snapToGrid w:val="0"/>
              <w:ind w:left="-53" w:leftChars="-25" w:right="-53" w:rightChars="-25"/>
              <w:rPr>
                <w:sz w:val="22"/>
              </w:rPr>
            </w:pPr>
          </w:p>
        </w:tc>
      </w:tr>
      <w:tr w14:paraId="2897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3C1D740A">
            <w:pPr>
              <w:adjustRightInd w:val="0"/>
              <w:snapToGrid w:val="0"/>
              <w:ind w:left="-53" w:leftChars="-25" w:right="-53" w:rightChars="-25"/>
              <w:jc w:val="center"/>
              <w:rPr>
                <w:sz w:val="22"/>
              </w:rPr>
            </w:pPr>
            <w:r>
              <w:rPr>
                <w:sz w:val="22"/>
              </w:rPr>
              <w:t>4</w:t>
            </w:r>
          </w:p>
        </w:tc>
        <w:tc>
          <w:tcPr>
            <w:tcW w:w="1142" w:type="dxa"/>
            <w:vMerge w:val="continue"/>
            <w:vAlign w:val="center"/>
          </w:tcPr>
          <w:p w14:paraId="50F97621">
            <w:pPr>
              <w:adjustRightInd w:val="0"/>
              <w:snapToGrid w:val="0"/>
              <w:ind w:left="-53" w:leftChars="-25" w:right="-53" w:rightChars="-25"/>
              <w:jc w:val="center"/>
              <w:rPr>
                <w:sz w:val="22"/>
              </w:rPr>
            </w:pPr>
          </w:p>
        </w:tc>
        <w:tc>
          <w:tcPr>
            <w:tcW w:w="3343" w:type="dxa"/>
            <w:vAlign w:val="center"/>
          </w:tcPr>
          <w:p w14:paraId="0D35A94E">
            <w:pPr>
              <w:adjustRightInd w:val="0"/>
              <w:snapToGrid w:val="0"/>
              <w:ind w:left="-53" w:leftChars="-25" w:right="-53" w:rightChars="-25"/>
              <w:jc w:val="center"/>
              <w:rPr>
                <w:sz w:val="22"/>
              </w:rPr>
            </w:pPr>
            <w:r>
              <w:rPr>
                <w:sz w:val="22"/>
              </w:rPr>
              <w:t>焊接材料不符合要求</w:t>
            </w:r>
          </w:p>
        </w:tc>
        <w:tc>
          <w:tcPr>
            <w:tcW w:w="3310" w:type="dxa"/>
            <w:vMerge w:val="continue"/>
            <w:vAlign w:val="center"/>
          </w:tcPr>
          <w:p w14:paraId="5EACDC97">
            <w:pPr>
              <w:adjustRightInd w:val="0"/>
              <w:snapToGrid w:val="0"/>
              <w:ind w:left="-53" w:leftChars="-25" w:right="-53" w:rightChars="-25"/>
              <w:rPr>
                <w:sz w:val="22"/>
              </w:rPr>
            </w:pPr>
          </w:p>
        </w:tc>
      </w:tr>
      <w:tr w14:paraId="4F51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578CFB52">
            <w:pPr>
              <w:adjustRightInd w:val="0"/>
              <w:snapToGrid w:val="0"/>
              <w:ind w:left="-53" w:leftChars="-25" w:right="-53" w:rightChars="-25"/>
              <w:jc w:val="center"/>
              <w:rPr>
                <w:sz w:val="22"/>
              </w:rPr>
            </w:pPr>
            <w:r>
              <w:rPr>
                <w:sz w:val="22"/>
              </w:rPr>
              <w:t>5</w:t>
            </w:r>
          </w:p>
        </w:tc>
        <w:tc>
          <w:tcPr>
            <w:tcW w:w="1142" w:type="dxa"/>
            <w:vMerge w:val="continue"/>
            <w:vAlign w:val="center"/>
          </w:tcPr>
          <w:p w14:paraId="56925D31">
            <w:pPr>
              <w:adjustRightInd w:val="0"/>
              <w:snapToGrid w:val="0"/>
              <w:ind w:left="-53" w:leftChars="-25" w:right="-53" w:rightChars="-25"/>
              <w:jc w:val="center"/>
              <w:rPr>
                <w:sz w:val="22"/>
              </w:rPr>
            </w:pPr>
          </w:p>
        </w:tc>
        <w:tc>
          <w:tcPr>
            <w:tcW w:w="3343" w:type="dxa"/>
            <w:vAlign w:val="center"/>
          </w:tcPr>
          <w:p w14:paraId="480E09ED">
            <w:pPr>
              <w:adjustRightInd w:val="0"/>
              <w:snapToGrid w:val="0"/>
              <w:ind w:left="-53" w:leftChars="-25" w:right="-53" w:rightChars="-25"/>
              <w:jc w:val="center"/>
              <w:rPr>
                <w:sz w:val="22"/>
              </w:rPr>
            </w:pPr>
            <w:r>
              <w:rPr>
                <w:sz w:val="22"/>
              </w:rPr>
              <w:t>未按焊接规程操作</w:t>
            </w:r>
          </w:p>
        </w:tc>
        <w:tc>
          <w:tcPr>
            <w:tcW w:w="3310" w:type="dxa"/>
            <w:vMerge w:val="continue"/>
            <w:vAlign w:val="center"/>
          </w:tcPr>
          <w:p w14:paraId="5D9F9CDE">
            <w:pPr>
              <w:adjustRightInd w:val="0"/>
              <w:snapToGrid w:val="0"/>
              <w:ind w:left="-53" w:leftChars="-25" w:right="-53" w:rightChars="-25"/>
              <w:rPr>
                <w:sz w:val="22"/>
              </w:rPr>
            </w:pPr>
          </w:p>
        </w:tc>
      </w:tr>
      <w:tr w14:paraId="79EC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103F2A2C">
            <w:pPr>
              <w:adjustRightInd w:val="0"/>
              <w:snapToGrid w:val="0"/>
              <w:ind w:left="-53" w:leftChars="-25" w:right="-53" w:rightChars="-25"/>
              <w:jc w:val="center"/>
              <w:rPr>
                <w:sz w:val="22"/>
              </w:rPr>
            </w:pPr>
            <w:r>
              <w:rPr>
                <w:sz w:val="22"/>
              </w:rPr>
              <w:t>6</w:t>
            </w:r>
          </w:p>
        </w:tc>
        <w:tc>
          <w:tcPr>
            <w:tcW w:w="1142" w:type="dxa"/>
            <w:vMerge w:val="restart"/>
            <w:vAlign w:val="center"/>
          </w:tcPr>
          <w:p w14:paraId="624189DD">
            <w:pPr>
              <w:adjustRightInd w:val="0"/>
              <w:snapToGrid w:val="0"/>
              <w:ind w:left="-53" w:leftChars="-25" w:right="-53" w:rightChars="-25"/>
              <w:jc w:val="center"/>
              <w:rPr>
                <w:sz w:val="22"/>
              </w:rPr>
            </w:pPr>
            <w:r>
              <w:rPr>
                <w:sz w:val="22"/>
              </w:rPr>
              <w:t>腐蚀因素</w:t>
            </w:r>
          </w:p>
        </w:tc>
        <w:tc>
          <w:tcPr>
            <w:tcW w:w="3343" w:type="dxa"/>
            <w:vAlign w:val="center"/>
          </w:tcPr>
          <w:p w14:paraId="0752BFC0">
            <w:pPr>
              <w:adjustRightInd w:val="0"/>
              <w:snapToGrid w:val="0"/>
              <w:ind w:left="-53" w:leftChars="-25" w:right="-53" w:rightChars="-25"/>
              <w:jc w:val="center"/>
              <w:rPr>
                <w:sz w:val="22"/>
              </w:rPr>
            </w:pPr>
            <w:r>
              <w:rPr>
                <w:sz w:val="22"/>
              </w:rPr>
              <w:t>防腐措施不当，出现外腐蚀穿孔</w:t>
            </w:r>
          </w:p>
        </w:tc>
        <w:tc>
          <w:tcPr>
            <w:tcW w:w="3310" w:type="dxa"/>
            <w:vMerge w:val="restart"/>
            <w:vAlign w:val="center"/>
          </w:tcPr>
          <w:p w14:paraId="0C92E1C6">
            <w:pPr>
              <w:adjustRightInd w:val="0"/>
              <w:snapToGrid w:val="0"/>
              <w:ind w:left="-53" w:leftChars="-25" w:right="-53" w:rightChars="-25"/>
              <w:rPr>
                <w:sz w:val="22"/>
              </w:rPr>
            </w:pPr>
            <w:r>
              <w:rPr>
                <w:sz w:val="22"/>
              </w:rPr>
              <w:t>腐蚀减少管壁厚度，形成砂眼、裂纹，爆管。天然气燃烧爆炸、大气环境及人群健康影响</w:t>
            </w:r>
          </w:p>
        </w:tc>
      </w:tr>
      <w:tr w14:paraId="60CD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735AE452">
            <w:pPr>
              <w:adjustRightInd w:val="0"/>
              <w:snapToGrid w:val="0"/>
              <w:ind w:left="-53" w:leftChars="-25" w:right="-53" w:rightChars="-25"/>
              <w:jc w:val="center"/>
              <w:rPr>
                <w:sz w:val="22"/>
              </w:rPr>
            </w:pPr>
            <w:r>
              <w:rPr>
                <w:sz w:val="22"/>
              </w:rPr>
              <w:t>7</w:t>
            </w:r>
          </w:p>
        </w:tc>
        <w:tc>
          <w:tcPr>
            <w:tcW w:w="1142" w:type="dxa"/>
            <w:vMerge w:val="continue"/>
            <w:vAlign w:val="center"/>
          </w:tcPr>
          <w:p w14:paraId="00F607D1">
            <w:pPr>
              <w:adjustRightInd w:val="0"/>
              <w:snapToGrid w:val="0"/>
              <w:ind w:left="-53" w:leftChars="-25" w:right="-53" w:rightChars="-25"/>
              <w:jc w:val="center"/>
              <w:rPr>
                <w:sz w:val="22"/>
              </w:rPr>
            </w:pPr>
          </w:p>
        </w:tc>
        <w:tc>
          <w:tcPr>
            <w:tcW w:w="3343" w:type="dxa"/>
            <w:vAlign w:val="center"/>
          </w:tcPr>
          <w:p w14:paraId="7996914C">
            <w:pPr>
              <w:adjustRightInd w:val="0"/>
              <w:snapToGrid w:val="0"/>
              <w:ind w:left="-53" w:leftChars="-25" w:right="-53" w:rightChars="-25"/>
              <w:jc w:val="center"/>
              <w:rPr>
                <w:sz w:val="22"/>
              </w:rPr>
            </w:pPr>
            <w:r>
              <w:rPr>
                <w:sz w:val="22"/>
              </w:rPr>
              <w:t>天然气中存在腐蚀性物质，出现内腐蚀穿孔</w:t>
            </w:r>
          </w:p>
        </w:tc>
        <w:tc>
          <w:tcPr>
            <w:tcW w:w="3310" w:type="dxa"/>
            <w:vMerge w:val="continue"/>
            <w:vAlign w:val="center"/>
          </w:tcPr>
          <w:p w14:paraId="20510F8B">
            <w:pPr>
              <w:adjustRightInd w:val="0"/>
              <w:snapToGrid w:val="0"/>
              <w:ind w:left="-53" w:leftChars="-25" w:right="-53" w:rightChars="-25"/>
              <w:rPr>
                <w:sz w:val="22"/>
              </w:rPr>
            </w:pPr>
          </w:p>
        </w:tc>
      </w:tr>
      <w:tr w14:paraId="0E9A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5921F421">
            <w:pPr>
              <w:adjustRightInd w:val="0"/>
              <w:snapToGrid w:val="0"/>
              <w:ind w:left="-53" w:leftChars="-25" w:right="-53" w:rightChars="-25"/>
              <w:jc w:val="center"/>
              <w:rPr>
                <w:sz w:val="22"/>
              </w:rPr>
            </w:pPr>
            <w:r>
              <w:rPr>
                <w:sz w:val="22"/>
              </w:rPr>
              <w:t>8</w:t>
            </w:r>
          </w:p>
        </w:tc>
        <w:tc>
          <w:tcPr>
            <w:tcW w:w="1142" w:type="dxa"/>
            <w:vAlign w:val="center"/>
          </w:tcPr>
          <w:p w14:paraId="069F6F62">
            <w:pPr>
              <w:adjustRightInd w:val="0"/>
              <w:snapToGrid w:val="0"/>
              <w:ind w:left="-53" w:leftChars="-25" w:right="-53" w:rightChars="-25"/>
              <w:jc w:val="center"/>
              <w:rPr>
                <w:sz w:val="22"/>
              </w:rPr>
            </w:pPr>
            <w:r>
              <w:rPr>
                <w:sz w:val="22"/>
              </w:rPr>
              <w:t>密封因素</w:t>
            </w:r>
          </w:p>
        </w:tc>
        <w:tc>
          <w:tcPr>
            <w:tcW w:w="3343" w:type="dxa"/>
            <w:vAlign w:val="center"/>
          </w:tcPr>
          <w:p w14:paraId="2D80AA77">
            <w:pPr>
              <w:adjustRightInd w:val="0"/>
              <w:snapToGrid w:val="0"/>
              <w:ind w:left="-53" w:leftChars="-25" w:right="-53" w:rightChars="-25"/>
              <w:jc w:val="center"/>
              <w:rPr>
                <w:sz w:val="22"/>
              </w:rPr>
            </w:pPr>
            <w:r>
              <w:rPr>
                <w:sz w:val="22"/>
              </w:rPr>
              <w:t>法兰、阀门、盘根等漏气</w:t>
            </w:r>
          </w:p>
        </w:tc>
        <w:tc>
          <w:tcPr>
            <w:tcW w:w="3310" w:type="dxa"/>
            <w:vAlign w:val="center"/>
          </w:tcPr>
          <w:p w14:paraId="3C1862FC">
            <w:pPr>
              <w:adjustRightInd w:val="0"/>
              <w:snapToGrid w:val="0"/>
              <w:ind w:left="-53" w:leftChars="-25" w:right="-53" w:rightChars="-25"/>
              <w:rPr>
                <w:sz w:val="22"/>
              </w:rPr>
            </w:pPr>
            <w:r>
              <w:rPr>
                <w:rFonts w:hint="eastAsia"/>
                <w:sz w:val="22"/>
              </w:rPr>
              <w:t>天然气</w:t>
            </w:r>
            <w:r>
              <w:rPr>
                <w:sz w:val="22"/>
              </w:rPr>
              <w:t>燃烧爆炸、大气环境及人群健康影响</w:t>
            </w:r>
          </w:p>
        </w:tc>
      </w:tr>
      <w:tr w14:paraId="1931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4B37DA90">
            <w:pPr>
              <w:adjustRightInd w:val="0"/>
              <w:snapToGrid w:val="0"/>
              <w:ind w:left="-53" w:leftChars="-25" w:right="-53" w:rightChars="-25"/>
              <w:jc w:val="center"/>
              <w:rPr>
                <w:sz w:val="22"/>
              </w:rPr>
            </w:pPr>
            <w:r>
              <w:rPr>
                <w:rFonts w:hint="eastAsia"/>
                <w:sz w:val="22"/>
              </w:rPr>
              <w:t>9</w:t>
            </w:r>
          </w:p>
        </w:tc>
        <w:tc>
          <w:tcPr>
            <w:tcW w:w="1142" w:type="dxa"/>
            <w:vAlign w:val="center"/>
          </w:tcPr>
          <w:p w14:paraId="38C89AD5">
            <w:pPr>
              <w:adjustRightInd w:val="0"/>
              <w:snapToGrid w:val="0"/>
              <w:ind w:left="-53" w:leftChars="-25" w:right="-53" w:rightChars="-25"/>
              <w:jc w:val="center"/>
              <w:rPr>
                <w:sz w:val="22"/>
              </w:rPr>
            </w:pPr>
            <w:r>
              <w:rPr>
                <w:rFonts w:hint="eastAsia"/>
                <w:sz w:val="22"/>
              </w:rPr>
              <w:t>凝析油储罐</w:t>
            </w:r>
          </w:p>
        </w:tc>
        <w:tc>
          <w:tcPr>
            <w:tcW w:w="3343" w:type="dxa"/>
            <w:vAlign w:val="center"/>
          </w:tcPr>
          <w:p w14:paraId="02E8B307">
            <w:pPr>
              <w:adjustRightInd w:val="0"/>
              <w:snapToGrid w:val="0"/>
              <w:ind w:left="-53" w:leftChars="-25" w:right="-53" w:rightChars="-25"/>
              <w:jc w:val="center"/>
              <w:rPr>
                <w:sz w:val="22"/>
              </w:rPr>
            </w:pPr>
            <w:r>
              <w:rPr>
                <w:rFonts w:hint="eastAsia"/>
                <w:sz w:val="22"/>
              </w:rPr>
              <w:t>凝析油储罐破损</w:t>
            </w:r>
          </w:p>
        </w:tc>
        <w:tc>
          <w:tcPr>
            <w:tcW w:w="3310" w:type="dxa"/>
            <w:vAlign w:val="center"/>
          </w:tcPr>
          <w:p w14:paraId="3428B842">
            <w:pPr>
              <w:adjustRightInd w:val="0"/>
              <w:snapToGrid w:val="0"/>
              <w:ind w:left="-53" w:leftChars="-25" w:right="-53" w:rightChars="-25"/>
              <w:rPr>
                <w:sz w:val="22"/>
              </w:rPr>
            </w:pPr>
            <w:r>
              <w:rPr>
                <w:rFonts w:hint="eastAsia"/>
                <w:sz w:val="22"/>
              </w:rPr>
              <w:t>凝析油外溢，</w:t>
            </w:r>
            <w:r>
              <w:rPr>
                <w:sz w:val="22"/>
              </w:rPr>
              <w:t>污染土壤、地下水和地表水</w:t>
            </w:r>
          </w:p>
        </w:tc>
      </w:tr>
      <w:tr w14:paraId="0308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1E531B58">
            <w:pPr>
              <w:adjustRightInd w:val="0"/>
              <w:snapToGrid w:val="0"/>
              <w:ind w:left="-53" w:leftChars="-25" w:right="-53" w:rightChars="-25"/>
              <w:jc w:val="center"/>
              <w:rPr>
                <w:sz w:val="22"/>
              </w:rPr>
            </w:pPr>
            <w:r>
              <w:rPr>
                <w:sz w:val="22"/>
              </w:rPr>
              <w:t>10</w:t>
            </w:r>
          </w:p>
        </w:tc>
        <w:tc>
          <w:tcPr>
            <w:tcW w:w="1142" w:type="dxa"/>
            <w:vAlign w:val="center"/>
          </w:tcPr>
          <w:p w14:paraId="754CC70C">
            <w:pPr>
              <w:adjustRightInd w:val="0"/>
              <w:snapToGrid w:val="0"/>
              <w:ind w:left="-53" w:leftChars="-25" w:right="-53" w:rightChars="-25"/>
              <w:jc w:val="center"/>
              <w:rPr>
                <w:sz w:val="22"/>
              </w:rPr>
            </w:pPr>
            <w:r>
              <w:rPr>
                <w:rFonts w:hint="eastAsia"/>
                <w:sz w:val="22"/>
              </w:rPr>
              <w:t>气田水罐</w:t>
            </w:r>
          </w:p>
        </w:tc>
        <w:tc>
          <w:tcPr>
            <w:tcW w:w="3343" w:type="dxa"/>
            <w:vAlign w:val="center"/>
          </w:tcPr>
          <w:p w14:paraId="1D7D0D86">
            <w:pPr>
              <w:adjustRightInd w:val="0"/>
              <w:snapToGrid w:val="0"/>
              <w:ind w:left="-53" w:leftChars="-25" w:right="-53" w:rightChars="-25"/>
              <w:jc w:val="center"/>
              <w:rPr>
                <w:sz w:val="22"/>
              </w:rPr>
            </w:pPr>
            <w:r>
              <w:rPr>
                <w:rFonts w:hint="eastAsia"/>
                <w:sz w:val="22"/>
              </w:rPr>
              <w:t>气田水罐破损</w:t>
            </w:r>
          </w:p>
        </w:tc>
        <w:tc>
          <w:tcPr>
            <w:tcW w:w="3310" w:type="dxa"/>
            <w:vAlign w:val="center"/>
          </w:tcPr>
          <w:p w14:paraId="617C9263">
            <w:pPr>
              <w:adjustRightInd w:val="0"/>
              <w:snapToGrid w:val="0"/>
              <w:ind w:left="-53" w:leftChars="-25" w:right="-53" w:rightChars="-25"/>
              <w:rPr>
                <w:sz w:val="22"/>
              </w:rPr>
            </w:pPr>
            <w:r>
              <w:rPr>
                <w:rFonts w:hint="eastAsia"/>
                <w:sz w:val="22"/>
              </w:rPr>
              <w:t>气田水</w:t>
            </w:r>
            <w:r>
              <w:rPr>
                <w:sz w:val="22"/>
              </w:rPr>
              <w:t>外溢，污染土壤、地下水和地表水</w:t>
            </w:r>
          </w:p>
        </w:tc>
      </w:tr>
      <w:tr w14:paraId="18FF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040BA023">
            <w:pPr>
              <w:adjustRightInd w:val="0"/>
              <w:snapToGrid w:val="0"/>
              <w:ind w:left="-53" w:leftChars="-25" w:right="-53" w:rightChars="-25"/>
              <w:jc w:val="center"/>
              <w:rPr>
                <w:sz w:val="22"/>
              </w:rPr>
            </w:pPr>
            <w:r>
              <w:rPr>
                <w:rFonts w:hint="eastAsia"/>
                <w:sz w:val="22"/>
              </w:rPr>
              <w:t>1</w:t>
            </w:r>
            <w:r>
              <w:rPr>
                <w:sz w:val="22"/>
              </w:rPr>
              <w:t>1</w:t>
            </w:r>
          </w:p>
        </w:tc>
        <w:tc>
          <w:tcPr>
            <w:tcW w:w="1142" w:type="dxa"/>
            <w:vAlign w:val="center"/>
          </w:tcPr>
          <w:p w14:paraId="4D0B1005">
            <w:pPr>
              <w:adjustRightInd w:val="0"/>
              <w:snapToGrid w:val="0"/>
              <w:ind w:left="-53" w:leftChars="-25" w:right="-53" w:rightChars="-25"/>
              <w:jc w:val="center"/>
              <w:rPr>
                <w:sz w:val="22"/>
              </w:rPr>
            </w:pPr>
            <w:r>
              <w:rPr>
                <w:rFonts w:hint="eastAsia"/>
                <w:sz w:val="22"/>
              </w:rPr>
              <w:t>转运罐车</w:t>
            </w:r>
          </w:p>
        </w:tc>
        <w:tc>
          <w:tcPr>
            <w:tcW w:w="3343" w:type="dxa"/>
            <w:vAlign w:val="center"/>
          </w:tcPr>
          <w:p w14:paraId="3C726E38">
            <w:pPr>
              <w:adjustRightInd w:val="0"/>
              <w:snapToGrid w:val="0"/>
              <w:ind w:left="-53" w:leftChars="-25" w:right="-53" w:rightChars="-25"/>
              <w:jc w:val="center"/>
              <w:rPr>
                <w:sz w:val="22"/>
              </w:rPr>
            </w:pPr>
            <w:r>
              <w:rPr>
                <w:rFonts w:hint="eastAsia"/>
                <w:sz w:val="22"/>
              </w:rPr>
              <w:t>凝析油或气田水罐车泄漏</w:t>
            </w:r>
          </w:p>
        </w:tc>
        <w:tc>
          <w:tcPr>
            <w:tcW w:w="3310" w:type="dxa"/>
            <w:vAlign w:val="center"/>
          </w:tcPr>
          <w:p w14:paraId="0CFB1FCE">
            <w:pPr>
              <w:adjustRightInd w:val="0"/>
              <w:snapToGrid w:val="0"/>
              <w:ind w:left="-53" w:leftChars="-25" w:right="-53" w:rightChars="-25"/>
              <w:rPr>
                <w:sz w:val="22"/>
              </w:rPr>
            </w:pPr>
            <w:r>
              <w:rPr>
                <w:rFonts w:hint="eastAsia"/>
                <w:sz w:val="22"/>
              </w:rPr>
              <w:t>凝析油或气田水外溢，污染沿线</w:t>
            </w:r>
            <w:r>
              <w:rPr>
                <w:sz w:val="22"/>
              </w:rPr>
              <w:t>土壤、地下水和地表水</w:t>
            </w:r>
          </w:p>
        </w:tc>
      </w:tr>
      <w:tr w14:paraId="0481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567" w:type="dxa"/>
            <w:vAlign w:val="center"/>
          </w:tcPr>
          <w:p w14:paraId="4C04C035">
            <w:pPr>
              <w:adjustRightInd w:val="0"/>
              <w:snapToGrid w:val="0"/>
              <w:ind w:left="-53" w:leftChars="-25" w:right="-53" w:rightChars="-25"/>
              <w:jc w:val="center"/>
              <w:rPr>
                <w:sz w:val="22"/>
              </w:rPr>
            </w:pPr>
            <w:r>
              <w:rPr>
                <w:rFonts w:hint="eastAsia"/>
                <w:sz w:val="22"/>
              </w:rPr>
              <w:t>1</w:t>
            </w:r>
            <w:r>
              <w:rPr>
                <w:sz w:val="22"/>
              </w:rPr>
              <w:t>2</w:t>
            </w:r>
          </w:p>
        </w:tc>
        <w:tc>
          <w:tcPr>
            <w:tcW w:w="1142" w:type="dxa"/>
            <w:vAlign w:val="center"/>
          </w:tcPr>
          <w:p w14:paraId="6D4E81E0">
            <w:pPr>
              <w:adjustRightInd w:val="0"/>
              <w:snapToGrid w:val="0"/>
              <w:ind w:left="-53" w:leftChars="-25" w:right="-53" w:rightChars="-25"/>
              <w:jc w:val="center"/>
              <w:rPr>
                <w:sz w:val="22"/>
              </w:rPr>
            </w:pPr>
            <w:r>
              <w:rPr>
                <w:rFonts w:hint="eastAsia"/>
                <w:sz w:val="22"/>
              </w:rPr>
              <w:t>C</w:t>
            </w:r>
            <w:r>
              <w:rPr>
                <w:sz w:val="22"/>
              </w:rPr>
              <w:t>NG</w:t>
            </w:r>
            <w:r>
              <w:rPr>
                <w:rFonts w:hint="eastAsia"/>
                <w:sz w:val="22"/>
              </w:rPr>
              <w:t>管束车</w:t>
            </w:r>
          </w:p>
        </w:tc>
        <w:tc>
          <w:tcPr>
            <w:tcW w:w="3343" w:type="dxa"/>
            <w:vAlign w:val="center"/>
          </w:tcPr>
          <w:p w14:paraId="77D9594B">
            <w:pPr>
              <w:adjustRightInd w:val="0"/>
              <w:snapToGrid w:val="0"/>
              <w:ind w:left="-53" w:leftChars="-25" w:right="-53" w:rightChars="-25"/>
              <w:jc w:val="center"/>
              <w:rPr>
                <w:sz w:val="22"/>
              </w:rPr>
            </w:pPr>
            <w:r>
              <w:rPr>
                <w:rFonts w:hint="eastAsia"/>
                <w:sz w:val="22"/>
              </w:rPr>
              <w:t>天然气泄漏</w:t>
            </w:r>
          </w:p>
        </w:tc>
        <w:tc>
          <w:tcPr>
            <w:tcW w:w="3310" w:type="dxa"/>
            <w:vAlign w:val="center"/>
          </w:tcPr>
          <w:p w14:paraId="68439A3D">
            <w:pPr>
              <w:adjustRightInd w:val="0"/>
              <w:snapToGrid w:val="0"/>
              <w:ind w:left="-53" w:leftChars="-25" w:right="-53" w:rightChars="-25"/>
              <w:rPr>
                <w:sz w:val="22"/>
              </w:rPr>
            </w:pPr>
            <w:r>
              <w:rPr>
                <w:rFonts w:hint="eastAsia"/>
                <w:sz w:val="22"/>
              </w:rPr>
              <w:t>天然气</w:t>
            </w:r>
            <w:r>
              <w:rPr>
                <w:sz w:val="22"/>
              </w:rPr>
              <w:t>燃烧爆炸、大气环境及人群健康影响</w:t>
            </w:r>
          </w:p>
        </w:tc>
      </w:tr>
    </w:tbl>
    <w:p w14:paraId="2BD7B684">
      <w:pPr>
        <w:pStyle w:val="1379"/>
        <w:ind w:firstLine="440"/>
      </w:pPr>
    </w:p>
    <w:p w14:paraId="0D81C15E">
      <w:pPr>
        <w:adjustRightInd w:val="0"/>
        <w:snapToGrid w:val="0"/>
        <w:spacing w:line="480" w:lineRule="exact"/>
        <w:ind w:firstLine="522" w:firstLineChars="200"/>
        <w:outlineLvl w:val="2"/>
        <w:rPr>
          <w:b/>
          <w:sz w:val="26"/>
          <w:szCs w:val="26"/>
        </w:rPr>
      </w:pPr>
      <w:r>
        <w:rPr>
          <w:rFonts w:hint="eastAsia"/>
          <w:b/>
          <w:sz w:val="26"/>
          <w:szCs w:val="26"/>
        </w:rPr>
        <w:t>7</w:t>
      </w:r>
      <w:r>
        <w:rPr>
          <w:b/>
          <w:sz w:val="26"/>
          <w:szCs w:val="26"/>
        </w:rPr>
        <w:t xml:space="preserve">.4.3 </w:t>
      </w:r>
      <w:r>
        <w:rPr>
          <w:rFonts w:hint="eastAsia"/>
          <w:b/>
          <w:sz w:val="26"/>
          <w:szCs w:val="26"/>
        </w:rPr>
        <w:t>环境风险识别结果</w:t>
      </w:r>
    </w:p>
    <w:p w14:paraId="45E3FDB4">
      <w:pPr>
        <w:widowControl/>
        <w:spacing w:line="460" w:lineRule="exact"/>
        <w:ind w:firstLine="520" w:firstLineChars="200"/>
        <w:rPr>
          <w:bCs/>
          <w:kern w:val="0"/>
          <w:sz w:val="26"/>
          <w:szCs w:val="26"/>
        </w:rPr>
      </w:pPr>
      <w:r>
        <w:rPr>
          <w:rFonts w:hint="eastAsia"/>
          <w:bCs/>
          <w:kern w:val="0"/>
          <w:sz w:val="26"/>
          <w:szCs w:val="26"/>
        </w:rPr>
        <w:t>根据项目施工过程主要危险及事故识别，本项目主要环境风险识别结果汇总如下：</w:t>
      </w:r>
    </w:p>
    <w:p w14:paraId="5688B1F7">
      <w:pPr>
        <w:pStyle w:val="1379"/>
        <w:ind w:firstLine="440"/>
      </w:pPr>
    </w:p>
    <w:p w14:paraId="552026D2">
      <w:pPr>
        <w:pStyle w:val="1076"/>
        <w:spacing w:line="240" w:lineRule="auto"/>
        <w:ind w:firstLine="0" w:firstLineChars="0"/>
        <w:jc w:val="center"/>
        <w:rPr>
          <w:rFonts w:ascii="Times New Roman" w:hAnsi="Times New Roman"/>
          <w:sz w:val="26"/>
          <w:szCs w:val="26"/>
        </w:rPr>
      </w:pPr>
      <w:r>
        <w:rPr>
          <w:rFonts w:hint="eastAsia" w:ascii="Times New Roman" w:hAnsi="Times New Roman"/>
          <w:sz w:val="26"/>
          <w:szCs w:val="26"/>
        </w:rPr>
        <w:t>表</w:t>
      </w:r>
      <w:r>
        <w:rPr>
          <w:rFonts w:ascii="Times New Roman" w:hAnsi="Times New Roman"/>
          <w:sz w:val="26"/>
          <w:szCs w:val="26"/>
        </w:rPr>
        <w:t xml:space="preserve">7.4-2 </w:t>
      </w:r>
      <w:r>
        <w:rPr>
          <w:rFonts w:hint="eastAsia" w:ascii="Times New Roman" w:hAnsi="Times New Roman"/>
          <w:sz w:val="26"/>
          <w:szCs w:val="26"/>
        </w:rPr>
        <w:t>环境风险识别汇总一览表</w:t>
      </w:r>
    </w:p>
    <w:tbl>
      <w:tblPr>
        <w:tblStyle w:val="88"/>
        <w:tblW w:w="8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688"/>
        <w:gridCol w:w="1113"/>
        <w:gridCol w:w="982"/>
        <w:gridCol w:w="1087"/>
        <w:gridCol w:w="1125"/>
        <w:gridCol w:w="1269"/>
        <w:gridCol w:w="1814"/>
      </w:tblGrid>
      <w:tr w14:paraId="420F7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69" w:hRule="atLeast"/>
          <w:jc w:val="center"/>
        </w:trPr>
        <w:tc>
          <w:tcPr>
            <w:tcW w:w="688" w:type="dxa"/>
            <w:vAlign w:val="center"/>
          </w:tcPr>
          <w:p w14:paraId="4D7E3B2D">
            <w:pPr>
              <w:pStyle w:val="1444"/>
            </w:pPr>
            <w:r>
              <w:t>序号</w:t>
            </w:r>
          </w:p>
        </w:tc>
        <w:tc>
          <w:tcPr>
            <w:tcW w:w="1113" w:type="dxa"/>
            <w:vAlign w:val="center"/>
          </w:tcPr>
          <w:p w14:paraId="7EB114F8">
            <w:pPr>
              <w:pStyle w:val="1444"/>
            </w:pPr>
            <w:r>
              <w:t>危险单元</w:t>
            </w:r>
          </w:p>
        </w:tc>
        <w:tc>
          <w:tcPr>
            <w:tcW w:w="982" w:type="dxa"/>
            <w:vAlign w:val="center"/>
          </w:tcPr>
          <w:p w14:paraId="6A7E7650">
            <w:pPr>
              <w:pStyle w:val="1444"/>
            </w:pPr>
            <w:r>
              <w:t>风险源</w:t>
            </w:r>
          </w:p>
        </w:tc>
        <w:tc>
          <w:tcPr>
            <w:tcW w:w="1087" w:type="dxa"/>
            <w:vAlign w:val="center"/>
          </w:tcPr>
          <w:p w14:paraId="108DBD99">
            <w:pPr>
              <w:pStyle w:val="1444"/>
            </w:pPr>
            <w:r>
              <w:t>主要危险</w:t>
            </w:r>
          </w:p>
          <w:p w14:paraId="28AF4497">
            <w:pPr>
              <w:pStyle w:val="1444"/>
            </w:pPr>
            <w:r>
              <w:t>物质</w:t>
            </w:r>
          </w:p>
        </w:tc>
        <w:tc>
          <w:tcPr>
            <w:tcW w:w="1125" w:type="dxa"/>
            <w:vAlign w:val="center"/>
          </w:tcPr>
          <w:p w14:paraId="66E71C8F">
            <w:pPr>
              <w:pStyle w:val="1444"/>
            </w:pPr>
            <w:r>
              <w:t>环境风险类型</w:t>
            </w:r>
          </w:p>
        </w:tc>
        <w:tc>
          <w:tcPr>
            <w:tcW w:w="1269" w:type="dxa"/>
            <w:vAlign w:val="center"/>
          </w:tcPr>
          <w:p w14:paraId="4B3F93A2">
            <w:pPr>
              <w:pStyle w:val="1444"/>
            </w:pPr>
            <w:r>
              <w:t>环境影响</w:t>
            </w:r>
          </w:p>
          <w:p w14:paraId="610F8717">
            <w:pPr>
              <w:pStyle w:val="1444"/>
            </w:pPr>
            <w:r>
              <w:t>途径</w:t>
            </w:r>
          </w:p>
        </w:tc>
        <w:tc>
          <w:tcPr>
            <w:tcW w:w="1814" w:type="dxa"/>
            <w:vAlign w:val="center"/>
          </w:tcPr>
          <w:p w14:paraId="2BBE6402">
            <w:pPr>
              <w:pStyle w:val="1444"/>
            </w:pPr>
            <w:r>
              <w:t>可能受影响的环境保护目标</w:t>
            </w:r>
          </w:p>
        </w:tc>
      </w:tr>
      <w:tr w14:paraId="1BBF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69" w:hRule="atLeast"/>
          <w:jc w:val="center"/>
        </w:trPr>
        <w:tc>
          <w:tcPr>
            <w:tcW w:w="688" w:type="dxa"/>
            <w:vAlign w:val="center"/>
          </w:tcPr>
          <w:p w14:paraId="65FDA86F">
            <w:pPr>
              <w:pStyle w:val="1444"/>
            </w:pPr>
            <w:r>
              <w:t>1</w:t>
            </w:r>
          </w:p>
        </w:tc>
        <w:tc>
          <w:tcPr>
            <w:tcW w:w="1113" w:type="dxa"/>
            <w:vAlign w:val="center"/>
          </w:tcPr>
          <w:p w14:paraId="4F339240">
            <w:pPr>
              <w:pStyle w:val="1444"/>
            </w:pPr>
            <w:r>
              <w:rPr>
                <w:rFonts w:hint="eastAsia"/>
              </w:rPr>
              <w:t>站场</w:t>
            </w:r>
            <w:r>
              <w:t>内</w:t>
            </w:r>
          </w:p>
          <w:p w14:paraId="087E789F">
            <w:pPr>
              <w:pStyle w:val="1444"/>
            </w:pPr>
            <w:r>
              <w:t>管线</w:t>
            </w:r>
          </w:p>
        </w:tc>
        <w:tc>
          <w:tcPr>
            <w:tcW w:w="982" w:type="dxa"/>
            <w:vAlign w:val="center"/>
          </w:tcPr>
          <w:p w14:paraId="76E6174B">
            <w:pPr>
              <w:pStyle w:val="1444"/>
            </w:pPr>
            <w:r>
              <w:rPr>
                <w:rFonts w:hint="eastAsia"/>
              </w:rPr>
              <w:t>天然气</w:t>
            </w:r>
          </w:p>
        </w:tc>
        <w:tc>
          <w:tcPr>
            <w:tcW w:w="1087" w:type="dxa"/>
            <w:vAlign w:val="center"/>
          </w:tcPr>
          <w:p w14:paraId="7418868A">
            <w:pPr>
              <w:pStyle w:val="1444"/>
            </w:pPr>
            <w:r>
              <w:t>甲烷</w:t>
            </w:r>
          </w:p>
        </w:tc>
        <w:tc>
          <w:tcPr>
            <w:tcW w:w="1125" w:type="dxa"/>
            <w:vAlign w:val="center"/>
          </w:tcPr>
          <w:p w14:paraId="6BEE445B">
            <w:pPr>
              <w:pStyle w:val="1444"/>
            </w:pPr>
            <w:r>
              <w:t>泄漏、伴生/次生污染物排放</w:t>
            </w:r>
          </w:p>
        </w:tc>
        <w:tc>
          <w:tcPr>
            <w:tcW w:w="1269" w:type="dxa"/>
            <w:vAlign w:val="center"/>
          </w:tcPr>
          <w:p w14:paraId="2EC14A60">
            <w:pPr>
              <w:pStyle w:val="1444"/>
            </w:pPr>
            <w:r>
              <w:t>大气</w:t>
            </w:r>
          </w:p>
        </w:tc>
        <w:tc>
          <w:tcPr>
            <w:tcW w:w="1814" w:type="dxa"/>
            <w:vAlign w:val="center"/>
          </w:tcPr>
          <w:p w14:paraId="484F0D55">
            <w:pPr>
              <w:pStyle w:val="1444"/>
            </w:pPr>
            <w:r>
              <w:t>周边散居居民、学校、城镇等</w:t>
            </w:r>
          </w:p>
        </w:tc>
      </w:tr>
      <w:tr w14:paraId="1889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69" w:hRule="atLeast"/>
          <w:jc w:val="center"/>
        </w:trPr>
        <w:tc>
          <w:tcPr>
            <w:tcW w:w="688" w:type="dxa"/>
            <w:vAlign w:val="center"/>
          </w:tcPr>
          <w:p w14:paraId="1359CEED">
            <w:pPr>
              <w:pStyle w:val="1444"/>
            </w:pPr>
            <w:r>
              <w:t>2</w:t>
            </w:r>
          </w:p>
        </w:tc>
        <w:tc>
          <w:tcPr>
            <w:tcW w:w="1113" w:type="dxa"/>
            <w:vAlign w:val="center"/>
          </w:tcPr>
          <w:p w14:paraId="77641E21">
            <w:pPr>
              <w:pStyle w:val="1444"/>
            </w:pPr>
            <w:r>
              <w:rPr>
                <w:rFonts w:hint="eastAsia"/>
              </w:rPr>
              <w:t>凝析油储罐</w:t>
            </w:r>
          </w:p>
        </w:tc>
        <w:tc>
          <w:tcPr>
            <w:tcW w:w="982" w:type="dxa"/>
            <w:vAlign w:val="center"/>
          </w:tcPr>
          <w:p w14:paraId="56E4D57E">
            <w:pPr>
              <w:pStyle w:val="1444"/>
            </w:pPr>
            <w:r>
              <w:rPr>
                <w:rFonts w:hint="eastAsia"/>
              </w:rPr>
              <w:t>凝析油</w:t>
            </w:r>
          </w:p>
        </w:tc>
        <w:tc>
          <w:tcPr>
            <w:tcW w:w="1087" w:type="dxa"/>
            <w:vAlign w:val="center"/>
          </w:tcPr>
          <w:p w14:paraId="23DF2635">
            <w:pPr>
              <w:pStyle w:val="1444"/>
            </w:pPr>
            <w:r>
              <w:rPr>
                <w:rFonts w:hint="eastAsia"/>
              </w:rPr>
              <w:t>凝析油</w:t>
            </w:r>
          </w:p>
        </w:tc>
        <w:tc>
          <w:tcPr>
            <w:tcW w:w="1125" w:type="dxa"/>
            <w:vAlign w:val="center"/>
          </w:tcPr>
          <w:p w14:paraId="42C97427">
            <w:pPr>
              <w:pStyle w:val="1444"/>
            </w:pPr>
            <w:r>
              <w:t>泄漏</w:t>
            </w:r>
          </w:p>
        </w:tc>
        <w:tc>
          <w:tcPr>
            <w:tcW w:w="1269" w:type="dxa"/>
            <w:vAlign w:val="center"/>
          </w:tcPr>
          <w:p w14:paraId="4579DF26">
            <w:pPr>
              <w:pStyle w:val="1444"/>
            </w:pPr>
            <w:r>
              <w:t>地表水、地下水、土壤</w:t>
            </w:r>
          </w:p>
        </w:tc>
        <w:tc>
          <w:tcPr>
            <w:tcW w:w="1814" w:type="dxa"/>
            <w:vAlign w:val="center"/>
          </w:tcPr>
          <w:p w14:paraId="6F728C9E">
            <w:pPr>
              <w:pStyle w:val="1444"/>
            </w:pPr>
            <w:r>
              <w:t>周边农田、无名溪沟</w:t>
            </w:r>
          </w:p>
        </w:tc>
      </w:tr>
      <w:tr w14:paraId="11E5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69" w:hRule="atLeast"/>
          <w:jc w:val="center"/>
        </w:trPr>
        <w:tc>
          <w:tcPr>
            <w:tcW w:w="688" w:type="dxa"/>
            <w:vAlign w:val="center"/>
          </w:tcPr>
          <w:p w14:paraId="6EC43273">
            <w:pPr>
              <w:pStyle w:val="1444"/>
            </w:pPr>
            <w:r>
              <w:rPr>
                <w:rFonts w:hint="eastAsia"/>
              </w:rPr>
              <w:t>3</w:t>
            </w:r>
          </w:p>
        </w:tc>
        <w:tc>
          <w:tcPr>
            <w:tcW w:w="1113" w:type="dxa"/>
            <w:vAlign w:val="center"/>
          </w:tcPr>
          <w:p w14:paraId="77D05737">
            <w:pPr>
              <w:pStyle w:val="1444"/>
            </w:pPr>
            <w:r>
              <w:rPr>
                <w:rFonts w:hint="eastAsia"/>
              </w:rPr>
              <w:t>气田水罐</w:t>
            </w:r>
          </w:p>
        </w:tc>
        <w:tc>
          <w:tcPr>
            <w:tcW w:w="982" w:type="dxa"/>
            <w:vAlign w:val="center"/>
          </w:tcPr>
          <w:p w14:paraId="0EAED97C">
            <w:pPr>
              <w:pStyle w:val="1444"/>
            </w:pPr>
            <w:r>
              <w:rPr>
                <w:rFonts w:hint="eastAsia"/>
              </w:rPr>
              <w:t>气田水</w:t>
            </w:r>
          </w:p>
        </w:tc>
        <w:tc>
          <w:tcPr>
            <w:tcW w:w="1087" w:type="dxa"/>
            <w:vAlign w:val="center"/>
          </w:tcPr>
          <w:p w14:paraId="64DA314D">
            <w:pPr>
              <w:pStyle w:val="1444"/>
            </w:pPr>
            <w:r>
              <w:rPr>
                <w:rFonts w:hint="eastAsia"/>
              </w:rPr>
              <w:t>气田水</w:t>
            </w:r>
          </w:p>
        </w:tc>
        <w:tc>
          <w:tcPr>
            <w:tcW w:w="1125" w:type="dxa"/>
            <w:vAlign w:val="center"/>
          </w:tcPr>
          <w:p w14:paraId="21A24D36">
            <w:pPr>
              <w:pStyle w:val="1444"/>
            </w:pPr>
            <w:r>
              <w:t>泄漏</w:t>
            </w:r>
          </w:p>
        </w:tc>
        <w:tc>
          <w:tcPr>
            <w:tcW w:w="1269" w:type="dxa"/>
            <w:vAlign w:val="center"/>
          </w:tcPr>
          <w:p w14:paraId="6A78DC38">
            <w:pPr>
              <w:pStyle w:val="1444"/>
            </w:pPr>
            <w:r>
              <w:t>地表水、地下水、土壤</w:t>
            </w:r>
          </w:p>
        </w:tc>
        <w:tc>
          <w:tcPr>
            <w:tcW w:w="1814" w:type="dxa"/>
            <w:vAlign w:val="center"/>
          </w:tcPr>
          <w:p w14:paraId="39A534C0">
            <w:pPr>
              <w:pStyle w:val="1444"/>
            </w:pPr>
            <w:r>
              <w:t>周边农田、无名溪沟</w:t>
            </w:r>
          </w:p>
        </w:tc>
      </w:tr>
      <w:tr w14:paraId="10DD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69" w:hRule="atLeast"/>
          <w:jc w:val="center"/>
        </w:trPr>
        <w:tc>
          <w:tcPr>
            <w:tcW w:w="688" w:type="dxa"/>
            <w:vAlign w:val="center"/>
          </w:tcPr>
          <w:p w14:paraId="2980B15D">
            <w:pPr>
              <w:pStyle w:val="1444"/>
            </w:pPr>
            <w:r>
              <w:rPr>
                <w:rFonts w:hint="eastAsia"/>
              </w:rPr>
              <w:t>4</w:t>
            </w:r>
          </w:p>
        </w:tc>
        <w:tc>
          <w:tcPr>
            <w:tcW w:w="1113" w:type="dxa"/>
            <w:vAlign w:val="center"/>
          </w:tcPr>
          <w:p w14:paraId="4920F31C">
            <w:pPr>
              <w:pStyle w:val="1444"/>
            </w:pPr>
            <w:r>
              <w:rPr>
                <w:rFonts w:hint="eastAsia"/>
              </w:rPr>
              <w:t>凝析油转运罐车</w:t>
            </w:r>
          </w:p>
        </w:tc>
        <w:tc>
          <w:tcPr>
            <w:tcW w:w="982" w:type="dxa"/>
            <w:vAlign w:val="center"/>
          </w:tcPr>
          <w:p w14:paraId="101B471A">
            <w:pPr>
              <w:pStyle w:val="1444"/>
            </w:pPr>
            <w:r>
              <w:rPr>
                <w:rFonts w:hint="eastAsia"/>
              </w:rPr>
              <w:t>凝析油</w:t>
            </w:r>
          </w:p>
        </w:tc>
        <w:tc>
          <w:tcPr>
            <w:tcW w:w="1087" w:type="dxa"/>
            <w:vAlign w:val="center"/>
          </w:tcPr>
          <w:p w14:paraId="01836054">
            <w:pPr>
              <w:pStyle w:val="1444"/>
            </w:pPr>
            <w:r>
              <w:rPr>
                <w:rFonts w:hint="eastAsia"/>
              </w:rPr>
              <w:t>凝析油</w:t>
            </w:r>
          </w:p>
        </w:tc>
        <w:tc>
          <w:tcPr>
            <w:tcW w:w="1125" w:type="dxa"/>
            <w:vAlign w:val="center"/>
          </w:tcPr>
          <w:p w14:paraId="28132C9E">
            <w:pPr>
              <w:pStyle w:val="1444"/>
            </w:pPr>
            <w:r>
              <w:t>泄漏</w:t>
            </w:r>
          </w:p>
        </w:tc>
        <w:tc>
          <w:tcPr>
            <w:tcW w:w="1269" w:type="dxa"/>
            <w:vAlign w:val="center"/>
          </w:tcPr>
          <w:p w14:paraId="02A3626D">
            <w:pPr>
              <w:pStyle w:val="1444"/>
            </w:pPr>
            <w:r>
              <w:t>地表水、地下水、土壤</w:t>
            </w:r>
          </w:p>
        </w:tc>
        <w:tc>
          <w:tcPr>
            <w:tcW w:w="1814" w:type="dxa"/>
            <w:vAlign w:val="center"/>
          </w:tcPr>
          <w:p w14:paraId="510390FA">
            <w:pPr>
              <w:pStyle w:val="1444"/>
            </w:pPr>
            <w:r>
              <w:t>周边农田、堰塘、河流等</w:t>
            </w:r>
          </w:p>
        </w:tc>
      </w:tr>
      <w:tr w14:paraId="7B34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69" w:hRule="atLeast"/>
          <w:jc w:val="center"/>
        </w:trPr>
        <w:tc>
          <w:tcPr>
            <w:tcW w:w="688" w:type="dxa"/>
            <w:vAlign w:val="center"/>
          </w:tcPr>
          <w:p w14:paraId="23D4D02A">
            <w:pPr>
              <w:pStyle w:val="1444"/>
            </w:pPr>
            <w:r>
              <w:rPr>
                <w:rFonts w:hint="eastAsia"/>
              </w:rPr>
              <w:t>5</w:t>
            </w:r>
          </w:p>
        </w:tc>
        <w:tc>
          <w:tcPr>
            <w:tcW w:w="1113" w:type="dxa"/>
            <w:vAlign w:val="center"/>
          </w:tcPr>
          <w:p w14:paraId="3642A25E">
            <w:pPr>
              <w:pStyle w:val="1444"/>
            </w:pPr>
            <w:r>
              <w:rPr>
                <w:rFonts w:hint="eastAsia"/>
              </w:rPr>
              <w:t>气田水</w:t>
            </w:r>
            <w:r>
              <w:t>转运罐车</w:t>
            </w:r>
          </w:p>
        </w:tc>
        <w:tc>
          <w:tcPr>
            <w:tcW w:w="982" w:type="dxa"/>
            <w:vAlign w:val="center"/>
          </w:tcPr>
          <w:p w14:paraId="355BB216">
            <w:pPr>
              <w:pStyle w:val="1444"/>
            </w:pPr>
            <w:r>
              <w:rPr>
                <w:rFonts w:hint="eastAsia"/>
              </w:rPr>
              <w:t>气田水</w:t>
            </w:r>
          </w:p>
        </w:tc>
        <w:tc>
          <w:tcPr>
            <w:tcW w:w="1087" w:type="dxa"/>
            <w:vAlign w:val="center"/>
          </w:tcPr>
          <w:p w14:paraId="19CBC9D7">
            <w:pPr>
              <w:pStyle w:val="1444"/>
            </w:pPr>
            <w:r>
              <w:rPr>
                <w:rFonts w:hint="eastAsia"/>
              </w:rPr>
              <w:t>气田水</w:t>
            </w:r>
          </w:p>
        </w:tc>
        <w:tc>
          <w:tcPr>
            <w:tcW w:w="1125" w:type="dxa"/>
            <w:vAlign w:val="center"/>
          </w:tcPr>
          <w:p w14:paraId="3A0AFA66">
            <w:pPr>
              <w:pStyle w:val="1444"/>
            </w:pPr>
            <w:r>
              <w:t>泄漏</w:t>
            </w:r>
          </w:p>
        </w:tc>
        <w:tc>
          <w:tcPr>
            <w:tcW w:w="1269" w:type="dxa"/>
            <w:vAlign w:val="center"/>
          </w:tcPr>
          <w:p w14:paraId="5234E4DC">
            <w:pPr>
              <w:pStyle w:val="1444"/>
            </w:pPr>
            <w:r>
              <w:t>地表水、地下水、土壤</w:t>
            </w:r>
          </w:p>
        </w:tc>
        <w:tc>
          <w:tcPr>
            <w:tcW w:w="1814" w:type="dxa"/>
            <w:vAlign w:val="center"/>
          </w:tcPr>
          <w:p w14:paraId="523CA28A">
            <w:pPr>
              <w:pStyle w:val="1444"/>
            </w:pPr>
            <w:r>
              <w:t>周边农田、堰塘、河流等</w:t>
            </w:r>
          </w:p>
        </w:tc>
      </w:tr>
      <w:tr w14:paraId="4F94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69" w:hRule="atLeast"/>
          <w:jc w:val="center"/>
        </w:trPr>
        <w:tc>
          <w:tcPr>
            <w:tcW w:w="688" w:type="dxa"/>
            <w:vAlign w:val="center"/>
          </w:tcPr>
          <w:p w14:paraId="75667208">
            <w:pPr>
              <w:pStyle w:val="1444"/>
            </w:pPr>
            <w:r>
              <w:rPr>
                <w:rFonts w:hint="eastAsia"/>
              </w:rPr>
              <w:t>6</w:t>
            </w:r>
          </w:p>
        </w:tc>
        <w:tc>
          <w:tcPr>
            <w:tcW w:w="1113" w:type="dxa"/>
            <w:vAlign w:val="center"/>
          </w:tcPr>
          <w:p w14:paraId="76319217">
            <w:pPr>
              <w:pStyle w:val="1444"/>
            </w:pPr>
            <w:r>
              <w:rPr>
                <w:rFonts w:hint="eastAsia"/>
              </w:rPr>
              <w:t>C</w:t>
            </w:r>
            <w:r>
              <w:t>NG</w:t>
            </w:r>
            <w:r>
              <w:rPr>
                <w:rFonts w:hint="eastAsia"/>
              </w:rPr>
              <w:t>管束车</w:t>
            </w:r>
          </w:p>
        </w:tc>
        <w:tc>
          <w:tcPr>
            <w:tcW w:w="982" w:type="dxa"/>
            <w:vAlign w:val="center"/>
          </w:tcPr>
          <w:p w14:paraId="66BE7FDA">
            <w:pPr>
              <w:pStyle w:val="1444"/>
            </w:pPr>
            <w:r>
              <w:rPr>
                <w:rFonts w:hint="eastAsia"/>
              </w:rPr>
              <w:t>天然气</w:t>
            </w:r>
          </w:p>
        </w:tc>
        <w:tc>
          <w:tcPr>
            <w:tcW w:w="1087" w:type="dxa"/>
            <w:vAlign w:val="center"/>
          </w:tcPr>
          <w:p w14:paraId="353BC602">
            <w:pPr>
              <w:pStyle w:val="1444"/>
            </w:pPr>
            <w:r>
              <w:rPr>
                <w:rFonts w:hint="eastAsia"/>
              </w:rPr>
              <w:t>天然气</w:t>
            </w:r>
          </w:p>
        </w:tc>
        <w:tc>
          <w:tcPr>
            <w:tcW w:w="1125" w:type="dxa"/>
            <w:vAlign w:val="center"/>
          </w:tcPr>
          <w:p w14:paraId="5127FF36">
            <w:pPr>
              <w:pStyle w:val="1444"/>
            </w:pPr>
            <w:r>
              <w:t>泄漏、伴生/次生污染物排放</w:t>
            </w:r>
          </w:p>
        </w:tc>
        <w:tc>
          <w:tcPr>
            <w:tcW w:w="1269" w:type="dxa"/>
            <w:vAlign w:val="center"/>
          </w:tcPr>
          <w:p w14:paraId="06769536">
            <w:pPr>
              <w:pStyle w:val="1444"/>
            </w:pPr>
            <w:r>
              <w:t>大气</w:t>
            </w:r>
          </w:p>
        </w:tc>
        <w:tc>
          <w:tcPr>
            <w:tcW w:w="1814" w:type="dxa"/>
            <w:vAlign w:val="center"/>
          </w:tcPr>
          <w:p w14:paraId="0E46DCE3">
            <w:pPr>
              <w:pStyle w:val="1444"/>
            </w:pPr>
            <w:r>
              <w:rPr>
                <w:rFonts w:hint="eastAsia"/>
              </w:rPr>
              <w:t>路径上</w:t>
            </w:r>
            <w:r>
              <w:t>散居居民、学校、城镇等</w:t>
            </w:r>
          </w:p>
        </w:tc>
      </w:tr>
    </w:tbl>
    <w:p w14:paraId="237CE0AF">
      <w:pPr>
        <w:pStyle w:val="1379"/>
        <w:ind w:firstLine="440"/>
      </w:pPr>
    </w:p>
    <w:p w14:paraId="08C457D8">
      <w:pPr>
        <w:spacing w:line="460" w:lineRule="exact"/>
        <w:ind w:firstLine="522" w:firstLineChars="200"/>
        <w:outlineLvl w:val="1"/>
        <w:rPr>
          <w:b/>
          <w:bCs/>
          <w:sz w:val="26"/>
          <w:szCs w:val="26"/>
        </w:rPr>
      </w:pPr>
      <w:bookmarkStart w:id="325" w:name="_Toc219907666"/>
      <w:bookmarkStart w:id="326" w:name="_Toc161930575"/>
      <w:r>
        <w:rPr>
          <w:rFonts w:hint="eastAsia"/>
          <w:b/>
          <w:bCs/>
          <w:sz w:val="26"/>
          <w:szCs w:val="26"/>
        </w:rPr>
        <w:t>7</w:t>
      </w:r>
      <w:r>
        <w:rPr>
          <w:b/>
          <w:bCs/>
          <w:sz w:val="26"/>
          <w:szCs w:val="26"/>
        </w:rPr>
        <w:t xml:space="preserve">.5 </w:t>
      </w:r>
      <w:r>
        <w:rPr>
          <w:rFonts w:hint="eastAsia"/>
          <w:b/>
          <w:bCs/>
          <w:sz w:val="26"/>
          <w:szCs w:val="26"/>
        </w:rPr>
        <w:t>环境风险事故情景分析</w:t>
      </w:r>
      <w:bookmarkEnd w:id="325"/>
      <w:bookmarkEnd w:id="326"/>
    </w:p>
    <w:p w14:paraId="6F6AAAC5">
      <w:pPr>
        <w:pStyle w:val="1068"/>
      </w:pPr>
      <w:r>
        <w:rPr>
          <w:rFonts w:hint="eastAsia"/>
        </w:rPr>
        <w:t>7</w:t>
      </w:r>
      <w:r>
        <w:t xml:space="preserve">.5.1 </w:t>
      </w:r>
      <w:r>
        <w:rPr>
          <w:rFonts w:hint="eastAsia"/>
        </w:rPr>
        <w:t>风险事故确定原则</w:t>
      </w:r>
    </w:p>
    <w:p w14:paraId="6A263556">
      <w:pPr>
        <w:pStyle w:val="1381"/>
        <w:ind w:firstLine="520"/>
      </w:pPr>
      <w:r>
        <w:t>根据《建设项目环境风险评价技术导则》（HJ169-2018），本项目环境风险事故设定的原则如下：</w:t>
      </w:r>
    </w:p>
    <w:p w14:paraId="56D90220">
      <w:pPr>
        <w:pStyle w:val="1381"/>
        <w:ind w:firstLine="520"/>
      </w:pPr>
      <w:r>
        <w:t>（1）同一种危险物质可能涉及泄漏，以及火灾、爆炸等引发的伴生/次生污染物排放等多种环境风险类型，其风险事故情形设定应全面考虑。同一物质对不同环境要素均影响的，风险事故情形分别进行设定。</w:t>
      </w:r>
    </w:p>
    <w:p w14:paraId="5E337651">
      <w:pPr>
        <w:pStyle w:val="1381"/>
        <w:ind w:firstLine="520"/>
      </w:pPr>
      <w:r>
        <w:t>（2）对于火灾、爆炸事故，将事故中未完全燃烧的危险物质在高温下迅速挥发至大气，以及燃烧过程中产生的伴生/次生污染物对环境的影响作为风险事故情形设定的内容。</w:t>
      </w:r>
    </w:p>
    <w:p w14:paraId="774EE274">
      <w:pPr>
        <w:pStyle w:val="1381"/>
        <w:ind w:firstLine="520"/>
      </w:pPr>
      <w:r>
        <w:t>（3）设定的风险事故情形发生可的能性应处于合理的区间，并与经济技术发展水平相适应。根据导则，将发生概率小于10</w:t>
      </w:r>
      <w:r>
        <w:rPr>
          <w:vertAlign w:val="superscript"/>
        </w:rPr>
        <w:t>-6</w:t>
      </w:r>
      <w:r>
        <w:t>/年的事件认定为极小概率事件，作为代表性事故情形中最大可信事故设定的参考值。</w:t>
      </w:r>
    </w:p>
    <w:p w14:paraId="285284F6">
      <w:pPr>
        <w:pStyle w:val="1381"/>
        <w:ind w:firstLine="520"/>
      </w:pPr>
      <w:r>
        <w:t>（4）由于事故触发因素具有不确定性，因此本项目事故情形的设定并不能包含全部可能的环境风险，事故情形的设定建立在环境风险识别基础上，通过对代表性事故情形的分析力求为风险管理提供科学依据。</w:t>
      </w:r>
    </w:p>
    <w:p w14:paraId="00C39EEC">
      <w:pPr>
        <w:pStyle w:val="1381"/>
        <w:ind w:firstLine="520"/>
      </w:pPr>
      <w:r>
        <w:t>（5）环境风险评价主要针对项目发生突发性污染事故后通过污染物迁移所造成的区域外环境影响进行评价，大气风险评价范围主要包括厂（场）界外污染影响区域，地下水风险评价范围主要包括厂（场）界内地下水及厂界外地下水环境敏感点；安全评价着眼于设备安全性事故后暴露范围内的人员与财产损失，通常设备燃爆安全性事故的范围限于厂（场）界内。因此，本次环境风险评价主要为项目发生突发性污染事故后影响环境的区域，不包括单纯因火灾和爆炸引起的厂（场）界内外人员的伤亡。</w:t>
      </w:r>
    </w:p>
    <w:p w14:paraId="6BB47722">
      <w:pPr>
        <w:pStyle w:val="1068"/>
      </w:pPr>
      <w:r>
        <w:rPr>
          <w:rFonts w:hint="eastAsia"/>
        </w:rPr>
        <w:t>7</w:t>
      </w:r>
      <w:r>
        <w:t xml:space="preserve">.5.2 </w:t>
      </w:r>
      <w:r>
        <w:rPr>
          <w:rFonts w:hint="eastAsia"/>
        </w:rPr>
        <w:t>环境风险事故情景</w:t>
      </w:r>
    </w:p>
    <w:p w14:paraId="054B446C">
      <w:pPr>
        <w:pStyle w:val="1381"/>
        <w:ind w:firstLine="520"/>
      </w:pPr>
      <w:r>
        <w:rPr>
          <w:rFonts w:hint="eastAsia"/>
        </w:rPr>
        <w:t>（1）</w:t>
      </w:r>
      <w:r>
        <w:rPr>
          <w:rFonts w:hint="eastAsia"/>
          <w:snapToGrid w:val="0"/>
        </w:rPr>
        <w:t>天然气泄漏、火灾、爆炸事故</w:t>
      </w:r>
    </w:p>
    <w:p w14:paraId="338CA5FF">
      <w:pPr>
        <w:pStyle w:val="1381"/>
        <w:ind w:firstLine="520"/>
      </w:pPr>
      <w:r>
        <w:t>本项目天然气泄漏情形包括</w:t>
      </w:r>
      <w:r>
        <w:rPr>
          <w:rFonts w:hint="eastAsia"/>
        </w:rPr>
        <w:t>试采站</w:t>
      </w:r>
      <w:r>
        <w:t>内部的管线或设备泄漏。管线和设备破裂原因为内、外腐蚀作用，母体材料缺陷或焊口缺陷隐患，意外重大的机械损伤或地震、地陷、洪水等自然灾害破坏作用。管线或设备破裂会造成天然气泄漏</w:t>
      </w:r>
      <w:r>
        <w:rPr>
          <w:rFonts w:hint="eastAsia"/>
        </w:rPr>
        <w:t>，遇明火会产生火灾、爆炸。</w:t>
      </w:r>
    </w:p>
    <w:p w14:paraId="35C8FB68">
      <w:pPr>
        <w:pStyle w:val="1381"/>
        <w:ind w:firstLine="520"/>
      </w:pPr>
      <w:r>
        <w:rPr>
          <w:rFonts w:hint="eastAsia"/>
        </w:rPr>
        <w:t>（</w:t>
      </w:r>
      <w:r>
        <w:t>2</w:t>
      </w:r>
      <w:r>
        <w:rPr>
          <w:rFonts w:hint="eastAsia"/>
        </w:rPr>
        <w:t>）凝析油储罐或气田水罐泄漏事故</w:t>
      </w:r>
    </w:p>
    <w:p w14:paraId="7A61A177">
      <w:pPr>
        <w:pStyle w:val="1381"/>
        <w:ind w:firstLine="520"/>
      </w:pPr>
      <w:r>
        <w:rPr>
          <w:rFonts w:hint="eastAsia"/>
          <w:szCs w:val="26"/>
        </w:rPr>
        <w:t>本项目设置</w:t>
      </w:r>
      <w:r>
        <w:rPr>
          <w:szCs w:val="26"/>
        </w:rPr>
        <w:t>2</w:t>
      </w:r>
      <w:r>
        <w:rPr>
          <w:rFonts w:hint="eastAsia"/>
          <w:szCs w:val="26"/>
        </w:rPr>
        <w:t>个</w:t>
      </w:r>
      <w:r>
        <w:rPr>
          <w:rFonts w:hint="eastAsia"/>
        </w:rPr>
        <w:t>5</w:t>
      </w:r>
      <w:r>
        <w:t>0</w:t>
      </w:r>
      <w:r>
        <w:rPr>
          <w:rFonts w:hint="eastAsia"/>
        </w:rPr>
        <w:t>m</w:t>
      </w:r>
      <w:r>
        <w:rPr>
          <w:vertAlign w:val="superscript"/>
        </w:rPr>
        <w:t>3</w:t>
      </w:r>
      <w:r>
        <w:t>/</w:t>
      </w:r>
      <w:r>
        <w:rPr>
          <w:rFonts w:hint="eastAsia"/>
        </w:rPr>
        <w:t>个的凝析油储罐和1个5</w:t>
      </w:r>
      <w:r>
        <w:t>0</w:t>
      </w:r>
      <w:r>
        <w:rPr>
          <w:rFonts w:hint="eastAsia"/>
        </w:rPr>
        <w:t>m</w:t>
      </w:r>
      <w:r>
        <w:rPr>
          <w:vertAlign w:val="superscript"/>
        </w:rPr>
        <w:t>3</w:t>
      </w:r>
      <w:r>
        <w:rPr>
          <w:rFonts w:hint="eastAsia"/>
        </w:rPr>
        <w:t>、1个</w:t>
      </w:r>
      <w:r>
        <w:t>20</w:t>
      </w:r>
      <w:r>
        <w:rPr>
          <w:rFonts w:hint="eastAsia"/>
        </w:rPr>
        <w:t>m</w:t>
      </w:r>
      <w:r>
        <w:rPr>
          <w:vertAlign w:val="superscript"/>
        </w:rPr>
        <w:t>3</w:t>
      </w:r>
      <w:r>
        <w:rPr>
          <w:rFonts w:hint="eastAsia"/>
        </w:rPr>
        <w:t>的气田水储罐，储罐可能因</w:t>
      </w:r>
      <w:r>
        <w:t>罐体老化、管道破损或人为破坏及洪水、地震等不可抗拒因素</w:t>
      </w:r>
      <w:r>
        <w:rPr>
          <w:rFonts w:hint="eastAsia"/>
        </w:rPr>
        <w:t>，导致凝析油或气田水进入附近地表水、</w:t>
      </w:r>
      <w:r>
        <w:t>地下水及土壤，影响农作物生长发育和产量。</w:t>
      </w:r>
    </w:p>
    <w:p w14:paraId="0E7C4686">
      <w:pPr>
        <w:pStyle w:val="1381"/>
        <w:ind w:firstLine="520"/>
      </w:pPr>
      <w:r>
        <w:rPr>
          <w:rFonts w:hint="eastAsia"/>
        </w:rPr>
        <w:t>（</w:t>
      </w:r>
      <w:r>
        <w:t>3</w:t>
      </w:r>
      <w:r>
        <w:rPr>
          <w:rFonts w:hint="eastAsia"/>
        </w:rPr>
        <w:t>）凝析油或气田水罐车转运事故</w:t>
      </w:r>
    </w:p>
    <w:p w14:paraId="50AA328F">
      <w:pPr>
        <w:autoSpaceDE w:val="0"/>
        <w:autoSpaceDN w:val="0"/>
        <w:snapToGrid w:val="0"/>
        <w:spacing w:line="460" w:lineRule="exact"/>
        <w:ind w:firstLine="520" w:firstLineChars="200"/>
        <w:jc w:val="left"/>
        <w:rPr>
          <w:sz w:val="26"/>
          <w:szCs w:val="26"/>
        </w:rPr>
      </w:pPr>
      <w:r>
        <w:rPr>
          <w:rFonts w:hint="eastAsia"/>
          <w:sz w:val="26"/>
          <w:szCs w:val="26"/>
        </w:rPr>
        <w:t>凝析油罐车或气田水罐车在转运过程中，可能存在罐体泄漏、运输车侧翻导致凝析油或气田水外溢的风险，若途经集中式饮用水水源保护区等特别敏感区域时发生泄漏，将产生一定的环境风险。</w:t>
      </w:r>
    </w:p>
    <w:p w14:paraId="00DD6EBD">
      <w:pPr>
        <w:pStyle w:val="1381"/>
        <w:ind w:firstLine="520"/>
      </w:pPr>
      <w:r>
        <w:rPr>
          <w:rFonts w:hint="eastAsia"/>
        </w:rPr>
        <w:t>（4）</w:t>
      </w:r>
      <w:r>
        <w:t>CNG</w:t>
      </w:r>
      <w:r>
        <w:rPr>
          <w:rFonts w:hint="eastAsia"/>
        </w:rPr>
        <w:t>管束车运输过程泄漏事故</w:t>
      </w:r>
    </w:p>
    <w:p w14:paraId="7A5E5AA8">
      <w:pPr>
        <w:adjustRightInd w:val="0"/>
        <w:snapToGrid w:val="0"/>
        <w:spacing w:line="460" w:lineRule="exact"/>
        <w:ind w:firstLine="520" w:firstLineChars="200"/>
        <w:rPr>
          <w:snapToGrid w:val="0"/>
          <w:kern w:val="0"/>
          <w:sz w:val="26"/>
          <w:szCs w:val="26"/>
        </w:rPr>
      </w:pPr>
      <w:r>
        <w:rPr>
          <w:snapToGrid w:val="0"/>
          <w:kern w:val="0"/>
          <w:sz w:val="26"/>
          <w:szCs w:val="26"/>
        </w:rPr>
        <w:t>CNG</w:t>
      </w:r>
      <w:r>
        <w:rPr>
          <w:rFonts w:hint="eastAsia"/>
          <w:snapToGrid w:val="0"/>
          <w:kern w:val="0"/>
          <w:sz w:val="26"/>
          <w:szCs w:val="26"/>
        </w:rPr>
        <w:t>管束车在运输过程，控制阀门、压力表正常磨损或车辆事故引起失效，引发天然气泄漏。</w:t>
      </w:r>
      <w:r>
        <w:rPr>
          <w:snapToGrid w:val="0"/>
          <w:kern w:val="0"/>
          <w:sz w:val="26"/>
          <w:szCs w:val="26"/>
        </w:rPr>
        <w:t>CNG</w:t>
      </w:r>
      <w:r>
        <w:rPr>
          <w:rFonts w:hint="eastAsia"/>
          <w:snapToGrid w:val="0"/>
          <w:kern w:val="0"/>
          <w:sz w:val="26"/>
          <w:szCs w:val="26"/>
        </w:rPr>
        <w:t>管束车内天然气处于高压状态，钢瓶组阀器连接点较多，工艺设备容易造成泄漏，气体外泄可能发生点很多，气瓶、单向阀、充气阀、过流保护手动截止阀、排气阀、过滤器、主气阀、减压器等都有可能发生泄漏。泄漏气体一旦遇火源，就会发生火灾和爆炸，对运输路线沿线居民、大气环境易造成不利影响。</w:t>
      </w:r>
    </w:p>
    <w:p w14:paraId="2C62746A">
      <w:pPr>
        <w:pStyle w:val="1068"/>
      </w:pPr>
      <w:r>
        <w:rPr>
          <w:rFonts w:hint="eastAsia"/>
        </w:rPr>
        <w:t>7</w:t>
      </w:r>
      <w:r>
        <w:t xml:space="preserve">.5.3 </w:t>
      </w:r>
      <w:r>
        <w:rPr>
          <w:rFonts w:hint="eastAsia"/>
        </w:rPr>
        <w:t>最大可信事故</w:t>
      </w:r>
    </w:p>
    <w:p w14:paraId="5818BF87">
      <w:pPr>
        <w:pStyle w:val="1381"/>
        <w:ind w:firstLine="520"/>
      </w:pPr>
      <w:r>
        <w:t>根据行业特点和类比分析，本评价确定</w:t>
      </w:r>
      <w:r>
        <w:rPr>
          <w:rFonts w:hint="eastAsia"/>
        </w:rPr>
        <w:t>试采站内</w:t>
      </w:r>
      <w:r>
        <w:t>天然气泄漏为最大可信事故。根据《建设项目环境风险评价技术导则》（HJ169-2018），</w:t>
      </w:r>
      <w:r>
        <w:rPr>
          <w:rFonts w:hint="eastAsia"/>
        </w:rPr>
        <w:t>本</w:t>
      </w:r>
      <w:r>
        <w:t>项目</w:t>
      </w:r>
      <w:r>
        <w:rPr>
          <w:rFonts w:hint="eastAsia"/>
        </w:rPr>
        <w:t>试采站内</w:t>
      </w:r>
      <w:r>
        <w:t>管道泄漏孔径为10%孔径的情况下，泄漏频率为5×10</w:t>
      </w:r>
      <w:r>
        <w:rPr>
          <w:vertAlign w:val="superscript"/>
        </w:rPr>
        <w:t>-6</w:t>
      </w:r>
      <w:r>
        <w:t>/（m·a）；全管径泄漏的情况下，泄漏频率为1×10</w:t>
      </w:r>
      <w:r>
        <w:rPr>
          <w:vertAlign w:val="superscript"/>
        </w:rPr>
        <w:t>-6</w:t>
      </w:r>
      <w:r>
        <w:t>/（m·a），环境风险事故发生几率很小。</w:t>
      </w:r>
    </w:p>
    <w:p w14:paraId="487880A6">
      <w:pPr>
        <w:spacing w:line="460" w:lineRule="exact"/>
        <w:ind w:firstLine="522" w:firstLineChars="200"/>
        <w:outlineLvl w:val="1"/>
        <w:rPr>
          <w:b/>
          <w:bCs/>
          <w:sz w:val="26"/>
          <w:szCs w:val="26"/>
        </w:rPr>
      </w:pPr>
      <w:bookmarkStart w:id="327" w:name="_Toc219907667"/>
      <w:bookmarkStart w:id="328" w:name="_Toc161930576"/>
      <w:r>
        <w:rPr>
          <w:rFonts w:hint="eastAsia"/>
          <w:b/>
          <w:bCs/>
          <w:sz w:val="26"/>
          <w:szCs w:val="26"/>
        </w:rPr>
        <w:t>7</w:t>
      </w:r>
      <w:r>
        <w:rPr>
          <w:b/>
          <w:bCs/>
          <w:sz w:val="26"/>
          <w:szCs w:val="26"/>
        </w:rPr>
        <w:t xml:space="preserve">.6 </w:t>
      </w:r>
      <w:r>
        <w:rPr>
          <w:rFonts w:hint="eastAsia"/>
          <w:b/>
          <w:bCs/>
          <w:sz w:val="26"/>
          <w:szCs w:val="26"/>
        </w:rPr>
        <w:t>环境风险分析</w:t>
      </w:r>
      <w:bookmarkEnd w:id="327"/>
      <w:bookmarkEnd w:id="328"/>
    </w:p>
    <w:p w14:paraId="51EC3BA4">
      <w:pPr>
        <w:adjustRightInd w:val="0"/>
        <w:snapToGrid w:val="0"/>
        <w:spacing w:line="480" w:lineRule="exact"/>
        <w:ind w:firstLine="522" w:firstLineChars="200"/>
        <w:outlineLvl w:val="2"/>
        <w:rPr>
          <w:b/>
          <w:sz w:val="26"/>
          <w:szCs w:val="26"/>
        </w:rPr>
      </w:pPr>
      <w:r>
        <w:rPr>
          <w:rFonts w:hint="eastAsia"/>
          <w:b/>
          <w:sz w:val="26"/>
          <w:szCs w:val="26"/>
        </w:rPr>
        <w:t>7</w:t>
      </w:r>
      <w:r>
        <w:rPr>
          <w:b/>
          <w:sz w:val="26"/>
          <w:szCs w:val="26"/>
        </w:rPr>
        <w:t xml:space="preserve">.6.1 </w:t>
      </w:r>
      <w:r>
        <w:rPr>
          <w:rFonts w:hint="eastAsia"/>
          <w:b/>
          <w:sz w:val="26"/>
          <w:szCs w:val="26"/>
        </w:rPr>
        <w:t>事故对环境空气影响分析</w:t>
      </w:r>
    </w:p>
    <w:p w14:paraId="6EB8EC86">
      <w:pPr>
        <w:pStyle w:val="1381"/>
        <w:ind w:firstLine="520"/>
        <w:rPr>
          <w:snapToGrid w:val="0"/>
        </w:rPr>
      </w:pPr>
      <w:r>
        <w:rPr>
          <w:rFonts w:hint="eastAsia"/>
          <w:snapToGrid w:val="0"/>
        </w:rPr>
        <w:t>（1）天然气泄漏环境风险分析</w:t>
      </w:r>
    </w:p>
    <w:p w14:paraId="6941EDEF">
      <w:pPr>
        <w:adjustRightInd w:val="0"/>
        <w:snapToGrid w:val="0"/>
        <w:spacing w:line="460" w:lineRule="exact"/>
        <w:ind w:firstLine="520" w:firstLineChars="200"/>
        <w:rPr>
          <w:snapToGrid w:val="0"/>
          <w:kern w:val="0"/>
          <w:sz w:val="26"/>
          <w:szCs w:val="26"/>
        </w:rPr>
      </w:pPr>
      <w:r>
        <w:rPr>
          <w:rFonts w:hint="eastAsia"/>
          <w:snapToGrid w:val="0"/>
          <w:kern w:val="0"/>
          <w:sz w:val="26"/>
          <w:szCs w:val="26"/>
        </w:rPr>
        <w:t>本项目站场设备、站内管道、</w:t>
      </w:r>
      <w:r>
        <w:rPr>
          <w:snapToGrid w:val="0"/>
          <w:kern w:val="0"/>
          <w:sz w:val="26"/>
          <w:szCs w:val="26"/>
        </w:rPr>
        <w:t>CNG</w:t>
      </w:r>
      <w:r>
        <w:rPr>
          <w:rFonts w:hint="eastAsia"/>
          <w:snapToGrid w:val="0"/>
          <w:kern w:val="0"/>
          <w:sz w:val="26"/>
          <w:szCs w:val="26"/>
        </w:rPr>
        <w:t>管束车内主要风险物质为天然气，事故泄漏天然气中主要成分为甲烷，甲烷的密度比空气的密度小，稀释扩散很快，随着距泄漏点距离的增加，甲烷浓度下降非常快，泄漏点泄漏的甲烷对环境、人和动物造成的影响是局部的，经自然扩散后不会造成人员窒息现象。井站内均设有自动阀门，若遇泄漏，系统会自动启动关闭阀门，从泄漏至阀门关闭历时</w:t>
      </w:r>
      <w:r>
        <w:rPr>
          <w:snapToGrid w:val="0"/>
          <w:kern w:val="0"/>
          <w:sz w:val="26"/>
          <w:szCs w:val="26"/>
        </w:rPr>
        <w:t>2min</w:t>
      </w:r>
      <w:r>
        <w:rPr>
          <w:rFonts w:hint="eastAsia"/>
          <w:snapToGrid w:val="0"/>
          <w:kern w:val="0"/>
          <w:sz w:val="26"/>
          <w:szCs w:val="26"/>
        </w:rPr>
        <w:t>，天然气泄漏量少，且项目所在地场地开阔，天然气泄漏后在大气环境中浓度可以得到稀释。</w:t>
      </w:r>
    </w:p>
    <w:p w14:paraId="2151E229">
      <w:pPr>
        <w:adjustRightInd w:val="0"/>
        <w:snapToGrid w:val="0"/>
        <w:spacing w:line="460" w:lineRule="exact"/>
        <w:ind w:firstLine="520" w:firstLineChars="200"/>
        <w:rPr>
          <w:snapToGrid w:val="0"/>
          <w:kern w:val="0"/>
          <w:sz w:val="26"/>
          <w:szCs w:val="26"/>
        </w:rPr>
      </w:pPr>
      <w:r>
        <w:rPr>
          <w:rFonts w:hint="eastAsia"/>
          <w:snapToGrid w:val="0"/>
          <w:kern w:val="0"/>
          <w:sz w:val="26"/>
          <w:szCs w:val="26"/>
        </w:rPr>
        <w:t>综上分析，泄漏的天然气对环境影响较小。为了减小对周围居民的影响，在对群众进行宣传的过程中，应告知居民若发现天然气发生泄漏，应迅速转移至远离事故泄漏点的地方并及时报告。</w:t>
      </w:r>
    </w:p>
    <w:p w14:paraId="5D5E0DCB">
      <w:pPr>
        <w:adjustRightInd w:val="0"/>
        <w:snapToGrid w:val="0"/>
        <w:spacing w:line="460" w:lineRule="exact"/>
        <w:ind w:firstLine="520" w:firstLineChars="200"/>
        <w:rPr>
          <w:snapToGrid w:val="0"/>
          <w:kern w:val="0"/>
          <w:sz w:val="26"/>
          <w:szCs w:val="26"/>
        </w:rPr>
      </w:pPr>
      <w:r>
        <w:rPr>
          <w:rFonts w:hint="eastAsia"/>
          <w:snapToGrid w:val="0"/>
          <w:kern w:val="0"/>
          <w:sz w:val="26"/>
          <w:szCs w:val="26"/>
        </w:rPr>
        <w:t>本项目天然气中还含有乙烷、丙烷等烃类物质，均为易燃</w:t>
      </w:r>
      <w:r>
        <w:rPr>
          <w:snapToGrid w:val="0"/>
          <w:kern w:val="0"/>
          <w:sz w:val="26"/>
          <w:szCs w:val="26"/>
        </w:rPr>
        <w:t>/</w:t>
      </w:r>
      <w:r>
        <w:rPr>
          <w:rFonts w:hint="eastAsia"/>
          <w:snapToGrid w:val="0"/>
          <w:kern w:val="0"/>
          <w:sz w:val="26"/>
          <w:szCs w:val="26"/>
        </w:rPr>
        <w:t>可燃气体，泄漏至大气同样对周边居民存在风险。同时，由于乙烷、丙烷相对分子质量更大，在空气中较甲烷更难扩散，可能造成局部的大气风险影响。但本项目站内设施设备发生泄漏事故后，上述气体的在线量不大，不会引发较大的环境事故。各类易燃气体，与空气混合能形成爆炸性混合物，遇热源和明火有燃烧爆炸的危险，正常情况下，不会引起泄漏，仅在工艺管道破裂事故泄漏排放，一般在发生泄漏的同时会快速在空气中稀释，很难达到爆炸上限，在没有明火的情况下不易引起爆炸风险。</w:t>
      </w:r>
    </w:p>
    <w:p w14:paraId="67AC8A73">
      <w:pPr>
        <w:pStyle w:val="1381"/>
        <w:ind w:firstLine="520"/>
        <w:rPr>
          <w:snapToGrid w:val="0"/>
        </w:rPr>
      </w:pPr>
      <w:r>
        <w:rPr>
          <w:rFonts w:hint="eastAsia"/>
          <w:snapToGrid w:val="0"/>
        </w:rPr>
        <w:t>（2）火灾爆炸产生次生污染物环境风险分析</w:t>
      </w:r>
    </w:p>
    <w:p w14:paraId="61485D27">
      <w:pPr>
        <w:pStyle w:val="1381"/>
        <w:ind w:firstLine="520"/>
      </w:pPr>
      <w:r>
        <w:rPr>
          <w:rFonts w:hint="eastAsia"/>
        </w:rPr>
        <w:t>试采站内天然气在泄漏的情况下，</w:t>
      </w:r>
      <w:r>
        <w:t>遇明火燃烧等情形产生污染物对大气将产生一定的影响</w:t>
      </w:r>
      <w:r>
        <w:rPr>
          <w:rFonts w:hint="eastAsia"/>
        </w:rPr>
        <w:t>。由于本项目可能发生火灾爆炸的部位位于露天环境，燃烧物质与空气接触较充分，充分燃烧情况下燃烧产物主要为CO</w:t>
      </w:r>
      <w:r>
        <w:rPr>
          <w:rFonts w:hint="eastAsia"/>
          <w:vertAlign w:val="subscript"/>
        </w:rPr>
        <w:t>2</w:t>
      </w:r>
      <w:r>
        <w:rPr>
          <w:rFonts w:hint="eastAsia"/>
        </w:rPr>
        <w:t>和水，毒性较大的CO的量相对较少。且本项目处于农村环境，周边大气敏感点分散，且环境空气流通性较好，CO对大气产生的影响较小。</w:t>
      </w:r>
    </w:p>
    <w:p w14:paraId="302A9948">
      <w:pPr>
        <w:pStyle w:val="1068"/>
      </w:pPr>
      <w:r>
        <w:rPr>
          <w:rFonts w:hint="eastAsia"/>
        </w:rPr>
        <w:t>7</w:t>
      </w:r>
      <w:r>
        <w:t xml:space="preserve">.6.2 </w:t>
      </w:r>
      <w:r>
        <w:rPr>
          <w:rFonts w:hint="eastAsia"/>
        </w:rPr>
        <w:t>对地表水、地下水和土壤环境的影响</w:t>
      </w:r>
    </w:p>
    <w:p w14:paraId="6D471926">
      <w:pPr>
        <w:pStyle w:val="1381"/>
        <w:ind w:firstLine="520"/>
      </w:pPr>
      <w:r>
        <w:rPr>
          <w:rFonts w:hint="eastAsia"/>
        </w:rPr>
        <w:t>（1）凝析油储罐或气田水罐泄漏</w:t>
      </w:r>
    </w:p>
    <w:p w14:paraId="5B9CB745">
      <w:pPr>
        <w:pStyle w:val="1381"/>
        <w:ind w:firstLine="520"/>
      </w:pPr>
      <w:r>
        <w:rPr>
          <w:rFonts w:hint="eastAsia"/>
        </w:rPr>
        <w:t>本项目凝析油或气田水储罐泄漏有两种途径，</w:t>
      </w:r>
      <w:r>
        <w:t>一种是泄漏后直接进入</w:t>
      </w:r>
      <w:r>
        <w:rPr>
          <w:rFonts w:hint="eastAsia"/>
        </w:rPr>
        <w:t>地表</w:t>
      </w:r>
      <w:r>
        <w:t>水体</w:t>
      </w:r>
      <w:r>
        <w:rPr>
          <w:rFonts w:hint="eastAsia"/>
        </w:rPr>
        <w:t>或地下水，</w:t>
      </w:r>
      <w:r>
        <w:t>另一种是泄漏于地表，由降雨形成的地表径流将泄漏废水或受污染的土壤一起带入水体造成污染</w:t>
      </w:r>
      <w:r>
        <w:rPr>
          <w:rFonts w:hint="eastAsia"/>
        </w:rPr>
        <w:t>。</w:t>
      </w:r>
      <w:r>
        <w:t>由于本项目位于农业生态环境中，主要为耕地，项目附近有冲沟等，泄漏的</w:t>
      </w:r>
      <w:r>
        <w:rPr>
          <w:rFonts w:hint="eastAsia"/>
        </w:rPr>
        <w:t>凝析油或气田水</w:t>
      </w:r>
      <w:r>
        <w:t>可能随着降雨进入地表水，使地表水中的COD、BOD</w:t>
      </w:r>
      <w:r>
        <w:rPr>
          <w:rFonts w:hint="eastAsia"/>
          <w:vertAlign w:val="subscript"/>
        </w:rPr>
        <w:t>5</w:t>
      </w:r>
      <w:r>
        <w:t>、石油类增高，影响水生生物的生长。</w:t>
      </w:r>
    </w:p>
    <w:p w14:paraId="262FC4A2">
      <w:pPr>
        <w:pStyle w:val="1381"/>
        <w:ind w:firstLine="520"/>
      </w:pPr>
      <w:r>
        <w:t>本项目采用钢制</w:t>
      </w:r>
      <w:r>
        <w:rPr>
          <w:rFonts w:hint="eastAsia"/>
        </w:rPr>
        <w:t>凝析油和气田水</w:t>
      </w:r>
      <w:r>
        <w:t>储罐，并在储罐所在区域进行重点防渗</w:t>
      </w:r>
      <w:r>
        <w:rPr>
          <w:rFonts w:hint="eastAsia"/>
        </w:rPr>
        <w:t>并设置围堰</w:t>
      </w:r>
      <w:r>
        <w:t>，罐体底部和四周均采取防腐、防渗处理，并定期进行检查、维修，可有效防止储罐发生泄漏事故。</w:t>
      </w:r>
    </w:p>
    <w:p w14:paraId="11974A47">
      <w:pPr>
        <w:pStyle w:val="1381"/>
        <w:ind w:firstLine="520"/>
      </w:pPr>
      <w:r>
        <w:rPr>
          <w:rFonts w:hint="eastAsia"/>
        </w:rPr>
        <w:t>（2）凝析油或气田水罐车转运事故</w:t>
      </w:r>
    </w:p>
    <w:p w14:paraId="74094DF2">
      <w:pPr>
        <w:pStyle w:val="1381"/>
        <w:ind w:firstLine="520"/>
      </w:pPr>
      <w:r>
        <w:rPr>
          <w:rFonts w:hint="eastAsia"/>
        </w:rPr>
        <w:t>本项目试采过程产生的副产品凝析油和分离产生的气田水均采用密闭罐车进行转运，本环评对这废水转运路线提出要求，要求应尽量绕避水环境敏感目标（包括饮用水水源保护区、饮用水取水口，涉水的自然保护区、风景名胜区等），实在无法绕避的，路过环境敏感区需减速慢行，安全驶离，强化运输过程的安全管理，防止因安全事故衍生成环保事故。</w:t>
      </w:r>
    </w:p>
    <w:p w14:paraId="24003A0C">
      <w:pPr>
        <w:pStyle w:val="1381"/>
        <w:ind w:firstLine="520"/>
      </w:pPr>
      <w:r>
        <w:rPr>
          <w:rFonts w:hint="eastAsia"/>
        </w:rPr>
        <w:t>转运时车辆途径河流时，一旦发生交通事故或其他原因导致废水外溢，会增加地表水受污染的环境风险。因此，应加强对司机的安全教育，定期对车身进行安全检查，严格遵守交通规则，避免交通事故发生。要求运输人员技术过硬、经验丰富、工作认真负责。在车辆行驶至河流（含河沟、塘堰等）较近位置或者途经河流（含河沟等）的道路时，要求司机提高注意力并限速行驶，在确保安全的情况下方能通过，避免意外情况下废物进入附近水体发生污染。</w:t>
      </w:r>
    </w:p>
    <w:p w14:paraId="37BF9F06">
      <w:pPr>
        <w:adjustRightInd w:val="0"/>
        <w:snapToGrid w:val="0"/>
        <w:spacing w:line="480" w:lineRule="exact"/>
        <w:ind w:firstLine="522" w:firstLineChars="200"/>
        <w:outlineLvl w:val="2"/>
        <w:rPr>
          <w:b/>
          <w:sz w:val="26"/>
          <w:szCs w:val="26"/>
        </w:rPr>
      </w:pPr>
      <w:r>
        <w:rPr>
          <w:rFonts w:hint="eastAsia"/>
          <w:b/>
          <w:sz w:val="26"/>
          <w:szCs w:val="26"/>
        </w:rPr>
        <w:t>7</w:t>
      </w:r>
      <w:r>
        <w:rPr>
          <w:b/>
          <w:sz w:val="26"/>
          <w:szCs w:val="26"/>
        </w:rPr>
        <w:t xml:space="preserve">.6.3 </w:t>
      </w:r>
      <w:r>
        <w:rPr>
          <w:rFonts w:hint="eastAsia"/>
          <w:b/>
          <w:sz w:val="26"/>
          <w:szCs w:val="26"/>
        </w:rPr>
        <w:t>事故或检修情况下放空噪声对声学环境的影响</w:t>
      </w:r>
    </w:p>
    <w:p w14:paraId="4D4479A7">
      <w:pPr>
        <w:adjustRightInd w:val="0"/>
        <w:snapToGrid w:val="0"/>
        <w:spacing w:line="460" w:lineRule="exact"/>
        <w:ind w:firstLine="520" w:firstLineChars="200"/>
        <w:rPr>
          <w:snapToGrid w:val="0"/>
          <w:kern w:val="0"/>
          <w:sz w:val="26"/>
          <w:szCs w:val="26"/>
        </w:rPr>
      </w:pPr>
      <w:r>
        <w:rPr>
          <w:rFonts w:hint="eastAsia"/>
          <w:snapToGrid w:val="0"/>
          <w:kern w:val="0"/>
          <w:sz w:val="26"/>
          <w:szCs w:val="26"/>
        </w:rPr>
        <w:t>事故放空时，天然气通过站场的放空管放空。通过点源衰减模型进行估算，距放空管约1</w:t>
      </w:r>
      <w:r>
        <w:rPr>
          <w:snapToGrid w:val="0"/>
          <w:kern w:val="0"/>
          <w:sz w:val="26"/>
          <w:szCs w:val="26"/>
        </w:rPr>
        <w:t>77</w:t>
      </w:r>
      <w:r>
        <w:rPr>
          <w:rFonts w:hint="eastAsia"/>
          <w:snapToGrid w:val="0"/>
          <w:kern w:val="0"/>
          <w:sz w:val="26"/>
          <w:szCs w:val="26"/>
        </w:rPr>
        <w:t>m范围内的噪声预计将超过《声环境质量标准》（GB3096-2008）中的2类标准。因此，事故放空时，对在以放空管为中心、半径为1</w:t>
      </w:r>
      <w:r>
        <w:rPr>
          <w:snapToGrid w:val="0"/>
          <w:kern w:val="0"/>
          <w:sz w:val="26"/>
          <w:szCs w:val="26"/>
        </w:rPr>
        <w:t>77</w:t>
      </w:r>
      <w:r>
        <w:rPr>
          <w:rFonts w:hint="eastAsia"/>
          <w:snapToGrid w:val="0"/>
          <w:kern w:val="0"/>
          <w:sz w:val="26"/>
          <w:szCs w:val="26"/>
        </w:rPr>
        <w:t>m范围内居住的人有一定的影响。但是，事故放空是偶尔发生的，且持续时间较短（一般不超过30min)，一旦放空结束，噪声对环境的影响也就消失，所以不会对该范围内居住的人生活上造成大的影响，更不会对他们的身体健康造成危害。</w:t>
      </w:r>
    </w:p>
    <w:p w14:paraId="56FBD8A7">
      <w:pPr>
        <w:adjustRightInd w:val="0"/>
        <w:snapToGrid w:val="0"/>
        <w:spacing w:line="480" w:lineRule="exact"/>
        <w:ind w:firstLine="522" w:firstLineChars="200"/>
        <w:outlineLvl w:val="2"/>
        <w:rPr>
          <w:b/>
          <w:sz w:val="26"/>
          <w:szCs w:val="26"/>
        </w:rPr>
      </w:pPr>
      <w:r>
        <w:rPr>
          <w:rFonts w:hint="eastAsia"/>
          <w:b/>
          <w:sz w:val="26"/>
          <w:szCs w:val="26"/>
        </w:rPr>
        <w:t>7</w:t>
      </w:r>
      <w:r>
        <w:rPr>
          <w:b/>
          <w:sz w:val="26"/>
          <w:szCs w:val="26"/>
        </w:rPr>
        <w:t xml:space="preserve">.6.4 </w:t>
      </w:r>
      <w:r>
        <w:rPr>
          <w:rFonts w:hint="eastAsia"/>
          <w:b/>
          <w:sz w:val="26"/>
          <w:szCs w:val="26"/>
        </w:rPr>
        <w:t>事故对生态环境影响分析</w:t>
      </w:r>
    </w:p>
    <w:p w14:paraId="16B36878">
      <w:pPr>
        <w:adjustRightInd w:val="0"/>
        <w:snapToGrid w:val="0"/>
        <w:spacing w:line="460" w:lineRule="exact"/>
        <w:ind w:firstLine="520" w:firstLineChars="200"/>
        <w:rPr>
          <w:snapToGrid w:val="0"/>
          <w:kern w:val="0"/>
          <w:sz w:val="26"/>
          <w:szCs w:val="26"/>
        </w:rPr>
      </w:pPr>
      <w:r>
        <w:rPr>
          <w:rFonts w:hint="eastAsia"/>
          <w:snapToGrid w:val="0"/>
          <w:kern w:val="0"/>
          <w:sz w:val="26"/>
          <w:szCs w:val="26"/>
        </w:rPr>
        <w:t>若天然气发生燃烧可能引发林木燃烧、对林地造成影响，产生热辐射会对周围农作物和植物造成影响，根据类比调查可知，本项目若发生天然气泄漏燃烧事故，喷射火长度可达数米。巴中2HF井试采站场设置有放空系统，在发生事故时可及时关闭管道并进行放空作业。在高压检测点压力超高、低压检测点压力超低以及火灾情况发生时，高低压紧急截断阀自动关闭输送阀门。因此，发生事故时泄漏出的天然气量较少，对生态环境的影响小，并且是暂时的、可逆的。但若发生事故对周边植被造成了明显影响的情况，建设单位应根据周边植被和农作物的损伤程度，对受损失一方进行相应的赔偿和沟通，避免发生因事故引起扰民现象。</w:t>
      </w:r>
    </w:p>
    <w:p w14:paraId="7BBB8959">
      <w:pPr>
        <w:spacing w:line="460" w:lineRule="exact"/>
        <w:ind w:firstLine="522" w:firstLineChars="200"/>
        <w:outlineLvl w:val="1"/>
        <w:rPr>
          <w:b/>
          <w:bCs/>
          <w:sz w:val="26"/>
          <w:szCs w:val="26"/>
        </w:rPr>
      </w:pPr>
      <w:bookmarkStart w:id="329" w:name="_Toc219907668"/>
      <w:bookmarkStart w:id="330" w:name="_Toc161930577"/>
      <w:r>
        <w:rPr>
          <w:rFonts w:hint="eastAsia"/>
          <w:b/>
          <w:bCs/>
          <w:sz w:val="26"/>
          <w:szCs w:val="26"/>
        </w:rPr>
        <w:t>7</w:t>
      </w:r>
      <w:r>
        <w:rPr>
          <w:b/>
          <w:bCs/>
          <w:sz w:val="26"/>
          <w:szCs w:val="26"/>
        </w:rPr>
        <w:t xml:space="preserve">.7 </w:t>
      </w:r>
      <w:r>
        <w:rPr>
          <w:rFonts w:hint="eastAsia"/>
          <w:b/>
          <w:bCs/>
          <w:sz w:val="26"/>
          <w:szCs w:val="26"/>
        </w:rPr>
        <w:t>环境风险防范措施及应急要求</w:t>
      </w:r>
      <w:bookmarkEnd w:id="329"/>
      <w:bookmarkEnd w:id="330"/>
    </w:p>
    <w:p w14:paraId="64911FA7">
      <w:pPr>
        <w:adjustRightInd w:val="0"/>
        <w:snapToGrid w:val="0"/>
        <w:spacing w:line="480" w:lineRule="exact"/>
        <w:ind w:firstLine="522" w:firstLineChars="200"/>
        <w:outlineLvl w:val="2"/>
        <w:rPr>
          <w:b/>
          <w:sz w:val="26"/>
          <w:szCs w:val="26"/>
        </w:rPr>
      </w:pPr>
      <w:r>
        <w:rPr>
          <w:rFonts w:hint="eastAsia"/>
          <w:b/>
          <w:sz w:val="26"/>
          <w:szCs w:val="26"/>
        </w:rPr>
        <w:t>7</w:t>
      </w:r>
      <w:r>
        <w:rPr>
          <w:b/>
          <w:sz w:val="26"/>
          <w:szCs w:val="26"/>
        </w:rPr>
        <w:t xml:space="preserve">.7.1 </w:t>
      </w:r>
      <w:r>
        <w:rPr>
          <w:rFonts w:hint="eastAsia"/>
          <w:b/>
          <w:sz w:val="26"/>
          <w:szCs w:val="26"/>
        </w:rPr>
        <w:t>环境风险管理目标</w:t>
      </w:r>
    </w:p>
    <w:p w14:paraId="2E78417B">
      <w:pPr>
        <w:spacing w:line="480" w:lineRule="exact"/>
        <w:ind w:firstLine="520" w:firstLineChars="200"/>
        <w:rPr>
          <w:sz w:val="26"/>
          <w:szCs w:val="26"/>
        </w:rPr>
      </w:pPr>
      <w:r>
        <w:rPr>
          <w:rFonts w:hint="eastAsia"/>
          <w:sz w:val="26"/>
          <w:szCs w:val="26"/>
        </w:rPr>
        <w:t>环境风险管理目标是采用最低合理可行原则管控环境风险。采取的环境风险防范措施应与社会经济技术发展水平相适应，运用科学的技术手段和管理方法，对环境风险进行有效地预防、监控、响应。</w:t>
      </w:r>
    </w:p>
    <w:p w14:paraId="5674D02B">
      <w:pPr>
        <w:spacing w:line="480" w:lineRule="exact"/>
        <w:ind w:firstLine="520" w:firstLineChars="200"/>
        <w:rPr>
          <w:sz w:val="26"/>
          <w:szCs w:val="26"/>
        </w:rPr>
      </w:pPr>
      <w:r>
        <w:rPr>
          <w:rFonts w:hint="eastAsia"/>
          <w:sz w:val="26"/>
          <w:szCs w:val="26"/>
        </w:rPr>
        <w:t>本项目建设单位制定环境保护管理规定，建立并运行健康、安全与环境管理体系，采取环境风险防范和应急措施，防止由突发性天然气泄漏而产生的环境风险事故。</w:t>
      </w:r>
    </w:p>
    <w:p w14:paraId="5A62DC35">
      <w:pPr>
        <w:spacing w:line="480" w:lineRule="exact"/>
        <w:ind w:firstLine="522" w:firstLineChars="200"/>
        <w:outlineLvl w:val="2"/>
        <w:rPr>
          <w:b/>
          <w:bCs/>
          <w:sz w:val="26"/>
          <w:szCs w:val="26"/>
        </w:rPr>
      </w:pPr>
      <w:r>
        <w:rPr>
          <w:rFonts w:hint="eastAsia"/>
          <w:b/>
          <w:bCs/>
          <w:sz w:val="26"/>
          <w:szCs w:val="26"/>
        </w:rPr>
        <w:t>7</w:t>
      </w:r>
      <w:r>
        <w:rPr>
          <w:b/>
          <w:bCs/>
          <w:sz w:val="26"/>
          <w:szCs w:val="26"/>
        </w:rPr>
        <w:t xml:space="preserve">.7.2 </w:t>
      </w:r>
      <w:r>
        <w:rPr>
          <w:rFonts w:hint="eastAsia"/>
          <w:b/>
          <w:bCs/>
          <w:sz w:val="26"/>
          <w:szCs w:val="26"/>
        </w:rPr>
        <w:t>环境风险防范措施</w:t>
      </w:r>
    </w:p>
    <w:p w14:paraId="1DA6CE40">
      <w:pPr>
        <w:spacing w:line="480" w:lineRule="exact"/>
        <w:ind w:firstLine="522" w:firstLineChars="200"/>
        <w:outlineLvl w:val="3"/>
        <w:rPr>
          <w:sz w:val="26"/>
          <w:szCs w:val="26"/>
        </w:rPr>
      </w:pPr>
      <w:r>
        <w:rPr>
          <w:rFonts w:hint="eastAsia"/>
          <w:b/>
          <w:sz w:val="26"/>
          <w:szCs w:val="26"/>
        </w:rPr>
        <w:t>7</w:t>
      </w:r>
      <w:r>
        <w:rPr>
          <w:b/>
          <w:sz w:val="26"/>
          <w:szCs w:val="26"/>
        </w:rPr>
        <w:t xml:space="preserve">.7.2.1 </w:t>
      </w:r>
      <w:r>
        <w:rPr>
          <w:rFonts w:hint="eastAsia"/>
          <w:b/>
          <w:sz w:val="26"/>
          <w:szCs w:val="26"/>
        </w:rPr>
        <w:t>天然气泄漏和火灾、爆炸风险防范措施</w:t>
      </w:r>
    </w:p>
    <w:p w14:paraId="23431D6E">
      <w:pPr>
        <w:pStyle w:val="1381"/>
        <w:ind w:firstLine="520"/>
      </w:pPr>
      <w:r>
        <w:rPr>
          <w:rFonts w:hint="eastAsia"/>
        </w:rPr>
        <w:t>（1）</w:t>
      </w:r>
      <w:r>
        <w:t>站场按照</w:t>
      </w:r>
      <w:bookmarkStart w:id="331" w:name="OLE_LINK5"/>
      <w:bookmarkStart w:id="332" w:name="OLE_LINK6"/>
      <w:r>
        <w:t>《石油天然气工程设计防火规范》（GB50183-2015）</w:t>
      </w:r>
      <w:bookmarkEnd w:id="331"/>
      <w:bookmarkEnd w:id="332"/>
      <w:r>
        <w:t>，</w:t>
      </w:r>
      <w:bookmarkStart w:id="333" w:name="OLE_LINK12"/>
      <w:bookmarkStart w:id="334" w:name="OLE_LINK10"/>
      <w:r>
        <w:t>《工业企业设计卫生标准》（GBZ1-2010）</w:t>
      </w:r>
      <w:bookmarkEnd w:id="333"/>
      <w:bookmarkEnd w:id="334"/>
      <w:r>
        <w:t>等标准布置，确保生产、操作及防火安全。在站场显著位置设置风向标，以便在紧急情况下，站场内外人员可及时根据风向标准确判断疏散逃离方向。</w:t>
      </w:r>
    </w:p>
    <w:p w14:paraId="60CCD6EE">
      <w:pPr>
        <w:pStyle w:val="1381"/>
        <w:ind w:firstLine="520"/>
      </w:pPr>
      <w:r>
        <w:rPr>
          <w:rFonts w:hint="eastAsia"/>
        </w:rPr>
        <w:t>（2）</w:t>
      </w:r>
      <w:r>
        <w:t>站场设置有ESD系统，井口设置安全截断系统，当检测点压力超高或超低时该系统能自动关闭井口，以确保无论是井口、站内或管道事故情况下均能快速关闭、截断气源。</w:t>
      </w:r>
    </w:p>
    <w:p w14:paraId="2D5E5DBA">
      <w:pPr>
        <w:pStyle w:val="1381"/>
        <w:ind w:firstLine="520"/>
      </w:pPr>
      <w:r>
        <w:rPr>
          <w:rFonts w:hint="eastAsia"/>
        </w:rPr>
        <w:t>（3）</w:t>
      </w:r>
      <w:r>
        <w:t>站场设置RTU控制系统，所有设备均位于同一冗余以太网络上，构成完整的控制系统。通过中央控制室内调度控制中心操作员站的DCS系统可实现对各集输站场的远程监控、数据采集的综合控制。</w:t>
      </w:r>
    </w:p>
    <w:p w14:paraId="183E6650">
      <w:pPr>
        <w:pStyle w:val="1381"/>
        <w:ind w:firstLine="520"/>
      </w:pPr>
      <w:r>
        <w:rPr>
          <w:rFonts w:hint="eastAsia"/>
        </w:rPr>
        <w:t>（4）</w:t>
      </w:r>
      <w:r>
        <w:t>站场设置火灾探测器、可燃气体探测器、声光报警器和手动报警按钮；完成整个工艺装置区环境中可燃气体和火灾的检测和报警。报警后通过ESD系统触发声光报警器，并根据报警规模和危险程度，启动相应的安全联锁。</w:t>
      </w:r>
    </w:p>
    <w:p w14:paraId="2CE7D851">
      <w:pPr>
        <w:pStyle w:val="1381"/>
        <w:ind w:firstLine="520"/>
      </w:pPr>
      <w:r>
        <w:rPr>
          <w:rFonts w:hint="eastAsia"/>
        </w:rPr>
        <w:t>（5）</w:t>
      </w:r>
      <w:r>
        <w:t>站场放空废气经管道引至</w:t>
      </w:r>
      <w:r>
        <w:rPr>
          <w:rFonts w:hint="eastAsia"/>
        </w:rPr>
        <w:t>放空立管进行放空</w:t>
      </w:r>
      <w:r>
        <w:t>，为确保安全上游工艺装置及放空系统本身的安全，设置</w:t>
      </w:r>
      <w:r>
        <w:rPr>
          <w:rFonts w:hint="eastAsia"/>
        </w:rPr>
        <w:t>放空分液罐</w:t>
      </w:r>
      <w:r>
        <w:t>分离掉放空气内粒径大于300μm液滴。</w:t>
      </w:r>
    </w:p>
    <w:p w14:paraId="55625951">
      <w:pPr>
        <w:pStyle w:val="1381"/>
        <w:ind w:firstLine="520"/>
      </w:pPr>
      <w:r>
        <w:rPr>
          <w:rFonts w:hint="eastAsia"/>
        </w:rPr>
        <w:t>（6）</w:t>
      </w:r>
      <w:r>
        <w:t>井场设置超压安全阀，兼具火灾安全阀功能，可在紧急、事故工况下截断。</w:t>
      </w:r>
    </w:p>
    <w:p w14:paraId="3909539D">
      <w:pPr>
        <w:pStyle w:val="1381"/>
        <w:ind w:firstLine="520"/>
      </w:pPr>
      <w:r>
        <w:rPr>
          <w:rFonts w:hint="eastAsia"/>
        </w:rPr>
        <w:t>（7）</w:t>
      </w:r>
      <w:r>
        <w:t>站内一般截断阀门选用密封性能好，操作轻便的球阀或平板闸阀；排污、放空选用使用寿命长、噪声小的排污阀、节流截止放空阀。</w:t>
      </w:r>
    </w:p>
    <w:p w14:paraId="35D98A0C">
      <w:pPr>
        <w:pStyle w:val="1381"/>
        <w:ind w:firstLine="520"/>
        <w:rPr>
          <w:szCs w:val="26"/>
        </w:rPr>
      </w:pPr>
      <w:r>
        <w:rPr>
          <w:rFonts w:hint="eastAsia"/>
          <w:szCs w:val="26"/>
        </w:rPr>
        <w:t>（8）站内天然气管道</w:t>
      </w:r>
      <w:r>
        <w:t>采取外防腐层</w:t>
      </w:r>
      <w:r>
        <w:rPr>
          <w:rFonts w:hint="eastAsia"/>
        </w:rPr>
        <w:t>和</w:t>
      </w:r>
      <w:r>
        <w:t>阴极保护的联合保护方案</w:t>
      </w:r>
      <w:r>
        <w:rPr>
          <w:rFonts w:hint="eastAsia"/>
        </w:rPr>
        <w:t>，管道焊接按照</w:t>
      </w:r>
      <w:r>
        <w:t>《</w:t>
      </w:r>
      <w:r>
        <w:rPr>
          <w:rFonts w:hint="eastAsia"/>
        </w:rPr>
        <w:t>钢质管道焊接及验收</w:t>
      </w:r>
      <w:r>
        <w:t>》</w:t>
      </w:r>
      <w:r>
        <w:rPr>
          <w:rFonts w:hint="eastAsia"/>
        </w:rPr>
        <w:t>GB/T 31032-2014</w:t>
      </w:r>
      <w:r>
        <w:t>进行</w:t>
      </w:r>
      <w:r>
        <w:rPr>
          <w:rFonts w:hint="eastAsia"/>
        </w:rPr>
        <w:t>，管道</w:t>
      </w:r>
      <w:r>
        <w:t>采用100%射线和100%超声波探伤检查</w:t>
      </w:r>
      <w:r>
        <w:rPr>
          <w:rFonts w:hint="eastAsia"/>
        </w:rPr>
        <w:t>。</w:t>
      </w:r>
    </w:p>
    <w:p w14:paraId="7591CA4B">
      <w:pPr>
        <w:spacing w:line="480" w:lineRule="exact"/>
        <w:ind w:firstLine="522" w:firstLineChars="200"/>
        <w:rPr>
          <w:sz w:val="26"/>
          <w:szCs w:val="26"/>
        </w:rPr>
      </w:pPr>
      <w:r>
        <w:rPr>
          <w:rFonts w:hint="eastAsia"/>
          <w:b/>
          <w:sz w:val="26"/>
          <w:szCs w:val="26"/>
        </w:rPr>
        <w:t>7</w:t>
      </w:r>
      <w:r>
        <w:rPr>
          <w:b/>
          <w:sz w:val="26"/>
          <w:szCs w:val="26"/>
        </w:rPr>
        <w:t xml:space="preserve">.7.2.2 </w:t>
      </w:r>
      <w:r>
        <w:rPr>
          <w:rFonts w:hint="eastAsia"/>
          <w:b/>
          <w:sz w:val="26"/>
          <w:szCs w:val="26"/>
        </w:rPr>
        <w:t>凝析油、气田水贮存过程风险防范措施</w:t>
      </w:r>
    </w:p>
    <w:p w14:paraId="750A9A93">
      <w:pPr>
        <w:pStyle w:val="1381"/>
        <w:ind w:firstLine="520"/>
      </w:pPr>
      <w:r>
        <w:rPr>
          <w:rFonts w:hint="eastAsia"/>
        </w:rPr>
        <w:t>（1）</w:t>
      </w:r>
      <w:r>
        <w:t>站场内凝析油罐</w:t>
      </w:r>
      <w:r>
        <w:rPr>
          <w:rFonts w:hint="eastAsia"/>
        </w:rPr>
        <w:t>和气田水储罐</w:t>
      </w:r>
      <w:r>
        <w:t>区域进行重点防渗</w:t>
      </w:r>
      <w:r>
        <w:rPr>
          <w:rFonts w:hint="eastAsia"/>
        </w:rPr>
        <w:t>并设置围堰，围堰容积不低于单个储罐容积</w:t>
      </w:r>
      <w:r>
        <w:t>，防止泄漏物料外泄至站场内其他区域。站场周边设置截流沟，</w:t>
      </w:r>
      <w:r>
        <w:rPr>
          <w:rFonts w:hint="eastAsia"/>
        </w:rPr>
        <w:t>防止</w:t>
      </w:r>
      <w:r>
        <w:t>泄漏物料外泄至站场外。</w:t>
      </w:r>
    </w:p>
    <w:p w14:paraId="32D8F902">
      <w:pPr>
        <w:spacing w:line="480" w:lineRule="exact"/>
        <w:ind w:firstLine="520" w:firstLineChars="200"/>
        <w:rPr>
          <w:sz w:val="26"/>
          <w:szCs w:val="26"/>
        </w:rPr>
      </w:pPr>
      <w:r>
        <w:rPr>
          <w:rFonts w:hint="eastAsia"/>
          <w:sz w:val="26"/>
          <w:szCs w:val="26"/>
        </w:rPr>
        <w:t>（2）</w:t>
      </w:r>
      <w:r>
        <w:rPr>
          <w:rFonts w:hint="eastAsia"/>
          <w:bCs/>
          <w:sz w:val="26"/>
          <w:szCs w:val="26"/>
        </w:rPr>
        <w:t>建设单位应对储罐内的凝析油及气田水及时转运处理，在储罐容积设计时考虑留有一定的富余容量，防止外溢；在暴雨季节，加强对废水存储设施巡查，防止场地内废水泄漏站场污染环境。</w:t>
      </w:r>
    </w:p>
    <w:p w14:paraId="48D58217">
      <w:pPr>
        <w:pStyle w:val="1381"/>
        <w:ind w:firstLine="520"/>
      </w:pPr>
      <w:r>
        <w:rPr>
          <w:rFonts w:hint="eastAsia"/>
        </w:rPr>
        <w:t>（3）一旦发生泄漏，要立即启动泄漏应急预案，同时与当地政府和居民进行及时沟通，对废水外溢造成的农业损失进行赔偿，避免居民投诉事件发生。</w:t>
      </w:r>
    </w:p>
    <w:p w14:paraId="41EC8752">
      <w:pPr>
        <w:spacing w:line="480" w:lineRule="exact"/>
        <w:ind w:firstLine="520" w:firstLineChars="200"/>
        <w:rPr>
          <w:sz w:val="26"/>
          <w:szCs w:val="26"/>
        </w:rPr>
      </w:pPr>
      <w:r>
        <w:rPr>
          <w:rFonts w:hint="eastAsia"/>
          <w:sz w:val="26"/>
          <w:szCs w:val="26"/>
        </w:rPr>
        <w:t>（4）加强罐体的维护保养工作，避免由于腐蚀等造成其泄漏污染环境。</w:t>
      </w:r>
    </w:p>
    <w:p w14:paraId="2A101BE6">
      <w:pPr>
        <w:adjustRightInd w:val="0"/>
        <w:snapToGrid w:val="0"/>
        <w:spacing w:line="480" w:lineRule="exact"/>
        <w:ind w:firstLine="522" w:firstLineChars="200"/>
        <w:outlineLvl w:val="3"/>
        <w:rPr>
          <w:b/>
          <w:sz w:val="26"/>
          <w:szCs w:val="26"/>
        </w:rPr>
      </w:pPr>
      <w:r>
        <w:rPr>
          <w:rFonts w:hint="eastAsia"/>
          <w:b/>
          <w:sz w:val="26"/>
          <w:szCs w:val="26"/>
        </w:rPr>
        <w:t>7</w:t>
      </w:r>
      <w:r>
        <w:rPr>
          <w:b/>
          <w:sz w:val="26"/>
          <w:szCs w:val="26"/>
        </w:rPr>
        <w:t>.7.2.3</w:t>
      </w:r>
      <w:bookmarkStart w:id="335" w:name="_Hlk164084970"/>
      <w:bookmarkStart w:id="336" w:name="_Hlk164084908"/>
      <w:r>
        <w:rPr>
          <w:b/>
          <w:sz w:val="26"/>
          <w:szCs w:val="26"/>
        </w:rPr>
        <w:t xml:space="preserve"> </w:t>
      </w:r>
      <w:r>
        <w:rPr>
          <w:rFonts w:hint="eastAsia"/>
          <w:b/>
          <w:sz w:val="26"/>
          <w:szCs w:val="26"/>
        </w:rPr>
        <w:t>凝析油、气田水转运过程风险防范措施</w:t>
      </w:r>
      <w:bookmarkEnd w:id="335"/>
    </w:p>
    <w:bookmarkEnd w:id="336"/>
    <w:p w14:paraId="470B087E">
      <w:pPr>
        <w:spacing w:line="460" w:lineRule="exact"/>
        <w:ind w:firstLine="520" w:firstLineChars="200"/>
        <w:rPr>
          <w:sz w:val="26"/>
          <w:szCs w:val="26"/>
        </w:rPr>
      </w:pPr>
      <w:r>
        <w:rPr>
          <w:sz w:val="26"/>
          <w:szCs w:val="26"/>
        </w:rPr>
        <w:t>运输</w:t>
      </w:r>
      <w:r>
        <w:rPr>
          <w:rFonts w:hint="eastAsia"/>
          <w:sz w:val="26"/>
          <w:szCs w:val="26"/>
        </w:rPr>
        <w:t>凝析油和气田水</w:t>
      </w:r>
      <w:r>
        <w:rPr>
          <w:sz w:val="26"/>
          <w:szCs w:val="26"/>
        </w:rPr>
        <w:t>时要采用密闭罐车进行运输，为降低运输过程中的风险，本着切实保护环境的原则，在运输过程中应采取如下措施：</w:t>
      </w:r>
    </w:p>
    <w:p w14:paraId="0D519D9F">
      <w:pPr>
        <w:spacing w:line="460" w:lineRule="exact"/>
        <w:ind w:firstLine="520" w:firstLineChars="200"/>
        <w:rPr>
          <w:sz w:val="26"/>
          <w:szCs w:val="26"/>
        </w:rPr>
      </w:pPr>
      <w:bookmarkStart w:id="337" w:name="_Hlk164084983"/>
      <w:r>
        <w:rPr>
          <w:rFonts w:hint="eastAsia"/>
          <w:sz w:val="26"/>
          <w:szCs w:val="26"/>
        </w:rPr>
        <w:t>（1）</w:t>
      </w:r>
      <w:r>
        <w:rPr>
          <w:sz w:val="26"/>
          <w:szCs w:val="26"/>
        </w:rPr>
        <w:t>建立建设单位与当地政府、</w:t>
      </w:r>
      <w:r>
        <w:rPr>
          <w:rFonts w:hint="eastAsia"/>
          <w:sz w:val="26"/>
          <w:szCs w:val="26"/>
        </w:rPr>
        <w:t>生态环境局</w:t>
      </w:r>
      <w:r>
        <w:rPr>
          <w:sz w:val="26"/>
          <w:szCs w:val="26"/>
        </w:rPr>
        <w:t>等相关部门的联络机制，若有险情发生，应及时与作业区值班人员取得联系，若确认发生</w:t>
      </w:r>
      <w:r>
        <w:rPr>
          <w:rFonts w:hint="eastAsia"/>
          <w:sz w:val="26"/>
          <w:szCs w:val="26"/>
        </w:rPr>
        <w:t>泄漏</w:t>
      </w:r>
      <w:r>
        <w:rPr>
          <w:sz w:val="26"/>
          <w:szCs w:val="26"/>
        </w:rPr>
        <w:t>事故，应及时上报当地政府、</w:t>
      </w:r>
      <w:r>
        <w:rPr>
          <w:rFonts w:hint="eastAsia"/>
          <w:sz w:val="26"/>
          <w:szCs w:val="26"/>
        </w:rPr>
        <w:t>生态环境局</w:t>
      </w:r>
      <w:r>
        <w:rPr>
          <w:sz w:val="26"/>
          <w:szCs w:val="26"/>
        </w:rPr>
        <w:t>等相关部门。</w:t>
      </w:r>
    </w:p>
    <w:p w14:paraId="0F189A0E">
      <w:pPr>
        <w:spacing w:line="460" w:lineRule="exact"/>
        <w:ind w:firstLine="520" w:firstLineChars="200"/>
        <w:rPr>
          <w:sz w:val="26"/>
          <w:szCs w:val="26"/>
        </w:rPr>
      </w:pPr>
      <w:r>
        <w:rPr>
          <w:rFonts w:hint="eastAsia"/>
          <w:sz w:val="26"/>
          <w:szCs w:val="26"/>
        </w:rPr>
        <w:t>（2）</w:t>
      </w:r>
      <w:r>
        <w:rPr>
          <w:sz w:val="26"/>
          <w:szCs w:val="26"/>
        </w:rPr>
        <w:t>加强运输车辆的管理。对承包转运的车辆实施车辆登记制度，为每台车安装GPS，纳入建设方的GPS监控系统平台，加强运输过程中的监控措施，防止运输过程发生事故导致泄漏，污染环境。</w:t>
      </w:r>
    </w:p>
    <w:p w14:paraId="3DDAD4E4">
      <w:pPr>
        <w:spacing w:line="460" w:lineRule="exact"/>
        <w:ind w:firstLine="520" w:firstLineChars="200"/>
        <w:rPr>
          <w:sz w:val="26"/>
          <w:szCs w:val="26"/>
        </w:rPr>
      </w:pPr>
      <w:r>
        <w:rPr>
          <w:rFonts w:hint="eastAsia"/>
          <w:sz w:val="26"/>
          <w:szCs w:val="26"/>
        </w:rPr>
        <w:t>（3）</w:t>
      </w:r>
      <w:r>
        <w:rPr>
          <w:sz w:val="26"/>
          <w:szCs w:val="26"/>
        </w:rPr>
        <w:t>加强罐车装载量管理，严禁超载。</w:t>
      </w:r>
    </w:p>
    <w:p w14:paraId="0F260573">
      <w:pPr>
        <w:spacing w:line="460" w:lineRule="exact"/>
        <w:ind w:firstLine="520" w:firstLineChars="200"/>
        <w:rPr>
          <w:sz w:val="26"/>
          <w:szCs w:val="26"/>
        </w:rPr>
      </w:pPr>
      <w:r>
        <w:rPr>
          <w:rFonts w:hint="eastAsia"/>
          <w:sz w:val="26"/>
          <w:szCs w:val="26"/>
        </w:rPr>
        <w:t>（4）</w:t>
      </w:r>
      <w:r>
        <w:rPr>
          <w:sz w:val="26"/>
          <w:szCs w:val="26"/>
        </w:rPr>
        <w:t>转运过程做好转运台账，严格实施联单制度，确保</w:t>
      </w:r>
      <w:r>
        <w:rPr>
          <w:rFonts w:hint="eastAsia"/>
          <w:sz w:val="26"/>
          <w:szCs w:val="26"/>
        </w:rPr>
        <w:t>气田水</w:t>
      </w:r>
      <w:r>
        <w:rPr>
          <w:sz w:val="26"/>
          <w:szCs w:val="26"/>
        </w:rPr>
        <w:t>妥善运输至处置单位。</w:t>
      </w:r>
    </w:p>
    <w:p w14:paraId="40ABBF5B">
      <w:pPr>
        <w:spacing w:line="460" w:lineRule="exact"/>
        <w:ind w:firstLine="520" w:firstLineChars="200"/>
        <w:rPr>
          <w:sz w:val="26"/>
          <w:szCs w:val="26"/>
        </w:rPr>
      </w:pPr>
      <w:r>
        <w:rPr>
          <w:rFonts w:hint="eastAsia"/>
          <w:sz w:val="26"/>
          <w:szCs w:val="26"/>
        </w:rPr>
        <w:t>（5）</w:t>
      </w:r>
      <w:r>
        <w:rPr>
          <w:sz w:val="26"/>
          <w:szCs w:val="26"/>
        </w:rPr>
        <w:t>加强对罐车司机的安全教育，定期对罐车进行安全检查，严格遵守交通规则，避免交通事故发生。加强对除驾驶员外的其他拉运工作人员管理，要求运输人员技术过硬、经验丰富、工作认真负责。加强对罐车的管理，防止人为原因造成的污染物泄漏。</w:t>
      </w:r>
    </w:p>
    <w:bookmarkEnd w:id="337"/>
    <w:p w14:paraId="17D8D0D7">
      <w:pPr>
        <w:spacing w:line="460" w:lineRule="exact"/>
        <w:ind w:firstLine="520" w:firstLineChars="200"/>
        <w:rPr>
          <w:sz w:val="26"/>
          <w:szCs w:val="26"/>
        </w:rPr>
      </w:pPr>
      <w:r>
        <w:rPr>
          <w:rFonts w:hint="eastAsia"/>
          <w:sz w:val="26"/>
          <w:szCs w:val="26"/>
        </w:rPr>
        <w:t>（6）</w:t>
      </w:r>
      <w:r>
        <w:rPr>
          <w:sz w:val="26"/>
          <w:szCs w:val="26"/>
        </w:rPr>
        <w:t>转运罐车行驶至河流（含河沟、塘堰</w:t>
      </w:r>
      <w:r>
        <w:rPr>
          <w:rFonts w:hint="eastAsia"/>
          <w:sz w:val="26"/>
          <w:szCs w:val="26"/>
        </w:rPr>
        <w:t>、水库</w:t>
      </w:r>
      <w:r>
        <w:rPr>
          <w:sz w:val="26"/>
          <w:szCs w:val="26"/>
        </w:rPr>
        <w:t>等）较近位置或者穿越河流（含河沟</w:t>
      </w:r>
      <w:r>
        <w:rPr>
          <w:rFonts w:hint="eastAsia"/>
          <w:sz w:val="26"/>
          <w:szCs w:val="26"/>
        </w:rPr>
        <w:t>、水库</w:t>
      </w:r>
      <w:r>
        <w:rPr>
          <w:sz w:val="26"/>
          <w:szCs w:val="26"/>
        </w:rPr>
        <w:t>等）的道路时，应放慢行驶速度。</w:t>
      </w:r>
    </w:p>
    <w:p w14:paraId="73D08638">
      <w:pPr>
        <w:spacing w:line="460" w:lineRule="exact"/>
        <w:ind w:firstLine="520" w:firstLineChars="200"/>
        <w:rPr>
          <w:sz w:val="26"/>
          <w:szCs w:val="26"/>
        </w:rPr>
      </w:pPr>
      <w:r>
        <w:rPr>
          <w:rFonts w:hint="eastAsia"/>
          <w:sz w:val="26"/>
          <w:szCs w:val="26"/>
        </w:rPr>
        <w:t>（7）</w:t>
      </w:r>
      <w:r>
        <w:rPr>
          <w:sz w:val="26"/>
          <w:szCs w:val="26"/>
        </w:rPr>
        <w:t>转运过程中，应严格按照转运线路行驶；转运前，应对罐车仔细检查，确保罐车运转正常，确保罐体无渗漏情况；对拉运人员进行环保培训和加强管理，禁止将各类废物排入周边环境。杜绝转运过程中产生“跑、冒、滴、漏”现象。</w:t>
      </w:r>
    </w:p>
    <w:p w14:paraId="21BA0270">
      <w:pPr>
        <w:spacing w:line="460" w:lineRule="exact"/>
        <w:ind w:firstLine="520" w:firstLineChars="200"/>
        <w:rPr>
          <w:sz w:val="26"/>
          <w:szCs w:val="26"/>
        </w:rPr>
      </w:pPr>
      <w:r>
        <w:rPr>
          <w:rFonts w:hint="eastAsia"/>
          <w:sz w:val="26"/>
          <w:szCs w:val="26"/>
        </w:rPr>
        <w:t>（8）本次环评要求建设单位合理规划运输路线，尽量绕避饮用水源保护区和环境敏感区。若运输路线无法完全绕避饮用水源保护区，本次环评要求运输路由必须避让重要的集中式饮用水源保护区和饮用水源保护区一级保护区，在无法绕避必须经过饮用水源二级保护区或准保护区时应遵守饮用水源保护规定，经过集中式地表水饮用水源二级保护区时或准保护区时，应按照相关规定，在驶入该区域的24小时前向当地公安机关交通管理部门报告，配备防止污染物散落、溢流、渗漏的设施设备，指定专人保障废物运输安全。通过时严格控制车速，提高警惕，缓慢通过，杜绝事故，并制定相应应急预案和应急措施。</w:t>
      </w:r>
    </w:p>
    <w:p w14:paraId="77FC5255">
      <w:pPr>
        <w:adjustRightInd w:val="0"/>
        <w:snapToGrid w:val="0"/>
        <w:spacing w:line="460" w:lineRule="exact"/>
        <w:ind w:firstLine="520" w:firstLineChars="200"/>
        <w:rPr>
          <w:sz w:val="26"/>
          <w:szCs w:val="26"/>
        </w:rPr>
      </w:pPr>
      <w:r>
        <w:rPr>
          <w:rFonts w:hint="eastAsia"/>
          <w:sz w:val="26"/>
          <w:szCs w:val="26"/>
        </w:rPr>
        <w:t>（9）在发生事故后应及时采取应急措施，及时堵漏和控制污染尽量不扩散，并向主管部门汇报启动预案，同时通报当地环保部门，并积极配合环保部门抢险，尽量避免发生污染物泄漏进入保护区。若污染物事故情况下进入二级保护区，应立即采取应急措施、启动应急预案，及时处理污染，控制污染扩散，并加强取水点的监测，确保不对饮用水源造成污染。若对饮用水源造成影响，应立即采取水源替代措施，并立即治理污染水源，待治理达标后方可供水。</w:t>
      </w:r>
    </w:p>
    <w:p w14:paraId="25EF8A4E">
      <w:pPr>
        <w:pStyle w:val="1381"/>
        <w:ind w:firstLine="522"/>
        <w:rPr>
          <w:b/>
        </w:rPr>
      </w:pPr>
      <w:r>
        <w:rPr>
          <w:rFonts w:hint="eastAsia"/>
          <w:b/>
        </w:rPr>
        <w:t>7</w:t>
      </w:r>
      <w:r>
        <w:rPr>
          <w:b/>
        </w:rPr>
        <w:t>.7.2.4 CNG</w:t>
      </w:r>
      <w:r>
        <w:rPr>
          <w:rFonts w:hint="eastAsia"/>
          <w:b/>
        </w:rPr>
        <w:t>充气停车区风险防范措施</w:t>
      </w:r>
    </w:p>
    <w:p w14:paraId="2E41C66C">
      <w:pPr>
        <w:adjustRightInd w:val="0"/>
        <w:snapToGrid w:val="0"/>
        <w:spacing w:line="460" w:lineRule="exact"/>
        <w:ind w:firstLine="520" w:firstLineChars="200"/>
        <w:rPr>
          <w:sz w:val="26"/>
          <w:szCs w:val="26"/>
        </w:rPr>
      </w:pPr>
      <w:r>
        <w:rPr>
          <w:rFonts w:hint="eastAsia"/>
          <w:sz w:val="26"/>
          <w:szCs w:val="26"/>
        </w:rPr>
        <w:t>（</w:t>
      </w:r>
      <w:r>
        <w:rPr>
          <w:sz w:val="26"/>
          <w:szCs w:val="26"/>
        </w:rPr>
        <w:t>1</w:t>
      </w:r>
      <w:r>
        <w:rPr>
          <w:rFonts w:hint="eastAsia"/>
          <w:sz w:val="26"/>
          <w:szCs w:val="26"/>
        </w:rPr>
        <w:t>）</w:t>
      </w:r>
      <w:r>
        <w:rPr>
          <w:sz w:val="26"/>
          <w:szCs w:val="26"/>
        </w:rPr>
        <w:t>CNG</w:t>
      </w:r>
      <w:r>
        <w:rPr>
          <w:rFonts w:hint="eastAsia"/>
          <w:sz w:val="26"/>
          <w:szCs w:val="26"/>
        </w:rPr>
        <w:t>装车必须配备质量、型号合格的安全阀，安全阀每年必须校验一次，并确保维修人员能定期进行日常维护或更换，提高安全阀的可靠性。在日常工作与维护过程中，控制好储罐运行中的压力，尽可能保证储罐内压力的稳定性。</w:t>
      </w:r>
    </w:p>
    <w:p w14:paraId="2C65EFA8">
      <w:pPr>
        <w:adjustRightInd w:val="0"/>
        <w:snapToGrid w:val="0"/>
        <w:spacing w:line="460" w:lineRule="exact"/>
        <w:ind w:firstLine="520" w:firstLineChars="200"/>
        <w:rPr>
          <w:sz w:val="26"/>
          <w:szCs w:val="26"/>
        </w:rPr>
      </w:pPr>
      <w:r>
        <w:rPr>
          <w:rFonts w:hint="eastAsia"/>
          <w:sz w:val="26"/>
          <w:szCs w:val="26"/>
        </w:rPr>
        <w:t>（</w:t>
      </w:r>
      <w:r>
        <w:rPr>
          <w:sz w:val="26"/>
          <w:szCs w:val="26"/>
        </w:rPr>
        <w:t>2</w:t>
      </w:r>
      <w:r>
        <w:rPr>
          <w:rFonts w:hint="eastAsia"/>
          <w:sz w:val="26"/>
          <w:szCs w:val="26"/>
        </w:rPr>
        <w:t>）对站内工作人员，要保证定期对其进行系统的安全教育和培训，确保人员持证上岗。对于已建立的安全管理制度，要严格遵守执行，降低人为失误率。</w:t>
      </w:r>
    </w:p>
    <w:p w14:paraId="5DA7D260">
      <w:pPr>
        <w:adjustRightInd w:val="0"/>
        <w:snapToGrid w:val="0"/>
        <w:spacing w:line="460" w:lineRule="exact"/>
        <w:ind w:firstLine="520" w:firstLineChars="200"/>
        <w:rPr>
          <w:sz w:val="26"/>
          <w:szCs w:val="26"/>
        </w:rPr>
      </w:pPr>
      <w:r>
        <w:rPr>
          <w:rFonts w:hint="eastAsia"/>
          <w:sz w:val="26"/>
          <w:szCs w:val="26"/>
        </w:rPr>
        <w:t>（</w:t>
      </w:r>
      <w:r>
        <w:rPr>
          <w:sz w:val="26"/>
          <w:szCs w:val="26"/>
        </w:rPr>
        <w:t>3</w:t>
      </w:r>
      <w:r>
        <w:rPr>
          <w:rFonts w:hint="eastAsia"/>
          <w:sz w:val="26"/>
          <w:szCs w:val="26"/>
        </w:rPr>
        <w:t>）严格按防火规范布置平面，站内的电气设备及仪表按防爆等级不同选用不同的设备。</w:t>
      </w:r>
    </w:p>
    <w:p w14:paraId="0A3E9E9F">
      <w:pPr>
        <w:adjustRightInd w:val="0"/>
        <w:snapToGrid w:val="0"/>
        <w:spacing w:line="460" w:lineRule="exact"/>
        <w:ind w:firstLine="520" w:firstLineChars="200"/>
        <w:rPr>
          <w:sz w:val="26"/>
          <w:szCs w:val="26"/>
        </w:rPr>
      </w:pPr>
      <w:r>
        <w:rPr>
          <w:rFonts w:hint="eastAsia"/>
          <w:sz w:val="26"/>
          <w:szCs w:val="26"/>
        </w:rPr>
        <w:t>（</w:t>
      </w:r>
      <w:r>
        <w:rPr>
          <w:sz w:val="26"/>
          <w:szCs w:val="26"/>
        </w:rPr>
        <w:t>4</w:t>
      </w:r>
      <w:r>
        <w:rPr>
          <w:rFonts w:hint="eastAsia"/>
          <w:sz w:val="26"/>
          <w:szCs w:val="26"/>
        </w:rPr>
        <w:t>）所有设备、管线均应做防雷、防静电接地；</w:t>
      </w:r>
    </w:p>
    <w:p w14:paraId="1F57E2E6">
      <w:pPr>
        <w:adjustRightInd w:val="0"/>
        <w:snapToGrid w:val="0"/>
        <w:spacing w:line="460" w:lineRule="exact"/>
        <w:ind w:firstLine="520" w:firstLineChars="200"/>
        <w:rPr>
          <w:sz w:val="26"/>
          <w:szCs w:val="26"/>
        </w:rPr>
      </w:pPr>
      <w:r>
        <w:rPr>
          <w:rFonts w:hint="eastAsia"/>
          <w:sz w:val="26"/>
          <w:szCs w:val="26"/>
        </w:rPr>
        <w:t>（</w:t>
      </w:r>
      <w:r>
        <w:rPr>
          <w:sz w:val="26"/>
          <w:szCs w:val="26"/>
        </w:rPr>
        <w:t>5</w:t>
      </w:r>
      <w:r>
        <w:rPr>
          <w:rFonts w:hint="eastAsia"/>
          <w:sz w:val="26"/>
          <w:szCs w:val="26"/>
        </w:rPr>
        <w:t>）安装火灾设备检测仪表，消防自控设施；</w:t>
      </w:r>
    </w:p>
    <w:p w14:paraId="09A860AF">
      <w:pPr>
        <w:adjustRightInd w:val="0"/>
        <w:snapToGrid w:val="0"/>
        <w:spacing w:line="460" w:lineRule="exact"/>
        <w:ind w:firstLine="520" w:firstLineChars="200"/>
        <w:rPr>
          <w:sz w:val="26"/>
          <w:szCs w:val="26"/>
        </w:rPr>
      </w:pPr>
      <w:r>
        <w:rPr>
          <w:rFonts w:hint="eastAsia"/>
          <w:sz w:val="26"/>
          <w:szCs w:val="26"/>
        </w:rPr>
        <w:t>（</w:t>
      </w:r>
      <w:r>
        <w:rPr>
          <w:sz w:val="26"/>
          <w:szCs w:val="26"/>
        </w:rPr>
        <w:t>6</w:t>
      </w:r>
      <w:r>
        <w:rPr>
          <w:rFonts w:hint="eastAsia"/>
          <w:sz w:val="26"/>
          <w:szCs w:val="26"/>
        </w:rPr>
        <w:t>）考虑到检修和超压时能够泄压，</w:t>
      </w:r>
      <w:r>
        <w:rPr>
          <w:sz w:val="26"/>
          <w:szCs w:val="26"/>
        </w:rPr>
        <w:t xml:space="preserve">CNG </w:t>
      </w:r>
      <w:r>
        <w:rPr>
          <w:rFonts w:hint="eastAsia"/>
          <w:sz w:val="26"/>
          <w:szCs w:val="26"/>
        </w:rPr>
        <w:t>流程中各压力段设有安全阀，同时为保证上游试采安全，进站处设置有紧急自动放空阀以及紧急切断；</w:t>
      </w:r>
    </w:p>
    <w:p w14:paraId="1B91C5DC">
      <w:pPr>
        <w:adjustRightInd w:val="0"/>
        <w:snapToGrid w:val="0"/>
        <w:spacing w:line="460" w:lineRule="exact"/>
        <w:ind w:firstLine="520" w:firstLineChars="200"/>
        <w:rPr>
          <w:sz w:val="26"/>
          <w:szCs w:val="26"/>
        </w:rPr>
      </w:pPr>
      <w:r>
        <w:rPr>
          <w:rFonts w:hint="eastAsia"/>
          <w:sz w:val="26"/>
          <w:szCs w:val="26"/>
        </w:rPr>
        <w:t>（</w:t>
      </w:r>
      <w:r>
        <w:rPr>
          <w:sz w:val="26"/>
          <w:szCs w:val="26"/>
        </w:rPr>
        <w:t>7</w:t>
      </w:r>
      <w:r>
        <w:rPr>
          <w:rFonts w:hint="eastAsia"/>
          <w:sz w:val="26"/>
          <w:szCs w:val="26"/>
        </w:rPr>
        <w:t>）制定事故应急预案，配备适当的管道抢修、灭火及人员抢救设备。</w:t>
      </w:r>
    </w:p>
    <w:p w14:paraId="4DCF4DEA">
      <w:pPr>
        <w:pStyle w:val="1381"/>
        <w:ind w:firstLine="522"/>
        <w:rPr>
          <w:b/>
        </w:rPr>
      </w:pPr>
      <w:r>
        <w:rPr>
          <w:rFonts w:hint="eastAsia"/>
          <w:b/>
        </w:rPr>
        <w:t>7</w:t>
      </w:r>
      <w:r>
        <w:rPr>
          <w:b/>
        </w:rPr>
        <w:t>.7.2.5 CNG</w:t>
      </w:r>
      <w:r>
        <w:rPr>
          <w:rFonts w:hint="eastAsia"/>
          <w:b/>
        </w:rPr>
        <w:t>运输过程中的风险防范措施</w:t>
      </w:r>
    </w:p>
    <w:p w14:paraId="24ECF622">
      <w:pPr>
        <w:adjustRightInd w:val="0"/>
        <w:snapToGrid w:val="0"/>
        <w:spacing w:line="460" w:lineRule="exact"/>
        <w:ind w:firstLine="520" w:firstLineChars="200"/>
        <w:rPr>
          <w:sz w:val="26"/>
          <w:szCs w:val="26"/>
        </w:rPr>
      </w:pPr>
      <w:r>
        <w:rPr>
          <w:rFonts w:hint="eastAsia"/>
          <w:sz w:val="26"/>
          <w:szCs w:val="26"/>
        </w:rPr>
        <w:t>为降低</w:t>
      </w:r>
      <w:r>
        <w:rPr>
          <w:sz w:val="26"/>
          <w:szCs w:val="26"/>
        </w:rPr>
        <w:t>CNG</w:t>
      </w:r>
      <w:r>
        <w:rPr>
          <w:rFonts w:hint="eastAsia"/>
          <w:sz w:val="26"/>
          <w:szCs w:val="26"/>
        </w:rPr>
        <w:t>管束车转运对大气环境及沿线居民的风险，提出下列措施：</w:t>
      </w:r>
    </w:p>
    <w:p w14:paraId="31AB2DF3">
      <w:pPr>
        <w:adjustRightInd w:val="0"/>
        <w:snapToGrid w:val="0"/>
        <w:spacing w:line="460" w:lineRule="exact"/>
        <w:ind w:firstLine="520" w:firstLineChars="200"/>
        <w:rPr>
          <w:sz w:val="26"/>
          <w:szCs w:val="26"/>
        </w:rPr>
      </w:pPr>
      <w:r>
        <w:rPr>
          <w:rFonts w:hint="eastAsia"/>
          <w:sz w:val="26"/>
          <w:szCs w:val="26"/>
        </w:rPr>
        <w:t>（</w:t>
      </w:r>
      <w:r>
        <w:rPr>
          <w:sz w:val="26"/>
          <w:szCs w:val="26"/>
        </w:rPr>
        <w:t>1</w:t>
      </w:r>
      <w:r>
        <w:rPr>
          <w:rFonts w:hint="eastAsia"/>
          <w:sz w:val="26"/>
          <w:szCs w:val="26"/>
        </w:rPr>
        <w:t>）制定科学合理的车辆运输路线，沿途路线尽量减少经过人口密集区，根据车辆运输实施相应的管理。</w:t>
      </w:r>
    </w:p>
    <w:p w14:paraId="0F0E9494">
      <w:pPr>
        <w:adjustRightInd w:val="0"/>
        <w:snapToGrid w:val="0"/>
        <w:spacing w:line="460" w:lineRule="exact"/>
        <w:ind w:firstLine="520" w:firstLineChars="200"/>
        <w:rPr>
          <w:sz w:val="26"/>
          <w:szCs w:val="26"/>
        </w:rPr>
      </w:pPr>
      <w:r>
        <w:rPr>
          <w:rFonts w:hint="eastAsia"/>
          <w:sz w:val="26"/>
          <w:szCs w:val="26"/>
        </w:rPr>
        <w:t>（</w:t>
      </w:r>
      <w:r>
        <w:rPr>
          <w:sz w:val="26"/>
          <w:szCs w:val="26"/>
        </w:rPr>
        <w:t>2</w:t>
      </w:r>
      <w:r>
        <w:rPr>
          <w:rFonts w:hint="eastAsia"/>
          <w:sz w:val="26"/>
          <w:szCs w:val="26"/>
        </w:rPr>
        <w:t>）驾驶人员（含押运员）具备安全驾驶的知识和技术。</w:t>
      </w:r>
      <w:r>
        <w:rPr>
          <w:sz w:val="26"/>
          <w:szCs w:val="26"/>
        </w:rPr>
        <w:t>CNG</w:t>
      </w:r>
      <w:r>
        <w:rPr>
          <w:rFonts w:hint="eastAsia"/>
          <w:sz w:val="26"/>
          <w:szCs w:val="26"/>
        </w:rPr>
        <w:t>管束车驾驶人员作为专业的危险化学品驾驶人员，驾驶员要了解压缩天然气的性质、危害特性及罐体的结枃等知识，日常行驶时要认真做好岀车前、运输过程中及收车后的车辆检查。一旦车辆或者罐体部分出现异常或者意外，能采取紧急处置措施。驾驶人员要自觉地调整本能反应、驾驶习惯和精神状态等，改变驾驶保障安全驾驶。</w:t>
      </w:r>
    </w:p>
    <w:p w14:paraId="3D66A850">
      <w:pPr>
        <w:adjustRightInd w:val="0"/>
        <w:snapToGrid w:val="0"/>
        <w:spacing w:line="460" w:lineRule="exact"/>
        <w:ind w:firstLine="520" w:firstLineChars="200"/>
        <w:rPr>
          <w:sz w:val="26"/>
          <w:szCs w:val="26"/>
        </w:rPr>
      </w:pPr>
      <w:r>
        <w:rPr>
          <w:rFonts w:hint="eastAsia"/>
          <w:sz w:val="26"/>
          <w:szCs w:val="26"/>
        </w:rPr>
        <w:t>（</w:t>
      </w:r>
      <w:r>
        <w:rPr>
          <w:sz w:val="26"/>
          <w:szCs w:val="26"/>
        </w:rPr>
        <w:t>3</w:t>
      </w:r>
      <w:r>
        <w:rPr>
          <w:rFonts w:hint="eastAsia"/>
          <w:sz w:val="26"/>
          <w:szCs w:val="26"/>
        </w:rPr>
        <w:t>）加强</w:t>
      </w:r>
      <w:r>
        <w:rPr>
          <w:sz w:val="26"/>
          <w:szCs w:val="26"/>
        </w:rPr>
        <w:t>CNG</w:t>
      </w:r>
      <w:r>
        <w:rPr>
          <w:rFonts w:hint="eastAsia"/>
          <w:sz w:val="26"/>
          <w:szCs w:val="26"/>
        </w:rPr>
        <w:t>管束车的安全性能监管，要定期对</w:t>
      </w:r>
      <w:r>
        <w:rPr>
          <w:sz w:val="26"/>
          <w:szCs w:val="26"/>
        </w:rPr>
        <w:t>CNG</w:t>
      </w:r>
      <w:r>
        <w:rPr>
          <w:rFonts w:hint="eastAsia"/>
          <w:sz w:val="26"/>
          <w:szCs w:val="26"/>
        </w:rPr>
        <w:t>管束车进行安全性能检测，对于安全性能检测不达标的车辆要责令整改或及时淘汰。</w:t>
      </w:r>
    </w:p>
    <w:p w14:paraId="2653E7E5">
      <w:pPr>
        <w:adjustRightInd w:val="0"/>
        <w:snapToGrid w:val="0"/>
        <w:spacing w:line="460" w:lineRule="exact"/>
        <w:ind w:firstLine="520" w:firstLineChars="200"/>
        <w:rPr>
          <w:sz w:val="26"/>
          <w:szCs w:val="26"/>
        </w:rPr>
      </w:pPr>
      <w:r>
        <w:rPr>
          <w:rFonts w:hint="eastAsia"/>
          <w:sz w:val="26"/>
          <w:szCs w:val="26"/>
        </w:rPr>
        <w:t>（</w:t>
      </w:r>
      <w:r>
        <w:rPr>
          <w:sz w:val="26"/>
          <w:szCs w:val="26"/>
        </w:rPr>
        <w:t>4</w:t>
      </w:r>
      <w:r>
        <w:rPr>
          <w:rFonts w:hint="eastAsia"/>
          <w:sz w:val="26"/>
          <w:szCs w:val="26"/>
        </w:rPr>
        <w:t>）</w:t>
      </w:r>
      <w:r>
        <w:rPr>
          <w:sz w:val="26"/>
          <w:szCs w:val="26"/>
        </w:rPr>
        <w:t>CNG</w:t>
      </w:r>
      <w:r>
        <w:rPr>
          <w:rFonts w:hint="eastAsia"/>
          <w:sz w:val="26"/>
          <w:szCs w:val="26"/>
        </w:rPr>
        <w:t>管束车运输过程需配备</w:t>
      </w:r>
      <w:r>
        <w:rPr>
          <w:sz w:val="26"/>
          <w:szCs w:val="26"/>
        </w:rPr>
        <w:t>GPS</w:t>
      </w:r>
      <w:r>
        <w:rPr>
          <w:rFonts w:hint="eastAsia"/>
          <w:sz w:val="26"/>
          <w:szCs w:val="26"/>
        </w:rPr>
        <w:t>定位，定期分析</w:t>
      </w:r>
      <w:r>
        <w:rPr>
          <w:sz w:val="26"/>
          <w:szCs w:val="26"/>
        </w:rPr>
        <w:t>CNG</w:t>
      </w:r>
      <w:r>
        <w:rPr>
          <w:rFonts w:hint="eastAsia"/>
          <w:sz w:val="26"/>
          <w:szCs w:val="26"/>
        </w:rPr>
        <w:t>管束车道路运输线路存在的风险性，为往后采取有效的防范措施提供科学依据；可以在线监督驾驶人员是否存在违规驾驶行为并能及时提醒或制止；可以在线监督车辆行驶过程中是否存在走错路线并能实时提醒；可以在线时刻监护运输车辆，一旦发生险情便能及时救援。</w:t>
      </w:r>
    </w:p>
    <w:p w14:paraId="7BF40611">
      <w:pPr>
        <w:adjustRightInd w:val="0"/>
        <w:snapToGrid w:val="0"/>
        <w:spacing w:line="460" w:lineRule="exact"/>
        <w:ind w:firstLine="520" w:firstLineChars="200"/>
        <w:rPr>
          <w:sz w:val="26"/>
          <w:szCs w:val="26"/>
        </w:rPr>
      </w:pPr>
      <w:r>
        <w:rPr>
          <w:rFonts w:hint="eastAsia"/>
          <w:sz w:val="26"/>
          <w:szCs w:val="26"/>
        </w:rPr>
        <w:t>（</w:t>
      </w:r>
      <w:r>
        <w:rPr>
          <w:sz w:val="26"/>
          <w:szCs w:val="26"/>
        </w:rPr>
        <w:t>5</w:t>
      </w:r>
      <w:r>
        <w:rPr>
          <w:rFonts w:hint="eastAsia"/>
          <w:sz w:val="26"/>
          <w:szCs w:val="26"/>
        </w:rPr>
        <w:t>）提高操作人员素质，严格按照操作规程操作设备。</w:t>
      </w:r>
    </w:p>
    <w:p w14:paraId="5B99BE20">
      <w:pPr>
        <w:adjustRightInd w:val="0"/>
        <w:snapToGrid w:val="0"/>
        <w:spacing w:line="460" w:lineRule="exact"/>
        <w:ind w:firstLine="520" w:firstLineChars="200"/>
        <w:rPr>
          <w:sz w:val="26"/>
          <w:szCs w:val="26"/>
        </w:rPr>
      </w:pPr>
      <w:r>
        <w:rPr>
          <w:rFonts w:hint="eastAsia"/>
          <w:sz w:val="26"/>
          <w:szCs w:val="26"/>
        </w:rPr>
        <w:t>（</w:t>
      </w:r>
      <w:r>
        <w:rPr>
          <w:sz w:val="26"/>
          <w:szCs w:val="26"/>
        </w:rPr>
        <w:t>6</w:t>
      </w:r>
      <w:r>
        <w:rPr>
          <w:rFonts w:hint="eastAsia"/>
          <w:sz w:val="26"/>
          <w:szCs w:val="26"/>
        </w:rPr>
        <w:t>）加强对阀门、仪表的日常检查，定期校验。</w:t>
      </w:r>
    </w:p>
    <w:p w14:paraId="341FA685">
      <w:pPr>
        <w:adjustRightInd w:val="0"/>
        <w:snapToGrid w:val="0"/>
        <w:spacing w:line="460" w:lineRule="exact"/>
        <w:ind w:firstLine="520" w:firstLineChars="200"/>
        <w:rPr>
          <w:sz w:val="26"/>
          <w:szCs w:val="26"/>
        </w:rPr>
      </w:pPr>
      <w:r>
        <w:rPr>
          <w:rFonts w:hint="eastAsia"/>
          <w:sz w:val="26"/>
          <w:szCs w:val="26"/>
        </w:rPr>
        <w:t>（</w:t>
      </w:r>
      <w:r>
        <w:rPr>
          <w:sz w:val="26"/>
          <w:szCs w:val="26"/>
        </w:rPr>
        <w:t>7</w:t>
      </w:r>
      <w:r>
        <w:rPr>
          <w:rFonts w:hint="eastAsia"/>
          <w:sz w:val="26"/>
          <w:szCs w:val="26"/>
        </w:rPr>
        <w:t>）加强运输、装卸车过程的检查。</w:t>
      </w:r>
    </w:p>
    <w:p w14:paraId="3D440E70">
      <w:pPr>
        <w:adjustRightInd w:val="0"/>
        <w:snapToGrid w:val="0"/>
        <w:spacing w:line="460" w:lineRule="exact"/>
        <w:ind w:firstLine="520" w:firstLineChars="200"/>
        <w:rPr>
          <w:sz w:val="26"/>
          <w:szCs w:val="26"/>
        </w:rPr>
      </w:pPr>
      <w:r>
        <w:rPr>
          <w:rFonts w:hint="eastAsia"/>
          <w:sz w:val="26"/>
          <w:szCs w:val="26"/>
        </w:rPr>
        <w:t>（</w:t>
      </w:r>
      <w:r>
        <w:rPr>
          <w:sz w:val="26"/>
          <w:szCs w:val="26"/>
        </w:rPr>
        <w:t>8</w:t>
      </w:r>
      <w:r>
        <w:rPr>
          <w:rFonts w:hint="eastAsia"/>
          <w:sz w:val="26"/>
          <w:szCs w:val="26"/>
        </w:rPr>
        <w:t>）加强对驾驶、押运人员的安全教育，严格按照操作规程操作车辆和设备。</w:t>
      </w:r>
    </w:p>
    <w:p w14:paraId="76EABB85">
      <w:pPr>
        <w:adjustRightInd w:val="0"/>
        <w:snapToGrid w:val="0"/>
        <w:spacing w:line="460" w:lineRule="exact"/>
        <w:ind w:firstLine="520" w:firstLineChars="200"/>
        <w:rPr>
          <w:sz w:val="26"/>
          <w:szCs w:val="26"/>
        </w:rPr>
      </w:pPr>
      <w:r>
        <w:rPr>
          <w:rFonts w:hint="eastAsia"/>
          <w:sz w:val="26"/>
          <w:szCs w:val="26"/>
        </w:rPr>
        <w:t>（</w:t>
      </w:r>
      <w:r>
        <w:rPr>
          <w:sz w:val="26"/>
          <w:szCs w:val="26"/>
        </w:rPr>
        <w:t>9</w:t>
      </w:r>
      <w:r>
        <w:rPr>
          <w:rFonts w:hint="eastAsia"/>
          <w:sz w:val="26"/>
          <w:szCs w:val="26"/>
        </w:rPr>
        <w:t>）遵守道路交通法规，严禁超速行驶，行驶速度不得超过</w:t>
      </w:r>
      <w:r>
        <w:rPr>
          <w:sz w:val="26"/>
          <w:szCs w:val="26"/>
        </w:rPr>
        <w:t>60</w:t>
      </w:r>
      <w:r>
        <w:rPr>
          <w:rFonts w:hint="eastAsia"/>
          <w:sz w:val="26"/>
          <w:szCs w:val="26"/>
        </w:rPr>
        <w:t>公里</w:t>
      </w:r>
      <w:r>
        <w:rPr>
          <w:sz w:val="26"/>
          <w:szCs w:val="26"/>
        </w:rPr>
        <w:t>/</w:t>
      </w:r>
      <w:r>
        <w:rPr>
          <w:rFonts w:hint="eastAsia"/>
          <w:sz w:val="26"/>
          <w:szCs w:val="26"/>
        </w:rPr>
        <w:t>小时。</w:t>
      </w:r>
    </w:p>
    <w:p w14:paraId="2628DF8B">
      <w:pPr>
        <w:adjustRightInd w:val="0"/>
        <w:snapToGrid w:val="0"/>
        <w:spacing w:line="460" w:lineRule="exact"/>
        <w:ind w:firstLine="520" w:firstLineChars="200"/>
        <w:rPr>
          <w:sz w:val="26"/>
          <w:szCs w:val="26"/>
        </w:rPr>
      </w:pPr>
      <w:r>
        <w:rPr>
          <w:rFonts w:hint="eastAsia"/>
          <w:sz w:val="26"/>
          <w:szCs w:val="26"/>
        </w:rPr>
        <w:t>（</w:t>
      </w:r>
      <w:r>
        <w:rPr>
          <w:sz w:val="26"/>
          <w:szCs w:val="26"/>
        </w:rPr>
        <w:t>10</w:t>
      </w:r>
      <w:r>
        <w:rPr>
          <w:rFonts w:hint="eastAsia"/>
          <w:sz w:val="26"/>
          <w:szCs w:val="26"/>
        </w:rPr>
        <w:t>）加强对车辆的日常维护，确保刹车、灯光、方向机构等完好。</w:t>
      </w:r>
    </w:p>
    <w:p w14:paraId="0914A5A6">
      <w:pPr>
        <w:adjustRightInd w:val="0"/>
        <w:snapToGrid w:val="0"/>
        <w:spacing w:line="460" w:lineRule="exact"/>
        <w:ind w:firstLine="520" w:firstLineChars="200"/>
        <w:rPr>
          <w:sz w:val="26"/>
          <w:szCs w:val="26"/>
        </w:rPr>
      </w:pPr>
      <w:r>
        <w:rPr>
          <w:rFonts w:hint="eastAsia"/>
          <w:sz w:val="26"/>
          <w:szCs w:val="26"/>
        </w:rPr>
        <w:t>（</w:t>
      </w:r>
      <w:r>
        <w:rPr>
          <w:sz w:val="26"/>
          <w:szCs w:val="26"/>
        </w:rPr>
        <w:t>11</w:t>
      </w:r>
      <w:r>
        <w:rPr>
          <w:rFonts w:hint="eastAsia"/>
          <w:sz w:val="26"/>
          <w:szCs w:val="26"/>
        </w:rPr>
        <w:t>）加强管理，严格作息制度，保证睡眠充足，不疲劳驾驶车辆。</w:t>
      </w:r>
    </w:p>
    <w:p w14:paraId="78239616">
      <w:pPr>
        <w:adjustRightInd w:val="0"/>
        <w:snapToGrid w:val="0"/>
        <w:spacing w:line="460" w:lineRule="exact"/>
        <w:ind w:firstLine="520" w:firstLineChars="200"/>
        <w:rPr>
          <w:sz w:val="26"/>
          <w:szCs w:val="26"/>
        </w:rPr>
      </w:pPr>
      <w:r>
        <w:rPr>
          <w:rFonts w:hint="eastAsia"/>
          <w:sz w:val="26"/>
          <w:szCs w:val="26"/>
        </w:rPr>
        <w:t>（</w:t>
      </w:r>
      <w:r>
        <w:rPr>
          <w:sz w:val="26"/>
          <w:szCs w:val="26"/>
        </w:rPr>
        <w:t>12</w:t>
      </w:r>
      <w:r>
        <w:rPr>
          <w:rFonts w:hint="eastAsia"/>
          <w:sz w:val="26"/>
          <w:szCs w:val="26"/>
        </w:rPr>
        <w:t>）严格按照车辆管理办法“安全十八法”管理和调派车辆，选配技术好、责任心强的驾驶人员。</w:t>
      </w:r>
    </w:p>
    <w:p w14:paraId="0841C075">
      <w:pPr>
        <w:adjustRightInd w:val="0"/>
        <w:snapToGrid w:val="0"/>
        <w:spacing w:line="460" w:lineRule="exact"/>
        <w:ind w:firstLine="520" w:firstLineChars="200"/>
        <w:rPr>
          <w:sz w:val="26"/>
          <w:szCs w:val="26"/>
        </w:rPr>
      </w:pPr>
      <w:r>
        <w:rPr>
          <w:rFonts w:hint="eastAsia"/>
          <w:sz w:val="26"/>
          <w:szCs w:val="26"/>
        </w:rPr>
        <w:t>（</w:t>
      </w:r>
      <w:r>
        <w:rPr>
          <w:sz w:val="26"/>
          <w:szCs w:val="26"/>
        </w:rPr>
        <w:t>13</w:t>
      </w:r>
      <w:r>
        <w:rPr>
          <w:rFonts w:hint="eastAsia"/>
          <w:sz w:val="26"/>
          <w:szCs w:val="26"/>
        </w:rPr>
        <w:t>）保持车况完好，不带病出车。</w:t>
      </w:r>
    </w:p>
    <w:p w14:paraId="2BC875E7">
      <w:pPr>
        <w:adjustRightInd w:val="0"/>
        <w:snapToGrid w:val="0"/>
        <w:spacing w:line="460" w:lineRule="exact"/>
        <w:ind w:firstLine="522" w:firstLineChars="200"/>
        <w:outlineLvl w:val="2"/>
        <w:rPr>
          <w:b/>
          <w:bCs/>
          <w:sz w:val="26"/>
          <w:szCs w:val="26"/>
        </w:rPr>
      </w:pPr>
      <w:r>
        <w:rPr>
          <w:rFonts w:hint="eastAsia"/>
          <w:b/>
          <w:bCs/>
          <w:sz w:val="26"/>
          <w:szCs w:val="26"/>
        </w:rPr>
        <w:t>7</w:t>
      </w:r>
      <w:r>
        <w:rPr>
          <w:b/>
          <w:bCs/>
          <w:sz w:val="26"/>
          <w:szCs w:val="26"/>
        </w:rPr>
        <w:t xml:space="preserve">.7.3 </w:t>
      </w:r>
      <w:r>
        <w:rPr>
          <w:rFonts w:hint="eastAsia"/>
          <w:b/>
          <w:bCs/>
          <w:sz w:val="26"/>
          <w:szCs w:val="26"/>
        </w:rPr>
        <w:t>环境风险事故应急措施</w:t>
      </w:r>
    </w:p>
    <w:p w14:paraId="445FD727">
      <w:pPr>
        <w:autoSpaceDE w:val="0"/>
        <w:autoSpaceDN w:val="0"/>
        <w:adjustRightInd w:val="0"/>
        <w:snapToGrid w:val="0"/>
        <w:spacing w:line="460" w:lineRule="exact"/>
        <w:ind w:firstLine="522" w:firstLineChars="200"/>
        <w:textAlignment w:val="baseline"/>
        <w:outlineLvl w:val="3"/>
        <w:rPr>
          <w:b/>
          <w:bCs/>
          <w:kern w:val="0"/>
          <w:sz w:val="26"/>
          <w:szCs w:val="26"/>
        </w:rPr>
      </w:pPr>
      <w:r>
        <w:rPr>
          <w:rFonts w:hint="eastAsia"/>
          <w:b/>
          <w:bCs/>
          <w:kern w:val="0"/>
          <w:sz w:val="26"/>
          <w:szCs w:val="26"/>
        </w:rPr>
        <w:t>7</w:t>
      </w:r>
      <w:r>
        <w:rPr>
          <w:b/>
          <w:bCs/>
          <w:kern w:val="0"/>
          <w:sz w:val="26"/>
          <w:szCs w:val="26"/>
        </w:rPr>
        <w:t>.7.3.1</w:t>
      </w:r>
      <w:r>
        <w:rPr>
          <w:rFonts w:hint="eastAsia"/>
          <w:b/>
          <w:bCs/>
          <w:kern w:val="0"/>
          <w:sz w:val="26"/>
          <w:szCs w:val="26"/>
        </w:rPr>
        <w:t xml:space="preserve"> 天然气泄漏事故和燃烧、爆炸事故应急措施</w:t>
      </w:r>
    </w:p>
    <w:p w14:paraId="2BCDC627">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发生泄漏事故应确保截断阀关闭，同时应防止着火、爆炸，熄灭火源，设立警戒区并组织警戒：易燃易爆物品撤离危险区﹔迅速做好储水、供水工作，采用消防器材灭火或用消防水枪向气喷流和周围设备大量喷水降温，保护井口装置，防止着火或事故继续恶化。</w:t>
      </w:r>
    </w:p>
    <w:p w14:paraId="10379333">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（1）环境风险应急关键措施</w:t>
      </w:r>
    </w:p>
    <w:p w14:paraId="3F16B483">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站场设备发生泄漏事故和燃烧、爆炸事故应及时组织撤离站场周边500m的居民，撤离路线应根据站场风向标，事故发生点的风向，沿发生事故时的上风向、侧风向方向进行撤离。通过高音喇叭、广播、电话、入户及时通知周边各户居民，保证全部及时撤离。疏散通道主要为农村道路、乡村公路。</w:t>
      </w:r>
    </w:p>
    <w:p w14:paraId="6517ED24">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（2）防火、灭火</w:t>
      </w:r>
    </w:p>
    <w:p w14:paraId="61F158F7">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发生泄漏事故应确保截断阀关闭，同时应防止着火、爆炸，熄灭火源，设立警戒区并组织警戒；易燃易爆物品撤离危险区；迅速做好储水、供水工作，采用消防器材灭火或用消防水枪向气喷流和周围设备大量喷水降温，保护井口装置，防止着火或事故继续恶化。</w:t>
      </w:r>
    </w:p>
    <w:p w14:paraId="02EEE23D">
      <w:pPr>
        <w:autoSpaceDE w:val="0"/>
        <w:autoSpaceDN w:val="0"/>
        <w:adjustRightInd w:val="0"/>
        <w:snapToGrid w:val="0"/>
        <w:spacing w:line="460" w:lineRule="exact"/>
        <w:ind w:firstLine="522" w:firstLineChars="200"/>
        <w:textAlignment w:val="baseline"/>
        <w:outlineLvl w:val="3"/>
        <w:rPr>
          <w:b/>
          <w:bCs/>
          <w:kern w:val="0"/>
          <w:sz w:val="26"/>
          <w:szCs w:val="26"/>
        </w:rPr>
      </w:pPr>
      <w:r>
        <w:rPr>
          <w:b/>
          <w:bCs/>
          <w:kern w:val="0"/>
          <w:sz w:val="26"/>
          <w:szCs w:val="26"/>
        </w:rPr>
        <w:t xml:space="preserve">7.7.3.2 </w:t>
      </w:r>
      <w:r>
        <w:rPr>
          <w:rFonts w:hint="eastAsia"/>
          <w:b/>
          <w:bCs/>
          <w:kern w:val="0"/>
          <w:sz w:val="26"/>
          <w:szCs w:val="26"/>
        </w:rPr>
        <w:t>凝析油、气田水罐发生泄漏应急措施</w:t>
      </w:r>
    </w:p>
    <w:p w14:paraId="2169DDDB">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（1）对凝析油和气田水罐安装外溢报警器，便于及时发现罐体泄漏。</w:t>
      </w:r>
    </w:p>
    <w:p w14:paraId="7570EE07">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2）若同时发现罐区内围堰防渗层破裂，立即启动地下水应急监测和地下水污染控制措施，即在地下水排泄边界进行抽水以阻隔污染物的扩散，根据应急监测情况，为下游受影响居民提供桶装饮用水、另找水源等方式保证居民正常用水。</w:t>
      </w:r>
    </w:p>
    <w:p w14:paraId="086880BA">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（3）对受污染土壤表层土进行剥离收集安全处置，对庄稼造成的经济影响进行补偿，避免造成环境纠纷。</w:t>
      </w:r>
    </w:p>
    <w:p w14:paraId="2C1F0E8D">
      <w:pPr>
        <w:autoSpaceDE w:val="0"/>
        <w:autoSpaceDN w:val="0"/>
        <w:adjustRightInd w:val="0"/>
        <w:snapToGrid w:val="0"/>
        <w:spacing w:line="460" w:lineRule="exact"/>
        <w:ind w:firstLine="522" w:firstLineChars="200"/>
        <w:textAlignment w:val="baseline"/>
        <w:outlineLvl w:val="2"/>
        <w:rPr>
          <w:b/>
          <w:bCs/>
          <w:kern w:val="0"/>
          <w:sz w:val="26"/>
          <w:szCs w:val="26"/>
        </w:rPr>
      </w:pPr>
      <w:r>
        <w:rPr>
          <w:rFonts w:hint="eastAsia"/>
          <w:b/>
          <w:bCs/>
          <w:kern w:val="0"/>
          <w:sz w:val="26"/>
          <w:szCs w:val="26"/>
        </w:rPr>
        <w:t>7</w:t>
      </w:r>
      <w:r>
        <w:rPr>
          <w:b/>
          <w:bCs/>
          <w:kern w:val="0"/>
          <w:sz w:val="26"/>
          <w:szCs w:val="26"/>
        </w:rPr>
        <w:t xml:space="preserve">.7.4 </w:t>
      </w:r>
      <w:r>
        <w:rPr>
          <w:rFonts w:hint="eastAsia"/>
          <w:b/>
          <w:bCs/>
          <w:kern w:val="0"/>
          <w:sz w:val="26"/>
          <w:szCs w:val="26"/>
        </w:rPr>
        <w:t>应急联动</w:t>
      </w:r>
    </w:p>
    <w:p w14:paraId="3E7E0CCB">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（1）管理</w:t>
      </w:r>
    </w:p>
    <w:p w14:paraId="04BD8BDC">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公司内部成立专门的为应对油气勘探、开发等生产经营过程中可能发生的重大突发事故，最大限度地保障人民群众生命财产安全，减轻事故灾害。并结合作业区经验建立详细周密的应急救援体系，设立了三级应急救援网络。</w:t>
      </w:r>
    </w:p>
    <w:p w14:paraId="76AB2EAA">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公司应急领导小组负责所属范围内所有重、特大事故的应急管理。定期组织、检查、审核等专业事故应急小组职责履行情况。发生重大事故，专业应急小组进行应急指挥、调度、抢险、施救、现场调查、恢复生产等工作，公司应急领导小组协调有关工作。对特大事故，公司应急领导小组直接负责事故现场指挥、调度、抢险施救、恢复生产，并会同地方政府、开展事故调查等工作。</w:t>
      </w:r>
    </w:p>
    <w:p w14:paraId="202A355B">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（2）联动</w:t>
      </w:r>
    </w:p>
    <w:p w14:paraId="0E4DB8CE">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上层联动：拟建项目所在区域设置有应急管理办公室，工程的建设和运行得到了当地各级政府的大力支持，因此，在企业自身建立并完善应急响应机制的前提下，与地方进一步强化应急联动，应急联动具有可行性。</w:t>
      </w:r>
    </w:p>
    <w:p w14:paraId="56B77B05">
      <w:pPr>
        <w:autoSpaceDE w:val="0"/>
        <w:autoSpaceDN w:val="0"/>
        <w:adjustRightInd w:val="0"/>
        <w:snapToGrid w:val="0"/>
        <w:spacing w:line="460" w:lineRule="exact"/>
        <w:ind w:firstLine="520" w:firstLineChars="200"/>
        <w:textAlignment w:val="baseline"/>
        <w:rPr>
          <w:kern w:val="0"/>
          <w:sz w:val="26"/>
          <w:szCs w:val="26"/>
        </w:rPr>
      </w:pPr>
      <w:r>
        <w:rPr>
          <w:rFonts w:hint="eastAsia"/>
          <w:kern w:val="0"/>
          <w:sz w:val="26"/>
          <w:szCs w:val="26"/>
        </w:rPr>
        <w:t>下层联动：开展项目周边人居调查工作，结合项目周边人员分布情况，落实紧急情况下的应急联络人，确保有效组织环境风险事故下的应急撤离。</w:t>
      </w:r>
    </w:p>
    <w:p w14:paraId="57F753E5">
      <w:pPr>
        <w:adjustRightInd w:val="0"/>
        <w:snapToGrid w:val="0"/>
        <w:spacing w:line="480" w:lineRule="exact"/>
        <w:ind w:firstLine="522" w:firstLineChars="200"/>
        <w:outlineLvl w:val="2"/>
        <w:rPr>
          <w:b/>
          <w:sz w:val="26"/>
          <w:szCs w:val="26"/>
        </w:rPr>
      </w:pPr>
      <w:r>
        <w:rPr>
          <w:rFonts w:hint="eastAsia"/>
          <w:b/>
          <w:sz w:val="26"/>
          <w:szCs w:val="26"/>
        </w:rPr>
        <w:t>7</w:t>
      </w:r>
      <w:r>
        <w:rPr>
          <w:b/>
          <w:sz w:val="26"/>
          <w:szCs w:val="26"/>
        </w:rPr>
        <w:t xml:space="preserve">.7.5 </w:t>
      </w:r>
      <w:r>
        <w:rPr>
          <w:rFonts w:hint="eastAsia"/>
          <w:b/>
          <w:sz w:val="26"/>
          <w:szCs w:val="26"/>
        </w:rPr>
        <w:t>环境风险应急预案</w:t>
      </w:r>
    </w:p>
    <w:p w14:paraId="465A534E">
      <w:pPr>
        <w:adjustRightInd w:val="0"/>
        <w:snapToGrid w:val="0"/>
        <w:spacing w:line="460" w:lineRule="exact"/>
        <w:ind w:firstLine="522"/>
        <w:rPr>
          <w:sz w:val="26"/>
          <w:szCs w:val="26"/>
        </w:rPr>
      </w:pPr>
      <w:r>
        <w:rPr>
          <w:rFonts w:hint="eastAsia"/>
          <w:sz w:val="26"/>
          <w:szCs w:val="26"/>
        </w:rPr>
        <w:t>本环评要求，企业必须按照《企业事业单位突发环境事件应急预案备案管理办法（试行）》（环发〔2015〕4号）要求，编制应急预案并报备。</w:t>
      </w:r>
    </w:p>
    <w:p w14:paraId="123AAC62">
      <w:pPr>
        <w:adjustRightInd w:val="0"/>
        <w:snapToGrid w:val="0"/>
        <w:spacing w:line="460" w:lineRule="exact"/>
        <w:ind w:firstLine="522"/>
        <w:rPr>
          <w:sz w:val="26"/>
          <w:szCs w:val="26"/>
        </w:rPr>
      </w:pPr>
      <w:r>
        <w:rPr>
          <w:rFonts w:hint="eastAsia"/>
          <w:sz w:val="26"/>
          <w:szCs w:val="26"/>
        </w:rPr>
        <w:t>针对本项目可能造成的环境风险的突发性事故。本次评价仅提出原则性、关键性的要求，建设单位应在试采期编制具体、完善的应急预案，应急预案主要内容见下表。</w:t>
      </w:r>
    </w:p>
    <w:p w14:paraId="6FF3E54B">
      <w:pPr>
        <w:adjustRightInd w:val="0"/>
        <w:snapToGrid w:val="0"/>
        <w:ind w:firstLine="522"/>
        <w:rPr>
          <w:sz w:val="26"/>
          <w:szCs w:val="26"/>
        </w:rPr>
      </w:pPr>
    </w:p>
    <w:p w14:paraId="7AB06933">
      <w:pPr>
        <w:snapToGrid w:val="0"/>
        <w:ind w:firstLine="520" w:firstLineChars="200"/>
        <w:jc w:val="center"/>
        <w:rPr>
          <w:sz w:val="26"/>
          <w:szCs w:val="26"/>
        </w:rPr>
      </w:pPr>
      <w:r>
        <w:rPr>
          <w:sz w:val="26"/>
          <w:szCs w:val="26"/>
        </w:rPr>
        <w:t>表7.7-1    应急预案内容</w:t>
      </w:r>
    </w:p>
    <w:tbl>
      <w:tblPr>
        <w:tblStyle w:val="88"/>
        <w:tblW w:w="8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2240"/>
        <w:gridCol w:w="5302"/>
      </w:tblGrid>
      <w:tr w14:paraId="3846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3" w:type="dxa"/>
            <w:vAlign w:val="center"/>
          </w:tcPr>
          <w:p w14:paraId="5CC0CC93">
            <w:pPr>
              <w:snapToGrid w:val="0"/>
              <w:jc w:val="center"/>
              <w:rPr>
                <w:bCs/>
                <w:szCs w:val="21"/>
              </w:rPr>
            </w:pPr>
            <w:r>
              <w:rPr>
                <w:bCs/>
                <w:szCs w:val="21"/>
              </w:rPr>
              <w:t>序号</w:t>
            </w:r>
          </w:p>
        </w:tc>
        <w:tc>
          <w:tcPr>
            <w:tcW w:w="2240" w:type="dxa"/>
            <w:vAlign w:val="center"/>
          </w:tcPr>
          <w:p w14:paraId="6B7517C3">
            <w:pPr>
              <w:snapToGrid w:val="0"/>
              <w:jc w:val="center"/>
              <w:rPr>
                <w:bCs/>
                <w:szCs w:val="21"/>
              </w:rPr>
            </w:pPr>
            <w:r>
              <w:rPr>
                <w:bCs/>
                <w:szCs w:val="21"/>
              </w:rPr>
              <w:t>项目</w:t>
            </w:r>
          </w:p>
        </w:tc>
        <w:tc>
          <w:tcPr>
            <w:tcW w:w="5302" w:type="dxa"/>
            <w:vAlign w:val="center"/>
          </w:tcPr>
          <w:p w14:paraId="061D976B">
            <w:pPr>
              <w:snapToGrid w:val="0"/>
              <w:jc w:val="center"/>
              <w:rPr>
                <w:bCs/>
                <w:szCs w:val="21"/>
              </w:rPr>
            </w:pPr>
            <w:r>
              <w:rPr>
                <w:bCs/>
                <w:szCs w:val="21"/>
              </w:rPr>
              <w:t>内容及要求</w:t>
            </w:r>
          </w:p>
        </w:tc>
      </w:tr>
      <w:tr w14:paraId="63E9D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3" w:type="dxa"/>
            <w:vAlign w:val="center"/>
          </w:tcPr>
          <w:p w14:paraId="06EF8598">
            <w:pPr>
              <w:snapToGrid w:val="0"/>
              <w:jc w:val="center"/>
              <w:rPr>
                <w:szCs w:val="21"/>
              </w:rPr>
            </w:pPr>
            <w:r>
              <w:rPr>
                <w:szCs w:val="21"/>
              </w:rPr>
              <w:t>1</w:t>
            </w:r>
          </w:p>
        </w:tc>
        <w:tc>
          <w:tcPr>
            <w:tcW w:w="2240" w:type="dxa"/>
            <w:vAlign w:val="center"/>
          </w:tcPr>
          <w:p w14:paraId="2DE4D0F1">
            <w:pPr>
              <w:snapToGrid w:val="0"/>
              <w:rPr>
                <w:szCs w:val="21"/>
              </w:rPr>
            </w:pPr>
            <w:r>
              <w:rPr>
                <w:szCs w:val="21"/>
              </w:rPr>
              <w:t>应急计划区</w:t>
            </w:r>
          </w:p>
        </w:tc>
        <w:tc>
          <w:tcPr>
            <w:tcW w:w="5302" w:type="dxa"/>
            <w:vAlign w:val="center"/>
          </w:tcPr>
          <w:p w14:paraId="3E307449">
            <w:pPr>
              <w:snapToGrid w:val="0"/>
              <w:rPr>
                <w:szCs w:val="21"/>
              </w:rPr>
            </w:pPr>
            <w:r>
              <w:rPr>
                <w:szCs w:val="21"/>
              </w:rPr>
              <w:t>安全预评价制定的应急计划区及本项目环境保护目标</w:t>
            </w:r>
          </w:p>
        </w:tc>
      </w:tr>
      <w:tr w14:paraId="5FD2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3" w:type="dxa"/>
            <w:vAlign w:val="center"/>
          </w:tcPr>
          <w:p w14:paraId="1D5C3446">
            <w:pPr>
              <w:snapToGrid w:val="0"/>
              <w:jc w:val="center"/>
              <w:rPr>
                <w:szCs w:val="21"/>
              </w:rPr>
            </w:pPr>
            <w:r>
              <w:rPr>
                <w:szCs w:val="21"/>
              </w:rPr>
              <w:t>2</w:t>
            </w:r>
          </w:p>
        </w:tc>
        <w:tc>
          <w:tcPr>
            <w:tcW w:w="2240" w:type="dxa"/>
            <w:vAlign w:val="center"/>
          </w:tcPr>
          <w:p w14:paraId="754E1CD8">
            <w:pPr>
              <w:snapToGrid w:val="0"/>
              <w:rPr>
                <w:szCs w:val="21"/>
              </w:rPr>
            </w:pPr>
            <w:r>
              <w:rPr>
                <w:szCs w:val="21"/>
              </w:rPr>
              <w:t>应急组织机构、人员</w:t>
            </w:r>
          </w:p>
        </w:tc>
        <w:tc>
          <w:tcPr>
            <w:tcW w:w="5302" w:type="dxa"/>
            <w:vAlign w:val="center"/>
          </w:tcPr>
          <w:p w14:paraId="50B58C3E">
            <w:pPr>
              <w:snapToGrid w:val="0"/>
              <w:rPr>
                <w:szCs w:val="21"/>
              </w:rPr>
            </w:pPr>
            <w:r>
              <w:rPr>
                <w:szCs w:val="21"/>
              </w:rPr>
              <w:t>地区应急组织机构、人员</w:t>
            </w:r>
          </w:p>
        </w:tc>
      </w:tr>
      <w:tr w14:paraId="448F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3" w:type="dxa"/>
            <w:vAlign w:val="center"/>
          </w:tcPr>
          <w:p w14:paraId="19DA19A1">
            <w:pPr>
              <w:snapToGrid w:val="0"/>
              <w:jc w:val="center"/>
              <w:rPr>
                <w:szCs w:val="21"/>
              </w:rPr>
            </w:pPr>
            <w:r>
              <w:rPr>
                <w:szCs w:val="21"/>
              </w:rPr>
              <w:t>3</w:t>
            </w:r>
          </w:p>
        </w:tc>
        <w:tc>
          <w:tcPr>
            <w:tcW w:w="2240" w:type="dxa"/>
            <w:vAlign w:val="center"/>
          </w:tcPr>
          <w:p w14:paraId="5F15E537">
            <w:pPr>
              <w:snapToGrid w:val="0"/>
              <w:rPr>
                <w:szCs w:val="21"/>
              </w:rPr>
            </w:pPr>
            <w:r>
              <w:rPr>
                <w:szCs w:val="21"/>
              </w:rPr>
              <w:t>预案分级响应条件</w:t>
            </w:r>
          </w:p>
        </w:tc>
        <w:tc>
          <w:tcPr>
            <w:tcW w:w="5302" w:type="dxa"/>
            <w:vAlign w:val="center"/>
          </w:tcPr>
          <w:p w14:paraId="660763DE">
            <w:pPr>
              <w:snapToGrid w:val="0"/>
              <w:rPr>
                <w:szCs w:val="21"/>
              </w:rPr>
            </w:pPr>
            <w:r>
              <w:rPr>
                <w:szCs w:val="21"/>
              </w:rPr>
              <w:t>规定预案的级别及分级响应程序</w:t>
            </w:r>
          </w:p>
        </w:tc>
      </w:tr>
      <w:tr w14:paraId="1484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3" w:type="dxa"/>
            <w:vAlign w:val="center"/>
          </w:tcPr>
          <w:p w14:paraId="42491649">
            <w:pPr>
              <w:snapToGrid w:val="0"/>
              <w:jc w:val="center"/>
              <w:rPr>
                <w:szCs w:val="21"/>
              </w:rPr>
            </w:pPr>
            <w:r>
              <w:rPr>
                <w:szCs w:val="21"/>
              </w:rPr>
              <w:t>4</w:t>
            </w:r>
          </w:p>
        </w:tc>
        <w:tc>
          <w:tcPr>
            <w:tcW w:w="2240" w:type="dxa"/>
            <w:vAlign w:val="center"/>
          </w:tcPr>
          <w:p w14:paraId="08E8D0E7">
            <w:pPr>
              <w:snapToGrid w:val="0"/>
              <w:rPr>
                <w:szCs w:val="21"/>
              </w:rPr>
            </w:pPr>
            <w:r>
              <w:rPr>
                <w:szCs w:val="21"/>
              </w:rPr>
              <w:t>应急救援保障</w:t>
            </w:r>
          </w:p>
        </w:tc>
        <w:tc>
          <w:tcPr>
            <w:tcW w:w="5302" w:type="dxa"/>
            <w:vAlign w:val="center"/>
          </w:tcPr>
          <w:p w14:paraId="66A2F459">
            <w:pPr>
              <w:snapToGrid w:val="0"/>
              <w:rPr>
                <w:szCs w:val="21"/>
              </w:rPr>
            </w:pPr>
            <w:r>
              <w:rPr>
                <w:szCs w:val="21"/>
              </w:rPr>
              <w:t>应急设施，设备与器材等</w:t>
            </w:r>
          </w:p>
        </w:tc>
      </w:tr>
      <w:tr w14:paraId="6462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3" w:type="dxa"/>
            <w:vAlign w:val="center"/>
          </w:tcPr>
          <w:p w14:paraId="4B10BC83">
            <w:pPr>
              <w:snapToGrid w:val="0"/>
              <w:jc w:val="center"/>
              <w:rPr>
                <w:szCs w:val="21"/>
              </w:rPr>
            </w:pPr>
            <w:r>
              <w:rPr>
                <w:szCs w:val="21"/>
              </w:rPr>
              <w:t>5</w:t>
            </w:r>
          </w:p>
        </w:tc>
        <w:tc>
          <w:tcPr>
            <w:tcW w:w="2240" w:type="dxa"/>
            <w:vAlign w:val="center"/>
          </w:tcPr>
          <w:p w14:paraId="5C1CCDDF">
            <w:pPr>
              <w:snapToGrid w:val="0"/>
              <w:rPr>
                <w:szCs w:val="21"/>
              </w:rPr>
            </w:pPr>
            <w:r>
              <w:rPr>
                <w:szCs w:val="21"/>
              </w:rPr>
              <w:t>报警、通讯联络方式</w:t>
            </w:r>
          </w:p>
        </w:tc>
        <w:tc>
          <w:tcPr>
            <w:tcW w:w="5302" w:type="dxa"/>
            <w:vAlign w:val="center"/>
          </w:tcPr>
          <w:p w14:paraId="5812CD82">
            <w:pPr>
              <w:snapToGrid w:val="0"/>
              <w:rPr>
                <w:szCs w:val="21"/>
              </w:rPr>
            </w:pPr>
            <w:r>
              <w:rPr>
                <w:szCs w:val="21"/>
              </w:rPr>
              <w:t>规定应急状态下的报警通讯方式、通知方式和交通保障、管制</w:t>
            </w:r>
          </w:p>
        </w:tc>
      </w:tr>
      <w:tr w14:paraId="29CA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3" w:type="dxa"/>
            <w:vAlign w:val="center"/>
          </w:tcPr>
          <w:p w14:paraId="41D80230">
            <w:pPr>
              <w:snapToGrid w:val="0"/>
              <w:jc w:val="center"/>
              <w:rPr>
                <w:szCs w:val="21"/>
              </w:rPr>
            </w:pPr>
            <w:r>
              <w:rPr>
                <w:szCs w:val="21"/>
              </w:rPr>
              <w:t>6</w:t>
            </w:r>
          </w:p>
        </w:tc>
        <w:tc>
          <w:tcPr>
            <w:tcW w:w="2240" w:type="dxa"/>
            <w:vAlign w:val="center"/>
          </w:tcPr>
          <w:p w14:paraId="16D8BB3D">
            <w:pPr>
              <w:snapToGrid w:val="0"/>
              <w:rPr>
                <w:szCs w:val="21"/>
              </w:rPr>
            </w:pPr>
            <w:r>
              <w:rPr>
                <w:szCs w:val="21"/>
              </w:rPr>
              <w:t>应急环境监测、抢险、救援及控制措施</w:t>
            </w:r>
          </w:p>
        </w:tc>
        <w:tc>
          <w:tcPr>
            <w:tcW w:w="5302" w:type="dxa"/>
            <w:vAlign w:val="center"/>
          </w:tcPr>
          <w:p w14:paraId="1393D7CC">
            <w:pPr>
              <w:pStyle w:val="50"/>
              <w:snapToGrid w:val="0"/>
              <w:ind w:left="0" w:leftChars="0"/>
              <w:rPr>
                <w:szCs w:val="21"/>
              </w:rPr>
            </w:pPr>
            <w:r>
              <w:rPr>
                <w:szCs w:val="21"/>
              </w:rPr>
              <w:t>由专业队伍负责对事故现场进行侦察监测，对事故性质、参数与后果进行评估，为指挥部门提供决策依据</w:t>
            </w:r>
          </w:p>
        </w:tc>
      </w:tr>
      <w:tr w14:paraId="2C4E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3" w:type="dxa"/>
            <w:vAlign w:val="center"/>
          </w:tcPr>
          <w:p w14:paraId="561B92D1">
            <w:pPr>
              <w:snapToGrid w:val="0"/>
              <w:jc w:val="center"/>
              <w:rPr>
                <w:szCs w:val="21"/>
              </w:rPr>
            </w:pPr>
            <w:r>
              <w:rPr>
                <w:szCs w:val="21"/>
              </w:rPr>
              <w:t>7</w:t>
            </w:r>
          </w:p>
        </w:tc>
        <w:tc>
          <w:tcPr>
            <w:tcW w:w="2240" w:type="dxa"/>
            <w:vAlign w:val="center"/>
          </w:tcPr>
          <w:p w14:paraId="7ADC3337">
            <w:pPr>
              <w:snapToGrid w:val="0"/>
              <w:rPr>
                <w:szCs w:val="21"/>
              </w:rPr>
            </w:pPr>
            <w:r>
              <w:rPr>
                <w:szCs w:val="21"/>
              </w:rPr>
              <w:t>应急检测、防护措施、清除泄漏措施和器材</w:t>
            </w:r>
          </w:p>
        </w:tc>
        <w:tc>
          <w:tcPr>
            <w:tcW w:w="5302" w:type="dxa"/>
            <w:vAlign w:val="center"/>
          </w:tcPr>
          <w:p w14:paraId="6CA5B645">
            <w:pPr>
              <w:pStyle w:val="957"/>
              <w:adjustRightInd w:val="0"/>
              <w:snapToGrid w:val="0"/>
              <w:rPr>
                <w:szCs w:val="21"/>
              </w:rPr>
            </w:pPr>
            <w:r>
              <w:rPr>
                <w:szCs w:val="21"/>
              </w:rPr>
              <w:t>事故现场、邻近区域、控制防火区域，控制和清除污染措施及设备</w:t>
            </w:r>
          </w:p>
        </w:tc>
      </w:tr>
      <w:tr w14:paraId="6062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3" w:type="dxa"/>
            <w:vAlign w:val="center"/>
          </w:tcPr>
          <w:p w14:paraId="56E4C19C">
            <w:pPr>
              <w:snapToGrid w:val="0"/>
              <w:jc w:val="center"/>
              <w:rPr>
                <w:szCs w:val="21"/>
              </w:rPr>
            </w:pPr>
            <w:r>
              <w:rPr>
                <w:szCs w:val="21"/>
              </w:rPr>
              <w:t>8</w:t>
            </w:r>
          </w:p>
        </w:tc>
        <w:tc>
          <w:tcPr>
            <w:tcW w:w="2240" w:type="dxa"/>
            <w:vAlign w:val="center"/>
          </w:tcPr>
          <w:p w14:paraId="20E4550A">
            <w:pPr>
              <w:snapToGrid w:val="0"/>
              <w:rPr>
                <w:szCs w:val="21"/>
              </w:rPr>
            </w:pPr>
            <w:r>
              <w:rPr>
                <w:szCs w:val="21"/>
              </w:rPr>
              <w:t>人员紧急撤离、疏散，应急剂量控制、撤离计划</w:t>
            </w:r>
          </w:p>
        </w:tc>
        <w:tc>
          <w:tcPr>
            <w:tcW w:w="5302" w:type="dxa"/>
            <w:vAlign w:val="center"/>
          </w:tcPr>
          <w:p w14:paraId="729F3287">
            <w:pPr>
              <w:snapToGrid w:val="0"/>
              <w:rPr>
                <w:szCs w:val="21"/>
              </w:rPr>
            </w:pPr>
            <w:r>
              <w:rPr>
                <w:szCs w:val="21"/>
              </w:rPr>
              <w:t>事故现场、工厂邻近区、受事故影响的区域人员及公众对毒物应急剂量控制规定，撤离组织计划及救护，医疗救护公众健康</w:t>
            </w:r>
            <w:r>
              <w:rPr>
                <w:rFonts w:hint="eastAsia"/>
                <w:szCs w:val="21"/>
              </w:rPr>
              <w:t>。</w:t>
            </w:r>
          </w:p>
        </w:tc>
      </w:tr>
      <w:tr w14:paraId="669C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3" w:type="dxa"/>
            <w:vAlign w:val="center"/>
          </w:tcPr>
          <w:p w14:paraId="3723F278">
            <w:pPr>
              <w:snapToGrid w:val="0"/>
              <w:jc w:val="center"/>
              <w:rPr>
                <w:szCs w:val="21"/>
              </w:rPr>
            </w:pPr>
            <w:r>
              <w:rPr>
                <w:szCs w:val="21"/>
              </w:rPr>
              <w:t>9</w:t>
            </w:r>
          </w:p>
        </w:tc>
        <w:tc>
          <w:tcPr>
            <w:tcW w:w="2240" w:type="dxa"/>
            <w:vAlign w:val="center"/>
          </w:tcPr>
          <w:p w14:paraId="7919B278">
            <w:pPr>
              <w:snapToGrid w:val="0"/>
              <w:rPr>
                <w:szCs w:val="21"/>
              </w:rPr>
            </w:pPr>
            <w:r>
              <w:rPr>
                <w:szCs w:val="21"/>
              </w:rPr>
              <w:t>事故应急救援关闭程序与恢复措施</w:t>
            </w:r>
          </w:p>
        </w:tc>
        <w:tc>
          <w:tcPr>
            <w:tcW w:w="5302" w:type="dxa"/>
            <w:vAlign w:val="center"/>
          </w:tcPr>
          <w:p w14:paraId="69E08D5E">
            <w:pPr>
              <w:snapToGrid w:val="0"/>
              <w:rPr>
                <w:szCs w:val="21"/>
              </w:rPr>
            </w:pPr>
            <w:r>
              <w:rPr>
                <w:szCs w:val="21"/>
              </w:rPr>
              <w:t>规定应急状态终止程序；事故现场善后处理，恢复措施；邻近区域解除事故警戒及善后恢复措施</w:t>
            </w:r>
          </w:p>
        </w:tc>
      </w:tr>
      <w:tr w14:paraId="2D26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3" w:type="dxa"/>
            <w:vAlign w:val="center"/>
          </w:tcPr>
          <w:p w14:paraId="132A5D90">
            <w:pPr>
              <w:snapToGrid w:val="0"/>
              <w:jc w:val="center"/>
              <w:rPr>
                <w:szCs w:val="21"/>
              </w:rPr>
            </w:pPr>
            <w:r>
              <w:rPr>
                <w:szCs w:val="21"/>
              </w:rPr>
              <w:t>10</w:t>
            </w:r>
          </w:p>
        </w:tc>
        <w:tc>
          <w:tcPr>
            <w:tcW w:w="2240" w:type="dxa"/>
            <w:vAlign w:val="center"/>
          </w:tcPr>
          <w:p w14:paraId="5B54205F">
            <w:pPr>
              <w:snapToGrid w:val="0"/>
              <w:rPr>
                <w:szCs w:val="21"/>
              </w:rPr>
            </w:pPr>
            <w:r>
              <w:rPr>
                <w:szCs w:val="21"/>
              </w:rPr>
              <w:t>应急培训计划</w:t>
            </w:r>
          </w:p>
        </w:tc>
        <w:tc>
          <w:tcPr>
            <w:tcW w:w="5302" w:type="dxa"/>
            <w:vAlign w:val="center"/>
          </w:tcPr>
          <w:p w14:paraId="456ACC28">
            <w:pPr>
              <w:snapToGrid w:val="0"/>
              <w:rPr>
                <w:szCs w:val="21"/>
              </w:rPr>
            </w:pPr>
            <w:r>
              <w:rPr>
                <w:szCs w:val="21"/>
              </w:rPr>
              <w:t>应急计划制定后，平时安排人员培训与演练</w:t>
            </w:r>
          </w:p>
        </w:tc>
      </w:tr>
      <w:tr w14:paraId="167A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3" w:type="dxa"/>
            <w:vAlign w:val="center"/>
          </w:tcPr>
          <w:p w14:paraId="486E89B8">
            <w:pPr>
              <w:snapToGrid w:val="0"/>
              <w:jc w:val="center"/>
              <w:rPr>
                <w:szCs w:val="21"/>
              </w:rPr>
            </w:pPr>
            <w:r>
              <w:rPr>
                <w:szCs w:val="21"/>
              </w:rPr>
              <w:t>11</w:t>
            </w:r>
          </w:p>
        </w:tc>
        <w:tc>
          <w:tcPr>
            <w:tcW w:w="2240" w:type="dxa"/>
            <w:vAlign w:val="center"/>
          </w:tcPr>
          <w:p w14:paraId="53A6465D">
            <w:pPr>
              <w:snapToGrid w:val="0"/>
              <w:rPr>
                <w:szCs w:val="21"/>
              </w:rPr>
            </w:pPr>
            <w:r>
              <w:rPr>
                <w:szCs w:val="21"/>
              </w:rPr>
              <w:t>公众教育和信息</w:t>
            </w:r>
          </w:p>
        </w:tc>
        <w:tc>
          <w:tcPr>
            <w:tcW w:w="5302" w:type="dxa"/>
            <w:vAlign w:val="center"/>
          </w:tcPr>
          <w:p w14:paraId="2CE6348E">
            <w:pPr>
              <w:snapToGrid w:val="0"/>
              <w:rPr>
                <w:szCs w:val="21"/>
              </w:rPr>
            </w:pPr>
            <w:r>
              <w:rPr>
                <w:szCs w:val="21"/>
              </w:rPr>
              <w:t>对</w:t>
            </w:r>
            <w:r>
              <w:rPr>
                <w:rFonts w:hint="eastAsia"/>
                <w:szCs w:val="21"/>
              </w:rPr>
              <w:t>平台</w:t>
            </w:r>
            <w:r>
              <w:rPr>
                <w:szCs w:val="21"/>
              </w:rPr>
              <w:t>邻近地区开展公众教育、培训和发布有关信息</w:t>
            </w:r>
          </w:p>
        </w:tc>
      </w:tr>
    </w:tbl>
    <w:p w14:paraId="04C063FC">
      <w:pPr>
        <w:adjustRightInd w:val="0"/>
        <w:snapToGrid w:val="0"/>
        <w:ind w:firstLine="522"/>
        <w:rPr>
          <w:sz w:val="26"/>
          <w:szCs w:val="26"/>
        </w:rPr>
      </w:pPr>
    </w:p>
    <w:p w14:paraId="63C87969">
      <w:pPr>
        <w:adjustRightInd w:val="0"/>
        <w:snapToGrid w:val="0"/>
        <w:spacing w:line="460" w:lineRule="exact"/>
        <w:ind w:firstLine="520" w:firstLineChars="200"/>
        <w:rPr>
          <w:sz w:val="26"/>
          <w:szCs w:val="26"/>
        </w:rPr>
      </w:pPr>
      <w:r>
        <w:rPr>
          <w:rFonts w:hint="eastAsia"/>
          <w:sz w:val="26"/>
          <w:szCs w:val="26"/>
        </w:rPr>
        <w:t>（1）应急计划区</w:t>
      </w:r>
    </w:p>
    <w:p w14:paraId="1CE69A32">
      <w:pPr>
        <w:adjustRightInd w:val="0"/>
        <w:snapToGrid w:val="0"/>
        <w:spacing w:line="460" w:lineRule="exact"/>
        <w:ind w:firstLine="520" w:firstLineChars="200"/>
        <w:rPr>
          <w:sz w:val="26"/>
          <w:szCs w:val="26"/>
        </w:rPr>
      </w:pPr>
      <w:r>
        <w:rPr>
          <w:rFonts w:hint="eastAsia"/>
          <w:sz w:val="26"/>
          <w:szCs w:val="26"/>
        </w:rPr>
        <w:t>建设单位应根据本工程的安全预评价制定应急计划区，评价要求将本报告提出的环境保护目标纳入应急计划区。</w:t>
      </w:r>
    </w:p>
    <w:p w14:paraId="55B63CF7">
      <w:pPr>
        <w:adjustRightInd w:val="0"/>
        <w:snapToGrid w:val="0"/>
        <w:spacing w:line="460" w:lineRule="exact"/>
        <w:ind w:firstLine="520" w:firstLineChars="200"/>
        <w:rPr>
          <w:sz w:val="26"/>
          <w:szCs w:val="26"/>
        </w:rPr>
      </w:pPr>
      <w:r>
        <w:rPr>
          <w:rFonts w:hint="eastAsia"/>
          <w:sz w:val="26"/>
          <w:szCs w:val="26"/>
        </w:rPr>
        <w:t>（2）应急组织结构</w:t>
      </w:r>
    </w:p>
    <w:p w14:paraId="4B4DB08A">
      <w:pPr>
        <w:adjustRightInd w:val="0"/>
        <w:snapToGrid w:val="0"/>
        <w:spacing w:line="460" w:lineRule="exact"/>
        <w:ind w:firstLine="520" w:firstLineChars="200"/>
        <w:rPr>
          <w:sz w:val="26"/>
          <w:szCs w:val="26"/>
        </w:rPr>
      </w:pPr>
      <w:r>
        <w:rPr>
          <w:rFonts w:hint="eastAsia"/>
          <w:sz w:val="26"/>
          <w:szCs w:val="26"/>
        </w:rPr>
        <w:t>建设单位对项目下属站场，应急组织结构进行明确划分，分别成立事故抢修指挥小组、技术组、调度组、安全、消防组、抢险组、作业组、物资供应和后勤保障组。对各小组的职责进行规定。同时确定事故抢修组织体系，采取分级处理原则。</w:t>
      </w:r>
    </w:p>
    <w:p w14:paraId="7E7A6BAE">
      <w:pPr>
        <w:adjustRightInd w:val="0"/>
        <w:snapToGrid w:val="0"/>
        <w:spacing w:line="460" w:lineRule="exact"/>
        <w:ind w:firstLine="520" w:firstLineChars="200"/>
        <w:rPr>
          <w:sz w:val="26"/>
          <w:szCs w:val="26"/>
        </w:rPr>
      </w:pPr>
      <w:r>
        <w:rPr>
          <w:rFonts w:hint="eastAsia"/>
          <w:sz w:val="26"/>
          <w:szCs w:val="26"/>
        </w:rPr>
        <w:t>根据事故的严重程度和现场能够处理的能力，本级能够处理的在处理以后再向上一级汇报，本级不能处理的必须立即向上一级汇报。</w:t>
      </w:r>
    </w:p>
    <w:p w14:paraId="3981F257">
      <w:pPr>
        <w:adjustRightInd w:val="0"/>
        <w:snapToGrid w:val="0"/>
        <w:spacing w:line="460" w:lineRule="exact"/>
        <w:ind w:firstLine="520" w:firstLineChars="200"/>
        <w:rPr>
          <w:sz w:val="26"/>
          <w:szCs w:val="26"/>
        </w:rPr>
      </w:pPr>
      <w:r>
        <w:rPr>
          <w:rFonts w:hint="eastAsia"/>
          <w:sz w:val="26"/>
          <w:szCs w:val="26"/>
        </w:rPr>
        <w:t>（3）应急设施</w:t>
      </w:r>
    </w:p>
    <w:p w14:paraId="493ABE75">
      <w:pPr>
        <w:adjustRightInd w:val="0"/>
        <w:snapToGrid w:val="0"/>
        <w:spacing w:line="460" w:lineRule="exact"/>
        <w:ind w:firstLine="520" w:firstLineChars="200"/>
        <w:rPr>
          <w:sz w:val="26"/>
          <w:szCs w:val="26"/>
        </w:rPr>
      </w:pPr>
      <w:r>
        <w:rPr>
          <w:rFonts w:hint="eastAsia"/>
          <w:sz w:val="26"/>
          <w:szCs w:val="26"/>
        </w:rPr>
        <w:t>①应急响应流程</w:t>
      </w:r>
    </w:p>
    <w:p w14:paraId="6DA979F3">
      <w:pPr>
        <w:adjustRightInd w:val="0"/>
        <w:snapToGrid w:val="0"/>
        <w:spacing w:line="460" w:lineRule="exact"/>
        <w:ind w:firstLine="520" w:firstLineChars="200"/>
        <w:rPr>
          <w:sz w:val="26"/>
          <w:szCs w:val="26"/>
        </w:rPr>
      </w:pPr>
      <w:r>
        <w:rPr>
          <w:rFonts w:hint="eastAsia"/>
          <w:sz w:val="26"/>
          <w:szCs w:val="26"/>
        </w:rPr>
        <w:t>突发事件应急响应流程图见</w:t>
      </w:r>
      <w:r>
        <w:rPr>
          <w:rFonts w:hint="eastAsia"/>
          <w:sz w:val="26"/>
          <w:szCs w:val="26"/>
          <w:u w:val="single"/>
        </w:rPr>
        <w:t>图7.7-1</w:t>
      </w:r>
      <w:r>
        <w:rPr>
          <w:rFonts w:hint="eastAsia"/>
          <w:sz w:val="26"/>
          <w:szCs w:val="26"/>
        </w:rPr>
        <w:t>。应急响应的过程分为接警、判断响应级别、应急启动、控制及救援行动、扩大应急、应急终止和后期处置等步骤。</w:t>
      </w:r>
    </w:p>
    <w:p w14:paraId="19B84B40">
      <w:pPr>
        <w:adjustRightInd w:val="0"/>
        <w:snapToGrid w:val="0"/>
        <w:spacing w:line="460" w:lineRule="exact"/>
        <w:ind w:firstLine="520" w:firstLineChars="200"/>
        <w:rPr>
          <w:sz w:val="26"/>
          <w:szCs w:val="26"/>
        </w:rPr>
      </w:pPr>
      <w:r>
        <w:rPr>
          <w:rFonts w:hint="eastAsia"/>
          <w:sz w:val="26"/>
          <w:szCs w:val="26"/>
        </w:rPr>
        <w:t>②通讯联系方式</w:t>
      </w:r>
    </w:p>
    <w:p w14:paraId="4E2BA659">
      <w:pPr>
        <w:adjustRightInd w:val="0"/>
        <w:snapToGrid w:val="0"/>
        <w:spacing w:line="460" w:lineRule="exact"/>
        <w:ind w:firstLine="520" w:firstLineChars="200"/>
        <w:rPr>
          <w:sz w:val="26"/>
          <w:szCs w:val="26"/>
        </w:rPr>
      </w:pPr>
      <w:r>
        <w:rPr>
          <w:rFonts w:hint="eastAsia"/>
          <w:sz w:val="26"/>
          <w:szCs w:val="26"/>
        </w:rPr>
        <w:t>A、报告方式：通常方式有捎口信、固定电话、移动电话、传真和网络。</w:t>
      </w:r>
    </w:p>
    <w:p w14:paraId="7B9984D6">
      <w:pPr>
        <w:adjustRightInd w:val="0"/>
        <w:snapToGrid w:val="0"/>
        <w:spacing w:line="460" w:lineRule="exact"/>
        <w:ind w:firstLine="520" w:firstLineChars="200"/>
        <w:rPr>
          <w:sz w:val="26"/>
          <w:szCs w:val="26"/>
        </w:rPr>
      </w:pPr>
      <w:r>
        <w:rPr>
          <w:rFonts w:hint="eastAsia"/>
          <w:sz w:val="26"/>
          <w:szCs w:val="26"/>
        </w:rPr>
        <w:t>作业区向上级报告，除非特别紧急的情况采用电话报告外，其它一律书面报告（电传）。作业区向当地乡镇、县、市级政府及其职能部门报告事故时，采用先电话告之，后附书面报告。作业区向村社报告事故时，采用电话或口头报告形式。</w:t>
      </w:r>
    </w:p>
    <w:p w14:paraId="4B8A0425">
      <w:pPr>
        <w:adjustRightInd w:val="0"/>
        <w:snapToGrid w:val="0"/>
        <w:spacing w:line="460" w:lineRule="exact"/>
        <w:ind w:firstLine="520" w:firstLineChars="200"/>
        <w:rPr>
          <w:sz w:val="26"/>
          <w:szCs w:val="26"/>
        </w:rPr>
      </w:pPr>
      <w:r>
        <w:rPr>
          <w:rFonts w:hint="eastAsia"/>
          <w:sz w:val="26"/>
          <w:szCs w:val="26"/>
        </w:rPr>
        <w:t>B、报警方式：作业区确认事故后，对社会公众报警的方式为：电告当地市、县、镇人民政府和所属村社；电告110、119；电告社会团体或企事业单位；用高音喇叭通知社会居民或采用口信，一传十，十传百的方式；借助天然气救险车的扩音设备，巡回告之用高音喇叭通知社会居民或采用口信，一传十，十传百的方式。借助天然气救险车的扩音设备，巡回告之。</w:t>
      </w:r>
    </w:p>
    <w:p w14:paraId="08CDE9C5">
      <w:pPr>
        <w:adjustRightInd w:val="0"/>
        <w:snapToGrid w:val="0"/>
        <w:spacing w:line="460" w:lineRule="exact"/>
        <w:ind w:firstLine="520" w:firstLineChars="200"/>
        <w:rPr>
          <w:sz w:val="26"/>
          <w:szCs w:val="26"/>
        </w:rPr>
      </w:pPr>
    </w:p>
    <w:p w14:paraId="5E8DD460">
      <w:pPr>
        <w:adjustRightInd w:val="0"/>
        <w:snapToGrid w:val="0"/>
        <w:jc w:val="center"/>
        <w:rPr>
          <w:sz w:val="26"/>
          <w:szCs w:val="26"/>
        </w:rPr>
      </w:pPr>
      <w:r>
        <w:drawing>
          <wp:inline distT="0" distB="0" distL="0" distR="0">
            <wp:extent cx="4699000" cy="6416675"/>
            <wp:effectExtent l="0" t="0" r="6350" b="317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4699000" cy="6416675"/>
                    </a:xfrm>
                    <a:prstGeom prst="rect">
                      <a:avLst/>
                    </a:prstGeom>
                    <a:noFill/>
                    <a:ln>
                      <a:noFill/>
                    </a:ln>
                  </pic:spPr>
                </pic:pic>
              </a:graphicData>
            </a:graphic>
          </wp:inline>
        </w:drawing>
      </w:r>
    </w:p>
    <w:p w14:paraId="02194E5B">
      <w:pPr>
        <w:adjustRightInd w:val="0"/>
        <w:snapToGrid w:val="0"/>
        <w:spacing w:line="460" w:lineRule="exact"/>
        <w:ind w:firstLine="520" w:firstLineChars="200"/>
        <w:jc w:val="center"/>
        <w:rPr>
          <w:sz w:val="26"/>
          <w:szCs w:val="26"/>
        </w:rPr>
      </w:pPr>
      <w:r>
        <w:rPr>
          <w:rFonts w:hint="eastAsia"/>
          <w:sz w:val="26"/>
          <w:szCs w:val="26"/>
        </w:rPr>
        <w:t>图7.7-1   应急响应流程图</w:t>
      </w:r>
    </w:p>
    <w:p w14:paraId="1FDFA69E">
      <w:pPr>
        <w:adjustRightInd w:val="0"/>
        <w:snapToGrid w:val="0"/>
        <w:spacing w:line="460" w:lineRule="exact"/>
        <w:ind w:firstLine="520" w:firstLineChars="200"/>
        <w:rPr>
          <w:sz w:val="26"/>
          <w:szCs w:val="26"/>
        </w:rPr>
      </w:pPr>
      <w:r>
        <w:rPr>
          <w:rFonts w:hint="eastAsia"/>
          <w:sz w:val="26"/>
          <w:szCs w:val="26"/>
        </w:rPr>
        <w:t>（4）应急处理措施</w:t>
      </w:r>
    </w:p>
    <w:p w14:paraId="6207BFA9">
      <w:pPr>
        <w:adjustRightInd w:val="0"/>
        <w:snapToGrid w:val="0"/>
        <w:spacing w:line="460" w:lineRule="exact"/>
        <w:ind w:firstLine="520" w:firstLineChars="200"/>
        <w:rPr>
          <w:sz w:val="26"/>
          <w:szCs w:val="26"/>
        </w:rPr>
      </w:pPr>
      <w:r>
        <w:rPr>
          <w:rFonts w:hint="eastAsia"/>
          <w:sz w:val="26"/>
          <w:szCs w:val="26"/>
        </w:rPr>
        <w:t>①应急反应</w:t>
      </w:r>
    </w:p>
    <w:p w14:paraId="5E509314">
      <w:pPr>
        <w:adjustRightInd w:val="0"/>
        <w:snapToGrid w:val="0"/>
        <w:spacing w:line="460" w:lineRule="exact"/>
        <w:ind w:firstLine="520" w:firstLineChars="200"/>
        <w:rPr>
          <w:sz w:val="26"/>
          <w:szCs w:val="26"/>
        </w:rPr>
      </w:pPr>
      <w:r>
        <w:rPr>
          <w:rFonts w:hint="eastAsia"/>
          <w:sz w:val="26"/>
          <w:szCs w:val="26"/>
        </w:rPr>
        <w:t>险情发生后，应急指挥启动应急预案；应急指挥组立即形成，由应急指挥组组长统一发布应急指挥命令；生产抢修组负责现场流程的切换，协调、配合抢险单位实施应急抢险工作，以及在应急情况下现场人员的疏散；HSE监护组负责现场可燃气体的检测，安全警戒线的设置，并配合相关单位实施应急救援；通讯联络组负责建立抢险单位、救援单位及地方政府有关部门的联络；后勤保障组负责抢险物资组织，后勤、车辆的保障；二级应急指挥组完成一级应急指挥组交于的任务。</w:t>
      </w:r>
    </w:p>
    <w:p w14:paraId="54275A8E">
      <w:pPr>
        <w:adjustRightInd w:val="0"/>
        <w:snapToGrid w:val="0"/>
        <w:spacing w:line="460" w:lineRule="exact"/>
        <w:ind w:firstLine="520" w:firstLineChars="200"/>
        <w:rPr>
          <w:sz w:val="26"/>
          <w:szCs w:val="26"/>
        </w:rPr>
      </w:pPr>
      <w:r>
        <w:rPr>
          <w:rFonts w:hint="eastAsia"/>
          <w:sz w:val="26"/>
          <w:szCs w:val="26"/>
        </w:rPr>
        <w:t>②事故现场警戒区的设立</w:t>
      </w:r>
    </w:p>
    <w:p w14:paraId="04C9CFD5">
      <w:pPr>
        <w:adjustRightInd w:val="0"/>
        <w:snapToGrid w:val="0"/>
        <w:spacing w:line="460" w:lineRule="exact"/>
        <w:ind w:firstLine="520" w:firstLineChars="200"/>
        <w:rPr>
          <w:sz w:val="26"/>
          <w:szCs w:val="26"/>
        </w:rPr>
      </w:pPr>
      <w:r>
        <w:rPr>
          <w:rFonts w:hint="eastAsia"/>
          <w:sz w:val="26"/>
          <w:szCs w:val="26"/>
        </w:rPr>
        <w:t>警戒区的划定：根据站场及管道系统事故影响，结合事故现场可燃气体浓度检测结果划定警戒区。</w:t>
      </w:r>
    </w:p>
    <w:p w14:paraId="4D36D47A">
      <w:pPr>
        <w:adjustRightInd w:val="0"/>
        <w:snapToGrid w:val="0"/>
        <w:spacing w:line="460" w:lineRule="exact"/>
        <w:ind w:firstLine="520" w:firstLineChars="200"/>
        <w:rPr>
          <w:sz w:val="26"/>
          <w:szCs w:val="26"/>
        </w:rPr>
      </w:pPr>
      <w:r>
        <w:rPr>
          <w:rFonts w:hint="eastAsia"/>
          <w:sz w:val="26"/>
          <w:szCs w:val="26"/>
        </w:rPr>
        <w:t>事故现场隔离措施：HSE监护组在事故现场设置警戒线、警示标志，专人配合进行警戒，防止无关人员和机动车辆进入警戒区；HSE监护组负责检测事故现场周围天然气浓度，确认安全后，方可允许抢险车辆进入警戒区；所有进入警戒区的车辆必须配带好防火帽。所有抢修车辆、发电机、电焊机等抢修工具必须停放在上风口，距事故点50m以外，未经允许不准发动；进入警戒区的抢修人员必须佩戴个人防护用品，熟悉撤离路线；在未确认事故现场抢修部位天然气浓度低于爆炸下限20%LEL时，严禁在警戒区域内使用非防爆工具和能够产生火花的电动工具。</w:t>
      </w:r>
    </w:p>
    <w:p w14:paraId="4B822BB4">
      <w:pPr>
        <w:adjustRightInd w:val="0"/>
        <w:snapToGrid w:val="0"/>
        <w:spacing w:line="460" w:lineRule="exact"/>
        <w:ind w:firstLine="520" w:firstLineChars="200"/>
        <w:rPr>
          <w:sz w:val="26"/>
          <w:szCs w:val="26"/>
        </w:rPr>
      </w:pPr>
      <w:r>
        <w:rPr>
          <w:rFonts w:hint="eastAsia"/>
          <w:sz w:val="26"/>
          <w:szCs w:val="26"/>
        </w:rPr>
        <w:t>③现场检测、监测与人员的防护</w:t>
      </w:r>
    </w:p>
    <w:p w14:paraId="5BD37AFF">
      <w:pPr>
        <w:adjustRightInd w:val="0"/>
        <w:snapToGrid w:val="0"/>
        <w:spacing w:line="460" w:lineRule="exact"/>
        <w:ind w:firstLine="520" w:firstLineChars="200"/>
        <w:rPr>
          <w:sz w:val="26"/>
          <w:szCs w:val="26"/>
        </w:rPr>
      </w:pPr>
      <w:r>
        <w:rPr>
          <w:rFonts w:hint="eastAsia"/>
          <w:sz w:val="26"/>
          <w:szCs w:val="26"/>
        </w:rPr>
        <w:t>HSE监护组负责对现场天然气浓度进行检测和监测工作；现场检测工作指进入事故现场前，检测人员对甲烷浓度、可燃气体浓度的检测。现场监测工作指应急抢修过程中检测人员对甲烷浓度、可燃气体浓度的检测；应急救援人员进入事故现场前，HSE监护组应首先对事故现场进行气体检测，确认事故现场检测合格后，应急救援人员方可进入事故现场；检测人员应携带必要的检测仪器对事故现场进行可燃气体检测工作；检测人员必须熟悉检测仪器的使用方法，具备必要的检测专业知识；检测人员必须穿戴防静电劳保服、佩带安全帽、防护镜，必要时应佩带空气呼吸器；检测人员必须熟悉异常情况下的应急措施和逃生路线；实施现场检测时，检测人员不得单独进入事故现场进行检测，要与外界保持通信联络；HSE监护组在整个应急抢修过程中，应对事故现场实时监测。监测人员应根据现场情况合理布置现场可燃气体监测点，确定具体数量和位置；现场监测过程中，监测人员一旦发现异常情况，应立即向现场人员发出警告，同时报告现场管理单位负责人。</w:t>
      </w:r>
    </w:p>
    <w:p w14:paraId="5B2263F9">
      <w:pPr>
        <w:adjustRightInd w:val="0"/>
        <w:snapToGrid w:val="0"/>
        <w:spacing w:line="460" w:lineRule="exact"/>
        <w:ind w:firstLine="520" w:firstLineChars="200"/>
        <w:rPr>
          <w:sz w:val="26"/>
          <w:szCs w:val="26"/>
        </w:rPr>
      </w:pPr>
      <w:r>
        <w:rPr>
          <w:rFonts w:hint="eastAsia"/>
          <w:sz w:val="26"/>
          <w:szCs w:val="26"/>
        </w:rPr>
        <w:t>④异常情况下抢险人员的撤离</w:t>
      </w:r>
    </w:p>
    <w:p w14:paraId="51623168">
      <w:pPr>
        <w:adjustRightInd w:val="0"/>
        <w:snapToGrid w:val="0"/>
        <w:spacing w:line="460" w:lineRule="exact"/>
        <w:ind w:firstLine="520" w:firstLineChars="200"/>
        <w:rPr>
          <w:sz w:val="26"/>
          <w:szCs w:val="26"/>
        </w:rPr>
      </w:pPr>
      <w:r>
        <w:rPr>
          <w:rFonts w:hint="eastAsia"/>
          <w:sz w:val="26"/>
          <w:szCs w:val="26"/>
        </w:rPr>
        <w:t>HSE监护组负责事故抢修现场异常情况的监测，包括甲烷超过毒性浓度终点值、可燃气体浓度超过报警值、可燃气体浓度达到爆炸范围、现场发生火灾、现场发生爆炸等；异常情况下，HSE监护组及时向现场人员发出警报，生产抢修组立即组织现场抢修人员安全撤离；抢险人员接到警报后，立即按照既定撤离路线组织撤离；撤离应根据实际情况，本着“先人员、后机具、设备”的原则进行；到达安全区域集合地点后，站场负责清点人数，发现人员失踪，向应急救援指挥部报告。</w:t>
      </w:r>
    </w:p>
    <w:p w14:paraId="3F0E367A">
      <w:pPr>
        <w:adjustRightInd w:val="0"/>
        <w:snapToGrid w:val="0"/>
        <w:spacing w:line="460" w:lineRule="exact"/>
        <w:ind w:firstLine="520" w:firstLineChars="200"/>
        <w:rPr>
          <w:sz w:val="26"/>
          <w:szCs w:val="26"/>
        </w:rPr>
      </w:pPr>
      <w:r>
        <w:rPr>
          <w:rFonts w:hint="eastAsia"/>
          <w:sz w:val="26"/>
          <w:szCs w:val="26"/>
        </w:rPr>
        <w:t>⑤事故扩大后的应急措施</w:t>
      </w:r>
    </w:p>
    <w:p w14:paraId="1F4CBC0A">
      <w:pPr>
        <w:adjustRightInd w:val="0"/>
        <w:snapToGrid w:val="0"/>
        <w:spacing w:line="460" w:lineRule="exact"/>
        <w:ind w:firstLine="520" w:firstLineChars="200"/>
        <w:rPr>
          <w:sz w:val="26"/>
          <w:szCs w:val="26"/>
        </w:rPr>
      </w:pPr>
      <w:r>
        <w:rPr>
          <w:rFonts w:hint="eastAsia"/>
          <w:sz w:val="26"/>
          <w:szCs w:val="26"/>
        </w:rPr>
        <w:t>根据现场情况应立即扩大警戒范围，根据现场情况组织疏散危险区范围内群众，消灭火源，保证安全；立即组织现场应急救援人员撤离危险区；及时组织对事故扩大原因进行分析，采取果断措施控制事态进一步发展；针对现场情况，迅速制定进一步的应急救援方案；报请建设单位调集更多救援队伍，赶赴现场进行支援。</w:t>
      </w:r>
    </w:p>
    <w:p w14:paraId="5DD69DAE">
      <w:pPr>
        <w:adjustRightInd w:val="0"/>
        <w:snapToGrid w:val="0"/>
        <w:spacing w:line="460" w:lineRule="exact"/>
        <w:ind w:firstLine="520" w:firstLineChars="200"/>
        <w:rPr>
          <w:sz w:val="26"/>
          <w:szCs w:val="26"/>
        </w:rPr>
      </w:pPr>
      <w:r>
        <w:rPr>
          <w:rFonts w:hint="eastAsia"/>
          <w:sz w:val="26"/>
          <w:szCs w:val="26"/>
        </w:rPr>
        <w:t>⑥火灾次生污染物环境风险影响消除措施</w:t>
      </w:r>
    </w:p>
    <w:p w14:paraId="0D6BF215">
      <w:pPr>
        <w:adjustRightInd w:val="0"/>
        <w:snapToGrid w:val="0"/>
        <w:spacing w:line="460" w:lineRule="exact"/>
        <w:ind w:firstLine="520" w:firstLineChars="200"/>
        <w:rPr>
          <w:sz w:val="26"/>
          <w:szCs w:val="26"/>
        </w:rPr>
      </w:pPr>
      <w:r>
        <w:rPr>
          <w:rFonts w:hint="eastAsia"/>
          <w:sz w:val="26"/>
          <w:szCs w:val="26"/>
        </w:rPr>
        <w:t>在发生火灾事故时严格按照消防相关要求进行灭火，发生事故后，首先立即关闭事故管段两侧的站场截断阀，然后立即启动灭火等事故消除措施，控制事故影响扩散范围。对灭火产生消防废水，采取截留收集措施，根据现场情况修建截水沟和沉淀池对消防废水进行收集暂存，然后根据消防废水水质情况采取下一步处理措施，若火灾范围很小，消防废水中的除SS外无其他污染物，则可就近沉淀处理后排放；若火灾范围较大，消防废水中污染物成分较为复杂，则采用罐车将收集的消防废水就近运至可接受且环保手续齐全的污水处理厂处理。</w:t>
      </w:r>
    </w:p>
    <w:p w14:paraId="0132C941">
      <w:pPr>
        <w:adjustRightInd w:val="0"/>
        <w:snapToGrid w:val="0"/>
        <w:spacing w:line="460" w:lineRule="exact"/>
        <w:ind w:firstLine="520" w:firstLineChars="200"/>
        <w:rPr>
          <w:sz w:val="26"/>
          <w:szCs w:val="26"/>
        </w:rPr>
      </w:pPr>
      <w:r>
        <w:rPr>
          <w:rFonts w:hint="eastAsia"/>
          <w:sz w:val="26"/>
          <w:szCs w:val="26"/>
        </w:rPr>
        <w:t>（5）事故后恢复程序</w:t>
      </w:r>
    </w:p>
    <w:p w14:paraId="145F69E1">
      <w:pPr>
        <w:adjustRightInd w:val="0"/>
        <w:snapToGrid w:val="0"/>
        <w:spacing w:line="460" w:lineRule="exact"/>
        <w:ind w:firstLine="520" w:firstLineChars="200"/>
        <w:rPr>
          <w:sz w:val="26"/>
          <w:szCs w:val="26"/>
        </w:rPr>
      </w:pPr>
      <w:r>
        <w:rPr>
          <w:rFonts w:hint="eastAsia"/>
          <w:sz w:val="26"/>
          <w:szCs w:val="26"/>
        </w:rPr>
        <w:t>当恢复生产后，善后工作由现场人员负责具体落实，主要包括以下内容：对现场进行清理，撤除所有的机具设备；恢复地貌、植被；疏通河道、交通；根据事故破坏情况，进行评估，按照相关法律，进行赔偿；做好各项记录，进行归档整理。</w:t>
      </w:r>
    </w:p>
    <w:p w14:paraId="2B6D971C">
      <w:pPr>
        <w:adjustRightInd w:val="0"/>
        <w:snapToGrid w:val="0"/>
        <w:spacing w:line="460" w:lineRule="exact"/>
        <w:ind w:firstLine="520" w:firstLineChars="200"/>
        <w:rPr>
          <w:sz w:val="26"/>
          <w:szCs w:val="26"/>
        </w:rPr>
      </w:pPr>
      <w:r>
        <w:rPr>
          <w:rFonts w:hint="eastAsia"/>
          <w:sz w:val="26"/>
          <w:szCs w:val="26"/>
        </w:rPr>
        <w:t>（6）应急培训与演练</w:t>
      </w:r>
    </w:p>
    <w:p w14:paraId="264ADF42">
      <w:pPr>
        <w:adjustRightInd w:val="0"/>
        <w:snapToGrid w:val="0"/>
        <w:spacing w:line="460" w:lineRule="exact"/>
        <w:ind w:firstLine="520" w:firstLineChars="200"/>
        <w:rPr>
          <w:sz w:val="26"/>
          <w:szCs w:val="26"/>
        </w:rPr>
      </w:pPr>
      <w:r>
        <w:rPr>
          <w:rFonts w:hint="eastAsia"/>
          <w:sz w:val="26"/>
          <w:szCs w:val="26"/>
        </w:rPr>
        <w:t>应急培训和演练是培养和提高各岗位操作人员以及其他人员的日常应急处理能力的重要手段。应急预案应明确规定以下内容：</w:t>
      </w:r>
    </w:p>
    <w:p w14:paraId="2163AD26">
      <w:pPr>
        <w:adjustRightInd w:val="0"/>
        <w:snapToGrid w:val="0"/>
        <w:spacing w:line="460" w:lineRule="exact"/>
        <w:ind w:firstLine="520" w:firstLineChars="200"/>
        <w:rPr>
          <w:sz w:val="26"/>
          <w:szCs w:val="26"/>
        </w:rPr>
      </w:pPr>
      <w:r>
        <w:rPr>
          <w:rFonts w:hint="eastAsia"/>
          <w:sz w:val="26"/>
          <w:szCs w:val="26"/>
        </w:rPr>
        <w:t>①演练及考核计划：演练计划包括应急预案类型、演练时间、演练内容、参加人员、考核方式等要求。</w:t>
      </w:r>
    </w:p>
    <w:p w14:paraId="07F6558D">
      <w:pPr>
        <w:adjustRightInd w:val="0"/>
        <w:snapToGrid w:val="0"/>
        <w:spacing w:line="460" w:lineRule="exact"/>
        <w:ind w:firstLine="520" w:firstLineChars="200"/>
        <w:rPr>
          <w:sz w:val="26"/>
          <w:szCs w:val="26"/>
        </w:rPr>
      </w:pPr>
      <w:r>
        <w:rPr>
          <w:rFonts w:hint="eastAsia"/>
          <w:sz w:val="26"/>
          <w:szCs w:val="26"/>
        </w:rPr>
        <w:t>②演练记录：演练记录包括应急预案类型、演练时间、演练人员名单、演练过程、考核结果、存在问题等项内容。演练记录存档备查。</w:t>
      </w:r>
    </w:p>
    <w:p w14:paraId="103CA9AD">
      <w:pPr>
        <w:adjustRightInd w:val="0"/>
        <w:snapToGrid w:val="0"/>
        <w:spacing w:line="460" w:lineRule="exact"/>
        <w:ind w:firstLine="520" w:firstLineChars="200"/>
        <w:rPr>
          <w:sz w:val="26"/>
          <w:szCs w:val="26"/>
        </w:rPr>
      </w:pPr>
      <w:r>
        <w:rPr>
          <w:rFonts w:hint="eastAsia"/>
          <w:sz w:val="26"/>
          <w:szCs w:val="26"/>
        </w:rPr>
        <w:t>③演练内容和形式：强化应急器材、医疗急救等方面的演练；采用答卷方式对操作人员进行应急预案教育；按照事故应急预案，以岗位为单位进行实战模拟演练；和地方消防、医疗等单位举行较大规模的实战模拟演练；采取各种形式（如电视、电影、宣传手册等）对周边的民众进行应急知识宣传和疏散演练。</w:t>
      </w:r>
    </w:p>
    <w:p w14:paraId="02460A76">
      <w:pPr>
        <w:adjustRightInd w:val="0"/>
        <w:snapToGrid w:val="0"/>
        <w:spacing w:line="460" w:lineRule="exact"/>
        <w:ind w:firstLine="520" w:firstLineChars="200"/>
        <w:rPr>
          <w:sz w:val="26"/>
          <w:szCs w:val="26"/>
        </w:rPr>
      </w:pPr>
      <w:r>
        <w:rPr>
          <w:rFonts w:hint="eastAsia"/>
          <w:sz w:val="26"/>
          <w:szCs w:val="26"/>
        </w:rPr>
        <w:t>③总结：演练结束后应就演练过程与应急预案的要求进行对比，可采取自我评估或第三方评估的方式对预案实施过程中存在的问题进行评估，根据评估结果对应急预案进行修改、完善。</w:t>
      </w:r>
    </w:p>
    <w:p w14:paraId="540BF9F7">
      <w:pPr>
        <w:pStyle w:val="1068"/>
      </w:pPr>
      <w:r>
        <w:rPr>
          <w:rFonts w:hint="eastAsia"/>
        </w:rPr>
        <w:t>7</w:t>
      </w:r>
      <w:r>
        <w:t xml:space="preserve">.7.6 </w:t>
      </w:r>
      <w:r>
        <w:rPr>
          <w:rFonts w:hint="eastAsia"/>
        </w:rPr>
        <w:t>环境风险投资</w:t>
      </w:r>
    </w:p>
    <w:p w14:paraId="6A81578D">
      <w:pPr>
        <w:pStyle w:val="1381"/>
        <w:ind w:firstLine="520"/>
      </w:pPr>
      <w:r>
        <w:t>环境风险措施投资见</w:t>
      </w:r>
      <w:r>
        <w:rPr>
          <w:rFonts w:hint="eastAsia"/>
        </w:rPr>
        <w:t>下</w:t>
      </w:r>
      <w:r>
        <w:fldChar w:fldCharType="begin"/>
      </w:r>
      <w:r>
        <w:instrText xml:space="preserve"> REF _Ref17642 \h  \* MERGEFORMAT </w:instrText>
      </w:r>
      <w:r>
        <w:fldChar w:fldCharType="separate"/>
      </w:r>
      <w:r>
        <w:t>表</w:t>
      </w:r>
      <w:r>
        <w:fldChar w:fldCharType="end"/>
      </w:r>
      <w:r>
        <w:t>。</w:t>
      </w:r>
    </w:p>
    <w:p w14:paraId="7F08BB13">
      <w:pPr>
        <w:pStyle w:val="1379"/>
        <w:ind w:firstLine="440"/>
      </w:pPr>
    </w:p>
    <w:p w14:paraId="0CFDB59A">
      <w:pPr>
        <w:pStyle w:val="1065"/>
      </w:pPr>
      <w:bookmarkStart w:id="338" w:name="_Ref17642"/>
      <w:r>
        <w:t>表</w:t>
      </w:r>
      <w:bookmarkEnd w:id="338"/>
      <w:r>
        <w:t>7.7-2   环境风险措施投资一览表</w:t>
      </w:r>
    </w:p>
    <w:tbl>
      <w:tblPr>
        <w:tblStyle w:val="89"/>
        <w:tblW w:w="829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649"/>
        <w:gridCol w:w="2040"/>
        <w:gridCol w:w="3969"/>
        <w:gridCol w:w="1638"/>
      </w:tblGrid>
      <w:tr w14:paraId="227E4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blHeader/>
        </w:trPr>
        <w:tc>
          <w:tcPr>
            <w:tcW w:w="649" w:type="dxa"/>
            <w:shd w:val="clear" w:color="auto" w:fill="FFFFFF"/>
            <w:vAlign w:val="center"/>
          </w:tcPr>
          <w:p w14:paraId="7C2C856C">
            <w:pPr>
              <w:pStyle w:val="687"/>
            </w:pPr>
            <w:r>
              <w:t>序号</w:t>
            </w:r>
          </w:p>
        </w:tc>
        <w:tc>
          <w:tcPr>
            <w:tcW w:w="2040" w:type="dxa"/>
            <w:shd w:val="clear" w:color="auto" w:fill="FFFFFF"/>
            <w:vAlign w:val="center"/>
          </w:tcPr>
          <w:p w14:paraId="53076E14">
            <w:pPr>
              <w:pStyle w:val="687"/>
            </w:pPr>
            <w:r>
              <w:t>环境风险防范措施</w:t>
            </w:r>
          </w:p>
        </w:tc>
        <w:tc>
          <w:tcPr>
            <w:tcW w:w="3969" w:type="dxa"/>
            <w:shd w:val="clear" w:color="auto" w:fill="FFFFFF"/>
            <w:vAlign w:val="center"/>
          </w:tcPr>
          <w:p w14:paraId="5F16DA31">
            <w:pPr>
              <w:pStyle w:val="687"/>
            </w:pPr>
            <w:r>
              <w:t>内容</w:t>
            </w:r>
          </w:p>
        </w:tc>
        <w:tc>
          <w:tcPr>
            <w:tcW w:w="1638" w:type="dxa"/>
            <w:shd w:val="clear" w:color="auto" w:fill="FFFFFF"/>
            <w:vAlign w:val="center"/>
          </w:tcPr>
          <w:p w14:paraId="0ABD7D58">
            <w:pPr>
              <w:pStyle w:val="687"/>
            </w:pPr>
            <w:r>
              <w:t>投资（万元）</w:t>
            </w:r>
          </w:p>
        </w:tc>
      </w:tr>
      <w:tr w14:paraId="76487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649" w:type="dxa"/>
            <w:shd w:val="clear" w:color="auto" w:fill="FFFFFF"/>
            <w:vAlign w:val="center"/>
          </w:tcPr>
          <w:p w14:paraId="62CBBD23">
            <w:pPr>
              <w:pStyle w:val="687"/>
            </w:pPr>
            <w:r>
              <w:t>1</w:t>
            </w:r>
          </w:p>
        </w:tc>
        <w:tc>
          <w:tcPr>
            <w:tcW w:w="2040" w:type="dxa"/>
            <w:shd w:val="clear" w:color="auto" w:fill="FFFFFF"/>
            <w:vAlign w:val="center"/>
          </w:tcPr>
          <w:p w14:paraId="3D23C35A">
            <w:pPr>
              <w:pStyle w:val="687"/>
            </w:pPr>
            <w:r>
              <w:t>环境风险管理措施</w:t>
            </w:r>
          </w:p>
        </w:tc>
        <w:tc>
          <w:tcPr>
            <w:tcW w:w="3969" w:type="dxa"/>
            <w:shd w:val="clear" w:color="auto" w:fill="FFFFFF"/>
            <w:vAlign w:val="center"/>
          </w:tcPr>
          <w:p w14:paraId="200A3328">
            <w:pPr>
              <w:pStyle w:val="687"/>
            </w:pPr>
            <w:r>
              <w:t>加强周边农户宣传工作，员工培训、编制应急预案</w:t>
            </w:r>
          </w:p>
        </w:tc>
        <w:tc>
          <w:tcPr>
            <w:tcW w:w="1638" w:type="dxa"/>
            <w:shd w:val="clear" w:color="auto" w:fill="FFFFFF"/>
            <w:vAlign w:val="center"/>
          </w:tcPr>
          <w:p w14:paraId="425948BE">
            <w:pPr>
              <w:pStyle w:val="687"/>
            </w:pPr>
            <w:r>
              <w:t>***</w:t>
            </w:r>
          </w:p>
        </w:tc>
      </w:tr>
      <w:tr w14:paraId="55372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649" w:type="dxa"/>
            <w:shd w:val="clear" w:color="auto" w:fill="FFFFFF"/>
            <w:vAlign w:val="center"/>
          </w:tcPr>
          <w:p w14:paraId="5539A67C">
            <w:pPr>
              <w:pStyle w:val="687"/>
            </w:pPr>
            <w:r>
              <w:t>2</w:t>
            </w:r>
          </w:p>
        </w:tc>
        <w:tc>
          <w:tcPr>
            <w:tcW w:w="2040" w:type="dxa"/>
            <w:shd w:val="clear" w:color="auto" w:fill="FFFFFF"/>
            <w:vAlign w:val="center"/>
          </w:tcPr>
          <w:p w14:paraId="1FB4B34C">
            <w:pPr>
              <w:pStyle w:val="687"/>
            </w:pPr>
            <w:r>
              <w:t>天然气泄漏相关措施</w:t>
            </w:r>
          </w:p>
        </w:tc>
        <w:tc>
          <w:tcPr>
            <w:tcW w:w="3969" w:type="dxa"/>
            <w:shd w:val="clear" w:color="auto" w:fill="FFFFFF"/>
            <w:vAlign w:val="center"/>
          </w:tcPr>
          <w:p w14:paraId="724F32B0">
            <w:pPr>
              <w:pStyle w:val="687"/>
            </w:pPr>
            <w:r>
              <w:t>保证施工质量、可燃气体监测系统、放空系统、广播及应急操作、应急演练</w:t>
            </w:r>
          </w:p>
        </w:tc>
        <w:tc>
          <w:tcPr>
            <w:tcW w:w="1638" w:type="dxa"/>
            <w:shd w:val="clear" w:color="auto" w:fill="FFFFFF"/>
            <w:vAlign w:val="center"/>
          </w:tcPr>
          <w:p w14:paraId="63588019">
            <w:pPr>
              <w:pStyle w:val="687"/>
            </w:pPr>
            <w:r>
              <w:t>***</w:t>
            </w:r>
          </w:p>
        </w:tc>
      </w:tr>
      <w:tr w14:paraId="1FF37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649" w:type="dxa"/>
            <w:shd w:val="clear" w:color="auto" w:fill="FFFFFF"/>
            <w:vAlign w:val="center"/>
          </w:tcPr>
          <w:p w14:paraId="405909A9">
            <w:pPr>
              <w:pStyle w:val="687"/>
            </w:pPr>
            <w:r>
              <w:t>3</w:t>
            </w:r>
          </w:p>
        </w:tc>
        <w:tc>
          <w:tcPr>
            <w:tcW w:w="2040" w:type="dxa"/>
            <w:shd w:val="clear" w:color="auto" w:fill="FFFFFF"/>
            <w:vAlign w:val="center"/>
          </w:tcPr>
          <w:p w14:paraId="32D47D06">
            <w:pPr>
              <w:pStyle w:val="687"/>
            </w:pPr>
            <w:r>
              <w:t>站场防范措施</w:t>
            </w:r>
          </w:p>
        </w:tc>
        <w:tc>
          <w:tcPr>
            <w:tcW w:w="3969" w:type="dxa"/>
            <w:shd w:val="clear" w:color="auto" w:fill="FFFFFF"/>
            <w:vAlign w:val="center"/>
          </w:tcPr>
          <w:p w14:paraId="1CCD26D9">
            <w:pPr>
              <w:pStyle w:val="687"/>
            </w:pPr>
            <w:r>
              <w:t>消防器材、警示标识、安全阀</w:t>
            </w:r>
            <w:r>
              <w:rPr>
                <w:rFonts w:hint="eastAsia"/>
              </w:rPr>
              <w:t>、风向标</w:t>
            </w:r>
            <w:r>
              <w:t>等</w:t>
            </w:r>
          </w:p>
        </w:tc>
        <w:tc>
          <w:tcPr>
            <w:tcW w:w="1638" w:type="dxa"/>
            <w:shd w:val="clear" w:color="auto" w:fill="FFFFFF"/>
            <w:vAlign w:val="center"/>
          </w:tcPr>
          <w:p w14:paraId="05581A3E">
            <w:pPr>
              <w:pStyle w:val="687"/>
            </w:pPr>
            <w:r>
              <w:t>计入主体工程</w:t>
            </w:r>
          </w:p>
        </w:tc>
      </w:tr>
      <w:tr w14:paraId="55267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649" w:type="dxa"/>
            <w:shd w:val="clear" w:color="auto" w:fill="FFFFFF"/>
            <w:vAlign w:val="center"/>
          </w:tcPr>
          <w:p w14:paraId="59B4DAD1">
            <w:pPr>
              <w:pStyle w:val="687"/>
            </w:pPr>
            <w:r>
              <w:t>4</w:t>
            </w:r>
          </w:p>
        </w:tc>
        <w:tc>
          <w:tcPr>
            <w:tcW w:w="2040" w:type="dxa"/>
            <w:shd w:val="clear" w:color="auto" w:fill="FFFFFF"/>
            <w:vAlign w:val="center"/>
          </w:tcPr>
          <w:p w14:paraId="0A3B6915">
            <w:pPr>
              <w:pStyle w:val="687"/>
            </w:pPr>
            <w:r>
              <w:t>管道防范措施</w:t>
            </w:r>
          </w:p>
        </w:tc>
        <w:tc>
          <w:tcPr>
            <w:tcW w:w="3969" w:type="dxa"/>
            <w:shd w:val="clear" w:color="auto" w:fill="FFFFFF"/>
            <w:vAlign w:val="center"/>
          </w:tcPr>
          <w:p w14:paraId="243B0659">
            <w:pPr>
              <w:pStyle w:val="687"/>
            </w:pPr>
            <w:r>
              <w:t>管道进行防腐，检验，阴极保护等</w:t>
            </w:r>
          </w:p>
        </w:tc>
        <w:tc>
          <w:tcPr>
            <w:tcW w:w="1638" w:type="dxa"/>
            <w:shd w:val="clear" w:color="auto" w:fill="FFFFFF"/>
            <w:vAlign w:val="center"/>
          </w:tcPr>
          <w:p w14:paraId="076F5542">
            <w:pPr>
              <w:pStyle w:val="687"/>
            </w:pPr>
            <w:r>
              <w:t>计入主体工程</w:t>
            </w:r>
          </w:p>
        </w:tc>
      </w:tr>
      <w:tr w14:paraId="286DA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c>
          <w:tcPr>
            <w:tcW w:w="649" w:type="dxa"/>
            <w:shd w:val="clear" w:color="auto" w:fill="FFFFFF"/>
            <w:vAlign w:val="center"/>
          </w:tcPr>
          <w:p w14:paraId="40E4C06F">
            <w:pPr>
              <w:pStyle w:val="687"/>
            </w:pPr>
            <w:r>
              <w:t>合计</w:t>
            </w:r>
          </w:p>
        </w:tc>
        <w:tc>
          <w:tcPr>
            <w:tcW w:w="2040" w:type="dxa"/>
            <w:shd w:val="clear" w:color="auto" w:fill="FFFFFF"/>
            <w:vAlign w:val="center"/>
          </w:tcPr>
          <w:p w14:paraId="22B72A55">
            <w:pPr>
              <w:pStyle w:val="687"/>
            </w:pPr>
            <w:r>
              <w:t>/</w:t>
            </w:r>
          </w:p>
        </w:tc>
        <w:tc>
          <w:tcPr>
            <w:tcW w:w="3969" w:type="dxa"/>
            <w:shd w:val="clear" w:color="auto" w:fill="FFFFFF"/>
            <w:vAlign w:val="center"/>
          </w:tcPr>
          <w:p w14:paraId="67DFC7B5">
            <w:pPr>
              <w:pStyle w:val="687"/>
            </w:pPr>
            <w:r>
              <w:t>/</w:t>
            </w:r>
          </w:p>
        </w:tc>
        <w:tc>
          <w:tcPr>
            <w:tcW w:w="1638" w:type="dxa"/>
            <w:shd w:val="clear" w:color="auto" w:fill="FFFFFF"/>
            <w:vAlign w:val="center"/>
          </w:tcPr>
          <w:p w14:paraId="0EFD59E0">
            <w:pPr>
              <w:pStyle w:val="687"/>
            </w:pPr>
            <w:r>
              <w:t>***</w:t>
            </w:r>
          </w:p>
        </w:tc>
      </w:tr>
    </w:tbl>
    <w:p w14:paraId="11D9192B">
      <w:pPr>
        <w:pStyle w:val="1379"/>
        <w:ind w:firstLine="440"/>
      </w:pPr>
    </w:p>
    <w:p w14:paraId="50A74C27">
      <w:pPr>
        <w:spacing w:line="460" w:lineRule="exact"/>
        <w:ind w:firstLine="522" w:firstLineChars="200"/>
        <w:outlineLvl w:val="1"/>
        <w:rPr>
          <w:b/>
          <w:bCs/>
          <w:sz w:val="26"/>
          <w:szCs w:val="26"/>
        </w:rPr>
      </w:pPr>
      <w:bookmarkStart w:id="339" w:name="_Toc219907669"/>
      <w:bookmarkStart w:id="340" w:name="_Toc161930578"/>
      <w:r>
        <w:rPr>
          <w:rFonts w:hint="eastAsia"/>
          <w:b/>
          <w:bCs/>
          <w:sz w:val="26"/>
          <w:szCs w:val="26"/>
        </w:rPr>
        <w:t>7</w:t>
      </w:r>
      <w:r>
        <w:rPr>
          <w:b/>
          <w:bCs/>
          <w:sz w:val="26"/>
          <w:szCs w:val="26"/>
        </w:rPr>
        <w:t xml:space="preserve">.8 </w:t>
      </w:r>
      <w:r>
        <w:rPr>
          <w:rFonts w:hint="eastAsia"/>
          <w:b/>
          <w:bCs/>
          <w:sz w:val="26"/>
          <w:szCs w:val="26"/>
        </w:rPr>
        <w:t>小结</w:t>
      </w:r>
      <w:bookmarkEnd w:id="339"/>
      <w:bookmarkEnd w:id="340"/>
    </w:p>
    <w:p w14:paraId="3D216396">
      <w:pPr>
        <w:adjustRightInd w:val="0"/>
        <w:snapToGrid w:val="0"/>
        <w:spacing w:line="460" w:lineRule="exact"/>
        <w:ind w:firstLine="522"/>
        <w:rPr>
          <w:sz w:val="26"/>
          <w:szCs w:val="26"/>
        </w:rPr>
      </w:pPr>
      <w:r>
        <w:rPr>
          <w:rFonts w:hint="eastAsia"/>
          <w:sz w:val="26"/>
          <w:szCs w:val="26"/>
        </w:rPr>
        <w:t>本项目为天然气试采工程，项目在选址上已尽量避开人口密集区和不良地质区，试采站设置了紧急切断阀，一旦发生事故可以立即采取措施，将其对环境的影响控制在可接受范围内，不会对当地环境造成重大不良影响。此外，通过与当地村委会建立联络沟通机制，完善应急监控能力。</w:t>
      </w:r>
    </w:p>
    <w:p w14:paraId="44F64F27">
      <w:pPr>
        <w:adjustRightInd w:val="0"/>
        <w:snapToGrid w:val="0"/>
        <w:spacing w:line="460" w:lineRule="exact"/>
        <w:ind w:firstLine="522"/>
        <w:rPr>
          <w:sz w:val="26"/>
          <w:szCs w:val="26"/>
        </w:rPr>
      </w:pPr>
      <w:r>
        <w:rPr>
          <w:rFonts w:hint="eastAsia"/>
          <w:sz w:val="26"/>
          <w:szCs w:val="26"/>
        </w:rPr>
        <w:t>本工程通过采取相应的环境风险防范措施，加强环境风险管理，落实应急预案，项目环境风险机率和风险影响为可接受水平。</w:t>
      </w:r>
    </w:p>
    <w:p w14:paraId="384766F5">
      <w:pPr>
        <w:adjustRightInd w:val="0"/>
        <w:snapToGrid w:val="0"/>
        <w:spacing w:line="460" w:lineRule="exact"/>
        <w:ind w:firstLine="522"/>
        <w:rPr>
          <w:sz w:val="26"/>
          <w:szCs w:val="26"/>
        </w:rPr>
      </w:pPr>
      <w:r>
        <w:rPr>
          <w:rFonts w:hint="eastAsia"/>
          <w:sz w:val="26"/>
          <w:szCs w:val="26"/>
        </w:rPr>
        <w:t>因此，从环境风险的角度而言，项目建设可行。</w:t>
      </w:r>
    </w:p>
    <w:bookmarkEnd w:id="310"/>
    <w:p w14:paraId="26458C0A"/>
    <w:p w14:paraId="551A169A">
      <w:pPr>
        <w:sectPr>
          <w:pgSz w:w="11906" w:h="16838"/>
          <w:pgMar w:top="1440" w:right="1800" w:bottom="1440" w:left="1800" w:header="1304" w:footer="1247" w:gutter="0"/>
          <w:cols w:space="425" w:num="1"/>
          <w:docGrid w:linePitch="312" w:charSpace="0"/>
        </w:sectPr>
      </w:pPr>
    </w:p>
    <w:p w14:paraId="64E1E9E9">
      <w:pPr>
        <w:snapToGrid w:val="0"/>
        <w:spacing w:before="240" w:beforeLines="100" w:after="240" w:afterLines="100"/>
        <w:jc w:val="center"/>
        <w:outlineLvl w:val="0"/>
        <w:rPr>
          <w:b/>
          <w:bCs/>
          <w:sz w:val="32"/>
          <w:szCs w:val="32"/>
        </w:rPr>
      </w:pPr>
      <w:bookmarkStart w:id="341" w:name="_Toc165810637"/>
      <w:bookmarkStart w:id="342" w:name="_Toc219907670"/>
      <w:bookmarkStart w:id="343" w:name="_Toc165809758"/>
      <w:bookmarkStart w:id="344" w:name="_Toc91161343"/>
      <w:r>
        <w:rPr>
          <w:b/>
          <w:bCs/>
          <w:sz w:val="32"/>
          <w:szCs w:val="32"/>
        </w:rPr>
        <w:t>8 生态环境保护及污染防治措施技术经济论证</w:t>
      </w:r>
      <w:bookmarkEnd w:id="341"/>
      <w:bookmarkEnd w:id="342"/>
      <w:bookmarkEnd w:id="343"/>
      <w:bookmarkEnd w:id="344"/>
    </w:p>
    <w:p w14:paraId="49D772ED">
      <w:pPr>
        <w:pStyle w:val="1059"/>
        <w:rPr>
          <w:rFonts w:cs="Times New Roman"/>
        </w:rPr>
      </w:pPr>
      <w:bookmarkStart w:id="345" w:name="_Toc104907164"/>
      <w:bookmarkStart w:id="346" w:name="_Toc165810638"/>
      <w:bookmarkStart w:id="347" w:name="_Toc219907671"/>
      <w:bookmarkStart w:id="348" w:name="_Toc165809759"/>
      <w:r>
        <w:rPr>
          <w:rFonts w:cs="Times New Roman"/>
        </w:rPr>
        <w:t>8.1 环境管理保护措施</w:t>
      </w:r>
      <w:bookmarkEnd w:id="345"/>
      <w:bookmarkEnd w:id="346"/>
      <w:bookmarkEnd w:id="347"/>
      <w:bookmarkEnd w:id="348"/>
    </w:p>
    <w:p w14:paraId="6960BB6C">
      <w:pPr>
        <w:adjustRightInd w:val="0"/>
        <w:snapToGrid w:val="0"/>
        <w:spacing w:line="460" w:lineRule="exact"/>
        <w:ind w:firstLine="520" w:firstLineChars="200"/>
        <w:rPr>
          <w:sz w:val="26"/>
          <w:szCs w:val="26"/>
        </w:rPr>
      </w:pPr>
      <w:r>
        <w:rPr>
          <w:sz w:val="26"/>
          <w:szCs w:val="26"/>
        </w:rPr>
        <w:t>（1）建立高效、务实的环境保护管理体系</w:t>
      </w:r>
    </w:p>
    <w:p w14:paraId="3F030975">
      <w:pPr>
        <w:adjustRightInd w:val="0"/>
        <w:snapToGrid w:val="0"/>
        <w:spacing w:line="460" w:lineRule="exact"/>
        <w:ind w:firstLine="520" w:firstLineChars="200"/>
        <w:rPr>
          <w:sz w:val="26"/>
          <w:szCs w:val="26"/>
        </w:rPr>
      </w:pPr>
      <w:r>
        <w:rPr>
          <w:sz w:val="26"/>
          <w:szCs w:val="26"/>
        </w:rPr>
        <w:t>建议建设单位临时成立本项目安全环保管理机构，制定相应的环境管理办法；开展施工期的环境保护知识普及和宣教活动。</w:t>
      </w:r>
    </w:p>
    <w:p w14:paraId="728EA491">
      <w:pPr>
        <w:adjustRightInd w:val="0"/>
        <w:snapToGrid w:val="0"/>
        <w:spacing w:line="460" w:lineRule="exact"/>
        <w:ind w:firstLine="520" w:firstLineChars="200"/>
        <w:rPr>
          <w:sz w:val="26"/>
          <w:szCs w:val="26"/>
        </w:rPr>
      </w:pPr>
      <w:r>
        <w:rPr>
          <w:sz w:val="26"/>
          <w:szCs w:val="26"/>
        </w:rPr>
        <w:t>（2）加强招投标工作的管理</w:t>
      </w:r>
    </w:p>
    <w:p w14:paraId="654C516C">
      <w:pPr>
        <w:adjustRightInd w:val="0"/>
        <w:snapToGrid w:val="0"/>
        <w:spacing w:line="460" w:lineRule="exact"/>
        <w:ind w:firstLine="520" w:firstLineChars="200"/>
        <w:rPr>
          <w:sz w:val="26"/>
          <w:szCs w:val="26"/>
        </w:rPr>
      </w:pPr>
      <w:r>
        <w:rPr>
          <w:rFonts w:hint="eastAsia" w:ascii="宋体" w:hAnsi="宋体" w:cs="宋体"/>
          <w:sz w:val="26"/>
          <w:szCs w:val="26"/>
        </w:rPr>
        <w:t>①</w:t>
      </w:r>
      <w:r>
        <w:rPr>
          <w:sz w:val="26"/>
          <w:szCs w:val="26"/>
        </w:rPr>
        <w:t>招标文件编制应体现工程的环境影响评价成果，明确工程承包商对国土、生物多样性、水等环境资源保护以及生态环境保护、水土保持、人群健康和环境整治的责任和义务。</w:t>
      </w:r>
    </w:p>
    <w:p w14:paraId="3BDC9B17">
      <w:pPr>
        <w:adjustRightInd w:val="0"/>
        <w:snapToGrid w:val="0"/>
        <w:spacing w:line="460" w:lineRule="exact"/>
        <w:ind w:firstLine="520" w:firstLineChars="200"/>
        <w:rPr>
          <w:sz w:val="26"/>
          <w:szCs w:val="26"/>
        </w:rPr>
      </w:pPr>
      <w:r>
        <w:rPr>
          <w:rFonts w:hint="eastAsia" w:ascii="宋体" w:hAnsi="宋体" w:cs="宋体"/>
          <w:sz w:val="26"/>
          <w:szCs w:val="26"/>
        </w:rPr>
        <w:t>②</w:t>
      </w:r>
      <w:r>
        <w:rPr>
          <w:sz w:val="26"/>
          <w:szCs w:val="26"/>
        </w:rPr>
        <w:t>工程承包商要承诺其环境保护责任和义务，不得发生层层转包、层层提取管理费的现象，自愿接受建设单位和地方环保单位的监督。</w:t>
      </w:r>
    </w:p>
    <w:p w14:paraId="193688B1">
      <w:pPr>
        <w:adjustRightInd w:val="0"/>
        <w:snapToGrid w:val="0"/>
        <w:spacing w:line="460" w:lineRule="exact"/>
        <w:ind w:firstLine="520" w:firstLineChars="200"/>
        <w:rPr>
          <w:sz w:val="26"/>
          <w:szCs w:val="26"/>
        </w:rPr>
      </w:pPr>
      <w:r>
        <w:rPr>
          <w:rFonts w:hint="eastAsia" w:ascii="宋体" w:hAnsi="宋体" w:cs="宋体"/>
          <w:sz w:val="26"/>
          <w:szCs w:val="26"/>
        </w:rPr>
        <w:t>③</w:t>
      </w:r>
      <w:r>
        <w:rPr>
          <w:sz w:val="26"/>
          <w:szCs w:val="26"/>
        </w:rPr>
        <w:t>建立高素质的评标专家队伍，注意引进高素质的环保专家参与评标；加强投标单位的资质、施工能力、管理水平和业绩的审查工作；认真审查其施工组织计划有关环境保护和施工文明的内容，尤其应对其环境保护保障条件加强审查，禁止那些旨在中标而随意压低环保投入的工程承包商入围。</w:t>
      </w:r>
    </w:p>
    <w:p w14:paraId="5C269EC7">
      <w:pPr>
        <w:adjustRightInd w:val="0"/>
        <w:snapToGrid w:val="0"/>
        <w:spacing w:line="460" w:lineRule="exact"/>
        <w:ind w:firstLine="520" w:firstLineChars="200"/>
        <w:rPr>
          <w:sz w:val="26"/>
          <w:szCs w:val="26"/>
        </w:rPr>
      </w:pPr>
      <w:r>
        <w:rPr>
          <w:sz w:val="26"/>
          <w:szCs w:val="26"/>
        </w:rPr>
        <w:t>（3）加强施工过程的环境保护建立工作</w:t>
      </w:r>
    </w:p>
    <w:p w14:paraId="50A62623">
      <w:pPr>
        <w:adjustRightInd w:val="0"/>
        <w:snapToGrid w:val="0"/>
        <w:spacing w:line="460" w:lineRule="exact"/>
        <w:ind w:firstLine="520" w:firstLineChars="200"/>
        <w:rPr>
          <w:sz w:val="26"/>
          <w:szCs w:val="26"/>
        </w:rPr>
      </w:pPr>
      <w:r>
        <w:rPr>
          <w:rFonts w:hint="eastAsia" w:ascii="宋体" w:hAnsi="宋体" w:cs="宋体"/>
          <w:sz w:val="26"/>
          <w:szCs w:val="26"/>
        </w:rPr>
        <w:t>①</w:t>
      </w:r>
      <w:r>
        <w:rPr>
          <w:sz w:val="26"/>
          <w:szCs w:val="26"/>
        </w:rPr>
        <w:t>通过招标选择优秀的监理队伍，严把监理上岗资质关、能力关，明确提出配备具有一定环保素质的工程技术人员以及相应的检测设备的要求。</w:t>
      </w:r>
    </w:p>
    <w:p w14:paraId="1111F17F">
      <w:pPr>
        <w:adjustRightInd w:val="0"/>
        <w:snapToGrid w:val="0"/>
        <w:spacing w:line="460" w:lineRule="exact"/>
        <w:ind w:firstLine="520" w:firstLineChars="200"/>
        <w:rPr>
          <w:sz w:val="26"/>
          <w:szCs w:val="26"/>
        </w:rPr>
      </w:pPr>
      <w:r>
        <w:rPr>
          <w:rFonts w:hint="eastAsia" w:ascii="宋体" w:hAnsi="宋体" w:cs="宋体"/>
          <w:sz w:val="26"/>
          <w:szCs w:val="26"/>
        </w:rPr>
        <w:t>②</w:t>
      </w:r>
      <w:r>
        <w:rPr>
          <w:sz w:val="26"/>
          <w:szCs w:val="26"/>
        </w:rPr>
        <w:t>保证工程监理工作的正常条件和独立行使监理功能的权利，并将其包括环境保护监理在内的监理权力的内容明确通告施工单位。</w:t>
      </w:r>
    </w:p>
    <w:p w14:paraId="786A5460">
      <w:pPr>
        <w:adjustRightInd w:val="0"/>
        <w:snapToGrid w:val="0"/>
        <w:spacing w:line="460" w:lineRule="exact"/>
        <w:ind w:firstLine="520" w:firstLineChars="200"/>
        <w:rPr>
          <w:sz w:val="26"/>
          <w:szCs w:val="26"/>
        </w:rPr>
      </w:pPr>
      <w:r>
        <w:rPr>
          <w:rFonts w:hint="eastAsia" w:ascii="宋体" w:hAnsi="宋体" w:cs="宋体"/>
          <w:sz w:val="26"/>
          <w:szCs w:val="26"/>
        </w:rPr>
        <w:t>③</w:t>
      </w:r>
      <w:r>
        <w:rPr>
          <w:sz w:val="26"/>
          <w:szCs w:val="26"/>
        </w:rPr>
        <w:t>施工单位作为具体的施工机构，施工单位行为直接关系到能否将环境的影响和破坏降低到最小程度。施工单位必须自觉遵守和维护有关环境保护的政策法规，教育好队伍人员爱护施工路段周围的一草一木。在施工前对施工平面图设计进行科学合理的规划，充分利用原有的地形、地物，以尽量少占农田、防护林为原则，施工中严禁乱挖乱弃，做到文明施工，规范施工，按设计施工。</w:t>
      </w:r>
    </w:p>
    <w:p w14:paraId="2233CC68">
      <w:pPr>
        <w:adjustRightInd w:val="0"/>
        <w:snapToGrid w:val="0"/>
        <w:spacing w:line="460" w:lineRule="exact"/>
        <w:ind w:firstLine="520" w:firstLineChars="200"/>
        <w:rPr>
          <w:sz w:val="26"/>
          <w:szCs w:val="26"/>
        </w:rPr>
      </w:pPr>
      <w:r>
        <w:rPr>
          <w:rFonts w:hint="eastAsia" w:ascii="宋体" w:hAnsi="宋体" w:cs="宋体"/>
          <w:sz w:val="26"/>
          <w:szCs w:val="26"/>
        </w:rPr>
        <w:t>④</w:t>
      </w:r>
      <w:r>
        <w:rPr>
          <w:sz w:val="26"/>
          <w:szCs w:val="26"/>
        </w:rPr>
        <w:t>施工单位应合理进行施工布置，精心组织施工管理，严格将施工作业活动控制在</w:t>
      </w:r>
      <w:r>
        <w:rPr>
          <w:rFonts w:hint="eastAsia"/>
          <w:sz w:val="26"/>
          <w:szCs w:val="26"/>
        </w:rPr>
        <w:t>红线</w:t>
      </w:r>
      <w:r>
        <w:rPr>
          <w:sz w:val="26"/>
          <w:szCs w:val="26"/>
        </w:rPr>
        <w:t>范围内，尽量减小和有效控制对施工作业区生态环境的影响范围和程度。</w:t>
      </w:r>
    </w:p>
    <w:p w14:paraId="38356A0E">
      <w:pPr>
        <w:adjustRightInd w:val="0"/>
        <w:snapToGrid w:val="0"/>
        <w:spacing w:line="460" w:lineRule="exact"/>
        <w:ind w:firstLine="520" w:firstLineChars="200"/>
        <w:rPr>
          <w:sz w:val="26"/>
          <w:szCs w:val="26"/>
        </w:rPr>
      </w:pPr>
      <w:r>
        <w:rPr>
          <w:rFonts w:hint="eastAsia" w:ascii="宋体" w:hAnsi="宋体" w:cs="宋体"/>
          <w:sz w:val="26"/>
          <w:szCs w:val="26"/>
        </w:rPr>
        <w:t>⑤</w:t>
      </w:r>
      <w:r>
        <w:rPr>
          <w:sz w:val="26"/>
          <w:szCs w:val="26"/>
        </w:rPr>
        <w:t>合理安排施工季节和作业时间，优化施工方案，减少废弃土方的临时堆放，并尽量避免在雨天进行开挖作业活动，避免加重水土流失的危害。</w:t>
      </w:r>
    </w:p>
    <w:p w14:paraId="74325E5E">
      <w:pPr>
        <w:pStyle w:val="1059"/>
        <w:rPr>
          <w:rFonts w:cs="Times New Roman"/>
        </w:rPr>
      </w:pPr>
      <w:bookmarkStart w:id="349" w:name="_Toc165809760"/>
      <w:bookmarkStart w:id="350" w:name="_Toc104907165"/>
      <w:bookmarkStart w:id="351" w:name="_Toc165810639"/>
      <w:bookmarkStart w:id="352" w:name="_Toc219907672"/>
      <w:r>
        <w:rPr>
          <w:rFonts w:cs="Times New Roman"/>
        </w:rPr>
        <w:t>8.2 生态环境保护措施</w:t>
      </w:r>
      <w:bookmarkEnd w:id="349"/>
      <w:bookmarkEnd w:id="350"/>
      <w:bookmarkEnd w:id="351"/>
      <w:bookmarkEnd w:id="352"/>
    </w:p>
    <w:p w14:paraId="4B5B40B2">
      <w:pPr>
        <w:pStyle w:val="1068"/>
        <w:rPr>
          <w:rFonts w:cs="Times New Roman"/>
        </w:rPr>
      </w:pPr>
      <w:bookmarkStart w:id="353" w:name="_Toc165810640"/>
      <w:r>
        <w:rPr>
          <w:rFonts w:cs="Times New Roman"/>
        </w:rPr>
        <w:t>8.2.1 施工期生态环境</w:t>
      </w:r>
      <w:bookmarkEnd w:id="353"/>
      <w:r>
        <w:rPr>
          <w:rFonts w:hint="eastAsia" w:cs="Times New Roman"/>
        </w:rPr>
        <w:t>保护措施</w:t>
      </w:r>
    </w:p>
    <w:p w14:paraId="06CDD2F2">
      <w:pPr>
        <w:pStyle w:val="1381"/>
        <w:ind w:firstLine="522"/>
        <w:rPr>
          <w:b/>
        </w:rPr>
      </w:pPr>
      <w:r>
        <w:rPr>
          <w:rFonts w:hint="eastAsia"/>
          <w:b/>
        </w:rPr>
        <w:t>8</w:t>
      </w:r>
      <w:r>
        <w:rPr>
          <w:b/>
        </w:rPr>
        <w:t xml:space="preserve">.2.1.1 </w:t>
      </w:r>
      <w:r>
        <w:rPr>
          <w:rFonts w:hint="eastAsia"/>
          <w:b/>
        </w:rPr>
        <w:t>生态避让措施</w:t>
      </w:r>
    </w:p>
    <w:p w14:paraId="21223F12">
      <w:pPr>
        <w:pStyle w:val="1381"/>
        <w:ind w:firstLine="520"/>
      </w:pPr>
      <w:r>
        <w:rPr>
          <w:rFonts w:hint="eastAsia"/>
        </w:rPr>
        <w:t>本项目选址位于原有钻井井场内，不涉及自然保护区、风景名胜区、饮用水源地、生态保护红线等环境敏感区，施工期不会占用站外耕地、林地等，不会造成生物量损失和动物生境的破坏。</w:t>
      </w:r>
    </w:p>
    <w:p w14:paraId="39DA4F03">
      <w:pPr>
        <w:pStyle w:val="1381"/>
        <w:ind w:firstLine="522"/>
        <w:rPr>
          <w:b/>
        </w:rPr>
      </w:pPr>
      <w:r>
        <w:rPr>
          <w:rFonts w:hint="eastAsia"/>
          <w:b/>
        </w:rPr>
        <w:t>8</w:t>
      </w:r>
      <w:r>
        <w:rPr>
          <w:b/>
        </w:rPr>
        <w:t xml:space="preserve">.2.1.2 </w:t>
      </w:r>
      <w:r>
        <w:rPr>
          <w:rFonts w:hint="eastAsia"/>
          <w:b/>
        </w:rPr>
        <w:t>生态减缓措施</w:t>
      </w:r>
    </w:p>
    <w:p w14:paraId="0715E5C8">
      <w:pPr>
        <w:adjustRightInd w:val="0"/>
        <w:snapToGrid w:val="0"/>
        <w:spacing w:line="460" w:lineRule="exact"/>
        <w:ind w:firstLine="520" w:firstLineChars="200"/>
        <w:rPr>
          <w:sz w:val="26"/>
          <w:szCs w:val="26"/>
        </w:rPr>
      </w:pPr>
      <w:r>
        <w:rPr>
          <w:rFonts w:hint="eastAsia"/>
          <w:sz w:val="26"/>
          <w:szCs w:val="26"/>
        </w:rPr>
        <w:t>（1）试采站</w:t>
      </w:r>
      <w:r>
        <w:rPr>
          <w:sz w:val="26"/>
          <w:szCs w:val="26"/>
        </w:rPr>
        <w:t>施工过程严格管理，各施工设施、原辅材料严禁放置于施工红线范围外，严格控制占地面积，减小对周边植被的影响。</w:t>
      </w:r>
    </w:p>
    <w:p w14:paraId="6E1CEC44">
      <w:pPr>
        <w:adjustRightInd w:val="0"/>
        <w:snapToGrid w:val="0"/>
        <w:spacing w:line="460" w:lineRule="exact"/>
        <w:ind w:firstLine="520" w:firstLineChars="200"/>
        <w:rPr>
          <w:sz w:val="26"/>
          <w:szCs w:val="26"/>
        </w:rPr>
      </w:pPr>
      <w:r>
        <w:rPr>
          <w:rFonts w:hint="eastAsia"/>
          <w:sz w:val="26"/>
          <w:szCs w:val="26"/>
        </w:rPr>
        <w:t>（</w:t>
      </w:r>
      <w:r>
        <w:rPr>
          <w:sz w:val="26"/>
          <w:szCs w:val="26"/>
        </w:rPr>
        <w:t>2</w:t>
      </w:r>
      <w:r>
        <w:rPr>
          <w:rFonts w:hint="eastAsia"/>
          <w:sz w:val="26"/>
          <w:szCs w:val="26"/>
        </w:rPr>
        <w:t>）</w:t>
      </w:r>
      <w:r>
        <w:rPr>
          <w:sz w:val="26"/>
          <w:szCs w:val="26"/>
        </w:rPr>
        <w:t>现场施工作业机械应严格管理，划定施工活动范围，不得在道路、站场以外的地方行驶和作业，保持路外植被不被破坏。</w:t>
      </w:r>
    </w:p>
    <w:p w14:paraId="66A0D8E6">
      <w:pPr>
        <w:pStyle w:val="1381"/>
        <w:ind w:firstLine="520"/>
      </w:pPr>
      <w:r>
        <w:rPr>
          <w:rFonts w:hint="eastAsia"/>
        </w:rPr>
        <w:t>（3）</w:t>
      </w:r>
      <w:r>
        <w:rPr>
          <w:rFonts w:hint="eastAsia"/>
          <w:szCs w:val="26"/>
        </w:rPr>
        <w:t>租用民房作为施工营地，不新建营地。依托居民的生活污水收集及利用系统。避免施工废水排放的不利影响。施工用电就近电网上搭接，减少使用发电机，避免发电机噪声和废气的影响。</w:t>
      </w:r>
    </w:p>
    <w:p w14:paraId="43ADD47C">
      <w:pPr>
        <w:pStyle w:val="1381"/>
        <w:ind w:firstLine="520"/>
      </w:pPr>
      <w:r>
        <w:rPr>
          <w:rFonts w:hint="eastAsia"/>
        </w:rPr>
        <w:t>（4）水土保持措施</w:t>
      </w:r>
    </w:p>
    <w:p w14:paraId="7EBD6638">
      <w:pPr>
        <w:adjustRightInd w:val="0"/>
        <w:snapToGrid w:val="0"/>
        <w:spacing w:line="460" w:lineRule="exact"/>
        <w:ind w:firstLine="520" w:firstLineChars="200"/>
        <w:rPr>
          <w:sz w:val="26"/>
          <w:szCs w:val="26"/>
        </w:rPr>
      </w:pPr>
      <w:r>
        <w:rPr>
          <w:rFonts w:hint="eastAsia"/>
          <w:sz w:val="26"/>
          <w:szCs w:val="26"/>
        </w:rPr>
        <w:t>①在井场施工过程中应特别注意施工边坡坡度，可根据现场情况在井场周边设置边坡、堡坎等保护措施，以免雨水浸泡和冲刷。</w:t>
      </w:r>
    </w:p>
    <w:p w14:paraId="430775FE">
      <w:pPr>
        <w:adjustRightInd w:val="0"/>
        <w:snapToGrid w:val="0"/>
        <w:spacing w:line="460" w:lineRule="exact"/>
        <w:ind w:firstLine="520" w:firstLineChars="200"/>
        <w:rPr>
          <w:sz w:val="26"/>
          <w:szCs w:val="26"/>
        </w:rPr>
      </w:pPr>
      <w:r>
        <w:rPr>
          <w:rFonts w:hint="eastAsia"/>
          <w:sz w:val="26"/>
          <w:szCs w:val="26"/>
        </w:rPr>
        <w:t>②井场工程区四周布置有截水沟和砖砌排水沟，截水沟末端经沉淀池与自然水系相衔接，截水沟为矩形。</w:t>
      </w:r>
    </w:p>
    <w:p w14:paraId="104670A9">
      <w:pPr>
        <w:adjustRightInd w:val="0"/>
        <w:snapToGrid w:val="0"/>
        <w:spacing w:line="460" w:lineRule="exact"/>
        <w:ind w:firstLine="520" w:firstLineChars="200"/>
        <w:rPr>
          <w:sz w:val="26"/>
          <w:szCs w:val="26"/>
        </w:rPr>
      </w:pPr>
      <w:r>
        <w:rPr>
          <w:rFonts w:hint="eastAsia"/>
          <w:sz w:val="26"/>
          <w:szCs w:val="26"/>
        </w:rPr>
        <w:t>③划定施工作业范围线，并严格控制机械和车辆的作业范围，尽可能减少对土壤和农作物的破坏以及由此引发的水土流失。</w:t>
      </w:r>
    </w:p>
    <w:p w14:paraId="795CBFA2">
      <w:pPr>
        <w:adjustRightInd w:val="0"/>
        <w:snapToGrid w:val="0"/>
        <w:spacing w:line="460" w:lineRule="exact"/>
        <w:ind w:firstLine="520" w:firstLineChars="200"/>
        <w:rPr>
          <w:sz w:val="26"/>
          <w:szCs w:val="26"/>
        </w:rPr>
      </w:pPr>
      <w:r>
        <w:rPr>
          <w:rFonts w:hint="eastAsia"/>
          <w:sz w:val="26"/>
          <w:szCs w:val="26"/>
        </w:rPr>
        <w:t>④对于工程临时弃土选择了地势低洼处进行临时堆放，不得随意堆放，堆放完毕后要注意对地基表面平整处理。</w:t>
      </w:r>
    </w:p>
    <w:p w14:paraId="7630AB8D">
      <w:pPr>
        <w:adjustRightInd w:val="0"/>
        <w:snapToGrid w:val="0"/>
        <w:spacing w:line="460" w:lineRule="exact"/>
        <w:ind w:firstLine="520" w:firstLineChars="200"/>
        <w:rPr>
          <w:sz w:val="26"/>
          <w:szCs w:val="26"/>
        </w:rPr>
      </w:pPr>
      <w:bookmarkStart w:id="354" w:name="OLE_LINK44"/>
      <w:bookmarkStart w:id="355" w:name="OLE_LINK45"/>
      <w:r>
        <w:rPr>
          <w:rFonts w:hint="eastAsia"/>
          <w:sz w:val="26"/>
          <w:szCs w:val="26"/>
        </w:rPr>
        <w:t>⑤</w:t>
      </w:r>
      <w:bookmarkEnd w:id="354"/>
      <w:bookmarkEnd w:id="355"/>
      <w:r>
        <w:rPr>
          <w:rFonts w:hint="eastAsia"/>
          <w:sz w:val="26"/>
          <w:szCs w:val="26"/>
        </w:rPr>
        <w:t>尽量避开雨季施工，提高工程施工效率，缩短施工工期。</w:t>
      </w:r>
    </w:p>
    <w:p w14:paraId="44322A3F">
      <w:pPr>
        <w:adjustRightInd w:val="0"/>
        <w:snapToGrid w:val="0"/>
        <w:spacing w:line="46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6 \* GB3</w:instrText>
      </w:r>
      <w:r>
        <w:rPr>
          <w:sz w:val="26"/>
          <w:szCs w:val="26"/>
        </w:rPr>
        <w:instrText xml:space="preserve"> </w:instrText>
      </w:r>
      <w:r>
        <w:rPr>
          <w:sz w:val="26"/>
          <w:szCs w:val="26"/>
        </w:rPr>
        <w:fldChar w:fldCharType="separate"/>
      </w:r>
      <w:r>
        <w:rPr>
          <w:rFonts w:hint="eastAsia"/>
          <w:sz w:val="26"/>
          <w:szCs w:val="26"/>
        </w:rPr>
        <w:t>⑥</w:t>
      </w:r>
      <w:r>
        <w:rPr>
          <w:sz w:val="26"/>
          <w:szCs w:val="26"/>
        </w:rPr>
        <w:fldChar w:fldCharType="end"/>
      </w:r>
      <w:r>
        <w:rPr>
          <w:rFonts w:hint="eastAsia"/>
          <w:sz w:val="26"/>
          <w:szCs w:val="26"/>
        </w:rPr>
        <w:t>开挖后的地基应及时进行硬化。</w:t>
      </w:r>
    </w:p>
    <w:p w14:paraId="538B8DA0">
      <w:pPr>
        <w:adjustRightInd w:val="0"/>
        <w:snapToGrid w:val="0"/>
        <w:spacing w:line="46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7 \* GB3</w:instrText>
      </w:r>
      <w:r>
        <w:rPr>
          <w:sz w:val="26"/>
          <w:szCs w:val="26"/>
        </w:rPr>
        <w:instrText xml:space="preserve"> </w:instrText>
      </w:r>
      <w:r>
        <w:rPr>
          <w:sz w:val="26"/>
          <w:szCs w:val="26"/>
        </w:rPr>
        <w:fldChar w:fldCharType="separate"/>
      </w:r>
      <w:r>
        <w:rPr>
          <w:rFonts w:hint="eastAsia"/>
          <w:sz w:val="26"/>
          <w:szCs w:val="26"/>
        </w:rPr>
        <w:t>⑦</w:t>
      </w:r>
      <w:r>
        <w:rPr>
          <w:sz w:val="26"/>
          <w:szCs w:val="26"/>
        </w:rPr>
        <w:fldChar w:fldCharType="end"/>
      </w:r>
      <w:r>
        <w:rPr>
          <w:rFonts w:hint="eastAsia"/>
          <w:sz w:val="26"/>
          <w:szCs w:val="26"/>
        </w:rPr>
        <w:t>施工场地进出口处设置洗车台，对轮胎进行冲洗，减少运输途中扬尘产生量。</w:t>
      </w:r>
    </w:p>
    <w:p w14:paraId="2BC50BB1">
      <w:pPr>
        <w:adjustRightInd w:val="0"/>
        <w:snapToGrid w:val="0"/>
        <w:spacing w:line="460" w:lineRule="exact"/>
        <w:ind w:firstLine="520" w:firstLineChars="200"/>
        <w:rPr>
          <w:sz w:val="26"/>
          <w:szCs w:val="26"/>
        </w:rPr>
      </w:pPr>
      <w:r>
        <w:rPr>
          <w:sz w:val="26"/>
          <w:szCs w:val="26"/>
        </w:rPr>
        <w:fldChar w:fldCharType="begin"/>
      </w:r>
      <w:r>
        <w:rPr>
          <w:sz w:val="26"/>
          <w:szCs w:val="26"/>
        </w:rPr>
        <w:instrText xml:space="preserve"> </w:instrText>
      </w:r>
      <w:r>
        <w:rPr>
          <w:rFonts w:hint="eastAsia"/>
          <w:sz w:val="26"/>
          <w:szCs w:val="26"/>
        </w:rPr>
        <w:instrText xml:space="preserve">= 8 \* GB3</w:instrText>
      </w:r>
      <w:r>
        <w:rPr>
          <w:sz w:val="26"/>
          <w:szCs w:val="26"/>
        </w:rPr>
        <w:instrText xml:space="preserve"> </w:instrText>
      </w:r>
      <w:r>
        <w:rPr>
          <w:sz w:val="26"/>
          <w:szCs w:val="26"/>
        </w:rPr>
        <w:fldChar w:fldCharType="separate"/>
      </w:r>
      <w:r>
        <w:rPr>
          <w:rFonts w:hint="eastAsia"/>
          <w:sz w:val="26"/>
          <w:szCs w:val="26"/>
        </w:rPr>
        <w:t>⑧</w:t>
      </w:r>
      <w:r>
        <w:rPr>
          <w:sz w:val="26"/>
          <w:szCs w:val="26"/>
        </w:rPr>
        <w:fldChar w:fldCharType="end"/>
      </w:r>
      <w:r>
        <w:rPr>
          <w:rFonts w:hint="eastAsia"/>
          <w:sz w:val="26"/>
          <w:szCs w:val="26"/>
        </w:rPr>
        <w:t>粉状物料集中堆存，使用篷布进行遮盖。</w:t>
      </w:r>
    </w:p>
    <w:p w14:paraId="415E539A">
      <w:pPr>
        <w:adjustRightInd w:val="0"/>
        <w:snapToGrid w:val="0"/>
        <w:spacing w:line="460" w:lineRule="exact"/>
        <w:ind w:firstLine="520" w:firstLineChars="200"/>
        <w:rPr>
          <w:sz w:val="26"/>
          <w:szCs w:val="26"/>
        </w:rPr>
      </w:pPr>
      <w:r>
        <w:rPr>
          <w:rFonts w:hint="eastAsia"/>
          <w:sz w:val="26"/>
          <w:szCs w:val="26"/>
        </w:rPr>
        <w:t>（</w:t>
      </w:r>
      <w:r>
        <w:rPr>
          <w:sz w:val="26"/>
          <w:szCs w:val="26"/>
        </w:rPr>
        <w:t>5</w:t>
      </w:r>
      <w:r>
        <w:rPr>
          <w:rFonts w:hint="eastAsia"/>
          <w:sz w:val="26"/>
          <w:szCs w:val="26"/>
        </w:rPr>
        <w:t>）乌梢蛇、王锦蛇保护措施</w:t>
      </w:r>
    </w:p>
    <w:p w14:paraId="5ABA0DAA">
      <w:pPr>
        <w:adjustRightInd w:val="0"/>
        <w:snapToGrid w:val="0"/>
        <w:spacing w:line="460" w:lineRule="exact"/>
        <w:ind w:firstLine="520" w:firstLineChars="200"/>
        <w:rPr>
          <w:sz w:val="26"/>
          <w:szCs w:val="26"/>
        </w:rPr>
      </w:pPr>
      <w:r>
        <w:rPr>
          <w:rFonts w:hint="eastAsia"/>
          <w:sz w:val="26"/>
          <w:szCs w:val="26"/>
        </w:rPr>
        <w:t>①对施工人员进行培训，宣传野生动物的知识及保护的意义，保护野生动物的栖息环境，禁止非法狩猎、诱捕、毒杀蛇类。</w:t>
      </w:r>
    </w:p>
    <w:p w14:paraId="2EAB20FB">
      <w:pPr>
        <w:adjustRightInd w:val="0"/>
        <w:snapToGrid w:val="0"/>
        <w:spacing w:line="460" w:lineRule="exact"/>
        <w:ind w:firstLine="520" w:firstLineChars="200"/>
        <w:rPr>
          <w:sz w:val="26"/>
          <w:szCs w:val="26"/>
        </w:rPr>
      </w:pPr>
      <w:r>
        <w:rPr>
          <w:rFonts w:hint="eastAsia"/>
          <w:sz w:val="26"/>
          <w:szCs w:val="26"/>
        </w:rPr>
        <w:t>②严格控制施工范围，禁止超越红线施工。</w:t>
      </w:r>
    </w:p>
    <w:p w14:paraId="761CF813">
      <w:pPr>
        <w:adjustRightInd w:val="0"/>
        <w:snapToGrid w:val="0"/>
        <w:spacing w:line="460" w:lineRule="exact"/>
        <w:ind w:firstLine="520" w:firstLineChars="200"/>
        <w:rPr>
          <w:sz w:val="26"/>
          <w:szCs w:val="26"/>
        </w:rPr>
      </w:pPr>
      <w:r>
        <w:rPr>
          <w:rFonts w:hint="eastAsia"/>
          <w:sz w:val="26"/>
          <w:szCs w:val="26"/>
        </w:rPr>
        <w:t>③加强对站场施工区外植被的保护，禁止破坏施工区外蛇类生境。</w:t>
      </w:r>
    </w:p>
    <w:p w14:paraId="5065E843">
      <w:pPr>
        <w:adjustRightInd w:val="0"/>
        <w:snapToGrid w:val="0"/>
        <w:spacing w:line="460" w:lineRule="exact"/>
        <w:ind w:firstLine="520" w:firstLineChars="200"/>
        <w:rPr>
          <w:sz w:val="26"/>
          <w:szCs w:val="26"/>
        </w:rPr>
      </w:pPr>
      <w:r>
        <w:rPr>
          <w:rFonts w:hint="eastAsia"/>
          <w:sz w:val="26"/>
          <w:szCs w:val="26"/>
        </w:rPr>
        <w:t>④严格管理施工废水、固废，</w:t>
      </w:r>
      <w:r>
        <w:rPr>
          <w:sz w:val="26"/>
          <w:szCs w:val="26"/>
        </w:rPr>
        <w:t>防止其渗入土壤和水体</w:t>
      </w:r>
      <w:r>
        <w:rPr>
          <w:rFonts w:hint="eastAsia"/>
          <w:sz w:val="26"/>
          <w:szCs w:val="26"/>
        </w:rPr>
        <w:t>，污染蛇类的食物来源（蛙类、鼠类等）和水源。</w:t>
      </w:r>
    </w:p>
    <w:p w14:paraId="708C39D0">
      <w:pPr>
        <w:adjustRightInd w:val="0"/>
        <w:snapToGrid w:val="0"/>
        <w:spacing w:line="460" w:lineRule="exact"/>
        <w:ind w:firstLine="520" w:firstLineChars="200"/>
        <w:rPr>
          <w:sz w:val="26"/>
          <w:szCs w:val="26"/>
        </w:rPr>
      </w:pPr>
      <w:r>
        <w:rPr>
          <w:rFonts w:hint="eastAsia"/>
          <w:sz w:val="26"/>
          <w:szCs w:val="26"/>
        </w:rPr>
        <w:t>⑤在夜间和晨昏等时间禁止强烈的噪声和灯光等干扰。</w:t>
      </w:r>
    </w:p>
    <w:p w14:paraId="4E92DAD8">
      <w:pPr>
        <w:snapToGrid w:val="0"/>
        <w:spacing w:line="460" w:lineRule="exact"/>
        <w:ind w:firstLine="522" w:firstLineChars="200"/>
        <w:outlineLvl w:val="2"/>
        <w:rPr>
          <w:b/>
          <w:bCs/>
          <w:sz w:val="26"/>
          <w:szCs w:val="26"/>
        </w:rPr>
      </w:pPr>
      <w:bookmarkStart w:id="356" w:name="_Toc165810641"/>
      <w:bookmarkStart w:id="357" w:name="_Toc165810642"/>
      <w:bookmarkStart w:id="358" w:name="_Toc165809761"/>
      <w:r>
        <w:rPr>
          <w:b/>
          <w:bCs/>
          <w:sz w:val="26"/>
          <w:szCs w:val="26"/>
        </w:rPr>
        <w:t>8.2.2 试采期生态环境</w:t>
      </w:r>
      <w:bookmarkEnd w:id="356"/>
      <w:r>
        <w:rPr>
          <w:rFonts w:hint="eastAsia"/>
          <w:b/>
          <w:bCs/>
          <w:sz w:val="26"/>
          <w:szCs w:val="26"/>
        </w:rPr>
        <w:t>保护措施</w:t>
      </w:r>
    </w:p>
    <w:p w14:paraId="72E27B17">
      <w:pPr>
        <w:snapToGrid w:val="0"/>
        <w:spacing w:line="460" w:lineRule="exact"/>
        <w:ind w:firstLine="520" w:firstLineChars="200"/>
        <w:jc w:val="left"/>
        <w:rPr>
          <w:sz w:val="26"/>
          <w:szCs w:val="26"/>
        </w:rPr>
      </w:pPr>
      <w:r>
        <w:rPr>
          <w:rFonts w:hint="eastAsia"/>
          <w:sz w:val="26"/>
          <w:szCs w:val="26"/>
        </w:rPr>
        <w:t>工程在正常试采期间，基本上不会对生态环境形成干扰。主要生态保护措施为加强巡护人员管理及生态环境保护知识的宣传，禁止巡护人员对站场周边植被、陆生和水生动物的破坏，禁止乱扔乱丢垃圾，禁止破坏和随意践踏已恢复或正在恢复中的植被。</w:t>
      </w:r>
    </w:p>
    <w:p w14:paraId="75990D66">
      <w:pPr>
        <w:snapToGrid w:val="0"/>
        <w:spacing w:line="460" w:lineRule="exact"/>
        <w:ind w:firstLine="520" w:firstLineChars="200"/>
        <w:jc w:val="left"/>
        <w:rPr>
          <w:sz w:val="26"/>
          <w:szCs w:val="26"/>
        </w:rPr>
      </w:pPr>
      <w:r>
        <w:rPr>
          <w:rFonts w:hint="eastAsia"/>
          <w:sz w:val="26"/>
          <w:szCs w:val="26"/>
        </w:rPr>
        <w:t>综上，本项目采取上述措施后，项目实施对周边的生态环境影响较小。</w:t>
      </w:r>
    </w:p>
    <w:p w14:paraId="0BA3FF90">
      <w:pPr>
        <w:snapToGrid w:val="0"/>
        <w:spacing w:line="460" w:lineRule="exact"/>
        <w:ind w:firstLine="522" w:firstLineChars="200"/>
        <w:outlineLvl w:val="1"/>
        <w:rPr>
          <w:b/>
          <w:bCs/>
          <w:sz w:val="26"/>
          <w:szCs w:val="26"/>
        </w:rPr>
      </w:pPr>
      <w:bookmarkStart w:id="359" w:name="_Toc219907673"/>
      <w:r>
        <w:rPr>
          <w:rFonts w:hint="eastAsia"/>
          <w:b/>
          <w:bCs/>
          <w:sz w:val="26"/>
          <w:szCs w:val="26"/>
        </w:rPr>
        <w:t>8</w:t>
      </w:r>
      <w:r>
        <w:rPr>
          <w:b/>
          <w:bCs/>
          <w:sz w:val="26"/>
          <w:szCs w:val="26"/>
        </w:rPr>
        <w:t xml:space="preserve">.3 </w:t>
      </w:r>
      <w:r>
        <w:rPr>
          <w:rFonts w:hint="eastAsia"/>
          <w:b/>
          <w:bCs/>
          <w:sz w:val="26"/>
          <w:szCs w:val="26"/>
        </w:rPr>
        <w:t>地表水污染防治措施</w:t>
      </w:r>
      <w:bookmarkEnd w:id="357"/>
      <w:bookmarkEnd w:id="358"/>
      <w:bookmarkEnd w:id="359"/>
    </w:p>
    <w:p w14:paraId="2D8FF461">
      <w:pPr>
        <w:snapToGrid w:val="0"/>
        <w:spacing w:line="460" w:lineRule="exact"/>
        <w:ind w:firstLine="522" w:firstLineChars="200"/>
        <w:outlineLvl w:val="2"/>
        <w:rPr>
          <w:b/>
          <w:bCs/>
          <w:sz w:val="26"/>
          <w:szCs w:val="26"/>
        </w:rPr>
      </w:pPr>
      <w:bookmarkStart w:id="360" w:name="_Toc165810643"/>
      <w:r>
        <w:rPr>
          <w:b/>
          <w:bCs/>
          <w:sz w:val="26"/>
          <w:szCs w:val="26"/>
        </w:rPr>
        <w:t xml:space="preserve">8.3.1 </w:t>
      </w:r>
      <w:r>
        <w:rPr>
          <w:rFonts w:hint="eastAsia"/>
          <w:b/>
          <w:bCs/>
          <w:sz w:val="26"/>
          <w:szCs w:val="26"/>
        </w:rPr>
        <w:t>施工期地表水污染防治措施</w:t>
      </w:r>
      <w:bookmarkEnd w:id="360"/>
    </w:p>
    <w:p w14:paraId="069F0881">
      <w:pPr>
        <w:snapToGrid w:val="0"/>
        <w:spacing w:line="460" w:lineRule="exact"/>
        <w:ind w:firstLine="520" w:firstLineChars="200"/>
        <w:rPr>
          <w:sz w:val="26"/>
          <w:szCs w:val="26"/>
        </w:rPr>
      </w:pPr>
      <w:r>
        <w:rPr>
          <w:rFonts w:hint="eastAsia"/>
          <w:sz w:val="26"/>
          <w:szCs w:val="26"/>
        </w:rPr>
        <w:t>试采站施工产生的废水主要包括生活污水、施工废水和试压废水。施工期生活污水依托井场附近农户厕所以及所住旅馆厕所处置；施工废水在场地内沉淀后用于场地洒水抑尘，不外排；站内设备、管道的强度、严密性试压采用清洁水试验，试压后排出的废水主要污染物为悬浮物，经简易沉淀后用于区域绿化和洒水降尘，以上措施成熟、简单，广泛应用。</w:t>
      </w:r>
    </w:p>
    <w:p w14:paraId="1E15F97C">
      <w:pPr>
        <w:snapToGrid w:val="0"/>
        <w:spacing w:line="460" w:lineRule="exact"/>
        <w:ind w:firstLine="520" w:firstLineChars="200"/>
        <w:rPr>
          <w:sz w:val="26"/>
          <w:szCs w:val="26"/>
        </w:rPr>
      </w:pPr>
      <w:r>
        <w:rPr>
          <w:rFonts w:hint="eastAsia"/>
          <w:sz w:val="26"/>
          <w:szCs w:val="26"/>
        </w:rPr>
        <w:t>通过采取上述措施，施工期地表水环境影响控制在当地环境可接受范围内，措施可行。</w:t>
      </w:r>
    </w:p>
    <w:p w14:paraId="4C10BB80">
      <w:pPr>
        <w:snapToGrid w:val="0"/>
        <w:spacing w:line="460" w:lineRule="exact"/>
        <w:ind w:firstLine="522" w:firstLineChars="200"/>
        <w:outlineLvl w:val="2"/>
        <w:rPr>
          <w:b/>
          <w:bCs/>
          <w:sz w:val="26"/>
          <w:szCs w:val="26"/>
        </w:rPr>
      </w:pPr>
      <w:bookmarkStart w:id="361" w:name="_Toc165810644"/>
      <w:r>
        <w:rPr>
          <w:rFonts w:hint="eastAsia"/>
          <w:b/>
          <w:bCs/>
          <w:sz w:val="26"/>
          <w:szCs w:val="26"/>
        </w:rPr>
        <w:t>8</w:t>
      </w:r>
      <w:r>
        <w:rPr>
          <w:b/>
          <w:bCs/>
          <w:sz w:val="26"/>
          <w:szCs w:val="26"/>
        </w:rPr>
        <w:t xml:space="preserve">.3.2 </w:t>
      </w:r>
      <w:r>
        <w:rPr>
          <w:rFonts w:hint="eastAsia"/>
          <w:b/>
          <w:bCs/>
          <w:sz w:val="26"/>
          <w:szCs w:val="26"/>
        </w:rPr>
        <w:t>试采期地表水污染防治措施</w:t>
      </w:r>
      <w:bookmarkEnd w:id="361"/>
    </w:p>
    <w:p w14:paraId="38F5F2D8">
      <w:pPr>
        <w:pStyle w:val="702"/>
        <w:ind w:firstLine="520"/>
        <w:rPr>
          <w:rFonts w:cs="Times New Roman"/>
        </w:rPr>
      </w:pPr>
      <w:r>
        <w:rPr>
          <w:rFonts w:hint="eastAsia"/>
          <w:szCs w:val="26"/>
        </w:rPr>
        <w:t>本项目试采期废水主要为分离的气田水、放空分离液、分子筛冷凝水、检修废水和生活污水。</w:t>
      </w:r>
      <w:r>
        <w:rPr>
          <w:rFonts w:hint="eastAsia" w:cs="Times New Roman"/>
        </w:rPr>
        <w:t>试采初期（约1个月）巴中2</w:t>
      </w:r>
      <w:r>
        <w:rPr>
          <w:rFonts w:cs="Times New Roman"/>
        </w:rPr>
        <w:t>HF</w:t>
      </w:r>
      <w:r>
        <w:rPr>
          <w:rFonts w:hint="eastAsia" w:cs="Times New Roman"/>
        </w:rPr>
        <w:t>井和巴页2</w:t>
      </w:r>
      <w:r>
        <w:rPr>
          <w:rFonts w:cs="Times New Roman"/>
        </w:rPr>
        <w:t>HF</w:t>
      </w:r>
      <w:r>
        <w:rPr>
          <w:rFonts w:hint="eastAsia" w:cs="Times New Roman"/>
        </w:rPr>
        <w:t>井两口井气田水产生总量约为</w:t>
      </w:r>
      <w:r>
        <w:rPr>
          <w:rFonts w:cs="Times New Roman"/>
        </w:rPr>
        <w:t>20m</w:t>
      </w:r>
      <w:r>
        <w:rPr>
          <w:rFonts w:cs="Times New Roman"/>
          <w:vertAlign w:val="superscript"/>
        </w:rPr>
        <w:t>3</w:t>
      </w:r>
      <w:r>
        <w:rPr>
          <w:rFonts w:cs="Times New Roman"/>
        </w:rPr>
        <w:t>/d~60</w:t>
      </w:r>
      <w:r>
        <w:rPr>
          <w:rFonts w:hint="eastAsia" w:cs="Times New Roman"/>
        </w:rPr>
        <w:t>m</w:t>
      </w:r>
      <w:r>
        <w:rPr>
          <w:rFonts w:hint="eastAsia" w:cs="Times New Roman"/>
          <w:vertAlign w:val="superscript"/>
        </w:rPr>
        <w:t>3</w:t>
      </w:r>
      <w:r>
        <w:rPr>
          <w:rFonts w:hint="eastAsia" w:cs="Times New Roman"/>
        </w:rPr>
        <w:t>/d（本次环评按最不利情况考虑，气田水产生量取</w:t>
      </w:r>
      <w:r>
        <w:rPr>
          <w:rFonts w:cs="Times New Roman"/>
        </w:rPr>
        <w:t>6</w:t>
      </w:r>
      <w:r>
        <w:rPr>
          <w:rFonts w:hint="eastAsia" w:cs="Times New Roman"/>
        </w:rPr>
        <w:t>0m</w:t>
      </w:r>
      <w:r>
        <w:rPr>
          <w:rFonts w:hint="eastAsia" w:cs="Times New Roman"/>
          <w:vertAlign w:val="superscript"/>
        </w:rPr>
        <w:t>3</w:t>
      </w:r>
      <w:r>
        <w:rPr>
          <w:rFonts w:hint="eastAsia" w:cs="Times New Roman"/>
        </w:rPr>
        <w:t>/d），随着采气开展，气田水产生量随之逐渐减少，后期两口井气田水产生总量将稳定在</w:t>
      </w:r>
      <w:r>
        <w:rPr>
          <w:rFonts w:cs="Times New Roman"/>
        </w:rPr>
        <w:t>10</w:t>
      </w:r>
      <w:r>
        <w:rPr>
          <w:rFonts w:hint="eastAsia" w:cs="Times New Roman"/>
        </w:rPr>
        <w:t>m</w:t>
      </w:r>
      <w:r>
        <w:rPr>
          <w:rFonts w:hint="eastAsia" w:cs="Times New Roman"/>
          <w:vertAlign w:val="superscript"/>
        </w:rPr>
        <w:t>3</w:t>
      </w:r>
      <w:r>
        <w:rPr>
          <w:rFonts w:hint="eastAsia" w:cs="Times New Roman"/>
        </w:rPr>
        <w:t>/d。</w:t>
      </w:r>
      <w:r>
        <w:rPr>
          <w:rFonts w:hint="eastAsia"/>
        </w:rPr>
        <w:t>本项目试采期分离气田水、</w:t>
      </w:r>
      <w:r>
        <w:rPr>
          <w:rFonts w:hint="eastAsia"/>
          <w:szCs w:val="26"/>
        </w:rPr>
        <w:t>放空分离液、分子筛冷凝水和检修废水</w:t>
      </w:r>
      <w:r>
        <w:rPr>
          <w:rFonts w:hint="eastAsia"/>
        </w:rPr>
        <w:t>暂存于</w:t>
      </w:r>
      <w:r>
        <w:rPr>
          <w:rFonts w:hint="eastAsia" w:cs="Times New Roman"/>
        </w:rPr>
        <w:t>气田水储罐（</w:t>
      </w:r>
      <w:r>
        <w:rPr>
          <w:rFonts w:cs="Times New Roman"/>
        </w:rPr>
        <w:t>120</w:t>
      </w:r>
      <w:r>
        <w:rPr>
          <w:rFonts w:hint="eastAsia" w:cs="Times New Roman"/>
        </w:rPr>
        <w:t>m</w:t>
      </w:r>
      <w:r>
        <w:rPr>
          <w:rFonts w:cs="Times New Roman"/>
          <w:vertAlign w:val="superscript"/>
        </w:rPr>
        <w:t>3</w:t>
      </w:r>
      <w:r>
        <w:rPr>
          <w:rFonts w:hint="eastAsia" w:cs="Times New Roman"/>
        </w:rPr>
        <w:t>），定期由罐车运输至四川洁安环境科技有限公司油气田废水处理站、四川兴澳环境技术服务有限公司油气井地下水处理站处置，或区域内有合法资质且有处理能力的第三方单位处置，值守人员生活污水经环保厕所收集后定期外运附近城镇生活污水处理厂处置。</w:t>
      </w:r>
    </w:p>
    <w:p w14:paraId="4E721E09">
      <w:pPr>
        <w:snapToGrid w:val="0"/>
        <w:spacing w:line="460" w:lineRule="exact"/>
        <w:ind w:firstLine="520" w:firstLineChars="200"/>
        <w:rPr>
          <w:sz w:val="26"/>
          <w:szCs w:val="26"/>
        </w:rPr>
      </w:pPr>
      <w:r>
        <w:rPr>
          <w:rFonts w:hint="eastAsia"/>
          <w:sz w:val="26"/>
          <w:szCs w:val="26"/>
        </w:rPr>
        <w:t>为保证气田水罐有足够的储存容积，建设单位在试采站场内建设</w:t>
      </w:r>
      <w:r>
        <w:rPr>
          <w:sz w:val="26"/>
          <w:szCs w:val="26"/>
        </w:rPr>
        <w:t>2</w:t>
      </w:r>
      <w:r>
        <w:rPr>
          <w:rFonts w:hint="eastAsia"/>
          <w:sz w:val="26"/>
          <w:szCs w:val="26"/>
        </w:rPr>
        <w:t>个50m</w:t>
      </w:r>
      <w:r>
        <w:rPr>
          <w:rFonts w:hint="eastAsia"/>
          <w:sz w:val="26"/>
          <w:szCs w:val="26"/>
          <w:vertAlign w:val="superscript"/>
        </w:rPr>
        <w:t>3</w:t>
      </w:r>
      <w:r>
        <w:rPr>
          <w:rFonts w:hint="eastAsia"/>
          <w:sz w:val="26"/>
          <w:szCs w:val="26"/>
        </w:rPr>
        <w:t>气田水罐储和1个2</w:t>
      </w:r>
      <w:r>
        <w:rPr>
          <w:sz w:val="26"/>
          <w:szCs w:val="26"/>
        </w:rPr>
        <w:t>0</w:t>
      </w:r>
      <w:r>
        <w:rPr>
          <w:rFonts w:hint="eastAsia"/>
          <w:sz w:val="26"/>
          <w:szCs w:val="26"/>
        </w:rPr>
        <w:t>m</w:t>
      </w:r>
      <w:r>
        <w:rPr>
          <w:rFonts w:hint="eastAsia"/>
          <w:sz w:val="26"/>
          <w:szCs w:val="26"/>
          <w:vertAlign w:val="superscript"/>
        </w:rPr>
        <w:t>3</w:t>
      </w:r>
      <w:r>
        <w:rPr>
          <w:rFonts w:hint="eastAsia"/>
          <w:sz w:val="26"/>
          <w:szCs w:val="26"/>
        </w:rPr>
        <w:t>气田水罐储存气田水，在采气初期的产水高峰时段可储存约</w:t>
      </w:r>
      <w:r>
        <w:rPr>
          <w:sz w:val="26"/>
          <w:szCs w:val="26"/>
        </w:rPr>
        <w:t>2</w:t>
      </w:r>
      <w:r>
        <w:rPr>
          <w:rFonts w:hint="eastAsia"/>
          <w:sz w:val="26"/>
          <w:szCs w:val="26"/>
        </w:rPr>
        <w:t>d，开采后期可储存约</w:t>
      </w:r>
      <w:r>
        <w:rPr>
          <w:sz w:val="26"/>
          <w:szCs w:val="26"/>
        </w:rPr>
        <w:t>12</w:t>
      </w:r>
      <w:r>
        <w:rPr>
          <w:rFonts w:hint="eastAsia"/>
          <w:sz w:val="26"/>
          <w:szCs w:val="26"/>
        </w:rPr>
        <w:t>d。由于气田水产生量峰值期持续时间较短，在峰值期每天定时转运，气质稳定后每</w:t>
      </w:r>
      <w:r>
        <w:rPr>
          <w:sz w:val="26"/>
          <w:szCs w:val="26"/>
        </w:rPr>
        <w:t>10</w:t>
      </w:r>
      <w:r>
        <w:rPr>
          <w:rFonts w:hint="eastAsia"/>
          <w:sz w:val="26"/>
          <w:szCs w:val="26"/>
        </w:rPr>
        <w:t>天转移一次的前提下，项目气田水罐能够满足试采期气田水储存所需。</w:t>
      </w:r>
    </w:p>
    <w:p w14:paraId="0AF729BF">
      <w:pPr>
        <w:snapToGrid w:val="0"/>
        <w:spacing w:line="460" w:lineRule="exact"/>
        <w:ind w:firstLine="520" w:firstLineChars="200"/>
        <w:rPr>
          <w:sz w:val="26"/>
          <w:szCs w:val="26"/>
        </w:rPr>
      </w:pPr>
      <w:r>
        <w:rPr>
          <w:rFonts w:hint="eastAsia"/>
          <w:sz w:val="26"/>
          <w:szCs w:val="26"/>
        </w:rPr>
        <w:t>本项目站内凝析油和气田水的输送、装卸环节均采用管道密闭输送，站内值守人员做好日常巡检工作，杜绝跑、冒、滴、漏等泄漏污染物的行为，站内无落地油存在。</w:t>
      </w:r>
    </w:p>
    <w:p w14:paraId="47093C22">
      <w:pPr>
        <w:snapToGrid w:val="0"/>
        <w:spacing w:line="460" w:lineRule="exact"/>
        <w:ind w:firstLine="520" w:firstLineChars="200"/>
        <w:rPr>
          <w:sz w:val="26"/>
          <w:szCs w:val="26"/>
        </w:rPr>
      </w:pPr>
      <w:r>
        <w:rPr>
          <w:rFonts w:hint="eastAsia"/>
          <w:sz w:val="26"/>
          <w:szCs w:val="26"/>
        </w:rPr>
        <w:t>通过采取上述措施后，本项目废水对周边地表水影响较小。</w:t>
      </w:r>
    </w:p>
    <w:p w14:paraId="4854C396">
      <w:pPr>
        <w:pStyle w:val="1068"/>
      </w:pPr>
      <w:r>
        <w:rPr>
          <w:rFonts w:hint="eastAsia"/>
        </w:rPr>
        <w:t>8</w:t>
      </w:r>
      <w:r>
        <w:t xml:space="preserve">.3.3 </w:t>
      </w:r>
      <w:r>
        <w:rPr>
          <w:rFonts w:hint="eastAsia"/>
        </w:rPr>
        <w:t>气田水外委处理达标外排</w:t>
      </w:r>
      <w:r>
        <w:t>措施及有效性分析</w:t>
      </w:r>
    </w:p>
    <w:p w14:paraId="76E02628">
      <w:pPr>
        <w:adjustRightInd w:val="0"/>
        <w:snapToGrid w:val="0"/>
        <w:spacing w:line="480" w:lineRule="exact"/>
        <w:ind w:firstLine="520" w:firstLineChars="200"/>
        <w:rPr>
          <w:sz w:val="26"/>
          <w:szCs w:val="26"/>
        </w:rPr>
      </w:pPr>
      <w:r>
        <w:rPr>
          <w:rFonts w:hint="eastAsia"/>
          <w:sz w:val="26"/>
          <w:szCs w:val="26"/>
        </w:rPr>
        <w:t>目前川东北区域内有气田水处理能力的污水处理站主要有四川洁安环境科技有限公司油气田废水处理站和四川兴澳环境技术服务有限公司油气井地下水处理站等处理站。</w:t>
      </w:r>
    </w:p>
    <w:p w14:paraId="1024D67A">
      <w:pPr>
        <w:adjustRightInd w:val="0"/>
        <w:snapToGrid w:val="0"/>
        <w:spacing w:line="480" w:lineRule="exact"/>
        <w:ind w:firstLine="520" w:firstLineChars="200"/>
        <w:rPr>
          <w:sz w:val="26"/>
          <w:szCs w:val="26"/>
        </w:rPr>
      </w:pPr>
      <w:r>
        <w:rPr>
          <w:sz w:val="26"/>
          <w:szCs w:val="26"/>
        </w:rPr>
        <w:t>四川洁安环境科技有限公司油气田废水处理站位于巴中市巴州区光辉镇哨台村巴中循环经济产业园内，处理规模为1200m</w:t>
      </w:r>
      <w:r>
        <w:rPr>
          <w:sz w:val="26"/>
          <w:szCs w:val="26"/>
          <w:vertAlign w:val="superscript"/>
        </w:rPr>
        <w:t>3</w:t>
      </w:r>
      <w:r>
        <w:rPr>
          <w:sz w:val="26"/>
          <w:szCs w:val="26"/>
        </w:rPr>
        <w:t>/d（600m</w:t>
      </w:r>
      <w:r>
        <w:rPr>
          <w:sz w:val="26"/>
          <w:szCs w:val="26"/>
          <w:vertAlign w:val="superscript"/>
        </w:rPr>
        <w:t>3</w:t>
      </w:r>
      <w:r>
        <w:rPr>
          <w:sz w:val="26"/>
          <w:szCs w:val="26"/>
        </w:rPr>
        <w:t>/d回注处理，600m</w:t>
      </w:r>
      <w:r>
        <w:rPr>
          <w:sz w:val="26"/>
          <w:szCs w:val="26"/>
          <w:vertAlign w:val="superscript"/>
        </w:rPr>
        <w:t>3</w:t>
      </w:r>
      <w:r>
        <w:rPr>
          <w:sz w:val="26"/>
          <w:szCs w:val="26"/>
        </w:rPr>
        <w:t>d深度处理），处理对象为油气田井压裂液、返排水等油气田废水</w:t>
      </w:r>
      <w:r>
        <w:rPr>
          <w:rFonts w:hint="eastAsia"/>
          <w:sz w:val="26"/>
          <w:szCs w:val="26"/>
        </w:rPr>
        <w:t>，废水深度处理后可</w:t>
      </w:r>
      <w:r>
        <w:rPr>
          <w:sz w:val="26"/>
          <w:szCs w:val="26"/>
        </w:rPr>
        <w:t>达到《城镇污水处理厂污染物排放标准》（GB18918-2002）中一级A标准（其中氯化物出水限值350mg/L）后，外排至巴河。</w:t>
      </w:r>
    </w:p>
    <w:p w14:paraId="7044C93B">
      <w:pPr>
        <w:adjustRightInd w:val="0"/>
        <w:snapToGrid w:val="0"/>
        <w:spacing w:line="480" w:lineRule="exact"/>
        <w:ind w:firstLine="520" w:firstLineChars="200"/>
        <w:rPr>
          <w:sz w:val="26"/>
          <w:szCs w:val="26"/>
        </w:rPr>
      </w:pPr>
      <w:r>
        <w:rPr>
          <w:sz w:val="26"/>
          <w:szCs w:val="26"/>
        </w:rPr>
        <w:t>四川兴澳环境技术服务有限公司油气井地下水处理站</w:t>
      </w:r>
      <w:r>
        <w:rPr>
          <w:rFonts w:hint="eastAsia"/>
          <w:sz w:val="26"/>
          <w:szCs w:val="26"/>
        </w:rPr>
        <w:t>位于巴中市通江县陈河乡西浴溪村，处理对象为油气开发高含盐气田水，处理规模为300</w:t>
      </w:r>
      <w:r>
        <w:rPr>
          <w:sz w:val="26"/>
          <w:szCs w:val="26"/>
        </w:rPr>
        <w:t>m</w:t>
      </w:r>
      <w:r>
        <w:rPr>
          <w:sz w:val="26"/>
          <w:szCs w:val="26"/>
          <w:vertAlign w:val="superscript"/>
        </w:rPr>
        <w:t>3</w:t>
      </w:r>
      <w:r>
        <w:rPr>
          <w:sz w:val="26"/>
          <w:szCs w:val="26"/>
        </w:rPr>
        <w:t>/d</w:t>
      </w:r>
      <w:r>
        <w:rPr>
          <w:rFonts w:hint="eastAsia"/>
          <w:sz w:val="26"/>
          <w:szCs w:val="26"/>
        </w:rPr>
        <w:t>，处理后的废水可达到《污水综合排放标准》（GB8978-1996）一级标准</w:t>
      </w:r>
      <w:r>
        <w:rPr>
          <w:sz w:val="26"/>
          <w:szCs w:val="26"/>
        </w:rPr>
        <w:t>（其中氯化物出水限值350mg/L）</w:t>
      </w:r>
      <w:r>
        <w:rPr>
          <w:rFonts w:hint="eastAsia"/>
          <w:sz w:val="26"/>
          <w:szCs w:val="26"/>
        </w:rPr>
        <w:t>后外排至溪浴西河。</w:t>
      </w:r>
    </w:p>
    <w:p w14:paraId="19E8BE25">
      <w:pPr>
        <w:snapToGrid w:val="0"/>
        <w:spacing w:line="460" w:lineRule="exact"/>
        <w:ind w:firstLine="522" w:firstLineChars="200"/>
        <w:rPr>
          <w:b/>
          <w:sz w:val="26"/>
          <w:szCs w:val="26"/>
        </w:rPr>
      </w:pPr>
      <w:r>
        <w:rPr>
          <w:rFonts w:hint="eastAsia"/>
          <w:b/>
          <w:sz w:val="26"/>
          <w:szCs w:val="26"/>
        </w:rPr>
        <w:t>8</w:t>
      </w:r>
      <w:r>
        <w:rPr>
          <w:b/>
          <w:sz w:val="26"/>
          <w:szCs w:val="26"/>
        </w:rPr>
        <w:t xml:space="preserve">.3.3.1 </w:t>
      </w:r>
      <w:r>
        <w:rPr>
          <w:rFonts w:hint="eastAsia"/>
          <w:b/>
          <w:sz w:val="26"/>
          <w:szCs w:val="26"/>
        </w:rPr>
        <w:t>依托设施处理能力可行性分析</w:t>
      </w:r>
    </w:p>
    <w:p w14:paraId="10D33F87">
      <w:pPr>
        <w:spacing w:line="480" w:lineRule="exact"/>
        <w:ind w:firstLine="560"/>
        <w:rPr>
          <w:sz w:val="26"/>
          <w:szCs w:val="26"/>
        </w:rPr>
      </w:pPr>
      <w:r>
        <w:rPr>
          <w:rFonts w:hint="eastAsia"/>
          <w:sz w:val="26"/>
          <w:szCs w:val="26"/>
        </w:rPr>
        <w:t>（1）</w:t>
      </w:r>
      <w:bookmarkStart w:id="362" w:name="OLE_LINK14"/>
      <w:bookmarkStart w:id="363" w:name="OLE_LINK13"/>
      <w:r>
        <w:rPr>
          <w:sz w:val="26"/>
          <w:szCs w:val="26"/>
        </w:rPr>
        <w:t>四川洁安环境科技有限公司</w:t>
      </w:r>
      <w:r>
        <w:rPr>
          <w:rFonts w:hint="eastAsia"/>
          <w:sz w:val="26"/>
          <w:szCs w:val="26"/>
        </w:rPr>
        <w:t>油气田废水处理站</w:t>
      </w:r>
      <w:bookmarkEnd w:id="362"/>
      <w:bookmarkEnd w:id="363"/>
    </w:p>
    <w:p w14:paraId="1338C65C">
      <w:pPr>
        <w:spacing w:line="480" w:lineRule="exact"/>
        <w:ind w:firstLine="560"/>
        <w:rPr>
          <w:sz w:val="26"/>
          <w:szCs w:val="26"/>
        </w:rPr>
      </w:pPr>
      <w:r>
        <w:rPr>
          <w:sz w:val="26"/>
          <w:szCs w:val="26"/>
        </w:rPr>
        <w:t>四川洁安环境科技有限公司油气田废水处理站位于巴中市巴州区光辉镇哨台村巴中循环经济产业园内，处理规模为1200m</w:t>
      </w:r>
      <w:r>
        <w:rPr>
          <w:sz w:val="26"/>
          <w:szCs w:val="26"/>
          <w:vertAlign w:val="superscript"/>
        </w:rPr>
        <w:t>3</w:t>
      </w:r>
      <w:r>
        <w:rPr>
          <w:sz w:val="26"/>
          <w:szCs w:val="26"/>
        </w:rPr>
        <w:t>/d（600m</w:t>
      </w:r>
      <w:r>
        <w:rPr>
          <w:sz w:val="26"/>
          <w:szCs w:val="26"/>
          <w:vertAlign w:val="superscript"/>
        </w:rPr>
        <w:t>3</w:t>
      </w:r>
      <w:r>
        <w:rPr>
          <w:sz w:val="26"/>
          <w:szCs w:val="26"/>
        </w:rPr>
        <w:t>/d回注处理，600m</w:t>
      </w:r>
      <w:r>
        <w:rPr>
          <w:sz w:val="26"/>
          <w:szCs w:val="26"/>
          <w:vertAlign w:val="superscript"/>
        </w:rPr>
        <w:t>3</w:t>
      </w:r>
      <w:r>
        <w:rPr>
          <w:sz w:val="26"/>
          <w:szCs w:val="26"/>
        </w:rPr>
        <w:t>d深度处理），处理对象为油气田井压裂液、返排水等油气田废水，该油气田废水处理站于2023年6月21日取得巴中市生态环境局环评批复，批文号为巴环境审〔2023〕18号，目前该处理站于2024年12月建成投产，于2025年6月通过竣工环保验收，已申领了排污许可证，证书编号为：91511902MA64N52P8X001V。目前油气田废水处理站处理废水量约200m</w:t>
      </w:r>
      <w:r>
        <w:rPr>
          <w:sz w:val="26"/>
          <w:szCs w:val="26"/>
          <w:vertAlign w:val="superscript"/>
        </w:rPr>
        <w:t>3</w:t>
      </w:r>
      <w:r>
        <w:rPr>
          <w:sz w:val="26"/>
          <w:szCs w:val="26"/>
        </w:rPr>
        <w:t>/d，主要处理中石化川东北地区气田所产生的压裂返排液和采气废水。该处理站剩余处理规模1000m</w:t>
      </w:r>
      <w:r>
        <w:rPr>
          <w:sz w:val="26"/>
          <w:szCs w:val="26"/>
          <w:vertAlign w:val="superscript"/>
        </w:rPr>
        <w:t>3</w:t>
      </w:r>
      <w:r>
        <w:rPr>
          <w:sz w:val="26"/>
          <w:szCs w:val="26"/>
        </w:rPr>
        <w:t>/d，其中剩余深度处理规模400m</w:t>
      </w:r>
      <w:r>
        <w:rPr>
          <w:sz w:val="26"/>
          <w:szCs w:val="26"/>
          <w:vertAlign w:val="superscript"/>
        </w:rPr>
        <w:t>3</w:t>
      </w:r>
      <w:r>
        <w:rPr>
          <w:sz w:val="26"/>
          <w:szCs w:val="26"/>
        </w:rPr>
        <w:t>/d，</w:t>
      </w:r>
      <w:r>
        <w:rPr>
          <w:rFonts w:hint="eastAsia"/>
          <w:sz w:val="26"/>
          <w:szCs w:val="26"/>
        </w:rPr>
        <w:t>本项目气田水最大产生量（开采初期）约</w:t>
      </w:r>
      <w:r>
        <w:rPr>
          <w:sz w:val="26"/>
          <w:szCs w:val="26"/>
        </w:rPr>
        <w:t>60m</w:t>
      </w:r>
      <w:r>
        <w:rPr>
          <w:sz w:val="26"/>
          <w:szCs w:val="26"/>
          <w:vertAlign w:val="superscript"/>
        </w:rPr>
        <w:t>3</w:t>
      </w:r>
      <w:r>
        <w:rPr>
          <w:sz w:val="26"/>
          <w:szCs w:val="26"/>
        </w:rPr>
        <w:t>/d</w:t>
      </w:r>
      <w:r>
        <w:rPr>
          <w:rFonts w:hint="eastAsia"/>
          <w:sz w:val="26"/>
          <w:szCs w:val="26"/>
        </w:rPr>
        <w:t>，</w:t>
      </w:r>
      <w:r>
        <w:rPr>
          <w:sz w:val="26"/>
          <w:szCs w:val="26"/>
        </w:rPr>
        <w:t>油气田废水处理站的剩余处理能力，完全能够满足本项目生产废水处理的要求。</w:t>
      </w:r>
    </w:p>
    <w:p w14:paraId="041E6043">
      <w:pPr>
        <w:spacing w:line="480" w:lineRule="exact"/>
        <w:ind w:firstLine="560"/>
        <w:rPr>
          <w:sz w:val="26"/>
          <w:szCs w:val="26"/>
        </w:rPr>
      </w:pPr>
      <w:r>
        <w:rPr>
          <w:rFonts w:hint="eastAsia"/>
          <w:sz w:val="26"/>
          <w:szCs w:val="26"/>
        </w:rPr>
        <w:t>（2）</w:t>
      </w:r>
      <w:r>
        <w:rPr>
          <w:sz w:val="26"/>
          <w:szCs w:val="26"/>
        </w:rPr>
        <w:t>四川兴澳环境技术服务有限公司油气井地下水处理站</w:t>
      </w:r>
    </w:p>
    <w:p w14:paraId="1C5F9D98">
      <w:pPr>
        <w:spacing w:line="480" w:lineRule="exact"/>
        <w:ind w:firstLine="560"/>
        <w:rPr>
          <w:sz w:val="26"/>
          <w:szCs w:val="26"/>
        </w:rPr>
      </w:pPr>
      <w:r>
        <w:rPr>
          <w:sz w:val="26"/>
          <w:szCs w:val="26"/>
        </w:rPr>
        <w:t>四川兴澳环境技术服务有限公司油气井地下水处理站</w:t>
      </w:r>
      <w:r>
        <w:rPr>
          <w:rFonts w:hint="eastAsia"/>
          <w:sz w:val="26"/>
          <w:szCs w:val="26"/>
        </w:rPr>
        <w:t>于</w:t>
      </w:r>
      <w:r>
        <w:rPr>
          <w:sz w:val="26"/>
          <w:szCs w:val="26"/>
        </w:rPr>
        <w:t>2011年取得巴中市环境保护局下发《关于油气井地下水处理站建设项目环境影响报告书的批复》（巴环审〔2011〕49号）文件，一期工程（处理规模100m</w:t>
      </w:r>
      <w:r>
        <w:rPr>
          <w:sz w:val="26"/>
          <w:szCs w:val="26"/>
          <w:vertAlign w:val="superscript"/>
        </w:rPr>
        <w:t>3</w:t>
      </w:r>
      <w:r>
        <w:rPr>
          <w:sz w:val="26"/>
          <w:szCs w:val="26"/>
        </w:rPr>
        <w:t>/d）</w:t>
      </w:r>
      <w:r>
        <w:rPr>
          <w:rFonts w:hint="eastAsia"/>
          <w:sz w:val="26"/>
          <w:szCs w:val="26"/>
        </w:rPr>
        <w:t>，</w:t>
      </w:r>
      <w:r>
        <w:rPr>
          <w:sz w:val="26"/>
          <w:szCs w:val="26"/>
        </w:rPr>
        <w:t>于2014 年通过竣工环境保护验收（巴环验〔2014〕6号），二期工程（处理规模80 m</w:t>
      </w:r>
      <w:r>
        <w:rPr>
          <w:sz w:val="26"/>
          <w:szCs w:val="26"/>
          <w:vertAlign w:val="superscript"/>
        </w:rPr>
        <w:t>3</w:t>
      </w:r>
      <w:r>
        <w:rPr>
          <w:sz w:val="26"/>
          <w:szCs w:val="26"/>
        </w:rPr>
        <w:t>/d）</w:t>
      </w:r>
      <w:r>
        <w:rPr>
          <w:rFonts w:hint="eastAsia"/>
          <w:sz w:val="26"/>
          <w:szCs w:val="26"/>
        </w:rPr>
        <w:t>，</w:t>
      </w:r>
      <w:r>
        <w:rPr>
          <w:sz w:val="26"/>
          <w:szCs w:val="26"/>
        </w:rPr>
        <w:t>于2017年通过竣工环境保护验收（通环验〔2017〕5号），三期工程（处理规模 120m</w:t>
      </w:r>
      <w:r>
        <w:rPr>
          <w:sz w:val="26"/>
          <w:szCs w:val="26"/>
          <w:vertAlign w:val="superscript"/>
        </w:rPr>
        <w:t>3</w:t>
      </w:r>
      <w:r>
        <w:rPr>
          <w:sz w:val="26"/>
          <w:szCs w:val="26"/>
        </w:rPr>
        <w:t>/d）于2021年9月通过自主验收</w:t>
      </w:r>
      <w:r>
        <w:rPr>
          <w:rFonts w:hint="eastAsia"/>
          <w:sz w:val="26"/>
          <w:szCs w:val="26"/>
        </w:rPr>
        <w:t>，三期处理规模共计300</w:t>
      </w:r>
      <w:r>
        <w:rPr>
          <w:sz w:val="26"/>
          <w:szCs w:val="26"/>
        </w:rPr>
        <w:t xml:space="preserve"> m</w:t>
      </w:r>
      <w:r>
        <w:rPr>
          <w:sz w:val="26"/>
          <w:szCs w:val="26"/>
          <w:vertAlign w:val="superscript"/>
        </w:rPr>
        <w:t>3</w:t>
      </w:r>
      <w:r>
        <w:rPr>
          <w:sz w:val="26"/>
          <w:szCs w:val="26"/>
        </w:rPr>
        <w:t>/d</w:t>
      </w:r>
      <w:r>
        <w:rPr>
          <w:rFonts w:hint="eastAsia"/>
          <w:sz w:val="26"/>
          <w:szCs w:val="26"/>
        </w:rPr>
        <w:t>，目前该处理站实际处理规模约220</w:t>
      </w:r>
      <w:r>
        <w:rPr>
          <w:sz w:val="26"/>
          <w:szCs w:val="26"/>
        </w:rPr>
        <w:t xml:space="preserve"> m</w:t>
      </w:r>
      <w:r>
        <w:rPr>
          <w:sz w:val="26"/>
          <w:szCs w:val="26"/>
          <w:vertAlign w:val="superscript"/>
        </w:rPr>
        <w:t>3</w:t>
      </w:r>
      <w:r>
        <w:rPr>
          <w:sz w:val="26"/>
          <w:szCs w:val="26"/>
        </w:rPr>
        <w:t>/d</w:t>
      </w:r>
      <w:r>
        <w:rPr>
          <w:rFonts w:hint="eastAsia"/>
          <w:sz w:val="26"/>
          <w:szCs w:val="26"/>
        </w:rPr>
        <w:t>，剩余处理规模约80</w:t>
      </w:r>
      <w:r>
        <w:rPr>
          <w:sz w:val="26"/>
          <w:szCs w:val="26"/>
        </w:rPr>
        <w:t xml:space="preserve"> m</w:t>
      </w:r>
      <w:r>
        <w:rPr>
          <w:sz w:val="26"/>
          <w:szCs w:val="26"/>
          <w:vertAlign w:val="superscript"/>
        </w:rPr>
        <w:t>3</w:t>
      </w:r>
      <w:r>
        <w:rPr>
          <w:sz w:val="26"/>
          <w:szCs w:val="26"/>
        </w:rPr>
        <w:t>/d</w:t>
      </w:r>
      <w:r>
        <w:rPr>
          <w:rFonts w:hint="eastAsia"/>
          <w:sz w:val="26"/>
          <w:szCs w:val="26"/>
        </w:rPr>
        <w:t>，可作为本项目气田水处理的备用污水处理站。</w:t>
      </w:r>
    </w:p>
    <w:p w14:paraId="1B2D8CFD">
      <w:pPr>
        <w:snapToGrid w:val="0"/>
        <w:spacing w:line="460" w:lineRule="exact"/>
        <w:ind w:firstLine="522" w:firstLineChars="200"/>
        <w:rPr>
          <w:b/>
          <w:sz w:val="26"/>
          <w:szCs w:val="26"/>
        </w:rPr>
      </w:pPr>
      <w:r>
        <w:rPr>
          <w:rFonts w:hint="eastAsia"/>
          <w:b/>
          <w:sz w:val="26"/>
          <w:szCs w:val="26"/>
        </w:rPr>
        <w:t>8</w:t>
      </w:r>
      <w:r>
        <w:rPr>
          <w:b/>
          <w:sz w:val="26"/>
          <w:szCs w:val="26"/>
        </w:rPr>
        <w:t xml:space="preserve">.3.3.2 </w:t>
      </w:r>
      <w:r>
        <w:rPr>
          <w:rFonts w:hint="eastAsia"/>
          <w:b/>
          <w:sz w:val="26"/>
          <w:szCs w:val="26"/>
        </w:rPr>
        <w:t>气田水</w:t>
      </w:r>
      <w:r>
        <w:rPr>
          <w:b/>
          <w:sz w:val="26"/>
          <w:szCs w:val="26"/>
        </w:rPr>
        <w:t>处理工艺可行性分析</w:t>
      </w:r>
    </w:p>
    <w:p w14:paraId="3D86854D">
      <w:pPr>
        <w:snapToGrid w:val="0"/>
        <w:spacing w:line="460" w:lineRule="exact"/>
        <w:ind w:firstLine="520" w:firstLineChars="200"/>
        <w:rPr>
          <w:sz w:val="26"/>
          <w:szCs w:val="26"/>
        </w:rPr>
      </w:pPr>
      <w:r>
        <w:rPr>
          <w:rFonts w:hint="eastAsia"/>
          <w:sz w:val="26"/>
          <w:szCs w:val="26"/>
        </w:rPr>
        <w:t>（1）</w:t>
      </w:r>
      <w:r>
        <w:rPr>
          <w:sz w:val="26"/>
          <w:szCs w:val="26"/>
        </w:rPr>
        <w:t>四川洁安环境科技有限公司</w:t>
      </w:r>
      <w:r>
        <w:rPr>
          <w:rFonts w:hint="eastAsia"/>
          <w:sz w:val="26"/>
          <w:szCs w:val="26"/>
        </w:rPr>
        <w:t>油气田废水处理站</w:t>
      </w:r>
    </w:p>
    <w:p w14:paraId="6CB4A812">
      <w:pPr>
        <w:spacing w:line="480" w:lineRule="exact"/>
        <w:ind w:firstLine="560"/>
        <w:rPr>
          <w:sz w:val="26"/>
          <w:szCs w:val="26"/>
        </w:rPr>
      </w:pPr>
      <w:r>
        <w:rPr>
          <w:sz w:val="26"/>
          <w:szCs w:val="26"/>
        </w:rPr>
        <w:t>油气田废水处理站废水处理工艺为“含油废水一调节隔油一溶气气浮→混凝沉淀一两级过滤一高级氧化→超滤一多级反渗透→（浓水）浓缩蒸发结晶产盐→（淡水）精制反渗透→产水”达标排放，处理后出水水质达到《城镇污水处理厂污染物排放标准》（GB18918-2002）中一级A标准（其中氢化物出水限值350mg/L）后，经园区排污口外排巴河。</w:t>
      </w:r>
    </w:p>
    <w:p w14:paraId="69A0B738">
      <w:pPr>
        <w:pStyle w:val="1381"/>
        <w:ind w:firstLine="520"/>
      </w:pPr>
      <w:r>
        <w:rPr>
          <w:rFonts w:hint="eastAsia" w:ascii="宋体" w:hAnsi="宋体" w:cs="宋体"/>
        </w:rPr>
        <w:t>①</w:t>
      </w:r>
      <w:r>
        <w:t>预处理</w:t>
      </w:r>
    </w:p>
    <w:p w14:paraId="55A1C2C6">
      <w:pPr>
        <w:pStyle w:val="1381"/>
        <w:ind w:firstLine="520"/>
      </w:pPr>
      <w:r>
        <w:t>隔油调节：油气田废水为间断性排放油气田废水经由车辆运输进入卸车区，通过罐车自带卸车泵及管道直接卸入隔油调节池，进行水量调节和水质均衡，保证后续处理工艺的水质水量相对稳定，设置撇油装置，去除（回收）大部分浮油，同时降低COD指标。</w:t>
      </w:r>
    </w:p>
    <w:p w14:paraId="39BA0131">
      <w:pPr>
        <w:pStyle w:val="1381"/>
        <w:ind w:firstLine="520"/>
      </w:pPr>
      <w:r>
        <w:t>溶气气浮：将调节池废水定量提升进入溶气气浮单元，两级气浮装置分别设置两套设备并联运行，同时添加破乳剂破乳，后加入PAC、PAM，利用气浮原理将废水中的油进行去除（回收），较大颗粒的悬浮物进行沉淀去除，沉降的污泥用泵抽至污泥池。</w:t>
      </w:r>
    </w:p>
    <w:p w14:paraId="2FCC97C8">
      <w:pPr>
        <w:pStyle w:val="1381"/>
        <w:ind w:firstLine="520"/>
      </w:pPr>
      <w:r>
        <w:t>混凝沉淀：气浮池出水进入混凝沉淀系统，采用高密度澄清池，设置2套设备，并联运行。投加碳酸钠和氢氧化钠药剂去除废水中硬度，同时降低悬浮物杂质，沉降的污泥用泵抽至污泥池，出水进入沉淀产水池。</w:t>
      </w:r>
    </w:p>
    <w:p w14:paraId="56E7AB79">
      <w:pPr>
        <w:pStyle w:val="1381"/>
        <w:ind w:firstLine="520"/>
      </w:pPr>
      <w:r>
        <w:t>两级过滤：过滤单元采用核桃壳+纤维球组合过滤工艺，进一步降低废水中悬浮物和油分指标，使其达到回注水标准。</w:t>
      </w:r>
    </w:p>
    <w:p w14:paraId="10AA164E">
      <w:pPr>
        <w:pStyle w:val="1381"/>
        <w:ind w:firstLine="520"/>
      </w:pPr>
      <w:r>
        <w:rPr>
          <w:rFonts w:hint="eastAsia" w:ascii="宋体" w:hAnsi="宋体" w:cs="宋体"/>
        </w:rPr>
        <w:t>②</w:t>
      </w:r>
      <w:r>
        <w:t>高级氧化</w:t>
      </w:r>
    </w:p>
    <w:p w14:paraId="68265D8A">
      <w:pPr>
        <w:pStyle w:val="1381"/>
        <w:ind w:firstLine="520"/>
      </w:pPr>
      <w:r>
        <w:t>高级氧化采用电解催化氧化工艺，过滤产水池的水用泵定量提升进入电催化氧化反应器单元，对废水中的难降解有机大分子物质进行氧化分解。电催化氧化反应模组出水自流至高级氧化产水池。</w:t>
      </w:r>
    </w:p>
    <w:p w14:paraId="22DF619C">
      <w:pPr>
        <w:pStyle w:val="1381"/>
        <w:ind w:firstLine="520"/>
      </w:pPr>
      <w:r>
        <w:rPr>
          <w:rFonts w:hint="eastAsia" w:ascii="宋体" w:hAnsi="宋体" w:cs="宋体"/>
        </w:rPr>
        <w:t>③</w:t>
      </w:r>
      <w:r>
        <w:t>超滤</w:t>
      </w:r>
    </w:p>
    <w:p w14:paraId="6EB0556A">
      <w:pPr>
        <w:pStyle w:val="1381"/>
        <w:ind w:firstLine="520"/>
      </w:pPr>
      <w:r>
        <w:t>对废水中的悬浮物进行深度去除，去除原水中的大分子胶体、黏泥、微生物、有机物等能够对反渗透膜造成污堵的杂质，满足后续反渗透工艺进水要求，超滤产水进入超滤产水箱暂存。</w:t>
      </w:r>
    </w:p>
    <w:p w14:paraId="7DC9C91A">
      <w:pPr>
        <w:pStyle w:val="1381"/>
        <w:ind w:firstLine="520"/>
      </w:pPr>
      <w:r>
        <w:rPr>
          <w:rFonts w:hint="eastAsia" w:ascii="宋体" w:hAnsi="宋体" w:cs="宋体"/>
        </w:rPr>
        <w:t>④</w:t>
      </w:r>
      <w:r>
        <w:t>两级RO、精制RO</w:t>
      </w:r>
    </w:p>
    <w:p w14:paraId="4134E58E">
      <w:pPr>
        <w:pStyle w:val="1381"/>
        <w:ind w:firstLine="520"/>
      </w:pPr>
      <w:r>
        <w:t>超滤产水池出水进入一级RO膜系统，一级RO膜产水进入RO膜产水箱，一级RO膜浓水进入一级RO浓水箱，浓水箱出水进入二级RO膜系统，二级RO膜系统产</w:t>
      </w:r>
    </w:p>
    <w:p w14:paraId="25573CD9">
      <w:pPr>
        <w:pStyle w:val="1381"/>
        <w:ind w:firstLine="520"/>
      </w:pPr>
      <w:r>
        <w:t>水进入RO膜产水箱，二级RO膜浓水进入二级膜浓水箱，浓水箱出水进入MVR蒸发系统，蒸发液进入精制RO产水箱进行回收，蒸发残渣外运处置。</w:t>
      </w:r>
    </w:p>
    <w:p w14:paraId="1EC61685">
      <w:pPr>
        <w:pStyle w:val="1381"/>
        <w:ind w:firstLine="520"/>
      </w:pPr>
      <w:r>
        <w:t>RO产水箱出水进入精制RO系统，再次进行污染物截留，出水进入产水池，浓水回流至超滤产水箱进行暂存后循环此过程。</w:t>
      </w:r>
    </w:p>
    <w:p w14:paraId="305A9CF2">
      <w:pPr>
        <w:pStyle w:val="1381"/>
        <w:ind w:firstLine="520"/>
      </w:pPr>
      <w:r>
        <w:t>产水池出水，罐车运输至新建排口处外排巴河。</w:t>
      </w:r>
    </w:p>
    <w:p w14:paraId="1F43C556">
      <w:pPr>
        <w:pStyle w:val="1381"/>
        <w:ind w:firstLine="520"/>
      </w:pPr>
      <w:r>
        <w:rPr>
          <w:rFonts w:hint="eastAsia" w:ascii="宋体" w:hAnsi="宋体" w:cs="宋体"/>
        </w:rPr>
        <w:t>⑤</w:t>
      </w:r>
      <w:r>
        <w:t>污泥处理单元</w:t>
      </w:r>
    </w:p>
    <w:p w14:paraId="05F62A6B">
      <w:pPr>
        <w:pStyle w:val="1381"/>
        <w:ind w:firstLine="520"/>
      </w:pPr>
      <w:r>
        <w:t>系统产生的污泥进入污泥浓缩池进行暂存和浓缩，再进过压滤系统进行脱水处理，将含水率降低至60%左右，最后定期对泥饼进行委外处理。</w:t>
      </w:r>
    </w:p>
    <w:p w14:paraId="4FC60ADC">
      <w:pPr>
        <w:pStyle w:val="1381"/>
        <w:ind w:firstLine="520"/>
      </w:pPr>
      <w:r>
        <w:t>工艺流程图如下：</w:t>
      </w:r>
    </w:p>
    <w:p w14:paraId="7B9B7867">
      <w:pPr>
        <w:pStyle w:val="1379"/>
        <w:ind w:firstLine="440"/>
      </w:pPr>
    </w:p>
    <w:p w14:paraId="1667097F">
      <w:pPr>
        <w:pStyle w:val="1065"/>
      </w:pPr>
      <w:r>
        <w:drawing>
          <wp:inline distT="0" distB="0" distL="0" distR="0">
            <wp:extent cx="5004435" cy="4282440"/>
            <wp:effectExtent l="0" t="0" r="5715" b="3810"/>
            <wp:docPr id="390" name="IM 354"/>
            <wp:cNvGraphicFramePr/>
            <a:graphic xmlns:a="http://schemas.openxmlformats.org/drawingml/2006/main">
              <a:graphicData uri="http://schemas.openxmlformats.org/drawingml/2006/picture">
                <pic:pic xmlns:pic="http://schemas.openxmlformats.org/drawingml/2006/picture">
                  <pic:nvPicPr>
                    <pic:cNvPr id="390" name="IM 354"/>
                    <pic:cNvPicPr/>
                  </pic:nvPicPr>
                  <pic:blipFill>
                    <a:blip r:embed="rId92"/>
                    <a:stretch>
                      <a:fillRect/>
                    </a:stretch>
                  </pic:blipFill>
                  <pic:spPr>
                    <a:xfrm>
                      <a:off x="0" y="0"/>
                      <a:ext cx="5004435" cy="4282440"/>
                    </a:xfrm>
                    <a:prstGeom prst="rect">
                      <a:avLst/>
                    </a:prstGeom>
                  </pic:spPr>
                </pic:pic>
              </a:graphicData>
            </a:graphic>
          </wp:inline>
        </w:drawing>
      </w:r>
    </w:p>
    <w:p w14:paraId="09E40D34">
      <w:pPr>
        <w:pStyle w:val="1065"/>
      </w:pPr>
      <w:r>
        <w:rPr>
          <w:rFonts w:hint="eastAsia"/>
        </w:rPr>
        <w:t>图8</w:t>
      </w:r>
      <w:r>
        <w:t>.3</w:t>
      </w:r>
      <w:r>
        <w:rPr>
          <w:rFonts w:hint="eastAsia"/>
        </w:rPr>
        <w:t>-</w:t>
      </w:r>
      <w:r>
        <w:t>1  油气田废水处理站工艺流程图</w:t>
      </w:r>
    </w:p>
    <w:p w14:paraId="0CDB42FC">
      <w:pPr>
        <w:pStyle w:val="1379"/>
        <w:ind w:firstLine="440"/>
      </w:pPr>
    </w:p>
    <w:p w14:paraId="52A56EC6">
      <w:pPr>
        <w:adjustRightInd w:val="0"/>
        <w:snapToGrid w:val="0"/>
        <w:spacing w:line="480" w:lineRule="exact"/>
        <w:ind w:firstLine="520" w:firstLineChars="200"/>
        <w:rPr>
          <w:sz w:val="26"/>
          <w:szCs w:val="26"/>
        </w:rPr>
      </w:pPr>
      <w:r>
        <w:rPr>
          <w:sz w:val="26"/>
          <w:szCs w:val="26"/>
        </w:rPr>
        <w:t>油气田废水处理站处理后的出水水质达到回注标准回注或者深度处理达到《城镇污水处理厂污染物排放标准》（GB18918-2002）一级A类水质后直接排放或回用</w:t>
      </w:r>
      <w:r>
        <w:rPr>
          <w:rFonts w:hint="eastAsia"/>
          <w:sz w:val="26"/>
          <w:szCs w:val="26"/>
        </w:rPr>
        <w:t>，其设计排水水质和排水口监测水质见</w:t>
      </w:r>
      <w:r>
        <w:rPr>
          <w:rFonts w:hint="eastAsia"/>
          <w:sz w:val="26"/>
          <w:szCs w:val="26"/>
          <w:u w:val="single"/>
        </w:rPr>
        <w:t>表8</w:t>
      </w:r>
      <w:r>
        <w:rPr>
          <w:sz w:val="26"/>
          <w:szCs w:val="26"/>
          <w:u w:val="single"/>
        </w:rPr>
        <w:t>.3</w:t>
      </w:r>
      <w:r>
        <w:rPr>
          <w:rFonts w:hint="eastAsia"/>
          <w:sz w:val="26"/>
          <w:szCs w:val="26"/>
          <w:u w:val="single"/>
        </w:rPr>
        <w:t>-</w:t>
      </w:r>
      <w:r>
        <w:rPr>
          <w:sz w:val="26"/>
          <w:szCs w:val="26"/>
          <w:u w:val="single"/>
        </w:rPr>
        <w:t>2</w:t>
      </w:r>
      <w:r>
        <w:rPr>
          <w:rFonts w:hint="eastAsia"/>
          <w:sz w:val="26"/>
          <w:szCs w:val="26"/>
        </w:rPr>
        <w:t>和</w:t>
      </w:r>
      <w:r>
        <w:rPr>
          <w:rFonts w:hint="eastAsia"/>
          <w:sz w:val="26"/>
          <w:szCs w:val="26"/>
          <w:u w:val="single"/>
        </w:rPr>
        <w:t>表8</w:t>
      </w:r>
      <w:r>
        <w:rPr>
          <w:sz w:val="26"/>
          <w:szCs w:val="26"/>
          <w:u w:val="single"/>
        </w:rPr>
        <w:t>.3-3</w:t>
      </w:r>
      <w:r>
        <w:rPr>
          <w:rFonts w:hint="eastAsia"/>
          <w:sz w:val="26"/>
          <w:szCs w:val="26"/>
        </w:rPr>
        <w:t>。</w:t>
      </w:r>
    </w:p>
    <w:p w14:paraId="2F9788BC">
      <w:pPr>
        <w:pStyle w:val="1379"/>
        <w:ind w:firstLine="440"/>
      </w:pPr>
    </w:p>
    <w:p w14:paraId="63654FDD">
      <w:pPr>
        <w:pStyle w:val="1065"/>
      </w:pPr>
      <w:r>
        <w:t xml:space="preserve">表8.3-2  油气田废水处理站设计排水水质 </w:t>
      </w:r>
    </w:p>
    <w:tbl>
      <w:tblPr>
        <w:tblStyle w:val="8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5"/>
        <w:gridCol w:w="2166"/>
        <w:gridCol w:w="2144"/>
        <w:gridCol w:w="2117"/>
      </w:tblGrid>
      <w:tr w14:paraId="5C8D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40B5BAA2">
            <w:pPr>
              <w:adjustRightInd w:val="0"/>
              <w:snapToGrid w:val="0"/>
              <w:jc w:val="center"/>
              <w:rPr>
                <w:bCs/>
                <w:sz w:val="22"/>
                <w:szCs w:val="22"/>
              </w:rPr>
            </w:pPr>
            <w:r>
              <w:rPr>
                <w:bCs/>
                <w:sz w:val="22"/>
                <w:szCs w:val="22"/>
              </w:rPr>
              <w:t>序号</w:t>
            </w:r>
          </w:p>
        </w:tc>
        <w:tc>
          <w:tcPr>
            <w:tcW w:w="2166" w:type="dxa"/>
            <w:vAlign w:val="center"/>
          </w:tcPr>
          <w:p w14:paraId="16C5C187">
            <w:pPr>
              <w:adjustRightInd w:val="0"/>
              <w:snapToGrid w:val="0"/>
              <w:jc w:val="center"/>
              <w:rPr>
                <w:bCs/>
                <w:sz w:val="22"/>
                <w:szCs w:val="22"/>
              </w:rPr>
            </w:pPr>
            <w:r>
              <w:rPr>
                <w:bCs/>
                <w:sz w:val="22"/>
                <w:szCs w:val="22"/>
              </w:rPr>
              <w:t>指标</w:t>
            </w:r>
          </w:p>
        </w:tc>
        <w:tc>
          <w:tcPr>
            <w:tcW w:w="2144" w:type="dxa"/>
            <w:vAlign w:val="center"/>
          </w:tcPr>
          <w:p w14:paraId="3B9E285E">
            <w:pPr>
              <w:adjustRightInd w:val="0"/>
              <w:snapToGrid w:val="0"/>
              <w:jc w:val="center"/>
              <w:rPr>
                <w:bCs/>
                <w:sz w:val="22"/>
                <w:szCs w:val="22"/>
              </w:rPr>
            </w:pPr>
            <w:r>
              <w:rPr>
                <w:bCs/>
                <w:sz w:val="22"/>
                <w:szCs w:val="22"/>
              </w:rPr>
              <w:t>单位</w:t>
            </w:r>
          </w:p>
        </w:tc>
        <w:tc>
          <w:tcPr>
            <w:tcW w:w="2117" w:type="dxa"/>
            <w:vAlign w:val="center"/>
          </w:tcPr>
          <w:p w14:paraId="3D7F6D33">
            <w:pPr>
              <w:adjustRightInd w:val="0"/>
              <w:snapToGrid w:val="0"/>
              <w:jc w:val="center"/>
              <w:rPr>
                <w:bCs/>
                <w:sz w:val="22"/>
                <w:szCs w:val="22"/>
              </w:rPr>
            </w:pPr>
            <w:r>
              <w:rPr>
                <w:bCs/>
                <w:sz w:val="22"/>
                <w:szCs w:val="22"/>
              </w:rPr>
              <w:t>出水限值</w:t>
            </w:r>
          </w:p>
        </w:tc>
      </w:tr>
      <w:tr w14:paraId="7588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29A6FB44">
            <w:pPr>
              <w:adjustRightInd w:val="0"/>
              <w:snapToGrid w:val="0"/>
              <w:jc w:val="center"/>
              <w:rPr>
                <w:bCs/>
                <w:sz w:val="22"/>
                <w:szCs w:val="22"/>
              </w:rPr>
            </w:pPr>
            <w:r>
              <w:rPr>
                <w:bCs/>
                <w:sz w:val="22"/>
                <w:szCs w:val="22"/>
              </w:rPr>
              <w:t>1</w:t>
            </w:r>
          </w:p>
        </w:tc>
        <w:tc>
          <w:tcPr>
            <w:tcW w:w="2166" w:type="dxa"/>
            <w:vAlign w:val="center"/>
          </w:tcPr>
          <w:p w14:paraId="06021E59">
            <w:pPr>
              <w:adjustRightInd w:val="0"/>
              <w:snapToGrid w:val="0"/>
              <w:jc w:val="center"/>
              <w:rPr>
                <w:bCs/>
                <w:sz w:val="22"/>
                <w:szCs w:val="22"/>
              </w:rPr>
            </w:pPr>
            <w:r>
              <w:rPr>
                <w:bCs/>
                <w:sz w:val="22"/>
                <w:szCs w:val="22"/>
              </w:rPr>
              <w:t>pH</w:t>
            </w:r>
          </w:p>
        </w:tc>
        <w:tc>
          <w:tcPr>
            <w:tcW w:w="2144" w:type="dxa"/>
            <w:vAlign w:val="center"/>
          </w:tcPr>
          <w:p w14:paraId="1A52EA1E">
            <w:pPr>
              <w:adjustRightInd w:val="0"/>
              <w:snapToGrid w:val="0"/>
              <w:jc w:val="center"/>
              <w:rPr>
                <w:bCs/>
                <w:sz w:val="22"/>
                <w:szCs w:val="22"/>
              </w:rPr>
            </w:pPr>
            <w:r>
              <w:rPr>
                <w:bCs/>
                <w:sz w:val="22"/>
                <w:szCs w:val="22"/>
              </w:rPr>
              <w:t>无量纲</w:t>
            </w:r>
          </w:p>
        </w:tc>
        <w:tc>
          <w:tcPr>
            <w:tcW w:w="2117" w:type="dxa"/>
            <w:vAlign w:val="center"/>
          </w:tcPr>
          <w:p w14:paraId="79EC33B2">
            <w:pPr>
              <w:adjustRightInd w:val="0"/>
              <w:snapToGrid w:val="0"/>
              <w:jc w:val="center"/>
              <w:rPr>
                <w:bCs/>
                <w:sz w:val="22"/>
                <w:szCs w:val="22"/>
              </w:rPr>
            </w:pPr>
            <w:r>
              <w:rPr>
                <w:bCs/>
                <w:sz w:val="22"/>
                <w:szCs w:val="22"/>
              </w:rPr>
              <w:t>6~9</w:t>
            </w:r>
          </w:p>
        </w:tc>
      </w:tr>
      <w:tr w14:paraId="6A84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061AD350">
            <w:pPr>
              <w:adjustRightInd w:val="0"/>
              <w:snapToGrid w:val="0"/>
              <w:jc w:val="center"/>
              <w:rPr>
                <w:bCs/>
                <w:sz w:val="22"/>
                <w:szCs w:val="22"/>
              </w:rPr>
            </w:pPr>
            <w:r>
              <w:rPr>
                <w:bCs/>
                <w:sz w:val="22"/>
                <w:szCs w:val="22"/>
              </w:rPr>
              <w:t>2</w:t>
            </w:r>
          </w:p>
        </w:tc>
        <w:tc>
          <w:tcPr>
            <w:tcW w:w="2166" w:type="dxa"/>
            <w:vAlign w:val="center"/>
          </w:tcPr>
          <w:p w14:paraId="4E294F98">
            <w:pPr>
              <w:adjustRightInd w:val="0"/>
              <w:snapToGrid w:val="0"/>
              <w:jc w:val="center"/>
              <w:rPr>
                <w:bCs/>
                <w:sz w:val="22"/>
                <w:szCs w:val="22"/>
              </w:rPr>
            </w:pPr>
            <w:r>
              <w:rPr>
                <w:bCs/>
                <w:sz w:val="22"/>
                <w:szCs w:val="22"/>
              </w:rPr>
              <w:t>COD</w:t>
            </w:r>
            <w:r>
              <w:rPr>
                <w:bCs/>
                <w:sz w:val="22"/>
                <w:szCs w:val="22"/>
                <w:vertAlign w:val="subscript"/>
              </w:rPr>
              <w:t>Cr</w:t>
            </w:r>
          </w:p>
        </w:tc>
        <w:tc>
          <w:tcPr>
            <w:tcW w:w="2144" w:type="dxa"/>
            <w:vAlign w:val="center"/>
          </w:tcPr>
          <w:p w14:paraId="21DF6884">
            <w:pPr>
              <w:adjustRightInd w:val="0"/>
              <w:snapToGrid w:val="0"/>
              <w:jc w:val="center"/>
              <w:rPr>
                <w:bCs/>
                <w:sz w:val="22"/>
                <w:szCs w:val="22"/>
              </w:rPr>
            </w:pPr>
            <w:r>
              <w:rPr>
                <w:bCs/>
                <w:sz w:val="22"/>
                <w:szCs w:val="22"/>
              </w:rPr>
              <w:t>mg/L</w:t>
            </w:r>
          </w:p>
        </w:tc>
        <w:tc>
          <w:tcPr>
            <w:tcW w:w="2117" w:type="dxa"/>
            <w:vAlign w:val="center"/>
          </w:tcPr>
          <w:p w14:paraId="12B951D1">
            <w:pPr>
              <w:adjustRightInd w:val="0"/>
              <w:snapToGrid w:val="0"/>
              <w:jc w:val="center"/>
              <w:rPr>
                <w:bCs/>
                <w:sz w:val="22"/>
                <w:szCs w:val="22"/>
              </w:rPr>
            </w:pPr>
            <w:r>
              <w:rPr>
                <w:bCs/>
                <w:sz w:val="22"/>
                <w:szCs w:val="22"/>
              </w:rPr>
              <w:t>50</w:t>
            </w:r>
          </w:p>
        </w:tc>
      </w:tr>
      <w:tr w14:paraId="066A1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79F41F3F">
            <w:pPr>
              <w:adjustRightInd w:val="0"/>
              <w:snapToGrid w:val="0"/>
              <w:jc w:val="center"/>
              <w:rPr>
                <w:bCs/>
                <w:sz w:val="22"/>
                <w:szCs w:val="22"/>
              </w:rPr>
            </w:pPr>
            <w:r>
              <w:rPr>
                <w:bCs/>
                <w:sz w:val="22"/>
                <w:szCs w:val="22"/>
              </w:rPr>
              <w:t>3</w:t>
            </w:r>
          </w:p>
        </w:tc>
        <w:tc>
          <w:tcPr>
            <w:tcW w:w="2166" w:type="dxa"/>
            <w:vAlign w:val="center"/>
          </w:tcPr>
          <w:p w14:paraId="255FA3AF">
            <w:pPr>
              <w:adjustRightInd w:val="0"/>
              <w:snapToGrid w:val="0"/>
              <w:jc w:val="center"/>
              <w:rPr>
                <w:bCs/>
                <w:sz w:val="22"/>
                <w:szCs w:val="22"/>
              </w:rPr>
            </w:pPr>
            <w:r>
              <w:rPr>
                <w:bCs/>
                <w:sz w:val="22"/>
                <w:szCs w:val="22"/>
              </w:rPr>
              <w:t>BOD</w:t>
            </w:r>
            <w:r>
              <w:rPr>
                <w:bCs/>
                <w:sz w:val="22"/>
                <w:szCs w:val="22"/>
                <w:vertAlign w:val="subscript"/>
              </w:rPr>
              <w:t>5</w:t>
            </w:r>
          </w:p>
        </w:tc>
        <w:tc>
          <w:tcPr>
            <w:tcW w:w="2144" w:type="dxa"/>
            <w:vAlign w:val="center"/>
          </w:tcPr>
          <w:p w14:paraId="61172459">
            <w:pPr>
              <w:adjustRightInd w:val="0"/>
              <w:snapToGrid w:val="0"/>
              <w:jc w:val="center"/>
              <w:rPr>
                <w:bCs/>
                <w:sz w:val="22"/>
                <w:szCs w:val="22"/>
              </w:rPr>
            </w:pPr>
            <w:r>
              <w:rPr>
                <w:bCs/>
                <w:sz w:val="22"/>
                <w:szCs w:val="22"/>
              </w:rPr>
              <w:t>mg/L</w:t>
            </w:r>
          </w:p>
        </w:tc>
        <w:tc>
          <w:tcPr>
            <w:tcW w:w="2117" w:type="dxa"/>
            <w:vAlign w:val="center"/>
          </w:tcPr>
          <w:p w14:paraId="4FDA57E0">
            <w:pPr>
              <w:adjustRightInd w:val="0"/>
              <w:snapToGrid w:val="0"/>
              <w:jc w:val="center"/>
              <w:rPr>
                <w:bCs/>
                <w:sz w:val="22"/>
                <w:szCs w:val="22"/>
              </w:rPr>
            </w:pPr>
            <w:r>
              <w:rPr>
                <w:bCs/>
                <w:sz w:val="22"/>
                <w:szCs w:val="22"/>
              </w:rPr>
              <w:t>10</w:t>
            </w:r>
          </w:p>
        </w:tc>
      </w:tr>
      <w:tr w14:paraId="3CB4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2FB358AB">
            <w:pPr>
              <w:adjustRightInd w:val="0"/>
              <w:snapToGrid w:val="0"/>
              <w:jc w:val="center"/>
              <w:rPr>
                <w:bCs/>
                <w:sz w:val="22"/>
                <w:szCs w:val="22"/>
              </w:rPr>
            </w:pPr>
            <w:r>
              <w:rPr>
                <w:bCs/>
                <w:sz w:val="22"/>
                <w:szCs w:val="22"/>
              </w:rPr>
              <w:t>4</w:t>
            </w:r>
          </w:p>
        </w:tc>
        <w:tc>
          <w:tcPr>
            <w:tcW w:w="2166" w:type="dxa"/>
            <w:vAlign w:val="center"/>
          </w:tcPr>
          <w:p w14:paraId="0E5D55CA">
            <w:pPr>
              <w:adjustRightInd w:val="0"/>
              <w:snapToGrid w:val="0"/>
              <w:jc w:val="center"/>
              <w:rPr>
                <w:bCs/>
                <w:sz w:val="22"/>
                <w:szCs w:val="22"/>
              </w:rPr>
            </w:pPr>
            <w:r>
              <w:rPr>
                <w:bCs/>
                <w:sz w:val="22"/>
                <w:szCs w:val="22"/>
              </w:rPr>
              <w:t>色度</w:t>
            </w:r>
          </w:p>
        </w:tc>
        <w:tc>
          <w:tcPr>
            <w:tcW w:w="2144" w:type="dxa"/>
            <w:vAlign w:val="center"/>
          </w:tcPr>
          <w:p w14:paraId="2DB0ECAB">
            <w:pPr>
              <w:adjustRightInd w:val="0"/>
              <w:snapToGrid w:val="0"/>
              <w:jc w:val="center"/>
              <w:rPr>
                <w:bCs/>
                <w:sz w:val="22"/>
                <w:szCs w:val="22"/>
              </w:rPr>
            </w:pPr>
            <w:r>
              <w:rPr>
                <w:bCs/>
                <w:sz w:val="22"/>
                <w:szCs w:val="22"/>
              </w:rPr>
              <w:t>mg/L</w:t>
            </w:r>
          </w:p>
        </w:tc>
        <w:tc>
          <w:tcPr>
            <w:tcW w:w="2117" w:type="dxa"/>
            <w:vAlign w:val="center"/>
          </w:tcPr>
          <w:p w14:paraId="77741E21">
            <w:pPr>
              <w:adjustRightInd w:val="0"/>
              <w:snapToGrid w:val="0"/>
              <w:jc w:val="center"/>
              <w:rPr>
                <w:bCs/>
                <w:sz w:val="22"/>
                <w:szCs w:val="22"/>
              </w:rPr>
            </w:pPr>
            <w:r>
              <w:rPr>
                <w:bCs/>
                <w:sz w:val="22"/>
                <w:szCs w:val="22"/>
              </w:rPr>
              <w:t>30</w:t>
            </w:r>
          </w:p>
        </w:tc>
      </w:tr>
      <w:tr w14:paraId="70C3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00FBFFCC">
            <w:pPr>
              <w:adjustRightInd w:val="0"/>
              <w:snapToGrid w:val="0"/>
              <w:jc w:val="center"/>
              <w:rPr>
                <w:bCs/>
                <w:sz w:val="22"/>
                <w:szCs w:val="22"/>
              </w:rPr>
            </w:pPr>
            <w:r>
              <w:rPr>
                <w:bCs/>
                <w:sz w:val="22"/>
                <w:szCs w:val="22"/>
              </w:rPr>
              <w:t>5</w:t>
            </w:r>
          </w:p>
        </w:tc>
        <w:tc>
          <w:tcPr>
            <w:tcW w:w="2166" w:type="dxa"/>
            <w:vAlign w:val="center"/>
          </w:tcPr>
          <w:p w14:paraId="5E90D8EC">
            <w:pPr>
              <w:adjustRightInd w:val="0"/>
              <w:snapToGrid w:val="0"/>
              <w:jc w:val="center"/>
              <w:rPr>
                <w:bCs/>
                <w:sz w:val="22"/>
                <w:szCs w:val="22"/>
              </w:rPr>
            </w:pPr>
            <w:r>
              <w:rPr>
                <w:bCs/>
                <w:sz w:val="22"/>
                <w:szCs w:val="22"/>
              </w:rPr>
              <w:t>悬浮物</w:t>
            </w:r>
          </w:p>
        </w:tc>
        <w:tc>
          <w:tcPr>
            <w:tcW w:w="2144" w:type="dxa"/>
            <w:vAlign w:val="center"/>
          </w:tcPr>
          <w:p w14:paraId="75DECF31">
            <w:pPr>
              <w:adjustRightInd w:val="0"/>
              <w:snapToGrid w:val="0"/>
              <w:jc w:val="center"/>
              <w:rPr>
                <w:bCs/>
                <w:sz w:val="22"/>
                <w:szCs w:val="22"/>
              </w:rPr>
            </w:pPr>
            <w:r>
              <w:rPr>
                <w:bCs/>
                <w:sz w:val="22"/>
                <w:szCs w:val="22"/>
              </w:rPr>
              <w:t>mg/L</w:t>
            </w:r>
          </w:p>
        </w:tc>
        <w:tc>
          <w:tcPr>
            <w:tcW w:w="2117" w:type="dxa"/>
            <w:vAlign w:val="center"/>
          </w:tcPr>
          <w:p w14:paraId="7FBF80F6">
            <w:pPr>
              <w:adjustRightInd w:val="0"/>
              <w:snapToGrid w:val="0"/>
              <w:jc w:val="center"/>
              <w:rPr>
                <w:bCs/>
                <w:sz w:val="22"/>
                <w:szCs w:val="22"/>
              </w:rPr>
            </w:pPr>
            <w:r>
              <w:rPr>
                <w:bCs/>
                <w:sz w:val="22"/>
                <w:szCs w:val="22"/>
              </w:rPr>
              <w:t>10</w:t>
            </w:r>
          </w:p>
        </w:tc>
      </w:tr>
      <w:tr w14:paraId="2F74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0EBEE042">
            <w:pPr>
              <w:adjustRightInd w:val="0"/>
              <w:snapToGrid w:val="0"/>
              <w:jc w:val="center"/>
              <w:rPr>
                <w:bCs/>
                <w:sz w:val="22"/>
                <w:szCs w:val="22"/>
              </w:rPr>
            </w:pPr>
            <w:r>
              <w:rPr>
                <w:bCs/>
                <w:sz w:val="22"/>
                <w:szCs w:val="22"/>
              </w:rPr>
              <w:t>6</w:t>
            </w:r>
          </w:p>
        </w:tc>
        <w:tc>
          <w:tcPr>
            <w:tcW w:w="2166" w:type="dxa"/>
            <w:vAlign w:val="center"/>
          </w:tcPr>
          <w:p w14:paraId="4BAE0949">
            <w:pPr>
              <w:adjustRightInd w:val="0"/>
              <w:snapToGrid w:val="0"/>
              <w:jc w:val="center"/>
              <w:rPr>
                <w:bCs/>
                <w:sz w:val="22"/>
                <w:szCs w:val="22"/>
              </w:rPr>
            </w:pPr>
            <w:r>
              <w:rPr>
                <w:bCs/>
                <w:sz w:val="22"/>
                <w:szCs w:val="22"/>
              </w:rPr>
              <w:t>石油类</w:t>
            </w:r>
          </w:p>
        </w:tc>
        <w:tc>
          <w:tcPr>
            <w:tcW w:w="2144" w:type="dxa"/>
            <w:vAlign w:val="center"/>
          </w:tcPr>
          <w:p w14:paraId="6EA71008">
            <w:pPr>
              <w:adjustRightInd w:val="0"/>
              <w:snapToGrid w:val="0"/>
              <w:jc w:val="center"/>
              <w:rPr>
                <w:bCs/>
                <w:sz w:val="22"/>
                <w:szCs w:val="22"/>
              </w:rPr>
            </w:pPr>
            <w:r>
              <w:rPr>
                <w:bCs/>
                <w:sz w:val="22"/>
                <w:szCs w:val="22"/>
              </w:rPr>
              <w:t>mg/L</w:t>
            </w:r>
          </w:p>
        </w:tc>
        <w:tc>
          <w:tcPr>
            <w:tcW w:w="2117" w:type="dxa"/>
            <w:vAlign w:val="center"/>
          </w:tcPr>
          <w:p w14:paraId="1A1EECEF">
            <w:pPr>
              <w:adjustRightInd w:val="0"/>
              <w:snapToGrid w:val="0"/>
              <w:jc w:val="center"/>
              <w:rPr>
                <w:bCs/>
                <w:sz w:val="22"/>
                <w:szCs w:val="22"/>
              </w:rPr>
            </w:pPr>
            <w:r>
              <w:rPr>
                <w:bCs/>
                <w:sz w:val="22"/>
                <w:szCs w:val="22"/>
              </w:rPr>
              <w:t>1</w:t>
            </w:r>
          </w:p>
        </w:tc>
      </w:tr>
      <w:tr w14:paraId="5155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19F61A18">
            <w:pPr>
              <w:adjustRightInd w:val="0"/>
              <w:snapToGrid w:val="0"/>
              <w:jc w:val="center"/>
              <w:rPr>
                <w:bCs/>
                <w:sz w:val="22"/>
                <w:szCs w:val="22"/>
              </w:rPr>
            </w:pPr>
            <w:r>
              <w:rPr>
                <w:bCs/>
                <w:sz w:val="22"/>
                <w:szCs w:val="22"/>
              </w:rPr>
              <w:t>7</w:t>
            </w:r>
          </w:p>
        </w:tc>
        <w:tc>
          <w:tcPr>
            <w:tcW w:w="2166" w:type="dxa"/>
            <w:vAlign w:val="center"/>
          </w:tcPr>
          <w:p w14:paraId="1153D906">
            <w:pPr>
              <w:adjustRightInd w:val="0"/>
              <w:snapToGrid w:val="0"/>
              <w:jc w:val="center"/>
              <w:rPr>
                <w:bCs/>
                <w:sz w:val="22"/>
                <w:szCs w:val="22"/>
              </w:rPr>
            </w:pPr>
            <w:r>
              <w:rPr>
                <w:bCs/>
                <w:sz w:val="22"/>
                <w:szCs w:val="22"/>
              </w:rPr>
              <w:t>挥发酚</w:t>
            </w:r>
          </w:p>
        </w:tc>
        <w:tc>
          <w:tcPr>
            <w:tcW w:w="2144" w:type="dxa"/>
            <w:vAlign w:val="center"/>
          </w:tcPr>
          <w:p w14:paraId="58B96789">
            <w:pPr>
              <w:adjustRightInd w:val="0"/>
              <w:snapToGrid w:val="0"/>
              <w:jc w:val="center"/>
              <w:rPr>
                <w:bCs/>
                <w:sz w:val="22"/>
                <w:szCs w:val="22"/>
              </w:rPr>
            </w:pPr>
            <w:r>
              <w:rPr>
                <w:bCs/>
                <w:sz w:val="22"/>
                <w:szCs w:val="22"/>
              </w:rPr>
              <w:t>mg/L</w:t>
            </w:r>
          </w:p>
        </w:tc>
        <w:tc>
          <w:tcPr>
            <w:tcW w:w="2117" w:type="dxa"/>
            <w:vAlign w:val="center"/>
          </w:tcPr>
          <w:p w14:paraId="5BC5E0FD">
            <w:pPr>
              <w:adjustRightInd w:val="0"/>
              <w:snapToGrid w:val="0"/>
              <w:jc w:val="center"/>
              <w:rPr>
                <w:bCs/>
                <w:sz w:val="22"/>
                <w:szCs w:val="22"/>
              </w:rPr>
            </w:pPr>
            <w:r>
              <w:rPr>
                <w:bCs/>
                <w:sz w:val="22"/>
                <w:szCs w:val="22"/>
              </w:rPr>
              <w:t>0.5</w:t>
            </w:r>
          </w:p>
        </w:tc>
      </w:tr>
      <w:tr w14:paraId="3B7A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4B65E19E">
            <w:pPr>
              <w:adjustRightInd w:val="0"/>
              <w:snapToGrid w:val="0"/>
              <w:jc w:val="center"/>
              <w:rPr>
                <w:bCs/>
                <w:sz w:val="22"/>
                <w:szCs w:val="22"/>
              </w:rPr>
            </w:pPr>
            <w:r>
              <w:rPr>
                <w:bCs/>
                <w:sz w:val="22"/>
                <w:szCs w:val="22"/>
              </w:rPr>
              <w:t>8</w:t>
            </w:r>
          </w:p>
        </w:tc>
        <w:tc>
          <w:tcPr>
            <w:tcW w:w="2166" w:type="dxa"/>
            <w:vAlign w:val="center"/>
          </w:tcPr>
          <w:p w14:paraId="1E8D51CD">
            <w:pPr>
              <w:adjustRightInd w:val="0"/>
              <w:snapToGrid w:val="0"/>
              <w:jc w:val="center"/>
              <w:rPr>
                <w:bCs/>
                <w:sz w:val="22"/>
                <w:szCs w:val="22"/>
              </w:rPr>
            </w:pPr>
            <w:r>
              <w:rPr>
                <w:bCs/>
                <w:sz w:val="22"/>
                <w:szCs w:val="22"/>
              </w:rPr>
              <w:t>TDS</w:t>
            </w:r>
          </w:p>
        </w:tc>
        <w:tc>
          <w:tcPr>
            <w:tcW w:w="2144" w:type="dxa"/>
            <w:vAlign w:val="center"/>
          </w:tcPr>
          <w:p w14:paraId="2E87F26D">
            <w:pPr>
              <w:adjustRightInd w:val="0"/>
              <w:snapToGrid w:val="0"/>
              <w:jc w:val="center"/>
              <w:rPr>
                <w:bCs/>
                <w:sz w:val="22"/>
                <w:szCs w:val="22"/>
              </w:rPr>
            </w:pPr>
            <w:r>
              <w:rPr>
                <w:bCs/>
                <w:sz w:val="22"/>
                <w:szCs w:val="22"/>
              </w:rPr>
              <w:t>mg/L</w:t>
            </w:r>
          </w:p>
        </w:tc>
        <w:tc>
          <w:tcPr>
            <w:tcW w:w="2117" w:type="dxa"/>
            <w:vAlign w:val="center"/>
          </w:tcPr>
          <w:p w14:paraId="306C07FB">
            <w:pPr>
              <w:adjustRightInd w:val="0"/>
              <w:snapToGrid w:val="0"/>
              <w:jc w:val="center"/>
              <w:rPr>
                <w:bCs/>
                <w:sz w:val="22"/>
                <w:szCs w:val="22"/>
              </w:rPr>
            </w:pPr>
            <w:r>
              <w:rPr>
                <w:bCs/>
                <w:sz w:val="22"/>
                <w:szCs w:val="22"/>
              </w:rPr>
              <w:t>/</w:t>
            </w:r>
          </w:p>
        </w:tc>
      </w:tr>
      <w:tr w14:paraId="1AA2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75F5D549">
            <w:pPr>
              <w:adjustRightInd w:val="0"/>
              <w:snapToGrid w:val="0"/>
              <w:jc w:val="center"/>
              <w:rPr>
                <w:bCs/>
                <w:sz w:val="22"/>
                <w:szCs w:val="22"/>
              </w:rPr>
            </w:pPr>
            <w:r>
              <w:rPr>
                <w:bCs/>
                <w:sz w:val="22"/>
                <w:szCs w:val="22"/>
              </w:rPr>
              <w:t>9</w:t>
            </w:r>
          </w:p>
        </w:tc>
        <w:tc>
          <w:tcPr>
            <w:tcW w:w="2166" w:type="dxa"/>
            <w:vAlign w:val="center"/>
          </w:tcPr>
          <w:p w14:paraId="73043B8A">
            <w:pPr>
              <w:adjustRightInd w:val="0"/>
              <w:snapToGrid w:val="0"/>
              <w:jc w:val="center"/>
              <w:rPr>
                <w:bCs/>
                <w:sz w:val="22"/>
                <w:szCs w:val="22"/>
              </w:rPr>
            </w:pPr>
            <w:r>
              <w:rPr>
                <w:bCs/>
                <w:sz w:val="22"/>
                <w:szCs w:val="22"/>
              </w:rPr>
              <w:t>硫化物</w:t>
            </w:r>
          </w:p>
        </w:tc>
        <w:tc>
          <w:tcPr>
            <w:tcW w:w="2144" w:type="dxa"/>
            <w:vAlign w:val="center"/>
          </w:tcPr>
          <w:p w14:paraId="046D1E3D">
            <w:pPr>
              <w:adjustRightInd w:val="0"/>
              <w:snapToGrid w:val="0"/>
              <w:jc w:val="center"/>
              <w:rPr>
                <w:bCs/>
                <w:sz w:val="22"/>
                <w:szCs w:val="22"/>
              </w:rPr>
            </w:pPr>
            <w:r>
              <w:rPr>
                <w:bCs/>
                <w:sz w:val="22"/>
                <w:szCs w:val="22"/>
              </w:rPr>
              <w:t>mg/L</w:t>
            </w:r>
          </w:p>
        </w:tc>
        <w:tc>
          <w:tcPr>
            <w:tcW w:w="2117" w:type="dxa"/>
            <w:vAlign w:val="center"/>
          </w:tcPr>
          <w:p w14:paraId="692DBC6F">
            <w:pPr>
              <w:adjustRightInd w:val="0"/>
              <w:snapToGrid w:val="0"/>
              <w:jc w:val="center"/>
              <w:rPr>
                <w:bCs/>
                <w:sz w:val="22"/>
                <w:szCs w:val="22"/>
              </w:rPr>
            </w:pPr>
            <w:r>
              <w:rPr>
                <w:bCs/>
                <w:sz w:val="22"/>
                <w:szCs w:val="22"/>
              </w:rPr>
              <w:t>1</w:t>
            </w:r>
          </w:p>
        </w:tc>
      </w:tr>
      <w:tr w14:paraId="53C1F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76F62A9A">
            <w:pPr>
              <w:adjustRightInd w:val="0"/>
              <w:snapToGrid w:val="0"/>
              <w:jc w:val="center"/>
              <w:rPr>
                <w:bCs/>
                <w:sz w:val="22"/>
                <w:szCs w:val="22"/>
              </w:rPr>
            </w:pPr>
            <w:r>
              <w:rPr>
                <w:bCs/>
                <w:sz w:val="22"/>
                <w:szCs w:val="22"/>
              </w:rPr>
              <w:t>10</w:t>
            </w:r>
          </w:p>
        </w:tc>
        <w:tc>
          <w:tcPr>
            <w:tcW w:w="2166" w:type="dxa"/>
            <w:vAlign w:val="center"/>
          </w:tcPr>
          <w:p w14:paraId="5CCD448A">
            <w:pPr>
              <w:adjustRightInd w:val="0"/>
              <w:snapToGrid w:val="0"/>
              <w:jc w:val="center"/>
              <w:rPr>
                <w:bCs/>
                <w:sz w:val="22"/>
                <w:szCs w:val="22"/>
              </w:rPr>
            </w:pPr>
            <w:r>
              <w:rPr>
                <w:bCs/>
                <w:sz w:val="22"/>
                <w:szCs w:val="22"/>
              </w:rPr>
              <w:t>氟化物</w:t>
            </w:r>
          </w:p>
        </w:tc>
        <w:tc>
          <w:tcPr>
            <w:tcW w:w="2144" w:type="dxa"/>
            <w:vAlign w:val="center"/>
          </w:tcPr>
          <w:p w14:paraId="49CB3FDE">
            <w:pPr>
              <w:adjustRightInd w:val="0"/>
              <w:snapToGrid w:val="0"/>
              <w:jc w:val="center"/>
              <w:rPr>
                <w:bCs/>
                <w:sz w:val="22"/>
                <w:szCs w:val="22"/>
              </w:rPr>
            </w:pPr>
            <w:r>
              <w:rPr>
                <w:bCs/>
                <w:sz w:val="22"/>
                <w:szCs w:val="22"/>
              </w:rPr>
              <w:t>mg/L</w:t>
            </w:r>
          </w:p>
        </w:tc>
        <w:tc>
          <w:tcPr>
            <w:tcW w:w="2117" w:type="dxa"/>
            <w:vAlign w:val="center"/>
          </w:tcPr>
          <w:p w14:paraId="155E0A68">
            <w:pPr>
              <w:adjustRightInd w:val="0"/>
              <w:snapToGrid w:val="0"/>
              <w:jc w:val="center"/>
              <w:rPr>
                <w:bCs/>
                <w:sz w:val="22"/>
                <w:szCs w:val="22"/>
              </w:rPr>
            </w:pPr>
            <w:r>
              <w:rPr>
                <w:bCs/>
                <w:sz w:val="22"/>
                <w:szCs w:val="22"/>
              </w:rPr>
              <w:t>/</w:t>
            </w:r>
          </w:p>
        </w:tc>
      </w:tr>
      <w:tr w14:paraId="3BCD0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53BB3A02">
            <w:pPr>
              <w:adjustRightInd w:val="0"/>
              <w:snapToGrid w:val="0"/>
              <w:jc w:val="center"/>
              <w:rPr>
                <w:bCs/>
                <w:sz w:val="22"/>
                <w:szCs w:val="22"/>
              </w:rPr>
            </w:pPr>
            <w:r>
              <w:rPr>
                <w:bCs/>
                <w:sz w:val="22"/>
                <w:szCs w:val="22"/>
              </w:rPr>
              <w:t>11</w:t>
            </w:r>
          </w:p>
        </w:tc>
        <w:tc>
          <w:tcPr>
            <w:tcW w:w="2166" w:type="dxa"/>
            <w:vAlign w:val="center"/>
          </w:tcPr>
          <w:p w14:paraId="50AD332C">
            <w:pPr>
              <w:adjustRightInd w:val="0"/>
              <w:snapToGrid w:val="0"/>
              <w:jc w:val="center"/>
              <w:rPr>
                <w:bCs/>
                <w:sz w:val="22"/>
                <w:szCs w:val="22"/>
              </w:rPr>
            </w:pPr>
            <w:r>
              <w:rPr>
                <w:bCs/>
                <w:sz w:val="22"/>
                <w:szCs w:val="22"/>
              </w:rPr>
              <w:t>氯化物</w:t>
            </w:r>
          </w:p>
        </w:tc>
        <w:tc>
          <w:tcPr>
            <w:tcW w:w="2144" w:type="dxa"/>
            <w:vAlign w:val="center"/>
          </w:tcPr>
          <w:p w14:paraId="1F90EDA9">
            <w:pPr>
              <w:adjustRightInd w:val="0"/>
              <w:snapToGrid w:val="0"/>
              <w:jc w:val="center"/>
              <w:rPr>
                <w:bCs/>
                <w:sz w:val="22"/>
                <w:szCs w:val="22"/>
              </w:rPr>
            </w:pPr>
            <w:r>
              <w:rPr>
                <w:bCs/>
                <w:sz w:val="22"/>
                <w:szCs w:val="22"/>
              </w:rPr>
              <w:t>mg/L</w:t>
            </w:r>
          </w:p>
        </w:tc>
        <w:tc>
          <w:tcPr>
            <w:tcW w:w="2117" w:type="dxa"/>
            <w:vAlign w:val="center"/>
          </w:tcPr>
          <w:p w14:paraId="15FA3B99">
            <w:pPr>
              <w:adjustRightInd w:val="0"/>
              <w:snapToGrid w:val="0"/>
              <w:jc w:val="center"/>
              <w:rPr>
                <w:bCs/>
                <w:sz w:val="22"/>
                <w:szCs w:val="22"/>
              </w:rPr>
            </w:pPr>
            <w:r>
              <w:rPr>
                <w:bCs/>
                <w:sz w:val="22"/>
                <w:szCs w:val="22"/>
              </w:rPr>
              <w:t>350</w:t>
            </w:r>
          </w:p>
        </w:tc>
      </w:tr>
      <w:tr w14:paraId="31FE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44E54182">
            <w:pPr>
              <w:adjustRightInd w:val="0"/>
              <w:snapToGrid w:val="0"/>
              <w:jc w:val="center"/>
              <w:rPr>
                <w:bCs/>
                <w:sz w:val="22"/>
                <w:szCs w:val="22"/>
              </w:rPr>
            </w:pPr>
            <w:r>
              <w:rPr>
                <w:bCs/>
                <w:sz w:val="22"/>
                <w:szCs w:val="22"/>
              </w:rPr>
              <w:t>12</w:t>
            </w:r>
          </w:p>
        </w:tc>
        <w:tc>
          <w:tcPr>
            <w:tcW w:w="2166" w:type="dxa"/>
            <w:vAlign w:val="center"/>
          </w:tcPr>
          <w:p w14:paraId="2A0EFDFB">
            <w:pPr>
              <w:adjustRightInd w:val="0"/>
              <w:snapToGrid w:val="0"/>
              <w:jc w:val="center"/>
              <w:rPr>
                <w:bCs/>
                <w:sz w:val="22"/>
                <w:szCs w:val="22"/>
              </w:rPr>
            </w:pPr>
            <w:r>
              <w:rPr>
                <w:bCs/>
                <w:sz w:val="22"/>
                <w:szCs w:val="22"/>
              </w:rPr>
              <w:t>溴化物</w:t>
            </w:r>
          </w:p>
        </w:tc>
        <w:tc>
          <w:tcPr>
            <w:tcW w:w="2144" w:type="dxa"/>
            <w:vAlign w:val="center"/>
          </w:tcPr>
          <w:p w14:paraId="1C32534A">
            <w:pPr>
              <w:adjustRightInd w:val="0"/>
              <w:snapToGrid w:val="0"/>
              <w:jc w:val="center"/>
              <w:rPr>
                <w:bCs/>
                <w:sz w:val="22"/>
                <w:szCs w:val="22"/>
              </w:rPr>
            </w:pPr>
            <w:r>
              <w:rPr>
                <w:bCs/>
                <w:sz w:val="22"/>
                <w:szCs w:val="22"/>
              </w:rPr>
              <w:t>mg/L</w:t>
            </w:r>
          </w:p>
        </w:tc>
        <w:tc>
          <w:tcPr>
            <w:tcW w:w="2117" w:type="dxa"/>
            <w:vAlign w:val="center"/>
          </w:tcPr>
          <w:p w14:paraId="51B1EDD6">
            <w:pPr>
              <w:adjustRightInd w:val="0"/>
              <w:snapToGrid w:val="0"/>
              <w:jc w:val="center"/>
              <w:rPr>
                <w:bCs/>
                <w:sz w:val="22"/>
                <w:szCs w:val="22"/>
              </w:rPr>
            </w:pPr>
            <w:r>
              <w:rPr>
                <w:bCs/>
                <w:sz w:val="22"/>
                <w:szCs w:val="22"/>
              </w:rPr>
              <w:t>/</w:t>
            </w:r>
          </w:p>
        </w:tc>
      </w:tr>
      <w:tr w14:paraId="4491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7A72893E">
            <w:pPr>
              <w:adjustRightInd w:val="0"/>
              <w:snapToGrid w:val="0"/>
              <w:jc w:val="center"/>
              <w:rPr>
                <w:bCs/>
                <w:sz w:val="22"/>
                <w:szCs w:val="22"/>
              </w:rPr>
            </w:pPr>
            <w:r>
              <w:rPr>
                <w:bCs/>
                <w:sz w:val="22"/>
                <w:szCs w:val="22"/>
              </w:rPr>
              <w:t>13</w:t>
            </w:r>
          </w:p>
        </w:tc>
        <w:tc>
          <w:tcPr>
            <w:tcW w:w="2166" w:type="dxa"/>
            <w:vAlign w:val="center"/>
          </w:tcPr>
          <w:p w14:paraId="170818DF">
            <w:pPr>
              <w:adjustRightInd w:val="0"/>
              <w:snapToGrid w:val="0"/>
              <w:jc w:val="center"/>
              <w:rPr>
                <w:bCs/>
                <w:sz w:val="22"/>
                <w:szCs w:val="22"/>
              </w:rPr>
            </w:pPr>
            <w:r>
              <w:rPr>
                <w:bCs/>
                <w:sz w:val="22"/>
                <w:szCs w:val="22"/>
              </w:rPr>
              <w:t>碘化物</w:t>
            </w:r>
          </w:p>
        </w:tc>
        <w:tc>
          <w:tcPr>
            <w:tcW w:w="2144" w:type="dxa"/>
            <w:vAlign w:val="center"/>
          </w:tcPr>
          <w:p w14:paraId="2CAED48A">
            <w:pPr>
              <w:adjustRightInd w:val="0"/>
              <w:snapToGrid w:val="0"/>
              <w:jc w:val="center"/>
              <w:rPr>
                <w:bCs/>
                <w:sz w:val="22"/>
                <w:szCs w:val="22"/>
              </w:rPr>
            </w:pPr>
            <w:r>
              <w:rPr>
                <w:bCs/>
                <w:sz w:val="22"/>
                <w:szCs w:val="22"/>
              </w:rPr>
              <w:t>mg/L</w:t>
            </w:r>
          </w:p>
        </w:tc>
        <w:tc>
          <w:tcPr>
            <w:tcW w:w="2117" w:type="dxa"/>
            <w:vAlign w:val="center"/>
          </w:tcPr>
          <w:p w14:paraId="4A1C8E72">
            <w:pPr>
              <w:adjustRightInd w:val="0"/>
              <w:snapToGrid w:val="0"/>
              <w:jc w:val="center"/>
              <w:rPr>
                <w:bCs/>
                <w:sz w:val="22"/>
                <w:szCs w:val="22"/>
              </w:rPr>
            </w:pPr>
            <w:r>
              <w:rPr>
                <w:bCs/>
                <w:sz w:val="22"/>
                <w:szCs w:val="22"/>
              </w:rPr>
              <w:t>/</w:t>
            </w:r>
          </w:p>
        </w:tc>
      </w:tr>
      <w:tr w14:paraId="1C60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1C6FEEC6">
            <w:pPr>
              <w:adjustRightInd w:val="0"/>
              <w:snapToGrid w:val="0"/>
              <w:jc w:val="center"/>
              <w:rPr>
                <w:bCs/>
                <w:sz w:val="22"/>
                <w:szCs w:val="22"/>
              </w:rPr>
            </w:pPr>
            <w:r>
              <w:rPr>
                <w:bCs/>
                <w:sz w:val="22"/>
                <w:szCs w:val="22"/>
              </w:rPr>
              <w:t>14</w:t>
            </w:r>
          </w:p>
        </w:tc>
        <w:tc>
          <w:tcPr>
            <w:tcW w:w="2166" w:type="dxa"/>
            <w:vAlign w:val="center"/>
          </w:tcPr>
          <w:p w14:paraId="0D27D628">
            <w:pPr>
              <w:adjustRightInd w:val="0"/>
              <w:snapToGrid w:val="0"/>
              <w:jc w:val="center"/>
              <w:rPr>
                <w:bCs/>
                <w:sz w:val="22"/>
                <w:szCs w:val="22"/>
              </w:rPr>
            </w:pPr>
            <w:r>
              <w:rPr>
                <w:bCs/>
                <w:sz w:val="22"/>
                <w:szCs w:val="22"/>
              </w:rPr>
              <w:t>氰化物</w:t>
            </w:r>
          </w:p>
        </w:tc>
        <w:tc>
          <w:tcPr>
            <w:tcW w:w="2144" w:type="dxa"/>
            <w:vAlign w:val="center"/>
          </w:tcPr>
          <w:p w14:paraId="4C4F8729">
            <w:pPr>
              <w:adjustRightInd w:val="0"/>
              <w:snapToGrid w:val="0"/>
              <w:jc w:val="center"/>
              <w:rPr>
                <w:bCs/>
                <w:sz w:val="22"/>
                <w:szCs w:val="22"/>
              </w:rPr>
            </w:pPr>
            <w:r>
              <w:rPr>
                <w:bCs/>
                <w:sz w:val="22"/>
                <w:szCs w:val="22"/>
              </w:rPr>
              <w:t>mg/L</w:t>
            </w:r>
          </w:p>
        </w:tc>
        <w:tc>
          <w:tcPr>
            <w:tcW w:w="2117" w:type="dxa"/>
            <w:vAlign w:val="center"/>
          </w:tcPr>
          <w:p w14:paraId="22010670">
            <w:pPr>
              <w:adjustRightInd w:val="0"/>
              <w:snapToGrid w:val="0"/>
              <w:jc w:val="center"/>
              <w:rPr>
                <w:bCs/>
                <w:sz w:val="22"/>
                <w:szCs w:val="22"/>
              </w:rPr>
            </w:pPr>
            <w:r>
              <w:rPr>
                <w:bCs/>
                <w:sz w:val="22"/>
                <w:szCs w:val="22"/>
              </w:rPr>
              <w:t>0.5</w:t>
            </w:r>
          </w:p>
        </w:tc>
      </w:tr>
      <w:tr w14:paraId="0CF0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47FECA4B">
            <w:pPr>
              <w:adjustRightInd w:val="0"/>
              <w:snapToGrid w:val="0"/>
              <w:jc w:val="center"/>
              <w:rPr>
                <w:bCs/>
                <w:sz w:val="22"/>
                <w:szCs w:val="22"/>
              </w:rPr>
            </w:pPr>
            <w:r>
              <w:rPr>
                <w:bCs/>
                <w:sz w:val="22"/>
                <w:szCs w:val="22"/>
              </w:rPr>
              <w:t>15</w:t>
            </w:r>
          </w:p>
        </w:tc>
        <w:tc>
          <w:tcPr>
            <w:tcW w:w="2166" w:type="dxa"/>
            <w:vAlign w:val="center"/>
          </w:tcPr>
          <w:p w14:paraId="14A3835A">
            <w:pPr>
              <w:adjustRightInd w:val="0"/>
              <w:snapToGrid w:val="0"/>
              <w:jc w:val="center"/>
              <w:rPr>
                <w:bCs/>
                <w:sz w:val="22"/>
                <w:szCs w:val="22"/>
              </w:rPr>
            </w:pPr>
            <w:r>
              <w:rPr>
                <w:bCs/>
                <w:sz w:val="22"/>
                <w:szCs w:val="22"/>
              </w:rPr>
              <w:t>硫酸盐</w:t>
            </w:r>
          </w:p>
        </w:tc>
        <w:tc>
          <w:tcPr>
            <w:tcW w:w="2144" w:type="dxa"/>
            <w:vAlign w:val="center"/>
          </w:tcPr>
          <w:p w14:paraId="5FF2E0F2">
            <w:pPr>
              <w:adjustRightInd w:val="0"/>
              <w:snapToGrid w:val="0"/>
              <w:jc w:val="center"/>
              <w:rPr>
                <w:bCs/>
                <w:sz w:val="22"/>
                <w:szCs w:val="22"/>
              </w:rPr>
            </w:pPr>
            <w:r>
              <w:rPr>
                <w:bCs/>
                <w:sz w:val="22"/>
                <w:szCs w:val="22"/>
              </w:rPr>
              <w:t>mg/L</w:t>
            </w:r>
          </w:p>
        </w:tc>
        <w:tc>
          <w:tcPr>
            <w:tcW w:w="2117" w:type="dxa"/>
            <w:vAlign w:val="center"/>
          </w:tcPr>
          <w:p w14:paraId="03AC882C">
            <w:pPr>
              <w:adjustRightInd w:val="0"/>
              <w:snapToGrid w:val="0"/>
              <w:jc w:val="center"/>
              <w:rPr>
                <w:bCs/>
                <w:sz w:val="22"/>
                <w:szCs w:val="22"/>
              </w:rPr>
            </w:pPr>
            <w:r>
              <w:rPr>
                <w:bCs/>
                <w:sz w:val="22"/>
                <w:szCs w:val="22"/>
              </w:rPr>
              <w:t>/</w:t>
            </w:r>
          </w:p>
        </w:tc>
      </w:tr>
      <w:tr w14:paraId="2361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09554537">
            <w:pPr>
              <w:adjustRightInd w:val="0"/>
              <w:snapToGrid w:val="0"/>
              <w:jc w:val="center"/>
              <w:rPr>
                <w:bCs/>
                <w:sz w:val="22"/>
                <w:szCs w:val="22"/>
              </w:rPr>
            </w:pPr>
            <w:r>
              <w:rPr>
                <w:bCs/>
                <w:sz w:val="22"/>
                <w:szCs w:val="22"/>
              </w:rPr>
              <w:t>16</w:t>
            </w:r>
          </w:p>
        </w:tc>
        <w:tc>
          <w:tcPr>
            <w:tcW w:w="2166" w:type="dxa"/>
            <w:vAlign w:val="center"/>
          </w:tcPr>
          <w:p w14:paraId="274D048E">
            <w:pPr>
              <w:adjustRightInd w:val="0"/>
              <w:snapToGrid w:val="0"/>
              <w:jc w:val="center"/>
              <w:rPr>
                <w:bCs/>
                <w:sz w:val="22"/>
                <w:szCs w:val="22"/>
              </w:rPr>
            </w:pPr>
            <w:r>
              <w:rPr>
                <w:bCs/>
                <w:sz w:val="22"/>
                <w:szCs w:val="22"/>
              </w:rPr>
              <w:t>总氮</w:t>
            </w:r>
          </w:p>
        </w:tc>
        <w:tc>
          <w:tcPr>
            <w:tcW w:w="2144" w:type="dxa"/>
            <w:vAlign w:val="center"/>
          </w:tcPr>
          <w:p w14:paraId="50B4908E">
            <w:pPr>
              <w:adjustRightInd w:val="0"/>
              <w:snapToGrid w:val="0"/>
              <w:jc w:val="center"/>
              <w:rPr>
                <w:bCs/>
                <w:sz w:val="22"/>
                <w:szCs w:val="22"/>
              </w:rPr>
            </w:pPr>
            <w:r>
              <w:rPr>
                <w:bCs/>
                <w:sz w:val="22"/>
                <w:szCs w:val="22"/>
              </w:rPr>
              <w:t>mg/L</w:t>
            </w:r>
          </w:p>
        </w:tc>
        <w:tc>
          <w:tcPr>
            <w:tcW w:w="2117" w:type="dxa"/>
            <w:vAlign w:val="center"/>
          </w:tcPr>
          <w:p w14:paraId="3A1A70AD">
            <w:pPr>
              <w:adjustRightInd w:val="0"/>
              <w:snapToGrid w:val="0"/>
              <w:jc w:val="center"/>
              <w:rPr>
                <w:bCs/>
                <w:sz w:val="22"/>
                <w:szCs w:val="22"/>
              </w:rPr>
            </w:pPr>
            <w:r>
              <w:rPr>
                <w:bCs/>
                <w:sz w:val="22"/>
                <w:szCs w:val="22"/>
              </w:rPr>
              <w:t>15</w:t>
            </w:r>
          </w:p>
        </w:tc>
      </w:tr>
      <w:tr w14:paraId="2BEE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6CE7F18C">
            <w:pPr>
              <w:adjustRightInd w:val="0"/>
              <w:snapToGrid w:val="0"/>
              <w:jc w:val="center"/>
              <w:rPr>
                <w:bCs/>
                <w:sz w:val="22"/>
                <w:szCs w:val="22"/>
              </w:rPr>
            </w:pPr>
            <w:r>
              <w:rPr>
                <w:bCs/>
                <w:sz w:val="22"/>
                <w:szCs w:val="22"/>
              </w:rPr>
              <w:t>17</w:t>
            </w:r>
          </w:p>
        </w:tc>
        <w:tc>
          <w:tcPr>
            <w:tcW w:w="2166" w:type="dxa"/>
            <w:vAlign w:val="center"/>
          </w:tcPr>
          <w:p w14:paraId="192A78B4">
            <w:pPr>
              <w:adjustRightInd w:val="0"/>
              <w:snapToGrid w:val="0"/>
              <w:jc w:val="center"/>
              <w:rPr>
                <w:bCs/>
                <w:sz w:val="22"/>
                <w:szCs w:val="22"/>
              </w:rPr>
            </w:pPr>
            <w:r>
              <w:rPr>
                <w:bCs/>
                <w:sz w:val="22"/>
                <w:szCs w:val="22"/>
              </w:rPr>
              <w:t>总磷</w:t>
            </w:r>
          </w:p>
        </w:tc>
        <w:tc>
          <w:tcPr>
            <w:tcW w:w="2144" w:type="dxa"/>
            <w:vAlign w:val="center"/>
          </w:tcPr>
          <w:p w14:paraId="0D655A26">
            <w:pPr>
              <w:adjustRightInd w:val="0"/>
              <w:snapToGrid w:val="0"/>
              <w:jc w:val="center"/>
              <w:rPr>
                <w:bCs/>
                <w:sz w:val="22"/>
                <w:szCs w:val="22"/>
              </w:rPr>
            </w:pPr>
            <w:r>
              <w:rPr>
                <w:bCs/>
                <w:sz w:val="22"/>
                <w:szCs w:val="22"/>
              </w:rPr>
              <w:t>mg/L</w:t>
            </w:r>
          </w:p>
        </w:tc>
        <w:tc>
          <w:tcPr>
            <w:tcW w:w="2117" w:type="dxa"/>
            <w:vAlign w:val="center"/>
          </w:tcPr>
          <w:p w14:paraId="04402598">
            <w:pPr>
              <w:adjustRightInd w:val="0"/>
              <w:snapToGrid w:val="0"/>
              <w:jc w:val="center"/>
              <w:rPr>
                <w:bCs/>
                <w:sz w:val="22"/>
                <w:szCs w:val="22"/>
              </w:rPr>
            </w:pPr>
            <w:r>
              <w:rPr>
                <w:bCs/>
                <w:sz w:val="22"/>
                <w:szCs w:val="22"/>
              </w:rPr>
              <w:t>0.5</w:t>
            </w:r>
          </w:p>
        </w:tc>
      </w:tr>
      <w:tr w14:paraId="75E3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0A97FD86">
            <w:pPr>
              <w:adjustRightInd w:val="0"/>
              <w:snapToGrid w:val="0"/>
              <w:jc w:val="center"/>
              <w:rPr>
                <w:bCs/>
                <w:sz w:val="22"/>
                <w:szCs w:val="22"/>
              </w:rPr>
            </w:pPr>
            <w:r>
              <w:rPr>
                <w:bCs/>
                <w:sz w:val="22"/>
                <w:szCs w:val="22"/>
              </w:rPr>
              <w:t>18</w:t>
            </w:r>
          </w:p>
        </w:tc>
        <w:tc>
          <w:tcPr>
            <w:tcW w:w="2166" w:type="dxa"/>
            <w:vAlign w:val="center"/>
          </w:tcPr>
          <w:p w14:paraId="03E5C6BD">
            <w:pPr>
              <w:adjustRightInd w:val="0"/>
              <w:snapToGrid w:val="0"/>
              <w:jc w:val="center"/>
              <w:rPr>
                <w:bCs/>
                <w:sz w:val="22"/>
                <w:szCs w:val="22"/>
              </w:rPr>
            </w:pPr>
            <w:r>
              <w:rPr>
                <w:bCs/>
                <w:sz w:val="22"/>
                <w:szCs w:val="22"/>
              </w:rPr>
              <w:t>氨氮</w:t>
            </w:r>
          </w:p>
        </w:tc>
        <w:tc>
          <w:tcPr>
            <w:tcW w:w="2144" w:type="dxa"/>
            <w:vAlign w:val="center"/>
          </w:tcPr>
          <w:p w14:paraId="2105F7F6">
            <w:pPr>
              <w:adjustRightInd w:val="0"/>
              <w:snapToGrid w:val="0"/>
              <w:jc w:val="center"/>
              <w:rPr>
                <w:bCs/>
                <w:sz w:val="22"/>
                <w:szCs w:val="22"/>
              </w:rPr>
            </w:pPr>
            <w:r>
              <w:rPr>
                <w:bCs/>
                <w:sz w:val="22"/>
                <w:szCs w:val="22"/>
              </w:rPr>
              <w:t>mg/L</w:t>
            </w:r>
          </w:p>
        </w:tc>
        <w:tc>
          <w:tcPr>
            <w:tcW w:w="2117" w:type="dxa"/>
            <w:vAlign w:val="center"/>
          </w:tcPr>
          <w:p w14:paraId="7D064DCA">
            <w:pPr>
              <w:adjustRightInd w:val="0"/>
              <w:snapToGrid w:val="0"/>
              <w:jc w:val="center"/>
              <w:rPr>
                <w:bCs/>
                <w:sz w:val="22"/>
                <w:szCs w:val="22"/>
              </w:rPr>
            </w:pPr>
            <w:r>
              <w:rPr>
                <w:bCs/>
                <w:sz w:val="22"/>
                <w:szCs w:val="22"/>
              </w:rPr>
              <w:t>5</w:t>
            </w:r>
          </w:p>
        </w:tc>
      </w:tr>
      <w:tr w14:paraId="09AF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271352A0">
            <w:pPr>
              <w:adjustRightInd w:val="0"/>
              <w:snapToGrid w:val="0"/>
              <w:jc w:val="center"/>
              <w:rPr>
                <w:bCs/>
                <w:sz w:val="22"/>
                <w:szCs w:val="22"/>
              </w:rPr>
            </w:pPr>
            <w:r>
              <w:rPr>
                <w:bCs/>
                <w:sz w:val="22"/>
                <w:szCs w:val="22"/>
              </w:rPr>
              <w:t>19</w:t>
            </w:r>
          </w:p>
        </w:tc>
        <w:tc>
          <w:tcPr>
            <w:tcW w:w="2166" w:type="dxa"/>
            <w:vAlign w:val="center"/>
          </w:tcPr>
          <w:p w14:paraId="2B559C2B">
            <w:pPr>
              <w:adjustRightInd w:val="0"/>
              <w:snapToGrid w:val="0"/>
              <w:jc w:val="center"/>
              <w:rPr>
                <w:bCs/>
                <w:sz w:val="22"/>
                <w:szCs w:val="22"/>
              </w:rPr>
            </w:pPr>
            <w:r>
              <w:rPr>
                <w:bCs/>
                <w:sz w:val="22"/>
                <w:szCs w:val="22"/>
              </w:rPr>
              <w:t>钙</w:t>
            </w:r>
          </w:p>
        </w:tc>
        <w:tc>
          <w:tcPr>
            <w:tcW w:w="2144" w:type="dxa"/>
            <w:vAlign w:val="center"/>
          </w:tcPr>
          <w:p w14:paraId="0E54E182">
            <w:pPr>
              <w:adjustRightInd w:val="0"/>
              <w:snapToGrid w:val="0"/>
              <w:jc w:val="center"/>
              <w:rPr>
                <w:bCs/>
                <w:sz w:val="22"/>
                <w:szCs w:val="22"/>
              </w:rPr>
            </w:pPr>
            <w:r>
              <w:rPr>
                <w:bCs/>
                <w:sz w:val="22"/>
                <w:szCs w:val="22"/>
              </w:rPr>
              <w:t>mg/L</w:t>
            </w:r>
          </w:p>
        </w:tc>
        <w:tc>
          <w:tcPr>
            <w:tcW w:w="2117" w:type="dxa"/>
            <w:vAlign w:val="center"/>
          </w:tcPr>
          <w:p w14:paraId="695C016E">
            <w:pPr>
              <w:adjustRightInd w:val="0"/>
              <w:snapToGrid w:val="0"/>
              <w:jc w:val="center"/>
              <w:rPr>
                <w:bCs/>
                <w:sz w:val="22"/>
                <w:szCs w:val="22"/>
              </w:rPr>
            </w:pPr>
            <w:r>
              <w:rPr>
                <w:bCs/>
                <w:sz w:val="22"/>
                <w:szCs w:val="22"/>
              </w:rPr>
              <w:t>/</w:t>
            </w:r>
          </w:p>
        </w:tc>
      </w:tr>
      <w:tr w14:paraId="7754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vAlign w:val="center"/>
          </w:tcPr>
          <w:p w14:paraId="3714757F">
            <w:pPr>
              <w:adjustRightInd w:val="0"/>
              <w:snapToGrid w:val="0"/>
              <w:jc w:val="center"/>
              <w:rPr>
                <w:bCs/>
                <w:sz w:val="22"/>
                <w:szCs w:val="22"/>
              </w:rPr>
            </w:pPr>
            <w:r>
              <w:rPr>
                <w:bCs/>
                <w:sz w:val="22"/>
                <w:szCs w:val="22"/>
              </w:rPr>
              <w:t>20</w:t>
            </w:r>
          </w:p>
        </w:tc>
        <w:tc>
          <w:tcPr>
            <w:tcW w:w="2166" w:type="dxa"/>
            <w:vAlign w:val="center"/>
          </w:tcPr>
          <w:p w14:paraId="26EC50EB">
            <w:pPr>
              <w:adjustRightInd w:val="0"/>
              <w:snapToGrid w:val="0"/>
              <w:jc w:val="center"/>
              <w:rPr>
                <w:bCs/>
                <w:sz w:val="22"/>
                <w:szCs w:val="22"/>
              </w:rPr>
            </w:pPr>
            <w:r>
              <w:rPr>
                <w:bCs/>
                <w:sz w:val="22"/>
                <w:szCs w:val="22"/>
              </w:rPr>
              <w:t>镁</w:t>
            </w:r>
          </w:p>
        </w:tc>
        <w:tc>
          <w:tcPr>
            <w:tcW w:w="2144" w:type="dxa"/>
            <w:vAlign w:val="center"/>
          </w:tcPr>
          <w:p w14:paraId="52E921A9">
            <w:pPr>
              <w:adjustRightInd w:val="0"/>
              <w:snapToGrid w:val="0"/>
              <w:jc w:val="center"/>
              <w:rPr>
                <w:bCs/>
                <w:sz w:val="22"/>
                <w:szCs w:val="22"/>
              </w:rPr>
            </w:pPr>
            <w:r>
              <w:rPr>
                <w:bCs/>
                <w:sz w:val="22"/>
                <w:szCs w:val="22"/>
              </w:rPr>
              <w:t>mg/L</w:t>
            </w:r>
          </w:p>
        </w:tc>
        <w:tc>
          <w:tcPr>
            <w:tcW w:w="2117" w:type="dxa"/>
            <w:vAlign w:val="center"/>
          </w:tcPr>
          <w:p w14:paraId="54BD2583">
            <w:pPr>
              <w:adjustRightInd w:val="0"/>
              <w:snapToGrid w:val="0"/>
              <w:jc w:val="center"/>
              <w:rPr>
                <w:bCs/>
                <w:sz w:val="22"/>
                <w:szCs w:val="22"/>
              </w:rPr>
            </w:pPr>
          </w:p>
        </w:tc>
      </w:tr>
    </w:tbl>
    <w:p w14:paraId="11F8F2E0">
      <w:pPr>
        <w:pStyle w:val="1379"/>
        <w:ind w:firstLine="440"/>
      </w:pPr>
    </w:p>
    <w:p w14:paraId="168A3227">
      <w:pPr>
        <w:adjustRightInd w:val="0"/>
        <w:snapToGrid w:val="0"/>
        <w:ind w:firstLine="520" w:firstLineChars="200"/>
        <w:jc w:val="center"/>
        <w:rPr>
          <w:sz w:val="26"/>
          <w:szCs w:val="26"/>
        </w:rPr>
      </w:pPr>
      <w:r>
        <w:rPr>
          <w:rFonts w:hint="eastAsia"/>
          <w:sz w:val="26"/>
          <w:szCs w:val="26"/>
        </w:rPr>
        <w:t>表</w:t>
      </w:r>
      <w:r>
        <w:rPr>
          <w:sz w:val="26"/>
          <w:szCs w:val="26"/>
        </w:rPr>
        <w:t>8.3</w:t>
      </w:r>
      <w:r>
        <w:rPr>
          <w:rFonts w:hint="eastAsia"/>
          <w:sz w:val="26"/>
          <w:szCs w:val="26"/>
        </w:rPr>
        <w:t>-</w:t>
      </w:r>
      <w:r>
        <w:rPr>
          <w:sz w:val="26"/>
          <w:szCs w:val="26"/>
        </w:rPr>
        <w:t xml:space="preserve">3 </w:t>
      </w:r>
      <w:r>
        <w:rPr>
          <w:rFonts w:hint="eastAsia"/>
          <w:sz w:val="26"/>
          <w:szCs w:val="26"/>
        </w:rPr>
        <w:t xml:space="preserve"> 油气田废水处理站出水水质监测结果表</w:t>
      </w:r>
    </w:p>
    <w:tbl>
      <w:tblPr>
        <w:tblStyle w:val="88"/>
        <w:tblW w:w="8316" w:type="dxa"/>
        <w:jc w:val="center"/>
        <w:tblLayout w:type="fixed"/>
        <w:tblCellMar>
          <w:top w:w="0" w:type="dxa"/>
          <w:left w:w="0" w:type="dxa"/>
          <w:bottom w:w="0" w:type="dxa"/>
          <w:right w:w="0" w:type="dxa"/>
        </w:tblCellMar>
      </w:tblPr>
      <w:tblGrid>
        <w:gridCol w:w="1210"/>
        <w:gridCol w:w="1074"/>
        <w:gridCol w:w="956"/>
        <w:gridCol w:w="1124"/>
        <w:gridCol w:w="1214"/>
        <w:gridCol w:w="854"/>
        <w:gridCol w:w="761"/>
        <w:gridCol w:w="1123"/>
      </w:tblGrid>
      <w:tr w14:paraId="1CA66A72">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4EB2AD2D">
            <w:pPr>
              <w:widowControl/>
              <w:jc w:val="center"/>
              <w:textAlignment w:val="center"/>
              <w:rPr>
                <w:sz w:val="22"/>
                <w:szCs w:val="22"/>
              </w:rPr>
            </w:pPr>
            <w:r>
              <w:rPr>
                <w:kern w:val="0"/>
                <w:sz w:val="22"/>
                <w:szCs w:val="22"/>
                <w:lang w:bidi="ar"/>
              </w:rPr>
              <w:t>项目名称</w:t>
            </w:r>
          </w:p>
        </w:tc>
        <w:tc>
          <w:tcPr>
            <w:tcW w:w="1074" w:type="dxa"/>
            <w:tcBorders>
              <w:top w:val="single" w:color="000000" w:sz="4" w:space="0"/>
              <w:left w:val="single" w:color="000000" w:sz="4" w:space="0"/>
              <w:bottom w:val="single" w:color="000000" w:sz="4" w:space="0"/>
              <w:right w:val="single" w:color="000000" w:sz="4" w:space="0"/>
            </w:tcBorders>
            <w:vAlign w:val="center"/>
          </w:tcPr>
          <w:p w14:paraId="37AA7B3A">
            <w:pPr>
              <w:widowControl/>
              <w:jc w:val="center"/>
              <w:textAlignment w:val="center"/>
              <w:rPr>
                <w:sz w:val="22"/>
                <w:szCs w:val="22"/>
              </w:rPr>
            </w:pPr>
            <w:r>
              <w:rPr>
                <w:kern w:val="0"/>
                <w:sz w:val="22"/>
                <w:szCs w:val="22"/>
                <w:lang w:bidi="ar"/>
              </w:rPr>
              <w:t>监测结果</w:t>
            </w:r>
          </w:p>
        </w:tc>
        <w:tc>
          <w:tcPr>
            <w:tcW w:w="956" w:type="dxa"/>
            <w:tcBorders>
              <w:top w:val="single" w:color="000000" w:sz="4" w:space="0"/>
              <w:left w:val="single" w:color="000000" w:sz="4" w:space="0"/>
              <w:bottom w:val="single" w:color="000000" w:sz="4" w:space="0"/>
              <w:right w:val="single" w:color="000000" w:sz="4" w:space="0"/>
            </w:tcBorders>
            <w:vAlign w:val="center"/>
          </w:tcPr>
          <w:p w14:paraId="22463EC8">
            <w:pPr>
              <w:widowControl/>
              <w:jc w:val="center"/>
              <w:textAlignment w:val="center"/>
              <w:rPr>
                <w:sz w:val="22"/>
                <w:szCs w:val="22"/>
              </w:rPr>
            </w:pPr>
            <w:r>
              <w:rPr>
                <w:kern w:val="0"/>
                <w:sz w:val="22"/>
                <w:szCs w:val="22"/>
                <w:lang w:bidi="ar"/>
              </w:rPr>
              <w:t>标准值</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7BE348E8">
            <w:pPr>
              <w:widowControl/>
              <w:jc w:val="center"/>
              <w:textAlignment w:val="center"/>
              <w:rPr>
                <w:sz w:val="22"/>
                <w:szCs w:val="22"/>
              </w:rPr>
            </w:pPr>
            <w:r>
              <w:rPr>
                <w:kern w:val="0"/>
                <w:sz w:val="22"/>
                <w:szCs w:val="22"/>
                <w:lang w:bidi="ar"/>
              </w:rPr>
              <w:t>是否达标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5970ECB5">
            <w:pPr>
              <w:widowControl/>
              <w:jc w:val="center"/>
              <w:textAlignment w:val="center"/>
              <w:rPr>
                <w:sz w:val="22"/>
                <w:szCs w:val="22"/>
              </w:rPr>
            </w:pPr>
            <w:r>
              <w:rPr>
                <w:kern w:val="0"/>
                <w:sz w:val="22"/>
                <w:szCs w:val="22"/>
                <w:lang w:bidi="ar"/>
              </w:rPr>
              <w:t>项目名称</w:t>
            </w:r>
          </w:p>
        </w:tc>
        <w:tc>
          <w:tcPr>
            <w:tcW w:w="854" w:type="dxa"/>
            <w:tcBorders>
              <w:top w:val="single" w:color="000000" w:sz="4" w:space="0"/>
              <w:left w:val="single" w:color="000000" w:sz="4" w:space="0"/>
              <w:bottom w:val="single" w:color="000000" w:sz="4" w:space="0"/>
              <w:right w:val="single" w:color="000000" w:sz="4" w:space="0"/>
            </w:tcBorders>
            <w:vAlign w:val="center"/>
          </w:tcPr>
          <w:p w14:paraId="5C35C27B">
            <w:pPr>
              <w:widowControl/>
              <w:jc w:val="center"/>
              <w:textAlignment w:val="center"/>
              <w:rPr>
                <w:sz w:val="22"/>
                <w:szCs w:val="22"/>
              </w:rPr>
            </w:pPr>
            <w:r>
              <w:rPr>
                <w:kern w:val="0"/>
                <w:sz w:val="22"/>
                <w:szCs w:val="22"/>
                <w:lang w:bidi="ar"/>
              </w:rPr>
              <w:t>监测结果</w:t>
            </w:r>
          </w:p>
        </w:tc>
        <w:tc>
          <w:tcPr>
            <w:tcW w:w="761" w:type="dxa"/>
            <w:tcBorders>
              <w:top w:val="single" w:color="000000" w:sz="4" w:space="0"/>
              <w:left w:val="single" w:color="000000" w:sz="4" w:space="0"/>
              <w:bottom w:val="single" w:color="000000" w:sz="4" w:space="0"/>
              <w:right w:val="single" w:color="000000" w:sz="4" w:space="0"/>
            </w:tcBorders>
            <w:vAlign w:val="center"/>
          </w:tcPr>
          <w:p w14:paraId="1572C3A6">
            <w:pPr>
              <w:widowControl/>
              <w:jc w:val="center"/>
              <w:textAlignment w:val="center"/>
              <w:rPr>
                <w:sz w:val="22"/>
                <w:szCs w:val="22"/>
              </w:rPr>
            </w:pPr>
            <w:r>
              <w:rPr>
                <w:kern w:val="0"/>
                <w:sz w:val="22"/>
                <w:szCs w:val="22"/>
                <w:lang w:bidi="ar"/>
              </w:rPr>
              <w:t>标准值</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6EC87E69">
            <w:pPr>
              <w:widowControl/>
              <w:jc w:val="center"/>
              <w:textAlignment w:val="center"/>
              <w:rPr>
                <w:sz w:val="22"/>
                <w:szCs w:val="22"/>
              </w:rPr>
            </w:pPr>
            <w:r>
              <w:rPr>
                <w:kern w:val="0"/>
                <w:sz w:val="22"/>
                <w:szCs w:val="22"/>
                <w:lang w:bidi="ar"/>
              </w:rPr>
              <w:t>是否达标</w:t>
            </w:r>
          </w:p>
        </w:tc>
      </w:tr>
      <w:tr w14:paraId="0780067B">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374E6B42">
            <w:pPr>
              <w:widowControl/>
              <w:jc w:val="center"/>
              <w:textAlignment w:val="center"/>
              <w:rPr>
                <w:sz w:val="22"/>
                <w:szCs w:val="22"/>
              </w:rPr>
            </w:pPr>
            <w:r>
              <w:rPr>
                <w:kern w:val="0"/>
                <w:sz w:val="22"/>
                <w:szCs w:val="22"/>
                <w:lang w:bidi="ar"/>
              </w:rPr>
              <w:t>苯并[a]芘</w:t>
            </w:r>
          </w:p>
        </w:tc>
        <w:tc>
          <w:tcPr>
            <w:tcW w:w="1074" w:type="dxa"/>
            <w:tcBorders>
              <w:top w:val="single" w:color="000000" w:sz="4" w:space="0"/>
              <w:left w:val="single" w:color="000000" w:sz="4" w:space="0"/>
              <w:bottom w:val="single" w:color="000000" w:sz="4" w:space="0"/>
              <w:right w:val="single" w:color="000000" w:sz="4" w:space="0"/>
            </w:tcBorders>
            <w:vAlign w:val="center"/>
          </w:tcPr>
          <w:p w14:paraId="5675A6A1">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7A865EA7">
            <w:pPr>
              <w:widowControl/>
              <w:jc w:val="center"/>
              <w:textAlignment w:val="center"/>
              <w:rPr>
                <w:sz w:val="22"/>
                <w:szCs w:val="22"/>
              </w:rPr>
            </w:pPr>
            <w:r>
              <w:rPr>
                <w:kern w:val="0"/>
                <w:sz w:val="22"/>
                <w:szCs w:val="22"/>
                <w:lang w:bidi="ar"/>
              </w:rPr>
              <w:t>0.00003</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0FEA29A7">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254C9E3F">
            <w:pPr>
              <w:widowControl/>
              <w:jc w:val="center"/>
              <w:textAlignment w:val="center"/>
              <w:rPr>
                <w:sz w:val="22"/>
                <w:szCs w:val="22"/>
              </w:rPr>
            </w:pPr>
            <w:r>
              <w:rPr>
                <w:kern w:val="0"/>
                <w:sz w:val="22"/>
                <w:szCs w:val="22"/>
                <w:lang w:bidi="ar"/>
              </w:rPr>
              <w:t>邻-二甲苯</w:t>
            </w:r>
          </w:p>
        </w:tc>
        <w:tc>
          <w:tcPr>
            <w:tcW w:w="854" w:type="dxa"/>
            <w:tcBorders>
              <w:top w:val="single" w:color="000000" w:sz="4" w:space="0"/>
              <w:left w:val="single" w:color="000000" w:sz="4" w:space="0"/>
              <w:bottom w:val="single" w:color="000000" w:sz="4" w:space="0"/>
              <w:right w:val="single" w:color="000000" w:sz="4" w:space="0"/>
            </w:tcBorders>
            <w:vAlign w:val="center"/>
          </w:tcPr>
          <w:p w14:paraId="075FA1AB">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7AC9DB3C">
            <w:pPr>
              <w:widowControl/>
              <w:jc w:val="center"/>
              <w:textAlignment w:val="center"/>
              <w:rPr>
                <w:sz w:val="22"/>
                <w:szCs w:val="22"/>
              </w:rPr>
            </w:pPr>
            <w:r>
              <w:rPr>
                <w:kern w:val="0"/>
                <w:sz w:val="22"/>
                <w:szCs w:val="22"/>
                <w:lang w:bidi="ar"/>
              </w:rPr>
              <w:t>0.4</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2CEC7CE4">
            <w:pPr>
              <w:widowControl/>
              <w:jc w:val="center"/>
              <w:textAlignment w:val="center"/>
              <w:rPr>
                <w:sz w:val="22"/>
                <w:szCs w:val="22"/>
              </w:rPr>
            </w:pPr>
            <w:r>
              <w:rPr>
                <w:kern w:val="0"/>
                <w:sz w:val="22"/>
                <w:szCs w:val="22"/>
                <w:lang w:bidi="ar"/>
              </w:rPr>
              <w:t>达标</w:t>
            </w:r>
          </w:p>
        </w:tc>
      </w:tr>
      <w:tr w14:paraId="1F605F85">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55855361">
            <w:pPr>
              <w:widowControl/>
              <w:jc w:val="center"/>
              <w:textAlignment w:val="center"/>
              <w:rPr>
                <w:sz w:val="22"/>
                <w:szCs w:val="22"/>
              </w:rPr>
            </w:pPr>
            <w:r>
              <w:rPr>
                <w:kern w:val="0"/>
                <w:sz w:val="22"/>
                <w:szCs w:val="22"/>
                <w:lang w:bidi="ar"/>
              </w:rPr>
              <w:t>磷酸盐</w:t>
            </w:r>
          </w:p>
        </w:tc>
        <w:tc>
          <w:tcPr>
            <w:tcW w:w="1074" w:type="dxa"/>
            <w:tcBorders>
              <w:top w:val="single" w:color="000000" w:sz="4" w:space="0"/>
              <w:left w:val="single" w:color="000000" w:sz="4" w:space="0"/>
              <w:bottom w:val="single" w:color="000000" w:sz="4" w:space="0"/>
              <w:right w:val="single" w:color="000000" w:sz="4" w:space="0"/>
            </w:tcBorders>
            <w:vAlign w:val="center"/>
          </w:tcPr>
          <w:p w14:paraId="76DCA101">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09198B5E">
            <w:pPr>
              <w:widowControl/>
              <w:jc w:val="center"/>
              <w:textAlignment w:val="center"/>
              <w:rPr>
                <w:sz w:val="22"/>
                <w:szCs w:val="22"/>
              </w:rPr>
            </w:pPr>
            <w:r>
              <w:rPr>
                <w:kern w:val="0"/>
                <w:sz w:val="22"/>
                <w:szCs w:val="22"/>
                <w:lang w:bidi="ar"/>
              </w:rPr>
              <w:t>0.5</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34044D1F">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240F6C0A">
            <w:pPr>
              <w:widowControl/>
              <w:jc w:val="center"/>
              <w:textAlignment w:val="center"/>
              <w:rPr>
                <w:sz w:val="22"/>
                <w:szCs w:val="22"/>
              </w:rPr>
            </w:pPr>
            <w:r>
              <w:rPr>
                <w:kern w:val="0"/>
                <w:sz w:val="22"/>
                <w:szCs w:val="22"/>
                <w:lang w:bidi="ar"/>
              </w:rPr>
              <w:t>总有机碳</w:t>
            </w:r>
          </w:p>
        </w:tc>
        <w:tc>
          <w:tcPr>
            <w:tcW w:w="854" w:type="dxa"/>
            <w:tcBorders>
              <w:top w:val="single" w:color="000000" w:sz="4" w:space="0"/>
              <w:left w:val="single" w:color="000000" w:sz="4" w:space="0"/>
              <w:bottom w:val="single" w:color="000000" w:sz="4" w:space="0"/>
              <w:right w:val="single" w:color="000000" w:sz="4" w:space="0"/>
            </w:tcBorders>
            <w:vAlign w:val="center"/>
          </w:tcPr>
          <w:p w14:paraId="7EB083EF">
            <w:pPr>
              <w:widowControl/>
              <w:jc w:val="center"/>
              <w:textAlignment w:val="center"/>
              <w:rPr>
                <w:sz w:val="22"/>
                <w:szCs w:val="22"/>
              </w:rPr>
            </w:pPr>
            <w:r>
              <w:rPr>
                <w:kern w:val="0"/>
                <w:sz w:val="22"/>
                <w:szCs w:val="22"/>
                <w:lang w:bidi="ar"/>
              </w:rPr>
              <w:t>8.1-11.1</w:t>
            </w:r>
          </w:p>
        </w:tc>
        <w:tc>
          <w:tcPr>
            <w:tcW w:w="761" w:type="dxa"/>
            <w:tcBorders>
              <w:top w:val="single" w:color="000000" w:sz="4" w:space="0"/>
              <w:left w:val="single" w:color="000000" w:sz="4" w:space="0"/>
              <w:bottom w:val="single" w:color="000000" w:sz="4" w:space="0"/>
              <w:right w:val="single" w:color="000000" w:sz="4" w:space="0"/>
            </w:tcBorders>
            <w:vAlign w:val="center"/>
          </w:tcPr>
          <w:p w14:paraId="54C272E4">
            <w:pPr>
              <w:widowControl/>
              <w:jc w:val="center"/>
              <w:textAlignment w:val="center"/>
              <w:rPr>
                <w:sz w:val="22"/>
                <w:szCs w:val="22"/>
              </w:rPr>
            </w:pPr>
            <w:r>
              <w:rPr>
                <w:kern w:val="0"/>
                <w:sz w:val="22"/>
                <w:szCs w:val="22"/>
                <w:lang w:bidi="ar"/>
              </w:rPr>
              <w:t>15</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42BE7376">
            <w:pPr>
              <w:widowControl/>
              <w:jc w:val="center"/>
              <w:textAlignment w:val="center"/>
              <w:rPr>
                <w:sz w:val="22"/>
                <w:szCs w:val="22"/>
              </w:rPr>
            </w:pPr>
            <w:r>
              <w:rPr>
                <w:kern w:val="0"/>
                <w:sz w:val="22"/>
                <w:szCs w:val="22"/>
                <w:lang w:bidi="ar"/>
              </w:rPr>
              <w:t>达标</w:t>
            </w:r>
          </w:p>
        </w:tc>
      </w:tr>
      <w:tr w14:paraId="75D6042A">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4F3D2923">
            <w:pPr>
              <w:widowControl/>
              <w:jc w:val="center"/>
              <w:textAlignment w:val="center"/>
              <w:rPr>
                <w:sz w:val="22"/>
                <w:szCs w:val="22"/>
              </w:rPr>
            </w:pPr>
            <w:r>
              <w:rPr>
                <w:kern w:val="0"/>
                <w:sz w:val="22"/>
                <w:szCs w:val="22"/>
                <w:lang w:bidi="ar"/>
              </w:rPr>
              <w:t>四氯化碳</w:t>
            </w:r>
          </w:p>
        </w:tc>
        <w:tc>
          <w:tcPr>
            <w:tcW w:w="1074" w:type="dxa"/>
            <w:tcBorders>
              <w:top w:val="single" w:color="000000" w:sz="4" w:space="0"/>
              <w:left w:val="single" w:color="000000" w:sz="4" w:space="0"/>
              <w:bottom w:val="single" w:color="000000" w:sz="4" w:space="0"/>
              <w:right w:val="single" w:color="000000" w:sz="4" w:space="0"/>
            </w:tcBorders>
            <w:vAlign w:val="center"/>
          </w:tcPr>
          <w:p w14:paraId="786009EA">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17694CEC">
            <w:pPr>
              <w:widowControl/>
              <w:jc w:val="center"/>
              <w:textAlignment w:val="center"/>
              <w:rPr>
                <w:sz w:val="22"/>
                <w:szCs w:val="22"/>
              </w:rPr>
            </w:pPr>
            <w:r>
              <w:rPr>
                <w:kern w:val="0"/>
                <w:sz w:val="22"/>
                <w:szCs w:val="22"/>
                <w:lang w:bidi="ar"/>
              </w:rPr>
              <w:t>0.03</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3DB8B767">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7260B0B3">
            <w:pPr>
              <w:widowControl/>
              <w:jc w:val="center"/>
              <w:textAlignment w:val="center"/>
              <w:rPr>
                <w:sz w:val="22"/>
                <w:szCs w:val="22"/>
              </w:rPr>
            </w:pPr>
            <w:r>
              <w:rPr>
                <w:kern w:val="0"/>
                <w:sz w:val="22"/>
                <w:szCs w:val="22"/>
                <w:lang w:bidi="ar"/>
              </w:rPr>
              <w:t>三氯甲烷</w:t>
            </w:r>
          </w:p>
        </w:tc>
        <w:tc>
          <w:tcPr>
            <w:tcW w:w="854" w:type="dxa"/>
            <w:tcBorders>
              <w:top w:val="single" w:color="000000" w:sz="4" w:space="0"/>
              <w:left w:val="single" w:color="000000" w:sz="4" w:space="0"/>
              <w:bottom w:val="single" w:color="000000" w:sz="4" w:space="0"/>
              <w:right w:val="single" w:color="000000" w:sz="4" w:space="0"/>
            </w:tcBorders>
            <w:vAlign w:val="center"/>
          </w:tcPr>
          <w:p w14:paraId="0267AB68">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5E27694E">
            <w:pPr>
              <w:widowControl/>
              <w:jc w:val="center"/>
              <w:textAlignment w:val="center"/>
              <w:rPr>
                <w:sz w:val="22"/>
                <w:szCs w:val="22"/>
              </w:rPr>
            </w:pPr>
            <w:r>
              <w:rPr>
                <w:kern w:val="0"/>
                <w:sz w:val="22"/>
                <w:szCs w:val="22"/>
                <w:lang w:bidi="ar"/>
              </w:rPr>
              <w:t>0.3</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28FFBBD8">
            <w:pPr>
              <w:widowControl/>
              <w:jc w:val="center"/>
              <w:textAlignment w:val="center"/>
              <w:rPr>
                <w:sz w:val="22"/>
                <w:szCs w:val="22"/>
              </w:rPr>
            </w:pPr>
            <w:r>
              <w:rPr>
                <w:kern w:val="0"/>
                <w:sz w:val="22"/>
                <w:szCs w:val="22"/>
                <w:lang w:bidi="ar"/>
              </w:rPr>
              <w:t>达标</w:t>
            </w:r>
          </w:p>
        </w:tc>
      </w:tr>
      <w:tr w14:paraId="33A96F3B">
        <w:tblPrEx>
          <w:tblCellMar>
            <w:top w:w="0" w:type="dxa"/>
            <w:left w:w="0" w:type="dxa"/>
            <w:bottom w:w="0" w:type="dxa"/>
            <w:right w:w="0" w:type="dxa"/>
          </w:tblCellMar>
        </w:tblPrEx>
        <w:trPr>
          <w:trHeight w:val="540"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2E6AB007">
            <w:pPr>
              <w:widowControl/>
              <w:jc w:val="center"/>
              <w:textAlignment w:val="center"/>
              <w:rPr>
                <w:sz w:val="22"/>
                <w:szCs w:val="22"/>
              </w:rPr>
            </w:pPr>
            <w:r>
              <w:rPr>
                <w:kern w:val="0"/>
                <w:sz w:val="22"/>
                <w:szCs w:val="22"/>
                <w:lang w:bidi="ar"/>
              </w:rPr>
              <w:t>总β放射性</w:t>
            </w:r>
          </w:p>
        </w:tc>
        <w:tc>
          <w:tcPr>
            <w:tcW w:w="1074" w:type="dxa"/>
            <w:tcBorders>
              <w:top w:val="single" w:color="000000" w:sz="4" w:space="0"/>
              <w:left w:val="single" w:color="000000" w:sz="4" w:space="0"/>
              <w:bottom w:val="single" w:color="000000" w:sz="4" w:space="0"/>
              <w:right w:val="single" w:color="000000" w:sz="4" w:space="0"/>
            </w:tcBorders>
            <w:vAlign w:val="center"/>
          </w:tcPr>
          <w:p w14:paraId="4DEFBE41">
            <w:pPr>
              <w:widowControl/>
              <w:jc w:val="center"/>
              <w:textAlignment w:val="center"/>
              <w:rPr>
                <w:sz w:val="22"/>
                <w:szCs w:val="22"/>
              </w:rPr>
            </w:pPr>
            <w:r>
              <w:rPr>
                <w:kern w:val="0"/>
                <w:sz w:val="22"/>
                <w:szCs w:val="22"/>
                <w:lang w:bidi="ar"/>
              </w:rPr>
              <w:t>0.116-0.150</w:t>
            </w:r>
          </w:p>
        </w:tc>
        <w:tc>
          <w:tcPr>
            <w:tcW w:w="956" w:type="dxa"/>
            <w:tcBorders>
              <w:top w:val="single" w:color="000000" w:sz="4" w:space="0"/>
              <w:left w:val="single" w:color="000000" w:sz="4" w:space="0"/>
              <w:bottom w:val="single" w:color="000000" w:sz="4" w:space="0"/>
              <w:right w:val="single" w:color="000000" w:sz="4" w:space="0"/>
            </w:tcBorders>
            <w:vAlign w:val="center"/>
          </w:tcPr>
          <w:p w14:paraId="0162A8EC">
            <w:pPr>
              <w:widowControl/>
              <w:jc w:val="center"/>
              <w:textAlignment w:val="center"/>
              <w:rPr>
                <w:sz w:val="22"/>
                <w:szCs w:val="22"/>
              </w:rPr>
            </w:pPr>
            <w:r>
              <w:rPr>
                <w:kern w:val="0"/>
                <w:sz w:val="22"/>
                <w:szCs w:val="22"/>
                <w:lang w:bidi="ar"/>
              </w:rPr>
              <w:t>10</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40F70907">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60221A39">
            <w:pPr>
              <w:widowControl/>
              <w:jc w:val="center"/>
              <w:textAlignment w:val="center"/>
              <w:rPr>
                <w:sz w:val="22"/>
                <w:szCs w:val="22"/>
              </w:rPr>
            </w:pPr>
            <w:r>
              <w:rPr>
                <w:kern w:val="0"/>
                <w:sz w:val="22"/>
                <w:szCs w:val="22"/>
                <w:lang w:bidi="ar"/>
              </w:rPr>
              <w:t>邻-二硝基苯(μg/L)</w:t>
            </w:r>
          </w:p>
        </w:tc>
        <w:tc>
          <w:tcPr>
            <w:tcW w:w="854" w:type="dxa"/>
            <w:tcBorders>
              <w:top w:val="single" w:color="000000" w:sz="4" w:space="0"/>
              <w:left w:val="single" w:color="000000" w:sz="4" w:space="0"/>
              <w:bottom w:val="single" w:color="000000" w:sz="4" w:space="0"/>
              <w:right w:val="single" w:color="000000" w:sz="4" w:space="0"/>
            </w:tcBorders>
            <w:vAlign w:val="center"/>
          </w:tcPr>
          <w:p w14:paraId="1754E95B">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2F890A12">
            <w:pPr>
              <w:widowControl/>
              <w:jc w:val="center"/>
              <w:textAlignment w:val="center"/>
              <w:rPr>
                <w:sz w:val="22"/>
                <w:szCs w:val="22"/>
              </w:rPr>
            </w:pPr>
            <w:r>
              <w:rPr>
                <w:kern w:val="0"/>
                <w:sz w:val="22"/>
                <w:szCs w:val="22"/>
                <w:lang w:bidi="ar"/>
              </w:rPr>
              <w:t>/</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37542F5A">
            <w:pPr>
              <w:widowControl/>
              <w:jc w:val="center"/>
              <w:textAlignment w:val="center"/>
              <w:rPr>
                <w:sz w:val="22"/>
                <w:szCs w:val="22"/>
              </w:rPr>
            </w:pPr>
            <w:r>
              <w:rPr>
                <w:kern w:val="0"/>
                <w:sz w:val="22"/>
                <w:szCs w:val="22"/>
                <w:lang w:bidi="ar"/>
              </w:rPr>
              <w:t>达标</w:t>
            </w:r>
          </w:p>
        </w:tc>
      </w:tr>
      <w:tr w14:paraId="5463E8B3">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061CF49E">
            <w:pPr>
              <w:widowControl/>
              <w:jc w:val="center"/>
              <w:textAlignment w:val="center"/>
              <w:rPr>
                <w:sz w:val="22"/>
                <w:szCs w:val="22"/>
              </w:rPr>
            </w:pPr>
            <w:r>
              <w:rPr>
                <w:kern w:val="0"/>
                <w:sz w:val="22"/>
                <w:szCs w:val="22"/>
                <w:lang w:bidi="ar"/>
              </w:rPr>
              <w:t>溶解性固体</w:t>
            </w:r>
          </w:p>
        </w:tc>
        <w:tc>
          <w:tcPr>
            <w:tcW w:w="1074" w:type="dxa"/>
            <w:tcBorders>
              <w:top w:val="single" w:color="000000" w:sz="4" w:space="0"/>
              <w:left w:val="single" w:color="000000" w:sz="4" w:space="0"/>
              <w:bottom w:val="single" w:color="000000" w:sz="4" w:space="0"/>
              <w:right w:val="single" w:color="000000" w:sz="4" w:space="0"/>
            </w:tcBorders>
            <w:vAlign w:val="center"/>
          </w:tcPr>
          <w:p w14:paraId="1FE0FE22">
            <w:pPr>
              <w:widowControl/>
              <w:jc w:val="center"/>
              <w:textAlignment w:val="center"/>
              <w:rPr>
                <w:sz w:val="22"/>
                <w:szCs w:val="22"/>
              </w:rPr>
            </w:pPr>
            <w:r>
              <w:rPr>
                <w:kern w:val="0"/>
                <w:sz w:val="22"/>
                <w:szCs w:val="22"/>
                <w:lang w:bidi="ar"/>
              </w:rPr>
              <w:t>285-313</w:t>
            </w:r>
          </w:p>
        </w:tc>
        <w:tc>
          <w:tcPr>
            <w:tcW w:w="956" w:type="dxa"/>
            <w:tcBorders>
              <w:top w:val="single" w:color="000000" w:sz="4" w:space="0"/>
              <w:left w:val="single" w:color="000000" w:sz="4" w:space="0"/>
              <w:bottom w:val="single" w:color="000000" w:sz="4" w:space="0"/>
              <w:right w:val="single" w:color="000000" w:sz="4" w:space="0"/>
            </w:tcBorders>
            <w:vAlign w:val="center"/>
          </w:tcPr>
          <w:p w14:paraId="158222B0">
            <w:pPr>
              <w:widowControl/>
              <w:jc w:val="center"/>
              <w:textAlignment w:val="center"/>
              <w:rPr>
                <w:sz w:val="22"/>
                <w:szCs w:val="22"/>
              </w:rPr>
            </w:pPr>
            <w:r>
              <w:rPr>
                <w:kern w:val="0"/>
                <w:sz w:val="22"/>
                <w:szCs w:val="22"/>
                <w:lang w:bidi="ar"/>
              </w:rPr>
              <w:t>2000</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3C798697">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1D2D21BB">
            <w:pPr>
              <w:widowControl/>
              <w:jc w:val="center"/>
              <w:textAlignment w:val="center"/>
              <w:rPr>
                <w:sz w:val="22"/>
                <w:szCs w:val="22"/>
              </w:rPr>
            </w:pPr>
            <w:r>
              <w:rPr>
                <w:kern w:val="0"/>
                <w:sz w:val="22"/>
                <w:szCs w:val="22"/>
                <w:lang w:bidi="ar"/>
              </w:rPr>
              <w:t>硫化物</w:t>
            </w:r>
          </w:p>
        </w:tc>
        <w:tc>
          <w:tcPr>
            <w:tcW w:w="854" w:type="dxa"/>
            <w:tcBorders>
              <w:top w:val="single" w:color="000000" w:sz="4" w:space="0"/>
              <w:left w:val="single" w:color="000000" w:sz="4" w:space="0"/>
              <w:bottom w:val="single" w:color="000000" w:sz="4" w:space="0"/>
              <w:right w:val="single" w:color="000000" w:sz="4" w:space="0"/>
            </w:tcBorders>
            <w:vAlign w:val="center"/>
          </w:tcPr>
          <w:p w14:paraId="6773B25C">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5C8E72CC">
            <w:pPr>
              <w:widowControl/>
              <w:jc w:val="center"/>
              <w:textAlignment w:val="center"/>
              <w:rPr>
                <w:sz w:val="22"/>
                <w:szCs w:val="22"/>
              </w:rPr>
            </w:pPr>
            <w:r>
              <w:rPr>
                <w:kern w:val="0"/>
                <w:sz w:val="22"/>
                <w:szCs w:val="22"/>
                <w:lang w:bidi="ar"/>
              </w:rPr>
              <w:t>1</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5FD6F438">
            <w:pPr>
              <w:widowControl/>
              <w:jc w:val="center"/>
              <w:textAlignment w:val="center"/>
              <w:rPr>
                <w:sz w:val="22"/>
                <w:szCs w:val="22"/>
              </w:rPr>
            </w:pPr>
            <w:r>
              <w:rPr>
                <w:kern w:val="0"/>
                <w:sz w:val="22"/>
                <w:szCs w:val="22"/>
                <w:lang w:bidi="ar"/>
              </w:rPr>
              <w:t>达标</w:t>
            </w:r>
          </w:p>
        </w:tc>
      </w:tr>
      <w:tr w14:paraId="7B8D6DE4">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17E30B7F">
            <w:pPr>
              <w:widowControl/>
              <w:jc w:val="center"/>
              <w:textAlignment w:val="center"/>
              <w:rPr>
                <w:sz w:val="22"/>
                <w:szCs w:val="22"/>
              </w:rPr>
            </w:pPr>
            <w:r>
              <w:rPr>
                <w:kern w:val="0"/>
                <w:sz w:val="22"/>
                <w:szCs w:val="22"/>
                <w:lang w:bidi="ar"/>
              </w:rPr>
              <w:t>邻苯二甲酸二丁酯</w:t>
            </w:r>
          </w:p>
        </w:tc>
        <w:tc>
          <w:tcPr>
            <w:tcW w:w="1074" w:type="dxa"/>
            <w:tcBorders>
              <w:top w:val="single" w:color="000000" w:sz="4" w:space="0"/>
              <w:left w:val="single" w:color="000000" w:sz="4" w:space="0"/>
              <w:bottom w:val="single" w:color="000000" w:sz="4" w:space="0"/>
              <w:right w:val="single" w:color="000000" w:sz="4" w:space="0"/>
            </w:tcBorders>
            <w:vAlign w:val="center"/>
          </w:tcPr>
          <w:p w14:paraId="7C3CD343">
            <w:pPr>
              <w:widowControl/>
              <w:jc w:val="center"/>
              <w:textAlignment w:val="center"/>
              <w:rPr>
                <w:sz w:val="22"/>
                <w:szCs w:val="22"/>
              </w:rPr>
            </w:pPr>
            <w:r>
              <w:rPr>
                <w:kern w:val="0"/>
                <w:sz w:val="22"/>
                <w:szCs w:val="22"/>
                <w:lang w:bidi="ar"/>
              </w:rPr>
              <w:t>0.0001</w:t>
            </w:r>
          </w:p>
        </w:tc>
        <w:tc>
          <w:tcPr>
            <w:tcW w:w="956" w:type="dxa"/>
            <w:tcBorders>
              <w:top w:val="single" w:color="000000" w:sz="4" w:space="0"/>
              <w:left w:val="single" w:color="000000" w:sz="4" w:space="0"/>
              <w:bottom w:val="single" w:color="000000" w:sz="4" w:space="0"/>
              <w:right w:val="single" w:color="000000" w:sz="4" w:space="0"/>
            </w:tcBorders>
            <w:vAlign w:val="center"/>
          </w:tcPr>
          <w:p w14:paraId="4481A029">
            <w:pPr>
              <w:widowControl/>
              <w:jc w:val="center"/>
              <w:textAlignment w:val="center"/>
              <w:rPr>
                <w:sz w:val="22"/>
                <w:szCs w:val="22"/>
              </w:rPr>
            </w:pPr>
            <w:r>
              <w:rPr>
                <w:kern w:val="0"/>
                <w:sz w:val="22"/>
                <w:szCs w:val="22"/>
                <w:lang w:bidi="ar"/>
              </w:rPr>
              <w:t>0.2</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3BEA113F">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1DA47B40">
            <w:pPr>
              <w:widowControl/>
              <w:jc w:val="center"/>
              <w:textAlignment w:val="center"/>
              <w:rPr>
                <w:sz w:val="22"/>
                <w:szCs w:val="22"/>
              </w:rPr>
            </w:pPr>
            <w:r>
              <w:rPr>
                <w:kern w:val="0"/>
                <w:sz w:val="22"/>
                <w:szCs w:val="22"/>
                <w:lang w:bidi="ar"/>
              </w:rPr>
              <w:t>六价铬</w:t>
            </w:r>
          </w:p>
        </w:tc>
        <w:tc>
          <w:tcPr>
            <w:tcW w:w="854" w:type="dxa"/>
            <w:tcBorders>
              <w:top w:val="single" w:color="000000" w:sz="4" w:space="0"/>
              <w:left w:val="single" w:color="000000" w:sz="4" w:space="0"/>
              <w:bottom w:val="single" w:color="000000" w:sz="4" w:space="0"/>
              <w:right w:val="single" w:color="000000" w:sz="4" w:space="0"/>
            </w:tcBorders>
            <w:vAlign w:val="center"/>
          </w:tcPr>
          <w:p w14:paraId="4A19062A">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3D0E50C6">
            <w:pPr>
              <w:widowControl/>
              <w:jc w:val="center"/>
              <w:textAlignment w:val="center"/>
              <w:rPr>
                <w:sz w:val="22"/>
                <w:szCs w:val="22"/>
              </w:rPr>
            </w:pPr>
            <w:r>
              <w:rPr>
                <w:kern w:val="0"/>
                <w:sz w:val="22"/>
                <w:szCs w:val="22"/>
                <w:lang w:bidi="ar"/>
              </w:rPr>
              <w:t>0.05</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693D9BC3">
            <w:pPr>
              <w:widowControl/>
              <w:jc w:val="center"/>
              <w:textAlignment w:val="center"/>
              <w:rPr>
                <w:sz w:val="22"/>
                <w:szCs w:val="22"/>
              </w:rPr>
            </w:pPr>
            <w:r>
              <w:rPr>
                <w:kern w:val="0"/>
                <w:sz w:val="22"/>
                <w:szCs w:val="22"/>
                <w:lang w:bidi="ar"/>
              </w:rPr>
              <w:t>达标</w:t>
            </w:r>
          </w:p>
        </w:tc>
      </w:tr>
      <w:tr w14:paraId="423AD527">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7BBDACCD">
            <w:pPr>
              <w:widowControl/>
              <w:jc w:val="center"/>
              <w:textAlignment w:val="center"/>
              <w:rPr>
                <w:sz w:val="22"/>
                <w:szCs w:val="22"/>
              </w:rPr>
            </w:pPr>
            <w:r>
              <w:rPr>
                <w:kern w:val="0"/>
                <w:sz w:val="22"/>
                <w:szCs w:val="22"/>
                <w:lang w:bidi="ar"/>
              </w:rPr>
              <w:t>烷基汞(μg/L)</w:t>
            </w:r>
          </w:p>
        </w:tc>
        <w:tc>
          <w:tcPr>
            <w:tcW w:w="1074" w:type="dxa"/>
            <w:tcBorders>
              <w:top w:val="single" w:color="000000" w:sz="4" w:space="0"/>
              <w:left w:val="single" w:color="000000" w:sz="4" w:space="0"/>
              <w:bottom w:val="single" w:color="000000" w:sz="4" w:space="0"/>
              <w:right w:val="single" w:color="000000" w:sz="4" w:space="0"/>
            </w:tcBorders>
            <w:vAlign w:val="center"/>
          </w:tcPr>
          <w:p w14:paraId="369B20BF">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784404FE">
            <w:pPr>
              <w:widowControl/>
              <w:jc w:val="center"/>
              <w:textAlignment w:val="center"/>
              <w:rPr>
                <w:sz w:val="22"/>
                <w:szCs w:val="22"/>
              </w:rPr>
            </w:pPr>
            <w:r>
              <w:rPr>
                <w:kern w:val="0"/>
                <w:sz w:val="22"/>
                <w:szCs w:val="22"/>
                <w:lang w:bidi="ar"/>
              </w:rPr>
              <w:t>不得检出</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64807AA9">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2FEE7EEF">
            <w:pPr>
              <w:widowControl/>
              <w:jc w:val="center"/>
              <w:textAlignment w:val="center"/>
              <w:rPr>
                <w:sz w:val="22"/>
                <w:szCs w:val="22"/>
              </w:rPr>
            </w:pPr>
            <w:r>
              <w:rPr>
                <w:kern w:val="0"/>
                <w:sz w:val="22"/>
                <w:szCs w:val="22"/>
                <w:lang w:bidi="ar"/>
              </w:rPr>
              <w:t>氯苯</w:t>
            </w:r>
          </w:p>
        </w:tc>
        <w:tc>
          <w:tcPr>
            <w:tcW w:w="854" w:type="dxa"/>
            <w:tcBorders>
              <w:top w:val="single" w:color="000000" w:sz="4" w:space="0"/>
              <w:left w:val="single" w:color="000000" w:sz="4" w:space="0"/>
              <w:bottom w:val="single" w:color="000000" w:sz="4" w:space="0"/>
              <w:right w:val="single" w:color="000000" w:sz="4" w:space="0"/>
            </w:tcBorders>
            <w:vAlign w:val="center"/>
          </w:tcPr>
          <w:p w14:paraId="6B8872FC">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6CB0176B">
            <w:pPr>
              <w:widowControl/>
              <w:jc w:val="center"/>
              <w:textAlignment w:val="center"/>
              <w:rPr>
                <w:sz w:val="22"/>
                <w:szCs w:val="22"/>
              </w:rPr>
            </w:pPr>
            <w:r>
              <w:rPr>
                <w:kern w:val="0"/>
                <w:sz w:val="22"/>
                <w:szCs w:val="22"/>
                <w:lang w:bidi="ar"/>
              </w:rPr>
              <w:t>0.3</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3A7F5709">
            <w:pPr>
              <w:widowControl/>
              <w:jc w:val="center"/>
              <w:textAlignment w:val="center"/>
              <w:rPr>
                <w:sz w:val="22"/>
                <w:szCs w:val="22"/>
              </w:rPr>
            </w:pPr>
            <w:r>
              <w:rPr>
                <w:kern w:val="0"/>
                <w:sz w:val="22"/>
                <w:szCs w:val="22"/>
                <w:lang w:bidi="ar"/>
              </w:rPr>
              <w:t>达标</w:t>
            </w:r>
          </w:p>
        </w:tc>
      </w:tr>
      <w:tr w14:paraId="4CBF8FF2">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66100DAF">
            <w:pPr>
              <w:widowControl/>
              <w:jc w:val="center"/>
              <w:textAlignment w:val="center"/>
              <w:rPr>
                <w:sz w:val="22"/>
                <w:szCs w:val="22"/>
              </w:rPr>
            </w:pPr>
            <w:r>
              <w:rPr>
                <w:kern w:val="0"/>
                <w:sz w:val="22"/>
                <w:szCs w:val="22"/>
                <w:lang w:bidi="ar"/>
              </w:rPr>
              <w:t>2,4-二氯酚</w:t>
            </w:r>
          </w:p>
        </w:tc>
        <w:tc>
          <w:tcPr>
            <w:tcW w:w="1074" w:type="dxa"/>
            <w:tcBorders>
              <w:top w:val="single" w:color="000000" w:sz="4" w:space="0"/>
              <w:left w:val="single" w:color="000000" w:sz="4" w:space="0"/>
              <w:bottom w:val="single" w:color="000000" w:sz="4" w:space="0"/>
              <w:right w:val="single" w:color="000000" w:sz="4" w:space="0"/>
            </w:tcBorders>
            <w:vAlign w:val="center"/>
          </w:tcPr>
          <w:p w14:paraId="10E9EE95">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79729534">
            <w:pPr>
              <w:widowControl/>
              <w:jc w:val="center"/>
              <w:textAlignment w:val="center"/>
              <w:rPr>
                <w:sz w:val="22"/>
                <w:szCs w:val="22"/>
              </w:rPr>
            </w:pPr>
            <w:r>
              <w:rPr>
                <w:kern w:val="0"/>
                <w:sz w:val="22"/>
                <w:szCs w:val="22"/>
                <w:lang w:bidi="ar"/>
              </w:rPr>
              <w:t>0.6</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3BD2EC3E">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25BDE635">
            <w:pPr>
              <w:widowControl/>
              <w:jc w:val="center"/>
              <w:textAlignment w:val="center"/>
              <w:rPr>
                <w:sz w:val="22"/>
                <w:szCs w:val="22"/>
              </w:rPr>
            </w:pPr>
            <w:r>
              <w:rPr>
                <w:kern w:val="0"/>
                <w:sz w:val="22"/>
                <w:szCs w:val="22"/>
                <w:lang w:bidi="ar"/>
              </w:rPr>
              <w:t>氯化物</w:t>
            </w:r>
          </w:p>
        </w:tc>
        <w:tc>
          <w:tcPr>
            <w:tcW w:w="854" w:type="dxa"/>
            <w:tcBorders>
              <w:top w:val="single" w:color="000000" w:sz="4" w:space="0"/>
              <w:left w:val="single" w:color="000000" w:sz="4" w:space="0"/>
              <w:bottom w:val="single" w:color="000000" w:sz="4" w:space="0"/>
              <w:right w:val="single" w:color="000000" w:sz="4" w:space="0"/>
            </w:tcBorders>
            <w:vAlign w:val="center"/>
          </w:tcPr>
          <w:p w14:paraId="01355760">
            <w:pPr>
              <w:widowControl/>
              <w:jc w:val="center"/>
              <w:textAlignment w:val="center"/>
              <w:rPr>
                <w:sz w:val="22"/>
                <w:szCs w:val="22"/>
              </w:rPr>
            </w:pPr>
            <w:r>
              <w:rPr>
                <w:kern w:val="0"/>
                <w:sz w:val="22"/>
                <w:szCs w:val="22"/>
                <w:lang w:bidi="ar"/>
              </w:rPr>
              <w:t>146-217</w:t>
            </w:r>
          </w:p>
        </w:tc>
        <w:tc>
          <w:tcPr>
            <w:tcW w:w="761" w:type="dxa"/>
            <w:tcBorders>
              <w:top w:val="single" w:color="000000" w:sz="4" w:space="0"/>
              <w:left w:val="single" w:color="000000" w:sz="4" w:space="0"/>
              <w:bottom w:val="single" w:color="000000" w:sz="4" w:space="0"/>
              <w:right w:val="single" w:color="000000" w:sz="4" w:space="0"/>
            </w:tcBorders>
            <w:vAlign w:val="center"/>
          </w:tcPr>
          <w:p w14:paraId="7665A25D">
            <w:pPr>
              <w:widowControl/>
              <w:jc w:val="center"/>
              <w:textAlignment w:val="center"/>
              <w:rPr>
                <w:sz w:val="22"/>
                <w:szCs w:val="22"/>
              </w:rPr>
            </w:pPr>
            <w:r>
              <w:rPr>
                <w:kern w:val="0"/>
                <w:sz w:val="22"/>
                <w:szCs w:val="22"/>
                <w:lang w:bidi="ar"/>
              </w:rPr>
              <w:t>1000</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3412B53C">
            <w:pPr>
              <w:widowControl/>
              <w:jc w:val="center"/>
              <w:textAlignment w:val="center"/>
              <w:rPr>
                <w:sz w:val="22"/>
                <w:szCs w:val="22"/>
              </w:rPr>
            </w:pPr>
            <w:r>
              <w:rPr>
                <w:kern w:val="0"/>
                <w:sz w:val="22"/>
                <w:szCs w:val="22"/>
                <w:lang w:bidi="ar"/>
              </w:rPr>
              <w:t>达标</w:t>
            </w:r>
          </w:p>
        </w:tc>
      </w:tr>
      <w:tr w14:paraId="7A09BD45">
        <w:tblPrEx>
          <w:tblCellMar>
            <w:top w:w="0" w:type="dxa"/>
            <w:left w:w="0" w:type="dxa"/>
            <w:bottom w:w="0" w:type="dxa"/>
            <w:right w:w="0" w:type="dxa"/>
          </w:tblCellMar>
        </w:tblPrEx>
        <w:trPr>
          <w:trHeight w:val="540"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6C0205E3">
            <w:pPr>
              <w:widowControl/>
              <w:jc w:val="center"/>
              <w:textAlignment w:val="center"/>
              <w:rPr>
                <w:sz w:val="22"/>
                <w:szCs w:val="22"/>
              </w:rPr>
            </w:pPr>
            <w:r>
              <w:rPr>
                <w:kern w:val="0"/>
                <w:sz w:val="22"/>
                <w:szCs w:val="22"/>
                <w:lang w:bidi="ar"/>
              </w:rPr>
              <w:t>可吸附有机卤素</w:t>
            </w:r>
          </w:p>
        </w:tc>
        <w:tc>
          <w:tcPr>
            <w:tcW w:w="1074" w:type="dxa"/>
            <w:tcBorders>
              <w:top w:val="single" w:color="000000" w:sz="4" w:space="0"/>
              <w:left w:val="single" w:color="000000" w:sz="4" w:space="0"/>
              <w:bottom w:val="single" w:color="000000" w:sz="4" w:space="0"/>
              <w:right w:val="single" w:color="000000" w:sz="4" w:space="0"/>
            </w:tcBorders>
            <w:vAlign w:val="center"/>
          </w:tcPr>
          <w:p w14:paraId="24A8C08A">
            <w:pPr>
              <w:widowControl/>
              <w:jc w:val="center"/>
              <w:textAlignment w:val="center"/>
              <w:rPr>
                <w:sz w:val="22"/>
                <w:szCs w:val="22"/>
              </w:rPr>
            </w:pPr>
            <w:r>
              <w:rPr>
                <w:kern w:val="0"/>
                <w:sz w:val="22"/>
                <w:szCs w:val="22"/>
                <w:lang w:bidi="ar"/>
              </w:rPr>
              <w:t>0.176-0.375</w:t>
            </w:r>
          </w:p>
        </w:tc>
        <w:tc>
          <w:tcPr>
            <w:tcW w:w="956" w:type="dxa"/>
            <w:tcBorders>
              <w:top w:val="single" w:color="000000" w:sz="4" w:space="0"/>
              <w:left w:val="single" w:color="000000" w:sz="4" w:space="0"/>
              <w:bottom w:val="single" w:color="000000" w:sz="4" w:space="0"/>
              <w:right w:val="single" w:color="000000" w:sz="4" w:space="0"/>
            </w:tcBorders>
            <w:vAlign w:val="center"/>
          </w:tcPr>
          <w:p w14:paraId="78EF3756">
            <w:pPr>
              <w:widowControl/>
              <w:jc w:val="center"/>
              <w:textAlignment w:val="center"/>
              <w:rPr>
                <w:sz w:val="22"/>
                <w:szCs w:val="22"/>
              </w:rPr>
            </w:pPr>
            <w:r>
              <w:rPr>
                <w:kern w:val="0"/>
                <w:sz w:val="22"/>
                <w:szCs w:val="22"/>
                <w:lang w:bidi="ar"/>
              </w:rPr>
              <w:t>1</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0C2AC9D8">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608E10A6">
            <w:pPr>
              <w:widowControl/>
              <w:jc w:val="center"/>
              <w:textAlignment w:val="center"/>
              <w:rPr>
                <w:sz w:val="22"/>
                <w:szCs w:val="22"/>
              </w:rPr>
            </w:pPr>
            <w:r>
              <w:rPr>
                <w:kern w:val="0"/>
                <w:sz w:val="22"/>
                <w:szCs w:val="22"/>
                <w:lang w:bidi="ar"/>
              </w:rPr>
              <w:t>锰</w:t>
            </w:r>
          </w:p>
        </w:tc>
        <w:tc>
          <w:tcPr>
            <w:tcW w:w="854" w:type="dxa"/>
            <w:tcBorders>
              <w:top w:val="single" w:color="000000" w:sz="4" w:space="0"/>
              <w:left w:val="single" w:color="000000" w:sz="4" w:space="0"/>
              <w:bottom w:val="single" w:color="000000" w:sz="4" w:space="0"/>
              <w:right w:val="single" w:color="000000" w:sz="4" w:space="0"/>
            </w:tcBorders>
            <w:vAlign w:val="center"/>
          </w:tcPr>
          <w:p w14:paraId="45219E73">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35C87C11">
            <w:pPr>
              <w:widowControl/>
              <w:jc w:val="center"/>
              <w:textAlignment w:val="center"/>
              <w:rPr>
                <w:sz w:val="22"/>
                <w:szCs w:val="22"/>
              </w:rPr>
            </w:pPr>
            <w:r>
              <w:rPr>
                <w:kern w:val="0"/>
                <w:sz w:val="22"/>
                <w:szCs w:val="22"/>
                <w:lang w:bidi="ar"/>
              </w:rPr>
              <w:t>2</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674C6D4B">
            <w:pPr>
              <w:widowControl/>
              <w:jc w:val="center"/>
              <w:textAlignment w:val="center"/>
              <w:rPr>
                <w:sz w:val="22"/>
                <w:szCs w:val="22"/>
              </w:rPr>
            </w:pPr>
            <w:r>
              <w:rPr>
                <w:kern w:val="0"/>
                <w:sz w:val="22"/>
                <w:szCs w:val="22"/>
                <w:lang w:bidi="ar"/>
              </w:rPr>
              <w:t>达标</w:t>
            </w:r>
          </w:p>
        </w:tc>
      </w:tr>
      <w:tr w14:paraId="5AE0DE40">
        <w:tblPrEx>
          <w:tblCellMar>
            <w:top w:w="0" w:type="dxa"/>
            <w:left w:w="0" w:type="dxa"/>
            <w:bottom w:w="0" w:type="dxa"/>
            <w:right w:w="0" w:type="dxa"/>
          </w:tblCellMar>
        </w:tblPrEx>
        <w:trPr>
          <w:trHeight w:val="540"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62AEF6E7">
            <w:pPr>
              <w:widowControl/>
              <w:jc w:val="center"/>
              <w:textAlignment w:val="center"/>
              <w:rPr>
                <w:sz w:val="22"/>
                <w:szCs w:val="22"/>
              </w:rPr>
            </w:pPr>
            <w:r>
              <w:rPr>
                <w:kern w:val="0"/>
                <w:sz w:val="22"/>
                <w:szCs w:val="22"/>
                <w:lang w:bidi="ar"/>
              </w:rPr>
              <w:t>相对发光量（%）</w:t>
            </w:r>
          </w:p>
        </w:tc>
        <w:tc>
          <w:tcPr>
            <w:tcW w:w="1074" w:type="dxa"/>
            <w:tcBorders>
              <w:top w:val="single" w:color="000000" w:sz="4" w:space="0"/>
              <w:left w:val="single" w:color="000000" w:sz="4" w:space="0"/>
              <w:bottom w:val="single" w:color="000000" w:sz="4" w:space="0"/>
              <w:right w:val="single" w:color="000000" w:sz="4" w:space="0"/>
            </w:tcBorders>
            <w:vAlign w:val="center"/>
          </w:tcPr>
          <w:p w14:paraId="6D42D90D">
            <w:pPr>
              <w:widowControl/>
              <w:jc w:val="center"/>
              <w:textAlignment w:val="center"/>
              <w:rPr>
                <w:sz w:val="22"/>
                <w:szCs w:val="22"/>
              </w:rPr>
            </w:pPr>
            <w:r>
              <w:rPr>
                <w:kern w:val="0"/>
                <w:sz w:val="22"/>
                <w:szCs w:val="22"/>
                <w:lang w:bidi="ar"/>
              </w:rPr>
              <w:t>85.01-91.32</w:t>
            </w:r>
          </w:p>
        </w:tc>
        <w:tc>
          <w:tcPr>
            <w:tcW w:w="956" w:type="dxa"/>
            <w:tcBorders>
              <w:top w:val="single" w:color="000000" w:sz="4" w:space="0"/>
              <w:left w:val="single" w:color="000000" w:sz="4" w:space="0"/>
              <w:bottom w:val="single" w:color="000000" w:sz="4" w:space="0"/>
              <w:right w:val="single" w:color="000000" w:sz="4" w:space="0"/>
            </w:tcBorders>
            <w:vAlign w:val="center"/>
          </w:tcPr>
          <w:p w14:paraId="388DBF75">
            <w:pPr>
              <w:widowControl/>
              <w:jc w:val="center"/>
              <w:textAlignment w:val="center"/>
              <w:rPr>
                <w:sz w:val="22"/>
                <w:szCs w:val="22"/>
              </w:rPr>
            </w:pPr>
            <w:r>
              <w:rPr>
                <w:kern w:val="0"/>
                <w:sz w:val="22"/>
                <w:szCs w:val="22"/>
                <w:lang w:bidi="ar"/>
              </w:rPr>
              <w:t>/</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30F6CF89">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0784810E">
            <w:pPr>
              <w:widowControl/>
              <w:jc w:val="center"/>
              <w:textAlignment w:val="center"/>
              <w:rPr>
                <w:sz w:val="22"/>
                <w:szCs w:val="22"/>
              </w:rPr>
            </w:pPr>
            <w:r>
              <w:rPr>
                <w:kern w:val="0"/>
                <w:sz w:val="22"/>
                <w:szCs w:val="22"/>
                <w:lang w:bidi="ar"/>
              </w:rPr>
              <w:t>镍</w:t>
            </w:r>
          </w:p>
        </w:tc>
        <w:tc>
          <w:tcPr>
            <w:tcW w:w="854" w:type="dxa"/>
            <w:tcBorders>
              <w:top w:val="single" w:color="000000" w:sz="4" w:space="0"/>
              <w:left w:val="single" w:color="000000" w:sz="4" w:space="0"/>
              <w:bottom w:val="single" w:color="000000" w:sz="4" w:space="0"/>
              <w:right w:val="single" w:color="000000" w:sz="4" w:space="0"/>
            </w:tcBorders>
            <w:vAlign w:val="center"/>
          </w:tcPr>
          <w:p w14:paraId="0157B81A">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1D3E71E6">
            <w:pPr>
              <w:widowControl/>
              <w:jc w:val="center"/>
              <w:textAlignment w:val="center"/>
              <w:rPr>
                <w:sz w:val="22"/>
                <w:szCs w:val="22"/>
              </w:rPr>
            </w:pPr>
            <w:r>
              <w:rPr>
                <w:kern w:val="0"/>
                <w:sz w:val="22"/>
                <w:szCs w:val="22"/>
                <w:lang w:bidi="ar"/>
              </w:rPr>
              <w:t>0.05</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7FA43DB9">
            <w:pPr>
              <w:widowControl/>
              <w:jc w:val="center"/>
              <w:textAlignment w:val="center"/>
              <w:rPr>
                <w:sz w:val="22"/>
                <w:szCs w:val="22"/>
              </w:rPr>
            </w:pPr>
            <w:r>
              <w:rPr>
                <w:kern w:val="0"/>
                <w:sz w:val="22"/>
                <w:szCs w:val="22"/>
                <w:lang w:bidi="ar"/>
              </w:rPr>
              <w:t>达标</w:t>
            </w:r>
          </w:p>
        </w:tc>
      </w:tr>
      <w:tr w14:paraId="07F228BE">
        <w:tblPrEx>
          <w:tblCellMar>
            <w:top w:w="0" w:type="dxa"/>
            <w:left w:w="0" w:type="dxa"/>
            <w:bottom w:w="0" w:type="dxa"/>
            <w:right w:w="0" w:type="dxa"/>
          </w:tblCellMar>
        </w:tblPrEx>
        <w:trPr>
          <w:trHeight w:val="540"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7FBB1F07">
            <w:pPr>
              <w:widowControl/>
              <w:jc w:val="center"/>
              <w:textAlignment w:val="center"/>
              <w:rPr>
                <w:sz w:val="22"/>
                <w:szCs w:val="22"/>
              </w:rPr>
            </w:pPr>
            <w:r>
              <w:rPr>
                <w:kern w:val="0"/>
                <w:sz w:val="22"/>
                <w:szCs w:val="22"/>
                <w:lang w:bidi="ar"/>
              </w:rPr>
              <w:t>样品相当氧化汞含量</w:t>
            </w:r>
          </w:p>
        </w:tc>
        <w:tc>
          <w:tcPr>
            <w:tcW w:w="1074" w:type="dxa"/>
            <w:tcBorders>
              <w:top w:val="single" w:color="000000" w:sz="4" w:space="0"/>
              <w:left w:val="single" w:color="000000" w:sz="4" w:space="0"/>
              <w:bottom w:val="single" w:color="000000" w:sz="4" w:space="0"/>
              <w:right w:val="single" w:color="000000" w:sz="4" w:space="0"/>
            </w:tcBorders>
            <w:vAlign w:val="center"/>
          </w:tcPr>
          <w:p w14:paraId="48A25152">
            <w:pPr>
              <w:widowControl/>
              <w:jc w:val="center"/>
              <w:textAlignment w:val="center"/>
              <w:rPr>
                <w:sz w:val="22"/>
                <w:szCs w:val="22"/>
              </w:rPr>
            </w:pPr>
            <w:r>
              <w:rPr>
                <w:kern w:val="0"/>
                <w:sz w:val="22"/>
                <w:szCs w:val="22"/>
                <w:lang w:bidi="ar"/>
              </w:rPr>
              <w:t>0.03-0.04</w:t>
            </w:r>
          </w:p>
        </w:tc>
        <w:tc>
          <w:tcPr>
            <w:tcW w:w="956" w:type="dxa"/>
            <w:tcBorders>
              <w:top w:val="single" w:color="000000" w:sz="4" w:space="0"/>
              <w:left w:val="single" w:color="000000" w:sz="4" w:space="0"/>
              <w:bottom w:val="single" w:color="000000" w:sz="4" w:space="0"/>
              <w:right w:val="single" w:color="000000" w:sz="4" w:space="0"/>
            </w:tcBorders>
            <w:vAlign w:val="center"/>
          </w:tcPr>
          <w:p w14:paraId="16168158">
            <w:pPr>
              <w:widowControl/>
              <w:jc w:val="center"/>
              <w:textAlignment w:val="center"/>
              <w:rPr>
                <w:sz w:val="22"/>
                <w:szCs w:val="22"/>
              </w:rPr>
            </w:pPr>
            <w:r>
              <w:rPr>
                <w:kern w:val="0"/>
                <w:sz w:val="22"/>
                <w:szCs w:val="22"/>
                <w:lang w:bidi="ar"/>
              </w:rPr>
              <w:t>0.07</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786CDC8A">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03559698">
            <w:pPr>
              <w:widowControl/>
              <w:jc w:val="center"/>
              <w:textAlignment w:val="center"/>
              <w:rPr>
                <w:sz w:val="22"/>
                <w:szCs w:val="22"/>
              </w:rPr>
            </w:pPr>
            <w:r>
              <w:rPr>
                <w:kern w:val="0"/>
                <w:sz w:val="22"/>
                <w:szCs w:val="22"/>
                <w:lang w:bidi="ar"/>
              </w:rPr>
              <w:t>硼</w:t>
            </w:r>
          </w:p>
        </w:tc>
        <w:tc>
          <w:tcPr>
            <w:tcW w:w="854" w:type="dxa"/>
            <w:tcBorders>
              <w:top w:val="single" w:color="000000" w:sz="4" w:space="0"/>
              <w:left w:val="single" w:color="000000" w:sz="4" w:space="0"/>
              <w:bottom w:val="single" w:color="000000" w:sz="4" w:space="0"/>
              <w:right w:val="single" w:color="000000" w:sz="4" w:space="0"/>
            </w:tcBorders>
            <w:vAlign w:val="center"/>
          </w:tcPr>
          <w:p w14:paraId="057EED76">
            <w:pPr>
              <w:widowControl/>
              <w:jc w:val="center"/>
              <w:textAlignment w:val="center"/>
              <w:rPr>
                <w:sz w:val="22"/>
                <w:szCs w:val="22"/>
              </w:rPr>
            </w:pPr>
            <w:r>
              <w:rPr>
                <w:kern w:val="0"/>
                <w:sz w:val="22"/>
                <w:szCs w:val="22"/>
                <w:lang w:bidi="ar"/>
              </w:rPr>
              <w:t>0.43-0.46</w:t>
            </w:r>
          </w:p>
        </w:tc>
        <w:tc>
          <w:tcPr>
            <w:tcW w:w="761" w:type="dxa"/>
            <w:tcBorders>
              <w:top w:val="single" w:color="000000" w:sz="4" w:space="0"/>
              <w:left w:val="single" w:color="000000" w:sz="4" w:space="0"/>
              <w:bottom w:val="single" w:color="000000" w:sz="4" w:space="0"/>
              <w:right w:val="single" w:color="000000" w:sz="4" w:space="0"/>
            </w:tcBorders>
            <w:vAlign w:val="center"/>
          </w:tcPr>
          <w:p w14:paraId="716869BB">
            <w:pPr>
              <w:widowControl/>
              <w:jc w:val="center"/>
              <w:textAlignment w:val="center"/>
              <w:rPr>
                <w:sz w:val="22"/>
                <w:szCs w:val="22"/>
              </w:rPr>
            </w:pPr>
            <w:r>
              <w:rPr>
                <w:kern w:val="0"/>
                <w:sz w:val="22"/>
                <w:szCs w:val="22"/>
                <w:lang w:bidi="ar"/>
              </w:rPr>
              <w:t>2</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4DAD2F08">
            <w:pPr>
              <w:widowControl/>
              <w:jc w:val="center"/>
              <w:textAlignment w:val="center"/>
              <w:rPr>
                <w:sz w:val="22"/>
                <w:szCs w:val="22"/>
              </w:rPr>
            </w:pPr>
            <w:r>
              <w:rPr>
                <w:kern w:val="0"/>
                <w:sz w:val="22"/>
                <w:szCs w:val="22"/>
                <w:lang w:bidi="ar"/>
              </w:rPr>
              <w:t>达标</w:t>
            </w:r>
          </w:p>
        </w:tc>
      </w:tr>
      <w:tr w14:paraId="066F99F2">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7011A489">
            <w:pPr>
              <w:widowControl/>
              <w:jc w:val="center"/>
              <w:textAlignment w:val="center"/>
              <w:rPr>
                <w:sz w:val="22"/>
                <w:szCs w:val="22"/>
              </w:rPr>
            </w:pPr>
            <w:r>
              <w:rPr>
                <w:kern w:val="0"/>
                <w:sz w:val="22"/>
                <w:szCs w:val="22"/>
                <w:lang w:bidi="ar"/>
              </w:rPr>
              <w:t>邻苯二甲酸二辛酯</w:t>
            </w:r>
          </w:p>
        </w:tc>
        <w:tc>
          <w:tcPr>
            <w:tcW w:w="1074" w:type="dxa"/>
            <w:tcBorders>
              <w:top w:val="single" w:color="000000" w:sz="4" w:space="0"/>
              <w:left w:val="single" w:color="000000" w:sz="4" w:space="0"/>
              <w:bottom w:val="single" w:color="000000" w:sz="4" w:space="0"/>
              <w:right w:val="single" w:color="000000" w:sz="4" w:space="0"/>
            </w:tcBorders>
            <w:vAlign w:val="center"/>
          </w:tcPr>
          <w:p w14:paraId="6FE21FB7">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50E7AABD">
            <w:pPr>
              <w:widowControl/>
              <w:jc w:val="center"/>
              <w:textAlignment w:val="center"/>
              <w:rPr>
                <w:sz w:val="22"/>
                <w:szCs w:val="22"/>
              </w:rPr>
            </w:pPr>
            <w:r>
              <w:rPr>
                <w:kern w:val="0"/>
                <w:sz w:val="22"/>
                <w:szCs w:val="22"/>
                <w:lang w:bidi="ar"/>
              </w:rPr>
              <w:t>0.1</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628DE6DB">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78DE435C">
            <w:pPr>
              <w:widowControl/>
              <w:jc w:val="center"/>
              <w:textAlignment w:val="center"/>
              <w:rPr>
                <w:sz w:val="22"/>
                <w:szCs w:val="22"/>
              </w:rPr>
            </w:pPr>
            <w:r>
              <w:rPr>
                <w:kern w:val="0"/>
                <w:sz w:val="22"/>
                <w:szCs w:val="22"/>
                <w:lang w:bidi="ar"/>
              </w:rPr>
              <w:t>铍</w:t>
            </w:r>
          </w:p>
        </w:tc>
        <w:tc>
          <w:tcPr>
            <w:tcW w:w="854" w:type="dxa"/>
            <w:tcBorders>
              <w:top w:val="single" w:color="000000" w:sz="4" w:space="0"/>
              <w:left w:val="single" w:color="000000" w:sz="4" w:space="0"/>
              <w:bottom w:val="single" w:color="000000" w:sz="4" w:space="0"/>
              <w:right w:val="single" w:color="000000" w:sz="4" w:space="0"/>
            </w:tcBorders>
            <w:vAlign w:val="center"/>
          </w:tcPr>
          <w:p w14:paraId="01CB1E88">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685EEF7E">
            <w:pPr>
              <w:widowControl/>
              <w:jc w:val="center"/>
              <w:textAlignment w:val="center"/>
              <w:rPr>
                <w:sz w:val="22"/>
                <w:szCs w:val="22"/>
              </w:rPr>
            </w:pPr>
            <w:r>
              <w:rPr>
                <w:kern w:val="0"/>
                <w:sz w:val="22"/>
                <w:szCs w:val="22"/>
                <w:lang w:bidi="ar"/>
              </w:rPr>
              <w:t>0.002</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1D169570">
            <w:pPr>
              <w:widowControl/>
              <w:jc w:val="center"/>
              <w:textAlignment w:val="center"/>
              <w:rPr>
                <w:sz w:val="22"/>
                <w:szCs w:val="22"/>
              </w:rPr>
            </w:pPr>
            <w:r>
              <w:rPr>
                <w:kern w:val="0"/>
                <w:sz w:val="22"/>
                <w:szCs w:val="22"/>
                <w:lang w:bidi="ar"/>
              </w:rPr>
              <w:t>达标</w:t>
            </w:r>
          </w:p>
        </w:tc>
      </w:tr>
      <w:tr w14:paraId="5EF3E617">
        <w:tblPrEx>
          <w:tblCellMar>
            <w:top w:w="0" w:type="dxa"/>
            <w:left w:w="0" w:type="dxa"/>
            <w:bottom w:w="0" w:type="dxa"/>
            <w:right w:w="0" w:type="dxa"/>
          </w:tblCellMar>
        </w:tblPrEx>
        <w:trPr>
          <w:trHeight w:val="540"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02718B7F">
            <w:pPr>
              <w:widowControl/>
              <w:jc w:val="center"/>
              <w:textAlignment w:val="center"/>
              <w:rPr>
                <w:sz w:val="22"/>
                <w:szCs w:val="22"/>
              </w:rPr>
            </w:pPr>
            <w:r>
              <w:rPr>
                <w:kern w:val="0"/>
                <w:sz w:val="22"/>
                <w:szCs w:val="22"/>
                <w:lang w:bidi="ar"/>
              </w:rPr>
              <w:t>单质磷（元素磷）</w:t>
            </w:r>
          </w:p>
        </w:tc>
        <w:tc>
          <w:tcPr>
            <w:tcW w:w="1074" w:type="dxa"/>
            <w:tcBorders>
              <w:top w:val="single" w:color="000000" w:sz="4" w:space="0"/>
              <w:left w:val="single" w:color="000000" w:sz="4" w:space="0"/>
              <w:bottom w:val="single" w:color="000000" w:sz="4" w:space="0"/>
              <w:right w:val="single" w:color="000000" w:sz="4" w:space="0"/>
            </w:tcBorders>
            <w:vAlign w:val="center"/>
          </w:tcPr>
          <w:p w14:paraId="59012B8D">
            <w:pPr>
              <w:widowControl/>
              <w:jc w:val="center"/>
              <w:textAlignment w:val="center"/>
              <w:rPr>
                <w:sz w:val="22"/>
                <w:szCs w:val="22"/>
              </w:rPr>
            </w:pPr>
            <w:r>
              <w:rPr>
                <w:kern w:val="0"/>
                <w:sz w:val="22"/>
                <w:szCs w:val="22"/>
                <w:lang w:bidi="ar"/>
              </w:rPr>
              <w:t>0.004-0.005</w:t>
            </w:r>
          </w:p>
        </w:tc>
        <w:tc>
          <w:tcPr>
            <w:tcW w:w="956" w:type="dxa"/>
            <w:tcBorders>
              <w:top w:val="single" w:color="000000" w:sz="4" w:space="0"/>
              <w:left w:val="single" w:color="000000" w:sz="4" w:space="0"/>
              <w:bottom w:val="single" w:color="000000" w:sz="4" w:space="0"/>
              <w:right w:val="single" w:color="000000" w:sz="4" w:space="0"/>
            </w:tcBorders>
            <w:vAlign w:val="center"/>
          </w:tcPr>
          <w:p w14:paraId="1CF0A4B5">
            <w:pPr>
              <w:widowControl/>
              <w:jc w:val="center"/>
              <w:textAlignment w:val="center"/>
              <w:rPr>
                <w:sz w:val="22"/>
                <w:szCs w:val="22"/>
              </w:rPr>
            </w:pPr>
            <w:r>
              <w:rPr>
                <w:kern w:val="0"/>
                <w:sz w:val="22"/>
                <w:szCs w:val="22"/>
                <w:lang w:bidi="ar"/>
              </w:rPr>
              <w:t>0.1</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56EB6E1F">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20EC8836">
            <w:pPr>
              <w:widowControl/>
              <w:jc w:val="center"/>
              <w:textAlignment w:val="center"/>
              <w:rPr>
                <w:sz w:val="22"/>
                <w:szCs w:val="22"/>
              </w:rPr>
            </w:pPr>
            <w:r>
              <w:rPr>
                <w:kern w:val="0"/>
                <w:sz w:val="22"/>
                <w:szCs w:val="22"/>
                <w:lang w:bidi="ar"/>
              </w:rPr>
              <w:t>铅</w:t>
            </w:r>
          </w:p>
        </w:tc>
        <w:tc>
          <w:tcPr>
            <w:tcW w:w="854" w:type="dxa"/>
            <w:tcBorders>
              <w:top w:val="single" w:color="000000" w:sz="4" w:space="0"/>
              <w:left w:val="single" w:color="000000" w:sz="4" w:space="0"/>
              <w:bottom w:val="single" w:color="000000" w:sz="4" w:space="0"/>
              <w:right w:val="single" w:color="000000" w:sz="4" w:space="0"/>
            </w:tcBorders>
            <w:vAlign w:val="center"/>
          </w:tcPr>
          <w:p w14:paraId="2D323724">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7A7A2A67">
            <w:pPr>
              <w:widowControl/>
              <w:jc w:val="center"/>
              <w:textAlignment w:val="center"/>
              <w:rPr>
                <w:sz w:val="22"/>
                <w:szCs w:val="22"/>
              </w:rPr>
            </w:pPr>
            <w:r>
              <w:rPr>
                <w:kern w:val="0"/>
                <w:sz w:val="22"/>
                <w:szCs w:val="22"/>
                <w:lang w:bidi="ar"/>
              </w:rPr>
              <w:t>0.1</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3BB9B8D0">
            <w:pPr>
              <w:widowControl/>
              <w:jc w:val="center"/>
              <w:textAlignment w:val="center"/>
              <w:rPr>
                <w:sz w:val="22"/>
                <w:szCs w:val="22"/>
              </w:rPr>
            </w:pPr>
            <w:r>
              <w:rPr>
                <w:kern w:val="0"/>
                <w:sz w:val="22"/>
                <w:szCs w:val="22"/>
                <w:lang w:bidi="ar"/>
              </w:rPr>
              <w:t>达标</w:t>
            </w:r>
          </w:p>
        </w:tc>
      </w:tr>
      <w:tr w14:paraId="15EC3F1F">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4DCEFB16">
            <w:pPr>
              <w:widowControl/>
              <w:jc w:val="center"/>
              <w:textAlignment w:val="center"/>
              <w:rPr>
                <w:sz w:val="22"/>
                <w:szCs w:val="22"/>
              </w:rPr>
            </w:pPr>
            <w:r>
              <w:rPr>
                <w:kern w:val="0"/>
                <w:sz w:val="22"/>
                <w:szCs w:val="22"/>
                <w:lang w:bidi="ar"/>
              </w:rPr>
              <w:t>1,2-二氯苯</w:t>
            </w:r>
          </w:p>
        </w:tc>
        <w:tc>
          <w:tcPr>
            <w:tcW w:w="1074" w:type="dxa"/>
            <w:tcBorders>
              <w:top w:val="single" w:color="000000" w:sz="4" w:space="0"/>
              <w:left w:val="single" w:color="000000" w:sz="4" w:space="0"/>
              <w:bottom w:val="single" w:color="000000" w:sz="4" w:space="0"/>
              <w:right w:val="single" w:color="000000" w:sz="4" w:space="0"/>
            </w:tcBorders>
            <w:vAlign w:val="center"/>
          </w:tcPr>
          <w:p w14:paraId="18836911">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04625E23">
            <w:pPr>
              <w:widowControl/>
              <w:jc w:val="center"/>
              <w:textAlignment w:val="center"/>
              <w:rPr>
                <w:sz w:val="22"/>
                <w:szCs w:val="22"/>
              </w:rPr>
            </w:pPr>
            <w:r>
              <w:rPr>
                <w:kern w:val="0"/>
                <w:sz w:val="22"/>
                <w:szCs w:val="22"/>
                <w:lang w:bidi="ar"/>
              </w:rPr>
              <w:t>1</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4CC21797">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4D0FE282">
            <w:pPr>
              <w:widowControl/>
              <w:jc w:val="center"/>
              <w:textAlignment w:val="center"/>
              <w:rPr>
                <w:sz w:val="22"/>
                <w:szCs w:val="22"/>
              </w:rPr>
            </w:pPr>
            <w:r>
              <w:rPr>
                <w:kern w:val="0"/>
                <w:sz w:val="22"/>
                <w:szCs w:val="22"/>
                <w:lang w:bidi="ar"/>
              </w:rPr>
              <w:t>氰化物</w:t>
            </w:r>
          </w:p>
        </w:tc>
        <w:tc>
          <w:tcPr>
            <w:tcW w:w="854" w:type="dxa"/>
            <w:tcBorders>
              <w:top w:val="single" w:color="000000" w:sz="4" w:space="0"/>
              <w:left w:val="single" w:color="000000" w:sz="4" w:space="0"/>
              <w:bottom w:val="single" w:color="000000" w:sz="4" w:space="0"/>
              <w:right w:val="single" w:color="000000" w:sz="4" w:space="0"/>
            </w:tcBorders>
            <w:vAlign w:val="center"/>
          </w:tcPr>
          <w:p w14:paraId="75716938">
            <w:pPr>
              <w:widowControl/>
              <w:jc w:val="center"/>
              <w:textAlignment w:val="center"/>
              <w:rPr>
                <w:sz w:val="22"/>
                <w:szCs w:val="22"/>
              </w:rPr>
            </w:pPr>
            <w:r>
              <w:rPr>
                <w:kern w:val="0"/>
                <w:sz w:val="22"/>
                <w:szCs w:val="22"/>
                <w:lang w:bidi="ar"/>
              </w:rPr>
              <w:t>0.001</w:t>
            </w:r>
          </w:p>
        </w:tc>
        <w:tc>
          <w:tcPr>
            <w:tcW w:w="761" w:type="dxa"/>
            <w:tcBorders>
              <w:top w:val="single" w:color="000000" w:sz="4" w:space="0"/>
              <w:left w:val="single" w:color="000000" w:sz="4" w:space="0"/>
              <w:bottom w:val="single" w:color="000000" w:sz="4" w:space="0"/>
              <w:right w:val="single" w:color="000000" w:sz="4" w:space="0"/>
            </w:tcBorders>
            <w:vAlign w:val="center"/>
          </w:tcPr>
          <w:p w14:paraId="1ADE7AF0">
            <w:pPr>
              <w:widowControl/>
              <w:jc w:val="center"/>
              <w:textAlignment w:val="center"/>
              <w:rPr>
                <w:sz w:val="22"/>
                <w:szCs w:val="22"/>
              </w:rPr>
            </w:pPr>
            <w:r>
              <w:rPr>
                <w:kern w:val="0"/>
                <w:sz w:val="22"/>
                <w:szCs w:val="22"/>
                <w:lang w:bidi="ar"/>
              </w:rPr>
              <w:t>0.5</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641F0ABF">
            <w:pPr>
              <w:widowControl/>
              <w:jc w:val="center"/>
              <w:textAlignment w:val="center"/>
              <w:rPr>
                <w:sz w:val="22"/>
                <w:szCs w:val="22"/>
              </w:rPr>
            </w:pPr>
            <w:r>
              <w:rPr>
                <w:kern w:val="0"/>
                <w:sz w:val="22"/>
                <w:szCs w:val="22"/>
                <w:lang w:bidi="ar"/>
              </w:rPr>
              <w:t>达标</w:t>
            </w:r>
          </w:p>
        </w:tc>
      </w:tr>
      <w:tr w14:paraId="2BD3A7B8">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233E33CC">
            <w:pPr>
              <w:widowControl/>
              <w:jc w:val="center"/>
              <w:textAlignment w:val="center"/>
              <w:rPr>
                <w:sz w:val="22"/>
                <w:szCs w:val="22"/>
              </w:rPr>
            </w:pPr>
            <w:r>
              <w:rPr>
                <w:kern w:val="0"/>
                <w:sz w:val="22"/>
                <w:szCs w:val="22"/>
                <w:lang w:bidi="ar"/>
              </w:rPr>
              <w:t>1,4-二氯苯</w:t>
            </w:r>
          </w:p>
        </w:tc>
        <w:tc>
          <w:tcPr>
            <w:tcW w:w="1074" w:type="dxa"/>
            <w:tcBorders>
              <w:top w:val="single" w:color="000000" w:sz="4" w:space="0"/>
              <w:left w:val="single" w:color="000000" w:sz="4" w:space="0"/>
              <w:bottom w:val="single" w:color="000000" w:sz="4" w:space="0"/>
              <w:right w:val="single" w:color="000000" w:sz="4" w:space="0"/>
            </w:tcBorders>
            <w:vAlign w:val="center"/>
          </w:tcPr>
          <w:p w14:paraId="2455E10B">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0DA724DD">
            <w:pPr>
              <w:widowControl/>
              <w:jc w:val="center"/>
              <w:textAlignment w:val="center"/>
              <w:rPr>
                <w:sz w:val="22"/>
                <w:szCs w:val="22"/>
              </w:rPr>
            </w:pPr>
            <w:r>
              <w:rPr>
                <w:kern w:val="0"/>
                <w:sz w:val="22"/>
                <w:szCs w:val="22"/>
                <w:lang w:bidi="ar"/>
              </w:rPr>
              <w:t>0.4</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603DD8CC">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3FB2F1E3">
            <w:pPr>
              <w:widowControl/>
              <w:jc w:val="center"/>
              <w:textAlignment w:val="center"/>
              <w:rPr>
                <w:sz w:val="22"/>
                <w:szCs w:val="22"/>
              </w:rPr>
            </w:pPr>
            <w:r>
              <w:rPr>
                <w:kern w:val="0"/>
                <w:sz w:val="22"/>
                <w:szCs w:val="22"/>
                <w:lang w:bidi="ar"/>
              </w:rPr>
              <w:t>三氯乙烯</w:t>
            </w:r>
          </w:p>
        </w:tc>
        <w:tc>
          <w:tcPr>
            <w:tcW w:w="854" w:type="dxa"/>
            <w:tcBorders>
              <w:top w:val="single" w:color="000000" w:sz="4" w:space="0"/>
              <w:left w:val="single" w:color="000000" w:sz="4" w:space="0"/>
              <w:bottom w:val="single" w:color="000000" w:sz="4" w:space="0"/>
              <w:right w:val="single" w:color="000000" w:sz="4" w:space="0"/>
            </w:tcBorders>
            <w:vAlign w:val="center"/>
          </w:tcPr>
          <w:p w14:paraId="4EF65AE5">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5C09DD54">
            <w:pPr>
              <w:widowControl/>
              <w:jc w:val="center"/>
              <w:textAlignment w:val="center"/>
              <w:rPr>
                <w:sz w:val="22"/>
                <w:szCs w:val="22"/>
              </w:rPr>
            </w:pPr>
            <w:r>
              <w:rPr>
                <w:kern w:val="0"/>
                <w:sz w:val="22"/>
                <w:szCs w:val="22"/>
                <w:lang w:bidi="ar"/>
              </w:rPr>
              <w:t>0.3</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017CCD11">
            <w:pPr>
              <w:widowControl/>
              <w:jc w:val="center"/>
              <w:textAlignment w:val="center"/>
              <w:rPr>
                <w:sz w:val="22"/>
                <w:szCs w:val="22"/>
              </w:rPr>
            </w:pPr>
            <w:r>
              <w:rPr>
                <w:kern w:val="0"/>
                <w:sz w:val="22"/>
                <w:szCs w:val="22"/>
                <w:lang w:bidi="ar"/>
              </w:rPr>
              <w:t>达标</w:t>
            </w:r>
          </w:p>
        </w:tc>
      </w:tr>
      <w:tr w14:paraId="3B56C2E8">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71D60D91">
            <w:pPr>
              <w:widowControl/>
              <w:jc w:val="center"/>
              <w:textAlignment w:val="center"/>
              <w:rPr>
                <w:sz w:val="22"/>
                <w:szCs w:val="22"/>
              </w:rPr>
            </w:pPr>
            <w:r>
              <w:rPr>
                <w:kern w:val="0"/>
                <w:sz w:val="22"/>
                <w:szCs w:val="22"/>
                <w:lang w:bidi="ar"/>
              </w:rPr>
              <w:t>2，4，6-三氯酚</w:t>
            </w:r>
          </w:p>
        </w:tc>
        <w:tc>
          <w:tcPr>
            <w:tcW w:w="1074" w:type="dxa"/>
            <w:tcBorders>
              <w:top w:val="single" w:color="000000" w:sz="4" w:space="0"/>
              <w:left w:val="single" w:color="000000" w:sz="4" w:space="0"/>
              <w:bottom w:val="single" w:color="000000" w:sz="4" w:space="0"/>
              <w:right w:val="single" w:color="000000" w:sz="4" w:space="0"/>
            </w:tcBorders>
            <w:vAlign w:val="center"/>
          </w:tcPr>
          <w:p w14:paraId="3BD36335">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3791BD4C">
            <w:pPr>
              <w:widowControl/>
              <w:jc w:val="center"/>
              <w:textAlignment w:val="center"/>
              <w:rPr>
                <w:sz w:val="22"/>
                <w:szCs w:val="22"/>
              </w:rPr>
            </w:pPr>
            <w:r>
              <w:rPr>
                <w:kern w:val="0"/>
                <w:sz w:val="22"/>
                <w:szCs w:val="22"/>
                <w:lang w:bidi="ar"/>
              </w:rPr>
              <w:t>0.6</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6D17ECAA">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49DF30B7">
            <w:pPr>
              <w:widowControl/>
              <w:jc w:val="center"/>
              <w:textAlignment w:val="center"/>
              <w:rPr>
                <w:sz w:val="22"/>
                <w:szCs w:val="22"/>
              </w:rPr>
            </w:pPr>
            <w:r>
              <w:rPr>
                <w:kern w:val="0"/>
                <w:sz w:val="22"/>
                <w:szCs w:val="22"/>
                <w:lang w:bidi="ar"/>
              </w:rPr>
              <w:t>色度</w:t>
            </w:r>
          </w:p>
        </w:tc>
        <w:tc>
          <w:tcPr>
            <w:tcW w:w="854" w:type="dxa"/>
            <w:tcBorders>
              <w:top w:val="single" w:color="000000" w:sz="4" w:space="0"/>
              <w:left w:val="single" w:color="000000" w:sz="4" w:space="0"/>
              <w:bottom w:val="single" w:color="000000" w:sz="4" w:space="0"/>
              <w:right w:val="single" w:color="000000" w:sz="4" w:space="0"/>
            </w:tcBorders>
            <w:vAlign w:val="center"/>
          </w:tcPr>
          <w:p w14:paraId="125CB92B">
            <w:pPr>
              <w:widowControl/>
              <w:jc w:val="center"/>
              <w:textAlignment w:val="center"/>
              <w:rPr>
                <w:sz w:val="22"/>
                <w:szCs w:val="22"/>
              </w:rPr>
            </w:pPr>
            <w:r>
              <w:rPr>
                <w:kern w:val="0"/>
                <w:sz w:val="22"/>
                <w:szCs w:val="22"/>
                <w:lang w:bidi="ar"/>
              </w:rPr>
              <w:t>2</w:t>
            </w:r>
          </w:p>
        </w:tc>
        <w:tc>
          <w:tcPr>
            <w:tcW w:w="761" w:type="dxa"/>
            <w:tcBorders>
              <w:top w:val="single" w:color="000000" w:sz="4" w:space="0"/>
              <w:left w:val="single" w:color="000000" w:sz="4" w:space="0"/>
              <w:bottom w:val="single" w:color="000000" w:sz="4" w:space="0"/>
              <w:right w:val="single" w:color="000000" w:sz="4" w:space="0"/>
            </w:tcBorders>
            <w:vAlign w:val="center"/>
          </w:tcPr>
          <w:p w14:paraId="0A38748D">
            <w:pPr>
              <w:widowControl/>
              <w:jc w:val="center"/>
              <w:textAlignment w:val="center"/>
              <w:rPr>
                <w:sz w:val="22"/>
                <w:szCs w:val="22"/>
              </w:rPr>
            </w:pPr>
            <w:r>
              <w:rPr>
                <w:kern w:val="0"/>
                <w:sz w:val="22"/>
                <w:szCs w:val="22"/>
                <w:lang w:bidi="ar"/>
              </w:rPr>
              <w:t>30</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32DBF51A">
            <w:pPr>
              <w:widowControl/>
              <w:jc w:val="center"/>
              <w:textAlignment w:val="center"/>
              <w:rPr>
                <w:sz w:val="22"/>
                <w:szCs w:val="22"/>
              </w:rPr>
            </w:pPr>
            <w:r>
              <w:rPr>
                <w:kern w:val="0"/>
                <w:sz w:val="22"/>
                <w:szCs w:val="22"/>
                <w:lang w:bidi="ar"/>
              </w:rPr>
              <w:t>达标</w:t>
            </w:r>
          </w:p>
        </w:tc>
      </w:tr>
      <w:tr w14:paraId="13FBC7DF">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0A801DAB">
            <w:pPr>
              <w:widowControl/>
              <w:jc w:val="center"/>
              <w:textAlignment w:val="center"/>
              <w:rPr>
                <w:sz w:val="22"/>
                <w:szCs w:val="22"/>
              </w:rPr>
            </w:pPr>
            <w:r>
              <w:rPr>
                <w:kern w:val="0"/>
                <w:sz w:val="22"/>
                <w:szCs w:val="22"/>
                <w:lang w:bidi="ar"/>
              </w:rPr>
              <w:t>2,4-二硝基氯苯</w:t>
            </w:r>
          </w:p>
        </w:tc>
        <w:tc>
          <w:tcPr>
            <w:tcW w:w="1074" w:type="dxa"/>
            <w:tcBorders>
              <w:top w:val="single" w:color="000000" w:sz="4" w:space="0"/>
              <w:left w:val="single" w:color="000000" w:sz="4" w:space="0"/>
              <w:bottom w:val="single" w:color="000000" w:sz="4" w:space="0"/>
              <w:right w:val="single" w:color="000000" w:sz="4" w:space="0"/>
            </w:tcBorders>
            <w:vAlign w:val="center"/>
          </w:tcPr>
          <w:p w14:paraId="6FFEE55C">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20B1FC20">
            <w:pPr>
              <w:widowControl/>
              <w:jc w:val="center"/>
              <w:textAlignment w:val="center"/>
              <w:rPr>
                <w:sz w:val="22"/>
                <w:szCs w:val="22"/>
              </w:rPr>
            </w:pPr>
            <w:r>
              <w:rPr>
                <w:kern w:val="0"/>
                <w:sz w:val="22"/>
                <w:szCs w:val="22"/>
                <w:lang w:bidi="ar"/>
              </w:rPr>
              <w:t>0.5</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67221B48">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227D9A2F">
            <w:pPr>
              <w:widowControl/>
              <w:jc w:val="center"/>
              <w:textAlignment w:val="center"/>
              <w:rPr>
                <w:sz w:val="22"/>
                <w:szCs w:val="22"/>
              </w:rPr>
            </w:pPr>
            <w:r>
              <w:rPr>
                <w:kern w:val="0"/>
                <w:sz w:val="22"/>
                <w:szCs w:val="22"/>
                <w:lang w:bidi="ar"/>
              </w:rPr>
              <w:t>砷</w:t>
            </w:r>
          </w:p>
        </w:tc>
        <w:tc>
          <w:tcPr>
            <w:tcW w:w="854" w:type="dxa"/>
            <w:tcBorders>
              <w:top w:val="single" w:color="000000" w:sz="4" w:space="0"/>
              <w:left w:val="single" w:color="000000" w:sz="4" w:space="0"/>
              <w:bottom w:val="single" w:color="000000" w:sz="4" w:space="0"/>
              <w:right w:val="single" w:color="000000" w:sz="4" w:space="0"/>
            </w:tcBorders>
            <w:vAlign w:val="center"/>
          </w:tcPr>
          <w:p w14:paraId="4790CEAC">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19556EE8">
            <w:pPr>
              <w:widowControl/>
              <w:jc w:val="center"/>
              <w:textAlignment w:val="center"/>
              <w:rPr>
                <w:sz w:val="22"/>
                <w:szCs w:val="22"/>
              </w:rPr>
            </w:pPr>
            <w:r>
              <w:rPr>
                <w:kern w:val="0"/>
                <w:sz w:val="22"/>
                <w:szCs w:val="22"/>
                <w:lang w:bidi="ar"/>
              </w:rPr>
              <w:t>0.1</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7D8C8CA0">
            <w:pPr>
              <w:widowControl/>
              <w:jc w:val="center"/>
              <w:textAlignment w:val="center"/>
              <w:rPr>
                <w:sz w:val="22"/>
                <w:szCs w:val="22"/>
              </w:rPr>
            </w:pPr>
            <w:r>
              <w:rPr>
                <w:kern w:val="0"/>
                <w:sz w:val="22"/>
                <w:szCs w:val="22"/>
                <w:lang w:bidi="ar"/>
              </w:rPr>
              <w:t>达标</w:t>
            </w:r>
          </w:p>
        </w:tc>
      </w:tr>
      <w:tr w14:paraId="47F87F88">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3D2F5F4C">
            <w:pPr>
              <w:widowControl/>
              <w:jc w:val="center"/>
              <w:textAlignment w:val="center"/>
              <w:rPr>
                <w:sz w:val="22"/>
                <w:szCs w:val="22"/>
              </w:rPr>
            </w:pPr>
            <w:r>
              <w:rPr>
                <w:kern w:val="0"/>
                <w:sz w:val="22"/>
                <w:szCs w:val="22"/>
                <w:lang w:bidi="ar"/>
              </w:rPr>
              <w:t>3-甲酚(μg/L)</w:t>
            </w:r>
          </w:p>
        </w:tc>
        <w:tc>
          <w:tcPr>
            <w:tcW w:w="1074" w:type="dxa"/>
            <w:tcBorders>
              <w:top w:val="single" w:color="000000" w:sz="4" w:space="0"/>
              <w:left w:val="single" w:color="000000" w:sz="4" w:space="0"/>
              <w:bottom w:val="single" w:color="000000" w:sz="4" w:space="0"/>
              <w:right w:val="single" w:color="000000" w:sz="4" w:space="0"/>
            </w:tcBorders>
            <w:vAlign w:val="center"/>
          </w:tcPr>
          <w:p w14:paraId="5D67C3AB">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70CA67E3">
            <w:pPr>
              <w:widowControl/>
              <w:jc w:val="center"/>
              <w:textAlignment w:val="center"/>
              <w:rPr>
                <w:sz w:val="22"/>
                <w:szCs w:val="22"/>
              </w:rPr>
            </w:pPr>
            <w:r>
              <w:rPr>
                <w:kern w:val="0"/>
                <w:sz w:val="22"/>
                <w:szCs w:val="22"/>
                <w:lang w:bidi="ar"/>
              </w:rPr>
              <w:t>/</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20005778">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48284E91">
            <w:pPr>
              <w:widowControl/>
              <w:jc w:val="center"/>
              <w:textAlignment w:val="center"/>
              <w:rPr>
                <w:sz w:val="22"/>
                <w:szCs w:val="22"/>
              </w:rPr>
            </w:pPr>
            <w:r>
              <w:rPr>
                <w:kern w:val="0"/>
                <w:sz w:val="22"/>
                <w:szCs w:val="22"/>
                <w:lang w:bidi="ar"/>
              </w:rPr>
              <w:t>石油类</w:t>
            </w:r>
          </w:p>
        </w:tc>
        <w:tc>
          <w:tcPr>
            <w:tcW w:w="854" w:type="dxa"/>
            <w:tcBorders>
              <w:top w:val="single" w:color="000000" w:sz="4" w:space="0"/>
              <w:left w:val="single" w:color="000000" w:sz="4" w:space="0"/>
              <w:bottom w:val="single" w:color="000000" w:sz="4" w:space="0"/>
              <w:right w:val="single" w:color="000000" w:sz="4" w:space="0"/>
            </w:tcBorders>
            <w:vAlign w:val="center"/>
          </w:tcPr>
          <w:p w14:paraId="4D5ADE73">
            <w:pPr>
              <w:widowControl/>
              <w:jc w:val="center"/>
              <w:textAlignment w:val="center"/>
              <w:rPr>
                <w:sz w:val="22"/>
                <w:szCs w:val="22"/>
              </w:rPr>
            </w:pPr>
            <w:r>
              <w:rPr>
                <w:kern w:val="0"/>
                <w:sz w:val="22"/>
                <w:szCs w:val="22"/>
                <w:lang w:bidi="ar"/>
              </w:rPr>
              <w:t>0.11-0.22</w:t>
            </w:r>
          </w:p>
        </w:tc>
        <w:tc>
          <w:tcPr>
            <w:tcW w:w="761" w:type="dxa"/>
            <w:tcBorders>
              <w:top w:val="single" w:color="000000" w:sz="4" w:space="0"/>
              <w:left w:val="single" w:color="000000" w:sz="4" w:space="0"/>
              <w:bottom w:val="single" w:color="000000" w:sz="4" w:space="0"/>
              <w:right w:val="single" w:color="000000" w:sz="4" w:space="0"/>
            </w:tcBorders>
            <w:vAlign w:val="center"/>
          </w:tcPr>
          <w:p w14:paraId="3214D073">
            <w:pPr>
              <w:widowControl/>
              <w:jc w:val="center"/>
              <w:textAlignment w:val="center"/>
              <w:rPr>
                <w:sz w:val="22"/>
                <w:szCs w:val="22"/>
              </w:rPr>
            </w:pPr>
            <w:r>
              <w:rPr>
                <w:kern w:val="0"/>
                <w:sz w:val="22"/>
                <w:szCs w:val="22"/>
                <w:lang w:bidi="ar"/>
              </w:rPr>
              <w:t>1</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638D8A1E">
            <w:pPr>
              <w:widowControl/>
              <w:jc w:val="center"/>
              <w:textAlignment w:val="center"/>
              <w:rPr>
                <w:sz w:val="22"/>
                <w:szCs w:val="22"/>
              </w:rPr>
            </w:pPr>
            <w:r>
              <w:rPr>
                <w:kern w:val="0"/>
                <w:sz w:val="22"/>
                <w:szCs w:val="22"/>
                <w:lang w:bidi="ar"/>
              </w:rPr>
              <w:t>达标</w:t>
            </w:r>
          </w:p>
        </w:tc>
      </w:tr>
      <w:tr w14:paraId="3003A3AF">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23416E0F">
            <w:pPr>
              <w:widowControl/>
              <w:jc w:val="center"/>
              <w:textAlignment w:val="center"/>
              <w:rPr>
                <w:sz w:val="22"/>
                <w:szCs w:val="22"/>
              </w:rPr>
            </w:pPr>
            <w:r>
              <w:rPr>
                <w:kern w:val="0"/>
                <w:sz w:val="22"/>
                <w:szCs w:val="22"/>
                <w:lang w:bidi="ar"/>
              </w:rPr>
              <w:t>pH</w:t>
            </w:r>
          </w:p>
        </w:tc>
        <w:tc>
          <w:tcPr>
            <w:tcW w:w="1074" w:type="dxa"/>
            <w:tcBorders>
              <w:top w:val="single" w:color="000000" w:sz="4" w:space="0"/>
              <w:left w:val="single" w:color="000000" w:sz="4" w:space="0"/>
              <w:bottom w:val="single" w:color="000000" w:sz="4" w:space="0"/>
              <w:right w:val="single" w:color="000000" w:sz="4" w:space="0"/>
            </w:tcBorders>
            <w:vAlign w:val="center"/>
          </w:tcPr>
          <w:p w14:paraId="2027ED46">
            <w:pPr>
              <w:widowControl/>
              <w:jc w:val="center"/>
              <w:textAlignment w:val="center"/>
              <w:rPr>
                <w:sz w:val="22"/>
                <w:szCs w:val="22"/>
              </w:rPr>
            </w:pPr>
            <w:r>
              <w:rPr>
                <w:kern w:val="0"/>
                <w:sz w:val="22"/>
                <w:szCs w:val="22"/>
                <w:lang w:bidi="ar"/>
              </w:rPr>
              <w:t>7.4-7.7</w:t>
            </w:r>
          </w:p>
        </w:tc>
        <w:tc>
          <w:tcPr>
            <w:tcW w:w="956" w:type="dxa"/>
            <w:tcBorders>
              <w:top w:val="single" w:color="000000" w:sz="4" w:space="0"/>
              <w:left w:val="single" w:color="000000" w:sz="4" w:space="0"/>
              <w:bottom w:val="single" w:color="000000" w:sz="4" w:space="0"/>
              <w:right w:val="single" w:color="000000" w:sz="4" w:space="0"/>
            </w:tcBorders>
            <w:vAlign w:val="center"/>
          </w:tcPr>
          <w:p w14:paraId="36C65645">
            <w:pPr>
              <w:widowControl/>
              <w:jc w:val="center"/>
              <w:textAlignment w:val="center"/>
              <w:rPr>
                <w:sz w:val="22"/>
                <w:szCs w:val="22"/>
              </w:rPr>
            </w:pPr>
            <w:r>
              <w:rPr>
                <w:kern w:val="0"/>
                <w:sz w:val="22"/>
                <w:szCs w:val="22"/>
                <w:lang w:bidi="ar"/>
              </w:rPr>
              <w:t>6~9</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71E8659D">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7B8F1BFC">
            <w:pPr>
              <w:widowControl/>
              <w:jc w:val="center"/>
              <w:textAlignment w:val="center"/>
              <w:rPr>
                <w:sz w:val="22"/>
                <w:szCs w:val="22"/>
              </w:rPr>
            </w:pPr>
            <w:r>
              <w:rPr>
                <w:kern w:val="0"/>
                <w:sz w:val="22"/>
                <w:szCs w:val="22"/>
                <w:lang w:bidi="ar"/>
              </w:rPr>
              <w:t>四氯乙烯</w:t>
            </w:r>
          </w:p>
        </w:tc>
        <w:tc>
          <w:tcPr>
            <w:tcW w:w="854" w:type="dxa"/>
            <w:tcBorders>
              <w:top w:val="single" w:color="000000" w:sz="4" w:space="0"/>
              <w:left w:val="single" w:color="000000" w:sz="4" w:space="0"/>
              <w:bottom w:val="single" w:color="000000" w:sz="4" w:space="0"/>
              <w:right w:val="single" w:color="000000" w:sz="4" w:space="0"/>
            </w:tcBorders>
            <w:vAlign w:val="center"/>
          </w:tcPr>
          <w:p w14:paraId="3C319EBD">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56A38CCE">
            <w:pPr>
              <w:widowControl/>
              <w:jc w:val="center"/>
              <w:textAlignment w:val="center"/>
              <w:rPr>
                <w:sz w:val="22"/>
                <w:szCs w:val="22"/>
              </w:rPr>
            </w:pPr>
            <w:r>
              <w:rPr>
                <w:kern w:val="0"/>
                <w:sz w:val="22"/>
                <w:szCs w:val="22"/>
                <w:lang w:bidi="ar"/>
              </w:rPr>
              <w:t>0.1</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5B5D9400">
            <w:pPr>
              <w:widowControl/>
              <w:jc w:val="center"/>
              <w:textAlignment w:val="center"/>
              <w:rPr>
                <w:sz w:val="22"/>
                <w:szCs w:val="22"/>
              </w:rPr>
            </w:pPr>
            <w:r>
              <w:rPr>
                <w:kern w:val="0"/>
                <w:sz w:val="22"/>
                <w:szCs w:val="22"/>
                <w:lang w:bidi="ar"/>
              </w:rPr>
              <w:t>达标</w:t>
            </w:r>
          </w:p>
        </w:tc>
      </w:tr>
      <w:tr w14:paraId="3B0F5BBD">
        <w:tblPrEx>
          <w:tblCellMar>
            <w:top w:w="0" w:type="dxa"/>
            <w:left w:w="0" w:type="dxa"/>
            <w:bottom w:w="0" w:type="dxa"/>
            <w:right w:w="0" w:type="dxa"/>
          </w:tblCellMar>
        </w:tblPrEx>
        <w:trPr>
          <w:trHeight w:val="540"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16AB48B1">
            <w:pPr>
              <w:widowControl/>
              <w:jc w:val="center"/>
              <w:textAlignment w:val="center"/>
              <w:rPr>
                <w:sz w:val="22"/>
                <w:szCs w:val="22"/>
              </w:rPr>
            </w:pPr>
            <w:r>
              <w:rPr>
                <w:kern w:val="0"/>
                <w:sz w:val="22"/>
                <w:szCs w:val="22"/>
                <w:lang w:bidi="ar"/>
              </w:rPr>
              <w:t>氨氮</w:t>
            </w:r>
          </w:p>
        </w:tc>
        <w:tc>
          <w:tcPr>
            <w:tcW w:w="1074" w:type="dxa"/>
            <w:tcBorders>
              <w:top w:val="single" w:color="000000" w:sz="4" w:space="0"/>
              <w:left w:val="single" w:color="000000" w:sz="4" w:space="0"/>
              <w:bottom w:val="single" w:color="000000" w:sz="4" w:space="0"/>
              <w:right w:val="single" w:color="000000" w:sz="4" w:space="0"/>
            </w:tcBorders>
            <w:vAlign w:val="center"/>
          </w:tcPr>
          <w:p w14:paraId="44107927">
            <w:pPr>
              <w:widowControl/>
              <w:jc w:val="center"/>
              <w:textAlignment w:val="center"/>
              <w:rPr>
                <w:sz w:val="22"/>
                <w:szCs w:val="22"/>
              </w:rPr>
            </w:pPr>
            <w:r>
              <w:rPr>
                <w:kern w:val="0"/>
                <w:sz w:val="22"/>
                <w:szCs w:val="22"/>
                <w:lang w:bidi="ar"/>
              </w:rPr>
              <w:t>0.040-0.592</w:t>
            </w:r>
          </w:p>
        </w:tc>
        <w:tc>
          <w:tcPr>
            <w:tcW w:w="956" w:type="dxa"/>
            <w:tcBorders>
              <w:top w:val="single" w:color="000000" w:sz="4" w:space="0"/>
              <w:left w:val="single" w:color="000000" w:sz="4" w:space="0"/>
              <w:bottom w:val="single" w:color="000000" w:sz="4" w:space="0"/>
              <w:right w:val="single" w:color="000000" w:sz="4" w:space="0"/>
            </w:tcBorders>
            <w:vAlign w:val="center"/>
          </w:tcPr>
          <w:p w14:paraId="4704B89D">
            <w:pPr>
              <w:widowControl/>
              <w:jc w:val="center"/>
              <w:textAlignment w:val="center"/>
              <w:rPr>
                <w:sz w:val="22"/>
                <w:szCs w:val="22"/>
              </w:rPr>
            </w:pPr>
            <w:r>
              <w:rPr>
                <w:kern w:val="0"/>
                <w:sz w:val="22"/>
                <w:szCs w:val="22"/>
                <w:lang w:bidi="ar"/>
              </w:rPr>
              <w:t>5</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1B2B4B02">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66E95BBF">
            <w:pPr>
              <w:widowControl/>
              <w:jc w:val="center"/>
              <w:textAlignment w:val="center"/>
              <w:rPr>
                <w:sz w:val="22"/>
                <w:szCs w:val="22"/>
              </w:rPr>
            </w:pPr>
            <w:r>
              <w:rPr>
                <w:kern w:val="0"/>
                <w:sz w:val="22"/>
                <w:szCs w:val="22"/>
                <w:lang w:bidi="ar"/>
              </w:rPr>
              <w:t>铜</w:t>
            </w:r>
          </w:p>
        </w:tc>
        <w:tc>
          <w:tcPr>
            <w:tcW w:w="854" w:type="dxa"/>
            <w:tcBorders>
              <w:top w:val="single" w:color="000000" w:sz="4" w:space="0"/>
              <w:left w:val="single" w:color="000000" w:sz="4" w:space="0"/>
              <w:bottom w:val="single" w:color="000000" w:sz="4" w:space="0"/>
              <w:right w:val="single" w:color="000000" w:sz="4" w:space="0"/>
            </w:tcBorders>
            <w:vAlign w:val="center"/>
          </w:tcPr>
          <w:p w14:paraId="2171AE4B">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2138290C">
            <w:pPr>
              <w:widowControl/>
              <w:jc w:val="center"/>
              <w:textAlignment w:val="center"/>
              <w:rPr>
                <w:sz w:val="22"/>
                <w:szCs w:val="22"/>
              </w:rPr>
            </w:pPr>
            <w:r>
              <w:rPr>
                <w:kern w:val="0"/>
                <w:sz w:val="22"/>
                <w:szCs w:val="22"/>
                <w:lang w:bidi="ar"/>
              </w:rPr>
              <w:t>0.5</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028B74E0">
            <w:pPr>
              <w:widowControl/>
              <w:jc w:val="center"/>
              <w:textAlignment w:val="center"/>
              <w:rPr>
                <w:sz w:val="22"/>
                <w:szCs w:val="22"/>
              </w:rPr>
            </w:pPr>
            <w:r>
              <w:rPr>
                <w:kern w:val="0"/>
                <w:sz w:val="22"/>
                <w:szCs w:val="22"/>
                <w:lang w:bidi="ar"/>
              </w:rPr>
              <w:t>达标</w:t>
            </w:r>
          </w:p>
        </w:tc>
      </w:tr>
      <w:tr w14:paraId="3D801A57">
        <w:tblPrEx>
          <w:tblCellMar>
            <w:top w:w="0" w:type="dxa"/>
            <w:left w:w="0" w:type="dxa"/>
            <w:bottom w:w="0" w:type="dxa"/>
            <w:right w:w="0" w:type="dxa"/>
          </w:tblCellMar>
        </w:tblPrEx>
        <w:trPr>
          <w:trHeight w:val="540"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573F3B80">
            <w:pPr>
              <w:widowControl/>
              <w:jc w:val="center"/>
              <w:textAlignment w:val="center"/>
              <w:rPr>
                <w:sz w:val="22"/>
                <w:szCs w:val="22"/>
              </w:rPr>
            </w:pPr>
            <w:r>
              <w:rPr>
                <w:kern w:val="0"/>
                <w:sz w:val="22"/>
                <w:szCs w:val="22"/>
                <w:lang w:bidi="ar"/>
              </w:rPr>
              <w:t>钡</w:t>
            </w:r>
          </w:p>
        </w:tc>
        <w:tc>
          <w:tcPr>
            <w:tcW w:w="1074" w:type="dxa"/>
            <w:tcBorders>
              <w:top w:val="single" w:color="000000" w:sz="4" w:space="0"/>
              <w:left w:val="single" w:color="000000" w:sz="4" w:space="0"/>
              <w:bottom w:val="single" w:color="000000" w:sz="4" w:space="0"/>
              <w:right w:val="single" w:color="000000" w:sz="4" w:space="0"/>
            </w:tcBorders>
            <w:vAlign w:val="center"/>
          </w:tcPr>
          <w:p w14:paraId="2FDA862D">
            <w:pPr>
              <w:widowControl/>
              <w:jc w:val="center"/>
              <w:textAlignment w:val="center"/>
              <w:rPr>
                <w:sz w:val="22"/>
                <w:szCs w:val="22"/>
              </w:rPr>
            </w:pPr>
            <w:r>
              <w:rPr>
                <w:kern w:val="0"/>
                <w:sz w:val="22"/>
                <w:szCs w:val="22"/>
                <w:lang w:bidi="ar"/>
              </w:rPr>
              <w:t>0.12-0.68</w:t>
            </w:r>
          </w:p>
        </w:tc>
        <w:tc>
          <w:tcPr>
            <w:tcW w:w="956" w:type="dxa"/>
            <w:tcBorders>
              <w:top w:val="single" w:color="000000" w:sz="4" w:space="0"/>
              <w:left w:val="single" w:color="000000" w:sz="4" w:space="0"/>
              <w:bottom w:val="single" w:color="000000" w:sz="4" w:space="0"/>
              <w:right w:val="single" w:color="000000" w:sz="4" w:space="0"/>
            </w:tcBorders>
            <w:vAlign w:val="center"/>
          </w:tcPr>
          <w:p w14:paraId="6D5A3CAB">
            <w:pPr>
              <w:widowControl/>
              <w:jc w:val="center"/>
              <w:textAlignment w:val="center"/>
              <w:rPr>
                <w:sz w:val="22"/>
                <w:szCs w:val="22"/>
              </w:rPr>
            </w:pPr>
            <w:r>
              <w:rPr>
                <w:kern w:val="0"/>
                <w:sz w:val="22"/>
                <w:szCs w:val="22"/>
                <w:lang w:bidi="ar"/>
              </w:rPr>
              <w:t>2</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39D66189">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70689085">
            <w:pPr>
              <w:widowControl/>
              <w:jc w:val="center"/>
              <w:textAlignment w:val="center"/>
              <w:rPr>
                <w:sz w:val="22"/>
                <w:szCs w:val="22"/>
              </w:rPr>
            </w:pPr>
            <w:r>
              <w:rPr>
                <w:kern w:val="0"/>
                <w:sz w:val="22"/>
                <w:szCs w:val="22"/>
                <w:lang w:bidi="ar"/>
              </w:rPr>
              <w:t>五氯酚</w:t>
            </w:r>
          </w:p>
        </w:tc>
        <w:tc>
          <w:tcPr>
            <w:tcW w:w="854" w:type="dxa"/>
            <w:tcBorders>
              <w:top w:val="single" w:color="000000" w:sz="4" w:space="0"/>
              <w:left w:val="single" w:color="000000" w:sz="4" w:space="0"/>
              <w:bottom w:val="single" w:color="000000" w:sz="4" w:space="0"/>
              <w:right w:val="single" w:color="000000" w:sz="4" w:space="0"/>
            </w:tcBorders>
            <w:vAlign w:val="center"/>
          </w:tcPr>
          <w:p w14:paraId="767D30A7">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3BC07E10">
            <w:pPr>
              <w:widowControl/>
              <w:jc w:val="center"/>
              <w:textAlignment w:val="center"/>
              <w:rPr>
                <w:sz w:val="22"/>
                <w:szCs w:val="22"/>
              </w:rPr>
            </w:pPr>
            <w:r>
              <w:rPr>
                <w:kern w:val="0"/>
                <w:sz w:val="22"/>
                <w:szCs w:val="22"/>
                <w:lang w:bidi="ar"/>
              </w:rPr>
              <w:t>5</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62B10E57">
            <w:pPr>
              <w:widowControl/>
              <w:jc w:val="center"/>
              <w:textAlignment w:val="center"/>
              <w:rPr>
                <w:sz w:val="22"/>
                <w:szCs w:val="22"/>
              </w:rPr>
            </w:pPr>
            <w:r>
              <w:rPr>
                <w:kern w:val="0"/>
                <w:sz w:val="22"/>
                <w:szCs w:val="22"/>
                <w:lang w:bidi="ar"/>
              </w:rPr>
              <w:t>达标</w:t>
            </w:r>
          </w:p>
        </w:tc>
      </w:tr>
      <w:tr w14:paraId="5F08760B">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767F434F">
            <w:pPr>
              <w:widowControl/>
              <w:jc w:val="center"/>
              <w:textAlignment w:val="center"/>
              <w:rPr>
                <w:sz w:val="22"/>
                <w:szCs w:val="22"/>
              </w:rPr>
            </w:pPr>
            <w:r>
              <w:rPr>
                <w:kern w:val="0"/>
                <w:sz w:val="22"/>
                <w:szCs w:val="22"/>
                <w:lang w:bidi="ar"/>
              </w:rPr>
              <w:t>苯</w:t>
            </w:r>
          </w:p>
        </w:tc>
        <w:tc>
          <w:tcPr>
            <w:tcW w:w="1074" w:type="dxa"/>
            <w:tcBorders>
              <w:top w:val="single" w:color="000000" w:sz="4" w:space="0"/>
              <w:left w:val="single" w:color="000000" w:sz="4" w:space="0"/>
              <w:bottom w:val="single" w:color="000000" w:sz="4" w:space="0"/>
              <w:right w:val="single" w:color="000000" w:sz="4" w:space="0"/>
            </w:tcBorders>
            <w:vAlign w:val="center"/>
          </w:tcPr>
          <w:p w14:paraId="0B462763">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1D61B3D8">
            <w:pPr>
              <w:widowControl/>
              <w:jc w:val="center"/>
              <w:textAlignment w:val="center"/>
              <w:rPr>
                <w:sz w:val="22"/>
                <w:szCs w:val="22"/>
              </w:rPr>
            </w:pPr>
            <w:r>
              <w:rPr>
                <w:kern w:val="0"/>
                <w:sz w:val="22"/>
                <w:szCs w:val="22"/>
                <w:lang w:bidi="ar"/>
              </w:rPr>
              <w:t>0.1</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483D25C2">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6CDE5778">
            <w:pPr>
              <w:widowControl/>
              <w:jc w:val="center"/>
              <w:textAlignment w:val="center"/>
              <w:rPr>
                <w:sz w:val="22"/>
                <w:szCs w:val="22"/>
              </w:rPr>
            </w:pPr>
            <w:r>
              <w:rPr>
                <w:kern w:val="0"/>
                <w:sz w:val="22"/>
                <w:szCs w:val="22"/>
                <w:lang w:bidi="ar"/>
              </w:rPr>
              <w:t>五日生化需氧量</w:t>
            </w:r>
          </w:p>
        </w:tc>
        <w:tc>
          <w:tcPr>
            <w:tcW w:w="854" w:type="dxa"/>
            <w:tcBorders>
              <w:top w:val="single" w:color="000000" w:sz="4" w:space="0"/>
              <w:left w:val="single" w:color="000000" w:sz="4" w:space="0"/>
              <w:bottom w:val="single" w:color="000000" w:sz="4" w:space="0"/>
              <w:right w:val="single" w:color="000000" w:sz="4" w:space="0"/>
            </w:tcBorders>
            <w:vAlign w:val="center"/>
          </w:tcPr>
          <w:p w14:paraId="28CE8830">
            <w:pPr>
              <w:widowControl/>
              <w:jc w:val="center"/>
              <w:textAlignment w:val="center"/>
              <w:rPr>
                <w:sz w:val="22"/>
                <w:szCs w:val="22"/>
              </w:rPr>
            </w:pPr>
            <w:r>
              <w:rPr>
                <w:kern w:val="0"/>
                <w:sz w:val="22"/>
                <w:szCs w:val="22"/>
                <w:lang w:bidi="ar"/>
              </w:rPr>
              <w:t>2.0-3.6</w:t>
            </w:r>
          </w:p>
        </w:tc>
        <w:tc>
          <w:tcPr>
            <w:tcW w:w="761" w:type="dxa"/>
            <w:tcBorders>
              <w:top w:val="single" w:color="000000" w:sz="4" w:space="0"/>
              <w:left w:val="single" w:color="000000" w:sz="4" w:space="0"/>
              <w:bottom w:val="single" w:color="000000" w:sz="4" w:space="0"/>
              <w:right w:val="single" w:color="000000" w:sz="4" w:space="0"/>
            </w:tcBorders>
            <w:vAlign w:val="center"/>
          </w:tcPr>
          <w:p w14:paraId="164B5B01">
            <w:pPr>
              <w:widowControl/>
              <w:jc w:val="center"/>
              <w:textAlignment w:val="center"/>
              <w:rPr>
                <w:sz w:val="22"/>
                <w:szCs w:val="22"/>
              </w:rPr>
            </w:pPr>
            <w:r>
              <w:rPr>
                <w:kern w:val="0"/>
                <w:sz w:val="22"/>
                <w:szCs w:val="22"/>
                <w:lang w:bidi="ar"/>
              </w:rPr>
              <w:t>10</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63EEE65D">
            <w:pPr>
              <w:widowControl/>
              <w:jc w:val="center"/>
              <w:textAlignment w:val="center"/>
              <w:rPr>
                <w:sz w:val="22"/>
                <w:szCs w:val="22"/>
              </w:rPr>
            </w:pPr>
            <w:r>
              <w:rPr>
                <w:kern w:val="0"/>
                <w:sz w:val="22"/>
                <w:szCs w:val="22"/>
                <w:lang w:bidi="ar"/>
              </w:rPr>
              <w:t>达标</w:t>
            </w:r>
          </w:p>
        </w:tc>
      </w:tr>
      <w:tr w14:paraId="6A99376C">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62A5724A">
            <w:pPr>
              <w:widowControl/>
              <w:jc w:val="center"/>
              <w:textAlignment w:val="center"/>
              <w:rPr>
                <w:sz w:val="22"/>
                <w:szCs w:val="22"/>
              </w:rPr>
            </w:pPr>
            <w:r>
              <w:rPr>
                <w:kern w:val="0"/>
                <w:sz w:val="22"/>
                <w:szCs w:val="22"/>
                <w:lang w:bidi="ar"/>
              </w:rPr>
              <w:t>苯胺类</w:t>
            </w:r>
          </w:p>
        </w:tc>
        <w:tc>
          <w:tcPr>
            <w:tcW w:w="1074" w:type="dxa"/>
            <w:tcBorders>
              <w:top w:val="single" w:color="000000" w:sz="4" w:space="0"/>
              <w:left w:val="single" w:color="000000" w:sz="4" w:space="0"/>
              <w:bottom w:val="single" w:color="000000" w:sz="4" w:space="0"/>
              <w:right w:val="single" w:color="000000" w:sz="4" w:space="0"/>
            </w:tcBorders>
            <w:vAlign w:val="center"/>
          </w:tcPr>
          <w:p w14:paraId="001E691D">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29B3240D">
            <w:pPr>
              <w:widowControl/>
              <w:jc w:val="center"/>
              <w:textAlignment w:val="center"/>
              <w:rPr>
                <w:sz w:val="22"/>
                <w:szCs w:val="22"/>
              </w:rPr>
            </w:pPr>
            <w:r>
              <w:rPr>
                <w:kern w:val="0"/>
                <w:sz w:val="22"/>
                <w:szCs w:val="22"/>
                <w:lang w:bidi="ar"/>
              </w:rPr>
              <w:t>1</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587AC823">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795CBE87">
            <w:pPr>
              <w:widowControl/>
              <w:jc w:val="center"/>
              <w:textAlignment w:val="center"/>
              <w:rPr>
                <w:sz w:val="22"/>
                <w:szCs w:val="22"/>
              </w:rPr>
            </w:pPr>
            <w:r>
              <w:rPr>
                <w:kern w:val="0"/>
                <w:sz w:val="22"/>
                <w:szCs w:val="22"/>
                <w:lang w:bidi="ar"/>
              </w:rPr>
              <w:t>硒</w:t>
            </w:r>
          </w:p>
        </w:tc>
        <w:tc>
          <w:tcPr>
            <w:tcW w:w="854" w:type="dxa"/>
            <w:tcBorders>
              <w:top w:val="single" w:color="000000" w:sz="4" w:space="0"/>
              <w:left w:val="single" w:color="000000" w:sz="4" w:space="0"/>
              <w:bottom w:val="single" w:color="000000" w:sz="4" w:space="0"/>
              <w:right w:val="single" w:color="000000" w:sz="4" w:space="0"/>
            </w:tcBorders>
            <w:vAlign w:val="center"/>
          </w:tcPr>
          <w:p w14:paraId="76063CBF">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68556764">
            <w:pPr>
              <w:widowControl/>
              <w:jc w:val="center"/>
              <w:textAlignment w:val="center"/>
              <w:rPr>
                <w:sz w:val="22"/>
                <w:szCs w:val="22"/>
              </w:rPr>
            </w:pPr>
            <w:r>
              <w:rPr>
                <w:kern w:val="0"/>
                <w:sz w:val="22"/>
                <w:szCs w:val="22"/>
                <w:lang w:bidi="ar"/>
              </w:rPr>
              <w:t>0.1</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2F6C58D9">
            <w:pPr>
              <w:widowControl/>
              <w:jc w:val="center"/>
              <w:textAlignment w:val="center"/>
              <w:rPr>
                <w:sz w:val="22"/>
                <w:szCs w:val="22"/>
              </w:rPr>
            </w:pPr>
            <w:r>
              <w:rPr>
                <w:kern w:val="0"/>
                <w:sz w:val="22"/>
                <w:szCs w:val="22"/>
                <w:lang w:bidi="ar"/>
              </w:rPr>
              <w:t>达标</w:t>
            </w:r>
          </w:p>
        </w:tc>
      </w:tr>
      <w:tr w14:paraId="63CFB46A">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12F02C17">
            <w:pPr>
              <w:widowControl/>
              <w:jc w:val="center"/>
              <w:textAlignment w:val="center"/>
              <w:rPr>
                <w:sz w:val="22"/>
                <w:szCs w:val="22"/>
              </w:rPr>
            </w:pPr>
            <w:r>
              <w:rPr>
                <w:kern w:val="0"/>
                <w:sz w:val="22"/>
                <w:szCs w:val="22"/>
                <w:lang w:bidi="ar"/>
              </w:rPr>
              <w:t>苯酚</w:t>
            </w:r>
          </w:p>
        </w:tc>
        <w:tc>
          <w:tcPr>
            <w:tcW w:w="1074" w:type="dxa"/>
            <w:tcBorders>
              <w:top w:val="single" w:color="000000" w:sz="4" w:space="0"/>
              <w:left w:val="single" w:color="000000" w:sz="4" w:space="0"/>
              <w:bottom w:val="single" w:color="000000" w:sz="4" w:space="0"/>
              <w:right w:val="single" w:color="000000" w:sz="4" w:space="0"/>
            </w:tcBorders>
            <w:vAlign w:val="center"/>
          </w:tcPr>
          <w:p w14:paraId="22D81984">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5757A868">
            <w:pPr>
              <w:widowControl/>
              <w:jc w:val="center"/>
              <w:textAlignment w:val="center"/>
              <w:rPr>
                <w:sz w:val="22"/>
                <w:szCs w:val="22"/>
              </w:rPr>
            </w:pPr>
            <w:r>
              <w:rPr>
                <w:kern w:val="0"/>
                <w:sz w:val="22"/>
                <w:szCs w:val="22"/>
                <w:lang w:bidi="ar"/>
              </w:rPr>
              <w:t>0.3</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58E4743F">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4F4C8641">
            <w:pPr>
              <w:widowControl/>
              <w:jc w:val="center"/>
              <w:textAlignment w:val="center"/>
              <w:rPr>
                <w:sz w:val="22"/>
                <w:szCs w:val="22"/>
              </w:rPr>
            </w:pPr>
            <w:r>
              <w:rPr>
                <w:kern w:val="0"/>
                <w:sz w:val="22"/>
                <w:szCs w:val="22"/>
                <w:lang w:bidi="ar"/>
              </w:rPr>
              <w:t>硝基苯(μg/L)</w:t>
            </w:r>
          </w:p>
        </w:tc>
        <w:tc>
          <w:tcPr>
            <w:tcW w:w="854" w:type="dxa"/>
            <w:tcBorders>
              <w:top w:val="single" w:color="000000" w:sz="4" w:space="0"/>
              <w:left w:val="single" w:color="000000" w:sz="4" w:space="0"/>
              <w:bottom w:val="single" w:color="000000" w:sz="4" w:space="0"/>
              <w:right w:val="single" w:color="000000" w:sz="4" w:space="0"/>
            </w:tcBorders>
            <w:vAlign w:val="center"/>
          </w:tcPr>
          <w:p w14:paraId="45C73EA2">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07BAB096">
            <w:pPr>
              <w:widowControl/>
              <w:jc w:val="center"/>
              <w:textAlignment w:val="center"/>
              <w:rPr>
                <w:sz w:val="22"/>
                <w:szCs w:val="22"/>
              </w:rPr>
            </w:pPr>
            <w:r>
              <w:rPr>
                <w:kern w:val="0"/>
                <w:sz w:val="22"/>
                <w:szCs w:val="22"/>
                <w:lang w:bidi="ar"/>
              </w:rPr>
              <w:t>/</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201514E7">
            <w:pPr>
              <w:widowControl/>
              <w:jc w:val="center"/>
              <w:textAlignment w:val="center"/>
              <w:rPr>
                <w:sz w:val="22"/>
                <w:szCs w:val="22"/>
              </w:rPr>
            </w:pPr>
            <w:r>
              <w:rPr>
                <w:kern w:val="0"/>
                <w:sz w:val="22"/>
                <w:szCs w:val="22"/>
                <w:lang w:bidi="ar"/>
              </w:rPr>
              <w:t>达标</w:t>
            </w:r>
          </w:p>
        </w:tc>
      </w:tr>
      <w:tr w14:paraId="0B0055B5">
        <w:tblPrEx>
          <w:tblCellMar>
            <w:top w:w="0" w:type="dxa"/>
            <w:left w:w="0" w:type="dxa"/>
            <w:bottom w:w="0" w:type="dxa"/>
            <w:right w:w="0" w:type="dxa"/>
          </w:tblCellMar>
        </w:tblPrEx>
        <w:trPr>
          <w:trHeight w:val="540"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32491FD3">
            <w:pPr>
              <w:widowControl/>
              <w:jc w:val="center"/>
              <w:textAlignment w:val="center"/>
              <w:rPr>
                <w:sz w:val="22"/>
                <w:szCs w:val="22"/>
              </w:rPr>
            </w:pPr>
            <w:r>
              <w:rPr>
                <w:kern w:val="0"/>
                <w:sz w:val="22"/>
                <w:szCs w:val="22"/>
                <w:lang w:bidi="ar"/>
              </w:rPr>
              <w:t>动植物油类</w:t>
            </w:r>
          </w:p>
        </w:tc>
        <w:tc>
          <w:tcPr>
            <w:tcW w:w="1074" w:type="dxa"/>
            <w:tcBorders>
              <w:top w:val="single" w:color="000000" w:sz="4" w:space="0"/>
              <w:left w:val="single" w:color="000000" w:sz="4" w:space="0"/>
              <w:bottom w:val="single" w:color="000000" w:sz="4" w:space="0"/>
              <w:right w:val="single" w:color="000000" w:sz="4" w:space="0"/>
            </w:tcBorders>
            <w:vAlign w:val="center"/>
          </w:tcPr>
          <w:p w14:paraId="3A56A8E9">
            <w:pPr>
              <w:widowControl/>
              <w:jc w:val="center"/>
              <w:textAlignment w:val="center"/>
              <w:rPr>
                <w:sz w:val="22"/>
                <w:szCs w:val="22"/>
              </w:rPr>
            </w:pPr>
            <w:r>
              <w:rPr>
                <w:kern w:val="0"/>
                <w:sz w:val="22"/>
                <w:szCs w:val="22"/>
                <w:lang w:bidi="ar"/>
              </w:rPr>
              <w:t>0.40-0.59</w:t>
            </w:r>
          </w:p>
        </w:tc>
        <w:tc>
          <w:tcPr>
            <w:tcW w:w="956" w:type="dxa"/>
            <w:tcBorders>
              <w:top w:val="single" w:color="000000" w:sz="4" w:space="0"/>
              <w:left w:val="single" w:color="000000" w:sz="4" w:space="0"/>
              <w:bottom w:val="single" w:color="000000" w:sz="4" w:space="0"/>
              <w:right w:val="single" w:color="000000" w:sz="4" w:space="0"/>
            </w:tcBorders>
            <w:vAlign w:val="center"/>
          </w:tcPr>
          <w:p w14:paraId="299AC285">
            <w:pPr>
              <w:widowControl/>
              <w:jc w:val="center"/>
              <w:textAlignment w:val="center"/>
              <w:rPr>
                <w:sz w:val="22"/>
                <w:szCs w:val="22"/>
              </w:rPr>
            </w:pPr>
            <w:r>
              <w:rPr>
                <w:kern w:val="0"/>
                <w:sz w:val="22"/>
                <w:szCs w:val="22"/>
                <w:lang w:bidi="ar"/>
              </w:rPr>
              <w:t>1</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312533EC">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7B45A2C6">
            <w:pPr>
              <w:widowControl/>
              <w:jc w:val="center"/>
              <w:textAlignment w:val="center"/>
              <w:rPr>
                <w:sz w:val="22"/>
                <w:szCs w:val="22"/>
              </w:rPr>
            </w:pPr>
            <w:r>
              <w:rPr>
                <w:kern w:val="0"/>
                <w:sz w:val="22"/>
                <w:szCs w:val="22"/>
                <w:lang w:bidi="ar"/>
              </w:rPr>
              <w:t>锌</w:t>
            </w:r>
          </w:p>
        </w:tc>
        <w:tc>
          <w:tcPr>
            <w:tcW w:w="854" w:type="dxa"/>
            <w:tcBorders>
              <w:top w:val="single" w:color="000000" w:sz="4" w:space="0"/>
              <w:left w:val="single" w:color="000000" w:sz="4" w:space="0"/>
              <w:bottom w:val="single" w:color="000000" w:sz="4" w:space="0"/>
              <w:right w:val="single" w:color="000000" w:sz="4" w:space="0"/>
            </w:tcBorders>
            <w:vAlign w:val="center"/>
          </w:tcPr>
          <w:p w14:paraId="39826F0E">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5BEB3FEE">
            <w:pPr>
              <w:widowControl/>
              <w:jc w:val="center"/>
              <w:textAlignment w:val="center"/>
              <w:rPr>
                <w:sz w:val="22"/>
                <w:szCs w:val="22"/>
              </w:rPr>
            </w:pPr>
            <w:r>
              <w:rPr>
                <w:kern w:val="0"/>
                <w:sz w:val="22"/>
                <w:szCs w:val="22"/>
                <w:lang w:bidi="ar"/>
              </w:rPr>
              <w:t>1</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6B00711D">
            <w:pPr>
              <w:widowControl/>
              <w:jc w:val="center"/>
              <w:textAlignment w:val="center"/>
              <w:rPr>
                <w:sz w:val="22"/>
                <w:szCs w:val="22"/>
              </w:rPr>
            </w:pPr>
            <w:r>
              <w:rPr>
                <w:kern w:val="0"/>
                <w:sz w:val="22"/>
                <w:szCs w:val="22"/>
                <w:lang w:bidi="ar"/>
              </w:rPr>
              <w:t>达标</w:t>
            </w:r>
          </w:p>
        </w:tc>
      </w:tr>
      <w:tr w14:paraId="2A3A11E5">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26E4B116">
            <w:pPr>
              <w:widowControl/>
              <w:jc w:val="center"/>
              <w:textAlignment w:val="center"/>
              <w:rPr>
                <w:sz w:val="22"/>
                <w:szCs w:val="22"/>
              </w:rPr>
            </w:pPr>
            <w:r>
              <w:rPr>
                <w:kern w:val="0"/>
                <w:sz w:val="22"/>
                <w:szCs w:val="22"/>
                <w:lang w:bidi="ar"/>
              </w:rPr>
              <w:t>对-二硝基苯(μg/L)</w:t>
            </w:r>
          </w:p>
        </w:tc>
        <w:tc>
          <w:tcPr>
            <w:tcW w:w="1074" w:type="dxa"/>
            <w:tcBorders>
              <w:top w:val="single" w:color="000000" w:sz="4" w:space="0"/>
              <w:left w:val="single" w:color="000000" w:sz="4" w:space="0"/>
              <w:bottom w:val="single" w:color="000000" w:sz="4" w:space="0"/>
              <w:right w:val="single" w:color="000000" w:sz="4" w:space="0"/>
            </w:tcBorders>
            <w:vAlign w:val="center"/>
          </w:tcPr>
          <w:p w14:paraId="2E6A528A">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3FED3ECA">
            <w:pPr>
              <w:widowControl/>
              <w:jc w:val="center"/>
              <w:textAlignment w:val="center"/>
              <w:rPr>
                <w:sz w:val="22"/>
                <w:szCs w:val="22"/>
              </w:rPr>
            </w:pPr>
            <w:r>
              <w:rPr>
                <w:kern w:val="0"/>
                <w:sz w:val="22"/>
                <w:szCs w:val="22"/>
                <w:lang w:bidi="ar"/>
              </w:rPr>
              <w:t>/</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0B8EB03D">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7C0BDA5D">
            <w:pPr>
              <w:widowControl/>
              <w:jc w:val="center"/>
              <w:textAlignment w:val="center"/>
              <w:rPr>
                <w:sz w:val="22"/>
                <w:szCs w:val="22"/>
              </w:rPr>
            </w:pPr>
            <w:r>
              <w:rPr>
                <w:kern w:val="0"/>
                <w:sz w:val="22"/>
                <w:szCs w:val="22"/>
                <w:lang w:bidi="ar"/>
              </w:rPr>
              <w:t>悬浮物</w:t>
            </w:r>
          </w:p>
        </w:tc>
        <w:tc>
          <w:tcPr>
            <w:tcW w:w="854" w:type="dxa"/>
            <w:tcBorders>
              <w:top w:val="single" w:color="000000" w:sz="4" w:space="0"/>
              <w:left w:val="single" w:color="000000" w:sz="4" w:space="0"/>
              <w:bottom w:val="single" w:color="000000" w:sz="4" w:space="0"/>
              <w:right w:val="single" w:color="000000" w:sz="4" w:space="0"/>
            </w:tcBorders>
            <w:vAlign w:val="center"/>
          </w:tcPr>
          <w:p w14:paraId="6DC5298E">
            <w:pPr>
              <w:widowControl/>
              <w:jc w:val="center"/>
              <w:textAlignment w:val="center"/>
              <w:rPr>
                <w:sz w:val="22"/>
                <w:szCs w:val="22"/>
              </w:rPr>
            </w:pPr>
            <w:r>
              <w:rPr>
                <w:kern w:val="0"/>
                <w:sz w:val="22"/>
                <w:szCs w:val="22"/>
                <w:lang w:bidi="ar"/>
              </w:rPr>
              <w:t>6-7</w:t>
            </w:r>
          </w:p>
        </w:tc>
        <w:tc>
          <w:tcPr>
            <w:tcW w:w="761" w:type="dxa"/>
            <w:tcBorders>
              <w:top w:val="single" w:color="000000" w:sz="4" w:space="0"/>
              <w:left w:val="single" w:color="000000" w:sz="4" w:space="0"/>
              <w:bottom w:val="single" w:color="000000" w:sz="4" w:space="0"/>
              <w:right w:val="single" w:color="000000" w:sz="4" w:space="0"/>
            </w:tcBorders>
            <w:vAlign w:val="center"/>
          </w:tcPr>
          <w:p w14:paraId="3FD80B85">
            <w:pPr>
              <w:widowControl/>
              <w:jc w:val="center"/>
              <w:textAlignment w:val="center"/>
              <w:rPr>
                <w:sz w:val="22"/>
                <w:szCs w:val="22"/>
              </w:rPr>
            </w:pPr>
            <w:r>
              <w:rPr>
                <w:kern w:val="0"/>
                <w:sz w:val="22"/>
                <w:szCs w:val="22"/>
                <w:lang w:bidi="ar"/>
              </w:rPr>
              <w:t>10</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5E3ECC8C">
            <w:pPr>
              <w:widowControl/>
              <w:jc w:val="center"/>
              <w:textAlignment w:val="center"/>
              <w:rPr>
                <w:sz w:val="22"/>
                <w:szCs w:val="22"/>
              </w:rPr>
            </w:pPr>
            <w:r>
              <w:rPr>
                <w:kern w:val="0"/>
                <w:sz w:val="22"/>
                <w:szCs w:val="22"/>
                <w:lang w:bidi="ar"/>
              </w:rPr>
              <w:t>达标</w:t>
            </w:r>
          </w:p>
        </w:tc>
      </w:tr>
      <w:tr w14:paraId="799EFAAF">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10CD3B69">
            <w:pPr>
              <w:widowControl/>
              <w:jc w:val="center"/>
              <w:textAlignment w:val="center"/>
              <w:rPr>
                <w:sz w:val="22"/>
                <w:szCs w:val="22"/>
              </w:rPr>
            </w:pPr>
            <w:r>
              <w:rPr>
                <w:kern w:val="0"/>
                <w:sz w:val="22"/>
                <w:szCs w:val="22"/>
                <w:lang w:bidi="ar"/>
              </w:rPr>
              <w:t>对-硝基氯苯</w:t>
            </w:r>
          </w:p>
        </w:tc>
        <w:tc>
          <w:tcPr>
            <w:tcW w:w="1074" w:type="dxa"/>
            <w:tcBorders>
              <w:top w:val="single" w:color="000000" w:sz="4" w:space="0"/>
              <w:left w:val="single" w:color="000000" w:sz="4" w:space="0"/>
              <w:bottom w:val="single" w:color="000000" w:sz="4" w:space="0"/>
              <w:right w:val="single" w:color="000000" w:sz="4" w:space="0"/>
            </w:tcBorders>
            <w:vAlign w:val="center"/>
          </w:tcPr>
          <w:p w14:paraId="2C6CEDFB">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69F290EB">
            <w:pPr>
              <w:widowControl/>
              <w:jc w:val="center"/>
              <w:textAlignment w:val="center"/>
              <w:rPr>
                <w:sz w:val="22"/>
                <w:szCs w:val="22"/>
              </w:rPr>
            </w:pPr>
            <w:r>
              <w:rPr>
                <w:kern w:val="0"/>
                <w:sz w:val="22"/>
                <w:szCs w:val="22"/>
                <w:lang w:bidi="ar"/>
              </w:rPr>
              <w:t>0.5</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19AE864D">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57630646">
            <w:pPr>
              <w:widowControl/>
              <w:jc w:val="center"/>
              <w:textAlignment w:val="center"/>
              <w:rPr>
                <w:sz w:val="22"/>
                <w:szCs w:val="22"/>
              </w:rPr>
            </w:pPr>
            <w:r>
              <w:rPr>
                <w:kern w:val="0"/>
                <w:sz w:val="22"/>
                <w:szCs w:val="22"/>
                <w:lang w:bidi="ar"/>
              </w:rPr>
              <w:t>乙基汞(ng/L)</w:t>
            </w:r>
          </w:p>
        </w:tc>
        <w:tc>
          <w:tcPr>
            <w:tcW w:w="854" w:type="dxa"/>
            <w:tcBorders>
              <w:top w:val="single" w:color="000000" w:sz="4" w:space="0"/>
              <w:left w:val="single" w:color="000000" w:sz="4" w:space="0"/>
              <w:bottom w:val="single" w:color="000000" w:sz="4" w:space="0"/>
              <w:right w:val="single" w:color="000000" w:sz="4" w:space="0"/>
            </w:tcBorders>
            <w:vAlign w:val="center"/>
          </w:tcPr>
          <w:p w14:paraId="0CF47E27">
            <w:pPr>
              <w:widowControl/>
              <w:jc w:val="center"/>
              <w:textAlignment w:val="center"/>
              <w:rPr>
                <w:sz w:val="22"/>
                <w:szCs w:val="22"/>
              </w:rPr>
            </w:pPr>
            <w:r>
              <w:rPr>
                <w:kern w:val="0"/>
                <w:sz w:val="22"/>
                <w:szCs w:val="22"/>
                <w:lang w:bidi="ar"/>
              </w:rPr>
              <w:t>＜0.02</w:t>
            </w:r>
          </w:p>
        </w:tc>
        <w:tc>
          <w:tcPr>
            <w:tcW w:w="761" w:type="dxa"/>
            <w:tcBorders>
              <w:top w:val="single" w:color="000000" w:sz="4" w:space="0"/>
              <w:left w:val="single" w:color="000000" w:sz="4" w:space="0"/>
              <w:bottom w:val="single" w:color="000000" w:sz="4" w:space="0"/>
              <w:right w:val="single" w:color="000000" w:sz="4" w:space="0"/>
            </w:tcBorders>
            <w:noWrap/>
            <w:vAlign w:val="center"/>
          </w:tcPr>
          <w:p w14:paraId="1A986607">
            <w:pPr>
              <w:widowControl/>
              <w:jc w:val="center"/>
              <w:textAlignment w:val="center"/>
              <w:rPr>
                <w:sz w:val="22"/>
                <w:szCs w:val="22"/>
              </w:rPr>
            </w:pPr>
            <w:r>
              <w:rPr>
                <w:kern w:val="0"/>
                <w:sz w:val="22"/>
                <w:szCs w:val="22"/>
                <w:lang w:bidi="ar"/>
              </w:rPr>
              <w:t>/</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638ED56F">
            <w:pPr>
              <w:widowControl/>
              <w:jc w:val="center"/>
              <w:textAlignment w:val="center"/>
              <w:rPr>
                <w:sz w:val="22"/>
                <w:szCs w:val="22"/>
              </w:rPr>
            </w:pPr>
            <w:r>
              <w:rPr>
                <w:kern w:val="0"/>
                <w:sz w:val="22"/>
                <w:szCs w:val="22"/>
                <w:lang w:bidi="ar"/>
              </w:rPr>
              <w:t>达标</w:t>
            </w:r>
          </w:p>
        </w:tc>
      </w:tr>
      <w:tr w14:paraId="4E9DB53C">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6303F2F9">
            <w:pPr>
              <w:widowControl/>
              <w:jc w:val="center"/>
              <w:textAlignment w:val="center"/>
              <w:rPr>
                <w:sz w:val="22"/>
                <w:szCs w:val="22"/>
              </w:rPr>
            </w:pPr>
            <w:r>
              <w:rPr>
                <w:kern w:val="0"/>
                <w:sz w:val="22"/>
                <w:szCs w:val="22"/>
                <w:lang w:bidi="ar"/>
              </w:rPr>
              <w:t>粪大肠菌群（个/L）</w:t>
            </w:r>
          </w:p>
        </w:tc>
        <w:tc>
          <w:tcPr>
            <w:tcW w:w="1074" w:type="dxa"/>
            <w:tcBorders>
              <w:top w:val="single" w:color="000000" w:sz="4" w:space="0"/>
              <w:left w:val="single" w:color="000000" w:sz="4" w:space="0"/>
              <w:bottom w:val="single" w:color="000000" w:sz="4" w:space="0"/>
              <w:right w:val="single" w:color="000000" w:sz="4" w:space="0"/>
            </w:tcBorders>
            <w:vAlign w:val="center"/>
          </w:tcPr>
          <w:p w14:paraId="298D2DC6">
            <w:pPr>
              <w:widowControl/>
              <w:jc w:val="center"/>
              <w:textAlignment w:val="center"/>
              <w:rPr>
                <w:sz w:val="22"/>
                <w:szCs w:val="22"/>
              </w:rPr>
            </w:pPr>
            <w:r>
              <w:rPr>
                <w:kern w:val="0"/>
                <w:sz w:val="22"/>
                <w:szCs w:val="22"/>
                <w:lang w:bidi="ar"/>
              </w:rPr>
              <w:t>140-260</w:t>
            </w:r>
          </w:p>
        </w:tc>
        <w:tc>
          <w:tcPr>
            <w:tcW w:w="956" w:type="dxa"/>
            <w:tcBorders>
              <w:top w:val="single" w:color="000000" w:sz="4" w:space="0"/>
              <w:left w:val="single" w:color="000000" w:sz="4" w:space="0"/>
              <w:bottom w:val="single" w:color="000000" w:sz="4" w:space="0"/>
              <w:right w:val="single" w:color="000000" w:sz="4" w:space="0"/>
            </w:tcBorders>
            <w:vAlign w:val="center"/>
          </w:tcPr>
          <w:p w14:paraId="2821CD50">
            <w:pPr>
              <w:widowControl/>
              <w:jc w:val="center"/>
              <w:textAlignment w:val="center"/>
              <w:rPr>
                <w:sz w:val="22"/>
                <w:szCs w:val="22"/>
              </w:rPr>
            </w:pPr>
            <w:r>
              <w:rPr>
                <w:kern w:val="0"/>
                <w:sz w:val="22"/>
                <w:szCs w:val="22"/>
                <w:lang w:bidi="ar"/>
              </w:rPr>
              <w:t>1000</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33CE3B5F">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09C88607">
            <w:pPr>
              <w:widowControl/>
              <w:jc w:val="center"/>
              <w:textAlignment w:val="center"/>
              <w:rPr>
                <w:sz w:val="22"/>
                <w:szCs w:val="22"/>
              </w:rPr>
            </w:pPr>
            <w:r>
              <w:rPr>
                <w:kern w:val="0"/>
                <w:sz w:val="22"/>
                <w:szCs w:val="22"/>
                <w:lang w:bidi="ar"/>
              </w:rPr>
              <w:t>阴离子表面活性剂</w:t>
            </w:r>
          </w:p>
        </w:tc>
        <w:tc>
          <w:tcPr>
            <w:tcW w:w="854" w:type="dxa"/>
            <w:tcBorders>
              <w:top w:val="single" w:color="000000" w:sz="4" w:space="0"/>
              <w:left w:val="single" w:color="000000" w:sz="4" w:space="0"/>
              <w:bottom w:val="single" w:color="000000" w:sz="4" w:space="0"/>
              <w:right w:val="single" w:color="000000" w:sz="4" w:space="0"/>
            </w:tcBorders>
            <w:vAlign w:val="center"/>
          </w:tcPr>
          <w:p w14:paraId="6CCA7E33">
            <w:pPr>
              <w:widowControl/>
              <w:jc w:val="center"/>
              <w:textAlignment w:val="center"/>
              <w:rPr>
                <w:sz w:val="22"/>
                <w:szCs w:val="22"/>
              </w:rPr>
            </w:pPr>
            <w:r>
              <w:rPr>
                <w:kern w:val="0"/>
                <w:sz w:val="22"/>
                <w:szCs w:val="22"/>
                <w:lang w:bidi="ar"/>
              </w:rPr>
              <w:t>0.12-0.13</w:t>
            </w:r>
          </w:p>
        </w:tc>
        <w:tc>
          <w:tcPr>
            <w:tcW w:w="761" w:type="dxa"/>
            <w:tcBorders>
              <w:top w:val="single" w:color="000000" w:sz="4" w:space="0"/>
              <w:left w:val="single" w:color="000000" w:sz="4" w:space="0"/>
              <w:bottom w:val="single" w:color="000000" w:sz="4" w:space="0"/>
              <w:right w:val="single" w:color="000000" w:sz="4" w:space="0"/>
            </w:tcBorders>
            <w:vAlign w:val="center"/>
          </w:tcPr>
          <w:p w14:paraId="2F586B8E">
            <w:pPr>
              <w:widowControl/>
              <w:jc w:val="center"/>
              <w:textAlignment w:val="center"/>
              <w:rPr>
                <w:sz w:val="22"/>
                <w:szCs w:val="22"/>
              </w:rPr>
            </w:pPr>
            <w:r>
              <w:rPr>
                <w:kern w:val="0"/>
                <w:sz w:val="22"/>
                <w:szCs w:val="22"/>
                <w:lang w:bidi="ar"/>
              </w:rPr>
              <w:t>0.5</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6E22F855">
            <w:pPr>
              <w:widowControl/>
              <w:jc w:val="center"/>
              <w:textAlignment w:val="center"/>
              <w:rPr>
                <w:sz w:val="22"/>
                <w:szCs w:val="22"/>
              </w:rPr>
            </w:pPr>
            <w:r>
              <w:rPr>
                <w:kern w:val="0"/>
                <w:sz w:val="22"/>
                <w:szCs w:val="22"/>
                <w:lang w:bidi="ar"/>
              </w:rPr>
              <w:t>达标</w:t>
            </w:r>
          </w:p>
        </w:tc>
      </w:tr>
      <w:tr w14:paraId="187A7DAE">
        <w:tblPrEx>
          <w:tblCellMar>
            <w:top w:w="0" w:type="dxa"/>
            <w:left w:w="0" w:type="dxa"/>
            <w:bottom w:w="0" w:type="dxa"/>
            <w:right w:w="0" w:type="dxa"/>
          </w:tblCellMar>
        </w:tblPrEx>
        <w:trPr>
          <w:trHeight w:val="540"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133EAF6B">
            <w:pPr>
              <w:widowControl/>
              <w:jc w:val="center"/>
              <w:textAlignment w:val="center"/>
              <w:rPr>
                <w:sz w:val="22"/>
                <w:szCs w:val="22"/>
              </w:rPr>
            </w:pPr>
            <w:r>
              <w:rPr>
                <w:kern w:val="0"/>
                <w:sz w:val="22"/>
                <w:szCs w:val="22"/>
                <w:lang w:bidi="ar"/>
              </w:rPr>
              <w:t>氟化物</w:t>
            </w:r>
          </w:p>
        </w:tc>
        <w:tc>
          <w:tcPr>
            <w:tcW w:w="1074" w:type="dxa"/>
            <w:tcBorders>
              <w:top w:val="single" w:color="000000" w:sz="4" w:space="0"/>
              <w:left w:val="single" w:color="000000" w:sz="4" w:space="0"/>
              <w:bottom w:val="single" w:color="000000" w:sz="4" w:space="0"/>
              <w:right w:val="single" w:color="000000" w:sz="4" w:space="0"/>
            </w:tcBorders>
            <w:vAlign w:val="center"/>
          </w:tcPr>
          <w:p w14:paraId="66DC4F92">
            <w:pPr>
              <w:widowControl/>
              <w:jc w:val="center"/>
              <w:textAlignment w:val="center"/>
              <w:rPr>
                <w:sz w:val="22"/>
                <w:szCs w:val="22"/>
              </w:rPr>
            </w:pPr>
            <w:r>
              <w:rPr>
                <w:kern w:val="0"/>
                <w:sz w:val="22"/>
                <w:szCs w:val="22"/>
                <w:lang w:bidi="ar"/>
              </w:rPr>
              <w:t>0.50-0.70</w:t>
            </w:r>
          </w:p>
        </w:tc>
        <w:tc>
          <w:tcPr>
            <w:tcW w:w="956" w:type="dxa"/>
            <w:tcBorders>
              <w:top w:val="single" w:color="000000" w:sz="4" w:space="0"/>
              <w:left w:val="single" w:color="000000" w:sz="4" w:space="0"/>
              <w:bottom w:val="single" w:color="000000" w:sz="4" w:space="0"/>
              <w:right w:val="single" w:color="000000" w:sz="4" w:space="0"/>
            </w:tcBorders>
            <w:vAlign w:val="center"/>
          </w:tcPr>
          <w:p w14:paraId="2CE57A9E">
            <w:pPr>
              <w:widowControl/>
              <w:jc w:val="center"/>
              <w:textAlignment w:val="center"/>
              <w:rPr>
                <w:sz w:val="22"/>
                <w:szCs w:val="22"/>
              </w:rPr>
            </w:pPr>
            <w:r>
              <w:rPr>
                <w:kern w:val="0"/>
                <w:sz w:val="22"/>
                <w:szCs w:val="22"/>
                <w:lang w:bidi="ar"/>
              </w:rPr>
              <w:t>10</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7A9DCC6C">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12B840F3">
            <w:pPr>
              <w:widowControl/>
              <w:jc w:val="center"/>
              <w:textAlignment w:val="center"/>
              <w:rPr>
                <w:sz w:val="22"/>
                <w:szCs w:val="22"/>
              </w:rPr>
            </w:pPr>
            <w:r>
              <w:rPr>
                <w:kern w:val="0"/>
                <w:sz w:val="22"/>
                <w:szCs w:val="22"/>
                <w:lang w:bidi="ar"/>
              </w:rPr>
              <w:t>银</w:t>
            </w:r>
          </w:p>
        </w:tc>
        <w:tc>
          <w:tcPr>
            <w:tcW w:w="854" w:type="dxa"/>
            <w:tcBorders>
              <w:top w:val="single" w:color="000000" w:sz="4" w:space="0"/>
              <w:left w:val="single" w:color="000000" w:sz="4" w:space="0"/>
              <w:bottom w:val="single" w:color="000000" w:sz="4" w:space="0"/>
              <w:right w:val="single" w:color="000000" w:sz="4" w:space="0"/>
            </w:tcBorders>
            <w:vAlign w:val="center"/>
          </w:tcPr>
          <w:p w14:paraId="41A06B8A">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424A6EFD">
            <w:pPr>
              <w:widowControl/>
              <w:jc w:val="center"/>
              <w:textAlignment w:val="center"/>
              <w:rPr>
                <w:sz w:val="22"/>
                <w:szCs w:val="22"/>
              </w:rPr>
            </w:pPr>
            <w:r>
              <w:rPr>
                <w:kern w:val="0"/>
                <w:sz w:val="22"/>
                <w:szCs w:val="22"/>
                <w:lang w:bidi="ar"/>
              </w:rPr>
              <w:t>0.1</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3C90C24B">
            <w:pPr>
              <w:widowControl/>
              <w:jc w:val="center"/>
              <w:textAlignment w:val="center"/>
              <w:rPr>
                <w:sz w:val="22"/>
                <w:szCs w:val="22"/>
              </w:rPr>
            </w:pPr>
            <w:r>
              <w:rPr>
                <w:kern w:val="0"/>
                <w:sz w:val="22"/>
                <w:szCs w:val="22"/>
                <w:lang w:bidi="ar"/>
              </w:rPr>
              <w:t>达标</w:t>
            </w:r>
          </w:p>
        </w:tc>
      </w:tr>
      <w:tr w14:paraId="04C11762">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2E344C29">
            <w:pPr>
              <w:widowControl/>
              <w:jc w:val="center"/>
              <w:textAlignment w:val="center"/>
              <w:rPr>
                <w:sz w:val="22"/>
                <w:szCs w:val="22"/>
              </w:rPr>
            </w:pPr>
            <w:r>
              <w:rPr>
                <w:kern w:val="0"/>
                <w:sz w:val="22"/>
                <w:szCs w:val="22"/>
                <w:lang w:bidi="ar"/>
              </w:rPr>
              <w:t>镉</w:t>
            </w:r>
          </w:p>
        </w:tc>
        <w:tc>
          <w:tcPr>
            <w:tcW w:w="1074" w:type="dxa"/>
            <w:tcBorders>
              <w:top w:val="single" w:color="000000" w:sz="4" w:space="0"/>
              <w:left w:val="single" w:color="000000" w:sz="4" w:space="0"/>
              <w:bottom w:val="single" w:color="000000" w:sz="4" w:space="0"/>
              <w:right w:val="single" w:color="000000" w:sz="4" w:space="0"/>
            </w:tcBorders>
            <w:vAlign w:val="center"/>
          </w:tcPr>
          <w:p w14:paraId="275A9378">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58D81C83">
            <w:pPr>
              <w:widowControl/>
              <w:jc w:val="center"/>
              <w:textAlignment w:val="center"/>
              <w:rPr>
                <w:sz w:val="22"/>
                <w:szCs w:val="22"/>
              </w:rPr>
            </w:pPr>
            <w:r>
              <w:rPr>
                <w:kern w:val="0"/>
                <w:sz w:val="22"/>
                <w:szCs w:val="22"/>
                <w:lang w:bidi="ar"/>
              </w:rPr>
              <w:t>0.01</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75CAB716">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7CDEBD9A">
            <w:pPr>
              <w:widowControl/>
              <w:jc w:val="center"/>
              <w:textAlignment w:val="center"/>
              <w:rPr>
                <w:sz w:val="22"/>
                <w:szCs w:val="22"/>
              </w:rPr>
            </w:pPr>
            <w:r>
              <w:rPr>
                <w:kern w:val="0"/>
                <w:sz w:val="22"/>
                <w:szCs w:val="22"/>
                <w:lang w:bidi="ar"/>
              </w:rPr>
              <w:t>总α放射性</w:t>
            </w:r>
          </w:p>
        </w:tc>
        <w:tc>
          <w:tcPr>
            <w:tcW w:w="854" w:type="dxa"/>
            <w:tcBorders>
              <w:top w:val="single" w:color="000000" w:sz="4" w:space="0"/>
              <w:left w:val="single" w:color="000000" w:sz="4" w:space="0"/>
              <w:bottom w:val="single" w:color="000000" w:sz="4" w:space="0"/>
              <w:right w:val="single" w:color="000000" w:sz="4" w:space="0"/>
            </w:tcBorders>
            <w:vAlign w:val="center"/>
          </w:tcPr>
          <w:p w14:paraId="081CAB78">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4EEACB12">
            <w:pPr>
              <w:widowControl/>
              <w:jc w:val="center"/>
              <w:textAlignment w:val="center"/>
              <w:rPr>
                <w:sz w:val="22"/>
                <w:szCs w:val="22"/>
              </w:rPr>
            </w:pPr>
            <w:r>
              <w:rPr>
                <w:kern w:val="0"/>
                <w:sz w:val="22"/>
                <w:szCs w:val="22"/>
                <w:lang w:bidi="ar"/>
              </w:rPr>
              <w:t>1</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207D5F63">
            <w:pPr>
              <w:widowControl/>
              <w:jc w:val="center"/>
              <w:textAlignment w:val="center"/>
              <w:rPr>
                <w:sz w:val="22"/>
                <w:szCs w:val="22"/>
              </w:rPr>
            </w:pPr>
            <w:r>
              <w:rPr>
                <w:kern w:val="0"/>
                <w:sz w:val="22"/>
                <w:szCs w:val="22"/>
                <w:lang w:bidi="ar"/>
              </w:rPr>
              <w:t>达标</w:t>
            </w:r>
          </w:p>
        </w:tc>
      </w:tr>
      <w:tr w14:paraId="5D352065">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7EAAC9D6">
            <w:pPr>
              <w:widowControl/>
              <w:jc w:val="center"/>
              <w:textAlignment w:val="center"/>
              <w:rPr>
                <w:sz w:val="22"/>
                <w:szCs w:val="22"/>
              </w:rPr>
            </w:pPr>
            <w:r>
              <w:rPr>
                <w:kern w:val="0"/>
                <w:sz w:val="22"/>
                <w:szCs w:val="22"/>
                <w:lang w:bidi="ar"/>
              </w:rPr>
              <w:t>铬</w:t>
            </w:r>
          </w:p>
        </w:tc>
        <w:tc>
          <w:tcPr>
            <w:tcW w:w="1074" w:type="dxa"/>
            <w:tcBorders>
              <w:top w:val="single" w:color="000000" w:sz="4" w:space="0"/>
              <w:left w:val="single" w:color="000000" w:sz="4" w:space="0"/>
              <w:bottom w:val="single" w:color="000000" w:sz="4" w:space="0"/>
              <w:right w:val="single" w:color="000000" w:sz="4" w:space="0"/>
            </w:tcBorders>
            <w:vAlign w:val="center"/>
          </w:tcPr>
          <w:p w14:paraId="790E22A1">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2E537F7D">
            <w:pPr>
              <w:widowControl/>
              <w:jc w:val="center"/>
              <w:textAlignment w:val="center"/>
              <w:rPr>
                <w:sz w:val="22"/>
                <w:szCs w:val="22"/>
              </w:rPr>
            </w:pPr>
            <w:r>
              <w:rPr>
                <w:kern w:val="0"/>
                <w:sz w:val="22"/>
                <w:szCs w:val="22"/>
                <w:lang w:bidi="ar"/>
              </w:rPr>
              <w:t>0.1</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544EA1C5">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67A0E7B8">
            <w:pPr>
              <w:widowControl/>
              <w:jc w:val="center"/>
              <w:textAlignment w:val="center"/>
              <w:rPr>
                <w:sz w:val="22"/>
                <w:szCs w:val="22"/>
              </w:rPr>
            </w:pPr>
            <w:r>
              <w:rPr>
                <w:kern w:val="0"/>
                <w:sz w:val="22"/>
                <w:szCs w:val="22"/>
                <w:lang w:bidi="ar"/>
              </w:rPr>
              <w:t>总氮</w:t>
            </w:r>
          </w:p>
        </w:tc>
        <w:tc>
          <w:tcPr>
            <w:tcW w:w="854" w:type="dxa"/>
            <w:tcBorders>
              <w:top w:val="single" w:color="000000" w:sz="4" w:space="0"/>
              <w:left w:val="single" w:color="000000" w:sz="4" w:space="0"/>
              <w:bottom w:val="single" w:color="000000" w:sz="4" w:space="0"/>
              <w:right w:val="single" w:color="000000" w:sz="4" w:space="0"/>
            </w:tcBorders>
            <w:vAlign w:val="center"/>
          </w:tcPr>
          <w:p w14:paraId="22E65FED">
            <w:pPr>
              <w:widowControl/>
              <w:jc w:val="center"/>
              <w:textAlignment w:val="center"/>
              <w:rPr>
                <w:sz w:val="22"/>
                <w:szCs w:val="22"/>
              </w:rPr>
            </w:pPr>
            <w:r>
              <w:rPr>
                <w:kern w:val="0"/>
                <w:sz w:val="22"/>
                <w:szCs w:val="22"/>
                <w:lang w:bidi="ar"/>
              </w:rPr>
              <w:t>1.23-1.62</w:t>
            </w:r>
          </w:p>
        </w:tc>
        <w:tc>
          <w:tcPr>
            <w:tcW w:w="761" w:type="dxa"/>
            <w:tcBorders>
              <w:top w:val="single" w:color="000000" w:sz="4" w:space="0"/>
              <w:left w:val="single" w:color="000000" w:sz="4" w:space="0"/>
              <w:bottom w:val="single" w:color="000000" w:sz="4" w:space="0"/>
              <w:right w:val="single" w:color="000000" w:sz="4" w:space="0"/>
            </w:tcBorders>
            <w:vAlign w:val="center"/>
          </w:tcPr>
          <w:p w14:paraId="7AFAD804">
            <w:pPr>
              <w:widowControl/>
              <w:jc w:val="center"/>
              <w:textAlignment w:val="center"/>
              <w:rPr>
                <w:sz w:val="22"/>
                <w:szCs w:val="22"/>
              </w:rPr>
            </w:pPr>
            <w:r>
              <w:rPr>
                <w:kern w:val="0"/>
                <w:sz w:val="22"/>
                <w:szCs w:val="22"/>
                <w:lang w:bidi="ar"/>
              </w:rPr>
              <w:t>15</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043E1841">
            <w:pPr>
              <w:widowControl/>
              <w:jc w:val="center"/>
              <w:textAlignment w:val="center"/>
              <w:rPr>
                <w:sz w:val="22"/>
                <w:szCs w:val="22"/>
              </w:rPr>
            </w:pPr>
            <w:r>
              <w:rPr>
                <w:kern w:val="0"/>
                <w:sz w:val="22"/>
                <w:szCs w:val="22"/>
                <w:lang w:bidi="ar"/>
              </w:rPr>
              <w:t>达标</w:t>
            </w:r>
          </w:p>
        </w:tc>
      </w:tr>
      <w:tr w14:paraId="3CB6062A">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5A28B807">
            <w:pPr>
              <w:widowControl/>
              <w:jc w:val="center"/>
              <w:textAlignment w:val="center"/>
              <w:rPr>
                <w:sz w:val="22"/>
                <w:szCs w:val="22"/>
              </w:rPr>
            </w:pPr>
            <w:r>
              <w:rPr>
                <w:kern w:val="0"/>
                <w:sz w:val="22"/>
                <w:szCs w:val="22"/>
                <w:lang w:bidi="ar"/>
              </w:rPr>
              <w:t>汞</w:t>
            </w:r>
          </w:p>
        </w:tc>
        <w:tc>
          <w:tcPr>
            <w:tcW w:w="1074" w:type="dxa"/>
            <w:tcBorders>
              <w:top w:val="single" w:color="000000" w:sz="4" w:space="0"/>
              <w:left w:val="single" w:color="000000" w:sz="4" w:space="0"/>
              <w:bottom w:val="single" w:color="000000" w:sz="4" w:space="0"/>
              <w:right w:val="single" w:color="000000" w:sz="4" w:space="0"/>
            </w:tcBorders>
            <w:vAlign w:val="center"/>
          </w:tcPr>
          <w:p w14:paraId="6728CF9D">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23B1A988">
            <w:pPr>
              <w:widowControl/>
              <w:jc w:val="center"/>
              <w:textAlignment w:val="center"/>
              <w:rPr>
                <w:sz w:val="22"/>
                <w:szCs w:val="22"/>
              </w:rPr>
            </w:pPr>
            <w:r>
              <w:rPr>
                <w:kern w:val="0"/>
                <w:sz w:val="22"/>
                <w:szCs w:val="22"/>
                <w:lang w:bidi="ar"/>
              </w:rPr>
              <w:t>0.001</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71C184AB">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280B9227">
            <w:pPr>
              <w:widowControl/>
              <w:jc w:val="center"/>
              <w:textAlignment w:val="center"/>
              <w:rPr>
                <w:sz w:val="22"/>
                <w:szCs w:val="22"/>
              </w:rPr>
            </w:pPr>
            <w:r>
              <w:rPr>
                <w:kern w:val="0"/>
                <w:sz w:val="22"/>
                <w:szCs w:val="22"/>
                <w:lang w:bidi="ar"/>
              </w:rPr>
              <w:t>总磷</w:t>
            </w:r>
          </w:p>
        </w:tc>
        <w:tc>
          <w:tcPr>
            <w:tcW w:w="854" w:type="dxa"/>
            <w:tcBorders>
              <w:top w:val="single" w:color="000000" w:sz="4" w:space="0"/>
              <w:left w:val="single" w:color="000000" w:sz="4" w:space="0"/>
              <w:bottom w:val="single" w:color="000000" w:sz="4" w:space="0"/>
              <w:right w:val="single" w:color="000000" w:sz="4" w:space="0"/>
            </w:tcBorders>
            <w:vAlign w:val="center"/>
          </w:tcPr>
          <w:p w14:paraId="5EF2A9B9">
            <w:pPr>
              <w:widowControl/>
              <w:jc w:val="center"/>
              <w:textAlignment w:val="center"/>
              <w:rPr>
                <w:sz w:val="22"/>
                <w:szCs w:val="22"/>
              </w:rPr>
            </w:pPr>
            <w:r>
              <w:rPr>
                <w:kern w:val="0"/>
                <w:sz w:val="22"/>
                <w:szCs w:val="22"/>
                <w:lang w:bidi="ar"/>
              </w:rPr>
              <w:t>0.03-0.04</w:t>
            </w:r>
          </w:p>
        </w:tc>
        <w:tc>
          <w:tcPr>
            <w:tcW w:w="761" w:type="dxa"/>
            <w:tcBorders>
              <w:top w:val="single" w:color="000000" w:sz="4" w:space="0"/>
              <w:left w:val="single" w:color="000000" w:sz="4" w:space="0"/>
              <w:bottom w:val="single" w:color="000000" w:sz="4" w:space="0"/>
              <w:right w:val="single" w:color="000000" w:sz="4" w:space="0"/>
            </w:tcBorders>
            <w:vAlign w:val="center"/>
          </w:tcPr>
          <w:p w14:paraId="1E6609F5">
            <w:pPr>
              <w:widowControl/>
              <w:jc w:val="center"/>
              <w:textAlignment w:val="center"/>
              <w:rPr>
                <w:sz w:val="22"/>
                <w:szCs w:val="22"/>
              </w:rPr>
            </w:pPr>
            <w:r>
              <w:rPr>
                <w:kern w:val="0"/>
                <w:sz w:val="22"/>
                <w:szCs w:val="22"/>
                <w:lang w:bidi="ar"/>
              </w:rPr>
              <w:t>0.5</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4B98B71F">
            <w:pPr>
              <w:widowControl/>
              <w:jc w:val="center"/>
              <w:textAlignment w:val="center"/>
              <w:rPr>
                <w:sz w:val="22"/>
                <w:szCs w:val="22"/>
              </w:rPr>
            </w:pPr>
            <w:r>
              <w:rPr>
                <w:kern w:val="0"/>
                <w:sz w:val="22"/>
                <w:szCs w:val="22"/>
                <w:lang w:bidi="ar"/>
              </w:rPr>
              <w:t>达标</w:t>
            </w:r>
          </w:p>
        </w:tc>
      </w:tr>
      <w:tr w14:paraId="09527BEA">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2E17544C">
            <w:pPr>
              <w:widowControl/>
              <w:jc w:val="center"/>
              <w:textAlignment w:val="center"/>
              <w:rPr>
                <w:sz w:val="22"/>
                <w:szCs w:val="22"/>
              </w:rPr>
            </w:pPr>
            <w:r>
              <w:rPr>
                <w:kern w:val="0"/>
                <w:sz w:val="22"/>
                <w:szCs w:val="22"/>
                <w:lang w:bidi="ar"/>
              </w:rPr>
              <w:t>化学需氧量</w:t>
            </w:r>
          </w:p>
        </w:tc>
        <w:tc>
          <w:tcPr>
            <w:tcW w:w="1074" w:type="dxa"/>
            <w:tcBorders>
              <w:top w:val="single" w:color="000000" w:sz="4" w:space="0"/>
              <w:left w:val="single" w:color="000000" w:sz="4" w:space="0"/>
              <w:bottom w:val="single" w:color="000000" w:sz="4" w:space="0"/>
              <w:right w:val="single" w:color="000000" w:sz="4" w:space="0"/>
            </w:tcBorders>
            <w:vAlign w:val="center"/>
          </w:tcPr>
          <w:p w14:paraId="5009B5AF">
            <w:pPr>
              <w:widowControl/>
              <w:jc w:val="center"/>
              <w:textAlignment w:val="center"/>
              <w:rPr>
                <w:sz w:val="22"/>
                <w:szCs w:val="22"/>
              </w:rPr>
            </w:pPr>
            <w:r>
              <w:rPr>
                <w:kern w:val="0"/>
                <w:sz w:val="22"/>
                <w:szCs w:val="22"/>
                <w:lang w:bidi="ar"/>
              </w:rPr>
              <w:t>15-18</w:t>
            </w:r>
          </w:p>
        </w:tc>
        <w:tc>
          <w:tcPr>
            <w:tcW w:w="956" w:type="dxa"/>
            <w:tcBorders>
              <w:top w:val="single" w:color="000000" w:sz="4" w:space="0"/>
              <w:left w:val="single" w:color="000000" w:sz="4" w:space="0"/>
              <w:bottom w:val="single" w:color="000000" w:sz="4" w:space="0"/>
              <w:right w:val="single" w:color="000000" w:sz="4" w:space="0"/>
            </w:tcBorders>
            <w:vAlign w:val="center"/>
          </w:tcPr>
          <w:p w14:paraId="1F8BDEC1">
            <w:pPr>
              <w:widowControl/>
              <w:jc w:val="center"/>
              <w:textAlignment w:val="center"/>
              <w:rPr>
                <w:sz w:val="22"/>
                <w:szCs w:val="22"/>
              </w:rPr>
            </w:pPr>
            <w:r>
              <w:rPr>
                <w:kern w:val="0"/>
                <w:sz w:val="22"/>
                <w:szCs w:val="22"/>
                <w:lang w:bidi="ar"/>
              </w:rPr>
              <w:t>50</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53ED6655">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557BAB03">
            <w:pPr>
              <w:widowControl/>
              <w:jc w:val="center"/>
              <w:textAlignment w:val="center"/>
              <w:rPr>
                <w:sz w:val="22"/>
                <w:szCs w:val="22"/>
              </w:rPr>
            </w:pPr>
            <w:r>
              <w:rPr>
                <w:kern w:val="0"/>
                <w:sz w:val="22"/>
                <w:szCs w:val="22"/>
                <w:lang w:bidi="ar"/>
              </w:rPr>
              <w:t>甲基汞(ng/L)</w:t>
            </w:r>
          </w:p>
        </w:tc>
        <w:tc>
          <w:tcPr>
            <w:tcW w:w="854" w:type="dxa"/>
            <w:tcBorders>
              <w:top w:val="single" w:color="000000" w:sz="4" w:space="0"/>
              <w:left w:val="single" w:color="000000" w:sz="4" w:space="0"/>
              <w:bottom w:val="single" w:color="000000" w:sz="4" w:space="0"/>
              <w:right w:val="single" w:color="000000" w:sz="4" w:space="0"/>
            </w:tcBorders>
            <w:vAlign w:val="center"/>
          </w:tcPr>
          <w:p w14:paraId="045C6DA8">
            <w:pPr>
              <w:widowControl/>
              <w:jc w:val="center"/>
              <w:textAlignment w:val="center"/>
              <w:rPr>
                <w:sz w:val="22"/>
                <w:szCs w:val="22"/>
              </w:rPr>
            </w:pPr>
            <w:r>
              <w:rPr>
                <w:kern w:val="0"/>
                <w:sz w:val="22"/>
                <w:szCs w:val="22"/>
                <w:lang w:bidi="ar"/>
              </w:rPr>
              <w:t>＜0.02</w:t>
            </w:r>
          </w:p>
        </w:tc>
        <w:tc>
          <w:tcPr>
            <w:tcW w:w="761" w:type="dxa"/>
            <w:tcBorders>
              <w:top w:val="single" w:color="000000" w:sz="4" w:space="0"/>
              <w:left w:val="single" w:color="000000" w:sz="4" w:space="0"/>
              <w:bottom w:val="single" w:color="000000" w:sz="4" w:space="0"/>
              <w:right w:val="single" w:color="000000" w:sz="4" w:space="0"/>
            </w:tcBorders>
            <w:noWrap/>
            <w:vAlign w:val="center"/>
          </w:tcPr>
          <w:p w14:paraId="68E77828">
            <w:pPr>
              <w:widowControl/>
              <w:jc w:val="center"/>
              <w:textAlignment w:val="center"/>
              <w:rPr>
                <w:sz w:val="22"/>
                <w:szCs w:val="22"/>
              </w:rPr>
            </w:pPr>
            <w:r>
              <w:rPr>
                <w:kern w:val="0"/>
                <w:sz w:val="22"/>
                <w:szCs w:val="22"/>
                <w:lang w:bidi="ar"/>
              </w:rPr>
              <w:t>/</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12F9843B">
            <w:pPr>
              <w:widowControl/>
              <w:jc w:val="center"/>
              <w:textAlignment w:val="center"/>
              <w:rPr>
                <w:sz w:val="22"/>
                <w:szCs w:val="22"/>
              </w:rPr>
            </w:pPr>
            <w:r>
              <w:rPr>
                <w:kern w:val="0"/>
                <w:sz w:val="22"/>
                <w:szCs w:val="22"/>
                <w:lang w:bidi="ar"/>
              </w:rPr>
              <w:t>达标</w:t>
            </w:r>
          </w:p>
        </w:tc>
      </w:tr>
      <w:tr w14:paraId="26CF68AC">
        <w:tblPrEx>
          <w:tblCellMar>
            <w:top w:w="0" w:type="dxa"/>
            <w:left w:w="0" w:type="dxa"/>
            <w:bottom w:w="0" w:type="dxa"/>
            <w:right w:w="0" w:type="dxa"/>
          </w:tblCellMar>
        </w:tblPrEx>
        <w:trPr>
          <w:trHeight w:val="540"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3C68877D">
            <w:pPr>
              <w:widowControl/>
              <w:jc w:val="center"/>
              <w:textAlignment w:val="center"/>
              <w:rPr>
                <w:sz w:val="22"/>
                <w:szCs w:val="22"/>
              </w:rPr>
            </w:pPr>
            <w:r>
              <w:rPr>
                <w:kern w:val="0"/>
                <w:sz w:val="22"/>
                <w:szCs w:val="22"/>
                <w:lang w:bidi="ar"/>
              </w:rPr>
              <w:t>挥发酚</w:t>
            </w:r>
          </w:p>
        </w:tc>
        <w:tc>
          <w:tcPr>
            <w:tcW w:w="1074" w:type="dxa"/>
            <w:tcBorders>
              <w:top w:val="single" w:color="000000" w:sz="4" w:space="0"/>
              <w:left w:val="single" w:color="000000" w:sz="4" w:space="0"/>
              <w:bottom w:val="single" w:color="000000" w:sz="4" w:space="0"/>
              <w:right w:val="single" w:color="000000" w:sz="4" w:space="0"/>
            </w:tcBorders>
            <w:vAlign w:val="center"/>
          </w:tcPr>
          <w:p w14:paraId="1122AB31">
            <w:pPr>
              <w:widowControl/>
              <w:jc w:val="center"/>
              <w:textAlignment w:val="center"/>
              <w:rPr>
                <w:sz w:val="22"/>
                <w:szCs w:val="22"/>
              </w:rPr>
            </w:pPr>
            <w:r>
              <w:rPr>
                <w:kern w:val="0"/>
                <w:sz w:val="22"/>
                <w:szCs w:val="22"/>
                <w:lang w:bidi="ar"/>
              </w:rPr>
              <w:t>0.005-0.007</w:t>
            </w:r>
          </w:p>
        </w:tc>
        <w:tc>
          <w:tcPr>
            <w:tcW w:w="956" w:type="dxa"/>
            <w:tcBorders>
              <w:top w:val="single" w:color="000000" w:sz="4" w:space="0"/>
              <w:left w:val="single" w:color="000000" w:sz="4" w:space="0"/>
              <w:bottom w:val="single" w:color="000000" w:sz="4" w:space="0"/>
              <w:right w:val="single" w:color="000000" w:sz="4" w:space="0"/>
            </w:tcBorders>
            <w:vAlign w:val="center"/>
          </w:tcPr>
          <w:p w14:paraId="7A0E3609">
            <w:pPr>
              <w:widowControl/>
              <w:jc w:val="center"/>
              <w:textAlignment w:val="center"/>
              <w:rPr>
                <w:sz w:val="22"/>
                <w:szCs w:val="22"/>
              </w:rPr>
            </w:pPr>
            <w:r>
              <w:rPr>
                <w:kern w:val="0"/>
                <w:sz w:val="22"/>
                <w:szCs w:val="22"/>
                <w:lang w:bidi="ar"/>
              </w:rPr>
              <w:t>0.5</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0E3C032A">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2F521A88">
            <w:pPr>
              <w:widowControl/>
              <w:jc w:val="center"/>
              <w:textAlignment w:val="center"/>
              <w:rPr>
                <w:sz w:val="22"/>
                <w:szCs w:val="22"/>
              </w:rPr>
            </w:pPr>
            <w:r>
              <w:rPr>
                <w:kern w:val="0"/>
                <w:sz w:val="22"/>
                <w:szCs w:val="22"/>
                <w:lang w:bidi="ar"/>
              </w:rPr>
              <w:t>甲醛</w:t>
            </w:r>
          </w:p>
        </w:tc>
        <w:tc>
          <w:tcPr>
            <w:tcW w:w="854" w:type="dxa"/>
            <w:tcBorders>
              <w:top w:val="single" w:color="000000" w:sz="4" w:space="0"/>
              <w:left w:val="single" w:color="000000" w:sz="4" w:space="0"/>
              <w:bottom w:val="single" w:color="000000" w:sz="4" w:space="0"/>
              <w:right w:val="single" w:color="000000" w:sz="4" w:space="0"/>
            </w:tcBorders>
            <w:vAlign w:val="center"/>
          </w:tcPr>
          <w:p w14:paraId="7BD096B0">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vAlign w:val="center"/>
          </w:tcPr>
          <w:p w14:paraId="0C31E27D">
            <w:pPr>
              <w:widowControl/>
              <w:jc w:val="center"/>
              <w:textAlignment w:val="center"/>
              <w:rPr>
                <w:sz w:val="22"/>
                <w:szCs w:val="22"/>
              </w:rPr>
            </w:pPr>
            <w:r>
              <w:rPr>
                <w:kern w:val="0"/>
                <w:sz w:val="22"/>
                <w:szCs w:val="22"/>
                <w:lang w:bidi="ar"/>
              </w:rPr>
              <w:t>1</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70CA9552">
            <w:pPr>
              <w:widowControl/>
              <w:jc w:val="center"/>
              <w:textAlignment w:val="center"/>
              <w:rPr>
                <w:sz w:val="22"/>
                <w:szCs w:val="22"/>
              </w:rPr>
            </w:pPr>
            <w:r>
              <w:rPr>
                <w:kern w:val="0"/>
                <w:sz w:val="22"/>
                <w:szCs w:val="22"/>
                <w:lang w:bidi="ar"/>
              </w:rPr>
              <w:t>达标</w:t>
            </w:r>
          </w:p>
        </w:tc>
      </w:tr>
      <w:tr w14:paraId="4CE22045">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7DEF47F3">
            <w:pPr>
              <w:widowControl/>
              <w:jc w:val="center"/>
              <w:textAlignment w:val="center"/>
              <w:rPr>
                <w:sz w:val="22"/>
                <w:szCs w:val="22"/>
              </w:rPr>
            </w:pPr>
            <w:r>
              <w:rPr>
                <w:kern w:val="0"/>
                <w:sz w:val="22"/>
                <w:szCs w:val="22"/>
                <w:lang w:bidi="ar"/>
              </w:rPr>
              <w:t>间-二硝基苯(μg/L)</w:t>
            </w:r>
          </w:p>
        </w:tc>
        <w:tc>
          <w:tcPr>
            <w:tcW w:w="1074" w:type="dxa"/>
            <w:tcBorders>
              <w:top w:val="single" w:color="000000" w:sz="4" w:space="0"/>
              <w:left w:val="single" w:color="000000" w:sz="4" w:space="0"/>
              <w:bottom w:val="single" w:color="000000" w:sz="4" w:space="0"/>
              <w:right w:val="single" w:color="000000" w:sz="4" w:space="0"/>
            </w:tcBorders>
            <w:vAlign w:val="center"/>
          </w:tcPr>
          <w:p w14:paraId="5FA841B1">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noWrap/>
            <w:vAlign w:val="center"/>
          </w:tcPr>
          <w:p w14:paraId="54ED0C6D">
            <w:pPr>
              <w:widowControl/>
              <w:jc w:val="center"/>
              <w:textAlignment w:val="center"/>
              <w:rPr>
                <w:sz w:val="22"/>
                <w:szCs w:val="22"/>
              </w:rPr>
            </w:pPr>
            <w:r>
              <w:rPr>
                <w:kern w:val="0"/>
                <w:sz w:val="22"/>
                <w:szCs w:val="22"/>
                <w:lang w:bidi="ar"/>
              </w:rPr>
              <w:t>/</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2502855F">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vAlign w:val="center"/>
          </w:tcPr>
          <w:p w14:paraId="6CC343D5">
            <w:pPr>
              <w:widowControl/>
              <w:jc w:val="center"/>
              <w:textAlignment w:val="center"/>
              <w:rPr>
                <w:sz w:val="22"/>
                <w:szCs w:val="22"/>
              </w:rPr>
            </w:pPr>
            <w:r>
              <w:rPr>
                <w:kern w:val="0"/>
                <w:sz w:val="22"/>
                <w:szCs w:val="22"/>
                <w:lang w:bidi="ar"/>
              </w:rPr>
              <w:t>间,对-二甲苯</w:t>
            </w:r>
          </w:p>
        </w:tc>
        <w:tc>
          <w:tcPr>
            <w:tcW w:w="854" w:type="dxa"/>
            <w:tcBorders>
              <w:top w:val="single" w:color="000000" w:sz="4" w:space="0"/>
              <w:left w:val="single" w:color="000000" w:sz="4" w:space="0"/>
              <w:bottom w:val="single" w:color="000000" w:sz="4" w:space="0"/>
              <w:right w:val="single" w:color="000000" w:sz="4" w:space="0"/>
            </w:tcBorders>
            <w:vAlign w:val="center"/>
          </w:tcPr>
          <w:p w14:paraId="1A0E36AC">
            <w:pPr>
              <w:widowControl/>
              <w:jc w:val="center"/>
              <w:textAlignment w:val="center"/>
              <w:rPr>
                <w:sz w:val="22"/>
                <w:szCs w:val="22"/>
              </w:rPr>
            </w:pPr>
            <w:r>
              <w:rPr>
                <w:kern w:val="0"/>
                <w:sz w:val="22"/>
                <w:szCs w:val="22"/>
                <w:lang w:bidi="ar"/>
              </w:rPr>
              <w:t>ND</w:t>
            </w:r>
          </w:p>
        </w:tc>
        <w:tc>
          <w:tcPr>
            <w:tcW w:w="761" w:type="dxa"/>
            <w:tcBorders>
              <w:top w:val="single" w:color="000000" w:sz="4" w:space="0"/>
              <w:left w:val="single" w:color="000000" w:sz="4" w:space="0"/>
              <w:bottom w:val="single" w:color="000000" w:sz="4" w:space="0"/>
              <w:right w:val="single" w:color="000000" w:sz="4" w:space="0"/>
            </w:tcBorders>
            <w:noWrap/>
            <w:vAlign w:val="center"/>
          </w:tcPr>
          <w:p w14:paraId="2E54145D">
            <w:pPr>
              <w:widowControl/>
              <w:jc w:val="center"/>
              <w:textAlignment w:val="center"/>
              <w:rPr>
                <w:sz w:val="22"/>
                <w:szCs w:val="22"/>
              </w:rPr>
            </w:pPr>
            <w:r>
              <w:rPr>
                <w:kern w:val="0"/>
                <w:sz w:val="22"/>
                <w:szCs w:val="22"/>
                <w:lang w:bidi="ar"/>
              </w:rPr>
              <w:t>/</w:t>
            </w: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6A9E103F">
            <w:pPr>
              <w:widowControl/>
              <w:jc w:val="center"/>
              <w:textAlignment w:val="center"/>
              <w:rPr>
                <w:sz w:val="22"/>
                <w:szCs w:val="22"/>
              </w:rPr>
            </w:pPr>
            <w:r>
              <w:rPr>
                <w:kern w:val="0"/>
                <w:sz w:val="22"/>
                <w:szCs w:val="22"/>
                <w:lang w:bidi="ar"/>
              </w:rPr>
              <w:t>达标</w:t>
            </w:r>
          </w:p>
        </w:tc>
      </w:tr>
      <w:tr w14:paraId="716AECAC">
        <w:tblPrEx>
          <w:tblCellMar>
            <w:top w:w="0" w:type="dxa"/>
            <w:left w:w="0" w:type="dxa"/>
            <w:bottom w:w="0" w:type="dxa"/>
            <w:right w:w="0" w:type="dxa"/>
          </w:tblCellMar>
        </w:tblPrEx>
        <w:trPr>
          <w:trHeight w:val="28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19FCD9AD">
            <w:pPr>
              <w:widowControl/>
              <w:jc w:val="center"/>
              <w:textAlignment w:val="center"/>
              <w:rPr>
                <w:sz w:val="22"/>
                <w:szCs w:val="22"/>
              </w:rPr>
            </w:pPr>
            <w:r>
              <w:rPr>
                <w:kern w:val="0"/>
                <w:sz w:val="22"/>
                <w:szCs w:val="22"/>
                <w:lang w:bidi="ar"/>
              </w:rPr>
              <w:t>甲苯</w:t>
            </w:r>
          </w:p>
        </w:tc>
        <w:tc>
          <w:tcPr>
            <w:tcW w:w="1074" w:type="dxa"/>
            <w:tcBorders>
              <w:top w:val="single" w:color="000000" w:sz="4" w:space="0"/>
              <w:left w:val="single" w:color="000000" w:sz="4" w:space="0"/>
              <w:bottom w:val="single" w:color="000000" w:sz="4" w:space="0"/>
              <w:right w:val="single" w:color="000000" w:sz="4" w:space="0"/>
            </w:tcBorders>
            <w:vAlign w:val="center"/>
          </w:tcPr>
          <w:p w14:paraId="143776D3">
            <w:pPr>
              <w:widowControl/>
              <w:jc w:val="center"/>
              <w:textAlignment w:val="center"/>
              <w:rPr>
                <w:sz w:val="22"/>
                <w:szCs w:val="22"/>
              </w:rPr>
            </w:pPr>
            <w:r>
              <w:rPr>
                <w:kern w:val="0"/>
                <w:sz w:val="22"/>
                <w:szCs w:val="22"/>
                <w:lang w:bidi="ar"/>
              </w:rPr>
              <w:t>ND</w:t>
            </w:r>
          </w:p>
        </w:tc>
        <w:tc>
          <w:tcPr>
            <w:tcW w:w="956" w:type="dxa"/>
            <w:tcBorders>
              <w:top w:val="single" w:color="000000" w:sz="4" w:space="0"/>
              <w:left w:val="single" w:color="000000" w:sz="4" w:space="0"/>
              <w:bottom w:val="single" w:color="000000" w:sz="4" w:space="0"/>
              <w:right w:val="single" w:color="000000" w:sz="4" w:space="0"/>
            </w:tcBorders>
            <w:vAlign w:val="center"/>
          </w:tcPr>
          <w:p w14:paraId="2ED6403D">
            <w:pPr>
              <w:widowControl/>
              <w:jc w:val="center"/>
              <w:textAlignment w:val="center"/>
              <w:rPr>
                <w:sz w:val="22"/>
                <w:szCs w:val="22"/>
              </w:rPr>
            </w:pPr>
            <w:r>
              <w:rPr>
                <w:kern w:val="0"/>
                <w:sz w:val="22"/>
                <w:szCs w:val="22"/>
                <w:lang w:bidi="ar"/>
              </w:rPr>
              <w:t>0.1</w:t>
            </w:r>
          </w:p>
        </w:tc>
        <w:tc>
          <w:tcPr>
            <w:tcW w:w="1124" w:type="dxa"/>
            <w:tcBorders>
              <w:top w:val="single" w:color="000000" w:sz="4" w:space="0"/>
              <w:left w:val="single" w:color="000000" w:sz="4" w:space="0"/>
              <w:bottom w:val="single" w:color="000000" w:sz="4" w:space="0"/>
              <w:right w:val="single" w:color="000000" w:sz="4" w:space="0"/>
            </w:tcBorders>
            <w:noWrap/>
            <w:vAlign w:val="center"/>
          </w:tcPr>
          <w:p w14:paraId="6C6B37DA">
            <w:pPr>
              <w:widowControl/>
              <w:jc w:val="center"/>
              <w:textAlignment w:val="center"/>
              <w:rPr>
                <w:sz w:val="22"/>
                <w:szCs w:val="22"/>
              </w:rPr>
            </w:pPr>
            <w:r>
              <w:rPr>
                <w:kern w:val="0"/>
                <w:sz w:val="22"/>
                <w:szCs w:val="22"/>
                <w:lang w:bidi="ar"/>
              </w:rPr>
              <w:t>达标</w:t>
            </w:r>
          </w:p>
        </w:tc>
        <w:tc>
          <w:tcPr>
            <w:tcW w:w="1214" w:type="dxa"/>
            <w:tcBorders>
              <w:top w:val="single" w:color="000000" w:sz="4" w:space="0"/>
              <w:left w:val="single" w:color="000000" w:sz="4" w:space="0"/>
              <w:bottom w:val="single" w:color="000000" w:sz="4" w:space="0"/>
              <w:right w:val="single" w:color="000000" w:sz="4" w:space="0"/>
            </w:tcBorders>
            <w:noWrap/>
            <w:vAlign w:val="center"/>
          </w:tcPr>
          <w:p w14:paraId="684AA246">
            <w:pPr>
              <w:jc w:val="center"/>
              <w:rPr>
                <w:sz w:val="22"/>
                <w:szCs w:val="22"/>
              </w:rPr>
            </w:pP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12404FD8">
            <w:pPr>
              <w:jc w:val="center"/>
              <w:rPr>
                <w:sz w:val="22"/>
                <w:szCs w:val="22"/>
              </w:rPr>
            </w:pPr>
          </w:p>
        </w:tc>
        <w:tc>
          <w:tcPr>
            <w:tcW w:w="761" w:type="dxa"/>
            <w:tcBorders>
              <w:top w:val="single" w:color="000000" w:sz="4" w:space="0"/>
              <w:left w:val="single" w:color="000000" w:sz="4" w:space="0"/>
              <w:bottom w:val="single" w:color="000000" w:sz="4" w:space="0"/>
              <w:right w:val="single" w:color="000000" w:sz="4" w:space="0"/>
            </w:tcBorders>
            <w:noWrap/>
            <w:vAlign w:val="center"/>
          </w:tcPr>
          <w:p w14:paraId="4843C0F9">
            <w:pPr>
              <w:jc w:val="center"/>
              <w:rPr>
                <w:sz w:val="22"/>
                <w:szCs w:val="22"/>
              </w:rPr>
            </w:pPr>
          </w:p>
        </w:tc>
        <w:tc>
          <w:tcPr>
            <w:tcW w:w="1123" w:type="dxa"/>
            <w:tcBorders>
              <w:top w:val="single" w:color="000000" w:sz="4" w:space="0"/>
              <w:left w:val="single" w:color="000000" w:sz="4" w:space="0"/>
              <w:bottom w:val="single" w:color="000000" w:sz="4" w:space="0"/>
              <w:right w:val="single" w:color="000000" w:sz="4" w:space="0"/>
            </w:tcBorders>
            <w:noWrap/>
            <w:vAlign w:val="center"/>
          </w:tcPr>
          <w:p w14:paraId="6A4EF070">
            <w:pPr>
              <w:jc w:val="center"/>
              <w:rPr>
                <w:sz w:val="22"/>
                <w:szCs w:val="22"/>
              </w:rPr>
            </w:pPr>
          </w:p>
        </w:tc>
      </w:tr>
    </w:tbl>
    <w:p w14:paraId="2E068995">
      <w:pPr>
        <w:pStyle w:val="1379"/>
        <w:ind w:firstLine="440"/>
      </w:pPr>
    </w:p>
    <w:p w14:paraId="4BD8DFC9">
      <w:pPr>
        <w:adjustRightInd w:val="0"/>
        <w:snapToGrid w:val="0"/>
        <w:spacing w:line="480" w:lineRule="exact"/>
        <w:ind w:firstLine="520" w:firstLineChars="200"/>
        <w:rPr>
          <w:sz w:val="26"/>
          <w:szCs w:val="26"/>
        </w:rPr>
      </w:pPr>
      <w:r>
        <w:rPr>
          <w:rFonts w:hint="eastAsia"/>
          <w:sz w:val="26"/>
          <w:szCs w:val="26"/>
        </w:rPr>
        <w:t>综上，</w:t>
      </w:r>
      <w:r>
        <w:rPr>
          <w:sz w:val="26"/>
          <w:szCs w:val="26"/>
        </w:rPr>
        <w:t>油气田废水处理站的深度处理的出水水质能够满足《城镇污水处理厂污染物排放标准》（GB18918-2002）一级A类水质</w:t>
      </w:r>
      <w:r>
        <w:rPr>
          <w:rFonts w:hint="eastAsia"/>
          <w:sz w:val="26"/>
          <w:szCs w:val="26"/>
        </w:rPr>
        <w:t>要求，</w:t>
      </w:r>
      <w:r>
        <w:rPr>
          <w:sz w:val="26"/>
          <w:szCs w:val="26"/>
        </w:rPr>
        <w:t>剩余处理能力，完全能够满足本项目</w:t>
      </w:r>
      <w:r>
        <w:rPr>
          <w:rFonts w:hint="eastAsia"/>
          <w:sz w:val="26"/>
          <w:szCs w:val="26"/>
        </w:rPr>
        <w:t>气田水</w:t>
      </w:r>
      <w:r>
        <w:rPr>
          <w:sz w:val="26"/>
          <w:szCs w:val="26"/>
        </w:rPr>
        <w:t>处理要求，具有可依托性。</w:t>
      </w:r>
    </w:p>
    <w:p w14:paraId="5A0E06DF">
      <w:pPr>
        <w:spacing w:line="480" w:lineRule="exact"/>
        <w:ind w:firstLine="560"/>
        <w:rPr>
          <w:sz w:val="26"/>
          <w:szCs w:val="26"/>
        </w:rPr>
      </w:pPr>
      <w:r>
        <w:rPr>
          <w:rFonts w:hint="eastAsia"/>
          <w:sz w:val="26"/>
          <w:szCs w:val="26"/>
        </w:rPr>
        <w:t>（2）</w:t>
      </w:r>
      <w:r>
        <w:rPr>
          <w:sz w:val="26"/>
          <w:szCs w:val="26"/>
        </w:rPr>
        <w:t>四川兴澳环境技术服务有限公司油气井地下水处理站</w:t>
      </w:r>
    </w:p>
    <w:p w14:paraId="672A8595">
      <w:pPr>
        <w:adjustRightInd w:val="0"/>
        <w:snapToGrid w:val="0"/>
        <w:spacing w:line="480" w:lineRule="exact"/>
        <w:ind w:left="520"/>
        <w:rPr>
          <w:sz w:val="26"/>
          <w:szCs w:val="26"/>
        </w:rPr>
      </w:pPr>
      <w:r>
        <w:rPr>
          <w:sz w:val="26"/>
          <w:szCs w:val="26"/>
        </w:rPr>
        <w:t>油气井地下水处理站具体水处理工艺见图下图。</w:t>
      </w:r>
    </w:p>
    <w:p w14:paraId="65538689">
      <w:pPr>
        <w:adjustRightInd w:val="0"/>
        <w:snapToGrid w:val="0"/>
        <w:ind w:left="520"/>
        <w:rPr>
          <w:sz w:val="26"/>
          <w:szCs w:val="26"/>
        </w:rPr>
      </w:pPr>
    </w:p>
    <w:tbl>
      <w:tblPr>
        <w:tblStyle w:val="8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DF0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05D14B4">
            <w:pPr>
              <w:adjustRightInd w:val="0"/>
              <w:snapToGrid w:val="0"/>
              <w:spacing w:line="480" w:lineRule="exact"/>
              <w:jc w:val="center"/>
              <w:rPr>
                <w:sz w:val="26"/>
                <w:szCs w:val="26"/>
              </w:rPr>
            </w:pPr>
            <w:r>
              <w:drawing>
                <wp:anchor distT="0" distB="0" distL="114300" distR="114300" simplePos="0" relativeHeight="251662336" behindDoc="1" locked="0" layoutInCell="1" allowOverlap="1">
                  <wp:simplePos x="0" y="0"/>
                  <wp:positionH relativeFrom="column">
                    <wp:posOffset>-65405</wp:posOffset>
                  </wp:positionH>
                  <wp:positionV relativeFrom="paragraph">
                    <wp:posOffset>0</wp:posOffset>
                  </wp:positionV>
                  <wp:extent cx="5201285" cy="2004695"/>
                  <wp:effectExtent l="0" t="0" r="0" b="0"/>
                  <wp:wrapTight wrapText="bothSides">
                    <wp:wrapPolygon>
                      <wp:start x="0" y="0"/>
                      <wp:lineTo x="0" y="21347"/>
                      <wp:lineTo x="21518" y="21347"/>
                      <wp:lineTo x="21518" y="0"/>
                      <wp:lineTo x="0" y="0"/>
                    </wp:wrapPolygon>
                  </wp:wrapTight>
                  <wp:docPr id="39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9"/>
                          <pic:cNvPicPr>
                            <a:picLocks noChangeAspect="1"/>
                          </pic:cNvPicPr>
                        </pic:nvPicPr>
                        <pic:blipFill>
                          <a:blip r:embed="rId93"/>
                          <a:stretch>
                            <a:fillRect/>
                          </a:stretch>
                        </pic:blipFill>
                        <pic:spPr>
                          <a:xfrm>
                            <a:off x="0" y="0"/>
                            <a:ext cx="5201285" cy="2004695"/>
                          </a:xfrm>
                          <a:prstGeom prst="rect">
                            <a:avLst/>
                          </a:prstGeom>
                          <a:noFill/>
                          <a:ln>
                            <a:noFill/>
                          </a:ln>
                        </pic:spPr>
                      </pic:pic>
                    </a:graphicData>
                  </a:graphic>
                </wp:anchor>
              </w:drawing>
            </w:r>
            <w:r>
              <w:rPr>
                <w:rFonts w:hint="eastAsia"/>
                <w:sz w:val="26"/>
                <w:szCs w:val="26"/>
              </w:rPr>
              <w:t>图8</w:t>
            </w:r>
            <w:r>
              <w:rPr>
                <w:sz w:val="26"/>
                <w:szCs w:val="26"/>
              </w:rPr>
              <w:t>.3-2  油气井地下水处理站水处理工艺流程</w:t>
            </w:r>
          </w:p>
        </w:tc>
      </w:tr>
    </w:tbl>
    <w:p w14:paraId="1F841AED">
      <w:pPr>
        <w:pStyle w:val="1379"/>
        <w:ind w:firstLine="440"/>
      </w:pPr>
    </w:p>
    <w:p w14:paraId="2A09B770">
      <w:pPr>
        <w:adjustRightInd w:val="0"/>
        <w:snapToGrid w:val="0"/>
        <w:spacing w:line="480" w:lineRule="exact"/>
        <w:ind w:firstLine="520" w:firstLineChars="200"/>
        <w:rPr>
          <w:sz w:val="26"/>
          <w:szCs w:val="26"/>
        </w:rPr>
      </w:pPr>
      <w:r>
        <w:rPr>
          <w:sz w:val="26"/>
          <w:szCs w:val="26"/>
        </w:rPr>
        <w:t>工艺介绍：油气井地下水处理站根据来水水质情况主要有</w:t>
      </w:r>
      <w:r>
        <w:rPr>
          <w:rFonts w:hint="eastAsia"/>
          <w:sz w:val="26"/>
          <w:szCs w:val="26"/>
        </w:rPr>
        <w:t>2</w:t>
      </w:r>
      <w:r>
        <w:rPr>
          <w:sz w:val="26"/>
          <w:szCs w:val="26"/>
        </w:rPr>
        <w:t>种水处理工艺。工艺一：氯离子含量≤15000mg/L且总硬度≤100mg/L 的气田水经电渗析处理后，淡水进入排放池达标排放，浓水进入收集池（高氯水）经“化学氧化+软化+固液分离+三效蒸发+SBR生化工艺”处理达标后外排至溪浴西河；工艺二：氯离子含量＞15000mg/L 且总硬度＞100mg/L的气田水汇同电渗析浓水经“化学氧化+软化+固液分离+三效蒸发+SBR生化工艺”处理达标后外排至溪浴西河。污泥预处理合格后经四川京联市政环保工程股份有限公司通江分公司负责运至垃圾填埋场处置。三效蒸发产生的浓水经增稠器处理后结晶伴生盐收集后外售（目前与成都中勤环保材料有限公司签订协议），母液经深度氧化处理后进入废水系统再次处理。</w:t>
      </w:r>
    </w:p>
    <w:p w14:paraId="51CF0626">
      <w:pPr>
        <w:adjustRightInd w:val="0"/>
        <w:snapToGrid w:val="0"/>
        <w:spacing w:line="480" w:lineRule="exact"/>
        <w:ind w:firstLine="520" w:firstLineChars="200"/>
        <w:rPr>
          <w:sz w:val="26"/>
          <w:szCs w:val="26"/>
        </w:rPr>
      </w:pPr>
      <w:r>
        <w:rPr>
          <w:sz w:val="26"/>
          <w:szCs w:val="26"/>
        </w:rPr>
        <w:t>油气井地下水处理站氯化物执行《农田灌溉水质标准》（GB5084-2021）标准值，其余项目执行《污水综合排放标准》（GB8978-1996）一级标准。</w:t>
      </w:r>
    </w:p>
    <w:p w14:paraId="0E2BBE11">
      <w:pPr>
        <w:adjustRightInd w:val="0"/>
        <w:snapToGrid w:val="0"/>
        <w:spacing w:line="480" w:lineRule="exact"/>
        <w:ind w:firstLine="520" w:firstLineChars="200"/>
        <w:rPr>
          <w:sz w:val="26"/>
          <w:szCs w:val="26"/>
        </w:rPr>
      </w:pPr>
      <w:r>
        <w:rPr>
          <w:sz w:val="26"/>
          <w:szCs w:val="26"/>
        </w:rPr>
        <w:t>2025年11月</w:t>
      </w:r>
      <w:r>
        <w:rPr>
          <w:rFonts w:hint="eastAsia"/>
          <w:sz w:val="26"/>
          <w:szCs w:val="26"/>
        </w:rPr>
        <w:t>5日，</w:t>
      </w:r>
      <w:r>
        <w:rPr>
          <w:sz w:val="26"/>
          <w:szCs w:val="26"/>
        </w:rPr>
        <w:t>油气井地下水处理站对</w:t>
      </w:r>
      <w:r>
        <w:rPr>
          <w:rFonts w:hint="eastAsia"/>
          <w:sz w:val="26"/>
          <w:szCs w:val="26"/>
        </w:rPr>
        <w:t>处理站污水排放口</w:t>
      </w:r>
      <w:r>
        <w:rPr>
          <w:sz w:val="26"/>
          <w:szCs w:val="26"/>
        </w:rPr>
        <w:t>出水水质进行了</w:t>
      </w:r>
      <w:r>
        <w:rPr>
          <w:rFonts w:hint="eastAsia"/>
          <w:sz w:val="26"/>
          <w:szCs w:val="26"/>
        </w:rPr>
        <w:t>1</w:t>
      </w:r>
      <w:r>
        <w:rPr>
          <w:sz w:val="26"/>
          <w:szCs w:val="26"/>
        </w:rPr>
        <w:t>天</w:t>
      </w:r>
      <w:r>
        <w:rPr>
          <w:rFonts w:hint="eastAsia"/>
          <w:sz w:val="26"/>
          <w:szCs w:val="26"/>
        </w:rPr>
        <w:t>3</w:t>
      </w:r>
      <w:r>
        <w:rPr>
          <w:sz w:val="26"/>
          <w:szCs w:val="26"/>
        </w:rPr>
        <w:t>次</w:t>
      </w:r>
      <w:r>
        <w:rPr>
          <w:rFonts w:hint="eastAsia"/>
          <w:sz w:val="26"/>
          <w:szCs w:val="26"/>
        </w:rPr>
        <w:t>采样</w:t>
      </w:r>
      <w:r>
        <w:rPr>
          <w:sz w:val="26"/>
          <w:szCs w:val="26"/>
        </w:rPr>
        <w:t>监测，监测结果表明，出水水质所有监测因子均能满足《城镇污水处理厂污染物排放标准》（GB18918-2002）一级A类水质要求以及《污水综合排放标准》（GB 8978-1996）一级标准要求，出水水质情况能够稳定达标排放，具体监测结果见下表。</w:t>
      </w:r>
    </w:p>
    <w:p w14:paraId="3F2758FC">
      <w:pPr>
        <w:pStyle w:val="1379"/>
        <w:ind w:firstLine="440"/>
      </w:pPr>
    </w:p>
    <w:p w14:paraId="638D87F9">
      <w:pPr>
        <w:adjustRightInd w:val="0"/>
        <w:snapToGrid w:val="0"/>
        <w:jc w:val="center"/>
        <w:rPr>
          <w:bCs/>
          <w:kern w:val="0"/>
          <w:sz w:val="26"/>
          <w:szCs w:val="26"/>
        </w:rPr>
      </w:pPr>
      <w:r>
        <w:rPr>
          <w:rFonts w:hint="eastAsia"/>
          <w:sz w:val="26"/>
          <w:szCs w:val="26"/>
        </w:rPr>
        <w:t>表</w:t>
      </w:r>
      <w:r>
        <w:rPr>
          <w:sz w:val="26"/>
          <w:szCs w:val="26"/>
        </w:rPr>
        <w:t>8.3</w:t>
      </w:r>
      <w:r>
        <w:rPr>
          <w:rFonts w:hint="eastAsia"/>
          <w:sz w:val="26"/>
          <w:szCs w:val="26"/>
        </w:rPr>
        <w:t>-</w:t>
      </w:r>
      <w:r>
        <w:rPr>
          <w:sz w:val="26"/>
          <w:szCs w:val="26"/>
        </w:rPr>
        <w:t>4</w:t>
      </w:r>
      <w:r>
        <w:rPr>
          <w:bCs/>
          <w:kern w:val="0"/>
          <w:sz w:val="26"/>
          <w:szCs w:val="26"/>
        </w:rPr>
        <w:t xml:space="preserve">  </w:t>
      </w:r>
      <w:r>
        <w:rPr>
          <w:sz w:val="26"/>
          <w:szCs w:val="26"/>
        </w:rPr>
        <w:t>油气井地下水处理站</w:t>
      </w:r>
      <w:r>
        <w:rPr>
          <w:rFonts w:hint="eastAsia"/>
          <w:bCs/>
          <w:kern w:val="0"/>
          <w:sz w:val="26"/>
          <w:szCs w:val="26"/>
        </w:rPr>
        <w:t>出水</w:t>
      </w:r>
      <w:r>
        <w:rPr>
          <w:bCs/>
          <w:kern w:val="0"/>
          <w:sz w:val="26"/>
          <w:szCs w:val="26"/>
        </w:rPr>
        <w:t>水质</w:t>
      </w:r>
      <w:r>
        <w:rPr>
          <w:rFonts w:hint="eastAsia"/>
          <w:bCs/>
          <w:kern w:val="0"/>
          <w:sz w:val="26"/>
          <w:szCs w:val="26"/>
        </w:rPr>
        <w:t>监测结果</w:t>
      </w:r>
      <w:r>
        <w:rPr>
          <w:bCs/>
          <w:kern w:val="0"/>
          <w:sz w:val="26"/>
          <w:szCs w:val="26"/>
        </w:rPr>
        <w:t xml:space="preserve"> </w:t>
      </w:r>
    </w:p>
    <w:tbl>
      <w:tblPr>
        <w:tblStyle w:val="89"/>
        <w:tblW w:w="8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92"/>
        <w:gridCol w:w="1095"/>
        <w:gridCol w:w="1384"/>
        <w:gridCol w:w="1259"/>
        <w:gridCol w:w="1226"/>
        <w:gridCol w:w="905"/>
        <w:gridCol w:w="1155"/>
      </w:tblGrid>
      <w:tr w14:paraId="5EF3B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1292" w:type="dxa"/>
            <w:vMerge w:val="restart"/>
            <w:vAlign w:val="center"/>
          </w:tcPr>
          <w:p w14:paraId="47A63FC9">
            <w:pPr>
              <w:adjustRightInd w:val="0"/>
              <w:snapToGrid w:val="0"/>
              <w:jc w:val="center"/>
              <w:rPr>
                <w:bCs/>
                <w:sz w:val="22"/>
              </w:rPr>
            </w:pPr>
            <w:r>
              <w:rPr>
                <w:bCs/>
                <w:sz w:val="22"/>
              </w:rPr>
              <w:t>指标</w:t>
            </w:r>
          </w:p>
        </w:tc>
        <w:tc>
          <w:tcPr>
            <w:tcW w:w="1095" w:type="dxa"/>
            <w:vMerge w:val="restart"/>
            <w:vAlign w:val="center"/>
          </w:tcPr>
          <w:p w14:paraId="4FE9E42D">
            <w:pPr>
              <w:adjustRightInd w:val="0"/>
              <w:snapToGrid w:val="0"/>
              <w:jc w:val="center"/>
              <w:rPr>
                <w:bCs/>
                <w:sz w:val="22"/>
              </w:rPr>
            </w:pPr>
            <w:r>
              <w:rPr>
                <w:bCs/>
                <w:sz w:val="22"/>
              </w:rPr>
              <w:t>单位</w:t>
            </w:r>
          </w:p>
        </w:tc>
        <w:tc>
          <w:tcPr>
            <w:tcW w:w="3869" w:type="dxa"/>
            <w:gridSpan w:val="3"/>
            <w:vAlign w:val="center"/>
          </w:tcPr>
          <w:p w14:paraId="5AE36A3D">
            <w:pPr>
              <w:adjustRightInd w:val="0"/>
              <w:snapToGrid w:val="0"/>
              <w:jc w:val="center"/>
              <w:rPr>
                <w:bCs/>
                <w:sz w:val="22"/>
              </w:rPr>
            </w:pPr>
            <w:r>
              <w:rPr>
                <w:bCs/>
                <w:sz w:val="22"/>
              </w:rPr>
              <w:t>监测结果</w:t>
            </w:r>
          </w:p>
        </w:tc>
        <w:tc>
          <w:tcPr>
            <w:tcW w:w="905" w:type="dxa"/>
            <w:vMerge w:val="restart"/>
            <w:vAlign w:val="center"/>
          </w:tcPr>
          <w:p w14:paraId="616F8278">
            <w:pPr>
              <w:adjustRightInd w:val="0"/>
              <w:snapToGrid w:val="0"/>
              <w:jc w:val="center"/>
              <w:rPr>
                <w:bCs/>
                <w:sz w:val="22"/>
              </w:rPr>
            </w:pPr>
            <w:r>
              <w:rPr>
                <w:bCs/>
                <w:sz w:val="22"/>
              </w:rPr>
              <w:t>标准值</w:t>
            </w:r>
          </w:p>
        </w:tc>
        <w:tc>
          <w:tcPr>
            <w:tcW w:w="1155" w:type="dxa"/>
            <w:vMerge w:val="restart"/>
            <w:vAlign w:val="center"/>
          </w:tcPr>
          <w:p w14:paraId="0DED2D68">
            <w:pPr>
              <w:adjustRightInd w:val="0"/>
              <w:snapToGrid w:val="0"/>
              <w:jc w:val="center"/>
              <w:rPr>
                <w:bCs/>
                <w:sz w:val="22"/>
              </w:rPr>
            </w:pPr>
            <w:r>
              <w:rPr>
                <w:bCs/>
                <w:sz w:val="22"/>
              </w:rPr>
              <w:t>是否达标</w:t>
            </w:r>
          </w:p>
        </w:tc>
      </w:tr>
      <w:tr w14:paraId="377D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Merge w:val="continue"/>
            <w:vAlign w:val="center"/>
          </w:tcPr>
          <w:p w14:paraId="4631124B">
            <w:pPr>
              <w:adjustRightInd w:val="0"/>
              <w:snapToGrid w:val="0"/>
              <w:jc w:val="center"/>
              <w:rPr>
                <w:bCs/>
                <w:sz w:val="22"/>
              </w:rPr>
            </w:pPr>
          </w:p>
        </w:tc>
        <w:tc>
          <w:tcPr>
            <w:tcW w:w="1095" w:type="dxa"/>
            <w:vMerge w:val="continue"/>
            <w:vAlign w:val="center"/>
          </w:tcPr>
          <w:p w14:paraId="639791DF">
            <w:pPr>
              <w:adjustRightInd w:val="0"/>
              <w:snapToGrid w:val="0"/>
              <w:jc w:val="center"/>
              <w:rPr>
                <w:bCs/>
                <w:sz w:val="22"/>
              </w:rPr>
            </w:pPr>
          </w:p>
        </w:tc>
        <w:tc>
          <w:tcPr>
            <w:tcW w:w="1384" w:type="dxa"/>
            <w:vAlign w:val="center"/>
          </w:tcPr>
          <w:p w14:paraId="48C414EB">
            <w:pPr>
              <w:adjustRightInd w:val="0"/>
              <w:snapToGrid w:val="0"/>
              <w:jc w:val="center"/>
              <w:rPr>
                <w:bCs/>
                <w:sz w:val="22"/>
              </w:rPr>
            </w:pPr>
            <w:r>
              <w:rPr>
                <w:bCs/>
                <w:sz w:val="22"/>
              </w:rPr>
              <w:t>第一次</w:t>
            </w:r>
          </w:p>
        </w:tc>
        <w:tc>
          <w:tcPr>
            <w:tcW w:w="1259" w:type="dxa"/>
            <w:vAlign w:val="center"/>
          </w:tcPr>
          <w:p w14:paraId="25634D58">
            <w:pPr>
              <w:adjustRightInd w:val="0"/>
              <w:snapToGrid w:val="0"/>
              <w:jc w:val="center"/>
              <w:rPr>
                <w:bCs/>
                <w:sz w:val="22"/>
              </w:rPr>
            </w:pPr>
            <w:r>
              <w:rPr>
                <w:bCs/>
                <w:sz w:val="22"/>
              </w:rPr>
              <w:t>第二次</w:t>
            </w:r>
          </w:p>
        </w:tc>
        <w:tc>
          <w:tcPr>
            <w:tcW w:w="1226" w:type="dxa"/>
            <w:vAlign w:val="center"/>
          </w:tcPr>
          <w:p w14:paraId="6D9AF7DE">
            <w:pPr>
              <w:adjustRightInd w:val="0"/>
              <w:snapToGrid w:val="0"/>
              <w:jc w:val="center"/>
              <w:rPr>
                <w:bCs/>
                <w:sz w:val="22"/>
              </w:rPr>
            </w:pPr>
            <w:r>
              <w:rPr>
                <w:bCs/>
                <w:sz w:val="22"/>
              </w:rPr>
              <w:t>第三次</w:t>
            </w:r>
          </w:p>
        </w:tc>
        <w:tc>
          <w:tcPr>
            <w:tcW w:w="905" w:type="dxa"/>
            <w:vMerge w:val="continue"/>
            <w:vAlign w:val="center"/>
          </w:tcPr>
          <w:p w14:paraId="6D23E3C0">
            <w:pPr>
              <w:adjustRightInd w:val="0"/>
              <w:snapToGrid w:val="0"/>
              <w:jc w:val="center"/>
              <w:rPr>
                <w:bCs/>
                <w:sz w:val="22"/>
              </w:rPr>
            </w:pPr>
          </w:p>
        </w:tc>
        <w:tc>
          <w:tcPr>
            <w:tcW w:w="1155" w:type="dxa"/>
            <w:vMerge w:val="continue"/>
            <w:vAlign w:val="center"/>
          </w:tcPr>
          <w:p w14:paraId="14E5305E">
            <w:pPr>
              <w:adjustRightInd w:val="0"/>
              <w:snapToGrid w:val="0"/>
              <w:jc w:val="center"/>
              <w:rPr>
                <w:bCs/>
                <w:sz w:val="22"/>
              </w:rPr>
            </w:pPr>
          </w:p>
        </w:tc>
      </w:tr>
      <w:tr w14:paraId="14658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5BAAEEB1">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六价铬</w:t>
            </w:r>
          </w:p>
        </w:tc>
        <w:tc>
          <w:tcPr>
            <w:tcW w:w="1095" w:type="dxa"/>
            <w:vAlign w:val="center"/>
          </w:tcPr>
          <w:p w14:paraId="4793D431">
            <w:pPr>
              <w:adjustRightInd w:val="0"/>
              <w:snapToGrid w:val="0"/>
              <w:jc w:val="center"/>
              <w:rPr>
                <w:bCs/>
                <w:sz w:val="22"/>
              </w:rPr>
            </w:pPr>
            <w:r>
              <w:rPr>
                <w:bCs/>
                <w:sz w:val="22"/>
              </w:rPr>
              <w:t>无量纲</w:t>
            </w:r>
          </w:p>
        </w:tc>
        <w:tc>
          <w:tcPr>
            <w:tcW w:w="1384" w:type="dxa"/>
            <w:vAlign w:val="center"/>
          </w:tcPr>
          <w:p w14:paraId="0D40381E">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59" w:type="dxa"/>
            <w:vAlign w:val="center"/>
          </w:tcPr>
          <w:p w14:paraId="73B581FB">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26" w:type="dxa"/>
            <w:vAlign w:val="center"/>
          </w:tcPr>
          <w:p w14:paraId="15486509">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905" w:type="dxa"/>
            <w:vAlign w:val="center"/>
          </w:tcPr>
          <w:p w14:paraId="1558BEA6">
            <w:pPr>
              <w:adjustRightInd w:val="0"/>
              <w:snapToGrid w:val="0"/>
              <w:jc w:val="center"/>
              <w:rPr>
                <w:bCs/>
                <w:sz w:val="22"/>
              </w:rPr>
            </w:pPr>
            <w:r>
              <w:rPr>
                <w:bCs/>
                <w:sz w:val="22"/>
              </w:rPr>
              <w:t>6~9</w:t>
            </w:r>
          </w:p>
        </w:tc>
        <w:tc>
          <w:tcPr>
            <w:tcW w:w="1155" w:type="dxa"/>
            <w:vAlign w:val="center"/>
          </w:tcPr>
          <w:p w14:paraId="08969883">
            <w:pPr>
              <w:adjustRightInd w:val="0"/>
              <w:snapToGrid w:val="0"/>
              <w:jc w:val="center"/>
              <w:rPr>
                <w:bCs/>
                <w:sz w:val="22"/>
              </w:rPr>
            </w:pPr>
            <w:r>
              <w:rPr>
                <w:bCs/>
                <w:sz w:val="22"/>
              </w:rPr>
              <w:t>达标</w:t>
            </w:r>
          </w:p>
        </w:tc>
      </w:tr>
      <w:tr w14:paraId="198B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1526EAC4">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pH</w:t>
            </w:r>
          </w:p>
        </w:tc>
        <w:tc>
          <w:tcPr>
            <w:tcW w:w="1095" w:type="dxa"/>
            <w:vAlign w:val="center"/>
          </w:tcPr>
          <w:p w14:paraId="11092910">
            <w:pPr>
              <w:adjustRightInd w:val="0"/>
              <w:snapToGrid w:val="0"/>
              <w:jc w:val="center"/>
              <w:rPr>
                <w:bCs/>
                <w:sz w:val="22"/>
              </w:rPr>
            </w:pPr>
            <w:r>
              <w:rPr>
                <w:bCs/>
                <w:sz w:val="22"/>
              </w:rPr>
              <w:t>mg/L</w:t>
            </w:r>
          </w:p>
        </w:tc>
        <w:tc>
          <w:tcPr>
            <w:tcW w:w="1384" w:type="dxa"/>
            <w:vAlign w:val="center"/>
          </w:tcPr>
          <w:p w14:paraId="277905B5">
            <w:pPr>
              <w:pStyle w:val="1932"/>
              <w:snapToGrid w:val="0"/>
              <w:spacing w:before="0"/>
              <w:jc w:val="center"/>
              <w:rPr>
                <w:rFonts w:ascii="Times New Roman" w:hAnsi="Times New Roman" w:cs="Times New Roman"/>
                <w:sz w:val="22"/>
                <w:szCs w:val="22"/>
              </w:rPr>
            </w:pPr>
            <w:r>
              <w:rPr>
                <w:rFonts w:ascii="Times New Roman" w:hAnsi="Times New Roman" w:cs="Times New Roman"/>
                <w:spacing w:val="-3"/>
                <w:sz w:val="22"/>
                <w:szCs w:val="22"/>
              </w:rPr>
              <w:t>8.2</w:t>
            </w:r>
          </w:p>
          <w:p w14:paraId="68DCC1C0">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1"/>
                <w:sz w:val="22"/>
                <w:szCs w:val="22"/>
              </w:rPr>
              <w:t>(水温19.8℃)</w:t>
            </w:r>
          </w:p>
        </w:tc>
        <w:tc>
          <w:tcPr>
            <w:tcW w:w="1259" w:type="dxa"/>
            <w:vAlign w:val="center"/>
          </w:tcPr>
          <w:p w14:paraId="7801CA26">
            <w:pPr>
              <w:pStyle w:val="1932"/>
              <w:snapToGrid w:val="0"/>
              <w:spacing w:before="0"/>
              <w:jc w:val="center"/>
              <w:rPr>
                <w:rFonts w:ascii="Times New Roman" w:hAnsi="Times New Roman" w:cs="Times New Roman"/>
                <w:sz w:val="22"/>
                <w:szCs w:val="22"/>
              </w:rPr>
            </w:pPr>
            <w:r>
              <w:rPr>
                <w:rFonts w:ascii="Times New Roman" w:hAnsi="Times New Roman" w:cs="Times New Roman"/>
                <w:spacing w:val="-3"/>
                <w:sz w:val="22"/>
                <w:szCs w:val="22"/>
              </w:rPr>
              <w:t>8.2</w:t>
            </w:r>
          </w:p>
          <w:p w14:paraId="77B5071E">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(水温19.3℃)</w:t>
            </w:r>
          </w:p>
        </w:tc>
        <w:tc>
          <w:tcPr>
            <w:tcW w:w="1226" w:type="dxa"/>
            <w:vAlign w:val="center"/>
          </w:tcPr>
          <w:p w14:paraId="76DEF8B7">
            <w:pPr>
              <w:pStyle w:val="1932"/>
              <w:snapToGrid w:val="0"/>
              <w:spacing w:before="0"/>
              <w:jc w:val="center"/>
              <w:rPr>
                <w:rFonts w:ascii="Times New Roman" w:hAnsi="Times New Roman" w:cs="Times New Roman"/>
                <w:sz w:val="22"/>
                <w:szCs w:val="22"/>
              </w:rPr>
            </w:pPr>
            <w:r>
              <w:rPr>
                <w:rFonts w:ascii="Times New Roman" w:hAnsi="Times New Roman" w:cs="Times New Roman"/>
                <w:spacing w:val="-3"/>
                <w:sz w:val="22"/>
                <w:szCs w:val="22"/>
              </w:rPr>
              <w:t>8.3</w:t>
            </w:r>
          </w:p>
          <w:p w14:paraId="62F87732">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1"/>
                <w:sz w:val="22"/>
                <w:szCs w:val="22"/>
              </w:rPr>
              <w:t>(水温21.0℃)</w:t>
            </w:r>
          </w:p>
        </w:tc>
        <w:tc>
          <w:tcPr>
            <w:tcW w:w="905" w:type="dxa"/>
            <w:vAlign w:val="center"/>
          </w:tcPr>
          <w:p w14:paraId="71019699">
            <w:pPr>
              <w:adjustRightInd w:val="0"/>
              <w:snapToGrid w:val="0"/>
              <w:jc w:val="center"/>
              <w:rPr>
                <w:bCs/>
                <w:sz w:val="22"/>
              </w:rPr>
            </w:pPr>
            <w:r>
              <w:rPr>
                <w:bCs/>
                <w:sz w:val="22"/>
              </w:rPr>
              <w:t>50</w:t>
            </w:r>
          </w:p>
        </w:tc>
        <w:tc>
          <w:tcPr>
            <w:tcW w:w="1155" w:type="dxa"/>
            <w:vAlign w:val="center"/>
          </w:tcPr>
          <w:p w14:paraId="64FB58D3">
            <w:pPr>
              <w:adjustRightInd w:val="0"/>
              <w:snapToGrid w:val="0"/>
              <w:jc w:val="center"/>
              <w:rPr>
                <w:bCs/>
                <w:sz w:val="22"/>
              </w:rPr>
            </w:pPr>
            <w:r>
              <w:rPr>
                <w:bCs/>
                <w:sz w:val="22"/>
              </w:rPr>
              <w:t>达标</w:t>
            </w:r>
          </w:p>
        </w:tc>
      </w:tr>
      <w:tr w14:paraId="3EC5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1A35AC19">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6"/>
                <w:sz w:val="22"/>
                <w:szCs w:val="22"/>
              </w:rPr>
              <w:t>色度</w:t>
            </w:r>
          </w:p>
        </w:tc>
        <w:tc>
          <w:tcPr>
            <w:tcW w:w="1095" w:type="dxa"/>
            <w:vAlign w:val="center"/>
          </w:tcPr>
          <w:p w14:paraId="1817EF03">
            <w:pPr>
              <w:adjustRightInd w:val="0"/>
              <w:snapToGrid w:val="0"/>
              <w:jc w:val="center"/>
              <w:rPr>
                <w:bCs/>
                <w:sz w:val="22"/>
              </w:rPr>
            </w:pPr>
            <w:r>
              <w:rPr>
                <w:bCs/>
                <w:sz w:val="22"/>
              </w:rPr>
              <w:t>mg/L</w:t>
            </w:r>
          </w:p>
        </w:tc>
        <w:tc>
          <w:tcPr>
            <w:tcW w:w="1384" w:type="dxa"/>
            <w:vAlign w:val="center"/>
          </w:tcPr>
          <w:p w14:paraId="6938F4D8">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z w:val="22"/>
                <w:szCs w:val="22"/>
              </w:rPr>
              <w:t>2</w:t>
            </w:r>
          </w:p>
        </w:tc>
        <w:tc>
          <w:tcPr>
            <w:tcW w:w="1259" w:type="dxa"/>
            <w:vAlign w:val="center"/>
          </w:tcPr>
          <w:p w14:paraId="4915E97F">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z w:val="22"/>
                <w:szCs w:val="22"/>
              </w:rPr>
              <w:t>2</w:t>
            </w:r>
          </w:p>
        </w:tc>
        <w:tc>
          <w:tcPr>
            <w:tcW w:w="1226" w:type="dxa"/>
            <w:vAlign w:val="center"/>
          </w:tcPr>
          <w:p w14:paraId="68AB7D9C">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z w:val="22"/>
                <w:szCs w:val="22"/>
              </w:rPr>
              <w:t>2</w:t>
            </w:r>
          </w:p>
        </w:tc>
        <w:tc>
          <w:tcPr>
            <w:tcW w:w="905" w:type="dxa"/>
            <w:vAlign w:val="center"/>
          </w:tcPr>
          <w:p w14:paraId="15FEA6A9">
            <w:pPr>
              <w:adjustRightInd w:val="0"/>
              <w:snapToGrid w:val="0"/>
              <w:jc w:val="center"/>
              <w:rPr>
                <w:bCs/>
                <w:sz w:val="22"/>
              </w:rPr>
            </w:pPr>
            <w:r>
              <w:rPr>
                <w:bCs/>
                <w:sz w:val="22"/>
              </w:rPr>
              <w:t>10</w:t>
            </w:r>
          </w:p>
        </w:tc>
        <w:tc>
          <w:tcPr>
            <w:tcW w:w="1155" w:type="dxa"/>
            <w:vAlign w:val="center"/>
          </w:tcPr>
          <w:p w14:paraId="654C64D4">
            <w:pPr>
              <w:adjustRightInd w:val="0"/>
              <w:snapToGrid w:val="0"/>
              <w:jc w:val="center"/>
              <w:rPr>
                <w:bCs/>
                <w:sz w:val="22"/>
              </w:rPr>
            </w:pPr>
            <w:r>
              <w:rPr>
                <w:bCs/>
                <w:sz w:val="22"/>
              </w:rPr>
              <w:t>达标</w:t>
            </w:r>
          </w:p>
        </w:tc>
      </w:tr>
      <w:tr w14:paraId="2893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2762EDAD">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悬浮物</w:t>
            </w:r>
          </w:p>
        </w:tc>
        <w:tc>
          <w:tcPr>
            <w:tcW w:w="1095" w:type="dxa"/>
            <w:vAlign w:val="center"/>
          </w:tcPr>
          <w:p w14:paraId="1944D726">
            <w:pPr>
              <w:adjustRightInd w:val="0"/>
              <w:snapToGrid w:val="0"/>
              <w:jc w:val="center"/>
              <w:rPr>
                <w:bCs/>
                <w:sz w:val="22"/>
              </w:rPr>
            </w:pPr>
            <w:r>
              <w:rPr>
                <w:bCs/>
                <w:sz w:val="22"/>
              </w:rPr>
              <w:t>mg/L</w:t>
            </w:r>
          </w:p>
        </w:tc>
        <w:tc>
          <w:tcPr>
            <w:tcW w:w="1384" w:type="dxa"/>
            <w:vAlign w:val="center"/>
          </w:tcPr>
          <w:p w14:paraId="00FE835B">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z w:val="22"/>
                <w:szCs w:val="22"/>
              </w:rPr>
              <w:t>2</w:t>
            </w:r>
          </w:p>
        </w:tc>
        <w:tc>
          <w:tcPr>
            <w:tcW w:w="1259" w:type="dxa"/>
            <w:vAlign w:val="center"/>
          </w:tcPr>
          <w:p w14:paraId="3F01F687">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z w:val="22"/>
                <w:szCs w:val="22"/>
              </w:rPr>
              <w:t>2</w:t>
            </w:r>
          </w:p>
        </w:tc>
        <w:tc>
          <w:tcPr>
            <w:tcW w:w="1226" w:type="dxa"/>
            <w:vAlign w:val="center"/>
          </w:tcPr>
          <w:p w14:paraId="495B62EC">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z w:val="22"/>
                <w:szCs w:val="22"/>
              </w:rPr>
              <w:t>2</w:t>
            </w:r>
          </w:p>
        </w:tc>
        <w:tc>
          <w:tcPr>
            <w:tcW w:w="905" w:type="dxa"/>
            <w:vAlign w:val="center"/>
          </w:tcPr>
          <w:p w14:paraId="51EEE0C8">
            <w:pPr>
              <w:adjustRightInd w:val="0"/>
              <w:snapToGrid w:val="0"/>
              <w:jc w:val="center"/>
              <w:rPr>
                <w:bCs/>
                <w:sz w:val="22"/>
              </w:rPr>
            </w:pPr>
            <w:r>
              <w:rPr>
                <w:bCs/>
                <w:sz w:val="22"/>
              </w:rPr>
              <w:t>30</w:t>
            </w:r>
          </w:p>
        </w:tc>
        <w:tc>
          <w:tcPr>
            <w:tcW w:w="1155" w:type="dxa"/>
            <w:vAlign w:val="center"/>
          </w:tcPr>
          <w:p w14:paraId="54324BD2">
            <w:pPr>
              <w:adjustRightInd w:val="0"/>
              <w:snapToGrid w:val="0"/>
              <w:jc w:val="center"/>
              <w:rPr>
                <w:bCs/>
                <w:sz w:val="22"/>
              </w:rPr>
            </w:pPr>
            <w:r>
              <w:rPr>
                <w:bCs/>
                <w:sz w:val="22"/>
              </w:rPr>
              <w:t>达标</w:t>
            </w:r>
          </w:p>
        </w:tc>
      </w:tr>
      <w:tr w14:paraId="4285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413EC4A2">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4"/>
                <w:sz w:val="22"/>
                <w:szCs w:val="22"/>
              </w:rPr>
              <w:t>总氮</w:t>
            </w:r>
          </w:p>
        </w:tc>
        <w:tc>
          <w:tcPr>
            <w:tcW w:w="1095" w:type="dxa"/>
            <w:vAlign w:val="center"/>
          </w:tcPr>
          <w:p w14:paraId="200A549E">
            <w:pPr>
              <w:adjustRightInd w:val="0"/>
              <w:snapToGrid w:val="0"/>
              <w:jc w:val="center"/>
              <w:rPr>
                <w:bCs/>
                <w:sz w:val="22"/>
              </w:rPr>
            </w:pPr>
            <w:r>
              <w:rPr>
                <w:bCs/>
                <w:sz w:val="22"/>
              </w:rPr>
              <w:t>mg/L</w:t>
            </w:r>
          </w:p>
        </w:tc>
        <w:tc>
          <w:tcPr>
            <w:tcW w:w="1384" w:type="dxa"/>
            <w:vAlign w:val="center"/>
          </w:tcPr>
          <w:p w14:paraId="475CFC1A">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3.96</w:t>
            </w:r>
          </w:p>
        </w:tc>
        <w:tc>
          <w:tcPr>
            <w:tcW w:w="1259" w:type="dxa"/>
            <w:vAlign w:val="center"/>
          </w:tcPr>
          <w:p w14:paraId="55404EF4">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3.09</w:t>
            </w:r>
          </w:p>
        </w:tc>
        <w:tc>
          <w:tcPr>
            <w:tcW w:w="1226" w:type="dxa"/>
            <w:vAlign w:val="center"/>
          </w:tcPr>
          <w:p w14:paraId="1F21DADB">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4.47</w:t>
            </w:r>
          </w:p>
        </w:tc>
        <w:tc>
          <w:tcPr>
            <w:tcW w:w="905" w:type="dxa"/>
            <w:vAlign w:val="center"/>
          </w:tcPr>
          <w:p w14:paraId="70D5D2D4">
            <w:pPr>
              <w:adjustRightInd w:val="0"/>
              <w:snapToGrid w:val="0"/>
              <w:jc w:val="center"/>
              <w:rPr>
                <w:bCs/>
                <w:sz w:val="22"/>
              </w:rPr>
            </w:pPr>
            <w:r>
              <w:rPr>
                <w:bCs/>
                <w:sz w:val="22"/>
              </w:rPr>
              <w:t>10</w:t>
            </w:r>
          </w:p>
        </w:tc>
        <w:tc>
          <w:tcPr>
            <w:tcW w:w="1155" w:type="dxa"/>
            <w:vAlign w:val="center"/>
          </w:tcPr>
          <w:p w14:paraId="560615F6">
            <w:pPr>
              <w:adjustRightInd w:val="0"/>
              <w:snapToGrid w:val="0"/>
              <w:jc w:val="center"/>
              <w:rPr>
                <w:bCs/>
                <w:sz w:val="22"/>
              </w:rPr>
            </w:pPr>
            <w:r>
              <w:rPr>
                <w:bCs/>
                <w:sz w:val="22"/>
              </w:rPr>
              <w:t>达标</w:t>
            </w:r>
          </w:p>
        </w:tc>
      </w:tr>
      <w:tr w14:paraId="67F26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115EF1E0">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5"/>
                <w:sz w:val="22"/>
                <w:szCs w:val="22"/>
              </w:rPr>
              <w:t>总磷</w:t>
            </w:r>
          </w:p>
        </w:tc>
        <w:tc>
          <w:tcPr>
            <w:tcW w:w="1095" w:type="dxa"/>
            <w:vAlign w:val="center"/>
          </w:tcPr>
          <w:p w14:paraId="0271E3D6">
            <w:pPr>
              <w:adjustRightInd w:val="0"/>
              <w:snapToGrid w:val="0"/>
              <w:jc w:val="center"/>
              <w:rPr>
                <w:bCs/>
                <w:sz w:val="22"/>
              </w:rPr>
            </w:pPr>
            <w:r>
              <w:rPr>
                <w:bCs/>
                <w:sz w:val="22"/>
              </w:rPr>
              <w:t>mg/L</w:t>
            </w:r>
          </w:p>
        </w:tc>
        <w:tc>
          <w:tcPr>
            <w:tcW w:w="1384" w:type="dxa"/>
            <w:vAlign w:val="center"/>
          </w:tcPr>
          <w:p w14:paraId="663E4AD4">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0.04</w:t>
            </w:r>
          </w:p>
        </w:tc>
        <w:tc>
          <w:tcPr>
            <w:tcW w:w="1259" w:type="dxa"/>
            <w:vAlign w:val="center"/>
          </w:tcPr>
          <w:p w14:paraId="7EC988CC">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0.02</w:t>
            </w:r>
          </w:p>
        </w:tc>
        <w:tc>
          <w:tcPr>
            <w:tcW w:w="1226" w:type="dxa"/>
            <w:vAlign w:val="center"/>
          </w:tcPr>
          <w:p w14:paraId="1491EC87">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0.04</w:t>
            </w:r>
          </w:p>
        </w:tc>
        <w:tc>
          <w:tcPr>
            <w:tcW w:w="905" w:type="dxa"/>
            <w:vAlign w:val="center"/>
          </w:tcPr>
          <w:p w14:paraId="3D2BB89B">
            <w:pPr>
              <w:adjustRightInd w:val="0"/>
              <w:snapToGrid w:val="0"/>
              <w:jc w:val="center"/>
              <w:rPr>
                <w:bCs/>
                <w:sz w:val="22"/>
              </w:rPr>
            </w:pPr>
            <w:r>
              <w:rPr>
                <w:bCs/>
                <w:sz w:val="22"/>
              </w:rPr>
              <w:t>1</w:t>
            </w:r>
          </w:p>
        </w:tc>
        <w:tc>
          <w:tcPr>
            <w:tcW w:w="1155" w:type="dxa"/>
            <w:vAlign w:val="center"/>
          </w:tcPr>
          <w:p w14:paraId="5155E9AD">
            <w:pPr>
              <w:adjustRightInd w:val="0"/>
              <w:snapToGrid w:val="0"/>
              <w:jc w:val="center"/>
              <w:rPr>
                <w:bCs/>
                <w:sz w:val="22"/>
              </w:rPr>
            </w:pPr>
            <w:r>
              <w:rPr>
                <w:bCs/>
                <w:sz w:val="22"/>
              </w:rPr>
              <w:t>达标</w:t>
            </w:r>
          </w:p>
        </w:tc>
      </w:tr>
      <w:tr w14:paraId="0215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58E95E51">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氨氮</w:t>
            </w:r>
          </w:p>
        </w:tc>
        <w:tc>
          <w:tcPr>
            <w:tcW w:w="1095" w:type="dxa"/>
            <w:vAlign w:val="center"/>
          </w:tcPr>
          <w:p w14:paraId="0BD431A8">
            <w:pPr>
              <w:adjustRightInd w:val="0"/>
              <w:snapToGrid w:val="0"/>
              <w:jc w:val="center"/>
              <w:rPr>
                <w:bCs/>
                <w:sz w:val="22"/>
              </w:rPr>
            </w:pPr>
            <w:r>
              <w:rPr>
                <w:bCs/>
                <w:sz w:val="22"/>
              </w:rPr>
              <w:t>mg/L</w:t>
            </w:r>
          </w:p>
        </w:tc>
        <w:tc>
          <w:tcPr>
            <w:tcW w:w="1384" w:type="dxa"/>
            <w:vAlign w:val="center"/>
          </w:tcPr>
          <w:p w14:paraId="6681A08B">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3.70</w:t>
            </w:r>
          </w:p>
        </w:tc>
        <w:tc>
          <w:tcPr>
            <w:tcW w:w="1259" w:type="dxa"/>
            <w:vAlign w:val="center"/>
          </w:tcPr>
          <w:p w14:paraId="15F8DC46">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2.91</w:t>
            </w:r>
          </w:p>
        </w:tc>
        <w:tc>
          <w:tcPr>
            <w:tcW w:w="1226" w:type="dxa"/>
            <w:vAlign w:val="center"/>
          </w:tcPr>
          <w:p w14:paraId="072732DD">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3.53</w:t>
            </w:r>
          </w:p>
        </w:tc>
        <w:tc>
          <w:tcPr>
            <w:tcW w:w="905" w:type="dxa"/>
            <w:vAlign w:val="center"/>
          </w:tcPr>
          <w:p w14:paraId="05D6FC11">
            <w:pPr>
              <w:adjustRightInd w:val="0"/>
              <w:snapToGrid w:val="0"/>
              <w:jc w:val="center"/>
              <w:rPr>
                <w:bCs/>
                <w:sz w:val="22"/>
              </w:rPr>
            </w:pPr>
            <w:r>
              <w:rPr>
                <w:bCs/>
                <w:sz w:val="22"/>
              </w:rPr>
              <w:t>0.5</w:t>
            </w:r>
          </w:p>
        </w:tc>
        <w:tc>
          <w:tcPr>
            <w:tcW w:w="1155" w:type="dxa"/>
            <w:vAlign w:val="center"/>
          </w:tcPr>
          <w:p w14:paraId="2390B8FF">
            <w:pPr>
              <w:adjustRightInd w:val="0"/>
              <w:snapToGrid w:val="0"/>
              <w:jc w:val="center"/>
              <w:rPr>
                <w:bCs/>
                <w:sz w:val="22"/>
              </w:rPr>
            </w:pPr>
            <w:r>
              <w:rPr>
                <w:bCs/>
                <w:sz w:val="22"/>
              </w:rPr>
              <w:t>达标</w:t>
            </w:r>
          </w:p>
        </w:tc>
      </w:tr>
      <w:tr w14:paraId="2302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1AFABF39">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石油类</w:t>
            </w:r>
          </w:p>
        </w:tc>
        <w:tc>
          <w:tcPr>
            <w:tcW w:w="1095" w:type="dxa"/>
            <w:vAlign w:val="center"/>
          </w:tcPr>
          <w:p w14:paraId="2086AB61">
            <w:pPr>
              <w:adjustRightInd w:val="0"/>
              <w:snapToGrid w:val="0"/>
              <w:jc w:val="center"/>
              <w:rPr>
                <w:bCs/>
                <w:sz w:val="22"/>
              </w:rPr>
            </w:pPr>
            <w:r>
              <w:rPr>
                <w:bCs/>
                <w:sz w:val="22"/>
              </w:rPr>
              <w:t>mg/L</w:t>
            </w:r>
          </w:p>
        </w:tc>
        <w:tc>
          <w:tcPr>
            <w:tcW w:w="1384" w:type="dxa"/>
            <w:vAlign w:val="center"/>
          </w:tcPr>
          <w:p w14:paraId="69695F29">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59" w:type="dxa"/>
            <w:vAlign w:val="center"/>
          </w:tcPr>
          <w:p w14:paraId="0A748735">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26" w:type="dxa"/>
            <w:vAlign w:val="center"/>
          </w:tcPr>
          <w:p w14:paraId="3373B187">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905" w:type="dxa"/>
            <w:vAlign w:val="center"/>
          </w:tcPr>
          <w:p w14:paraId="786E6780">
            <w:pPr>
              <w:adjustRightInd w:val="0"/>
              <w:snapToGrid w:val="0"/>
              <w:jc w:val="center"/>
              <w:rPr>
                <w:bCs/>
                <w:sz w:val="22"/>
              </w:rPr>
            </w:pPr>
            <w:r>
              <w:rPr>
                <w:bCs/>
                <w:sz w:val="22"/>
              </w:rPr>
              <w:t>/</w:t>
            </w:r>
          </w:p>
        </w:tc>
        <w:tc>
          <w:tcPr>
            <w:tcW w:w="1155" w:type="dxa"/>
            <w:vAlign w:val="center"/>
          </w:tcPr>
          <w:p w14:paraId="3E858313">
            <w:pPr>
              <w:adjustRightInd w:val="0"/>
              <w:snapToGrid w:val="0"/>
              <w:jc w:val="center"/>
              <w:rPr>
                <w:bCs/>
                <w:sz w:val="22"/>
              </w:rPr>
            </w:pPr>
            <w:r>
              <w:rPr>
                <w:bCs/>
                <w:sz w:val="22"/>
              </w:rPr>
              <w:t>达标</w:t>
            </w:r>
          </w:p>
        </w:tc>
      </w:tr>
      <w:tr w14:paraId="496A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29721418">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5"/>
                <w:sz w:val="22"/>
                <w:szCs w:val="22"/>
              </w:rPr>
              <w:t>总铬</w:t>
            </w:r>
          </w:p>
        </w:tc>
        <w:tc>
          <w:tcPr>
            <w:tcW w:w="1095" w:type="dxa"/>
            <w:vAlign w:val="center"/>
          </w:tcPr>
          <w:p w14:paraId="1879A8C6">
            <w:pPr>
              <w:adjustRightInd w:val="0"/>
              <w:snapToGrid w:val="0"/>
              <w:jc w:val="center"/>
              <w:rPr>
                <w:bCs/>
                <w:sz w:val="22"/>
              </w:rPr>
            </w:pPr>
            <w:r>
              <w:rPr>
                <w:bCs/>
                <w:sz w:val="22"/>
              </w:rPr>
              <w:t>mg/L</w:t>
            </w:r>
          </w:p>
        </w:tc>
        <w:tc>
          <w:tcPr>
            <w:tcW w:w="1384" w:type="dxa"/>
            <w:vAlign w:val="center"/>
          </w:tcPr>
          <w:p w14:paraId="0E4C756C">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59" w:type="dxa"/>
            <w:vAlign w:val="center"/>
          </w:tcPr>
          <w:p w14:paraId="26415A45">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26" w:type="dxa"/>
            <w:vAlign w:val="center"/>
          </w:tcPr>
          <w:p w14:paraId="3430DF16">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905" w:type="dxa"/>
            <w:vAlign w:val="center"/>
          </w:tcPr>
          <w:p w14:paraId="51EB168C">
            <w:pPr>
              <w:adjustRightInd w:val="0"/>
              <w:snapToGrid w:val="0"/>
              <w:jc w:val="center"/>
              <w:rPr>
                <w:bCs/>
                <w:sz w:val="22"/>
              </w:rPr>
            </w:pPr>
            <w:r>
              <w:rPr>
                <w:bCs/>
                <w:sz w:val="22"/>
              </w:rPr>
              <w:t>1</w:t>
            </w:r>
          </w:p>
        </w:tc>
        <w:tc>
          <w:tcPr>
            <w:tcW w:w="1155" w:type="dxa"/>
            <w:vAlign w:val="center"/>
          </w:tcPr>
          <w:p w14:paraId="42CCE49B">
            <w:pPr>
              <w:adjustRightInd w:val="0"/>
              <w:snapToGrid w:val="0"/>
              <w:jc w:val="center"/>
              <w:rPr>
                <w:bCs/>
                <w:sz w:val="22"/>
              </w:rPr>
            </w:pPr>
            <w:r>
              <w:rPr>
                <w:bCs/>
                <w:sz w:val="22"/>
              </w:rPr>
              <w:t>达标</w:t>
            </w:r>
          </w:p>
        </w:tc>
      </w:tr>
      <w:tr w14:paraId="5260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267DFE4A">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6"/>
                <w:sz w:val="22"/>
                <w:szCs w:val="22"/>
              </w:rPr>
              <w:t>总镉</w:t>
            </w:r>
          </w:p>
        </w:tc>
        <w:tc>
          <w:tcPr>
            <w:tcW w:w="1095" w:type="dxa"/>
            <w:vAlign w:val="center"/>
          </w:tcPr>
          <w:p w14:paraId="4A91118F">
            <w:pPr>
              <w:adjustRightInd w:val="0"/>
              <w:snapToGrid w:val="0"/>
              <w:jc w:val="center"/>
              <w:rPr>
                <w:bCs/>
                <w:sz w:val="22"/>
              </w:rPr>
            </w:pPr>
            <w:r>
              <w:rPr>
                <w:bCs/>
                <w:sz w:val="22"/>
              </w:rPr>
              <w:t>mg/L</w:t>
            </w:r>
          </w:p>
        </w:tc>
        <w:tc>
          <w:tcPr>
            <w:tcW w:w="1384" w:type="dxa"/>
            <w:vAlign w:val="center"/>
          </w:tcPr>
          <w:p w14:paraId="3A5B6906">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59" w:type="dxa"/>
            <w:vAlign w:val="center"/>
          </w:tcPr>
          <w:p w14:paraId="5FD8EF5B">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26" w:type="dxa"/>
            <w:vAlign w:val="center"/>
          </w:tcPr>
          <w:p w14:paraId="206370A5">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905" w:type="dxa"/>
            <w:vAlign w:val="center"/>
          </w:tcPr>
          <w:p w14:paraId="21E523B7">
            <w:pPr>
              <w:adjustRightInd w:val="0"/>
              <w:snapToGrid w:val="0"/>
              <w:jc w:val="center"/>
              <w:rPr>
                <w:bCs/>
                <w:sz w:val="22"/>
              </w:rPr>
            </w:pPr>
            <w:r>
              <w:rPr>
                <w:bCs/>
                <w:sz w:val="22"/>
              </w:rPr>
              <w:t>/</w:t>
            </w:r>
          </w:p>
        </w:tc>
        <w:tc>
          <w:tcPr>
            <w:tcW w:w="1155" w:type="dxa"/>
            <w:vAlign w:val="center"/>
          </w:tcPr>
          <w:p w14:paraId="6E97D8AD">
            <w:pPr>
              <w:adjustRightInd w:val="0"/>
              <w:snapToGrid w:val="0"/>
              <w:jc w:val="center"/>
              <w:rPr>
                <w:bCs/>
                <w:sz w:val="22"/>
              </w:rPr>
            </w:pPr>
            <w:r>
              <w:rPr>
                <w:bCs/>
                <w:sz w:val="22"/>
              </w:rPr>
              <w:t>达标</w:t>
            </w:r>
          </w:p>
        </w:tc>
      </w:tr>
      <w:tr w14:paraId="5AF9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56DDB7CC">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7"/>
                <w:sz w:val="22"/>
                <w:szCs w:val="22"/>
              </w:rPr>
              <w:t>总铜</w:t>
            </w:r>
          </w:p>
        </w:tc>
        <w:tc>
          <w:tcPr>
            <w:tcW w:w="1095" w:type="dxa"/>
            <w:vAlign w:val="center"/>
          </w:tcPr>
          <w:p w14:paraId="12E0EAEC">
            <w:pPr>
              <w:adjustRightInd w:val="0"/>
              <w:snapToGrid w:val="0"/>
              <w:jc w:val="center"/>
              <w:rPr>
                <w:bCs/>
                <w:sz w:val="22"/>
              </w:rPr>
            </w:pPr>
            <w:r>
              <w:rPr>
                <w:bCs/>
                <w:sz w:val="22"/>
              </w:rPr>
              <w:t>mg/L</w:t>
            </w:r>
          </w:p>
        </w:tc>
        <w:tc>
          <w:tcPr>
            <w:tcW w:w="1384" w:type="dxa"/>
            <w:vAlign w:val="center"/>
          </w:tcPr>
          <w:p w14:paraId="59A12318">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59" w:type="dxa"/>
            <w:vAlign w:val="center"/>
          </w:tcPr>
          <w:p w14:paraId="15CC34E0">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26" w:type="dxa"/>
            <w:vAlign w:val="center"/>
          </w:tcPr>
          <w:p w14:paraId="56153118">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905" w:type="dxa"/>
            <w:vAlign w:val="center"/>
          </w:tcPr>
          <w:p w14:paraId="060936A5">
            <w:pPr>
              <w:adjustRightInd w:val="0"/>
              <w:snapToGrid w:val="0"/>
              <w:jc w:val="center"/>
              <w:rPr>
                <w:bCs/>
                <w:sz w:val="22"/>
              </w:rPr>
            </w:pPr>
            <w:r>
              <w:rPr>
                <w:bCs/>
                <w:sz w:val="22"/>
              </w:rPr>
              <w:t>350</w:t>
            </w:r>
          </w:p>
        </w:tc>
        <w:tc>
          <w:tcPr>
            <w:tcW w:w="1155" w:type="dxa"/>
            <w:vAlign w:val="center"/>
          </w:tcPr>
          <w:p w14:paraId="2A821203">
            <w:pPr>
              <w:adjustRightInd w:val="0"/>
              <w:snapToGrid w:val="0"/>
              <w:jc w:val="center"/>
              <w:rPr>
                <w:bCs/>
                <w:sz w:val="22"/>
              </w:rPr>
            </w:pPr>
            <w:r>
              <w:rPr>
                <w:bCs/>
                <w:sz w:val="22"/>
              </w:rPr>
              <w:t>达标</w:t>
            </w:r>
          </w:p>
        </w:tc>
      </w:tr>
      <w:tr w14:paraId="5ACC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3C66E944">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6"/>
                <w:sz w:val="22"/>
                <w:szCs w:val="22"/>
              </w:rPr>
              <w:t>总锌</w:t>
            </w:r>
          </w:p>
        </w:tc>
        <w:tc>
          <w:tcPr>
            <w:tcW w:w="1095" w:type="dxa"/>
            <w:vAlign w:val="center"/>
          </w:tcPr>
          <w:p w14:paraId="530F9E88">
            <w:pPr>
              <w:adjustRightInd w:val="0"/>
              <w:snapToGrid w:val="0"/>
              <w:jc w:val="center"/>
              <w:rPr>
                <w:bCs/>
                <w:sz w:val="22"/>
              </w:rPr>
            </w:pPr>
            <w:r>
              <w:rPr>
                <w:bCs/>
                <w:sz w:val="22"/>
              </w:rPr>
              <w:t>mg/L</w:t>
            </w:r>
          </w:p>
        </w:tc>
        <w:tc>
          <w:tcPr>
            <w:tcW w:w="1384" w:type="dxa"/>
            <w:vAlign w:val="center"/>
          </w:tcPr>
          <w:p w14:paraId="1941B687">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59" w:type="dxa"/>
            <w:vAlign w:val="center"/>
          </w:tcPr>
          <w:p w14:paraId="09041AD5">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26" w:type="dxa"/>
            <w:vAlign w:val="center"/>
          </w:tcPr>
          <w:p w14:paraId="7D862349">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905" w:type="dxa"/>
            <w:vAlign w:val="center"/>
          </w:tcPr>
          <w:p w14:paraId="1E04936B">
            <w:pPr>
              <w:adjustRightInd w:val="0"/>
              <w:snapToGrid w:val="0"/>
              <w:jc w:val="center"/>
              <w:rPr>
                <w:bCs/>
                <w:sz w:val="22"/>
              </w:rPr>
            </w:pPr>
            <w:r>
              <w:rPr>
                <w:bCs/>
                <w:sz w:val="22"/>
              </w:rPr>
              <w:t>/</w:t>
            </w:r>
          </w:p>
        </w:tc>
        <w:tc>
          <w:tcPr>
            <w:tcW w:w="1155" w:type="dxa"/>
            <w:vAlign w:val="center"/>
          </w:tcPr>
          <w:p w14:paraId="309838ED">
            <w:pPr>
              <w:adjustRightInd w:val="0"/>
              <w:snapToGrid w:val="0"/>
              <w:jc w:val="center"/>
              <w:rPr>
                <w:bCs/>
                <w:sz w:val="22"/>
              </w:rPr>
            </w:pPr>
            <w:r>
              <w:rPr>
                <w:bCs/>
                <w:sz w:val="22"/>
              </w:rPr>
              <w:t>达标</w:t>
            </w:r>
          </w:p>
        </w:tc>
      </w:tr>
      <w:tr w14:paraId="6D3D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7AFF2343">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4"/>
                <w:sz w:val="22"/>
                <w:szCs w:val="22"/>
              </w:rPr>
              <w:t>总铅</w:t>
            </w:r>
          </w:p>
        </w:tc>
        <w:tc>
          <w:tcPr>
            <w:tcW w:w="1095" w:type="dxa"/>
            <w:vAlign w:val="center"/>
          </w:tcPr>
          <w:p w14:paraId="28F8AEBD">
            <w:pPr>
              <w:adjustRightInd w:val="0"/>
              <w:snapToGrid w:val="0"/>
              <w:jc w:val="center"/>
              <w:rPr>
                <w:bCs/>
                <w:sz w:val="22"/>
              </w:rPr>
            </w:pPr>
            <w:r>
              <w:rPr>
                <w:bCs/>
                <w:sz w:val="22"/>
              </w:rPr>
              <w:t>mg/L</w:t>
            </w:r>
          </w:p>
        </w:tc>
        <w:tc>
          <w:tcPr>
            <w:tcW w:w="1384" w:type="dxa"/>
            <w:vAlign w:val="center"/>
          </w:tcPr>
          <w:p w14:paraId="675443A0">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59" w:type="dxa"/>
            <w:vAlign w:val="center"/>
          </w:tcPr>
          <w:p w14:paraId="26B34F75">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26" w:type="dxa"/>
            <w:vAlign w:val="center"/>
          </w:tcPr>
          <w:p w14:paraId="47FBF86C">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905" w:type="dxa"/>
            <w:vAlign w:val="center"/>
          </w:tcPr>
          <w:p w14:paraId="28761490">
            <w:pPr>
              <w:adjustRightInd w:val="0"/>
              <w:snapToGrid w:val="0"/>
              <w:jc w:val="center"/>
              <w:rPr>
                <w:bCs/>
                <w:sz w:val="22"/>
              </w:rPr>
            </w:pPr>
            <w:r>
              <w:rPr>
                <w:bCs/>
                <w:sz w:val="22"/>
              </w:rPr>
              <w:t>/</w:t>
            </w:r>
          </w:p>
        </w:tc>
        <w:tc>
          <w:tcPr>
            <w:tcW w:w="1155" w:type="dxa"/>
            <w:vAlign w:val="center"/>
          </w:tcPr>
          <w:p w14:paraId="54FF9D2C">
            <w:pPr>
              <w:adjustRightInd w:val="0"/>
              <w:snapToGrid w:val="0"/>
              <w:jc w:val="center"/>
              <w:rPr>
                <w:bCs/>
                <w:sz w:val="22"/>
              </w:rPr>
            </w:pPr>
            <w:r>
              <w:rPr>
                <w:bCs/>
                <w:sz w:val="22"/>
              </w:rPr>
              <w:t>达标</w:t>
            </w:r>
          </w:p>
        </w:tc>
      </w:tr>
      <w:tr w14:paraId="3759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6A33671B">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6"/>
                <w:sz w:val="22"/>
                <w:szCs w:val="22"/>
              </w:rPr>
              <w:t>总汞</w:t>
            </w:r>
          </w:p>
        </w:tc>
        <w:tc>
          <w:tcPr>
            <w:tcW w:w="1095" w:type="dxa"/>
            <w:vAlign w:val="center"/>
          </w:tcPr>
          <w:p w14:paraId="510775A9">
            <w:pPr>
              <w:adjustRightInd w:val="0"/>
              <w:snapToGrid w:val="0"/>
              <w:jc w:val="center"/>
              <w:rPr>
                <w:bCs/>
                <w:sz w:val="22"/>
              </w:rPr>
            </w:pPr>
            <w:r>
              <w:rPr>
                <w:bCs/>
                <w:sz w:val="22"/>
              </w:rPr>
              <w:t>mg/L</w:t>
            </w:r>
          </w:p>
        </w:tc>
        <w:tc>
          <w:tcPr>
            <w:tcW w:w="1384" w:type="dxa"/>
            <w:vAlign w:val="center"/>
          </w:tcPr>
          <w:p w14:paraId="2639C217">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59" w:type="dxa"/>
            <w:vAlign w:val="center"/>
          </w:tcPr>
          <w:p w14:paraId="10D7C333">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26" w:type="dxa"/>
            <w:vAlign w:val="center"/>
          </w:tcPr>
          <w:p w14:paraId="40684302">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905" w:type="dxa"/>
            <w:vAlign w:val="center"/>
          </w:tcPr>
          <w:p w14:paraId="7ADF8880">
            <w:pPr>
              <w:adjustRightInd w:val="0"/>
              <w:snapToGrid w:val="0"/>
              <w:jc w:val="center"/>
              <w:rPr>
                <w:bCs/>
                <w:sz w:val="22"/>
              </w:rPr>
            </w:pPr>
            <w:r>
              <w:rPr>
                <w:bCs/>
                <w:sz w:val="22"/>
              </w:rPr>
              <w:t>0.5</w:t>
            </w:r>
          </w:p>
        </w:tc>
        <w:tc>
          <w:tcPr>
            <w:tcW w:w="1155" w:type="dxa"/>
            <w:vAlign w:val="center"/>
          </w:tcPr>
          <w:p w14:paraId="6C84A277">
            <w:pPr>
              <w:adjustRightInd w:val="0"/>
              <w:snapToGrid w:val="0"/>
              <w:jc w:val="center"/>
              <w:rPr>
                <w:bCs/>
                <w:sz w:val="22"/>
              </w:rPr>
            </w:pPr>
            <w:r>
              <w:rPr>
                <w:bCs/>
                <w:sz w:val="22"/>
              </w:rPr>
              <w:t>达标</w:t>
            </w:r>
          </w:p>
        </w:tc>
      </w:tr>
      <w:tr w14:paraId="34D12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02ACB51D">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6"/>
                <w:sz w:val="22"/>
                <w:szCs w:val="22"/>
              </w:rPr>
              <w:t>总砷</w:t>
            </w:r>
          </w:p>
        </w:tc>
        <w:tc>
          <w:tcPr>
            <w:tcW w:w="1095" w:type="dxa"/>
            <w:vAlign w:val="center"/>
          </w:tcPr>
          <w:p w14:paraId="36ACDCD2">
            <w:pPr>
              <w:adjustRightInd w:val="0"/>
              <w:snapToGrid w:val="0"/>
              <w:jc w:val="center"/>
              <w:rPr>
                <w:bCs/>
                <w:sz w:val="22"/>
              </w:rPr>
            </w:pPr>
            <w:r>
              <w:rPr>
                <w:bCs/>
                <w:sz w:val="22"/>
              </w:rPr>
              <w:t>mg/L</w:t>
            </w:r>
          </w:p>
        </w:tc>
        <w:tc>
          <w:tcPr>
            <w:tcW w:w="1384" w:type="dxa"/>
            <w:vAlign w:val="center"/>
          </w:tcPr>
          <w:p w14:paraId="20A0427A">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59" w:type="dxa"/>
            <w:vAlign w:val="center"/>
          </w:tcPr>
          <w:p w14:paraId="3F23192A">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26" w:type="dxa"/>
            <w:vAlign w:val="center"/>
          </w:tcPr>
          <w:p w14:paraId="408927BD">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905" w:type="dxa"/>
            <w:vAlign w:val="center"/>
          </w:tcPr>
          <w:p w14:paraId="68C66270">
            <w:pPr>
              <w:adjustRightInd w:val="0"/>
              <w:snapToGrid w:val="0"/>
              <w:jc w:val="center"/>
              <w:rPr>
                <w:bCs/>
                <w:sz w:val="22"/>
              </w:rPr>
            </w:pPr>
            <w:r>
              <w:rPr>
                <w:bCs/>
                <w:sz w:val="22"/>
              </w:rPr>
              <w:t>/</w:t>
            </w:r>
          </w:p>
        </w:tc>
        <w:tc>
          <w:tcPr>
            <w:tcW w:w="1155" w:type="dxa"/>
            <w:vAlign w:val="center"/>
          </w:tcPr>
          <w:p w14:paraId="1DBB484B">
            <w:pPr>
              <w:adjustRightInd w:val="0"/>
              <w:snapToGrid w:val="0"/>
              <w:jc w:val="center"/>
              <w:rPr>
                <w:bCs/>
                <w:sz w:val="22"/>
              </w:rPr>
            </w:pPr>
            <w:r>
              <w:rPr>
                <w:bCs/>
                <w:sz w:val="22"/>
              </w:rPr>
              <w:t>达标</w:t>
            </w:r>
          </w:p>
        </w:tc>
      </w:tr>
      <w:tr w14:paraId="6A54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566EAEB4">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总锰</w:t>
            </w:r>
          </w:p>
        </w:tc>
        <w:tc>
          <w:tcPr>
            <w:tcW w:w="1095" w:type="dxa"/>
            <w:vAlign w:val="center"/>
          </w:tcPr>
          <w:p w14:paraId="6F311212">
            <w:pPr>
              <w:adjustRightInd w:val="0"/>
              <w:snapToGrid w:val="0"/>
              <w:jc w:val="center"/>
              <w:rPr>
                <w:bCs/>
                <w:sz w:val="22"/>
              </w:rPr>
            </w:pPr>
            <w:r>
              <w:rPr>
                <w:bCs/>
                <w:sz w:val="22"/>
              </w:rPr>
              <w:t>mg/L</w:t>
            </w:r>
          </w:p>
        </w:tc>
        <w:tc>
          <w:tcPr>
            <w:tcW w:w="1384" w:type="dxa"/>
            <w:vAlign w:val="center"/>
          </w:tcPr>
          <w:p w14:paraId="488F1ED8">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0.011</w:t>
            </w:r>
          </w:p>
        </w:tc>
        <w:tc>
          <w:tcPr>
            <w:tcW w:w="1259" w:type="dxa"/>
            <w:vAlign w:val="center"/>
          </w:tcPr>
          <w:p w14:paraId="359F2A4C">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0.011</w:t>
            </w:r>
          </w:p>
        </w:tc>
        <w:tc>
          <w:tcPr>
            <w:tcW w:w="1226" w:type="dxa"/>
            <w:vAlign w:val="center"/>
          </w:tcPr>
          <w:p w14:paraId="362679AE">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0.011</w:t>
            </w:r>
          </w:p>
        </w:tc>
        <w:tc>
          <w:tcPr>
            <w:tcW w:w="905" w:type="dxa"/>
            <w:vAlign w:val="center"/>
          </w:tcPr>
          <w:p w14:paraId="7D16DA67">
            <w:pPr>
              <w:adjustRightInd w:val="0"/>
              <w:snapToGrid w:val="0"/>
              <w:jc w:val="center"/>
              <w:rPr>
                <w:bCs/>
                <w:sz w:val="22"/>
              </w:rPr>
            </w:pPr>
            <w:r>
              <w:rPr>
                <w:bCs/>
                <w:sz w:val="22"/>
              </w:rPr>
              <w:t>15</w:t>
            </w:r>
          </w:p>
        </w:tc>
        <w:tc>
          <w:tcPr>
            <w:tcW w:w="1155" w:type="dxa"/>
            <w:vAlign w:val="center"/>
          </w:tcPr>
          <w:p w14:paraId="70C5AB95">
            <w:pPr>
              <w:adjustRightInd w:val="0"/>
              <w:snapToGrid w:val="0"/>
              <w:jc w:val="center"/>
              <w:rPr>
                <w:bCs/>
                <w:sz w:val="22"/>
              </w:rPr>
            </w:pPr>
            <w:r>
              <w:rPr>
                <w:bCs/>
                <w:sz w:val="22"/>
              </w:rPr>
              <w:t>达标</w:t>
            </w:r>
          </w:p>
        </w:tc>
      </w:tr>
      <w:tr w14:paraId="7AFF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4488D93F">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4"/>
                <w:sz w:val="22"/>
                <w:szCs w:val="22"/>
              </w:rPr>
              <w:t>阴离子表面活性剂</w:t>
            </w:r>
          </w:p>
        </w:tc>
        <w:tc>
          <w:tcPr>
            <w:tcW w:w="1095" w:type="dxa"/>
            <w:vAlign w:val="center"/>
          </w:tcPr>
          <w:p w14:paraId="5103268B">
            <w:pPr>
              <w:adjustRightInd w:val="0"/>
              <w:snapToGrid w:val="0"/>
              <w:jc w:val="center"/>
              <w:rPr>
                <w:bCs/>
                <w:sz w:val="22"/>
              </w:rPr>
            </w:pPr>
            <w:r>
              <w:rPr>
                <w:bCs/>
                <w:sz w:val="22"/>
              </w:rPr>
              <w:t>mg/L</w:t>
            </w:r>
          </w:p>
        </w:tc>
        <w:tc>
          <w:tcPr>
            <w:tcW w:w="1384" w:type="dxa"/>
            <w:vAlign w:val="center"/>
          </w:tcPr>
          <w:p w14:paraId="00EA887A">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59" w:type="dxa"/>
            <w:vAlign w:val="center"/>
          </w:tcPr>
          <w:p w14:paraId="40826BF7">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26" w:type="dxa"/>
            <w:vAlign w:val="center"/>
          </w:tcPr>
          <w:p w14:paraId="6674ACAF">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905" w:type="dxa"/>
            <w:vAlign w:val="center"/>
          </w:tcPr>
          <w:p w14:paraId="2511A598">
            <w:pPr>
              <w:adjustRightInd w:val="0"/>
              <w:snapToGrid w:val="0"/>
              <w:jc w:val="center"/>
              <w:rPr>
                <w:bCs/>
                <w:sz w:val="22"/>
              </w:rPr>
            </w:pPr>
            <w:r>
              <w:rPr>
                <w:bCs/>
                <w:sz w:val="22"/>
              </w:rPr>
              <w:t>0.5</w:t>
            </w:r>
          </w:p>
        </w:tc>
        <w:tc>
          <w:tcPr>
            <w:tcW w:w="1155" w:type="dxa"/>
            <w:vAlign w:val="center"/>
          </w:tcPr>
          <w:p w14:paraId="310A80E7">
            <w:pPr>
              <w:adjustRightInd w:val="0"/>
              <w:snapToGrid w:val="0"/>
              <w:jc w:val="center"/>
              <w:rPr>
                <w:bCs/>
                <w:sz w:val="22"/>
              </w:rPr>
            </w:pPr>
            <w:r>
              <w:rPr>
                <w:bCs/>
                <w:sz w:val="22"/>
              </w:rPr>
              <w:t>达标</w:t>
            </w:r>
          </w:p>
        </w:tc>
      </w:tr>
      <w:tr w14:paraId="7C47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442A94B0">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挥发酚</w:t>
            </w:r>
          </w:p>
        </w:tc>
        <w:tc>
          <w:tcPr>
            <w:tcW w:w="1095" w:type="dxa"/>
            <w:vAlign w:val="center"/>
          </w:tcPr>
          <w:p w14:paraId="30970F76">
            <w:pPr>
              <w:adjustRightInd w:val="0"/>
              <w:snapToGrid w:val="0"/>
              <w:jc w:val="center"/>
              <w:rPr>
                <w:bCs/>
                <w:sz w:val="22"/>
              </w:rPr>
            </w:pPr>
            <w:r>
              <w:rPr>
                <w:bCs/>
                <w:sz w:val="22"/>
              </w:rPr>
              <w:t>mg/L</w:t>
            </w:r>
          </w:p>
        </w:tc>
        <w:tc>
          <w:tcPr>
            <w:tcW w:w="1384" w:type="dxa"/>
            <w:vAlign w:val="center"/>
          </w:tcPr>
          <w:p w14:paraId="2E38EE72">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59" w:type="dxa"/>
            <w:vAlign w:val="center"/>
          </w:tcPr>
          <w:p w14:paraId="59205751">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26" w:type="dxa"/>
            <w:vAlign w:val="center"/>
          </w:tcPr>
          <w:p w14:paraId="48C29857">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905" w:type="dxa"/>
            <w:vAlign w:val="center"/>
          </w:tcPr>
          <w:p w14:paraId="6C5B1A3E">
            <w:pPr>
              <w:adjustRightInd w:val="0"/>
              <w:snapToGrid w:val="0"/>
              <w:jc w:val="center"/>
              <w:rPr>
                <w:bCs/>
                <w:sz w:val="22"/>
              </w:rPr>
            </w:pPr>
            <w:r>
              <w:rPr>
                <w:bCs/>
                <w:sz w:val="22"/>
              </w:rPr>
              <w:t>5</w:t>
            </w:r>
          </w:p>
        </w:tc>
        <w:tc>
          <w:tcPr>
            <w:tcW w:w="1155" w:type="dxa"/>
            <w:vAlign w:val="center"/>
          </w:tcPr>
          <w:p w14:paraId="7E0AB827">
            <w:pPr>
              <w:adjustRightInd w:val="0"/>
              <w:snapToGrid w:val="0"/>
              <w:jc w:val="center"/>
              <w:rPr>
                <w:bCs/>
                <w:sz w:val="22"/>
              </w:rPr>
            </w:pPr>
            <w:r>
              <w:rPr>
                <w:bCs/>
                <w:sz w:val="22"/>
              </w:rPr>
              <w:t>达标</w:t>
            </w:r>
          </w:p>
        </w:tc>
      </w:tr>
      <w:tr w14:paraId="16676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639C9166">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化学需氧量</w:t>
            </w:r>
          </w:p>
        </w:tc>
        <w:tc>
          <w:tcPr>
            <w:tcW w:w="1095" w:type="dxa"/>
            <w:vAlign w:val="center"/>
          </w:tcPr>
          <w:p w14:paraId="0882D298">
            <w:pPr>
              <w:adjustRightInd w:val="0"/>
              <w:snapToGrid w:val="0"/>
              <w:jc w:val="center"/>
              <w:rPr>
                <w:bCs/>
                <w:sz w:val="22"/>
              </w:rPr>
            </w:pPr>
            <w:r>
              <w:rPr>
                <w:bCs/>
                <w:sz w:val="22"/>
              </w:rPr>
              <w:t>mg/L</w:t>
            </w:r>
          </w:p>
        </w:tc>
        <w:tc>
          <w:tcPr>
            <w:tcW w:w="1384" w:type="dxa"/>
            <w:vAlign w:val="center"/>
          </w:tcPr>
          <w:p w14:paraId="1DD5D136">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4"/>
                <w:sz w:val="22"/>
                <w:szCs w:val="22"/>
              </w:rPr>
              <w:t>31</w:t>
            </w:r>
          </w:p>
        </w:tc>
        <w:tc>
          <w:tcPr>
            <w:tcW w:w="1259" w:type="dxa"/>
            <w:vAlign w:val="center"/>
          </w:tcPr>
          <w:p w14:paraId="2EC7BCBD">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22</w:t>
            </w:r>
          </w:p>
        </w:tc>
        <w:tc>
          <w:tcPr>
            <w:tcW w:w="1226" w:type="dxa"/>
            <w:vAlign w:val="center"/>
          </w:tcPr>
          <w:p w14:paraId="3FA07A5F">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28</w:t>
            </w:r>
          </w:p>
        </w:tc>
        <w:tc>
          <w:tcPr>
            <w:tcW w:w="905" w:type="dxa"/>
            <w:vAlign w:val="center"/>
          </w:tcPr>
          <w:p w14:paraId="0A8374F1">
            <w:pPr>
              <w:adjustRightInd w:val="0"/>
              <w:snapToGrid w:val="0"/>
              <w:jc w:val="center"/>
              <w:rPr>
                <w:bCs/>
                <w:sz w:val="22"/>
              </w:rPr>
            </w:pPr>
            <w:r>
              <w:rPr>
                <w:bCs/>
                <w:sz w:val="22"/>
              </w:rPr>
              <w:t>/</w:t>
            </w:r>
          </w:p>
        </w:tc>
        <w:tc>
          <w:tcPr>
            <w:tcW w:w="1155" w:type="dxa"/>
            <w:vAlign w:val="center"/>
          </w:tcPr>
          <w:p w14:paraId="702A00A3">
            <w:pPr>
              <w:adjustRightInd w:val="0"/>
              <w:snapToGrid w:val="0"/>
              <w:jc w:val="center"/>
              <w:rPr>
                <w:bCs/>
                <w:sz w:val="22"/>
              </w:rPr>
            </w:pPr>
            <w:r>
              <w:rPr>
                <w:bCs/>
                <w:sz w:val="22"/>
              </w:rPr>
              <w:t>达标</w:t>
            </w:r>
          </w:p>
        </w:tc>
      </w:tr>
      <w:tr w14:paraId="38C89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18873780">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1"/>
                <w:sz w:val="22"/>
                <w:szCs w:val="22"/>
              </w:rPr>
              <w:t>五日生化需氧量</w:t>
            </w:r>
          </w:p>
        </w:tc>
        <w:tc>
          <w:tcPr>
            <w:tcW w:w="1095" w:type="dxa"/>
            <w:vAlign w:val="center"/>
          </w:tcPr>
          <w:p w14:paraId="1668EC0A">
            <w:pPr>
              <w:adjustRightInd w:val="0"/>
              <w:snapToGrid w:val="0"/>
              <w:jc w:val="center"/>
              <w:rPr>
                <w:bCs/>
                <w:sz w:val="22"/>
              </w:rPr>
            </w:pPr>
            <w:r>
              <w:rPr>
                <w:bCs/>
                <w:sz w:val="22"/>
              </w:rPr>
              <w:t>mg/L</w:t>
            </w:r>
          </w:p>
        </w:tc>
        <w:tc>
          <w:tcPr>
            <w:tcW w:w="1384" w:type="dxa"/>
            <w:vAlign w:val="center"/>
          </w:tcPr>
          <w:p w14:paraId="5233FA7F">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0.8</w:t>
            </w:r>
          </w:p>
        </w:tc>
        <w:tc>
          <w:tcPr>
            <w:tcW w:w="1259" w:type="dxa"/>
            <w:vAlign w:val="center"/>
          </w:tcPr>
          <w:p w14:paraId="2F1DC330">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0.6</w:t>
            </w:r>
          </w:p>
        </w:tc>
        <w:tc>
          <w:tcPr>
            <w:tcW w:w="1226" w:type="dxa"/>
            <w:vAlign w:val="center"/>
          </w:tcPr>
          <w:p w14:paraId="23D5D53E">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0.7</w:t>
            </w:r>
          </w:p>
        </w:tc>
        <w:tc>
          <w:tcPr>
            <w:tcW w:w="905" w:type="dxa"/>
            <w:vAlign w:val="center"/>
          </w:tcPr>
          <w:p w14:paraId="5D6265F7">
            <w:pPr>
              <w:adjustRightInd w:val="0"/>
              <w:snapToGrid w:val="0"/>
              <w:jc w:val="center"/>
              <w:rPr>
                <w:bCs/>
                <w:sz w:val="22"/>
              </w:rPr>
            </w:pPr>
          </w:p>
        </w:tc>
        <w:tc>
          <w:tcPr>
            <w:tcW w:w="1155" w:type="dxa"/>
            <w:vAlign w:val="center"/>
          </w:tcPr>
          <w:p w14:paraId="22EEA8A6">
            <w:pPr>
              <w:adjustRightInd w:val="0"/>
              <w:snapToGrid w:val="0"/>
              <w:jc w:val="center"/>
              <w:rPr>
                <w:bCs/>
                <w:sz w:val="22"/>
              </w:rPr>
            </w:pPr>
            <w:r>
              <w:rPr>
                <w:bCs/>
                <w:sz w:val="22"/>
              </w:rPr>
              <w:t>达标</w:t>
            </w:r>
          </w:p>
        </w:tc>
      </w:tr>
      <w:tr w14:paraId="25FF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030A3976">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全盐量</w:t>
            </w:r>
          </w:p>
        </w:tc>
        <w:tc>
          <w:tcPr>
            <w:tcW w:w="1095" w:type="dxa"/>
            <w:vAlign w:val="center"/>
          </w:tcPr>
          <w:p w14:paraId="3A4B1B04">
            <w:pPr>
              <w:adjustRightInd w:val="0"/>
              <w:snapToGrid w:val="0"/>
              <w:jc w:val="center"/>
              <w:rPr>
                <w:bCs/>
                <w:sz w:val="22"/>
              </w:rPr>
            </w:pPr>
          </w:p>
        </w:tc>
        <w:tc>
          <w:tcPr>
            <w:tcW w:w="1384" w:type="dxa"/>
            <w:vAlign w:val="center"/>
          </w:tcPr>
          <w:p w14:paraId="6E58364E">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531</w:t>
            </w:r>
          </w:p>
        </w:tc>
        <w:tc>
          <w:tcPr>
            <w:tcW w:w="1259" w:type="dxa"/>
            <w:vAlign w:val="center"/>
          </w:tcPr>
          <w:p w14:paraId="4928349D">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519</w:t>
            </w:r>
          </w:p>
        </w:tc>
        <w:tc>
          <w:tcPr>
            <w:tcW w:w="1226" w:type="dxa"/>
            <w:vAlign w:val="center"/>
          </w:tcPr>
          <w:p w14:paraId="267742A1">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522</w:t>
            </w:r>
          </w:p>
        </w:tc>
        <w:tc>
          <w:tcPr>
            <w:tcW w:w="905" w:type="dxa"/>
            <w:vAlign w:val="center"/>
          </w:tcPr>
          <w:p w14:paraId="4843DAED">
            <w:pPr>
              <w:adjustRightInd w:val="0"/>
              <w:snapToGrid w:val="0"/>
              <w:jc w:val="center"/>
              <w:rPr>
                <w:bCs/>
                <w:sz w:val="22"/>
              </w:rPr>
            </w:pPr>
          </w:p>
        </w:tc>
        <w:tc>
          <w:tcPr>
            <w:tcW w:w="1155" w:type="dxa"/>
            <w:vAlign w:val="center"/>
          </w:tcPr>
          <w:p w14:paraId="6E329807">
            <w:pPr>
              <w:adjustRightInd w:val="0"/>
              <w:snapToGrid w:val="0"/>
              <w:jc w:val="center"/>
              <w:rPr>
                <w:bCs/>
                <w:sz w:val="22"/>
              </w:rPr>
            </w:pPr>
            <w:r>
              <w:rPr>
                <w:bCs/>
                <w:sz w:val="22"/>
              </w:rPr>
              <w:t>达标</w:t>
            </w:r>
          </w:p>
        </w:tc>
      </w:tr>
      <w:tr w14:paraId="4C6E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49906CA7">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硫化物</w:t>
            </w:r>
          </w:p>
        </w:tc>
        <w:tc>
          <w:tcPr>
            <w:tcW w:w="1095" w:type="dxa"/>
            <w:vAlign w:val="center"/>
          </w:tcPr>
          <w:p w14:paraId="44A520EE">
            <w:pPr>
              <w:adjustRightInd w:val="0"/>
              <w:snapToGrid w:val="0"/>
              <w:jc w:val="center"/>
              <w:rPr>
                <w:bCs/>
                <w:sz w:val="22"/>
              </w:rPr>
            </w:pPr>
          </w:p>
        </w:tc>
        <w:tc>
          <w:tcPr>
            <w:tcW w:w="1384" w:type="dxa"/>
            <w:vAlign w:val="center"/>
          </w:tcPr>
          <w:p w14:paraId="0DED1146">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59" w:type="dxa"/>
            <w:vAlign w:val="center"/>
          </w:tcPr>
          <w:p w14:paraId="5ABC507E">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1226" w:type="dxa"/>
            <w:vAlign w:val="center"/>
          </w:tcPr>
          <w:p w14:paraId="0568D61B">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8"/>
                <w:sz w:val="22"/>
                <w:szCs w:val="22"/>
              </w:rPr>
              <w:t>未检出</w:t>
            </w:r>
          </w:p>
        </w:tc>
        <w:tc>
          <w:tcPr>
            <w:tcW w:w="905" w:type="dxa"/>
            <w:vAlign w:val="center"/>
          </w:tcPr>
          <w:p w14:paraId="21EA859B">
            <w:pPr>
              <w:adjustRightInd w:val="0"/>
              <w:snapToGrid w:val="0"/>
              <w:jc w:val="center"/>
              <w:rPr>
                <w:bCs/>
                <w:sz w:val="22"/>
              </w:rPr>
            </w:pPr>
          </w:p>
        </w:tc>
        <w:tc>
          <w:tcPr>
            <w:tcW w:w="1155" w:type="dxa"/>
            <w:vAlign w:val="center"/>
          </w:tcPr>
          <w:p w14:paraId="3D143CD6">
            <w:pPr>
              <w:adjustRightInd w:val="0"/>
              <w:snapToGrid w:val="0"/>
              <w:jc w:val="center"/>
              <w:rPr>
                <w:bCs/>
                <w:sz w:val="22"/>
              </w:rPr>
            </w:pPr>
            <w:r>
              <w:rPr>
                <w:bCs/>
                <w:sz w:val="22"/>
              </w:rPr>
              <w:t>达标</w:t>
            </w:r>
          </w:p>
        </w:tc>
      </w:tr>
      <w:tr w14:paraId="6C589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4EE47C88">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磷酸盐</w:t>
            </w:r>
          </w:p>
        </w:tc>
        <w:tc>
          <w:tcPr>
            <w:tcW w:w="1095" w:type="dxa"/>
            <w:vAlign w:val="center"/>
          </w:tcPr>
          <w:p w14:paraId="2E8A5841">
            <w:pPr>
              <w:adjustRightInd w:val="0"/>
              <w:snapToGrid w:val="0"/>
              <w:jc w:val="center"/>
              <w:rPr>
                <w:bCs/>
                <w:sz w:val="22"/>
              </w:rPr>
            </w:pPr>
          </w:p>
        </w:tc>
        <w:tc>
          <w:tcPr>
            <w:tcW w:w="1384" w:type="dxa"/>
            <w:vAlign w:val="center"/>
          </w:tcPr>
          <w:p w14:paraId="0C689034">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0.428</w:t>
            </w:r>
          </w:p>
        </w:tc>
        <w:tc>
          <w:tcPr>
            <w:tcW w:w="1259" w:type="dxa"/>
            <w:vAlign w:val="center"/>
          </w:tcPr>
          <w:p w14:paraId="2270E585">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0.353</w:t>
            </w:r>
          </w:p>
        </w:tc>
        <w:tc>
          <w:tcPr>
            <w:tcW w:w="1226" w:type="dxa"/>
            <w:vAlign w:val="center"/>
          </w:tcPr>
          <w:p w14:paraId="6021F5DB">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0.431</w:t>
            </w:r>
          </w:p>
        </w:tc>
        <w:tc>
          <w:tcPr>
            <w:tcW w:w="905" w:type="dxa"/>
            <w:vAlign w:val="center"/>
          </w:tcPr>
          <w:p w14:paraId="11E1CAE6">
            <w:pPr>
              <w:adjustRightInd w:val="0"/>
              <w:snapToGrid w:val="0"/>
              <w:jc w:val="center"/>
              <w:rPr>
                <w:bCs/>
                <w:sz w:val="22"/>
              </w:rPr>
            </w:pPr>
          </w:p>
        </w:tc>
        <w:tc>
          <w:tcPr>
            <w:tcW w:w="1155" w:type="dxa"/>
            <w:vAlign w:val="center"/>
          </w:tcPr>
          <w:p w14:paraId="1E318218">
            <w:pPr>
              <w:adjustRightInd w:val="0"/>
              <w:snapToGrid w:val="0"/>
              <w:jc w:val="center"/>
              <w:rPr>
                <w:bCs/>
                <w:sz w:val="22"/>
              </w:rPr>
            </w:pPr>
            <w:r>
              <w:rPr>
                <w:bCs/>
                <w:sz w:val="22"/>
              </w:rPr>
              <w:t>达标</w:t>
            </w:r>
          </w:p>
        </w:tc>
      </w:tr>
      <w:tr w14:paraId="7D1F1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1CAACC1F">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氟化物</w:t>
            </w:r>
          </w:p>
        </w:tc>
        <w:tc>
          <w:tcPr>
            <w:tcW w:w="1095" w:type="dxa"/>
            <w:vAlign w:val="center"/>
          </w:tcPr>
          <w:p w14:paraId="5F657F3A">
            <w:pPr>
              <w:adjustRightInd w:val="0"/>
              <w:snapToGrid w:val="0"/>
              <w:jc w:val="center"/>
              <w:rPr>
                <w:bCs/>
                <w:sz w:val="22"/>
              </w:rPr>
            </w:pPr>
          </w:p>
        </w:tc>
        <w:tc>
          <w:tcPr>
            <w:tcW w:w="1384" w:type="dxa"/>
            <w:vAlign w:val="center"/>
          </w:tcPr>
          <w:p w14:paraId="53CEB63A">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0.050</w:t>
            </w:r>
          </w:p>
        </w:tc>
        <w:tc>
          <w:tcPr>
            <w:tcW w:w="1259" w:type="dxa"/>
            <w:vAlign w:val="center"/>
          </w:tcPr>
          <w:p w14:paraId="3C31A6F6">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0.057</w:t>
            </w:r>
          </w:p>
        </w:tc>
        <w:tc>
          <w:tcPr>
            <w:tcW w:w="1226" w:type="dxa"/>
            <w:vAlign w:val="center"/>
          </w:tcPr>
          <w:p w14:paraId="57DF07AD">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2"/>
                <w:sz w:val="22"/>
                <w:szCs w:val="22"/>
              </w:rPr>
              <w:t>0.050</w:t>
            </w:r>
          </w:p>
        </w:tc>
        <w:tc>
          <w:tcPr>
            <w:tcW w:w="905" w:type="dxa"/>
            <w:vAlign w:val="center"/>
          </w:tcPr>
          <w:p w14:paraId="22366FA9">
            <w:pPr>
              <w:adjustRightInd w:val="0"/>
              <w:snapToGrid w:val="0"/>
              <w:jc w:val="center"/>
              <w:rPr>
                <w:bCs/>
                <w:sz w:val="22"/>
              </w:rPr>
            </w:pPr>
          </w:p>
        </w:tc>
        <w:tc>
          <w:tcPr>
            <w:tcW w:w="1155" w:type="dxa"/>
            <w:vAlign w:val="center"/>
          </w:tcPr>
          <w:p w14:paraId="1D666AE2">
            <w:pPr>
              <w:adjustRightInd w:val="0"/>
              <w:snapToGrid w:val="0"/>
              <w:jc w:val="center"/>
              <w:rPr>
                <w:bCs/>
                <w:sz w:val="22"/>
              </w:rPr>
            </w:pPr>
            <w:r>
              <w:rPr>
                <w:bCs/>
                <w:sz w:val="22"/>
              </w:rPr>
              <w:t>达标</w:t>
            </w:r>
          </w:p>
        </w:tc>
      </w:tr>
      <w:tr w14:paraId="052FE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92" w:type="dxa"/>
            <w:vAlign w:val="center"/>
          </w:tcPr>
          <w:p w14:paraId="2C5BA525">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氯化物</w:t>
            </w:r>
          </w:p>
        </w:tc>
        <w:tc>
          <w:tcPr>
            <w:tcW w:w="1095" w:type="dxa"/>
            <w:vAlign w:val="center"/>
          </w:tcPr>
          <w:p w14:paraId="52DB52FC">
            <w:pPr>
              <w:adjustRightInd w:val="0"/>
              <w:snapToGrid w:val="0"/>
              <w:jc w:val="center"/>
              <w:rPr>
                <w:bCs/>
                <w:sz w:val="22"/>
              </w:rPr>
            </w:pPr>
          </w:p>
        </w:tc>
        <w:tc>
          <w:tcPr>
            <w:tcW w:w="1384" w:type="dxa"/>
            <w:vAlign w:val="center"/>
          </w:tcPr>
          <w:p w14:paraId="430B5F85">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35.2</w:t>
            </w:r>
          </w:p>
        </w:tc>
        <w:tc>
          <w:tcPr>
            <w:tcW w:w="1259" w:type="dxa"/>
            <w:vAlign w:val="center"/>
          </w:tcPr>
          <w:p w14:paraId="265C4038">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37.7</w:t>
            </w:r>
          </w:p>
        </w:tc>
        <w:tc>
          <w:tcPr>
            <w:tcW w:w="1226" w:type="dxa"/>
            <w:vAlign w:val="center"/>
          </w:tcPr>
          <w:p w14:paraId="3C186216">
            <w:pPr>
              <w:pStyle w:val="1932"/>
              <w:snapToGrid w:val="0"/>
              <w:spacing w:before="0"/>
              <w:jc w:val="center"/>
              <w:rPr>
                <w:rFonts w:ascii="Times New Roman" w:hAnsi="Times New Roman" w:cs="Times New Roman"/>
                <w:bCs/>
                <w:sz w:val="22"/>
                <w:szCs w:val="22"/>
                <w:lang w:eastAsia="zh-CN"/>
              </w:rPr>
            </w:pPr>
            <w:r>
              <w:rPr>
                <w:rFonts w:ascii="Times New Roman" w:hAnsi="Times New Roman" w:cs="Times New Roman"/>
                <w:spacing w:val="-3"/>
                <w:sz w:val="22"/>
                <w:szCs w:val="22"/>
              </w:rPr>
              <w:t>33.5</w:t>
            </w:r>
          </w:p>
        </w:tc>
        <w:tc>
          <w:tcPr>
            <w:tcW w:w="905" w:type="dxa"/>
            <w:vAlign w:val="center"/>
          </w:tcPr>
          <w:p w14:paraId="0E77B33F">
            <w:pPr>
              <w:adjustRightInd w:val="0"/>
              <w:snapToGrid w:val="0"/>
              <w:jc w:val="center"/>
              <w:rPr>
                <w:bCs/>
                <w:sz w:val="22"/>
              </w:rPr>
            </w:pPr>
          </w:p>
        </w:tc>
        <w:tc>
          <w:tcPr>
            <w:tcW w:w="1155" w:type="dxa"/>
            <w:vAlign w:val="center"/>
          </w:tcPr>
          <w:p w14:paraId="212435C8">
            <w:pPr>
              <w:adjustRightInd w:val="0"/>
              <w:snapToGrid w:val="0"/>
              <w:jc w:val="center"/>
              <w:rPr>
                <w:bCs/>
                <w:sz w:val="22"/>
              </w:rPr>
            </w:pPr>
            <w:r>
              <w:rPr>
                <w:bCs/>
                <w:sz w:val="22"/>
              </w:rPr>
              <w:t>达标</w:t>
            </w:r>
          </w:p>
        </w:tc>
      </w:tr>
    </w:tbl>
    <w:p w14:paraId="1ADCC0B3">
      <w:pPr>
        <w:pStyle w:val="1379"/>
        <w:ind w:firstLine="440"/>
      </w:pPr>
    </w:p>
    <w:tbl>
      <w:tblPr>
        <w:tblStyle w:val="8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7C31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21D9489A">
            <w:pPr>
              <w:adjustRightInd w:val="0"/>
              <w:snapToGrid w:val="0"/>
              <w:spacing w:line="480" w:lineRule="exact"/>
              <w:jc w:val="center"/>
              <w:rPr>
                <w:sz w:val="26"/>
                <w:szCs w:val="26"/>
              </w:rPr>
            </w:pPr>
            <w:r>
              <w:drawing>
                <wp:anchor distT="0" distB="0" distL="114300" distR="114300" simplePos="0" relativeHeight="251663360" behindDoc="0" locked="0" layoutInCell="1" allowOverlap="1">
                  <wp:simplePos x="0" y="0"/>
                  <wp:positionH relativeFrom="column">
                    <wp:posOffset>-64770</wp:posOffset>
                  </wp:positionH>
                  <wp:positionV relativeFrom="paragraph">
                    <wp:posOffset>0</wp:posOffset>
                  </wp:positionV>
                  <wp:extent cx="5158105" cy="1541780"/>
                  <wp:effectExtent l="0" t="0" r="4445" b="1270"/>
                  <wp:wrapSquare wrapText="bothSides"/>
                  <wp:docPr id="39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9"/>
                          <pic:cNvPicPr>
                            <a:picLocks noChangeAspect="1"/>
                          </pic:cNvPicPr>
                        </pic:nvPicPr>
                        <pic:blipFill>
                          <a:blip r:embed="rId94"/>
                          <a:stretch>
                            <a:fillRect/>
                          </a:stretch>
                        </pic:blipFill>
                        <pic:spPr>
                          <a:xfrm>
                            <a:off x="0" y="0"/>
                            <a:ext cx="5158105" cy="1541780"/>
                          </a:xfrm>
                          <a:prstGeom prst="rect">
                            <a:avLst/>
                          </a:prstGeom>
                          <a:noFill/>
                          <a:ln>
                            <a:noFill/>
                          </a:ln>
                        </pic:spPr>
                      </pic:pic>
                    </a:graphicData>
                  </a:graphic>
                </wp:anchor>
              </w:drawing>
            </w:r>
            <w:r>
              <w:rPr>
                <w:sz w:val="26"/>
                <w:szCs w:val="26"/>
              </w:rPr>
              <w:t>图8.3-3  油气井地下水处理站出水水质近期在线监测数据</w:t>
            </w:r>
          </w:p>
        </w:tc>
      </w:tr>
    </w:tbl>
    <w:p w14:paraId="016CBA1A">
      <w:pPr>
        <w:pStyle w:val="1379"/>
        <w:ind w:firstLine="440"/>
      </w:pPr>
    </w:p>
    <w:p w14:paraId="432C29CC">
      <w:pPr>
        <w:adjustRightInd w:val="0"/>
        <w:snapToGrid w:val="0"/>
        <w:spacing w:line="480" w:lineRule="exact"/>
        <w:ind w:firstLine="520" w:firstLineChars="200"/>
        <w:rPr>
          <w:sz w:val="26"/>
          <w:szCs w:val="26"/>
        </w:rPr>
      </w:pPr>
      <w:r>
        <w:rPr>
          <w:sz w:val="26"/>
          <w:szCs w:val="26"/>
        </w:rPr>
        <w:t>油气井地下水处理站已运营近</w:t>
      </w:r>
      <w:r>
        <w:rPr>
          <w:rFonts w:hint="eastAsia"/>
          <w:sz w:val="26"/>
          <w:szCs w:val="26"/>
        </w:rPr>
        <w:t>11</w:t>
      </w:r>
      <w:r>
        <w:rPr>
          <w:sz w:val="26"/>
          <w:szCs w:val="26"/>
        </w:rPr>
        <w:t>年，根据建设单位提供的 该污水站外排口监测报告数据和在线监测实时数据可以看出该污水处理站出水水质能达标排放</w:t>
      </w:r>
      <w:r>
        <w:rPr>
          <w:rFonts w:hint="eastAsia"/>
          <w:sz w:val="26"/>
          <w:szCs w:val="26"/>
        </w:rPr>
        <w:t>。</w:t>
      </w:r>
    </w:p>
    <w:p w14:paraId="104C535A">
      <w:pPr>
        <w:adjustRightInd w:val="0"/>
        <w:snapToGrid w:val="0"/>
        <w:spacing w:line="480" w:lineRule="exact"/>
        <w:ind w:firstLine="520" w:firstLineChars="200"/>
        <w:rPr>
          <w:sz w:val="26"/>
          <w:szCs w:val="26"/>
        </w:rPr>
      </w:pPr>
      <w:r>
        <w:rPr>
          <w:sz w:val="26"/>
          <w:szCs w:val="26"/>
        </w:rPr>
        <w:t>综上所述，本项目</w:t>
      </w:r>
      <w:r>
        <w:rPr>
          <w:rFonts w:hint="eastAsia"/>
          <w:sz w:val="26"/>
          <w:szCs w:val="26"/>
        </w:rPr>
        <w:t>气田水</w:t>
      </w:r>
      <w:r>
        <w:rPr>
          <w:sz w:val="26"/>
          <w:szCs w:val="26"/>
        </w:rPr>
        <w:t>可得到合理的处理，废水的处理措施符合环保要求，治理措施可行</w:t>
      </w:r>
      <w:r>
        <w:rPr>
          <w:rFonts w:hint="eastAsia"/>
          <w:sz w:val="26"/>
          <w:szCs w:val="26"/>
        </w:rPr>
        <w:t>。</w:t>
      </w:r>
    </w:p>
    <w:p w14:paraId="5B265346">
      <w:pPr>
        <w:spacing w:line="460" w:lineRule="exact"/>
        <w:ind w:firstLine="522" w:firstLineChars="200"/>
        <w:outlineLvl w:val="2"/>
        <w:rPr>
          <w:b/>
          <w:bCs/>
          <w:sz w:val="26"/>
          <w:szCs w:val="26"/>
        </w:rPr>
      </w:pPr>
      <w:bookmarkStart w:id="364" w:name="_Toc165810645"/>
      <w:r>
        <w:rPr>
          <w:b/>
          <w:bCs/>
          <w:sz w:val="26"/>
          <w:szCs w:val="26"/>
        </w:rPr>
        <w:t xml:space="preserve">8.3.4 </w:t>
      </w:r>
      <w:r>
        <w:rPr>
          <w:rFonts w:hint="eastAsia"/>
          <w:b/>
          <w:bCs/>
          <w:sz w:val="26"/>
          <w:szCs w:val="26"/>
        </w:rPr>
        <w:t>废水转运措施及要求</w:t>
      </w:r>
      <w:bookmarkEnd w:id="364"/>
    </w:p>
    <w:p w14:paraId="68558B61">
      <w:pPr>
        <w:spacing w:line="460" w:lineRule="exact"/>
        <w:ind w:firstLine="522" w:firstLineChars="200"/>
        <w:rPr>
          <w:b/>
          <w:sz w:val="26"/>
          <w:szCs w:val="26"/>
        </w:rPr>
      </w:pPr>
      <w:r>
        <w:rPr>
          <w:rFonts w:hint="eastAsia"/>
          <w:b/>
          <w:sz w:val="26"/>
          <w:szCs w:val="26"/>
        </w:rPr>
        <w:t>8</w:t>
      </w:r>
      <w:r>
        <w:rPr>
          <w:b/>
          <w:sz w:val="26"/>
          <w:szCs w:val="26"/>
        </w:rPr>
        <w:t xml:space="preserve">.3.4.1 </w:t>
      </w:r>
      <w:r>
        <w:rPr>
          <w:rFonts w:hint="eastAsia"/>
          <w:b/>
          <w:sz w:val="26"/>
          <w:szCs w:val="26"/>
        </w:rPr>
        <w:t>转运路线</w:t>
      </w:r>
    </w:p>
    <w:p w14:paraId="34D0F81B">
      <w:pPr>
        <w:spacing w:line="460" w:lineRule="exact"/>
        <w:ind w:firstLine="520" w:firstLineChars="200"/>
        <w:rPr>
          <w:sz w:val="26"/>
          <w:szCs w:val="26"/>
        </w:rPr>
      </w:pPr>
      <w:r>
        <w:rPr>
          <w:rFonts w:hint="eastAsia"/>
          <w:sz w:val="26"/>
          <w:szCs w:val="26"/>
        </w:rPr>
        <w:t>本项目气田水依托单位</w:t>
      </w:r>
      <w:r>
        <w:rPr>
          <w:sz w:val="26"/>
          <w:szCs w:val="26"/>
        </w:rPr>
        <w:t>四川洁安环境科技有限公司</w:t>
      </w:r>
      <w:r>
        <w:rPr>
          <w:rFonts w:hint="eastAsia"/>
          <w:sz w:val="26"/>
          <w:szCs w:val="26"/>
        </w:rPr>
        <w:t>油气田废水处理站和</w:t>
      </w:r>
      <w:r>
        <w:rPr>
          <w:sz w:val="26"/>
          <w:szCs w:val="26"/>
        </w:rPr>
        <w:t>四川兴澳环境技术服务有限公司油气井地下水处理站</w:t>
      </w:r>
      <w:r>
        <w:rPr>
          <w:rFonts w:hint="eastAsia"/>
          <w:sz w:val="26"/>
          <w:szCs w:val="26"/>
        </w:rPr>
        <w:t>均位于</w:t>
      </w:r>
      <w:r>
        <w:rPr>
          <w:sz w:val="26"/>
          <w:szCs w:val="26"/>
        </w:rPr>
        <w:t>巴州区光辉镇哨台村巴中循环经济产业园内</w:t>
      </w:r>
      <w:r>
        <w:rPr>
          <w:rFonts w:hint="eastAsia"/>
          <w:sz w:val="26"/>
          <w:szCs w:val="26"/>
        </w:rPr>
        <w:t>，运输路线相同，见下图。</w:t>
      </w:r>
    </w:p>
    <w:p w14:paraId="4FCB04EA">
      <w:pPr>
        <w:pStyle w:val="1379"/>
        <w:ind w:firstLine="440"/>
      </w:pPr>
    </w:p>
    <w:p w14:paraId="3A886E6F">
      <w:pPr>
        <w:pStyle w:val="1065"/>
      </w:pPr>
      <w:r>
        <w:drawing>
          <wp:inline distT="0" distB="0" distL="0" distR="0">
            <wp:extent cx="5274310" cy="2167890"/>
            <wp:effectExtent l="0" t="0" r="2540" b="381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95"/>
                    <a:stretch>
                      <a:fillRect/>
                    </a:stretch>
                  </pic:blipFill>
                  <pic:spPr>
                    <a:xfrm>
                      <a:off x="0" y="0"/>
                      <a:ext cx="5274310" cy="2167890"/>
                    </a:xfrm>
                    <a:prstGeom prst="rect">
                      <a:avLst/>
                    </a:prstGeom>
                  </pic:spPr>
                </pic:pic>
              </a:graphicData>
            </a:graphic>
          </wp:inline>
        </w:drawing>
      </w:r>
    </w:p>
    <w:p w14:paraId="1F01619B">
      <w:pPr>
        <w:pStyle w:val="1065"/>
      </w:pPr>
      <w:r>
        <w:rPr>
          <w:rFonts w:hint="eastAsia"/>
        </w:rPr>
        <w:t>图8</w:t>
      </w:r>
      <w:r>
        <w:t xml:space="preserve">.3-4  </w:t>
      </w:r>
      <w:r>
        <w:rPr>
          <w:rFonts w:hint="eastAsia"/>
        </w:rPr>
        <w:t>气田水拉运路线图</w:t>
      </w:r>
    </w:p>
    <w:p w14:paraId="130A4384">
      <w:pPr>
        <w:pStyle w:val="1379"/>
        <w:ind w:firstLine="440"/>
      </w:pPr>
    </w:p>
    <w:p w14:paraId="0BCCC804">
      <w:pPr>
        <w:pStyle w:val="702"/>
        <w:spacing w:before="48" w:after="48"/>
        <w:ind w:firstLine="520"/>
      </w:pPr>
      <w:r>
        <w:rPr>
          <w:rFonts w:hint="eastAsia"/>
          <w:szCs w:val="26"/>
        </w:rPr>
        <w:t>本项目气田水拉运路线长度约4</w:t>
      </w:r>
      <w:r>
        <w:rPr>
          <w:szCs w:val="26"/>
        </w:rPr>
        <w:t>3</w:t>
      </w:r>
      <w:r>
        <w:rPr>
          <w:rFonts w:hint="eastAsia"/>
          <w:szCs w:val="26"/>
        </w:rPr>
        <w:t>km，途径村道、</w:t>
      </w:r>
      <w:r>
        <w:rPr>
          <w:szCs w:val="26"/>
        </w:rPr>
        <w:t>347</w:t>
      </w:r>
      <w:r>
        <w:rPr>
          <w:rFonts w:hint="eastAsia"/>
          <w:szCs w:val="26"/>
        </w:rPr>
        <w:t>国道、万阿路、恩阳大道、2</w:t>
      </w:r>
      <w:r>
        <w:rPr>
          <w:szCs w:val="26"/>
        </w:rPr>
        <w:t>44</w:t>
      </w:r>
      <w:r>
        <w:rPr>
          <w:rFonts w:hint="eastAsia"/>
          <w:szCs w:val="26"/>
        </w:rPr>
        <w:t>国道、9</w:t>
      </w:r>
      <w:r>
        <w:rPr>
          <w:szCs w:val="26"/>
        </w:rPr>
        <w:t>90</w:t>
      </w:r>
      <w:r>
        <w:rPr>
          <w:rFonts w:hint="eastAsia"/>
          <w:szCs w:val="26"/>
        </w:rPr>
        <w:t>乡道等。</w:t>
      </w:r>
      <w:r>
        <w:rPr>
          <w:rFonts w:hint="eastAsia"/>
        </w:rPr>
        <w:t>罐车行驶至河流（含河沟、塘堰等）较近位置或者穿越河流（含河沟等）的道路时，应放慢行驶速度，谨慎通过。废水转运过程严格执行联单制度，全程采用密闭罐车运输，可有效避免转运途中废水的“跑、冒、滴、漏”；同时落实罐车GPS定位跟踪等环保管理要求，并及时将转运联单报当地生态环境局备案。</w:t>
      </w:r>
    </w:p>
    <w:p w14:paraId="4A22099C">
      <w:pPr>
        <w:spacing w:line="460" w:lineRule="exact"/>
        <w:ind w:firstLine="522" w:firstLineChars="200"/>
        <w:rPr>
          <w:b/>
          <w:sz w:val="26"/>
          <w:szCs w:val="26"/>
        </w:rPr>
      </w:pPr>
      <w:r>
        <w:rPr>
          <w:rFonts w:hint="eastAsia"/>
          <w:b/>
          <w:sz w:val="26"/>
          <w:szCs w:val="26"/>
        </w:rPr>
        <w:t>8</w:t>
      </w:r>
      <w:r>
        <w:rPr>
          <w:b/>
          <w:sz w:val="26"/>
          <w:szCs w:val="26"/>
        </w:rPr>
        <w:t xml:space="preserve">.3.4.2 </w:t>
      </w:r>
      <w:r>
        <w:rPr>
          <w:rFonts w:hint="eastAsia"/>
          <w:b/>
          <w:sz w:val="26"/>
          <w:szCs w:val="26"/>
        </w:rPr>
        <w:t>转运措施</w:t>
      </w:r>
    </w:p>
    <w:p w14:paraId="16D77C71">
      <w:pPr>
        <w:spacing w:line="460" w:lineRule="exact"/>
        <w:ind w:firstLine="520" w:firstLineChars="200"/>
        <w:rPr>
          <w:sz w:val="26"/>
          <w:szCs w:val="26"/>
        </w:rPr>
      </w:pPr>
      <w:r>
        <w:rPr>
          <w:rFonts w:hint="eastAsia"/>
          <w:sz w:val="26"/>
          <w:szCs w:val="26"/>
        </w:rPr>
        <w:t>（1）废水转运单位在开展运输工作前，应对运输人员进行相关安全环保知识培训，提升应对泄漏等风险事故的应对能力，将可能造成的环境影响降到最低；运输车辆、装卸工具必须符合安全环保要求，装卸过程中不得溢出和泄露。严禁随意倾倒、排放或者向第三方转移废水。</w:t>
      </w:r>
    </w:p>
    <w:p w14:paraId="63CDBB90">
      <w:pPr>
        <w:spacing w:line="460" w:lineRule="exact"/>
        <w:ind w:firstLine="520" w:firstLineChars="200"/>
        <w:rPr>
          <w:sz w:val="26"/>
          <w:szCs w:val="26"/>
        </w:rPr>
      </w:pPr>
      <w:r>
        <w:rPr>
          <w:rFonts w:hint="eastAsia"/>
          <w:sz w:val="26"/>
          <w:szCs w:val="26"/>
        </w:rPr>
        <w:t>（2）运输前规划运输路线，废水转运过程中应严格按照规定的路线运输到相应的目的地，不得擅自更改运输路线，从而增加环境风险；运输过程中应尽量避开环境敏感区，遇环境敏感区需减速慢行确保安全通过，同时要注意清洁运输，防止废水泄漏。</w:t>
      </w:r>
    </w:p>
    <w:p w14:paraId="66A16C36">
      <w:pPr>
        <w:spacing w:line="460" w:lineRule="exact"/>
        <w:ind w:firstLine="520" w:firstLineChars="200"/>
        <w:rPr>
          <w:sz w:val="26"/>
          <w:szCs w:val="26"/>
        </w:rPr>
      </w:pPr>
      <w:r>
        <w:rPr>
          <w:rFonts w:hint="eastAsia"/>
          <w:sz w:val="26"/>
          <w:szCs w:val="26"/>
        </w:rPr>
        <w:t>（3）废水转运应建立交接联单制度，确保废水运至相应的目的地。</w:t>
      </w:r>
    </w:p>
    <w:p w14:paraId="59C138D8">
      <w:pPr>
        <w:spacing w:line="460" w:lineRule="exact"/>
        <w:ind w:firstLine="520" w:firstLineChars="200"/>
        <w:rPr>
          <w:sz w:val="26"/>
          <w:szCs w:val="26"/>
        </w:rPr>
      </w:pPr>
      <w:r>
        <w:rPr>
          <w:rFonts w:hint="eastAsia"/>
          <w:sz w:val="26"/>
          <w:szCs w:val="26"/>
        </w:rPr>
        <w:t>（4）废水转运必须使用密闭的车辆运输，并确保运输车辆车况处于良好状态。</w:t>
      </w:r>
    </w:p>
    <w:p w14:paraId="64AE9F84">
      <w:pPr>
        <w:spacing w:line="460" w:lineRule="exact"/>
        <w:ind w:firstLine="520" w:firstLineChars="200"/>
        <w:rPr>
          <w:sz w:val="26"/>
          <w:szCs w:val="26"/>
        </w:rPr>
      </w:pPr>
      <w:r>
        <w:rPr>
          <w:rFonts w:hint="eastAsia"/>
          <w:sz w:val="26"/>
          <w:szCs w:val="26"/>
        </w:rPr>
        <w:t>（5）废水运输由专业单位负责实施，不得自行运输，也不得委托公司外其他单位运输。</w:t>
      </w:r>
    </w:p>
    <w:p w14:paraId="1A2A7E1F">
      <w:pPr>
        <w:spacing w:line="460" w:lineRule="exact"/>
        <w:ind w:firstLine="520" w:firstLineChars="200"/>
        <w:rPr>
          <w:sz w:val="26"/>
          <w:szCs w:val="26"/>
        </w:rPr>
      </w:pPr>
      <w:r>
        <w:rPr>
          <w:rFonts w:hint="eastAsia"/>
          <w:sz w:val="26"/>
          <w:szCs w:val="26"/>
        </w:rPr>
        <w:t>（6）承包废水转运的承包商实施车辆登记制度，为每台车辆安装GPS系统，并纳入建设方的GPS监控系统平台，以便随时掌握废水运输车辆位置和行驶路线，确保废水转运至相应的目的地。</w:t>
      </w:r>
    </w:p>
    <w:p w14:paraId="6B3525B4">
      <w:pPr>
        <w:spacing w:line="460" w:lineRule="exact"/>
        <w:ind w:firstLine="520" w:firstLineChars="200"/>
        <w:rPr>
          <w:sz w:val="26"/>
          <w:szCs w:val="26"/>
        </w:rPr>
      </w:pPr>
      <w:r>
        <w:rPr>
          <w:rFonts w:hint="eastAsia"/>
          <w:sz w:val="26"/>
          <w:szCs w:val="26"/>
        </w:rPr>
        <w:t>（7）废水运输车辆严格执行签认制度。签认单保存期不得少于二年，以便被查。</w:t>
      </w:r>
    </w:p>
    <w:p w14:paraId="70F45E4D">
      <w:pPr>
        <w:spacing w:line="460" w:lineRule="exact"/>
        <w:ind w:firstLine="520" w:firstLineChars="200"/>
        <w:rPr>
          <w:sz w:val="26"/>
          <w:szCs w:val="26"/>
        </w:rPr>
      </w:pPr>
      <w:r>
        <w:rPr>
          <w:rFonts w:hint="eastAsia"/>
          <w:sz w:val="26"/>
          <w:szCs w:val="26"/>
        </w:rPr>
        <w:t>（8）废水转运单位应做好应急管理工作，做好风险防范识别，编制生产废水运输应急预案，每次废水运输任务都应制定运输方案和应急措施，严禁超速超载，路过环境敏感区需减速慢性，安全驶离，强化运输过程的安全管理，防止因安全事故衍生成环保事故。</w:t>
      </w:r>
    </w:p>
    <w:p w14:paraId="69D2B02C">
      <w:pPr>
        <w:spacing w:line="460" w:lineRule="exact"/>
        <w:ind w:firstLine="520" w:firstLineChars="200"/>
        <w:rPr>
          <w:sz w:val="26"/>
          <w:szCs w:val="26"/>
        </w:rPr>
      </w:pPr>
      <w:r>
        <w:rPr>
          <w:rFonts w:hint="eastAsia"/>
          <w:sz w:val="26"/>
          <w:szCs w:val="26"/>
        </w:rPr>
        <w:t>（9）废水产生单位和废水转运单位应建立健全管理制度和办法，加强与地方相关部门的联系和协调。废水运输过程中，废水产生单位、承运单位应做好相关记录，建立相关台账。</w:t>
      </w:r>
    </w:p>
    <w:p w14:paraId="52BD8018">
      <w:pPr>
        <w:autoSpaceDE w:val="0"/>
        <w:autoSpaceDN w:val="0"/>
        <w:adjustRightInd w:val="0"/>
        <w:spacing w:line="460" w:lineRule="exact"/>
        <w:ind w:firstLine="522" w:firstLineChars="200"/>
        <w:outlineLvl w:val="2"/>
        <w:rPr>
          <w:b/>
          <w:bCs/>
          <w:kern w:val="0"/>
          <w:sz w:val="26"/>
          <w:szCs w:val="26"/>
        </w:rPr>
      </w:pPr>
      <w:bookmarkStart w:id="365" w:name="_Toc165810647"/>
      <w:r>
        <w:rPr>
          <w:rFonts w:hint="eastAsia"/>
          <w:b/>
          <w:bCs/>
          <w:kern w:val="0"/>
          <w:sz w:val="26"/>
          <w:szCs w:val="26"/>
        </w:rPr>
        <w:t>8</w:t>
      </w:r>
      <w:r>
        <w:rPr>
          <w:b/>
          <w:bCs/>
          <w:kern w:val="0"/>
          <w:sz w:val="26"/>
          <w:szCs w:val="26"/>
        </w:rPr>
        <w:t xml:space="preserve">.3.4 </w:t>
      </w:r>
      <w:r>
        <w:rPr>
          <w:rFonts w:hint="eastAsia"/>
          <w:b/>
          <w:bCs/>
          <w:kern w:val="0"/>
          <w:sz w:val="26"/>
          <w:szCs w:val="26"/>
        </w:rPr>
        <w:t>生活污水处置措施可行性分析</w:t>
      </w:r>
      <w:bookmarkEnd w:id="365"/>
    </w:p>
    <w:p w14:paraId="4AE7F914">
      <w:pPr>
        <w:autoSpaceDE w:val="0"/>
        <w:autoSpaceDN w:val="0"/>
        <w:adjustRightInd w:val="0"/>
        <w:spacing w:line="460" w:lineRule="exact"/>
        <w:ind w:firstLine="520" w:firstLineChars="200"/>
        <w:rPr>
          <w:kern w:val="0"/>
          <w:sz w:val="26"/>
          <w:szCs w:val="26"/>
        </w:rPr>
      </w:pPr>
      <w:r>
        <w:rPr>
          <w:rFonts w:hint="eastAsia"/>
          <w:kern w:val="0"/>
          <w:sz w:val="26"/>
          <w:szCs w:val="26"/>
        </w:rPr>
        <w:t>本项目试采期间生活污水最大产生量约</w:t>
      </w:r>
      <w:r>
        <w:rPr>
          <w:kern w:val="0"/>
          <w:sz w:val="26"/>
          <w:szCs w:val="26"/>
        </w:rPr>
        <w:t>0.18</w:t>
      </w:r>
      <w:r>
        <w:rPr>
          <w:rFonts w:hint="eastAsia"/>
          <w:kern w:val="0"/>
          <w:sz w:val="26"/>
          <w:szCs w:val="26"/>
        </w:rPr>
        <w:t>m</w:t>
      </w:r>
      <w:r>
        <w:rPr>
          <w:rFonts w:hint="eastAsia"/>
          <w:kern w:val="0"/>
          <w:sz w:val="26"/>
          <w:szCs w:val="26"/>
          <w:vertAlign w:val="superscript"/>
        </w:rPr>
        <w:t>3</w:t>
      </w:r>
      <w:r>
        <w:rPr>
          <w:rFonts w:hint="eastAsia"/>
          <w:kern w:val="0"/>
          <w:sz w:val="26"/>
          <w:szCs w:val="26"/>
        </w:rPr>
        <w:t>/d，且水质较为简单，巴中2HF站场配套建设环保厕所，该环保厕所配套设置1套处理能力为</w:t>
      </w:r>
      <w:r>
        <w:rPr>
          <w:kern w:val="0"/>
          <w:sz w:val="26"/>
          <w:szCs w:val="26"/>
        </w:rPr>
        <w:t>2</w:t>
      </w:r>
      <w:r>
        <w:rPr>
          <w:rFonts w:hint="eastAsia"/>
          <w:kern w:val="0"/>
          <w:sz w:val="26"/>
          <w:szCs w:val="26"/>
        </w:rPr>
        <w:t>m</w:t>
      </w:r>
      <w:r>
        <w:rPr>
          <w:rFonts w:hint="eastAsia"/>
          <w:kern w:val="0"/>
          <w:sz w:val="26"/>
          <w:szCs w:val="26"/>
          <w:vertAlign w:val="superscript"/>
        </w:rPr>
        <w:t>3</w:t>
      </w:r>
      <w:r>
        <w:rPr>
          <w:rFonts w:hint="eastAsia"/>
          <w:kern w:val="0"/>
          <w:sz w:val="26"/>
          <w:szCs w:val="26"/>
        </w:rPr>
        <w:t>/d的处理设施。生活污水经环保厕所污水处理设施内处理后由吸污车转运至附近城镇生活污水处理厂处理。</w:t>
      </w:r>
    </w:p>
    <w:p w14:paraId="404B3E5F">
      <w:pPr>
        <w:autoSpaceDE w:val="0"/>
        <w:autoSpaceDN w:val="0"/>
        <w:adjustRightInd w:val="0"/>
        <w:spacing w:line="460" w:lineRule="exact"/>
        <w:ind w:firstLine="520" w:firstLineChars="200"/>
        <w:rPr>
          <w:kern w:val="0"/>
          <w:sz w:val="26"/>
          <w:szCs w:val="26"/>
        </w:rPr>
      </w:pPr>
      <w:r>
        <w:rPr>
          <w:rFonts w:hint="eastAsia"/>
          <w:kern w:val="0"/>
          <w:sz w:val="26"/>
          <w:szCs w:val="26"/>
        </w:rPr>
        <w:t>综上所述，本项目试采期污废水均得到有效处置，经处理后可实现回用或达标排放，对地表水环境影响小，水污染防治措施合理可行。</w:t>
      </w:r>
    </w:p>
    <w:p w14:paraId="21A48EA4">
      <w:pPr>
        <w:spacing w:line="460" w:lineRule="exact"/>
        <w:ind w:firstLine="522" w:firstLineChars="200"/>
        <w:outlineLvl w:val="1"/>
        <w:rPr>
          <w:b/>
          <w:bCs/>
          <w:sz w:val="26"/>
          <w:szCs w:val="26"/>
        </w:rPr>
      </w:pPr>
      <w:bookmarkStart w:id="366" w:name="_Toc165810648"/>
      <w:bookmarkStart w:id="367" w:name="_Toc161930583"/>
      <w:bookmarkStart w:id="368" w:name="_Toc219907674"/>
      <w:bookmarkStart w:id="369" w:name="_Toc165809762"/>
      <w:r>
        <w:rPr>
          <w:b/>
          <w:bCs/>
          <w:sz w:val="26"/>
          <w:szCs w:val="26"/>
        </w:rPr>
        <w:t xml:space="preserve">8.4 </w:t>
      </w:r>
      <w:r>
        <w:rPr>
          <w:rFonts w:hint="eastAsia"/>
          <w:b/>
          <w:bCs/>
          <w:sz w:val="26"/>
          <w:szCs w:val="26"/>
        </w:rPr>
        <w:t>地下水污染防治措施</w:t>
      </w:r>
      <w:bookmarkEnd w:id="366"/>
      <w:bookmarkEnd w:id="367"/>
      <w:bookmarkEnd w:id="368"/>
      <w:bookmarkEnd w:id="369"/>
    </w:p>
    <w:p w14:paraId="4100F209">
      <w:pPr>
        <w:snapToGrid w:val="0"/>
        <w:spacing w:line="460" w:lineRule="exact"/>
        <w:ind w:firstLine="522" w:firstLineChars="200"/>
        <w:outlineLvl w:val="2"/>
        <w:rPr>
          <w:b/>
          <w:bCs/>
          <w:sz w:val="26"/>
          <w:szCs w:val="26"/>
        </w:rPr>
      </w:pPr>
      <w:r>
        <w:rPr>
          <w:rFonts w:hint="eastAsia"/>
          <w:b/>
          <w:bCs/>
          <w:sz w:val="26"/>
          <w:szCs w:val="26"/>
        </w:rPr>
        <w:t>8</w:t>
      </w:r>
      <w:r>
        <w:rPr>
          <w:b/>
          <w:bCs/>
          <w:sz w:val="26"/>
          <w:szCs w:val="26"/>
        </w:rPr>
        <w:t xml:space="preserve">.4.1 </w:t>
      </w:r>
      <w:r>
        <w:rPr>
          <w:rFonts w:hint="eastAsia"/>
          <w:b/>
          <w:bCs/>
          <w:sz w:val="26"/>
          <w:szCs w:val="26"/>
        </w:rPr>
        <w:t>源头控制措施</w:t>
      </w:r>
    </w:p>
    <w:p w14:paraId="5C520F8C">
      <w:pPr>
        <w:snapToGrid w:val="0"/>
        <w:spacing w:line="460" w:lineRule="exact"/>
        <w:ind w:firstLine="520" w:firstLineChars="200"/>
        <w:rPr>
          <w:sz w:val="26"/>
          <w:szCs w:val="26"/>
        </w:rPr>
      </w:pPr>
      <w:r>
        <w:rPr>
          <w:rFonts w:hint="eastAsia"/>
          <w:sz w:val="26"/>
          <w:szCs w:val="26"/>
        </w:rPr>
        <w:t>（1）本项目施工期间产生的施工废水经沉淀后用于场地洒水抑尘，施工人员生活污水依托当地厕所以及所住旅馆厕所处理。</w:t>
      </w:r>
    </w:p>
    <w:p w14:paraId="532B4440">
      <w:pPr>
        <w:snapToGrid w:val="0"/>
        <w:spacing w:line="460" w:lineRule="exact"/>
        <w:ind w:firstLine="520" w:firstLineChars="200"/>
        <w:rPr>
          <w:sz w:val="26"/>
          <w:szCs w:val="26"/>
        </w:rPr>
      </w:pPr>
      <w:r>
        <w:rPr>
          <w:rFonts w:hint="eastAsia"/>
          <w:sz w:val="26"/>
          <w:szCs w:val="26"/>
        </w:rPr>
        <w:t>（2）为减少对水资源的浪费，清管试压过程中尽量收集好废水，提高其重复使用率，试压废水沉淀后回用于区域降尘和绿化。</w:t>
      </w:r>
    </w:p>
    <w:p w14:paraId="3DE635A6">
      <w:pPr>
        <w:snapToGrid w:val="0"/>
        <w:spacing w:line="460" w:lineRule="exact"/>
        <w:ind w:firstLine="520" w:firstLineChars="200"/>
        <w:rPr>
          <w:sz w:val="26"/>
          <w:szCs w:val="26"/>
        </w:rPr>
      </w:pPr>
      <w:r>
        <w:rPr>
          <w:rFonts w:hint="eastAsia"/>
          <w:sz w:val="26"/>
          <w:szCs w:val="26"/>
        </w:rPr>
        <w:t>（3）施工时所产生的固废严禁倾倒或抛入水体，同时不得在地下水饮用水源、地下水揭露地段清洗施工器具、机械等，平时加强施工机械维护，防止施工机械漏油。</w:t>
      </w:r>
    </w:p>
    <w:p w14:paraId="43A4F872">
      <w:pPr>
        <w:snapToGrid w:val="0"/>
        <w:spacing w:line="460" w:lineRule="exact"/>
        <w:ind w:firstLine="520" w:firstLineChars="200"/>
        <w:rPr>
          <w:sz w:val="26"/>
          <w:szCs w:val="26"/>
        </w:rPr>
      </w:pPr>
      <w:r>
        <w:rPr>
          <w:rFonts w:hint="eastAsia"/>
          <w:sz w:val="26"/>
          <w:szCs w:val="26"/>
        </w:rPr>
        <w:t>（4）站场内管道投产前按要求试压、检查焊缝质量，以保证施工质量，避免试采期发生泄漏现象。对管道采取防腐措施和定期防腐防漏检测，对管道壁厚及焊缝的情况进行监测，尽早发现管线存在问题。</w:t>
      </w:r>
    </w:p>
    <w:p w14:paraId="2ADC10C5">
      <w:pPr>
        <w:snapToGrid w:val="0"/>
        <w:spacing w:line="460" w:lineRule="exact"/>
        <w:ind w:firstLine="520" w:firstLineChars="200"/>
        <w:rPr>
          <w:sz w:val="26"/>
          <w:szCs w:val="26"/>
        </w:rPr>
      </w:pPr>
      <w:r>
        <w:rPr>
          <w:rFonts w:hint="eastAsia"/>
          <w:sz w:val="26"/>
          <w:szCs w:val="26"/>
        </w:rPr>
        <w:t>（5）试采站试采期地下水保护措施以预防为主，加强生产过程管理，做好日常巡检工作，杜绝跑、冒、滴、漏等泄漏污染物的行为。</w:t>
      </w:r>
    </w:p>
    <w:p w14:paraId="577C29DC">
      <w:pPr>
        <w:snapToGrid w:val="0"/>
        <w:spacing w:line="460" w:lineRule="exact"/>
        <w:ind w:firstLine="520" w:firstLineChars="200"/>
        <w:rPr>
          <w:sz w:val="26"/>
          <w:szCs w:val="26"/>
        </w:rPr>
      </w:pPr>
      <w:r>
        <w:rPr>
          <w:rFonts w:hint="eastAsia"/>
          <w:sz w:val="26"/>
          <w:szCs w:val="26"/>
        </w:rPr>
        <w:t>（6）站场应采用清污分流系统。在站场四周修筑外环沟及灌溉沟，便于排除场地内雨水等清水，离气田水罐较近区域应设置集水坑，便于排除场地内雨水等清水；若场内雨水被污染流入外环沟，则需封闭沟渠由作业队伍从集水坑抽汲至气田水罐。</w:t>
      </w:r>
    </w:p>
    <w:p w14:paraId="515EC406">
      <w:pPr>
        <w:snapToGrid w:val="0"/>
        <w:spacing w:line="460" w:lineRule="exact"/>
        <w:ind w:firstLine="520" w:firstLineChars="200"/>
        <w:rPr>
          <w:sz w:val="26"/>
          <w:szCs w:val="26"/>
        </w:rPr>
      </w:pPr>
      <w:r>
        <w:rPr>
          <w:rFonts w:hint="eastAsia"/>
          <w:sz w:val="26"/>
          <w:szCs w:val="26"/>
        </w:rPr>
        <w:t>（7）加强气田水罐和储油罐的管理，在项目试采期间应规范使用，做好气田水的收集，产生的外输气田水由气田水罐收集后罐车转运，指派专人和视频监控的形式定期巡查场地各涉污设施的跑冒滴漏情况，做到及时反馈及时处理，定期检查气田水罐和储油罐以及地面、围堰防渗是否破损，制定井站地下水污染事故的污染截留、处置、修复的可行方案。</w:t>
      </w:r>
    </w:p>
    <w:p w14:paraId="3B92F19F">
      <w:pPr>
        <w:snapToGrid w:val="0"/>
        <w:spacing w:line="460" w:lineRule="exact"/>
        <w:ind w:firstLine="520" w:firstLineChars="200"/>
        <w:rPr>
          <w:sz w:val="26"/>
          <w:szCs w:val="26"/>
        </w:rPr>
      </w:pPr>
      <w:r>
        <w:rPr>
          <w:rFonts w:hint="eastAsia"/>
          <w:sz w:val="26"/>
          <w:szCs w:val="26"/>
        </w:rPr>
        <w:t>（8）罐车运输前规划运输路线，废水转运过程中应严格按照规定的路线运输到相应的目的地，运输过程中应尽量避开环境敏感区，废水转运应建立交接单制度，严格实施交接清单制度，确保废水运至相应的目的地；加强对废水罐车司机的专业技能培训及安全教育，定期对罐车进行安全检查，严格遵守交通规则，避免交通事故发生。</w:t>
      </w:r>
    </w:p>
    <w:p w14:paraId="0F4C39A1">
      <w:pPr>
        <w:snapToGrid w:val="0"/>
        <w:spacing w:line="460" w:lineRule="exact"/>
        <w:ind w:firstLine="522" w:firstLineChars="200"/>
        <w:outlineLvl w:val="2"/>
        <w:rPr>
          <w:b/>
          <w:bCs/>
          <w:sz w:val="26"/>
          <w:szCs w:val="26"/>
        </w:rPr>
      </w:pPr>
      <w:r>
        <w:rPr>
          <w:rFonts w:hint="eastAsia"/>
          <w:b/>
          <w:bCs/>
          <w:sz w:val="26"/>
          <w:szCs w:val="26"/>
        </w:rPr>
        <w:t>8</w:t>
      </w:r>
      <w:r>
        <w:rPr>
          <w:b/>
          <w:bCs/>
          <w:sz w:val="26"/>
          <w:szCs w:val="26"/>
        </w:rPr>
        <w:t xml:space="preserve">.4.2 </w:t>
      </w:r>
      <w:r>
        <w:rPr>
          <w:rFonts w:hint="eastAsia"/>
          <w:b/>
          <w:bCs/>
          <w:sz w:val="26"/>
          <w:szCs w:val="26"/>
        </w:rPr>
        <w:t>分区防控措施</w:t>
      </w:r>
    </w:p>
    <w:p w14:paraId="7A4B994C">
      <w:pPr>
        <w:snapToGrid w:val="0"/>
        <w:spacing w:line="460" w:lineRule="exact"/>
        <w:ind w:firstLine="520" w:firstLineChars="200"/>
        <w:rPr>
          <w:sz w:val="26"/>
          <w:szCs w:val="26"/>
        </w:rPr>
      </w:pPr>
      <w:r>
        <w:rPr>
          <w:rFonts w:hint="eastAsia"/>
          <w:sz w:val="26"/>
          <w:szCs w:val="26"/>
        </w:rPr>
        <w:t>（1）本项目污染防控措施要求参照地下水导则和《非常规油气开采污染控制技术规范》（SY/T 7482-2020）执行，试采期站场地下水保护措施以预防为主，在采气工艺装置区以及储罐区做好防渗、防漏措施，防止污染物渗漏对地下水造成污染影响，加强生产过程管理，杜绝跑、冒、滴、漏等泄漏污染物的行为。</w:t>
      </w:r>
    </w:p>
    <w:p w14:paraId="4144E136">
      <w:pPr>
        <w:snapToGrid w:val="0"/>
        <w:spacing w:line="460" w:lineRule="exact"/>
        <w:ind w:firstLine="520" w:firstLineChars="200"/>
        <w:rPr>
          <w:sz w:val="26"/>
          <w:szCs w:val="26"/>
        </w:rPr>
      </w:pPr>
      <w:r>
        <w:rPr>
          <w:rFonts w:hint="eastAsia"/>
          <w:sz w:val="26"/>
          <w:szCs w:val="26"/>
        </w:rPr>
        <w:t>（2）本项目井口区属于依托工程，本次分区防控措施以检验其防渗性能等级为主，如果其防渗性能满足等效防渗性能不低于黏土层6.0m厚、渗透系数为1.0×10</w:t>
      </w:r>
      <w:r>
        <w:rPr>
          <w:rFonts w:hint="eastAsia"/>
          <w:sz w:val="26"/>
          <w:szCs w:val="26"/>
          <w:vertAlign w:val="superscript"/>
        </w:rPr>
        <w:t>-7</w:t>
      </w:r>
      <w:r>
        <w:rPr>
          <w:rFonts w:hint="eastAsia"/>
          <w:sz w:val="26"/>
          <w:szCs w:val="26"/>
        </w:rPr>
        <w:t>cm/s的防渗效果，则认为该设施完全可依托，能够满足重点防渗的要求；若其防渗性能不满足要求，则按照地下水导则要求重新进行防渗施工处置，使其达到重点防渗区要求。</w:t>
      </w:r>
    </w:p>
    <w:p w14:paraId="0A809DFA">
      <w:pPr>
        <w:snapToGrid w:val="0"/>
        <w:spacing w:line="460" w:lineRule="exact"/>
        <w:ind w:firstLine="520" w:firstLineChars="200"/>
        <w:rPr>
          <w:sz w:val="26"/>
          <w:szCs w:val="26"/>
        </w:rPr>
      </w:pPr>
      <w:r>
        <w:rPr>
          <w:rFonts w:hint="eastAsia"/>
          <w:sz w:val="26"/>
          <w:szCs w:val="26"/>
        </w:rPr>
        <w:t>（3）气田水罐区、凝析油罐区等区域应按地下水导则要求进行重点防渗并设置围堰，地面及围堰在满足耐久性要求的同时，需满足基础防腐蚀设计对于基础混凝土强度要求的规定；宜从上至下依次采用“罐底板、沥青砂绝缘层、砂垫层、防水涂料层、钢筋混凝土承台、混凝土垫层”的防渗方式，等效防渗性能不低于黏土层6.0m厚、渗透系数为1.0×10</w:t>
      </w:r>
      <w:r>
        <w:rPr>
          <w:rFonts w:hint="eastAsia"/>
          <w:sz w:val="26"/>
          <w:szCs w:val="26"/>
          <w:vertAlign w:val="superscript"/>
        </w:rPr>
        <w:t>-7</w:t>
      </w:r>
      <w:r>
        <w:rPr>
          <w:rFonts w:hint="eastAsia"/>
          <w:sz w:val="26"/>
          <w:szCs w:val="26"/>
        </w:rPr>
        <w:t>cm/s的防渗效果。</w:t>
      </w:r>
    </w:p>
    <w:p w14:paraId="03392CA2">
      <w:pPr>
        <w:snapToGrid w:val="0"/>
        <w:spacing w:line="460" w:lineRule="exact"/>
        <w:ind w:firstLine="520" w:firstLineChars="200"/>
        <w:rPr>
          <w:sz w:val="26"/>
          <w:szCs w:val="26"/>
        </w:rPr>
      </w:pPr>
      <w:r>
        <w:rPr>
          <w:rFonts w:hint="eastAsia"/>
          <w:sz w:val="26"/>
          <w:szCs w:val="26"/>
        </w:rPr>
        <w:t>（4）工艺装置区按导则要求进行一般防渗处理，可采用水泥基渗透结晶型防渗涂层（≥0.8mm）、20cm厚C20抗渗混凝土面层（抗渗等级为P6）进行防渗处理。建设单位也可以根据实际施工情况，进行其他的防渗方案，保证其防渗效果等效“渗透系数≤1.0×10</w:t>
      </w:r>
      <w:r>
        <w:rPr>
          <w:rFonts w:hint="eastAsia"/>
          <w:sz w:val="26"/>
          <w:szCs w:val="26"/>
          <w:vertAlign w:val="superscript"/>
        </w:rPr>
        <w:t>-7</w:t>
      </w:r>
      <w:r>
        <w:rPr>
          <w:rFonts w:hint="eastAsia"/>
          <w:sz w:val="26"/>
          <w:szCs w:val="26"/>
        </w:rPr>
        <w:t>cm/s，厚度Mb≥1.5m的黏土的防渗性能”即可。防渗后处理后渗透性能极弱，污水下渗速率慢，站场可能受到污染的程度较轻。</w:t>
      </w:r>
    </w:p>
    <w:p w14:paraId="4371E7CB">
      <w:pPr>
        <w:snapToGrid w:val="0"/>
        <w:spacing w:line="460" w:lineRule="exact"/>
        <w:ind w:firstLine="520" w:firstLineChars="200"/>
        <w:rPr>
          <w:sz w:val="26"/>
          <w:szCs w:val="26"/>
        </w:rPr>
      </w:pPr>
      <w:r>
        <w:rPr>
          <w:rFonts w:hint="eastAsia"/>
          <w:sz w:val="26"/>
          <w:szCs w:val="26"/>
        </w:rPr>
        <w:t>（5）其他区域一般地面硬化，进行简单防渗。</w:t>
      </w:r>
    </w:p>
    <w:p w14:paraId="03D61F48">
      <w:pPr>
        <w:snapToGrid w:val="0"/>
        <w:spacing w:line="460" w:lineRule="exact"/>
        <w:ind w:firstLine="520" w:firstLineChars="200"/>
        <w:rPr>
          <w:sz w:val="26"/>
          <w:szCs w:val="26"/>
        </w:rPr>
      </w:pPr>
      <w:r>
        <w:rPr>
          <w:rFonts w:hint="eastAsia"/>
          <w:sz w:val="26"/>
          <w:szCs w:val="26"/>
        </w:rPr>
        <w:t>本项目分区防渗图见</w:t>
      </w:r>
      <w:r>
        <w:rPr>
          <w:rFonts w:hint="eastAsia"/>
          <w:b/>
          <w:sz w:val="26"/>
          <w:szCs w:val="26"/>
          <w:u w:val="single"/>
        </w:rPr>
        <w:t>附图7</w:t>
      </w:r>
      <w:r>
        <w:rPr>
          <w:rFonts w:hint="eastAsia"/>
          <w:sz w:val="26"/>
          <w:szCs w:val="26"/>
        </w:rPr>
        <w:t>。</w:t>
      </w:r>
    </w:p>
    <w:p w14:paraId="487AD10B">
      <w:pPr>
        <w:pStyle w:val="1068"/>
      </w:pPr>
      <w:r>
        <w:rPr>
          <w:rFonts w:hint="eastAsia"/>
        </w:rPr>
        <w:t>8</w:t>
      </w:r>
      <w:r>
        <w:t xml:space="preserve">.4.3 </w:t>
      </w:r>
      <w:r>
        <w:rPr>
          <w:rFonts w:hint="eastAsia"/>
        </w:rPr>
        <w:t>跟踪监测</w:t>
      </w:r>
    </w:p>
    <w:p w14:paraId="2AB25C34">
      <w:pPr>
        <w:pStyle w:val="1381"/>
        <w:ind w:firstLine="520"/>
      </w:pPr>
      <w:r>
        <w:rPr>
          <w:rFonts w:hint="eastAsia"/>
        </w:rPr>
        <w:t>本项目井场下游存在分散的地下水环境敏感点，为了及时准确掌握场址及下游地区地下水环境质量状况和地下水体中污染物的动态变化，需要针对性开展地下水环境跟踪监测。依据地下水导则跟踪监测原则、</w:t>
      </w:r>
      <w:bookmarkStart w:id="370" w:name="_Hlk209542760"/>
      <w:r>
        <w:rPr>
          <w:rFonts w:hint="eastAsia"/>
        </w:rPr>
        <w:t>《地下水环境监测技术规范》（HJ164-2020）</w:t>
      </w:r>
      <w:bookmarkEnd w:id="370"/>
      <w:r>
        <w:rPr>
          <w:rFonts w:hint="eastAsia"/>
        </w:rPr>
        <w:t>、</w:t>
      </w:r>
      <w:bookmarkStart w:id="371" w:name="_Hlk209542821"/>
      <w:r>
        <w:rPr>
          <w:rFonts w:hint="eastAsia"/>
        </w:rPr>
        <w:t>《工业企业土壤和地下水自行监测技术指南（试行）》（HJ1209-2021）</w:t>
      </w:r>
      <w:bookmarkEnd w:id="371"/>
      <w:r>
        <w:rPr>
          <w:rFonts w:hint="eastAsia"/>
        </w:rPr>
        <w:t>和</w:t>
      </w:r>
      <w:bookmarkStart w:id="372" w:name="_Hlk209542852"/>
      <w:r>
        <w:rPr>
          <w:rFonts w:hint="eastAsia"/>
        </w:rPr>
        <w:t>《排污单位自行监测技术指南 陆上石油天然气开采工业》（HJ 1248-2022）</w:t>
      </w:r>
      <w:bookmarkEnd w:id="372"/>
      <w:r>
        <w:rPr>
          <w:rFonts w:hint="eastAsia"/>
        </w:rPr>
        <w:t>等的技术要求，对于二级评价建设项目，跟踪监测点数一般不少于3个，结合环境管理对监测工作的需要，本项目应选择具有相关资质的监测机构和人员进行监测，监测的指标按国家现行的检测标准进行检测。本次评价地下水跟踪监测情况见</w:t>
      </w:r>
      <w:r>
        <w:rPr>
          <w:rFonts w:hint="eastAsia"/>
          <w:u w:val="single"/>
        </w:rPr>
        <w:t>1</w:t>
      </w:r>
      <w:r>
        <w:rPr>
          <w:u w:val="single"/>
        </w:rPr>
        <w:t>0.</w:t>
      </w:r>
      <w:r>
        <w:rPr>
          <w:rFonts w:hint="eastAsia"/>
          <w:u w:val="single"/>
        </w:rPr>
        <w:t>9.2章节</w:t>
      </w:r>
      <w:r>
        <w:rPr>
          <w:rFonts w:hint="eastAsia"/>
        </w:rPr>
        <w:t>。</w:t>
      </w:r>
    </w:p>
    <w:p w14:paraId="1787FC21">
      <w:pPr>
        <w:pStyle w:val="1068"/>
      </w:pPr>
      <w:r>
        <w:rPr>
          <w:rFonts w:hint="eastAsia"/>
        </w:rPr>
        <w:t>8</w:t>
      </w:r>
      <w:r>
        <w:t xml:space="preserve">.4.4 </w:t>
      </w:r>
      <w:r>
        <w:rPr>
          <w:rFonts w:hint="eastAsia"/>
        </w:rPr>
        <w:t>应急响应</w:t>
      </w:r>
    </w:p>
    <w:p w14:paraId="56E02B2B">
      <w:pPr>
        <w:adjustRightInd w:val="0"/>
        <w:snapToGrid w:val="0"/>
        <w:spacing w:line="480" w:lineRule="exact"/>
        <w:ind w:firstLine="520" w:firstLineChars="200"/>
        <w:rPr>
          <w:sz w:val="26"/>
          <w:szCs w:val="26"/>
        </w:rPr>
      </w:pPr>
      <w:r>
        <w:rPr>
          <w:rFonts w:hint="eastAsia"/>
          <w:sz w:val="26"/>
          <w:szCs w:val="26"/>
        </w:rPr>
        <w:t>无论预防工作如何周密，地下水污染事故总是难以根本杜绝，制定地下水污染应急响应是要迅速而有效地将事故损失减至最小。</w:t>
      </w:r>
    </w:p>
    <w:p w14:paraId="70E4FEC3">
      <w:pPr>
        <w:adjustRightInd w:val="0"/>
        <w:snapToGrid w:val="0"/>
        <w:spacing w:line="480" w:lineRule="exact"/>
        <w:ind w:firstLine="520" w:firstLineChars="200"/>
        <w:rPr>
          <w:sz w:val="26"/>
          <w:szCs w:val="26"/>
        </w:rPr>
      </w:pPr>
      <w:r>
        <w:rPr>
          <w:rFonts w:hint="eastAsia"/>
          <w:sz w:val="26"/>
          <w:szCs w:val="26"/>
        </w:rPr>
        <w:t>（1）制定风险应急预案</w:t>
      </w:r>
    </w:p>
    <w:p w14:paraId="1C0E7F7F">
      <w:pPr>
        <w:adjustRightInd w:val="0"/>
        <w:snapToGrid w:val="0"/>
        <w:spacing w:line="480" w:lineRule="exact"/>
        <w:ind w:firstLine="520" w:firstLineChars="200"/>
        <w:rPr>
          <w:sz w:val="26"/>
          <w:szCs w:val="26"/>
        </w:rPr>
      </w:pPr>
      <w:r>
        <w:rPr>
          <w:rFonts w:hint="eastAsia"/>
          <w:sz w:val="26"/>
          <w:szCs w:val="26"/>
        </w:rPr>
        <w:t>制定风险事故应急预案的目的是在发生风险事故时，能以最快的速度发挥最大的效能，有序地实施救援，尽快控制事态的发展，降低事故对地下水的污染。因此，建设单位应根据《中华人民共和国水污染防治法》编制相应的应急方案。</w:t>
      </w:r>
    </w:p>
    <w:p w14:paraId="733DD9F7">
      <w:pPr>
        <w:adjustRightInd w:val="0"/>
        <w:snapToGrid w:val="0"/>
        <w:spacing w:line="480" w:lineRule="exact"/>
        <w:ind w:firstLine="520" w:firstLineChars="200"/>
        <w:rPr>
          <w:sz w:val="26"/>
          <w:szCs w:val="26"/>
        </w:rPr>
      </w:pPr>
      <w:r>
        <w:rPr>
          <w:rFonts w:hint="eastAsia"/>
          <w:sz w:val="26"/>
          <w:szCs w:val="26"/>
        </w:rPr>
        <w:t>（2）成立事故应急对策指挥中心</w:t>
      </w:r>
    </w:p>
    <w:p w14:paraId="26DFC6BA">
      <w:pPr>
        <w:adjustRightInd w:val="0"/>
        <w:snapToGrid w:val="0"/>
        <w:spacing w:line="480" w:lineRule="exact"/>
        <w:ind w:firstLine="520" w:firstLineChars="200"/>
        <w:rPr>
          <w:sz w:val="26"/>
          <w:szCs w:val="26"/>
        </w:rPr>
      </w:pPr>
      <w:r>
        <w:rPr>
          <w:rFonts w:hint="eastAsia"/>
          <w:sz w:val="26"/>
          <w:szCs w:val="26"/>
        </w:rPr>
        <w:t>成立由多个部门组成的事故应急对策指挥中心。负责在发生事故后进行统一指挥、协调处理好抢险工作，在发生地下水污染事故时应及时采取应急响应措施，采取相应的措施及手段控制污染事故范围的进一步扩大，情节严重时应及时由专业单位进行处理。</w:t>
      </w:r>
    </w:p>
    <w:p w14:paraId="71D799EB">
      <w:pPr>
        <w:adjustRightInd w:val="0"/>
        <w:snapToGrid w:val="0"/>
        <w:spacing w:line="480" w:lineRule="exact"/>
        <w:ind w:firstLine="520" w:firstLineChars="200"/>
        <w:rPr>
          <w:sz w:val="26"/>
          <w:szCs w:val="26"/>
        </w:rPr>
      </w:pPr>
      <w:r>
        <w:rPr>
          <w:rFonts w:hint="eastAsia"/>
          <w:sz w:val="26"/>
          <w:szCs w:val="26"/>
        </w:rPr>
        <w:t>（3）建立事故应急通报网络</w:t>
      </w:r>
    </w:p>
    <w:p w14:paraId="7738D018">
      <w:pPr>
        <w:adjustRightInd w:val="0"/>
        <w:snapToGrid w:val="0"/>
        <w:spacing w:line="480" w:lineRule="exact"/>
        <w:ind w:firstLine="520" w:firstLineChars="200"/>
        <w:rPr>
          <w:sz w:val="26"/>
          <w:szCs w:val="26"/>
        </w:rPr>
      </w:pPr>
      <w:r>
        <w:rPr>
          <w:rFonts w:hint="eastAsia"/>
          <w:sz w:val="26"/>
          <w:szCs w:val="26"/>
        </w:rPr>
        <w:t>网络交叉点包括消防部门、环保部门、卫生部门、水利部门及公安部门等。一旦发生事故时，第一时间通知上述部门协作，采取应急防护措施。一旦发生事故，现场操作人员应立即以无线对讲机或电话向负责人报警。负责人在接报后立即确认事故位置及大小，及时用电话向事故应急对策指挥中心报警。事故应急对策指挥中心在接报后，按照应急指挥程序，立即用电话向环保部门、卫生部门、水利部门以及消防部门发出指示，指挥抢险工作。应急响应的过程可分为接警、判断响应级别、应急启动、控制及救援行动、扩大应急、应急终止和后期处置等步骤。应针对应急响应分步骤制定应急程序，并按事先制定程序指导事故应急响应。</w:t>
      </w:r>
    </w:p>
    <w:p w14:paraId="59940F25">
      <w:pPr>
        <w:adjustRightInd w:val="0"/>
        <w:snapToGrid w:val="0"/>
        <w:spacing w:line="480" w:lineRule="exact"/>
        <w:ind w:firstLine="520" w:firstLineChars="200"/>
        <w:rPr>
          <w:sz w:val="26"/>
          <w:szCs w:val="26"/>
        </w:rPr>
      </w:pPr>
      <w:r>
        <w:rPr>
          <w:rFonts w:hint="eastAsia"/>
          <w:sz w:val="26"/>
          <w:szCs w:val="26"/>
        </w:rPr>
        <w:t>（4）相应的应急措施</w:t>
      </w:r>
    </w:p>
    <w:p w14:paraId="2015E3F9">
      <w:pPr>
        <w:adjustRightInd w:val="0"/>
        <w:snapToGrid w:val="0"/>
        <w:spacing w:line="480" w:lineRule="exact"/>
        <w:ind w:firstLine="520" w:firstLineChars="200"/>
        <w:rPr>
          <w:sz w:val="26"/>
          <w:szCs w:val="26"/>
        </w:rPr>
      </w:pPr>
      <w:r>
        <w:rPr>
          <w:rFonts w:hint="eastAsia"/>
          <w:sz w:val="26"/>
          <w:szCs w:val="26"/>
        </w:rPr>
        <w:t>一旦发生地下水污染事故，应立即启动应急预案，迅速控制项目区事故现场，切断污染源，对污染场地进行清源处理，同时上报相关部门进行善后。针对受本项目影响的饮用水井，建设单位应建立应急供水预案，并在应急处置期间可利用应急供水，解决群众饮水问题。</w:t>
      </w:r>
    </w:p>
    <w:p w14:paraId="02D77FA8">
      <w:pPr>
        <w:spacing w:line="460" w:lineRule="exact"/>
        <w:ind w:firstLine="522" w:firstLineChars="200"/>
        <w:outlineLvl w:val="1"/>
        <w:rPr>
          <w:b/>
          <w:bCs/>
          <w:sz w:val="26"/>
          <w:szCs w:val="26"/>
        </w:rPr>
      </w:pPr>
      <w:bookmarkStart w:id="373" w:name="_Toc219907675"/>
      <w:bookmarkStart w:id="374" w:name="_Toc128320947"/>
      <w:bookmarkStart w:id="375" w:name="_Toc165809764"/>
      <w:bookmarkStart w:id="376" w:name="_Toc165810653"/>
      <w:r>
        <w:rPr>
          <w:b/>
          <w:bCs/>
          <w:sz w:val="26"/>
          <w:szCs w:val="26"/>
        </w:rPr>
        <w:t xml:space="preserve">8.5 </w:t>
      </w:r>
      <w:r>
        <w:rPr>
          <w:rFonts w:hint="eastAsia"/>
          <w:b/>
          <w:bCs/>
          <w:sz w:val="26"/>
          <w:szCs w:val="26"/>
        </w:rPr>
        <w:t>大气污染防治措施</w:t>
      </w:r>
      <w:bookmarkEnd w:id="373"/>
      <w:bookmarkEnd w:id="374"/>
      <w:bookmarkEnd w:id="375"/>
      <w:bookmarkEnd w:id="376"/>
    </w:p>
    <w:p w14:paraId="20490C5A">
      <w:pPr>
        <w:spacing w:line="460" w:lineRule="exact"/>
        <w:ind w:firstLine="522" w:firstLineChars="200"/>
        <w:outlineLvl w:val="2"/>
        <w:rPr>
          <w:b/>
          <w:bCs/>
          <w:sz w:val="26"/>
          <w:szCs w:val="26"/>
        </w:rPr>
      </w:pPr>
      <w:bookmarkStart w:id="377" w:name="_Toc165810654"/>
      <w:r>
        <w:rPr>
          <w:b/>
          <w:bCs/>
          <w:sz w:val="26"/>
          <w:szCs w:val="26"/>
        </w:rPr>
        <w:t xml:space="preserve">8.5.1 </w:t>
      </w:r>
      <w:r>
        <w:rPr>
          <w:rFonts w:hint="eastAsia"/>
          <w:b/>
          <w:bCs/>
          <w:sz w:val="26"/>
          <w:szCs w:val="26"/>
        </w:rPr>
        <w:t>施工期大气污染防治措施</w:t>
      </w:r>
      <w:bookmarkEnd w:id="377"/>
    </w:p>
    <w:p w14:paraId="2D6B94A4">
      <w:pPr>
        <w:spacing w:line="460" w:lineRule="exact"/>
        <w:ind w:firstLine="520" w:firstLineChars="200"/>
        <w:rPr>
          <w:sz w:val="26"/>
          <w:szCs w:val="26"/>
        </w:rPr>
      </w:pPr>
      <w:r>
        <w:rPr>
          <w:rFonts w:hint="eastAsia"/>
          <w:sz w:val="26"/>
          <w:szCs w:val="26"/>
        </w:rPr>
        <w:t>施工期大气污染物主要为施工扬尘、焊接烟气、少量施工机具尾气和运输作业车辆排放的汽车尾气，但属短期影响，随着施工的结束而消失。施工期应采取以下大气环境保护措施：</w:t>
      </w:r>
    </w:p>
    <w:p w14:paraId="13322E0C">
      <w:pPr>
        <w:spacing w:line="460" w:lineRule="exact"/>
        <w:ind w:firstLine="520" w:firstLineChars="200"/>
        <w:rPr>
          <w:sz w:val="26"/>
          <w:szCs w:val="26"/>
        </w:rPr>
      </w:pPr>
      <w:r>
        <w:rPr>
          <w:rFonts w:hint="eastAsia"/>
          <w:sz w:val="26"/>
          <w:szCs w:val="26"/>
        </w:rPr>
        <w:t>（1）施工单位必须加强施工区的规划管理。建筑材料的堆场应定点定位，并采取洒水防尘、抑尘措施，尽量避免大风天气作业，如在大风天气，对散料堆场应采用水喷淋法防尘，以减少建设过程中使用的建筑材料在装卸、堆放过程中的粉尘外逸，降低工程建设对当地的空气污染。</w:t>
      </w:r>
    </w:p>
    <w:p w14:paraId="071D4D5E">
      <w:pPr>
        <w:spacing w:line="460" w:lineRule="exact"/>
        <w:ind w:firstLine="520" w:firstLineChars="200"/>
        <w:rPr>
          <w:sz w:val="26"/>
          <w:szCs w:val="26"/>
        </w:rPr>
      </w:pPr>
      <w:r>
        <w:rPr>
          <w:rFonts w:hint="eastAsia"/>
          <w:sz w:val="26"/>
          <w:szCs w:val="26"/>
        </w:rPr>
        <w:t>（2）用汽车运输易起尘的物料时，要加盖蓬布、控制车速，防止物料洒落和产生扬尘；卸车时应尽量减少落差，减少扬尘；运输车辆进出的主干道应定期洒水清扫，保持车辆出入口路面清洁、润湿，并尽量要求运输车辆放慢行车速度，以减少地面扬尘污染。另外，运输路线应尽可能避开村庄。</w:t>
      </w:r>
    </w:p>
    <w:p w14:paraId="0A2DBBCF">
      <w:pPr>
        <w:spacing w:line="460" w:lineRule="exact"/>
        <w:ind w:firstLine="520" w:firstLineChars="200"/>
        <w:rPr>
          <w:sz w:val="26"/>
          <w:szCs w:val="26"/>
        </w:rPr>
      </w:pPr>
      <w:r>
        <w:rPr>
          <w:rFonts w:hint="eastAsia"/>
          <w:sz w:val="26"/>
          <w:szCs w:val="26"/>
        </w:rPr>
        <w:t>（3）鼓励使用国III标准或新能源的非道路移动机械，加强对施工机械、车辆的维修保养，禁止以柴油为燃料的施工机械超负荷工作，减少烟尘和颗粒物的排放。</w:t>
      </w:r>
    </w:p>
    <w:p w14:paraId="178AB191">
      <w:pPr>
        <w:spacing w:line="460" w:lineRule="exact"/>
        <w:ind w:firstLine="520" w:firstLineChars="200"/>
        <w:rPr>
          <w:sz w:val="26"/>
          <w:szCs w:val="26"/>
        </w:rPr>
      </w:pPr>
      <w:r>
        <w:rPr>
          <w:rFonts w:hint="eastAsia"/>
          <w:sz w:val="26"/>
          <w:szCs w:val="26"/>
        </w:rPr>
        <w:t>（4）管道焊接过程中还会产生焊接烟尘，选用优质环保焊条，其烟尘量产生量较少，由于施工现场地域开阔，空气湿润，经扩散及稀释作用后，焊接烟尘对周围空气环境基本无影响。</w:t>
      </w:r>
    </w:p>
    <w:p w14:paraId="3ECAD873">
      <w:pPr>
        <w:spacing w:line="460" w:lineRule="exact"/>
        <w:ind w:firstLine="520" w:firstLineChars="200"/>
        <w:rPr>
          <w:sz w:val="26"/>
          <w:szCs w:val="26"/>
        </w:rPr>
      </w:pPr>
      <w:r>
        <w:rPr>
          <w:rFonts w:hint="eastAsia"/>
          <w:sz w:val="26"/>
          <w:szCs w:val="26"/>
        </w:rPr>
        <w:t>通过采取上述措施，本项目大气环境影响控制在当地环境可接受范围内，措施可行。</w:t>
      </w:r>
    </w:p>
    <w:p w14:paraId="06DE8647">
      <w:pPr>
        <w:spacing w:line="460" w:lineRule="exact"/>
        <w:ind w:firstLine="522" w:firstLineChars="200"/>
        <w:outlineLvl w:val="2"/>
        <w:rPr>
          <w:b/>
          <w:bCs/>
          <w:sz w:val="26"/>
          <w:szCs w:val="26"/>
        </w:rPr>
      </w:pPr>
      <w:bookmarkStart w:id="378" w:name="_Toc165810655"/>
      <w:r>
        <w:rPr>
          <w:b/>
          <w:bCs/>
          <w:sz w:val="26"/>
          <w:szCs w:val="26"/>
        </w:rPr>
        <w:t xml:space="preserve">8.5.2 </w:t>
      </w:r>
      <w:r>
        <w:rPr>
          <w:rFonts w:hint="eastAsia"/>
          <w:b/>
          <w:bCs/>
          <w:sz w:val="26"/>
          <w:szCs w:val="26"/>
        </w:rPr>
        <w:t>试采期环境空气污染防治措施</w:t>
      </w:r>
      <w:bookmarkEnd w:id="378"/>
    </w:p>
    <w:p w14:paraId="21D204BF">
      <w:pPr>
        <w:snapToGrid w:val="0"/>
        <w:spacing w:line="460" w:lineRule="exact"/>
        <w:ind w:firstLine="520" w:firstLineChars="200"/>
        <w:rPr>
          <w:sz w:val="26"/>
          <w:szCs w:val="26"/>
        </w:rPr>
      </w:pPr>
      <w:r>
        <w:rPr>
          <w:rFonts w:hint="eastAsia"/>
          <w:sz w:val="26"/>
          <w:szCs w:val="26"/>
        </w:rPr>
        <w:t>正常情况下，试采站场运行时水套加热炉燃烧将排放废气，水套加热炉自带8m高排气筒排放；凝析油储罐产生的大小呼吸废气通过管道输送至放空立管燃烧排放；试采站通过选用可靠性高的设备、密封性能好的阀门，保证各连接部位的密封，减少天然气的无组织逸散。</w:t>
      </w:r>
    </w:p>
    <w:p w14:paraId="110CDAA6">
      <w:pPr>
        <w:snapToGrid w:val="0"/>
        <w:spacing w:line="460" w:lineRule="exact"/>
        <w:ind w:firstLine="520" w:firstLineChars="200"/>
        <w:rPr>
          <w:sz w:val="26"/>
          <w:szCs w:val="26"/>
        </w:rPr>
      </w:pPr>
      <w:r>
        <w:rPr>
          <w:rFonts w:hint="eastAsia"/>
          <w:sz w:val="26"/>
          <w:szCs w:val="26"/>
        </w:rPr>
        <w:t>生产设备检修、管道超压时候会进行放空处理，站场设置放空管，放空废气通过15m高放空管燃烧排放。项目放空频率小，持续时间短，排放污染物量较少，对环境影响较小。</w:t>
      </w:r>
    </w:p>
    <w:p w14:paraId="352CBBD1">
      <w:pPr>
        <w:snapToGrid w:val="0"/>
        <w:spacing w:line="460" w:lineRule="exact"/>
        <w:ind w:firstLine="520" w:firstLineChars="200"/>
        <w:rPr>
          <w:sz w:val="26"/>
          <w:szCs w:val="26"/>
        </w:rPr>
      </w:pPr>
      <w:r>
        <w:rPr>
          <w:rFonts w:hint="eastAsia"/>
          <w:sz w:val="26"/>
          <w:szCs w:val="26"/>
        </w:rPr>
        <w:t>通过采取上述措施，试采站大气环境影响控制在当地环境可接受范围内，措施可行。</w:t>
      </w:r>
    </w:p>
    <w:p w14:paraId="102E0C88">
      <w:pPr>
        <w:spacing w:line="460" w:lineRule="exact"/>
        <w:ind w:firstLine="522" w:firstLineChars="200"/>
        <w:outlineLvl w:val="1"/>
        <w:rPr>
          <w:b/>
          <w:bCs/>
          <w:sz w:val="26"/>
          <w:szCs w:val="26"/>
        </w:rPr>
      </w:pPr>
      <w:bookmarkStart w:id="379" w:name="_Toc165809765"/>
      <w:bookmarkStart w:id="380" w:name="_Toc128320948"/>
      <w:bookmarkStart w:id="381" w:name="_Toc219907676"/>
      <w:bookmarkStart w:id="382" w:name="_Toc165810656"/>
      <w:r>
        <w:rPr>
          <w:b/>
          <w:bCs/>
          <w:sz w:val="26"/>
          <w:szCs w:val="26"/>
        </w:rPr>
        <w:t xml:space="preserve">8.6 </w:t>
      </w:r>
      <w:r>
        <w:rPr>
          <w:rFonts w:hint="eastAsia"/>
          <w:b/>
          <w:bCs/>
          <w:sz w:val="26"/>
          <w:szCs w:val="26"/>
        </w:rPr>
        <w:t>噪声污染控制措施</w:t>
      </w:r>
      <w:bookmarkEnd w:id="379"/>
      <w:bookmarkEnd w:id="380"/>
      <w:bookmarkEnd w:id="381"/>
      <w:bookmarkEnd w:id="382"/>
    </w:p>
    <w:p w14:paraId="51A37B72">
      <w:pPr>
        <w:spacing w:line="460" w:lineRule="exact"/>
        <w:ind w:firstLine="522" w:firstLineChars="200"/>
        <w:outlineLvl w:val="2"/>
        <w:rPr>
          <w:b/>
          <w:bCs/>
          <w:sz w:val="26"/>
          <w:szCs w:val="26"/>
        </w:rPr>
      </w:pPr>
      <w:bookmarkStart w:id="383" w:name="_Toc165810657"/>
      <w:r>
        <w:rPr>
          <w:b/>
          <w:bCs/>
          <w:sz w:val="26"/>
          <w:szCs w:val="26"/>
        </w:rPr>
        <w:t xml:space="preserve">8.6.1 </w:t>
      </w:r>
      <w:r>
        <w:rPr>
          <w:rFonts w:hint="eastAsia"/>
          <w:b/>
          <w:bCs/>
          <w:sz w:val="26"/>
          <w:szCs w:val="26"/>
        </w:rPr>
        <w:t>施工期噪声污染控制措施</w:t>
      </w:r>
      <w:bookmarkEnd w:id="383"/>
    </w:p>
    <w:p w14:paraId="07C3AD8B">
      <w:pPr>
        <w:snapToGrid w:val="0"/>
        <w:spacing w:line="460" w:lineRule="exact"/>
        <w:ind w:firstLine="520" w:firstLineChars="200"/>
        <w:rPr>
          <w:sz w:val="26"/>
          <w:szCs w:val="26"/>
        </w:rPr>
      </w:pPr>
      <w:r>
        <w:rPr>
          <w:rFonts w:hint="eastAsia"/>
          <w:sz w:val="26"/>
          <w:szCs w:val="26"/>
        </w:rPr>
        <w:t>本项目施工主要采取以下噪声控制措施：</w:t>
      </w:r>
    </w:p>
    <w:p w14:paraId="78E55AE6">
      <w:pPr>
        <w:snapToGrid w:val="0"/>
        <w:spacing w:line="460" w:lineRule="exact"/>
        <w:ind w:firstLine="520" w:firstLineChars="200"/>
        <w:rPr>
          <w:sz w:val="26"/>
          <w:szCs w:val="26"/>
        </w:rPr>
      </w:pPr>
      <w:r>
        <w:rPr>
          <w:rFonts w:hint="eastAsia"/>
          <w:sz w:val="26"/>
          <w:szCs w:val="26"/>
        </w:rPr>
        <w:t>（1）施工单位必须选用符合国家有关标准的施工机具，尽量选用低噪声的施工机械或工艺，从根本上降低噪声源强。同时加强施工机械的维护保养，加装减振机座，避免由于设备性能差而使机械噪声增大的现象发生。</w:t>
      </w:r>
    </w:p>
    <w:p w14:paraId="11DD2C9B">
      <w:pPr>
        <w:snapToGrid w:val="0"/>
        <w:spacing w:line="460" w:lineRule="exact"/>
        <w:ind w:firstLine="520" w:firstLineChars="200"/>
        <w:rPr>
          <w:sz w:val="26"/>
          <w:szCs w:val="26"/>
        </w:rPr>
      </w:pPr>
      <w:r>
        <w:rPr>
          <w:rFonts w:hint="eastAsia"/>
          <w:sz w:val="26"/>
          <w:szCs w:val="26"/>
        </w:rPr>
        <w:t>（2）合理布局施工机械，尽可能将施工机械布置在远离居民点的地方。</w:t>
      </w:r>
    </w:p>
    <w:p w14:paraId="6D05044E">
      <w:pPr>
        <w:snapToGrid w:val="0"/>
        <w:spacing w:line="460" w:lineRule="exact"/>
        <w:ind w:firstLine="520" w:firstLineChars="200"/>
        <w:rPr>
          <w:sz w:val="26"/>
          <w:szCs w:val="26"/>
        </w:rPr>
      </w:pPr>
      <w:r>
        <w:rPr>
          <w:rFonts w:hint="eastAsia"/>
          <w:sz w:val="26"/>
          <w:szCs w:val="26"/>
        </w:rPr>
        <w:t>（3）合理安排施工强度，作好施工组织设计，将高噪声施工机械尽量远离周围的敏感目标，减轻施工噪声对周边环境的影响。</w:t>
      </w:r>
    </w:p>
    <w:p w14:paraId="748327E8">
      <w:pPr>
        <w:snapToGrid w:val="0"/>
        <w:spacing w:line="460" w:lineRule="exact"/>
        <w:ind w:firstLine="520" w:firstLineChars="200"/>
        <w:rPr>
          <w:sz w:val="26"/>
          <w:szCs w:val="26"/>
        </w:rPr>
      </w:pPr>
      <w:r>
        <w:rPr>
          <w:rFonts w:hint="eastAsia"/>
          <w:sz w:val="26"/>
          <w:szCs w:val="26"/>
        </w:rPr>
        <w:t>（4）合理安排施工作业时间，避免周边居民休息时间高噪声设备施工作业。</w:t>
      </w:r>
    </w:p>
    <w:p w14:paraId="669EEDFC">
      <w:pPr>
        <w:snapToGrid w:val="0"/>
        <w:spacing w:line="460" w:lineRule="exact"/>
        <w:ind w:firstLine="520" w:firstLineChars="200"/>
        <w:rPr>
          <w:sz w:val="26"/>
          <w:szCs w:val="26"/>
        </w:rPr>
      </w:pPr>
      <w:r>
        <w:rPr>
          <w:rFonts w:hint="eastAsia"/>
          <w:sz w:val="26"/>
          <w:szCs w:val="26"/>
        </w:rPr>
        <w:t>（5）为防止物料运输造成的噪声污染，除生产工艺要求或者特殊需要必须连续施工造成夜间施工外，禁止夜间施工作业。</w:t>
      </w:r>
    </w:p>
    <w:p w14:paraId="7A1CBC60">
      <w:pPr>
        <w:snapToGrid w:val="0"/>
        <w:spacing w:line="460" w:lineRule="exact"/>
        <w:ind w:firstLine="520" w:firstLineChars="200"/>
        <w:rPr>
          <w:sz w:val="26"/>
          <w:szCs w:val="26"/>
        </w:rPr>
      </w:pPr>
      <w:r>
        <w:rPr>
          <w:rFonts w:hint="eastAsia"/>
          <w:sz w:val="26"/>
          <w:szCs w:val="26"/>
        </w:rPr>
        <w:t>（6）合理安排施工车辆进出路线，加强施工人员的管理和教育。</w:t>
      </w:r>
    </w:p>
    <w:p w14:paraId="3B73BB4B">
      <w:pPr>
        <w:snapToGrid w:val="0"/>
        <w:spacing w:line="460" w:lineRule="exact"/>
        <w:ind w:firstLine="520" w:firstLineChars="200"/>
        <w:rPr>
          <w:sz w:val="26"/>
          <w:szCs w:val="26"/>
        </w:rPr>
      </w:pPr>
      <w:r>
        <w:rPr>
          <w:rFonts w:hint="eastAsia"/>
          <w:sz w:val="26"/>
          <w:szCs w:val="26"/>
        </w:rPr>
        <w:t>采取上述噪声防治措施后，能最大限度减小施工噪声对区域环境的影响。</w:t>
      </w:r>
    </w:p>
    <w:p w14:paraId="61E4EF01">
      <w:pPr>
        <w:snapToGrid w:val="0"/>
        <w:spacing w:line="460" w:lineRule="exact"/>
        <w:ind w:firstLine="522" w:firstLineChars="200"/>
        <w:outlineLvl w:val="2"/>
        <w:rPr>
          <w:b/>
          <w:bCs/>
          <w:sz w:val="26"/>
          <w:szCs w:val="26"/>
        </w:rPr>
      </w:pPr>
      <w:bookmarkStart w:id="384" w:name="_Toc165810658"/>
      <w:r>
        <w:rPr>
          <w:rFonts w:hint="eastAsia"/>
          <w:b/>
          <w:bCs/>
          <w:sz w:val="26"/>
          <w:szCs w:val="26"/>
        </w:rPr>
        <w:t>8</w:t>
      </w:r>
      <w:r>
        <w:rPr>
          <w:b/>
          <w:bCs/>
          <w:sz w:val="26"/>
          <w:szCs w:val="26"/>
        </w:rPr>
        <w:t xml:space="preserve">.6.2 </w:t>
      </w:r>
      <w:r>
        <w:rPr>
          <w:rFonts w:hint="eastAsia"/>
          <w:b/>
          <w:bCs/>
          <w:sz w:val="26"/>
          <w:szCs w:val="26"/>
        </w:rPr>
        <w:t>试采期噪声控制措施</w:t>
      </w:r>
      <w:bookmarkEnd w:id="384"/>
    </w:p>
    <w:p w14:paraId="22DCE017">
      <w:pPr>
        <w:snapToGrid w:val="0"/>
        <w:spacing w:line="460" w:lineRule="exact"/>
        <w:ind w:firstLine="520" w:firstLineChars="200"/>
        <w:rPr>
          <w:sz w:val="26"/>
          <w:szCs w:val="26"/>
        </w:rPr>
      </w:pPr>
      <w:r>
        <w:rPr>
          <w:rFonts w:hint="eastAsia"/>
          <w:sz w:val="26"/>
          <w:szCs w:val="26"/>
        </w:rPr>
        <w:t>为防止本项目试采期设备噪声对区域环境的影响，保证噪声达标，本环评要求建设单位采取以下噪声防治措施：</w:t>
      </w:r>
    </w:p>
    <w:p w14:paraId="7614EA33">
      <w:pPr>
        <w:snapToGrid w:val="0"/>
        <w:spacing w:line="460" w:lineRule="exact"/>
        <w:ind w:firstLine="520" w:firstLineChars="200"/>
        <w:rPr>
          <w:sz w:val="26"/>
          <w:szCs w:val="26"/>
        </w:rPr>
      </w:pPr>
      <w:bookmarkStart w:id="385" w:name="_Toc165809766"/>
      <w:bookmarkStart w:id="386" w:name="_Toc128320949"/>
      <w:bookmarkStart w:id="387" w:name="_Toc219907677"/>
      <w:bookmarkStart w:id="388" w:name="_Toc165810659"/>
      <w:r>
        <w:rPr>
          <w:rFonts w:hint="eastAsia"/>
          <w:sz w:val="26"/>
          <w:szCs w:val="26"/>
        </w:rPr>
        <w:t>（</w:t>
      </w:r>
      <w:r>
        <w:rPr>
          <w:sz w:val="26"/>
          <w:szCs w:val="26"/>
        </w:rPr>
        <w:t>1</w:t>
      </w:r>
      <w:r>
        <w:rPr>
          <w:rFonts w:hint="eastAsia"/>
          <w:sz w:val="26"/>
          <w:szCs w:val="26"/>
        </w:rPr>
        <w:t>）在工艺设计时应对站场合理布局，控制气体流速，并在工艺设计中考虑减少站场工艺管线的弯管、三通等管件，降低场站内的气流噪声；</w:t>
      </w:r>
    </w:p>
    <w:p w14:paraId="1B69A59C">
      <w:pPr>
        <w:snapToGrid w:val="0"/>
        <w:spacing w:line="460" w:lineRule="exact"/>
        <w:ind w:firstLine="520" w:firstLineChars="200"/>
        <w:rPr>
          <w:sz w:val="26"/>
          <w:szCs w:val="26"/>
        </w:rPr>
      </w:pPr>
      <w:r>
        <w:rPr>
          <w:rFonts w:hint="eastAsia"/>
          <w:sz w:val="26"/>
          <w:szCs w:val="26"/>
        </w:rPr>
        <w:t>（</w:t>
      </w:r>
      <w:r>
        <w:rPr>
          <w:sz w:val="26"/>
          <w:szCs w:val="26"/>
        </w:rPr>
        <w:t>2</w:t>
      </w:r>
      <w:r>
        <w:rPr>
          <w:rFonts w:hint="eastAsia"/>
          <w:sz w:val="26"/>
          <w:szCs w:val="26"/>
        </w:rPr>
        <w:t>）各种撬装设备在选型上使用国内先进的低噪声设备，安装时采取台基减振、橡胶减震接头及减震垫等措施；</w:t>
      </w:r>
    </w:p>
    <w:p w14:paraId="3F03078C">
      <w:pPr>
        <w:snapToGrid w:val="0"/>
        <w:spacing w:line="460" w:lineRule="exact"/>
        <w:ind w:firstLine="520" w:firstLineChars="200"/>
        <w:rPr>
          <w:sz w:val="26"/>
          <w:szCs w:val="26"/>
        </w:rPr>
      </w:pPr>
      <w:r>
        <w:rPr>
          <w:rFonts w:hint="eastAsia"/>
          <w:sz w:val="26"/>
          <w:szCs w:val="26"/>
        </w:rPr>
        <w:t>（3）脱水压缩机采用撬装低噪声设备，在压缩机撬上安装降声罩（双层隔声板+高密度吸音棉+密封设计）；</w:t>
      </w:r>
    </w:p>
    <w:p w14:paraId="72455056">
      <w:pPr>
        <w:snapToGrid w:val="0"/>
        <w:spacing w:line="460" w:lineRule="exact"/>
        <w:ind w:firstLine="520" w:firstLineChars="200"/>
        <w:rPr>
          <w:sz w:val="26"/>
          <w:szCs w:val="26"/>
        </w:rPr>
      </w:pPr>
      <w:r>
        <w:rPr>
          <w:rFonts w:hint="eastAsia"/>
          <w:sz w:val="26"/>
          <w:szCs w:val="26"/>
        </w:rPr>
        <w:t>（4）站场内合理布局，将主要产噪设备布置在场区西侧，远离站场外西侧环境敏感点的区域，确保厂界噪声昼夜达标，避免噪声扰民；</w:t>
      </w:r>
    </w:p>
    <w:p w14:paraId="4119961E">
      <w:pPr>
        <w:snapToGrid w:val="0"/>
        <w:spacing w:line="460" w:lineRule="exact"/>
        <w:ind w:firstLine="520" w:firstLineChars="200"/>
        <w:rPr>
          <w:sz w:val="26"/>
          <w:szCs w:val="26"/>
        </w:rPr>
      </w:pPr>
      <w:r>
        <w:rPr>
          <w:rFonts w:hint="eastAsia"/>
          <w:sz w:val="26"/>
          <w:szCs w:val="26"/>
        </w:rPr>
        <w:t>（5）CNG管束车尽可能白天转运，减少鸣笛，并通过居民区时减速减少噪音对周围居民的影响；</w:t>
      </w:r>
    </w:p>
    <w:p w14:paraId="5D1E0BE8">
      <w:pPr>
        <w:snapToGrid w:val="0"/>
        <w:spacing w:line="460" w:lineRule="exact"/>
        <w:ind w:firstLine="520" w:firstLineChars="200"/>
        <w:rPr>
          <w:sz w:val="26"/>
          <w:szCs w:val="26"/>
        </w:rPr>
      </w:pPr>
      <w:r>
        <w:rPr>
          <w:rFonts w:hint="eastAsia"/>
          <w:sz w:val="26"/>
          <w:szCs w:val="26"/>
        </w:rPr>
        <w:t>（</w:t>
      </w:r>
      <w:r>
        <w:rPr>
          <w:sz w:val="26"/>
          <w:szCs w:val="26"/>
        </w:rPr>
        <w:t>6</w:t>
      </w:r>
      <w:r>
        <w:rPr>
          <w:rFonts w:hint="eastAsia"/>
          <w:sz w:val="26"/>
          <w:szCs w:val="26"/>
        </w:rPr>
        <w:t>）定期进行设备检修，保证设备的正常运转，降低故障性噪声排放；加强运行过程中的生产管理，采取有效措施减少事故放空频次。</w:t>
      </w:r>
    </w:p>
    <w:p w14:paraId="64BB9866">
      <w:pPr>
        <w:snapToGrid w:val="0"/>
        <w:spacing w:line="460" w:lineRule="exact"/>
        <w:ind w:firstLine="520" w:firstLineChars="200"/>
        <w:rPr>
          <w:sz w:val="26"/>
          <w:szCs w:val="26"/>
        </w:rPr>
      </w:pPr>
      <w:r>
        <w:rPr>
          <w:rFonts w:hint="eastAsia"/>
          <w:sz w:val="26"/>
          <w:szCs w:val="26"/>
        </w:rPr>
        <w:t>此外，非正常工况放空时会产生高压气流噪声，建设单位提前与周边居民进行沟通，并取得谅解，且放空时间较短，一旦放空作业结束，噪声影响随之消失。</w:t>
      </w:r>
    </w:p>
    <w:p w14:paraId="0BD26816">
      <w:pPr>
        <w:snapToGrid w:val="0"/>
        <w:spacing w:line="460" w:lineRule="exact"/>
        <w:ind w:firstLine="520" w:firstLineChars="200"/>
        <w:rPr>
          <w:sz w:val="26"/>
          <w:szCs w:val="26"/>
        </w:rPr>
      </w:pPr>
      <w:r>
        <w:rPr>
          <w:rFonts w:hint="eastAsia"/>
          <w:sz w:val="26"/>
          <w:szCs w:val="26"/>
        </w:rPr>
        <w:t>此类地面采气气流噪声控制措施在川渝地区地面试采工程项目中广泛应用，技术成熟可靠，措施可行。</w:t>
      </w:r>
    </w:p>
    <w:p w14:paraId="50BE6AE5">
      <w:pPr>
        <w:spacing w:line="460" w:lineRule="exact"/>
        <w:ind w:firstLine="522" w:firstLineChars="200"/>
        <w:outlineLvl w:val="1"/>
        <w:rPr>
          <w:b/>
          <w:bCs/>
          <w:sz w:val="26"/>
          <w:szCs w:val="26"/>
        </w:rPr>
      </w:pPr>
      <w:r>
        <w:rPr>
          <w:b/>
          <w:bCs/>
          <w:sz w:val="26"/>
          <w:szCs w:val="26"/>
        </w:rPr>
        <w:t xml:space="preserve">8.7 </w:t>
      </w:r>
      <w:r>
        <w:rPr>
          <w:rFonts w:hint="eastAsia"/>
          <w:b/>
          <w:bCs/>
          <w:sz w:val="26"/>
          <w:szCs w:val="26"/>
        </w:rPr>
        <w:t>固废污染防治措施</w:t>
      </w:r>
      <w:bookmarkEnd w:id="385"/>
      <w:bookmarkEnd w:id="386"/>
      <w:bookmarkEnd w:id="387"/>
      <w:bookmarkEnd w:id="388"/>
    </w:p>
    <w:p w14:paraId="3417AE88">
      <w:pPr>
        <w:spacing w:line="460" w:lineRule="exact"/>
        <w:ind w:firstLine="522" w:firstLineChars="200"/>
        <w:outlineLvl w:val="2"/>
        <w:rPr>
          <w:b/>
          <w:bCs/>
          <w:sz w:val="26"/>
          <w:szCs w:val="26"/>
        </w:rPr>
      </w:pPr>
      <w:bookmarkStart w:id="389" w:name="_Toc165810660"/>
      <w:r>
        <w:rPr>
          <w:b/>
          <w:bCs/>
          <w:sz w:val="26"/>
          <w:szCs w:val="26"/>
        </w:rPr>
        <w:t xml:space="preserve">8.7.1 </w:t>
      </w:r>
      <w:r>
        <w:rPr>
          <w:rFonts w:hint="eastAsia"/>
          <w:b/>
          <w:bCs/>
          <w:sz w:val="26"/>
          <w:szCs w:val="26"/>
        </w:rPr>
        <w:t>施工期固废污染防治措施</w:t>
      </w:r>
      <w:bookmarkEnd w:id="389"/>
    </w:p>
    <w:p w14:paraId="0B8F5AFF">
      <w:pPr>
        <w:snapToGrid w:val="0"/>
        <w:spacing w:line="460" w:lineRule="exact"/>
        <w:ind w:firstLine="520" w:firstLineChars="200"/>
        <w:rPr>
          <w:sz w:val="26"/>
          <w:szCs w:val="26"/>
        </w:rPr>
      </w:pPr>
      <w:r>
        <w:rPr>
          <w:rFonts w:hint="eastAsia"/>
          <w:sz w:val="26"/>
          <w:szCs w:val="26"/>
        </w:rPr>
        <w:t>本项目施工过程产生的固体废物主要包括施工废料、清管废渣、生活垃圾等。针对施工期固体废物，应采取以下积极有效的处置措施：</w:t>
      </w:r>
    </w:p>
    <w:p w14:paraId="15A295F9">
      <w:pPr>
        <w:snapToGrid w:val="0"/>
        <w:spacing w:line="460" w:lineRule="exact"/>
        <w:ind w:firstLine="520" w:firstLineChars="200"/>
        <w:rPr>
          <w:sz w:val="26"/>
          <w:szCs w:val="26"/>
        </w:rPr>
      </w:pPr>
      <w:r>
        <w:rPr>
          <w:rFonts w:hint="eastAsia"/>
          <w:sz w:val="26"/>
          <w:szCs w:val="26"/>
        </w:rPr>
        <w:t>（1）项目施工期应合理安排施工工期，开挖的土石方及时平铺在井场内，减少土石方的临时堆存时间；土石方堆存过程中应做好水土保持措施和抑尘工作。</w:t>
      </w:r>
    </w:p>
    <w:p w14:paraId="196020D0">
      <w:pPr>
        <w:snapToGrid w:val="0"/>
        <w:spacing w:line="460" w:lineRule="exact"/>
        <w:ind w:firstLine="520" w:firstLineChars="200"/>
        <w:rPr>
          <w:sz w:val="26"/>
          <w:szCs w:val="26"/>
        </w:rPr>
      </w:pPr>
      <w:r>
        <w:rPr>
          <w:rFonts w:hint="eastAsia"/>
          <w:sz w:val="26"/>
          <w:szCs w:val="26"/>
        </w:rPr>
        <w:t>（2）施工结束后，应对施工场地内产生的施工废料进行集中收集，可回收施工废料可由施工单位回收或外售废品回收站回收处置，不可回收施工废料收集后送当地建筑渣场处置。</w:t>
      </w:r>
    </w:p>
    <w:p w14:paraId="17D79D9D">
      <w:pPr>
        <w:adjustRightInd w:val="0"/>
        <w:snapToGrid w:val="0"/>
        <w:spacing w:line="460" w:lineRule="exact"/>
        <w:ind w:firstLine="520" w:firstLineChars="200"/>
        <w:rPr>
          <w:sz w:val="26"/>
          <w:szCs w:val="26"/>
        </w:rPr>
      </w:pPr>
      <w:r>
        <w:rPr>
          <w:rFonts w:hint="eastAsia"/>
          <w:sz w:val="26"/>
          <w:szCs w:val="26"/>
        </w:rPr>
        <w:t>（3）及时清扫施工道路积尘和散落的弃渣，维护村落环境卫生，</w:t>
      </w:r>
      <w:r>
        <w:rPr>
          <w:rFonts w:hint="eastAsia"/>
          <w:bCs/>
          <w:sz w:val="26"/>
          <w:szCs w:val="26"/>
        </w:rPr>
        <w:t>生活垃圾分类收集后交由当地环卫部门处置。</w:t>
      </w:r>
    </w:p>
    <w:p w14:paraId="45C63F8A">
      <w:pPr>
        <w:snapToGrid w:val="0"/>
        <w:spacing w:line="460" w:lineRule="exact"/>
        <w:ind w:firstLine="520" w:firstLineChars="200"/>
        <w:rPr>
          <w:sz w:val="26"/>
          <w:szCs w:val="26"/>
        </w:rPr>
      </w:pPr>
      <w:r>
        <w:rPr>
          <w:rFonts w:hint="eastAsia"/>
          <w:sz w:val="26"/>
          <w:szCs w:val="26"/>
        </w:rPr>
        <w:t>采取以上措施后，施工期产生的固体废物均得到妥善处置，对环境影响小。</w:t>
      </w:r>
    </w:p>
    <w:p w14:paraId="6180711D">
      <w:pPr>
        <w:spacing w:line="460" w:lineRule="exact"/>
        <w:ind w:firstLine="522" w:firstLineChars="200"/>
        <w:outlineLvl w:val="2"/>
        <w:rPr>
          <w:b/>
          <w:bCs/>
          <w:sz w:val="26"/>
          <w:szCs w:val="26"/>
        </w:rPr>
      </w:pPr>
      <w:bookmarkStart w:id="390" w:name="_Toc165810661"/>
      <w:r>
        <w:rPr>
          <w:b/>
          <w:bCs/>
          <w:sz w:val="26"/>
          <w:szCs w:val="26"/>
        </w:rPr>
        <w:t xml:space="preserve">8.7.2 </w:t>
      </w:r>
      <w:r>
        <w:rPr>
          <w:rFonts w:hint="eastAsia"/>
          <w:b/>
          <w:bCs/>
          <w:sz w:val="26"/>
          <w:szCs w:val="26"/>
        </w:rPr>
        <w:t>试采期固体废物污染防治措施</w:t>
      </w:r>
      <w:bookmarkEnd w:id="390"/>
    </w:p>
    <w:p w14:paraId="17805987">
      <w:pPr>
        <w:pStyle w:val="1381"/>
        <w:ind w:firstLine="520"/>
        <w:rPr>
          <w:rFonts w:cs="Times New Roman"/>
        </w:rPr>
      </w:pPr>
      <w:r>
        <w:rPr>
          <w:rFonts w:hint="eastAsia"/>
        </w:rPr>
        <w:t>（1）试采期固废处置措施</w:t>
      </w:r>
    </w:p>
    <w:p w14:paraId="18E7B2E2">
      <w:pPr>
        <w:pStyle w:val="702"/>
        <w:adjustRightInd w:val="0"/>
        <w:snapToGrid w:val="0"/>
        <w:spacing w:line="440" w:lineRule="exact"/>
        <w:ind w:firstLine="520"/>
        <w:rPr>
          <w:rFonts w:cs="Times New Roman"/>
        </w:rPr>
      </w:pPr>
      <w:r>
        <w:rPr>
          <w:rFonts w:hint="eastAsia" w:cs="Times New Roman"/>
        </w:rPr>
        <w:t>试采期主要固体废物包括储罐清掏沉渣、站场检修废渣、聚结</w:t>
      </w:r>
      <w:r>
        <w:rPr>
          <w:rFonts w:hint="eastAsia" w:cs="Times New Roman"/>
          <w:szCs w:val="21"/>
        </w:rPr>
        <w:t>过滤分离器产生的废滤芯、</w:t>
      </w:r>
      <w:r>
        <w:rPr>
          <w:rFonts w:hint="eastAsia" w:cs="Times New Roman"/>
          <w:bCs/>
          <w:shd w:val="clear" w:color="auto" w:fill="FFFFFF"/>
        </w:rPr>
        <w:t>脱水压缩撬产生的</w:t>
      </w:r>
      <w:r>
        <w:rPr>
          <w:rFonts w:hint="eastAsia" w:cs="Times New Roman"/>
          <w:szCs w:val="21"/>
        </w:rPr>
        <w:t>废分子筛、维护保养产生的</w:t>
      </w:r>
      <w:r>
        <w:rPr>
          <w:rFonts w:hint="eastAsia"/>
          <w:szCs w:val="26"/>
        </w:rPr>
        <w:t>废油、废油桶、含油擦拭物和</w:t>
      </w:r>
      <w:r>
        <w:rPr>
          <w:rFonts w:hint="eastAsia" w:cs="Times New Roman"/>
        </w:rPr>
        <w:t>值守人员产生的生活垃圾。</w:t>
      </w:r>
    </w:p>
    <w:p w14:paraId="31F74A6A">
      <w:pPr>
        <w:pStyle w:val="1381"/>
        <w:ind w:firstLine="520"/>
      </w:pPr>
      <w:r>
        <w:rPr>
          <w:rFonts w:hint="eastAsia" w:cs="Times New Roman"/>
          <w:szCs w:val="21"/>
        </w:rPr>
        <w:t>储罐沉渣、检修废渣、</w:t>
      </w:r>
      <w:r>
        <w:rPr>
          <w:rFonts w:hint="eastAsia"/>
          <w:szCs w:val="26"/>
        </w:rPr>
        <w:t>废油、废油桶、含油擦拭物</w:t>
      </w:r>
      <w:r>
        <w:rPr>
          <w:rFonts w:hint="eastAsia" w:cs="Times New Roman"/>
          <w:szCs w:val="21"/>
        </w:rPr>
        <w:t>属于危险废物，即产即运，</w:t>
      </w:r>
      <w:r>
        <w:rPr>
          <w:rFonts w:hint="eastAsia"/>
        </w:rPr>
        <w:t>由作业区收集后暂存于河飞2</w:t>
      </w:r>
      <w:r>
        <w:t>03</w:t>
      </w:r>
      <w:r>
        <w:rPr>
          <w:rFonts w:hint="eastAsia"/>
        </w:rPr>
        <w:t>中心站危废暂存间，统一交由资质单位处置；</w:t>
      </w:r>
      <w:r>
        <w:rPr>
          <w:rFonts w:hint="eastAsia" w:cs="Times New Roman"/>
        </w:rPr>
        <w:t>聚结过滤分离器产生的废滤芯和</w:t>
      </w:r>
      <w:r>
        <w:rPr>
          <w:rFonts w:hint="eastAsia" w:cs="Times New Roman"/>
          <w:bCs/>
          <w:shd w:val="clear" w:color="auto" w:fill="FFFFFF"/>
        </w:rPr>
        <w:t>脱水压缩撬产生的</w:t>
      </w:r>
      <w:r>
        <w:rPr>
          <w:rFonts w:hint="eastAsia" w:cs="Times New Roman"/>
          <w:szCs w:val="21"/>
        </w:rPr>
        <w:t>废分子筛</w:t>
      </w:r>
      <w:r>
        <w:rPr>
          <w:rFonts w:hint="eastAsia" w:ascii="Helvetica" w:hAnsi="Helvetica" w:cs="Helvetica"/>
          <w:shd w:val="clear" w:color="auto" w:fill="FFFFFF"/>
        </w:rPr>
        <w:t>为一般工业固废，由厂家统一更换后回收，不在站内存储；</w:t>
      </w:r>
      <w:r>
        <w:t>生活垃圾分类收集后，交当地环卫部门处置</w:t>
      </w:r>
      <w:r>
        <w:rPr>
          <w:rFonts w:hint="eastAsia"/>
        </w:rPr>
        <w:t>。</w:t>
      </w:r>
    </w:p>
    <w:p w14:paraId="76EE8B16">
      <w:pPr>
        <w:pStyle w:val="1381"/>
        <w:ind w:firstLine="520"/>
      </w:pPr>
      <w:r>
        <w:rPr>
          <w:rFonts w:hint="eastAsia"/>
        </w:rPr>
        <w:t>（2）依托设施概况</w:t>
      </w:r>
    </w:p>
    <w:p w14:paraId="385ACF3E">
      <w:pPr>
        <w:pStyle w:val="1381"/>
        <w:ind w:firstLine="520"/>
      </w:pPr>
      <w:r>
        <w:rPr>
          <w:rFonts w:hint="eastAsia"/>
          <w:bCs/>
          <w:szCs w:val="26"/>
        </w:rPr>
        <w:t>河飞203中心站位于巴中市通江县陈河乡，距离本项目约6</w:t>
      </w:r>
      <w:r>
        <w:rPr>
          <w:bCs/>
          <w:szCs w:val="26"/>
        </w:rPr>
        <w:t>9</w:t>
      </w:r>
      <w:r>
        <w:rPr>
          <w:rFonts w:hint="eastAsia"/>
          <w:bCs/>
          <w:szCs w:val="26"/>
        </w:rPr>
        <w:t>km，站内</w:t>
      </w:r>
      <w:r>
        <w:rPr>
          <w:rFonts w:hint="eastAsia"/>
        </w:rPr>
        <w:t>已建设一座危废暂存间，主要贮存含油废物和化验室废液，危废暂存间面积约2</w:t>
      </w:r>
      <w:r>
        <w:t>0m</w:t>
      </w:r>
      <w:r>
        <w:rPr>
          <w:vertAlign w:val="superscript"/>
        </w:rPr>
        <w:t>2</w:t>
      </w:r>
      <w:r>
        <w:rPr>
          <w:rFonts w:hint="eastAsia"/>
        </w:rPr>
        <w:t>，</w:t>
      </w:r>
      <w:r>
        <w:t>主体支架采用方镀锌钢搭建，顶部采用彩钢瓦铺设，四面采用彩钢瓦铺面</w:t>
      </w:r>
      <w:r>
        <w:rPr>
          <w:rFonts w:hint="eastAsia"/>
        </w:rPr>
        <w:t>，地面采用P8 C30抗渗商品混凝土进行浇筑，并设置3</w:t>
      </w:r>
      <w:r>
        <w:t>0</w:t>
      </w:r>
      <w:r>
        <w:rPr>
          <w:rFonts w:hint="eastAsia"/>
        </w:rPr>
        <w:t>cm高围堰，满足本项目依托要求。</w:t>
      </w:r>
    </w:p>
    <w:p w14:paraId="0ECD47EE">
      <w:pPr>
        <w:pStyle w:val="1379"/>
        <w:ind w:firstLine="440"/>
      </w:pPr>
    </w:p>
    <w:tbl>
      <w:tblPr>
        <w:tblStyle w:val="89"/>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0"/>
        <w:gridCol w:w="4360"/>
      </w:tblGrid>
      <w:tr w14:paraId="42AF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0" w:type="dxa"/>
          </w:tcPr>
          <w:p w14:paraId="744D3718">
            <w:pPr>
              <w:pStyle w:val="687"/>
            </w:pPr>
            <w:r>
              <w:drawing>
                <wp:inline distT="0" distB="0" distL="0" distR="0">
                  <wp:extent cx="2611120" cy="1873250"/>
                  <wp:effectExtent l="0" t="0" r="0" b="0"/>
                  <wp:docPr id="42" name="图片 42" descr="4x1wgigy1avle739jqs99tz4l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4x1wgigy1avle739jqs99tz4l_0"/>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a:xfrm>
                            <a:off x="0" y="0"/>
                            <a:ext cx="2629425" cy="1886138"/>
                          </a:xfrm>
                          <a:prstGeom prst="rect">
                            <a:avLst/>
                          </a:prstGeom>
                          <a:noFill/>
                          <a:ln>
                            <a:noFill/>
                          </a:ln>
                        </pic:spPr>
                      </pic:pic>
                    </a:graphicData>
                  </a:graphic>
                </wp:inline>
              </w:drawing>
            </w:r>
          </w:p>
        </w:tc>
        <w:tc>
          <w:tcPr>
            <w:tcW w:w="4360" w:type="dxa"/>
          </w:tcPr>
          <w:p w14:paraId="5147986B">
            <w:pPr>
              <w:pStyle w:val="687"/>
            </w:pPr>
            <w:r>
              <w:drawing>
                <wp:inline distT="0" distB="0" distL="0" distR="0">
                  <wp:extent cx="2693035" cy="1835785"/>
                  <wp:effectExtent l="0" t="0" r="0" b="0"/>
                  <wp:docPr id="47" name="图片 47" descr="27iqti8ovhjde2zkr9p880lcm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27iqti8ovhjde2zkr9p880lcm_0"/>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a:xfrm>
                            <a:off x="0" y="0"/>
                            <a:ext cx="2709608" cy="1847387"/>
                          </a:xfrm>
                          <a:prstGeom prst="rect">
                            <a:avLst/>
                          </a:prstGeom>
                          <a:noFill/>
                          <a:ln>
                            <a:noFill/>
                          </a:ln>
                        </pic:spPr>
                      </pic:pic>
                    </a:graphicData>
                  </a:graphic>
                </wp:inline>
              </w:drawing>
            </w:r>
          </w:p>
        </w:tc>
      </w:tr>
    </w:tbl>
    <w:p w14:paraId="50D49E7B">
      <w:pPr>
        <w:pStyle w:val="1065"/>
      </w:pPr>
      <w:r>
        <w:rPr>
          <w:rFonts w:hint="eastAsia"/>
        </w:rPr>
        <w:t>图</w:t>
      </w:r>
      <w:r>
        <w:t xml:space="preserve">8.7-1  </w:t>
      </w:r>
      <w:r>
        <w:rPr>
          <w:rFonts w:hint="eastAsia"/>
        </w:rPr>
        <w:t>河飞2</w:t>
      </w:r>
      <w:r>
        <w:t>03</w:t>
      </w:r>
      <w:r>
        <w:rPr>
          <w:rFonts w:hint="eastAsia"/>
        </w:rPr>
        <w:t>中心站危废暂存间现状图</w:t>
      </w:r>
    </w:p>
    <w:p w14:paraId="07D0B545">
      <w:pPr>
        <w:pStyle w:val="1379"/>
        <w:ind w:firstLine="440"/>
      </w:pPr>
    </w:p>
    <w:p w14:paraId="6CC6D0B6">
      <w:pPr>
        <w:pStyle w:val="702"/>
        <w:adjustRightInd w:val="0"/>
        <w:snapToGrid w:val="0"/>
        <w:spacing w:line="440" w:lineRule="exact"/>
        <w:ind w:firstLine="520"/>
        <w:rPr>
          <w:szCs w:val="26"/>
        </w:rPr>
      </w:pPr>
      <w:r>
        <w:rPr>
          <w:rFonts w:hint="eastAsia"/>
          <w:szCs w:val="26"/>
        </w:rPr>
        <w:t>（</w:t>
      </w:r>
      <w:r>
        <w:rPr>
          <w:szCs w:val="26"/>
        </w:rPr>
        <w:t>3</w:t>
      </w:r>
      <w:r>
        <w:rPr>
          <w:rFonts w:hint="eastAsia"/>
          <w:szCs w:val="26"/>
        </w:rPr>
        <w:t>）运输路线</w:t>
      </w:r>
    </w:p>
    <w:p w14:paraId="2241BC3F">
      <w:pPr>
        <w:pStyle w:val="702"/>
        <w:spacing w:before="48" w:after="48"/>
        <w:ind w:firstLine="520"/>
        <w:rPr>
          <w:bCs/>
          <w:szCs w:val="26"/>
        </w:rPr>
      </w:pPr>
      <w:r>
        <w:rPr>
          <w:rFonts w:hint="eastAsia"/>
          <w:bCs/>
          <w:szCs w:val="26"/>
        </w:rPr>
        <w:t>河飞203中心站位于巴中市通江县陈河乡，本项目危险废物转运路线全长约</w:t>
      </w:r>
      <w:r>
        <w:rPr>
          <w:bCs/>
          <w:szCs w:val="26"/>
        </w:rPr>
        <w:t>126</w:t>
      </w:r>
      <w:r>
        <w:rPr>
          <w:rFonts w:hint="eastAsia"/>
          <w:bCs/>
          <w:szCs w:val="26"/>
        </w:rPr>
        <w:t>km，途径3</w:t>
      </w:r>
      <w:r>
        <w:rPr>
          <w:bCs/>
          <w:szCs w:val="26"/>
        </w:rPr>
        <w:t>47</w:t>
      </w:r>
      <w:r>
        <w:rPr>
          <w:rFonts w:hint="eastAsia"/>
          <w:bCs/>
          <w:szCs w:val="26"/>
        </w:rPr>
        <w:t>国道、S</w:t>
      </w:r>
      <w:r>
        <w:rPr>
          <w:bCs/>
          <w:szCs w:val="26"/>
        </w:rPr>
        <w:t>1</w:t>
      </w:r>
      <w:r>
        <w:rPr>
          <w:rFonts w:hint="eastAsia"/>
          <w:bCs/>
          <w:szCs w:val="26"/>
        </w:rPr>
        <w:t>成万渝高速、</w:t>
      </w:r>
      <w:r>
        <w:rPr>
          <w:bCs/>
          <w:szCs w:val="26"/>
        </w:rPr>
        <w:t>204</w:t>
      </w:r>
      <w:r>
        <w:rPr>
          <w:rFonts w:hint="eastAsia"/>
          <w:bCs/>
          <w:szCs w:val="26"/>
        </w:rPr>
        <w:t>省道、通宣路、沙涪路等转运到河飞203中心站。</w:t>
      </w:r>
      <w:r>
        <w:rPr>
          <w:rFonts w:hint="eastAsia"/>
        </w:rPr>
        <w:t>车辆行驶至河流（含河沟、塘堰等）较近位置或者穿越河流（含河沟等）的道路时，应放慢行驶速度，谨慎通过。</w:t>
      </w:r>
    </w:p>
    <w:p w14:paraId="4EDF868A">
      <w:pPr>
        <w:pStyle w:val="1379"/>
        <w:ind w:firstLine="440"/>
      </w:pPr>
    </w:p>
    <w:p w14:paraId="70394B2D">
      <w:pPr>
        <w:pStyle w:val="1065"/>
      </w:pPr>
      <w:r>
        <w:drawing>
          <wp:inline distT="0" distB="0" distL="0" distR="0">
            <wp:extent cx="5274310" cy="3074035"/>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98"/>
                    <a:stretch>
                      <a:fillRect/>
                    </a:stretch>
                  </pic:blipFill>
                  <pic:spPr>
                    <a:xfrm>
                      <a:off x="0" y="0"/>
                      <a:ext cx="5274310" cy="3074035"/>
                    </a:xfrm>
                    <a:prstGeom prst="rect">
                      <a:avLst/>
                    </a:prstGeom>
                  </pic:spPr>
                </pic:pic>
              </a:graphicData>
            </a:graphic>
          </wp:inline>
        </w:drawing>
      </w:r>
    </w:p>
    <w:p w14:paraId="6105DE87">
      <w:pPr>
        <w:pStyle w:val="1065"/>
      </w:pPr>
      <w:r>
        <w:rPr>
          <w:rFonts w:hint="eastAsia"/>
        </w:rPr>
        <w:t>图8</w:t>
      </w:r>
      <w:r>
        <w:t xml:space="preserve">.7-2  </w:t>
      </w:r>
      <w:r>
        <w:rPr>
          <w:rFonts w:hint="eastAsia"/>
        </w:rPr>
        <w:t>危废转移路线图</w:t>
      </w:r>
    </w:p>
    <w:p w14:paraId="3936D183">
      <w:pPr>
        <w:pStyle w:val="1379"/>
        <w:ind w:firstLine="440"/>
      </w:pPr>
    </w:p>
    <w:p w14:paraId="07105AB9">
      <w:pPr>
        <w:snapToGrid w:val="0"/>
        <w:spacing w:line="450" w:lineRule="exact"/>
        <w:ind w:firstLine="520" w:firstLineChars="200"/>
        <w:rPr>
          <w:bCs/>
          <w:sz w:val="26"/>
          <w:szCs w:val="26"/>
        </w:rPr>
      </w:pPr>
      <w:r>
        <w:rPr>
          <w:rFonts w:hint="eastAsia"/>
          <w:bCs/>
          <w:sz w:val="26"/>
          <w:szCs w:val="26"/>
        </w:rPr>
        <w:t>（</w:t>
      </w:r>
      <w:r>
        <w:rPr>
          <w:bCs/>
          <w:sz w:val="26"/>
          <w:szCs w:val="26"/>
        </w:rPr>
        <w:t>3</w:t>
      </w:r>
      <w:r>
        <w:rPr>
          <w:rFonts w:hint="eastAsia"/>
          <w:bCs/>
          <w:sz w:val="26"/>
          <w:szCs w:val="26"/>
        </w:rPr>
        <w:t>）固废管理措施</w:t>
      </w:r>
    </w:p>
    <w:p w14:paraId="19750D4D">
      <w:pPr>
        <w:snapToGrid w:val="0"/>
        <w:spacing w:line="450" w:lineRule="exact"/>
        <w:ind w:firstLine="520" w:firstLineChars="200"/>
        <w:rPr>
          <w:bCs/>
          <w:sz w:val="26"/>
          <w:szCs w:val="26"/>
        </w:rPr>
      </w:pPr>
      <w:r>
        <w:rPr>
          <w:rFonts w:hint="eastAsia"/>
          <w:bCs/>
          <w:sz w:val="26"/>
          <w:szCs w:val="26"/>
        </w:rPr>
        <w:t>本项目试采站不设置危废暂存间，项目产生的储罐沉渣、检修废渣、废油、废油桶、含油擦拭物等危险废物由作业区收集后暂存于河飞203中心站危废暂存间，统一交由资质单位（危废处置协议见</w:t>
      </w:r>
      <w:r>
        <w:rPr>
          <w:rFonts w:hint="eastAsia"/>
          <w:bCs/>
          <w:sz w:val="26"/>
          <w:szCs w:val="26"/>
          <w:u w:val="single"/>
        </w:rPr>
        <w:t>附件1</w:t>
      </w:r>
      <w:r>
        <w:rPr>
          <w:bCs/>
          <w:sz w:val="26"/>
          <w:szCs w:val="26"/>
          <w:u w:val="single"/>
        </w:rPr>
        <w:t>3</w:t>
      </w:r>
      <w:r>
        <w:rPr>
          <w:rFonts w:hint="eastAsia"/>
          <w:bCs/>
          <w:sz w:val="26"/>
          <w:szCs w:val="26"/>
        </w:rPr>
        <w:t>、</w:t>
      </w:r>
      <w:r>
        <w:rPr>
          <w:rFonts w:hint="eastAsia"/>
          <w:bCs/>
          <w:sz w:val="26"/>
          <w:szCs w:val="26"/>
          <w:u w:val="single"/>
        </w:rPr>
        <w:t>附件1</w:t>
      </w:r>
      <w:r>
        <w:rPr>
          <w:bCs/>
          <w:sz w:val="26"/>
          <w:szCs w:val="26"/>
          <w:u w:val="single"/>
        </w:rPr>
        <w:t>4</w:t>
      </w:r>
      <w:r>
        <w:rPr>
          <w:rFonts w:hint="eastAsia"/>
          <w:bCs/>
          <w:sz w:val="26"/>
          <w:szCs w:val="26"/>
        </w:rPr>
        <w:t>）处置，本次仅对项目产生的危险废物运输提出管理要求：</w:t>
      </w:r>
    </w:p>
    <w:p w14:paraId="3A8C0F40">
      <w:pPr>
        <w:snapToGrid w:val="0"/>
        <w:spacing w:line="450" w:lineRule="exact"/>
        <w:ind w:firstLine="520" w:firstLineChars="200"/>
        <w:rPr>
          <w:bCs/>
          <w:sz w:val="26"/>
          <w:szCs w:val="26"/>
        </w:rPr>
      </w:pPr>
      <w:r>
        <w:rPr>
          <w:bCs/>
          <w:sz w:val="26"/>
          <w:szCs w:val="26"/>
        </w:rPr>
        <w:fldChar w:fldCharType="begin"/>
      </w:r>
      <w:r>
        <w:rPr>
          <w:bCs/>
          <w:sz w:val="26"/>
          <w:szCs w:val="26"/>
        </w:rPr>
        <w:instrText xml:space="preserve"> </w:instrText>
      </w:r>
      <w:r>
        <w:rPr>
          <w:rFonts w:hint="eastAsia"/>
          <w:bCs/>
          <w:sz w:val="26"/>
          <w:szCs w:val="26"/>
        </w:rPr>
        <w:instrText xml:space="preserve">= 1 \* GB3</w:instrText>
      </w:r>
      <w:r>
        <w:rPr>
          <w:bCs/>
          <w:sz w:val="26"/>
          <w:szCs w:val="26"/>
        </w:rPr>
        <w:instrText xml:space="preserve"> </w:instrText>
      </w:r>
      <w:r>
        <w:rPr>
          <w:bCs/>
          <w:sz w:val="26"/>
          <w:szCs w:val="26"/>
        </w:rPr>
        <w:fldChar w:fldCharType="separate"/>
      </w:r>
      <w:r>
        <w:rPr>
          <w:rFonts w:hint="eastAsia"/>
          <w:bCs/>
          <w:sz w:val="26"/>
          <w:szCs w:val="26"/>
        </w:rPr>
        <w:t>①</w:t>
      </w:r>
      <w:r>
        <w:rPr>
          <w:bCs/>
          <w:sz w:val="26"/>
          <w:szCs w:val="26"/>
        </w:rPr>
        <w:fldChar w:fldCharType="end"/>
      </w:r>
      <w:r>
        <w:rPr>
          <w:rFonts w:hint="eastAsia"/>
          <w:bCs/>
          <w:sz w:val="26"/>
          <w:szCs w:val="26"/>
        </w:rPr>
        <w:t>危险废物公路运输应按照《道路危险货物运输管理规定》、JT/T 617-2018以及JT/T 617-2018执行。</w:t>
      </w:r>
    </w:p>
    <w:p w14:paraId="2A31E0A5">
      <w:pPr>
        <w:snapToGrid w:val="0"/>
        <w:spacing w:line="450" w:lineRule="exact"/>
        <w:ind w:firstLine="520" w:firstLineChars="200"/>
        <w:rPr>
          <w:bCs/>
          <w:sz w:val="26"/>
          <w:szCs w:val="26"/>
        </w:rPr>
      </w:pPr>
      <w:r>
        <w:rPr>
          <w:bCs/>
          <w:sz w:val="26"/>
          <w:szCs w:val="26"/>
        </w:rPr>
        <w:fldChar w:fldCharType="begin"/>
      </w:r>
      <w:r>
        <w:rPr>
          <w:bCs/>
          <w:sz w:val="26"/>
          <w:szCs w:val="26"/>
        </w:rPr>
        <w:instrText xml:space="preserve"> </w:instrText>
      </w:r>
      <w:r>
        <w:rPr>
          <w:rFonts w:hint="eastAsia"/>
          <w:bCs/>
          <w:sz w:val="26"/>
          <w:szCs w:val="26"/>
        </w:rPr>
        <w:instrText xml:space="preserve">= 2 \* GB3</w:instrText>
      </w:r>
      <w:r>
        <w:rPr>
          <w:bCs/>
          <w:sz w:val="26"/>
          <w:szCs w:val="26"/>
        </w:rPr>
        <w:instrText xml:space="preserve"> </w:instrText>
      </w:r>
      <w:r>
        <w:rPr>
          <w:bCs/>
          <w:sz w:val="26"/>
          <w:szCs w:val="26"/>
        </w:rPr>
        <w:fldChar w:fldCharType="separate"/>
      </w:r>
      <w:r>
        <w:rPr>
          <w:rFonts w:hint="eastAsia"/>
          <w:bCs/>
          <w:sz w:val="26"/>
          <w:szCs w:val="26"/>
        </w:rPr>
        <w:t>②</w:t>
      </w:r>
      <w:r>
        <w:rPr>
          <w:bCs/>
          <w:sz w:val="26"/>
          <w:szCs w:val="26"/>
        </w:rPr>
        <w:fldChar w:fldCharType="end"/>
      </w:r>
      <w:r>
        <w:rPr>
          <w:rFonts w:hint="eastAsia"/>
          <w:bCs/>
          <w:sz w:val="26"/>
          <w:szCs w:val="26"/>
        </w:rPr>
        <w:t>运输单位承运危险废物时，应在危险废物包装上按照GB18597附录A设置标志。</w:t>
      </w:r>
    </w:p>
    <w:p w14:paraId="5683DDFA">
      <w:pPr>
        <w:snapToGrid w:val="0"/>
        <w:spacing w:line="450" w:lineRule="exact"/>
        <w:ind w:firstLine="520" w:firstLineChars="200"/>
        <w:rPr>
          <w:bCs/>
          <w:sz w:val="26"/>
          <w:szCs w:val="26"/>
        </w:rPr>
      </w:pPr>
      <w:r>
        <w:rPr>
          <w:bCs/>
          <w:sz w:val="26"/>
          <w:szCs w:val="26"/>
        </w:rPr>
        <w:fldChar w:fldCharType="begin"/>
      </w:r>
      <w:r>
        <w:rPr>
          <w:bCs/>
          <w:sz w:val="26"/>
          <w:szCs w:val="26"/>
        </w:rPr>
        <w:instrText xml:space="preserve"> </w:instrText>
      </w:r>
      <w:r>
        <w:rPr>
          <w:rFonts w:hint="eastAsia"/>
          <w:bCs/>
          <w:sz w:val="26"/>
          <w:szCs w:val="26"/>
        </w:rPr>
        <w:instrText xml:space="preserve">= 3 \* GB3</w:instrText>
      </w:r>
      <w:r>
        <w:rPr>
          <w:bCs/>
          <w:sz w:val="26"/>
          <w:szCs w:val="26"/>
        </w:rPr>
        <w:instrText xml:space="preserve"> </w:instrText>
      </w:r>
      <w:r>
        <w:rPr>
          <w:bCs/>
          <w:sz w:val="26"/>
          <w:szCs w:val="26"/>
        </w:rPr>
        <w:fldChar w:fldCharType="separate"/>
      </w:r>
      <w:r>
        <w:rPr>
          <w:rFonts w:hint="eastAsia"/>
          <w:bCs/>
          <w:sz w:val="26"/>
          <w:szCs w:val="26"/>
        </w:rPr>
        <w:t>③</w:t>
      </w:r>
      <w:r>
        <w:rPr>
          <w:bCs/>
          <w:sz w:val="26"/>
          <w:szCs w:val="26"/>
        </w:rPr>
        <w:fldChar w:fldCharType="end"/>
      </w:r>
      <w:r>
        <w:rPr>
          <w:rFonts w:hint="eastAsia"/>
          <w:bCs/>
          <w:sz w:val="26"/>
          <w:szCs w:val="26"/>
        </w:rPr>
        <w:t>危险废物公路运输时，运输车辆应按GB13392设置车辆标志。</w:t>
      </w:r>
    </w:p>
    <w:p w14:paraId="1BE796F7">
      <w:pPr>
        <w:snapToGrid w:val="0"/>
        <w:spacing w:line="450" w:lineRule="exact"/>
        <w:ind w:firstLine="520" w:firstLineChars="200"/>
        <w:rPr>
          <w:bCs/>
          <w:sz w:val="26"/>
          <w:szCs w:val="26"/>
        </w:rPr>
      </w:pPr>
      <w:r>
        <w:rPr>
          <w:bCs/>
          <w:sz w:val="26"/>
          <w:szCs w:val="26"/>
        </w:rPr>
        <w:fldChar w:fldCharType="begin"/>
      </w:r>
      <w:r>
        <w:rPr>
          <w:bCs/>
          <w:sz w:val="26"/>
          <w:szCs w:val="26"/>
        </w:rPr>
        <w:instrText xml:space="preserve"> </w:instrText>
      </w:r>
      <w:r>
        <w:rPr>
          <w:rFonts w:hint="eastAsia"/>
          <w:bCs/>
          <w:sz w:val="26"/>
          <w:szCs w:val="26"/>
        </w:rPr>
        <w:instrText xml:space="preserve">= 4 \* GB3</w:instrText>
      </w:r>
      <w:r>
        <w:rPr>
          <w:bCs/>
          <w:sz w:val="26"/>
          <w:szCs w:val="26"/>
        </w:rPr>
        <w:instrText xml:space="preserve"> </w:instrText>
      </w:r>
      <w:r>
        <w:rPr>
          <w:bCs/>
          <w:sz w:val="26"/>
          <w:szCs w:val="26"/>
        </w:rPr>
        <w:fldChar w:fldCharType="separate"/>
      </w:r>
      <w:r>
        <w:rPr>
          <w:rFonts w:hint="eastAsia"/>
          <w:bCs/>
          <w:sz w:val="26"/>
          <w:szCs w:val="26"/>
        </w:rPr>
        <w:t>④</w:t>
      </w:r>
      <w:r>
        <w:rPr>
          <w:bCs/>
          <w:sz w:val="26"/>
          <w:szCs w:val="26"/>
        </w:rPr>
        <w:fldChar w:fldCharType="end"/>
      </w:r>
      <w:r>
        <w:rPr>
          <w:rFonts w:hint="eastAsia"/>
          <w:bCs/>
          <w:sz w:val="26"/>
          <w:szCs w:val="26"/>
        </w:rPr>
        <w:t>危险废物运输应遵守危险货物运输管理的相关规定，按照危险废物特性分类运输。自行运输危险废物的应描述拟采用运输工具状况，包括工具种类、载重量、使用年限、危险货物运输资质、污染防治和事故预防措施等；委托外单位运输危险废物的，应描述委托运输具体状况，包括委托运输单位、危险货物运输资质等。</w:t>
      </w:r>
    </w:p>
    <w:p w14:paraId="1E973EB9">
      <w:pPr>
        <w:snapToGrid w:val="0"/>
        <w:spacing w:line="460" w:lineRule="exact"/>
        <w:ind w:firstLine="520" w:firstLineChars="200"/>
        <w:rPr>
          <w:sz w:val="26"/>
          <w:szCs w:val="26"/>
        </w:rPr>
      </w:pPr>
      <w:r>
        <w:rPr>
          <w:rFonts w:hint="eastAsia"/>
          <w:sz w:val="26"/>
          <w:szCs w:val="26"/>
        </w:rPr>
        <w:t>采取上述措施后，试采期产生的固体废物均得到妥善处置，对环境影响小。</w:t>
      </w:r>
    </w:p>
    <w:p w14:paraId="2B4E1381">
      <w:pPr>
        <w:spacing w:line="460" w:lineRule="exact"/>
        <w:ind w:firstLine="522" w:firstLineChars="200"/>
        <w:outlineLvl w:val="1"/>
        <w:rPr>
          <w:b/>
          <w:bCs/>
          <w:sz w:val="26"/>
          <w:szCs w:val="26"/>
        </w:rPr>
      </w:pPr>
      <w:bookmarkStart w:id="391" w:name="_Toc128320950"/>
      <w:bookmarkStart w:id="392" w:name="_Toc165810662"/>
      <w:bookmarkStart w:id="393" w:name="_Toc165809767"/>
      <w:bookmarkStart w:id="394" w:name="_Toc219907678"/>
      <w:r>
        <w:rPr>
          <w:b/>
          <w:bCs/>
          <w:sz w:val="26"/>
          <w:szCs w:val="26"/>
        </w:rPr>
        <w:t xml:space="preserve">8.8 </w:t>
      </w:r>
      <w:r>
        <w:rPr>
          <w:rFonts w:hint="eastAsia"/>
          <w:b/>
          <w:bCs/>
          <w:sz w:val="26"/>
          <w:szCs w:val="26"/>
        </w:rPr>
        <w:t>土壤污染防治措施</w:t>
      </w:r>
      <w:bookmarkEnd w:id="391"/>
      <w:bookmarkEnd w:id="392"/>
      <w:bookmarkEnd w:id="393"/>
      <w:bookmarkEnd w:id="394"/>
    </w:p>
    <w:p w14:paraId="6D4EFC99">
      <w:pPr>
        <w:adjustRightInd w:val="0"/>
        <w:snapToGrid w:val="0"/>
        <w:spacing w:line="460" w:lineRule="exact"/>
        <w:ind w:firstLine="520" w:firstLineChars="200"/>
        <w:rPr>
          <w:sz w:val="26"/>
          <w:szCs w:val="26"/>
        </w:rPr>
      </w:pPr>
      <w:r>
        <w:rPr>
          <w:sz w:val="26"/>
          <w:szCs w:val="26"/>
        </w:rPr>
        <w:t>本项目土壤污染防治措施按照“源头控制、分区</w:t>
      </w:r>
      <w:r>
        <w:rPr>
          <w:rFonts w:hint="eastAsia"/>
          <w:sz w:val="26"/>
          <w:szCs w:val="26"/>
        </w:rPr>
        <w:t>防控</w:t>
      </w:r>
      <w:r>
        <w:rPr>
          <w:sz w:val="26"/>
          <w:szCs w:val="26"/>
        </w:rPr>
        <w:t>、污染监控、应急响应”相结合的原则，从污染物的产生、入渗、扩散、应急响应进行控制。</w:t>
      </w:r>
    </w:p>
    <w:p w14:paraId="0A3D7764">
      <w:pPr>
        <w:spacing w:line="460" w:lineRule="exact"/>
        <w:ind w:firstLine="522" w:firstLineChars="200"/>
        <w:outlineLvl w:val="2"/>
        <w:rPr>
          <w:b/>
          <w:bCs/>
          <w:sz w:val="26"/>
          <w:szCs w:val="26"/>
        </w:rPr>
      </w:pPr>
      <w:bookmarkStart w:id="395" w:name="_Toc165810663"/>
      <w:r>
        <w:rPr>
          <w:b/>
          <w:bCs/>
          <w:sz w:val="26"/>
          <w:szCs w:val="26"/>
        </w:rPr>
        <w:t xml:space="preserve">8.8.1 </w:t>
      </w:r>
      <w:r>
        <w:rPr>
          <w:rFonts w:hint="eastAsia"/>
          <w:b/>
          <w:bCs/>
          <w:sz w:val="26"/>
          <w:szCs w:val="26"/>
        </w:rPr>
        <w:t>源头防治措施</w:t>
      </w:r>
      <w:bookmarkEnd w:id="395"/>
    </w:p>
    <w:p w14:paraId="7319E9E7">
      <w:pPr>
        <w:spacing w:line="460" w:lineRule="exact"/>
        <w:ind w:firstLine="520" w:firstLineChars="200"/>
        <w:rPr>
          <w:sz w:val="26"/>
          <w:szCs w:val="26"/>
        </w:rPr>
      </w:pPr>
      <w:r>
        <w:rPr>
          <w:sz w:val="26"/>
          <w:szCs w:val="26"/>
        </w:rPr>
        <w:t>（1）井场采用清污分流系统，在井场四周修筑外环沟及灌溉沟，便于排除场地内雨水等清水。</w:t>
      </w:r>
    </w:p>
    <w:p w14:paraId="442F340F">
      <w:pPr>
        <w:spacing w:line="460" w:lineRule="exact"/>
        <w:ind w:firstLine="520" w:firstLineChars="200"/>
        <w:rPr>
          <w:sz w:val="26"/>
          <w:szCs w:val="26"/>
        </w:rPr>
      </w:pPr>
      <w:r>
        <w:rPr>
          <w:sz w:val="26"/>
          <w:szCs w:val="26"/>
        </w:rPr>
        <w:t>（2）施工现场的垃圾应修建专门区域进行妥善收集，后期统一交由当地环卫部门进行集中处置。机械设备若有漏油现象要及时清理散落机油，将其收集待施工结束后统一清运处理。</w:t>
      </w:r>
    </w:p>
    <w:p w14:paraId="61ED0813">
      <w:pPr>
        <w:spacing w:line="460" w:lineRule="exact"/>
        <w:ind w:firstLine="520" w:firstLineChars="200"/>
        <w:rPr>
          <w:sz w:val="26"/>
          <w:szCs w:val="26"/>
        </w:rPr>
      </w:pPr>
      <w:r>
        <w:rPr>
          <w:sz w:val="26"/>
          <w:szCs w:val="26"/>
        </w:rPr>
        <w:t>（3）生产期间要做好站场的日常巡查工作，避免设备、管线的泄漏，从源头将污染物泄漏对地下水影响降到最低限度。</w:t>
      </w:r>
    </w:p>
    <w:p w14:paraId="5D5BBEEE">
      <w:pPr>
        <w:adjustRightInd w:val="0"/>
        <w:snapToGrid w:val="0"/>
        <w:spacing w:line="460" w:lineRule="exact"/>
        <w:ind w:firstLine="520" w:firstLineChars="200"/>
        <w:rPr>
          <w:sz w:val="26"/>
          <w:szCs w:val="26"/>
        </w:rPr>
      </w:pPr>
      <w:r>
        <w:rPr>
          <w:sz w:val="26"/>
          <w:szCs w:val="26"/>
        </w:rPr>
        <w:t>以上控制措施能从源头上有效地控制和减少污染物对土壤的污染，技术上措施可行。</w:t>
      </w:r>
    </w:p>
    <w:p w14:paraId="23B89E3C">
      <w:pPr>
        <w:spacing w:line="460" w:lineRule="exact"/>
        <w:ind w:firstLine="522" w:firstLineChars="200"/>
        <w:outlineLvl w:val="2"/>
        <w:rPr>
          <w:b/>
          <w:bCs/>
          <w:sz w:val="26"/>
          <w:szCs w:val="26"/>
        </w:rPr>
      </w:pPr>
      <w:r>
        <w:rPr>
          <w:rFonts w:hint="eastAsia"/>
          <w:b/>
          <w:bCs/>
          <w:sz w:val="26"/>
          <w:szCs w:val="26"/>
        </w:rPr>
        <w:t>8</w:t>
      </w:r>
      <w:r>
        <w:rPr>
          <w:b/>
          <w:bCs/>
          <w:sz w:val="26"/>
          <w:szCs w:val="26"/>
        </w:rPr>
        <w:t xml:space="preserve">.8.2 </w:t>
      </w:r>
      <w:r>
        <w:rPr>
          <w:rFonts w:hint="eastAsia"/>
          <w:b/>
          <w:bCs/>
          <w:sz w:val="26"/>
          <w:szCs w:val="26"/>
        </w:rPr>
        <w:t>分区防控措施</w:t>
      </w:r>
    </w:p>
    <w:p w14:paraId="7C9B1B3E">
      <w:pPr>
        <w:snapToGrid w:val="0"/>
        <w:spacing w:line="460" w:lineRule="exact"/>
        <w:ind w:firstLine="520" w:firstLineChars="200"/>
        <w:rPr>
          <w:sz w:val="26"/>
          <w:szCs w:val="26"/>
        </w:rPr>
      </w:pPr>
      <w:r>
        <w:rPr>
          <w:rFonts w:hint="eastAsia"/>
          <w:sz w:val="26"/>
          <w:szCs w:val="26"/>
        </w:rPr>
        <w:t>（1）井口区、气田水罐区、凝析油罐区域进行重点防渗工作，防渗性能满足等效防渗性能不低于黏土层6.0m厚、渗透系数为1.0×10</w:t>
      </w:r>
      <w:r>
        <w:rPr>
          <w:rFonts w:hint="eastAsia"/>
          <w:sz w:val="26"/>
          <w:szCs w:val="26"/>
          <w:vertAlign w:val="superscript"/>
        </w:rPr>
        <w:t>-7</w:t>
      </w:r>
      <w:r>
        <w:rPr>
          <w:rFonts w:hint="eastAsia"/>
          <w:sz w:val="26"/>
          <w:szCs w:val="26"/>
        </w:rPr>
        <w:t>cm/s的防渗效果。</w:t>
      </w:r>
    </w:p>
    <w:p w14:paraId="6571033F">
      <w:pPr>
        <w:snapToGrid w:val="0"/>
        <w:spacing w:line="460" w:lineRule="exact"/>
        <w:ind w:firstLine="520" w:firstLineChars="200"/>
        <w:rPr>
          <w:sz w:val="26"/>
          <w:szCs w:val="26"/>
        </w:rPr>
      </w:pPr>
      <w:r>
        <w:rPr>
          <w:rFonts w:hint="eastAsia"/>
          <w:sz w:val="26"/>
          <w:szCs w:val="26"/>
        </w:rPr>
        <w:t>（2）气田水罐区、凝析油罐区在重点防渗基础上设置围堰，围堰容积应大于单个罐体容积。</w:t>
      </w:r>
    </w:p>
    <w:p w14:paraId="3B966D1E">
      <w:pPr>
        <w:snapToGrid w:val="0"/>
        <w:spacing w:line="460" w:lineRule="exact"/>
        <w:ind w:firstLine="520" w:firstLineChars="200"/>
        <w:rPr>
          <w:sz w:val="26"/>
          <w:szCs w:val="26"/>
        </w:rPr>
      </w:pPr>
      <w:r>
        <w:rPr>
          <w:rFonts w:hint="eastAsia"/>
          <w:sz w:val="26"/>
          <w:szCs w:val="26"/>
        </w:rPr>
        <w:t>（3）工艺装置区按导则要求进行一般防渗，保证其防渗效果等效“渗透系数≤1.0×10</w:t>
      </w:r>
      <w:r>
        <w:rPr>
          <w:rFonts w:hint="eastAsia"/>
          <w:sz w:val="26"/>
          <w:szCs w:val="26"/>
          <w:vertAlign w:val="superscript"/>
        </w:rPr>
        <w:t>-7</w:t>
      </w:r>
      <w:r>
        <w:rPr>
          <w:rFonts w:hint="eastAsia"/>
          <w:sz w:val="26"/>
          <w:szCs w:val="26"/>
        </w:rPr>
        <w:t>cm/s，厚度Mb≥1.5m的黏土的防渗性能”。</w:t>
      </w:r>
    </w:p>
    <w:p w14:paraId="14E4DA96">
      <w:pPr>
        <w:spacing w:line="460" w:lineRule="exact"/>
        <w:ind w:firstLine="522" w:firstLineChars="200"/>
        <w:outlineLvl w:val="2"/>
        <w:rPr>
          <w:b/>
          <w:bCs/>
          <w:sz w:val="26"/>
          <w:szCs w:val="26"/>
        </w:rPr>
      </w:pPr>
      <w:r>
        <w:rPr>
          <w:rFonts w:hint="eastAsia"/>
          <w:b/>
          <w:bCs/>
          <w:sz w:val="26"/>
          <w:szCs w:val="26"/>
        </w:rPr>
        <w:t>8</w:t>
      </w:r>
      <w:r>
        <w:rPr>
          <w:b/>
          <w:bCs/>
          <w:sz w:val="26"/>
          <w:szCs w:val="26"/>
        </w:rPr>
        <w:t>.8.3</w:t>
      </w:r>
      <w:r>
        <w:rPr>
          <w:rFonts w:hint="eastAsia"/>
          <w:b/>
          <w:bCs/>
          <w:sz w:val="26"/>
          <w:szCs w:val="26"/>
        </w:rPr>
        <w:t xml:space="preserve"> </w:t>
      </w:r>
      <w:r>
        <w:rPr>
          <w:b/>
          <w:bCs/>
          <w:sz w:val="26"/>
          <w:szCs w:val="26"/>
        </w:rPr>
        <w:t>跟踪监测计划</w:t>
      </w:r>
    </w:p>
    <w:p w14:paraId="2AA2794C">
      <w:pPr>
        <w:spacing w:line="460" w:lineRule="exact"/>
        <w:ind w:firstLine="520" w:firstLineChars="200"/>
        <w:rPr>
          <w:sz w:val="26"/>
          <w:szCs w:val="26"/>
        </w:rPr>
      </w:pPr>
      <w:r>
        <w:rPr>
          <w:sz w:val="26"/>
          <w:szCs w:val="26"/>
        </w:rPr>
        <w:t>本项目周边存在耕地等土壤环境保护目标，为了及时准确掌握评价范围内土壤环境质量状况和土壤中污染物的动态变化，需要针对性开展土壤环境跟踪监测。依据《环境影响评价技术导则 土壤环境（试行）》（HJ964-2018）跟踪监测原则及要求，对于二级评价建设项目，跟踪监测点位应布设在重点影响区和土壤环境敏感目标附近，监测指标应选择建设项目特征因子，每5年内开展1次，结合环境管理对监测工作的需要，本项目应选择具有相关资质的监测机构和人员进行监测，监测的指标按国家现行的检测标准进行检测。本次评价土壤跟踪监测因子及点位设置、监测频次等土壤环境管理和监测内容详见</w:t>
      </w:r>
      <w:r>
        <w:rPr>
          <w:sz w:val="26"/>
          <w:szCs w:val="26"/>
          <w:u w:val="single"/>
        </w:rPr>
        <w:t>10.9.2章节</w:t>
      </w:r>
      <w:r>
        <w:rPr>
          <w:sz w:val="26"/>
          <w:szCs w:val="26"/>
        </w:rPr>
        <w:t>。</w:t>
      </w:r>
    </w:p>
    <w:p w14:paraId="3614130E">
      <w:pPr>
        <w:spacing w:line="460" w:lineRule="exact"/>
        <w:ind w:firstLine="522" w:firstLineChars="200"/>
        <w:outlineLvl w:val="2"/>
        <w:rPr>
          <w:b/>
          <w:bCs/>
          <w:sz w:val="26"/>
          <w:szCs w:val="26"/>
        </w:rPr>
      </w:pPr>
      <w:r>
        <w:rPr>
          <w:b/>
          <w:bCs/>
          <w:sz w:val="26"/>
          <w:szCs w:val="26"/>
        </w:rPr>
        <w:t>8.8.4 土壤污染应急响应</w:t>
      </w:r>
    </w:p>
    <w:p w14:paraId="3B2BCDA3">
      <w:pPr>
        <w:spacing w:line="460" w:lineRule="exact"/>
        <w:ind w:firstLine="520" w:firstLineChars="200"/>
        <w:rPr>
          <w:sz w:val="26"/>
          <w:szCs w:val="26"/>
        </w:rPr>
      </w:pPr>
      <w:r>
        <w:rPr>
          <w:sz w:val="26"/>
          <w:szCs w:val="26"/>
        </w:rPr>
        <w:t>项目试采期间</w:t>
      </w:r>
      <w:r>
        <w:rPr>
          <w:rFonts w:hint="eastAsia"/>
          <w:sz w:val="26"/>
          <w:szCs w:val="26"/>
        </w:rPr>
        <w:t>储罐</w:t>
      </w:r>
      <w:r>
        <w:rPr>
          <w:sz w:val="26"/>
          <w:szCs w:val="26"/>
        </w:rPr>
        <w:t>泄漏时，应</w:t>
      </w:r>
      <w:r>
        <w:rPr>
          <w:rFonts w:hint="eastAsia"/>
          <w:sz w:val="26"/>
          <w:szCs w:val="26"/>
        </w:rPr>
        <w:t>及时</w:t>
      </w:r>
      <w:r>
        <w:rPr>
          <w:sz w:val="26"/>
          <w:szCs w:val="26"/>
        </w:rPr>
        <w:t>安排调度罐车进行外运处理。泄漏进入农田的，应堵住农田缺口，挖坑收集，防止流入地表水污染水体。对受污染土壤表层土进行剥离收集安全处置，对受污染农田水处理达标排放。对庄稼造成的经济影响进行补偿，避免造成环境纠纷。发生事故后应及时通报当地环保部门，并积极配合环保部门抢险。</w:t>
      </w:r>
    </w:p>
    <w:p w14:paraId="1A7CBFFB">
      <w:pPr>
        <w:spacing w:line="460" w:lineRule="exact"/>
        <w:ind w:firstLine="522" w:firstLineChars="200"/>
        <w:outlineLvl w:val="1"/>
        <w:rPr>
          <w:b/>
          <w:bCs/>
          <w:sz w:val="26"/>
          <w:szCs w:val="26"/>
        </w:rPr>
      </w:pPr>
      <w:bookmarkStart w:id="396" w:name="_Toc207360425"/>
      <w:bookmarkStart w:id="397" w:name="_Toc209774514"/>
      <w:bookmarkStart w:id="398" w:name="_Toc219907679"/>
      <w:bookmarkStart w:id="399" w:name="_Toc165809769"/>
      <w:bookmarkStart w:id="400" w:name="_Toc165810668"/>
      <w:r>
        <w:rPr>
          <w:rFonts w:hint="eastAsia"/>
          <w:b/>
          <w:bCs/>
          <w:sz w:val="26"/>
          <w:szCs w:val="26"/>
        </w:rPr>
        <w:t>8</w:t>
      </w:r>
      <w:r>
        <w:rPr>
          <w:b/>
          <w:bCs/>
          <w:sz w:val="26"/>
          <w:szCs w:val="26"/>
        </w:rPr>
        <w:t xml:space="preserve">.9 </w:t>
      </w:r>
      <w:r>
        <w:rPr>
          <w:rFonts w:hint="eastAsia"/>
          <w:b/>
          <w:bCs/>
          <w:sz w:val="26"/>
          <w:szCs w:val="26"/>
        </w:rPr>
        <w:t>退役期环境影响减缓措施</w:t>
      </w:r>
      <w:bookmarkEnd w:id="396"/>
      <w:bookmarkEnd w:id="397"/>
      <w:bookmarkEnd w:id="398"/>
    </w:p>
    <w:p w14:paraId="3EDDCAE3">
      <w:pPr>
        <w:pStyle w:val="1381"/>
        <w:ind w:firstLine="520"/>
        <w:rPr>
          <w:bCs/>
          <w:szCs w:val="26"/>
        </w:rPr>
      </w:pPr>
      <w:r>
        <w:rPr>
          <w:rFonts w:hint="eastAsia"/>
        </w:rPr>
        <w:t>本项目为天然气试采工程，试采结束后若产气达到预期，将转为区块开发，重新征用土地；若产气未达预期，将进行退役处理。</w:t>
      </w:r>
      <w:r>
        <w:rPr>
          <w:rFonts w:hint="eastAsia"/>
          <w:bCs/>
          <w:szCs w:val="26"/>
        </w:rPr>
        <w:t>退役后各种机械设备将停止使用，由此带来的大气污染物、生产废水、噪声及固体废物等根据《废弃井及长停井处置指南》（SY/T 6646-2017）等技术要求，气井停采后应对井口进行封堵。封堵后应及时对地面设施拆除，占地范围内水泥平台或沙砾石铺垫清理，随后进行复垦。硬化物拆除以后，平整场地，对压实的土地进行翻松，松土厚度为</w:t>
      </w:r>
      <w:r>
        <w:rPr>
          <w:bCs/>
          <w:szCs w:val="26"/>
        </w:rPr>
        <w:t>30cm</w:t>
      </w:r>
      <w:r>
        <w:rPr>
          <w:rFonts w:hint="eastAsia"/>
          <w:bCs/>
          <w:szCs w:val="26"/>
        </w:rPr>
        <w:t>。土方松动后将保存的剥离表土铺覆于复垦区，覆土厚度一般为</w:t>
      </w:r>
      <w:r>
        <w:rPr>
          <w:bCs/>
          <w:szCs w:val="26"/>
        </w:rPr>
        <w:t>50~60cm</w:t>
      </w:r>
      <w:r>
        <w:rPr>
          <w:rFonts w:hint="eastAsia"/>
          <w:bCs/>
          <w:szCs w:val="26"/>
        </w:rPr>
        <w:t>，最后种植农作物，井区损毁土地尽可能地复垦为原土地利用类型。</w:t>
      </w:r>
    </w:p>
    <w:p w14:paraId="5DBD43F9">
      <w:pPr>
        <w:spacing w:line="460" w:lineRule="exact"/>
        <w:ind w:firstLine="520" w:firstLineChars="200"/>
        <w:rPr>
          <w:bCs/>
          <w:sz w:val="26"/>
          <w:szCs w:val="26"/>
        </w:rPr>
      </w:pPr>
      <w:r>
        <w:rPr>
          <w:bCs/>
          <w:sz w:val="26"/>
          <w:szCs w:val="26"/>
        </w:rPr>
        <w:t>退役期除地面设施时会产生扬尘，由于施工时间较短，且通过洒水降尘等措施，产生的扬尘很少，对大气环境产生轻微、暂时的影响。</w:t>
      </w:r>
    </w:p>
    <w:p w14:paraId="40E59BAC">
      <w:pPr>
        <w:spacing w:line="460" w:lineRule="exact"/>
        <w:ind w:firstLine="520" w:firstLineChars="200"/>
        <w:rPr>
          <w:bCs/>
          <w:sz w:val="26"/>
          <w:szCs w:val="26"/>
        </w:rPr>
      </w:pPr>
      <w:r>
        <w:rPr>
          <w:bCs/>
          <w:sz w:val="26"/>
          <w:szCs w:val="26"/>
        </w:rPr>
        <w:t>退役期施工过程中所聘人员主要为当地民众，施工过程所产生的生活污水依托周边农户已有设施进行收集后作为农肥使用，不会对周边地表水环境造成明显不利影响。</w:t>
      </w:r>
    </w:p>
    <w:p w14:paraId="4391E4C2">
      <w:pPr>
        <w:spacing w:line="460" w:lineRule="exact"/>
        <w:ind w:firstLine="520" w:firstLineChars="200"/>
        <w:rPr>
          <w:bCs/>
          <w:sz w:val="26"/>
          <w:szCs w:val="26"/>
        </w:rPr>
      </w:pPr>
      <w:r>
        <w:rPr>
          <w:bCs/>
          <w:sz w:val="26"/>
          <w:szCs w:val="26"/>
        </w:rPr>
        <w:t>退役期会产生施工噪声，主要是由机械施工的施工机械和运输车辆造成，由于本工程施工期较短，施工机械使用较少，施工时段为白天，夜间一般不施工，且项目施工噪声影响是暂时的，将随着施工期的结束而消失。</w:t>
      </w:r>
    </w:p>
    <w:p w14:paraId="4F01C70F">
      <w:pPr>
        <w:spacing w:line="460" w:lineRule="exact"/>
        <w:ind w:firstLine="520" w:firstLineChars="200"/>
        <w:rPr>
          <w:bCs/>
          <w:sz w:val="26"/>
          <w:szCs w:val="26"/>
        </w:rPr>
      </w:pPr>
      <w:r>
        <w:rPr>
          <w:bCs/>
          <w:sz w:val="26"/>
          <w:szCs w:val="26"/>
        </w:rPr>
        <w:t>退役期产生的固体废物主要为废弃建筑垃圾等，由施工单位严格按照HSE管理模式进行集中收集后，依托当地环卫部门有偿清运。在按相关规定进行妥善处置后，不会对周边环境造成明显不利影响。</w:t>
      </w:r>
    </w:p>
    <w:p w14:paraId="123E6976">
      <w:pPr>
        <w:spacing w:line="460" w:lineRule="exact"/>
        <w:ind w:firstLine="522" w:firstLineChars="200"/>
        <w:outlineLvl w:val="1"/>
        <w:rPr>
          <w:b/>
          <w:bCs/>
          <w:sz w:val="26"/>
          <w:szCs w:val="26"/>
        </w:rPr>
      </w:pPr>
      <w:bookmarkStart w:id="401" w:name="_Toc219907680"/>
      <w:r>
        <w:rPr>
          <w:rFonts w:hint="eastAsia"/>
          <w:b/>
          <w:bCs/>
          <w:sz w:val="26"/>
          <w:szCs w:val="26"/>
        </w:rPr>
        <w:t>8</w:t>
      </w:r>
      <w:r>
        <w:rPr>
          <w:b/>
          <w:bCs/>
          <w:sz w:val="26"/>
          <w:szCs w:val="26"/>
        </w:rPr>
        <w:t xml:space="preserve">.10 </w:t>
      </w:r>
      <w:r>
        <w:rPr>
          <w:rFonts w:hint="eastAsia"/>
          <w:b/>
          <w:bCs/>
          <w:sz w:val="26"/>
          <w:szCs w:val="26"/>
        </w:rPr>
        <w:t>污染防治措施汇总及环保投资估算</w:t>
      </w:r>
      <w:bookmarkEnd w:id="399"/>
      <w:bookmarkEnd w:id="400"/>
      <w:bookmarkEnd w:id="401"/>
    </w:p>
    <w:p w14:paraId="7F6093A1">
      <w:pPr>
        <w:adjustRightInd w:val="0"/>
        <w:snapToGrid w:val="0"/>
        <w:spacing w:line="460" w:lineRule="exact"/>
        <w:ind w:firstLine="520" w:firstLineChars="200"/>
      </w:pPr>
      <w:r>
        <w:rPr>
          <w:sz w:val="26"/>
          <w:szCs w:val="26"/>
        </w:rPr>
        <w:t>本项目污染防治措施及环保投资估算结果见表8.10-1。</w:t>
      </w:r>
    </w:p>
    <w:p w14:paraId="370C776F">
      <w:pPr>
        <w:pStyle w:val="1379"/>
        <w:ind w:firstLine="440"/>
      </w:pPr>
    </w:p>
    <w:p w14:paraId="744E9F2F">
      <w:pPr>
        <w:pStyle w:val="1065"/>
      </w:pPr>
      <w:r>
        <w:t>表8.10-1   环保措施一览表</w:t>
      </w:r>
    </w:p>
    <w:tbl>
      <w:tblPr>
        <w:tblStyle w:val="88"/>
        <w:tblW w:w="8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423"/>
        <w:gridCol w:w="711"/>
        <w:gridCol w:w="1279"/>
        <w:gridCol w:w="5123"/>
        <w:gridCol w:w="792"/>
      </w:tblGrid>
      <w:tr w14:paraId="2965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Align w:val="center"/>
          </w:tcPr>
          <w:p w14:paraId="073DC151">
            <w:pPr>
              <w:adjustRightInd w:val="0"/>
              <w:snapToGrid w:val="0"/>
              <w:jc w:val="center"/>
              <w:rPr>
                <w:sz w:val="22"/>
                <w:szCs w:val="22"/>
              </w:rPr>
            </w:pPr>
            <w:r>
              <w:rPr>
                <w:rFonts w:hint="eastAsia"/>
                <w:sz w:val="22"/>
                <w:szCs w:val="22"/>
              </w:rPr>
              <w:t>时期</w:t>
            </w:r>
          </w:p>
        </w:tc>
        <w:tc>
          <w:tcPr>
            <w:tcW w:w="711" w:type="dxa"/>
            <w:vAlign w:val="center"/>
          </w:tcPr>
          <w:p w14:paraId="672E01FC">
            <w:pPr>
              <w:adjustRightInd w:val="0"/>
              <w:snapToGrid w:val="0"/>
              <w:jc w:val="center"/>
              <w:rPr>
                <w:sz w:val="22"/>
                <w:szCs w:val="22"/>
              </w:rPr>
            </w:pPr>
            <w:r>
              <w:rPr>
                <w:rFonts w:hint="eastAsia"/>
                <w:sz w:val="22"/>
                <w:szCs w:val="22"/>
              </w:rPr>
              <w:t>类型</w:t>
            </w:r>
          </w:p>
        </w:tc>
        <w:tc>
          <w:tcPr>
            <w:tcW w:w="1279" w:type="dxa"/>
            <w:vAlign w:val="center"/>
          </w:tcPr>
          <w:p w14:paraId="6B0F1E46">
            <w:pPr>
              <w:adjustRightInd w:val="0"/>
              <w:snapToGrid w:val="0"/>
              <w:jc w:val="center"/>
              <w:rPr>
                <w:sz w:val="22"/>
                <w:szCs w:val="22"/>
              </w:rPr>
            </w:pPr>
            <w:r>
              <w:rPr>
                <w:rFonts w:hint="eastAsia"/>
                <w:sz w:val="22"/>
                <w:szCs w:val="22"/>
              </w:rPr>
              <w:t>治理项目</w:t>
            </w:r>
          </w:p>
        </w:tc>
        <w:tc>
          <w:tcPr>
            <w:tcW w:w="5123" w:type="dxa"/>
            <w:vAlign w:val="center"/>
          </w:tcPr>
          <w:p w14:paraId="3E095BB1">
            <w:pPr>
              <w:adjustRightInd w:val="0"/>
              <w:snapToGrid w:val="0"/>
              <w:jc w:val="center"/>
              <w:rPr>
                <w:sz w:val="22"/>
                <w:szCs w:val="22"/>
              </w:rPr>
            </w:pPr>
            <w:r>
              <w:rPr>
                <w:rFonts w:hint="eastAsia"/>
                <w:sz w:val="22"/>
                <w:szCs w:val="22"/>
              </w:rPr>
              <w:t>治理措施</w:t>
            </w:r>
          </w:p>
        </w:tc>
        <w:tc>
          <w:tcPr>
            <w:tcW w:w="792" w:type="dxa"/>
            <w:vAlign w:val="center"/>
          </w:tcPr>
          <w:p w14:paraId="080F5D50">
            <w:pPr>
              <w:adjustRightInd w:val="0"/>
              <w:snapToGrid w:val="0"/>
              <w:jc w:val="center"/>
              <w:rPr>
                <w:sz w:val="22"/>
                <w:szCs w:val="22"/>
              </w:rPr>
            </w:pPr>
            <w:r>
              <w:rPr>
                <w:rFonts w:hint="eastAsia"/>
                <w:sz w:val="22"/>
                <w:szCs w:val="22"/>
              </w:rPr>
              <w:t>投资</w:t>
            </w:r>
          </w:p>
          <w:p w14:paraId="507B6887">
            <w:pPr>
              <w:adjustRightInd w:val="0"/>
              <w:snapToGrid w:val="0"/>
              <w:jc w:val="center"/>
              <w:rPr>
                <w:sz w:val="22"/>
                <w:szCs w:val="22"/>
              </w:rPr>
            </w:pPr>
            <w:r>
              <w:rPr>
                <w:rFonts w:hint="eastAsia"/>
                <w:sz w:val="22"/>
                <w:szCs w:val="22"/>
              </w:rPr>
              <w:t>(万元)</w:t>
            </w:r>
          </w:p>
        </w:tc>
      </w:tr>
      <w:tr w14:paraId="1B25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restart"/>
            <w:vAlign w:val="center"/>
          </w:tcPr>
          <w:p w14:paraId="4707F70B">
            <w:pPr>
              <w:adjustRightInd w:val="0"/>
              <w:snapToGrid w:val="0"/>
              <w:jc w:val="center"/>
              <w:rPr>
                <w:sz w:val="22"/>
                <w:szCs w:val="22"/>
              </w:rPr>
            </w:pPr>
            <w:r>
              <w:rPr>
                <w:rFonts w:hint="eastAsia"/>
                <w:sz w:val="22"/>
                <w:szCs w:val="22"/>
              </w:rPr>
              <w:t>施</w:t>
            </w:r>
          </w:p>
          <w:p w14:paraId="179D4D45">
            <w:pPr>
              <w:adjustRightInd w:val="0"/>
              <w:snapToGrid w:val="0"/>
              <w:jc w:val="center"/>
              <w:rPr>
                <w:sz w:val="22"/>
                <w:szCs w:val="22"/>
              </w:rPr>
            </w:pPr>
            <w:r>
              <w:rPr>
                <w:rFonts w:hint="eastAsia"/>
                <w:sz w:val="22"/>
                <w:szCs w:val="22"/>
              </w:rPr>
              <w:t>工</w:t>
            </w:r>
          </w:p>
          <w:p w14:paraId="08AA159B">
            <w:pPr>
              <w:adjustRightInd w:val="0"/>
              <w:snapToGrid w:val="0"/>
              <w:jc w:val="center"/>
              <w:rPr>
                <w:sz w:val="22"/>
                <w:szCs w:val="22"/>
              </w:rPr>
            </w:pPr>
            <w:r>
              <w:rPr>
                <w:rFonts w:hint="eastAsia"/>
                <w:sz w:val="22"/>
                <w:szCs w:val="22"/>
              </w:rPr>
              <w:t>期</w:t>
            </w:r>
          </w:p>
        </w:tc>
        <w:tc>
          <w:tcPr>
            <w:tcW w:w="711" w:type="dxa"/>
            <w:vAlign w:val="center"/>
          </w:tcPr>
          <w:p w14:paraId="000B7E01">
            <w:pPr>
              <w:adjustRightInd w:val="0"/>
              <w:snapToGrid w:val="0"/>
              <w:jc w:val="center"/>
              <w:rPr>
                <w:sz w:val="22"/>
                <w:szCs w:val="22"/>
              </w:rPr>
            </w:pPr>
            <w:r>
              <w:rPr>
                <w:rFonts w:hint="eastAsia"/>
                <w:sz w:val="22"/>
                <w:szCs w:val="22"/>
              </w:rPr>
              <w:t>废气</w:t>
            </w:r>
          </w:p>
        </w:tc>
        <w:tc>
          <w:tcPr>
            <w:tcW w:w="1279" w:type="dxa"/>
            <w:vAlign w:val="center"/>
          </w:tcPr>
          <w:p w14:paraId="53EDA3A9">
            <w:pPr>
              <w:adjustRightInd w:val="0"/>
              <w:snapToGrid w:val="0"/>
              <w:jc w:val="center"/>
              <w:rPr>
                <w:sz w:val="22"/>
                <w:szCs w:val="22"/>
              </w:rPr>
            </w:pPr>
            <w:r>
              <w:rPr>
                <w:rFonts w:hint="eastAsia"/>
                <w:sz w:val="22"/>
                <w:szCs w:val="22"/>
              </w:rPr>
              <w:t>扬尘、尾气、焊接烟尘</w:t>
            </w:r>
          </w:p>
        </w:tc>
        <w:tc>
          <w:tcPr>
            <w:tcW w:w="5123" w:type="dxa"/>
            <w:vAlign w:val="center"/>
          </w:tcPr>
          <w:p w14:paraId="5EAC662E">
            <w:pPr>
              <w:pStyle w:val="687"/>
              <w:jc w:val="both"/>
            </w:pPr>
            <w:r>
              <w:rPr>
                <w:rFonts w:hint="eastAsia"/>
              </w:rPr>
              <w:t>加强施工场地内的洒水抑尘；挖方及时回填，临时土方做好防尘措施，优选优质环保的工程设备和燃油，加强对施工机械、车辆的维修保养；使用环保焊条。</w:t>
            </w:r>
          </w:p>
        </w:tc>
        <w:tc>
          <w:tcPr>
            <w:tcW w:w="792" w:type="dxa"/>
          </w:tcPr>
          <w:p w14:paraId="16D8EDBF">
            <w:pPr>
              <w:adjustRightInd w:val="0"/>
              <w:snapToGrid w:val="0"/>
              <w:jc w:val="center"/>
              <w:rPr>
                <w:sz w:val="22"/>
                <w:szCs w:val="22"/>
              </w:rPr>
            </w:pPr>
            <w:r>
              <w:t>***</w:t>
            </w:r>
          </w:p>
        </w:tc>
      </w:tr>
      <w:tr w14:paraId="6078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071D7E26">
            <w:pPr>
              <w:adjustRightInd w:val="0"/>
              <w:snapToGrid w:val="0"/>
              <w:jc w:val="center"/>
              <w:rPr>
                <w:sz w:val="22"/>
                <w:szCs w:val="22"/>
              </w:rPr>
            </w:pPr>
          </w:p>
        </w:tc>
        <w:tc>
          <w:tcPr>
            <w:tcW w:w="711" w:type="dxa"/>
            <w:vMerge w:val="restart"/>
            <w:vAlign w:val="center"/>
          </w:tcPr>
          <w:p w14:paraId="117D2C2F">
            <w:pPr>
              <w:adjustRightInd w:val="0"/>
              <w:snapToGrid w:val="0"/>
              <w:jc w:val="center"/>
              <w:rPr>
                <w:sz w:val="22"/>
                <w:szCs w:val="22"/>
              </w:rPr>
            </w:pPr>
            <w:r>
              <w:rPr>
                <w:rFonts w:hint="eastAsia"/>
                <w:sz w:val="22"/>
                <w:szCs w:val="22"/>
              </w:rPr>
              <w:t>废水</w:t>
            </w:r>
          </w:p>
        </w:tc>
        <w:tc>
          <w:tcPr>
            <w:tcW w:w="1279" w:type="dxa"/>
            <w:vAlign w:val="center"/>
          </w:tcPr>
          <w:p w14:paraId="0A14B948">
            <w:pPr>
              <w:adjustRightInd w:val="0"/>
              <w:snapToGrid w:val="0"/>
              <w:jc w:val="center"/>
              <w:rPr>
                <w:sz w:val="22"/>
                <w:szCs w:val="22"/>
              </w:rPr>
            </w:pPr>
            <w:r>
              <w:rPr>
                <w:rFonts w:hint="eastAsia"/>
                <w:sz w:val="22"/>
                <w:szCs w:val="22"/>
              </w:rPr>
              <w:t>施工废水</w:t>
            </w:r>
          </w:p>
        </w:tc>
        <w:tc>
          <w:tcPr>
            <w:tcW w:w="5123" w:type="dxa"/>
            <w:vAlign w:val="center"/>
          </w:tcPr>
          <w:p w14:paraId="5814A718">
            <w:pPr>
              <w:pStyle w:val="687"/>
            </w:pPr>
            <w:r>
              <w:rPr>
                <w:rFonts w:hint="eastAsia"/>
              </w:rPr>
              <w:t>在施工场地设置临时沉砂池，对施工废水集中收集作简单沉淀处理后，用于场地洒水抑尘，不外排。</w:t>
            </w:r>
          </w:p>
        </w:tc>
        <w:tc>
          <w:tcPr>
            <w:tcW w:w="792" w:type="dxa"/>
          </w:tcPr>
          <w:p w14:paraId="2B5B1671">
            <w:pPr>
              <w:adjustRightInd w:val="0"/>
              <w:snapToGrid w:val="0"/>
              <w:jc w:val="center"/>
              <w:rPr>
                <w:sz w:val="22"/>
                <w:szCs w:val="22"/>
              </w:rPr>
            </w:pPr>
            <w:r>
              <w:t>***</w:t>
            </w:r>
          </w:p>
        </w:tc>
      </w:tr>
      <w:tr w14:paraId="5A37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11C1098B">
            <w:pPr>
              <w:adjustRightInd w:val="0"/>
              <w:snapToGrid w:val="0"/>
              <w:jc w:val="center"/>
              <w:rPr>
                <w:sz w:val="22"/>
                <w:szCs w:val="22"/>
              </w:rPr>
            </w:pPr>
          </w:p>
        </w:tc>
        <w:tc>
          <w:tcPr>
            <w:tcW w:w="711" w:type="dxa"/>
            <w:vMerge w:val="continue"/>
            <w:vAlign w:val="center"/>
          </w:tcPr>
          <w:p w14:paraId="3597C422">
            <w:pPr>
              <w:adjustRightInd w:val="0"/>
              <w:snapToGrid w:val="0"/>
              <w:jc w:val="center"/>
              <w:rPr>
                <w:sz w:val="22"/>
                <w:szCs w:val="22"/>
              </w:rPr>
            </w:pPr>
          </w:p>
        </w:tc>
        <w:tc>
          <w:tcPr>
            <w:tcW w:w="1279" w:type="dxa"/>
            <w:vAlign w:val="center"/>
          </w:tcPr>
          <w:p w14:paraId="1A4C0D64">
            <w:pPr>
              <w:adjustRightInd w:val="0"/>
              <w:snapToGrid w:val="0"/>
              <w:jc w:val="center"/>
              <w:rPr>
                <w:sz w:val="22"/>
                <w:szCs w:val="22"/>
              </w:rPr>
            </w:pPr>
            <w:r>
              <w:rPr>
                <w:rFonts w:hint="eastAsia"/>
                <w:sz w:val="22"/>
                <w:szCs w:val="22"/>
              </w:rPr>
              <w:t>管道试压水</w:t>
            </w:r>
          </w:p>
        </w:tc>
        <w:tc>
          <w:tcPr>
            <w:tcW w:w="5123" w:type="dxa"/>
            <w:vAlign w:val="center"/>
          </w:tcPr>
          <w:p w14:paraId="72AA8247">
            <w:pPr>
              <w:pStyle w:val="687"/>
            </w:pPr>
            <w:r>
              <w:rPr>
                <w:rFonts w:hint="eastAsia"/>
              </w:rPr>
              <w:t>进行简单沉淀后，用于区域洒水抑尘和绿化用水。</w:t>
            </w:r>
          </w:p>
        </w:tc>
        <w:tc>
          <w:tcPr>
            <w:tcW w:w="792" w:type="dxa"/>
          </w:tcPr>
          <w:p w14:paraId="1254CC8A">
            <w:pPr>
              <w:adjustRightInd w:val="0"/>
              <w:snapToGrid w:val="0"/>
              <w:jc w:val="center"/>
              <w:rPr>
                <w:sz w:val="22"/>
                <w:szCs w:val="22"/>
              </w:rPr>
            </w:pPr>
            <w:r>
              <w:t>***</w:t>
            </w:r>
          </w:p>
        </w:tc>
      </w:tr>
      <w:tr w14:paraId="06CD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208C7C4F">
            <w:pPr>
              <w:adjustRightInd w:val="0"/>
              <w:snapToGrid w:val="0"/>
              <w:jc w:val="center"/>
              <w:rPr>
                <w:sz w:val="22"/>
                <w:szCs w:val="22"/>
              </w:rPr>
            </w:pPr>
          </w:p>
        </w:tc>
        <w:tc>
          <w:tcPr>
            <w:tcW w:w="711" w:type="dxa"/>
            <w:vMerge w:val="continue"/>
            <w:vAlign w:val="center"/>
          </w:tcPr>
          <w:p w14:paraId="48899E1E">
            <w:pPr>
              <w:adjustRightInd w:val="0"/>
              <w:snapToGrid w:val="0"/>
              <w:jc w:val="center"/>
              <w:rPr>
                <w:sz w:val="22"/>
                <w:szCs w:val="22"/>
              </w:rPr>
            </w:pPr>
          </w:p>
        </w:tc>
        <w:tc>
          <w:tcPr>
            <w:tcW w:w="1279" w:type="dxa"/>
            <w:vAlign w:val="center"/>
          </w:tcPr>
          <w:p w14:paraId="6283C04F">
            <w:pPr>
              <w:adjustRightInd w:val="0"/>
              <w:snapToGrid w:val="0"/>
              <w:jc w:val="center"/>
              <w:rPr>
                <w:sz w:val="22"/>
                <w:szCs w:val="22"/>
              </w:rPr>
            </w:pPr>
            <w:r>
              <w:rPr>
                <w:rFonts w:hint="eastAsia"/>
                <w:sz w:val="22"/>
                <w:szCs w:val="22"/>
              </w:rPr>
              <w:t>生活污水</w:t>
            </w:r>
          </w:p>
        </w:tc>
        <w:tc>
          <w:tcPr>
            <w:tcW w:w="5123" w:type="dxa"/>
            <w:vAlign w:val="center"/>
          </w:tcPr>
          <w:p w14:paraId="7375879D">
            <w:pPr>
              <w:pStyle w:val="687"/>
            </w:pPr>
            <w:r>
              <w:rPr>
                <w:rFonts w:hint="eastAsia"/>
              </w:rPr>
              <w:t>依托附近居民厕所以及所住旅馆厕所处置，不外排。</w:t>
            </w:r>
          </w:p>
        </w:tc>
        <w:tc>
          <w:tcPr>
            <w:tcW w:w="792" w:type="dxa"/>
          </w:tcPr>
          <w:p w14:paraId="7EE087F8">
            <w:pPr>
              <w:adjustRightInd w:val="0"/>
              <w:snapToGrid w:val="0"/>
              <w:jc w:val="center"/>
              <w:rPr>
                <w:sz w:val="22"/>
                <w:szCs w:val="22"/>
              </w:rPr>
            </w:pPr>
            <w:r>
              <w:t>***</w:t>
            </w:r>
          </w:p>
        </w:tc>
      </w:tr>
      <w:tr w14:paraId="06293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08F87C91">
            <w:pPr>
              <w:adjustRightInd w:val="0"/>
              <w:snapToGrid w:val="0"/>
              <w:jc w:val="center"/>
              <w:rPr>
                <w:sz w:val="22"/>
                <w:szCs w:val="22"/>
              </w:rPr>
            </w:pPr>
          </w:p>
        </w:tc>
        <w:tc>
          <w:tcPr>
            <w:tcW w:w="711" w:type="dxa"/>
            <w:vAlign w:val="center"/>
          </w:tcPr>
          <w:p w14:paraId="3FCF86AA">
            <w:pPr>
              <w:adjustRightInd w:val="0"/>
              <w:snapToGrid w:val="0"/>
              <w:jc w:val="center"/>
              <w:rPr>
                <w:sz w:val="22"/>
                <w:szCs w:val="22"/>
              </w:rPr>
            </w:pPr>
            <w:r>
              <w:rPr>
                <w:rFonts w:hint="eastAsia"/>
                <w:sz w:val="22"/>
                <w:szCs w:val="22"/>
              </w:rPr>
              <w:t>噪声</w:t>
            </w:r>
          </w:p>
        </w:tc>
        <w:tc>
          <w:tcPr>
            <w:tcW w:w="1279" w:type="dxa"/>
            <w:vAlign w:val="center"/>
          </w:tcPr>
          <w:p w14:paraId="176E063F">
            <w:pPr>
              <w:adjustRightInd w:val="0"/>
              <w:snapToGrid w:val="0"/>
              <w:jc w:val="center"/>
              <w:rPr>
                <w:sz w:val="22"/>
                <w:szCs w:val="22"/>
              </w:rPr>
            </w:pPr>
            <w:r>
              <w:rPr>
                <w:rFonts w:hint="eastAsia"/>
                <w:sz w:val="22"/>
                <w:szCs w:val="22"/>
              </w:rPr>
              <w:t>施工噪声</w:t>
            </w:r>
          </w:p>
        </w:tc>
        <w:tc>
          <w:tcPr>
            <w:tcW w:w="5123" w:type="dxa"/>
            <w:vAlign w:val="center"/>
          </w:tcPr>
          <w:p w14:paraId="72F2543C">
            <w:pPr>
              <w:pStyle w:val="687"/>
            </w:pPr>
            <w:r>
              <w:rPr>
                <w:rFonts w:hint="eastAsia"/>
              </w:rPr>
              <w:t>选取低噪声设备，加强施工机械的日常维护保养；合理安排施工时间，在场地内对施工机械合理布置。</w:t>
            </w:r>
          </w:p>
        </w:tc>
        <w:tc>
          <w:tcPr>
            <w:tcW w:w="792" w:type="dxa"/>
          </w:tcPr>
          <w:p w14:paraId="55966839">
            <w:pPr>
              <w:adjustRightInd w:val="0"/>
              <w:snapToGrid w:val="0"/>
              <w:jc w:val="center"/>
              <w:rPr>
                <w:sz w:val="22"/>
                <w:szCs w:val="22"/>
              </w:rPr>
            </w:pPr>
            <w:r>
              <w:t>***</w:t>
            </w:r>
          </w:p>
        </w:tc>
      </w:tr>
      <w:tr w14:paraId="72B7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765F345A">
            <w:pPr>
              <w:adjustRightInd w:val="0"/>
              <w:snapToGrid w:val="0"/>
              <w:jc w:val="center"/>
              <w:rPr>
                <w:sz w:val="22"/>
                <w:szCs w:val="22"/>
              </w:rPr>
            </w:pPr>
          </w:p>
        </w:tc>
        <w:tc>
          <w:tcPr>
            <w:tcW w:w="711" w:type="dxa"/>
            <w:vMerge w:val="restart"/>
            <w:vAlign w:val="center"/>
          </w:tcPr>
          <w:p w14:paraId="3D6869BD">
            <w:pPr>
              <w:adjustRightInd w:val="0"/>
              <w:snapToGrid w:val="0"/>
              <w:jc w:val="center"/>
              <w:rPr>
                <w:sz w:val="22"/>
                <w:szCs w:val="22"/>
              </w:rPr>
            </w:pPr>
            <w:r>
              <w:rPr>
                <w:rFonts w:hint="eastAsia"/>
                <w:sz w:val="22"/>
                <w:szCs w:val="22"/>
              </w:rPr>
              <w:t>固体废物</w:t>
            </w:r>
          </w:p>
        </w:tc>
        <w:tc>
          <w:tcPr>
            <w:tcW w:w="1279" w:type="dxa"/>
            <w:vAlign w:val="center"/>
          </w:tcPr>
          <w:p w14:paraId="69AD5A0A">
            <w:pPr>
              <w:adjustRightInd w:val="0"/>
              <w:snapToGrid w:val="0"/>
              <w:jc w:val="center"/>
              <w:rPr>
                <w:sz w:val="22"/>
                <w:szCs w:val="22"/>
              </w:rPr>
            </w:pPr>
            <w:r>
              <w:rPr>
                <w:rFonts w:hint="eastAsia"/>
                <w:sz w:val="22"/>
                <w:szCs w:val="22"/>
              </w:rPr>
              <w:t>施工废料</w:t>
            </w:r>
          </w:p>
        </w:tc>
        <w:tc>
          <w:tcPr>
            <w:tcW w:w="5123" w:type="dxa"/>
            <w:vAlign w:val="center"/>
          </w:tcPr>
          <w:p w14:paraId="3A641E6E">
            <w:pPr>
              <w:pStyle w:val="687"/>
            </w:pPr>
            <w:r>
              <w:rPr>
                <w:rFonts w:hint="eastAsia"/>
              </w:rPr>
              <w:t>可回收施工废料可由施工单位回收或外售废品回收站回收处置，不可回收施工废料收集后送当地建筑渣场处置。</w:t>
            </w:r>
          </w:p>
        </w:tc>
        <w:tc>
          <w:tcPr>
            <w:tcW w:w="792" w:type="dxa"/>
          </w:tcPr>
          <w:p w14:paraId="2DF031E9">
            <w:pPr>
              <w:adjustRightInd w:val="0"/>
              <w:snapToGrid w:val="0"/>
              <w:jc w:val="center"/>
              <w:rPr>
                <w:sz w:val="22"/>
                <w:szCs w:val="22"/>
              </w:rPr>
            </w:pPr>
            <w:r>
              <w:t>***</w:t>
            </w:r>
          </w:p>
        </w:tc>
      </w:tr>
      <w:tr w14:paraId="4F27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063E4044">
            <w:pPr>
              <w:adjustRightInd w:val="0"/>
              <w:snapToGrid w:val="0"/>
              <w:jc w:val="center"/>
              <w:rPr>
                <w:sz w:val="22"/>
                <w:szCs w:val="22"/>
              </w:rPr>
            </w:pPr>
          </w:p>
        </w:tc>
        <w:tc>
          <w:tcPr>
            <w:tcW w:w="711" w:type="dxa"/>
            <w:vMerge w:val="continue"/>
            <w:vAlign w:val="center"/>
          </w:tcPr>
          <w:p w14:paraId="1D3433EB">
            <w:pPr>
              <w:adjustRightInd w:val="0"/>
              <w:snapToGrid w:val="0"/>
              <w:jc w:val="center"/>
              <w:rPr>
                <w:sz w:val="22"/>
                <w:szCs w:val="22"/>
              </w:rPr>
            </w:pPr>
          </w:p>
        </w:tc>
        <w:tc>
          <w:tcPr>
            <w:tcW w:w="1279" w:type="dxa"/>
            <w:vAlign w:val="center"/>
          </w:tcPr>
          <w:p w14:paraId="76B86F39">
            <w:pPr>
              <w:adjustRightInd w:val="0"/>
              <w:snapToGrid w:val="0"/>
              <w:jc w:val="center"/>
              <w:rPr>
                <w:sz w:val="22"/>
                <w:szCs w:val="22"/>
              </w:rPr>
            </w:pPr>
            <w:r>
              <w:rPr>
                <w:rFonts w:hint="eastAsia"/>
                <w:sz w:val="22"/>
                <w:szCs w:val="22"/>
              </w:rPr>
              <w:t>生活垃圾</w:t>
            </w:r>
          </w:p>
        </w:tc>
        <w:tc>
          <w:tcPr>
            <w:tcW w:w="5123" w:type="dxa"/>
            <w:vAlign w:val="center"/>
          </w:tcPr>
          <w:p w14:paraId="1C8FC808">
            <w:pPr>
              <w:pStyle w:val="687"/>
            </w:pPr>
            <w:r>
              <w:rPr>
                <w:rFonts w:hint="eastAsia"/>
              </w:rPr>
              <w:t>平台内设置临时垃圾箱，生活垃圾分类收集后，交当地环卫部门处置。</w:t>
            </w:r>
          </w:p>
        </w:tc>
        <w:tc>
          <w:tcPr>
            <w:tcW w:w="792" w:type="dxa"/>
          </w:tcPr>
          <w:p w14:paraId="52F9AB27">
            <w:pPr>
              <w:adjustRightInd w:val="0"/>
              <w:snapToGrid w:val="0"/>
              <w:jc w:val="center"/>
              <w:rPr>
                <w:sz w:val="22"/>
                <w:szCs w:val="22"/>
              </w:rPr>
            </w:pPr>
            <w:r>
              <w:t>***</w:t>
            </w:r>
          </w:p>
        </w:tc>
      </w:tr>
      <w:tr w14:paraId="25DC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48A087D5">
            <w:pPr>
              <w:adjustRightInd w:val="0"/>
              <w:snapToGrid w:val="0"/>
              <w:jc w:val="center"/>
              <w:rPr>
                <w:sz w:val="22"/>
                <w:szCs w:val="22"/>
              </w:rPr>
            </w:pPr>
          </w:p>
        </w:tc>
        <w:tc>
          <w:tcPr>
            <w:tcW w:w="711" w:type="dxa"/>
            <w:vMerge w:val="restart"/>
            <w:vAlign w:val="center"/>
          </w:tcPr>
          <w:p w14:paraId="5187E160">
            <w:pPr>
              <w:adjustRightInd w:val="0"/>
              <w:snapToGrid w:val="0"/>
              <w:jc w:val="center"/>
              <w:rPr>
                <w:sz w:val="22"/>
                <w:szCs w:val="22"/>
              </w:rPr>
            </w:pPr>
            <w:r>
              <w:rPr>
                <w:rFonts w:hint="eastAsia"/>
                <w:sz w:val="22"/>
                <w:szCs w:val="22"/>
              </w:rPr>
              <w:t>生态环境</w:t>
            </w:r>
          </w:p>
        </w:tc>
        <w:tc>
          <w:tcPr>
            <w:tcW w:w="1279" w:type="dxa"/>
            <w:vAlign w:val="center"/>
          </w:tcPr>
          <w:p w14:paraId="64DE0866">
            <w:pPr>
              <w:adjustRightInd w:val="0"/>
              <w:snapToGrid w:val="0"/>
              <w:jc w:val="center"/>
              <w:rPr>
                <w:sz w:val="22"/>
                <w:szCs w:val="22"/>
              </w:rPr>
            </w:pPr>
            <w:r>
              <w:rPr>
                <w:rFonts w:hint="eastAsia"/>
                <w:sz w:val="22"/>
                <w:szCs w:val="22"/>
              </w:rPr>
              <w:t>植被保护</w:t>
            </w:r>
          </w:p>
        </w:tc>
        <w:tc>
          <w:tcPr>
            <w:tcW w:w="5123" w:type="dxa"/>
            <w:vAlign w:val="center"/>
          </w:tcPr>
          <w:p w14:paraId="34F519CE">
            <w:pPr>
              <w:pStyle w:val="687"/>
            </w:pPr>
            <w:r>
              <w:rPr>
                <w:rFonts w:hint="eastAsia"/>
              </w:rPr>
              <w:t>严禁随意砍伐树木、践踏农作物和植被。</w:t>
            </w:r>
          </w:p>
        </w:tc>
        <w:tc>
          <w:tcPr>
            <w:tcW w:w="792" w:type="dxa"/>
          </w:tcPr>
          <w:p w14:paraId="39EBCB21">
            <w:pPr>
              <w:adjustRightInd w:val="0"/>
              <w:snapToGrid w:val="0"/>
              <w:jc w:val="center"/>
              <w:rPr>
                <w:sz w:val="22"/>
                <w:szCs w:val="22"/>
              </w:rPr>
            </w:pPr>
            <w:r>
              <w:t>***</w:t>
            </w:r>
          </w:p>
        </w:tc>
      </w:tr>
      <w:tr w14:paraId="722B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168AB26D">
            <w:pPr>
              <w:adjustRightInd w:val="0"/>
              <w:snapToGrid w:val="0"/>
              <w:jc w:val="center"/>
              <w:rPr>
                <w:sz w:val="22"/>
                <w:szCs w:val="22"/>
              </w:rPr>
            </w:pPr>
          </w:p>
        </w:tc>
        <w:tc>
          <w:tcPr>
            <w:tcW w:w="711" w:type="dxa"/>
            <w:vMerge w:val="continue"/>
            <w:vAlign w:val="center"/>
          </w:tcPr>
          <w:p w14:paraId="61EBC115">
            <w:pPr>
              <w:adjustRightInd w:val="0"/>
              <w:snapToGrid w:val="0"/>
              <w:jc w:val="center"/>
              <w:rPr>
                <w:sz w:val="22"/>
                <w:szCs w:val="22"/>
              </w:rPr>
            </w:pPr>
          </w:p>
        </w:tc>
        <w:tc>
          <w:tcPr>
            <w:tcW w:w="1279" w:type="dxa"/>
            <w:vAlign w:val="center"/>
          </w:tcPr>
          <w:p w14:paraId="2C5B3964">
            <w:pPr>
              <w:adjustRightInd w:val="0"/>
              <w:snapToGrid w:val="0"/>
              <w:jc w:val="center"/>
              <w:rPr>
                <w:sz w:val="22"/>
                <w:szCs w:val="22"/>
              </w:rPr>
            </w:pPr>
            <w:r>
              <w:rPr>
                <w:rFonts w:hint="eastAsia"/>
                <w:sz w:val="22"/>
                <w:szCs w:val="22"/>
              </w:rPr>
              <w:t>水土保持</w:t>
            </w:r>
          </w:p>
        </w:tc>
        <w:tc>
          <w:tcPr>
            <w:tcW w:w="5123" w:type="dxa"/>
            <w:vAlign w:val="center"/>
          </w:tcPr>
          <w:p w14:paraId="42B58759">
            <w:pPr>
              <w:pStyle w:val="687"/>
            </w:pPr>
            <w:r>
              <w:rPr>
                <w:rFonts w:hint="eastAsia"/>
              </w:rPr>
              <w:t>尽量避开雨季施工，做好土石方堆存工作。</w:t>
            </w:r>
          </w:p>
        </w:tc>
        <w:tc>
          <w:tcPr>
            <w:tcW w:w="792" w:type="dxa"/>
          </w:tcPr>
          <w:p w14:paraId="491628E3">
            <w:pPr>
              <w:adjustRightInd w:val="0"/>
              <w:snapToGrid w:val="0"/>
              <w:jc w:val="center"/>
              <w:rPr>
                <w:sz w:val="22"/>
                <w:szCs w:val="22"/>
              </w:rPr>
            </w:pPr>
            <w:r>
              <w:t>***</w:t>
            </w:r>
          </w:p>
        </w:tc>
      </w:tr>
      <w:tr w14:paraId="52B5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restart"/>
            <w:vAlign w:val="center"/>
          </w:tcPr>
          <w:p w14:paraId="08AF911A">
            <w:pPr>
              <w:adjustRightInd w:val="0"/>
              <w:snapToGrid w:val="0"/>
              <w:jc w:val="center"/>
              <w:rPr>
                <w:sz w:val="22"/>
                <w:szCs w:val="22"/>
              </w:rPr>
            </w:pPr>
            <w:r>
              <w:rPr>
                <w:rFonts w:hint="eastAsia"/>
                <w:sz w:val="22"/>
                <w:szCs w:val="22"/>
              </w:rPr>
              <w:t>试采期</w:t>
            </w:r>
          </w:p>
        </w:tc>
        <w:tc>
          <w:tcPr>
            <w:tcW w:w="711" w:type="dxa"/>
            <w:vMerge w:val="restart"/>
            <w:vAlign w:val="center"/>
          </w:tcPr>
          <w:p w14:paraId="525E520F">
            <w:pPr>
              <w:adjustRightInd w:val="0"/>
              <w:snapToGrid w:val="0"/>
              <w:jc w:val="center"/>
              <w:rPr>
                <w:sz w:val="22"/>
                <w:szCs w:val="22"/>
              </w:rPr>
            </w:pPr>
            <w:r>
              <w:rPr>
                <w:rFonts w:hint="eastAsia"/>
                <w:sz w:val="22"/>
                <w:szCs w:val="22"/>
              </w:rPr>
              <w:t>废气</w:t>
            </w:r>
          </w:p>
        </w:tc>
        <w:tc>
          <w:tcPr>
            <w:tcW w:w="1279" w:type="dxa"/>
            <w:vAlign w:val="center"/>
          </w:tcPr>
          <w:p w14:paraId="077EEB76">
            <w:pPr>
              <w:adjustRightInd w:val="0"/>
              <w:snapToGrid w:val="0"/>
              <w:jc w:val="center"/>
              <w:rPr>
                <w:sz w:val="22"/>
                <w:szCs w:val="22"/>
              </w:rPr>
            </w:pPr>
            <w:r>
              <w:rPr>
                <w:rFonts w:hint="eastAsia"/>
                <w:sz w:val="22"/>
                <w:szCs w:val="22"/>
              </w:rPr>
              <w:t>水套加热炉燃烧废气</w:t>
            </w:r>
          </w:p>
        </w:tc>
        <w:tc>
          <w:tcPr>
            <w:tcW w:w="5123" w:type="dxa"/>
            <w:vAlign w:val="center"/>
          </w:tcPr>
          <w:p w14:paraId="2B1BB176">
            <w:pPr>
              <w:pStyle w:val="687"/>
            </w:pPr>
            <w:r>
              <w:rPr>
                <w:rFonts w:hint="eastAsia"/>
              </w:rPr>
              <w:t>水套加热炉燃烧废气经自带高8m排气筒排放。</w:t>
            </w:r>
          </w:p>
        </w:tc>
        <w:tc>
          <w:tcPr>
            <w:tcW w:w="792" w:type="dxa"/>
          </w:tcPr>
          <w:p w14:paraId="6073BA0E">
            <w:pPr>
              <w:adjustRightInd w:val="0"/>
              <w:snapToGrid w:val="0"/>
              <w:jc w:val="center"/>
              <w:rPr>
                <w:sz w:val="22"/>
                <w:szCs w:val="22"/>
              </w:rPr>
            </w:pPr>
            <w:r>
              <w:t>***</w:t>
            </w:r>
          </w:p>
        </w:tc>
      </w:tr>
      <w:tr w14:paraId="284E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1D1A5756">
            <w:pPr>
              <w:adjustRightInd w:val="0"/>
              <w:snapToGrid w:val="0"/>
              <w:jc w:val="center"/>
              <w:rPr>
                <w:sz w:val="22"/>
                <w:szCs w:val="22"/>
              </w:rPr>
            </w:pPr>
          </w:p>
        </w:tc>
        <w:tc>
          <w:tcPr>
            <w:tcW w:w="711" w:type="dxa"/>
            <w:vMerge w:val="continue"/>
            <w:vAlign w:val="center"/>
          </w:tcPr>
          <w:p w14:paraId="16953551">
            <w:pPr>
              <w:adjustRightInd w:val="0"/>
              <w:snapToGrid w:val="0"/>
              <w:jc w:val="center"/>
              <w:rPr>
                <w:sz w:val="22"/>
                <w:szCs w:val="22"/>
              </w:rPr>
            </w:pPr>
          </w:p>
        </w:tc>
        <w:tc>
          <w:tcPr>
            <w:tcW w:w="1279" w:type="dxa"/>
            <w:vAlign w:val="center"/>
          </w:tcPr>
          <w:p w14:paraId="752B2B4E">
            <w:pPr>
              <w:adjustRightInd w:val="0"/>
              <w:snapToGrid w:val="0"/>
              <w:jc w:val="center"/>
              <w:rPr>
                <w:sz w:val="22"/>
                <w:szCs w:val="22"/>
              </w:rPr>
            </w:pPr>
            <w:r>
              <w:rPr>
                <w:rFonts w:hint="eastAsia"/>
                <w:sz w:val="22"/>
                <w:szCs w:val="22"/>
              </w:rPr>
              <w:t>凝析油储罐</w:t>
            </w:r>
          </w:p>
        </w:tc>
        <w:tc>
          <w:tcPr>
            <w:tcW w:w="5123" w:type="dxa"/>
            <w:vAlign w:val="center"/>
          </w:tcPr>
          <w:p w14:paraId="14294919">
            <w:pPr>
              <w:pStyle w:val="687"/>
              <w:jc w:val="both"/>
            </w:pPr>
            <w:r>
              <w:rPr>
                <w:rFonts w:hint="eastAsia"/>
              </w:rPr>
              <w:t>通过管道输送至放空立管燃烧排放。</w:t>
            </w:r>
          </w:p>
        </w:tc>
        <w:tc>
          <w:tcPr>
            <w:tcW w:w="792" w:type="dxa"/>
          </w:tcPr>
          <w:p w14:paraId="0EE5FE01">
            <w:pPr>
              <w:adjustRightInd w:val="0"/>
              <w:snapToGrid w:val="0"/>
              <w:jc w:val="center"/>
              <w:rPr>
                <w:sz w:val="22"/>
                <w:szCs w:val="22"/>
              </w:rPr>
            </w:pPr>
            <w:r>
              <w:t>***</w:t>
            </w:r>
          </w:p>
        </w:tc>
      </w:tr>
      <w:tr w14:paraId="6FF6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5A8111BF">
            <w:pPr>
              <w:adjustRightInd w:val="0"/>
              <w:snapToGrid w:val="0"/>
              <w:jc w:val="center"/>
              <w:rPr>
                <w:sz w:val="22"/>
                <w:szCs w:val="22"/>
              </w:rPr>
            </w:pPr>
          </w:p>
        </w:tc>
        <w:tc>
          <w:tcPr>
            <w:tcW w:w="711" w:type="dxa"/>
            <w:vMerge w:val="continue"/>
            <w:vAlign w:val="center"/>
          </w:tcPr>
          <w:p w14:paraId="2492BAD5">
            <w:pPr>
              <w:adjustRightInd w:val="0"/>
              <w:snapToGrid w:val="0"/>
              <w:jc w:val="center"/>
              <w:rPr>
                <w:sz w:val="22"/>
                <w:szCs w:val="22"/>
              </w:rPr>
            </w:pPr>
          </w:p>
        </w:tc>
        <w:tc>
          <w:tcPr>
            <w:tcW w:w="1279" w:type="dxa"/>
            <w:vAlign w:val="center"/>
          </w:tcPr>
          <w:p w14:paraId="2C164D2E">
            <w:pPr>
              <w:adjustRightInd w:val="0"/>
              <w:snapToGrid w:val="0"/>
              <w:jc w:val="center"/>
              <w:rPr>
                <w:sz w:val="22"/>
                <w:szCs w:val="22"/>
              </w:rPr>
            </w:pPr>
            <w:r>
              <w:rPr>
                <w:rFonts w:hint="eastAsia"/>
                <w:sz w:val="22"/>
                <w:szCs w:val="22"/>
              </w:rPr>
              <w:t>平台无组织逸散废气</w:t>
            </w:r>
          </w:p>
        </w:tc>
        <w:tc>
          <w:tcPr>
            <w:tcW w:w="5123" w:type="dxa"/>
            <w:vAlign w:val="center"/>
          </w:tcPr>
          <w:p w14:paraId="6E9BA258">
            <w:pPr>
              <w:pStyle w:val="687"/>
            </w:pPr>
            <w:r>
              <w:rPr>
                <w:bCs/>
              </w:rPr>
              <w:t>选用可靠性高的设备、密封性能好的阀门，保证各连接部位的密封</w:t>
            </w:r>
            <w:r>
              <w:rPr>
                <w:rFonts w:hint="eastAsia"/>
                <w:bCs/>
              </w:rPr>
              <w:t>性。</w:t>
            </w:r>
          </w:p>
        </w:tc>
        <w:tc>
          <w:tcPr>
            <w:tcW w:w="792" w:type="dxa"/>
          </w:tcPr>
          <w:p w14:paraId="63AFF27E">
            <w:pPr>
              <w:adjustRightInd w:val="0"/>
              <w:snapToGrid w:val="0"/>
              <w:jc w:val="center"/>
              <w:rPr>
                <w:sz w:val="22"/>
                <w:szCs w:val="22"/>
              </w:rPr>
            </w:pPr>
            <w:r>
              <w:t>***</w:t>
            </w:r>
          </w:p>
        </w:tc>
      </w:tr>
      <w:tr w14:paraId="5D81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667B2FD7">
            <w:pPr>
              <w:adjustRightInd w:val="0"/>
              <w:snapToGrid w:val="0"/>
              <w:jc w:val="center"/>
              <w:rPr>
                <w:sz w:val="22"/>
                <w:szCs w:val="22"/>
              </w:rPr>
            </w:pPr>
          </w:p>
        </w:tc>
        <w:tc>
          <w:tcPr>
            <w:tcW w:w="711" w:type="dxa"/>
            <w:vMerge w:val="continue"/>
            <w:vAlign w:val="center"/>
          </w:tcPr>
          <w:p w14:paraId="1EE7386E">
            <w:pPr>
              <w:adjustRightInd w:val="0"/>
              <w:snapToGrid w:val="0"/>
              <w:jc w:val="center"/>
              <w:rPr>
                <w:sz w:val="22"/>
                <w:szCs w:val="22"/>
              </w:rPr>
            </w:pPr>
          </w:p>
        </w:tc>
        <w:tc>
          <w:tcPr>
            <w:tcW w:w="1279" w:type="dxa"/>
            <w:vAlign w:val="center"/>
          </w:tcPr>
          <w:p w14:paraId="276C87F7">
            <w:pPr>
              <w:adjustRightInd w:val="0"/>
              <w:snapToGrid w:val="0"/>
              <w:jc w:val="center"/>
              <w:rPr>
                <w:sz w:val="22"/>
                <w:szCs w:val="22"/>
              </w:rPr>
            </w:pPr>
            <w:r>
              <w:rPr>
                <w:rFonts w:hint="eastAsia"/>
                <w:sz w:val="22"/>
                <w:szCs w:val="22"/>
              </w:rPr>
              <w:t>事故、检修放空废气</w:t>
            </w:r>
          </w:p>
        </w:tc>
        <w:tc>
          <w:tcPr>
            <w:tcW w:w="5123" w:type="dxa"/>
            <w:vAlign w:val="center"/>
          </w:tcPr>
          <w:p w14:paraId="09A8C475">
            <w:pPr>
              <w:adjustRightInd w:val="0"/>
              <w:snapToGrid w:val="0"/>
              <w:jc w:val="center"/>
              <w:rPr>
                <w:sz w:val="22"/>
                <w:szCs w:val="22"/>
              </w:rPr>
            </w:pPr>
            <w:r>
              <w:rPr>
                <w:rFonts w:hint="eastAsia"/>
                <w:sz w:val="22"/>
                <w:szCs w:val="22"/>
              </w:rPr>
              <w:t>站场新建1根高1</w:t>
            </w:r>
            <w:r>
              <w:rPr>
                <w:sz w:val="22"/>
                <w:szCs w:val="22"/>
              </w:rPr>
              <w:t>5m</w:t>
            </w:r>
            <w:r>
              <w:rPr>
                <w:rFonts w:hint="eastAsia"/>
                <w:sz w:val="22"/>
                <w:szCs w:val="22"/>
              </w:rPr>
              <w:t>放空管，燃烧排放。</w:t>
            </w:r>
          </w:p>
        </w:tc>
        <w:tc>
          <w:tcPr>
            <w:tcW w:w="792" w:type="dxa"/>
          </w:tcPr>
          <w:p w14:paraId="2A85790C">
            <w:pPr>
              <w:adjustRightInd w:val="0"/>
              <w:snapToGrid w:val="0"/>
              <w:jc w:val="center"/>
              <w:rPr>
                <w:sz w:val="22"/>
                <w:szCs w:val="22"/>
              </w:rPr>
            </w:pPr>
            <w:r>
              <w:t>***</w:t>
            </w:r>
          </w:p>
        </w:tc>
      </w:tr>
      <w:tr w14:paraId="2F598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4ED2D4B8">
            <w:pPr>
              <w:adjustRightInd w:val="0"/>
              <w:snapToGrid w:val="0"/>
              <w:jc w:val="center"/>
              <w:rPr>
                <w:sz w:val="22"/>
                <w:szCs w:val="22"/>
              </w:rPr>
            </w:pPr>
          </w:p>
        </w:tc>
        <w:tc>
          <w:tcPr>
            <w:tcW w:w="711" w:type="dxa"/>
            <w:vMerge w:val="restart"/>
            <w:vAlign w:val="center"/>
          </w:tcPr>
          <w:p w14:paraId="09376C0A">
            <w:pPr>
              <w:adjustRightInd w:val="0"/>
              <w:snapToGrid w:val="0"/>
              <w:jc w:val="center"/>
              <w:rPr>
                <w:sz w:val="22"/>
                <w:szCs w:val="22"/>
              </w:rPr>
            </w:pPr>
            <w:r>
              <w:rPr>
                <w:rFonts w:hint="eastAsia"/>
                <w:sz w:val="22"/>
                <w:szCs w:val="22"/>
              </w:rPr>
              <w:t>废水</w:t>
            </w:r>
          </w:p>
        </w:tc>
        <w:tc>
          <w:tcPr>
            <w:tcW w:w="1279" w:type="dxa"/>
            <w:vAlign w:val="center"/>
          </w:tcPr>
          <w:p w14:paraId="2E388344">
            <w:pPr>
              <w:adjustRightInd w:val="0"/>
              <w:snapToGrid w:val="0"/>
              <w:jc w:val="center"/>
              <w:rPr>
                <w:sz w:val="22"/>
                <w:szCs w:val="22"/>
              </w:rPr>
            </w:pPr>
            <w:r>
              <w:rPr>
                <w:rFonts w:hint="eastAsia"/>
                <w:sz w:val="22"/>
                <w:szCs w:val="22"/>
              </w:rPr>
              <w:t>气田水、放空分离液、分子筛冷凝水。检修废水</w:t>
            </w:r>
          </w:p>
        </w:tc>
        <w:tc>
          <w:tcPr>
            <w:tcW w:w="5123" w:type="dxa"/>
            <w:vAlign w:val="center"/>
          </w:tcPr>
          <w:p w14:paraId="4910940E">
            <w:pPr>
              <w:adjustRightInd w:val="0"/>
              <w:snapToGrid w:val="0"/>
              <w:jc w:val="center"/>
              <w:rPr>
                <w:sz w:val="22"/>
                <w:szCs w:val="22"/>
              </w:rPr>
            </w:pPr>
            <w:r>
              <w:rPr>
                <w:rFonts w:hint="eastAsia"/>
                <w:bCs/>
                <w:sz w:val="22"/>
                <w:szCs w:val="22"/>
              </w:rPr>
              <w:t>暂存于气田水储罐，定期由罐车运输至四川洁安环境科技有限公司油气田废水处理站、四川兴澳环境技术服务有限公司油气井地下水处理站处置，</w:t>
            </w:r>
            <w:r>
              <w:rPr>
                <w:rFonts w:hint="eastAsia"/>
                <w:sz w:val="22"/>
              </w:rPr>
              <w:t>或区域内有合法资质且有处理能力的第三方单位处置</w:t>
            </w:r>
            <w:r>
              <w:rPr>
                <w:rFonts w:hint="eastAsia"/>
                <w:bCs/>
                <w:sz w:val="24"/>
                <w:szCs w:val="22"/>
              </w:rPr>
              <w:t>。</w:t>
            </w:r>
          </w:p>
        </w:tc>
        <w:tc>
          <w:tcPr>
            <w:tcW w:w="792" w:type="dxa"/>
          </w:tcPr>
          <w:p w14:paraId="1C0CBA73">
            <w:pPr>
              <w:adjustRightInd w:val="0"/>
              <w:snapToGrid w:val="0"/>
              <w:jc w:val="center"/>
              <w:rPr>
                <w:sz w:val="22"/>
                <w:szCs w:val="22"/>
              </w:rPr>
            </w:pPr>
            <w:r>
              <w:t>***</w:t>
            </w:r>
          </w:p>
        </w:tc>
      </w:tr>
      <w:tr w14:paraId="46CF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199D96D2">
            <w:pPr>
              <w:adjustRightInd w:val="0"/>
              <w:snapToGrid w:val="0"/>
              <w:jc w:val="center"/>
              <w:rPr>
                <w:sz w:val="22"/>
                <w:szCs w:val="22"/>
              </w:rPr>
            </w:pPr>
          </w:p>
        </w:tc>
        <w:tc>
          <w:tcPr>
            <w:tcW w:w="711" w:type="dxa"/>
            <w:vMerge w:val="continue"/>
            <w:vAlign w:val="center"/>
          </w:tcPr>
          <w:p w14:paraId="4DAFAFC2">
            <w:pPr>
              <w:adjustRightInd w:val="0"/>
              <w:snapToGrid w:val="0"/>
              <w:jc w:val="center"/>
              <w:rPr>
                <w:sz w:val="22"/>
                <w:szCs w:val="22"/>
              </w:rPr>
            </w:pPr>
          </w:p>
        </w:tc>
        <w:tc>
          <w:tcPr>
            <w:tcW w:w="1279" w:type="dxa"/>
            <w:vAlign w:val="center"/>
          </w:tcPr>
          <w:p w14:paraId="67F68B87">
            <w:pPr>
              <w:adjustRightInd w:val="0"/>
              <w:snapToGrid w:val="0"/>
              <w:jc w:val="center"/>
              <w:rPr>
                <w:sz w:val="22"/>
                <w:szCs w:val="22"/>
              </w:rPr>
            </w:pPr>
            <w:r>
              <w:rPr>
                <w:rFonts w:hint="eastAsia"/>
                <w:sz w:val="22"/>
                <w:szCs w:val="22"/>
              </w:rPr>
              <w:t>生活污水</w:t>
            </w:r>
          </w:p>
        </w:tc>
        <w:tc>
          <w:tcPr>
            <w:tcW w:w="5123" w:type="dxa"/>
            <w:vAlign w:val="center"/>
          </w:tcPr>
          <w:p w14:paraId="7853A304">
            <w:pPr>
              <w:adjustRightInd w:val="0"/>
              <w:snapToGrid w:val="0"/>
              <w:jc w:val="center"/>
              <w:rPr>
                <w:sz w:val="22"/>
                <w:szCs w:val="22"/>
              </w:rPr>
            </w:pPr>
            <w:r>
              <w:rPr>
                <w:rFonts w:hint="eastAsia"/>
                <w:sz w:val="22"/>
                <w:szCs w:val="22"/>
              </w:rPr>
              <w:t>生活污水经环保厕所收集处理后，通过吸污车运至当地城镇污水处理厂处理达标后排放。</w:t>
            </w:r>
          </w:p>
        </w:tc>
        <w:tc>
          <w:tcPr>
            <w:tcW w:w="792" w:type="dxa"/>
          </w:tcPr>
          <w:p w14:paraId="3BA1BCA6">
            <w:pPr>
              <w:adjustRightInd w:val="0"/>
              <w:snapToGrid w:val="0"/>
              <w:jc w:val="center"/>
              <w:rPr>
                <w:sz w:val="22"/>
                <w:szCs w:val="22"/>
              </w:rPr>
            </w:pPr>
            <w:r>
              <w:t>***</w:t>
            </w:r>
          </w:p>
        </w:tc>
      </w:tr>
      <w:tr w14:paraId="2040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10D4F7FA">
            <w:pPr>
              <w:adjustRightInd w:val="0"/>
              <w:snapToGrid w:val="0"/>
              <w:jc w:val="center"/>
              <w:rPr>
                <w:sz w:val="22"/>
                <w:szCs w:val="22"/>
              </w:rPr>
            </w:pPr>
          </w:p>
        </w:tc>
        <w:tc>
          <w:tcPr>
            <w:tcW w:w="711" w:type="dxa"/>
            <w:vMerge w:val="restart"/>
            <w:vAlign w:val="center"/>
          </w:tcPr>
          <w:p w14:paraId="5539E8BE">
            <w:pPr>
              <w:adjustRightInd w:val="0"/>
              <w:snapToGrid w:val="0"/>
              <w:jc w:val="center"/>
              <w:rPr>
                <w:sz w:val="22"/>
                <w:szCs w:val="22"/>
              </w:rPr>
            </w:pPr>
            <w:r>
              <w:rPr>
                <w:rFonts w:hint="eastAsia"/>
                <w:sz w:val="22"/>
                <w:szCs w:val="22"/>
              </w:rPr>
              <w:t>噪声</w:t>
            </w:r>
          </w:p>
        </w:tc>
        <w:tc>
          <w:tcPr>
            <w:tcW w:w="1279" w:type="dxa"/>
            <w:vAlign w:val="center"/>
          </w:tcPr>
          <w:p w14:paraId="29A2A055">
            <w:pPr>
              <w:adjustRightInd w:val="0"/>
              <w:snapToGrid w:val="0"/>
              <w:jc w:val="center"/>
              <w:rPr>
                <w:sz w:val="22"/>
                <w:szCs w:val="22"/>
              </w:rPr>
            </w:pPr>
            <w:r>
              <w:rPr>
                <w:rFonts w:hint="eastAsia"/>
                <w:sz w:val="22"/>
                <w:szCs w:val="22"/>
              </w:rPr>
              <w:t>放空噪声</w:t>
            </w:r>
          </w:p>
        </w:tc>
        <w:tc>
          <w:tcPr>
            <w:tcW w:w="5123" w:type="dxa"/>
            <w:vAlign w:val="center"/>
          </w:tcPr>
          <w:p w14:paraId="5EEDB884">
            <w:pPr>
              <w:adjustRightInd w:val="0"/>
              <w:snapToGrid w:val="0"/>
              <w:jc w:val="center"/>
              <w:rPr>
                <w:sz w:val="22"/>
                <w:szCs w:val="22"/>
              </w:rPr>
            </w:pPr>
            <w:r>
              <w:rPr>
                <w:rFonts w:hint="eastAsia"/>
                <w:sz w:val="22"/>
                <w:szCs w:val="22"/>
              </w:rPr>
              <w:t>提前与周边居民进行沟通，并取得谅解。</w:t>
            </w:r>
          </w:p>
        </w:tc>
        <w:tc>
          <w:tcPr>
            <w:tcW w:w="792" w:type="dxa"/>
          </w:tcPr>
          <w:p w14:paraId="60CC7F69">
            <w:pPr>
              <w:adjustRightInd w:val="0"/>
              <w:snapToGrid w:val="0"/>
              <w:jc w:val="center"/>
              <w:rPr>
                <w:sz w:val="22"/>
                <w:szCs w:val="22"/>
              </w:rPr>
            </w:pPr>
            <w:r>
              <w:t>***</w:t>
            </w:r>
          </w:p>
        </w:tc>
      </w:tr>
      <w:tr w14:paraId="4DAF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7061120F">
            <w:pPr>
              <w:adjustRightInd w:val="0"/>
              <w:snapToGrid w:val="0"/>
              <w:jc w:val="center"/>
              <w:rPr>
                <w:sz w:val="22"/>
                <w:szCs w:val="22"/>
              </w:rPr>
            </w:pPr>
          </w:p>
        </w:tc>
        <w:tc>
          <w:tcPr>
            <w:tcW w:w="711" w:type="dxa"/>
            <w:vMerge w:val="continue"/>
            <w:vAlign w:val="center"/>
          </w:tcPr>
          <w:p w14:paraId="56FEB3C5">
            <w:pPr>
              <w:adjustRightInd w:val="0"/>
              <w:snapToGrid w:val="0"/>
              <w:jc w:val="center"/>
              <w:rPr>
                <w:sz w:val="22"/>
                <w:szCs w:val="22"/>
              </w:rPr>
            </w:pPr>
          </w:p>
        </w:tc>
        <w:tc>
          <w:tcPr>
            <w:tcW w:w="1279" w:type="dxa"/>
            <w:vAlign w:val="center"/>
          </w:tcPr>
          <w:p w14:paraId="0443832F">
            <w:pPr>
              <w:adjustRightInd w:val="0"/>
              <w:snapToGrid w:val="0"/>
              <w:jc w:val="center"/>
              <w:rPr>
                <w:sz w:val="22"/>
                <w:szCs w:val="22"/>
              </w:rPr>
            </w:pPr>
            <w:r>
              <w:rPr>
                <w:rFonts w:hint="eastAsia"/>
                <w:sz w:val="22"/>
                <w:szCs w:val="22"/>
              </w:rPr>
              <w:t>设备噪声</w:t>
            </w:r>
          </w:p>
        </w:tc>
        <w:tc>
          <w:tcPr>
            <w:tcW w:w="5123" w:type="dxa"/>
            <w:vAlign w:val="center"/>
          </w:tcPr>
          <w:p w14:paraId="2D0C43CB">
            <w:pPr>
              <w:adjustRightInd w:val="0"/>
              <w:snapToGrid w:val="0"/>
              <w:jc w:val="center"/>
              <w:rPr>
                <w:sz w:val="22"/>
                <w:szCs w:val="22"/>
              </w:rPr>
            </w:pPr>
            <w:r>
              <w:rPr>
                <w:rFonts w:hint="eastAsia"/>
                <w:sz w:val="22"/>
                <w:szCs w:val="22"/>
              </w:rPr>
              <w:t>选用低噪声设备，合理布局，基础减震，控制气流速度；脱水压缩撬安装隔声罩。</w:t>
            </w:r>
          </w:p>
        </w:tc>
        <w:tc>
          <w:tcPr>
            <w:tcW w:w="792" w:type="dxa"/>
            <w:vAlign w:val="center"/>
          </w:tcPr>
          <w:p w14:paraId="4A91928B">
            <w:pPr>
              <w:adjustRightInd w:val="0"/>
              <w:snapToGrid w:val="0"/>
              <w:jc w:val="center"/>
              <w:rPr>
                <w:sz w:val="22"/>
                <w:szCs w:val="22"/>
              </w:rPr>
            </w:pPr>
            <w:r>
              <w:rPr>
                <w:sz w:val="22"/>
                <w:szCs w:val="22"/>
              </w:rPr>
              <w:t>***</w:t>
            </w:r>
          </w:p>
        </w:tc>
      </w:tr>
      <w:tr w14:paraId="101C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43C02B8E">
            <w:pPr>
              <w:adjustRightInd w:val="0"/>
              <w:snapToGrid w:val="0"/>
              <w:jc w:val="center"/>
              <w:rPr>
                <w:sz w:val="22"/>
                <w:szCs w:val="22"/>
              </w:rPr>
            </w:pPr>
          </w:p>
        </w:tc>
        <w:tc>
          <w:tcPr>
            <w:tcW w:w="711" w:type="dxa"/>
            <w:vMerge w:val="continue"/>
            <w:vAlign w:val="center"/>
          </w:tcPr>
          <w:p w14:paraId="3E53C00D">
            <w:pPr>
              <w:adjustRightInd w:val="0"/>
              <w:snapToGrid w:val="0"/>
              <w:jc w:val="center"/>
              <w:rPr>
                <w:sz w:val="22"/>
                <w:szCs w:val="22"/>
              </w:rPr>
            </w:pPr>
          </w:p>
        </w:tc>
        <w:tc>
          <w:tcPr>
            <w:tcW w:w="1279" w:type="dxa"/>
            <w:vAlign w:val="center"/>
          </w:tcPr>
          <w:p w14:paraId="2DFB87EB">
            <w:pPr>
              <w:adjustRightInd w:val="0"/>
              <w:snapToGrid w:val="0"/>
              <w:jc w:val="center"/>
              <w:rPr>
                <w:sz w:val="22"/>
                <w:szCs w:val="22"/>
              </w:rPr>
            </w:pPr>
            <w:r>
              <w:rPr>
                <w:rFonts w:hint="eastAsia"/>
                <w:sz w:val="22"/>
                <w:szCs w:val="22"/>
              </w:rPr>
              <w:t>运输噪声</w:t>
            </w:r>
          </w:p>
        </w:tc>
        <w:tc>
          <w:tcPr>
            <w:tcW w:w="5123" w:type="dxa"/>
            <w:vAlign w:val="center"/>
          </w:tcPr>
          <w:p w14:paraId="259A0A01">
            <w:pPr>
              <w:adjustRightInd w:val="0"/>
              <w:snapToGrid w:val="0"/>
              <w:rPr>
                <w:sz w:val="22"/>
                <w:szCs w:val="22"/>
              </w:rPr>
            </w:pPr>
            <w:r>
              <w:rPr>
                <w:rFonts w:hint="eastAsia"/>
                <w:sz w:val="22"/>
                <w:szCs w:val="22"/>
              </w:rPr>
              <w:t>气田水、凝析油、C</w:t>
            </w:r>
            <w:r>
              <w:rPr>
                <w:sz w:val="22"/>
                <w:szCs w:val="22"/>
              </w:rPr>
              <w:t>NG</w:t>
            </w:r>
            <w:r>
              <w:rPr>
                <w:rFonts w:hint="eastAsia"/>
                <w:sz w:val="22"/>
                <w:szCs w:val="22"/>
              </w:rPr>
              <w:t>等尽可能白天转运，减少鸣笛，并通过居民区时减速减少噪音对周围居民的影响。</w:t>
            </w:r>
          </w:p>
        </w:tc>
        <w:tc>
          <w:tcPr>
            <w:tcW w:w="792" w:type="dxa"/>
            <w:vAlign w:val="center"/>
          </w:tcPr>
          <w:p w14:paraId="217E94B8">
            <w:pPr>
              <w:adjustRightInd w:val="0"/>
              <w:snapToGrid w:val="0"/>
              <w:jc w:val="center"/>
              <w:rPr>
                <w:sz w:val="22"/>
                <w:szCs w:val="22"/>
              </w:rPr>
            </w:pPr>
            <w:r>
              <w:rPr>
                <w:sz w:val="22"/>
                <w:szCs w:val="22"/>
              </w:rPr>
              <w:t>***</w:t>
            </w:r>
          </w:p>
        </w:tc>
      </w:tr>
      <w:tr w14:paraId="62DE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6BD1CF4C">
            <w:pPr>
              <w:adjustRightInd w:val="0"/>
              <w:snapToGrid w:val="0"/>
              <w:jc w:val="center"/>
              <w:rPr>
                <w:sz w:val="22"/>
                <w:szCs w:val="22"/>
              </w:rPr>
            </w:pPr>
          </w:p>
        </w:tc>
        <w:tc>
          <w:tcPr>
            <w:tcW w:w="711" w:type="dxa"/>
            <w:vMerge w:val="restart"/>
            <w:vAlign w:val="center"/>
          </w:tcPr>
          <w:p w14:paraId="6B0A7F5B">
            <w:pPr>
              <w:adjustRightInd w:val="0"/>
              <w:snapToGrid w:val="0"/>
              <w:jc w:val="center"/>
              <w:rPr>
                <w:sz w:val="22"/>
                <w:szCs w:val="22"/>
              </w:rPr>
            </w:pPr>
            <w:r>
              <w:rPr>
                <w:rFonts w:hint="eastAsia"/>
                <w:sz w:val="22"/>
                <w:szCs w:val="22"/>
              </w:rPr>
              <w:t>固废</w:t>
            </w:r>
          </w:p>
        </w:tc>
        <w:tc>
          <w:tcPr>
            <w:tcW w:w="1279" w:type="dxa"/>
            <w:vAlign w:val="center"/>
          </w:tcPr>
          <w:p w14:paraId="0CC4C3DE">
            <w:pPr>
              <w:adjustRightInd w:val="0"/>
              <w:snapToGrid w:val="0"/>
              <w:jc w:val="center"/>
              <w:rPr>
                <w:sz w:val="22"/>
                <w:szCs w:val="22"/>
              </w:rPr>
            </w:pPr>
            <w:r>
              <w:rPr>
                <w:rFonts w:hint="eastAsia"/>
                <w:bCs/>
                <w:sz w:val="22"/>
                <w:szCs w:val="22"/>
              </w:rPr>
              <w:t>储罐清掏沉渣</w:t>
            </w:r>
          </w:p>
        </w:tc>
        <w:tc>
          <w:tcPr>
            <w:tcW w:w="5123" w:type="dxa"/>
            <w:vMerge w:val="restart"/>
            <w:vAlign w:val="center"/>
          </w:tcPr>
          <w:p w14:paraId="739ACE39">
            <w:pPr>
              <w:adjustRightInd w:val="0"/>
              <w:snapToGrid w:val="0"/>
              <w:jc w:val="center"/>
              <w:rPr>
                <w:sz w:val="22"/>
                <w:szCs w:val="22"/>
              </w:rPr>
            </w:pPr>
            <w:r>
              <w:rPr>
                <w:rFonts w:hint="eastAsia"/>
                <w:sz w:val="22"/>
              </w:rPr>
              <w:t>即产即运，由作业区收集后暂存于河飞203中心站危废暂存间，统一交由资质单位处置。</w:t>
            </w:r>
          </w:p>
        </w:tc>
        <w:tc>
          <w:tcPr>
            <w:tcW w:w="792" w:type="dxa"/>
            <w:vMerge w:val="restart"/>
          </w:tcPr>
          <w:p w14:paraId="14E651DA">
            <w:pPr>
              <w:adjustRightInd w:val="0"/>
              <w:snapToGrid w:val="0"/>
              <w:jc w:val="center"/>
              <w:rPr>
                <w:sz w:val="22"/>
                <w:szCs w:val="22"/>
              </w:rPr>
            </w:pPr>
            <w:r>
              <w:t>***</w:t>
            </w:r>
          </w:p>
        </w:tc>
      </w:tr>
      <w:tr w14:paraId="7518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19D64489">
            <w:pPr>
              <w:adjustRightInd w:val="0"/>
              <w:snapToGrid w:val="0"/>
              <w:jc w:val="center"/>
              <w:rPr>
                <w:sz w:val="22"/>
                <w:szCs w:val="22"/>
              </w:rPr>
            </w:pPr>
          </w:p>
        </w:tc>
        <w:tc>
          <w:tcPr>
            <w:tcW w:w="711" w:type="dxa"/>
            <w:vMerge w:val="continue"/>
            <w:vAlign w:val="center"/>
          </w:tcPr>
          <w:p w14:paraId="4C10032D">
            <w:pPr>
              <w:adjustRightInd w:val="0"/>
              <w:snapToGrid w:val="0"/>
              <w:jc w:val="center"/>
              <w:rPr>
                <w:sz w:val="22"/>
                <w:szCs w:val="22"/>
              </w:rPr>
            </w:pPr>
          </w:p>
        </w:tc>
        <w:tc>
          <w:tcPr>
            <w:tcW w:w="1279" w:type="dxa"/>
            <w:vAlign w:val="center"/>
          </w:tcPr>
          <w:p w14:paraId="1D56B329">
            <w:pPr>
              <w:adjustRightInd w:val="0"/>
              <w:snapToGrid w:val="0"/>
              <w:jc w:val="center"/>
              <w:rPr>
                <w:sz w:val="22"/>
                <w:szCs w:val="22"/>
              </w:rPr>
            </w:pPr>
            <w:r>
              <w:rPr>
                <w:bCs/>
                <w:sz w:val="22"/>
              </w:rPr>
              <w:t>检修废渣</w:t>
            </w:r>
          </w:p>
        </w:tc>
        <w:tc>
          <w:tcPr>
            <w:tcW w:w="5123" w:type="dxa"/>
            <w:vMerge w:val="continue"/>
            <w:vAlign w:val="center"/>
          </w:tcPr>
          <w:p w14:paraId="2223EF42">
            <w:pPr>
              <w:adjustRightInd w:val="0"/>
              <w:snapToGrid w:val="0"/>
              <w:jc w:val="center"/>
              <w:rPr>
                <w:bCs/>
                <w:sz w:val="22"/>
                <w:szCs w:val="22"/>
              </w:rPr>
            </w:pPr>
          </w:p>
        </w:tc>
        <w:tc>
          <w:tcPr>
            <w:tcW w:w="792" w:type="dxa"/>
            <w:vMerge w:val="continue"/>
          </w:tcPr>
          <w:p w14:paraId="579E75C4">
            <w:pPr>
              <w:adjustRightInd w:val="0"/>
              <w:snapToGrid w:val="0"/>
              <w:jc w:val="center"/>
              <w:rPr>
                <w:sz w:val="22"/>
                <w:szCs w:val="22"/>
              </w:rPr>
            </w:pPr>
          </w:p>
        </w:tc>
      </w:tr>
      <w:tr w14:paraId="5D94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51E23B71">
            <w:pPr>
              <w:adjustRightInd w:val="0"/>
              <w:snapToGrid w:val="0"/>
              <w:jc w:val="center"/>
              <w:rPr>
                <w:sz w:val="22"/>
                <w:szCs w:val="22"/>
              </w:rPr>
            </w:pPr>
          </w:p>
        </w:tc>
        <w:tc>
          <w:tcPr>
            <w:tcW w:w="711" w:type="dxa"/>
            <w:vMerge w:val="continue"/>
            <w:vAlign w:val="center"/>
          </w:tcPr>
          <w:p w14:paraId="6F0F3E7B">
            <w:pPr>
              <w:adjustRightInd w:val="0"/>
              <w:snapToGrid w:val="0"/>
              <w:jc w:val="center"/>
              <w:rPr>
                <w:sz w:val="22"/>
                <w:szCs w:val="22"/>
              </w:rPr>
            </w:pPr>
          </w:p>
        </w:tc>
        <w:tc>
          <w:tcPr>
            <w:tcW w:w="1279" w:type="dxa"/>
            <w:vAlign w:val="center"/>
          </w:tcPr>
          <w:p w14:paraId="36DCEC1F">
            <w:pPr>
              <w:adjustRightInd w:val="0"/>
              <w:snapToGrid w:val="0"/>
              <w:jc w:val="center"/>
              <w:rPr>
                <w:bCs/>
                <w:sz w:val="22"/>
              </w:rPr>
            </w:pPr>
            <w:r>
              <w:rPr>
                <w:rFonts w:hint="eastAsia"/>
                <w:bCs/>
                <w:sz w:val="22"/>
              </w:rPr>
              <w:t>废油</w:t>
            </w:r>
          </w:p>
        </w:tc>
        <w:tc>
          <w:tcPr>
            <w:tcW w:w="5123" w:type="dxa"/>
            <w:vMerge w:val="continue"/>
            <w:vAlign w:val="center"/>
          </w:tcPr>
          <w:p w14:paraId="545B296B">
            <w:pPr>
              <w:adjustRightInd w:val="0"/>
              <w:snapToGrid w:val="0"/>
              <w:jc w:val="center"/>
              <w:rPr>
                <w:bCs/>
                <w:sz w:val="22"/>
                <w:szCs w:val="22"/>
              </w:rPr>
            </w:pPr>
          </w:p>
        </w:tc>
        <w:tc>
          <w:tcPr>
            <w:tcW w:w="792" w:type="dxa"/>
            <w:vMerge w:val="continue"/>
          </w:tcPr>
          <w:p w14:paraId="4850C4A3">
            <w:pPr>
              <w:adjustRightInd w:val="0"/>
              <w:snapToGrid w:val="0"/>
              <w:jc w:val="center"/>
              <w:rPr>
                <w:sz w:val="22"/>
                <w:szCs w:val="22"/>
              </w:rPr>
            </w:pPr>
          </w:p>
        </w:tc>
      </w:tr>
      <w:tr w14:paraId="2CE9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6351683B">
            <w:pPr>
              <w:adjustRightInd w:val="0"/>
              <w:snapToGrid w:val="0"/>
              <w:jc w:val="center"/>
              <w:rPr>
                <w:sz w:val="22"/>
                <w:szCs w:val="22"/>
              </w:rPr>
            </w:pPr>
          </w:p>
        </w:tc>
        <w:tc>
          <w:tcPr>
            <w:tcW w:w="711" w:type="dxa"/>
            <w:vMerge w:val="continue"/>
            <w:vAlign w:val="center"/>
          </w:tcPr>
          <w:p w14:paraId="45188051">
            <w:pPr>
              <w:adjustRightInd w:val="0"/>
              <w:snapToGrid w:val="0"/>
              <w:jc w:val="center"/>
              <w:rPr>
                <w:sz w:val="22"/>
                <w:szCs w:val="22"/>
              </w:rPr>
            </w:pPr>
          </w:p>
        </w:tc>
        <w:tc>
          <w:tcPr>
            <w:tcW w:w="1279" w:type="dxa"/>
            <w:vAlign w:val="center"/>
          </w:tcPr>
          <w:p w14:paraId="57FF77F2">
            <w:pPr>
              <w:adjustRightInd w:val="0"/>
              <w:snapToGrid w:val="0"/>
              <w:jc w:val="center"/>
              <w:rPr>
                <w:bCs/>
                <w:sz w:val="22"/>
              </w:rPr>
            </w:pPr>
            <w:r>
              <w:rPr>
                <w:rFonts w:hint="eastAsia"/>
                <w:bCs/>
                <w:sz w:val="22"/>
              </w:rPr>
              <w:t>废油桶</w:t>
            </w:r>
          </w:p>
        </w:tc>
        <w:tc>
          <w:tcPr>
            <w:tcW w:w="5123" w:type="dxa"/>
            <w:vMerge w:val="continue"/>
            <w:vAlign w:val="center"/>
          </w:tcPr>
          <w:p w14:paraId="7EA9548E">
            <w:pPr>
              <w:adjustRightInd w:val="0"/>
              <w:snapToGrid w:val="0"/>
              <w:jc w:val="center"/>
              <w:rPr>
                <w:bCs/>
                <w:sz w:val="22"/>
                <w:szCs w:val="22"/>
              </w:rPr>
            </w:pPr>
          </w:p>
        </w:tc>
        <w:tc>
          <w:tcPr>
            <w:tcW w:w="792" w:type="dxa"/>
            <w:vMerge w:val="continue"/>
          </w:tcPr>
          <w:p w14:paraId="411DBD07">
            <w:pPr>
              <w:adjustRightInd w:val="0"/>
              <w:snapToGrid w:val="0"/>
              <w:jc w:val="center"/>
              <w:rPr>
                <w:sz w:val="22"/>
                <w:szCs w:val="22"/>
              </w:rPr>
            </w:pPr>
          </w:p>
        </w:tc>
      </w:tr>
      <w:tr w14:paraId="31CF7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0C7988CC">
            <w:pPr>
              <w:adjustRightInd w:val="0"/>
              <w:snapToGrid w:val="0"/>
              <w:jc w:val="center"/>
              <w:rPr>
                <w:sz w:val="22"/>
                <w:szCs w:val="22"/>
              </w:rPr>
            </w:pPr>
          </w:p>
        </w:tc>
        <w:tc>
          <w:tcPr>
            <w:tcW w:w="711" w:type="dxa"/>
            <w:vMerge w:val="continue"/>
            <w:vAlign w:val="center"/>
          </w:tcPr>
          <w:p w14:paraId="2D81A857">
            <w:pPr>
              <w:adjustRightInd w:val="0"/>
              <w:snapToGrid w:val="0"/>
              <w:jc w:val="center"/>
              <w:rPr>
                <w:sz w:val="22"/>
                <w:szCs w:val="22"/>
              </w:rPr>
            </w:pPr>
          </w:p>
        </w:tc>
        <w:tc>
          <w:tcPr>
            <w:tcW w:w="1279" w:type="dxa"/>
            <w:vAlign w:val="center"/>
          </w:tcPr>
          <w:p w14:paraId="6223EE37">
            <w:pPr>
              <w:adjustRightInd w:val="0"/>
              <w:snapToGrid w:val="0"/>
              <w:jc w:val="center"/>
              <w:rPr>
                <w:bCs/>
                <w:sz w:val="22"/>
              </w:rPr>
            </w:pPr>
            <w:r>
              <w:rPr>
                <w:rFonts w:hint="eastAsia"/>
                <w:bCs/>
                <w:sz w:val="22"/>
              </w:rPr>
              <w:t>含油擦拭物</w:t>
            </w:r>
          </w:p>
        </w:tc>
        <w:tc>
          <w:tcPr>
            <w:tcW w:w="5123" w:type="dxa"/>
            <w:vMerge w:val="continue"/>
            <w:vAlign w:val="center"/>
          </w:tcPr>
          <w:p w14:paraId="1776A14E">
            <w:pPr>
              <w:adjustRightInd w:val="0"/>
              <w:snapToGrid w:val="0"/>
              <w:jc w:val="center"/>
              <w:rPr>
                <w:bCs/>
                <w:sz w:val="22"/>
                <w:szCs w:val="22"/>
              </w:rPr>
            </w:pPr>
          </w:p>
        </w:tc>
        <w:tc>
          <w:tcPr>
            <w:tcW w:w="792" w:type="dxa"/>
            <w:vMerge w:val="continue"/>
          </w:tcPr>
          <w:p w14:paraId="3D16E156">
            <w:pPr>
              <w:adjustRightInd w:val="0"/>
              <w:snapToGrid w:val="0"/>
              <w:jc w:val="center"/>
              <w:rPr>
                <w:sz w:val="22"/>
                <w:szCs w:val="22"/>
              </w:rPr>
            </w:pPr>
          </w:p>
        </w:tc>
      </w:tr>
      <w:tr w14:paraId="0E3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2635C342">
            <w:pPr>
              <w:adjustRightInd w:val="0"/>
              <w:snapToGrid w:val="0"/>
              <w:jc w:val="center"/>
              <w:rPr>
                <w:sz w:val="22"/>
                <w:szCs w:val="22"/>
              </w:rPr>
            </w:pPr>
          </w:p>
        </w:tc>
        <w:tc>
          <w:tcPr>
            <w:tcW w:w="711" w:type="dxa"/>
            <w:vMerge w:val="continue"/>
            <w:vAlign w:val="center"/>
          </w:tcPr>
          <w:p w14:paraId="779079D7">
            <w:pPr>
              <w:adjustRightInd w:val="0"/>
              <w:snapToGrid w:val="0"/>
              <w:jc w:val="center"/>
              <w:rPr>
                <w:sz w:val="22"/>
                <w:szCs w:val="22"/>
              </w:rPr>
            </w:pPr>
          </w:p>
        </w:tc>
        <w:tc>
          <w:tcPr>
            <w:tcW w:w="1279" w:type="dxa"/>
            <w:vAlign w:val="center"/>
          </w:tcPr>
          <w:p w14:paraId="7C9F1627">
            <w:pPr>
              <w:adjustRightInd w:val="0"/>
              <w:snapToGrid w:val="0"/>
              <w:jc w:val="center"/>
              <w:rPr>
                <w:sz w:val="22"/>
                <w:szCs w:val="22"/>
              </w:rPr>
            </w:pPr>
            <w:r>
              <w:rPr>
                <w:rFonts w:hint="eastAsia"/>
                <w:bCs/>
                <w:sz w:val="22"/>
                <w:szCs w:val="22"/>
              </w:rPr>
              <w:t>废滤芯</w:t>
            </w:r>
          </w:p>
        </w:tc>
        <w:tc>
          <w:tcPr>
            <w:tcW w:w="5123" w:type="dxa"/>
            <w:vMerge w:val="restart"/>
            <w:vAlign w:val="center"/>
          </w:tcPr>
          <w:p w14:paraId="7E21C97B">
            <w:pPr>
              <w:adjustRightInd w:val="0"/>
              <w:snapToGrid w:val="0"/>
              <w:jc w:val="center"/>
              <w:rPr>
                <w:bCs/>
                <w:sz w:val="22"/>
                <w:szCs w:val="22"/>
              </w:rPr>
            </w:pPr>
            <w:r>
              <w:rPr>
                <w:rFonts w:hint="eastAsia"/>
                <w:bCs/>
                <w:sz w:val="22"/>
              </w:rPr>
              <w:t>由厂家统一更换后回收，不在站内存储。</w:t>
            </w:r>
          </w:p>
        </w:tc>
        <w:tc>
          <w:tcPr>
            <w:tcW w:w="792" w:type="dxa"/>
            <w:vMerge w:val="restart"/>
          </w:tcPr>
          <w:p w14:paraId="713B6280">
            <w:pPr>
              <w:adjustRightInd w:val="0"/>
              <w:snapToGrid w:val="0"/>
              <w:jc w:val="center"/>
              <w:rPr>
                <w:sz w:val="22"/>
                <w:szCs w:val="22"/>
              </w:rPr>
            </w:pPr>
            <w:r>
              <w:t>***</w:t>
            </w:r>
          </w:p>
        </w:tc>
      </w:tr>
      <w:tr w14:paraId="1979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59E3779A">
            <w:pPr>
              <w:adjustRightInd w:val="0"/>
              <w:snapToGrid w:val="0"/>
              <w:jc w:val="center"/>
              <w:rPr>
                <w:sz w:val="22"/>
                <w:szCs w:val="22"/>
              </w:rPr>
            </w:pPr>
          </w:p>
        </w:tc>
        <w:tc>
          <w:tcPr>
            <w:tcW w:w="711" w:type="dxa"/>
            <w:vMerge w:val="continue"/>
            <w:vAlign w:val="center"/>
          </w:tcPr>
          <w:p w14:paraId="06703800">
            <w:pPr>
              <w:adjustRightInd w:val="0"/>
              <w:snapToGrid w:val="0"/>
              <w:jc w:val="center"/>
              <w:rPr>
                <w:sz w:val="22"/>
                <w:szCs w:val="22"/>
              </w:rPr>
            </w:pPr>
          </w:p>
        </w:tc>
        <w:tc>
          <w:tcPr>
            <w:tcW w:w="1279" w:type="dxa"/>
            <w:vAlign w:val="center"/>
          </w:tcPr>
          <w:p w14:paraId="1A20FE71">
            <w:pPr>
              <w:adjustRightInd w:val="0"/>
              <w:snapToGrid w:val="0"/>
              <w:jc w:val="center"/>
              <w:rPr>
                <w:bCs/>
                <w:sz w:val="22"/>
                <w:szCs w:val="22"/>
              </w:rPr>
            </w:pPr>
            <w:r>
              <w:rPr>
                <w:rFonts w:hint="eastAsia"/>
                <w:bCs/>
                <w:sz w:val="22"/>
                <w:szCs w:val="22"/>
              </w:rPr>
              <w:t>废分子筛</w:t>
            </w:r>
          </w:p>
        </w:tc>
        <w:tc>
          <w:tcPr>
            <w:tcW w:w="5123" w:type="dxa"/>
            <w:vMerge w:val="continue"/>
            <w:vAlign w:val="center"/>
          </w:tcPr>
          <w:p w14:paraId="7ECDEF7E">
            <w:pPr>
              <w:adjustRightInd w:val="0"/>
              <w:snapToGrid w:val="0"/>
              <w:jc w:val="center"/>
              <w:rPr>
                <w:bCs/>
                <w:sz w:val="22"/>
              </w:rPr>
            </w:pPr>
          </w:p>
        </w:tc>
        <w:tc>
          <w:tcPr>
            <w:tcW w:w="792" w:type="dxa"/>
            <w:vMerge w:val="continue"/>
          </w:tcPr>
          <w:p w14:paraId="3D69A8B0">
            <w:pPr>
              <w:adjustRightInd w:val="0"/>
              <w:snapToGrid w:val="0"/>
              <w:jc w:val="center"/>
              <w:rPr>
                <w:sz w:val="22"/>
                <w:szCs w:val="22"/>
              </w:rPr>
            </w:pPr>
          </w:p>
        </w:tc>
      </w:tr>
      <w:tr w14:paraId="065A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17A10A6B">
            <w:pPr>
              <w:adjustRightInd w:val="0"/>
              <w:snapToGrid w:val="0"/>
              <w:jc w:val="center"/>
              <w:rPr>
                <w:sz w:val="22"/>
                <w:szCs w:val="22"/>
              </w:rPr>
            </w:pPr>
          </w:p>
        </w:tc>
        <w:tc>
          <w:tcPr>
            <w:tcW w:w="711" w:type="dxa"/>
            <w:vMerge w:val="continue"/>
            <w:vAlign w:val="center"/>
          </w:tcPr>
          <w:p w14:paraId="181971C2">
            <w:pPr>
              <w:adjustRightInd w:val="0"/>
              <w:snapToGrid w:val="0"/>
              <w:jc w:val="center"/>
              <w:rPr>
                <w:sz w:val="22"/>
                <w:szCs w:val="22"/>
              </w:rPr>
            </w:pPr>
          </w:p>
        </w:tc>
        <w:tc>
          <w:tcPr>
            <w:tcW w:w="1279" w:type="dxa"/>
            <w:vAlign w:val="center"/>
          </w:tcPr>
          <w:p w14:paraId="232DCC83">
            <w:pPr>
              <w:adjustRightInd w:val="0"/>
              <w:snapToGrid w:val="0"/>
              <w:jc w:val="center"/>
              <w:rPr>
                <w:sz w:val="22"/>
                <w:szCs w:val="22"/>
              </w:rPr>
            </w:pPr>
            <w:r>
              <w:rPr>
                <w:rFonts w:hint="eastAsia"/>
                <w:bCs/>
                <w:sz w:val="22"/>
                <w:szCs w:val="22"/>
              </w:rPr>
              <w:t>生活垃圾</w:t>
            </w:r>
          </w:p>
        </w:tc>
        <w:tc>
          <w:tcPr>
            <w:tcW w:w="5123" w:type="dxa"/>
            <w:vAlign w:val="center"/>
          </w:tcPr>
          <w:p w14:paraId="2F0B7770">
            <w:pPr>
              <w:adjustRightInd w:val="0"/>
              <w:snapToGrid w:val="0"/>
              <w:jc w:val="center"/>
              <w:rPr>
                <w:bCs/>
                <w:sz w:val="22"/>
                <w:szCs w:val="22"/>
              </w:rPr>
            </w:pPr>
            <w:r>
              <w:rPr>
                <w:rFonts w:hint="eastAsia"/>
                <w:bCs/>
                <w:sz w:val="22"/>
                <w:szCs w:val="22"/>
              </w:rPr>
              <w:t>分类收集后交当地环卫部门处置</w:t>
            </w:r>
          </w:p>
        </w:tc>
        <w:tc>
          <w:tcPr>
            <w:tcW w:w="792" w:type="dxa"/>
          </w:tcPr>
          <w:p w14:paraId="65F1BFDA">
            <w:pPr>
              <w:adjustRightInd w:val="0"/>
              <w:snapToGrid w:val="0"/>
              <w:jc w:val="center"/>
              <w:rPr>
                <w:sz w:val="22"/>
                <w:szCs w:val="22"/>
              </w:rPr>
            </w:pPr>
            <w:r>
              <w:t>***</w:t>
            </w:r>
          </w:p>
        </w:tc>
      </w:tr>
      <w:tr w14:paraId="6B79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47155A2B">
            <w:pPr>
              <w:adjustRightInd w:val="0"/>
              <w:snapToGrid w:val="0"/>
              <w:jc w:val="center"/>
              <w:rPr>
                <w:sz w:val="22"/>
                <w:szCs w:val="22"/>
              </w:rPr>
            </w:pPr>
          </w:p>
        </w:tc>
        <w:tc>
          <w:tcPr>
            <w:tcW w:w="1990" w:type="dxa"/>
            <w:gridSpan w:val="2"/>
            <w:vAlign w:val="center"/>
          </w:tcPr>
          <w:p w14:paraId="1930F6F2">
            <w:pPr>
              <w:adjustRightInd w:val="0"/>
              <w:snapToGrid w:val="0"/>
              <w:jc w:val="center"/>
              <w:rPr>
                <w:sz w:val="22"/>
                <w:szCs w:val="22"/>
              </w:rPr>
            </w:pPr>
            <w:r>
              <w:rPr>
                <w:rFonts w:hint="eastAsia"/>
                <w:sz w:val="22"/>
                <w:szCs w:val="22"/>
              </w:rPr>
              <w:t>地下水、土壤</w:t>
            </w:r>
          </w:p>
        </w:tc>
        <w:tc>
          <w:tcPr>
            <w:tcW w:w="5123" w:type="dxa"/>
            <w:vAlign w:val="center"/>
          </w:tcPr>
          <w:p w14:paraId="067E54CB">
            <w:pPr>
              <w:adjustRightInd w:val="0"/>
              <w:snapToGrid w:val="0"/>
              <w:jc w:val="center"/>
              <w:rPr>
                <w:sz w:val="22"/>
                <w:szCs w:val="22"/>
              </w:rPr>
            </w:pPr>
            <w:r>
              <w:rPr>
                <w:sz w:val="22"/>
                <w:szCs w:val="22"/>
              </w:rPr>
              <w:t>进行清污分流，分区防渗，管道防腐</w:t>
            </w:r>
            <w:r>
              <w:rPr>
                <w:rFonts w:hint="eastAsia"/>
                <w:sz w:val="22"/>
                <w:szCs w:val="22"/>
              </w:rPr>
              <w:t>，</w:t>
            </w:r>
            <w:r>
              <w:rPr>
                <w:sz w:val="22"/>
                <w:szCs w:val="22"/>
              </w:rPr>
              <w:t>对土壤和地下水跟踪监测。</w:t>
            </w:r>
          </w:p>
        </w:tc>
        <w:tc>
          <w:tcPr>
            <w:tcW w:w="792" w:type="dxa"/>
          </w:tcPr>
          <w:p w14:paraId="3787B009">
            <w:pPr>
              <w:adjustRightInd w:val="0"/>
              <w:snapToGrid w:val="0"/>
              <w:jc w:val="center"/>
              <w:rPr>
                <w:sz w:val="22"/>
                <w:szCs w:val="22"/>
              </w:rPr>
            </w:pPr>
            <w:r>
              <w:t>***</w:t>
            </w:r>
          </w:p>
        </w:tc>
      </w:tr>
      <w:tr w14:paraId="3C29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423" w:type="dxa"/>
            <w:vMerge w:val="continue"/>
            <w:vAlign w:val="center"/>
          </w:tcPr>
          <w:p w14:paraId="206484EF">
            <w:pPr>
              <w:adjustRightInd w:val="0"/>
              <w:snapToGrid w:val="0"/>
              <w:jc w:val="center"/>
              <w:rPr>
                <w:sz w:val="22"/>
                <w:szCs w:val="22"/>
              </w:rPr>
            </w:pPr>
          </w:p>
        </w:tc>
        <w:tc>
          <w:tcPr>
            <w:tcW w:w="1990" w:type="dxa"/>
            <w:gridSpan w:val="2"/>
            <w:vAlign w:val="center"/>
          </w:tcPr>
          <w:p w14:paraId="4B4C8663">
            <w:pPr>
              <w:adjustRightInd w:val="0"/>
              <w:snapToGrid w:val="0"/>
              <w:jc w:val="center"/>
              <w:rPr>
                <w:sz w:val="22"/>
                <w:szCs w:val="22"/>
              </w:rPr>
            </w:pPr>
            <w:r>
              <w:rPr>
                <w:rFonts w:hint="eastAsia"/>
                <w:sz w:val="22"/>
                <w:szCs w:val="22"/>
              </w:rPr>
              <w:t>环境风险</w:t>
            </w:r>
          </w:p>
        </w:tc>
        <w:tc>
          <w:tcPr>
            <w:tcW w:w="5123" w:type="dxa"/>
            <w:vAlign w:val="center"/>
          </w:tcPr>
          <w:p w14:paraId="51CC5B55">
            <w:pPr>
              <w:adjustRightInd w:val="0"/>
              <w:snapToGrid w:val="0"/>
              <w:jc w:val="center"/>
              <w:rPr>
                <w:sz w:val="22"/>
                <w:szCs w:val="22"/>
              </w:rPr>
            </w:pPr>
            <w:r>
              <w:rPr>
                <w:sz w:val="22"/>
                <w:szCs w:val="22"/>
              </w:rPr>
              <w:t>设立完善的环境风险管理制度；编制突发环境风险应急预案，定期组织应急演练等。</w:t>
            </w:r>
          </w:p>
        </w:tc>
        <w:tc>
          <w:tcPr>
            <w:tcW w:w="792" w:type="dxa"/>
          </w:tcPr>
          <w:p w14:paraId="27D89DC7">
            <w:pPr>
              <w:adjustRightInd w:val="0"/>
              <w:snapToGrid w:val="0"/>
              <w:jc w:val="center"/>
              <w:rPr>
                <w:sz w:val="22"/>
                <w:szCs w:val="22"/>
              </w:rPr>
            </w:pPr>
            <w:r>
              <w:t>***</w:t>
            </w:r>
          </w:p>
        </w:tc>
      </w:tr>
      <w:tr w14:paraId="6747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7536" w:type="dxa"/>
            <w:gridSpan w:val="4"/>
            <w:vAlign w:val="center"/>
          </w:tcPr>
          <w:p w14:paraId="2467A9EF">
            <w:pPr>
              <w:adjustRightInd w:val="0"/>
              <w:snapToGrid w:val="0"/>
              <w:jc w:val="center"/>
              <w:rPr>
                <w:sz w:val="22"/>
                <w:szCs w:val="22"/>
              </w:rPr>
            </w:pPr>
            <w:r>
              <w:rPr>
                <w:rFonts w:hint="eastAsia"/>
                <w:sz w:val="22"/>
                <w:szCs w:val="22"/>
              </w:rPr>
              <w:t>合计</w:t>
            </w:r>
          </w:p>
        </w:tc>
        <w:tc>
          <w:tcPr>
            <w:tcW w:w="792" w:type="dxa"/>
            <w:vAlign w:val="center"/>
          </w:tcPr>
          <w:p w14:paraId="37EF02B4">
            <w:pPr>
              <w:adjustRightInd w:val="0"/>
              <w:snapToGrid w:val="0"/>
              <w:jc w:val="center"/>
              <w:rPr>
                <w:sz w:val="22"/>
                <w:szCs w:val="22"/>
              </w:rPr>
            </w:pPr>
            <w:r>
              <w:rPr>
                <w:sz w:val="22"/>
                <w:szCs w:val="22"/>
              </w:rPr>
              <w:t>***</w:t>
            </w:r>
          </w:p>
        </w:tc>
      </w:tr>
    </w:tbl>
    <w:p w14:paraId="3B58CC44">
      <w:pPr>
        <w:pStyle w:val="1379"/>
        <w:ind w:firstLine="440"/>
      </w:pPr>
    </w:p>
    <w:p w14:paraId="58A126D7">
      <w:pPr>
        <w:pStyle w:val="1379"/>
        <w:ind w:firstLine="440"/>
      </w:pPr>
    </w:p>
    <w:p w14:paraId="395BF3A7">
      <w:pPr>
        <w:sectPr>
          <w:pgSz w:w="11906" w:h="16838"/>
          <w:pgMar w:top="1440" w:right="1800" w:bottom="1440" w:left="1800" w:header="1304" w:footer="1247" w:gutter="0"/>
          <w:cols w:space="425" w:num="1"/>
          <w:docGrid w:linePitch="312" w:charSpace="0"/>
        </w:sectPr>
      </w:pPr>
    </w:p>
    <w:p w14:paraId="179F1693">
      <w:pPr>
        <w:snapToGrid w:val="0"/>
        <w:spacing w:before="240" w:beforeLines="100" w:after="240" w:afterLines="100"/>
        <w:jc w:val="center"/>
        <w:outlineLvl w:val="0"/>
        <w:rPr>
          <w:b/>
          <w:bCs/>
          <w:sz w:val="32"/>
          <w:szCs w:val="32"/>
        </w:rPr>
      </w:pPr>
      <w:bookmarkStart w:id="402" w:name="_Toc91161348"/>
      <w:bookmarkStart w:id="403" w:name="_Toc165810669"/>
      <w:bookmarkStart w:id="404" w:name="_Toc219907681"/>
      <w:bookmarkStart w:id="405" w:name="_Toc165809770"/>
      <w:r>
        <w:rPr>
          <w:b/>
          <w:bCs/>
          <w:sz w:val="32"/>
          <w:szCs w:val="32"/>
        </w:rPr>
        <w:t xml:space="preserve">9 </w:t>
      </w:r>
      <w:bookmarkEnd w:id="402"/>
      <w:r>
        <w:rPr>
          <w:b/>
          <w:bCs/>
          <w:sz w:val="32"/>
          <w:szCs w:val="32"/>
        </w:rPr>
        <w:t xml:space="preserve"> 经济损益分析</w:t>
      </w:r>
      <w:bookmarkEnd w:id="403"/>
      <w:bookmarkEnd w:id="404"/>
      <w:bookmarkEnd w:id="405"/>
    </w:p>
    <w:p w14:paraId="4D31D520">
      <w:pPr>
        <w:adjustRightInd w:val="0"/>
        <w:snapToGrid w:val="0"/>
        <w:spacing w:line="460" w:lineRule="exact"/>
        <w:ind w:firstLine="520" w:firstLineChars="200"/>
        <w:rPr>
          <w:bCs/>
          <w:sz w:val="26"/>
          <w:szCs w:val="26"/>
        </w:rPr>
      </w:pPr>
      <w:bookmarkStart w:id="406" w:name="_Toc91161349"/>
      <w:bookmarkStart w:id="407" w:name="_Toc46166151"/>
      <w:r>
        <w:rPr>
          <w:bCs/>
          <w:sz w:val="26"/>
          <w:szCs w:val="26"/>
        </w:rPr>
        <w:t>环境影响经济损益分析是环境影响评价的一项重要工作内容，它是对建设项目经济效益、社会效益与环境效益综合分析。通过分析经济收益水平、环境效益和社会效益，说明项目的环保综合效益状况。</w:t>
      </w:r>
    </w:p>
    <w:p w14:paraId="0BCA10A8">
      <w:pPr>
        <w:adjustRightInd w:val="0"/>
        <w:snapToGrid w:val="0"/>
        <w:spacing w:line="460" w:lineRule="exact"/>
        <w:ind w:firstLine="520" w:firstLineChars="200"/>
        <w:rPr>
          <w:bCs/>
          <w:sz w:val="26"/>
          <w:szCs w:val="26"/>
        </w:rPr>
      </w:pPr>
      <w:r>
        <w:rPr>
          <w:bCs/>
          <w:sz w:val="26"/>
          <w:szCs w:val="26"/>
        </w:rPr>
        <w:t>本工程的经济损益分析选择工程、环境、生态资源和社会经济等有代表性的指标，采用专业判断法和调查评价法，从经济效益、环境效益和社会效益三方面，分析本项目经济效益、环境效益和社会效益状况，进行环境经济损益估算简要分析。</w:t>
      </w:r>
    </w:p>
    <w:p w14:paraId="61EDC350">
      <w:pPr>
        <w:adjustRightInd w:val="0"/>
        <w:snapToGrid w:val="0"/>
        <w:spacing w:line="460" w:lineRule="exact"/>
        <w:ind w:firstLine="522" w:firstLineChars="200"/>
        <w:outlineLvl w:val="1"/>
        <w:rPr>
          <w:b/>
          <w:sz w:val="26"/>
          <w:szCs w:val="26"/>
        </w:rPr>
      </w:pPr>
      <w:bookmarkStart w:id="408" w:name="_Toc165809771"/>
      <w:bookmarkStart w:id="409" w:name="_Toc165810670"/>
      <w:bookmarkStart w:id="410" w:name="_Toc219907682"/>
      <w:r>
        <w:rPr>
          <w:b/>
          <w:sz w:val="26"/>
          <w:szCs w:val="26"/>
        </w:rPr>
        <w:t>9.1</w:t>
      </w:r>
      <w:bookmarkEnd w:id="406"/>
      <w:bookmarkEnd w:id="407"/>
      <w:r>
        <w:rPr>
          <w:b/>
          <w:sz w:val="26"/>
          <w:szCs w:val="26"/>
        </w:rPr>
        <w:t xml:space="preserve"> 经济效益分析</w:t>
      </w:r>
      <w:bookmarkEnd w:id="408"/>
      <w:bookmarkEnd w:id="409"/>
      <w:bookmarkEnd w:id="410"/>
    </w:p>
    <w:p w14:paraId="796ABC6F">
      <w:pPr>
        <w:adjustRightInd w:val="0"/>
        <w:snapToGrid w:val="0"/>
        <w:spacing w:line="460" w:lineRule="exact"/>
        <w:ind w:firstLine="522" w:firstLineChars="200"/>
        <w:outlineLvl w:val="2"/>
        <w:rPr>
          <w:b/>
          <w:sz w:val="26"/>
          <w:szCs w:val="26"/>
        </w:rPr>
      </w:pPr>
      <w:bookmarkStart w:id="411" w:name="_Toc165810671"/>
      <w:r>
        <w:rPr>
          <w:b/>
          <w:sz w:val="26"/>
          <w:szCs w:val="26"/>
        </w:rPr>
        <w:t>9.1.1 内部效益</w:t>
      </w:r>
      <w:bookmarkEnd w:id="411"/>
    </w:p>
    <w:p w14:paraId="0ECBEF81">
      <w:pPr>
        <w:adjustRightInd w:val="0"/>
        <w:snapToGrid w:val="0"/>
        <w:spacing w:line="460" w:lineRule="exact"/>
        <w:ind w:firstLine="520" w:firstLineChars="200"/>
        <w:rPr>
          <w:sz w:val="26"/>
          <w:szCs w:val="26"/>
        </w:rPr>
      </w:pPr>
      <w:r>
        <w:rPr>
          <w:bCs/>
          <w:sz w:val="26"/>
          <w:szCs w:val="26"/>
        </w:rPr>
        <w:t>中国石油化工股份有限公司西南油气分公司采气二厂</w:t>
      </w:r>
      <w:r>
        <w:rPr>
          <w:rFonts w:hint="eastAsia"/>
          <w:bCs/>
          <w:sz w:val="26"/>
          <w:szCs w:val="26"/>
        </w:rPr>
        <w:t>巴中2HF井地面工程</w:t>
      </w:r>
      <w:r>
        <w:rPr>
          <w:bCs/>
          <w:sz w:val="26"/>
          <w:szCs w:val="26"/>
        </w:rPr>
        <w:t>总投资</w:t>
      </w:r>
      <w:r>
        <w:rPr>
          <w:sz w:val="26"/>
          <w:szCs w:val="26"/>
        </w:rPr>
        <w:t>***</w:t>
      </w:r>
      <w:r>
        <w:rPr>
          <w:bCs/>
          <w:sz w:val="26"/>
          <w:szCs w:val="26"/>
        </w:rPr>
        <w:t>万元。</w:t>
      </w:r>
      <w:r>
        <w:rPr>
          <w:rFonts w:hint="eastAsia"/>
          <w:bCs/>
          <w:sz w:val="26"/>
          <w:szCs w:val="26"/>
        </w:rPr>
        <w:t>本项目预计试采量为</w:t>
      </w:r>
      <w:r>
        <w:rPr>
          <w:bCs/>
          <w:sz w:val="26"/>
          <w:szCs w:val="26"/>
        </w:rPr>
        <w:t>2</w:t>
      </w:r>
      <w:r>
        <w:rPr>
          <w:rFonts w:hint="eastAsia"/>
          <w:bCs/>
          <w:sz w:val="26"/>
          <w:szCs w:val="26"/>
        </w:rPr>
        <w:t>×10</w:t>
      </w:r>
      <w:r>
        <w:rPr>
          <w:rFonts w:hint="eastAsia"/>
          <w:bCs/>
          <w:sz w:val="26"/>
          <w:szCs w:val="26"/>
          <w:vertAlign w:val="superscript"/>
        </w:rPr>
        <w:t>4</w:t>
      </w:r>
      <w:r>
        <w:rPr>
          <w:rFonts w:hint="eastAsia"/>
          <w:bCs/>
          <w:sz w:val="26"/>
          <w:szCs w:val="26"/>
        </w:rPr>
        <w:t>m</w:t>
      </w:r>
      <w:r>
        <w:rPr>
          <w:rFonts w:hint="eastAsia"/>
          <w:bCs/>
          <w:sz w:val="26"/>
          <w:szCs w:val="26"/>
          <w:vertAlign w:val="superscript"/>
        </w:rPr>
        <w:t>3</w:t>
      </w:r>
      <w:r>
        <w:rPr>
          <w:rFonts w:hint="eastAsia"/>
          <w:bCs/>
          <w:sz w:val="26"/>
          <w:szCs w:val="26"/>
        </w:rPr>
        <w:t>/d，按照单价2元/m</w:t>
      </w:r>
      <w:r>
        <w:rPr>
          <w:rFonts w:hint="eastAsia"/>
          <w:bCs/>
          <w:sz w:val="26"/>
          <w:szCs w:val="26"/>
          <w:vertAlign w:val="superscript"/>
        </w:rPr>
        <w:t>3</w:t>
      </w:r>
      <w:r>
        <w:rPr>
          <w:rFonts w:hint="eastAsia"/>
          <w:bCs/>
          <w:sz w:val="26"/>
          <w:szCs w:val="26"/>
        </w:rPr>
        <w:t>，产值约</w:t>
      </w:r>
      <w:r>
        <w:rPr>
          <w:bCs/>
          <w:sz w:val="26"/>
          <w:szCs w:val="26"/>
        </w:rPr>
        <w:t>2920</w:t>
      </w:r>
      <w:r>
        <w:rPr>
          <w:rFonts w:hint="eastAsia"/>
          <w:bCs/>
          <w:sz w:val="26"/>
          <w:szCs w:val="26"/>
        </w:rPr>
        <w:t>万元。本项目经济效益较好，具有较强的盈利能力和偿债能力，在财务上是可行的。</w:t>
      </w:r>
    </w:p>
    <w:p w14:paraId="40AFE109">
      <w:pPr>
        <w:adjustRightInd w:val="0"/>
        <w:snapToGrid w:val="0"/>
        <w:spacing w:line="460" w:lineRule="exact"/>
        <w:ind w:firstLine="522" w:firstLineChars="200"/>
        <w:outlineLvl w:val="2"/>
        <w:rPr>
          <w:b/>
          <w:sz w:val="26"/>
          <w:szCs w:val="26"/>
        </w:rPr>
      </w:pPr>
      <w:bookmarkStart w:id="412" w:name="_Toc165810672"/>
      <w:r>
        <w:rPr>
          <w:b/>
          <w:sz w:val="26"/>
          <w:szCs w:val="26"/>
        </w:rPr>
        <w:t>9.1.2 外部效果</w:t>
      </w:r>
      <w:bookmarkEnd w:id="412"/>
    </w:p>
    <w:p w14:paraId="3658E073">
      <w:pPr>
        <w:adjustRightInd w:val="0"/>
        <w:snapToGrid w:val="0"/>
        <w:spacing w:line="460" w:lineRule="exact"/>
        <w:ind w:firstLine="522"/>
        <w:rPr>
          <w:sz w:val="26"/>
          <w:szCs w:val="26"/>
        </w:rPr>
      </w:pPr>
      <w:r>
        <w:rPr>
          <w:sz w:val="26"/>
          <w:szCs w:val="26"/>
        </w:rPr>
        <w:t>根据有关资料，每万立方</w:t>
      </w:r>
      <w:r>
        <w:rPr>
          <w:rFonts w:hint="eastAsia"/>
          <w:sz w:val="26"/>
          <w:szCs w:val="26"/>
        </w:rPr>
        <w:t>天然气</w:t>
      </w:r>
      <w:r>
        <w:rPr>
          <w:sz w:val="26"/>
          <w:szCs w:val="26"/>
        </w:rPr>
        <w:t>用于工业，平均可创产值2.650万元；每万立方</w:t>
      </w:r>
      <w:r>
        <w:rPr>
          <w:rFonts w:hint="eastAsia"/>
          <w:sz w:val="26"/>
          <w:szCs w:val="26"/>
        </w:rPr>
        <w:t>天然气</w:t>
      </w:r>
      <w:r>
        <w:rPr>
          <w:sz w:val="26"/>
          <w:szCs w:val="26"/>
        </w:rPr>
        <w:t>用于城市民用可节约城市供煤运费补贴640元。因此本项目实施可为社会创造工业产值和节约运煤补贴。</w:t>
      </w:r>
    </w:p>
    <w:p w14:paraId="0AA76EE0">
      <w:pPr>
        <w:adjustRightInd w:val="0"/>
        <w:snapToGrid w:val="0"/>
        <w:spacing w:line="460" w:lineRule="exact"/>
        <w:ind w:firstLine="522"/>
        <w:rPr>
          <w:sz w:val="26"/>
          <w:szCs w:val="26"/>
        </w:rPr>
      </w:pPr>
      <w:r>
        <w:rPr>
          <w:sz w:val="26"/>
          <w:szCs w:val="26"/>
        </w:rPr>
        <w:t>从内部经济效益和外部经济效益来看，该工程的投产将区域内</w:t>
      </w:r>
      <w:r>
        <w:rPr>
          <w:rFonts w:hint="eastAsia"/>
          <w:sz w:val="26"/>
          <w:szCs w:val="26"/>
        </w:rPr>
        <w:t>天然气</w:t>
      </w:r>
      <w:r>
        <w:rPr>
          <w:sz w:val="26"/>
          <w:szCs w:val="26"/>
        </w:rPr>
        <w:t>资源的优势转化为经济优势，可大大增加地方利税收入，企业也将获得巨大的利润，为该地区带来巨大的</w:t>
      </w:r>
      <w:r>
        <w:rPr>
          <w:rFonts w:hint="eastAsia"/>
          <w:sz w:val="26"/>
          <w:szCs w:val="26"/>
        </w:rPr>
        <w:t>天然气</w:t>
      </w:r>
      <w:r>
        <w:rPr>
          <w:sz w:val="26"/>
          <w:szCs w:val="26"/>
        </w:rPr>
        <w:t>化工等方面经济效益。</w:t>
      </w:r>
    </w:p>
    <w:p w14:paraId="54554BB5">
      <w:pPr>
        <w:adjustRightInd w:val="0"/>
        <w:snapToGrid w:val="0"/>
        <w:spacing w:line="460" w:lineRule="exact"/>
        <w:ind w:firstLine="522" w:firstLineChars="200"/>
        <w:outlineLvl w:val="1"/>
        <w:rPr>
          <w:b/>
          <w:sz w:val="26"/>
          <w:szCs w:val="26"/>
        </w:rPr>
      </w:pPr>
      <w:bookmarkStart w:id="413" w:name="_Toc165810673"/>
      <w:bookmarkStart w:id="414" w:name="_Toc165809772"/>
      <w:bookmarkStart w:id="415" w:name="_Toc219907683"/>
      <w:r>
        <w:rPr>
          <w:b/>
          <w:sz w:val="26"/>
          <w:szCs w:val="26"/>
        </w:rPr>
        <w:t>9.2 社会效益分析</w:t>
      </w:r>
      <w:bookmarkEnd w:id="413"/>
      <w:bookmarkEnd w:id="414"/>
      <w:bookmarkEnd w:id="415"/>
    </w:p>
    <w:p w14:paraId="674651C4">
      <w:pPr>
        <w:spacing w:line="460" w:lineRule="exact"/>
        <w:ind w:firstLine="520" w:firstLineChars="200"/>
        <w:rPr>
          <w:sz w:val="26"/>
          <w:szCs w:val="26"/>
        </w:rPr>
      </w:pPr>
      <w:r>
        <w:rPr>
          <w:sz w:val="26"/>
          <w:szCs w:val="26"/>
        </w:rPr>
        <w:t>本项目的建设，将对当地的经济发展起到良好的推动作用。项目建成投产将在以下几个方面产生社会效益：</w:t>
      </w:r>
    </w:p>
    <w:p w14:paraId="0FBBC571">
      <w:pPr>
        <w:spacing w:line="460" w:lineRule="exact"/>
        <w:ind w:firstLine="520" w:firstLineChars="200"/>
        <w:rPr>
          <w:sz w:val="26"/>
          <w:szCs w:val="26"/>
        </w:rPr>
      </w:pPr>
      <w:r>
        <w:rPr>
          <w:rFonts w:hint="eastAsia"/>
          <w:sz w:val="26"/>
          <w:szCs w:val="26"/>
        </w:rPr>
        <w:t>（1）本项目天然气开发对当地的经济发展有积极的带动作用，是响应国家“西部大开发”、贯彻落实“中部崛起”的重大举措；有利于优化能源结构，改善大气环境，实现社会经济可持续发展。</w:t>
      </w:r>
    </w:p>
    <w:p w14:paraId="31922F7B">
      <w:pPr>
        <w:spacing w:line="460" w:lineRule="exact"/>
        <w:ind w:firstLine="520" w:firstLineChars="200"/>
        <w:rPr>
          <w:sz w:val="26"/>
          <w:szCs w:val="26"/>
        </w:rPr>
      </w:pPr>
      <w:r>
        <w:rPr>
          <w:rFonts w:hint="eastAsia"/>
          <w:sz w:val="26"/>
          <w:szCs w:val="26"/>
        </w:rPr>
        <w:t>（2）本项目的建设将缓解川渝地区长期天然气短缺的局面，利用优质而廉价的天然气能够增强企业经济效益，带动地区经济社会的综合发展，促进以天然气为原料的化工产业的繁荣。</w:t>
      </w:r>
    </w:p>
    <w:p w14:paraId="50345AB3">
      <w:pPr>
        <w:spacing w:line="460" w:lineRule="exact"/>
        <w:ind w:firstLine="520" w:firstLineChars="200"/>
        <w:rPr>
          <w:sz w:val="26"/>
          <w:szCs w:val="26"/>
        </w:rPr>
      </w:pPr>
      <w:r>
        <w:rPr>
          <w:rFonts w:hint="eastAsia"/>
          <w:sz w:val="26"/>
          <w:szCs w:val="26"/>
        </w:rPr>
        <w:t>（3）本项目的实施给当地带来巨大机遇，将对该地区的机械、建材、电力等方面的发展将起到极大的推动作用，可以促进中国石油天然气工业的发展，加速煤改气进程，改善大气环境质量，促进西部地区的经济建设。同时，有利于改变目前不合理的燃料、原料结构，适应城市环保要求的提高和主业结构的调整，促进天然气化工及相关产业的发展，提高企业的经济效益，增加就业机会，加速区域经济的发展。</w:t>
      </w:r>
    </w:p>
    <w:p w14:paraId="038856C7">
      <w:pPr>
        <w:spacing w:line="460" w:lineRule="exact"/>
        <w:ind w:firstLine="520" w:firstLineChars="200"/>
        <w:rPr>
          <w:sz w:val="26"/>
          <w:szCs w:val="26"/>
        </w:rPr>
      </w:pPr>
      <w:r>
        <w:rPr>
          <w:rFonts w:hint="eastAsia"/>
          <w:sz w:val="26"/>
          <w:szCs w:val="26"/>
        </w:rPr>
        <w:t>（4）目前我国正在大力提倡煤改气，全国大部分地区存在天然气短缺，项目建设符合我国当前发展需求。</w:t>
      </w:r>
    </w:p>
    <w:p w14:paraId="2075CA4A">
      <w:pPr>
        <w:spacing w:line="460" w:lineRule="exact"/>
        <w:ind w:firstLine="520" w:firstLineChars="200"/>
        <w:rPr>
          <w:sz w:val="26"/>
          <w:szCs w:val="26"/>
        </w:rPr>
      </w:pPr>
      <w:r>
        <w:rPr>
          <w:rFonts w:hint="eastAsia"/>
          <w:sz w:val="26"/>
          <w:szCs w:val="26"/>
        </w:rPr>
        <w:t>因此，本项目的开发建设具有显著的社会效益。</w:t>
      </w:r>
    </w:p>
    <w:p w14:paraId="61DE42FC">
      <w:pPr>
        <w:adjustRightInd w:val="0"/>
        <w:snapToGrid w:val="0"/>
        <w:spacing w:line="460" w:lineRule="exact"/>
        <w:ind w:firstLine="522" w:firstLineChars="200"/>
        <w:outlineLvl w:val="1"/>
        <w:rPr>
          <w:b/>
          <w:sz w:val="26"/>
          <w:szCs w:val="26"/>
        </w:rPr>
      </w:pPr>
      <w:bookmarkStart w:id="416" w:name="_Toc165809773"/>
      <w:bookmarkStart w:id="417" w:name="_Toc219907684"/>
      <w:bookmarkStart w:id="418" w:name="_Toc165810674"/>
      <w:r>
        <w:rPr>
          <w:b/>
          <w:sz w:val="26"/>
          <w:szCs w:val="26"/>
        </w:rPr>
        <w:t>9.3 环境损益分析</w:t>
      </w:r>
      <w:bookmarkEnd w:id="416"/>
      <w:bookmarkEnd w:id="417"/>
      <w:bookmarkEnd w:id="418"/>
    </w:p>
    <w:p w14:paraId="26BCB00A">
      <w:pPr>
        <w:adjustRightInd w:val="0"/>
        <w:snapToGrid w:val="0"/>
        <w:spacing w:line="460" w:lineRule="exact"/>
        <w:ind w:firstLine="522" w:firstLineChars="200"/>
        <w:rPr>
          <w:b/>
          <w:bCs/>
          <w:sz w:val="26"/>
          <w:szCs w:val="26"/>
        </w:rPr>
      </w:pPr>
      <w:r>
        <w:rPr>
          <w:b/>
          <w:bCs/>
          <w:sz w:val="26"/>
          <w:szCs w:val="26"/>
        </w:rPr>
        <w:t>9.3.1 环境效益分析</w:t>
      </w:r>
    </w:p>
    <w:p w14:paraId="2FBA3817">
      <w:pPr>
        <w:spacing w:line="460" w:lineRule="exact"/>
        <w:ind w:firstLine="520" w:firstLineChars="200"/>
        <w:rPr>
          <w:sz w:val="26"/>
          <w:szCs w:val="26"/>
        </w:rPr>
      </w:pPr>
      <w:r>
        <w:rPr>
          <w:rFonts w:hint="eastAsia"/>
          <w:sz w:val="26"/>
          <w:szCs w:val="26"/>
        </w:rPr>
        <w:t>天然气</w:t>
      </w:r>
      <w:r>
        <w:rPr>
          <w:sz w:val="26"/>
          <w:szCs w:val="26"/>
        </w:rPr>
        <w:t>利用可以减少环境空气污染物的排放量，改善环境空气质量。本项目在减轻大气环境影响方面效益显著，与燃油和燃煤相比具有更高的环境效益。</w:t>
      </w:r>
    </w:p>
    <w:p w14:paraId="160696A3">
      <w:pPr>
        <w:spacing w:line="460" w:lineRule="exact"/>
        <w:ind w:firstLine="520" w:firstLineChars="200"/>
        <w:rPr>
          <w:sz w:val="26"/>
          <w:szCs w:val="26"/>
        </w:rPr>
      </w:pPr>
      <w:r>
        <w:rPr>
          <w:sz w:val="26"/>
          <w:szCs w:val="26"/>
        </w:rPr>
        <w:t>我国的能源结构以煤炭为主，以煤为主的能源结构是造成大气污染的主要原因。根据世界各国污染治理的经验，减轻大气污染措施之一就是用无污染或低污染的优质能源替代煤炭。</w:t>
      </w:r>
      <w:r>
        <w:rPr>
          <w:kern w:val="0"/>
          <w:sz w:val="26"/>
          <w:szCs w:val="26"/>
        </w:rPr>
        <w:t>根据</w:t>
      </w:r>
      <w:r>
        <w:rPr>
          <w:kern w:val="0"/>
          <w:sz w:val="26"/>
          <w:szCs w:val="26"/>
          <w:u w:val="single"/>
        </w:rPr>
        <w:t>表9.3-1</w:t>
      </w:r>
      <w:r>
        <w:rPr>
          <w:kern w:val="0"/>
          <w:sz w:val="26"/>
          <w:szCs w:val="26"/>
        </w:rPr>
        <w:t>，燃烧天然气排放的CO、NO</w:t>
      </w:r>
      <w:r>
        <w:rPr>
          <w:kern w:val="0"/>
          <w:sz w:val="26"/>
          <w:szCs w:val="26"/>
          <w:vertAlign w:val="subscript"/>
        </w:rPr>
        <w:t>2</w:t>
      </w:r>
      <w:r>
        <w:rPr>
          <w:kern w:val="0"/>
          <w:sz w:val="26"/>
          <w:szCs w:val="26"/>
        </w:rPr>
        <w:t>、SO</w:t>
      </w:r>
      <w:r>
        <w:rPr>
          <w:kern w:val="0"/>
          <w:sz w:val="26"/>
          <w:szCs w:val="26"/>
          <w:vertAlign w:val="subscript"/>
        </w:rPr>
        <w:t>2</w:t>
      </w:r>
      <w:r>
        <w:rPr>
          <w:kern w:val="0"/>
          <w:sz w:val="26"/>
          <w:szCs w:val="26"/>
        </w:rPr>
        <w:t>、灰分大大低于煤和原油的排放量。天然气燃烧可以节省SO</w:t>
      </w:r>
      <w:r>
        <w:rPr>
          <w:kern w:val="0"/>
          <w:sz w:val="26"/>
          <w:szCs w:val="26"/>
          <w:vertAlign w:val="subscript"/>
        </w:rPr>
        <w:t>2</w:t>
      </w:r>
      <w:r>
        <w:rPr>
          <w:kern w:val="0"/>
          <w:sz w:val="26"/>
          <w:szCs w:val="26"/>
        </w:rPr>
        <w:t>、NOx、烟尘、固体废物等处理费用，减少燃煤灰渣引起的土地占用。</w:t>
      </w:r>
    </w:p>
    <w:p w14:paraId="15CD9B3F">
      <w:pPr>
        <w:adjustRightInd w:val="0"/>
        <w:snapToGrid w:val="0"/>
        <w:spacing w:line="460" w:lineRule="exact"/>
        <w:ind w:firstLine="520" w:firstLineChars="200"/>
        <w:rPr>
          <w:sz w:val="26"/>
          <w:szCs w:val="26"/>
        </w:rPr>
      </w:pPr>
      <w:r>
        <w:rPr>
          <w:sz w:val="26"/>
          <w:szCs w:val="26"/>
        </w:rPr>
        <w:t>本项目预计试采</w:t>
      </w:r>
      <w:r>
        <w:rPr>
          <w:rFonts w:hint="eastAsia"/>
          <w:sz w:val="26"/>
          <w:szCs w:val="26"/>
        </w:rPr>
        <w:t>总</w:t>
      </w:r>
      <w:r>
        <w:rPr>
          <w:sz w:val="26"/>
          <w:szCs w:val="26"/>
        </w:rPr>
        <w:t>量2×10</w:t>
      </w:r>
      <w:r>
        <w:rPr>
          <w:sz w:val="26"/>
          <w:szCs w:val="26"/>
          <w:vertAlign w:val="superscript"/>
        </w:rPr>
        <w:t>4</w:t>
      </w:r>
      <w:r>
        <w:rPr>
          <w:sz w:val="26"/>
          <w:szCs w:val="26"/>
        </w:rPr>
        <w:t>m</w:t>
      </w:r>
      <w:r>
        <w:rPr>
          <w:sz w:val="26"/>
          <w:szCs w:val="26"/>
          <w:vertAlign w:val="superscript"/>
        </w:rPr>
        <w:t>3</w:t>
      </w:r>
      <w:r>
        <w:rPr>
          <w:sz w:val="26"/>
          <w:szCs w:val="26"/>
        </w:rPr>
        <w:t>/d，天然气燃烧产生的热量相当于约24.89吨原煤或者约12.44吨石油燃烧产生的热量，详见下表。</w:t>
      </w:r>
    </w:p>
    <w:p w14:paraId="0BC983ED">
      <w:pPr>
        <w:pStyle w:val="1379"/>
        <w:ind w:firstLine="440"/>
      </w:pPr>
    </w:p>
    <w:p w14:paraId="4CD6CBE0">
      <w:pPr>
        <w:pStyle w:val="1065"/>
      </w:pPr>
      <w:r>
        <w:t>表9.3-1  项目热量换算表</w:t>
      </w:r>
    </w:p>
    <w:tbl>
      <w:tblPr>
        <w:tblStyle w:val="88"/>
        <w:tblW w:w="82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1462"/>
        <w:gridCol w:w="1425"/>
        <w:gridCol w:w="1442"/>
        <w:gridCol w:w="1338"/>
        <w:gridCol w:w="1420"/>
      </w:tblGrid>
      <w:tr w14:paraId="3079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1179" w:type="dxa"/>
            <w:vAlign w:val="center"/>
          </w:tcPr>
          <w:p w14:paraId="675833BA">
            <w:pPr>
              <w:pStyle w:val="687"/>
            </w:pPr>
            <w:r>
              <w:t>燃料</w:t>
            </w:r>
          </w:p>
        </w:tc>
        <w:tc>
          <w:tcPr>
            <w:tcW w:w="1462" w:type="dxa"/>
            <w:vAlign w:val="center"/>
          </w:tcPr>
          <w:p w14:paraId="3DC5613A">
            <w:pPr>
              <w:pStyle w:val="687"/>
            </w:pPr>
            <w:r>
              <w:t>热值（MJ/kg）</w:t>
            </w:r>
          </w:p>
        </w:tc>
        <w:tc>
          <w:tcPr>
            <w:tcW w:w="1425" w:type="dxa"/>
            <w:vAlign w:val="center"/>
          </w:tcPr>
          <w:p w14:paraId="582FD52C">
            <w:pPr>
              <w:pStyle w:val="687"/>
            </w:pPr>
            <w:r>
              <w:t>本项目</w:t>
            </w:r>
          </w:p>
          <w:p w14:paraId="3E11D06D">
            <w:pPr>
              <w:pStyle w:val="687"/>
            </w:pPr>
            <w:r>
              <w:t>（10</w:t>
            </w:r>
            <w:r>
              <w:rPr>
                <w:vertAlign w:val="superscript"/>
              </w:rPr>
              <w:t>4</w:t>
            </w:r>
            <w:r>
              <w:t>m</w:t>
            </w:r>
            <w:r>
              <w:rPr>
                <w:vertAlign w:val="superscript"/>
              </w:rPr>
              <w:t>3</w:t>
            </w:r>
            <w:r>
              <w:t>/d）</w:t>
            </w:r>
          </w:p>
        </w:tc>
        <w:tc>
          <w:tcPr>
            <w:tcW w:w="1442" w:type="dxa"/>
            <w:vAlign w:val="center"/>
          </w:tcPr>
          <w:p w14:paraId="4C75BE76">
            <w:pPr>
              <w:pStyle w:val="687"/>
            </w:pPr>
            <w:r>
              <w:t>密度（kg/m</w:t>
            </w:r>
            <w:r>
              <w:rPr>
                <w:vertAlign w:val="superscript"/>
              </w:rPr>
              <w:t>3</w:t>
            </w:r>
            <w:r>
              <w:t>）</w:t>
            </w:r>
          </w:p>
        </w:tc>
        <w:tc>
          <w:tcPr>
            <w:tcW w:w="1338" w:type="dxa"/>
            <w:vAlign w:val="center"/>
          </w:tcPr>
          <w:p w14:paraId="5C189F0A">
            <w:pPr>
              <w:pStyle w:val="687"/>
            </w:pPr>
            <w:r>
              <w:t>重量（t/d）</w:t>
            </w:r>
          </w:p>
        </w:tc>
        <w:tc>
          <w:tcPr>
            <w:tcW w:w="1420" w:type="dxa"/>
            <w:vAlign w:val="center"/>
          </w:tcPr>
          <w:p w14:paraId="379A2B3C">
            <w:pPr>
              <w:pStyle w:val="687"/>
            </w:pPr>
            <w:r>
              <w:t>热量（MJ/d）</w:t>
            </w:r>
          </w:p>
        </w:tc>
      </w:tr>
      <w:tr w14:paraId="3A8A9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79" w:type="dxa"/>
            <w:vAlign w:val="center"/>
          </w:tcPr>
          <w:p w14:paraId="3C50B957">
            <w:pPr>
              <w:pStyle w:val="687"/>
            </w:pPr>
            <w:r>
              <w:t>天然气</w:t>
            </w:r>
          </w:p>
        </w:tc>
        <w:tc>
          <w:tcPr>
            <w:tcW w:w="1462" w:type="dxa"/>
            <w:vAlign w:val="center"/>
          </w:tcPr>
          <w:p w14:paraId="7FE309E8">
            <w:pPr>
              <w:pStyle w:val="687"/>
            </w:pPr>
            <w:r>
              <w:t>36.71</w:t>
            </w:r>
          </w:p>
        </w:tc>
        <w:tc>
          <w:tcPr>
            <w:tcW w:w="1425" w:type="dxa"/>
            <w:vAlign w:val="center"/>
          </w:tcPr>
          <w:p w14:paraId="43FFF82D">
            <w:pPr>
              <w:pStyle w:val="687"/>
            </w:pPr>
            <w:r>
              <w:t>2</w:t>
            </w:r>
          </w:p>
        </w:tc>
        <w:tc>
          <w:tcPr>
            <w:tcW w:w="1442" w:type="dxa"/>
            <w:vAlign w:val="center"/>
          </w:tcPr>
          <w:p w14:paraId="4DE0A998">
            <w:pPr>
              <w:pStyle w:val="687"/>
            </w:pPr>
            <w:r>
              <w:t>0.7096</w:t>
            </w:r>
          </w:p>
        </w:tc>
        <w:tc>
          <w:tcPr>
            <w:tcW w:w="1338" w:type="dxa"/>
            <w:vAlign w:val="center"/>
          </w:tcPr>
          <w:p w14:paraId="3ED6FE7E">
            <w:pPr>
              <w:pStyle w:val="687"/>
            </w:pPr>
            <w:r>
              <w:t>14.19</w:t>
            </w:r>
          </w:p>
        </w:tc>
        <w:tc>
          <w:tcPr>
            <w:tcW w:w="1420" w:type="dxa"/>
            <w:vAlign w:val="center"/>
          </w:tcPr>
          <w:p w14:paraId="58EDEC2F">
            <w:pPr>
              <w:pStyle w:val="687"/>
            </w:pPr>
            <w:r>
              <w:t>5.21×10</w:t>
            </w:r>
            <w:r>
              <w:rPr>
                <w:vertAlign w:val="superscript"/>
              </w:rPr>
              <w:t>5</w:t>
            </w:r>
          </w:p>
        </w:tc>
      </w:tr>
      <w:tr w14:paraId="1524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79" w:type="dxa"/>
            <w:vAlign w:val="center"/>
          </w:tcPr>
          <w:p w14:paraId="725D6D69">
            <w:pPr>
              <w:pStyle w:val="687"/>
            </w:pPr>
            <w:r>
              <w:t>原煤</w:t>
            </w:r>
          </w:p>
        </w:tc>
        <w:tc>
          <w:tcPr>
            <w:tcW w:w="1462" w:type="dxa"/>
            <w:vAlign w:val="center"/>
          </w:tcPr>
          <w:p w14:paraId="053B51AE">
            <w:pPr>
              <w:pStyle w:val="687"/>
            </w:pPr>
            <w:r>
              <w:t>20.93</w:t>
            </w:r>
          </w:p>
        </w:tc>
        <w:tc>
          <w:tcPr>
            <w:tcW w:w="1425" w:type="dxa"/>
            <w:vAlign w:val="center"/>
          </w:tcPr>
          <w:p w14:paraId="4FB92F7D">
            <w:pPr>
              <w:pStyle w:val="687"/>
            </w:pPr>
            <w:r>
              <w:t>/</w:t>
            </w:r>
          </w:p>
        </w:tc>
        <w:tc>
          <w:tcPr>
            <w:tcW w:w="1442" w:type="dxa"/>
            <w:vAlign w:val="center"/>
          </w:tcPr>
          <w:p w14:paraId="0E5FBFDB">
            <w:pPr>
              <w:pStyle w:val="687"/>
            </w:pPr>
            <w:r>
              <w:t>/</w:t>
            </w:r>
          </w:p>
        </w:tc>
        <w:tc>
          <w:tcPr>
            <w:tcW w:w="1338" w:type="dxa"/>
            <w:vAlign w:val="center"/>
          </w:tcPr>
          <w:p w14:paraId="0A4FE830">
            <w:pPr>
              <w:pStyle w:val="687"/>
            </w:pPr>
            <w:r>
              <w:rPr>
                <w:rFonts w:hint="eastAsia"/>
              </w:rPr>
              <w:t>2</w:t>
            </w:r>
            <w:r>
              <w:t>4.89</w:t>
            </w:r>
          </w:p>
        </w:tc>
        <w:tc>
          <w:tcPr>
            <w:tcW w:w="1420" w:type="dxa"/>
            <w:vAlign w:val="center"/>
          </w:tcPr>
          <w:p w14:paraId="368B32AF">
            <w:pPr>
              <w:pStyle w:val="687"/>
            </w:pPr>
            <w:r>
              <w:t>5.21×10</w:t>
            </w:r>
            <w:r>
              <w:rPr>
                <w:vertAlign w:val="superscript"/>
              </w:rPr>
              <w:t>5</w:t>
            </w:r>
          </w:p>
        </w:tc>
      </w:tr>
      <w:tr w14:paraId="70C29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79" w:type="dxa"/>
            <w:vAlign w:val="center"/>
          </w:tcPr>
          <w:p w14:paraId="29076C2F">
            <w:pPr>
              <w:pStyle w:val="687"/>
            </w:pPr>
            <w:r>
              <w:t>石油</w:t>
            </w:r>
          </w:p>
        </w:tc>
        <w:tc>
          <w:tcPr>
            <w:tcW w:w="1462" w:type="dxa"/>
            <w:vAlign w:val="center"/>
          </w:tcPr>
          <w:p w14:paraId="1CCE0BC9">
            <w:pPr>
              <w:pStyle w:val="687"/>
            </w:pPr>
            <w:r>
              <w:t>41.87</w:t>
            </w:r>
          </w:p>
        </w:tc>
        <w:tc>
          <w:tcPr>
            <w:tcW w:w="1425" w:type="dxa"/>
            <w:vAlign w:val="center"/>
          </w:tcPr>
          <w:p w14:paraId="27A6E727">
            <w:pPr>
              <w:pStyle w:val="687"/>
            </w:pPr>
            <w:r>
              <w:t>/</w:t>
            </w:r>
          </w:p>
        </w:tc>
        <w:tc>
          <w:tcPr>
            <w:tcW w:w="1442" w:type="dxa"/>
            <w:vAlign w:val="center"/>
          </w:tcPr>
          <w:p w14:paraId="48FE816F">
            <w:pPr>
              <w:pStyle w:val="687"/>
            </w:pPr>
            <w:r>
              <w:t>/</w:t>
            </w:r>
          </w:p>
        </w:tc>
        <w:tc>
          <w:tcPr>
            <w:tcW w:w="1338" w:type="dxa"/>
            <w:vAlign w:val="center"/>
          </w:tcPr>
          <w:p w14:paraId="66B856FD">
            <w:pPr>
              <w:pStyle w:val="687"/>
            </w:pPr>
            <w:r>
              <w:rPr>
                <w:rFonts w:hint="eastAsia"/>
              </w:rPr>
              <w:t>1</w:t>
            </w:r>
            <w:r>
              <w:t>2.44</w:t>
            </w:r>
          </w:p>
        </w:tc>
        <w:tc>
          <w:tcPr>
            <w:tcW w:w="1420" w:type="dxa"/>
            <w:vAlign w:val="center"/>
          </w:tcPr>
          <w:p w14:paraId="48EE15AE">
            <w:pPr>
              <w:pStyle w:val="687"/>
            </w:pPr>
            <w:r>
              <w:t>5.21×10</w:t>
            </w:r>
            <w:r>
              <w:rPr>
                <w:vertAlign w:val="superscript"/>
              </w:rPr>
              <w:t>5</w:t>
            </w:r>
          </w:p>
        </w:tc>
      </w:tr>
    </w:tbl>
    <w:p w14:paraId="7368B38A">
      <w:pPr>
        <w:pStyle w:val="1379"/>
        <w:ind w:firstLine="440"/>
      </w:pPr>
    </w:p>
    <w:p w14:paraId="12BC9A5D">
      <w:pPr>
        <w:adjustRightInd w:val="0"/>
        <w:snapToGrid w:val="0"/>
        <w:spacing w:line="460" w:lineRule="exact"/>
        <w:ind w:firstLine="520" w:firstLineChars="200"/>
        <w:rPr>
          <w:sz w:val="26"/>
          <w:szCs w:val="26"/>
        </w:rPr>
      </w:pPr>
      <w:r>
        <w:rPr>
          <w:sz w:val="26"/>
          <w:szCs w:val="26"/>
        </w:rPr>
        <w:t>综上，</w:t>
      </w:r>
      <w:r>
        <w:rPr>
          <w:rFonts w:hint="eastAsia"/>
          <w:sz w:val="26"/>
          <w:szCs w:val="26"/>
        </w:rPr>
        <w:t>天然气</w:t>
      </w:r>
      <w:r>
        <w:rPr>
          <w:sz w:val="26"/>
          <w:szCs w:val="26"/>
        </w:rPr>
        <w:t>相对煤、原油等能源的环境效益最好，本项目的建设将会减少煤炭或者石油的使用，减少环境空气污染物的排放量，改善环境空气质量。由此可见，本项目环境效益是十分明显的。</w:t>
      </w:r>
    </w:p>
    <w:p w14:paraId="687AA48B">
      <w:pPr>
        <w:adjustRightInd w:val="0"/>
        <w:snapToGrid w:val="0"/>
        <w:spacing w:line="460" w:lineRule="exact"/>
        <w:ind w:firstLine="522" w:firstLineChars="200"/>
        <w:rPr>
          <w:b/>
          <w:bCs/>
          <w:sz w:val="26"/>
          <w:szCs w:val="26"/>
        </w:rPr>
      </w:pPr>
      <w:r>
        <w:rPr>
          <w:b/>
          <w:bCs/>
          <w:sz w:val="26"/>
          <w:szCs w:val="26"/>
        </w:rPr>
        <w:t>9.3.2 环境损失分析</w:t>
      </w:r>
    </w:p>
    <w:p w14:paraId="440762A1">
      <w:pPr>
        <w:adjustRightInd w:val="0"/>
        <w:snapToGrid w:val="0"/>
        <w:spacing w:line="460" w:lineRule="exact"/>
        <w:ind w:firstLine="520" w:firstLineChars="200"/>
        <w:rPr>
          <w:sz w:val="26"/>
          <w:szCs w:val="26"/>
        </w:rPr>
      </w:pPr>
      <w:r>
        <w:rPr>
          <w:rFonts w:hint="eastAsia"/>
          <w:sz w:val="26"/>
          <w:szCs w:val="26"/>
        </w:rPr>
        <w:t>（1）大气环境经济损失分析</w:t>
      </w:r>
    </w:p>
    <w:p w14:paraId="6A5F972C">
      <w:pPr>
        <w:adjustRightInd w:val="0"/>
        <w:snapToGrid w:val="0"/>
        <w:spacing w:line="460" w:lineRule="exact"/>
        <w:ind w:firstLine="520" w:firstLineChars="200"/>
        <w:rPr>
          <w:sz w:val="26"/>
          <w:szCs w:val="26"/>
        </w:rPr>
      </w:pPr>
      <w:r>
        <w:rPr>
          <w:rFonts w:hint="eastAsia"/>
          <w:sz w:val="26"/>
          <w:szCs w:val="26"/>
        </w:rPr>
        <w:t>施工期大气环境影响主要表现为施工占地的扬尘、施工机具器械废气等的影响；试采期大气环境影响主要表现为水套加热炉废气、凝析油储罐呼吸废气、站场无组织逸散废气、放空废气等方面的影响。在严格落实各项环保措施和污染防治措施的情况下，本项目的建设对大气环境的影响较小。</w:t>
      </w:r>
    </w:p>
    <w:p w14:paraId="70376745">
      <w:pPr>
        <w:adjustRightInd w:val="0"/>
        <w:snapToGrid w:val="0"/>
        <w:spacing w:line="460" w:lineRule="exact"/>
        <w:ind w:firstLine="520" w:firstLineChars="200"/>
        <w:rPr>
          <w:sz w:val="26"/>
          <w:szCs w:val="26"/>
        </w:rPr>
      </w:pPr>
      <w:r>
        <w:rPr>
          <w:rFonts w:hint="eastAsia"/>
          <w:sz w:val="26"/>
          <w:szCs w:val="26"/>
        </w:rPr>
        <w:t>（2）水环境经济损失分析</w:t>
      </w:r>
    </w:p>
    <w:p w14:paraId="1881BEAD">
      <w:pPr>
        <w:adjustRightInd w:val="0"/>
        <w:snapToGrid w:val="0"/>
        <w:spacing w:line="460" w:lineRule="exact"/>
        <w:ind w:firstLine="520" w:firstLineChars="200"/>
        <w:rPr>
          <w:sz w:val="26"/>
          <w:szCs w:val="26"/>
        </w:rPr>
      </w:pPr>
      <w:r>
        <w:rPr>
          <w:rFonts w:hint="eastAsia"/>
          <w:sz w:val="26"/>
          <w:szCs w:val="26"/>
        </w:rPr>
        <w:t>施工期水环境影响主要表现为施工废水、试压废水、生活污水等方面的影响；试采期间水环境影响主要为气田水的影响。在严格落实各项环保措施和污染防治措施的情况下，本项目的建设对水环境的影较小。</w:t>
      </w:r>
    </w:p>
    <w:p w14:paraId="447CA905">
      <w:pPr>
        <w:adjustRightInd w:val="0"/>
        <w:snapToGrid w:val="0"/>
        <w:spacing w:line="460" w:lineRule="exact"/>
        <w:ind w:firstLine="520" w:firstLineChars="200"/>
        <w:rPr>
          <w:sz w:val="26"/>
          <w:szCs w:val="26"/>
        </w:rPr>
      </w:pPr>
      <w:r>
        <w:rPr>
          <w:rFonts w:hint="eastAsia"/>
          <w:sz w:val="26"/>
          <w:szCs w:val="26"/>
        </w:rPr>
        <w:t>（3）声环境经济损失分析</w:t>
      </w:r>
    </w:p>
    <w:p w14:paraId="7D6D0B2A">
      <w:pPr>
        <w:adjustRightInd w:val="0"/>
        <w:snapToGrid w:val="0"/>
        <w:spacing w:line="460" w:lineRule="exact"/>
        <w:ind w:firstLine="520" w:firstLineChars="200"/>
        <w:rPr>
          <w:sz w:val="26"/>
          <w:szCs w:val="26"/>
        </w:rPr>
      </w:pPr>
      <w:r>
        <w:rPr>
          <w:rFonts w:hint="eastAsia"/>
          <w:sz w:val="26"/>
          <w:szCs w:val="26"/>
        </w:rPr>
        <w:t>施工期声环境影响主要表现为施工场地的机械运转噪声等方面的影响；试采期间声环境影响主要表现为采气平台内设备、管线气流摩擦噪声。在严格落实各项环保措施和污染防治措施的情况下，本项目的建设产生的噪声对周围的居民影响能达到可接受程度。</w:t>
      </w:r>
    </w:p>
    <w:p w14:paraId="5B524F1B">
      <w:pPr>
        <w:adjustRightInd w:val="0"/>
        <w:snapToGrid w:val="0"/>
        <w:spacing w:line="460" w:lineRule="exact"/>
        <w:ind w:firstLine="520" w:firstLineChars="200"/>
        <w:rPr>
          <w:sz w:val="26"/>
          <w:szCs w:val="26"/>
        </w:rPr>
      </w:pPr>
      <w:r>
        <w:rPr>
          <w:rFonts w:hint="eastAsia"/>
          <w:sz w:val="26"/>
          <w:szCs w:val="26"/>
        </w:rPr>
        <w:t>（4）固体废物经济损失分析</w:t>
      </w:r>
    </w:p>
    <w:p w14:paraId="7FB19A98">
      <w:pPr>
        <w:adjustRightInd w:val="0"/>
        <w:snapToGrid w:val="0"/>
        <w:spacing w:line="460" w:lineRule="exact"/>
        <w:ind w:firstLine="520" w:firstLineChars="200"/>
        <w:rPr>
          <w:sz w:val="26"/>
          <w:szCs w:val="26"/>
        </w:rPr>
      </w:pPr>
      <w:r>
        <w:rPr>
          <w:rFonts w:hint="eastAsia"/>
          <w:sz w:val="26"/>
          <w:szCs w:val="26"/>
        </w:rPr>
        <w:t>施工期固废主要为生活垃圾、施工废料以及清管试压废渣等；试采期间固废主要为储罐沉渣、废滤芯、检修废渣、废油及废油桶、生活垃圾等。在严格落实各项环保措施和污染防治措施的情况下，本项目产生的固体废弃物均得到合理处置，对环境的影响较小。</w:t>
      </w:r>
    </w:p>
    <w:p w14:paraId="5B84A69D">
      <w:pPr>
        <w:adjustRightInd w:val="0"/>
        <w:snapToGrid w:val="0"/>
        <w:spacing w:line="460" w:lineRule="exact"/>
        <w:ind w:firstLine="522" w:firstLineChars="200"/>
        <w:outlineLvl w:val="1"/>
        <w:rPr>
          <w:b/>
          <w:sz w:val="26"/>
          <w:szCs w:val="26"/>
        </w:rPr>
      </w:pPr>
      <w:bookmarkStart w:id="419" w:name="_Toc165810675"/>
      <w:bookmarkStart w:id="420" w:name="_Toc165809774"/>
      <w:bookmarkStart w:id="421" w:name="_Toc219907685"/>
      <w:r>
        <w:rPr>
          <w:b/>
          <w:sz w:val="26"/>
          <w:szCs w:val="26"/>
        </w:rPr>
        <w:t>9.4 碳排放分析</w:t>
      </w:r>
      <w:bookmarkEnd w:id="419"/>
      <w:bookmarkEnd w:id="420"/>
      <w:bookmarkEnd w:id="421"/>
    </w:p>
    <w:p w14:paraId="0AF8B65F">
      <w:pPr>
        <w:spacing w:line="460" w:lineRule="exact"/>
        <w:ind w:firstLine="520" w:firstLineChars="200"/>
        <w:rPr>
          <w:rFonts w:cs="Calibri"/>
          <w:sz w:val="26"/>
          <w:szCs w:val="20"/>
        </w:rPr>
      </w:pPr>
      <w:r>
        <w:rPr>
          <w:rFonts w:cs="Calibri"/>
          <w:sz w:val="26"/>
          <w:szCs w:val="20"/>
        </w:rPr>
        <w:t>本项目温室气体碳排放量参照《中国石油天然气生产企业温室气体排放核算方法与报告指南（试行）》（发改办气候〔2014〕2920号）和《非常规油气开采企业温室气体排放核算方法与报告指南》（SY/T7641-2021）进行核算。</w:t>
      </w:r>
    </w:p>
    <w:p w14:paraId="02790C1E">
      <w:pPr>
        <w:spacing w:line="460" w:lineRule="exact"/>
        <w:ind w:firstLine="522" w:firstLineChars="200"/>
        <w:outlineLvl w:val="2"/>
        <w:rPr>
          <w:rFonts w:cs="宋体"/>
          <w:b/>
          <w:kern w:val="0"/>
          <w:sz w:val="26"/>
          <w:szCs w:val="20"/>
        </w:rPr>
      </w:pPr>
      <w:r>
        <w:rPr>
          <w:rFonts w:hint="eastAsia" w:cs="宋体"/>
          <w:b/>
          <w:kern w:val="0"/>
          <w:sz w:val="26"/>
          <w:szCs w:val="20"/>
        </w:rPr>
        <w:t>9</w:t>
      </w:r>
      <w:r>
        <w:rPr>
          <w:rFonts w:cs="宋体"/>
          <w:b/>
          <w:kern w:val="0"/>
          <w:sz w:val="26"/>
          <w:szCs w:val="20"/>
        </w:rPr>
        <w:t>.4.1 项目核算边界及</w:t>
      </w:r>
      <w:r>
        <w:rPr>
          <w:rFonts w:hint="eastAsia" w:cs="宋体"/>
          <w:b/>
          <w:bCs/>
          <w:kern w:val="0"/>
          <w:sz w:val="26"/>
          <w:szCs w:val="20"/>
        </w:rPr>
        <w:t>排放</w:t>
      </w:r>
      <w:r>
        <w:rPr>
          <w:rFonts w:cs="宋体"/>
          <w:b/>
          <w:kern w:val="0"/>
          <w:sz w:val="26"/>
          <w:szCs w:val="20"/>
        </w:rPr>
        <w:t>源</w:t>
      </w:r>
    </w:p>
    <w:p w14:paraId="78D297D0">
      <w:pPr>
        <w:spacing w:line="460" w:lineRule="exact"/>
        <w:ind w:firstLine="520" w:firstLineChars="200"/>
        <w:rPr>
          <w:rFonts w:cs="Calibri"/>
          <w:sz w:val="26"/>
          <w:szCs w:val="20"/>
        </w:rPr>
      </w:pPr>
      <w:r>
        <w:rPr>
          <w:rFonts w:hint="eastAsia" w:cs="Calibri"/>
          <w:sz w:val="26"/>
          <w:szCs w:val="20"/>
        </w:rPr>
        <w:t>本项目</w:t>
      </w:r>
      <w:r>
        <w:rPr>
          <w:rFonts w:cs="Calibri"/>
          <w:sz w:val="26"/>
          <w:szCs w:val="20"/>
        </w:rPr>
        <w:t>共识别了</w:t>
      </w:r>
      <w:r>
        <w:rPr>
          <w:rFonts w:hint="eastAsia" w:cs="Calibri"/>
          <w:sz w:val="26"/>
          <w:szCs w:val="20"/>
        </w:rPr>
        <w:t>温室气体</w:t>
      </w:r>
      <w:r>
        <w:rPr>
          <w:rFonts w:cs="Calibri"/>
          <w:sz w:val="26"/>
          <w:szCs w:val="20"/>
        </w:rPr>
        <w:t>排放源4种，</w:t>
      </w:r>
      <w:r>
        <w:rPr>
          <w:rFonts w:hint="eastAsia" w:cs="Calibri"/>
          <w:sz w:val="26"/>
          <w:szCs w:val="20"/>
        </w:rPr>
        <w:t>采气期间水套加热炉天然气燃烧产生的CO</w:t>
      </w:r>
      <w:r>
        <w:rPr>
          <w:rFonts w:hint="eastAsia" w:cs="Calibri"/>
          <w:sz w:val="26"/>
          <w:szCs w:val="20"/>
          <w:vertAlign w:val="subscript"/>
        </w:rPr>
        <w:t>2</w:t>
      </w:r>
      <w:r>
        <w:rPr>
          <w:rFonts w:hint="eastAsia" w:cs="Calibri"/>
          <w:sz w:val="26"/>
          <w:szCs w:val="20"/>
        </w:rPr>
        <w:t>、事故检修情况下放空管燃烧排放中的CO</w:t>
      </w:r>
      <w:r>
        <w:rPr>
          <w:rFonts w:hint="eastAsia" w:cs="Calibri"/>
          <w:sz w:val="26"/>
          <w:szCs w:val="20"/>
          <w:vertAlign w:val="subscript"/>
        </w:rPr>
        <w:t>2</w:t>
      </w:r>
      <w:r>
        <w:rPr>
          <w:rFonts w:hint="eastAsia" w:cs="Calibri"/>
          <w:sz w:val="26"/>
          <w:szCs w:val="20"/>
        </w:rPr>
        <w:t>、采气过程井口装置逃逸排放的天然气以及购入电力间接排放。</w:t>
      </w:r>
    </w:p>
    <w:p w14:paraId="4216FA41">
      <w:pPr>
        <w:pStyle w:val="1379"/>
        <w:ind w:firstLine="440"/>
      </w:pPr>
    </w:p>
    <w:p w14:paraId="068B6B8E">
      <w:pPr>
        <w:keepNext/>
        <w:tabs>
          <w:tab w:val="right" w:pos="8730"/>
        </w:tabs>
        <w:adjustRightInd w:val="0"/>
        <w:snapToGrid w:val="0"/>
        <w:jc w:val="center"/>
        <w:rPr>
          <w:sz w:val="26"/>
          <w:szCs w:val="26"/>
        </w:rPr>
      </w:pPr>
      <w:r>
        <w:rPr>
          <w:sz w:val="26"/>
          <w:szCs w:val="26"/>
        </w:rPr>
        <w:t>表9.4</w:t>
      </w:r>
      <w:r>
        <w:rPr>
          <w:rFonts w:hint="eastAsia"/>
          <w:sz w:val="26"/>
          <w:szCs w:val="26"/>
        </w:rPr>
        <w:t xml:space="preserve">-1 </w:t>
      </w:r>
      <w:r>
        <w:rPr>
          <w:sz w:val="26"/>
          <w:szCs w:val="26"/>
        </w:rPr>
        <w:t xml:space="preserve"> 项目排放源识别表</w:t>
      </w:r>
    </w:p>
    <w:tbl>
      <w:tblPr>
        <w:tblStyle w:val="89"/>
        <w:tblW w:w="82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346"/>
        <w:gridCol w:w="1166"/>
        <w:gridCol w:w="1180"/>
        <w:gridCol w:w="608"/>
        <w:gridCol w:w="608"/>
        <w:gridCol w:w="620"/>
        <w:gridCol w:w="751"/>
        <w:gridCol w:w="713"/>
        <w:gridCol w:w="587"/>
      </w:tblGrid>
      <w:tr w14:paraId="59E51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gridSpan w:val="2"/>
            <w:vMerge w:val="restart"/>
            <w:vAlign w:val="center"/>
          </w:tcPr>
          <w:p w14:paraId="2DA9D531">
            <w:pPr>
              <w:adjustRightInd w:val="0"/>
              <w:snapToGrid w:val="0"/>
              <w:jc w:val="center"/>
              <w:rPr>
                <w:sz w:val="22"/>
              </w:rPr>
            </w:pPr>
            <w:r>
              <w:rPr>
                <w:sz w:val="22"/>
              </w:rPr>
              <w:t>排放类型</w:t>
            </w:r>
          </w:p>
        </w:tc>
        <w:tc>
          <w:tcPr>
            <w:tcW w:w="1166" w:type="dxa"/>
            <w:vMerge w:val="restart"/>
            <w:vAlign w:val="center"/>
          </w:tcPr>
          <w:p w14:paraId="676491E3">
            <w:pPr>
              <w:adjustRightInd w:val="0"/>
              <w:snapToGrid w:val="0"/>
              <w:jc w:val="center"/>
              <w:rPr>
                <w:sz w:val="22"/>
              </w:rPr>
            </w:pPr>
            <w:r>
              <w:rPr>
                <w:sz w:val="22"/>
              </w:rPr>
              <w:t>排放设施</w:t>
            </w:r>
          </w:p>
        </w:tc>
        <w:tc>
          <w:tcPr>
            <w:tcW w:w="1180" w:type="dxa"/>
            <w:vMerge w:val="restart"/>
            <w:tcBorders>
              <w:right w:val="single" w:color="auto" w:sz="4" w:space="0"/>
            </w:tcBorders>
            <w:vAlign w:val="center"/>
          </w:tcPr>
          <w:p w14:paraId="183DB08C">
            <w:pPr>
              <w:adjustRightInd w:val="0"/>
              <w:snapToGrid w:val="0"/>
              <w:jc w:val="center"/>
              <w:rPr>
                <w:sz w:val="22"/>
              </w:rPr>
            </w:pPr>
            <w:r>
              <w:rPr>
                <w:sz w:val="22"/>
              </w:rPr>
              <w:t>排放源</w:t>
            </w:r>
          </w:p>
        </w:tc>
        <w:tc>
          <w:tcPr>
            <w:tcW w:w="3887" w:type="dxa"/>
            <w:gridSpan w:val="6"/>
            <w:tcBorders>
              <w:top w:val="single" w:color="auto" w:sz="4" w:space="0"/>
              <w:left w:val="single" w:color="auto" w:sz="4" w:space="0"/>
              <w:bottom w:val="single" w:color="auto" w:sz="4" w:space="0"/>
            </w:tcBorders>
            <w:vAlign w:val="center"/>
          </w:tcPr>
          <w:p w14:paraId="11AAA0BC">
            <w:pPr>
              <w:adjustRightInd w:val="0"/>
              <w:snapToGrid w:val="0"/>
              <w:jc w:val="center"/>
              <w:rPr>
                <w:sz w:val="22"/>
              </w:rPr>
            </w:pPr>
            <w:r>
              <w:rPr>
                <w:sz w:val="22"/>
              </w:rPr>
              <w:t>温室气体种类</w:t>
            </w:r>
          </w:p>
        </w:tc>
      </w:tr>
      <w:tr w14:paraId="7F91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3" w:type="dxa"/>
            <w:gridSpan w:val="2"/>
            <w:vMerge w:val="continue"/>
            <w:vAlign w:val="center"/>
          </w:tcPr>
          <w:p w14:paraId="44A798E6">
            <w:pPr>
              <w:adjustRightInd w:val="0"/>
              <w:snapToGrid w:val="0"/>
              <w:jc w:val="center"/>
              <w:rPr>
                <w:sz w:val="22"/>
              </w:rPr>
            </w:pPr>
          </w:p>
        </w:tc>
        <w:tc>
          <w:tcPr>
            <w:tcW w:w="1166" w:type="dxa"/>
            <w:vMerge w:val="continue"/>
            <w:vAlign w:val="center"/>
          </w:tcPr>
          <w:p w14:paraId="6CA189C4">
            <w:pPr>
              <w:adjustRightInd w:val="0"/>
              <w:snapToGrid w:val="0"/>
              <w:jc w:val="center"/>
              <w:rPr>
                <w:sz w:val="22"/>
              </w:rPr>
            </w:pPr>
          </w:p>
        </w:tc>
        <w:tc>
          <w:tcPr>
            <w:tcW w:w="1180" w:type="dxa"/>
            <w:vMerge w:val="continue"/>
            <w:vAlign w:val="center"/>
          </w:tcPr>
          <w:p w14:paraId="0C2F18B8">
            <w:pPr>
              <w:adjustRightInd w:val="0"/>
              <w:snapToGrid w:val="0"/>
              <w:jc w:val="center"/>
              <w:rPr>
                <w:sz w:val="22"/>
              </w:rPr>
            </w:pPr>
          </w:p>
        </w:tc>
        <w:tc>
          <w:tcPr>
            <w:tcW w:w="608" w:type="dxa"/>
            <w:tcBorders>
              <w:top w:val="single" w:color="auto" w:sz="4" w:space="0"/>
            </w:tcBorders>
            <w:vAlign w:val="center"/>
          </w:tcPr>
          <w:p w14:paraId="05D40FB5">
            <w:pPr>
              <w:adjustRightInd w:val="0"/>
              <w:snapToGrid w:val="0"/>
              <w:jc w:val="center"/>
              <w:rPr>
                <w:sz w:val="22"/>
              </w:rPr>
            </w:pPr>
            <w:r>
              <w:rPr>
                <w:sz w:val="22"/>
              </w:rPr>
              <w:t>CO</w:t>
            </w:r>
            <w:r>
              <w:rPr>
                <w:sz w:val="22"/>
                <w:vertAlign w:val="subscript"/>
              </w:rPr>
              <w:t>2</w:t>
            </w:r>
          </w:p>
        </w:tc>
        <w:tc>
          <w:tcPr>
            <w:tcW w:w="608" w:type="dxa"/>
            <w:tcBorders>
              <w:top w:val="single" w:color="auto" w:sz="4" w:space="0"/>
            </w:tcBorders>
            <w:vAlign w:val="center"/>
          </w:tcPr>
          <w:p w14:paraId="336B4375">
            <w:pPr>
              <w:adjustRightInd w:val="0"/>
              <w:snapToGrid w:val="0"/>
              <w:jc w:val="center"/>
              <w:rPr>
                <w:sz w:val="22"/>
              </w:rPr>
            </w:pPr>
            <w:r>
              <w:rPr>
                <w:sz w:val="22"/>
              </w:rPr>
              <w:t>CH</w:t>
            </w:r>
            <w:r>
              <w:rPr>
                <w:sz w:val="22"/>
                <w:vertAlign w:val="subscript"/>
              </w:rPr>
              <w:t>4</w:t>
            </w:r>
          </w:p>
        </w:tc>
        <w:tc>
          <w:tcPr>
            <w:tcW w:w="620" w:type="dxa"/>
            <w:tcBorders>
              <w:top w:val="single" w:color="auto" w:sz="4" w:space="0"/>
            </w:tcBorders>
            <w:vAlign w:val="center"/>
          </w:tcPr>
          <w:p w14:paraId="3507BBE4">
            <w:pPr>
              <w:adjustRightInd w:val="0"/>
              <w:snapToGrid w:val="0"/>
              <w:jc w:val="center"/>
              <w:rPr>
                <w:sz w:val="22"/>
              </w:rPr>
            </w:pPr>
            <w:r>
              <w:rPr>
                <w:sz w:val="22"/>
              </w:rPr>
              <w:t>N</w:t>
            </w:r>
            <w:r>
              <w:rPr>
                <w:sz w:val="22"/>
                <w:vertAlign w:val="subscript"/>
              </w:rPr>
              <w:t>2</w:t>
            </w:r>
            <w:r>
              <w:rPr>
                <w:sz w:val="22"/>
              </w:rPr>
              <w:t>O</w:t>
            </w:r>
          </w:p>
        </w:tc>
        <w:tc>
          <w:tcPr>
            <w:tcW w:w="751" w:type="dxa"/>
            <w:tcBorders>
              <w:top w:val="single" w:color="auto" w:sz="4" w:space="0"/>
            </w:tcBorders>
            <w:vAlign w:val="center"/>
          </w:tcPr>
          <w:p w14:paraId="04BFF23F">
            <w:pPr>
              <w:adjustRightInd w:val="0"/>
              <w:snapToGrid w:val="0"/>
              <w:jc w:val="center"/>
              <w:rPr>
                <w:sz w:val="22"/>
              </w:rPr>
            </w:pPr>
            <w:r>
              <w:rPr>
                <w:sz w:val="22"/>
              </w:rPr>
              <w:t>HFCs</w:t>
            </w:r>
          </w:p>
        </w:tc>
        <w:tc>
          <w:tcPr>
            <w:tcW w:w="713" w:type="dxa"/>
            <w:tcBorders>
              <w:top w:val="single" w:color="auto" w:sz="4" w:space="0"/>
            </w:tcBorders>
            <w:vAlign w:val="center"/>
          </w:tcPr>
          <w:p w14:paraId="52BD1B40">
            <w:pPr>
              <w:adjustRightInd w:val="0"/>
              <w:snapToGrid w:val="0"/>
              <w:jc w:val="center"/>
              <w:rPr>
                <w:sz w:val="22"/>
              </w:rPr>
            </w:pPr>
            <w:r>
              <w:rPr>
                <w:sz w:val="22"/>
              </w:rPr>
              <w:t>PFCs</w:t>
            </w:r>
          </w:p>
        </w:tc>
        <w:tc>
          <w:tcPr>
            <w:tcW w:w="587" w:type="dxa"/>
            <w:vAlign w:val="center"/>
          </w:tcPr>
          <w:p w14:paraId="3BCB4137">
            <w:pPr>
              <w:adjustRightInd w:val="0"/>
              <w:snapToGrid w:val="0"/>
              <w:jc w:val="center"/>
              <w:rPr>
                <w:sz w:val="22"/>
              </w:rPr>
            </w:pPr>
            <w:r>
              <w:rPr>
                <w:sz w:val="22"/>
              </w:rPr>
              <w:t>SF6</w:t>
            </w:r>
          </w:p>
        </w:tc>
      </w:tr>
      <w:tr w14:paraId="60ED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Merge w:val="restart"/>
            <w:vAlign w:val="center"/>
          </w:tcPr>
          <w:p w14:paraId="11040E4C">
            <w:pPr>
              <w:adjustRightInd w:val="0"/>
              <w:snapToGrid w:val="0"/>
              <w:jc w:val="center"/>
              <w:rPr>
                <w:sz w:val="22"/>
              </w:rPr>
            </w:pPr>
            <w:r>
              <w:rPr>
                <w:sz w:val="22"/>
              </w:rPr>
              <w:t>直接排放</w:t>
            </w:r>
          </w:p>
        </w:tc>
        <w:tc>
          <w:tcPr>
            <w:tcW w:w="1346" w:type="dxa"/>
            <w:vAlign w:val="center"/>
          </w:tcPr>
          <w:p w14:paraId="63A52717">
            <w:pPr>
              <w:adjustRightInd w:val="0"/>
              <w:snapToGrid w:val="0"/>
              <w:jc w:val="center"/>
              <w:rPr>
                <w:sz w:val="22"/>
              </w:rPr>
            </w:pPr>
            <w:r>
              <w:rPr>
                <w:sz w:val="22"/>
              </w:rPr>
              <w:t>化石燃料燃烧</w:t>
            </w:r>
          </w:p>
        </w:tc>
        <w:tc>
          <w:tcPr>
            <w:tcW w:w="1166" w:type="dxa"/>
            <w:vAlign w:val="center"/>
          </w:tcPr>
          <w:p w14:paraId="51D98102">
            <w:pPr>
              <w:adjustRightInd w:val="0"/>
              <w:snapToGrid w:val="0"/>
              <w:jc w:val="center"/>
              <w:rPr>
                <w:sz w:val="22"/>
              </w:rPr>
            </w:pPr>
            <w:r>
              <w:rPr>
                <w:rFonts w:hint="eastAsia"/>
                <w:sz w:val="22"/>
              </w:rPr>
              <w:t>水套加热炉</w:t>
            </w:r>
          </w:p>
        </w:tc>
        <w:tc>
          <w:tcPr>
            <w:tcW w:w="1180" w:type="dxa"/>
            <w:vAlign w:val="center"/>
          </w:tcPr>
          <w:p w14:paraId="203719E5">
            <w:pPr>
              <w:adjustRightInd w:val="0"/>
              <w:snapToGrid w:val="0"/>
              <w:jc w:val="center"/>
              <w:rPr>
                <w:sz w:val="22"/>
              </w:rPr>
            </w:pPr>
            <w:r>
              <w:rPr>
                <w:rFonts w:hint="eastAsia"/>
                <w:sz w:val="22"/>
              </w:rPr>
              <w:t>天然气</w:t>
            </w:r>
            <w:r>
              <w:rPr>
                <w:sz w:val="22"/>
              </w:rPr>
              <w:t>燃烧</w:t>
            </w:r>
          </w:p>
        </w:tc>
        <w:tc>
          <w:tcPr>
            <w:tcW w:w="608" w:type="dxa"/>
            <w:tcBorders>
              <w:top w:val="single" w:color="auto" w:sz="4" w:space="0"/>
            </w:tcBorders>
            <w:vAlign w:val="center"/>
          </w:tcPr>
          <w:p w14:paraId="7CE93CCE">
            <w:pPr>
              <w:adjustRightInd w:val="0"/>
              <w:snapToGrid w:val="0"/>
              <w:jc w:val="center"/>
              <w:rPr>
                <w:sz w:val="22"/>
              </w:rPr>
            </w:pPr>
            <w:r>
              <w:rPr>
                <w:sz w:val="22"/>
              </w:rPr>
              <w:t>√</w:t>
            </w:r>
          </w:p>
        </w:tc>
        <w:tc>
          <w:tcPr>
            <w:tcW w:w="608" w:type="dxa"/>
            <w:tcBorders>
              <w:top w:val="single" w:color="auto" w:sz="4" w:space="0"/>
            </w:tcBorders>
            <w:vAlign w:val="center"/>
          </w:tcPr>
          <w:p w14:paraId="1ACEAA24">
            <w:pPr>
              <w:adjustRightInd w:val="0"/>
              <w:snapToGrid w:val="0"/>
              <w:jc w:val="center"/>
              <w:rPr>
                <w:sz w:val="22"/>
              </w:rPr>
            </w:pPr>
          </w:p>
        </w:tc>
        <w:tc>
          <w:tcPr>
            <w:tcW w:w="620" w:type="dxa"/>
            <w:tcBorders>
              <w:top w:val="single" w:color="auto" w:sz="4" w:space="0"/>
            </w:tcBorders>
            <w:vAlign w:val="center"/>
          </w:tcPr>
          <w:p w14:paraId="0561F1EF">
            <w:pPr>
              <w:adjustRightInd w:val="0"/>
              <w:snapToGrid w:val="0"/>
              <w:jc w:val="center"/>
              <w:rPr>
                <w:sz w:val="22"/>
              </w:rPr>
            </w:pPr>
          </w:p>
        </w:tc>
        <w:tc>
          <w:tcPr>
            <w:tcW w:w="751" w:type="dxa"/>
            <w:tcBorders>
              <w:top w:val="single" w:color="auto" w:sz="4" w:space="0"/>
            </w:tcBorders>
            <w:vAlign w:val="center"/>
          </w:tcPr>
          <w:p w14:paraId="198B22E9">
            <w:pPr>
              <w:adjustRightInd w:val="0"/>
              <w:snapToGrid w:val="0"/>
              <w:jc w:val="center"/>
              <w:rPr>
                <w:sz w:val="22"/>
              </w:rPr>
            </w:pPr>
          </w:p>
        </w:tc>
        <w:tc>
          <w:tcPr>
            <w:tcW w:w="713" w:type="dxa"/>
            <w:tcBorders>
              <w:top w:val="single" w:color="auto" w:sz="4" w:space="0"/>
            </w:tcBorders>
            <w:vAlign w:val="center"/>
          </w:tcPr>
          <w:p w14:paraId="09C70A42">
            <w:pPr>
              <w:adjustRightInd w:val="0"/>
              <w:snapToGrid w:val="0"/>
              <w:jc w:val="center"/>
              <w:rPr>
                <w:sz w:val="22"/>
              </w:rPr>
            </w:pPr>
          </w:p>
        </w:tc>
        <w:tc>
          <w:tcPr>
            <w:tcW w:w="587" w:type="dxa"/>
            <w:vAlign w:val="center"/>
          </w:tcPr>
          <w:p w14:paraId="33E12FA3">
            <w:pPr>
              <w:adjustRightInd w:val="0"/>
              <w:snapToGrid w:val="0"/>
              <w:jc w:val="center"/>
              <w:rPr>
                <w:sz w:val="22"/>
              </w:rPr>
            </w:pPr>
          </w:p>
        </w:tc>
      </w:tr>
      <w:tr w14:paraId="226B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687" w:type="dxa"/>
            <w:vMerge w:val="continue"/>
            <w:vAlign w:val="center"/>
          </w:tcPr>
          <w:p w14:paraId="0C991D47">
            <w:pPr>
              <w:adjustRightInd w:val="0"/>
              <w:snapToGrid w:val="0"/>
              <w:jc w:val="center"/>
              <w:rPr>
                <w:sz w:val="22"/>
              </w:rPr>
            </w:pPr>
          </w:p>
        </w:tc>
        <w:tc>
          <w:tcPr>
            <w:tcW w:w="1346" w:type="dxa"/>
            <w:vAlign w:val="center"/>
          </w:tcPr>
          <w:p w14:paraId="6904F04D">
            <w:pPr>
              <w:adjustRightInd w:val="0"/>
              <w:snapToGrid w:val="0"/>
              <w:jc w:val="center"/>
              <w:rPr>
                <w:sz w:val="22"/>
              </w:rPr>
            </w:pPr>
            <w:r>
              <w:rPr>
                <w:sz w:val="22"/>
              </w:rPr>
              <w:t>放空燃烧</w:t>
            </w:r>
          </w:p>
        </w:tc>
        <w:tc>
          <w:tcPr>
            <w:tcW w:w="1166" w:type="dxa"/>
            <w:vAlign w:val="center"/>
          </w:tcPr>
          <w:p w14:paraId="7D83AD0F">
            <w:pPr>
              <w:adjustRightInd w:val="0"/>
              <w:snapToGrid w:val="0"/>
              <w:jc w:val="center"/>
              <w:rPr>
                <w:sz w:val="22"/>
              </w:rPr>
            </w:pPr>
            <w:r>
              <w:rPr>
                <w:sz w:val="22"/>
              </w:rPr>
              <w:t>放空管</w:t>
            </w:r>
          </w:p>
        </w:tc>
        <w:tc>
          <w:tcPr>
            <w:tcW w:w="1180" w:type="dxa"/>
            <w:vAlign w:val="center"/>
          </w:tcPr>
          <w:p w14:paraId="3F9318A7">
            <w:pPr>
              <w:adjustRightInd w:val="0"/>
              <w:snapToGrid w:val="0"/>
              <w:jc w:val="center"/>
              <w:rPr>
                <w:sz w:val="22"/>
              </w:rPr>
            </w:pPr>
            <w:r>
              <w:rPr>
                <w:sz w:val="22"/>
              </w:rPr>
              <w:t>天然气燃烧</w:t>
            </w:r>
          </w:p>
        </w:tc>
        <w:tc>
          <w:tcPr>
            <w:tcW w:w="608" w:type="dxa"/>
            <w:vAlign w:val="center"/>
          </w:tcPr>
          <w:p w14:paraId="0925906B">
            <w:pPr>
              <w:adjustRightInd w:val="0"/>
              <w:snapToGrid w:val="0"/>
              <w:jc w:val="center"/>
              <w:rPr>
                <w:sz w:val="22"/>
              </w:rPr>
            </w:pPr>
            <w:r>
              <w:rPr>
                <w:sz w:val="22"/>
              </w:rPr>
              <w:t>√</w:t>
            </w:r>
          </w:p>
        </w:tc>
        <w:tc>
          <w:tcPr>
            <w:tcW w:w="608" w:type="dxa"/>
            <w:vAlign w:val="center"/>
          </w:tcPr>
          <w:p w14:paraId="012212DF">
            <w:pPr>
              <w:adjustRightInd w:val="0"/>
              <w:snapToGrid w:val="0"/>
              <w:jc w:val="center"/>
              <w:rPr>
                <w:sz w:val="22"/>
              </w:rPr>
            </w:pPr>
            <w:r>
              <w:rPr>
                <w:sz w:val="22"/>
              </w:rPr>
              <w:t>√</w:t>
            </w:r>
          </w:p>
        </w:tc>
        <w:tc>
          <w:tcPr>
            <w:tcW w:w="620" w:type="dxa"/>
            <w:vAlign w:val="center"/>
          </w:tcPr>
          <w:p w14:paraId="133A98C1">
            <w:pPr>
              <w:adjustRightInd w:val="0"/>
              <w:snapToGrid w:val="0"/>
              <w:jc w:val="center"/>
              <w:rPr>
                <w:sz w:val="22"/>
              </w:rPr>
            </w:pPr>
          </w:p>
        </w:tc>
        <w:tc>
          <w:tcPr>
            <w:tcW w:w="751" w:type="dxa"/>
            <w:vAlign w:val="center"/>
          </w:tcPr>
          <w:p w14:paraId="4A02F03E">
            <w:pPr>
              <w:adjustRightInd w:val="0"/>
              <w:snapToGrid w:val="0"/>
              <w:jc w:val="center"/>
              <w:rPr>
                <w:sz w:val="22"/>
              </w:rPr>
            </w:pPr>
          </w:p>
        </w:tc>
        <w:tc>
          <w:tcPr>
            <w:tcW w:w="713" w:type="dxa"/>
            <w:vAlign w:val="center"/>
          </w:tcPr>
          <w:p w14:paraId="6DC74E7A">
            <w:pPr>
              <w:adjustRightInd w:val="0"/>
              <w:snapToGrid w:val="0"/>
              <w:jc w:val="center"/>
              <w:rPr>
                <w:sz w:val="22"/>
              </w:rPr>
            </w:pPr>
          </w:p>
        </w:tc>
        <w:tc>
          <w:tcPr>
            <w:tcW w:w="587" w:type="dxa"/>
            <w:vAlign w:val="center"/>
          </w:tcPr>
          <w:p w14:paraId="121A9FA6">
            <w:pPr>
              <w:adjustRightInd w:val="0"/>
              <w:snapToGrid w:val="0"/>
              <w:jc w:val="center"/>
              <w:rPr>
                <w:sz w:val="22"/>
              </w:rPr>
            </w:pPr>
          </w:p>
        </w:tc>
      </w:tr>
      <w:tr w14:paraId="0D31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Merge w:val="continue"/>
            <w:vAlign w:val="center"/>
          </w:tcPr>
          <w:p w14:paraId="0DE3E630">
            <w:pPr>
              <w:adjustRightInd w:val="0"/>
              <w:snapToGrid w:val="0"/>
              <w:jc w:val="center"/>
              <w:rPr>
                <w:sz w:val="22"/>
              </w:rPr>
            </w:pPr>
          </w:p>
        </w:tc>
        <w:tc>
          <w:tcPr>
            <w:tcW w:w="1346" w:type="dxa"/>
            <w:vAlign w:val="center"/>
          </w:tcPr>
          <w:p w14:paraId="7B028B09">
            <w:pPr>
              <w:adjustRightInd w:val="0"/>
              <w:snapToGrid w:val="0"/>
              <w:jc w:val="center"/>
              <w:rPr>
                <w:sz w:val="22"/>
              </w:rPr>
            </w:pPr>
            <w:r>
              <w:rPr>
                <w:sz w:val="22"/>
              </w:rPr>
              <w:t>甲烷逸散排放</w:t>
            </w:r>
          </w:p>
        </w:tc>
        <w:tc>
          <w:tcPr>
            <w:tcW w:w="1166" w:type="dxa"/>
            <w:vAlign w:val="center"/>
          </w:tcPr>
          <w:p w14:paraId="2B9CE30A">
            <w:pPr>
              <w:adjustRightInd w:val="0"/>
              <w:snapToGrid w:val="0"/>
              <w:jc w:val="center"/>
              <w:rPr>
                <w:sz w:val="22"/>
              </w:rPr>
            </w:pPr>
            <w:r>
              <w:rPr>
                <w:rFonts w:hint="eastAsia"/>
                <w:sz w:val="22"/>
              </w:rPr>
              <w:t>井口</w:t>
            </w:r>
            <w:r>
              <w:rPr>
                <w:sz w:val="22"/>
              </w:rPr>
              <w:t>装置</w:t>
            </w:r>
          </w:p>
        </w:tc>
        <w:tc>
          <w:tcPr>
            <w:tcW w:w="1180" w:type="dxa"/>
            <w:vAlign w:val="center"/>
          </w:tcPr>
          <w:p w14:paraId="3CBEB965">
            <w:pPr>
              <w:adjustRightInd w:val="0"/>
              <w:snapToGrid w:val="0"/>
              <w:jc w:val="center"/>
              <w:rPr>
                <w:sz w:val="22"/>
              </w:rPr>
            </w:pPr>
            <w:r>
              <w:rPr>
                <w:sz w:val="22"/>
              </w:rPr>
              <w:t>工艺逃逸</w:t>
            </w:r>
          </w:p>
        </w:tc>
        <w:tc>
          <w:tcPr>
            <w:tcW w:w="608" w:type="dxa"/>
            <w:vAlign w:val="center"/>
          </w:tcPr>
          <w:p w14:paraId="7BDB2B75">
            <w:pPr>
              <w:adjustRightInd w:val="0"/>
              <w:snapToGrid w:val="0"/>
              <w:jc w:val="center"/>
              <w:rPr>
                <w:sz w:val="22"/>
              </w:rPr>
            </w:pPr>
          </w:p>
        </w:tc>
        <w:tc>
          <w:tcPr>
            <w:tcW w:w="608" w:type="dxa"/>
            <w:vAlign w:val="center"/>
          </w:tcPr>
          <w:p w14:paraId="221F2A8E">
            <w:pPr>
              <w:adjustRightInd w:val="0"/>
              <w:snapToGrid w:val="0"/>
              <w:jc w:val="center"/>
              <w:rPr>
                <w:sz w:val="22"/>
              </w:rPr>
            </w:pPr>
            <w:r>
              <w:rPr>
                <w:sz w:val="22"/>
              </w:rPr>
              <w:t>√</w:t>
            </w:r>
          </w:p>
        </w:tc>
        <w:tc>
          <w:tcPr>
            <w:tcW w:w="620" w:type="dxa"/>
            <w:vAlign w:val="center"/>
          </w:tcPr>
          <w:p w14:paraId="20B05797">
            <w:pPr>
              <w:adjustRightInd w:val="0"/>
              <w:snapToGrid w:val="0"/>
              <w:jc w:val="center"/>
              <w:rPr>
                <w:sz w:val="22"/>
              </w:rPr>
            </w:pPr>
          </w:p>
        </w:tc>
        <w:tc>
          <w:tcPr>
            <w:tcW w:w="751" w:type="dxa"/>
            <w:vAlign w:val="center"/>
          </w:tcPr>
          <w:p w14:paraId="281CF2B4">
            <w:pPr>
              <w:adjustRightInd w:val="0"/>
              <w:snapToGrid w:val="0"/>
              <w:jc w:val="center"/>
              <w:rPr>
                <w:sz w:val="22"/>
              </w:rPr>
            </w:pPr>
          </w:p>
        </w:tc>
        <w:tc>
          <w:tcPr>
            <w:tcW w:w="713" w:type="dxa"/>
            <w:vAlign w:val="center"/>
          </w:tcPr>
          <w:p w14:paraId="7997BBBA">
            <w:pPr>
              <w:adjustRightInd w:val="0"/>
              <w:snapToGrid w:val="0"/>
              <w:jc w:val="center"/>
              <w:rPr>
                <w:sz w:val="22"/>
              </w:rPr>
            </w:pPr>
          </w:p>
        </w:tc>
        <w:tc>
          <w:tcPr>
            <w:tcW w:w="587" w:type="dxa"/>
            <w:vAlign w:val="center"/>
          </w:tcPr>
          <w:p w14:paraId="4D09D4B1">
            <w:pPr>
              <w:adjustRightInd w:val="0"/>
              <w:snapToGrid w:val="0"/>
              <w:jc w:val="center"/>
              <w:rPr>
                <w:sz w:val="22"/>
              </w:rPr>
            </w:pPr>
          </w:p>
        </w:tc>
      </w:tr>
      <w:tr w14:paraId="1D10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14:paraId="3BAA8170">
            <w:pPr>
              <w:adjustRightInd w:val="0"/>
              <w:snapToGrid w:val="0"/>
              <w:jc w:val="center"/>
              <w:rPr>
                <w:sz w:val="22"/>
              </w:rPr>
            </w:pPr>
            <w:r>
              <w:rPr>
                <w:sz w:val="22"/>
              </w:rPr>
              <w:t>间接排放</w:t>
            </w:r>
          </w:p>
        </w:tc>
        <w:tc>
          <w:tcPr>
            <w:tcW w:w="1346" w:type="dxa"/>
            <w:vAlign w:val="center"/>
          </w:tcPr>
          <w:p w14:paraId="17348945">
            <w:pPr>
              <w:adjustRightInd w:val="0"/>
              <w:snapToGrid w:val="0"/>
              <w:jc w:val="center"/>
              <w:rPr>
                <w:sz w:val="22"/>
              </w:rPr>
            </w:pPr>
            <w:r>
              <w:rPr>
                <w:sz w:val="22"/>
              </w:rPr>
              <w:t>净外购电力</w:t>
            </w:r>
          </w:p>
        </w:tc>
        <w:tc>
          <w:tcPr>
            <w:tcW w:w="1166" w:type="dxa"/>
            <w:vAlign w:val="center"/>
          </w:tcPr>
          <w:p w14:paraId="5582DEE7">
            <w:pPr>
              <w:adjustRightInd w:val="0"/>
              <w:snapToGrid w:val="0"/>
              <w:jc w:val="center"/>
              <w:rPr>
                <w:sz w:val="22"/>
              </w:rPr>
            </w:pPr>
            <w:r>
              <w:rPr>
                <w:sz w:val="22"/>
              </w:rPr>
              <w:t>用电设施</w:t>
            </w:r>
          </w:p>
        </w:tc>
        <w:tc>
          <w:tcPr>
            <w:tcW w:w="1180" w:type="dxa"/>
            <w:vAlign w:val="center"/>
          </w:tcPr>
          <w:p w14:paraId="18AE1EA9">
            <w:pPr>
              <w:adjustRightInd w:val="0"/>
              <w:snapToGrid w:val="0"/>
              <w:jc w:val="center"/>
              <w:rPr>
                <w:sz w:val="22"/>
              </w:rPr>
            </w:pPr>
            <w:r>
              <w:rPr>
                <w:sz w:val="22"/>
              </w:rPr>
              <w:t>电网电力</w:t>
            </w:r>
          </w:p>
        </w:tc>
        <w:tc>
          <w:tcPr>
            <w:tcW w:w="608" w:type="dxa"/>
            <w:vAlign w:val="center"/>
          </w:tcPr>
          <w:p w14:paraId="6ADAEB98">
            <w:pPr>
              <w:adjustRightInd w:val="0"/>
              <w:snapToGrid w:val="0"/>
              <w:jc w:val="center"/>
              <w:rPr>
                <w:sz w:val="22"/>
              </w:rPr>
            </w:pPr>
            <w:r>
              <w:rPr>
                <w:sz w:val="22"/>
              </w:rPr>
              <w:t>√</w:t>
            </w:r>
          </w:p>
        </w:tc>
        <w:tc>
          <w:tcPr>
            <w:tcW w:w="608" w:type="dxa"/>
            <w:vAlign w:val="center"/>
          </w:tcPr>
          <w:p w14:paraId="6B8D1AE1">
            <w:pPr>
              <w:adjustRightInd w:val="0"/>
              <w:snapToGrid w:val="0"/>
              <w:jc w:val="center"/>
              <w:rPr>
                <w:sz w:val="22"/>
              </w:rPr>
            </w:pPr>
          </w:p>
        </w:tc>
        <w:tc>
          <w:tcPr>
            <w:tcW w:w="620" w:type="dxa"/>
            <w:vAlign w:val="center"/>
          </w:tcPr>
          <w:p w14:paraId="1F4D22E6">
            <w:pPr>
              <w:adjustRightInd w:val="0"/>
              <w:snapToGrid w:val="0"/>
              <w:jc w:val="center"/>
              <w:rPr>
                <w:sz w:val="22"/>
              </w:rPr>
            </w:pPr>
          </w:p>
        </w:tc>
        <w:tc>
          <w:tcPr>
            <w:tcW w:w="751" w:type="dxa"/>
            <w:vAlign w:val="center"/>
          </w:tcPr>
          <w:p w14:paraId="6D40A074">
            <w:pPr>
              <w:adjustRightInd w:val="0"/>
              <w:snapToGrid w:val="0"/>
              <w:jc w:val="center"/>
              <w:rPr>
                <w:sz w:val="22"/>
              </w:rPr>
            </w:pPr>
          </w:p>
        </w:tc>
        <w:tc>
          <w:tcPr>
            <w:tcW w:w="713" w:type="dxa"/>
            <w:vAlign w:val="center"/>
          </w:tcPr>
          <w:p w14:paraId="6358663E">
            <w:pPr>
              <w:adjustRightInd w:val="0"/>
              <w:snapToGrid w:val="0"/>
              <w:jc w:val="center"/>
              <w:rPr>
                <w:sz w:val="22"/>
              </w:rPr>
            </w:pPr>
          </w:p>
        </w:tc>
        <w:tc>
          <w:tcPr>
            <w:tcW w:w="587" w:type="dxa"/>
            <w:vAlign w:val="center"/>
          </w:tcPr>
          <w:p w14:paraId="51574C23">
            <w:pPr>
              <w:adjustRightInd w:val="0"/>
              <w:snapToGrid w:val="0"/>
              <w:jc w:val="center"/>
              <w:rPr>
                <w:sz w:val="22"/>
              </w:rPr>
            </w:pPr>
          </w:p>
        </w:tc>
      </w:tr>
    </w:tbl>
    <w:p w14:paraId="267B0B49">
      <w:pPr>
        <w:pStyle w:val="1379"/>
        <w:ind w:firstLine="440"/>
      </w:pPr>
    </w:p>
    <w:p w14:paraId="596CA52B">
      <w:pPr>
        <w:spacing w:line="460" w:lineRule="exact"/>
        <w:ind w:firstLine="522" w:firstLineChars="200"/>
        <w:outlineLvl w:val="2"/>
        <w:rPr>
          <w:rFonts w:cs="宋体"/>
          <w:b/>
          <w:kern w:val="0"/>
          <w:sz w:val="26"/>
          <w:szCs w:val="20"/>
        </w:rPr>
      </w:pPr>
      <w:r>
        <w:rPr>
          <w:rFonts w:hint="eastAsia" w:cs="宋体"/>
          <w:b/>
          <w:kern w:val="0"/>
          <w:sz w:val="26"/>
          <w:szCs w:val="20"/>
        </w:rPr>
        <w:t>9</w:t>
      </w:r>
      <w:r>
        <w:rPr>
          <w:rFonts w:cs="宋体"/>
          <w:b/>
          <w:kern w:val="0"/>
          <w:sz w:val="26"/>
          <w:szCs w:val="20"/>
        </w:rPr>
        <w:t xml:space="preserve">.4.2 </w:t>
      </w:r>
      <w:r>
        <w:rPr>
          <w:rFonts w:hint="eastAsia" w:cs="宋体"/>
          <w:b/>
          <w:kern w:val="0"/>
          <w:sz w:val="26"/>
          <w:szCs w:val="20"/>
        </w:rPr>
        <w:t>碳排放监测情况</w:t>
      </w:r>
    </w:p>
    <w:p w14:paraId="38093E8F">
      <w:pPr>
        <w:spacing w:line="460" w:lineRule="exact"/>
        <w:ind w:firstLine="522" w:firstLineChars="200"/>
        <w:rPr>
          <w:rFonts w:cs="Calibri"/>
          <w:b/>
          <w:bCs/>
          <w:sz w:val="26"/>
          <w:szCs w:val="20"/>
        </w:rPr>
      </w:pPr>
      <w:r>
        <w:rPr>
          <w:rFonts w:cs="Calibri"/>
          <w:b/>
          <w:bCs/>
          <w:sz w:val="26"/>
          <w:szCs w:val="20"/>
        </w:rPr>
        <w:t>（1）碳排放源的活动数据获取情况</w:t>
      </w:r>
    </w:p>
    <w:p w14:paraId="55B1C8EB">
      <w:pPr>
        <w:spacing w:line="460" w:lineRule="exact"/>
        <w:ind w:firstLine="520" w:firstLineChars="200"/>
        <w:rPr>
          <w:rFonts w:cs="Calibri"/>
          <w:sz w:val="26"/>
          <w:szCs w:val="20"/>
        </w:rPr>
      </w:pPr>
      <w:r>
        <w:rPr>
          <w:rFonts w:cs="Calibri"/>
          <w:sz w:val="26"/>
          <w:szCs w:val="20"/>
        </w:rPr>
        <w:t>项目投产后所涉及的活动数据，包括</w:t>
      </w:r>
      <w:r>
        <w:rPr>
          <w:rFonts w:hint="eastAsia" w:cs="Calibri"/>
          <w:sz w:val="26"/>
          <w:szCs w:val="20"/>
        </w:rPr>
        <w:t>化石燃料燃烧活动数据、放空管</w:t>
      </w:r>
      <w:r>
        <w:rPr>
          <w:rFonts w:cs="Calibri"/>
          <w:sz w:val="26"/>
          <w:szCs w:val="20"/>
        </w:rPr>
        <w:t>燃烧活动数据、</w:t>
      </w:r>
      <w:r>
        <w:rPr>
          <w:rFonts w:hint="eastAsia" w:cs="Calibri"/>
          <w:sz w:val="26"/>
          <w:szCs w:val="20"/>
        </w:rPr>
        <w:t>采气过程</w:t>
      </w:r>
      <w:r>
        <w:rPr>
          <w:rFonts w:cs="Calibri"/>
          <w:sz w:val="26"/>
          <w:szCs w:val="20"/>
        </w:rPr>
        <w:t>逃逸排放活动数据、净购入电力活动数据。各项活动数据从</w:t>
      </w:r>
      <w:r>
        <w:rPr>
          <w:rFonts w:hint="eastAsia" w:cs="Calibri"/>
          <w:sz w:val="26"/>
          <w:szCs w:val="20"/>
        </w:rPr>
        <w:t>川东</w:t>
      </w:r>
      <w:r>
        <w:rPr>
          <w:rFonts w:cs="Calibri"/>
          <w:sz w:val="26"/>
          <w:szCs w:val="20"/>
        </w:rPr>
        <w:t>气田</w:t>
      </w:r>
      <w:r>
        <w:rPr>
          <w:rFonts w:hint="eastAsia" w:cs="Calibri"/>
          <w:sz w:val="26"/>
          <w:szCs w:val="20"/>
        </w:rPr>
        <w:t>开</w:t>
      </w:r>
      <w:r>
        <w:rPr>
          <w:rFonts w:cs="Calibri"/>
          <w:sz w:val="26"/>
          <w:szCs w:val="20"/>
        </w:rPr>
        <w:t>采过程统计中获取。</w:t>
      </w:r>
    </w:p>
    <w:p w14:paraId="2075B877">
      <w:pPr>
        <w:spacing w:line="460" w:lineRule="exact"/>
        <w:ind w:firstLine="520" w:firstLineChars="200"/>
        <w:rPr>
          <w:rFonts w:cs="Calibri"/>
          <w:sz w:val="26"/>
          <w:szCs w:val="20"/>
        </w:rPr>
      </w:pPr>
      <w:r>
        <w:rPr>
          <w:rFonts w:hint="eastAsia" w:cs="Calibri"/>
          <w:sz w:val="26"/>
          <w:szCs w:val="20"/>
        </w:rPr>
        <w:t>①化石燃料燃烧活动数据，根据基础设计中对水套加热炉消耗量测算。</w:t>
      </w:r>
    </w:p>
    <w:p w14:paraId="5F325F95">
      <w:pPr>
        <w:spacing w:line="460" w:lineRule="exact"/>
        <w:ind w:firstLine="520" w:firstLineChars="200"/>
        <w:rPr>
          <w:rFonts w:cs="Calibri"/>
          <w:sz w:val="26"/>
          <w:szCs w:val="20"/>
        </w:rPr>
      </w:pPr>
      <w:r>
        <w:rPr>
          <w:rFonts w:hint="eastAsia" w:cs="Calibri"/>
          <w:sz w:val="26"/>
          <w:szCs w:val="20"/>
        </w:rPr>
        <w:t>②放空</w:t>
      </w:r>
      <w:r>
        <w:rPr>
          <w:rFonts w:cs="Calibri"/>
          <w:sz w:val="26"/>
          <w:szCs w:val="20"/>
        </w:rPr>
        <w:t>燃烧活动数据，根据基础设计中对非正常工况下火炬消耗燃料气的测算。</w:t>
      </w:r>
    </w:p>
    <w:p w14:paraId="2A89B35E">
      <w:pPr>
        <w:spacing w:line="460" w:lineRule="exact"/>
        <w:ind w:firstLine="520" w:firstLineChars="200"/>
        <w:rPr>
          <w:rFonts w:cs="Calibri"/>
          <w:sz w:val="26"/>
          <w:szCs w:val="20"/>
        </w:rPr>
      </w:pPr>
      <w:r>
        <w:rPr>
          <w:rFonts w:hint="eastAsia" w:cs="Calibri"/>
          <w:sz w:val="26"/>
          <w:szCs w:val="20"/>
        </w:rPr>
        <w:t>③天然气开采</w:t>
      </w:r>
      <w:r>
        <w:rPr>
          <w:rFonts w:cs="Calibri"/>
          <w:sz w:val="26"/>
          <w:szCs w:val="20"/>
        </w:rPr>
        <w:t>业务过程活动数据，根据基础设计中对</w:t>
      </w:r>
      <w:r>
        <w:rPr>
          <w:rFonts w:hint="eastAsia" w:cs="Calibri"/>
          <w:sz w:val="26"/>
          <w:szCs w:val="20"/>
        </w:rPr>
        <w:t>天然气开采</w:t>
      </w:r>
      <w:r>
        <w:rPr>
          <w:rFonts w:cs="Calibri"/>
          <w:sz w:val="26"/>
          <w:szCs w:val="20"/>
        </w:rPr>
        <w:t>业务逃逸排放的CH</w:t>
      </w:r>
      <w:r>
        <w:rPr>
          <w:rFonts w:cs="Calibri"/>
          <w:sz w:val="26"/>
          <w:szCs w:val="20"/>
          <w:vertAlign w:val="subscript"/>
        </w:rPr>
        <w:t>4</w:t>
      </w:r>
      <w:r>
        <w:rPr>
          <w:rFonts w:cs="Calibri"/>
          <w:sz w:val="26"/>
          <w:szCs w:val="20"/>
        </w:rPr>
        <w:t>进行测算。</w:t>
      </w:r>
    </w:p>
    <w:p w14:paraId="7FB2E7A0">
      <w:pPr>
        <w:spacing w:line="460" w:lineRule="exact"/>
        <w:ind w:firstLine="520" w:firstLineChars="200"/>
        <w:rPr>
          <w:rFonts w:cs="Calibri"/>
          <w:sz w:val="26"/>
          <w:szCs w:val="20"/>
        </w:rPr>
      </w:pPr>
      <w:r>
        <w:rPr>
          <w:rFonts w:cs="Calibri"/>
          <w:sz w:val="26"/>
          <w:szCs w:val="20"/>
        </w:rPr>
        <w:fldChar w:fldCharType="begin"/>
      </w:r>
      <w:r>
        <w:rPr>
          <w:rFonts w:cs="Calibri"/>
          <w:sz w:val="26"/>
          <w:szCs w:val="20"/>
        </w:rPr>
        <w:instrText xml:space="preserve"> </w:instrText>
      </w:r>
      <w:r>
        <w:rPr>
          <w:rFonts w:hint="eastAsia" w:cs="Calibri"/>
          <w:sz w:val="26"/>
          <w:szCs w:val="20"/>
        </w:rPr>
        <w:instrText xml:space="preserve">= 4 \* GB3</w:instrText>
      </w:r>
      <w:r>
        <w:rPr>
          <w:rFonts w:cs="Calibri"/>
          <w:sz w:val="26"/>
          <w:szCs w:val="20"/>
        </w:rPr>
        <w:instrText xml:space="preserve"> </w:instrText>
      </w:r>
      <w:r>
        <w:rPr>
          <w:rFonts w:cs="Calibri"/>
          <w:sz w:val="26"/>
          <w:szCs w:val="20"/>
        </w:rPr>
        <w:fldChar w:fldCharType="separate"/>
      </w:r>
      <w:r>
        <w:rPr>
          <w:rFonts w:hint="eastAsia" w:cs="Calibri"/>
          <w:sz w:val="26"/>
          <w:szCs w:val="20"/>
        </w:rPr>
        <w:t>④</w:t>
      </w:r>
      <w:r>
        <w:rPr>
          <w:rFonts w:cs="Calibri"/>
          <w:sz w:val="26"/>
          <w:szCs w:val="20"/>
        </w:rPr>
        <w:fldChar w:fldCharType="end"/>
      </w:r>
      <w:r>
        <w:rPr>
          <w:rFonts w:cs="Calibri"/>
          <w:sz w:val="26"/>
          <w:szCs w:val="20"/>
        </w:rPr>
        <w:t>净外购电力，根据基础设计中设备用电量进行测算。</w:t>
      </w:r>
    </w:p>
    <w:p w14:paraId="0D6CD419">
      <w:pPr>
        <w:spacing w:line="460" w:lineRule="exact"/>
        <w:ind w:firstLine="522" w:firstLineChars="200"/>
        <w:rPr>
          <w:rFonts w:cs="Calibri"/>
          <w:b/>
          <w:bCs/>
          <w:sz w:val="26"/>
          <w:szCs w:val="20"/>
        </w:rPr>
      </w:pPr>
      <w:r>
        <w:rPr>
          <w:rFonts w:cs="Calibri"/>
          <w:b/>
          <w:bCs/>
          <w:sz w:val="26"/>
          <w:szCs w:val="20"/>
        </w:rPr>
        <w:t>（2）碳排放因子的获取情况</w:t>
      </w:r>
    </w:p>
    <w:p w14:paraId="23117702">
      <w:pPr>
        <w:spacing w:line="460" w:lineRule="exact"/>
        <w:ind w:firstLine="520" w:firstLineChars="200"/>
        <w:rPr>
          <w:rFonts w:cs="Calibri"/>
          <w:sz w:val="26"/>
          <w:szCs w:val="20"/>
        </w:rPr>
      </w:pPr>
      <w:r>
        <w:rPr>
          <w:rFonts w:cs="Calibri"/>
          <w:sz w:val="26"/>
          <w:szCs w:val="20"/>
        </w:rPr>
        <w:t>项目投产后所涉及的排放因子数据包括</w:t>
      </w:r>
      <w:r>
        <w:rPr>
          <w:rFonts w:hint="eastAsia" w:cs="Calibri"/>
          <w:sz w:val="26"/>
          <w:szCs w:val="20"/>
        </w:rPr>
        <w:t>化石燃料燃烧排放因子、放空</w:t>
      </w:r>
      <w:r>
        <w:rPr>
          <w:rFonts w:cs="Calibri"/>
          <w:sz w:val="26"/>
          <w:szCs w:val="20"/>
        </w:rPr>
        <w:t>燃烧排放因子、</w:t>
      </w:r>
      <w:r>
        <w:rPr>
          <w:rFonts w:hint="eastAsia" w:cs="Calibri"/>
          <w:sz w:val="26"/>
          <w:szCs w:val="20"/>
        </w:rPr>
        <w:t>采气过程</w:t>
      </w:r>
      <w:r>
        <w:rPr>
          <w:rFonts w:cs="Calibri"/>
          <w:sz w:val="26"/>
          <w:szCs w:val="20"/>
        </w:rPr>
        <w:t>逃逸排放CH</w:t>
      </w:r>
      <w:r>
        <w:rPr>
          <w:rFonts w:cs="Calibri"/>
          <w:sz w:val="26"/>
          <w:szCs w:val="20"/>
          <w:vertAlign w:val="subscript"/>
        </w:rPr>
        <w:t xml:space="preserve">4 </w:t>
      </w:r>
      <w:r>
        <w:rPr>
          <w:rFonts w:cs="Calibri"/>
          <w:sz w:val="26"/>
          <w:szCs w:val="20"/>
        </w:rPr>
        <w:t>排放因子、净购入电力排放因子。</w:t>
      </w:r>
    </w:p>
    <w:p w14:paraId="700F5CD8">
      <w:pPr>
        <w:spacing w:line="460" w:lineRule="exact"/>
        <w:ind w:firstLine="520" w:firstLineChars="200"/>
        <w:rPr>
          <w:rFonts w:cs="Calibri"/>
          <w:sz w:val="26"/>
          <w:szCs w:val="20"/>
        </w:rPr>
      </w:pPr>
      <w:r>
        <w:rPr>
          <w:rFonts w:hint="eastAsia" w:cs="Calibri"/>
          <w:sz w:val="26"/>
          <w:szCs w:val="20"/>
        </w:rPr>
        <w:t>①</w:t>
      </w:r>
      <w:bookmarkStart w:id="422" w:name="OLE_LINK104"/>
      <w:r>
        <w:rPr>
          <w:rFonts w:hint="eastAsia" w:cs="Calibri"/>
          <w:sz w:val="26"/>
          <w:szCs w:val="20"/>
        </w:rPr>
        <w:t>化石燃料燃烧排放因子</w:t>
      </w:r>
      <w:bookmarkEnd w:id="422"/>
      <w:r>
        <w:rPr>
          <w:rFonts w:hint="eastAsia" w:cs="Calibri"/>
          <w:sz w:val="26"/>
          <w:szCs w:val="20"/>
        </w:rPr>
        <w:t>数据</w:t>
      </w:r>
    </w:p>
    <w:p w14:paraId="1869B17F">
      <w:pPr>
        <w:spacing w:line="460" w:lineRule="exact"/>
        <w:ind w:firstLine="520" w:firstLineChars="200"/>
        <w:rPr>
          <w:rFonts w:cs="Calibri"/>
          <w:sz w:val="26"/>
          <w:szCs w:val="20"/>
        </w:rPr>
      </w:pPr>
      <w:r>
        <w:rPr>
          <w:rFonts w:hint="eastAsia" w:cs="Calibri"/>
          <w:sz w:val="26"/>
          <w:szCs w:val="20"/>
        </w:rPr>
        <w:t>排放因子数据来源于《中国石油天然气生产企业温室气体排放核算方法与报告指南（试行）》附录二表2.1《常见化石燃料特性参数缺省值》。</w:t>
      </w:r>
    </w:p>
    <w:p w14:paraId="29CB25B0">
      <w:pPr>
        <w:spacing w:line="460" w:lineRule="exact"/>
        <w:ind w:firstLine="520" w:firstLineChars="200"/>
        <w:rPr>
          <w:rFonts w:cs="Calibri"/>
          <w:sz w:val="26"/>
          <w:szCs w:val="20"/>
        </w:rPr>
      </w:pPr>
      <w:r>
        <w:rPr>
          <w:rFonts w:hint="eastAsia" w:cs="Calibri"/>
          <w:sz w:val="26"/>
          <w:szCs w:val="20"/>
        </w:rPr>
        <w:t>②放空管燃烧排放因子数据</w:t>
      </w:r>
    </w:p>
    <w:p w14:paraId="71718E87">
      <w:pPr>
        <w:spacing w:line="460" w:lineRule="exact"/>
        <w:ind w:firstLine="520" w:firstLineChars="200"/>
        <w:rPr>
          <w:rFonts w:cs="Calibri"/>
          <w:sz w:val="26"/>
          <w:szCs w:val="20"/>
        </w:rPr>
      </w:pPr>
      <w:r>
        <w:rPr>
          <w:rFonts w:hint="eastAsia" w:cs="Calibri"/>
          <w:sz w:val="26"/>
          <w:szCs w:val="20"/>
        </w:rPr>
        <w:t>排放因子数据，为放空系统的碳氧化率，碳氧化率为98%，数据来源为《中国石油天然气生产企业温室气体排放核算方法与报告指南（试行）》附录二表2.1《常见化石燃料特性参数缺省值》。</w:t>
      </w:r>
    </w:p>
    <w:p w14:paraId="2C75B6B9">
      <w:pPr>
        <w:spacing w:line="460" w:lineRule="exact"/>
        <w:ind w:firstLine="520" w:firstLineChars="200"/>
        <w:rPr>
          <w:rFonts w:cs="Calibri"/>
          <w:sz w:val="26"/>
          <w:szCs w:val="20"/>
        </w:rPr>
      </w:pPr>
      <w:r>
        <w:rPr>
          <w:rFonts w:hint="eastAsia" w:cs="Calibri"/>
          <w:sz w:val="26"/>
          <w:szCs w:val="20"/>
        </w:rPr>
        <w:t>②天然气开采</w:t>
      </w:r>
      <w:r>
        <w:rPr>
          <w:rFonts w:cs="Calibri"/>
          <w:sz w:val="26"/>
          <w:szCs w:val="20"/>
        </w:rPr>
        <w:t>业务排放因子数据</w:t>
      </w:r>
    </w:p>
    <w:p w14:paraId="3AEF9D6A">
      <w:pPr>
        <w:adjustRightInd w:val="0"/>
        <w:snapToGrid w:val="0"/>
        <w:spacing w:line="480" w:lineRule="exact"/>
        <w:ind w:firstLine="520" w:firstLineChars="200"/>
        <w:rPr>
          <w:sz w:val="26"/>
          <w:szCs w:val="26"/>
        </w:rPr>
      </w:pPr>
      <w:r>
        <w:rPr>
          <w:sz w:val="26"/>
          <w:szCs w:val="26"/>
        </w:rPr>
        <w:t>天然气开采业务CH</w:t>
      </w:r>
      <w:r>
        <w:rPr>
          <w:sz w:val="26"/>
          <w:szCs w:val="26"/>
          <w:vertAlign w:val="subscript"/>
        </w:rPr>
        <w:t>4</w:t>
      </w:r>
      <w:r>
        <w:rPr>
          <w:sz w:val="26"/>
          <w:szCs w:val="26"/>
        </w:rPr>
        <w:t>逃逸排放因子为2.50(吨/年•个)，数据来源为《中国石油天然气生产企业温室气体排放核算方法与报告指南（试行）》附录二表2.2《油气系统不同设施CH</w:t>
      </w:r>
      <w:r>
        <w:rPr>
          <w:sz w:val="26"/>
          <w:szCs w:val="26"/>
          <w:vertAlign w:val="subscript"/>
        </w:rPr>
        <w:t>4</w:t>
      </w:r>
      <w:r>
        <w:rPr>
          <w:sz w:val="26"/>
          <w:szCs w:val="26"/>
        </w:rPr>
        <w:t>排放因子缺省值》。</w:t>
      </w:r>
    </w:p>
    <w:p w14:paraId="1576CCEB">
      <w:pPr>
        <w:spacing w:line="460" w:lineRule="exact"/>
        <w:ind w:firstLine="520" w:firstLineChars="200"/>
        <w:rPr>
          <w:rFonts w:cs="Calibri"/>
          <w:sz w:val="26"/>
          <w:szCs w:val="20"/>
        </w:rPr>
      </w:pPr>
      <w:r>
        <w:rPr>
          <w:rFonts w:hint="eastAsia" w:cs="Calibri"/>
          <w:sz w:val="26"/>
          <w:szCs w:val="20"/>
        </w:rPr>
        <w:t>③</w:t>
      </w:r>
      <w:r>
        <w:rPr>
          <w:rFonts w:cs="Calibri"/>
          <w:sz w:val="26"/>
          <w:szCs w:val="20"/>
        </w:rPr>
        <w:t>净外购电力排放因子</w:t>
      </w:r>
    </w:p>
    <w:p w14:paraId="09A00BF2">
      <w:pPr>
        <w:spacing w:line="460" w:lineRule="exact"/>
        <w:ind w:firstLine="520" w:firstLineChars="200"/>
        <w:rPr>
          <w:rFonts w:cs="Calibri"/>
          <w:sz w:val="26"/>
          <w:szCs w:val="20"/>
        </w:rPr>
      </w:pPr>
      <w:r>
        <w:rPr>
          <w:rFonts w:cs="Calibri"/>
          <w:sz w:val="26"/>
          <w:szCs w:val="20"/>
        </w:rPr>
        <w:t>根据</w:t>
      </w:r>
      <w:r>
        <w:rPr>
          <w:rFonts w:hint="eastAsia" w:cs="Calibri"/>
          <w:sz w:val="26"/>
          <w:szCs w:val="20"/>
        </w:rPr>
        <w:t>《中国区域电网二氧化碳排放因子研究（2023）》表1中2020年度四川省级电网排放因子</w:t>
      </w:r>
      <w:r>
        <w:rPr>
          <w:rFonts w:cs="Calibri"/>
          <w:sz w:val="26"/>
          <w:szCs w:val="20"/>
        </w:rPr>
        <w:t>，电网排放因子采用0.</w:t>
      </w:r>
      <w:r>
        <w:rPr>
          <w:rFonts w:hint="eastAsia" w:cs="Calibri"/>
          <w:sz w:val="26"/>
          <w:szCs w:val="20"/>
        </w:rPr>
        <w:t>117</w:t>
      </w:r>
      <w:r>
        <w:rPr>
          <w:rFonts w:cs="Calibri"/>
          <w:sz w:val="26"/>
          <w:szCs w:val="20"/>
        </w:rPr>
        <w:t>tCO</w:t>
      </w:r>
      <w:r>
        <w:rPr>
          <w:rFonts w:cs="Calibri"/>
          <w:sz w:val="26"/>
          <w:szCs w:val="20"/>
          <w:vertAlign w:val="subscript"/>
        </w:rPr>
        <w:t>2</w:t>
      </w:r>
      <w:r>
        <w:rPr>
          <w:rFonts w:cs="Calibri"/>
          <w:sz w:val="26"/>
          <w:szCs w:val="20"/>
        </w:rPr>
        <w:t>/MWh。</w:t>
      </w:r>
    </w:p>
    <w:p w14:paraId="5BF6FBB5">
      <w:pPr>
        <w:spacing w:line="460" w:lineRule="exact"/>
        <w:ind w:firstLine="522" w:firstLineChars="200"/>
        <w:outlineLvl w:val="2"/>
        <w:rPr>
          <w:rFonts w:cs="宋体"/>
          <w:b/>
          <w:kern w:val="0"/>
          <w:sz w:val="26"/>
          <w:szCs w:val="20"/>
        </w:rPr>
      </w:pPr>
      <w:r>
        <w:rPr>
          <w:rFonts w:hint="eastAsia" w:cs="宋体"/>
          <w:b/>
          <w:kern w:val="0"/>
          <w:sz w:val="26"/>
          <w:szCs w:val="20"/>
        </w:rPr>
        <w:t>9</w:t>
      </w:r>
      <w:r>
        <w:rPr>
          <w:rFonts w:cs="宋体"/>
          <w:b/>
          <w:kern w:val="0"/>
          <w:sz w:val="26"/>
          <w:szCs w:val="20"/>
        </w:rPr>
        <w:t>.4.3 项目碳</w:t>
      </w:r>
      <w:r>
        <w:rPr>
          <w:rFonts w:hint="eastAsia" w:cs="宋体"/>
          <w:b/>
          <w:bCs/>
          <w:kern w:val="0"/>
          <w:sz w:val="26"/>
          <w:szCs w:val="20"/>
        </w:rPr>
        <w:t>排放</w:t>
      </w:r>
      <w:r>
        <w:rPr>
          <w:rFonts w:cs="宋体"/>
          <w:b/>
          <w:kern w:val="0"/>
          <w:sz w:val="26"/>
          <w:szCs w:val="20"/>
        </w:rPr>
        <w:t>计算</w:t>
      </w:r>
    </w:p>
    <w:p w14:paraId="2D2342D2">
      <w:pPr>
        <w:adjustRightInd w:val="0"/>
        <w:snapToGrid w:val="0"/>
        <w:spacing w:line="480" w:lineRule="exact"/>
        <w:ind w:firstLine="522" w:firstLineChars="200"/>
        <w:rPr>
          <w:b/>
          <w:bCs/>
          <w:sz w:val="26"/>
          <w:szCs w:val="26"/>
        </w:rPr>
      </w:pPr>
      <w:r>
        <w:rPr>
          <w:b/>
          <w:bCs/>
          <w:sz w:val="26"/>
          <w:szCs w:val="26"/>
        </w:rPr>
        <w:t>（1）活动水平及其来源说明</w:t>
      </w:r>
    </w:p>
    <w:p w14:paraId="3CC733A1">
      <w:pPr>
        <w:adjustRightInd w:val="0"/>
        <w:snapToGrid w:val="0"/>
        <w:spacing w:line="480" w:lineRule="exact"/>
        <w:ind w:firstLine="520" w:firstLineChars="200"/>
        <w:rPr>
          <w:sz w:val="26"/>
          <w:szCs w:val="26"/>
        </w:rPr>
      </w:pPr>
      <w:r>
        <w:rPr>
          <w:sz w:val="26"/>
          <w:szCs w:val="26"/>
        </w:rPr>
        <w:t>项目天然气生产所涉及的活动水平数据，包括</w:t>
      </w:r>
      <w:r>
        <w:rPr>
          <w:rFonts w:hint="eastAsia"/>
          <w:sz w:val="26"/>
          <w:szCs w:val="26"/>
        </w:rPr>
        <w:t>化石燃料燃烧活动水平数据、放空</w:t>
      </w:r>
      <w:r>
        <w:rPr>
          <w:sz w:val="26"/>
          <w:szCs w:val="26"/>
        </w:rPr>
        <w:t>燃烧活动水平数据、</w:t>
      </w:r>
      <w:r>
        <w:rPr>
          <w:rFonts w:hint="eastAsia"/>
          <w:sz w:val="26"/>
          <w:szCs w:val="26"/>
        </w:rPr>
        <w:t>采气过程</w:t>
      </w:r>
      <w:r>
        <w:rPr>
          <w:sz w:val="26"/>
          <w:szCs w:val="26"/>
        </w:rPr>
        <w:t>逃逸活动水平数据、净购入电力活动水平数据。</w:t>
      </w:r>
    </w:p>
    <w:p w14:paraId="411469F3">
      <w:pPr>
        <w:adjustRightInd w:val="0"/>
        <w:snapToGrid w:val="0"/>
        <w:spacing w:line="480" w:lineRule="exact"/>
        <w:ind w:firstLine="522" w:firstLineChars="200"/>
        <w:rPr>
          <w:b/>
          <w:bCs/>
          <w:sz w:val="26"/>
          <w:szCs w:val="26"/>
        </w:rPr>
      </w:pPr>
      <w:r>
        <w:rPr>
          <w:rFonts w:hint="eastAsia"/>
          <w:b/>
          <w:bCs/>
          <w:sz w:val="26"/>
          <w:szCs w:val="26"/>
        </w:rPr>
        <w:t>①</w:t>
      </w:r>
      <w:r>
        <w:rPr>
          <w:b/>
          <w:bCs/>
          <w:sz w:val="26"/>
          <w:szCs w:val="26"/>
        </w:rPr>
        <w:t>化石燃料燃烧活动水平数据</w:t>
      </w:r>
    </w:p>
    <w:p w14:paraId="47316D89">
      <w:pPr>
        <w:adjustRightInd w:val="0"/>
        <w:snapToGrid w:val="0"/>
        <w:spacing w:line="480" w:lineRule="exact"/>
        <w:ind w:firstLine="520" w:firstLineChars="200"/>
        <w:rPr>
          <w:sz w:val="26"/>
          <w:szCs w:val="26"/>
        </w:rPr>
      </w:pPr>
      <w:r>
        <w:rPr>
          <w:sz w:val="26"/>
          <w:szCs w:val="26"/>
        </w:rPr>
        <w:t>化石燃料燃烧活动水平数据为燃料年净消耗量。天然气生产所使用的化石燃料有天然气。</w:t>
      </w:r>
    </w:p>
    <w:p w14:paraId="4E440DF1">
      <w:pPr>
        <w:adjustRightInd w:val="0"/>
        <w:snapToGrid w:val="0"/>
        <w:ind w:firstLine="520" w:firstLineChars="200"/>
        <w:rPr>
          <w:rFonts w:cs="宋体"/>
          <w:snapToGrid w:val="0"/>
          <w:kern w:val="0"/>
          <w:sz w:val="26"/>
          <w:szCs w:val="20"/>
        </w:rPr>
      </w:pPr>
    </w:p>
    <w:p w14:paraId="23D7A2FB">
      <w:pPr>
        <w:keepNext/>
        <w:tabs>
          <w:tab w:val="right" w:pos="8730"/>
        </w:tabs>
        <w:adjustRightInd w:val="0"/>
        <w:snapToGrid w:val="0"/>
        <w:jc w:val="center"/>
        <w:rPr>
          <w:sz w:val="26"/>
          <w:szCs w:val="26"/>
        </w:rPr>
      </w:pPr>
      <w:r>
        <w:rPr>
          <w:sz w:val="26"/>
          <w:szCs w:val="26"/>
        </w:rPr>
        <w:t>表9.4-2  化石燃料消耗量及低位发热值活动水平数据</w:t>
      </w:r>
    </w:p>
    <w:tbl>
      <w:tblPr>
        <w:tblStyle w:val="89"/>
        <w:tblW w:w="8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165"/>
        <w:gridCol w:w="2696"/>
        <w:gridCol w:w="1936"/>
        <w:gridCol w:w="1746"/>
      </w:tblGrid>
      <w:tr w14:paraId="276C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2" w:type="dxa"/>
            <w:vMerge w:val="restart"/>
            <w:vAlign w:val="center"/>
          </w:tcPr>
          <w:p w14:paraId="22943527">
            <w:pPr>
              <w:adjustRightInd w:val="0"/>
              <w:snapToGrid w:val="0"/>
              <w:jc w:val="center"/>
              <w:rPr>
                <w:sz w:val="22"/>
              </w:rPr>
            </w:pPr>
            <w:r>
              <w:rPr>
                <w:sz w:val="22"/>
              </w:rPr>
              <w:t>序号</w:t>
            </w:r>
          </w:p>
        </w:tc>
        <w:tc>
          <w:tcPr>
            <w:tcW w:w="1165" w:type="dxa"/>
            <w:vMerge w:val="restart"/>
            <w:vAlign w:val="center"/>
          </w:tcPr>
          <w:p w14:paraId="2AC7D4F6">
            <w:pPr>
              <w:adjustRightInd w:val="0"/>
              <w:snapToGrid w:val="0"/>
              <w:jc w:val="center"/>
              <w:rPr>
                <w:sz w:val="22"/>
              </w:rPr>
            </w:pPr>
            <w:r>
              <w:rPr>
                <w:sz w:val="22"/>
              </w:rPr>
              <w:t>项目</w:t>
            </w:r>
          </w:p>
        </w:tc>
        <w:tc>
          <w:tcPr>
            <w:tcW w:w="6378" w:type="dxa"/>
            <w:gridSpan w:val="3"/>
            <w:vAlign w:val="center"/>
          </w:tcPr>
          <w:p w14:paraId="4F41B942">
            <w:pPr>
              <w:adjustRightInd w:val="0"/>
              <w:snapToGrid w:val="0"/>
              <w:jc w:val="center"/>
              <w:rPr>
                <w:sz w:val="22"/>
              </w:rPr>
            </w:pPr>
            <w:r>
              <w:rPr>
                <w:sz w:val="22"/>
              </w:rPr>
              <w:t>消耗量</w:t>
            </w:r>
          </w:p>
        </w:tc>
      </w:tr>
      <w:tr w14:paraId="0412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vMerge w:val="continue"/>
            <w:vAlign w:val="center"/>
          </w:tcPr>
          <w:p w14:paraId="1A0AE955">
            <w:pPr>
              <w:adjustRightInd w:val="0"/>
              <w:snapToGrid w:val="0"/>
              <w:jc w:val="center"/>
              <w:rPr>
                <w:sz w:val="22"/>
              </w:rPr>
            </w:pPr>
          </w:p>
        </w:tc>
        <w:tc>
          <w:tcPr>
            <w:tcW w:w="1165" w:type="dxa"/>
            <w:vMerge w:val="continue"/>
            <w:vAlign w:val="center"/>
          </w:tcPr>
          <w:p w14:paraId="2FA6265D">
            <w:pPr>
              <w:adjustRightInd w:val="0"/>
              <w:snapToGrid w:val="0"/>
              <w:jc w:val="center"/>
              <w:rPr>
                <w:sz w:val="22"/>
              </w:rPr>
            </w:pPr>
          </w:p>
        </w:tc>
        <w:tc>
          <w:tcPr>
            <w:tcW w:w="2696" w:type="dxa"/>
            <w:vAlign w:val="center"/>
          </w:tcPr>
          <w:p w14:paraId="141A9860">
            <w:pPr>
              <w:adjustRightInd w:val="0"/>
              <w:snapToGrid w:val="0"/>
              <w:jc w:val="center"/>
              <w:rPr>
                <w:sz w:val="22"/>
              </w:rPr>
            </w:pPr>
            <w:r>
              <w:rPr>
                <w:sz w:val="22"/>
              </w:rPr>
              <w:t>天然气燃烧量</w:t>
            </w:r>
          </w:p>
          <w:p w14:paraId="5B546581">
            <w:pPr>
              <w:adjustRightInd w:val="0"/>
              <w:snapToGrid w:val="0"/>
              <w:jc w:val="center"/>
              <w:rPr>
                <w:sz w:val="22"/>
              </w:rPr>
            </w:pPr>
            <w:r>
              <w:rPr>
                <w:sz w:val="22"/>
              </w:rPr>
              <w:t>（10</w:t>
            </w:r>
            <w:r>
              <w:rPr>
                <w:sz w:val="22"/>
                <w:vertAlign w:val="superscript"/>
              </w:rPr>
              <w:t>4</w:t>
            </w:r>
            <w:r>
              <w:rPr>
                <w:sz w:val="22"/>
              </w:rPr>
              <w:t>Nm</w:t>
            </w:r>
            <w:r>
              <w:rPr>
                <w:sz w:val="22"/>
                <w:vertAlign w:val="superscript"/>
              </w:rPr>
              <w:t>3</w:t>
            </w:r>
            <w:r>
              <w:rPr>
                <w:sz w:val="22"/>
              </w:rPr>
              <w:t>）</w:t>
            </w:r>
          </w:p>
        </w:tc>
        <w:tc>
          <w:tcPr>
            <w:tcW w:w="1936" w:type="dxa"/>
            <w:vAlign w:val="center"/>
          </w:tcPr>
          <w:p w14:paraId="4FC6DC68">
            <w:pPr>
              <w:adjustRightInd w:val="0"/>
              <w:snapToGrid w:val="0"/>
              <w:jc w:val="center"/>
              <w:rPr>
                <w:sz w:val="22"/>
              </w:rPr>
            </w:pPr>
            <w:r>
              <w:rPr>
                <w:sz w:val="22"/>
              </w:rPr>
              <w:t>CO</w:t>
            </w:r>
            <w:r>
              <w:rPr>
                <w:sz w:val="22"/>
                <w:vertAlign w:val="subscript"/>
              </w:rPr>
              <w:t>2</w:t>
            </w:r>
            <w:r>
              <w:rPr>
                <w:sz w:val="22"/>
              </w:rPr>
              <w:t>排放量</w:t>
            </w:r>
          </w:p>
          <w:p w14:paraId="1B0253C1">
            <w:pPr>
              <w:adjustRightInd w:val="0"/>
              <w:snapToGrid w:val="0"/>
              <w:jc w:val="center"/>
              <w:rPr>
                <w:sz w:val="22"/>
              </w:rPr>
            </w:pPr>
            <w:r>
              <w:rPr>
                <w:sz w:val="22"/>
              </w:rPr>
              <w:t>tCO</w:t>
            </w:r>
            <w:r>
              <w:rPr>
                <w:sz w:val="22"/>
                <w:vertAlign w:val="subscript"/>
              </w:rPr>
              <w:t>2e</w:t>
            </w:r>
          </w:p>
        </w:tc>
        <w:tc>
          <w:tcPr>
            <w:tcW w:w="1746" w:type="dxa"/>
            <w:vAlign w:val="center"/>
          </w:tcPr>
          <w:p w14:paraId="4353E203">
            <w:pPr>
              <w:adjustRightInd w:val="0"/>
              <w:snapToGrid w:val="0"/>
              <w:jc w:val="center"/>
              <w:rPr>
                <w:sz w:val="22"/>
              </w:rPr>
            </w:pPr>
            <w:r>
              <w:rPr>
                <w:sz w:val="22"/>
              </w:rPr>
              <w:t>数据来源</w:t>
            </w:r>
          </w:p>
        </w:tc>
      </w:tr>
      <w:tr w14:paraId="0501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vAlign w:val="center"/>
          </w:tcPr>
          <w:p w14:paraId="528D586A">
            <w:pPr>
              <w:adjustRightInd w:val="0"/>
              <w:snapToGrid w:val="0"/>
              <w:jc w:val="center"/>
              <w:rPr>
                <w:sz w:val="22"/>
              </w:rPr>
            </w:pPr>
            <w:r>
              <w:rPr>
                <w:sz w:val="22"/>
              </w:rPr>
              <w:t>1</w:t>
            </w:r>
          </w:p>
        </w:tc>
        <w:tc>
          <w:tcPr>
            <w:tcW w:w="1165" w:type="dxa"/>
            <w:vAlign w:val="center"/>
          </w:tcPr>
          <w:p w14:paraId="1385BEC4">
            <w:pPr>
              <w:adjustRightInd w:val="0"/>
              <w:snapToGrid w:val="0"/>
              <w:jc w:val="center"/>
              <w:rPr>
                <w:sz w:val="22"/>
              </w:rPr>
            </w:pPr>
            <w:r>
              <w:rPr>
                <w:sz w:val="22"/>
              </w:rPr>
              <w:t>水套加热炉</w:t>
            </w:r>
          </w:p>
        </w:tc>
        <w:tc>
          <w:tcPr>
            <w:tcW w:w="2696" w:type="dxa"/>
            <w:vAlign w:val="center"/>
          </w:tcPr>
          <w:p w14:paraId="0CF41A08">
            <w:pPr>
              <w:adjustRightInd w:val="0"/>
              <w:snapToGrid w:val="0"/>
              <w:jc w:val="center"/>
              <w:rPr>
                <w:sz w:val="22"/>
              </w:rPr>
            </w:pPr>
            <w:r>
              <w:rPr>
                <w:sz w:val="22"/>
              </w:rPr>
              <w:t>3.02</w:t>
            </w:r>
          </w:p>
        </w:tc>
        <w:tc>
          <w:tcPr>
            <w:tcW w:w="1936" w:type="dxa"/>
            <w:vAlign w:val="center"/>
          </w:tcPr>
          <w:p w14:paraId="0B975A8F">
            <w:pPr>
              <w:adjustRightInd w:val="0"/>
              <w:snapToGrid w:val="0"/>
              <w:jc w:val="center"/>
              <w:rPr>
                <w:sz w:val="22"/>
              </w:rPr>
            </w:pPr>
            <w:r>
              <w:rPr>
                <w:sz w:val="22"/>
              </w:rPr>
              <w:t>65.395</w:t>
            </w:r>
          </w:p>
        </w:tc>
        <w:tc>
          <w:tcPr>
            <w:tcW w:w="1746" w:type="dxa"/>
            <w:vAlign w:val="center"/>
          </w:tcPr>
          <w:p w14:paraId="4879D586">
            <w:pPr>
              <w:adjustRightInd w:val="0"/>
              <w:snapToGrid w:val="0"/>
              <w:jc w:val="center"/>
              <w:rPr>
                <w:sz w:val="22"/>
              </w:rPr>
            </w:pPr>
            <w:r>
              <w:rPr>
                <w:sz w:val="22"/>
              </w:rPr>
              <w:t>实例统计</w:t>
            </w:r>
          </w:p>
        </w:tc>
      </w:tr>
    </w:tbl>
    <w:p w14:paraId="1D999B66">
      <w:pPr>
        <w:adjustRightInd w:val="0"/>
        <w:snapToGrid w:val="0"/>
        <w:ind w:firstLine="520" w:firstLineChars="200"/>
        <w:rPr>
          <w:rFonts w:cs="宋体"/>
          <w:snapToGrid w:val="0"/>
          <w:kern w:val="0"/>
          <w:sz w:val="26"/>
          <w:szCs w:val="20"/>
        </w:rPr>
      </w:pPr>
    </w:p>
    <w:p w14:paraId="28EB4A69">
      <w:pPr>
        <w:adjustRightInd w:val="0"/>
        <w:snapToGrid w:val="0"/>
        <w:ind w:firstLine="520" w:firstLineChars="200"/>
        <w:jc w:val="center"/>
        <w:rPr>
          <w:sz w:val="26"/>
          <w:szCs w:val="26"/>
        </w:rPr>
      </w:pPr>
      <w:r>
        <w:rPr>
          <w:sz w:val="26"/>
          <w:szCs w:val="26"/>
        </w:rPr>
        <w:t>9.4-3  重点燃烧设施的活动水平和排放因子数据</w:t>
      </w:r>
    </w:p>
    <w:tbl>
      <w:tblPr>
        <w:tblStyle w:val="88"/>
        <w:tblW w:w="81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10"/>
        <w:gridCol w:w="1286"/>
        <w:gridCol w:w="1001"/>
        <w:gridCol w:w="716"/>
        <w:gridCol w:w="1001"/>
        <w:gridCol w:w="714"/>
        <w:gridCol w:w="716"/>
        <w:gridCol w:w="717"/>
        <w:gridCol w:w="571"/>
        <w:gridCol w:w="679"/>
      </w:tblGrid>
      <w:tr w14:paraId="6EF6B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710" w:type="dxa"/>
            <w:vMerge w:val="restart"/>
            <w:vAlign w:val="center"/>
          </w:tcPr>
          <w:p w14:paraId="65925404">
            <w:pPr>
              <w:adjustRightInd w:val="0"/>
              <w:snapToGrid w:val="0"/>
              <w:jc w:val="center"/>
              <w:rPr>
                <w:sz w:val="20"/>
                <w:szCs w:val="20"/>
              </w:rPr>
            </w:pPr>
            <w:r>
              <w:rPr>
                <w:sz w:val="20"/>
                <w:szCs w:val="20"/>
              </w:rPr>
              <w:t>燃料品种</w:t>
            </w:r>
          </w:p>
        </w:tc>
        <w:tc>
          <w:tcPr>
            <w:tcW w:w="1286" w:type="dxa"/>
            <w:vAlign w:val="center"/>
          </w:tcPr>
          <w:p w14:paraId="39AE0E4C">
            <w:pPr>
              <w:adjustRightInd w:val="0"/>
              <w:snapToGrid w:val="0"/>
              <w:jc w:val="center"/>
              <w:rPr>
                <w:sz w:val="20"/>
                <w:szCs w:val="20"/>
              </w:rPr>
            </w:pPr>
            <w:r>
              <w:rPr>
                <w:sz w:val="20"/>
                <w:szCs w:val="20"/>
              </w:rPr>
              <w:t>燃烧量</w:t>
            </w:r>
          </w:p>
          <w:p w14:paraId="65674237">
            <w:pPr>
              <w:adjustRightInd w:val="0"/>
              <w:snapToGrid w:val="0"/>
              <w:jc w:val="center"/>
              <w:rPr>
                <w:sz w:val="20"/>
                <w:szCs w:val="20"/>
              </w:rPr>
            </w:pPr>
            <w:r>
              <w:rPr>
                <w:sz w:val="20"/>
                <w:szCs w:val="20"/>
              </w:rPr>
              <w:t>AD</w:t>
            </w:r>
            <w:r>
              <w:rPr>
                <w:sz w:val="20"/>
                <w:szCs w:val="20"/>
                <w:vertAlign w:val="subscript"/>
              </w:rPr>
              <w:t>i,j</w:t>
            </w:r>
          </w:p>
        </w:tc>
        <w:tc>
          <w:tcPr>
            <w:tcW w:w="1717" w:type="dxa"/>
            <w:gridSpan w:val="2"/>
            <w:vAlign w:val="center"/>
          </w:tcPr>
          <w:p w14:paraId="45641232">
            <w:pPr>
              <w:adjustRightInd w:val="0"/>
              <w:snapToGrid w:val="0"/>
              <w:jc w:val="center"/>
              <w:rPr>
                <w:sz w:val="20"/>
                <w:szCs w:val="20"/>
              </w:rPr>
            </w:pPr>
            <w:r>
              <w:rPr>
                <w:sz w:val="20"/>
                <w:szCs w:val="20"/>
              </w:rPr>
              <w:t>含碳量</w:t>
            </w:r>
          </w:p>
          <w:p w14:paraId="2B1AD651">
            <w:pPr>
              <w:adjustRightInd w:val="0"/>
              <w:snapToGrid w:val="0"/>
              <w:jc w:val="center"/>
              <w:rPr>
                <w:sz w:val="20"/>
                <w:szCs w:val="20"/>
              </w:rPr>
            </w:pPr>
            <w:r>
              <w:rPr>
                <w:sz w:val="20"/>
                <w:szCs w:val="20"/>
              </w:rPr>
              <w:t>CC</w:t>
            </w:r>
            <w:r>
              <w:rPr>
                <w:sz w:val="20"/>
                <w:szCs w:val="20"/>
                <w:vertAlign w:val="subscript"/>
              </w:rPr>
              <w:t>i,j</w:t>
            </w:r>
          </w:p>
        </w:tc>
        <w:tc>
          <w:tcPr>
            <w:tcW w:w="1715" w:type="dxa"/>
            <w:gridSpan w:val="2"/>
            <w:vAlign w:val="center"/>
          </w:tcPr>
          <w:p w14:paraId="3F9CA636">
            <w:pPr>
              <w:adjustRightInd w:val="0"/>
              <w:snapToGrid w:val="0"/>
              <w:jc w:val="center"/>
              <w:rPr>
                <w:sz w:val="20"/>
                <w:szCs w:val="20"/>
              </w:rPr>
            </w:pPr>
            <w:r>
              <w:rPr>
                <w:sz w:val="20"/>
                <w:szCs w:val="20"/>
              </w:rPr>
              <w:t>低位发热量</w:t>
            </w:r>
          </w:p>
          <w:p w14:paraId="77A135B6">
            <w:pPr>
              <w:adjustRightInd w:val="0"/>
              <w:snapToGrid w:val="0"/>
              <w:jc w:val="center"/>
              <w:rPr>
                <w:sz w:val="20"/>
                <w:szCs w:val="20"/>
              </w:rPr>
            </w:pPr>
            <w:r>
              <w:rPr>
                <w:sz w:val="20"/>
                <w:szCs w:val="20"/>
              </w:rPr>
              <w:t>NCVi</w:t>
            </w:r>
          </w:p>
        </w:tc>
        <w:tc>
          <w:tcPr>
            <w:tcW w:w="1433" w:type="dxa"/>
            <w:gridSpan w:val="2"/>
            <w:vAlign w:val="center"/>
          </w:tcPr>
          <w:p w14:paraId="7E968DFC">
            <w:pPr>
              <w:adjustRightInd w:val="0"/>
              <w:snapToGrid w:val="0"/>
              <w:jc w:val="center"/>
              <w:rPr>
                <w:sz w:val="20"/>
                <w:szCs w:val="20"/>
              </w:rPr>
            </w:pPr>
            <w:r>
              <w:rPr>
                <w:sz w:val="20"/>
                <w:szCs w:val="20"/>
              </w:rPr>
              <w:t>单位热值含碳量EFi</w:t>
            </w:r>
          </w:p>
        </w:tc>
        <w:tc>
          <w:tcPr>
            <w:tcW w:w="1250" w:type="dxa"/>
            <w:gridSpan w:val="2"/>
            <w:vAlign w:val="center"/>
          </w:tcPr>
          <w:p w14:paraId="70D1FAF3">
            <w:pPr>
              <w:adjustRightInd w:val="0"/>
              <w:snapToGrid w:val="0"/>
              <w:jc w:val="center"/>
              <w:rPr>
                <w:sz w:val="20"/>
                <w:szCs w:val="20"/>
              </w:rPr>
            </w:pPr>
            <w:r>
              <w:rPr>
                <w:sz w:val="20"/>
                <w:szCs w:val="20"/>
              </w:rPr>
              <w:t>碳氧化率</w:t>
            </w:r>
          </w:p>
          <w:p w14:paraId="4295269A">
            <w:pPr>
              <w:adjustRightInd w:val="0"/>
              <w:snapToGrid w:val="0"/>
              <w:jc w:val="center"/>
              <w:rPr>
                <w:sz w:val="20"/>
                <w:szCs w:val="20"/>
              </w:rPr>
            </w:pPr>
            <w:r>
              <w:rPr>
                <w:sz w:val="20"/>
                <w:szCs w:val="20"/>
              </w:rPr>
              <w:t>OF</w:t>
            </w:r>
            <w:r>
              <w:rPr>
                <w:sz w:val="20"/>
                <w:szCs w:val="20"/>
                <w:vertAlign w:val="subscript"/>
              </w:rPr>
              <w:t>i,j</w:t>
            </w:r>
          </w:p>
        </w:tc>
      </w:tr>
      <w:tr w14:paraId="6948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710" w:type="dxa"/>
            <w:vMerge w:val="continue"/>
            <w:vAlign w:val="center"/>
          </w:tcPr>
          <w:p w14:paraId="091EF040">
            <w:pPr>
              <w:adjustRightInd w:val="0"/>
              <w:snapToGrid w:val="0"/>
              <w:jc w:val="center"/>
              <w:rPr>
                <w:sz w:val="20"/>
                <w:szCs w:val="20"/>
              </w:rPr>
            </w:pPr>
          </w:p>
        </w:tc>
        <w:tc>
          <w:tcPr>
            <w:tcW w:w="1286" w:type="dxa"/>
            <w:vAlign w:val="center"/>
          </w:tcPr>
          <w:p w14:paraId="02F370D7">
            <w:pPr>
              <w:adjustRightInd w:val="0"/>
              <w:snapToGrid w:val="0"/>
              <w:jc w:val="center"/>
              <w:rPr>
                <w:sz w:val="20"/>
                <w:szCs w:val="20"/>
              </w:rPr>
            </w:pPr>
            <w:r>
              <w:rPr>
                <w:sz w:val="20"/>
                <w:szCs w:val="20"/>
              </w:rPr>
              <w:t>天然气燃烧量</w:t>
            </w:r>
          </w:p>
          <w:p w14:paraId="503C9450">
            <w:pPr>
              <w:adjustRightInd w:val="0"/>
              <w:snapToGrid w:val="0"/>
              <w:jc w:val="center"/>
              <w:rPr>
                <w:sz w:val="20"/>
                <w:szCs w:val="20"/>
              </w:rPr>
            </w:pPr>
            <w:r>
              <w:rPr>
                <w:sz w:val="20"/>
                <w:szCs w:val="20"/>
              </w:rPr>
              <w:t>（10</w:t>
            </w:r>
            <w:r>
              <w:rPr>
                <w:sz w:val="20"/>
                <w:szCs w:val="20"/>
                <w:vertAlign w:val="superscript"/>
              </w:rPr>
              <w:t>4</w:t>
            </w:r>
            <w:r>
              <w:rPr>
                <w:sz w:val="20"/>
                <w:szCs w:val="20"/>
              </w:rPr>
              <w:t>Nm</w:t>
            </w:r>
            <w:r>
              <w:rPr>
                <w:sz w:val="20"/>
                <w:szCs w:val="20"/>
                <w:vertAlign w:val="superscript"/>
              </w:rPr>
              <w:t>3</w:t>
            </w:r>
            <w:r>
              <w:rPr>
                <w:sz w:val="20"/>
                <w:szCs w:val="20"/>
              </w:rPr>
              <w:t>）</w:t>
            </w:r>
          </w:p>
        </w:tc>
        <w:tc>
          <w:tcPr>
            <w:tcW w:w="1001" w:type="dxa"/>
            <w:vAlign w:val="center"/>
          </w:tcPr>
          <w:p w14:paraId="3F12A159">
            <w:pPr>
              <w:adjustRightInd w:val="0"/>
              <w:snapToGrid w:val="0"/>
              <w:jc w:val="center"/>
              <w:rPr>
                <w:sz w:val="20"/>
                <w:szCs w:val="20"/>
              </w:rPr>
            </w:pPr>
            <w:r>
              <w:rPr>
                <w:sz w:val="20"/>
                <w:szCs w:val="20"/>
              </w:rPr>
              <w:t>单位</w:t>
            </w:r>
          </w:p>
          <w:p w14:paraId="48C4AD78">
            <w:pPr>
              <w:adjustRightInd w:val="0"/>
              <w:snapToGrid w:val="0"/>
              <w:jc w:val="center"/>
              <w:rPr>
                <w:sz w:val="20"/>
                <w:szCs w:val="20"/>
              </w:rPr>
            </w:pPr>
            <w:r>
              <w:rPr>
                <w:sz w:val="20"/>
                <w:szCs w:val="20"/>
              </w:rPr>
              <w:t>tC/10</w:t>
            </w:r>
            <w:r>
              <w:rPr>
                <w:sz w:val="20"/>
                <w:szCs w:val="20"/>
                <w:vertAlign w:val="superscript"/>
              </w:rPr>
              <w:t>4</w:t>
            </w:r>
            <w:r>
              <w:rPr>
                <w:sz w:val="20"/>
                <w:szCs w:val="20"/>
              </w:rPr>
              <w:t>Nm</w:t>
            </w:r>
            <w:r>
              <w:rPr>
                <w:sz w:val="20"/>
                <w:szCs w:val="20"/>
                <w:vertAlign w:val="superscript"/>
              </w:rPr>
              <w:t>3</w:t>
            </w:r>
          </w:p>
        </w:tc>
        <w:tc>
          <w:tcPr>
            <w:tcW w:w="716" w:type="dxa"/>
            <w:vAlign w:val="center"/>
          </w:tcPr>
          <w:p w14:paraId="3C3FC224">
            <w:pPr>
              <w:adjustRightInd w:val="0"/>
              <w:snapToGrid w:val="0"/>
              <w:jc w:val="center"/>
              <w:rPr>
                <w:sz w:val="20"/>
                <w:szCs w:val="20"/>
              </w:rPr>
            </w:pPr>
            <w:r>
              <w:rPr>
                <w:sz w:val="20"/>
                <w:szCs w:val="20"/>
              </w:rPr>
              <w:t>数据</w:t>
            </w:r>
          </w:p>
          <w:p w14:paraId="7507A7FB">
            <w:pPr>
              <w:adjustRightInd w:val="0"/>
              <w:snapToGrid w:val="0"/>
              <w:jc w:val="center"/>
              <w:rPr>
                <w:sz w:val="20"/>
                <w:szCs w:val="20"/>
              </w:rPr>
            </w:pPr>
            <w:r>
              <w:rPr>
                <w:sz w:val="20"/>
                <w:szCs w:val="20"/>
              </w:rPr>
              <w:t>来源</w:t>
            </w:r>
          </w:p>
        </w:tc>
        <w:tc>
          <w:tcPr>
            <w:tcW w:w="1001" w:type="dxa"/>
            <w:vAlign w:val="center"/>
          </w:tcPr>
          <w:p w14:paraId="41C43E45">
            <w:pPr>
              <w:adjustRightInd w:val="0"/>
              <w:snapToGrid w:val="0"/>
              <w:jc w:val="center"/>
              <w:rPr>
                <w:sz w:val="20"/>
                <w:szCs w:val="20"/>
              </w:rPr>
            </w:pPr>
            <w:r>
              <w:rPr>
                <w:sz w:val="20"/>
                <w:szCs w:val="20"/>
              </w:rPr>
              <w:t>单位</w:t>
            </w:r>
          </w:p>
          <w:p w14:paraId="2095C119">
            <w:pPr>
              <w:adjustRightInd w:val="0"/>
              <w:snapToGrid w:val="0"/>
              <w:jc w:val="center"/>
              <w:rPr>
                <w:sz w:val="20"/>
                <w:szCs w:val="20"/>
              </w:rPr>
            </w:pPr>
            <w:r>
              <w:rPr>
                <w:sz w:val="20"/>
                <w:szCs w:val="20"/>
              </w:rPr>
              <w:t>GJ/10</w:t>
            </w:r>
            <w:r>
              <w:rPr>
                <w:sz w:val="20"/>
                <w:szCs w:val="20"/>
                <w:vertAlign w:val="superscript"/>
              </w:rPr>
              <w:t>4</w:t>
            </w:r>
            <w:r>
              <w:rPr>
                <w:sz w:val="20"/>
                <w:szCs w:val="20"/>
              </w:rPr>
              <w:t>Nm</w:t>
            </w:r>
            <w:r>
              <w:rPr>
                <w:sz w:val="20"/>
                <w:szCs w:val="20"/>
                <w:vertAlign w:val="superscript"/>
              </w:rPr>
              <w:t>3</w:t>
            </w:r>
          </w:p>
        </w:tc>
        <w:tc>
          <w:tcPr>
            <w:tcW w:w="714" w:type="dxa"/>
            <w:vAlign w:val="center"/>
          </w:tcPr>
          <w:p w14:paraId="2C1DA25E">
            <w:pPr>
              <w:adjustRightInd w:val="0"/>
              <w:snapToGrid w:val="0"/>
              <w:jc w:val="center"/>
              <w:rPr>
                <w:sz w:val="20"/>
                <w:szCs w:val="20"/>
              </w:rPr>
            </w:pPr>
            <w:r>
              <w:rPr>
                <w:sz w:val="20"/>
                <w:szCs w:val="20"/>
              </w:rPr>
              <w:t>数据</w:t>
            </w:r>
          </w:p>
          <w:p w14:paraId="07EAB22A">
            <w:pPr>
              <w:adjustRightInd w:val="0"/>
              <w:snapToGrid w:val="0"/>
              <w:jc w:val="center"/>
              <w:rPr>
                <w:sz w:val="20"/>
                <w:szCs w:val="20"/>
              </w:rPr>
            </w:pPr>
            <w:r>
              <w:rPr>
                <w:sz w:val="20"/>
                <w:szCs w:val="20"/>
              </w:rPr>
              <w:t>来源</w:t>
            </w:r>
          </w:p>
        </w:tc>
        <w:tc>
          <w:tcPr>
            <w:tcW w:w="716" w:type="dxa"/>
            <w:vAlign w:val="center"/>
          </w:tcPr>
          <w:p w14:paraId="51C1A9B5">
            <w:pPr>
              <w:adjustRightInd w:val="0"/>
              <w:snapToGrid w:val="0"/>
              <w:jc w:val="center"/>
              <w:rPr>
                <w:sz w:val="20"/>
                <w:szCs w:val="20"/>
              </w:rPr>
            </w:pPr>
            <w:r>
              <w:rPr>
                <w:sz w:val="20"/>
                <w:szCs w:val="20"/>
              </w:rPr>
              <w:t>单位</w:t>
            </w:r>
          </w:p>
          <w:p w14:paraId="0D98644A">
            <w:pPr>
              <w:adjustRightInd w:val="0"/>
              <w:snapToGrid w:val="0"/>
              <w:jc w:val="center"/>
              <w:rPr>
                <w:sz w:val="20"/>
                <w:szCs w:val="20"/>
              </w:rPr>
            </w:pPr>
            <w:r>
              <w:rPr>
                <w:sz w:val="20"/>
                <w:szCs w:val="20"/>
              </w:rPr>
              <w:t>tC/GJ</w:t>
            </w:r>
          </w:p>
        </w:tc>
        <w:tc>
          <w:tcPr>
            <w:tcW w:w="717" w:type="dxa"/>
            <w:vAlign w:val="center"/>
          </w:tcPr>
          <w:p w14:paraId="2A4C3510">
            <w:pPr>
              <w:adjustRightInd w:val="0"/>
              <w:snapToGrid w:val="0"/>
              <w:jc w:val="center"/>
              <w:rPr>
                <w:sz w:val="20"/>
                <w:szCs w:val="20"/>
              </w:rPr>
            </w:pPr>
            <w:r>
              <w:rPr>
                <w:sz w:val="20"/>
                <w:szCs w:val="20"/>
              </w:rPr>
              <w:t>数据</w:t>
            </w:r>
          </w:p>
          <w:p w14:paraId="489C79E8">
            <w:pPr>
              <w:adjustRightInd w:val="0"/>
              <w:snapToGrid w:val="0"/>
              <w:jc w:val="center"/>
              <w:rPr>
                <w:sz w:val="20"/>
                <w:szCs w:val="20"/>
              </w:rPr>
            </w:pPr>
            <w:r>
              <w:rPr>
                <w:sz w:val="20"/>
                <w:szCs w:val="20"/>
              </w:rPr>
              <w:t>来源</w:t>
            </w:r>
          </w:p>
        </w:tc>
        <w:tc>
          <w:tcPr>
            <w:tcW w:w="571" w:type="dxa"/>
            <w:vAlign w:val="center"/>
          </w:tcPr>
          <w:p w14:paraId="35FDA3FB">
            <w:pPr>
              <w:adjustRightInd w:val="0"/>
              <w:snapToGrid w:val="0"/>
              <w:jc w:val="center"/>
              <w:rPr>
                <w:sz w:val="20"/>
                <w:szCs w:val="20"/>
              </w:rPr>
            </w:pPr>
            <w:r>
              <w:rPr>
                <w:sz w:val="20"/>
                <w:szCs w:val="20"/>
              </w:rPr>
              <w:t>单位</w:t>
            </w:r>
          </w:p>
          <w:p w14:paraId="5E88A0D5">
            <w:pPr>
              <w:adjustRightInd w:val="0"/>
              <w:snapToGrid w:val="0"/>
              <w:jc w:val="center"/>
              <w:rPr>
                <w:sz w:val="20"/>
                <w:szCs w:val="20"/>
              </w:rPr>
            </w:pPr>
            <w:r>
              <w:rPr>
                <w:sz w:val="20"/>
                <w:szCs w:val="20"/>
              </w:rPr>
              <w:t>%</w:t>
            </w:r>
          </w:p>
        </w:tc>
        <w:tc>
          <w:tcPr>
            <w:tcW w:w="679" w:type="dxa"/>
            <w:vAlign w:val="center"/>
          </w:tcPr>
          <w:p w14:paraId="3A8F049D">
            <w:pPr>
              <w:adjustRightInd w:val="0"/>
              <w:snapToGrid w:val="0"/>
              <w:jc w:val="center"/>
              <w:rPr>
                <w:sz w:val="20"/>
                <w:szCs w:val="20"/>
              </w:rPr>
            </w:pPr>
            <w:r>
              <w:rPr>
                <w:sz w:val="20"/>
                <w:szCs w:val="20"/>
              </w:rPr>
              <w:t>数据</w:t>
            </w:r>
          </w:p>
          <w:p w14:paraId="1BB0D0D5">
            <w:pPr>
              <w:adjustRightInd w:val="0"/>
              <w:snapToGrid w:val="0"/>
              <w:jc w:val="center"/>
              <w:rPr>
                <w:sz w:val="20"/>
                <w:szCs w:val="20"/>
              </w:rPr>
            </w:pPr>
            <w:r>
              <w:rPr>
                <w:sz w:val="20"/>
                <w:szCs w:val="20"/>
              </w:rPr>
              <w:t>来源</w:t>
            </w:r>
          </w:p>
        </w:tc>
      </w:tr>
      <w:tr w14:paraId="1DF5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710" w:type="dxa"/>
            <w:vAlign w:val="center"/>
          </w:tcPr>
          <w:p w14:paraId="111ABAA8">
            <w:pPr>
              <w:adjustRightInd w:val="0"/>
              <w:snapToGrid w:val="0"/>
              <w:jc w:val="center"/>
              <w:rPr>
                <w:sz w:val="20"/>
                <w:szCs w:val="20"/>
              </w:rPr>
            </w:pPr>
            <w:r>
              <w:rPr>
                <w:sz w:val="20"/>
                <w:szCs w:val="20"/>
              </w:rPr>
              <w:t>水套加热炉燃烧天然气</w:t>
            </w:r>
          </w:p>
        </w:tc>
        <w:tc>
          <w:tcPr>
            <w:tcW w:w="1286" w:type="dxa"/>
            <w:vAlign w:val="center"/>
          </w:tcPr>
          <w:p w14:paraId="49777907">
            <w:pPr>
              <w:adjustRightInd w:val="0"/>
              <w:snapToGrid w:val="0"/>
              <w:jc w:val="center"/>
              <w:rPr>
                <w:sz w:val="20"/>
                <w:szCs w:val="20"/>
              </w:rPr>
            </w:pPr>
            <w:r>
              <w:rPr>
                <w:sz w:val="22"/>
                <w:szCs w:val="22"/>
              </w:rPr>
              <w:t>3.02</w:t>
            </w:r>
          </w:p>
          <w:p w14:paraId="076ACBA7">
            <w:pPr>
              <w:adjustRightInd w:val="0"/>
              <w:snapToGrid w:val="0"/>
              <w:jc w:val="center"/>
              <w:rPr>
                <w:sz w:val="20"/>
                <w:szCs w:val="20"/>
              </w:rPr>
            </w:pPr>
            <w:r>
              <w:rPr>
                <w:sz w:val="20"/>
                <w:szCs w:val="20"/>
              </w:rPr>
              <w:t>基础设计</w:t>
            </w:r>
          </w:p>
        </w:tc>
        <w:tc>
          <w:tcPr>
            <w:tcW w:w="1001" w:type="dxa"/>
            <w:vAlign w:val="center"/>
          </w:tcPr>
          <w:p w14:paraId="27136B6F">
            <w:pPr>
              <w:adjustRightInd w:val="0"/>
              <w:snapToGrid w:val="0"/>
              <w:jc w:val="center"/>
              <w:rPr>
                <w:sz w:val="20"/>
                <w:szCs w:val="20"/>
              </w:rPr>
            </w:pPr>
            <w:r>
              <w:rPr>
                <w:sz w:val="20"/>
                <w:szCs w:val="20"/>
              </w:rPr>
              <w:t>5.956443</w:t>
            </w:r>
          </w:p>
        </w:tc>
        <w:tc>
          <w:tcPr>
            <w:tcW w:w="716" w:type="dxa"/>
            <w:vAlign w:val="center"/>
          </w:tcPr>
          <w:p w14:paraId="2F0D49C8">
            <w:pPr>
              <w:adjustRightInd w:val="0"/>
              <w:snapToGrid w:val="0"/>
              <w:jc w:val="center"/>
              <w:rPr>
                <w:sz w:val="20"/>
                <w:szCs w:val="20"/>
              </w:rPr>
            </w:pPr>
            <w:r>
              <w:rPr>
                <w:sz w:val="20"/>
                <w:szCs w:val="20"/>
              </w:rPr>
              <w:t>缺省值</w:t>
            </w:r>
          </w:p>
        </w:tc>
        <w:tc>
          <w:tcPr>
            <w:tcW w:w="1001" w:type="dxa"/>
            <w:vAlign w:val="center"/>
          </w:tcPr>
          <w:p w14:paraId="2BD449EF">
            <w:pPr>
              <w:adjustRightInd w:val="0"/>
              <w:snapToGrid w:val="0"/>
              <w:jc w:val="center"/>
              <w:rPr>
                <w:sz w:val="20"/>
                <w:szCs w:val="20"/>
              </w:rPr>
            </w:pPr>
            <w:r>
              <w:rPr>
                <w:sz w:val="20"/>
                <w:szCs w:val="20"/>
              </w:rPr>
              <w:t>389.310</w:t>
            </w:r>
          </w:p>
        </w:tc>
        <w:tc>
          <w:tcPr>
            <w:tcW w:w="714" w:type="dxa"/>
            <w:vAlign w:val="center"/>
          </w:tcPr>
          <w:p w14:paraId="0A252C38">
            <w:pPr>
              <w:adjustRightInd w:val="0"/>
              <w:snapToGrid w:val="0"/>
              <w:jc w:val="center"/>
              <w:rPr>
                <w:sz w:val="20"/>
                <w:szCs w:val="20"/>
              </w:rPr>
            </w:pPr>
            <w:r>
              <w:rPr>
                <w:sz w:val="20"/>
                <w:szCs w:val="20"/>
              </w:rPr>
              <w:t>缺省值</w:t>
            </w:r>
          </w:p>
        </w:tc>
        <w:tc>
          <w:tcPr>
            <w:tcW w:w="716" w:type="dxa"/>
            <w:vAlign w:val="center"/>
          </w:tcPr>
          <w:p w14:paraId="4F1E2461">
            <w:pPr>
              <w:adjustRightInd w:val="0"/>
              <w:snapToGrid w:val="0"/>
              <w:jc w:val="center"/>
              <w:rPr>
                <w:sz w:val="20"/>
                <w:szCs w:val="20"/>
              </w:rPr>
            </w:pPr>
            <w:r>
              <w:rPr>
                <w:sz w:val="20"/>
                <w:szCs w:val="20"/>
              </w:rPr>
              <w:t>0.0153</w:t>
            </w:r>
          </w:p>
        </w:tc>
        <w:tc>
          <w:tcPr>
            <w:tcW w:w="717" w:type="dxa"/>
            <w:vAlign w:val="center"/>
          </w:tcPr>
          <w:p w14:paraId="52667461">
            <w:pPr>
              <w:adjustRightInd w:val="0"/>
              <w:snapToGrid w:val="0"/>
              <w:jc w:val="center"/>
              <w:rPr>
                <w:sz w:val="20"/>
                <w:szCs w:val="20"/>
              </w:rPr>
            </w:pPr>
            <w:r>
              <w:rPr>
                <w:sz w:val="20"/>
                <w:szCs w:val="20"/>
              </w:rPr>
              <w:t>缺省值</w:t>
            </w:r>
          </w:p>
        </w:tc>
        <w:tc>
          <w:tcPr>
            <w:tcW w:w="571" w:type="dxa"/>
            <w:vAlign w:val="center"/>
          </w:tcPr>
          <w:p w14:paraId="3F8B9098">
            <w:pPr>
              <w:adjustRightInd w:val="0"/>
              <w:snapToGrid w:val="0"/>
              <w:jc w:val="center"/>
              <w:rPr>
                <w:sz w:val="20"/>
                <w:szCs w:val="20"/>
              </w:rPr>
            </w:pPr>
            <w:r>
              <w:rPr>
                <w:sz w:val="20"/>
                <w:szCs w:val="20"/>
              </w:rPr>
              <w:t>99</w:t>
            </w:r>
          </w:p>
        </w:tc>
        <w:tc>
          <w:tcPr>
            <w:tcW w:w="679" w:type="dxa"/>
            <w:vAlign w:val="center"/>
          </w:tcPr>
          <w:p w14:paraId="6836EB83">
            <w:pPr>
              <w:adjustRightInd w:val="0"/>
              <w:snapToGrid w:val="0"/>
              <w:jc w:val="center"/>
              <w:rPr>
                <w:sz w:val="20"/>
                <w:szCs w:val="20"/>
              </w:rPr>
            </w:pPr>
            <w:r>
              <w:rPr>
                <w:sz w:val="20"/>
                <w:szCs w:val="20"/>
              </w:rPr>
              <w:t>缺省值</w:t>
            </w:r>
          </w:p>
        </w:tc>
      </w:tr>
    </w:tbl>
    <w:p w14:paraId="7DC648BD">
      <w:pPr>
        <w:pStyle w:val="1379"/>
        <w:ind w:firstLine="440"/>
      </w:pPr>
    </w:p>
    <w:p w14:paraId="3AE179E4">
      <w:pPr>
        <w:adjustRightInd w:val="0"/>
        <w:snapToGrid w:val="0"/>
        <w:spacing w:line="480" w:lineRule="exact"/>
        <w:ind w:firstLine="520" w:firstLineChars="200"/>
        <w:rPr>
          <w:sz w:val="26"/>
          <w:szCs w:val="26"/>
        </w:rPr>
      </w:pPr>
      <w:r>
        <w:rPr>
          <w:sz w:val="26"/>
          <w:szCs w:val="26"/>
        </w:rPr>
        <w:t>企业的化石燃料燃烧 CO</w:t>
      </w:r>
      <w:r>
        <w:rPr>
          <w:sz w:val="26"/>
          <w:szCs w:val="26"/>
          <w:vertAlign w:val="subscript"/>
        </w:rPr>
        <w:t>2</w:t>
      </w:r>
      <w:r>
        <w:rPr>
          <w:sz w:val="26"/>
          <w:szCs w:val="26"/>
        </w:rPr>
        <w:t>排放量基于企业边界内各个燃烧设施分品种的化石燃料燃烧量，乘以相应的燃料含碳量和碳氧化率，再逐层累加汇总得到，公式如下：</w:t>
      </w:r>
    </w:p>
    <w:p w14:paraId="770DE3C9">
      <w:pPr>
        <w:adjustRightInd w:val="0"/>
        <w:snapToGrid w:val="0"/>
        <w:ind w:firstLine="420" w:firstLineChars="200"/>
        <w:jc w:val="center"/>
        <w:rPr>
          <w:sz w:val="26"/>
          <w:szCs w:val="26"/>
        </w:rPr>
      </w:pPr>
      <w:r>
        <w:rPr>
          <w:szCs w:val="22"/>
        </w:rPr>
        <w:drawing>
          <wp:inline distT="0" distB="0" distL="0" distR="0">
            <wp:extent cx="3637915" cy="513715"/>
            <wp:effectExtent l="0" t="0" r="635" b="635"/>
            <wp:docPr id="9629046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04628" name="图片 1"/>
                    <pic:cNvPicPr>
                      <a:picLocks noChangeAspect="1"/>
                    </pic:cNvPicPr>
                  </pic:nvPicPr>
                  <pic:blipFill>
                    <a:blip r:embed="rId99"/>
                    <a:stretch>
                      <a:fillRect/>
                    </a:stretch>
                  </pic:blipFill>
                  <pic:spPr>
                    <a:xfrm>
                      <a:off x="0" y="0"/>
                      <a:ext cx="3638095" cy="514286"/>
                    </a:xfrm>
                    <a:prstGeom prst="rect">
                      <a:avLst/>
                    </a:prstGeom>
                  </pic:spPr>
                </pic:pic>
              </a:graphicData>
            </a:graphic>
          </wp:inline>
        </w:drawing>
      </w:r>
    </w:p>
    <w:p w14:paraId="6AE88C8E">
      <w:pPr>
        <w:adjustRightInd w:val="0"/>
        <w:snapToGrid w:val="0"/>
        <w:spacing w:line="480" w:lineRule="exact"/>
        <w:ind w:firstLine="520" w:firstLineChars="200"/>
        <w:rPr>
          <w:sz w:val="26"/>
          <w:szCs w:val="26"/>
        </w:rPr>
      </w:pPr>
      <w:r>
        <w:rPr>
          <w:sz w:val="26"/>
          <w:szCs w:val="26"/>
        </w:rPr>
        <w:t>其中CC</w:t>
      </w:r>
      <w:r>
        <w:rPr>
          <w:sz w:val="26"/>
          <w:szCs w:val="26"/>
          <w:vertAlign w:val="subscript"/>
        </w:rPr>
        <w:t>i,j</w:t>
      </w:r>
      <w:r>
        <w:rPr>
          <w:sz w:val="26"/>
          <w:szCs w:val="26"/>
        </w:rPr>
        <w:t>为设施 j 内燃烧的化石燃料 i 的含碳量，对固体和液体燃料以吨碳/吨燃料为单位，对气体燃料以吨碳/万 Nm</w:t>
      </w:r>
      <w:r>
        <w:rPr>
          <w:sz w:val="26"/>
          <w:szCs w:val="26"/>
          <w:vertAlign w:val="superscript"/>
        </w:rPr>
        <w:t>3</w:t>
      </w:r>
      <w:r>
        <w:rPr>
          <w:sz w:val="26"/>
          <w:szCs w:val="26"/>
        </w:rPr>
        <w:t>为单位。</w:t>
      </w:r>
    </w:p>
    <w:p w14:paraId="76650B35">
      <w:pPr>
        <w:adjustRightInd w:val="0"/>
        <w:snapToGrid w:val="0"/>
        <w:ind w:firstLine="420" w:firstLineChars="200"/>
        <w:jc w:val="center"/>
        <w:rPr>
          <w:sz w:val="26"/>
          <w:szCs w:val="26"/>
        </w:rPr>
      </w:pPr>
      <w:r>
        <w:rPr>
          <w:szCs w:val="22"/>
        </w:rPr>
        <w:drawing>
          <wp:inline distT="0" distB="0" distL="0" distR="0">
            <wp:extent cx="2685415" cy="498475"/>
            <wp:effectExtent l="0" t="0" r="635" b="15875"/>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pic:cNvPicPr>
                      <a:picLocks noChangeAspect="1"/>
                    </pic:cNvPicPr>
                  </pic:nvPicPr>
                  <pic:blipFill>
                    <a:blip r:embed="rId100"/>
                    <a:stretch>
                      <a:fillRect/>
                    </a:stretch>
                  </pic:blipFill>
                  <pic:spPr>
                    <a:xfrm>
                      <a:off x="0" y="0"/>
                      <a:ext cx="2685714" cy="498475"/>
                    </a:xfrm>
                    <a:prstGeom prst="rect">
                      <a:avLst/>
                    </a:prstGeom>
                  </pic:spPr>
                </pic:pic>
              </a:graphicData>
            </a:graphic>
          </wp:inline>
        </w:drawing>
      </w:r>
    </w:p>
    <w:p w14:paraId="1D6BF88D">
      <w:pPr>
        <w:adjustRightInd w:val="0"/>
        <w:snapToGrid w:val="0"/>
        <w:spacing w:line="480" w:lineRule="exact"/>
        <w:ind w:firstLine="520" w:firstLineChars="200"/>
      </w:pPr>
      <w:r>
        <w:rPr>
          <w:rFonts w:hint="eastAsia"/>
          <w:sz w:val="26"/>
          <w:szCs w:val="26"/>
        </w:rPr>
        <w:t>NV</w:t>
      </w:r>
      <w:r>
        <w:rPr>
          <w:rFonts w:hint="eastAsia"/>
          <w:sz w:val="26"/>
          <w:szCs w:val="26"/>
          <w:vertAlign w:val="subscript"/>
        </w:rPr>
        <w:t>i</w:t>
      </w:r>
      <w:r>
        <w:rPr>
          <w:sz w:val="26"/>
          <w:szCs w:val="26"/>
        </w:rPr>
        <w:t>为化石燃料品种 i 的低位发热量，对固体和液体燃料以百万千焦（GJ）/吨为单位，对气体燃料以 GJ /万 Nm</w:t>
      </w:r>
      <w:r>
        <w:rPr>
          <w:sz w:val="26"/>
          <w:szCs w:val="26"/>
          <w:vertAlign w:val="superscript"/>
        </w:rPr>
        <w:t>3</w:t>
      </w:r>
      <w:r>
        <w:rPr>
          <w:sz w:val="26"/>
          <w:szCs w:val="26"/>
        </w:rPr>
        <w:t>为单位；EF</w:t>
      </w:r>
      <w:r>
        <w:rPr>
          <w:rFonts w:hint="eastAsia"/>
          <w:sz w:val="26"/>
          <w:szCs w:val="26"/>
          <w:vertAlign w:val="subscript"/>
        </w:rPr>
        <w:t>i</w:t>
      </w:r>
      <w:r>
        <w:rPr>
          <w:sz w:val="26"/>
          <w:szCs w:val="26"/>
        </w:rPr>
        <w:t>为燃料品种 i的单位热值含碳量，单位为吨碳/GJ。</w:t>
      </w:r>
    </w:p>
    <w:p w14:paraId="522AFC48">
      <w:pPr>
        <w:adjustRightInd w:val="0"/>
        <w:snapToGrid w:val="0"/>
        <w:spacing w:line="480" w:lineRule="exact"/>
        <w:ind w:firstLine="522" w:firstLineChars="200"/>
        <w:rPr>
          <w:b/>
          <w:bCs/>
          <w:sz w:val="26"/>
          <w:szCs w:val="26"/>
        </w:rPr>
      </w:pPr>
      <w:r>
        <w:rPr>
          <w:b/>
          <w:bCs/>
          <w:sz w:val="26"/>
          <w:szCs w:val="26"/>
        </w:rPr>
        <w:fldChar w:fldCharType="begin"/>
      </w:r>
      <w:r>
        <w:rPr>
          <w:b/>
          <w:bCs/>
          <w:sz w:val="26"/>
          <w:szCs w:val="26"/>
        </w:rPr>
        <w:instrText xml:space="preserve"> </w:instrText>
      </w:r>
      <w:r>
        <w:rPr>
          <w:rFonts w:hint="eastAsia"/>
          <w:b/>
          <w:bCs/>
          <w:sz w:val="26"/>
          <w:szCs w:val="26"/>
        </w:rPr>
        <w:instrText xml:space="preserve">= 2 \* GB3</w:instrText>
      </w:r>
      <w:r>
        <w:rPr>
          <w:b/>
          <w:bCs/>
          <w:sz w:val="26"/>
          <w:szCs w:val="26"/>
        </w:rPr>
        <w:instrText xml:space="preserve"> </w:instrText>
      </w:r>
      <w:r>
        <w:rPr>
          <w:b/>
          <w:bCs/>
          <w:sz w:val="26"/>
          <w:szCs w:val="26"/>
        </w:rPr>
        <w:fldChar w:fldCharType="separate"/>
      </w:r>
      <w:r>
        <w:rPr>
          <w:rFonts w:hint="eastAsia"/>
          <w:b/>
          <w:bCs/>
          <w:sz w:val="26"/>
          <w:szCs w:val="26"/>
        </w:rPr>
        <w:t>②</w:t>
      </w:r>
      <w:r>
        <w:rPr>
          <w:b/>
          <w:bCs/>
          <w:sz w:val="26"/>
          <w:szCs w:val="26"/>
        </w:rPr>
        <w:fldChar w:fldCharType="end"/>
      </w:r>
      <w:r>
        <w:rPr>
          <w:rFonts w:hint="eastAsia"/>
          <w:b/>
          <w:bCs/>
          <w:sz w:val="26"/>
          <w:szCs w:val="26"/>
        </w:rPr>
        <w:t>放空管</w:t>
      </w:r>
      <w:r>
        <w:rPr>
          <w:b/>
          <w:bCs/>
          <w:sz w:val="26"/>
          <w:szCs w:val="26"/>
        </w:rPr>
        <w:t>燃烧活动水平数据</w:t>
      </w:r>
    </w:p>
    <w:p w14:paraId="561D45CC">
      <w:pPr>
        <w:adjustRightInd w:val="0"/>
        <w:snapToGrid w:val="0"/>
        <w:spacing w:line="480" w:lineRule="exact"/>
        <w:ind w:firstLine="522" w:firstLineChars="200"/>
        <w:rPr>
          <w:b/>
          <w:bCs/>
          <w:sz w:val="26"/>
          <w:szCs w:val="26"/>
        </w:rPr>
      </w:pPr>
      <w:r>
        <w:rPr>
          <w:b/>
          <w:bCs/>
          <w:sz w:val="26"/>
          <w:szCs w:val="26"/>
        </w:rPr>
        <w:t>A、非正常工况下</w:t>
      </w:r>
    </w:p>
    <w:p w14:paraId="3C0B95AD">
      <w:pPr>
        <w:adjustRightInd w:val="0"/>
        <w:snapToGrid w:val="0"/>
        <w:spacing w:line="480" w:lineRule="exact"/>
        <w:ind w:firstLine="520" w:firstLineChars="200"/>
        <w:rPr>
          <w:sz w:val="26"/>
          <w:szCs w:val="26"/>
        </w:rPr>
      </w:pPr>
      <w:r>
        <w:rPr>
          <w:sz w:val="26"/>
          <w:szCs w:val="26"/>
        </w:rPr>
        <w:t>目前我国石油天然气生产企业由于事故检修导致的</w:t>
      </w:r>
      <w:r>
        <w:rPr>
          <w:rFonts w:hint="eastAsia"/>
          <w:sz w:val="26"/>
          <w:szCs w:val="26"/>
        </w:rPr>
        <w:t>火炬</w:t>
      </w:r>
      <w:r>
        <w:rPr>
          <w:sz w:val="26"/>
          <w:szCs w:val="26"/>
        </w:rPr>
        <w:t>燃烧一般无具体监测，直接获取</w:t>
      </w:r>
      <w:r>
        <w:rPr>
          <w:rFonts w:hint="eastAsia"/>
          <w:sz w:val="26"/>
          <w:szCs w:val="26"/>
        </w:rPr>
        <w:t>放空管</w:t>
      </w:r>
      <w:r>
        <w:rPr>
          <w:sz w:val="26"/>
          <w:szCs w:val="26"/>
        </w:rPr>
        <w:t>气流量数据非常困难，建议以事故设施通往</w:t>
      </w:r>
      <w:r>
        <w:rPr>
          <w:rFonts w:hint="eastAsia"/>
          <w:sz w:val="26"/>
          <w:szCs w:val="26"/>
        </w:rPr>
        <w:t>放空火炬</w:t>
      </w:r>
      <w:r>
        <w:rPr>
          <w:sz w:val="26"/>
          <w:szCs w:val="26"/>
        </w:rPr>
        <w:t>的平均气体流量及事故持续时间为基础估算事故</w:t>
      </w:r>
      <w:r>
        <w:rPr>
          <w:rFonts w:hint="eastAsia"/>
          <w:sz w:val="26"/>
          <w:szCs w:val="26"/>
        </w:rPr>
        <w:t>放空管</w:t>
      </w:r>
      <w:r>
        <w:rPr>
          <w:sz w:val="26"/>
          <w:szCs w:val="26"/>
        </w:rPr>
        <w:t>燃烧量，并进而估算事故</w:t>
      </w:r>
      <w:r>
        <w:rPr>
          <w:rFonts w:hint="eastAsia"/>
          <w:sz w:val="26"/>
          <w:szCs w:val="26"/>
        </w:rPr>
        <w:t>放空管</w:t>
      </w:r>
      <w:r>
        <w:rPr>
          <w:sz w:val="26"/>
          <w:szCs w:val="26"/>
        </w:rPr>
        <w:t>燃烧的CO</w:t>
      </w:r>
      <w:r>
        <w:rPr>
          <w:sz w:val="26"/>
          <w:szCs w:val="26"/>
          <w:vertAlign w:val="subscript"/>
        </w:rPr>
        <w:t>2</w:t>
      </w:r>
      <w:r>
        <w:rPr>
          <w:sz w:val="26"/>
          <w:szCs w:val="26"/>
        </w:rPr>
        <w:t>和CH</w:t>
      </w:r>
      <w:r>
        <w:rPr>
          <w:sz w:val="26"/>
          <w:szCs w:val="26"/>
          <w:vertAlign w:val="subscript"/>
        </w:rPr>
        <w:t>4</w:t>
      </w:r>
      <w:r>
        <w:rPr>
          <w:sz w:val="26"/>
          <w:szCs w:val="26"/>
        </w:rPr>
        <w:t>排放量。</w:t>
      </w:r>
    </w:p>
    <w:p w14:paraId="2379DD46">
      <w:pPr>
        <w:pStyle w:val="1379"/>
        <w:ind w:firstLine="440"/>
      </w:pPr>
    </w:p>
    <w:p w14:paraId="152A8E97">
      <w:pPr>
        <w:adjustRightInd w:val="0"/>
        <w:snapToGrid w:val="0"/>
        <w:ind w:firstLine="520" w:firstLineChars="200"/>
        <w:jc w:val="center"/>
        <w:rPr>
          <w:sz w:val="26"/>
          <w:szCs w:val="26"/>
        </w:rPr>
      </w:pPr>
      <w:r>
        <w:rPr>
          <w:sz w:val="26"/>
          <w:szCs w:val="26"/>
        </w:rPr>
        <w:t>表9.4</w:t>
      </w:r>
      <w:r>
        <w:rPr>
          <w:rFonts w:hint="eastAsia"/>
          <w:sz w:val="26"/>
          <w:szCs w:val="26"/>
        </w:rPr>
        <w:t>-</w:t>
      </w:r>
      <w:r>
        <w:rPr>
          <w:sz w:val="26"/>
          <w:szCs w:val="26"/>
        </w:rPr>
        <w:t>4</w:t>
      </w:r>
      <w:r>
        <w:rPr>
          <w:rFonts w:hint="eastAsia"/>
          <w:sz w:val="26"/>
          <w:szCs w:val="26"/>
        </w:rPr>
        <w:t xml:space="preserve"> </w:t>
      </w:r>
      <w:r>
        <w:rPr>
          <w:sz w:val="26"/>
          <w:szCs w:val="26"/>
        </w:rPr>
        <w:t xml:space="preserve"> 非正常工况</w:t>
      </w:r>
      <w:r>
        <w:rPr>
          <w:rFonts w:hint="eastAsia"/>
          <w:sz w:val="26"/>
          <w:szCs w:val="26"/>
        </w:rPr>
        <w:t>火炬</w:t>
      </w:r>
      <w:r>
        <w:rPr>
          <w:sz w:val="26"/>
          <w:szCs w:val="26"/>
        </w:rPr>
        <w:t>燃烧活动水平数据</w:t>
      </w:r>
    </w:p>
    <w:tbl>
      <w:tblPr>
        <w:tblStyle w:val="89"/>
        <w:tblW w:w="82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0"/>
        <w:gridCol w:w="958"/>
        <w:gridCol w:w="1128"/>
      </w:tblGrid>
      <w:tr w14:paraId="15765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6180" w:type="dxa"/>
            <w:vAlign w:val="center"/>
          </w:tcPr>
          <w:p w14:paraId="1CACE743">
            <w:pPr>
              <w:adjustRightInd w:val="0"/>
              <w:snapToGrid w:val="0"/>
              <w:jc w:val="center"/>
              <w:rPr>
                <w:rFonts w:eastAsia="Times New Roman"/>
                <w:sz w:val="22"/>
              </w:rPr>
            </w:pPr>
            <w:r>
              <w:rPr>
                <w:rFonts w:hint="eastAsia" w:ascii="宋体" w:hAnsi="宋体" w:cs="宋体"/>
                <w:sz w:val="22"/>
              </w:rPr>
              <w:t>放空管系统</w:t>
            </w:r>
          </w:p>
        </w:tc>
        <w:tc>
          <w:tcPr>
            <w:tcW w:w="958" w:type="dxa"/>
            <w:vAlign w:val="center"/>
          </w:tcPr>
          <w:p w14:paraId="3030B5DB">
            <w:pPr>
              <w:adjustRightInd w:val="0"/>
              <w:snapToGrid w:val="0"/>
              <w:jc w:val="center"/>
              <w:rPr>
                <w:rFonts w:eastAsia="Times New Roman"/>
                <w:sz w:val="22"/>
              </w:rPr>
            </w:pPr>
            <w:r>
              <w:rPr>
                <w:rFonts w:hint="eastAsia" w:ascii="宋体" w:hAnsi="宋体" w:cs="宋体"/>
                <w:sz w:val="22"/>
              </w:rPr>
              <w:t>数据</w:t>
            </w:r>
          </w:p>
        </w:tc>
        <w:tc>
          <w:tcPr>
            <w:tcW w:w="1128" w:type="dxa"/>
            <w:vMerge w:val="restart"/>
            <w:vAlign w:val="center"/>
          </w:tcPr>
          <w:p w14:paraId="57BD5518">
            <w:pPr>
              <w:adjustRightInd w:val="0"/>
              <w:snapToGrid w:val="0"/>
              <w:jc w:val="center"/>
              <w:rPr>
                <w:rFonts w:eastAsia="Times New Roman"/>
                <w:sz w:val="22"/>
              </w:rPr>
            </w:pPr>
            <w:r>
              <w:rPr>
                <w:rFonts w:hint="eastAsia" w:ascii="宋体" w:hAnsi="宋体" w:cs="宋体"/>
                <w:sz w:val="22"/>
              </w:rPr>
              <w:t>数据来源</w:t>
            </w:r>
          </w:p>
        </w:tc>
      </w:tr>
      <w:tr w14:paraId="526F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vAlign w:val="center"/>
          </w:tcPr>
          <w:p w14:paraId="792552F6">
            <w:pPr>
              <w:adjustRightInd w:val="0"/>
              <w:snapToGrid w:val="0"/>
              <w:jc w:val="center"/>
              <w:rPr>
                <w:rFonts w:eastAsia="Times New Roman"/>
                <w:sz w:val="22"/>
              </w:rPr>
            </w:pPr>
            <w:r>
              <w:rPr>
                <w:rFonts w:hint="eastAsia" w:ascii="宋体" w:hAnsi="宋体" w:cs="宋体"/>
                <w:sz w:val="22"/>
              </w:rPr>
              <w:t>检修状态时的放空管气流速度</w:t>
            </w:r>
            <w:r>
              <w:rPr>
                <w:rFonts w:ascii="Cambria Math" w:hAnsi="Cambria Math" w:eastAsia="Times New Roman" w:cs="Cambria Math"/>
                <w:sz w:val="22"/>
              </w:rPr>
              <w:t>𝐺𝐹</w:t>
            </w:r>
            <w:r>
              <w:rPr>
                <w:rFonts w:hint="eastAsia" w:ascii="宋体" w:hAnsi="宋体" w:cs="宋体"/>
                <w:sz w:val="22"/>
                <w:vertAlign w:val="subscript"/>
              </w:rPr>
              <w:t>事故，</w:t>
            </w:r>
            <w:r>
              <w:rPr>
                <w:rFonts w:ascii="Cambria Math" w:hAnsi="Cambria Math" w:eastAsia="Times New Roman" w:cs="Cambria Math"/>
                <w:sz w:val="22"/>
                <w:vertAlign w:val="subscript"/>
              </w:rPr>
              <w:t>𝑗</w:t>
            </w:r>
            <w:r>
              <w:rPr>
                <w:rFonts w:hint="eastAsia" w:ascii="宋体" w:hAnsi="宋体" w:cs="宋体"/>
                <w:sz w:val="22"/>
              </w:rPr>
              <w:t>（单位：万</w:t>
            </w:r>
            <w:r>
              <w:rPr>
                <w:rFonts w:eastAsia="Times New Roman"/>
                <w:sz w:val="22"/>
              </w:rPr>
              <w:t>Nm</w:t>
            </w:r>
            <w:r>
              <w:rPr>
                <w:rFonts w:eastAsia="Times New Roman"/>
                <w:sz w:val="22"/>
                <w:vertAlign w:val="superscript"/>
              </w:rPr>
              <w:t>3</w:t>
            </w:r>
            <w:r>
              <w:rPr>
                <w:rFonts w:eastAsia="Times New Roman"/>
                <w:sz w:val="22"/>
              </w:rPr>
              <w:t>/</w:t>
            </w:r>
            <w:r>
              <w:rPr>
                <w:rFonts w:hint="eastAsia" w:ascii="宋体" w:hAnsi="宋体" w:cs="宋体"/>
                <w:sz w:val="22"/>
              </w:rPr>
              <w:t>小时）</w:t>
            </w:r>
          </w:p>
        </w:tc>
        <w:tc>
          <w:tcPr>
            <w:tcW w:w="958" w:type="dxa"/>
            <w:vAlign w:val="center"/>
          </w:tcPr>
          <w:p w14:paraId="27EC9A89">
            <w:pPr>
              <w:adjustRightInd w:val="0"/>
              <w:snapToGrid w:val="0"/>
              <w:jc w:val="center"/>
              <w:rPr>
                <w:rFonts w:eastAsia="Times New Roman"/>
                <w:sz w:val="22"/>
              </w:rPr>
            </w:pPr>
            <w:r>
              <w:rPr>
                <w:sz w:val="22"/>
              </w:rPr>
              <w:t>25×10</w:t>
            </w:r>
            <w:r>
              <w:rPr>
                <w:sz w:val="22"/>
                <w:vertAlign w:val="superscript"/>
              </w:rPr>
              <w:t>-4</w:t>
            </w:r>
          </w:p>
        </w:tc>
        <w:tc>
          <w:tcPr>
            <w:tcW w:w="1128" w:type="dxa"/>
            <w:vMerge w:val="restart"/>
            <w:vAlign w:val="center"/>
          </w:tcPr>
          <w:p w14:paraId="3AF1344A">
            <w:pPr>
              <w:adjustRightInd w:val="0"/>
              <w:snapToGrid w:val="0"/>
              <w:jc w:val="center"/>
              <w:rPr>
                <w:rFonts w:eastAsia="Times New Roman"/>
                <w:sz w:val="22"/>
              </w:rPr>
            </w:pPr>
            <w:r>
              <w:rPr>
                <w:rFonts w:hint="eastAsia" w:ascii="宋体" w:hAnsi="宋体" w:cs="宋体"/>
                <w:sz w:val="22"/>
              </w:rPr>
              <w:t>实例统计</w:t>
            </w:r>
          </w:p>
        </w:tc>
      </w:tr>
      <w:tr w14:paraId="613B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vAlign w:val="center"/>
          </w:tcPr>
          <w:p w14:paraId="26747810">
            <w:pPr>
              <w:adjustRightInd w:val="0"/>
              <w:snapToGrid w:val="0"/>
              <w:jc w:val="center"/>
              <w:rPr>
                <w:rFonts w:eastAsia="Times New Roman"/>
                <w:sz w:val="22"/>
              </w:rPr>
            </w:pPr>
            <w:r>
              <w:rPr>
                <w:rFonts w:hint="eastAsia" w:ascii="宋体" w:hAnsi="宋体" w:cs="宋体"/>
                <w:sz w:val="22"/>
              </w:rPr>
              <w:t>检修的持续时间</w:t>
            </w:r>
            <w:r>
              <w:rPr>
                <w:rFonts w:ascii="Cambria Math" w:hAnsi="Cambria Math" w:eastAsia="Times New Roman" w:cs="Cambria Math"/>
                <w:sz w:val="22"/>
              </w:rPr>
              <w:t>𝑇</w:t>
            </w:r>
            <w:r>
              <w:rPr>
                <w:rFonts w:hint="eastAsia" w:ascii="宋体" w:hAnsi="宋体" w:cs="宋体"/>
                <w:sz w:val="22"/>
                <w:vertAlign w:val="subscript"/>
              </w:rPr>
              <w:t>事故</w:t>
            </w:r>
            <w:r>
              <w:rPr>
                <w:rFonts w:eastAsia="Times New Roman"/>
                <w:sz w:val="22"/>
                <w:vertAlign w:val="subscript"/>
              </w:rPr>
              <w:t>,</w:t>
            </w:r>
            <w:r>
              <w:rPr>
                <w:rFonts w:ascii="Cambria Math" w:hAnsi="Cambria Math" w:eastAsia="Times New Roman" w:cs="Cambria Math"/>
                <w:sz w:val="22"/>
                <w:vertAlign w:val="subscript"/>
              </w:rPr>
              <w:t>𝑗</w:t>
            </w:r>
            <w:r>
              <w:rPr>
                <w:rFonts w:hint="eastAsia" w:ascii="宋体" w:hAnsi="宋体" w:cs="宋体"/>
                <w:sz w:val="22"/>
              </w:rPr>
              <w:t>（单位：小时）</w:t>
            </w:r>
          </w:p>
        </w:tc>
        <w:tc>
          <w:tcPr>
            <w:tcW w:w="958" w:type="dxa"/>
            <w:vAlign w:val="center"/>
          </w:tcPr>
          <w:p w14:paraId="5D2EC8E4">
            <w:pPr>
              <w:adjustRightInd w:val="0"/>
              <w:snapToGrid w:val="0"/>
              <w:jc w:val="center"/>
              <w:rPr>
                <w:rFonts w:eastAsia="Times New Roman"/>
                <w:sz w:val="22"/>
              </w:rPr>
            </w:pPr>
            <w:r>
              <w:rPr>
                <w:sz w:val="22"/>
              </w:rPr>
              <w:t>19×2</w:t>
            </w:r>
          </w:p>
        </w:tc>
        <w:tc>
          <w:tcPr>
            <w:tcW w:w="1128" w:type="dxa"/>
            <w:vMerge w:val="continue"/>
            <w:vAlign w:val="center"/>
          </w:tcPr>
          <w:p w14:paraId="66DDACD1">
            <w:pPr>
              <w:adjustRightInd w:val="0"/>
              <w:snapToGrid w:val="0"/>
              <w:jc w:val="center"/>
              <w:rPr>
                <w:rFonts w:eastAsia="Times New Roman"/>
                <w:sz w:val="22"/>
              </w:rPr>
            </w:pPr>
          </w:p>
        </w:tc>
      </w:tr>
      <w:tr w14:paraId="3B68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vAlign w:val="center"/>
          </w:tcPr>
          <w:p w14:paraId="497D31EB">
            <w:pPr>
              <w:adjustRightInd w:val="0"/>
              <w:snapToGrid w:val="0"/>
              <w:jc w:val="center"/>
              <w:rPr>
                <w:rFonts w:eastAsia="Times New Roman"/>
                <w:sz w:val="22"/>
              </w:rPr>
            </w:pPr>
            <w:r>
              <w:rPr>
                <w:rFonts w:hint="eastAsia" w:ascii="宋体" w:hAnsi="宋体" w:cs="宋体"/>
                <w:sz w:val="22"/>
              </w:rPr>
              <w:t>除</w:t>
            </w:r>
            <w:r>
              <w:rPr>
                <w:rFonts w:eastAsia="Times New Roman"/>
                <w:sz w:val="22"/>
              </w:rPr>
              <w:t>CO</w:t>
            </w:r>
            <w:r>
              <w:rPr>
                <w:rFonts w:eastAsia="Times New Roman"/>
                <w:sz w:val="22"/>
                <w:vertAlign w:val="subscript"/>
              </w:rPr>
              <w:t>2</w:t>
            </w:r>
            <w:r>
              <w:rPr>
                <w:rFonts w:hint="eastAsia" w:ascii="宋体" w:hAnsi="宋体" w:cs="宋体"/>
                <w:sz w:val="22"/>
              </w:rPr>
              <w:t>外其他含碳化合物的总含碳量</w:t>
            </w:r>
            <w:r>
              <w:rPr>
                <w:rFonts w:ascii="Cambria Math" w:hAnsi="Cambria Math" w:eastAsia="Times New Roman" w:cs="Cambria Math"/>
                <w:sz w:val="22"/>
              </w:rPr>
              <w:t>𝐶𝐶</w:t>
            </w:r>
            <w:r>
              <w:rPr>
                <w:rFonts w:hint="eastAsia" w:ascii="宋体" w:hAnsi="宋体" w:cs="宋体"/>
                <w:sz w:val="22"/>
                <w:vertAlign w:val="subscript"/>
              </w:rPr>
              <w:t>（非</w:t>
            </w:r>
            <w:r>
              <w:rPr>
                <w:rFonts w:ascii="Cambria Math" w:hAnsi="Cambria Math" w:eastAsia="Times New Roman" w:cs="Cambria Math"/>
                <w:sz w:val="22"/>
                <w:vertAlign w:val="subscript"/>
              </w:rPr>
              <w:t>𝐶𝑂</w:t>
            </w:r>
            <w:r>
              <w:rPr>
                <w:rFonts w:eastAsia="Times New Roman"/>
                <w:sz w:val="22"/>
                <w:vertAlign w:val="subscript"/>
              </w:rPr>
              <w:t>2</w:t>
            </w:r>
            <w:r>
              <w:rPr>
                <w:rFonts w:hint="eastAsia" w:ascii="宋体" w:hAnsi="宋体" w:cs="宋体"/>
                <w:sz w:val="22"/>
                <w:vertAlign w:val="subscript"/>
              </w:rPr>
              <w:t>）</w:t>
            </w:r>
            <w:r>
              <w:rPr>
                <w:rFonts w:ascii="Cambria Math" w:hAnsi="Cambria Math" w:eastAsia="Times New Roman" w:cs="Cambria Math"/>
                <w:sz w:val="22"/>
                <w:vertAlign w:val="subscript"/>
              </w:rPr>
              <w:t>𝑗</w:t>
            </w:r>
            <w:r>
              <w:rPr>
                <w:rFonts w:hint="eastAsia" w:ascii="宋体" w:hAnsi="宋体" w:cs="宋体"/>
                <w:sz w:val="22"/>
              </w:rPr>
              <w:t>，</w:t>
            </w:r>
            <w:r>
              <w:rPr>
                <w:rFonts w:eastAsia="Times New Roman"/>
                <w:sz w:val="22"/>
              </w:rPr>
              <w:t>tC/10</w:t>
            </w:r>
            <w:r>
              <w:rPr>
                <w:rFonts w:eastAsia="Times New Roman"/>
                <w:sz w:val="22"/>
                <w:vertAlign w:val="superscript"/>
              </w:rPr>
              <w:t>4</w:t>
            </w:r>
            <w:r>
              <w:rPr>
                <w:rFonts w:eastAsia="Times New Roman"/>
                <w:sz w:val="22"/>
              </w:rPr>
              <w:t>Nm</w:t>
            </w:r>
            <w:r>
              <w:rPr>
                <w:rFonts w:eastAsia="Times New Roman"/>
                <w:sz w:val="22"/>
                <w:vertAlign w:val="superscript"/>
              </w:rPr>
              <w:t>3</w:t>
            </w:r>
          </w:p>
        </w:tc>
        <w:tc>
          <w:tcPr>
            <w:tcW w:w="958" w:type="dxa"/>
            <w:vAlign w:val="center"/>
          </w:tcPr>
          <w:p w14:paraId="62F0D358">
            <w:pPr>
              <w:adjustRightInd w:val="0"/>
              <w:snapToGrid w:val="0"/>
              <w:jc w:val="center"/>
              <w:rPr>
                <w:rFonts w:eastAsia="Times New Roman"/>
                <w:sz w:val="22"/>
              </w:rPr>
            </w:pPr>
            <w:r>
              <w:rPr>
                <w:sz w:val="22"/>
              </w:rPr>
              <w:t>5.6786</w:t>
            </w:r>
          </w:p>
        </w:tc>
        <w:tc>
          <w:tcPr>
            <w:tcW w:w="1128" w:type="dxa"/>
            <w:vMerge w:val="continue"/>
            <w:vAlign w:val="center"/>
          </w:tcPr>
          <w:p w14:paraId="4BE8C20A">
            <w:pPr>
              <w:adjustRightInd w:val="0"/>
              <w:snapToGrid w:val="0"/>
              <w:jc w:val="center"/>
              <w:rPr>
                <w:rFonts w:eastAsia="Times New Roman"/>
                <w:sz w:val="22"/>
              </w:rPr>
            </w:pPr>
          </w:p>
        </w:tc>
      </w:tr>
      <w:tr w14:paraId="4D31C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vAlign w:val="center"/>
          </w:tcPr>
          <w:p w14:paraId="42C45541">
            <w:pPr>
              <w:adjustRightInd w:val="0"/>
              <w:snapToGrid w:val="0"/>
              <w:jc w:val="center"/>
              <w:rPr>
                <w:rFonts w:eastAsia="Times New Roman"/>
                <w:sz w:val="22"/>
              </w:rPr>
            </w:pPr>
            <w:r>
              <w:rPr>
                <w:rFonts w:eastAsia="Times New Roman"/>
                <w:sz w:val="22"/>
              </w:rPr>
              <w:t>CO</w:t>
            </w:r>
            <w:r>
              <w:rPr>
                <w:rFonts w:eastAsia="Times New Roman"/>
                <w:sz w:val="22"/>
                <w:vertAlign w:val="subscript"/>
              </w:rPr>
              <w:t>2</w:t>
            </w:r>
            <w:r>
              <w:rPr>
                <w:rFonts w:hint="eastAsia" w:ascii="宋体" w:hAnsi="宋体" w:cs="宋体"/>
                <w:sz w:val="22"/>
              </w:rPr>
              <w:t>的体积浓度</w:t>
            </w:r>
            <w:r>
              <w:rPr>
                <w:rFonts w:ascii="Cambria Math" w:hAnsi="Cambria Math" w:eastAsia="Times New Roman" w:cs="Cambria Math"/>
                <w:sz w:val="22"/>
              </w:rPr>
              <w:t>𝑉</w:t>
            </w:r>
            <w:r>
              <w:rPr>
                <w:rFonts w:eastAsia="Times New Roman"/>
                <w:sz w:val="22"/>
                <w:vertAlign w:val="subscript"/>
              </w:rPr>
              <w:t>(</w:t>
            </w:r>
            <w:r>
              <w:rPr>
                <w:rFonts w:ascii="Cambria Math" w:hAnsi="Cambria Math" w:eastAsia="Times New Roman" w:cs="Cambria Math"/>
                <w:sz w:val="22"/>
                <w:vertAlign w:val="subscript"/>
              </w:rPr>
              <w:t>𝐶𝑂</w:t>
            </w:r>
            <w:r>
              <w:rPr>
                <w:rFonts w:eastAsia="Times New Roman"/>
                <w:sz w:val="22"/>
                <w:vertAlign w:val="subscript"/>
              </w:rPr>
              <w:t>2)</w:t>
            </w:r>
            <w:r>
              <w:rPr>
                <w:rFonts w:ascii="Cambria Math" w:hAnsi="Cambria Math" w:eastAsia="Times New Roman" w:cs="Cambria Math"/>
                <w:sz w:val="22"/>
                <w:vertAlign w:val="subscript"/>
              </w:rPr>
              <w:t>𝑗</w:t>
            </w:r>
            <w:r>
              <w:rPr>
                <w:rFonts w:hint="eastAsia" w:ascii="宋体" w:hAnsi="宋体" w:cs="宋体"/>
                <w:sz w:val="22"/>
              </w:rPr>
              <w:t>，</w:t>
            </w:r>
            <w:r>
              <w:rPr>
                <w:rFonts w:eastAsia="Times New Roman"/>
                <w:sz w:val="22"/>
              </w:rPr>
              <w:t>%</w:t>
            </w:r>
          </w:p>
        </w:tc>
        <w:tc>
          <w:tcPr>
            <w:tcW w:w="958" w:type="dxa"/>
            <w:vAlign w:val="center"/>
          </w:tcPr>
          <w:p w14:paraId="01077649">
            <w:pPr>
              <w:adjustRightInd w:val="0"/>
              <w:snapToGrid w:val="0"/>
              <w:jc w:val="center"/>
              <w:rPr>
                <w:rFonts w:eastAsia="Times New Roman"/>
                <w:sz w:val="22"/>
              </w:rPr>
            </w:pPr>
            <w:r>
              <w:rPr>
                <w:sz w:val="22"/>
              </w:rPr>
              <w:t>0.05</w:t>
            </w:r>
          </w:p>
        </w:tc>
        <w:tc>
          <w:tcPr>
            <w:tcW w:w="1128" w:type="dxa"/>
            <w:vMerge w:val="continue"/>
            <w:vAlign w:val="center"/>
          </w:tcPr>
          <w:p w14:paraId="16516F91">
            <w:pPr>
              <w:adjustRightInd w:val="0"/>
              <w:snapToGrid w:val="0"/>
              <w:jc w:val="center"/>
              <w:rPr>
                <w:rFonts w:eastAsia="Times New Roman"/>
                <w:sz w:val="22"/>
              </w:rPr>
            </w:pPr>
          </w:p>
        </w:tc>
      </w:tr>
      <w:tr w14:paraId="5BBB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vAlign w:val="center"/>
          </w:tcPr>
          <w:p w14:paraId="09642B7E">
            <w:pPr>
              <w:adjustRightInd w:val="0"/>
              <w:snapToGrid w:val="0"/>
              <w:jc w:val="center"/>
              <w:rPr>
                <w:rFonts w:eastAsia="Times New Roman"/>
                <w:sz w:val="22"/>
              </w:rPr>
            </w:pPr>
            <w:r>
              <w:rPr>
                <w:rFonts w:eastAsia="Times New Roman"/>
                <w:sz w:val="22"/>
              </w:rPr>
              <w:t>CH</w:t>
            </w:r>
            <w:r>
              <w:rPr>
                <w:rFonts w:eastAsia="Times New Roman"/>
                <w:sz w:val="22"/>
                <w:vertAlign w:val="subscript"/>
              </w:rPr>
              <w:t>4</w:t>
            </w:r>
            <w:r>
              <w:rPr>
                <w:rFonts w:hint="eastAsia" w:ascii="宋体" w:hAnsi="宋体" w:cs="宋体"/>
                <w:sz w:val="22"/>
              </w:rPr>
              <w:t>的体积浓度</w:t>
            </w:r>
            <w:r>
              <w:rPr>
                <w:rFonts w:ascii="Cambria Math" w:hAnsi="Cambria Math" w:eastAsia="Times New Roman" w:cs="Cambria Math"/>
                <w:sz w:val="22"/>
              </w:rPr>
              <w:t>𝑉</w:t>
            </w:r>
            <w:r>
              <w:rPr>
                <w:rFonts w:ascii="Cambria Math" w:hAnsi="Cambria Math" w:eastAsia="Times New Roman" w:cs="Cambria Math"/>
                <w:sz w:val="22"/>
                <w:vertAlign w:val="subscript"/>
              </w:rPr>
              <w:t>𝐶𝐻</w:t>
            </w:r>
            <w:r>
              <w:rPr>
                <w:rFonts w:eastAsia="Times New Roman"/>
                <w:sz w:val="22"/>
                <w:vertAlign w:val="subscript"/>
              </w:rPr>
              <w:t>4</w:t>
            </w:r>
            <w:r>
              <w:rPr>
                <w:rFonts w:hint="eastAsia" w:ascii="宋体" w:hAnsi="宋体" w:cs="宋体"/>
                <w:sz w:val="22"/>
              </w:rPr>
              <w:t>，</w:t>
            </w:r>
            <w:r>
              <w:rPr>
                <w:rFonts w:eastAsia="Times New Roman"/>
                <w:sz w:val="22"/>
              </w:rPr>
              <w:t>%</w:t>
            </w:r>
          </w:p>
        </w:tc>
        <w:tc>
          <w:tcPr>
            <w:tcW w:w="958" w:type="dxa"/>
            <w:vAlign w:val="center"/>
          </w:tcPr>
          <w:p w14:paraId="62E527E2">
            <w:pPr>
              <w:adjustRightInd w:val="0"/>
              <w:snapToGrid w:val="0"/>
              <w:jc w:val="center"/>
              <w:rPr>
                <w:rFonts w:eastAsia="Times New Roman"/>
                <w:sz w:val="22"/>
              </w:rPr>
            </w:pPr>
            <w:r>
              <w:rPr>
                <w:sz w:val="22"/>
              </w:rPr>
              <w:t>94.34</w:t>
            </w:r>
          </w:p>
        </w:tc>
        <w:tc>
          <w:tcPr>
            <w:tcW w:w="1128" w:type="dxa"/>
            <w:vMerge w:val="continue"/>
            <w:vAlign w:val="center"/>
          </w:tcPr>
          <w:p w14:paraId="0C380244">
            <w:pPr>
              <w:adjustRightInd w:val="0"/>
              <w:snapToGrid w:val="0"/>
              <w:jc w:val="center"/>
              <w:rPr>
                <w:rFonts w:eastAsia="Times New Roman"/>
                <w:sz w:val="22"/>
              </w:rPr>
            </w:pPr>
          </w:p>
        </w:tc>
      </w:tr>
      <w:tr w14:paraId="5F89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vAlign w:val="center"/>
          </w:tcPr>
          <w:p w14:paraId="46098F65">
            <w:pPr>
              <w:adjustRightInd w:val="0"/>
              <w:snapToGrid w:val="0"/>
              <w:jc w:val="center"/>
              <w:rPr>
                <w:rFonts w:eastAsia="Times New Roman"/>
                <w:sz w:val="22"/>
              </w:rPr>
            </w:pPr>
            <w:r>
              <w:rPr>
                <w:rFonts w:hint="eastAsia" w:ascii="宋体" w:hAnsi="宋体" w:cs="宋体"/>
                <w:sz w:val="22"/>
              </w:rPr>
              <w:t>温室气体排放，</w:t>
            </w:r>
            <w:r>
              <w:rPr>
                <w:rFonts w:eastAsia="Times New Roman"/>
                <w:sz w:val="22"/>
              </w:rPr>
              <w:t>tCO</w:t>
            </w:r>
            <w:r>
              <w:rPr>
                <w:rFonts w:eastAsia="Times New Roman"/>
                <w:sz w:val="22"/>
                <w:vertAlign w:val="subscript"/>
              </w:rPr>
              <w:t>2</w:t>
            </w:r>
          </w:p>
        </w:tc>
        <w:tc>
          <w:tcPr>
            <w:tcW w:w="958" w:type="dxa"/>
            <w:vAlign w:val="center"/>
          </w:tcPr>
          <w:p w14:paraId="77CEE70F">
            <w:pPr>
              <w:adjustRightInd w:val="0"/>
              <w:snapToGrid w:val="0"/>
              <w:jc w:val="center"/>
              <w:rPr>
                <w:rFonts w:eastAsia="Times New Roman"/>
                <w:sz w:val="22"/>
              </w:rPr>
            </w:pPr>
            <w:r>
              <w:rPr>
                <w:sz w:val="22"/>
              </w:rPr>
              <w:t>1.93942</w:t>
            </w:r>
          </w:p>
        </w:tc>
        <w:tc>
          <w:tcPr>
            <w:tcW w:w="1128" w:type="dxa"/>
            <w:vAlign w:val="center"/>
          </w:tcPr>
          <w:p w14:paraId="578334B1">
            <w:pPr>
              <w:adjustRightInd w:val="0"/>
              <w:snapToGrid w:val="0"/>
              <w:jc w:val="center"/>
              <w:rPr>
                <w:rFonts w:eastAsia="Times New Roman"/>
                <w:sz w:val="22"/>
              </w:rPr>
            </w:pPr>
            <w:r>
              <w:rPr>
                <w:rFonts w:eastAsia="Times New Roman"/>
                <w:sz w:val="22"/>
              </w:rPr>
              <w:t>/</w:t>
            </w:r>
          </w:p>
        </w:tc>
      </w:tr>
      <w:tr w14:paraId="05C6F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vAlign w:val="center"/>
          </w:tcPr>
          <w:p w14:paraId="30C5A237">
            <w:pPr>
              <w:adjustRightInd w:val="0"/>
              <w:snapToGrid w:val="0"/>
              <w:jc w:val="center"/>
              <w:rPr>
                <w:rFonts w:eastAsia="Times New Roman"/>
                <w:sz w:val="22"/>
              </w:rPr>
            </w:pPr>
            <w:r>
              <w:rPr>
                <w:rFonts w:hint="eastAsia" w:ascii="宋体" w:hAnsi="宋体" w:cs="宋体"/>
                <w:sz w:val="22"/>
              </w:rPr>
              <w:t>温室气体排放，</w:t>
            </w:r>
            <w:r>
              <w:rPr>
                <w:rFonts w:eastAsia="Times New Roman"/>
                <w:sz w:val="22"/>
              </w:rPr>
              <w:t>tCH</w:t>
            </w:r>
            <w:r>
              <w:rPr>
                <w:rFonts w:eastAsia="Times New Roman"/>
                <w:sz w:val="22"/>
                <w:vertAlign w:val="subscript"/>
              </w:rPr>
              <w:t>4</w:t>
            </w:r>
          </w:p>
        </w:tc>
        <w:tc>
          <w:tcPr>
            <w:tcW w:w="958" w:type="dxa"/>
            <w:vAlign w:val="center"/>
          </w:tcPr>
          <w:p w14:paraId="28ECEDED">
            <w:pPr>
              <w:adjustRightInd w:val="0"/>
              <w:snapToGrid w:val="0"/>
              <w:jc w:val="center"/>
              <w:rPr>
                <w:rFonts w:eastAsia="Times New Roman"/>
                <w:sz w:val="22"/>
              </w:rPr>
            </w:pPr>
            <w:r>
              <w:rPr>
                <w:sz w:val="22"/>
              </w:rPr>
              <w:t>0.01285</w:t>
            </w:r>
          </w:p>
        </w:tc>
        <w:tc>
          <w:tcPr>
            <w:tcW w:w="1128" w:type="dxa"/>
            <w:vAlign w:val="center"/>
          </w:tcPr>
          <w:p w14:paraId="24705DB0">
            <w:pPr>
              <w:adjustRightInd w:val="0"/>
              <w:snapToGrid w:val="0"/>
              <w:jc w:val="center"/>
              <w:rPr>
                <w:rFonts w:eastAsia="Times New Roman"/>
                <w:sz w:val="22"/>
              </w:rPr>
            </w:pPr>
            <w:r>
              <w:rPr>
                <w:rFonts w:eastAsia="Times New Roman"/>
                <w:sz w:val="22"/>
              </w:rPr>
              <w:t>/</w:t>
            </w:r>
          </w:p>
        </w:tc>
      </w:tr>
      <w:tr w14:paraId="2954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vAlign w:val="center"/>
          </w:tcPr>
          <w:p w14:paraId="3C4FBA29">
            <w:pPr>
              <w:adjustRightInd w:val="0"/>
              <w:snapToGrid w:val="0"/>
              <w:jc w:val="center"/>
              <w:rPr>
                <w:rFonts w:eastAsia="Times New Roman"/>
                <w:sz w:val="22"/>
              </w:rPr>
            </w:pPr>
            <w:r>
              <w:rPr>
                <w:rFonts w:hint="eastAsia" w:ascii="宋体" w:hAnsi="宋体" w:cs="宋体"/>
                <w:sz w:val="22"/>
              </w:rPr>
              <w:t>温室气体排放当量合计，</w:t>
            </w:r>
            <w:r>
              <w:rPr>
                <w:rFonts w:eastAsia="Times New Roman"/>
                <w:sz w:val="22"/>
              </w:rPr>
              <w:t>tCO</w:t>
            </w:r>
            <w:r>
              <w:rPr>
                <w:rFonts w:eastAsia="Times New Roman"/>
                <w:sz w:val="22"/>
                <w:vertAlign w:val="subscript"/>
              </w:rPr>
              <w:t>2e</w:t>
            </w:r>
          </w:p>
        </w:tc>
        <w:tc>
          <w:tcPr>
            <w:tcW w:w="958" w:type="dxa"/>
            <w:vAlign w:val="center"/>
          </w:tcPr>
          <w:p w14:paraId="59A579F4">
            <w:pPr>
              <w:adjustRightInd w:val="0"/>
              <w:snapToGrid w:val="0"/>
              <w:jc w:val="center"/>
              <w:rPr>
                <w:rFonts w:eastAsia="Times New Roman"/>
                <w:sz w:val="22"/>
              </w:rPr>
            </w:pPr>
            <w:r>
              <w:rPr>
                <w:sz w:val="22"/>
              </w:rPr>
              <w:t>2.20931</w:t>
            </w:r>
          </w:p>
        </w:tc>
        <w:tc>
          <w:tcPr>
            <w:tcW w:w="1128" w:type="dxa"/>
            <w:vAlign w:val="center"/>
          </w:tcPr>
          <w:p w14:paraId="3C447549">
            <w:pPr>
              <w:adjustRightInd w:val="0"/>
              <w:snapToGrid w:val="0"/>
              <w:jc w:val="center"/>
              <w:rPr>
                <w:rFonts w:eastAsia="Times New Roman"/>
                <w:sz w:val="22"/>
              </w:rPr>
            </w:pPr>
            <w:r>
              <w:rPr>
                <w:rFonts w:eastAsia="Times New Roman"/>
                <w:sz w:val="22"/>
              </w:rPr>
              <w:t>/</w:t>
            </w:r>
          </w:p>
        </w:tc>
      </w:tr>
    </w:tbl>
    <w:p w14:paraId="1FD0B1A2">
      <w:pPr>
        <w:pStyle w:val="1379"/>
        <w:ind w:firstLine="440"/>
      </w:pPr>
    </w:p>
    <w:p w14:paraId="243B5C02">
      <w:pPr>
        <w:adjustRightInd w:val="0"/>
        <w:snapToGrid w:val="0"/>
        <w:ind w:firstLine="480" w:firstLineChars="200"/>
        <w:jc w:val="center"/>
        <w:rPr>
          <w:sz w:val="26"/>
          <w:szCs w:val="26"/>
        </w:rPr>
      </w:pPr>
      <w:r>
        <w:rPr>
          <w:rFonts w:ascii="宋体" w:hAnsi="宋体" w:cs="宋体"/>
          <w:sz w:val="24"/>
        </w:rPr>
        <w:drawing>
          <wp:inline distT="0" distB="0" distL="0" distR="0">
            <wp:extent cx="4681220" cy="716280"/>
            <wp:effectExtent l="0" t="0" r="5080" b="7620"/>
            <wp:docPr id="1277009431" name="图片 127700943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09431" name="图片 1277009431" descr="IMG_25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a:xfrm>
                      <a:off x="0" y="0"/>
                      <a:ext cx="4796026" cy="734305"/>
                    </a:xfrm>
                    <a:prstGeom prst="rect">
                      <a:avLst/>
                    </a:prstGeom>
                    <a:noFill/>
                    <a:ln>
                      <a:noFill/>
                    </a:ln>
                  </pic:spPr>
                </pic:pic>
              </a:graphicData>
            </a:graphic>
          </wp:inline>
        </w:drawing>
      </w:r>
    </w:p>
    <w:p w14:paraId="14458F7F">
      <w:pPr>
        <w:adjustRightInd w:val="0"/>
        <w:snapToGrid w:val="0"/>
        <w:ind w:firstLine="480" w:firstLineChars="200"/>
        <w:jc w:val="center"/>
        <w:rPr>
          <w:sz w:val="26"/>
          <w:szCs w:val="26"/>
        </w:rPr>
      </w:pPr>
      <w:r>
        <w:rPr>
          <w:rFonts w:ascii="宋体" w:hAnsi="宋体" w:cs="宋体"/>
          <w:sz w:val="24"/>
        </w:rPr>
        <w:drawing>
          <wp:inline distT="0" distB="0" distL="0" distR="0">
            <wp:extent cx="3248025" cy="358140"/>
            <wp:effectExtent l="0" t="0" r="9525" b="3810"/>
            <wp:docPr id="1277009432" name="图片 12770094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09432" name="图片 1277009432" descr="IMG_25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a:xfrm>
                      <a:off x="0" y="0"/>
                      <a:ext cx="3248025" cy="358140"/>
                    </a:xfrm>
                    <a:prstGeom prst="rect">
                      <a:avLst/>
                    </a:prstGeom>
                    <a:noFill/>
                    <a:ln>
                      <a:noFill/>
                    </a:ln>
                  </pic:spPr>
                </pic:pic>
              </a:graphicData>
            </a:graphic>
          </wp:inline>
        </w:drawing>
      </w:r>
    </w:p>
    <w:p w14:paraId="4B9EBBA6">
      <w:pPr>
        <w:adjustRightInd w:val="0"/>
        <w:snapToGrid w:val="0"/>
        <w:ind w:firstLine="520" w:firstLineChars="200"/>
        <w:rPr>
          <w:sz w:val="26"/>
          <w:szCs w:val="26"/>
        </w:rPr>
      </w:pPr>
      <w:r>
        <w:rPr>
          <w:sz w:val="26"/>
          <w:szCs w:val="26"/>
        </w:rPr>
        <w:t>上式中</w:t>
      </w:r>
      <w:r>
        <w:rPr>
          <w:rFonts w:hint="eastAsia"/>
          <w:sz w:val="26"/>
          <w:szCs w:val="26"/>
        </w:rPr>
        <w:t>：</w:t>
      </w:r>
    </w:p>
    <w:p w14:paraId="2391B835">
      <w:pPr>
        <w:adjustRightInd w:val="0"/>
        <w:snapToGrid w:val="0"/>
        <w:spacing w:line="480" w:lineRule="exact"/>
        <w:ind w:firstLine="520" w:firstLineChars="200"/>
        <w:rPr>
          <w:sz w:val="26"/>
          <w:szCs w:val="26"/>
        </w:rPr>
      </w:pPr>
      <w:r>
        <w:rPr>
          <w:rFonts w:hint="eastAsia"/>
          <w:i/>
          <w:iCs/>
          <w:sz w:val="26"/>
          <w:szCs w:val="26"/>
        </w:rPr>
        <w:t>I</w:t>
      </w:r>
      <w:r>
        <w:rPr>
          <w:sz w:val="26"/>
          <w:szCs w:val="26"/>
        </w:rPr>
        <w:t>为事故次数；</w:t>
      </w:r>
    </w:p>
    <w:p w14:paraId="2854881F">
      <w:pPr>
        <w:adjustRightInd w:val="0"/>
        <w:snapToGrid w:val="0"/>
        <w:spacing w:line="480" w:lineRule="exact"/>
        <w:ind w:firstLine="520" w:firstLineChars="200"/>
        <w:rPr>
          <w:sz w:val="26"/>
          <w:szCs w:val="26"/>
        </w:rPr>
      </w:pPr>
      <w:r>
        <w:rPr>
          <w:rFonts w:hint="eastAsia" w:ascii="Cambria Math" w:hAnsi="Cambria Math" w:cs="Cambria Math"/>
          <w:i/>
          <w:iCs/>
          <w:sz w:val="26"/>
          <w:szCs w:val="26"/>
        </w:rPr>
        <w:t>FR</w:t>
      </w:r>
      <w:r>
        <w:rPr>
          <w:rFonts w:hint="eastAsia" w:ascii="Cambria Math" w:hAnsi="Cambria Math" w:cs="Cambria Math"/>
          <w:i/>
          <w:iCs/>
          <w:sz w:val="26"/>
          <w:szCs w:val="26"/>
          <w:vertAlign w:val="subscript"/>
        </w:rPr>
        <w:t>UCC</w:t>
      </w:r>
      <w:r>
        <w:rPr>
          <w:sz w:val="26"/>
          <w:szCs w:val="26"/>
        </w:rPr>
        <w:t>为报告期内第</w:t>
      </w:r>
      <w:r>
        <w:rPr>
          <w:rFonts w:hint="eastAsia"/>
          <w:i/>
          <w:iCs/>
          <w:sz w:val="26"/>
          <w:szCs w:val="26"/>
        </w:rPr>
        <w:t>I</w:t>
      </w:r>
      <w:r>
        <w:rPr>
          <w:sz w:val="26"/>
          <w:szCs w:val="26"/>
        </w:rPr>
        <w:t>次事故状态时的</w:t>
      </w:r>
      <w:r>
        <w:rPr>
          <w:rFonts w:hint="eastAsia"/>
          <w:sz w:val="26"/>
          <w:szCs w:val="26"/>
        </w:rPr>
        <w:t>放空管</w:t>
      </w:r>
      <w:r>
        <w:rPr>
          <w:sz w:val="26"/>
          <w:szCs w:val="26"/>
        </w:rPr>
        <w:t>气流速度，单位为万Nm</w:t>
      </w:r>
      <w:r>
        <w:rPr>
          <w:sz w:val="26"/>
          <w:szCs w:val="26"/>
          <w:vertAlign w:val="superscript"/>
        </w:rPr>
        <w:t>3</w:t>
      </w:r>
      <w:r>
        <w:rPr>
          <w:sz w:val="26"/>
          <w:szCs w:val="26"/>
        </w:rPr>
        <w:t>/小时；</w:t>
      </w:r>
    </w:p>
    <w:p w14:paraId="4DF6CFF3">
      <w:pPr>
        <w:adjustRightInd w:val="0"/>
        <w:snapToGrid w:val="0"/>
        <w:spacing w:line="480" w:lineRule="exact"/>
        <w:ind w:firstLine="520" w:firstLineChars="200"/>
        <w:rPr>
          <w:sz w:val="26"/>
          <w:szCs w:val="26"/>
        </w:rPr>
      </w:pPr>
      <w:r>
        <w:rPr>
          <w:rFonts w:hint="eastAsia" w:ascii="Cambria Math" w:hAnsi="Cambria Math" w:cs="Cambria Math"/>
          <w:i/>
          <w:iCs/>
          <w:sz w:val="26"/>
          <w:szCs w:val="26"/>
        </w:rPr>
        <w:t>T</w:t>
      </w:r>
      <w:r>
        <w:rPr>
          <w:rFonts w:hint="eastAsia" w:ascii="Cambria Math" w:hAnsi="Cambria Math" w:cs="Cambria Math"/>
          <w:i/>
          <w:iCs/>
          <w:sz w:val="26"/>
          <w:szCs w:val="26"/>
          <w:vertAlign w:val="subscript"/>
        </w:rPr>
        <w:t>UCC</w:t>
      </w:r>
      <w:r>
        <w:rPr>
          <w:sz w:val="26"/>
          <w:szCs w:val="26"/>
        </w:rPr>
        <w:t>为报告期内第</w:t>
      </w:r>
      <w:r>
        <w:rPr>
          <w:rFonts w:hint="eastAsia"/>
          <w:i/>
          <w:iCs/>
          <w:sz w:val="26"/>
          <w:szCs w:val="26"/>
        </w:rPr>
        <w:t>I</w:t>
      </w:r>
      <w:r>
        <w:rPr>
          <w:sz w:val="26"/>
          <w:szCs w:val="26"/>
        </w:rPr>
        <w:t>次事故的持续时间，单位为小时；</w:t>
      </w:r>
    </w:p>
    <w:p w14:paraId="10946A15">
      <w:pPr>
        <w:adjustRightInd w:val="0"/>
        <w:snapToGrid w:val="0"/>
        <w:spacing w:line="480" w:lineRule="exact"/>
        <w:ind w:firstLine="520" w:firstLineChars="200"/>
        <w:rPr>
          <w:sz w:val="26"/>
          <w:szCs w:val="26"/>
        </w:rPr>
      </w:pPr>
      <w:r>
        <w:rPr>
          <w:rFonts w:ascii="Cambria Math" w:hAnsi="Cambria Math" w:cs="Cambria Math"/>
          <w:sz w:val="26"/>
          <w:szCs w:val="26"/>
        </w:rPr>
        <w:t>𝐶𝐶</w:t>
      </w:r>
      <w:r>
        <w:rPr>
          <w:rFonts w:hint="eastAsia"/>
          <w:i/>
          <w:iCs/>
          <w:sz w:val="26"/>
          <w:szCs w:val="26"/>
          <w:vertAlign w:val="subscript"/>
        </w:rPr>
        <w:t>N</w:t>
      </w:r>
      <w:r>
        <w:rPr>
          <w:rFonts w:ascii="Cambria Math" w:hAnsi="Cambria Math" w:cs="Cambria Math"/>
          <w:i/>
          <w:iCs/>
          <w:sz w:val="26"/>
          <w:szCs w:val="26"/>
          <w:vertAlign w:val="subscript"/>
        </w:rPr>
        <w:t>𝐶𝑂</w:t>
      </w:r>
      <w:r>
        <w:rPr>
          <w:i/>
          <w:iCs/>
          <w:sz w:val="26"/>
          <w:szCs w:val="26"/>
          <w:vertAlign w:val="subscript"/>
        </w:rPr>
        <w:t>2</w:t>
      </w:r>
      <w:r>
        <w:rPr>
          <w:sz w:val="26"/>
          <w:szCs w:val="26"/>
        </w:rPr>
        <w:t>为第</w:t>
      </w:r>
      <w:r>
        <w:rPr>
          <w:rFonts w:hint="eastAsia"/>
          <w:i/>
          <w:iCs/>
          <w:sz w:val="26"/>
          <w:szCs w:val="26"/>
        </w:rPr>
        <w:t>I</w:t>
      </w:r>
      <w:r>
        <w:rPr>
          <w:sz w:val="26"/>
          <w:szCs w:val="26"/>
        </w:rPr>
        <w:t>次事故</w:t>
      </w:r>
      <w:r>
        <w:rPr>
          <w:rFonts w:hint="eastAsia"/>
          <w:sz w:val="26"/>
          <w:szCs w:val="26"/>
        </w:rPr>
        <w:t>放空管</w:t>
      </w:r>
      <w:r>
        <w:rPr>
          <w:sz w:val="26"/>
          <w:szCs w:val="26"/>
        </w:rPr>
        <w:t>气中除CO</w:t>
      </w:r>
      <w:r>
        <w:rPr>
          <w:sz w:val="26"/>
          <w:szCs w:val="26"/>
          <w:vertAlign w:val="subscript"/>
        </w:rPr>
        <w:t>2</w:t>
      </w:r>
      <w:r>
        <w:rPr>
          <w:sz w:val="26"/>
          <w:szCs w:val="26"/>
        </w:rPr>
        <w:t>外其他含碳化合物的总含碳量，单位为吨碳/万Nm</w:t>
      </w:r>
      <w:r>
        <w:rPr>
          <w:sz w:val="26"/>
          <w:szCs w:val="26"/>
          <w:vertAlign w:val="superscript"/>
        </w:rPr>
        <w:t>3</w:t>
      </w:r>
      <w:r>
        <w:rPr>
          <w:sz w:val="26"/>
          <w:szCs w:val="26"/>
        </w:rPr>
        <w:t>；</w:t>
      </w:r>
    </w:p>
    <w:p w14:paraId="28B66213">
      <w:pPr>
        <w:adjustRightInd w:val="0"/>
        <w:snapToGrid w:val="0"/>
        <w:spacing w:line="480" w:lineRule="exact"/>
        <w:ind w:firstLine="520" w:firstLineChars="200"/>
        <w:rPr>
          <w:sz w:val="26"/>
          <w:szCs w:val="26"/>
        </w:rPr>
      </w:pPr>
      <w:r>
        <w:rPr>
          <w:sz w:val="26"/>
          <w:szCs w:val="26"/>
        </w:rPr>
        <w:t>OF为</w:t>
      </w:r>
      <w:r>
        <w:rPr>
          <w:rFonts w:hint="eastAsia"/>
          <w:sz w:val="26"/>
          <w:szCs w:val="26"/>
        </w:rPr>
        <w:t>火炬</w:t>
      </w:r>
      <w:r>
        <w:rPr>
          <w:sz w:val="26"/>
          <w:szCs w:val="26"/>
        </w:rPr>
        <w:t>燃烧的碳氧化率，如无实测数据可采用缺省值0.98；</w:t>
      </w:r>
    </w:p>
    <w:p w14:paraId="77DD4073">
      <w:pPr>
        <w:adjustRightInd w:val="0"/>
        <w:snapToGrid w:val="0"/>
        <w:spacing w:line="480" w:lineRule="exact"/>
        <w:ind w:firstLine="520" w:firstLineChars="200"/>
        <w:rPr>
          <w:sz w:val="26"/>
          <w:szCs w:val="26"/>
        </w:rPr>
      </w:pPr>
      <w:r>
        <w:rPr>
          <w:rFonts w:ascii="Cambria Math" w:hAnsi="Cambria Math" w:cs="Cambria Math"/>
          <w:sz w:val="26"/>
          <w:szCs w:val="26"/>
        </w:rPr>
        <w:t>𝑉</w:t>
      </w:r>
      <w:r>
        <w:rPr>
          <w:rFonts w:ascii="Cambria Math" w:hAnsi="Cambria Math" w:cs="Cambria Math"/>
          <w:sz w:val="26"/>
          <w:szCs w:val="26"/>
          <w:vertAlign w:val="subscript"/>
        </w:rPr>
        <w:t>𝐶𝑂</w:t>
      </w:r>
      <w:r>
        <w:rPr>
          <w:sz w:val="26"/>
          <w:szCs w:val="26"/>
          <w:vertAlign w:val="subscript"/>
        </w:rPr>
        <w:t>2</w:t>
      </w:r>
      <w:r>
        <w:rPr>
          <w:sz w:val="26"/>
          <w:szCs w:val="26"/>
        </w:rPr>
        <w:t>为第</w:t>
      </w:r>
      <w:r>
        <w:rPr>
          <w:rFonts w:hint="eastAsia"/>
          <w:i/>
          <w:iCs/>
          <w:sz w:val="26"/>
          <w:szCs w:val="26"/>
        </w:rPr>
        <w:t>I</w:t>
      </w:r>
      <w:r>
        <w:rPr>
          <w:sz w:val="26"/>
          <w:szCs w:val="26"/>
        </w:rPr>
        <w:t>次事故</w:t>
      </w:r>
      <w:r>
        <w:rPr>
          <w:rFonts w:hint="eastAsia"/>
          <w:sz w:val="26"/>
          <w:szCs w:val="26"/>
        </w:rPr>
        <w:t>放空管</w:t>
      </w:r>
      <w:r>
        <w:rPr>
          <w:sz w:val="26"/>
          <w:szCs w:val="26"/>
        </w:rPr>
        <w:t>气中CO的体积浓度；</w:t>
      </w:r>
    </w:p>
    <w:p w14:paraId="7DFE7BE7">
      <w:pPr>
        <w:adjustRightInd w:val="0"/>
        <w:snapToGrid w:val="0"/>
        <w:spacing w:line="480" w:lineRule="exact"/>
        <w:ind w:firstLine="520" w:firstLineChars="200"/>
        <w:rPr>
          <w:sz w:val="26"/>
          <w:szCs w:val="26"/>
        </w:rPr>
      </w:pPr>
      <w:r>
        <w:rPr>
          <w:rFonts w:ascii="Cambria Math" w:hAnsi="Cambria Math" w:cs="Cambria Math"/>
          <w:sz w:val="26"/>
          <w:szCs w:val="26"/>
        </w:rPr>
        <w:t>𝑉</w:t>
      </w:r>
      <w:r>
        <w:rPr>
          <w:rFonts w:ascii="Cambria Math" w:hAnsi="Cambria Math" w:cs="Cambria Math"/>
          <w:sz w:val="26"/>
          <w:szCs w:val="26"/>
          <w:vertAlign w:val="subscript"/>
        </w:rPr>
        <w:t>𝐶𝐻</w:t>
      </w:r>
      <w:r>
        <w:rPr>
          <w:sz w:val="26"/>
          <w:szCs w:val="26"/>
          <w:vertAlign w:val="subscript"/>
        </w:rPr>
        <w:t>4</w:t>
      </w:r>
      <w:r>
        <w:rPr>
          <w:sz w:val="26"/>
          <w:szCs w:val="26"/>
        </w:rPr>
        <w:t>为第</w:t>
      </w:r>
      <w:r>
        <w:rPr>
          <w:rFonts w:hint="eastAsia"/>
          <w:i/>
          <w:iCs/>
          <w:sz w:val="26"/>
          <w:szCs w:val="26"/>
        </w:rPr>
        <w:t>I</w:t>
      </w:r>
      <w:r>
        <w:rPr>
          <w:sz w:val="26"/>
          <w:szCs w:val="26"/>
        </w:rPr>
        <w:t>次事故</w:t>
      </w:r>
      <w:r>
        <w:rPr>
          <w:rFonts w:hint="eastAsia"/>
          <w:sz w:val="26"/>
          <w:szCs w:val="26"/>
        </w:rPr>
        <w:t>放空管</w:t>
      </w:r>
      <w:r>
        <w:rPr>
          <w:sz w:val="26"/>
          <w:szCs w:val="26"/>
        </w:rPr>
        <w:t>气中CH</w:t>
      </w:r>
      <w:r>
        <w:rPr>
          <w:sz w:val="26"/>
          <w:szCs w:val="26"/>
          <w:vertAlign w:val="subscript"/>
        </w:rPr>
        <w:t>4</w:t>
      </w:r>
      <w:r>
        <w:rPr>
          <w:sz w:val="26"/>
          <w:szCs w:val="26"/>
        </w:rPr>
        <w:t>的体积浓度。</w:t>
      </w:r>
    </w:p>
    <w:p w14:paraId="26E43E23">
      <w:pPr>
        <w:adjustRightInd w:val="0"/>
        <w:snapToGrid w:val="0"/>
        <w:spacing w:line="480" w:lineRule="exact"/>
        <w:ind w:firstLine="522" w:firstLineChars="200"/>
        <w:rPr>
          <w:b/>
          <w:bCs/>
          <w:sz w:val="26"/>
          <w:szCs w:val="26"/>
        </w:rPr>
      </w:pPr>
      <w:r>
        <w:rPr>
          <w:rFonts w:hint="eastAsia" w:ascii="宋体" w:hAnsi="宋体" w:cs="宋体"/>
          <w:b/>
          <w:bCs/>
          <w:sz w:val="26"/>
          <w:szCs w:val="26"/>
        </w:rPr>
        <w:t>③</w:t>
      </w:r>
      <w:bookmarkStart w:id="423" w:name="_Hlk152678595"/>
      <w:r>
        <w:rPr>
          <w:b/>
          <w:bCs/>
          <w:sz w:val="26"/>
          <w:szCs w:val="26"/>
        </w:rPr>
        <w:t>油气开采业务</w:t>
      </w:r>
      <w:bookmarkEnd w:id="423"/>
      <w:r>
        <w:rPr>
          <w:b/>
          <w:bCs/>
          <w:sz w:val="26"/>
          <w:szCs w:val="26"/>
        </w:rPr>
        <w:t>逃逸活动水平数据</w:t>
      </w:r>
    </w:p>
    <w:p w14:paraId="1D3089E0">
      <w:pPr>
        <w:adjustRightInd w:val="0"/>
        <w:snapToGrid w:val="0"/>
        <w:spacing w:line="480" w:lineRule="exact"/>
        <w:ind w:firstLine="520" w:firstLineChars="200"/>
        <w:rPr>
          <w:sz w:val="26"/>
          <w:szCs w:val="26"/>
        </w:rPr>
      </w:pPr>
      <w:r>
        <w:rPr>
          <w:sz w:val="26"/>
          <w:szCs w:val="26"/>
        </w:rPr>
        <w:t>油气开采业务工艺CH</w:t>
      </w:r>
      <w:r>
        <w:rPr>
          <w:sz w:val="26"/>
          <w:szCs w:val="26"/>
          <w:vertAlign w:val="subscript"/>
        </w:rPr>
        <w:t xml:space="preserve">4 </w:t>
      </w:r>
      <w:r>
        <w:rPr>
          <w:sz w:val="26"/>
          <w:szCs w:val="26"/>
        </w:rPr>
        <w:t>逃逸排放主要发生于天然气开采中的井口装置</w:t>
      </w:r>
      <w:r>
        <w:rPr>
          <w:rFonts w:hint="eastAsia"/>
          <w:sz w:val="26"/>
          <w:szCs w:val="26"/>
        </w:rPr>
        <w:t>区，</w:t>
      </w:r>
      <w:r>
        <w:rPr>
          <w:sz w:val="26"/>
          <w:szCs w:val="26"/>
        </w:rPr>
        <w:t>核算方法如下：</w:t>
      </w:r>
    </w:p>
    <w:p w14:paraId="6A2622F3">
      <w:pPr>
        <w:adjustRightInd w:val="0"/>
        <w:snapToGrid w:val="0"/>
        <w:ind w:firstLine="520" w:firstLineChars="200"/>
        <w:rPr>
          <w:sz w:val="26"/>
          <w:szCs w:val="26"/>
        </w:rPr>
      </w:pPr>
    </w:p>
    <w:p w14:paraId="5417B68B">
      <w:pPr>
        <w:pStyle w:val="1065"/>
        <w:ind w:firstLine="480"/>
      </w:pPr>
      <w:r>
        <w:t>表9.4</w:t>
      </w:r>
      <w:r>
        <w:rPr>
          <w:rFonts w:hint="eastAsia"/>
        </w:rPr>
        <w:t>-</w:t>
      </w:r>
      <w:r>
        <w:t>5  天然开采业务CH</w:t>
      </w:r>
      <w:r>
        <w:rPr>
          <w:vertAlign w:val="subscript"/>
        </w:rPr>
        <w:t>4</w:t>
      </w:r>
      <w:r>
        <w:t>逃逸排放活动水平数据</w:t>
      </w:r>
    </w:p>
    <w:tbl>
      <w:tblPr>
        <w:tblStyle w:val="89"/>
        <w:tblW w:w="82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2272"/>
        <w:gridCol w:w="1797"/>
        <w:gridCol w:w="1498"/>
        <w:gridCol w:w="1524"/>
      </w:tblGrid>
      <w:tr w14:paraId="7CA19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5" w:type="dxa"/>
            <w:vAlign w:val="center"/>
          </w:tcPr>
          <w:p w14:paraId="2CC2CC69">
            <w:pPr>
              <w:adjustRightInd w:val="0"/>
              <w:snapToGrid w:val="0"/>
              <w:jc w:val="center"/>
              <w:rPr>
                <w:rFonts w:eastAsia="Times New Roman"/>
                <w:sz w:val="22"/>
              </w:rPr>
            </w:pPr>
            <w:r>
              <w:rPr>
                <w:rFonts w:hint="eastAsia" w:ascii="宋体" w:hAnsi="宋体" w:cs="宋体"/>
                <w:sz w:val="22"/>
              </w:rPr>
              <w:t>项目</w:t>
            </w:r>
          </w:p>
        </w:tc>
        <w:tc>
          <w:tcPr>
            <w:tcW w:w="2272" w:type="dxa"/>
            <w:vAlign w:val="center"/>
          </w:tcPr>
          <w:p w14:paraId="4828B0C9">
            <w:pPr>
              <w:adjustRightInd w:val="0"/>
              <w:snapToGrid w:val="0"/>
              <w:jc w:val="center"/>
              <w:rPr>
                <w:rFonts w:eastAsia="Times New Roman"/>
                <w:sz w:val="22"/>
              </w:rPr>
            </w:pPr>
            <w:r>
              <w:rPr>
                <w:rFonts w:hint="eastAsia" w:ascii="宋体" w:hAnsi="宋体" w:cs="宋体"/>
                <w:sz w:val="22"/>
              </w:rPr>
              <w:t>设施逃逸</w:t>
            </w:r>
            <w:r>
              <w:rPr>
                <w:rFonts w:eastAsia="Times New Roman"/>
                <w:sz w:val="22"/>
              </w:rPr>
              <w:t>CH</w:t>
            </w:r>
            <w:r>
              <w:rPr>
                <w:rFonts w:eastAsia="Times New Roman"/>
                <w:sz w:val="22"/>
                <w:vertAlign w:val="subscript"/>
              </w:rPr>
              <w:t>4</w:t>
            </w:r>
            <w:r>
              <w:rPr>
                <w:rFonts w:hint="eastAsia" w:ascii="宋体" w:hAnsi="宋体" w:cs="宋体"/>
                <w:sz w:val="22"/>
              </w:rPr>
              <w:t>排放因</w:t>
            </w:r>
            <w:r>
              <w:rPr>
                <w:rFonts w:ascii="Cambria Math" w:hAnsi="Cambria Math" w:eastAsia="Times New Roman" w:cs="Cambria Math"/>
                <w:sz w:val="22"/>
              </w:rPr>
              <w:t>𝑁𝑢𝑚</w:t>
            </w:r>
            <w:r>
              <w:rPr>
                <w:rFonts w:ascii="Cambria Math" w:hAnsi="Cambria Math" w:eastAsia="Times New Roman" w:cs="Cambria Math"/>
                <w:sz w:val="22"/>
                <w:vertAlign w:val="subscript"/>
              </w:rPr>
              <w:t>𝑔𝑎𝑠</w:t>
            </w:r>
            <w:r>
              <w:rPr>
                <w:rFonts w:eastAsia="Times New Roman"/>
                <w:sz w:val="22"/>
                <w:vertAlign w:val="subscript"/>
              </w:rPr>
              <w:t>,</w:t>
            </w:r>
            <w:r>
              <w:rPr>
                <w:rFonts w:ascii="Cambria Math" w:hAnsi="Cambria Math" w:eastAsia="Times New Roman" w:cs="Cambria Math"/>
                <w:sz w:val="22"/>
                <w:vertAlign w:val="subscript"/>
              </w:rPr>
              <w:t>𝑗</w:t>
            </w:r>
          </w:p>
        </w:tc>
        <w:tc>
          <w:tcPr>
            <w:tcW w:w="1797" w:type="dxa"/>
            <w:vAlign w:val="center"/>
          </w:tcPr>
          <w:p w14:paraId="5C12E449">
            <w:pPr>
              <w:adjustRightInd w:val="0"/>
              <w:snapToGrid w:val="0"/>
              <w:jc w:val="center"/>
              <w:rPr>
                <w:rFonts w:eastAsia="Times New Roman"/>
                <w:sz w:val="22"/>
              </w:rPr>
            </w:pPr>
            <w:r>
              <w:rPr>
                <w:rFonts w:hint="eastAsia" w:ascii="宋体" w:hAnsi="宋体" w:cs="宋体"/>
                <w:sz w:val="22"/>
              </w:rPr>
              <w:t>装置数量（套）</w:t>
            </w:r>
            <w:r>
              <w:rPr>
                <w:rFonts w:ascii="Cambria Math" w:hAnsi="Cambria Math" w:eastAsia="Times New Roman" w:cs="Cambria Math"/>
                <w:sz w:val="22"/>
              </w:rPr>
              <w:t>𝐸𝐹𝑔𝑎𝑠</w:t>
            </w:r>
            <w:r>
              <w:rPr>
                <w:rFonts w:eastAsia="Times New Roman"/>
                <w:sz w:val="22"/>
              </w:rPr>
              <w:t>,</w:t>
            </w:r>
            <w:r>
              <w:rPr>
                <w:rFonts w:ascii="Cambria Math" w:hAnsi="Cambria Math" w:eastAsia="Times New Roman" w:cs="Cambria Math"/>
                <w:sz w:val="22"/>
              </w:rPr>
              <w:t>𝑗</w:t>
            </w:r>
          </w:p>
        </w:tc>
        <w:tc>
          <w:tcPr>
            <w:tcW w:w="1498" w:type="dxa"/>
            <w:vAlign w:val="center"/>
          </w:tcPr>
          <w:p w14:paraId="5BCCB97B">
            <w:pPr>
              <w:adjustRightInd w:val="0"/>
              <w:snapToGrid w:val="0"/>
              <w:jc w:val="center"/>
              <w:rPr>
                <w:rFonts w:eastAsia="Times New Roman"/>
                <w:sz w:val="22"/>
              </w:rPr>
            </w:pPr>
            <w:r>
              <w:rPr>
                <w:rFonts w:hint="eastAsia" w:ascii="宋体" w:hAnsi="宋体" w:cs="宋体"/>
                <w:sz w:val="22"/>
              </w:rPr>
              <w:t>逃逸排放量</w:t>
            </w:r>
            <w:r>
              <w:rPr>
                <w:rFonts w:eastAsia="Times New Roman"/>
                <w:sz w:val="22"/>
              </w:rPr>
              <w:t>tCH</w:t>
            </w:r>
            <w:r>
              <w:rPr>
                <w:rFonts w:eastAsia="Times New Roman"/>
                <w:sz w:val="22"/>
                <w:vertAlign w:val="subscript"/>
              </w:rPr>
              <w:t>4</w:t>
            </w:r>
          </w:p>
        </w:tc>
        <w:tc>
          <w:tcPr>
            <w:tcW w:w="1524" w:type="dxa"/>
            <w:vAlign w:val="center"/>
          </w:tcPr>
          <w:p w14:paraId="57F49247">
            <w:pPr>
              <w:adjustRightInd w:val="0"/>
              <w:snapToGrid w:val="0"/>
              <w:jc w:val="center"/>
              <w:rPr>
                <w:rFonts w:eastAsia="Times New Roman"/>
                <w:sz w:val="22"/>
              </w:rPr>
            </w:pPr>
            <w:r>
              <w:rPr>
                <w:rFonts w:hint="eastAsia" w:ascii="宋体" w:hAnsi="宋体" w:cs="宋体"/>
                <w:sz w:val="22"/>
              </w:rPr>
              <w:t>温室气体排放当量</w:t>
            </w:r>
          </w:p>
          <w:p w14:paraId="5C9C8B87">
            <w:pPr>
              <w:adjustRightInd w:val="0"/>
              <w:snapToGrid w:val="0"/>
              <w:jc w:val="center"/>
              <w:rPr>
                <w:rFonts w:eastAsia="Times New Roman"/>
                <w:sz w:val="22"/>
              </w:rPr>
            </w:pPr>
            <w:r>
              <w:rPr>
                <w:rFonts w:eastAsia="Times New Roman"/>
                <w:sz w:val="22"/>
              </w:rPr>
              <w:t>tCO</w:t>
            </w:r>
            <w:r>
              <w:rPr>
                <w:rFonts w:eastAsia="Times New Roman"/>
                <w:sz w:val="22"/>
                <w:vertAlign w:val="subscript"/>
              </w:rPr>
              <w:t>2e</w:t>
            </w:r>
          </w:p>
        </w:tc>
      </w:tr>
      <w:tr w14:paraId="4972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5" w:type="dxa"/>
            <w:vAlign w:val="center"/>
          </w:tcPr>
          <w:p w14:paraId="5F092762">
            <w:pPr>
              <w:adjustRightInd w:val="0"/>
              <w:snapToGrid w:val="0"/>
              <w:jc w:val="center"/>
              <w:rPr>
                <w:rFonts w:ascii="宋体" w:hAnsi="宋体" w:cs="宋体"/>
                <w:sz w:val="22"/>
              </w:rPr>
            </w:pPr>
            <w:r>
              <w:rPr>
                <w:sz w:val="22"/>
              </w:rPr>
              <w:t>井口装置CH</w:t>
            </w:r>
            <w:r>
              <w:rPr>
                <w:sz w:val="22"/>
                <w:vertAlign w:val="subscript"/>
              </w:rPr>
              <w:t>4</w:t>
            </w:r>
            <w:r>
              <w:rPr>
                <w:sz w:val="22"/>
              </w:rPr>
              <w:t>逃逸</w:t>
            </w:r>
          </w:p>
        </w:tc>
        <w:tc>
          <w:tcPr>
            <w:tcW w:w="2272" w:type="dxa"/>
            <w:vAlign w:val="center"/>
          </w:tcPr>
          <w:p w14:paraId="7D38BC61">
            <w:pPr>
              <w:adjustRightInd w:val="0"/>
              <w:snapToGrid w:val="0"/>
              <w:jc w:val="center"/>
              <w:rPr>
                <w:rFonts w:ascii="宋体" w:hAnsi="宋体" w:cs="宋体"/>
                <w:sz w:val="22"/>
              </w:rPr>
            </w:pPr>
            <w:r>
              <w:rPr>
                <w:sz w:val="22"/>
              </w:rPr>
              <w:t>2.50(吨/年•个)</w:t>
            </w:r>
          </w:p>
        </w:tc>
        <w:tc>
          <w:tcPr>
            <w:tcW w:w="1797" w:type="dxa"/>
            <w:vAlign w:val="center"/>
          </w:tcPr>
          <w:p w14:paraId="049FD705">
            <w:pPr>
              <w:adjustRightInd w:val="0"/>
              <w:snapToGrid w:val="0"/>
              <w:jc w:val="center"/>
              <w:rPr>
                <w:rFonts w:ascii="宋体" w:hAnsi="宋体" w:cs="宋体"/>
                <w:sz w:val="22"/>
              </w:rPr>
            </w:pPr>
            <w:r>
              <w:rPr>
                <w:sz w:val="22"/>
              </w:rPr>
              <w:t>2</w:t>
            </w:r>
          </w:p>
        </w:tc>
        <w:tc>
          <w:tcPr>
            <w:tcW w:w="1498" w:type="dxa"/>
            <w:vAlign w:val="center"/>
          </w:tcPr>
          <w:p w14:paraId="03087F03">
            <w:pPr>
              <w:adjustRightInd w:val="0"/>
              <w:snapToGrid w:val="0"/>
              <w:jc w:val="center"/>
              <w:rPr>
                <w:rFonts w:ascii="宋体" w:hAnsi="宋体" w:cs="宋体"/>
                <w:sz w:val="22"/>
              </w:rPr>
            </w:pPr>
            <w:r>
              <w:rPr>
                <w:sz w:val="22"/>
              </w:rPr>
              <w:t>5.0</w:t>
            </w:r>
          </w:p>
        </w:tc>
        <w:tc>
          <w:tcPr>
            <w:tcW w:w="1524" w:type="dxa"/>
            <w:vAlign w:val="center"/>
          </w:tcPr>
          <w:p w14:paraId="77FD3F4C">
            <w:pPr>
              <w:adjustRightInd w:val="0"/>
              <w:snapToGrid w:val="0"/>
              <w:jc w:val="center"/>
              <w:rPr>
                <w:rFonts w:ascii="宋体" w:hAnsi="宋体" w:cs="宋体"/>
                <w:sz w:val="22"/>
              </w:rPr>
            </w:pPr>
            <w:r>
              <w:rPr>
                <w:sz w:val="22"/>
              </w:rPr>
              <w:t>105</w:t>
            </w:r>
          </w:p>
        </w:tc>
      </w:tr>
    </w:tbl>
    <w:p w14:paraId="3F83C8B4">
      <w:pPr>
        <w:adjustRightInd w:val="0"/>
        <w:snapToGrid w:val="0"/>
        <w:ind w:firstLine="520" w:firstLineChars="200"/>
        <w:rPr>
          <w:sz w:val="26"/>
          <w:szCs w:val="26"/>
        </w:rPr>
      </w:pPr>
    </w:p>
    <w:p w14:paraId="3DB77FF3">
      <w:pPr>
        <w:adjustRightInd w:val="0"/>
        <w:snapToGrid w:val="0"/>
        <w:spacing w:line="480" w:lineRule="exact"/>
        <w:ind w:firstLine="522" w:firstLineChars="200"/>
        <w:rPr>
          <w:b/>
          <w:bCs/>
          <w:sz w:val="26"/>
          <w:szCs w:val="26"/>
        </w:rPr>
      </w:pPr>
      <w:r>
        <w:rPr>
          <w:rFonts w:hint="eastAsia" w:ascii="宋体" w:hAnsi="宋体" w:cs="宋体"/>
          <w:b/>
          <w:bCs/>
          <w:sz w:val="26"/>
          <w:szCs w:val="26"/>
        </w:rPr>
        <w:t>④</w:t>
      </w:r>
      <w:r>
        <w:rPr>
          <w:b/>
          <w:bCs/>
          <w:sz w:val="26"/>
          <w:szCs w:val="26"/>
        </w:rPr>
        <w:t>净购入电力排放活动水平数据</w:t>
      </w:r>
    </w:p>
    <w:p w14:paraId="43B46FF5">
      <w:pPr>
        <w:adjustRightInd w:val="0"/>
        <w:snapToGrid w:val="0"/>
        <w:spacing w:line="480" w:lineRule="exact"/>
        <w:ind w:firstLine="520" w:firstLineChars="200"/>
        <w:rPr>
          <w:sz w:val="26"/>
          <w:szCs w:val="26"/>
        </w:rPr>
      </w:pPr>
      <w:r>
        <w:rPr>
          <w:sz w:val="26"/>
          <w:szCs w:val="26"/>
        </w:rPr>
        <w:t>净购入电力排放活动水平数据为电力净购入量。净购入电力排放活动水平数据见</w:t>
      </w:r>
      <w:r>
        <w:rPr>
          <w:sz w:val="26"/>
          <w:szCs w:val="26"/>
          <w:u w:val="single"/>
        </w:rPr>
        <w:t>表9.4</w:t>
      </w:r>
      <w:r>
        <w:rPr>
          <w:rFonts w:hint="eastAsia"/>
          <w:sz w:val="26"/>
          <w:szCs w:val="26"/>
          <w:u w:val="single"/>
        </w:rPr>
        <w:t>-</w:t>
      </w:r>
      <w:r>
        <w:rPr>
          <w:sz w:val="26"/>
          <w:szCs w:val="26"/>
          <w:u w:val="single"/>
        </w:rPr>
        <w:t>6</w:t>
      </w:r>
      <w:r>
        <w:rPr>
          <w:sz w:val="26"/>
          <w:szCs w:val="26"/>
        </w:rPr>
        <w:t>。</w:t>
      </w:r>
    </w:p>
    <w:p w14:paraId="7C37EC4E">
      <w:pPr>
        <w:pStyle w:val="1379"/>
        <w:ind w:firstLine="440"/>
      </w:pPr>
    </w:p>
    <w:p w14:paraId="08717888">
      <w:pPr>
        <w:adjustRightInd w:val="0"/>
        <w:snapToGrid w:val="0"/>
        <w:jc w:val="center"/>
        <w:rPr>
          <w:sz w:val="26"/>
          <w:szCs w:val="26"/>
        </w:rPr>
      </w:pPr>
      <w:r>
        <w:rPr>
          <w:sz w:val="26"/>
          <w:szCs w:val="26"/>
        </w:rPr>
        <w:t>表9.4</w:t>
      </w:r>
      <w:r>
        <w:rPr>
          <w:rFonts w:hint="eastAsia"/>
          <w:sz w:val="26"/>
          <w:szCs w:val="26"/>
        </w:rPr>
        <w:t>-</w:t>
      </w:r>
      <w:r>
        <w:rPr>
          <w:sz w:val="26"/>
          <w:szCs w:val="26"/>
        </w:rPr>
        <w:t>6</w:t>
      </w:r>
      <w:r>
        <w:rPr>
          <w:rFonts w:hint="eastAsia"/>
          <w:sz w:val="26"/>
          <w:szCs w:val="26"/>
        </w:rPr>
        <w:t xml:space="preserve"> </w:t>
      </w:r>
      <w:r>
        <w:rPr>
          <w:sz w:val="26"/>
          <w:szCs w:val="26"/>
        </w:rPr>
        <w:t xml:space="preserve"> 净购入电力活动水平及排放因子数据</w:t>
      </w:r>
    </w:p>
    <w:tbl>
      <w:tblPr>
        <w:tblStyle w:val="89"/>
        <w:tblW w:w="82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683"/>
        <w:gridCol w:w="1164"/>
        <w:gridCol w:w="1020"/>
        <w:gridCol w:w="853"/>
        <w:gridCol w:w="1261"/>
        <w:gridCol w:w="1496"/>
      </w:tblGrid>
      <w:tr w14:paraId="15AC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Merge w:val="restart"/>
            <w:vAlign w:val="center"/>
          </w:tcPr>
          <w:p w14:paraId="0429A731">
            <w:pPr>
              <w:adjustRightInd w:val="0"/>
              <w:snapToGrid w:val="0"/>
              <w:jc w:val="center"/>
              <w:rPr>
                <w:rFonts w:eastAsia="Times New Roman"/>
                <w:sz w:val="22"/>
              </w:rPr>
            </w:pPr>
            <w:r>
              <w:rPr>
                <w:rFonts w:hint="eastAsia" w:ascii="宋体" w:hAnsi="宋体" w:cs="宋体"/>
                <w:sz w:val="22"/>
              </w:rPr>
              <w:t>类型</w:t>
            </w:r>
          </w:p>
        </w:tc>
        <w:tc>
          <w:tcPr>
            <w:tcW w:w="4720" w:type="dxa"/>
            <w:gridSpan w:val="4"/>
            <w:vAlign w:val="center"/>
          </w:tcPr>
          <w:p w14:paraId="4CFFB59A">
            <w:pPr>
              <w:adjustRightInd w:val="0"/>
              <w:snapToGrid w:val="0"/>
              <w:jc w:val="center"/>
              <w:rPr>
                <w:rFonts w:eastAsia="Times New Roman"/>
                <w:sz w:val="22"/>
              </w:rPr>
            </w:pPr>
            <w:r>
              <w:rPr>
                <w:rFonts w:hint="eastAsia" w:ascii="宋体" w:hAnsi="宋体" w:cs="宋体"/>
                <w:sz w:val="22"/>
              </w:rPr>
              <w:t>活动数据</w:t>
            </w:r>
          </w:p>
        </w:tc>
        <w:tc>
          <w:tcPr>
            <w:tcW w:w="2757" w:type="dxa"/>
            <w:gridSpan w:val="2"/>
            <w:vAlign w:val="center"/>
          </w:tcPr>
          <w:p w14:paraId="08E6B4A2">
            <w:pPr>
              <w:adjustRightInd w:val="0"/>
              <w:snapToGrid w:val="0"/>
              <w:jc w:val="center"/>
              <w:rPr>
                <w:rFonts w:eastAsia="Times New Roman"/>
                <w:sz w:val="22"/>
              </w:rPr>
            </w:pPr>
            <w:r>
              <w:rPr>
                <w:rFonts w:eastAsia="Times New Roman"/>
                <w:sz w:val="22"/>
              </w:rPr>
              <w:t>CO</w:t>
            </w:r>
            <w:r>
              <w:rPr>
                <w:rFonts w:eastAsia="Times New Roman"/>
                <w:sz w:val="22"/>
                <w:vertAlign w:val="subscript"/>
              </w:rPr>
              <w:t>2</w:t>
            </w:r>
            <w:r>
              <w:rPr>
                <w:rFonts w:hint="eastAsia" w:ascii="宋体" w:hAnsi="宋体" w:cs="宋体"/>
                <w:sz w:val="22"/>
              </w:rPr>
              <w:t>排放因子</w:t>
            </w:r>
          </w:p>
        </w:tc>
      </w:tr>
      <w:tr w14:paraId="3FB3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Merge w:val="continue"/>
            <w:vAlign w:val="center"/>
          </w:tcPr>
          <w:p w14:paraId="1069712A">
            <w:pPr>
              <w:adjustRightInd w:val="0"/>
              <w:snapToGrid w:val="0"/>
              <w:jc w:val="center"/>
              <w:rPr>
                <w:rFonts w:eastAsia="Times New Roman"/>
                <w:sz w:val="22"/>
              </w:rPr>
            </w:pPr>
          </w:p>
        </w:tc>
        <w:tc>
          <w:tcPr>
            <w:tcW w:w="1683" w:type="dxa"/>
            <w:vAlign w:val="center"/>
          </w:tcPr>
          <w:p w14:paraId="38271D58">
            <w:pPr>
              <w:adjustRightInd w:val="0"/>
              <w:snapToGrid w:val="0"/>
              <w:jc w:val="center"/>
              <w:rPr>
                <w:rFonts w:eastAsia="Times New Roman"/>
                <w:sz w:val="22"/>
              </w:rPr>
            </w:pPr>
            <w:r>
              <w:rPr>
                <w:rFonts w:hint="eastAsia" w:ascii="宋体" w:hAnsi="宋体" w:cs="宋体"/>
                <w:sz w:val="22"/>
              </w:rPr>
              <w:t>井口净购入量</w:t>
            </w:r>
            <w:r>
              <w:rPr>
                <w:rFonts w:eastAsia="Times New Roman"/>
                <w:sz w:val="22"/>
              </w:rPr>
              <w:t>MWh</w:t>
            </w:r>
          </w:p>
        </w:tc>
        <w:tc>
          <w:tcPr>
            <w:tcW w:w="1164" w:type="dxa"/>
            <w:vAlign w:val="center"/>
          </w:tcPr>
          <w:p w14:paraId="4F9D7E94">
            <w:pPr>
              <w:adjustRightInd w:val="0"/>
              <w:snapToGrid w:val="0"/>
              <w:jc w:val="center"/>
              <w:rPr>
                <w:rFonts w:eastAsia="Times New Roman"/>
                <w:sz w:val="22"/>
              </w:rPr>
            </w:pPr>
            <w:r>
              <w:rPr>
                <w:rFonts w:hint="eastAsia" w:ascii="宋体" w:hAnsi="宋体" w:cs="宋体"/>
                <w:sz w:val="22"/>
              </w:rPr>
              <w:t>数据来源</w:t>
            </w:r>
          </w:p>
        </w:tc>
        <w:tc>
          <w:tcPr>
            <w:tcW w:w="1020" w:type="dxa"/>
            <w:vAlign w:val="center"/>
          </w:tcPr>
          <w:p w14:paraId="680DC3C9">
            <w:pPr>
              <w:adjustRightInd w:val="0"/>
              <w:snapToGrid w:val="0"/>
              <w:jc w:val="center"/>
              <w:rPr>
                <w:rFonts w:eastAsia="Times New Roman"/>
                <w:sz w:val="22"/>
              </w:rPr>
            </w:pPr>
            <w:r>
              <w:rPr>
                <w:rFonts w:hint="eastAsia" w:ascii="宋体" w:hAnsi="宋体" w:cs="宋体"/>
                <w:sz w:val="22"/>
              </w:rPr>
              <w:t>外供量</w:t>
            </w:r>
          </w:p>
        </w:tc>
        <w:tc>
          <w:tcPr>
            <w:tcW w:w="853" w:type="dxa"/>
            <w:vAlign w:val="center"/>
          </w:tcPr>
          <w:p w14:paraId="731CF5EB">
            <w:pPr>
              <w:adjustRightInd w:val="0"/>
              <w:snapToGrid w:val="0"/>
              <w:jc w:val="center"/>
              <w:rPr>
                <w:rFonts w:eastAsia="Times New Roman"/>
                <w:sz w:val="22"/>
              </w:rPr>
            </w:pPr>
            <w:r>
              <w:rPr>
                <w:rFonts w:hint="eastAsia" w:ascii="宋体" w:hAnsi="宋体" w:cs="宋体"/>
                <w:sz w:val="22"/>
              </w:rPr>
              <w:t>数据来源</w:t>
            </w:r>
          </w:p>
        </w:tc>
        <w:tc>
          <w:tcPr>
            <w:tcW w:w="1261" w:type="dxa"/>
            <w:vAlign w:val="center"/>
          </w:tcPr>
          <w:p w14:paraId="39133AE6">
            <w:pPr>
              <w:adjustRightInd w:val="0"/>
              <w:snapToGrid w:val="0"/>
              <w:jc w:val="center"/>
              <w:rPr>
                <w:rFonts w:eastAsia="Times New Roman"/>
                <w:sz w:val="22"/>
              </w:rPr>
            </w:pPr>
            <w:r>
              <w:rPr>
                <w:rFonts w:hint="eastAsia" w:ascii="宋体" w:hAnsi="宋体" w:cs="宋体"/>
                <w:sz w:val="22"/>
              </w:rPr>
              <w:t>单位</w:t>
            </w:r>
          </w:p>
          <w:p w14:paraId="31C74D37">
            <w:pPr>
              <w:adjustRightInd w:val="0"/>
              <w:snapToGrid w:val="0"/>
              <w:jc w:val="center"/>
              <w:rPr>
                <w:rFonts w:eastAsia="Times New Roman"/>
                <w:sz w:val="22"/>
              </w:rPr>
            </w:pPr>
            <w:r>
              <w:rPr>
                <w:rFonts w:eastAsia="Times New Roman"/>
                <w:sz w:val="22"/>
              </w:rPr>
              <w:t>tCO</w:t>
            </w:r>
            <w:r>
              <w:rPr>
                <w:rFonts w:eastAsia="Times New Roman"/>
                <w:sz w:val="22"/>
                <w:vertAlign w:val="subscript"/>
              </w:rPr>
              <w:t>2</w:t>
            </w:r>
            <w:r>
              <w:rPr>
                <w:rFonts w:eastAsia="Times New Roman"/>
                <w:sz w:val="22"/>
              </w:rPr>
              <w:t>/MWh</w:t>
            </w:r>
          </w:p>
        </w:tc>
        <w:tc>
          <w:tcPr>
            <w:tcW w:w="1496" w:type="dxa"/>
            <w:vAlign w:val="center"/>
          </w:tcPr>
          <w:p w14:paraId="45EA11A5">
            <w:pPr>
              <w:adjustRightInd w:val="0"/>
              <w:snapToGrid w:val="0"/>
              <w:jc w:val="center"/>
              <w:rPr>
                <w:rFonts w:eastAsia="Times New Roman"/>
                <w:sz w:val="22"/>
              </w:rPr>
            </w:pPr>
            <w:r>
              <w:rPr>
                <w:rFonts w:hint="eastAsia" w:ascii="宋体" w:hAnsi="宋体" w:cs="宋体"/>
                <w:sz w:val="22"/>
              </w:rPr>
              <w:t>数据来源</w:t>
            </w:r>
          </w:p>
        </w:tc>
      </w:tr>
      <w:tr w14:paraId="7F1AA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6CBB588D">
            <w:pPr>
              <w:adjustRightInd w:val="0"/>
              <w:snapToGrid w:val="0"/>
              <w:jc w:val="center"/>
              <w:rPr>
                <w:rFonts w:eastAsia="Times New Roman"/>
                <w:sz w:val="22"/>
              </w:rPr>
            </w:pPr>
            <w:r>
              <w:rPr>
                <w:rFonts w:hint="eastAsia" w:ascii="宋体" w:hAnsi="宋体" w:cs="宋体"/>
                <w:sz w:val="22"/>
              </w:rPr>
              <w:t>电力</w:t>
            </w:r>
          </w:p>
        </w:tc>
        <w:tc>
          <w:tcPr>
            <w:tcW w:w="1683" w:type="dxa"/>
            <w:vAlign w:val="center"/>
          </w:tcPr>
          <w:p w14:paraId="6A4111EE">
            <w:pPr>
              <w:adjustRightInd w:val="0"/>
              <w:snapToGrid w:val="0"/>
              <w:jc w:val="center"/>
              <w:rPr>
                <w:rFonts w:eastAsia="Times New Roman"/>
                <w:sz w:val="22"/>
              </w:rPr>
            </w:pPr>
            <w:r>
              <w:rPr>
                <w:rFonts w:hint="eastAsia"/>
                <w:sz w:val="22"/>
              </w:rPr>
              <w:t>35.64</w:t>
            </w:r>
          </w:p>
        </w:tc>
        <w:tc>
          <w:tcPr>
            <w:tcW w:w="1164" w:type="dxa"/>
            <w:vAlign w:val="center"/>
          </w:tcPr>
          <w:p w14:paraId="5D59C947">
            <w:pPr>
              <w:adjustRightInd w:val="0"/>
              <w:snapToGrid w:val="0"/>
              <w:jc w:val="center"/>
              <w:rPr>
                <w:rFonts w:eastAsia="Times New Roman"/>
                <w:sz w:val="22"/>
              </w:rPr>
            </w:pPr>
            <w:r>
              <w:rPr>
                <w:rFonts w:hint="eastAsia" w:ascii="宋体" w:hAnsi="宋体" w:cs="宋体"/>
                <w:sz w:val="22"/>
              </w:rPr>
              <w:t>基础设计</w:t>
            </w:r>
          </w:p>
        </w:tc>
        <w:tc>
          <w:tcPr>
            <w:tcW w:w="1020" w:type="dxa"/>
            <w:vAlign w:val="center"/>
          </w:tcPr>
          <w:p w14:paraId="588B7F42">
            <w:pPr>
              <w:adjustRightInd w:val="0"/>
              <w:snapToGrid w:val="0"/>
              <w:jc w:val="center"/>
              <w:rPr>
                <w:rFonts w:eastAsia="Times New Roman"/>
                <w:sz w:val="22"/>
              </w:rPr>
            </w:pPr>
            <w:r>
              <w:rPr>
                <w:rFonts w:eastAsia="Times New Roman"/>
                <w:sz w:val="22"/>
              </w:rPr>
              <w:t>0</w:t>
            </w:r>
          </w:p>
        </w:tc>
        <w:tc>
          <w:tcPr>
            <w:tcW w:w="853" w:type="dxa"/>
            <w:vAlign w:val="center"/>
          </w:tcPr>
          <w:p w14:paraId="7A9DF857">
            <w:pPr>
              <w:adjustRightInd w:val="0"/>
              <w:snapToGrid w:val="0"/>
              <w:jc w:val="center"/>
              <w:rPr>
                <w:rFonts w:eastAsia="Times New Roman"/>
                <w:sz w:val="22"/>
              </w:rPr>
            </w:pPr>
            <w:r>
              <w:rPr>
                <w:rFonts w:eastAsia="Times New Roman"/>
                <w:sz w:val="22"/>
              </w:rPr>
              <w:t>/</w:t>
            </w:r>
          </w:p>
        </w:tc>
        <w:tc>
          <w:tcPr>
            <w:tcW w:w="1261" w:type="dxa"/>
            <w:vAlign w:val="center"/>
          </w:tcPr>
          <w:p w14:paraId="194D1AFE">
            <w:pPr>
              <w:adjustRightInd w:val="0"/>
              <w:snapToGrid w:val="0"/>
              <w:jc w:val="center"/>
              <w:rPr>
                <w:sz w:val="22"/>
              </w:rPr>
            </w:pPr>
            <w:r>
              <w:rPr>
                <w:rFonts w:hint="eastAsia"/>
                <w:sz w:val="22"/>
              </w:rPr>
              <w:t>0.117</w:t>
            </w:r>
          </w:p>
        </w:tc>
        <w:tc>
          <w:tcPr>
            <w:tcW w:w="1496" w:type="dxa"/>
            <w:vAlign w:val="center"/>
          </w:tcPr>
          <w:p w14:paraId="3E113FA4">
            <w:pPr>
              <w:adjustRightInd w:val="0"/>
              <w:snapToGrid w:val="0"/>
              <w:jc w:val="center"/>
              <w:rPr>
                <w:rFonts w:eastAsia="Times New Roman"/>
                <w:sz w:val="22"/>
              </w:rPr>
            </w:pPr>
            <w:r>
              <w:rPr>
                <w:rFonts w:hint="eastAsia" w:ascii="宋体" w:hAnsi="宋体" w:cs="宋体"/>
                <w:sz w:val="22"/>
              </w:rPr>
              <w:t>《企业温室气体排放核</w:t>
            </w:r>
          </w:p>
          <w:p w14:paraId="36C3475A">
            <w:pPr>
              <w:adjustRightInd w:val="0"/>
              <w:snapToGrid w:val="0"/>
              <w:jc w:val="center"/>
              <w:rPr>
                <w:rFonts w:eastAsia="Times New Roman"/>
                <w:sz w:val="22"/>
              </w:rPr>
            </w:pPr>
            <w:r>
              <w:rPr>
                <w:rFonts w:hint="eastAsia" w:ascii="宋体" w:hAnsi="宋体" w:cs="宋体"/>
                <w:sz w:val="22"/>
              </w:rPr>
              <w:t>算方法与报告指南</w:t>
            </w:r>
            <w:r>
              <w:rPr>
                <w:rFonts w:eastAsia="Times New Roman"/>
                <w:sz w:val="22"/>
              </w:rPr>
              <w:t xml:space="preserve"> </w:t>
            </w:r>
            <w:r>
              <w:rPr>
                <w:rFonts w:hint="eastAsia" w:ascii="宋体" w:hAnsi="宋体" w:cs="宋体"/>
                <w:sz w:val="22"/>
              </w:rPr>
              <w:t>发</w:t>
            </w:r>
          </w:p>
          <w:p w14:paraId="7C951A30">
            <w:pPr>
              <w:adjustRightInd w:val="0"/>
              <w:snapToGrid w:val="0"/>
              <w:jc w:val="center"/>
              <w:rPr>
                <w:rFonts w:eastAsia="Times New Roman"/>
                <w:sz w:val="22"/>
              </w:rPr>
            </w:pPr>
            <w:r>
              <w:rPr>
                <w:rFonts w:hint="eastAsia" w:ascii="宋体" w:hAnsi="宋体" w:cs="宋体"/>
                <w:sz w:val="22"/>
              </w:rPr>
              <w:t>电设施》</w:t>
            </w:r>
          </w:p>
        </w:tc>
      </w:tr>
    </w:tbl>
    <w:p w14:paraId="3BF07D28">
      <w:pPr>
        <w:adjustRightInd w:val="0"/>
        <w:snapToGrid w:val="0"/>
        <w:ind w:firstLine="520" w:firstLineChars="200"/>
        <w:rPr>
          <w:sz w:val="26"/>
          <w:szCs w:val="26"/>
        </w:rPr>
      </w:pPr>
    </w:p>
    <w:p w14:paraId="13FE377C">
      <w:pPr>
        <w:adjustRightInd w:val="0"/>
        <w:snapToGrid w:val="0"/>
        <w:spacing w:line="480" w:lineRule="exact"/>
        <w:ind w:firstLine="520" w:firstLineChars="200"/>
        <w:rPr>
          <w:sz w:val="26"/>
          <w:szCs w:val="26"/>
        </w:rPr>
      </w:pPr>
      <w:r>
        <w:rPr>
          <w:sz w:val="26"/>
          <w:szCs w:val="26"/>
        </w:rPr>
        <w:t>计算公式如下：</w:t>
      </w:r>
    </w:p>
    <w:p w14:paraId="1AA33C42">
      <w:pPr>
        <w:adjustRightInd w:val="0"/>
        <w:snapToGrid w:val="0"/>
        <w:ind w:firstLine="420" w:firstLineChars="200"/>
        <w:jc w:val="center"/>
        <w:rPr>
          <w:sz w:val="26"/>
          <w:szCs w:val="26"/>
        </w:rPr>
      </w:pPr>
      <w:r>
        <w:drawing>
          <wp:inline distT="0" distB="0" distL="0" distR="0">
            <wp:extent cx="2582545" cy="387985"/>
            <wp:effectExtent l="0" t="0" r="8255" b="0"/>
            <wp:docPr id="1277009433" name="图片 1277009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09433" name="图片 127700943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a:xfrm>
                      <a:off x="0" y="0"/>
                      <a:ext cx="2582545" cy="387985"/>
                    </a:xfrm>
                    <a:prstGeom prst="rect">
                      <a:avLst/>
                    </a:prstGeom>
                    <a:noFill/>
                    <a:ln>
                      <a:noFill/>
                    </a:ln>
                  </pic:spPr>
                </pic:pic>
              </a:graphicData>
            </a:graphic>
          </wp:inline>
        </w:drawing>
      </w:r>
    </w:p>
    <w:p w14:paraId="034B69E6">
      <w:pPr>
        <w:adjustRightInd w:val="0"/>
        <w:snapToGrid w:val="0"/>
        <w:spacing w:line="480" w:lineRule="exact"/>
        <w:ind w:firstLine="520" w:firstLineChars="200"/>
        <w:rPr>
          <w:sz w:val="26"/>
          <w:szCs w:val="26"/>
        </w:rPr>
      </w:pPr>
      <w:r>
        <w:rPr>
          <w:sz w:val="26"/>
          <w:szCs w:val="26"/>
        </w:rPr>
        <w:t>式中，</w:t>
      </w:r>
    </w:p>
    <w:p w14:paraId="7F2A5FB0">
      <w:pPr>
        <w:adjustRightInd w:val="0"/>
        <w:snapToGrid w:val="0"/>
        <w:spacing w:line="480" w:lineRule="exact"/>
        <w:ind w:firstLine="520" w:firstLineChars="200"/>
        <w:rPr>
          <w:sz w:val="26"/>
          <w:szCs w:val="26"/>
        </w:rPr>
      </w:pPr>
      <w:r>
        <w:rPr>
          <w:sz w:val="26"/>
          <w:szCs w:val="26"/>
        </w:rPr>
        <w:t>E</w:t>
      </w:r>
      <w:r>
        <w:rPr>
          <w:sz w:val="26"/>
          <w:szCs w:val="26"/>
          <w:vertAlign w:val="subscript"/>
        </w:rPr>
        <w:t>CO2</w:t>
      </w:r>
      <w:r>
        <w:rPr>
          <w:sz w:val="26"/>
          <w:szCs w:val="26"/>
        </w:rPr>
        <w:t>_</w:t>
      </w:r>
      <w:r>
        <w:rPr>
          <w:sz w:val="26"/>
          <w:szCs w:val="26"/>
          <w:vertAlign w:val="subscript"/>
        </w:rPr>
        <w:t>净电</w:t>
      </w:r>
      <w:r>
        <w:rPr>
          <w:sz w:val="26"/>
          <w:szCs w:val="26"/>
        </w:rPr>
        <w:t>为企业净购入的电力消费引起的 CO</w:t>
      </w:r>
      <w:r>
        <w:rPr>
          <w:sz w:val="26"/>
          <w:szCs w:val="26"/>
          <w:vertAlign w:val="subscript"/>
        </w:rPr>
        <w:t>2</w:t>
      </w:r>
      <w:r>
        <w:rPr>
          <w:sz w:val="26"/>
          <w:szCs w:val="26"/>
        </w:rPr>
        <w:t>排放，单位为吨CO</w:t>
      </w:r>
      <w:r>
        <w:rPr>
          <w:sz w:val="26"/>
          <w:szCs w:val="26"/>
          <w:vertAlign w:val="subscript"/>
        </w:rPr>
        <w:t>2</w:t>
      </w:r>
      <w:r>
        <w:rPr>
          <w:sz w:val="26"/>
          <w:szCs w:val="26"/>
        </w:rPr>
        <w:t>；</w:t>
      </w:r>
    </w:p>
    <w:p w14:paraId="17A5D98E">
      <w:pPr>
        <w:adjustRightInd w:val="0"/>
        <w:snapToGrid w:val="0"/>
        <w:spacing w:line="480" w:lineRule="exact"/>
        <w:ind w:firstLine="520" w:firstLineChars="200"/>
        <w:rPr>
          <w:sz w:val="26"/>
          <w:szCs w:val="26"/>
        </w:rPr>
      </w:pPr>
      <w:r>
        <w:rPr>
          <w:sz w:val="26"/>
          <w:szCs w:val="26"/>
        </w:rPr>
        <w:t>AD</w:t>
      </w:r>
      <w:r>
        <w:rPr>
          <w:sz w:val="26"/>
          <w:szCs w:val="26"/>
          <w:vertAlign w:val="subscript"/>
        </w:rPr>
        <w:t>电力</w:t>
      </w:r>
      <w:r>
        <w:rPr>
          <w:sz w:val="26"/>
          <w:szCs w:val="26"/>
        </w:rPr>
        <w:t>为企业净购入的电力消费，单位为 MWh；</w:t>
      </w:r>
    </w:p>
    <w:p w14:paraId="5097D54E">
      <w:pPr>
        <w:adjustRightInd w:val="0"/>
        <w:snapToGrid w:val="0"/>
        <w:spacing w:line="480" w:lineRule="exact"/>
        <w:ind w:firstLine="520" w:firstLineChars="200"/>
        <w:rPr>
          <w:sz w:val="26"/>
          <w:szCs w:val="26"/>
        </w:rPr>
      </w:pPr>
      <w:r>
        <w:rPr>
          <w:rFonts w:hint="eastAsia"/>
          <w:sz w:val="26"/>
          <w:szCs w:val="26"/>
        </w:rPr>
        <w:t>EF</w:t>
      </w:r>
      <w:r>
        <w:rPr>
          <w:sz w:val="26"/>
          <w:szCs w:val="26"/>
          <w:vertAlign w:val="subscript"/>
        </w:rPr>
        <w:t>电力</w:t>
      </w:r>
      <w:r>
        <w:rPr>
          <w:sz w:val="26"/>
          <w:szCs w:val="26"/>
        </w:rPr>
        <w:t>为电力供应的 CO</w:t>
      </w:r>
      <w:r>
        <w:rPr>
          <w:sz w:val="26"/>
          <w:szCs w:val="26"/>
          <w:vertAlign w:val="subscript"/>
        </w:rPr>
        <w:t>2</w:t>
      </w:r>
      <w:r>
        <w:rPr>
          <w:sz w:val="26"/>
          <w:szCs w:val="26"/>
        </w:rPr>
        <w:t>排放因子，单位为吨CO</w:t>
      </w:r>
      <w:r>
        <w:rPr>
          <w:sz w:val="26"/>
          <w:szCs w:val="26"/>
          <w:vertAlign w:val="subscript"/>
        </w:rPr>
        <w:t>2</w:t>
      </w:r>
      <w:r>
        <w:rPr>
          <w:sz w:val="26"/>
          <w:szCs w:val="26"/>
        </w:rPr>
        <w:t>/MWh；</w:t>
      </w:r>
    </w:p>
    <w:p w14:paraId="6BDEFE6E">
      <w:pPr>
        <w:adjustRightInd w:val="0"/>
        <w:snapToGrid w:val="0"/>
        <w:spacing w:line="480" w:lineRule="exact"/>
        <w:ind w:firstLine="520" w:firstLineChars="200"/>
        <w:rPr>
          <w:sz w:val="26"/>
          <w:szCs w:val="26"/>
        </w:rPr>
      </w:pPr>
      <w:r>
        <w:rPr>
          <w:sz w:val="26"/>
          <w:szCs w:val="26"/>
        </w:rPr>
        <w:t>计算得净购入电力消费引起的CO</w:t>
      </w:r>
      <w:r>
        <w:rPr>
          <w:sz w:val="26"/>
          <w:szCs w:val="26"/>
          <w:vertAlign w:val="subscript"/>
        </w:rPr>
        <w:t>2</w:t>
      </w:r>
      <w:r>
        <w:rPr>
          <w:sz w:val="26"/>
          <w:szCs w:val="26"/>
        </w:rPr>
        <w:t>排放量为</w:t>
      </w:r>
      <w:r>
        <w:rPr>
          <w:rFonts w:hint="eastAsia"/>
          <w:sz w:val="26"/>
          <w:szCs w:val="26"/>
        </w:rPr>
        <w:t>4.17</w:t>
      </w:r>
      <w:r>
        <w:rPr>
          <w:sz w:val="26"/>
          <w:szCs w:val="26"/>
        </w:rPr>
        <w:t>吨CO</w:t>
      </w:r>
      <w:r>
        <w:rPr>
          <w:sz w:val="26"/>
          <w:szCs w:val="26"/>
          <w:vertAlign w:val="subscript"/>
        </w:rPr>
        <w:t>2</w:t>
      </w:r>
      <w:r>
        <w:rPr>
          <w:sz w:val="26"/>
          <w:szCs w:val="26"/>
        </w:rPr>
        <w:t>。</w:t>
      </w:r>
    </w:p>
    <w:p w14:paraId="64D3ADC8">
      <w:pPr>
        <w:adjustRightInd w:val="0"/>
        <w:snapToGrid w:val="0"/>
        <w:spacing w:line="480" w:lineRule="exact"/>
        <w:ind w:firstLine="522" w:firstLineChars="200"/>
        <w:rPr>
          <w:b/>
          <w:bCs/>
          <w:sz w:val="26"/>
          <w:szCs w:val="26"/>
        </w:rPr>
      </w:pPr>
      <w:r>
        <w:rPr>
          <w:b/>
          <w:bCs/>
          <w:sz w:val="26"/>
          <w:szCs w:val="26"/>
        </w:rPr>
        <w:t>（2）</w:t>
      </w:r>
      <w:r>
        <w:rPr>
          <w:b/>
          <w:sz w:val="26"/>
          <w:szCs w:val="26"/>
        </w:rPr>
        <w:t>碳排放</w:t>
      </w:r>
      <w:r>
        <w:rPr>
          <w:b/>
          <w:bCs/>
          <w:sz w:val="26"/>
          <w:szCs w:val="26"/>
        </w:rPr>
        <w:t>总量</w:t>
      </w:r>
    </w:p>
    <w:p w14:paraId="27BEBA2F">
      <w:pPr>
        <w:spacing w:line="460" w:lineRule="exact"/>
        <w:ind w:firstLine="520" w:firstLineChars="200"/>
        <w:rPr>
          <w:rFonts w:cs="Calibri"/>
          <w:sz w:val="26"/>
          <w:szCs w:val="26"/>
        </w:rPr>
      </w:pPr>
      <w:r>
        <w:rPr>
          <w:rFonts w:cs="Calibri"/>
          <w:sz w:val="26"/>
          <w:szCs w:val="26"/>
        </w:rPr>
        <w:t>项目为</w:t>
      </w:r>
      <w:r>
        <w:rPr>
          <w:rFonts w:hint="eastAsia" w:cs="Calibri"/>
          <w:sz w:val="26"/>
          <w:szCs w:val="26"/>
        </w:rPr>
        <w:t>天然气开发工程</w:t>
      </w:r>
      <w:r>
        <w:rPr>
          <w:rFonts w:cs="Calibri"/>
          <w:sz w:val="26"/>
          <w:szCs w:val="26"/>
        </w:rPr>
        <w:t>，达产后碳排放总量为</w:t>
      </w:r>
      <w:r>
        <w:rPr>
          <w:rFonts w:cs="Calibri"/>
          <w:sz w:val="26"/>
          <w:szCs w:val="20"/>
        </w:rPr>
        <w:t>124.017</w:t>
      </w:r>
      <w:r>
        <w:rPr>
          <w:rFonts w:cs="Calibri"/>
          <w:sz w:val="26"/>
          <w:szCs w:val="26"/>
        </w:rPr>
        <w:t>tCO</w:t>
      </w:r>
      <w:r>
        <w:rPr>
          <w:rFonts w:cs="Calibri"/>
          <w:sz w:val="26"/>
          <w:szCs w:val="26"/>
          <w:vertAlign w:val="subscript"/>
        </w:rPr>
        <w:t>2e</w:t>
      </w:r>
      <w:r>
        <w:rPr>
          <w:rFonts w:cs="Calibri"/>
          <w:sz w:val="26"/>
          <w:szCs w:val="26"/>
        </w:rPr>
        <w:t>，无CH</w:t>
      </w:r>
      <w:r>
        <w:rPr>
          <w:rFonts w:cs="Calibri"/>
          <w:sz w:val="26"/>
          <w:szCs w:val="26"/>
          <w:vertAlign w:val="subscript"/>
        </w:rPr>
        <w:t>4</w:t>
      </w:r>
      <w:r>
        <w:rPr>
          <w:rFonts w:cs="Calibri"/>
          <w:sz w:val="26"/>
          <w:szCs w:val="26"/>
        </w:rPr>
        <w:t>、CO</w:t>
      </w:r>
      <w:r>
        <w:rPr>
          <w:rFonts w:cs="Calibri"/>
          <w:sz w:val="26"/>
          <w:szCs w:val="26"/>
          <w:vertAlign w:val="subscript"/>
        </w:rPr>
        <w:t>2</w:t>
      </w:r>
      <w:r>
        <w:rPr>
          <w:rFonts w:cs="Calibri"/>
          <w:sz w:val="26"/>
          <w:szCs w:val="26"/>
        </w:rPr>
        <w:t>回收利用量。具体排放情况见</w:t>
      </w:r>
      <w:r>
        <w:rPr>
          <w:rFonts w:cs="Calibri"/>
          <w:sz w:val="26"/>
          <w:szCs w:val="26"/>
          <w:u w:val="single"/>
        </w:rPr>
        <w:t>表9.4</w:t>
      </w:r>
      <w:r>
        <w:rPr>
          <w:rFonts w:hint="eastAsia" w:cs="Calibri"/>
          <w:sz w:val="26"/>
          <w:szCs w:val="26"/>
          <w:u w:val="single"/>
        </w:rPr>
        <w:t>-</w:t>
      </w:r>
      <w:r>
        <w:rPr>
          <w:rFonts w:cs="Calibri"/>
          <w:sz w:val="26"/>
          <w:szCs w:val="26"/>
          <w:u w:val="single"/>
        </w:rPr>
        <w:t>7</w:t>
      </w:r>
      <w:r>
        <w:rPr>
          <w:rFonts w:cs="Calibri"/>
          <w:sz w:val="26"/>
          <w:szCs w:val="26"/>
        </w:rPr>
        <w:t>。</w:t>
      </w:r>
    </w:p>
    <w:p w14:paraId="5AF95F76">
      <w:pPr>
        <w:adjustRightInd w:val="0"/>
        <w:snapToGrid w:val="0"/>
        <w:ind w:firstLine="520" w:firstLineChars="200"/>
        <w:rPr>
          <w:rFonts w:cs="宋体"/>
          <w:snapToGrid w:val="0"/>
          <w:kern w:val="0"/>
          <w:sz w:val="26"/>
          <w:szCs w:val="20"/>
        </w:rPr>
      </w:pPr>
    </w:p>
    <w:p w14:paraId="2BD00929">
      <w:pPr>
        <w:keepNext/>
        <w:tabs>
          <w:tab w:val="right" w:pos="8730"/>
        </w:tabs>
        <w:adjustRightInd w:val="0"/>
        <w:snapToGrid w:val="0"/>
        <w:jc w:val="center"/>
        <w:rPr>
          <w:sz w:val="26"/>
          <w:szCs w:val="26"/>
        </w:rPr>
      </w:pPr>
      <w:r>
        <w:rPr>
          <w:sz w:val="26"/>
          <w:szCs w:val="26"/>
        </w:rPr>
        <w:t>表9.4</w:t>
      </w:r>
      <w:r>
        <w:rPr>
          <w:rFonts w:hint="eastAsia"/>
          <w:sz w:val="26"/>
          <w:szCs w:val="26"/>
        </w:rPr>
        <w:t>-</w:t>
      </w:r>
      <w:r>
        <w:rPr>
          <w:sz w:val="26"/>
          <w:szCs w:val="26"/>
        </w:rPr>
        <w:t>7  碳排放汇总表</w:t>
      </w:r>
    </w:p>
    <w:tbl>
      <w:tblPr>
        <w:tblStyle w:val="89"/>
        <w:tblW w:w="8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164"/>
        <w:gridCol w:w="1073"/>
        <w:gridCol w:w="1281"/>
        <w:gridCol w:w="1387"/>
        <w:gridCol w:w="1253"/>
        <w:gridCol w:w="1384"/>
      </w:tblGrid>
      <w:tr w14:paraId="0206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7" w:type="dxa"/>
            <w:gridSpan w:val="2"/>
            <w:vMerge w:val="restart"/>
            <w:vAlign w:val="center"/>
          </w:tcPr>
          <w:p w14:paraId="66FC34D2">
            <w:pPr>
              <w:adjustRightInd w:val="0"/>
              <w:snapToGrid w:val="0"/>
              <w:jc w:val="center"/>
              <w:rPr>
                <w:rFonts w:eastAsia="Times New Roman"/>
                <w:sz w:val="22"/>
              </w:rPr>
            </w:pPr>
            <w:r>
              <w:rPr>
                <w:rFonts w:hint="eastAsia" w:ascii="宋体" w:hAnsi="宋体" w:cs="宋体"/>
                <w:sz w:val="22"/>
              </w:rPr>
              <w:t>排放类型</w:t>
            </w:r>
          </w:p>
        </w:tc>
        <w:tc>
          <w:tcPr>
            <w:tcW w:w="1073" w:type="dxa"/>
            <w:vMerge w:val="restart"/>
            <w:vAlign w:val="center"/>
          </w:tcPr>
          <w:p w14:paraId="74834EB4">
            <w:pPr>
              <w:adjustRightInd w:val="0"/>
              <w:snapToGrid w:val="0"/>
              <w:jc w:val="center"/>
              <w:rPr>
                <w:rFonts w:eastAsia="Times New Roman"/>
                <w:sz w:val="22"/>
              </w:rPr>
            </w:pPr>
            <w:r>
              <w:rPr>
                <w:rFonts w:hint="eastAsia" w:ascii="宋体" w:hAnsi="宋体" w:cs="宋体"/>
                <w:sz w:val="22"/>
              </w:rPr>
              <w:t>排放设施</w:t>
            </w:r>
          </w:p>
        </w:tc>
        <w:tc>
          <w:tcPr>
            <w:tcW w:w="1281" w:type="dxa"/>
            <w:vMerge w:val="restart"/>
            <w:tcBorders>
              <w:right w:val="single" w:color="auto" w:sz="4" w:space="0"/>
            </w:tcBorders>
            <w:vAlign w:val="center"/>
          </w:tcPr>
          <w:p w14:paraId="6C6F373D">
            <w:pPr>
              <w:adjustRightInd w:val="0"/>
              <w:snapToGrid w:val="0"/>
              <w:jc w:val="center"/>
              <w:rPr>
                <w:rFonts w:eastAsia="Times New Roman"/>
                <w:sz w:val="22"/>
              </w:rPr>
            </w:pPr>
            <w:r>
              <w:rPr>
                <w:rFonts w:hint="eastAsia" w:ascii="宋体" w:hAnsi="宋体" w:cs="宋体"/>
                <w:sz w:val="22"/>
              </w:rPr>
              <w:t>排放源</w:t>
            </w:r>
          </w:p>
        </w:tc>
        <w:tc>
          <w:tcPr>
            <w:tcW w:w="4024" w:type="dxa"/>
            <w:gridSpan w:val="3"/>
            <w:tcBorders>
              <w:top w:val="single" w:color="auto" w:sz="4" w:space="0"/>
              <w:left w:val="single" w:color="auto" w:sz="4" w:space="0"/>
              <w:bottom w:val="single" w:color="auto" w:sz="4" w:space="0"/>
            </w:tcBorders>
            <w:vAlign w:val="center"/>
          </w:tcPr>
          <w:p w14:paraId="01A71613">
            <w:pPr>
              <w:adjustRightInd w:val="0"/>
              <w:snapToGrid w:val="0"/>
              <w:jc w:val="center"/>
              <w:rPr>
                <w:rFonts w:eastAsia="Times New Roman"/>
                <w:sz w:val="22"/>
              </w:rPr>
            </w:pPr>
            <w:r>
              <w:rPr>
                <w:rFonts w:hint="eastAsia" w:ascii="宋体" w:hAnsi="宋体" w:cs="宋体"/>
                <w:sz w:val="22"/>
              </w:rPr>
              <w:t>温室气体种类</w:t>
            </w:r>
          </w:p>
        </w:tc>
      </w:tr>
      <w:tr w14:paraId="2A1F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7" w:type="dxa"/>
            <w:gridSpan w:val="2"/>
            <w:vMerge w:val="continue"/>
            <w:vAlign w:val="center"/>
          </w:tcPr>
          <w:p w14:paraId="517E6B52">
            <w:pPr>
              <w:adjustRightInd w:val="0"/>
              <w:snapToGrid w:val="0"/>
              <w:jc w:val="center"/>
              <w:rPr>
                <w:rFonts w:eastAsia="Times New Roman"/>
                <w:sz w:val="22"/>
              </w:rPr>
            </w:pPr>
          </w:p>
        </w:tc>
        <w:tc>
          <w:tcPr>
            <w:tcW w:w="1073" w:type="dxa"/>
            <w:vMerge w:val="continue"/>
            <w:vAlign w:val="center"/>
          </w:tcPr>
          <w:p w14:paraId="79E81CA9">
            <w:pPr>
              <w:adjustRightInd w:val="0"/>
              <w:snapToGrid w:val="0"/>
              <w:jc w:val="center"/>
              <w:rPr>
                <w:rFonts w:eastAsia="Times New Roman"/>
                <w:sz w:val="22"/>
              </w:rPr>
            </w:pPr>
          </w:p>
        </w:tc>
        <w:tc>
          <w:tcPr>
            <w:tcW w:w="1281" w:type="dxa"/>
            <w:vMerge w:val="continue"/>
            <w:vAlign w:val="center"/>
          </w:tcPr>
          <w:p w14:paraId="58A07841">
            <w:pPr>
              <w:adjustRightInd w:val="0"/>
              <w:snapToGrid w:val="0"/>
              <w:jc w:val="center"/>
              <w:rPr>
                <w:rFonts w:eastAsia="Times New Roman"/>
                <w:sz w:val="22"/>
              </w:rPr>
            </w:pPr>
          </w:p>
        </w:tc>
        <w:tc>
          <w:tcPr>
            <w:tcW w:w="1387" w:type="dxa"/>
            <w:tcBorders>
              <w:top w:val="single" w:color="auto" w:sz="4" w:space="0"/>
            </w:tcBorders>
            <w:vAlign w:val="center"/>
          </w:tcPr>
          <w:p w14:paraId="1F322F01">
            <w:pPr>
              <w:adjustRightInd w:val="0"/>
              <w:snapToGrid w:val="0"/>
              <w:jc w:val="center"/>
              <w:rPr>
                <w:rFonts w:eastAsia="Times New Roman"/>
                <w:sz w:val="22"/>
              </w:rPr>
            </w:pPr>
            <w:r>
              <w:rPr>
                <w:rFonts w:eastAsia="Times New Roman"/>
                <w:sz w:val="22"/>
              </w:rPr>
              <w:t>CO</w:t>
            </w:r>
            <w:r>
              <w:rPr>
                <w:rFonts w:eastAsia="Times New Roman"/>
                <w:sz w:val="22"/>
                <w:vertAlign w:val="subscript"/>
              </w:rPr>
              <w:t>2</w:t>
            </w:r>
          </w:p>
        </w:tc>
        <w:tc>
          <w:tcPr>
            <w:tcW w:w="1253" w:type="dxa"/>
            <w:tcBorders>
              <w:top w:val="single" w:color="auto" w:sz="4" w:space="0"/>
            </w:tcBorders>
            <w:vAlign w:val="center"/>
          </w:tcPr>
          <w:p w14:paraId="63420796">
            <w:pPr>
              <w:adjustRightInd w:val="0"/>
              <w:snapToGrid w:val="0"/>
              <w:jc w:val="center"/>
              <w:rPr>
                <w:rFonts w:eastAsia="Times New Roman"/>
                <w:sz w:val="22"/>
              </w:rPr>
            </w:pPr>
            <w:r>
              <w:rPr>
                <w:rFonts w:eastAsia="Times New Roman"/>
                <w:sz w:val="22"/>
              </w:rPr>
              <w:t>CH</w:t>
            </w:r>
            <w:r>
              <w:rPr>
                <w:rFonts w:eastAsia="Times New Roman"/>
                <w:sz w:val="22"/>
                <w:vertAlign w:val="subscript"/>
              </w:rPr>
              <w:t>4</w:t>
            </w:r>
          </w:p>
        </w:tc>
        <w:tc>
          <w:tcPr>
            <w:tcW w:w="1384" w:type="dxa"/>
            <w:tcBorders>
              <w:top w:val="single" w:color="auto" w:sz="4" w:space="0"/>
            </w:tcBorders>
            <w:vAlign w:val="center"/>
          </w:tcPr>
          <w:p w14:paraId="7729F79B">
            <w:pPr>
              <w:adjustRightInd w:val="0"/>
              <w:snapToGrid w:val="0"/>
              <w:jc w:val="center"/>
              <w:rPr>
                <w:rFonts w:eastAsia="Times New Roman"/>
                <w:sz w:val="22"/>
              </w:rPr>
            </w:pPr>
            <w:r>
              <w:rPr>
                <w:rFonts w:hint="eastAsia" w:ascii="宋体" w:hAnsi="宋体" w:cs="宋体"/>
                <w:sz w:val="22"/>
              </w:rPr>
              <w:t>合计</w:t>
            </w:r>
          </w:p>
          <w:p w14:paraId="200CE7A7">
            <w:pPr>
              <w:adjustRightInd w:val="0"/>
              <w:snapToGrid w:val="0"/>
              <w:jc w:val="center"/>
              <w:rPr>
                <w:rFonts w:eastAsia="Times New Roman"/>
                <w:sz w:val="22"/>
              </w:rPr>
            </w:pPr>
            <w:r>
              <w:rPr>
                <w:rFonts w:eastAsia="Times New Roman"/>
                <w:sz w:val="22"/>
              </w:rPr>
              <w:t>tCO</w:t>
            </w:r>
            <w:r>
              <w:rPr>
                <w:rFonts w:eastAsia="Times New Roman"/>
                <w:sz w:val="22"/>
                <w:vertAlign w:val="subscript"/>
              </w:rPr>
              <w:t>2e</w:t>
            </w:r>
          </w:p>
        </w:tc>
      </w:tr>
      <w:tr w14:paraId="188E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723" w:type="dxa"/>
            <w:vMerge w:val="restart"/>
            <w:vAlign w:val="center"/>
          </w:tcPr>
          <w:p w14:paraId="1C2341B3">
            <w:pPr>
              <w:adjustRightInd w:val="0"/>
              <w:snapToGrid w:val="0"/>
              <w:jc w:val="center"/>
              <w:rPr>
                <w:rFonts w:ascii="宋体" w:hAnsi="宋体" w:cs="宋体"/>
                <w:sz w:val="22"/>
              </w:rPr>
            </w:pPr>
            <w:bookmarkStart w:id="424" w:name="_Hlk196311455"/>
            <w:r>
              <w:rPr>
                <w:rFonts w:hint="eastAsia" w:ascii="宋体" w:hAnsi="宋体" w:cs="宋体"/>
                <w:sz w:val="22"/>
              </w:rPr>
              <w:t>直接排放</w:t>
            </w:r>
          </w:p>
        </w:tc>
        <w:tc>
          <w:tcPr>
            <w:tcW w:w="1164" w:type="dxa"/>
            <w:vAlign w:val="center"/>
          </w:tcPr>
          <w:p w14:paraId="0F9C3D6E">
            <w:pPr>
              <w:adjustRightInd w:val="0"/>
              <w:snapToGrid w:val="0"/>
              <w:jc w:val="center"/>
              <w:rPr>
                <w:rFonts w:ascii="宋体" w:hAnsi="宋体" w:cs="宋体"/>
                <w:sz w:val="22"/>
              </w:rPr>
            </w:pPr>
            <w:r>
              <w:rPr>
                <w:sz w:val="22"/>
              </w:rPr>
              <w:t>化石燃料燃烧</w:t>
            </w:r>
          </w:p>
        </w:tc>
        <w:tc>
          <w:tcPr>
            <w:tcW w:w="1073" w:type="dxa"/>
            <w:vAlign w:val="center"/>
          </w:tcPr>
          <w:p w14:paraId="77ED70C9">
            <w:pPr>
              <w:adjustRightInd w:val="0"/>
              <w:snapToGrid w:val="0"/>
              <w:jc w:val="center"/>
              <w:rPr>
                <w:rFonts w:ascii="宋体" w:hAnsi="宋体" w:cs="宋体"/>
                <w:sz w:val="22"/>
              </w:rPr>
            </w:pPr>
            <w:r>
              <w:rPr>
                <w:rFonts w:hint="eastAsia"/>
                <w:sz w:val="22"/>
              </w:rPr>
              <w:t>水套加热炉</w:t>
            </w:r>
          </w:p>
        </w:tc>
        <w:tc>
          <w:tcPr>
            <w:tcW w:w="1281" w:type="dxa"/>
            <w:vAlign w:val="center"/>
          </w:tcPr>
          <w:p w14:paraId="6B0CC853">
            <w:pPr>
              <w:adjustRightInd w:val="0"/>
              <w:snapToGrid w:val="0"/>
              <w:jc w:val="center"/>
              <w:rPr>
                <w:rFonts w:ascii="宋体" w:hAnsi="宋体" w:cs="宋体"/>
                <w:sz w:val="22"/>
              </w:rPr>
            </w:pPr>
            <w:r>
              <w:rPr>
                <w:sz w:val="22"/>
              </w:rPr>
              <w:t>天然气燃烧</w:t>
            </w:r>
          </w:p>
        </w:tc>
        <w:tc>
          <w:tcPr>
            <w:tcW w:w="1387" w:type="dxa"/>
            <w:vAlign w:val="center"/>
          </w:tcPr>
          <w:p w14:paraId="646E1B5A">
            <w:pPr>
              <w:adjustRightInd w:val="0"/>
              <w:snapToGrid w:val="0"/>
              <w:jc w:val="center"/>
              <w:rPr>
                <w:rFonts w:eastAsia="Times New Roman"/>
                <w:sz w:val="22"/>
              </w:rPr>
            </w:pPr>
            <w:r>
              <w:rPr>
                <w:rFonts w:eastAsia="Times New Roman"/>
                <w:sz w:val="22"/>
              </w:rPr>
              <w:t>65.395</w:t>
            </w:r>
          </w:p>
        </w:tc>
        <w:tc>
          <w:tcPr>
            <w:tcW w:w="1253" w:type="dxa"/>
            <w:vAlign w:val="center"/>
          </w:tcPr>
          <w:p w14:paraId="6F1C27A1">
            <w:pPr>
              <w:adjustRightInd w:val="0"/>
              <w:snapToGrid w:val="0"/>
              <w:jc w:val="center"/>
              <w:rPr>
                <w:rFonts w:eastAsiaTheme="minorEastAsia"/>
                <w:sz w:val="22"/>
              </w:rPr>
            </w:pPr>
            <w:r>
              <w:rPr>
                <w:rFonts w:hint="eastAsia" w:eastAsiaTheme="minorEastAsia"/>
                <w:sz w:val="22"/>
              </w:rPr>
              <w:t>/</w:t>
            </w:r>
          </w:p>
        </w:tc>
        <w:tc>
          <w:tcPr>
            <w:tcW w:w="1384" w:type="dxa"/>
            <w:vAlign w:val="center"/>
          </w:tcPr>
          <w:p w14:paraId="262946D2">
            <w:pPr>
              <w:adjustRightInd w:val="0"/>
              <w:snapToGrid w:val="0"/>
              <w:jc w:val="center"/>
              <w:rPr>
                <w:rFonts w:eastAsia="Times New Roman"/>
                <w:sz w:val="22"/>
              </w:rPr>
            </w:pPr>
            <w:r>
              <w:rPr>
                <w:rFonts w:eastAsia="Times New Roman"/>
                <w:sz w:val="22"/>
              </w:rPr>
              <w:t>65.395</w:t>
            </w:r>
          </w:p>
        </w:tc>
      </w:tr>
      <w:tr w14:paraId="02325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723" w:type="dxa"/>
            <w:vMerge w:val="continue"/>
            <w:vAlign w:val="center"/>
          </w:tcPr>
          <w:p w14:paraId="375684B2">
            <w:pPr>
              <w:adjustRightInd w:val="0"/>
              <w:snapToGrid w:val="0"/>
              <w:jc w:val="center"/>
              <w:rPr>
                <w:rFonts w:eastAsia="Times New Roman"/>
                <w:sz w:val="22"/>
              </w:rPr>
            </w:pPr>
          </w:p>
        </w:tc>
        <w:tc>
          <w:tcPr>
            <w:tcW w:w="1164" w:type="dxa"/>
            <w:vAlign w:val="center"/>
          </w:tcPr>
          <w:p w14:paraId="0D2D74A9">
            <w:pPr>
              <w:adjustRightInd w:val="0"/>
              <w:snapToGrid w:val="0"/>
              <w:jc w:val="center"/>
              <w:rPr>
                <w:rFonts w:eastAsia="Times New Roman"/>
                <w:sz w:val="22"/>
              </w:rPr>
            </w:pPr>
            <w:r>
              <w:rPr>
                <w:rFonts w:hint="eastAsia" w:ascii="宋体" w:hAnsi="宋体" w:cs="宋体"/>
                <w:sz w:val="22"/>
              </w:rPr>
              <w:t>火炬燃烧</w:t>
            </w:r>
          </w:p>
        </w:tc>
        <w:tc>
          <w:tcPr>
            <w:tcW w:w="1073" w:type="dxa"/>
            <w:vAlign w:val="center"/>
          </w:tcPr>
          <w:p w14:paraId="23E142A0">
            <w:pPr>
              <w:adjustRightInd w:val="0"/>
              <w:snapToGrid w:val="0"/>
              <w:jc w:val="center"/>
              <w:rPr>
                <w:rFonts w:eastAsia="Times New Roman"/>
                <w:sz w:val="22"/>
              </w:rPr>
            </w:pPr>
            <w:r>
              <w:rPr>
                <w:rFonts w:hint="eastAsia" w:ascii="宋体" w:hAnsi="宋体" w:cs="宋体"/>
                <w:sz w:val="22"/>
              </w:rPr>
              <w:t>放空管</w:t>
            </w:r>
          </w:p>
        </w:tc>
        <w:tc>
          <w:tcPr>
            <w:tcW w:w="1281" w:type="dxa"/>
            <w:vAlign w:val="center"/>
          </w:tcPr>
          <w:p w14:paraId="13C5B5B1">
            <w:pPr>
              <w:adjustRightInd w:val="0"/>
              <w:snapToGrid w:val="0"/>
              <w:jc w:val="center"/>
              <w:rPr>
                <w:rFonts w:ascii="宋体" w:hAnsi="宋体" w:cs="宋体"/>
                <w:sz w:val="22"/>
              </w:rPr>
            </w:pPr>
            <w:r>
              <w:rPr>
                <w:rFonts w:hint="eastAsia" w:ascii="宋体" w:hAnsi="宋体" w:cs="宋体"/>
                <w:sz w:val="22"/>
              </w:rPr>
              <w:t>天然气气</w:t>
            </w:r>
          </w:p>
          <w:p w14:paraId="22D7F84E">
            <w:pPr>
              <w:adjustRightInd w:val="0"/>
              <w:snapToGrid w:val="0"/>
              <w:jc w:val="center"/>
              <w:rPr>
                <w:rFonts w:eastAsia="Times New Roman"/>
                <w:sz w:val="22"/>
              </w:rPr>
            </w:pPr>
            <w:r>
              <w:rPr>
                <w:rFonts w:hint="eastAsia" w:ascii="宋体" w:hAnsi="宋体" w:cs="宋体"/>
                <w:sz w:val="22"/>
              </w:rPr>
              <w:t>燃烧</w:t>
            </w:r>
          </w:p>
        </w:tc>
        <w:tc>
          <w:tcPr>
            <w:tcW w:w="1387" w:type="dxa"/>
            <w:vAlign w:val="center"/>
          </w:tcPr>
          <w:p w14:paraId="525D9A3B">
            <w:pPr>
              <w:adjustRightInd w:val="0"/>
              <w:snapToGrid w:val="0"/>
              <w:jc w:val="center"/>
              <w:rPr>
                <w:rFonts w:eastAsia="Times New Roman"/>
                <w:sz w:val="22"/>
              </w:rPr>
            </w:pPr>
            <w:r>
              <w:rPr>
                <w:sz w:val="22"/>
              </w:rPr>
              <w:t>1.939</w:t>
            </w:r>
          </w:p>
        </w:tc>
        <w:tc>
          <w:tcPr>
            <w:tcW w:w="1253" w:type="dxa"/>
            <w:vAlign w:val="center"/>
          </w:tcPr>
          <w:p w14:paraId="6BF2B7BA">
            <w:pPr>
              <w:adjustRightInd w:val="0"/>
              <w:snapToGrid w:val="0"/>
              <w:jc w:val="center"/>
              <w:rPr>
                <w:rFonts w:eastAsia="Times New Roman"/>
                <w:sz w:val="22"/>
              </w:rPr>
            </w:pPr>
            <w:r>
              <w:rPr>
                <w:rFonts w:eastAsia="Times New Roman"/>
                <w:sz w:val="22"/>
              </w:rPr>
              <w:t>0.013</w:t>
            </w:r>
          </w:p>
        </w:tc>
        <w:tc>
          <w:tcPr>
            <w:tcW w:w="1384" w:type="dxa"/>
            <w:vAlign w:val="center"/>
          </w:tcPr>
          <w:p w14:paraId="597F42CB">
            <w:pPr>
              <w:adjustRightInd w:val="0"/>
              <w:snapToGrid w:val="0"/>
              <w:jc w:val="center"/>
              <w:rPr>
                <w:rFonts w:eastAsiaTheme="minorEastAsia"/>
                <w:sz w:val="22"/>
              </w:rPr>
            </w:pPr>
            <w:r>
              <w:rPr>
                <w:rFonts w:hint="eastAsia" w:eastAsiaTheme="minorEastAsia"/>
                <w:sz w:val="22"/>
              </w:rPr>
              <w:t>1</w:t>
            </w:r>
            <w:r>
              <w:rPr>
                <w:rFonts w:eastAsiaTheme="minorEastAsia"/>
                <w:sz w:val="22"/>
              </w:rPr>
              <w:t>.952</w:t>
            </w:r>
          </w:p>
        </w:tc>
      </w:tr>
      <w:tr w14:paraId="3261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23" w:type="dxa"/>
            <w:vMerge w:val="continue"/>
            <w:vAlign w:val="center"/>
          </w:tcPr>
          <w:p w14:paraId="608F8331">
            <w:pPr>
              <w:adjustRightInd w:val="0"/>
              <w:snapToGrid w:val="0"/>
              <w:jc w:val="center"/>
              <w:rPr>
                <w:rFonts w:eastAsia="Times New Roman"/>
                <w:sz w:val="22"/>
              </w:rPr>
            </w:pPr>
          </w:p>
        </w:tc>
        <w:tc>
          <w:tcPr>
            <w:tcW w:w="1164" w:type="dxa"/>
            <w:vAlign w:val="center"/>
          </w:tcPr>
          <w:p w14:paraId="7CA8DA79">
            <w:pPr>
              <w:adjustRightInd w:val="0"/>
              <w:snapToGrid w:val="0"/>
              <w:jc w:val="center"/>
              <w:rPr>
                <w:rFonts w:eastAsia="Times New Roman"/>
                <w:sz w:val="22"/>
              </w:rPr>
            </w:pPr>
            <w:r>
              <w:rPr>
                <w:sz w:val="22"/>
              </w:rPr>
              <w:t>甲烷逸散排放</w:t>
            </w:r>
          </w:p>
        </w:tc>
        <w:tc>
          <w:tcPr>
            <w:tcW w:w="1073" w:type="dxa"/>
            <w:vAlign w:val="center"/>
          </w:tcPr>
          <w:p w14:paraId="74D24578">
            <w:pPr>
              <w:adjustRightInd w:val="0"/>
              <w:snapToGrid w:val="0"/>
              <w:jc w:val="center"/>
              <w:rPr>
                <w:rFonts w:eastAsia="Times New Roman"/>
                <w:sz w:val="22"/>
              </w:rPr>
            </w:pPr>
            <w:r>
              <w:rPr>
                <w:rFonts w:hint="eastAsia"/>
                <w:sz w:val="22"/>
              </w:rPr>
              <w:t>井口</w:t>
            </w:r>
            <w:r>
              <w:rPr>
                <w:sz w:val="22"/>
              </w:rPr>
              <w:t>装置</w:t>
            </w:r>
          </w:p>
        </w:tc>
        <w:tc>
          <w:tcPr>
            <w:tcW w:w="1281" w:type="dxa"/>
            <w:vAlign w:val="center"/>
          </w:tcPr>
          <w:p w14:paraId="41C013FD">
            <w:pPr>
              <w:adjustRightInd w:val="0"/>
              <w:snapToGrid w:val="0"/>
              <w:jc w:val="center"/>
              <w:rPr>
                <w:rFonts w:eastAsia="Times New Roman"/>
                <w:sz w:val="22"/>
              </w:rPr>
            </w:pPr>
            <w:r>
              <w:rPr>
                <w:sz w:val="22"/>
              </w:rPr>
              <w:t>工艺逃逸</w:t>
            </w:r>
          </w:p>
        </w:tc>
        <w:tc>
          <w:tcPr>
            <w:tcW w:w="1387" w:type="dxa"/>
            <w:vAlign w:val="center"/>
          </w:tcPr>
          <w:p w14:paraId="00CBB372">
            <w:pPr>
              <w:adjustRightInd w:val="0"/>
              <w:snapToGrid w:val="0"/>
              <w:jc w:val="center"/>
              <w:rPr>
                <w:rFonts w:eastAsia="Times New Roman"/>
                <w:sz w:val="22"/>
              </w:rPr>
            </w:pPr>
            <w:r>
              <w:rPr>
                <w:rFonts w:eastAsia="Times New Roman"/>
                <w:sz w:val="22"/>
              </w:rPr>
              <w:t>/</w:t>
            </w:r>
          </w:p>
        </w:tc>
        <w:tc>
          <w:tcPr>
            <w:tcW w:w="1253" w:type="dxa"/>
            <w:vAlign w:val="center"/>
          </w:tcPr>
          <w:p w14:paraId="21AFCA6C">
            <w:pPr>
              <w:adjustRightInd w:val="0"/>
              <w:snapToGrid w:val="0"/>
              <w:jc w:val="center"/>
              <w:rPr>
                <w:rFonts w:eastAsia="Times New Roman"/>
                <w:sz w:val="22"/>
              </w:rPr>
            </w:pPr>
            <w:r>
              <w:rPr>
                <w:sz w:val="22"/>
              </w:rPr>
              <w:t>105</w:t>
            </w:r>
          </w:p>
        </w:tc>
        <w:tc>
          <w:tcPr>
            <w:tcW w:w="1384" w:type="dxa"/>
            <w:vAlign w:val="center"/>
          </w:tcPr>
          <w:p w14:paraId="6FF558F0">
            <w:pPr>
              <w:adjustRightInd w:val="0"/>
              <w:snapToGrid w:val="0"/>
              <w:jc w:val="center"/>
              <w:rPr>
                <w:rFonts w:eastAsia="Times New Roman"/>
                <w:sz w:val="22"/>
              </w:rPr>
            </w:pPr>
            <w:r>
              <w:rPr>
                <w:sz w:val="22"/>
              </w:rPr>
              <w:t>105</w:t>
            </w:r>
          </w:p>
        </w:tc>
      </w:tr>
      <w:tr w14:paraId="5FD8C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723" w:type="dxa"/>
            <w:vAlign w:val="center"/>
          </w:tcPr>
          <w:p w14:paraId="72E8C86F">
            <w:pPr>
              <w:adjustRightInd w:val="0"/>
              <w:snapToGrid w:val="0"/>
              <w:jc w:val="center"/>
              <w:rPr>
                <w:rFonts w:eastAsia="Times New Roman"/>
                <w:sz w:val="22"/>
              </w:rPr>
            </w:pPr>
            <w:r>
              <w:rPr>
                <w:rFonts w:hint="eastAsia" w:ascii="宋体" w:hAnsi="宋体" w:cs="宋体"/>
                <w:sz w:val="22"/>
              </w:rPr>
              <w:t>间接排放</w:t>
            </w:r>
          </w:p>
        </w:tc>
        <w:tc>
          <w:tcPr>
            <w:tcW w:w="1164" w:type="dxa"/>
            <w:vAlign w:val="center"/>
          </w:tcPr>
          <w:p w14:paraId="675E480D">
            <w:pPr>
              <w:adjustRightInd w:val="0"/>
              <w:snapToGrid w:val="0"/>
              <w:jc w:val="center"/>
              <w:rPr>
                <w:rFonts w:eastAsia="Times New Roman"/>
                <w:sz w:val="22"/>
              </w:rPr>
            </w:pPr>
            <w:r>
              <w:rPr>
                <w:rFonts w:hint="eastAsia" w:ascii="宋体" w:hAnsi="宋体" w:cs="宋体"/>
                <w:sz w:val="22"/>
              </w:rPr>
              <w:t>净外购电力</w:t>
            </w:r>
          </w:p>
        </w:tc>
        <w:tc>
          <w:tcPr>
            <w:tcW w:w="1073" w:type="dxa"/>
            <w:vAlign w:val="center"/>
          </w:tcPr>
          <w:p w14:paraId="26FF1322">
            <w:pPr>
              <w:adjustRightInd w:val="0"/>
              <w:snapToGrid w:val="0"/>
              <w:jc w:val="center"/>
              <w:rPr>
                <w:rFonts w:eastAsia="Times New Roman"/>
                <w:sz w:val="22"/>
              </w:rPr>
            </w:pPr>
            <w:r>
              <w:rPr>
                <w:rFonts w:hint="eastAsia" w:ascii="宋体" w:hAnsi="宋体" w:cs="宋体"/>
                <w:sz w:val="22"/>
              </w:rPr>
              <w:t>用电设施</w:t>
            </w:r>
          </w:p>
        </w:tc>
        <w:tc>
          <w:tcPr>
            <w:tcW w:w="1281" w:type="dxa"/>
            <w:vAlign w:val="center"/>
          </w:tcPr>
          <w:p w14:paraId="228DD539">
            <w:pPr>
              <w:adjustRightInd w:val="0"/>
              <w:snapToGrid w:val="0"/>
              <w:jc w:val="center"/>
              <w:rPr>
                <w:rFonts w:eastAsia="Times New Roman"/>
                <w:sz w:val="22"/>
              </w:rPr>
            </w:pPr>
            <w:r>
              <w:rPr>
                <w:rFonts w:hint="eastAsia" w:ascii="宋体" w:hAnsi="宋体" w:cs="宋体"/>
                <w:sz w:val="22"/>
              </w:rPr>
              <w:t>电网电力</w:t>
            </w:r>
          </w:p>
        </w:tc>
        <w:tc>
          <w:tcPr>
            <w:tcW w:w="1387" w:type="dxa"/>
            <w:vAlign w:val="center"/>
          </w:tcPr>
          <w:p w14:paraId="3639A554">
            <w:pPr>
              <w:adjustRightInd w:val="0"/>
              <w:snapToGrid w:val="0"/>
              <w:jc w:val="center"/>
              <w:rPr>
                <w:sz w:val="22"/>
              </w:rPr>
            </w:pPr>
            <w:r>
              <w:rPr>
                <w:rFonts w:hint="eastAsia"/>
                <w:sz w:val="22"/>
              </w:rPr>
              <w:t>4.17</w:t>
            </w:r>
          </w:p>
        </w:tc>
        <w:tc>
          <w:tcPr>
            <w:tcW w:w="1253" w:type="dxa"/>
            <w:vAlign w:val="center"/>
          </w:tcPr>
          <w:p w14:paraId="5C885524">
            <w:pPr>
              <w:adjustRightInd w:val="0"/>
              <w:snapToGrid w:val="0"/>
              <w:jc w:val="center"/>
              <w:rPr>
                <w:rFonts w:eastAsia="Times New Roman"/>
                <w:sz w:val="22"/>
              </w:rPr>
            </w:pPr>
            <w:r>
              <w:rPr>
                <w:rFonts w:eastAsia="Times New Roman"/>
                <w:sz w:val="22"/>
              </w:rPr>
              <w:t>/</w:t>
            </w:r>
          </w:p>
        </w:tc>
        <w:tc>
          <w:tcPr>
            <w:tcW w:w="1384" w:type="dxa"/>
            <w:vAlign w:val="center"/>
          </w:tcPr>
          <w:p w14:paraId="753726CF">
            <w:pPr>
              <w:adjustRightInd w:val="0"/>
              <w:snapToGrid w:val="0"/>
              <w:jc w:val="center"/>
              <w:rPr>
                <w:sz w:val="22"/>
              </w:rPr>
            </w:pPr>
            <w:r>
              <w:rPr>
                <w:rFonts w:hint="eastAsia"/>
                <w:sz w:val="22"/>
              </w:rPr>
              <w:t>4.17</w:t>
            </w:r>
          </w:p>
        </w:tc>
      </w:tr>
      <w:bookmarkEnd w:id="424"/>
      <w:tr w14:paraId="3967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1" w:type="dxa"/>
            <w:gridSpan w:val="6"/>
            <w:vAlign w:val="center"/>
          </w:tcPr>
          <w:p w14:paraId="1950297B">
            <w:pPr>
              <w:adjustRightInd w:val="0"/>
              <w:snapToGrid w:val="0"/>
              <w:jc w:val="center"/>
              <w:rPr>
                <w:sz w:val="22"/>
              </w:rPr>
            </w:pPr>
            <w:r>
              <w:rPr>
                <w:rFonts w:hint="eastAsia" w:ascii="宋体" w:hAnsi="宋体" w:cs="宋体"/>
                <w:sz w:val="22"/>
              </w:rPr>
              <w:t>合计</w:t>
            </w:r>
          </w:p>
        </w:tc>
        <w:tc>
          <w:tcPr>
            <w:tcW w:w="1384" w:type="dxa"/>
            <w:vAlign w:val="center"/>
          </w:tcPr>
          <w:p w14:paraId="33540596">
            <w:pPr>
              <w:adjustRightInd w:val="0"/>
              <w:snapToGrid w:val="0"/>
              <w:jc w:val="center"/>
              <w:rPr>
                <w:sz w:val="22"/>
              </w:rPr>
            </w:pPr>
            <w:r>
              <w:rPr>
                <w:sz w:val="22"/>
              </w:rPr>
              <w:t>176.517</w:t>
            </w:r>
          </w:p>
        </w:tc>
      </w:tr>
    </w:tbl>
    <w:p w14:paraId="44E7C15D">
      <w:pPr>
        <w:adjustRightInd w:val="0"/>
        <w:snapToGrid w:val="0"/>
        <w:ind w:firstLine="520" w:firstLineChars="200"/>
        <w:rPr>
          <w:rFonts w:cs="宋体"/>
          <w:snapToGrid w:val="0"/>
          <w:kern w:val="0"/>
          <w:sz w:val="26"/>
          <w:szCs w:val="20"/>
        </w:rPr>
      </w:pPr>
    </w:p>
    <w:p w14:paraId="09F1D325">
      <w:pPr>
        <w:pStyle w:val="1068"/>
      </w:pPr>
      <w:r>
        <w:t>9.4.4 碳排放强度计算</w:t>
      </w:r>
    </w:p>
    <w:p w14:paraId="1D3DFB6D">
      <w:pPr>
        <w:spacing w:line="480" w:lineRule="exact"/>
        <w:ind w:firstLine="520" w:firstLineChars="200"/>
        <w:rPr>
          <w:sz w:val="26"/>
          <w:szCs w:val="26"/>
        </w:rPr>
      </w:pPr>
      <w:r>
        <w:rPr>
          <w:sz w:val="26"/>
          <w:szCs w:val="26"/>
        </w:rPr>
        <w:t>项目达产后，最大产能规模为730</w:t>
      </w:r>
      <w:r>
        <w:rPr>
          <w:rFonts w:hint="eastAsia"/>
          <w:sz w:val="26"/>
          <w:szCs w:val="26"/>
        </w:rPr>
        <w:t>万</w:t>
      </w:r>
      <w:r>
        <w:rPr>
          <w:sz w:val="26"/>
          <w:szCs w:val="26"/>
        </w:rPr>
        <w:t>m</w:t>
      </w:r>
      <w:r>
        <w:rPr>
          <w:sz w:val="26"/>
          <w:szCs w:val="26"/>
          <w:vertAlign w:val="superscript"/>
        </w:rPr>
        <w:t>3</w:t>
      </w:r>
      <w:r>
        <w:rPr>
          <w:sz w:val="26"/>
          <w:szCs w:val="26"/>
        </w:rPr>
        <w:t>/a，年最大工业总产值为0.15亿元（计算工业总产值时天然气单价天然气销售价格2元/m</w:t>
      </w:r>
      <w:r>
        <w:rPr>
          <w:sz w:val="26"/>
          <w:szCs w:val="26"/>
          <w:vertAlign w:val="superscript"/>
        </w:rPr>
        <w:t>3</w:t>
      </w:r>
      <w:r>
        <w:rPr>
          <w:sz w:val="26"/>
          <w:szCs w:val="26"/>
        </w:rPr>
        <w:t>计算，天然气商品气量按可研报告提供数据），年碳排放总量为176.517tCO</w:t>
      </w:r>
      <w:r>
        <w:rPr>
          <w:sz w:val="26"/>
          <w:szCs w:val="26"/>
          <w:vertAlign w:val="subscript"/>
        </w:rPr>
        <w:t>2e</w:t>
      </w:r>
      <w:r>
        <w:rPr>
          <w:sz w:val="26"/>
          <w:szCs w:val="26"/>
        </w:rPr>
        <w:t>。</w:t>
      </w:r>
    </w:p>
    <w:p w14:paraId="6DE334ED">
      <w:pPr>
        <w:adjustRightInd w:val="0"/>
        <w:snapToGrid w:val="0"/>
        <w:spacing w:line="480" w:lineRule="exact"/>
        <w:ind w:firstLine="520" w:firstLineChars="200"/>
        <w:rPr>
          <w:sz w:val="26"/>
          <w:szCs w:val="26"/>
          <w:vertAlign w:val="subscript"/>
        </w:rPr>
      </w:pPr>
      <w:r>
        <w:rPr>
          <w:sz w:val="26"/>
          <w:szCs w:val="26"/>
        </w:rPr>
        <w:t>（1）项目碳排放量为：176.517tCO</w:t>
      </w:r>
      <w:r>
        <w:rPr>
          <w:sz w:val="26"/>
          <w:szCs w:val="26"/>
          <w:vertAlign w:val="subscript"/>
        </w:rPr>
        <w:t>2e</w:t>
      </w:r>
    </w:p>
    <w:p w14:paraId="40724802">
      <w:pPr>
        <w:adjustRightInd w:val="0"/>
        <w:snapToGrid w:val="0"/>
        <w:spacing w:line="480" w:lineRule="exact"/>
        <w:ind w:firstLine="520" w:firstLineChars="200"/>
        <w:rPr>
          <w:sz w:val="26"/>
          <w:szCs w:val="26"/>
        </w:rPr>
      </w:pPr>
      <w:r>
        <w:rPr>
          <w:sz w:val="26"/>
          <w:szCs w:val="26"/>
        </w:rPr>
        <w:t>（2）碳排放强度为：</w:t>
      </w:r>
    </w:p>
    <w:p w14:paraId="7B413B61">
      <w:pPr>
        <w:adjustRightInd w:val="0"/>
        <w:snapToGrid w:val="0"/>
        <w:spacing w:line="480" w:lineRule="exact"/>
        <w:ind w:firstLine="520" w:firstLineChars="200"/>
        <w:rPr>
          <w:sz w:val="26"/>
          <w:szCs w:val="26"/>
        </w:rPr>
      </w:pPr>
      <w:r>
        <w:rPr>
          <w:sz w:val="26"/>
          <w:szCs w:val="26"/>
        </w:rPr>
        <w:t>单位天然气碳排放量为：2418.041tCO</w:t>
      </w:r>
      <w:r>
        <w:rPr>
          <w:sz w:val="26"/>
          <w:szCs w:val="26"/>
          <w:vertAlign w:val="subscript"/>
        </w:rPr>
        <w:t>2e</w:t>
      </w:r>
      <w:r>
        <w:rPr>
          <w:sz w:val="26"/>
          <w:szCs w:val="26"/>
        </w:rPr>
        <w:t>/10</w:t>
      </w:r>
      <w:r>
        <w:rPr>
          <w:rFonts w:hint="eastAsia"/>
          <w:sz w:val="26"/>
          <w:szCs w:val="26"/>
          <w:vertAlign w:val="superscript"/>
        </w:rPr>
        <w:t>8</w:t>
      </w:r>
      <w:r>
        <w:rPr>
          <w:sz w:val="26"/>
          <w:szCs w:val="26"/>
        </w:rPr>
        <w:t>m</w:t>
      </w:r>
      <w:r>
        <w:rPr>
          <w:sz w:val="26"/>
          <w:szCs w:val="26"/>
          <w:vertAlign w:val="superscript"/>
        </w:rPr>
        <w:t>3</w:t>
      </w:r>
    </w:p>
    <w:p w14:paraId="10900375">
      <w:pPr>
        <w:adjustRightInd w:val="0"/>
        <w:snapToGrid w:val="0"/>
        <w:spacing w:line="460" w:lineRule="exact"/>
        <w:ind w:firstLine="520" w:firstLineChars="200"/>
        <w:rPr>
          <w:sz w:val="26"/>
          <w:szCs w:val="26"/>
        </w:rPr>
      </w:pPr>
      <w:r>
        <w:rPr>
          <w:rFonts w:hint="eastAsia"/>
          <w:sz w:val="26"/>
          <w:szCs w:val="26"/>
        </w:rPr>
        <w:t>亿</w:t>
      </w:r>
      <w:r>
        <w:rPr>
          <w:sz w:val="26"/>
          <w:szCs w:val="26"/>
        </w:rPr>
        <w:t>元产值碳排放量为：1176.780tCO</w:t>
      </w:r>
      <w:r>
        <w:rPr>
          <w:sz w:val="26"/>
          <w:szCs w:val="26"/>
          <w:vertAlign w:val="subscript"/>
        </w:rPr>
        <w:t>2e</w:t>
      </w:r>
      <w:r>
        <w:rPr>
          <w:sz w:val="26"/>
          <w:szCs w:val="26"/>
        </w:rPr>
        <w:t>/</w:t>
      </w:r>
      <w:r>
        <w:rPr>
          <w:rFonts w:hint="eastAsia"/>
          <w:sz w:val="26"/>
          <w:szCs w:val="26"/>
        </w:rPr>
        <w:t>亿</w:t>
      </w:r>
      <w:r>
        <w:rPr>
          <w:sz w:val="26"/>
          <w:szCs w:val="26"/>
        </w:rPr>
        <w:t>元。</w:t>
      </w:r>
    </w:p>
    <w:p w14:paraId="7FE165DC">
      <w:pPr>
        <w:adjustRightInd w:val="0"/>
        <w:snapToGrid w:val="0"/>
        <w:spacing w:line="460" w:lineRule="exact"/>
        <w:ind w:firstLine="522" w:firstLineChars="200"/>
        <w:outlineLvl w:val="1"/>
        <w:rPr>
          <w:b/>
          <w:sz w:val="26"/>
          <w:szCs w:val="26"/>
        </w:rPr>
      </w:pPr>
      <w:bookmarkStart w:id="425" w:name="_Toc219907686"/>
      <w:bookmarkStart w:id="426" w:name="_Toc165810676"/>
      <w:bookmarkStart w:id="427" w:name="_Toc165809775"/>
      <w:r>
        <w:rPr>
          <w:b/>
          <w:sz w:val="26"/>
          <w:szCs w:val="26"/>
        </w:rPr>
        <w:t>9.5 环境经济损益分析结论</w:t>
      </w:r>
      <w:bookmarkEnd w:id="425"/>
      <w:bookmarkEnd w:id="426"/>
      <w:bookmarkEnd w:id="427"/>
    </w:p>
    <w:p w14:paraId="050D9845">
      <w:pPr>
        <w:adjustRightInd w:val="0"/>
        <w:snapToGrid w:val="0"/>
        <w:spacing w:line="460" w:lineRule="exact"/>
        <w:ind w:firstLine="520" w:firstLineChars="200"/>
        <w:rPr>
          <w:sz w:val="26"/>
          <w:szCs w:val="26"/>
        </w:rPr>
      </w:pPr>
      <w:r>
        <w:rPr>
          <w:sz w:val="26"/>
          <w:szCs w:val="26"/>
        </w:rPr>
        <w:t>本项目经济效益显著，项目建设符合社会效益、经济效益和环境效益统一的原则。本项目总投资***万元，而本项目经济效益达</w:t>
      </w:r>
      <w:r>
        <w:rPr>
          <w:bCs/>
          <w:sz w:val="26"/>
          <w:szCs w:val="26"/>
        </w:rPr>
        <w:t>2920</w:t>
      </w:r>
      <w:r>
        <w:rPr>
          <w:rFonts w:hint="eastAsia"/>
          <w:bCs/>
          <w:sz w:val="26"/>
          <w:szCs w:val="26"/>
        </w:rPr>
        <w:t>万</w:t>
      </w:r>
      <w:r>
        <w:rPr>
          <w:sz w:val="26"/>
          <w:szCs w:val="26"/>
        </w:rPr>
        <w:t>元。由此可见，工程可衡量的环境损失远远小于工程带来的经济效益、环境效益和社会效益，工程的建设实现了经济效益、环境效益和社会效益的统一。</w:t>
      </w:r>
    </w:p>
    <w:p w14:paraId="75973F8B">
      <w:pPr>
        <w:adjustRightInd w:val="0"/>
        <w:snapToGrid w:val="0"/>
        <w:spacing w:line="460" w:lineRule="exact"/>
        <w:ind w:firstLine="520" w:firstLineChars="200"/>
        <w:rPr>
          <w:sz w:val="26"/>
          <w:szCs w:val="26"/>
        </w:rPr>
      </w:pPr>
      <w:r>
        <w:rPr>
          <w:sz w:val="26"/>
          <w:szCs w:val="26"/>
        </w:rPr>
        <w:t>本项目的实施，可以改善用气地区能源结构，</w:t>
      </w:r>
      <w:r>
        <w:rPr>
          <w:rFonts w:hint="eastAsia"/>
          <w:sz w:val="26"/>
          <w:szCs w:val="26"/>
        </w:rPr>
        <w:t>天然气</w:t>
      </w:r>
      <w:r>
        <w:rPr>
          <w:sz w:val="26"/>
          <w:szCs w:val="26"/>
        </w:rPr>
        <w:t>替代煤炭燃烧，减少因燃煤造成的环境污染，改善大气环境质量，用管道输送</w:t>
      </w:r>
      <w:r>
        <w:rPr>
          <w:rFonts w:hint="eastAsia"/>
          <w:sz w:val="26"/>
          <w:szCs w:val="26"/>
        </w:rPr>
        <w:t>天然气</w:t>
      </w:r>
      <w:r>
        <w:rPr>
          <w:sz w:val="26"/>
          <w:szCs w:val="26"/>
        </w:rPr>
        <w:t>可以减少运输带来的环境污染。本项目对环境的影响，从长远角度考虑，有利于环境质量改善，正面影响大于负面影响；</w:t>
      </w:r>
      <w:r>
        <w:rPr>
          <w:rFonts w:hint="eastAsia"/>
          <w:sz w:val="26"/>
          <w:szCs w:val="26"/>
        </w:rPr>
        <w:t>天然气</w:t>
      </w:r>
      <w:r>
        <w:rPr>
          <w:sz w:val="26"/>
          <w:szCs w:val="26"/>
        </w:rPr>
        <w:t>的应用，对提高人民生活质量、加快国民经济的发展产生积极作用，同时会为社会上缴大量税金，社会效益明显。本项目建设是可行的，符合社会、经济与环境协调发展的原则。</w:t>
      </w:r>
    </w:p>
    <w:p w14:paraId="466DA557">
      <w:pPr>
        <w:adjustRightInd w:val="0"/>
        <w:snapToGrid w:val="0"/>
        <w:spacing w:line="460" w:lineRule="exact"/>
        <w:ind w:firstLine="520" w:firstLineChars="200"/>
        <w:rPr>
          <w:sz w:val="26"/>
          <w:szCs w:val="26"/>
        </w:rPr>
      </w:pPr>
    </w:p>
    <w:p w14:paraId="776CDF88">
      <w:pPr>
        <w:sectPr>
          <w:pgSz w:w="11906" w:h="16838"/>
          <w:pgMar w:top="1440" w:right="1800" w:bottom="1440" w:left="1800" w:header="1304" w:footer="1247" w:gutter="0"/>
          <w:cols w:space="425" w:num="1"/>
          <w:docGrid w:linePitch="312" w:charSpace="0"/>
        </w:sectPr>
      </w:pPr>
    </w:p>
    <w:p w14:paraId="26C857F3">
      <w:pPr>
        <w:adjustRightInd w:val="0"/>
        <w:snapToGrid w:val="0"/>
        <w:spacing w:before="240" w:beforeLines="100" w:after="240" w:afterLines="100"/>
        <w:jc w:val="center"/>
        <w:outlineLvl w:val="0"/>
        <w:rPr>
          <w:b/>
          <w:bCs/>
          <w:sz w:val="32"/>
          <w:szCs w:val="32"/>
        </w:rPr>
      </w:pPr>
      <w:bookmarkStart w:id="428" w:name="_Toc165810677"/>
      <w:bookmarkStart w:id="429" w:name="_Toc165809776"/>
      <w:bookmarkStart w:id="430" w:name="_Toc91161352"/>
      <w:bookmarkStart w:id="431" w:name="_Toc219907687"/>
      <w:r>
        <w:rPr>
          <w:b/>
          <w:bCs/>
          <w:sz w:val="32"/>
          <w:szCs w:val="32"/>
        </w:rPr>
        <w:t>10 环境管理与监测计划</w:t>
      </w:r>
      <w:bookmarkEnd w:id="428"/>
      <w:bookmarkEnd w:id="429"/>
      <w:bookmarkEnd w:id="430"/>
      <w:bookmarkEnd w:id="431"/>
    </w:p>
    <w:p w14:paraId="6EE2BC59">
      <w:pPr>
        <w:snapToGrid w:val="0"/>
        <w:spacing w:line="460" w:lineRule="exact"/>
        <w:ind w:firstLine="520" w:firstLineChars="200"/>
        <w:rPr>
          <w:sz w:val="26"/>
          <w:szCs w:val="26"/>
        </w:rPr>
      </w:pPr>
      <w:r>
        <w:rPr>
          <w:sz w:val="26"/>
          <w:szCs w:val="26"/>
        </w:rPr>
        <w:t>本章将根据工程在施工期和试采期的环境污染特征，提出施工期和试采期的环境管理、环境监测计划的具体内容。</w:t>
      </w:r>
    </w:p>
    <w:p w14:paraId="0B608F95">
      <w:pPr>
        <w:pStyle w:val="1059"/>
        <w:rPr>
          <w:rFonts w:cs="Times New Roman"/>
        </w:rPr>
      </w:pPr>
      <w:bookmarkStart w:id="432" w:name="_Toc219907688"/>
      <w:bookmarkStart w:id="433" w:name="_Toc165809777"/>
      <w:bookmarkStart w:id="434" w:name="_Toc165810678"/>
      <w:bookmarkStart w:id="435" w:name="_Toc91161353"/>
      <w:r>
        <w:rPr>
          <w:rFonts w:cs="Times New Roman"/>
        </w:rPr>
        <w:t>10.1 环境保护机构</w:t>
      </w:r>
      <w:bookmarkEnd w:id="432"/>
      <w:bookmarkEnd w:id="433"/>
      <w:bookmarkEnd w:id="434"/>
      <w:bookmarkEnd w:id="435"/>
    </w:p>
    <w:p w14:paraId="1270F450">
      <w:pPr>
        <w:snapToGrid w:val="0"/>
        <w:spacing w:line="460" w:lineRule="exact"/>
        <w:ind w:firstLine="520" w:firstLineChars="200"/>
        <w:rPr>
          <w:sz w:val="26"/>
          <w:szCs w:val="26"/>
        </w:rPr>
      </w:pPr>
      <w:r>
        <w:rPr>
          <w:sz w:val="26"/>
          <w:szCs w:val="26"/>
        </w:rPr>
        <w:t>本工程由中国石油化工股份有限公司西南油气分公司采气二厂负责建设和管理。建设单位建立有完善的HSE管理体系，有专人负责监督和管理工程施工期与试采期的环境保护措施的制定、落实及环境工程的施工监督、检查与验收，负责试采期的环境监测、事故防范和环境保护管理。</w:t>
      </w:r>
    </w:p>
    <w:p w14:paraId="125968D9">
      <w:pPr>
        <w:pStyle w:val="1059"/>
        <w:rPr>
          <w:rFonts w:cs="Times New Roman"/>
        </w:rPr>
      </w:pPr>
      <w:bookmarkStart w:id="436" w:name="_Toc165810679"/>
      <w:bookmarkStart w:id="437" w:name="_Toc91161354"/>
      <w:bookmarkStart w:id="438" w:name="_Toc165809778"/>
      <w:bookmarkStart w:id="439" w:name="_Toc219907689"/>
      <w:r>
        <w:rPr>
          <w:rFonts w:cs="Times New Roman"/>
        </w:rPr>
        <w:t>10.2 HSE管理体系</w:t>
      </w:r>
      <w:bookmarkEnd w:id="436"/>
      <w:bookmarkEnd w:id="437"/>
      <w:bookmarkEnd w:id="438"/>
      <w:bookmarkEnd w:id="439"/>
    </w:p>
    <w:p w14:paraId="0B1800C3">
      <w:pPr>
        <w:snapToGrid w:val="0"/>
        <w:spacing w:line="460" w:lineRule="exact"/>
        <w:ind w:firstLine="520" w:firstLineChars="200"/>
        <w:rPr>
          <w:sz w:val="26"/>
          <w:szCs w:val="26"/>
        </w:rPr>
      </w:pPr>
      <w:r>
        <w:rPr>
          <w:sz w:val="26"/>
          <w:szCs w:val="26"/>
        </w:rPr>
        <w:t>中国石油化工股份有限公司采气二厂的安全、环境与健康管理体系(简称为HSE体系)是按：规划（PLAN）—实施（DO）—验证（CHECK）—改进（ACTION）运行模式来建立的，即PDCA模式，HSE管理系统见</w:t>
      </w:r>
      <w:r>
        <w:rPr>
          <w:sz w:val="26"/>
          <w:szCs w:val="26"/>
          <w:u w:val="single"/>
        </w:rPr>
        <w:t>图10.2-1</w:t>
      </w:r>
      <w:r>
        <w:rPr>
          <w:sz w:val="26"/>
          <w:szCs w:val="26"/>
        </w:rPr>
        <w:t>。</w:t>
      </w:r>
    </w:p>
    <w:p w14:paraId="32E1E799">
      <w:pPr>
        <w:pStyle w:val="1066"/>
        <w:ind w:firstLine="520"/>
        <w:rPr>
          <w:rFonts w:cs="Times New Roman"/>
        </w:rPr>
      </w:pPr>
    </w:p>
    <w:p w14:paraId="1F7E993F">
      <w:pPr>
        <w:snapToGrid w:val="0"/>
        <w:jc w:val="center"/>
        <w:rPr>
          <w:sz w:val="26"/>
          <w:szCs w:val="26"/>
        </w:rPr>
      </w:pPr>
      <w:r>
        <w:rPr>
          <w:b/>
          <w:kern w:val="0"/>
        </w:rPr>
        <w:drawing>
          <wp:inline distT="0" distB="0" distL="0" distR="0">
            <wp:extent cx="3482975" cy="3251835"/>
            <wp:effectExtent l="0" t="0" r="3175" b="571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a:xfrm>
                      <a:off x="0" y="0"/>
                      <a:ext cx="3482975" cy="3251835"/>
                    </a:xfrm>
                    <a:prstGeom prst="rect">
                      <a:avLst/>
                    </a:prstGeom>
                    <a:noFill/>
                    <a:ln>
                      <a:noFill/>
                    </a:ln>
                  </pic:spPr>
                </pic:pic>
              </a:graphicData>
            </a:graphic>
          </wp:inline>
        </w:drawing>
      </w:r>
    </w:p>
    <w:p w14:paraId="56C9D65C">
      <w:pPr>
        <w:snapToGrid w:val="0"/>
        <w:jc w:val="center"/>
        <w:rPr>
          <w:b/>
          <w:bCs/>
          <w:sz w:val="26"/>
          <w:szCs w:val="26"/>
          <w:u w:val="single"/>
        </w:rPr>
      </w:pPr>
      <w:r>
        <w:rPr>
          <w:b/>
          <w:bCs/>
          <w:sz w:val="26"/>
          <w:szCs w:val="26"/>
          <w:u w:val="single"/>
        </w:rPr>
        <w:t>图10.2-1  HSE管理系统</w:t>
      </w:r>
    </w:p>
    <w:p w14:paraId="18316469">
      <w:pPr>
        <w:pStyle w:val="1066"/>
        <w:ind w:firstLine="520"/>
        <w:rPr>
          <w:rFonts w:cs="Times New Roman"/>
        </w:rPr>
      </w:pPr>
    </w:p>
    <w:p w14:paraId="39E5D395">
      <w:pPr>
        <w:snapToGrid w:val="0"/>
        <w:spacing w:line="460" w:lineRule="exact"/>
        <w:ind w:firstLine="522" w:firstLineChars="200"/>
        <w:outlineLvl w:val="1"/>
        <w:rPr>
          <w:b/>
          <w:bCs/>
          <w:sz w:val="26"/>
          <w:szCs w:val="26"/>
        </w:rPr>
      </w:pPr>
      <w:bookmarkStart w:id="440" w:name="_Toc165809779"/>
      <w:bookmarkStart w:id="441" w:name="_Toc219907690"/>
      <w:bookmarkStart w:id="442" w:name="_Toc165810680"/>
      <w:r>
        <w:rPr>
          <w:b/>
          <w:bCs/>
          <w:sz w:val="26"/>
          <w:szCs w:val="26"/>
        </w:rPr>
        <w:t>10.3 本项目HSE管理体系</w:t>
      </w:r>
      <w:bookmarkEnd w:id="440"/>
      <w:bookmarkEnd w:id="441"/>
      <w:bookmarkEnd w:id="442"/>
    </w:p>
    <w:p w14:paraId="40F2C0E3">
      <w:pPr>
        <w:snapToGrid w:val="0"/>
        <w:spacing w:line="460" w:lineRule="exact"/>
        <w:ind w:firstLine="520" w:firstLineChars="200"/>
        <w:rPr>
          <w:sz w:val="26"/>
          <w:szCs w:val="26"/>
        </w:rPr>
      </w:pPr>
      <w:r>
        <w:rPr>
          <w:sz w:val="26"/>
          <w:szCs w:val="26"/>
        </w:rPr>
        <w:t>结合本项目实际，建设单位应建立HSE管理体系，包括员工健康管理、交通安全管理、应急管理、承包商安全管理、事故调查与分析、环境监督与控制等。</w:t>
      </w:r>
    </w:p>
    <w:p w14:paraId="3BDEA26D">
      <w:pPr>
        <w:snapToGrid w:val="0"/>
        <w:spacing w:line="460" w:lineRule="exact"/>
        <w:ind w:firstLine="520" w:firstLineChars="200"/>
        <w:rPr>
          <w:sz w:val="26"/>
          <w:szCs w:val="26"/>
        </w:rPr>
      </w:pPr>
      <w:r>
        <w:rPr>
          <w:sz w:val="26"/>
          <w:szCs w:val="26"/>
        </w:rPr>
        <w:t>在项目的建设和试采期间，所有雇用的承包商都应该采用HSE管理体系，对项目执行过程中员工健康、安全及环境进行有效管理，并接受本项目HSE管理体系，参与无事故无伤害（IIF）和优良作业（OE）的定期培训，达到相应的审计要求。</w:t>
      </w:r>
    </w:p>
    <w:p w14:paraId="670A00E5">
      <w:pPr>
        <w:adjustRightInd w:val="0"/>
        <w:snapToGrid w:val="0"/>
        <w:spacing w:line="460" w:lineRule="exact"/>
        <w:ind w:firstLine="522" w:firstLineChars="200"/>
        <w:outlineLvl w:val="1"/>
        <w:rPr>
          <w:b/>
          <w:bCs/>
          <w:sz w:val="26"/>
          <w:szCs w:val="26"/>
        </w:rPr>
      </w:pPr>
      <w:bookmarkStart w:id="443" w:name="_Toc104907182"/>
      <w:bookmarkStart w:id="444" w:name="_Toc219907691"/>
      <w:bookmarkStart w:id="445" w:name="_Toc165809780"/>
      <w:bookmarkStart w:id="446" w:name="_Toc165810681"/>
      <w:r>
        <w:rPr>
          <w:b/>
          <w:bCs/>
          <w:sz w:val="26"/>
          <w:szCs w:val="26"/>
        </w:rPr>
        <w:t>10.4 HSE管理体系</w:t>
      </w:r>
      <w:bookmarkEnd w:id="443"/>
      <w:bookmarkEnd w:id="444"/>
      <w:bookmarkEnd w:id="445"/>
      <w:bookmarkEnd w:id="446"/>
    </w:p>
    <w:p w14:paraId="05D12E1B">
      <w:pPr>
        <w:adjustRightInd w:val="0"/>
        <w:snapToGrid w:val="0"/>
        <w:spacing w:line="460" w:lineRule="exact"/>
        <w:ind w:firstLine="520" w:firstLineChars="200"/>
        <w:rPr>
          <w:sz w:val="26"/>
          <w:szCs w:val="26"/>
        </w:rPr>
      </w:pPr>
      <w:r>
        <w:rPr>
          <w:sz w:val="26"/>
          <w:szCs w:val="26"/>
        </w:rPr>
        <w:t>建设单位必须在现有的HSE管理体系及环境监控制度下，对建设项目进行HSE全面管理，保证工程在建设和运营过程中的各项工作都受到有效的环境管理和环境监控。</w:t>
      </w:r>
    </w:p>
    <w:p w14:paraId="44E27E47">
      <w:pPr>
        <w:adjustRightInd w:val="0"/>
        <w:snapToGrid w:val="0"/>
        <w:spacing w:line="460" w:lineRule="exact"/>
        <w:ind w:firstLine="520" w:firstLineChars="200"/>
        <w:rPr>
          <w:sz w:val="26"/>
          <w:szCs w:val="26"/>
        </w:rPr>
      </w:pPr>
      <w:r>
        <w:rPr>
          <w:sz w:val="26"/>
          <w:szCs w:val="26"/>
        </w:rPr>
        <w:t>本项目施工活动在野外，为最大限度地减少野外施工对自然生态环境和农业生态环境的破坏，建设单位必须制定严格的HSE管理体制，并加强HSE宣传，严格执行各项管理措施，实施各作业环节的HSE审计。</w:t>
      </w:r>
    </w:p>
    <w:p w14:paraId="401333AC">
      <w:pPr>
        <w:adjustRightInd w:val="0"/>
        <w:snapToGrid w:val="0"/>
        <w:spacing w:line="460" w:lineRule="exact"/>
        <w:ind w:firstLine="522" w:firstLineChars="200"/>
        <w:outlineLvl w:val="1"/>
        <w:rPr>
          <w:b/>
          <w:bCs/>
          <w:sz w:val="26"/>
          <w:szCs w:val="26"/>
        </w:rPr>
      </w:pPr>
      <w:bookmarkStart w:id="447" w:name="_Toc165809781"/>
      <w:bookmarkStart w:id="448" w:name="_Toc219907692"/>
      <w:bookmarkStart w:id="449" w:name="_Toc104907183"/>
      <w:bookmarkStart w:id="450" w:name="_Toc165810682"/>
      <w:r>
        <w:rPr>
          <w:b/>
          <w:bCs/>
          <w:sz w:val="26"/>
          <w:szCs w:val="26"/>
        </w:rPr>
        <w:t>10.5 承包商管理</w:t>
      </w:r>
      <w:bookmarkEnd w:id="447"/>
      <w:bookmarkEnd w:id="448"/>
      <w:bookmarkEnd w:id="449"/>
      <w:bookmarkEnd w:id="450"/>
    </w:p>
    <w:p w14:paraId="3BB22B12">
      <w:pPr>
        <w:adjustRightInd w:val="0"/>
        <w:snapToGrid w:val="0"/>
        <w:spacing w:line="460" w:lineRule="exact"/>
        <w:ind w:firstLine="520" w:firstLineChars="200"/>
        <w:rPr>
          <w:sz w:val="26"/>
          <w:szCs w:val="26"/>
        </w:rPr>
      </w:pPr>
      <w:r>
        <w:rPr>
          <w:sz w:val="26"/>
          <w:szCs w:val="26"/>
        </w:rPr>
        <w:t>在施工承包合同中，应该包括有关环境保护条款，如生态保护措施，水土保持措施，施工设备排放的废气、噪声控制措施和环境保护目标，环境监测和监控措施，环保专项资金的落实等。建设单位在与承包商签订经济合同的同时，应与承包商签订《HSE管理合同》，明确建设单位与承包商的HSE管理权利、责任和义务。</w:t>
      </w:r>
    </w:p>
    <w:p w14:paraId="3D2B265C">
      <w:pPr>
        <w:adjustRightInd w:val="0"/>
        <w:snapToGrid w:val="0"/>
        <w:spacing w:line="460" w:lineRule="exact"/>
        <w:ind w:firstLine="522" w:firstLineChars="200"/>
        <w:outlineLvl w:val="1"/>
        <w:rPr>
          <w:b/>
          <w:bCs/>
          <w:sz w:val="26"/>
          <w:szCs w:val="26"/>
        </w:rPr>
      </w:pPr>
      <w:bookmarkStart w:id="451" w:name="_Toc165809782"/>
      <w:bookmarkStart w:id="452" w:name="_Toc219907693"/>
      <w:bookmarkStart w:id="453" w:name="_Toc104907184"/>
      <w:bookmarkStart w:id="454" w:name="_Toc165810683"/>
      <w:r>
        <w:rPr>
          <w:b/>
          <w:bCs/>
          <w:sz w:val="26"/>
          <w:szCs w:val="26"/>
        </w:rPr>
        <w:t>10.6 施工期环境管理建议</w:t>
      </w:r>
      <w:bookmarkEnd w:id="451"/>
      <w:bookmarkEnd w:id="452"/>
      <w:bookmarkEnd w:id="453"/>
      <w:bookmarkEnd w:id="454"/>
    </w:p>
    <w:p w14:paraId="3B6B6293">
      <w:pPr>
        <w:adjustRightInd w:val="0"/>
        <w:snapToGrid w:val="0"/>
        <w:spacing w:line="460" w:lineRule="exact"/>
        <w:ind w:firstLine="522" w:firstLineChars="200"/>
        <w:outlineLvl w:val="2"/>
        <w:rPr>
          <w:b/>
          <w:bCs/>
          <w:sz w:val="26"/>
          <w:szCs w:val="26"/>
        </w:rPr>
      </w:pPr>
      <w:bookmarkStart w:id="455" w:name="_Toc165810684"/>
      <w:r>
        <w:rPr>
          <w:b/>
          <w:bCs/>
          <w:sz w:val="26"/>
          <w:szCs w:val="26"/>
        </w:rPr>
        <w:t>10.6.1 建立有效的环境管理机构</w:t>
      </w:r>
      <w:bookmarkEnd w:id="455"/>
    </w:p>
    <w:p w14:paraId="21B1825D">
      <w:pPr>
        <w:adjustRightInd w:val="0"/>
        <w:snapToGrid w:val="0"/>
        <w:spacing w:line="460" w:lineRule="exact"/>
        <w:ind w:firstLine="520" w:firstLineChars="200"/>
        <w:rPr>
          <w:sz w:val="26"/>
          <w:szCs w:val="26"/>
        </w:rPr>
      </w:pPr>
      <w:r>
        <w:rPr>
          <w:sz w:val="26"/>
          <w:szCs w:val="26"/>
        </w:rPr>
        <w:t>建设方应设专人负责各作业单元HSE管理制度的贯彻执行，主要职责在于监督承包商履行承包合同，监督作业进程。制定作业环境保护规定。根据施工作业合同中有关环保要求和各作业特点，分别制定各项环保措施。如在施工过程中，要求在保证安全和顺利施工的情况下，尽量减少植被、农作物的人为破坏，禁止猎杀野生动物；挖掘出的土石方堆放要选择合适场所，不能堵塞自然排水沟，并修筑必要的挡拦设施以防止水土流失；在车辆运输中，要事先确定路线，防止车辆油料及物料装运泄漏等。</w:t>
      </w:r>
    </w:p>
    <w:p w14:paraId="31E2DEE9">
      <w:pPr>
        <w:adjustRightInd w:val="0"/>
        <w:snapToGrid w:val="0"/>
        <w:spacing w:line="460" w:lineRule="exact"/>
        <w:ind w:firstLine="522" w:firstLineChars="200"/>
        <w:outlineLvl w:val="2"/>
        <w:rPr>
          <w:b/>
          <w:bCs/>
          <w:sz w:val="26"/>
          <w:szCs w:val="26"/>
        </w:rPr>
      </w:pPr>
      <w:bookmarkStart w:id="456" w:name="_Toc165810685"/>
      <w:r>
        <w:rPr>
          <w:b/>
          <w:bCs/>
          <w:sz w:val="26"/>
          <w:szCs w:val="26"/>
        </w:rPr>
        <w:t>10.6.2 建立完善的环保工作计划</w:t>
      </w:r>
      <w:bookmarkEnd w:id="456"/>
    </w:p>
    <w:p w14:paraId="678E622A">
      <w:pPr>
        <w:adjustRightInd w:val="0"/>
        <w:snapToGrid w:val="0"/>
        <w:spacing w:line="460" w:lineRule="exact"/>
        <w:ind w:firstLine="520" w:firstLineChars="200"/>
        <w:rPr>
          <w:sz w:val="26"/>
          <w:szCs w:val="26"/>
        </w:rPr>
      </w:pPr>
      <w:r>
        <w:rPr>
          <w:sz w:val="26"/>
          <w:szCs w:val="26"/>
        </w:rPr>
        <w:t>（1）在施工前制定环境保护规划</w:t>
      </w:r>
    </w:p>
    <w:p w14:paraId="5C58D713">
      <w:pPr>
        <w:adjustRightInd w:val="0"/>
        <w:snapToGrid w:val="0"/>
        <w:spacing w:line="460" w:lineRule="exact"/>
        <w:ind w:firstLine="520" w:firstLineChars="200"/>
        <w:rPr>
          <w:sz w:val="26"/>
          <w:szCs w:val="26"/>
        </w:rPr>
      </w:pPr>
      <w:r>
        <w:rPr>
          <w:sz w:val="26"/>
          <w:szCs w:val="26"/>
        </w:rPr>
        <w:t>收集施工地区现有的自然生态环境、社会环境状况以及当地政府有关环境保护的法规等，作为制定规划的依据。重点考虑生态、野生动物、植物等。</w:t>
      </w:r>
    </w:p>
    <w:p w14:paraId="573FCA5E">
      <w:pPr>
        <w:adjustRightInd w:val="0"/>
        <w:snapToGrid w:val="0"/>
        <w:spacing w:line="460" w:lineRule="exact"/>
        <w:ind w:firstLine="520" w:firstLineChars="200"/>
        <w:rPr>
          <w:sz w:val="26"/>
          <w:szCs w:val="26"/>
        </w:rPr>
      </w:pPr>
      <w:r>
        <w:rPr>
          <w:sz w:val="26"/>
          <w:szCs w:val="26"/>
        </w:rPr>
        <w:t>（2）进行环境保护培训</w:t>
      </w:r>
    </w:p>
    <w:p w14:paraId="45436984">
      <w:pPr>
        <w:adjustRightInd w:val="0"/>
        <w:snapToGrid w:val="0"/>
        <w:spacing w:line="460" w:lineRule="exact"/>
        <w:ind w:firstLine="520" w:firstLineChars="200"/>
        <w:rPr>
          <w:sz w:val="26"/>
          <w:szCs w:val="26"/>
        </w:rPr>
      </w:pPr>
      <w:r>
        <w:rPr>
          <w:sz w:val="26"/>
          <w:szCs w:val="26"/>
        </w:rPr>
        <w:t>在施工前需对全体员工进行环境保护知识和环保意识培训，并结合施工计划提出具体的环保措施。</w:t>
      </w:r>
    </w:p>
    <w:p w14:paraId="4633BFF9">
      <w:pPr>
        <w:adjustRightInd w:val="0"/>
        <w:snapToGrid w:val="0"/>
        <w:spacing w:line="460" w:lineRule="exact"/>
        <w:ind w:firstLine="520" w:firstLineChars="200"/>
        <w:rPr>
          <w:sz w:val="26"/>
          <w:szCs w:val="26"/>
        </w:rPr>
      </w:pPr>
      <w:r>
        <w:rPr>
          <w:sz w:val="26"/>
          <w:szCs w:val="26"/>
        </w:rPr>
        <w:t>（3）紧急情况处理计划</w:t>
      </w:r>
    </w:p>
    <w:p w14:paraId="4A589730">
      <w:pPr>
        <w:adjustRightInd w:val="0"/>
        <w:snapToGrid w:val="0"/>
        <w:spacing w:line="460" w:lineRule="exact"/>
        <w:ind w:firstLine="520" w:firstLineChars="200"/>
        <w:rPr>
          <w:sz w:val="26"/>
          <w:szCs w:val="26"/>
        </w:rPr>
      </w:pPr>
      <w:r>
        <w:rPr>
          <w:sz w:val="26"/>
          <w:szCs w:val="26"/>
        </w:rPr>
        <w:t>计划中要考虑施工中可能出现的紧急情况，并明确处理紧急情况的协调及提交相关的恢复措施报告。</w:t>
      </w:r>
    </w:p>
    <w:p w14:paraId="43ACDD36">
      <w:pPr>
        <w:adjustRightInd w:val="0"/>
        <w:snapToGrid w:val="0"/>
        <w:spacing w:line="460" w:lineRule="exact"/>
        <w:ind w:firstLine="520" w:firstLineChars="200"/>
        <w:rPr>
          <w:sz w:val="26"/>
          <w:szCs w:val="26"/>
        </w:rPr>
      </w:pPr>
      <w:r>
        <w:rPr>
          <w:sz w:val="26"/>
          <w:szCs w:val="26"/>
        </w:rPr>
        <w:t>（4）施工结束后的恢复计划</w:t>
      </w:r>
    </w:p>
    <w:p w14:paraId="59AF331D">
      <w:pPr>
        <w:adjustRightInd w:val="0"/>
        <w:snapToGrid w:val="0"/>
        <w:spacing w:line="460" w:lineRule="exact"/>
        <w:ind w:firstLine="520" w:firstLineChars="200"/>
        <w:rPr>
          <w:sz w:val="26"/>
          <w:szCs w:val="26"/>
        </w:rPr>
      </w:pPr>
      <w:r>
        <w:rPr>
          <w:sz w:val="26"/>
          <w:szCs w:val="26"/>
        </w:rPr>
        <w:t>施工前必须制定恢复计划，主要包括：收集所有的施工材料废弃物和生活废弃物，尽量恢复工区内的自然排水通道，营地拆出后不留废弃物品，并对现场作业环境和营地环境恢复情况进行回访等。</w:t>
      </w:r>
    </w:p>
    <w:p w14:paraId="3148B8DA">
      <w:pPr>
        <w:adjustRightInd w:val="0"/>
        <w:snapToGrid w:val="0"/>
        <w:spacing w:line="460" w:lineRule="exact"/>
        <w:ind w:firstLine="520" w:firstLineChars="200"/>
        <w:rPr>
          <w:sz w:val="26"/>
          <w:szCs w:val="26"/>
        </w:rPr>
      </w:pPr>
      <w:r>
        <w:rPr>
          <w:sz w:val="26"/>
          <w:szCs w:val="26"/>
        </w:rPr>
        <w:t>（5）试采期管理计划</w:t>
      </w:r>
    </w:p>
    <w:p w14:paraId="4DE84A74">
      <w:pPr>
        <w:adjustRightInd w:val="0"/>
        <w:snapToGrid w:val="0"/>
        <w:spacing w:line="460" w:lineRule="exact"/>
        <w:ind w:firstLine="520" w:firstLineChars="200"/>
        <w:rPr>
          <w:sz w:val="26"/>
          <w:szCs w:val="26"/>
        </w:rPr>
      </w:pPr>
      <w:r>
        <w:rPr>
          <w:sz w:val="26"/>
          <w:szCs w:val="26"/>
        </w:rPr>
        <w:t>施工结束后进入试采期，制定各工程试采期的环境管理计划、巡视计划、隐患整改流程计划、环保措施维护及记录管理计划等。</w:t>
      </w:r>
    </w:p>
    <w:p w14:paraId="637D1403">
      <w:pPr>
        <w:adjustRightInd w:val="0"/>
        <w:snapToGrid w:val="0"/>
        <w:spacing w:line="460" w:lineRule="exact"/>
        <w:ind w:firstLine="522" w:firstLineChars="200"/>
        <w:outlineLvl w:val="2"/>
        <w:rPr>
          <w:b/>
          <w:bCs/>
          <w:sz w:val="26"/>
          <w:szCs w:val="26"/>
        </w:rPr>
      </w:pPr>
      <w:bookmarkStart w:id="457" w:name="_Toc165810686"/>
      <w:r>
        <w:rPr>
          <w:b/>
          <w:bCs/>
          <w:sz w:val="26"/>
          <w:szCs w:val="26"/>
        </w:rPr>
        <w:t>10.6.3 严格执行环境监督和审查制度</w:t>
      </w:r>
      <w:bookmarkEnd w:id="457"/>
    </w:p>
    <w:p w14:paraId="5075A90E">
      <w:pPr>
        <w:adjustRightInd w:val="0"/>
        <w:snapToGrid w:val="0"/>
        <w:spacing w:line="460" w:lineRule="exact"/>
        <w:ind w:firstLine="520" w:firstLineChars="200"/>
        <w:rPr>
          <w:sz w:val="26"/>
          <w:szCs w:val="26"/>
        </w:rPr>
      </w:pPr>
      <w:r>
        <w:rPr>
          <w:sz w:val="26"/>
          <w:szCs w:val="26"/>
        </w:rPr>
        <w:t>（1）全过程的监督</w:t>
      </w:r>
    </w:p>
    <w:p w14:paraId="4CE3627D">
      <w:pPr>
        <w:adjustRightInd w:val="0"/>
        <w:snapToGrid w:val="0"/>
        <w:spacing w:line="460" w:lineRule="exact"/>
        <w:ind w:firstLine="520" w:firstLineChars="200"/>
        <w:rPr>
          <w:sz w:val="26"/>
          <w:szCs w:val="26"/>
        </w:rPr>
      </w:pPr>
      <w:r>
        <w:rPr>
          <w:sz w:val="26"/>
          <w:szCs w:val="26"/>
        </w:rPr>
        <w:t>施工过程中应经常对施工单位及施工状况进行监督核查，保证制定环保规划的实施和对潜在问题的预防，评估环境保护计划实施的效果。</w:t>
      </w:r>
    </w:p>
    <w:p w14:paraId="4A463E89">
      <w:pPr>
        <w:adjustRightInd w:val="0"/>
        <w:snapToGrid w:val="0"/>
        <w:spacing w:line="460" w:lineRule="exact"/>
        <w:ind w:firstLine="520" w:firstLineChars="200"/>
        <w:rPr>
          <w:sz w:val="26"/>
          <w:szCs w:val="26"/>
        </w:rPr>
      </w:pPr>
      <w:r>
        <w:rPr>
          <w:sz w:val="26"/>
          <w:szCs w:val="26"/>
        </w:rPr>
        <w:t>（2）环境保护审查</w:t>
      </w:r>
    </w:p>
    <w:p w14:paraId="03D9E18B">
      <w:pPr>
        <w:adjustRightInd w:val="0"/>
        <w:snapToGrid w:val="0"/>
        <w:spacing w:line="460" w:lineRule="exact"/>
        <w:ind w:firstLine="520" w:firstLineChars="200"/>
        <w:rPr>
          <w:sz w:val="26"/>
          <w:szCs w:val="26"/>
        </w:rPr>
      </w:pPr>
      <w:r>
        <w:rPr>
          <w:sz w:val="26"/>
          <w:szCs w:val="26"/>
        </w:rPr>
        <w:t>在施工完成投入运用后，根据项目环境影响报告，对工程进行环境保护审查，评估环境保护计划实施的效果。</w:t>
      </w:r>
    </w:p>
    <w:p w14:paraId="58AE47D1">
      <w:pPr>
        <w:adjustRightInd w:val="0"/>
        <w:snapToGrid w:val="0"/>
        <w:spacing w:line="460" w:lineRule="exact"/>
        <w:ind w:firstLine="522" w:firstLineChars="200"/>
        <w:outlineLvl w:val="1"/>
        <w:rPr>
          <w:b/>
          <w:bCs/>
          <w:sz w:val="26"/>
          <w:szCs w:val="26"/>
        </w:rPr>
      </w:pPr>
      <w:bookmarkStart w:id="458" w:name="_Toc165809783"/>
      <w:bookmarkStart w:id="459" w:name="_Toc219907694"/>
      <w:bookmarkStart w:id="460" w:name="_Toc104907185"/>
      <w:bookmarkStart w:id="461" w:name="_Toc165810687"/>
      <w:r>
        <w:rPr>
          <w:b/>
          <w:bCs/>
          <w:sz w:val="26"/>
          <w:szCs w:val="26"/>
        </w:rPr>
        <w:t>10.7 试采期环境管理建议</w:t>
      </w:r>
      <w:bookmarkEnd w:id="458"/>
      <w:bookmarkEnd w:id="459"/>
      <w:bookmarkEnd w:id="460"/>
      <w:bookmarkEnd w:id="461"/>
    </w:p>
    <w:p w14:paraId="31061137">
      <w:pPr>
        <w:adjustRightInd w:val="0"/>
        <w:snapToGrid w:val="0"/>
        <w:spacing w:line="460" w:lineRule="exact"/>
        <w:ind w:firstLine="522" w:firstLineChars="200"/>
        <w:outlineLvl w:val="2"/>
        <w:rPr>
          <w:b/>
          <w:bCs/>
          <w:sz w:val="26"/>
          <w:szCs w:val="26"/>
        </w:rPr>
      </w:pPr>
      <w:bookmarkStart w:id="462" w:name="_Toc165810688"/>
      <w:r>
        <w:rPr>
          <w:b/>
          <w:bCs/>
          <w:sz w:val="26"/>
          <w:szCs w:val="26"/>
        </w:rPr>
        <w:t>10.7.1 组织机构</w:t>
      </w:r>
      <w:bookmarkEnd w:id="462"/>
    </w:p>
    <w:p w14:paraId="50CF4139">
      <w:pPr>
        <w:adjustRightInd w:val="0"/>
        <w:snapToGrid w:val="0"/>
        <w:spacing w:line="460" w:lineRule="exact"/>
        <w:ind w:firstLine="520" w:firstLineChars="200"/>
        <w:rPr>
          <w:sz w:val="26"/>
          <w:szCs w:val="26"/>
        </w:rPr>
      </w:pPr>
      <w:r>
        <w:rPr>
          <w:bCs/>
          <w:sz w:val="26"/>
          <w:szCs w:val="26"/>
        </w:rPr>
        <w:t>中国石油化工股份有限公司西南油气分公司采气二厂</w:t>
      </w:r>
      <w:r>
        <w:rPr>
          <w:sz w:val="26"/>
          <w:szCs w:val="26"/>
        </w:rPr>
        <w:t>是项目生产管理单位，也是项目环境保护日常监督管理部门，负责对本项目环评文件执行、“三同时”制度落实情况，负责对试采期的日常环境保护工作进行监督和抽查；负责本项目日常巡查、设备日常维护、污染物产排情况台账、污染物外运联单执行等环境管理工作。</w:t>
      </w:r>
    </w:p>
    <w:p w14:paraId="3A06042B">
      <w:pPr>
        <w:pStyle w:val="1068"/>
        <w:rPr>
          <w:rFonts w:cs="Times New Roman"/>
        </w:rPr>
      </w:pPr>
      <w:bookmarkStart w:id="463" w:name="_Toc165810689"/>
      <w:r>
        <w:rPr>
          <w:rFonts w:cs="Times New Roman"/>
        </w:rPr>
        <w:t>10.7.2 台账管理</w:t>
      </w:r>
      <w:bookmarkEnd w:id="463"/>
    </w:p>
    <w:p w14:paraId="13DAC502">
      <w:pPr>
        <w:adjustRightInd w:val="0"/>
        <w:snapToGrid w:val="0"/>
        <w:spacing w:line="460" w:lineRule="exact"/>
        <w:ind w:firstLine="520" w:firstLineChars="200"/>
        <w:rPr>
          <w:sz w:val="26"/>
          <w:szCs w:val="26"/>
        </w:rPr>
      </w:pPr>
      <w:r>
        <w:rPr>
          <w:sz w:val="26"/>
          <w:szCs w:val="26"/>
        </w:rPr>
        <w:t>根据试采站场运行管理规定要求、场地属地管理要求等行业规定，应对本项目执行人工巡视管理+远程监控管理，建立平台运行台账、产排污台账、污染物处置台账、外运的建立污染物转运联单台账、环保设备实施运行、维护台账，台账建档备查。</w:t>
      </w:r>
    </w:p>
    <w:p w14:paraId="4AC499F8">
      <w:pPr>
        <w:adjustRightInd w:val="0"/>
        <w:snapToGrid w:val="0"/>
        <w:spacing w:line="460" w:lineRule="exact"/>
        <w:ind w:firstLine="522" w:firstLineChars="200"/>
        <w:outlineLvl w:val="2"/>
        <w:rPr>
          <w:b/>
          <w:bCs/>
          <w:sz w:val="26"/>
          <w:szCs w:val="26"/>
        </w:rPr>
      </w:pPr>
      <w:bookmarkStart w:id="464" w:name="_Toc165810690"/>
      <w:r>
        <w:rPr>
          <w:b/>
          <w:bCs/>
          <w:sz w:val="26"/>
          <w:szCs w:val="26"/>
        </w:rPr>
        <w:t>10.7.3 环保设施运行及维护</w:t>
      </w:r>
      <w:bookmarkEnd w:id="464"/>
    </w:p>
    <w:p w14:paraId="73539A6E">
      <w:pPr>
        <w:adjustRightInd w:val="0"/>
        <w:snapToGrid w:val="0"/>
        <w:spacing w:line="460" w:lineRule="exact"/>
        <w:ind w:firstLine="520" w:firstLineChars="200"/>
        <w:rPr>
          <w:sz w:val="26"/>
          <w:szCs w:val="26"/>
        </w:rPr>
      </w:pPr>
      <w:r>
        <w:rPr>
          <w:rFonts w:hint="eastAsia"/>
          <w:sz w:val="26"/>
          <w:szCs w:val="26"/>
        </w:rPr>
        <w:t>本项目试采期环保设备设施运行管理、环保设备设施的维护由中国石油化工股份有限公司西南油气分公司采气二厂统一负责，维护费用纳入公司每年度的安全环保专项资金，按照公司专项资金管理规定支取使用。</w:t>
      </w:r>
    </w:p>
    <w:p w14:paraId="695857E8">
      <w:pPr>
        <w:adjustRightInd w:val="0"/>
        <w:snapToGrid w:val="0"/>
        <w:spacing w:line="460" w:lineRule="exact"/>
        <w:ind w:firstLine="520" w:firstLineChars="200"/>
        <w:rPr>
          <w:sz w:val="26"/>
          <w:szCs w:val="26"/>
        </w:rPr>
      </w:pPr>
      <w:r>
        <w:rPr>
          <w:rFonts w:hint="eastAsia"/>
          <w:sz w:val="26"/>
          <w:szCs w:val="26"/>
        </w:rPr>
        <w:t>采气运营阶段重点监督检查如下环保措施：</w:t>
      </w:r>
    </w:p>
    <w:p w14:paraId="7D31597C">
      <w:pPr>
        <w:pStyle w:val="1381"/>
        <w:ind w:firstLine="520"/>
      </w:pPr>
      <w:r>
        <w:rPr>
          <w:rFonts w:hint="eastAsia"/>
        </w:rPr>
        <w:t>（1）气田水、放空分离液、分子筛冷凝水、检修废水收集、贮存、转输符合环评文件要求，做到废水不外溢，不外排。</w:t>
      </w:r>
    </w:p>
    <w:p w14:paraId="6942F410">
      <w:pPr>
        <w:pStyle w:val="1381"/>
        <w:ind w:firstLine="520"/>
      </w:pPr>
      <w:r>
        <w:rPr>
          <w:rFonts w:hint="eastAsia"/>
        </w:rPr>
        <w:t>（2）</w:t>
      </w:r>
      <w:r>
        <w:rPr>
          <w:rFonts w:hint="eastAsia"/>
          <w:bCs/>
          <w:szCs w:val="26"/>
        </w:rPr>
        <w:t>储罐沉渣、检修废渣、废油及废油桶等危险废物得到合理处置，不产生二次污染。</w:t>
      </w:r>
    </w:p>
    <w:p w14:paraId="4899FA21">
      <w:pPr>
        <w:adjustRightInd w:val="0"/>
        <w:snapToGrid w:val="0"/>
        <w:spacing w:line="460" w:lineRule="exact"/>
        <w:ind w:firstLine="520" w:firstLineChars="200"/>
        <w:rPr>
          <w:sz w:val="26"/>
          <w:szCs w:val="26"/>
        </w:rPr>
      </w:pPr>
      <w:r>
        <w:rPr>
          <w:rFonts w:hint="eastAsia"/>
          <w:sz w:val="26"/>
          <w:szCs w:val="26"/>
        </w:rPr>
        <w:t>（</w:t>
      </w:r>
      <w:r>
        <w:rPr>
          <w:sz w:val="26"/>
          <w:szCs w:val="26"/>
        </w:rPr>
        <w:t>3</w:t>
      </w:r>
      <w:r>
        <w:rPr>
          <w:rFonts w:hint="eastAsia"/>
          <w:sz w:val="26"/>
          <w:szCs w:val="26"/>
        </w:rPr>
        <w:t>）站场自动控制设备设施运转正常，控制措施得力，试采期产生的少量废渣、废气均得到妥善处置，确保无超标排放环境污染事故发生。</w:t>
      </w:r>
    </w:p>
    <w:p w14:paraId="561DA88B">
      <w:pPr>
        <w:pStyle w:val="1059"/>
      </w:pPr>
      <w:bookmarkStart w:id="465" w:name="_Toc207360442"/>
      <w:bookmarkStart w:id="466" w:name="_Toc219907695"/>
      <w:bookmarkStart w:id="467" w:name="_Toc209774531"/>
      <w:r>
        <w:t xml:space="preserve">10.8 </w:t>
      </w:r>
      <w:r>
        <w:rPr>
          <w:rFonts w:hint="eastAsia"/>
        </w:rPr>
        <w:t>退役期管理要求</w:t>
      </w:r>
      <w:bookmarkEnd w:id="465"/>
      <w:bookmarkEnd w:id="466"/>
      <w:bookmarkEnd w:id="467"/>
    </w:p>
    <w:p w14:paraId="4AD7AD32">
      <w:pPr>
        <w:pStyle w:val="1381"/>
        <w:ind w:firstLine="520"/>
      </w:pPr>
      <w:r>
        <w:rPr>
          <w:rFonts w:hint="eastAsia"/>
        </w:rPr>
        <w:t>根据《废弃井及长停井处置指南》（</w:t>
      </w:r>
      <w:r>
        <w:t>SY/T6646-2017</w:t>
      </w:r>
      <w:r>
        <w:rPr>
          <w:rFonts w:hint="eastAsia"/>
        </w:rPr>
        <w:t>）《废弃井封井回填技术指南（试行）》（环办土壤函〔</w:t>
      </w:r>
      <w:r>
        <w:t>2020</w:t>
      </w:r>
      <w:r>
        <w:rPr>
          <w:rFonts w:hint="eastAsia"/>
        </w:rPr>
        <w:t>〕</w:t>
      </w:r>
      <w:r>
        <w:t xml:space="preserve">72 </w:t>
      </w:r>
      <w:r>
        <w:rPr>
          <w:rFonts w:hint="eastAsia"/>
        </w:rPr>
        <w:t>号）等技术要求，气井停采后应对井口进行封堵，废弃钻井按照《废弃井及长停井处置指南》（</w:t>
      </w:r>
      <w:r>
        <w:t>SY/T6646-2017</w:t>
      </w:r>
      <w:r>
        <w:rPr>
          <w:rFonts w:hint="eastAsia"/>
        </w:rPr>
        <w:t>）中</w:t>
      </w:r>
      <w:r>
        <w:t xml:space="preserve">5.3 </w:t>
      </w:r>
      <w:r>
        <w:rPr>
          <w:rFonts w:hint="eastAsia"/>
        </w:rPr>
        <w:t>的封井回填处理要求执行；不要求留存井口的钻井应在封填后按相关规定恢复地貌，并视情况设置标识。要求留存井口的钻井在封填后保留井口套管头，并设置相应的保护装置。气井封填后应安装简易井口、压力表和放气阀，设置井口房。井口应设置统一标识，标注名称、坐标、井口性质、建井时间与建井单位、封井时间与封井施工单位等。含硫井封填后应设立警示标志。</w:t>
      </w:r>
    </w:p>
    <w:p w14:paraId="4F1C22B1">
      <w:pPr>
        <w:pStyle w:val="1381"/>
        <w:ind w:firstLine="520"/>
      </w:pPr>
      <w:r>
        <w:rPr>
          <w:rFonts w:hint="eastAsia"/>
        </w:rPr>
        <w:t>此外，建设单位应按照《四川省建设用地土壤环境管理办法》（川环规〔</w:t>
      </w:r>
      <w:r>
        <w:t>2023</w:t>
      </w:r>
      <w:r>
        <w:rPr>
          <w:rFonts w:hint="eastAsia"/>
        </w:rPr>
        <w:t>〕</w:t>
      </w:r>
      <w:r>
        <w:t xml:space="preserve">5 </w:t>
      </w:r>
      <w:r>
        <w:rPr>
          <w:rFonts w:hint="eastAsia"/>
        </w:rPr>
        <w:t>号），对退役废井所在占地进行土壤污染状况初步调查，编制土壤污染状况初步调查报告，及时上传至建设用地信息管理系统，并报市级生态环境主管部门，由市级生态环境主管部门会同自然资源主管部门组织评审。</w:t>
      </w:r>
    </w:p>
    <w:p w14:paraId="056BBDBE">
      <w:pPr>
        <w:snapToGrid w:val="0"/>
        <w:spacing w:line="460" w:lineRule="exact"/>
        <w:ind w:firstLine="522" w:firstLineChars="200"/>
        <w:outlineLvl w:val="1"/>
        <w:rPr>
          <w:b/>
          <w:bCs/>
          <w:sz w:val="26"/>
          <w:szCs w:val="26"/>
        </w:rPr>
      </w:pPr>
      <w:bookmarkStart w:id="468" w:name="_Toc91161357"/>
      <w:bookmarkStart w:id="469" w:name="_Toc165809784"/>
      <w:bookmarkStart w:id="470" w:name="_Toc219907696"/>
      <w:bookmarkStart w:id="471" w:name="_Toc165810691"/>
      <w:r>
        <w:rPr>
          <w:b/>
          <w:bCs/>
          <w:sz w:val="26"/>
          <w:szCs w:val="26"/>
        </w:rPr>
        <w:t>10.9 环境监测计划</w:t>
      </w:r>
      <w:bookmarkEnd w:id="468"/>
      <w:bookmarkEnd w:id="469"/>
      <w:bookmarkEnd w:id="470"/>
      <w:bookmarkEnd w:id="471"/>
    </w:p>
    <w:p w14:paraId="115AC28C">
      <w:pPr>
        <w:pStyle w:val="1068"/>
        <w:rPr>
          <w:rFonts w:cs="Times New Roman"/>
        </w:rPr>
      </w:pPr>
      <w:bookmarkStart w:id="472" w:name="_Toc165810692"/>
      <w:r>
        <w:rPr>
          <w:rFonts w:cs="Times New Roman"/>
        </w:rPr>
        <w:t>10.9.1 施工期环境监测计划</w:t>
      </w:r>
      <w:bookmarkEnd w:id="472"/>
    </w:p>
    <w:p w14:paraId="61E621E4">
      <w:pPr>
        <w:snapToGrid w:val="0"/>
        <w:spacing w:line="460" w:lineRule="exact"/>
        <w:ind w:firstLine="520" w:firstLineChars="200"/>
        <w:rPr>
          <w:sz w:val="26"/>
          <w:szCs w:val="26"/>
        </w:rPr>
      </w:pPr>
      <w:r>
        <w:rPr>
          <w:sz w:val="26"/>
          <w:szCs w:val="26"/>
        </w:rPr>
        <w:t>施工期的环境监测计划见</w:t>
      </w:r>
      <w:r>
        <w:rPr>
          <w:sz w:val="26"/>
          <w:szCs w:val="26"/>
          <w:u w:val="single"/>
        </w:rPr>
        <w:t>表10.9-1</w:t>
      </w:r>
      <w:r>
        <w:rPr>
          <w:sz w:val="26"/>
          <w:szCs w:val="26"/>
        </w:rPr>
        <w:t>。</w:t>
      </w:r>
    </w:p>
    <w:p w14:paraId="54AF0809">
      <w:pPr>
        <w:adjustRightInd w:val="0"/>
        <w:snapToGrid w:val="0"/>
        <w:ind w:firstLine="520" w:firstLineChars="200"/>
        <w:rPr>
          <w:sz w:val="26"/>
          <w:szCs w:val="26"/>
        </w:rPr>
      </w:pPr>
    </w:p>
    <w:p w14:paraId="59D423CD">
      <w:pPr>
        <w:pStyle w:val="1065"/>
      </w:pPr>
      <w:r>
        <w:t>表10.9-1  施工期环境监测计划</w:t>
      </w:r>
    </w:p>
    <w:tbl>
      <w:tblPr>
        <w:tblStyle w:val="88"/>
        <w:tblW w:w="8519" w:type="dxa"/>
        <w:jc w:val="center"/>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28" w:type="dxa"/>
          <w:bottom w:w="0" w:type="dxa"/>
          <w:right w:w="26" w:type="dxa"/>
        </w:tblCellMar>
      </w:tblPr>
      <w:tblGrid>
        <w:gridCol w:w="944"/>
        <w:gridCol w:w="3486"/>
        <w:gridCol w:w="1701"/>
        <w:gridCol w:w="1134"/>
        <w:gridCol w:w="1254"/>
      </w:tblGrid>
      <w:tr w14:paraId="2814CFAD">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6" w:type="dxa"/>
          </w:tblCellMar>
        </w:tblPrEx>
        <w:trPr>
          <w:trHeight w:val="369" w:hRule="atLeast"/>
          <w:jc w:val="center"/>
        </w:trPr>
        <w:tc>
          <w:tcPr>
            <w:tcW w:w="944" w:type="dxa"/>
            <w:vAlign w:val="center"/>
          </w:tcPr>
          <w:p w14:paraId="3A6E43D8">
            <w:pPr>
              <w:tabs>
                <w:tab w:val="left" w:pos="3800"/>
                <w:tab w:val="center" w:pos="4365"/>
              </w:tabs>
              <w:snapToGrid w:val="0"/>
              <w:jc w:val="center"/>
              <w:rPr>
                <w:sz w:val="22"/>
                <w:szCs w:val="22"/>
              </w:rPr>
            </w:pPr>
            <w:r>
              <w:rPr>
                <w:sz w:val="22"/>
                <w:szCs w:val="22"/>
              </w:rPr>
              <w:t>监测</w:t>
            </w:r>
          </w:p>
          <w:p w14:paraId="332D7D2D">
            <w:pPr>
              <w:tabs>
                <w:tab w:val="left" w:pos="3800"/>
                <w:tab w:val="center" w:pos="4365"/>
              </w:tabs>
              <w:snapToGrid w:val="0"/>
              <w:jc w:val="center"/>
              <w:rPr>
                <w:sz w:val="22"/>
                <w:szCs w:val="22"/>
              </w:rPr>
            </w:pPr>
            <w:r>
              <w:rPr>
                <w:sz w:val="22"/>
                <w:szCs w:val="22"/>
              </w:rPr>
              <w:t>项目</w:t>
            </w:r>
          </w:p>
        </w:tc>
        <w:tc>
          <w:tcPr>
            <w:tcW w:w="3486" w:type="dxa"/>
            <w:vAlign w:val="center"/>
          </w:tcPr>
          <w:p w14:paraId="7327FAAA">
            <w:pPr>
              <w:tabs>
                <w:tab w:val="left" w:pos="3800"/>
                <w:tab w:val="center" w:pos="4365"/>
              </w:tabs>
              <w:snapToGrid w:val="0"/>
              <w:jc w:val="center"/>
              <w:rPr>
                <w:sz w:val="22"/>
                <w:szCs w:val="22"/>
              </w:rPr>
            </w:pPr>
            <w:r>
              <w:rPr>
                <w:sz w:val="22"/>
                <w:szCs w:val="22"/>
              </w:rPr>
              <w:t>监测指标</w:t>
            </w:r>
          </w:p>
        </w:tc>
        <w:tc>
          <w:tcPr>
            <w:tcW w:w="1701" w:type="dxa"/>
            <w:vAlign w:val="center"/>
          </w:tcPr>
          <w:p w14:paraId="5FC84B5C">
            <w:pPr>
              <w:tabs>
                <w:tab w:val="left" w:pos="3800"/>
                <w:tab w:val="center" w:pos="4365"/>
              </w:tabs>
              <w:snapToGrid w:val="0"/>
              <w:jc w:val="center"/>
              <w:rPr>
                <w:sz w:val="22"/>
                <w:szCs w:val="22"/>
              </w:rPr>
            </w:pPr>
            <w:r>
              <w:rPr>
                <w:sz w:val="22"/>
                <w:szCs w:val="22"/>
              </w:rPr>
              <w:t>监测位置</w:t>
            </w:r>
          </w:p>
        </w:tc>
        <w:tc>
          <w:tcPr>
            <w:tcW w:w="1134" w:type="dxa"/>
            <w:vAlign w:val="center"/>
          </w:tcPr>
          <w:p w14:paraId="21FFEF27">
            <w:pPr>
              <w:tabs>
                <w:tab w:val="left" w:pos="3800"/>
                <w:tab w:val="center" w:pos="4365"/>
              </w:tabs>
              <w:snapToGrid w:val="0"/>
              <w:jc w:val="center"/>
              <w:rPr>
                <w:sz w:val="22"/>
                <w:szCs w:val="22"/>
              </w:rPr>
            </w:pPr>
            <w:r>
              <w:rPr>
                <w:sz w:val="22"/>
                <w:szCs w:val="22"/>
              </w:rPr>
              <w:t>工作方式</w:t>
            </w:r>
          </w:p>
        </w:tc>
        <w:tc>
          <w:tcPr>
            <w:tcW w:w="1254" w:type="dxa"/>
            <w:vAlign w:val="center"/>
          </w:tcPr>
          <w:p w14:paraId="72865FC4">
            <w:pPr>
              <w:tabs>
                <w:tab w:val="left" w:pos="3800"/>
                <w:tab w:val="center" w:pos="4365"/>
              </w:tabs>
              <w:snapToGrid w:val="0"/>
              <w:jc w:val="center"/>
              <w:rPr>
                <w:sz w:val="22"/>
                <w:szCs w:val="22"/>
              </w:rPr>
            </w:pPr>
            <w:r>
              <w:rPr>
                <w:sz w:val="22"/>
                <w:szCs w:val="22"/>
              </w:rPr>
              <w:t>监测时间及频率</w:t>
            </w:r>
          </w:p>
        </w:tc>
      </w:tr>
      <w:tr w14:paraId="2297099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6" w:type="dxa"/>
          </w:tblCellMar>
        </w:tblPrEx>
        <w:trPr>
          <w:trHeight w:val="369" w:hRule="atLeast"/>
          <w:jc w:val="center"/>
        </w:trPr>
        <w:tc>
          <w:tcPr>
            <w:tcW w:w="944" w:type="dxa"/>
            <w:vAlign w:val="center"/>
          </w:tcPr>
          <w:p w14:paraId="416FE1DC">
            <w:pPr>
              <w:tabs>
                <w:tab w:val="left" w:pos="3800"/>
                <w:tab w:val="center" w:pos="4365"/>
              </w:tabs>
              <w:snapToGrid w:val="0"/>
              <w:jc w:val="center"/>
              <w:rPr>
                <w:sz w:val="22"/>
                <w:szCs w:val="22"/>
              </w:rPr>
            </w:pPr>
            <w:r>
              <w:rPr>
                <w:sz w:val="22"/>
                <w:szCs w:val="22"/>
              </w:rPr>
              <w:t>事故性</w:t>
            </w:r>
          </w:p>
          <w:p w14:paraId="7C388FBB">
            <w:pPr>
              <w:tabs>
                <w:tab w:val="left" w:pos="3800"/>
                <w:tab w:val="center" w:pos="4365"/>
              </w:tabs>
              <w:snapToGrid w:val="0"/>
              <w:jc w:val="center"/>
              <w:rPr>
                <w:sz w:val="22"/>
                <w:szCs w:val="22"/>
              </w:rPr>
            </w:pPr>
            <w:r>
              <w:rPr>
                <w:sz w:val="22"/>
                <w:szCs w:val="22"/>
              </w:rPr>
              <w:t>监测</w:t>
            </w:r>
          </w:p>
        </w:tc>
        <w:tc>
          <w:tcPr>
            <w:tcW w:w="3486" w:type="dxa"/>
            <w:vAlign w:val="center"/>
          </w:tcPr>
          <w:p w14:paraId="20EEFED5">
            <w:pPr>
              <w:tabs>
                <w:tab w:val="left" w:pos="3800"/>
                <w:tab w:val="center" w:pos="4365"/>
              </w:tabs>
              <w:snapToGrid w:val="0"/>
              <w:jc w:val="center"/>
              <w:rPr>
                <w:sz w:val="22"/>
                <w:szCs w:val="22"/>
              </w:rPr>
            </w:pPr>
            <w:r>
              <w:rPr>
                <w:sz w:val="22"/>
                <w:szCs w:val="22"/>
              </w:rPr>
              <w:t>根据事故性质、事故影响的大小，视具体情况监测大气（TSP）、水（SS、COD、石油类）和噪声等</w:t>
            </w:r>
          </w:p>
        </w:tc>
        <w:tc>
          <w:tcPr>
            <w:tcW w:w="1701" w:type="dxa"/>
            <w:vAlign w:val="center"/>
          </w:tcPr>
          <w:p w14:paraId="0BB2FBA3">
            <w:pPr>
              <w:tabs>
                <w:tab w:val="left" w:pos="3800"/>
                <w:tab w:val="center" w:pos="4365"/>
              </w:tabs>
              <w:snapToGrid w:val="0"/>
              <w:jc w:val="center"/>
              <w:rPr>
                <w:sz w:val="22"/>
                <w:szCs w:val="22"/>
              </w:rPr>
            </w:pPr>
            <w:r>
              <w:rPr>
                <w:sz w:val="22"/>
                <w:szCs w:val="22"/>
              </w:rPr>
              <w:t>事故发生地点</w:t>
            </w:r>
          </w:p>
        </w:tc>
        <w:tc>
          <w:tcPr>
            <w:tcW w:w="1134" w:type="dxa"/>
            <w:vAlign w:val="center"/>
          </w:tcPr>
          <w:p w14:paraId="6C6C4FEA">
            <w:pPr>
              <w:tabs>
                <w:tab w:val="left" w:pos="3800"/>
                <w:tab w:val="center" w:pos="4365"/>
              </w:tabs>
              <w:snapToGrid w:val="0"/>
              <w:jc w:val="center"/>
              <w:rPr>
                <w:sz w:val="22"/>
                <w:szCs w:val="22"/>
              </w:rPr>
            </w:pPr>
            <w:r>
              <w:rPr>
                <w:sz w:val="22"/>
                <w:szCs w:val="22"/>
              </w:rPr>
              <w:t>现场监测</w:t>
            </w:r>
          </w:p>
        </w:tc>
        <w:tc>
          <w:tcPr>
            <w:tcW w:w="1254" w:type="dxa"/>
            <w:vAlign w:val="center"/>
          </w:tcPr>
          <w:p w14:paraId="1242AA96">
            <w:pPr>
              <w:tabs>
                <w:tab w:val="left" w:pos="3800"/>
                <w:tab w:val="center" w:pos="4365"/>
              </w:tabs>
              <w:snapToGrid w:val="0"/>
              <w:jc w:val="center"/>
              <w:rPr>
                <w:sz w:val="22"/>
                <w:szCs w:val="22"/>
              </w:rPr>
            </w:pPr>
            <w:r>
              <w:rPr>
                <w:sz w:val="22"/>
                <w:szCs w:val="22"/>
              </w:rPr>
              <w:t>事故或者环保纠纷时</w:t>
            </w:r>
          </w:p>
        </w:tc>
      </w:tr>
    </w:tbl>
    <w:p w14:paraId="1757E28A">
      <w:pPr>
        <w:pStyle w:val="1066"/>
        <w:ind w:firstLine="520"/>
        <w:rPr>
          <w:rFonts w:cs="Times New Roman"/>
        </w:rPr>
      </w:pPr>
    </w:p>
    <w:p w14:paraId="219A8534">
      <w:pPr>
        <w:spacing w:line="460" w:lineRule="exact"/>
        <w:ind w:firstLine="522" w:firstLineChars="200"/>
        <w:outlineLvl w:val="2"/>
        <w:rPr>
          <w:b/>
          <w:bCs/>
          <w:sz w:val="26"/>
          <w:szCs w:val="26"/>
        </w:rPr>
      </w:pPr>
      <w:bookmarkStart w:id="473" w:name="_Toc165810693"/>
      <w:r>
        <w:rPr>
          <w:b/>
          <w:bCs/>
          <w:sz w:val="26"/>
          <w:szCs w:val="26"/>
        </w:rPr>
        <w:t>10.9.2 试采期环境监测计划</w:t>
      </w:r>
      <w:bookmarkEnd w:id="473"/>
    </w:p>
    <w:p w14:paraId="3FF4D0CA">
      <w:pPr>
        <w:spacing w:line="460" w:lineRule="exact"/>
        <w:ind w:firstLine="520" w:firstLineChars="200"/>
        <w:rPr>
          <w:sz w:val="26"/>
          <w:szCs w:val="26"/>
        </w:rPr>
      </w:pPr>
      <w:r>
        <w:rPr>
          <w:sz w:val="26"/>
          <w:szCs w:val="26"/>
        </w:rPr>
        <w:t>（1）大气监测计划</w:t>
      </w:r>
    </w:p>
    <w:p w14:paraId="2DFAB85D">
      <w:pPr>
        <w:spacing w:line="460" w:lineRule="exact"/>
        <w:ind w:firstLine="520" w:firstLineChars="200"/>
        <w:rPr>
          <w:sz w:val="26"/>
          <w:szCs w:val="26"/>
        </w:rPr>
      </w:pPr>
      <w:r>
        <w:rPr>
          <w:sz w:val="26"/>
          <w:szCs w:val="26"/>
        </w:rPr>
        <w:t>根据《环境影响评价技术导则 大气环境》（HJ 2.2-2018）以及《排污单位自行监测技术指南 陆上石油天然气开采工业》（HJ1248-2022），大气监测计划见</w:t>
      </w:r>
      <w:r>
        <w:rPr>
          <w:sz w:val="26"/>
          <w:szCs w:val="26"/>
          <w:u w:val="single"/>
        </w:rPr>
        <w:t>表10.9-2</w:t>
      </w:r>
      <w:r>
        <w:rPr>
          <w:sz w:val="26"/>
          <w:szCs w:val="26"/>
        </w:rPr>
        <w:t>。</w:t>
      </w:r>
    </w:p>
    <w:p w14:paraId="067F9F9B">
      <w:pPr>
        <w:pStyle w:val="1066"/>
        <w:ind w:firstLine="520"/>
        <w:rPr>
          <w:rFonts w:cs="Times New Roman"/>
        </w:rPr>
      </w:pPr>
    </w:p>
    <w:p w14:paraId="691AAC49">
      <w:pPr>
        <w:jc w:val="center"/>
        <w:rPr>
          <w:sz w:val="26"/>
          <w:szCs w:val="26"/>
        </w:rPr>
      </w:pPr>
      <w:r>
        <w:rPr>
          <w:sz w:val="26"/>
          <w:szCs w:val="26"/>
        </w:rPr>
        <w:t>表10.9-2   大气监测计划</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018"/>
        <w:gridCol w:w="2182"/>
        <w:gridCol w:w="3345"/>
        <w:gridCol w:w="1411"/>
      </w:tblGrid>
      <w:tr w14:paraId="4AA19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dxa"/>
            <w:vAlign w:val="center"/>
          </w:tcPr>
          <w:p w14:paraId="3F506874">
            <w:pPr>
              <w:adjustRightInd w:val="0"/>
              <w:snapToGrid w:val="0"/>
              <w:jc w:val="center"/>
              <w:rPr>
                <w:sz w:val="22"/>
              </w:rPr>
            </w:pPr>
            <w:r>
              <w:rPr>
                <w:sz w:val="22"/>
              </w:rPr>
              <w:t>监测阶段</w:t>
            </w:r>
          </w:p>
        </w:tc>
        <w:tc>
          <w:tcPr>
            <w:tcW w:w="1018" w:type="dxa"/>
            <w:vAlign w:val="center"/>
          </w:tcPr>
          <w:p w14:paraId="0AC3EE41">
            <w:pPr>
              <w:adjustRightInd w:val="0"/>
              <w:snapToGrid w:val="0"/>
              <w:jc w:val="center"/>
              <w:rPr>
                <w:sz w:val="22"/>
              </w:rPr>
            </w:pPr>
            <w:r>
              <w:rPr>
                <w:sz w:val="22"/>
              </w:rPr>
              <w:t>监测对象</w:t>
            </w:r>
          </w:p>
        </w:tc>
        <w:tc>
          <w:tcPr>
            <w:tcW w:w="2182" w:type="dxa"/>
            <w:vAlign w:val="center"/>
          </w:tcPr>
          <w:p w14:paraId="1997EB5D">
            <w:pPr>
              <w:adjustRightInd w:val="0"/>
              <w:snapToGrid w:val="0"/>
              <w:jc w:val="center"/>
              <w:rPr>
                <w:sz w:val="22"/>
              </w:rPr>
            </w:pPr>
            <w:r>
              <w:rPr>
                <w:sz w:val="22"/>
              </w:rPr>
              <w:t>监测点位</w:t>
            </w:r>
          </w:p>
        </w:tc>
        <w:tc>
          <w:tcPr>
            <w:tcW w:w="3345" w:type="dxa"/>
            <w:vAlign w:val="center"/>
          </w:tcPr>
          <w:p w14:paraId="742D07A7">
            <w:pPr>
              <w:adjustRightInd w:val="0"/>
              <w:snapToGrid w:val="0"/>
              <w:jc w:val="center"/>
              <w:rPr>
                <w:sz w:val="22"/>
              </w:rPr>
            </w:pPr>
            <w:r>
              <w:rPr>
                <w:sz w:val="22"/>
              </w:rPr>
              <w:t>监测项目</w:t>
            </w:r>
          </w:p>
        </w:tc>
        <w:tc>
          <w:tcPr>
            <w:tcW w:w="1411" w:type="dxa"/>
            <w:vAlign w:val="center"/>
          </w:tcPr>
          <w:p w14:paraId="7E8B8CB2">
            <w:pPr>
              <w:adjustRightInd w:val="0"/>
              <w:snapToGrid w:val="0"/>
              <w:jc w:val="center"/>
              <w:rPr>
                <w:sz w:val="22"/>
              </w:rPr>
            </w:pPr>
            <w:r>
              <w:rPr>
                <w:sz w:val="22"/>
              </w:rPr>
              <w:t>频次</w:t>
            </w:r>
          </w:p>
        </w:tc>
      </w:tr>
      <w:tr w14:paraId="78F4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dxa"/>
            <w:vMerge w:val="restart"/>
            <w:vAlign w:val="center"/>
          </w:tcPr>
          <w:p w14:paraId="3387ED53">
            <w:pPr>
              <w:adjustRightInd w:val="0"/>
              <w:snapToGrid w:val="0"/>
              <w:jc w:val="center"/>
              <w:rPr>
                <w:sz w:val="22"/>
              </w:rPr>
            </w:pPr>
            <w:r>
              <w:rPr>
                <w:rFonts w:hint="eastAsia"/>
                <w:sz w:val="22"/>
              </w:rPr>
              <w:t>试采期</w:t>
            </w:r>
          </w:p>
        </w:tc>
        <w:tc>
          <w:tcPr>
            <w:tcW w:w="1018" w:type="dxa"/>
            <w:vAlign w:val="center"/>
          </w:tcPr>
          <w:p w14:paraId="00A8629F">
            <w:pPr>
              <w:adjustRightInd w:val="0"/>
              <w:snapToGrid w:val="0"/>
              <w:jc w:val="center"/>
              <w:rPr>
                <w:sz w:val="22"/>
              </w:rPr>
            </w:pPr>
            <w:r>
              <w:rPr>
                <w:sz w:val="22"/>
              </w:rPr>
              <w:t>水套加热炉</w:t>
            </w:r>
          </w:p>
        </w:tc>
        <w:tc>
          <w:tcPr>
            <w:tcW w:w="2182" w:type="dxa"/>
            <w:vAlign w:val="center"/>
          </w:tcPr>
          <w:p w14:paraId="56DC1C97">
            <w:pPr>
              <w:adjustRightInd w:val="0"/>
              <w:snapToGrid w:val="0"/>
              <w:jc w:val="center"/>
              <w:rPr>
                <w:sz w:val="22"/>
              </w:rPr>
            </w:pPr>
            <w:r>
              <w:rPr>
                <w:sz w:val="22"/>
              </w:rPr>
              <w:t>排气筒</w:t>
            </w:r>
          </w:p>
        </w:tc>
        <w:tc>
          <w:tcPr>
            <w:tcW w:w="3345" w:type="dxa"/>
            <w:vAlign w:val="center"/>
          </w:tcPr>
          <w:p w14:paraId="5541BADA">
            <w:pPr>
              <w:adjustRightInd w:val="0"/>
              <w:snapToGrid w:val="0"/>
              <w:jc w:val="center"/>
              <w:rPr>
                <w:sz w:val="22"/>
              </w:rPr>
            </w:pPr>
            <w:r>
              <w:rPr>
                <w:sz w:val="22"/>
              </w:rPr>
              <w:t>颗粒物、</w:t>
            </w:r>
            <w:r>
              <w:rPr>
                <w:rFonts w:hint="eastAsia"/>
                <w:sz w:val="22"/>
              </w:rPr>
              <w:t>二氧化硫、</w:t>
            </w:r>
            <w:r>
              <w:rPr>
                <w:sz w:val="22"/>
              </w:rPr>
              <w:t>氮氧化物、格林曼黑度</w:t>
            </w:r>
          </w:p>
        </w:tc>
        <w:tc>
          <w:tcPr>
            <w:tcW w:w="1411" w:type="dxa"/>
            <w:vAlign w:val="center"/>
          </w:tcPr>
          <w:p w14:paraId="55AA1503">
            <w:pPr>
              <w:adjustRightInd w:val="0"/>
              <w:snapToGrid w:val="0"/>
              <w:jc w:val="center"/>
              <w:rPr>
                <w:sz w:val="22"/>
              </w:rPr>
            </w:pPr>
            <w:r>
              <w:rPr>
                <w:sz w:val="22"/>
              </w:rPr>
              <w:t>1年1次</w:t>
            </w:r>
          </w:p>
        </w:tc>
      </w:tr>
      <w:tr w14:paraId="52A7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dxa"/>
            <w:vMerge w:val="continue"/>
            <w:vAlign w:val="center"/>
          </w:tcPr>
          <w:p w14:paraId="66AC1CE4">
            <w:pPr>
              <w:adjustRightInd w:val="0"/>
              <w:snapToGrid w:val="0"/>
              <w:jc w:val="center"/>
              <w:rPr>
                <w:sz w:val="22"/>
              </w:rPr>
            </w:pPr>
          </w:p>
        </w:tc>
        <w:tc>
          <w:tcPr>
            <w:tcW w:w="1018" w:type="dxa"/>
            <w:vAlign w:val="center"/>
          </w:tcPr>
          <w:p w14:paraId="73DD4173">
            <w:pPr>
              <w:adjustRightInd w:val="0"/>
              <w:snapToGrid w:val="0"/>
              <w:jc w:val="center"/>
              <w:rPr>
                <w:sz w:val="22"/>
              </w:rPr>
            </w:pPr>
            <w:r>
              <w:rPr>
                <w:rFonts w:hint="eastAsia"/>
                <w:bCs/>
                <w:sz w:val="22"/>
              </w:rPr>
              <w:t>企业边界</w:t>
            </w:r>
          </w:p>
        </w:tc>
        <w:tc>
          <w:tcPr>
            <w:tcW w:w="2182" w:type="dxa"/>
            <w:vAlign w:val="center"/>
          </w:tcPr>
          <w:p w14:paraId="0A24C4D4">
            <w:pPr>
              <w:adjustRightInd w:val="0"/>
              <w:snapToGrid w:val="0"/>
              <w:jc w:val="center"/>
              <w:rPr>
                <w:sz w:val="22"/>
              </w:rPr>
            </w:pPr>
            <w:r>
              <w:rPr>
                <w:rFonts w:hint="eastAsia"/>
                <w:sz w:val="22"/>
              </w:rPr>
              <w:t>厂界</w:t>
            </w:r>
          </w:p>
        </w:tc>
        <w:tc>
          <w:tcPr>
            <w:tcW w:w="3345" w:type="dxa"/>
            <w:vAlign w:val="center"/>
          </w:tcPr>
          <w:p w14:paraId="3F9FA9CB">
            <w:pPr>
              <w:adjustRightInd w:val="0"/>
              <w:snapToGrid w:val="0"/>
              <w:jc w:val="center"/>
              <w:rPr>
                <w:sz w:val="22"/>
              </w:rPr>
            </w:pPr>
            <w:r>
              <w:rPr>
                <w:rFonts w:hint="eastAsia"/>
                <w:bCs/>
                <w:sz w:val="22"/>
                <w:szCs w:val="22"/>
              </w:rPr>
              <w:t>非甲烷总烃</w:t>
            </w:r>
          </w:p>
        </w:tc>
        <w:tc>
          <w:tcPr>
            <w:tcW w:w="1411" w:type="dxa"/>
            <w:vAlign w:val="center"/>
          </w:tcPr>
          <w:p w14:paraId="6B41B419">
            <w:pPr>
              <w:adjustRightInd w:val="0"/>
              <w:snapToGrid w:val="0"/>
              <w:jc w:val="center"/>
              <w:rPr>
                <w:sz w:val="22"/>
              </w:rPr>
            </w:pPr>
            <w:r>
              <w:rPr>
                <w:rFonts w:hint="eastAsia"/>
                <w:sz w:val="22"/>
                <w:szCs w:val="22"/>
              </w:rPr>
              <w:t>1季度1次</w:t>
            </w:r>
          </w:p>
        </w:tc>
      </w:tr>
    </w:tbl>
    <w:p w14:paraId="702CC2D5">
      <w:pPr>
        <w:pStyle w:val="1379"/>
        <w:ind w:firstLine="440"/>
      </w:pPr>
    </w:p>
    <w:p w14:paraId="003B6A28">
      <w:pPr>
        <w:adjustRightInd w:val="0"/>
        <w:snapToGrid w:val="0"/>
        <w:spacing w:line="460" w:lineRule="exact"/>
        <w:ind w:firstLine="520" w:firstLineChars="200"/>
        <w:rPr>
          <w:sz w:val="26"/>
          <w:szCs w:val="26"/>
        </w:rPr>
      </w:pPr>
      <w:r>
        <w:rPr>
          <w:sz w:val="26"/>
          <w:szCs w:val="26"/>
        </w:rPr>
        <w:t>（2）噪声环境监测</w:t>
      </w:r>
    </w:p>
    <w:p w14:paraId="02642EEA">
      <w:pPr>
        <w:adjustRightInd w:val="0"/>
        <w:snapToGrid w:val="0"/>
        <w:spacing w:line="460" w:lineRule="exact"/>
        <w:ind w:firstLine="520" w:firstLineChars="200"/>
        <w:rPr>
          <w:sz w:val="26"/>
          <w:szCs w:val="26"/>
        </w:rPr>
      </w:pPr>
      <w:r>
        <w:rPr>
          <w:sz w:val="26"/>
          <w:szCs w:val="26"/>
        </w:rPr>
        <w:t>根据《排污单位自行监测技术指南 陆上石油天然气开采工业》（HJ1248-2022），噪声监测计划见</w:t>
      </w:r>
      <w:r>
        <w:rPr>
          <w:sz w:val="26"/>
          <w:szCs w:val="26"/>
          <w:u w:val="single"/>
        </w:rPr>
        <w:t>表10.9-3</w:t>
      </w:r>
      <w:r>
        <w:rPr>
          <w:sz w:val="26"/>
          <w:szCs w:val="26"/>
        </w:rPr>
        <w:t>。</w:t>
      </w:r>
    </w:p>
    <w:p w14:paraId="58688B31">
      <w:pPr>
        <w:pStyle w:val="1066"/>
        <w:ind w:firstLine="520"/>
        <w:rPr>
          <w:rFonts w:cs="Times New Roman"/>
        </w:rPr>
      </w:pPr>
    </w:p>
    <w:p w14:paraId="3DB0CA41">
      <w:pPr>
        <w:jc w:val="center"/>
        <w:rPr>
          <w:sz w:val="26"/>
          <w:szCs w:val="26"/>
        </w:rPr>
      </w:pPr>
      <w:r>
        <w:rPr>
          <w:sz w:val="26"/>
          <w:szCs w:val="26"/>
        </w:rPr>
        <w:t>表10.9-3   噪声监测计划表</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1609"/>
        <w:gridCol w:w="2327"/>
        <w:gridCol w:w="1454"/>
        <w:gridCol w:w="1968"/>
      </w:tblGrid>
      <w:tr w14:paraId="75A1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0" w:type="dxa"/>
            <w:vAlign w:val="center"/>
          </w:tcPr>
          <w:p w14:paraId="424BF601">
            <w:pPr>
              <w:pStyle w:val="687"/>
            </w:pPr>
            <w:r>
              <w:t>监测阶段</w:t>
            </w:r>
          </w:p>
        </w:tc>
        <w:tc>
          <w:tcPr>
            <w:tcW w:w="1609" w:type="dxa"/>
            <w:vAlign w:val="center"/>
          </w:tcPr>
          <w:p w14:paraId="77296EC2">
            <w:pPr>
              <w:pStyle w:val="687"/>
            </w:pPr>
            <w:r>
              <w:t>监测对象</w:t>
            </w:r>
          </w:p>
        </w:tc>
        <w:tc>
          <w:tcPr>
            <w:tcW w:w="2327" w:type="dxa"/>
            <w:vAlign w:val="center"/>
          </w:tcPr>
          <w:p w14:paraId="0B8B05FC">
            <w:pPr>
              <w:pStyle w:val="687"/>
            </w:pPr>
            <w:r>
              <w:t>监测点位</w:t>
            </w:r>
          </w:p>
        </w:tc>
        <w:tc>
          <w:tcPr>
            <w:tcW w:w="1454" w:type="dxa"/>
            <w:vAlign w:val="center"/>
          </w:tcPr>
          <w:p w14:paraId="6F71519C">
            <w:pPr>
              <w:pStyle w:val="687"/>
            </w:pPr>
            <w:r>
              <w:t>监测项目</w:t>
            </w:r>
          </w:p>
        </w:tc>
        <w:tc>
          <w:tcPr>
            <w:tcW w:w="1968" w:type="dxa"/>
            <w:vAlign w:val="center"/>
          </w:tcPr>
          <w:p w14:paraId="6954CF4C">
            <w:pPr>
              <w:pStyle w:val="687"/>
            </w:pPr>
            <w:r>
              <w:t>监测频次</w:t>
            </w:r>
          </w:p>
        </w:tc>
      </w:tr>
      <w:tr w14:paraId="6B91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0" w:type="dxa"/>
            <w:vAlign w:val="center"/>
          </w:tcPr>
          <w:p w14:paraId="4EC82D6A">
            <w:pPr>
              <w:pStyle w:val="687"/>
            </w:pPr>
            <w:r>
              <w:t>试采期</w:t>
            </w:r>
          </w:p>
        </w:tc>
        <w:tc>
          <w:tcPr>
            <w:tcW w:w="1609" w:type="dxa"/>
            <w:vAlign w:val="center"/>
          </w:tcPr>
          <w:p w14:paraId="708308C2">
            <w:pPr>
              <w:pStyle w:val="687"/>
            </w:pPr>
            <w:r>
              <w:t>场界及环境敏感点</w:t>
            </w:r>
          </w:p>
        </w:tc>
        <w:tc>
          <w:tcPr>
            <w:tcW w:w="2327" w:type="dxa"/>
            <w:vAlign w:val="center"/>
          </w:tcPr>
          <w:p w14:paraId="6DF3DEBA">
            <w:pPr>
              <w:pStyle w:val="687"/>
            </w:pPr>
            <w:r>
              <w:t>试采站场界及投诉点</w:t>
            </w:r>
          </w:p>
        </w:tc>
        <w:tc>
          <w:tcPr>
            <w:tcW w:w="1454" w:type="dxa"/>
            <w:vAlign w:val="center"/>
          </w:tcPr>
          <w:p w14:paraId="3FB48746">
            <w:pPr>
              <w:pStyle w:val="687"/>
            </w:pPr>
            <w:r>
              <w:t>等效声级</w:t>
            </w:r>
          </w:p>
        </w:tc>
        <w:tc>
          <w:tcPr>
            <w:tcW w:w="1968" w:type="dxa"/>
            <w:vAlign w:val="center"/>
          </w:tcPr>
          <w:p w14:paraId="0BB64C18">
            <w:pPr>
              <w:pStyle w:val="687"/>
            </w:pPr>
            <w:r>
              <w:t>投诉期间1次，续两天，昼夜各1次</w:t>
            </w:r>
          </w:p>
        </w:tc>
      </w:tr>
    </w:tbl>
    <w:p w14:paraId="57A5366A">
      <w:pPr>
        <w:pStyle w:val="1066"/>
        <w:ind w:firstLine="520"/>
        <w:rPr>
          <w:rFonts w:cs="Times New Roman"/>
        </w:rPr>
      </w:pPr>
    </w:p>
    <w:p w14:paraId="78255300">
      <w:pPr>
        <w:adjustRightInd w:val="0"/>
        <w:snapToGrid w:val="0"/>
        <w:spacing w:line="460" w:lineRule="exact"/>
        <w:ind w:firstLine="520" w:firstLineChars="200"/>
        <w:rPr>
          <w:sz w:val="26"/>
          <w:szCs w:val="26"/>
        </w:rPr>
      </w:pPr>
      <w:r>
        <w:rPr>
          <w:sz w:val="26"/>
          <w:szCs w:val="26"/>
        </w:rPr>
        <w:t>（3）地下水跟踪监测计划</w:t>
      </w:r>
    </w:p>
    <w:p w14:paraId="3EFB986C">
      <w:pPr>
        <w:pStyle w:val="45"/>
        <w:adjustRightInd w:val="0"/>
        <w:snapToGrid w:val="0"/>
        <w:spacing w:line="460" w:lineRule="exact"/>
        <w:ind w:firstLine="520" w:firstLineChars="200"/>
        <w:rPr>
          <w:sz w:val="26"/>
          <w:szCs w:val="26"/>
        </w:rPr>
      </w:pPr>
      <w:r>
        <w:rPr>
          <w:rFonts w:hint="eastAsia"/>
          <w:sz w:val="26"/>
          <w:szCs w:val="26"/>
        </w:rPr>
        <w:t>根据地下水导则的监测要求，参照《地下水环境监测技术规范》（HJ/T164-2020）、《工业企业土壤和地下水自行监测技术指南（试行）》（HJ 1209—2021）和《排污单位自行监测技术指南 陆上石油天然气开采工业》（HJ 1248 -2022）的要求，在项目评价范围内设置3处地下水跟踪监测点，见</w:t>
      </w:r>
      <w:r>
        <w:rPr>
          <w:rFonts w:hint="eastAsia"/>
          <w:sz w:val="26"/>
          <w:szCs w:val="26"/>
          <w:u w:val="single"/>
        </w:rPr>
        <w:t>表</w:t>
      </w:r>
      <w:r>
        <w:rPr>
          <w:sz w:val="26"/>
          <w:szCs w:val="26"/>
          <w:u w:val="single"/>
        </w:rPr>
        <w:t>10.9-4</w:t>
      </w:r>
      <w:r>
        <w:rPr>
          <w:rFonts w:hint="eastAsia"/>
          <w:sz w:val="26"/>
          <w:szCs w:val="26"/>
        </w:rPr>
        <w:t>。项目管理单位应做好地下水环境跟踪检测报告的分析评价工作，在完成每一期的监测计划之后应公布监测值。</w:t>
      </w:r>
    </w:p>
    <w:p w14:paraId="5513444B">
      <w:pPr>
        <w:pStyle w:val="45"/>
        <w:adjustRightInd w:val="0"/>
        <w:snapToGrid w:val="0"/>
        <w:spacing w:line="460" w:lineRule="exact"/>
        <w:ind w:firstLine="520" w:firstLineChars="200"/>
        <w:rPr>
          <w:sz w:val="26"/>
          <w:szCs w:val="26"/>
        </w:rPr>
      </w:pPr>
      <w:r>
        <w:rPr>
          <w:rFonts w:hint="eastAsia"/>
          <w:sz w:val="26"/>
          <w:szCs w:val="26"/>
        </w:rPr>
        <w:t>水质监测因子：色、嗅、味、pH、石油类、硫化物、氨氮、铅、砷、汞、六价铬、氯化物、溶解性总固体、钡、耗氧量、总硬度、挥发性酚类、COD、石油类、石油烃（C</w:t>
      </w:r>
      <w:r>
        <w:rPr>
          <w:rFonts w:hint="eastAsia"/>
          <w:sz w:val="26"/>
          <w:szCs w:val="26"/>
          <w:vertAlign w:val="subscript"/>
        </w:rPr>
        <w:t>6</w:t>
      </w:r>
      <w:r>
        <w:rPr>
          <w:rFonts w:hint="eastAsia"/>
          <w:sz w:val="26"/>
          <w:szCs w:val="26"/>
        </w:rPr>
        <w:t>~C</w:t>
      </w:r>
      <w:r>
        <w:rPr>
          <w:rFonts w:hint="eastAsia"/>
          <w:sz w:val="26"/>
          <w:szCs w:val="26"/>
          <w:vertAlign w:val="subscript"/>
        </w:rPr>
        <w:t>9</w:t>
      </w:r>
      <w:r>
        <w:rPr>
          <w:rFonts w:hint="eastAsia"/>
          <w:sz w:val="26"/>
          <w:szCs w:val="26"/>
        </w:rPr>
        <w:t>）、石油烃（C</w:t>
      </w:r>
      <w:r>
        <w:rPr>
          <w:rFonts w:hint="eastAsia"/>
          <w:sz w:val="26"/>
          <w:szCs w:val="26"/>
          <w:vertAlign w:val="subscript"/>
        </w:rPr>
        <w:t>10</w:t>
      </w:r>
      <w:r>
        <w:rPr>
          <w:rFonts w:hint="eastAsia"/>
          <w:sz w:val="26"/>
          <w:szCs w:val="26"/>
        </w:rPr>
        <w:t>~C</w:t>
      </w:r>
      <w:r>
        <w:rPr>
          <w:rFonts w:hint="eastAsia"/>
          <w:sz w:val="26"/>
          <w:szCs w:val="26"/>
          <w:vertAlign w:val="subscript"/>
        </w:rPr>
        <w:t>40</w:t>
      </w:r>
      <w:r>
        <w:rPr>
          <w:rFonts w:hint="eastAsia"/>
          <w:sz w:val="26"/>
          <w:szCs w:val="26"/>
        </w:rPr>
        <w:t>）。</w:t>
      </w:r>
    </w:p>
    <w:p w14:paraId="5F2FE203">
      <w:pPr>
        <w:pStyle w:val="45"/>
        <w:adjustRightInd w:val="0"/>
        <w:snapToGrid w:val="0"/>
        <w:spacing w:line="460" w:lineRule="exact"/>
        <w:ind w:firstLine="520" w:firstLineChars="200"/>
        <w:rPr>
          <w:sz w:val="26"/>
          <w:szCs w:val="26"/>
        </w:rPr>
      </w:pPr>
      <w:r>
        <w:rPr>
          <w:rFonts w:hint="eastAsia"/>
          <w:sz w:val="26"/>
          <w:szCs w:val="26"/>
        </w:rPr>
        <w:t>监测频率：试采期每半年对地下水水位和水质各进行一次监测。</w:t>
      </w:r>
    </w:p>
    <w:p w14:paraId="4AFE7517">
      <w:pPr>
        <w:pStyle w:val="1379"/>
        <w:ind w:firstLine="440"/>
      </w:pPr>
    </w:p>
    <w:p w14:paraId="1EDED1B1">
      <w:pPr>
        <w:pStyle w:val="73"/>
        <w:ind w:left="940" w:hanging="520"/>
        <w:jc w:val="center"/>
        <w:rPr>
          <w:sz w:val="26"/>
          <w:szCs w:val="26"/>
        </w:rPr>
      </w:pPr>
      <w:r>
        <w:rPr>
          <w:rFonts w:hint="eastAsia"/>
          <w:sz w:val="26"/>
          <w:szCs w:val="26"/>
        </w:rPr>
        <w:t>表</w:t>
      </w:r>
      <w:r>
        <w:rPr>
          <w:sz w:val="26"/>
          <w:szCs w:val="26"/>
        </w:rPr>
        <w:t xml:space="preserve">10.9-4  </w:t>
      </w:r>
      <w:r>
        <w:rPr>
          <w:rFonts w:hint="eastAsia"/>
          <w:sz w:val="26"/>
          <w:szCs w:val="26"/>
        </w:rPr>
        <w:t>地下水环境跟踪监测点一览表</w:t>
      </w:r>
    </w:p>
    <w:tbl>
      <w:tblPr>
        <w:tblStyle w:val="88"/>
        <w:tblW w:w="5000" w:type="pct"/>
        <w:tblInd w:w="0" w:type="dxa"/>
        <w:tblLayout w:type="fixed"/>
        <w:tblCellMar>
          <w:top w:w="0" w:type="dxa"/>
          <w:left w:w="108" w:type="dxa"/>
          <w:bottom w:w="0" w:type="dxa"/>
          <w:right w:w="108" w:type="dxa"/>
        </w:tblCellMar>
      </w:tblPr>
      <w:tblGrid>
        <w:gridCol w:w="620"/>
        <w:gridCol w:w="1019"/>
        <w:gridCol w:w="1220"/>
        <w:gridCol w:w="887"/>
        <w:gridCol w:w="1963"/>
        <w:gridCol w:w="1417"/>
        <w:gridCol w:w="1821"/>
      </w:tblGrid>
      <w:tr w14:paraId="4C00B086">
        <w:tblPrEx>
          <w:tblCellMar>
            <w:top w:w="0" w:type="dxa"/>
            <w:left w:w="108" w:type="dxa"/>
            <w:bottom w:w="0" w:type="dxa"/>
            <w:right w:w="108" w:type="dxa"/>
          </w:tblCellMar>
        </w:tblPrEx>
        <w:trPr>
          <w:trHeight w:val="285" w:hRule="atLeast"/>
        </w:trPr>
        <w:tc>
          <w:tcPr>
            <w:tcW w:w="346" w:type="pct"/>
            <w:tcBorders>
              <w:top w:val="single" w:color="auto" w:sz="4" w:space="0"/>
              <w:left w:val="single" w:color="auto" w:sz="4" w:space="0"/>
              <w:bottom w:val="single" w:color="auto" w:sz="4" w:space="0"/>
              <w:right w:val="single" w:color="auto" w:sz="4" w:space="0"/>
            </w:tcBorders>
            <w:noWrap/>
            <w:vAlign w:val="center"/>
          </w:tcPr>
          <w:p w14:paraId="651F4113">
            <w:pPr>
              <w:pStyle w:val="951"/>
            </w:pPr>
            <w:r>
              <w:rPr>
                <w:rFonts w:hint="eastAsia" w:ascii="宋体" w:hAnsi="宋体" w:eastAsia="宋体" w:cs="宋体"/>
              </w:rPr>
              <w:t>编号</w:t>
            </w:r>
          </w:p>
        </w:tc>
        <w:tc>
          <w:tcPr>
            <w:tcW w:w="569" w:type="pct"/>
            <w:tcBorders>
              <w:top w:val="single" w:color="auto" w:sz="4" w:space="0"/>
              <w:left w:val="nil"/>
              <w:bottom w:val="single" w:color="auto" w:sz="4" w:space="0"/>
              <w:right w:val="single" w:color="auto" w:sz="4" w:space="0"/>
            </w:tcBorders>
            <w:noWrap/>
            <w:vAlign w:val="center"/>
          </w:tcPr>
          <w:p w14:paraId="7B106491">
            <w:pPr>
              <w:pStyle w:val="951"/>
            </w:pPr>
            <w:r>
              <w:rPr>
                <w:rFonts w:hint="eastAsia" w:ascii="宋体" w:hAnsi="宋体" w:eastAsia="宋体" w:cs="宋体"/>
              </w:rPr>
              <w:t>地理位置</w:t>
            </w:r>
          </w:p>
        </w:tc>
        <w:tc>
          <w:tcPr>
            <w:tcW w:w="682" w:type="pct"/>
            <w:tcBorders>
              <w:top w:val="single" w:color="auto" w:sz="4" w:space="0"/>
              <w:left w:val="nil"/>
              <w:bottom w:val="single" w:color="auto" w:sz="4" w:space="0"/>
              <w:right w:val="single" w:color="auto" w:sz="4" w:space="0"/>
            </w:tcBorders>
            <w:noWrap/>
            <w:vAlign w:val="center"/>
          </w:tcPr>
          <w:p w14:paraId="3EEF19BE">
            <w:pPr>
              <w:pStyle w:val="951"/>
            </w:pPr>
            <w:r>
              <w:rPr>
                <w:rFonts w:hint="eastAsia" w:ascii="宋体" w:hAnsi="宋体" w:eastAsia="宋体" w:cs="宋体"/>
              </w:rPr>
              <w:t>调查点类型</w:t>
            </w:r>
          </w:p>
        </w:tc>
        <w:tc>
          <w:tcPr>
            <w:tcW w:w="496" w:type="pct"/>
            <w:tcBorders>
              <w:top w:val="single" w:color="auto" w:sz="4" w:space="0"/>
              <w:left w:val="nil"/>
              <w:bottom w:val="single" w:color="auto" w:sz="4" w:space="0"/>
              <w:right w:val="single" w:color="auto" w:sz="4" w:space="0"/>
            </w:tcBorders>
            <w:vAlign w:val="center"/>
          </w:tcPr>
          <w:p w14:paraId="75BB6CA8">
            <w:pPr>
              <w:pStyle w:val="951"/>
            </w:pPr>
            <w:r>
              <w:rPr>
                <w:rFonts w:hint="eastAsia" w:ascii="宋体" w:hAnsi="宋体" w:eastAsia="宋体" w:cs="宋体"/>
              </w:rPr>
              <w:t>井深</w:t>
            </w:r>
            <w:r>
              <w:rPr>
                <w:rFonts w:hint="eastAsia"/>
              </w:rPr>
              <w:t>/m</w:t>
            </w:r>
          </w:p>
        </w:tc>
        <w:tc>
          <w:tcPr>
            <w:tcW w:w="1097" w:type="pct"/>
            <w:tcBorders>
              <w:top w:val="single" w:color="auto" w:sz="4" w:space="0"/>
              <w:left w:val="single" w:color="auto" w:sz="4" w:space="0"/>
              <w:bottom w:val="single" w:color="auto" w:sz="4" w:space="0"/>
              <w:right w:val="single" w:color="auto" w:sz="4" w:space="0"/>
            </w:tcBorders>
            <w:noWrap/>
            <w:vAlign w:val="center"/>
          </w:tcPr>
          <w:p w14:paraId="324452AE">
            <w:pPr>
              <w:pStyle w:val="951"/>
            </w:pPr>
            <w:r>
              <w:rPr>
                <w:rFonts w:hint="eastAsia" w:ascii="宋体" w:hAnsi="宋体" w:eastAsia="宋体" w:cs="宋体"/>
              </w:rPr>
              <w:t>含水层</w:t>
            </w:r>
          </w:p>
        </w:tc>
        <w:tc>
          <w:tcPr>
            <w:tcW w:w="792" w:type="pct"/>
            <w:tcBorders>
              <w:top w:val="single" w:color="auto" w:sz="4" w:space="0"/>
              <w:left w:val="nil"/>
              <w:bottom w:val="single" w:color="auto" w:sz="4" w:space="0"/>
              <w:right w:val="single" w:color="auto" w:sz="4" w:space="0"/>
            </w:tcBorders>
            <w:noWrap/>
            <w:vAlign w:val="center"/>
          </w:tcPr>
          <w:p w14:paraId="0224BB8D">
            <w:pPr>
              <w:pStyle w:val="951"/>
            </w:pPr>
            <w:r>
              <w:rPr>
                <w:rFonts w:hint="eastAsia" w:ascii="宋体" w:hAnsi="宋体" w:eastAsia="宋体" w:cs="宋体"/>
              </w:rPr>
              <w:t>与项目位置关系</w:t>
            </w:r>
          </w:p>
        </w:tc>
        <w:tc>
          <w:tcPr>
            <w:tcW w:w="1018" w:type="pct"/>
            <w:tcBorders>
              <w:top w:val="single" w:color="auto" w:sz="4" w:space="0"/>
              <w:left w:val="nil"/>
              <w:bottom w:val="single" w:color="auto" w:sz="4" w:space="0"/>
              <w:right w:val="single" w:color="auto" w:sz="4" w:space="0"/>
            </w:tcBorders>
            <w:noWrap/>
            <w:vAlign w:val="center"/>
          </w:tcPr>
          <w:p w14:paraId="563BB7A2">
            <w:pPr>
              <w:pStyle w:val="951"/>
            </w:pPr>
            <w:r>
              <w:rPr>
                <w:rFonts w:hint="eastAsia" w:ascii="宋体" w:hAnsi="宋体" w:eastAsia="宋体" w:cs="宋体"/>
              </w:rPr>
              <w:t>监测点功能</w:t>
            </w:r>
          </w:p>
        </w:tc>
      </w:tr>
      <w:tr w14:paraId="34476752">
        <w:tblPrEx>
          <w:tblCellMar>
            <w:top w:w="0" w:type="dxa"/>
            <w:left w:w="108" w:type="dxa"/>
            <w:bottom w:w="0" w:type="dxa"/>
            <w:right w:w="108" w:type="dxa"/>
          </w:tblCellMar>
        </w:tblPrEx>
        <w:trPr>
          <w:trHeight w:val="285" w:hRule="atLeast"/>
        </w:trPr>
        <w:tc>
          <w:tcPr>
            <w:tcW w:w="346" w:type="pct"/>
            <w:tcBorders>
              <w:top w:val="nil"/>
              <w:left w:val="single" w:color="auto" w:sz="4" w:space="0"/>
              <w:bottom w:val="single" w:color="auto" w:sz="4" w:space="0"/>
              <w:right w:val="single" w:color="auto" w:sz="4" w:space="0"/>
            </w:tcBorders>
            <w:noWrap/>
            <w:vAlign w:val="center"/>
          </w:tcPr>
          <w:p w14:paraId="5180DA06">
            <w:pPr>
              <w:pStyle w:val="951"/>
              <w:rPr>
                <w:rFonts w:eastAsia="宋体"/>
              </w:rPr>
            </w:pPr>
            <w:r>
              <w:rPr>
                <w:rFonts w:eastAsia="等线"/>
                <w:szCs w:val="22"/>
                <w:lang w:val="en-US" w:bidi="ar"/>
              </w:rPr>
              <w:t>D1</w:t>
            </w:r>
          </w:p>
        </w:tc>
        <w:tc>
          <w:tcPr>
            <w:tcW w:w="569" w:type="pct"/>
            <w:tcBorders>
              <w:top w:val="nil"/>
              <w:left w:val="nil"/>
              <w:bottom w:val="single" w:color="auto" w:sz="4" w:space="0"/>
              <w:right w:val="single" w:color="auto" w:sz="4" w:space="0"/>
            </w:tcBorders>
            <w:noWrap/>
            <w:vAlign w:val="center"/>
          </w:tcPr>
          <w:p w14:paraId="5738EDBF">
            <w:pPr>
              <w:pStyle w:val="951"/>
              <w:rPr>
                <w:rFonts w:eastAsia="宋体"/>
              </w:rPr>
            </w:pPr>
            <w:r>
              <w:rPr>
                <w:rFonts w:hint="eastAsia" w:ascii="宋体" w:hAnsi="宋体" w:eastAsia="宋体" w:cs="宋体"/>
                <w:szCs w:val="22"/>
                <w:lang w:val="en-US" w:bidi="ar"/>
              </w:rPr>
              <w:t>金凤村</w:t>
            </w:r>
          </w:p>
        </w:tc>
        <w:tc>
          <w:tcPr>
            <w:tcW w:w="682" w:type="pct"/>
            <w:tcBorders>
              <w:top w:val="nil"/>
              <w:left w:val="nil"/>
              <w:bottom w:val="single" w:color="auto" w:sz="4" w:space="0"/>
              <w:right w:val="single" w:color="auto" w:sz="4" w:space="0"/>
            </w:tcBorders>
            <w:noWrap/>
            <w:vAlign w:val="center"/>
          </w:tcPr>
          <w:p w14:paraId="3E05A2DC">
            <w:pPr>
              <w:pStyle w:val="951"/>
            </w:pPr>
            <w:r>
              <w:rPr>
                <w:rFonts w:hint="eastAsia" w:ascii="宋体" w:hAnsi="宋体" w:eastAsia="宋体" w:cs="宋体"/>
              </w:rPr>
              <w:t>水井</w:t>
            </w:r>
          </w:p>
        </w:tc>
        <w:tc>
          <w:tcPr>
            <w:tcW w:w="496" w:type="pct"/>
            <w:tcBorders>
              <w:top w:val="single" w:color="auto" w:sz="4" w:space="0"/>
              <w:left w:val="nil"/>
              <w:bottom w:val="single" w:color="auto" w:sz="4" w:space="0"/>
              <w:right w:val="single" w:color="auto" w:sz="4" w:space="0"/>
            </w:tcBorders>
            <w:vAlign w:val="center"/>
          </w:tcPr>
          <w:p w14:paraId="7945B007">
            <w:pPr>
              <w:pStyle w:val="951"/>
              <w:rPr>
                <w:rFonts w:eastAsia="宋体"/>
                <w:lang w:val="en-US"/>
              </w:rPr>
            </w:pPr>
            <w:r>
              <w:rPr>
                <w:rFonts w:hint="eastAsia" w:eastAsia="宋体"/>
                <w:lang w:val="en-US"/>
              </w:rPr>
              <w:t>30</w:t>
            </w:r>
          </w:p>
        </w:tc>
        <w:tc>
          <w:tcPr>
            <w:tcW w:w="1097" w:type="pct"/>
            <w:vMerge w:val="restart"/>
            <w:tcBorders>
              <w:top w:val="nil"/>
              <w:left w:val="single" w:color="auto" w:sz="4" w:space="0"/>
              <w:right w:val="single" w:color="auto" w:sz="4" w:space="0"/>
            </w:tcBorders>
            <w:noWrap/>
            <w:vAlign w:val="center"/>
          </w:tcPr>
          <w:p w14:paraId="017F0225">
            <w:pPr>
              <w:pStyle w:val="951"/>
            </w:pPr>
            <w:r>
              <w:rPr>
                <w:rFonts w:eastAsia="宋体"/>
                <w:szCs w:val="22"/>
                <w:lang w:val="en-US"/>
              </w:rPr>
              <w:t>白龙组基岩风化裂隙水</w:t>
            </w:r>
          </w:p>
        </w:tc>
        <w:tc>
          <w:tcPr>
            <w:tcW w:w="792" w:type="pct"/>
            <w:tcBorders>
              <w:top w:val="nil"/>
              <w:left w:val="nil"/>
              <w:bottom w:val="single" w:color="auto" w:sz="4" w:space="0"/>
              <w:right w:val="single" w:color="auto" w:sz="4" w:space="0"/>
            </w:tcBorders>
            <w:noWrap/>
            <w:vAlign w:val="center"/>
          </w:tcPr>
          <w:p w14:paraId="0081F3D4">
            <w:pPr>
              <w:pStyle w:val="951"/>
              <w:rPr>
                <w:rFonts w:eastAsia="宋体"/>
              </w:rPr>
            </w:pPr>
            <w:r>
              <w:rPr>
                <w:rFonts w:hint="eastAsia" w:eastAsia="宋体"/>
              </w:rPr>
              <w:t>上游</w:t>
            </w:r>
          </w:p>
        </w:tc>
        <w:tc>
          <w:tcPr>
            <w:tcW w:w="1018" w:type="pct"/>
            <w:tcBorders>
              <w:top w:val="nil"/>
              <w:left w:val="nil"/>
              <w:bottom w:val="single" w:color="auto" w:sz="4" w:space="0"/>
              <w:right w:val="single" w:color="auto" w:sz="4" w:space="0"/>
            </w:tcBorders>
            <w:noWrap/>
            <w:vAlign w:val="center"/>
          </w:tcPr>
          <w:p w14:paraId="1473A9D7">
            <w:pPr>
              <w:pStyle w:val="951"/>
            </w:pPr>
            <w:r>
              <w:rPr>
                <w:rFonts w:hint="eastAsia" w:ascii="宋体" w:hAnsi="宋体" w:eastAsia="宋体" w:cs="宋体"/>
              </w:rPr>
              <w:t>背景值监测点</w:t>
            </w:r>
          </w:p>
        </w:tc>
      </w:tr>
      <w:tr w14:paraId="6B55A610">
        <w:tblPrEx>
          <w:tblCellMar>
            <w:top w:w="0" w:type="dxa"/>
            <w:left w:w="108" w:type="dxa"/>
            <w:bottom w:w="0" w:type="dxa"/>
            <w:right w:w="108" w:type="dxa"/>
          </w:tblCellMar>
        </w:tblPrEx>
        <w:trPr>
          <w:trHeight w:val="285" w:hRule="atLeast"/>
        </w:trPr>
        <w:tc>
          <w:tcPr>
            <w:tcW w:w="346" w:type="pct"/>
            <w:tcBorders>
              <w:top w:val="nil"/>
              <w:left w:val="single" w:color="auto" w:sz="4" w:space="0"/>
              <w:bottom w:val="single" w:color="auto" w:sz="4" w:space="0"/>
              <w:right w:val="single" w:color="auto" w:sz="4" w:space="0"/>
            </w:tcBorders>
            <w:noWrap/>
            <w:vAlign w:val="center"/>
          </w:tcPr>
          <w:p w14:paraId="3253878C">
            <w:pPr>
              <w:pStyle w:val="951"/>
              <w:rPr>
                <w:rFonts w:eastAsia="宋体"/>
              </w:rPr>
            </w:pPr>
            <w:r>
              <w:rPr>
                <w:rFonts w:eastAsia="等线"/>
                <w:szCs w:val="22"/>
                <w:lang w:val="en-US" w:bidi="ar"/>
              </w:rPr>
              <w:t>D4</w:t>
            </w:r>
          </w:p>
        </w:tc>
        <w:tc>
          <w:tcPr>
            <w:tcW w:w="569" w:type="pct"/>
            <w:tcBorders>
              <w:top w:val="nil"/>
              <w:left w:val="nil"/>
              <w:bottom w:val="single" w:color="auto" w:sz="4" w:space="0"/>
              <w:right w:val="single" w:color="auto" w:sz="4" w:space="0"/>
            </w:tcBorders>
            <w:noWrap/>
            <w:vAlign w:val="center"/>
          </w:tcPr>
          <w:p w14:paraId="4983E462">
            <w:pPr>
              <w:pStyle w:val="951"/>
            </w:pPr>
            <w:r>
              <w:rPr>
                <w:rFonts w:hint="eastAsia" w:ascii="宋体" w:hAnsi="宋体" w:eastAsia="宋体" w:cs="宋体"/>
                <w:szCs w:val="22"/>
                <w:lang w:val="en-US" w:bidi="ar"/>
              </w:rPr>
              <w:t>金凤村</w:t>
            </w:r>
          </w:p>
        </w:tc>
        <w:tc>
          <w:tcPr>
            <w:tcW w:w="682" w:type="pct"/>
            <w:tcBorders>
              <w:top w:val="nil"/>
              <w:left w:val="nil"/>
              <w:bottom w:val="single" w:color="auto" w:sz="4" w:space="0"/>
              <w:right w:val="single" w:color="auto" w:sz="4" w:space="0"/>
            </w:tcBorders>
            <w:noWrap/>
            <w:vAlign w:val="center"/>
          </w:tcPr>
          <w:p w14:paraId="63DD4F9D">
            <w:pPr>
              <w:pStyle w:val="951"/>
            </w:pPr>
            <w:r>
              <w:rPr>
                <w:rFonts w:hint="eastAsia" w:ascii="宋体" w:hAnsi="宋体" w:eastAsia="宋体" w:cs="宋体"/>
              </w:rPr>
              <w:t>水井</w:t>
            </w:r>
          </w:p>
        </w:tc>
        <w:tc>
          <w:tcPr>
            <w:tcW w:w="496" w:type="pct"/>
            <w:tcBorders>
              <w:top w:val="single" w:color="auto" w:sz="4" w:space="0"/>
              <w:left w:val="nil"/>
              <w:bottom w:val="single" w:color="auto" w:sz="4" w:space="0"/>
              <w:right w:val="single" w:color="auto" w:sz="4" w:space="0"/>
            </w:tcBorders>
            <w:vAlign w:val="center"/>
          </w:tcPr>
          <w:p w14:paraId="3C44319F">
            <w:pPr>
              <w:pStyle w:val="951"/>
              <w:rPr>
                <w:rFonts w:eastAsia="宋体"/>
                <w:lang w:val="en-US"/>
              </w:rPr>
            </w:pPr>
            <w:r>
              <w:rPr>
                <w:rFonts w:hint="eastAsia" w:eastAsia="宋体"/>
                <w:lang w:val="en-US"/>
              </w:rPr>
              <w:t>15</w:t>
            </w:r>
          </w:p>
        </w:tc>
        <w:tc>
          <w:tcPr>
            <w:tcW w:w="1097" w:type="pct"/>
            <w:vMerge w:val="continue"/>
            <w:tcBorders>
              <w:left w:val="single" w:color="auto" w:sz="4" w:space="0"/>
              <w:right w:val="single" w:color="auto" w:sz="4" w:space="0"/>
            </w:tcBorders>
            <w:noWrap/>
            <w:vAlign w:val="center"/>
          </w:tcPr>
          <w:p w14:paraId="1F3076B5">
            <w:pPr>
              <w:pStyle w:val="951"/>
            </w:pPr>
          </w:p>
        </w:tc>
        <w:tc>
          <w:tcPr>
            <w:tcW w:w="792" w:type="pct"/>
            <w:tcBorders>
              <w:top w:val="nil"/>
              <w:left w:val="nil"/>
              <w:bottom w:val="single" w:color="auto" w:sz="4" w:space="0"/>
              <w:right w:val="single" w:color="auto" w:sz="4" w:space="0"/>
            </w:tcBorders>
            <w:noWrap/>
            <w:vAlign w:val="center"/>
          </w:tcPr>
          <w:p w14:paraId="2146BE58">
            <w:pPr>
              <w:pStyle w:val="951"/>
              <w:rPr>
                <w:rFonts w:eastAsia="宋体"/>
              </w:rPr>
            </w:pPr>
            <w:r>
              <w:rPr>
                <w:rFonts w:hint="eastAsia" w:eastAsia="宋体"/>
              </w:rPr>
              <w:t>下游</w:t>
            </w:r>
          </w:p>
        </w:tc>
        <w:tc>
          <w:tcPr>
            <w:tcW w:w="1018" w:type="pct"/>
            <w:tcBorders>
              <w:top w:val="nil"/>
              <w:left w:val="nil"/>
              <w:bottom w:val="single" w:color="auto" w:sz="4" w:space="0"/>
              <w:right w:val="single" w:color="auto" w:sz="4" w:space="0"/>
            </w:tcBorders>
            <w:noWrap/>
            <w:vAlign w:val="center"/>
          </w:tcPr>
          <w:p w14:paraId="3200FF79">
            <w:pPr>
              <w:pStyle w:val="951"/>
            </w:pPr>
            <w:r>
              <w:rPr>
                <w:rFonts w:hint="eastAsia" w:ascii="宋体" w:hAnsi="宋体" w:eastAsia="宋体" w:cs="宋体"/>
              </w:rPr>
              <w:t>影响扩散监测点</w:t>
            </w:r>
          </w:p>
        </w:tc>
      </w:tr>
      <w:tr w14:paraId="4C13956A">
        <w:tblPrEx>
          <w:tblCellMar>
            <w:top w:w="0" w:type="dxa"/>
            <w:left w:w="108" w:type="dxa"/>
            <w:bottom w:w="0" w:type="dxa"/>
            <w:right w:w="108" w:type="dxa"/>
          </w:tblCellMar>
        </w:tblPrEx>
        <w:trPr>
          <w:trHeight w:val="285" w:hRule="atLeast"/>
        </w:trPr>
        <w:tc>
          <w:tcPr>
            <w:tcW w:w="346" w:type="pct"/>
            <w:tcBorders>
              <w:top w:val="nil"/>
              <w:left w:val="single" w:color="auto" w:sz="4" w:space="0"/>
              <w:bottom w:val="single" w:color="auto" w:sz="4" w:space="0"/>
              <w:right w:val="single" w:color="auto" w:sz="4" w:space="0"/>
            </w:tcBorders>
            <w:noWrap/>
            <w:vAlign w:val="center"/>
          </w:tcPr>
          <w:p w14:paraId="4FD09D3C">
            <w:pPr>
              <w:pStyle w:val="951"/>
              <w:rPr>
                <w:rFonts w:eastAsia="宋体"/>
              </w:rPr>
            </w:pPr>
            <w:r>
              <w:rPr>
                <w:rFonts w:eastAsia="等线"/>
                <w:szCs w:val="22"/>
                <w:lang w:val="en-US" w:bidi="ar"/>
              </w:rPr>
              <w:t>D5</w:t>
            </w:r>
          </w:p>
        </w:tc>
        <w:tc>
          <w:tcPr>
            <w:tcW w:w="569" w:type="pct"/>
            <w:tcBorders>
              <w:top w:val="nil"/>
              <w:left w:val="nil"/>
              <w:bottom w:val="single" w:color="auto" w:sz="4" w:space="0"/>
              <w:right w:val="single" w:color="auto" w:sz="4" w:space="0"/>
            </w:tcBorders>
            <w:noWrap/>
            <w:vAlign w:val="center"/>
          </w:tcPr>
          <w:p w14:paraId="112CF685">
            <w:pPr>
              <w:pStyle w:val="951"/>
            </w:pPr>
            <w:r>
              <w:rPr>
                <w:rFonts w:hint="eastAsia" w:ascii="宋体" w:hAnsi="宋体" w:eastAsia="宋体" w:cs="宋体"/>
                <w:szCs w:val="22"/>
                <w:lang w:val="en-US" w:bidi="ar"/>
              </w:rPr>
              <w:t>金凤村</w:t>
            </w:r>
          </w:p>
        </w:tc>
        <w:tc>
          <w:tcPr>
            <w:tcW w:w="682" w:type="pct"/>
            <w:tcBorders>
              <w:top w:val="nil"/>
              <w:left w:val="nil"/>
              <w:bottom w:val="single" w:color="auto" w:sz="4" w:space="0"/>
              <w:right w:val="single" w:color="auto" w:sz="4" w:space="0"/>
            </w:tcBorders>
            <w:noWrap/>
            <w:vAlign w:val="center"/>
          </w:tcPr>
          <w:p w14:paraId="04F9F921">
            <w:pPr>
              <w:pStyle w:val="951"/>
            </w:pPr>
            <w:r>
              <w:rPr>
                <w:rFonts w:hint="eastAsia" w:ascii="宋体" w:hAnsi="宋体" w:eastAsia="宋体" w:cs="宋体"/>
              </w:rPr>
              <w:t>水井</w:t>
            </w:r>
          </w:p>
        </w:tc>
        <w:tc>
          <w:tcPr>
            <w:tcW w:w="496" w:type="pct"/>
            <w:tcBorders>
              <w:top w:val="single" w:color="auto" w:sz="4" w:space="0"/>
              <w:left w:val="nil"/>
              <w:bottom w:val="single" w:color="auto" w:sz="4" w:space="0"/>
              <w:right w:val="single" w:color="auto" w:sz="4" w:space="0"/>
            </w:tcBorders>
            <w:vAlign w:val="center"/>
          </w:tcPr>
          <w:p w14:paraId="04D70BEF">
            <w:pPr>
              <w:pStyle w:val="951"/>
              <w:rPr>
                <w:rFonts w:eastAsia="宋体"/>
                <w:lang w:val="en-US"/>
              </w:rPr>
            </w:pPr>
            <w:r>
              <w:rPr>
                <w:rFonts w:hint="eastAsia" w:eastAsia="宋体"/>
                <w:lang w:val="en-US"/>
              </w:rPr>
              <w:t>8</w:t>
            </w:r>
          </w:p>
        </w:tc>
        <w:tc>
          <w:tcPr>
            <w:tcW w:w="1097" w:type="pct"/>
            <w:vMerge w:val="continue"/>
            <w:tcBorders>
              <w:left w:val="single" w:color="auto" w:sz="4" w:space="0"/>
              <w:bottom w:val="single" w:color="auto" w:sz="4" w:space="0"/>
              <w:right w:val="single" w:color="auto" w:sz="4" w:space="0"/>
            </w:tcBorders>
            <w:noWrap/>
            <w:vAlign w:val="center"/>
          </w:tcPr>
          <w:p w14:paraId="48F171FE">
            <w:pPr>
              <w:pStyle w:val="951"/>
            </w:pPr>
          </w:p>
        </w:tc>
        <w:tc>
          <w:tcPr>
            <w:tcW w:w="792" w:type="pct"/>
            <w:tcBorders>
              <w:top w:val="nil"/>
              <w:left w:val="nil"/>
              <w:bottom w:val="single" w:color="auto" w:sz="4" w:space="0"/>
              <w:right w:val="single" w:color="auto" w:sz="4" w:space="0"/>
            </w:tcBorders>
            <w:noWrap/>
            <w:vAlign w:val="center"/>
          </w:tcPr>
          <w:p w14:paraId="71AEF084">
            <w:pPr>
              <w:pStyle w:val="951"/>
              <w:rPr>
                <w:rFonts w:eastAsia="宋体"/>
              </w:rPr>
            </w:pPr>
            <w:r>
              <w:rPr>
                <w:rFonts w:hint="eastAsia" w:eastAsia="宋体"/>
              </w:rPr>
              <w:t>下游</w:t>
            </w:r>
          </w:p>
        </w:tc>
        <w:tc>
          <w:tcPr>
            <w:tcW w:w="1018" w:type="pct"/>
            <w:tcBorders>
              <w:top w:val="nil"/>
              <w:left w:val="nil"/>
              <w:bottom w:val="single" w:color="auto" w:sz="4" w:space="0"/>
              <w:right w:val="single" w:color="auto" w:sz="4" w:space="0"/>
            </w:tcBorders>
            <w:noWrap/>
            <w:vAlign w:val="center"/>
          </w:tcPr>
          <w:p w14:paraId="5F4DF096">
            <w:pPr>
              <w:pStyle w:val="951"/>
            </w:pPr>
            <w:r>
              <w:rPr>
                <w:rFonts w:hint="eastAsia" w:ascii="宋体" w:hAnsi="宋体" w:eastAsia="宋体" w:cs="宋体"/>
              </w:rPr>
              <w:t>影响跟踪监测点</w:t>
            </w:r>
          </w:p>
        </w:tc>
      </w:tr>
    </w:tbl>
    <w:p w14:paraId="2657E511">
      <w:pPr>
        <w:ind w:firstLine="200" w:firstLineChars="100"/>
        <w:rPr>
          <w:sz w:val="20"/>
        </w:rPr>
      </w:pPr>
      <w:r>
        <w:rPr>
          <w:rFonts w:hint="eastAsia"/>
          <w:sz w:val="20"/>
        </w:rPr>
        <w:t>注：如遇到特殊的情况或发生污染事故，可能影响地下水水质时，应增加采样频次，并根据实际情况增加监测项目。</w:t>
      </w:r>
    </w:p>
    <w:p w14:paraId="14FB83B0">
      <w:pPr>
        <w:pStyle w:val="1379"/>
        <w:ind w:firstLine="440"/>
      </w:pPr>
    </w:p>
    <w:p w14:paraId="2227FCEB">
      <w:pPr>
        <w:spacing w:line="460" w:lineRule="exact"/>
        <w:ind w:firstLine="520" w:firstLineChars="200"/>
        <w:rPr>
          <w:sz w:val="26"/>
          <w:szCs w:val="26"/>
        </w:rPr>
      </w:pPr>
      <w:r>
        <w:rPr>
          <w:sz w:val="26"/>
          <w:szCs w:val="26"/>
        </w:rPr>
        <w:t>（4）土壤监测计划</w:t>
      </w:r>
    </w:p>
    <w:p w14:paraId="731E902B">
      <w:pPr>
        <w:spacing w:line="460" w:lineRule="exact"/>
        <w:ind w:firstLine="520" w:firstLineChars="200"/>
        <w:rPr>
          <w:sz w:val="26"/>
          <w:szCs w:val="26"/>
        </w:rPr>
      </w:pPr>
      <w:r>
        <w:rPr>
          <w:rFonts w:hint="eastAsia"/>
          <w:sz w:val="26"/>
          <w:szCs w:val="26"/>
        </w:rPr>
        <w:t>针对本项目特点</w:t>
      </w:r>
      <w:r>
        <w:rPr>
          <w:sz w:val="26"/>
          <w:szCs w:val="26"/>
        </w:rPr>
        <w:t>，结合《排污单位自行监测技术指南</w:t>
      </w:r>
      <w:r>
        <w:rPr>
          <w:rFonts w:hint="eastAsia"/>
          <w:sz w:val="26"/>
          <w:szCs w:val="26"/>
        </w:rPr>
        <w:t xml:space="preserve"> </w:t>
      </w:r>
      <w:r>
        <w:rPr>
          <w:sz w:val="26"/>
          <w:szCs w:val="26"/>
        </w:rPr>
        <w:t>陆上石油天然气开采工业》（HJ 1248-2022），针对本项目特点，制定土壤监测计划，见下表。</w:t>
      </w:r>
    </w:p>
    <w:p w14:paraId="768DC8CA">
      <w:pPr>
        <w:pStyle w:val="1066"/>
        <w:ind w:firstLine="520"/>
        <w:rPr>
          <w:rFonts w:cs="Times New Roman"/>
        </w:rPr>
      </w:pPr>
    </w:p>
    <w:p w14:paraId="385CE14C">
      <w:pPr>
        <w:jc w:val="center"/>
        <w:rPr>
          <w:sz w:val="26"/>
          <w:szCs w:val="26"/>
        </w:rPr>
      </w:pPr>
      <w:r>
        <w:rPr>
          <w:sz w:val="26"/>
          <w:szCs w:val="26"/>
        </w:rPr>
        <w:t>表10.9-5  土壤监测计划表</w:t>
      </w:r>
    </w:p>
    <w:tbl>
      <w:tblPr>
        <w:tblStyle w:val="8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2188"/>
        <w:gridCol w:w="4606"/>
        <w:gridCol w:w="1169"/>
      </w:tblGrid>
      <w:tr w14:paraId="00F0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5" w:type="dxa"/>
            <w:vAlign w:val="center"/>
          </w:tcPr>
          <w:p w14:paraId="5E3BFA72">
            <w:pPr>
              <w:adjustRightInd w:val="0"/>
              <w:snapToGrid w:val="0"/>
              <w:jc w:val="center"/>
              <w:rPr>
                <w:sz w:val="22"/>
              </w:rPr>
            </w:pPr>
            <w:r>
              <w:rPr>
                <w:sz w:val="22"/>
              </w:rPr>
              <w:t>监测阶段</w:t>
            </w:r>
          </w:p>
        </w:tc>
        <w:tc>
          <w:tcPr>
            <w:tcW w:w="2188" w:type="dxa"/>
            <w:vAlign w:val="center"/>
          </w:tcPr>
          <w:p w14:paraId="3E03DF73">
            <w:pPr>
              <w:adjustRightInd w:val="0"/>
              <w:snapToGrid w:val="0"/>
              <w:jc w:val="center"/>
              <w:rPr>
                <w:sz w:val="22"/>
              </w:rPr>
            </w:pPr>
            <w:r>
              <w:rPr>
                <w:sz w:val="22"/>
              </w:rPr>
              <w:t>监测点位</w:t>
            </w:r>
          </w:p>
        </w:tc>
        <w:tc>
          <w:tcPr>
            <w:tcW w:w="4606" w:type="dxa"/>
            <w:vAlign w:val="center"/>
          </w:tcPr>
          <w:p w14:paraId="35A0182B">
            <w:pPr>
              <w:adjustRightInd w:val="0"/>
              <w:snapToGrid w:val="0"/>
              <w:jc w:val="center"/>
              <w:rPr>
                <w:sz w:val="22"/>
              </w:rPr>
            </w:pPr>
            <w:r>
              <w:rPr>
                <w:sz w:val="22"/>
              </w:rPr>
              <w:t>监测项目</w:t>
            </w:r>
          </w:p>
        </w:tc>
        <w:tc>
          <w:tcPr>
            <w:tcW w:w="1169" w:type="dxa"/>
            <w:vAlign w:val="center"/>
          </w:tcPr>
          <w:p w14:paraId="59CBF7D8">
            <w:pPr>
              <w:adjustRightInd w:val="0"/>
              <w:snapToGrid w:val="0"/>
              <w:jc w:val="center"/>
              <w:rPr>
                <w:sz w:val="22"/>
              </w:rPr>
            </w:pPr>
            <w:r>
              <w:rPr>
                <w:sz w:val="22"/>
              </w:rPr>
              <w:t>监测频次</w:t>
            </w:r>
          </w:p>
        </w:tc>
      </w:tr>
      <w:tr w14:paraId="2183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5" w:type="dxa"/>
            <w:vMerge w:val="restart"/>
            <w:vAlign w:val="center"/>
          </w:tcPr>
          <w:p w14:paraId="13F94579">
            <w:pPr>
              <w:adjustRightInd w:val="0"/>
              <w:snapToGrid w:val="0"/>
              <w:jc w:val="center"/>
              <w:rPr>
                <w:sz w:val="22"/>
              </w:rPr>
            </w:pPr>
            <w:r>
              <w:rPr>
                <w:rFonts w:hint="eastAsia"/>
                <w:sz w:val="22"/>
              </w:rPr>
              <w:t>试采期</w:t>
            </w:r>
          </w:p>
        </w:tc>
        <w:tc>
          <w:tcPr>
            <w:tcW w:w="2188" w:type="dxa"/>
            <w:vAlign w:val="center"/>
          </w:tcPr>
          <w:p w14:paraId="5CEAED7A">
            <w:pPr>
              <w:adjustRightInd w:val="0"/>
              <w:snapToGrid w:val="0"/>
              <w:jc w:val="center"/>
              <w:rPr>
                <w:sz w:val="22"/>
              </w:rPr>
            </w:pPr>
            <w:r>
              <w:rPr>
                <w:rFonts w:hint="eastAsia"/>
                <w:sz w:val="22"/>
              </w:rPr>
              <w:t>试采站场占地范围靠近凝析油罐处</w:t>
            </w:r>
          </w:p>
        </w:tc>
        <w:tc>
          <w:tcPr>
            <w:tcW w:w="4606" w:type="dxa"/>
            <w:vAlign w:val="center"/>
          </w:tcPr>
          <w:p w14:paraId="3BA54157">
            <w:pPr>
              <w:adjustRightInd w:val="0"/>
              <w:snapToGrid w:val="0"/>
              <w:jc w:val="center"/>
              <w:rPr>
                <w:sz w:val="22"/>
              </w:rPr>
            </w:pPr>
            <w:r>
              <w:rPr>
                <w:rFonts w:hint="eastAsia"/>
                <w:sz w:val="22"/>
              </w:rPr>
              <w:t>石油类、石油烃（C6~C9）、石油烃（C10~C40）、砷、六价铬</w:t>
            </w:r>
          </w:p>
        </w:tc>
        <w:tc>
          <w:tcPr>
            <w:tcW w:w="1169" w:type="dxa"/>
            <w:vMerge w:val="restart"/>
            <w:vAlign w:val="center"/>
          </w:tcPr>
          <w:p w14:paraId="4DC88ADC">
            <w:pPr>
              <w:adjustRightInd w:val="0"/>
              <w:snapToGrid w:val="0"/>
              <w:jc w:val="center"/>
              <w:rPr>
                <w:sz w:val="22"/>
              </w:rPr>
            </w:pPr>
            <w:r>
              <w:rPr>
                <w:rFonts w:hint="eastAsia"/>
                <w:sz w:val="22"/>
              </w:rPr>
              <w:t>每5年监测一次/泄漏时监测</w:t>
            </w:r>
          </w:p>
        </w:tc>
      </w:tr>
      <w:tr w14:paraId="1448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5" w:type="dxa"/>
            <w:vMerge w:val="continue"/>
            <w:vAlign w:val="center"/>
          </w:tcPr>
          <w:p w14:paraId="5E5F0F2F">
            <w:pPr>
              <w:adjustRightInd w:val="0"/>
              <w:snapToGrid w:val="0"/>
              <w:jc w:val="center"/>
              <w:rPr>
                <w:sz w:val="22"/>
              </w:rPr>
            </w:pPr>
          </w:p>
        </w:tc>
        <w:tc>
          <w:tcPr>
            <w:tcW w:w="2188" w:type="dxa"/>
            <w:vAlign w:val="center"/>
          </w:tcPr>
          <w:p w14:paraId="7FD65A02">
            <w:pPr>
              <w:adjustRightInd w:val="0"/>
              <w:snapToGrid w:val="0"/>
              <w:jc w:val="center"/>
              <w:rPr>
                <w:sz w:val="22"/>
              </w:rPr>
            </w:pPr>
            <w:r>
              <w:rPr>
                <w:rFonts w:hint="eastAsia"/>
                <w:sz w:val="22"/>
              </w:rPr>
              <w:t>试采站场周边2</w:t>
            </w:r>
            <w:r>
              <w:rPr>
                <w:sz w:val="22"/>
              </w:rPr>
              <w:t>00m</w:t>
            </w:r>
            <w:r>
              <w:rPr>
                <w:rFonts w:hint="eastAsia"/>
                <w:sz w:val="22"/>
              </w:rPr>
              <w:t>范围内耕地</w:t>
            </w:r>
          </w:p>
        </w:tc>
        <w:tc>
          <w:tcPr>
            <w:tcW w:w="4606" w:type="dxa"/>
            <w:vAlign w:val="center"/>
          </w:tcPr>
          <w:p w14:paraId="5D47FA0F">
            <w:pPr>
              <w:adjustRightInd w:val="0"/>
              <w:snapToGrid w:val="0"/>
              <w:jc w:val="center"/>
              <w:rPr>
                <w:sz w:val="22"/>
              </w:rPr>
            </w:pPr>
            <w:r>
              <w:rPr>
                <w:rFonts w:hint="eastAsia"/>
                <w:sz w:val="22"/>
              </w:rPr>
              <w:t>石油类、石油烃（C6~C9）、石油烃（C10~C40）、砷、六价铬</w:t>
            </w:r>
          </w:p>
        </w:tc>
        <w:tc>
          <w:tcPr>
            <w:tcW w:w="1169" w:type="dxa"/>
            <w:vMerge w:val="continue"/>
            <w:vAlign w:val="center"/>
          </w:tcPr>
          <w:p w14:paraId="2D50EAB1">
            <w:pPr>
              <w:adjustRightInd w:val="0"/>
              <w:snapToGrid w:val="0"/>
              <w:jc w:val="center"/>
              <w:rPr>
                <w:sz w:val="22"/>
              </w:rPr>
            </w:pPr>
          </w:p>
        </w:tc>
      </w:tr>
    </w:tbl>
    <w:p w14:paraId="34159CDA">
      <w:pPr>
        <w:jc w:val="center"/>
        <w:rPr>
          <w:sz w:val="26"/>
          <w:szCs w:val="26"/>
        </w:rPr>
      </w:pPr>
    </w:p>
    <w:p w14:paraId="3C2F226D">
      <w:pPr>
        <w:snapToGrid w:val="0"/>
        <w:spacing w:line="460" w:lineRule="exact"/>
        <w:ind w:firstLine="522" w:firstLineChars="200"/>
        <w:outlineLvl w:val="1"/>
        <w:rPr>
          <w:b/>
          <w:bCs/>
          <w:sz w:val="26"/>
          <w:szCs w:val="26"/>
        </w:rPr>
      </w:pPr>
      <w:bookmarkStart w:id="474" w:name="_Toc165809785"/>
      <w:bookmarkStart w:id="475" w:name="_Toc104907187"/>
      <w:bookmarkStart w:id="476" w:name="_Toc219907697"/>
      <w:bookmarkStart w:id="477" w:name="_Toc165810694"/>
      <w:r>
        <w:rPr>
          <w:b/>
          <w:bCs/>
          <w:sz w:val="26"/>
          <w:szCs w:val="26"/>
        </w:rPr>
        <w:t>10.10 竣工环境保护验收调查</w:t>
      </w:r>
      <w:bookmarkEnd w:id="474"/>
      <w:bookmarkEnd w:id="475"/>
      <w:bookmarkEnd w:id="476"/>
      <w:bookmarkEnd w:id="477"/>
    </w:p>
    <w:p w14:paraId="77487128">
      <w:pPr>
        <w:snapToGrid w:val="0"/>
        <w:spacing w:line="460" w:lineRule="exact"/>
        <w:ind w:firstLine="522" w:firstLineChars="200"/>
        <w:outlineLvl w:val="2"/>
        <w:rPr>
          <w:sz w:val="26"/>
          <w:szCs w:val="26"/>
        </w:rPr>
      </w:pPr>
      <w:bookmarkStart w:id="478" w:name="_Toc165810695"/>
      <w:r>
        <w:rPr>
          <w:b/>
          <w:bCs/>
          <w:sz w:val="26"/>
          <w:szCs w:val="26"/>
        </w:rPr>
        <w:t>10.10.1 验收范围</w:t>
      </w:r>
      <w:bookmarkEnd w:id="478"/>
    </w:p>
    <w:p w14:paraId="312A0943">
      <w:pPr>
        <w:snapToGrid w:val="0"/>
        <w:spacing w:line="460" w:lineRule="exact"/>
        <w:ind w:firstLine="520" w:firstLineChars="200"/>
        <w:rPr>
          <w:sz w:val="26"/>
          <w:szCs w:val="26"/>
        </w:rPr>
      </w:pPr>
      <w:r>
        <w:rPr>
          <w:sz w:val="26"/>
          <w:szCs w:val="26"/>
        </w:rPr>
        <w:t>（1）与项目有关的各项环保设施，包括为防治污染和保护环境所配套建成的治理工程、设备、装置和监测手段，以及各项生态保护设施等。</w:t>
      </w:r>
    </w:p>
    <w:p w14:paraId="34B22163">
      <w:pPr>
        <w:snapToGrid w:val="0"/>
        <w:spacing w:line="460" w:lineRule="exact"/>
        <w:ind w:firstLine="520" w:firstLineChars="200"/>
        <w:rPr>
          <w:sz w:val="26"/>
          <w:szCs w:val="26"/>
        </w:rPr>
      </w:pPr>
      <w:r>
        <w:rPr>
          <w:sz w:val="26"/>
          <w:szCs w:val="26"/>
        </w:rPr>
        <w:t>（2）环境影响报告书及其批复文件和有关设计文件规定应采取的环保措施。</w:t>
      </w:r>
    </w:p>
    <w:p w14:paraId="30B7A8D5">
      <w:pPr>
        <w:snapToGrid w:val="0"/>
        <w:spacing w:line="460" w:lineRule="exact"/>
        <w:ind w:firstLine="522" w:firstLineChars="200"/>
        <w:outlineLvl w:val="2"/>
        <w:rPr>
          <w:b/>
          <w:bCs/>
          <w:sz w:val="26"/>
          <w:szCs w:val="26"/>
        </w:rPr>
      </w:pPr>
      <w:bookmarkStart w:id="479" w:name="_Toc165810696"/>
      <w:r>
        <w:rPr>
          <w:b/>
          <w:bCs/>
          <w:sz w:val="26"/>
          <w:szCs w:val="26"/>
        </w:rPr>
        <w:t>10.10.2 验收清单</w:t>
      </w:r>
      <w:bookmarkEnd w:id="479"/>
    </w:p>
    <w:p w14:paraId="10D4D35E">
      <w:pPr>
        <w:snapToGrid w:val="0"/>
        <w:spacing w:line="460" w:lineRule="exact"/>
        <w:ind w:firstLine="520" w:firstLineChars="200"/>
        <w:rPr>
          <w:sz w:val="26"/>
          <w:szCs w:val="26"/>
        </w:rPr>
      </w:pPr>
      <w:r>
        <w:rPr>
          <w:rFonts w:hint="eastAsia"/>
          <w:sz w:val="26"/>
          <w:szCs w:val="26"/>
        </w:rPr>
        <w:t>项目竣工后，建设单位应当按照国务院环境保护行政主管部门规定的标准和程序，对配套建设的环境保护设施进行验收，验收合格后，方可投入生产或者使用，本项目验收内容详见</w:t>
      </w:r>
      <w:r>
        <w:rPr>
          <w:rFonts w:hint="eastAsia"/>
          <w:sz w:val="26"/>
          <w:szCs w:val="26"/>
          <w:u w:val="single"/>
        </w:rPr>
        <w:t>表10.</w:t>
      </w:r>
      <w:r>
        <w:rPr>
          <w:sz w:val="26"/>
          <w:szCs w:val="26"/>
          <w:u w:val="single"/>
        </w:rPr>
        <w:t>10</w:t>
      </w:r>
      <w:r>
        <w:rPr>
          <w:rFonts w:hint="eastAsia"/>
          <w:sz w:val="26"/>
          <w:szCs w:val="26"/>
          <w:u w:val="single"/>
        </w:rPr>
        <w:t>-1</w:t>
      </w:r>
      <w:r>
        <w:rPr>
          <w:rFonts w:hint="eastAsia"/>
          <w:sz w:val="26"/>
          <w:szCs w:val="26"/>
        </w:rPr>
        <w:t>。</w:t>
      </w:r>
    </w:p>
    <w:p w14:paraId="4FBD6469">
      <w:pPr>
        <w:snapToGrid w:val="0"/>
        <w:spacing w:line="460" w:lineRule="exact"/>
        <w:ind w:firstLine="520" w:firstLineChars="200"/>
        <w:rPr>
          <w:sz w:val="26"/>
          <w:szCs w:val="26"/>
        </w:rPr>
      </w:pPr>
    </w:p>
    <w:p w14:paraId="2FC1F0E1">
      <w:pPr>
        <w:snapToGrid w:val="0"/>
        <w:spacing w:line="460" w:lineRule="exact"/>
        <w:ind w:firstLine="520" w:firstLineChars="200"/>
        <w:rPr>
          <w:sz w:val="26"/>
          <w:szCs w:val="26"/>
        </w:rPr>
        <w:sectPr>
          <w:pgSz w:w="11906" w:h="16838"/>
          <w:pgMar w:top="1701" w:right="1588" w:bottom="1588" w:left="1588" w:header="1304" w:footer="1247" w:gutter="0"/>
          <w:cols w:space="720" w:num="1"/>
          <w:docGrid w:linePitch="312" w:charSpace="0"/>
        </w:sectPr>
      </w:pPr>
    </w:p>
    <w:p w14:paraId="3E42AE52">
      <w:pPr>
        <w:snapToGrid w:val="0"/>
        <w:jc w:val="center"/>
        <w:rPr>
          <w:sz w:val="26"/>
          <w:szCs w:val="26"/>
        </w:rPr>
      </w:pPr>
      <w:r>
        <w:rPr>
          <w:sz w:val="26"/>
          <w:szCs w:val="26"/>
        </w:rPr>
        <w:t>表10.10-1   竣工环境保护验收一览表</w:t>
      </w:r>
    </w:p>
    <w:tbl>
      <w:tblPr>
        <w:tblStyle w:val="88"/>
        <w:tblW w:w="137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225"/>
        <w:gridCol w:w="2123"/>
        <w:gridCol w:w="6409"/>
        <w:gridCol w:w="2990"/>
      </w:tblGrid>
      <w:tr w14:paraId="6FAF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Align w:val="center"/>
          </w:tcPr>
          <w:p w14:paraId="1F265DAD">
            <w:pPr>
              <w:adjustRightInd w:val="0"/>
              <w:snapToGrid w:val="0"/>
              <w:jc w:val="center"/>
              <w:rPr>
                <w:sz w:val="22"/>
                <w:szCs w:val="22"/>
              </w:rPr>
            </w:pPr>
            <w:r>
              <w:rPr>
                <w:sz w:val="22"/>
                <w:szCs w:val="22"/>
              </w:rPr>
              <w:t>时期</w:t>
            </w:r>
          </w:p>
        </w:tc>
        <w:tc>
          <w:tcPr>
            <w:tcW w:w="1225" w:type="dxa"/>
            <w:vAlign w:val="center"/>
          </w:tcPr>
          <w:p w14:paraId="1DE4802E">
            <w:pPr>
              <w:adjustRightInd w:val="0"/>
              <w:snapToGrid w:val="0"/>
              <w:jc w:val="center"/>
              <w:rPr>
                <w:sz w:val="22"/>
                <w:szCs w:val="22"/>
              </w:rPr>
            </w:pPr>
            <w:r>
              <w:rPr>
                <w:sz w:val="22"/>
                <w:szCs w:val="22"/>
              </w:rPr>
              <w:t>类型</w:t>
            </w:r>
          </w:p>
        </w:tc>
        <w:tc>
          <w:tcPr>
            <w:tcW w:w="2123" w:type="dxa"/>
            <w:vAlign w:val="center"/>
          </w:tcPr>
          <w:p w14:paraId="62161F61">
            <w:pPr>
              <w:adjustRightInd w:val="0"/>
              <w:snapToGrid w:val="0"/>
              <w:jc w:val="center"/>
              <w:rPr>
                <w:sz w:val="22"/>
                <w:szCs w:val="22"/>
              </w:rPr>
            </w:pPr>
            <w:r>
              <w:rPr>
                <w:sz w:val="22"/>
                <w:szCs w:val="22"/>
              </w:rPr>
              <w:t>污染源/关注对象</w:t>
            </w:r>
          </w:p>
        </w:tc>
        <w:tc>
          <w:tcPr>
            <w:tcW w:w="6409" w:type="dxa"/>
            <w:vAlign w:val="center"/>
          </w:tcPr>
          <w:p w14:paraId="05BEAEB3">
            <w:pPr>
              <w:adjustRightInd w:val="0"/>
              <w:snapToGrid w:val="0"/>
              <w:jc w:val="center"/>
              <w:rPr>
                <w:sz w:val="22"/>
                <w:szCs w:val="22"/>
              </w:rPr>
            </w:pPr>
            <w:r>
              <w:rPr>
                <w:sz w:val="22"/>
                <w:szCs w:val="22"/>
              </w:rPr>
              <w:t>验收内容</w:t>
            </w:r>
          </w:p>
        </w:tc>
        <w:tc>
          <w:tcPr>
            <w:tcW w:w="2990" w:type="dxa"/>
            <w:vAlign w:val="center"/>
          </w:tcPr>
          <w:p w14:paraId="7F40B010">
            <w:pPr>
              <w:adjustRightInd w:val="0"/>
              <w:snapToGrid w:val="0"/>
              <w:jc w:val="center"/>
              <w:rPr>
                <w:sz w:val="22"/>
                <w:szCs w:val="22"/>
              </w:rPr>
            </w:pPr>
            <w:r>
              <w:rPr>
                <w:sz w:val="22"/>
                <w:szCs w:val="22"/>
              </w:rPr>
              <w:t>验收要求</w:t>
            </w:r>
          </w:p>
        </w:tc>
      </w:tr>
      <w:tr w14:paraId="2E80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restart"/>
            <w:vAlign w:val="center"/>
          </w:tcPr>
          <w:p w14:paraId="326A214F">
            <w:pPr>
              <w:adjustRightInd w:val="0"/>
              <w:snapToGrid w:val="0"/>
              <w:jc w:val="center"/>
              <w:rPr>
                <w:sz w:val="22"/>
                <w:szCs w:val="22"/>
              </w:rPr>
            </w:pPr>
            <w:r>
              <w:rPr>
                <w:sz w:val="22"/>
                <w:szCs w:val="22"/>
              </w:rPr>
              <w:t>施</w:t>
            </w:r>
          </w:p>
          <w:p w14:paraId="2C8CB089">
            <w:pPr>
              <w:adjustRightInd w:val="0"/>
              <w:snapToGrid w:val="0"/>
              <w:jc w:val="center"/>
              <w:rPr>
                <w:sz w:val="22"/>
                <w:szCs w:val="22"/>
              </w:rPr>
            </w:pPr>
            <w:r>
              <w:rPr>
                <w:sz w:val="22"/>
                <w:szCs w:val="22"/>
              </w:rPr>
              <w:t>工</w:t>
            </w:r>
          </w:p>
          <w:p w14:paraId="2C5D53A2">
            <w:pPr>
              <w:adjustRightInd w:val="0"/>
              <w:snapToGrid w:val="0"/>
              <w:jc w:val="center"/>
              <w:rPr>
                <w:sz w:val="22"/>
                <w:szCs w:val="22"/>
              </w:rPr>
            </w:pPr>
            <w:r>
              <w:rPr>
                <w:sz w:val="22"/>
                <w:szCs w:val="22"/>
              </w:rPr>
              <w:t>期</w:t>
            </w:r>
          </w:p>
        </w:tc>
        <w:tc>
          <w:tcPr>
            <w:tcW w:w="1225" w:type="dxa"/>
            <w:vAlign w:val="center"/>
          </w:tcPr>
          <w:p w14:paraId="135E3BDB">
            <w:pPr>
              <w:adjustRightInd w:val="0"/>
              <w:snapToGrid w:val="0"/>
              <w:jc w:val="center"/>
              <w:rPr>
                <w:sz w:val="22"/>
                <w:szCs w:val="22"/>
              </w:rPr>
            </w:pPr>
            <w:r>
              <w:rPr>
                <w:sz w:val="22"/>
                <w:szCs w:val="22"/>
              </w:rPr>
              <w:t>环境空气</w:t>
            </w:r>
          </w:p>
        </w:tc>
        <w:tc>
          <w:tcPr>
            <w:tcW w:w="2123" w:type="dxa"/>
            <w:vAlign w:val="center"/>
          </w:tcPr>
          <w:p w14:paraId="212AF769">
            <w:pPr>
              <w:adjustRightInd w:val="0"/>
              <w:snapToGrid w:val="0"/>
              <w:jc w:val="center"/>
              <w:rPr>
                <w:sz w:val="22"/>
                <w:szCs w:val="22"/>
              </w:rPr>
            </w:pPr>
            <w:r>
              <w:rPr>
                <w:sz w:val="22"/>
                <w:szCs w:val="22"/>
              </w:rPr>
              <w:t>扬尘、尾气</w:t>
            </w:r>
            <w:r>
              <w:rPr>
                <w:rFonts w:hint="eastAsia"/>
                <w:sz w:val="22"/>
                <w:szCs w:val="22"/>
              </w:rPr>
              <w:t>、焊接烟尘</w:t>
            </w:r>
          </w:p>
        </w:tc>
        <w:tc>
          <w:tcPr>
            <w:tcW w:w="6409" w:type="dxa"/>
            <w:vAlign w:val="center"/>
          </w:tcPr>
          <w:p w14:paraId="08622920">
            <w:pPr>
              <w:adjustRightInd w:val="0"/>
              <w:snapToGrid w:val="0"/>
              <w:rPr>
                <w:sz w:val="22"/>
                <w:szCs w:val="22"/>
              </w:rPr>
            </w:pPr>
            <w:r>
              <w:rPr>
                <w:sz w:val="22"/>
                <w:szCs w:val="22"/>
              </w:rPr>
              <w:t>加强施工场地内的洒水抑尘；挖方及时回填，临时土方做好防尘措施；优选优质环保的工程设备和燃油，加强对施工机械、车辆的维修保养</w:t>
            </w:r>
            <w:r>
              <w:rPr>
                <w:rFonts w:hint="eastAsia"/>
                <w:sz w:val="22"/>
                <w:szCs w:val="22"/>
              </w:rPr>
              <w:t>；使用环保焊条</w:t>
            </w:r>
            <w:r>
              <w:rPr>
                <w:sz w:val="22"/>
                <w:szCs w:val="22"/>
              </w:rPr>
              <w:t>。</w:t>
            </w:r>
          </w:p>
        </w:tc>
        <w:tc>
          <w:tcPr>
            <w:tcW w:w="2990" w:type="dxa"/>
            <w:vAlign w:val="center"/>
          </w:tcPr>
          <w:p w14:paraId="38D06A05">
            <w:pPr>
              <w:adjustRightInd w:val="0"/>
              <w:snapToGrid w:val="0"/>
              <w:jc w:val="center"/>
              <w:rPr>
                <w:sz w:val="22"/>
                <w:szCs w:val="22"/>
              </w:rPr>
            </w:pPr>
            <w:r>
              <w:rPr>
                <w:sz w:val="22"/>
                <w:szCs w:val="22"/>
              </w:rPr>
              <w:t>妥善处置</w:t>
            </w:r>
          </w:p>
        </w:tc>
      </w:tr>
      <w:tr w14:paraId="0F4F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047B04A7">
            <w:pPr>
              <w:adjustRightInd w:val="0"/>
              <w:snapToGrid w:val="0"/>
              <w:jc w:val="center"/>
              <w:rPr>
                <w:sz w:val="22"/>
                <w:szCs w:val="22"/>
              </w:rPr>
            </w:pPr>
          </w:p>
        </w:tc>
        <w:tc>
          <w:tcPr>
            <w:tcW w:w="1225" w:type="dxa"/>
            <w:vMerge w:val="restart"/>
            <w:vAlign w:val="center"/>
          </w:tcPr>
          <w:p w14:paraId="7E6E401F">
            <w:pPr>
              <w:adjustRightInd w:val="0"/>
              <w:snapToGrid w:val="0"/>
              <w:jc w:val="center"/>
              <w:rPr>
                <w:sz w:val="22"/>
                <w:szCs w:val="22"/>
              </w:rPr>
            </w:pPr>
            <w:r>
              <w:rPr>
                <w:sz w:val="22"/>
                <w:szCs w:val="22"/>
              </w:rPr>
              <w:t>水环境</w:t>
            </w:r>
          </w:p>
        </w:tc>
        <w:tc>
          <w:tcPr>
            <w:tcW w:w="2123" w:type="dxa"/>
            <w:vAlign w:val="center"/>
          </w:tcPr>
          <w:p w14:paraId="669EF413">
            <w:pPr>
              <w:adjustRightInd w:val="0"/>
              <w:snapToGrid w:val="0"/>
              <w:jc w:val="center"/>
              <w:rPr>
                <w:sz w:val="22"/>
                <w:szCs w:val="22"/>
              </w:rPr>
            </w:pPr>
            <w:r>
              <w:rPr>
                <w:sz w:val="22"/>
                <w:szCs w:val="22"/>
              </w:rPr>
              <w:t>施工废水</w:t>
            </w:r>
          </w:p>
        </w:tc>
        <w:tc>
          <w:tcPr>
            <w:tcW w:w="6409" w:type="dxa"/>
            <w:vAlign w:val="center"/>
          </w:tcPr>
          <w:p w14:paraId="7B065ED5">
            <w:pPr>
              <w:adjustRightInd w:val="0"/>
              <w:snapToGrid w:val="0"/>
              <w:rPr>
                <w:sz w:val="22"/>
                <w:szCs w:val="22"/>
              </w:rPr>
            </w:pPr>
            <w:r>
              <w:rPr>
                <w:sz w:val="22"/>
                <w:szCs w:val="22"/>
              </w:rPr>
              <w:t>施工废水经沉淀处理后用于</w:t>
            </w:r>
            <w:r>
              <w:rPr>
                <w:rFonts w:hint="eastAsia"/>
                <w:sz w:val="22"/>
                <w:szCs w:val="22"/>
              </w:rPr>
              <w:t>站场</w:t>
            </w:r>
            <w:r>
              <w:rPr>
                <w:sz w:val="22"/>
                <w:szCs w:val="22"/>
              </w:rPr>
              <w:t>洒水降尘。</w:t>
            </w:r>
          </w:p>
        </w:tc>
        <w:tc>
          <w:tcPr>
            <w:tcW w:w="2990" w:type="dxa"/>
            <w:vAlign w:val="center"/>
          </w:tcPr>
          <w:p w14:paraId="3E70FABB">
            <w:pPr>
              <w:adjustRightInd w:val="0"/>
              <w:snapToGrid w:val="0"/>
              <w:jc w:val="center"/>
              <w:rPr>
                <w:sz w:val="22"/>
                <w:szCs w:val="22"/>
              </w:rPr>
            </w:pPr>
            <w:r>
              <w:rPr>
                <w:sz w:val="22"/>
                <w:szCs w:val="22"/>
              </w:rPr>
              <w:t>妥善处置</w:t>
            </w:r>
          </w:p>
        </w:tc>
      </w:tr>
      <w:tr w14:paraId="10EC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7BE2F2F3">
            <w:pPr>
              <w:adjustRightInd w:val="0"/>
              <w:snapToGrid w:val="0"/>
              <w:jc w:val="center"/>
              <w:rPr>
                <w:sz w:val="22"/>
                <w:szCs w:val="22"/>
              </w:rPr>
            </w:pPr>
          </w:p>
        </w:tc>
        <w:tc>
          <w:tcPr>
            <w:tcW w:w="1225" w:type="dxa"/>
            <w:vMerge w:val="continue"/>
            <w:vAlign w:val="center"/>
          </w:tcPr>
          <w:p w14:paraId="4C8F4173">
            <w:pPr>
              <w:adjustRightInd w:val="0"/>
              <w:snapToGrid w:val="0"/>
              <w:jc w:val="center"/>
              <w:rPr>
                <w:sz w:val="22"/>
                <w:szCs w:val="22"/>
              </w:rPr>
            </w:pPr>
          </w:p>
        </w:tc>
        <w:tc>
          <w:tcPr>
            <w:tcW w:w="2123" w:type="dxa"/>
            <w:vAlign w:val="center"/>
          </w:tcPr>
          <w:p w14:paraId="2ECEA548">
            <w:pPr>
              <w:adjustRightInd w:val="0"/>
              <w:snapToGrid w:val="0"/>
              <w:jc w:val="center"/>
              <w:rPr>
                <w:sz w:val="22"/>
                <w:szCs w:val="22"/>
              </w:rPr>
            </w:pPr>
            <w:r>
              <w:rPr>
                <w:sz w:val="22"/>
                <w:szCs w:val="22"/>
              </w:rPr>
              <w:t>管道试压水</w:t>
            </w:r>
          </w:p>
        </w:tc>
        <w:tc>
          <w:tcPr>
            <w:tcW w:w="6409" w:type="dxa"/>
            <w:vAlign w:val="center"/>
          </w:tcPr>
          <w:p w14:paraId="48A78017">
            <w:pPr>
              <w:adjustRightInd w:val="0"/>
              <w:snapToGrid w:val="0"/>
              <w:rPr>
                <w:sz w:val="22"/>
                <w:szCs w:val="22"/>
              </w:rPr>
            </w:pPr>
            <w:r>
              <w:rPr>
                <w:rFonts w:hint="eastAsia"/>
                <w:sz w:val="22"/>
                <w:szCs w:val="22"/>
              </w:rPr>
              <w:t>进行简单沉淀后，用于区域洒水抑尘和绿化用水。</w:t>
            </w:r>
          </w:p>
        </w:tc>
        <w:tc>
          <w:tcPr>
            <w:tcW w:w="2990" w:type="dxa"/>
            <w:vAlign w:val="center"/>
          </w:tcPr>
          <w:p w14:paraId="5CE9D064">
            <w:pPr>
              <w:adjustRightInd w:val="0"/>
              <w:snapToGrid w:val="0"/>
              <w:jc w:val="center"/>
              <w:rPr>
                <w:sz w:val="22"/>
                <w:szCs w:val="22"/>
              </w:rPr>
            </w:pPr>
            <w:r>
              <w:rPr>
                <w:sz w:val="22"/>
                <w:szCs w:val="22"/>
              </w:rPr>
              <w:t>妥善处置</w:t>
            </w:r>
          </w:p>
        </w:tc>
      </w:tr>
      <w:tr w14:paraId="258F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57DBF402">
            <w:pPr>
              <w:adjustRightInd w:val="0"/>
              <w:snapToGrid w:val="0"/>
              <w:jc w:val="center"/>
              <w:rPr>
                <w:sz w:val="22"/>
                <w:szCs w:val="22"/>
              </w:rPr>
            </w:pPr>
          </w:p>
        </w:tc>
        <w:tc>
          <w:tcPr>
            <w:tcW w:w="1225" w:type="dxa"/>
            <w:vMerge w:val="continue"/>
            <w:vAlign w:val="center"/>
          </w:tcPr>
          <w:p w14:paraId="2C2CD3EF">
            <w:pPr>
              <w:adjustRightInd w:val="0"/>
              <w:snapToGrid w:val="0"/>
              <w:jc w:val="center"/>
              <w:rPr>
                <w:sz w:val="22"/>
                <w:szCs w:val="22"/>
              </w:rPr>
            </w:pPr>
          </w:p>
        </w:tc>
        <w:tc>
          <w:tcPr>
            <w:tcW w:w="2123" w:type="dxa"/>
            <w:vAlign w:val="center"/>
          </w:tcPr>
          <w:p w14:paraId="4ECB3E2E">
            <w:pPr>
              <w:adjustRightInd w:val="0"/>
              <w:snapToGrid w:val="0"/>
              <w:jc w:val="center"/>
              <w:rPr>
                <w:sz w:val="22"/>
                <w:szCs w:val="22"/>
              </w:rPr>
            </w:pPr>
            <w:r>
              <w:rPr>
                <w:sz w:val="22"/>
                <w:szCs w:val="22"/>
              </w:rPr>
              <w:t>生活污水</w:t>
            </w:r>
          </w:p>
        </w:tc>
        <w:tc>
          <w:tcPr>
            <w:tcW w:w="6409" w:type="dxa"/>
            <w:vAlign w:val="center"/>
          </w:tcPr>
          <w:p w14:paraId="661D5A0D">
            <w:pPr>
              <w:pStyle w:val="687"/>
              <w:jc w:val="both"/>
              <w:rPr>
                <w:szCs w:val="22"/>
              </w:rPr>
            </w:pPr>
            <w:r>
              <w:rPr>
                <w:rFonts w:hint="eastAsia"/>
              </w:rPr>
              <w:t>依托周边居民厕所以及所住旅馆厕所处置，不外排。</w:t>
            </w:r>
          </w:p>
        </w:tc>
        <w:tc>
          <w:tcPr>
            <w:tcW w:w="2990" w:type="dxa"/>
            <w:vAlign w:val="center"/>
          </w:tcPr>
          <w:p w14:paraId="0F14A1C8">
            <w:pPr>
              <w:adjustRightInd w:val="0"/>
              <w:snapToGrid w:val="0"/>
              <w:jc w:val="center"/>
              <w:rPr>
                <w:sz w:val="22"/>
                <w:szCs w:val="22"/>
              </w:rPr>
            </w:pPr>
            <w:r>
              <w:rPr>
                <w:sz w:val="22"/>
                <w:szCs w:val="22"/>
              </w:rPr>
              <w:t>妥善处置</w:t>
            </w:r>
          </w:p>
        </w:tc>
      </w:tr>
      <w:tr w14:paraId="4638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0112A48D">
            <w:pPr>
              <w:adjustRightInd w:val="0"/>
              <w:snapToGrid w:val="0"/>
              <w:jc w:val="center"/>
              <w:rPr>
                <w:sz w:val="22"/>
                <w:szCs w:val="22"/>
              </w:rPr>
            </w:pPr>
          </w:p>
        </w:tc>
        <w:tc>
          <w:tcPr>
            <w:tcW w:w="1225" w:type="dxa"/>
            <w:vAlign w:val="center"/>
          </w:tcPr>
          <w:p w14:paraId="433F73B7">
            <w:pPr>
              <w:adjustRightInd w:val="0"/>
              <w:snapToGrid w:val="0"/>
              <w:jc w:val="center"/>
              <w:rPr>
                <w:sz w:val="22"/>
                <w:szCs w:val="22"/>
              </w:rPr>
            </w:pPr>
            <w:r>
              <w:rPr>
                <w:sz w:val="22"/>
                <w:szCs w:val="22"/>
              </w:rPr>
              <w:t>噪声</w:t>
            </w:r>
          </w:p>
        </w:tc>
        <w:tc>
          <w:tcPr>
            <w:tcW w:w="2123" w:type="dxa"/>
            <w:vAlign w:val="center"/>
          </w:tcPr>
          <w:p w14:paraId="7446F9B0">
            <w:pPr>
              <w:adjustRightInd w:val="0"/>
              <w:snapToGrid w:val="0"/>
              <w:jc w:val="center"/>
              <w:rPr>
                <w:sz w:val="22"/>
                <w:szCs w:val="22"/>
              </w:rPr>
            </w:pPr>
            <w:r>
              <w:rPr>
                <w:sz w:val="22"/>
                <w:szCs w:val="22"/>
              </w:rPr>
              <w:t>施工噪声</w:t>
            </w:r>
          </w:p>
        </w:tc>
        <w:tc>
          <w:tcPr>
            <w:tcW w:w="6409" w:type="dxa"/>
            <w:vAlign w:val="center"/>
          </w:tcPr>
          <w:p w14:paraId="61E5C1CE">
            <w:pPr>
              <w:adjustRightInd w:val="0"/>
              <w:snapToGrid w:val="0"/>
              <w:rPr>
                <w:sz w:val="22"/>
                <w:szCs w:val="22"/>
              </w:rPr>
            </w:pPr>
            <w:r>
              <w:rPr>
                <w:sz w:val="22"/>
                <w:szCs w:val="22"/>
              </w:rPr>
              <w:t>选取低噪声设备，加强施工机械的日常维护保养；合理安排施工时间，在场地内对施工机械合理布置。</w:t>
            </w:r>
          </w:p>
        </w:tc>
        <w:tc>
          <w:tcPr>
            <w:tcW w:w="2990" w:type="dxa"/>
            <w:vAlign w:val="center"/>
          </w:tcPr>
          <w:p w14:paraId="4648F931">
            <w:pPr>
              <w:adjustRightInd w:val="0"/>
              <w:snapToGrid w:val="0"/>
              <w:jc w:val="center"/>
              <w:rPr>
                <w:sz w:val="22"/>
                <w:szCs w:val="22"/>
              </w:rPr>
            </w:pPr>
            <w:r>
              <w:rPr>
                <w:sz w:val="22"/>
                <w:szCs w:val="22"/>
              </w:rPr>
              <w:t>昼间75dB</w:t>
            </w:r>
          </w:p>
          <w:p w14:paraId="788CA237">
            <w:pPr>
              <w:adjustRightInd w:val="0"/>
              <w:snapToGrid w:val="0"/>
              <w:jc w:val="center"/>
              <w:rPr>
                <w:sz w:val="22"/>
                <w:szCs w:val="22"/>
              </w:rPr>
            </w:pPr>
            <w:r>
              <w:rPr>
                <w:sz w:val="22"/>
                <w:szCs w:val="22"/>
              </w:rPr>
              <w:t>夜间55dB</w:t>
            </w:r>
          </w:p>
        </w:tc>
      </w:tr>
      <w:tr w14:paraId="3D487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716C102A">
            <w:pPr>
              <w:adjustRightInd w:val="0"/>
              <w:snapToGrid w:val="0"/>
              <w:jc w:val="center"/>
              <w:rPr>
                <w:sz w:val="22"/>
                <w:szCs w:val="22"/>
              </w:rPr>
            </w:pPr>
          </w:p>
        </w:tc>
        <w:tc>
          <w:tcPr>
            <w:tcW w:w="1225" w:type="dxa"/>
            <w:vMerge w:val="restart"/>
            <w:vAlign w:val="center"/>
          </w:tcPr>
          <w:p w14:paraId="59B500B6">
            <w:pPr>
              <w:adjustRightInd w:val="0"/>
              <w:snapToGrid w:val="0"/>
              <w:jc w:val="center"/>
              <w:rPr>
                <w:sz w:val="22"/>
                <w:szCs w:val="22"/>
              </w:rPr>
            </w:pPr>
            <w:r>
              <w:rPr>
                <w:sz w:val="22"/>
                <w:szCs w:val="22"/>
              </w:rPr>
              <w:t>固体废物</w:t>
            </w:r>
          </w:p>
        </w:tc>
        <w:tc>
          <w:tcPr>
            <w:tcW w:w="2123" w:type="dxa"/>
            <w:vAlign w:val="center"/>
          </w:tcPr>
          <w:p w14:paraId="0FE91DDD">
            <w:pPr>
              <w:adjustRightInd w:val="0"/>
              <w:snapToGrid w:val="0"/>
              <w:jc w:val="center"/>
              <w:rPr>
                <w:sz w:val="22"/>
                <w:szCs w:val="22"/>
              </w:rPr>
            </w:pPr>
            <w:r>
              <w:rPr>
                <w:sz w:val="22"/>
                <w:szCs w:val="22"/>
              </w:rPr>
              <w:t>施工废料</w:t>
            </w:r>
          </w:p>
        </w:tc>
        <w:tc>
          <w:tcPr>
            <w:tcW w:w="6409" w:type="dxa"/>
            <w:vAlign w:val="center"/>
          </w:tcPr>
          <w:p w14:paraId="7D2B4F4B">
            <w:pPr>
              <w:adjustRightInd w:val="0"/>
              <w:snapToGrid w:val="0"/>
              <w:rPr>
                <w:sz w:val="22"/>
                <w:szCs w:val="22"/>
              </w:rPr>
            </w:pPr>
            <w:r>
              <w:rPr>
                <w:rFonts w:hint="eastAsia"/>
                <w:sz w:val="22"/>
                <w:szCs w:val="22"/>
              </w:rPr>
              <w:t>可回收施工废料可由施工单位回收或外售废品回收站回收处置，不可回收施工废料收集后送当地建筑渣场处置。</w:t>
            </w:r>
          </w:p>
        </w:tc>
        <w:tc>
          <w:tcPr>
            <w:tcW w:w="2990" w:type="dxa"/>
            <w:vAlign w:val="center"/>
          </w:tcPr>
          <w:p w14:paraId="018DF04D">
            <w:pPr>
              <w:adjustRightInd w:val="0"/>
              <w:snapToGrid w:val="0"/>
              <w:jc w:val="center"/>
              <w:rPr>
                <w:sz w:val="22"/>
                <w:szCs w:val="22"/>
              </w:rPr>
            </w:pPr>
            <w:r>
              <w:rPr>
                <w:sz w:val="22"/>
                <w:szCs w:val="22"/>
              </w:rPr>
              <w:t>妥善处置</w:t>
            </w:r>
          </w:p>
        </w:tc>
      </w:tr>
      <w:tr w14:paraId="475E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210E4A42">
            <w:pPr>
              <w:adjustRightInd w:val="0"/>
              <w:snapToGrid w:val="0"/>
              <w:jc w:val="center"/>
              <w:rPr>
                <w:sz w:val="22"/>
                <w:szCs w:val="22"/>
              </w:rPr>
            </w:pPr>
          </w:p>
        </w:tc>
        <w:tc>
          <w:tcPr>
            <w:tcW w:w="1225" w:type="dxa"/>
            <w:vMerge w:val="continue"/>
            <w:vAlign w:val="center"/>
          </w:tcPr>
          <w:p w14:paraId="3C439ACC">
            <w:pPr>
              <w:adjustRightInd w:val="0"/>
              <w:snapToGrid w:val="0"/>
              <w:jc w:val="center"/>
              <w:rPr>
                <w:sz w:val="22"/>
                <w:szCs w:val="22"/>
              </w:rPr>
            </w:pPr>
          </w:p>
        </w:tc>
        <w:tc>
          <w:tcPr>
            <w:tcW w:w="2123" w:type="dxa"/>
            <w:vAlign w:val="center"/>
          </w:tcPr>
          <w:p w14:paraId="08964F44">
            <w:pPr>
              <w:adjustRightInd w:val="0"/>
              <w:snapToGrid w:val="0"/>
              <w:jc w:val="center"/>
              <w:rPr>
                <w:sz w:val="22"/>
                <w:szCs w:val="22"/>
              </w:rPr>
            </w:pPr>
            <w:r>
              <w:rPr>
                <w:sz w:val="22"/>
                <w:szCs w:val="22"/>
              </w:rPr>
              <w:t>生活垃圾</w:t>
            </w:r>
          </w:p>
        </w:tc>
        <w:tc>
          <w:tcPr>
            <w:tcW w:w="6409" w:type="dxa"/>
            <w:vAlign w:val="center"/>
          </w:tcPr>
          <w:p w14:paraId="096B9E4D">
            <w:pPr>
              <w:adjustRightInd w:val="0"/>
              <w:snapToGrid w:val="0"/>
              <w:rPr>
                <w:sz w:val="22"/>
                <w:szCs w:val="22"/>
              </w:rPr>
            </w:pPr>
            <w:r>
              <w:rPr>
                <w:rFonts w:hint="eastAsia"/>
                <w:sz w:val="22"/>
                <w:szCs w:val="22"/>
              </w:rPr>
              <w:t>站场设置垃圾桶，生活垃圾分类收集后，交当地环卫部门处置。</w:t>
            </w:r>
          </w:p>
        </w:tc>
        <w:tc>
          <w:tcPr>
            <w:tcW w:w="2990" w:type="dxa"/>
            <w:vAlign w:val="center"/>
          </w:tcPr>
          <w:p w14:paraId="00A4A51A">
            <w:pPr>
              <w:adjustRightInd w:val="0"/>
              <w:snapToGrid w:val="0"/>
              <w:jc w:val="center"/>
              <w:rPr>
                <w:sz w:val="22"/>
                <w:szCs w:val="22"/>
              </w:rPr>
            </w:pPr>
            <w:r>
              <w:rPr>
                <w:sz w:val="22"/>
                <w:szCs w:val="22"/>
              </w:rPr>
              <w:t>妥善处置</w:t>
            </w:r>
          </w:p>
        </w:tc>
      </w:tr>
      <w:tr w14:paraId="43DB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0F9EE2C4">
            <w:pPr>
              <w:adjustRightInd w:val="0"/>
              <w:snapToGrid w:val="0"/>
              <w:jc w:val="center"/>
              <w:rPr>
                <w:sz w:val="22"/>
                <w:szCs w:val="22"/>
              </w:rPr>
            </w:pPr>
          </w:p>
        </w:tc>
        <w:tc>
          <w:tcPr>
            <w:tcW w:w="1225" w:type="dxa"/>
            <w:vMerge w:val="restart"/>
            <w:vAlign w:val="center"/>
          </w:tcPr>
          <w:p w14:paraId="5D6E34C5">
            <w:pPr>
              <w:adjustRightInd w:val="0"/>
              <w:snapToGrid w:val="0"/>
              <w:jc w:val="center"/>
              <w:rPr>
                <w:sz w:val="22"/>
                <w:szCs w:val="22"/>
              </w:rPr>
            </w:pPr>
            <w:r>
              <w:rPr>
                <w:sz w:val="22"/>
                <w:szCs w:val="22"/>
              </w:rPr>
              <w:t>生态环境</w:t>
            </w:r>
          </w:p>
        </w:tc>
        <w:tc>
          <w:tcPr>
            <w:tcW w:w="2123" w:type="dxa"/>
            <w:vAlign w:val="center"/>
          </w:tcPr>
          <w:p w14:paraId="67EB52EA">
            <w:pPr>
              <w:adjustRightInd w:val="0"/>
              <w:snapToGrid w:val="0"/>
              <w:jc w:val="center"/>
              <w:rPr>
                <w:sz w:val="22"/>
                <w:szCs w:val="22"/>
              </w:rPr>
            </w:pPr>
            <w:r>
              <w:rPr>
                <w:sz w:val="22"/>
                <w:szCs w:val="22"/>
              </w:rPr>
              <w:t>水土保持</w:t>
            </w:r>
          </w:p>
        </w:tc>
        <w:tc>
          <w:tcPr>
            <w:tcW w:w="6409" w:type="dxa"/>
            <w:vAlign w:val="center"/>
          </w:tcPr>
          <w:p w14:paraId="49D8C3AF">
            <w:pPr>
              <w:adjustRightInd w:val="0"/>
              <w:snapToGrid w:val="0"/>
              <w:rPr>
                <w:sz w:val="22"/>
                <w:szCs w:val="22"/>
              </w:rPr>
            </w:pPr>
            <w:r>
              <w:rPr>
                <w:rFonts w:hint="eastAsia"/>
                <w:sz w:val="22"/>
                <w:szCs w:val="22"/>
              </w:rPr>
              <w:t>尽量避开雨季施工；土石方采用彩条布遮盖。</w:t>
            </w:r>
          </w:p>
        </w:tc>
        <w:tc>
          <w:tcPr>
            <w:tcW w:w="2990" w:type="dxa"/>
            <w:vAlign w:val="center"/>
          </w:tcPr>
          <w:p w14:paraId="1BD7E0E6">
            <w:pPr>
              <w:adjustRightInd w:val="0"/>
              <w:snapToGrid w:val="0"/>
              <w:jc w:val="center"/>
              <w:rPr>
                <w:sz w:val="22"/>
                <w:szCs w:val="22"/>
              </w:rPr>
            </w:pPr>
            <w:r>
              <w:rPr>
                <w:sz w:val="22"/>
                <w:szCs w:val="22"/>
              </w:rPr>
              <w:t>妥善处置</w:t>
            </w:r>
          </w:p>
        </w:tc>
      </w:tr>
      <w:tr w14:paraId="3636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5C9353FC">
            <w:pPr>
              <w:adjustRightInd w:val="0"/>
              <w:snapToGrid w:val="0"/>
              <w:jc w:val="center"/>
              <w:rPr>
                <w:sz w:val="22"/>
                <w:szCs w:val="22"/>
              </w:rPr>
            </w:pPr>
          </w:p>
        </w:tc>
        <w:tc>
          <w:tcPr>
            <w:tcW w:w="1225" w:type="dxa"/>
            <w:vMerge w:val="continue"/>
            <w:vAlign w:val="center"/>
          </w:tcPr>
          <w:p w14:paraId="1B09D5EC">
            <w:pPr>
              <w:adjustRightInd w:val="0"/>
              <w:snapToGrid w:val="0"/>
              <w:jc w:val="center"/>
              <w:rPr>
                <w:sz w:val="22"/>
                <w:szCs w:val="22"/>
              </w:rPr>
            </w:pPr>
          </w:p>
        </w:tc>
        <w:tc>
          <w:tcPr>
            <w:tcW w:w="2123" w:type="dxa"/>
            <w:vAlign w:val="center"/>
          </w:tcPr>
          <w:p w14:paraId="63607D5F">
            <w:pPr>
              <w:adjustRightInd w:val="0"/>
              <w:snapToGrid w:val="0"/>
              <w:jc w:val="center"/>
              <w:rPr>
                <w:sz w:val="22"/>
                <w:szCs w:val="22"/>
              </w:rPr>
            </w:pPr>
            <w:r>
              <w:rPr>
                <w:sz w:val="22"/>
                <w:szCs w:val="22"/>
              </w:rPr>
              <w:t>试采站</w:t>
            </w:r>
          </w:p>
        </w:tc>
        <w:tc>
          <w:tcPr>
            <w:tcW w:w="6409" w:type="dxa"/>
            <w:vAlign w:val="center"/>
          </w:tcPr>
          <w:p w14:paraId="07B6A006">
            <w:pPr>
              <w:adjustRightInd w:val="0"/>
              <w:snapToGrid w:val="0"/>
              <w:rPr>
                <w:sz w:val="22"/>
                <w:szCs w:val="22"/>
              </w:rPr>
            </w:pPr>
            <w:r>
              <w:rPr>
                <w:sz w:val="22"/>
                <w:szCs w:val="22"/>
              </w:rPr>
              <w:t>平台内道路硬化，空地绿化</w:t>
            </w:r>
          </w:p>
        </w:tc>
        <w:tc>
          <w:tcPr>
            <w:tcW w:w="2990" w:type="dxa"/>
            <w:vAlign w:val="center"/>
          </w:tcPr>
          <w:p w14:paraId="0425B8FC">
            <w:pPr>
              <w:adjustRightInd w:val="0"/>
              <w:snapToGrid w:val="0"/>
              <w:jc w:val="center"/>
              <w:rPr>
                <w:sz w:val="22"/>
                <w:szCs w:val="22"/>
              </w:rPr>
            </w:pPr>
            <w:r>
              <w:rPr>
                <w:sz w:val="22"/>
                <w:szCs w:val="22"/>
              </w:rPr>
              <w:t>满足硬化、绿化要求</w:t>
            </w:r>
          </w:p>
        </w:tc>
      </w:tr>
      <w:tr w14:paraId="6DC62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restart"/>
            <w:vAlign w:val="center"/>
          </w:tcPr>
          <w:p w14:paraId="5D62A0C3">
            <w:pPr>
              <w:adjustRightInd w:val="0"/>
              <w:snapToGrid w:val="0"/>
              <w:jc w:val="center"/>
              <w:rPr>
                <w:sz w:val="22"/>
                <w:szCs w:val="22"/>
              </w:rPr>
            </w:pPr>
            <w:r>
              <w:rPr>
                <w:sz w:val="22"/>
                <w:szCs w:val="22"/>
              </w:rPr>
              <w:t>试采期</w:t>
            </w:r>
          </w:p>
        </w:tc>
        <w:tc>
          <w:tcPr>
            <w:tcW w:w="1225" w:type="dxa"/>
            <w:vMerge w:val="restart"/>
            <w:vAlign w:val="center"/>
          </w:tcPr>
          <w:p w14:paraId="2BBE4A0F">
            <w:pPr>
              <w:adjustRightInd w:val="0"/>
              <w:snapToGrid w:val="0"/>
              <w:jc w:val="center"/>
              <w:rPr>
                <w:sz w:val="22"/>
                <w:szCs w:val="22"/>
              </w:rPr>
            </w:pPr>
            <w:r>
              <w:rPr>
                <w:sz w:val="22"/>
                <w:szCs w:val="22"/>
              </w:rPr>
              <w:t>废气</w:t>
            </w:r>
          </w:p>
        </w:tc>
        <w:tc>
          <w:tcPr>
            <w:tcW w:w="2123" w:type="dxa"/>
            <w:vAlign w:val="center"/>
          </w:tcPr>
          <w:p w14:paraId="3E2BE689">
            <w:pPr>
              <w:adjustRightInd w:val="0"/>
              <w:snapToGrid w:val="0"/>
              <w:jc w:val="center"/>
              <w:rPr>
                <w:sz w:val="22"/>
                <w:szCs w:val="22"/>
              </w:rPr>
            </w:pPr>
            <w:r>
              <w:rPr>
                <w:sz w:val="22"/>
                <w:szCs w:val="22"/>
              </w:rPr>
              <w:t>水套炉燃烧废气</w:t>
            </w:r>
          </w:p>
        </w:tc>
        <w:tc>
          <w:tcPr>
            <w:tcW w:w="6409" w:type="dxa"/>
            <w:vAlign w:val="center"/>
          </w:tcPr>
          <w:p w14:paraId="3537DB61">
            <w:pPr>
              <w:adjustRightInd w:val="0"/>
              <w:snapToGrid w:val="0"/>
              <w:rPr>
                <w:sz w:val="22"/>
                <w:szCs w:val="22"/>
              </w:rPr>
            </w:pPr>
            <w:r>
              <w:rPr>
                <w:sz w:val="22"/>
                <w:szCs w:val="22"/>
              </w:rPr>
              <w:t>经水套加热炉自带8m高排气筒有组织排放。</w:t>
            </w:r>
          </w:p>
        </w:tc>
        <w:tc>
          <w:tcPr>
            <w:tcW w:w="2990" w:type="dxa"/>
            <w:vAlign w:val="center"/>
          </w:tcPr>
          <w:p w14:paraId="3AE7E843">
            <w:pPr>
              <w:adjustRightInd w:val="0"/>
              <w:snapToGrid w:val="0"/>
              <w:rPr>
                <w:sz w:val="22"/>
                <w:szCs w:val="22"/>
              </w:rPr>
            </w:pPr>
            <w:r>
              <w:rPr>
                <w:sz w:val="22"/>
                <w:szCs w:val="22"/>
              </w:rPr>
              <w:t>满足《锅炉大气污染物排放标准》（GB13271-2014</w:t>
            </w:r>
            <w:r>
              <w:rPr>
                <w:rFonts w:hint="eastAsia"/>
                <w:sz w:val="22"/>
                <w:szCs w:val="22"/>
              </w:rPr>
              <w:t>）要求</w:t>
            </w:r>
            <w:r>
              <w:rPr>
                <w:sz w:val="22"/>
                <w:szCs w:val="22"/>
              </w:rPr>
              <w:t>。</w:t>
            </w:r>
          </w:p>
        </w:tc>
      </w:tr>
      <w:tr w14:paraId="0174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668E32E6">
            <w:pPr>
              <w:adjustRightInd w:val="0"/>
              <w:snapToGrid w:val="0"/>
              <w:jc w:val="center"/>
              <w:rPr>
                <w:sz w:val="22"/>
                <w:szCs w:val="22"/>
              </w:rPr>
            </w:pPr>
          </w:p>
        </w:tc>
        <w:tc>
          <w:tcPr>
            <w:tcW w:w="1225" w:type="dxa"/>
            <w:vMerge w:val="continue"/>
            <w:vAlign w:val="center"/>
          </w:tcPr>
          <w:p w14:paraId="78438B93">
            <w:pPr>
              <w:adjustRightInd w:val="0"/>
              <w:snapToGrid w:val="0"/>
              <w:jc w:val="center"/>
              <w:rPr>
                <w:sz w:val="22"/>
                <w:szCs w:val="22"/>
              </w:rPr>
            </w:pPr>
          </w:p>
        </w:tc>
        <w:tc>
          <w:tcPr>
            <w:tcW w:w="2123" w:type="dxa"/>
            <w:vAlign w:val="center"/>
          </w:tcPr>
          <w:p w14:paraId="524E876E">
            <w:pPr>
              <w:adjustRightInd w:val="0"/>
              <w:snapToGrid w:val="0"/>
              <w:jc w:val="center"/>
              <w:rPr>
                <w:sz w:val="22"/>
                <w:szCs w:val="22"/>
              </w:rPr>
            </w:pPr>
            <w:r>
              <w:rPr>
                <w:rFonts w:hint="eastAsia"/>
                <w:sz w:val="22"/>
                <w:szCs w:val="22"/>
              </w:rPr>
              <w:t>凝析油储罐呼吸废气</w:t>
            </w:r>
          </w:p>
        </w:tc>
        <w:tc>
          <w:tcPr>
            <w:tcW w:w="6409" w:type="dxa"/>
            <w:vAlign w:val="center"/>
          </w:tcPr>
          <w:p w14:paraId="29AE58B6">
            <w:pPr>
              <w:pStyle w:val="687"/>
              <w:jc w:val="both"/>
              <w:rPr>
                <w:szCs w:val="22"/>
              </w:rPr>
            </w:pPr>
            <w:r>
              <w:rPr>
                <w:rFonts w:hint="eastAsia"/>
              </w:rPr>
              <w:t>通过管道输送至放空立管燃烧排放。</w:t>
            </w:r>
          </w:p>
        </w:tc>
        <w:tc>
          <w:tcPr>
            <w:tcW w:w="2990" w:type="dxa"/>
            <w:vAlign w:val="center"/>
          </w:tcPr>
          <w:p w14:paraId="208DF81D">
            <w:pPr>
              <w:adjustRightInd w:val="0"/>
              <w:snapToGrid w:val="0"/>
              <w:jc w:val="center"/>
              <w:rPr>
                <w:sz w:val="22"/>
                <w:szCs w:val="22"/>
              </w:rPr>
            </w:pPr>
            <w:r>
              <w:rPr>
                <w:rFonts w:hint="eastAsia"/>
                <w:sz w:val="22"/>
                <w:szCs w:val="22"/>
              </w:rPr>
              <w:t>妥善处置</w:t>
            </w:r>
          </w:p>
        </w:tc>
      </w:tr>
      <w:tr w14:paraId="72129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62FA71B4">
            <w:pPr>
              <w:adjustRightInd w:val="0"/>
              <w:snapToGrid w:val="0"/>
              <w:jc w:val="center"/>
              <w:rPr>
                <w:sz w:val="22"/>
                <w:szCs w:val="22"/>
              </w:rPr>
            </w:pPr>
          </w:p>
        </w:tc>
        <w:tc>
          <w:tcPr>
            <w:tcW w:w="1225" w:type="dxa"/>
            <w:vMerge w:val="continue"/>
            <w:vAlign w:val="center"/>
          </w:tcPr>
          <w:p w14:paraId="3CE8F536">
            <w:pPr>
              <w:adjustRightInd w:val="0"/>
              <w:snapToGrid w:val="0"/>
              <w:jc w:val="center"/>
              <w:rPr>
                <w:sz w:val="22"/>
                <w:szCs w:val="22"/>
              </w:rPr>
            </w:pPr>
          </w:p>
        </w:tc>
        <w:tc>
          <w:tcPr>
            <w:tcW w:w="2123" w:type="dxa"/>
            <w:vAlign w:val="center"/>
          </w:tcPr>
          <w:p w14:paraId="5013F05C">
            <w:pPr>
              <w:adjustRightInd w:val="0"/>
              <w:snapToGrid w:val="0"/>
              <w:jc w:val="center"/>
              <w:rPr>
                <w:sz w:val="22"/>
                <w:szCs w:val="22"/>
              </w:rPr>
            </w:pPr>
            <w:r>
              <w:rPr>
                <w:rFonts w:hint="eastAsia"/>
                <w:sz w:val="22"/>
                <w:szCs w:val="22"/>
              </w:rPr>
              <w:t>站场</w:t>
            </w:r>
            <w:r>
              <w:rPr>
                <w:sz w:val="22"/>
                <w:szCs w:val="22"/>
              </w:rPr>
              <w:t>组织</w:t>
            </w:r>
            <w:r>
              <w:rPr>
                <w:rFonts w:hint="eastAsia"/>
                <w:sz w:val="22"/>
                <w:szCs w:val="22"/>
              </w:rPr>
              <w:t>逸散</w:t>
            </w:r>
            <w:r>
              <w:rPr>
                <w:sz w:val="22"/>
                <w:szCs w:val="22"/>
              </w:rPr>
              <w:t>废气</w:t>
            </w:r>
          </w:p>
        </w:tc>
        <w:tc>
          <w:tcPr>
            <w:tcW w:w="6409" w:type="dxa"/>
            <w:vAlign w:val="center"/>
          </w:tcPr>
          <w:p w14:paraId="27F8C7CC">
            <w:pPr>
              <w:adjustRightInd w:val="0"/>
              <w:snapToGrid w:val="0"/>
              <w:rPr>
                <w:sz w:val="22"/>
                <w:szCs w:val="22"/>
              </w:rPr>
            </w:pPr>
            <w:r>
              <w:rPr>
                <w:rFonts w:hint="eastAsia"/>
                <w:sz w:val="22"/>
                <w:szCs w:val="22"/>
              </w:rPr>
              <w:t>保证连接管件的封闭性，加强管理</w:t>
            </w:r>
            <w:r>
              <w:rPr>
                <w:sz w:val="22"/>
                <w:szCs w:val="22"/>
              </w:rPr>
              <w:t>。</w:t>
            </w:r>
          </w:p>
        </w:tc>
        <w:tc>
          <w:tcPr>
            <w:tcW w:w="2990" w:type="dxa"/>
            <w:vAlign w:val="center"/>
          </w:tcPr>
          <w:p w14:paraId="0E15B6CD">
            <w:pPr>
              <w:adjustRightInd w:val="0"/>
              <w:snapToGrid w:val="0"/>
              <w:rPr>
                <w:sz w:val="22"/>
                <w:szCs w:val="22"/>
              </w:rPr>
            </w:pPr>
            <w:r>
              <w:rPr>
                <w:rFonts w:hint="eastAsia"/>
                <w:sz w:val="22"/>
                <w:szCs w:val="22"/>
              </w:rPr>
              <w:t>满足《陆上石油天然气开采工业大气污染物排放标准》（GB39728-2020）要求。</w:t>
            </w:r>
          </w:p>
        </w:tc>
      </w:tr>
      <w:tr w14:paraId="0A318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4EB2C4E3">
            <w:pPr>
              <w:adjustRightInd w:val="0"/>
              <w:snapToGrid w:val="0"/>
              <w:jc w:val="center"/>
              <w:rPr>
                <w:sz w:val="22"/>
                <w:szCs w:val="22"/>
              </w:rPr>
            </w:pPr>
          </w:p>
        </w:tc>
        <w:tc>
          <w:tcPr>
            <w:tcW w:w="1225" w:type="dxa"/>
            <w:vMerge w:val="continue"/>
            <w:vAlign w:val="center"/>
          </w:tcPr>
          <w:p w14:paraId="3B380604">
            <w:pPr>
              <w:adjustRightInd w:val="0"/>
              <w:snapToGrid w:val="0"/>
              <w:jc w:val="center"/>
              <w:rPr>
                <w:sz w:val="22"/>
                <w:szCs w:val="22"/>
              </w:rPr>
            </w:pPr>
          </w:p>
        </w:tc>
        <w:tc>
          <w:tcPr>
            <w:tcW w:w="2123" w:type="dxa"/>
            <w:vAlign w:val="center"/>
          </w:tcPr>
          <w:p w14:paraId="6F4BA137">
            <w:pPr>
              <w:adjustRightInd w:val="0"/>
              <w:snapToGrid w:val="0"/>
              <w:jc w:val="center"/>
              <w:rPr>
                <w:sz w:val="22"/>
                <w:szCs w:val="22"/>
              </w:rPr>
            </w:pPr>
            <w:r>
              <w:rPr>
                <w:sz w:val="22"/>
                <w:szCs w:val="22"/>
              </w:rPr>
              <w:t>应急放空、检修废气</w:t>
            </w:r>
          </w:p>
        </w:tc>
        <w:tc>
          <w:tcPr>
            <w:tcW w:w="6409" w:type="dxa"/>
            <w:vAlign w:val="center"/>
          </w:tcPr>
          <w:p w14:paraId="4374AC0C">
            <w:pPr>
              <w:adjustRightInd w:val="0"/>
              <w:snapToGrid w:val="0"/>
              <w:rPr>
                <w:sz w:val="22"/>
                <w:szCs w:val="22"/>
              </w:rPr>
            </w:pPr>
            <w:r>
              <w:rPr>
                <w:sz w:val="22"/>
                <w:szCs w:val="22"/>
              </w:rPr>
              <w:t>站场内设置高15m放空管，检修、放空废气通过放空管</w:t>
            </w:r>
            <w:r>
              <w:rPr>
                <w:rFonts w:hint="eastAsia"/>
                <w:sz w:val="22"/>
                <w:szCs w:val="22"/>
              </w:rPr>
              <w:t>燃烧</w:t>
            </w:r>
            <w:r>
              <w:rPr>
                <w:sz w:val="22"/>
                <w:szCs w:val="22"/>
              </w:rPr>
              <w:t>排放。</w:t>
            </w:r>
          </w:p>
        </w:tc>
        <w:tc>
          <w:tcPr>
            <w:tcW w:w="2990" w:type="dxa"/>
            <w:vAlign w:val="center"/>
          </w:tcPr>
          <w:p w14:paraId="6DF925F1">
            <w:pPr>
              <w:adjustRightInd w:val="0"/>
              <w:snapToGrid w:val="0"/>
              <w:jc w:val="center"/>
              <w:rPr>
                <w:sz w:val="22"/>
                <w:szCs w:val="22"/>
              </w:rPr>
            </w:pPr>
            <w:r>
              <w:rPr>
                <w:rFonts w:hint="eastAsia"/>
                <w:sz w:val="22"/>
                <w:szCs w:val="22"/>
              </w:rPr>
              <w:t>燃烧放空、妥善处置</w:t>
            </w:r>
          </w:p>
        </w:tc>
      </w:tr>
      <w:tr w14:paraId="2E7D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297DBC74">
            <w:pPr>
              <w:adjustRightInd w:val="0"/>
              <w:snapToGrid w:val="0"/>
              <w:jc w:val="center"/>
              <w:rPr>
                <w:sz w:val="22"/>
                <w:szCs w:val="22"/>
              </w:rPr>
            </w:pPr>
          </w:p>
        </w:tc>
        <w:tc>
          <w:tcPr>
            <w:tcW w:w="1225" w:type="dxa"/>
            <w:vMerge w:val="restart"/>
            <w:vAlign w:val="center"/>
          </w:tcPr>
          <w:p w14:paraId="57B368BC">
            <w:pPr>
              <w:adjustRightInd w:val="0"/>
              <w:snapToGrid w:val="0"/>
              <w:jc w:val="center"/>
              <w:rPr>
                <w:sz w:val="22"/>
                <w:szCs w:val="22"/>
              </w:rPr>
            </w:pPr>
            <w:r>
              <w:rPr>
                <w:sz w:val="22"/>
                <w:szCs w:val="22"/>
              </w:rPr>
              <w:t>废水</w:t>
            </w:r>
          </w:p>
        </w:tc>
        <w:tc>
          <w:tcPr>
            <w:tcW w:w="2123" w:type="dxa"/>
            <w:vAlign w:val="center"/>
          </w:tcPr>
          <w:p w14:paraId="18C5CFC9">
            <w:pPr>
              <w:adjustRightInd w:val="0"/>
              <w:snapToGrid w:val="0"/>
              <w:jc w:val="center"/>
              <w:rPr>
                <w:sz w:val="22"/>
                <w:szCs w:val="22"/>
              </w:rPr>
            </w:pPr>
            <w:r>
              <w:rPr>
                <w:rFonts w:hint="eastAsia"/>
                <w:sz w:val="22"/>
                <w:szCs w:val="22"/>
              </w:rPr>
              <w:t>气田水、放空分离液、分子筛冷凝水、检修废水</w:t>
            </w:r>
          </w:p>
        </w:tc>
        <w:tc>
          <w:tcPr>
            <w:tcW w:w="6409" w:type="dxa"/>
            <w:vAlign w:val="center"/>
          </w:tcPr>
          <w:p w14:paraId="77C1238A">
            <w:pPr>
              <w:adjustRightInd w:val="0"/>
              <w:snapToGrid w:val="0"/>
              <w:rPr>
                <w:sz w:val="22"/>
                <w:szCs w:val="22"/>
              </w:rPr>
            </w:pPr>
            <w:r>
              <w:rPr>
                <w:rFonts w:hint="eastAsia"/>
                <w:bCs/>
                <w:sz w:val="22"/>
                <w:szCs w:val="22"/>
              </w:rPr>
              <w:t>暂存于气田水储罐，定期由罐车运输至四川洁安环境科技有限公司油气田废水处理站、四川兴澳环境技术服务有限公司油气井地下水处理站处置，</w:t>
            </w:r>
            <w:r>
              <w:rPr>
                <w:rFonts w:hint="eastAsia"/>
                <w:sz w:val="22"/>
              </w:rPr>
              <w:t>或区域内有合法资质且有处理能力的第三方单位处置</w:t>
            </w:r>
            <w:r>
              <w:rPr>
                <w:rFonts w:hint="eastAsia"/>
                <w:bCs/>
                <w:sz w:val="24"/>
                <w:szCs w:val="22"/>
              </w:rPr>
              <w:t>。</w:t>
            </w:r>
          </w:p>
        </w:tc>
        <w:tc>
          <w:tcPr>
            <w:tcW w:w="2990" w:type="dxa"/>
            <w:vMerge w:val="restart"/>
            <w:vAlign w:val="center"/>
          </w:tcPr>
          <w:p w14:paraId="477D56F3">
            <w:pPr>
              <w:adjustRightInd w:val="0"/>
              <w:snapToGrid w:val="0"/>
              <w:jc w:val="center"/>
              <w:rPr>
                <w:sz w:val="22"/>
                <w:szCs w:val="22"/>
              </w:rPr>
            </w:pPr>
            <w:r>
              <w:rPr>
                <w:sz w:val="22"/>
                <w:szCs w:val="22"/>
              </w:rPr>
              <w:t>妥善处置，无废水外排</w:t>
            </w:r>
          </w:p>
        </w:tc>
      </w:tr>
      <w:tr w14:paraId="09D2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1F771043">
            <w:pPr>
              <w:adjustRightInd w:val="0"/>
              <w:snapToGrid w:val="0"/>
              <w:jc w:val="center"/>
              <w:rPr>
                <w:sz w:val="22"/>
                <w:szCs w:val="22"/>
              </w:rPr>
            </w:pPr>
          </w:p>
        </w:tc>
        <w:tc>
          <w:tcPr>
            <w:tcW w:w="1225" w:type="dxa"/>
            <w:vMerge w:val="continue"/>
            <w:vAlign w:val="center"/>
          </w:tcPr>
          <w:p w14:paraId="35B7A93E">
            <w:pPr>
              <w:adjustRightInd w:val="0"/>
              <w:snapToGrid w:val="0"/>
              <w:jc w:val="center"/>
              <w:rPr>
                <w:sz w:val="22"/>
                <w:szCs w:val="22"/>
              </w:rPr>
            </w:pPr>
          </w:p>
        </w:tc>
        <w:tc>
          <w:tcPr>
            <w:tcW w:w="2123" w:type="dxa"/>
            <w:vAlign w:val="center"/>
          </w:tcPr>
          <w:p w14:paraId="61E46D43">
            <w:pPr>
              <w:adjustRightInd w:val="0"/>
              <w:snapToGrid w:val="0"/>
              <w:jc w:val="center"/>
              <w:rPr>
                <w:sz w:val="22"/>
                <w:szCs w:val="22"/>
              </w:rPr>
            </w:pPr>
            <w:r>
              <w:rPr>
                <w:rFonts w:hint="eastAsia"/>
                <w:sz w:val="22"/>
                <w:szCs w:val="22"/>
              </w:rPr>
              <w:t>生活污水</w:t>
            </w:r>
          </w:p>
        </w:tc>
        <w:tc>
          <w:tcPr>
            <w:tcW w:w="6409" w:type="dxa"/>
            <w:vAlign w:val="center"/>
          </w:tcPr>
          <w:p w14:paraId="134096F5">
            <w:pPr>
              <w:adjustRightInd w:val="0"/>
              <w:snapToGrid w:val="0"/>
              <w:rPr>
                <w:sz w:val="22"/>
                <w:szCs w:val="22"/>
              </w:rPr>
            </w:pPr>
            <w:r>
              <w:rPr>
                <w:rFonts w:hint="eastAsia"/>
                <w:sz w:val="22"/>
                <w:szCs w:val="22"/>
              </w:rPr>
              <w:t>生活污水经环保厕所收集处理后，通过吸污车运至当地城镇污水处理厂处理达标后排放。</w:t>
            </w:r>
          </w:p>
        </w:tc>
        <w:tc>
          <w:tcPr>
            <w:tcW w:w="2990" w:type="dxa"/>
            <w:vMerge w:val="continue"/>
            <w:vAlign w:val="center"/>
          </w:tcPr>
          <w:p w14:paraId="2FEBF2E5">
            <w:pPr>
              <w:adjustRightInd w:val="0"/>
              <w:snapToGrid w:val="0"/>
              <w:jc w:val="center"/>
              <w:rPr>
                <w:sz w:val="22"/>
                <w:szCs w:val="22"/>
              </w:rPr>
            </w:pPr>
          </w:p>
        </w:tc>
      </w:tr>
      <w:tr w14:paraId="470B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5BB16340">
            <w:pPr>
              <w:adjustRightInd w:val="0"/>
              <w:snapToGrid w:val="0"/>
              <w:jc w:val="center"/>
              <w:rPr>
                <w:sz w:val="22"/>
                <w:szCs w:val="22"/>
              </w:rPr>
            </w:pPr>
          </w:p>
        </w:tc>
        <w:tc>
          <w:tcPr>
            <w:tcW w:w="1225" w:type="dxa"/>
            <w:vMerge w:val="restart"/>
            <w:vAlign w:val="center"/>
          </w:tcPr>
          <w:p w14:paraId="3F396A30">
            <w:pPr>
              <w:adjustRightInd w:val="0"/>
              <w:snapToGrid w:val="0"/>
              <w:jc w:val="center"/>
              <w:rPr>
                <w:sz w:val="22"/>
                <w:szCs w:val="22"/>
              </w:rPr>
            </w:pPr>
            <w:r>
              <w:rPr>
                <w:sz w:val="22"/>
                <w:szCs w:val="22"/>
              </w:rPr>
              <w:t>噪声</w:t>
            </w:r>
          </w:p>
        </w:tc>
        <w:tc>
          <w:tcPr>
            <w:tcW w:w="2123" w:type="dxa"/>
            <w:vAlign w:val="center"/>
          </w:tcPr>
          <w:p w14:paraId="18AB8869">
            <w:pPr>
              <w:adjustRightInd w:val="0"/>
              <w:snapToGrid w:val="0"/>
              <w:jc w:val="center"/>
              <w:rPr>
                <w:sz w:val="22"/>
                <w:szCs w:val="22"/>
              </w:rPr>
            </w:pPr>
            <w:r>
              <w:rPr>
                <w:sz w:val="22"/>
                <w:szCs w:val="22"/>
              </w:rPr>
              <w:t>放空噪声</w:t>
            </w:r>
          </w:p>
        </w:tc>
        <w:tc>
          <w:tcPr>
            <w:tcW w:w="6409" w:type="dxa"/>
            <w:vAlign w:val="center"/>
          </w:tcPr>
          <w:p w14:paraId="079CD6E0">
            <w:pPr>
              <w:adjustRightInd w:val="0"/>
              <w:snapToGrid w:val="0"/>
              <w:rPr>
                <w:sz w:val="22"/>
                <w:szCs w:val="22"/>
              </w:rPr>
            </w:pPr>
            <w:r>
              <w:rPr>
                <w:sz w:val="22"/>
                <w:szCs w:val="22"/>
              </w:rPr>
              <w:t>提前与周边居民进行沟通，并取得谅解。</w:t>
            </w:r>
          </w:p>
        </w:tc>
        <w:tc>
          <w:tcPr>
            <w:tcW w:w="2990" w:type="dxa"/>
            <w:vAlign w:val="center"/>
          </w:tcPr>
          <w:p w14:paraId="26EC01BB">
            <w:pPr>
              <w:adjustRightInd w:val="0"/>
              <w:snapToGrid w:val="0"/>
              <w:jc w:val="center"/>
              <w:rPr>
                <w:sz w:val="22"/>
                <w:szCs w:val="22"/>
              </w:rPr>
            </w:pPr>
            <w:r>
              <w:rPr>
                <w:sz w:val="22"/>
                <w:szCs w:val="22"/>
              </w:rPr>
              <w:t>妥善处置</w:t>
            </w:r>
          </w:p>
        </w:tc>
      </w:tr>
      <w:tr w14:paraId="5142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0FC387AE">
            <w:pPr>
              <w:adjustRightInd w:val="0"/>
              <w:snapToGrid w:val="0"/>
              <w:jc w:val="center"/>
              <w:rPr>
                <w:sz w:val="22"/>
                <w:szCs w:val="22"/>
              </w:rPr>
            </w:pPr>
          </w:p>
        </w:tc>
        <w:tc>
          <w:tcPr>
            <w:tcW w:w="1225" w:type="dxa"/>
            <w:vMerge w:val="continue"/>
            <w:vAlign w:val="center"/>
          </w:tcPr>
          <w:p w14:paraId="5B38E6D1">
            <w:pPr>
              <w:adjustRightInd w:val="0"/>
              <w:snapToGrid w:val="0"/>
              <w:jc w:val="center"/>
              <w:rPr>
                <w:sz w:val="22"/>
                <w:szCs w:val="22"/>
              </w:rPr>
            </w:pPr>
          </w:p>
        </w:tc>
        <w:tc>
          <w:tcPr>
            <w:tcW w:w="2123" w:type="dxa"/>
            <w:vAlign w:val="center"/>
          </w:tcPr>
          <w:p w14:paraId="30FBBA24">
            <w:pPr>
              <w:adjustRightInd w:val="0"/>
              <w:snapToGrid w:val="0"/>
              <w:jc w:val="center"/>
              <w:rPr>
                <w:sz w:val="22"/>
                <w:szCs w:val="22"/>
              </w:rPr>
            </w:pPr>
            <w:r>
              <w:rPr>
                <w:sz w:val="22"/>
                <w:szCs w:val="22"/>
              </w:rPr>
              <w:t>设备运行噪声</w:t>
            </w:r>
          </w:p>
        </w:tc>
        <w:tc>
          <w:tcPr>
            <w:tcW w:w="6409" w:type="dxa"/>
            <w:vAlign w:val="center"/>
          </w:tcPr>
          <w:p w14:paraId="4420C53A">
            <w:pPr>
              <w:adjustRightInd w:val="0"/>
              <w:snapToGrid w:val="0"/>
              <w:rPr>
                <w:sz w:val="22"/>
                <w:szCs w:val="22"/>
              </w:rPr>
            </w:pPr>
            <w:r>
              <w:rPr>
                <w:rFonts w:hint="eastAsia"/>
                <w:sz w:val="22"/>
                <w:szCs w:val="22"/>
              </w:rPr>
              <w:t>选用低噪声设备，合理布局，基础减震，控制气流速度；脱水压缩撬安装隔声罩。</w:t>
            </w:r>
          </w:p>
        </w:tc>
        <w:tc>
          <w:tcPr>
            <w:tcW w:w="2990" w:type="dxa"/>
            <w:vAlign w:val="center"/>
          </w:tcPr>
          <w:p w14:paraId="383B2D38">
            <w:pPr>
              <w:adjustRightInd w:val="0"/>
              <w:snapToGrid w:val="0"/>
              <w:jc w:val="center"/>
              <w:rPr>
                <w:sz w:val="22"/>
                <w:szCs w:val="22"/>
              </w:rPr>
            </w:pPr>
            <w:r>
              <w:rPr>
                <w:sz w:val="22"/>
                <w:szCs w:val="22"/>
              </w:rPr>
              <w:t>满足《工业企业厂界环境噪声排放标准》（GB12348-2008）2类标准</w:t>
            </w:r>
          </w:p>
        </w:tc>
      </w:tr>
      <w:tr w14:paraId="4D5F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01390890">
            <w:pPr>
              <w:adjustRightInd w:val="0"/>
              <w:snapToGrid w:val="0"/>
              <w:jc w:val="center"/>
              <w:rPr>
                <w:sz w:val="22"/>
                <w:szCs w:val="22"/>
              </w:rPr>
            </w:pPr>
          </w:p>
        </w:tc>
        <w:tc>
          <w:tcPr>
            <w:tcW w:w="1225" w:type="dxa"/>
            <w:vMerge w:val="restart"/>
            <w:vAlign w:val="center"/>
          </w:tcPr>
          <w:p w14:paraId="040A2DFE">
            <w:pPr>
              <w:adjustRightInd w:val="0"/>
              <w:snapToGrid w:val="0"/>
              <w:jc w:val="center"/>
              <w:rPr>
                <w:sz w:val="22"/>
                <w:szCs w:val="22"/>
              </w:rPr>
            </w:pPr>
            <w:r>
              <w:rPr>
                <w:rFonts w:hint="eastAsia"/>
                <w:sz w:val="22"/>
                <w:szCs w:val="22"/>
              </w:rPr>
              <w:t>固废</w:t>
            </w:r>
          </w:p>
        </w:tc>
        <w:tc>
          <w:tcPr>
            <w:tcW w:w="2123" w:type="dxa"/>
            <w:vAlign w:val="center"/>
          </w:tcPr>
          <w:p w14:paraId="15932D2A">
            <w:pPr>
              <w:adjustRightInd w:val="0"/>
              <w:snapToGrid w:val="0"/>
              <w:jc w:val="center"/>
              <w:rPr>
                <w:sz w:val="22"/>
                <w:szCs w:val="22"/>
              </w:rPr>
            </w:pPr>
            <w:r>
              <w:rPr>
                <w:rFonts w:hint="eastAsia"/>
                <w:bCs/>
                <w:sz w:val="22"/>
                <w:szCs w:val="22"/>
              </w:rPr>
              <w:t>储罐清掏沉渣</w:t>
            </w:r>
          </w:p>
        </w:tc>
        <w:tc>
          <w:tcPr>
            <w:tcW w:w="6409" w:type="dxa"/>
            <w:vMerge w:val="restart"/>
            <w:vAlign w:val="center"/>
          </w:tcPr>
          <w:p w14:paraId="4A385299">
            <w:pPr>
              <w:adjustRightInd w:val="0"/>
              <w:snapToGrid w:val="0"/>
              <w:rPr>
                <w:sz w:val="22"/>
                <w:szCs w:val="22"/>
              </w:rPr>
            </w:pPr>
            <w:r>
              <w:rPr>
                <w:rFonts w:hint="eastAsia"/>
                <w:sz w:val="22"/>
              </w:rPr>
              <w:t>即产即运，由作业区收集后暂存于河飞203中心站危废暂存间，统一交由资质单位处置。</w:t>
            </w:r>
          </w:p>
        </w:tc>
        <w:tc>
          <w:tcPr>
            <w:tcW w:w="2990" w:type="dxa"/>
            <w:vMerge w:val="restart"/>
            <w:vAlign w:val="center"/>
          </w:tcPr>
          <w:p w14:paraId="6DC583D6">
            <w:pPr>
              <w:adjustRightInd w:val="0"/>
              <w:snapToGrid w:val="0"/>
              <w:jc w:val="center"/>
              <w:rPr>
                <w:sz w:val="22"/>
                <w:szCs w:val="22"/>
              </w:rPr>
            </w:pPr>
            <w:r>
              <w:rPr>
                <w:sz w:val="22"/>
                <w:szCs w:val="22"/>
              </w:rPr>
              <w:t>妥善处置</w:t>
            </w:r>
          </w:p>
        </w:tc>
      </w:tr>
      <w:tr w14:paraId="7FBD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6A8AB61A">
            <w:pPr>
              <w:adjustRightInd w:val="0"/>
              <w:snapToGrid w:val="0"/>
              <w:jc w:val="center"/>
              <w:rPr>
                <w:sz w:val="22"/>
                <w:szCs w:val="22"/>
              </w:rPr>
            </w:pPr>
          </w:p>
        </w:tc>
        <w:tc>
          <w:tcPr>
            <w:tcW w:w="1225" w:type="dxa"/>
            <w:vMerge w:val="continue"/>
            <w:vAlign w:val="center"/>
          </w:tcPr>
          <w:p w14:paraId="6679042C">
            <w:pPr>
              <w:adjustRightInd w:val="0"/>
              <w:snapToGrid w:val="0"/>
              <w:jc w:val="center"/>
              <w:rPr>
                <w:sz w:val="22"/>
                <w:szCs w:val="22"/>
              </w:rPr>
            </w:pPr>
          </w:p>
        </w:tc>
        <w:tc>
          <w:tcPr>
            <w:tcW w:w="2123" w:type="dxa"/>
            <w:vAlign w:val="center"/>
          </w:tcPr>
          <w:p w14:paraId="4BA1E812">
            <w:pPr>
              <w:adjustRightInd w:val="0"/>
              <w:snapToGrid w:val="0"/>
              <w:jc w:val="center"/>
              <w:rPr>
                <w:sz w:val="22"/>
                <w:szCs w:val="22"/>
              </w:rPr>
            </w:pPr>
            <w:r>
              <w:rPr>
                <w:bCs/>
                <w:sz w:val="22"/>
              </w:rPr>
              <w:t>检修废渣</w:t>
            </w:r>
          </w:p>
        </w:tc>
        <w:tc>
          <w:tcPr>
            <w:tcW w:w="6409" w:type="dxa"/>
            <w:vMerge w:val="continue"/>
            <w:vAlign w:val="center"/>
          </w:tcPr>
          <w:p w14:paraId="1D50DD72">
            <w:pPr>
              <w:adjustRightInd w:val="0"/>
              <w:snapToGrid w:val="0"/>
              <w:rPr>
                <w:sz w:val="22"/>
                <w:szCs w:val="22"/>
              </w:rPr>
            </w:pPr>
          </w:p>
        </w:tc>
        <w:tc>
          <w:tcPr>
            <w:tcW w:w="2990" w:type="dxa"/>
            <w:vMerge w:val="continue"/>
            <w:vAlign w:val="center"/>
          </w:tcPr>
          <w:p w14:paraId="424C2F43">
            <w:pPr>
              <w:adjustRightInd w:val="0"/>
              <w:snapToGrid w:val="0"/>
              <w:jc w:val="center"/>
              <w:rPr>
                <w:sz w:val="22"/>
                <w:szCs w:val="22"/>
              </w:rPr>
            </w:pPr>
          </w:p>
        </w:tc>
      </w:tr>
      <w:tr w14:paraId="3054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35B21208">
            <w:pPr>
              <w:adjustRightInd w:val="0"/>
              <w:snapToGrid w:val="0"/>
              <w:jc w:val="center"/>
              <w:rPr>
                <w:sz w:val="22"/>
                <w:szCs w:val="22"/>
              </w:rPr>
            </w:pPr>
          </w:p>
        </w:tc>
        <w:tc>
          <w:tcPr>
            <w:tcW w:w="1225" w:type="dxa"/>
            <w:vMerge w:val="continue"/>
            <w:vAlign w:val="center"/>
          </w:tcPr>
          <w:p w14:paraId="0B6A849E">
            <w:pPr>
              <w:adjustRightInd w:val="0"/>
              <w:snapToGrid w:val="0"/>
              <w:jc w:val="center"/>
              <w:rPr>
                <w:sz w:val="22"/>
                <w:szCs w:val="22"/>
              </w:rPr>
            </w:pPr>
          </w:p>
        </w:tc>
        <w:tc>
          <w:tcPr>
            <w:tcW w:w="2123" w:type="dxa"/>
            <w:vAlign w:val="center"/>
          </w:tcPr>
          <w:p w14:paraId="106E4E5C">
            <w:pPr>
              <w:adjustRightInd w:val="0"/>
              <w:snapToGrid w:val="0"/>
              <w:jc w:val="center"/>
              <w:rPr>
                <w:bCs/>
                <w:sz w:val="22"/>
              </w:rPr>
            </w:pPr>
            <w:r>
              <w:rPr>
                <w:rFonts w:hint="eastAsia"/>
                <w:sz w:val="22"/>
                <w:szCs w:val="21"/>
              </w:rPr>
              <w:t>废油</w:t>
            </w:r>
          </w:p>
        </w:tc>
        <w:tc>
          <w:tcPr>
            <w:tcW w:w="6409" w:type="dxa"/>
            <w:vMerge w:val="continue"/>
            <w:vAlign w:val="center"/>
          </w:tcPr>
          <w:p w14:paraId="72C0D24C">
            <w:pPr>
              <w:adjustRightInd w:val="0"/>
              <w:snapToGrid w:val="0"/>
              <w:rPr>
                <w:sz w:val="22"/>
                <w:szCs w:val="22"/>
              </w:rPr>
            </w:pPr>
          </w:p>
        </w:tc>
        <w:tc>
          <w:tcPr>
            <w:tcW w:w="2990" w:type="dxa"/>
            <w:vMerge w:val="continue"/>
            <w:vAlign w:val="center"/>
          </w:tcPr>
          <w:p w14:paraId="6A509442">
            <w:pPr>
              <w:adjustRightInd w:val="0"/>
              <w:snapToGrid w:val="0"/>
              <w:jc w:val="center"/>
              <w:rPr>
                <w:sz w:val="22"/>
                <w:szCs w:val="22"/>
              </w:rPr>
            </w:pPr>
          </w:p>
        </w:tc>
      </w:tr>
      <w:tr w14:paraId="138E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1069D23E">
            <w:pPr>
              <w:adjustRightInd w:val="0"/>
              <w:snapToGrid w:val="0"/>
              <w:jc w:val="center"/>
              <w:rPr>
                <w:sz w:val="22"/>
                <w:szCs w:val="22"/>
              </w:rPr>
            </w:pPr>
          </w:p>
        </w:tc>
        <w:tc>
          <w:tcPr>
            <w:tcW w:w="1225" w:type="dxa"/>
            <w:vMerge w:val="continue"/>
            <w:vAlign w:val="center"/>
          </w:tcPr>
          <w:p w14:paraId="46B34E11">
            <w:pPr>
              <w:adjustRightInd w:val="0"/>
              <w:snapToGrid w:val="0"/>
              <w:jc w:val="center"/>
              <w:rPr>
                <w:sz w:val="22"/>
                <w:szCs w:val="22"/>
              </w:rPr>
            </w:pPr>
          </w:p>
        </w:tc>
        <w:tc>
          <w:tcPr>
            <w:tcW w:w="2123" w:type="dxa"/>
            <w:vAlign w:val="center"/>
          </w:tcPr>
          <w:p w14:paraId="67C6CF32">
            <w:pPr>
              <w:adjustRightInd w:val="0"/>
              <w:snapToGrid w:val="0"/>
              <w:jc w:val="center"/>
              <w:rPr>
                <w:sz w:val="22"/>
                <w:szCs w:val="21"/>
              </w:rPr>
            </w:pPr>
            <w:r>
              <w:rPr>
                <w:rFonts w:hint="eastAsia"/>
                <w:sz w:val="22"/>
                <w:szCs w:val="21"/>
              </w:rPr>
              <w:t>废油桶</w:t>
            </w:r>
          </w:p>
        </w:tc>
        <w:tc>
          <w:tcPr>
            <w:tcW w:w="6409" w:type="dxa"/>
            <w:vMerge w:val="continue"/>
            <w:vAlign w:val="center"/>
          </w:tcPr>
          <w:p w14:paraId="51079604">
            <w:pPr>
              <w:adjustRightInd w:val="0"/>
              <w:snapToGrid w:val="0"/>
              <w:rPr>
                <w:sz w:val="22"/>
                <w:szCs w:val="22"/>
              </w:rPr>
            </w:pPr>
          </w:p>
        </w:tc>
        <w:tc>
          <w:tcPr>
            <w:tcW w:w="2990" w:type="dxa"/>
            <w:vMerge w:val="continue"/>
            <w:vAlign w:val="center"/>
          </w:tcPr>
          <w:p w14:paraId="2B130407">
            <w:pPr>
              <w:adjustRightInd w:val="0"/>
              <w:snapToGrid w:val="0"/>
              <w:jc w:val="center"/>
              <w:rPr>
                <w:sz w:val="22"/>
                <w:szCs w:val="22"/>
              </w:rPr>
            </w:pPr>
          </w:p>
        </w:tc>
      </w:tr>
      <w:tr w14:paraId="11AD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3F8713B6">
            <w:pPr>
              <w:adjustRightInd w:val="0"/>
              <w:snapToGrid w:val="0"/>
              <w:jc w:val="center"/>
              <w:rPr>
                <w:sz w:val="22"/>
                <w:szCs w:val="22"/>
              </w:rPr>
            </w:pPr>
          </w:p>
        </w:tc>
        <w:tc>
          <w:tcPr>
            <w:tcW w:w="1225" w:type="dxa"/>
            <w:vMerge w:val="continue"/>
            <w:vAlign w:val="center"/>
          </w:tcPr>
          <w:p w14:paraId="3C0C14BE">
            <w:pPr>
              <w:adjustRightInd w:val="0"/>
              <w:snapToGrid w:val="0"/>
              <w:jc w:val="center"/>
              <w:rPr>
                <w:sz w:val="22"/>
                <w:szCs w:val="22"/>
              </w:rPr>
            </w:pPr>
          </w:p>
        </w:tc>
        <w:tc>
          <w:tcPr>
            <w:tcW w:w="2123" w:type="dxa"/>
            <w:vAlign w:val="center"/>
          </w:tcPr>
          <w:p w14:paraId="36849EE1">
            <w:pPr>
              <w:adjustRightInd w:val="0"/>
              <w:snapToGrid w:val="0"/>
              <w:jc w:val="center"/>
              <w:rPr>
                <w:sz w:val="22"/>
                <w:szCs w:val="21"/>
              </w:rPr>
            </w:pPr>
            <w:r>
              <w:rPr>
                <w:rFonts w:hint="eastAsia"/>
                <w:bCs/>
                <w:sz w:val="22"/>
              </w:rPr>
              <w:t>含油擦拭物</w:t>
            </w:r>
          </w:p>
        </w:tc>
        <w:tc>
          <w:tcPr>
            <w:tcW w:w="6409" w:type="dxa"/>
            <w:vMerge w:val="continue"/>
            <w:vAlign w:val="center"/>
          </w:tcPr>
          <w:p w14:paraId="18D0001F">
            <w:pPr>
              <w:adjustRightInd w:val="0"/>
              <w:snapToGrid w:val="0"/>
              <w:rPr>
                <w:sz w:val="22"/>
                <w:szCs w:val="22"/>
              </w:rPr>
            </w:pPr>
          </w:p>
        </w:tc>
        <w:tc>
          <w:tcPr>
            <w:tcW w:w="2990" w:type="dxa"/>
            <w:vMerge w:val="continue"/>
            <w:vAlign w:val="center"/>
          </w:tcPr>
          <w:p w14:paraId="7EA16BB1">
            <w:pPr>
              <w:adjustRightInd w:val="0"/>
              <w:snapToGrid w:val="0"/>
              <w:jc w:val="center"/>
              <w:rPr>
                <w:sz w:val="22"/>
                <w:szCs w:val="22"/>
              </w:rPr>
            </w:pPr>
          </w:p>
        </w:tc>
      </w:tr>
      <w:tr w14:paraId="2A79C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39EA4836">
            <w:pPr>
              <w:adjustRightInd w:val="0"/>
              <w:snapToGrid w:val="0"/>
              <w:jc w:val="center"/>
              <w:rPr>
                <w:sz w:val="22"/>
                <w:szCs w:val="22"/>
              </w:rPr>
            </w:pPr>
          </w:p>
        </w:tc>
        <w:tc>
          <w:tcPr>
            <w:tcW w:w="1225" w:type="dxa"/>
            <w:vMerge w:val="continue"/>
            <w:vAlign w:val="center"/>
          </w:tcPr>
          <w:p w14:paraId="6BE11F4C">
            <w:pPr>
              <w:adjustRightInd w:val="0"/>
              <w:snapToGrid w:val="0"/>
              <w:jc w:val="center"/>
              <w:rPr>
                <w:sz w:val="22"/>
                <w:szCs w:val="22"/>
              </w:rPr>
            </w:pPr>
          </w:p>
        </w:tc>
        <w:tc>
          <w:tcPr>
            <w:tcW w:w="2123" w:type="dxa"/>
            <w:vAlign w:val="center"/>
          </w:tcPr>
          <w:p w14:paraId="367AA517">
            <w:pPr>
              <w:adjustRightInd w:val="0"/>
              <w:snapToGrid w:val="0"/>
              <w:jc w:val="center"/>
              <w:rPr>
                <w:sz w:val="22"/>
                <w:szCs w:val="22"/>
              </w:rPr>
            </w:pPr>
            <w:r>
              <w:rPr>
                <w:rFonts w:hint="eastAsia"/>
                <w:bCs/>
                <w:sz w:val="22"/>
                <w:szCs w:val="22"/>
              </w:rPr>
              <w:t>废滤芯</w:t>
            </w:r>
          </w:p>
        </w:tc>
        <w:tc>
          <w:tcPr>
            <w:tcW w:w="6409" w:type="dxa"/>
            <w:vMerge w:val="restart"/>
            <w:vAlign w:val="center"/>
          </w:tcPr>
          <w:p w14:paraId="1A1C2E36">
            <w:pPr>
              <w:adjustRightInd w:val="0"/>
              <w:snapToGrid w:val="0"/>
              <w:rPr>
                <w:sz w:val="22"/>
                <w:szCs w:val="22"/>
              </w:rPr>
            </w:pPr>
            <w:r>
              <w:rPr>
                <w:rFonts w:hint="eastAsia"/>
                <w:bCs/>
                <w:sz w:val="22"/>
              </w:rPr>
              <w:t>由厂家统一更换后回收，不在站内存储。</w:t>
            </w:r>
          </w:p>
        </w:tc>
        <w:tc>
          <w:tcPr>
            <w:tcW w:w="2990" w:type="dxa"/>
            <w:vMerge w:val="restart"/>
            <w:vAlign w:val="center"/>
          </w:tcPr>
          <w:p w14:paraId="462592B3">
            <w:pPr>
              <w:adjustRightInd w:val="0"/>
              <w:snapToGrid w:val="0"/>
              <w:jc w:val="center"/>
              <w:rPr>
                <w:sz w:val="22"/>
                <w:szCs w:val="22"/>
              </w:rPr>
            </w:pPr>
            <w:r>
              <w:rPr>
                <w:sz w:val="22"/>
                <w:szCs w:val="22"/>
              </w:rPr>
              <w:t>妥善处置</w:t>
            </w:r>
          </w:p>
        </w:tc>
      </w:tr>
      <w:tr w14:paraId="0C14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5DFA0511">
            <w:pPr>
              <w:adjustRightInd w:val="0"/>
              <w:snapToGrid w:val="0"/>
              <w:jc w:val="center"/>
              <w:rPr>
                <w:sz w:val="22"/>
                <w:szCs w:val="22"/>
              </w:rPr>
            </w:pPr>
          </w:p>
        </w:tc>
        <w:tc>
          <w:tcPr>
            <w:tcW w:w="1225" w:type="dxa"/>
            <w:vMerge w:val="continue"/>
            <w:vAlign w:val="center"/>
          </w:tcPr>
          <w:p w14:paraId="5BA13417">
            <w:pPr>
              <w:adjustRightInd w:val="0"/>
              <w:snapToGrid w:val="0"/>
              <w:jc w:val="center"/>
              <w:rPr>
                <w:sz w:val="22"/>
                <w:szCs w:val="22"/>
              </w:rPr>
            </w:pPr>
          </w:p>
        </w:tc>
        <w:tc>
          <w:tcPr>
            <w:tcW w:w="2123" w:type="dxa"/>
            <w:vAlign w:val="center"/>
          </w:tcPr>
          <w:p w14:paraId="52584B2B">
            <w:pPr>
              <w:adjustRightInd w:val="0"/>
              <w:snapToGrid w:val="0"/>
              <w:jc w:val="center"/>
              <w:rPr>
                <w:bCs/>
                <w:sz w:val="22"/>
                <w:szCs w:val="22"/>
              </w:rPr>
            </w:pPr>
            <w:r>
              <w:rPr>
                <w:rFonts w:hint="eastAsia"/>
                <w:bCs/>
                <w:sz w:val="22"/>
                <w:szCs w:val="22"/>
              </w:rPr>
              <w:t>废分子筛</w:t>
            </w:r>
          </w:p>
        </w:tc>
        <w:tc>
          <w:tcPr>
            <w:tcW w:w="6409" w:type="dxa"/>
            <w:vMerge w:val="continue"/>
            <w:vAlign w:val="center"/>
          </w:tcPr>
          <w:p w14:paraId="20489148">
            <w:pPr>
              <w:adjustRightInd w:val="0"/>
              <w:snapToGrid w:val="0"/>
              <w:rPr>
                <w:bCs/>
                <w:sz w:val="22"/>
              </w:rPr>
            </w:pPr>
          </w:p>
        </w:tc>
        <w:tc>
          <w:tcPr>
            <w:tcW w:w="2990" w:type="dxa"/>
            <w:vMerge w:val="continue"/>
            <w:vAlign w:val="center"/>
          </w:tcPr>
          <w:p w14:paraId="1AFA36C6">
            <w:pPr>
              <w:adjustRightInd w:val="0"/>
              <w:snapToGrid w:val="0"/>
              <w:jc w:val="center"/>
              <w:rPr>
                <w:sz w:val="22"/>
                <w:szCs w:val="22"/>
              </w:rPr>
            </w:pPr>
          </w:p>
        </w:tc>
      </w:tr>
      <w:tr w14:paraId="793DF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1D20D507">
            <w:pPr>
              <w:adjustRightInd w:val="0"/>
              <w:snapToGrid w:val="0"/>
              <w:jc w:val="center"/>
              <w:rPr>
                <w:sz w:val="22"/>
                <w:szCs w:val="22"/>
              </w:rPr>
            </w:pPr>
          </w:p>
        </w:tc>
        <w:tc>
          <w:tcPr>
            <w:tcW w:w="1225" w:type="dxa"/>
            <w:vMerge w:val="continue"/>
            <w:vAlign w:val="center"/>
          </w:tcPr>
          <w:p w14:paraId="0F9920B9">
            <w:pPr>
              <w:adjustRightInd w:val="0"/>
              <w:snapToGrid w:val="0"/>
              <w:jc w:val="center"/>
              <w:rPr>
                <w:sz w:val="22"/>
                <w:szCs w:val="22"/>
              </w:rPr>
            </w:pPr>
          </w:p>
        </w:tc>
        <w:tc>
          <w:tcPr>
            <w:tcW w:w="2123" w:type="dxa"/>
            <w:vAlign w:val="center"/>
          </w:tcPr>
          <w:p w14:paraId="00890F02">
            <w:pPr>
              <w:adjustRightInd w:val="0"/>
              <w:snapToGrid w:val="0"/>
              <w:jc w:val="center"/>
              <w:rPr>
                <w:sz w:val="22"/>
                <w:szCs w:val="22"/>
              </w:rPr>
            </w:pPr>
            <w:r>
              <w:rPr>
                <w:rFonts w:hint="eastAsia"/>
                <w:bCs/>
                <w:sz w:val="22"/>
                <w:szCs w:val="22"/>
              </w:rPr>
              <w:t>生活垃圾</w:t>
            </w:r>
          </w:p>
        </w:tc>
        <w:tc>
          <w:tcPr>
            <w:tcW w:w="6409" w:type="dxa"/>
            <w:vAlign w:val="center"/>
          </w:tcPr>
          <w:p w14:paraId="2511833D">
            <w:pPr>
              <w:adjustRightInd w:val="0"/>
              <w:snapToGrid w:val="0"/>
              <w:rPr>
                <w:sz w:val="22"/>
                <w:szCs w:val="22"/>
              </w:rPr>
            </w:pPr>
            <w:r>
              <w:rPr>
                <w:rFonts w:hint="eastAsia"/>
                <w:bCs/>
                <w:sz w:val="22"/>
                <w:szCs w:val="22"/>
              </w:rPr>
              <w:t>分类收集后交当地环卫部门处置</w:t>
            </w:r>
          </w:p>
        </w:tc>
        <w:tc>
          <w:tcPr>
            <w:tcW w:w="2990" w:type="dxa"/>
            <w:vAlign w:val="center"/>
          </w:tcPr>
          <w:p w14:paraId="2BE487E4">
            <w:pPr>
              <w:adjustRightInd w:val="0"/>
              <w:snapToGrid w:val="0"/>
              <w:jc w:val="center"/>
              <w:rPr>
                <w:sz w:val="22"/>
                <w:szCs w:val="22"/>
              </w:rPr>
            </w:pPr>
            <w:r>
              <w:rPr>
                <w:sz w:val="22"/>
                <w:szCs w:val="22"/>
              </w:rPr>
              <w:t>妥善处置</w:t>
            </w:r>
          </w:p>
        </w:tc>
      </w:tr>
      <w:tr w14:paraId="1F03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18" w:type="dxa"/>
            <w:vMerge w:val="continue"/>
            <w:vAlign w:val="center"/>
          </w:tcPr>
          <w:p w14:paraId="58E56328">
            <w:pPr>
              <w:adjustRightInd w:val="0"/>
              <w:snapToGrid w:val="0"/>
              <w:jc w:val="center"/>
              <w:rPr>
                <w:sz w:val="22"/>
                <w:szCs w:val="22"/>
              </w:rPr>
            </w:pPr>
          </w:p>
        </w:tc>
        <w:tc>
          <w:tcPr>
            <w:tcW w:w="3348" w:type="dxa"/>
            <w:gridSpan w:val="2"/>
            <w:vAlign w:val="center"/>
          </w:tcPr>
          <w:p w14:paraId="7319CF5E">
            <w:pPr>
              <w:adjustRightInd w:val="0"/>
              <w:snapToGrid w:val="0"/>
              <w:jc w:val="center"/>
              <w:rPr>
                <w:sz w:val="22"/>
                <w:szCs w:val="22"/>
              </w:rPr>
            </w:pPr>
            <w:r>
              <w:rPr>
                <w:sz w:val="22"/>
                <w:szCs w:val="22"/>
              </w:rPr>
              <w:t>地下水、土壤</w:t>
            </w:r>
          </w:p>
        </w:tc>
        <w:tc>
          <w:tcPr>
            <w:tcW w:w="6409" w:type="dxa"/>
            <w:vAlign w:val="center"/>
          </w:tcPr>
          <w:p w14:paraId="4035412F">
            <w:pPr>
              <w:adjustRightInd w:val="0"/>
              <w:snapToGrid w:val="0"/>
              <w:rPr>
                <w:sz w:val="22"/>
                <w:szCs w:val="22"/>
              </w:rPr>
            </w:pPr>
            <w:r>
              <w:rPr>
                <w:sz w:val="22"/>
                <w:szCs w:val="22"/>
              </w:rPr>
              <w:t>进行清污分流，分区防渗，管道防腐</w:t>
            </w:r>
            <w:r>
              <w:rPr>
                <w:rFonts w:hint="eastAsia"/>
                <w:sz w:val="22"/>
                <w:szCs w:val="22"/>
              </w:rPr>
              <w:t>，</w:t>
            </w:r>
            <w:r>
              <w:rPr>
                <w:sz w:val="22"/>
                <w:szCs w:val="22"/>
              </w:rPr>
              <w:t>对土壤和地下水跟踪监测。</w:t>
            </w:r>
          </w:p>
        </w:tc>
        <w:tc>
          <w:tcPr>
            <w:tcW w:w="2990" w:type="dxa"/>
            <w:vAlign w:val="center"/>
          </w:tcPr>
          <w:p w14:paraId="5612819D">
            <w:pPr>
              <w:adjustRightInd w:val="0"/>
              <w:snapToGrid w:val="0"/>
              <w:jc w:val="center"/>
              <w:rPr>
                <w:sz w:val="22"/>
                <w:szCs w:val="22"/>
              </w:rPr>
            </w:pPr>
            <w:r>
              <w:rPr>
                <w:sz w:val="22"/>
                <w:szCs w:val="22"/>
              </w:rPr>
              <w:t>妥善处置</w:t>
            </w:r>
          </w:p>
        </w:tc>
      </w:tr>
      <w:tr w14:paraId="3959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66" w:type="dxa"/>
            <w:gridSpan w:val="3"/>
            <w:vAlign w:val="center"/>
          </w:tcPr>
          <w:p w14:paraId="5AC2A809">
            <w:pPr>
              <w:adjustRightInd w:val="0"/>
              <w:snapToGrid w:val="0"/>
              <w:jc w:val="center"/>
              <w:rPr>
                <w:sz w:val="22"/>
                <w:szCs w:val="22"/>
              </w:rPr>
            </w:pPr>
            <w:r>
              <w:rPr>
                <w:sz w:val="22"/>
                <w:szCs w:val="22"/>
              </w:rPr>
              <w:t>环境风险</w:t>
            </w:r>
          </w:p>
        </w:tc>
        <w:tc>
          <w:tcPr>
            <w:tcW w:w="6409" w:type="dxa"/>
            <w:vAlign w:val="center"/>
          </w:tcPr>
          <w:p w14:paraId="78B5545B">
            <w:pPr>
              <w:adjustRightInd w:val="0"/>
              <w:snapToGrid w:val="0"/>
              <w:rPr>
                <w:sz w:val="22"/>
                <w:szCs w:val="22"/>
              </w:rPr>
            </w:pPr>
            <w:r>
              <w:rPr>
                <w:sz w:val="22"/>
                <w:szCs w:val="22"/>
              </w:rPr>
              <w:t>设立完善的环境风险管理制度；编制突发环境风险应急预案，定期组织应急演练等。</w:t>
            </w:r>
          </w:p>
        </w:tc>
        <w:tc>
          <w:tcPr>
            <w:tcW w:w="2990" w:type="dxa"/>
            <w:vAlign w:val="center"/>
          </w:tcPr>
          <w:p w14:paraId="5F722742">
            <w:pPr>
              <w:adjustRightInd w:val="0"/>
              <w:snapToGrid w:val="0"/>
              <w:jc w:val="center"/>
              <w:rPr>
                <w:sz w:val="22"/>
                <w:szCs w:val="22"/>
              </w:rPr>
            </w:pPr>
            <w:r>
              <w:rPr>
                <w:sz w:val="22"/>
                <w:szCs w:val="22"/>
              </w:rPr>
              <w:t>体系完善</w:t>
            </w:r>
          </w:p>
        </w:tc>
      </w:tr>
      <w:tr w14:paraId="480A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66" w:type="dxa"/>
            <w:gridSpan w:val="3"/>
            <w:vAlign w:val="center"/>
          </w:tcPr>
          <w:p w14:paraId="2771B75A">
            <w:pPr>
              <w:adjustRightInd w:val="0"/>
              <w:snapToGrid w:val="0"/>
              <w:jc w:val="center"/>
              <w:rPr>
                <w:sz w:val="22"/>
                <w:szCs w:val="22"/>
              </w:rPr>
            </w:pPr>
            <w:r>
              <w:rPr>
                <w:sz w:val="22"/>
                <w:szCs w:val="22"/>
              </w:rPr>
              <w:t>环境管理</w:t>
            </w:r>
          </w:p>
        </w:tc>
        <w:tc>
          <w:tcPr>
            <w:tcW w:w="6409" w:type="dxa"/>
            <w:vAlign w:val="center"/>
          </w:tcPr>
          <w:p w14:paraId="5093C1CC">
            <w:pPr>
              <w:adjustRightInd w:val="0"/>
              <w:snapToGrid w:val="0"/>
              <w:rPr>
                <w:sz w:val="22"/>
                <w:szCs w:val="22"/>
              </w:rPr>
            </w:pPr>
            <w:r>
              <w:rPr>
                <w:sz w:val="22"/>
                <w:szCs w:val="22"/>
              </w:rPr>
              <w:t>制定健全的环保管理系统，包括部门设置、管理人员配备、员工培训、考核与管理制度。</w:t>
            </w:r>
          </w:p>
        </w:tc>
        <w:tc>
          <w:tcPr>
            <w:tcW w:w="2990" w:type="dxa"/>
            <w:vAlign w:val="center"/>
          </w:tcPr>
          <w:p w14:paraId="4F7EA199">
            <w:pPr>
              <w:adjustRightInd w:val="0"/>
              <w:snapToGrid w:val="0"/>
              <w:jc w:val="center"/>
              <w:rPr>
                <w:sz w:val="22"/>
                <w:szCs w:val="22"/>
              </w:rPr>
            </w:pPr>
            <w:r>
              <w:rPr>
                <w:sz w:val="22"/>
                <w:szCs w:val="22"/>
              </w:rPr>
              <w:t>制度完善</w:t>
            </w:r>
          </w:p>
        </w:tc>
      </w:tr>
    </w:tbl>
    <w:p w14:paraId="501490B2">
      <w:pPr>
        <w:pStyle w:val="1379"/>
        <w:ind w:firstLine="440"/>
      </w:pPr>
    </w:p>
    <w:p w14:paraId="3FFFD30F">
      <w:pPr>
        <w:spacing w:line="460" w:lineRule="exact"/>
        <w:ind w:firstLine="520" w:firstLineChars="200"/>
        <w:rPr>
          <w:sz w:val="26"/>
          <w:szCs w:val="26"/>
        </w:rPr>
        <w:sectPr>
          <w:pgSz w:w="16838" w:h="11906" w:orient="landscape"/>
          <w:pgMar w:top="1588" w:right="1701" w:bottom="1588" w:left="1588" w:header="1304" w:footer="1247" w:gutter="0"/>
          <w:cols w:space="720" w:num="1"/>
          <w:docGrid w:linePitch="312" w:charSpace="0"/>
        </w:sectPr>
      </w:pPr>
    </w:p>
    <w:p w14:paraId="5450AA7C">
      <w:pPr>
        <w:pStyle w:val="1059"/>
        <w:rPr>
          <w:rFonts w:cs="Times New Roman"/>
        </w:rPr>
      </w:pPr>
      <w:bookmarkStart w:id="480" w:name="_Toc165810697"/>
      <w:bookmarkStart w:id="481" w:name="_Toc165809786"/>
      <w:bookmarkStart w:id="482" w:name="_Toc104907188"/>
      <w:bookmarkStart w:id="483" w:name="_Toc219907698"/>
      <w:r>
        <w:rPr>
          <w:rFonts w:cs="Times New Roman"/>
        </w:rPr>
        <w:t>10.11 总量控制</w:t>
      </w:r>
      <w:bookmarkEnd w:id="480"/>
      <w:bookmarkEnd w:id="481"/>
      <w:bookmarkEnd w:id="482"/>
      <w:bookmarkEnd w:id="483"/>
    </w:p>
    <w:p w14:paraId="35A92E30">
      <w:pPr>
        <w:pStyle w:val="702"/>
        <w:ind w:firstLine="520"/>
      </w:pPr>
      <w:r>
        <w:t>根据四川省环境保护厅办公室“关于贯彻落实《建设项目主要污染物排放总量指标审核及管理暂行办法》的通知》”（川环办发〔2015〕333 号）提出总量指标的计算方法，废气中污染物核算应按照“国家或地方污染物排放标准及单位产品基准排水量（行业最高允许排水量）、烟气量等予以核定，排放标准中未予明确的，按环评预测废水、废气排放量予以核定。”</w:t>
      </w:r>
    </w:p>
    <w:p w14:paraId="365DCACB">
      <w:pPr>
        <w:pStyle w:val="702"/>
        <w:ind w:firstLine="520"/>
        <w:rPr>
          <w:rFonts w:cs="Times New Roman"/>
        </w:rPr>
      </w:pPr>
      <w:r>
        <w:rPr>
          <w:rFonts w:cs="Times New Roman"/>
        </w:rPr>
        <w:t>本项目无废水直接外排，因此不需要新增废水总量指标。本项目水套加热炉为临时性设施，</w:t>
      </w:r>
      <w:r>
        <w:rPr>
          <w:rFonts w:hint="eastAsia" w:cs="Times New Roman"/>
        </w:rPr>
        <w:t>站场逸散废气</w:t>
      </w:r>
      <w:r>
        <w:rPr>
          <w:rFonts w:cs="Times New Roman"/>
        </w:rPr>
        <w:t>为无组织排放，放空管为“其他”排放口，根据《排污许可证申请与核发技术规范总则》（HJ942-2018），本项目不需要申请废气排放总量指标。</w:t>
      </w:r>
    </w:p>
    <w:p w14:paraId="4739A20A">
      <w:pPr>
        <w:pStyle w:val="1059"/>
      </w:pPr>
      <w:bookmarkStart w:id="484" w:name="_Toc219907699"/>
      <w:r>
        <w:t xml:space="preserve">10.12 </w:t>
      </w:r>
      <w:r>
        <w:rPr>
          <w:rFonts w:hint="eastAsia"/>
        </w:rPr>
        <w:t>排污许可管理</w:t>
      </w:r>
      <w:bookmarkEnd w:id="484"/>
    </w:p>
    <w:p w14:paraId="090A40BD">
      <w:pPr>
        <w:pStyle w:val="1068"/>
      </w:pPr>
      <w:r>
        <w:t xml:space="preserve">10.12.1 </w:t>
      </w:r>
      <w:r>
        <w:rPr>
          <w:rFonts w:hint="eastAsia"/>
        </w:rPr>
        <w:t>排污许可管理</w:t>
      </w:r>
    </w:p>
    <w:p w14:paraId="696243BC">
      <w:pPr>
        <w:pStyle w:val="1381"/>
        <w:ind w:firstLine="520"/>
      </w:pPr>
      <w:r>
        <w:rPr>
          <w:rFonts w:hint="eastAsia"/>
        </w:rPr>
        <w:t>根据《固定污染源排污许可分类管理名录（2019 年版）》，项目属于“三、石油和天然气开采业07”中“天然气开采072”行业，项目不属于重点排污单位名录，不涉及通用工序，为登记管理。</w:t>
      </w:r>
    </w:p>
    <w:p w14:paraId="79CD8286">
      <w:pPr>
        <w:pStyle w:val="1068"/>
      </w:pPr>
      <w:r>
        <w:t xml:space="preserve">10.12.2 </w:t>
      </w:r>
      <w:r>
        <w:rPr>
          <w:rFonts w:hint="eastAsia"/>
        </w:rPr>
        <w:t>与排污许可制度衔接</w:t>
      </w:r>
    </w:p>
    <w:p w14:paraId="5C1538DA">
      <w:pPr>
        <w:pStyle w:val="1381"/>
        <w:ind w:firstLine="520"/>
      </w:pPr>
      <w:r>
        <w:rPr>
          <w:rFonts w:hint="eastAsia"/>
        </w:rPr>
        <w:t>根据《排污许可证管理暂行办法》可知：排污单位应当在环境保护主管部门规定的期限内提交排污许可证申请材料，申请领取排污许可证。建设项目所在单位应当在建设项目环境影响评价批复或备案文件要求配套建设的环境保护设施，按期完成并投入运行后三十个工作日内，向环境保护主管部门提交申请。</w:t>
      </w:r>
    </w:p>
    <w:p w14:paraId="3532EBDF">
      <w:pPr>
        <w:pStyle w:val="1381"/>
        <w:ind w:firstLine="520"/>
      </w:pPr>
      <w:r>
        <w:rPr>
          <w:rFonts w:hint="eastAsia"/>
        </w:rPr>
        <w:t>排污单位应当严格执行排污许可证的规定，根据《排污许可证申请与核发技术规范 总则》（HJ942-2018）、《排污许可证申请与核发技术规范 工业噪声》（HJ 1301-2023）、《排污许可证申请与核发技术规范 工业固体废物（试行）》（HJ1200-2021）等相关文件，遵守下列要求：</w:t>
      </w:r>
    </w:p>
    <w:p w14:paraId="7D8F9A55">
      <w:pPr>
        <w:pStyle w:val="1381"/>
        <w:ind w:firstLine="520"/>
      </w:pPr>
      <w:r>
        <w:rPr>
          <w:rFonts w:hint="eastAsia"/>
        </w:rPr>
        <w:t>（一）排污口位置和数量、排放方式、排放去向、排放污染物种类、排放浓度和排放量、执行的排放标准等符合排污许可证的规定，不得私设暗管或以其他方式逃避监管。</w:t>
      </w:r>
    </w:p>
    <w:p w14:paraId="0920A44C">
      <w:pPr>
        <w:pStyle w:val="1381"/>
        <w:ind w:firstLine="520"/>
      </w:pPr>
      <w:r>
        <w:rPr>
          <w:rFonts w:hint="eastAsia"/>
        </w:rPr>
        <w:t>（二）落实重污染天气应急管控措施、遵守法律规定的最新环境保护要求等。</w:t>
      </w:r>
    </w:p>
    <w:p w14:paraId="444B9D00">
      <w:pPr>
        <w:pStyle w:val="1381"/>
        <w:ind w:firstLine="520"/>
      </w:pPr>
      <w:r>
        <w:rPr>
          <w:rFonts w:hint="eastAsia"/>
        </w:rPr>
        <w:t>（三）按排污许可证规定的监测点位、监测因子、监测频次和相关监测技术规范开展自行监测并公开。</w:t>
      </w:r>
    </w:p>
    <w:p w14:paraId="23D2D4FB">
      <w:pPr>
        <w:pStyle w:val="1381"/>
        <w:ind w:firstLine="520"/>
      </w:pPr>
      <w:r>
        <w:rPr>
          <w:rFonts w:hint="eastAsia"/>
        </w:rPr>
        <w:t>（四）按规范进行台账记录，主要内容包括生产信息、燃料、原辅材料使用情况、污染防治设施运行记录、监测数据等。</w:t>
      </w:r>
    </w:p>
    <w:p w14:paraId="6A415BB3">
      <w:pPr>
        <w:pStyle w:val="1381"/>
        <w:ind w:firstLine="520"/>
      </w:pPr>
      <w:r>
        <w:rPr>
          <w:rFonts w:hint="eastAsia"/>
        </w:rPr>
        <w:t>（五）按排污许可证规定，定期在国家排污许可证管理信息平台填报信息，编制排污许可证执行报告，及时报送有核发权的环境保护主管部门并公开，执行报告主要内容包括生产信息、污染防治设施运行情况、污染物按证排放情况等。</w:t>
      </w:r>
    </w:p>
    <w:p w14:paraId="6867DCE8">
      <w:pPr>
        <w:pStyle w:val="1381"/>
        <w:ind w:firstLine="520"/>
      </w:pPr>
      <w:r>
        <w:rPr>
          <w:rFonts w:hint="eastAsia"/>
        </w:rPr>
        <w:t>《国务院办公厅关于印发控制污染物排放许可制实施方案的通知》（国办发〔2016〕8号）明确将排污许可制建设成为固体污染源环境管理的核心制度，作为企业守法、部门执法、社会监督的依据，为提高环境管理效能和改善环境质量奠定坚实基础。</w:t>
      </w:r>
    </w:p>
    <w:p w14:paraId="7392AC49">
      <w:pPr>
        <w:pStyle w:val="1381"/>
        <w:ind w:firstLine="520"/>
      </w:pPr>
      <w:r>
        <w:rPr>
          <w:rFonts w:hint="eastAsia"/>
        </w:rPr>
        <w:t>根据《关于做好环境影响评价制度与排污许可制衔接相关工作的通知》（环办环评〔2017〕84号）提出：依据国家或地方污染物排放标准、环境质量标准和总量控制要求等管理规定，按照污染源源强核算技术指南、环境影响评价要素导则等技术文件，严格核定排放口数量、位置以及每个排放口的污染物种类、允许排放浓度和允许排放量、排放方式、排放去向、自行监测计划等与污染物排放相关的主要内容。</w:t>
      </w:r>
    </w:p>
    <w:p w14:paraId="5CE85DF6">
      <w:pPr>
        <w:pStyle w:val="1381"/>
        <w:ind w:firstLine="520"/>
      </w:pPr>
      <w:r>
        <w:rPr>
          <w:rFonts w:hint="eastAsia"/>
        </w:rPr>
        <w:t>根据《固定污染源排污许可分类管理名录（2019年版）》，本次项目属于“三、石油和天然气开采业07”中“天然气开采07</w:t>
      </w:r>
      <w:r>
        <w:t>2</w:t>
      </w:r>
      <w:r>
        <w:rPr>
          <w:rFonts w:hint="eastAsia"/>
        </w:rPr>
        <w:t>”行业，项目不属于涉及通用工序重点管理和简化管理，为</w:t>
      </w:r>
      <w:r>
        <w:rPr>
          <w:rFonts w:hint="eastAsia"/>
          <w:b/>
        </w:rPr>
        <w:t>登记管理</w:t>
      </w:r>
      <w:r>
        <w:rPr>
          <w:rFonts w:hint="eastAsia"/>
        </w:rPr>
        <w:t>。</w:t>
      </w:r>
    </w:p>
    <w:p w14:paraId="59698081">
      <w:pPr>
        <w:pStyle w:val="1068"/>
      </w:pPr>
      <w:r>
        <w:t xml:space="preserve">10.12.3 </w:t>
      </w:r>
      <w:r>
        <w:rPr>
          <w:rFonts w:hint="eastAsia"/>
        </w:rPr>
        <w:t>排污口规范化管理</w:t>
      </w:r>
    </w:p>
    <w:p w14:paraId="3F73C269">
      <w:pPr>
        <w:pStyle w:val="1381"/>
        <w:ind w:firstLine="520"/>
      </w:pPr>
      <w:r>
        <w:rPr>
          <w:rFonts w:hint="eastAsia"/>
        </w:rPr>
        <w:t>根据原国家环境保护总局（环发〔1999〕24号）《关于开展排放口规范化整治工作的通知》中的规定：一切新建、扩建、改建的排污单位必须在建设污染治理设施的同时建设规范化排污口，作为落实环境保护“三同时”制度的必要组成和项目验收内容之一。</w:t>
      </w:r>
    </w:p>
    <w:p w14:paraId="56F5FF0C">
      <w:pPr>
        <w:pStyle w:val="1381"/>
        <w:ind w:firstLine="520"/>
      </w:pPr>
      <w:r>
        <w:rPr>
          <w:rFonts w:hint="eastAsia"/>
        </w:rPr>
        <w:t>因此，本项目要对污染物排放口进行规范化管理。各污染源排放口应设置专项图标，执行《环境保护图形标志—排放口（源）》（GB15562.1-1995）的规定。</w:t>
      </w:r>
    </w:p>
    <w:p w14:paraId="36466573">
      <w:pPr>
        <w:pStyle w:val="1381"/>
        <w:ind w:firstLine="520"/>
      </w:pPr>
      <w:r>
        <w:rPr>
          <w:rFonts w:hint="eastAsia"/>
        </w:rPr>
        <w:t>（1）废气排放口</w:t>
      </w:r>
    </w:p>
    <w:p w14:paraId="45AEAA71">
      <w:pPr>
        <w:pStyle w:val="1381"/>
        <w:ind w:firstLine="520"/>
      </w:pPr>
      <w:r>
        <w:rPr>
          <w:rFonts w:hint="eastAsia"/>
        </w:rPr>
        <w:t>废气排放口必须根据《污染源监测技术规范》设置便于采样、监测的采样口。排放口按照《环境保护图形标志-排放口（源）》（GB15562.1-1995）的规定设置环境保护图形标志牌。</w:t>
      </w:r>
    </w:p>
    <w:p w14:paraId="58CD9DB2">
      <w:pPr>
        <w:pStyle w:val="1381"/>
        <w:ind w:firstLine="520"/>
      </w:pPr>
      <w:r>
        <w:rPr>
          <w:rFonts w:hint="eastAsia"/>
        </w:rPr>
        <w:t>（2）环境保护图形标志牌应设置在排放口或采样点较近且醒目处，高度为标志牌上缘离地面2米。排污口的有关设置（如立式标志牌、计量装置、监控装置等）属环保设施，排污单位必须负责日常的维护保养，任何单位和个人不得擅自拆除，如需要变更的须报环境管理部门同意并办理变更手续。</w:t>
      </w:r>
    </w:p>
    <w:p w14:paraId="63279E0A">
      <w:pPr>
        <w:pStyle w:val="1381"/>
        <w:ind w:firstLine="520"/>
      </w:pPr>
      <w:r>
        <w:rPr>
          <w:rFonts w:hint="eastAsia"/>
        </w:rPr>
        <w:t>（3）规范化整治排污口有关设施属于环境保护设施，公司应将其纳入其设备管理，并选派责任心强、有专业知识和技能的专、兼职人员对排污口进行管理。</w:t>
      </w:r>
    </w:p>
    <w:p w14:paraId="01E6C073">
      <w:pPr>
        <w:spacing w:line="460" w:lineRule="exact"/>
        <w:ind w:firstLine="520" w:firstLineChars="200"/>
        <w:rPr>
          <w:sz w:val="26"/>
          <w:szCs w:val="26"/>
        </w:rPr>
      </w:pPr>
    </w:p>
    <w:p w14:paraId="0C71B4F3">
      <w:pPr>
        <w:spacing w:line="460" w:lineRule="exact"/>
        <w:ind w:firstLine="520" w:firstLineChars="200"/>
        <w:rPr>
          <w:sz w:val="26"/>
          <w:szCs w:val="26"/>
        </w:rPr>
      </w:pPr>
    </w:p>
    <w:p w14:paraId="01379876">
      <w:pPr>
        <w:adjustRightInd w:val="0"/>
        <w:snapToGrid w:val="0"/>
        <w:spacing w:before="480" w:beforeLines="200" w:after="120" w:afterLines="50" w:line="360" w:lineRule="auto"/>
        <w:jc w:val="center"/>
        <w:outlineLvl w:val="0"/>
        <w:rPr>
          <w:b/>
          <w:sz w:val="32"/>
          <w:szCs w:val="32"/>
          <w:lang w:val="da-DK"/>
        </w:rPr>
        <w:sectPr>
          <w:pgSz w:w="11906" w:h="16838"/>
          <w:pgMar w:top="1701" w:right="1588" w:bottom="1588" w:left="1588" w:header="1304" w:footer="1247" w:gutter="0"/>
          <w:cols w:space="720" w:num="1"/>
          <w:docGrid w:linePitch="312" w:charSpace="0"/>
        </w:sectPr>
      </w:pPr>
    </w:p>
    <w:p w14:paraId="4CE0AA98">
      <w:pPr>
        <w:adjustRightInd w:val="0"/>
        <w:snapToGrid w:val="0"/>
        <w:spacing w:before="240" w:beforeLines="100" w:after="240" w:afterLines="100"/>
        <w:jc w:val="center"/>
        <w:outlineLvl w:val="0"/>
        <w:rPr>
          <w:b/>
          <w:sz w:val="32"/>
          <w:szCs w:val="32"/>
        </w:rPr>
      </w:pPr>
      <w:bookmarkStart w:id="485" w:name="_Toc165809787"/>
      <w:bookmarkStart w:id="486" w:name="_Toc165810698"/>
      <w:bookmarkStart w:id="487" w:name="_Toc219907700"/>
      <w:r>
        <w:rPr>
          <w:b/>
          <w:sz w:val="32"/>
          <w:szCs w:val="32"/>
        </w:rPr>
        <w:t>11 结论及建议</w:t>
      </w:r>
      <w:bookmarkEnd w:id="485"/>
      <w:bookmarkEnd w:id="486"/>
      <w:bookmarkEnd w:id="487"/>
    </w:p>
    <w:p w14:paraId="61FD5B98">
      <w:pPr>
        <w:pStyle w:val="200"/>
        <w:spacing w:line="460" w:lineRule="exact"/>
        <w:ind w:firstLine="522"/>
        <w:outlineLvl w:val="1"/>
        <w:rPr>
          <w:b/>
        </w:rPr>
      </w:pPr>
      <w:bookmarkStart w:id="488" w:name="_Toc423510492"/>
      <w:bookmarkStart w:id="489" w:name="_Toc219907701"/>
      <w:bookmarkStart w:id="490" w:name="_Toc165809788"/>
      <w:bookmarkStart w:id="491" w:name="_Toc165810699"/>
      <w:r>
        <w:rPr>
          <w:b/>
        </w:rPr>
        <w:t>11.1 项目概况</w:t>
      </w:r>
      <w:bookmarkEnd w:id="488"/>
      <w:bookmarkEnd w:id="489"/>
      <w:bookmarkEnd w:id="490"/>
      <w:bookmarkEnd w:id="491"/>
    </w:p>
    <w:p w14:paraId="4FAFB47A">
      <w:pPr>
        <w:pStyle w:val="1381"/>
        <w:ind w:firstLine="520"/>
        <w:rPr>
          <w:szCs w:val="26"/>
        </w:rPr>
      </w:pPr>
      <w:r>
        <w:rPr>
          <w:rFonts w:hint="eastAsia"/>
        </w:rPr>
        <w:t>新建1座试采站场，对巴中2HF井和巴页2</w:t>
      </w:r>
      <w:r>
        <w:t>HF</w:t>
      </w:r>
      <w:r>
        <w:rPr>
          <w:rFonts w:hint="eastAsia"/>
        </w:rPr>
        <w:t>井进行试采；巴中2HF井设计采气规模</w:t>
      </w:r>
      <w:r>
        <w:t>0.5</w:t>
      </w:r>
      <w:r>
        <w:rPr>
          <w:rFonts w:hint="eastAsia"/>
        </w:rPr>
        <w:t>万m</w:t>
      </w:r>
      <w:r>
        <w:rPr>
          <w:rFonts w:hint="eastAsia"/>
          <w:vertAlign w:val="superscript"/>
        </w:rPr>
        <w:t>3</w:t>
      </w:r>
      <w:r>
        <w:rPr>
          <w:rFonts w:hint="eastAsia"/>
        </w:rPr>
        <w:t>/d，产凝析油规模</w:t>
      </w:r>
      <w:r>
        <w:t>6</w:t>
      </w:r>
      <w:r>
        <w:rPr>
          <w:rFonts w:hint="eastAsia"/>
        </w:rPr>
        <w:t>m</w:t>
      </w:r>
      <w:r>
        <w:rPr>
          <w:rFonts w:hint="eastAsia"/>
          <w:vertAlign w:val="superscript"/>
        </w:rPr>
        <w:t>3</w:t>
      </w:r>
      <w:r>
        <w:rPr>
          <w:rFonts w:hint="eastAsia"/>
        </w:rPr>
        <w:t>/d；巴页2HF井设计采气规模</w:t>
      </w:r>
      <w:r>
        <w:t>1.5</w:t>
      </w:r>
      <w:r>
        <w:rPr>
          <w:rFonts w:hint="eastAsia"/>
        </w:rPr>
        <w:t>万m</w:t>
      </w:r>
      <w:r>
        <w:rPr>
          <w:rFonts w:hint="eastAsia"/>
          <w:vertAlign w:val="superscript"/>
        </w:rPr>
        <w:t>3</w:t>
      </w:r>
      <w:r>
        <w:rPr>
          <w:rFonts w:hint="eastAsia"/>
        </w:rPr>
        <w:t>/d，产凝析油规模</w:t>
      </w:r>
      <w:r>
        <w:t>6</w:t>
      </w:r>
      <w:r>
        <w:rPr>
          <w:rFonts w:hint="eastAsia"/>
        </w:rPr>
        <w:t>m</w:t>
      </w:r>
      <w:r>
        <w:rPr>
          <w:rFonts w:hint="eastAsia"/>
          <w:vertAlign w:val="superscript"/>
        </w:rPr>
        <w:t>3</w:t>
      </w:r>
      <w:r>
        <w:rPr>
          <w:rFonts w:hint="eastAsia"/>
        </w:rPr>
        <w:t>/d；天然气采用加热节流、分离过滤、计量的工艺，处理后的天然气经脱水、增压后采用CNG方式外售；站场混烃采用加热微正压闪蒸的工艺，稳定后的凝析油作为副产品通过罐车拉运外销；同步建设站内配套管网以及相应的公辅工程。</w:t>
      </w:r>
    </w:p>
    <w:p w14:paraId="22AB997E">
      <w:pPr>
        <w:adjustRightInd w:val="0"/>
        <w:snapToGrid w:val="0"/>
        <w:spacing w:line="460" w:lineRule="exact"/>
        <w:ind w:firstLine="520" w:firstLineChars="200"/>
        <w:rPr>
          <w:sz w:val="26"/>
          <w:szCs w:val="26"/>
        </w:rPr>
      </w:pPr>
      <w:r>
        <w:rPr>
          <w:rFonts w:hint="eastAsia"/>
          <w:sz w:val="26"/>
          <w:szCs w:val="26"/>
        </w:rPr>
        <w:t>项目总投资</w:t>
      </w:r>
      <w:r>
        <w:rPr>
          <w:sz w:val="26"/>
          <w:szCs w:val="26"/>
        </w:rPr>
        <w:t>***</w:t>
      </w:r>
      <w:r>
        <w:rPr>
          <w:rFonts w:hint="eastAsia"/>
          <w:sz w:val="26"/>
          <w:szCs w:val="26"/>
        </w:rPr>
        <w:t>万元，其中环保投资</w:t>
      </w:r>
      <w:r>
        <w:rPr>
          <w:sz w:val="26"/>
          <w:szCs w:val="26"/>
        </w:rPr>
        <w:t>***</w:t>
      </w:r>
      <w:r>
        <w:rPr>
          <w:rFonts w:hint="eastAsia"/>
          <w:sz w:val="26"/>
          <w:szCs w:val="26"/>
        </w:rPr>
        <w:t>万元，占总投资的</w:t>
      </w:r>
      <w:r>
        <w:rPr>
          <w:sz w:val="26"/>
          <w:szCs w:val="26"/>
        </w:rPr>
        <w:t>***</w:t>
      </w:r>
      <w:r>
        <w:rPr>
          <w:rFonts w:hint="eastAsia"/>
          <w:sz w:val="26"/>
          <w:szCs w:val="26"/>
        </w:rPr>
        <w:t>。</w:t>
      </w:r>
    </w:p>
    <w:p w14:paraId="2C2C4334">
      <w:pPr>
        <w:pStyle w:val="1059"/>
        <w:rPr>
          <w:rFonts w:cs="Times New Roman"/>
        </w:rPr>
      </w:pPr>
      <w:bookmarkStart w:id="492" w:name="_Toc219907702"/>
      <w:bookmarkStart w:id="493" w:name="_Toc165810700"/>
      <w:bookmarkStart w:id="494" w:name="_Toc165809789"/>
      <w:r>
        <w:rPr>
          <w:rFonts w:cs="Times New Roman"/>
        </w:rPr>
        <w:t>11.2 项目相关政策、规划符合性</w:t>
      </w:r>
      <w:bookmarkEnd w:id="492"/>
      <w:bookmarkEnd w:id="493"/>
      <w:bookmarkEnd w:id="494"/>
    </w:p>
    <w:p w14:paraId="391ADFDB">
      <w:pPr>
        <w:snapToGrid w:val="0"/>
        <w:spacing w:line="460" w:lineRule="exact"/>
        <w:ind w:firstLine="520" w:firstLineChars="200"/>
        <w:rPr>
          <w:sz w:val="26"/>
          <w:szCs w:val="26"/>
        </w:rPr>
      </w:pPr>
      <w:r>
        <w:rPr>
          <w:sz w:val="26"/>
          <w:szCs w:val="26"/>
        </w:rPr>
        <w:t>（1）产业政策</w:t>
      </w:r>
    </w:p>
    <w:p w14:paraId="570AB6B7">
      <w:pPr>
        <w:snapToGrid w:val="0"/>
        <w:spacing w:line="460" w:lineRule="exact"/>
        <w:ind w:firstLine="520" w:firstLineChars="200"/>
        <w:rPr>
          <w:bCs/>
          <w:sz w:val="26"/>
          <w:szCs w:val="26"/>
        </w:rPr>
      </w:pPr>
      <w:r>
        <w:rPr>
          <w:sz w:val="26"/>
          <w:szCs w:val="26"/>
        </w:rPr>
        <w:t>本项目</w:t>
      </w:r>
      <w:r>
        <w:rPr>
          <w:rFonts w:hint="eastAsia"/>
          <w:sz w:val="26"/>
          <w:szCs w:val="26"/>
        </w:rPr>
        <w:t>为天然气试采工程</w:t>
      </w:r>
      <w:r>
        <w:rPr>
          <w:sz w:val="26"/>
          <w:szCs w:val="26"/>
        </w:rPr>
        <w:t>，</w:t>
      </w:r>
      <w:r>
        <w:rPr>
          <w:bCs/>
          <w:sz w:val="26"/>
          <w:szCs w:val="26"/>
        </w:rPr>
        <w:t>项目属于鼓励类</w:t>
      </w:r>
      <w:r>
        <w:rPr>
          <w:sz w:val="26"/>
          <w:szCs w:val="26"/>
        </w:rPr>
        <w:t>“七、石油类、天然气”第1款“石油天然气开采”项目。因此，本项目的建设符合国家有关产业政策。</w:t>
      </w:r>
    </w:p>
    <w:p w14:paraId="5110625F">
      <w:pPr>
        <w:snapToGrid w:val="0"/>
        <w:spacing w:line="460" w:lineRule="exact"/>
        <w:ind w:firstLine="520" w:firstLineChars="200"/>
        <w:rPr>
          <w:sz w:val="26"/>
          <w:szCs w:val="26"/>
        </w:rPr>
      </w:pPr>
      <w:r>
        <w:rPr>
          <w:sz w:val="26"/>
          <w:szCs w:val="26"/>
        </w:rPr>
        <w:t>（2）环保政策</w:t>
      </w:r>
    </w:p>
    <w:p w14:paraId="7C9AB2D2">
      <w:pPr>
        <w:snapToGrid w:val="0"/>
        <w:spacing w:line="460" w:lineRule="exact"/>
        <w:ind w:firstLine="520" w:firstLineChars="200"/>
        <w:rPr>
          <w:sz w:val="26"/>
          <w:szCs w:val="26"/>
        </w:rPr>
      </w:pPr>
      <w:r>
        <w:rPr>
          <w:sz w:val="26"/>
          <w:szCs w:val="26"/>
        </w:rPr>
        <w:t>本项目与自然保护区、文物保护单位、集中饮用水源地等环境敏感区空间不重叠，不在禁止开发区等重点保护区范围内，与《关于进一步加强石油天然气行业环境影响评价管理的通知》（环办环评函〔2019〕910号）、《石油天然气开采业污染防治技术政策》（国家环保部公告2012年第18号，2012-03-07实施）等相关政策相符合。</w:t>
      </w:r>
    </w:p>
    <w:p w14:paraId="55CB1A19">
      <w:pPr>
        <w:snapToGrid w:val="0"/>
        <w:spacing w:line="460" w:lineRule="exact"/>
        <w:ind w:firstLine="520" w:firstLineChars="200"/>
        <w:rPr>
          <w:sz w:val="26"/>
          <w:szCs w:val="26"/>
        </w:rPr>
      </w:pPr>
      <w:r>
        <w:rPr>
          <w:sz w:val="26"/>
          <w:szCs w:val="26"/>
        </w:rPr>
        <w:t>（3）相关规划符合性</w:t>
      </w:r>
    </w:p>
    <w:p w14:paraId="6BB51C01">
      <w:pPr>
        <w:snapToGrid w:val="0"/>
        <w:spacing w:line="460" w:lineRule="exact"/>
        <w:ind w:firstLine="520" w:firstLineChars="200"/>
        <w:rPr>
          <w:sz w:val="26"/>
          <w:szCs w:val="26"/>
        </w:rPr>
      </w:pPr>
      <w:r>
        <w:rPr>
          <w:sz w:val="26"/>
          <w:szCs w:val="26"/>
        </w:rPr>
        <w:t>本项目属于</w:t>
      </w:r>
      <w:r>
        <w:rPr>
          <w:rFonts w:hint="eastAsia"/>
          <w:sz w:val="26"/>
          <w:szCs w:val="26"/>
        </w:rPr>
        <w:t>天然气试采项目</w:t>
      </w:r>
      <w:r>
        <w:rPr>
          <w:sz w:val="26"/>
          <w:szCs w:val="26"/>
        </w:rPr>
        <w:t>，符合《国家发展改革委关于印发“十四五”现代能源体系规划》（发改能源〔2022〕210号）、《四川省“十四五”能源发展规划》等规划相关要求。</w:t>
      </w:r>
    </w:p>
    <w:p w14:paraId="1E0033EC">
      <w:pPr>
        <w:snapToGrid w:val="0"/>
        <w:spacing w:line="460" w:lineRule="exact"/>
        <w:ind w:firstLine="520" w:firstLineChars="200"/>
        <w:rPr>
          <w:sz w:val="26"/>
          <w:szCs w:val="26"/>
        </w:rPr>
      </w:pPr>
      <w:r>
        <w:rPr>
          <w:sz w:val="26"/>
          <w:szCs w:val="26"/>
        </w:rPr>
        <w:t>本项目站场不在当地乡镇规划区域内，不涉及城镇建设用地，项目不违背当地规划要求，与区域总体规划相容。</w:t>
      </w:r>
    </w:p>
    <w:p w14:paraId="08D4AB65">
      <w:pPr>
        <w:snapToGrid w:val="0"/>
        <w:spacing w:line="460" w:lineRule="exact"/>
        <w:ind w:firstLine="520" w:firstLineChars="200"/>
        <w:rPr>
          <w:sz w:val="26"/>
          <w:szCs w:val="26"/>
        </w:rPr>
      </w:pPr>
      <w:r>
        <w:rPr>
          <w:sz w:val="26"/>
          <w:szCs w:val="26"/>
        </w:rPr>
        <w:t>（4）</w:t>
      </w:r>
      <w:r>
        <w:rPr>
          <w:rFonts w:hint="eastAsia"/>
          <w:sz w:val="26"/>
          <w:szCs w:val="26"/>
        </w:rPr>
        <w:t>生态环境分区管控</w:t>
      </w:r>
    </w:p>
    <w:p w14:paraId="61C0002E">
      <w:pPr>
        <w:adjustRightInd w:val="0"/>
        <w:snapToGrid w:val="0"/>
        <w:spacing w:line="460" w:lineRule="exact"/>
        <w:ind w:firstLine="520" w:firstLineChars="200"/>
        <w:rPr>
          <w:bCs/>
          <w:sz w:val="26"/>
          <w:szCs w:val="26"/>
        </w:rPr>
      </w:pPr>
      <w:bookmarkStart w:id="495" w:name="_Toc165809790"/>
      <w:bookmarkStart w:id="496" w:name="_Toc165810701"/>
      <w:r>
        <w:rPr>
          <w:rFonts w:hint="eastAsia"/>
          <w:bCs/>
          <w:sz w:val="26"/>
          <w:szCs w:val="26"/>
        </w:rPr>
        <w:t>本项目不在四川省及巴中市生态保护红线范围之内，符合《四川省生态环境厅关于公布四川省生态环境分区管控动态更新成果（2023年版）的通知》（川环函〔2024〕409号）的相关要求，符合《巴中市生态环境保护委员会办公室关于加强生态环境分区管控的通知》（巴环委办〔2024〕3号）的相关要求，整体满足生态环境分区管控的相关要求。</w:t>
      </w:r>
    </w:p>
    <w:p w14:paraId="1DD3D149">
      <w:pPr>
        <w:pStyle w:val="200"/>
        <w:spacing w:line="460" w:lineRule="exact"/>
        <w:ind w:firstLine="522"/>
        <w:outlineLvl w:val="1"/>
        <w:rPr>
          <w:b/>
        </w:rPr>
      </w:pPr>
      <w:bookmarkStart w:id="497" w:name="_Toc219907703"/>
      <w:r>
        <w:rPr>
          <w:b/>
        </w:rPr>
        <w:t>11.3 环境质量现状评价结论</w:t>
      </w:r>
      <w:bookmarkEnd w:id="495"/>
      <w:bookmarkEnd w:id="496"/>
      <w:bookmarkEnd w:id="497"/>
    </w:p>
    <w:p w14:paraId="62109890">
      <w:pPr>
        <w:pStyle w:val="1381"/>
        <w:ind w:firstLine="520"/>
        <w:rPr>
          <w:rFonts w:cs="Times New Roman"/>
        </w:rPr>
      </w:pPr>
      <w:r>
        <w:rPr>
          <w:rFonts w:cs="Times New Roman"/>
        </w:rPr>
        <w:t>（1）生态环境</w:t>
      </w:r>
    </w:p>
    <w:p w14:paraId="31B9AB3F">
      <w:pPr>
        <w:spacing w:line="460" w:lineRule="exact"/>
        <w:ind w:firstLine="520" w:firstLineChars="200"/>
        <w:rPr>
          <w:sz w:val="26"/>
          <w:szCs w:val="26"/>
        </w:rPr>
      </w:pPr>
      <w:r>
        <w:rPr>
          <w:rFonts w:hint="eastAsia"/>
          <w:sz w:val="26"/>
          <w:szCs w:val="26"/>
        </w:rPr>
        <w:t>本项目施工作业红线范围未涉及自然保护区、森林公园、湿地公园、风景名胜区等特殊重要生态敏感区，同时不涉及生态保护红线。项目周边以农田和少量和林地为主，栽培植被以旱地植物为主，农田生态系统与林地生态系统交错分布。区域无重要物种的重要生境分布，无迁徙鸟类的重要繁殖地、停歇地、越冬地以及野生动物迁徙通道。</w:t>
      </w:r>
    </w:p>
    <w:p w14:paraId="3AEB6F0C">
      <w:pPr>
        <w:pStyle w:val="1381"/>
        <w:ind w:firstLine="520"/>
        <w:rPr>
          <w:rFonts w:cs="Times New Roman"/>
        </w:rPr>
      </w:pPr>
      <w:r>
        <w:rPr>
          <w:rFonts w:cs="Times New Roman"/>
        </w:rPr>
        <w:t>（2）环境空气</w:t>
      </w:r>
    </w:p>
    <w:p w14:paraId="750FED0F">
      <w:pPr>
        <w:spacing w:line="460" w:lineRule="exact"/>
        <w:ind w:firstLine="520" w:firstLineChars="200"/>
        <w:rPr>
          <w:sz w:val="26"/>
          <w:szCs w:val="26"/>
        </w:rPr>
      </w:pPr>
      <w:r>
        <w:rPr>
          <w:sz w:val="26"/>
          <w:szCs w:val="26"/>
        </w:rPr>
        <w:t>根据</w:t>
      </w:r>
      <w:r>
        <w:rPr>
          <w:rFonts w:hint="eastAsia" w:ascii="宋体" w:hAnsi="宋体" w:cs="宋体"/>
          <w:kern w:val="0"/>
          <w:sz w:val="26"/>
          <w:szCs w:val="26"/>
        </w:rPr>
        <w:t>巴中市</w:t>
      </w:r>
      <w:r>
        <w:rPr>
          <w:sz w:val="26"/>
          <w:szCs w:val="26"/>
        </w:rPr>
        <w:t>生态环境局于202</w:t>
      </w:r>
      <w:r>
        <w:rPr>
          <w:rFonts w:hint="eastAsia"/>
          <w:sz w:val="26"/>
          <w:szCs w:val="26"/>
        </w:rPr>
        <w:t>5</w:t>
      </w:r>
      <w:r>
        <w:rPr>
          <w:sz w:val="26"/>
          <w:szCs w:val="26"/>
        </w:rPr>
        <w:t>年</w:t>
      </w:r>
      <w:r>
        <w:rPr>
          <w:rFonts w:hint="eastAsia"/>
          <w:sz w:val="26"/>
          <w:szCs w:val="26"/>
        </w:rPr>
        <w:t>6</w:t>
      </w:r>
      <w:r>
        <w:rPr>
          <w:sz w:val="26"/>
          <w:szCs w:val="26"/>
        </w:rPr>
        <w:t>月发布的《202</w:t>
      </w:r>
      <w:r>
        <w:rPr>
          <w:rFonts w:hint="eastAsia"/>
          <w:sz w:val="26"/>
          <w:szCs w:val="26"/>
        </w:rPr>
        <w:t>4</w:t>
      </w:r>
      <w:r>
        <w:rPr>
          <w:sz w:val="26"/>
          <w:szCs w:val="26"/>
        </w:rPr>
        <w:t>年</w:t>
      </w:r>
      <w:r>
        <w:rPr>
          <w:rFonts w:hint="eastAsia"/>
          <w:sz w:val="26"/>
          <w:szCs w:val="26"/>
        </w:rPr>
        <w:t>巴中</w:t>
      </w:r>
      <w:r>
        <w:rPr>
          <w:sz w:val="26"/>
          <w:szCs w:val="26"/>
        </w:rPr>
        <w:t>市生态环境状况公报》</w:t>
      </w:r>
      <w:r>
        <w:rPr>
          <w:rFonts w:hint="eastAsia"/>
          <w:sz w:val="26"/>
          <w:szCs w:val="26"/>
        </w:rPr>
        <w:t>，本项目位于环境空气达标区；根据补充监测结果，</w:t>
      </w:r>
      <w:r>
        <w:rPr>
          <w:sz w:val="26"/>
          <w:szCs w:val="26"/>
        </w:rPr>
        <w:t>项目特征污染物</w:t>
      </w:r>
      <w:r>
        <w:rPr>
          <w:rFonts w:hint="eastAsia"/>
          <w:sz w:val="26"/>
          <w:szCs w:val="26"/>
        </w:rPr>
        <w:t>非甲烷总烃、氮氧化物、T</w:t>
      </w:r>
      <w:r>
        <w:rPr>
          <w:sz w:val="26"/>
          <w:szCs w:val="26"/>
        </w:rPr>
        <w:t>SP达标</w:t>
      </w:r>
      <w:r>
        <w:rPr>
          <w:rFonts w:hint="eastAsia"/>
          <w:sz w:val="26"/>
          <w:szCs w:val="26"/>
        </w:rPr>
        <w:t>，</w:t>
      </w:r>
      <w:r>
        <w:rPr>
          <w:sz w:val="26"/>
          <w:szCs w:val="26"/>
        </w:rPr>
        <w:t>项目所在区域环境空气质量较好。</w:t>
      </w:r>
    </w:p>
    <w:p w14:paraId="7F064025">
      <w:pPr>
        <w:pStyle w:val="1381"/>
        <w:ind w:firstLine="520"/>
        <w:rPr>
          <w:rFonts w:cs="Times New Roman"/>
        </w:rPr>
      </w:pPr>
      <w:r>
        <w:rPr>
          <w:rFonts w:cs="Times New Roman"/>
        </w:rPr>
        <w:t>（3）地表水环境</w:t>
      </w:r>
    </w:p>
    <w:p w14:paraId="2DD7DAA1">
      <w:pPr>
        <w:spacing w:line="460" w:lineRule="exact"/>
        <w:ind w:firstLine="520" w:firstLineChars="200"/>
        <w:rPr>
          <w:sz w:val="26"/>
          <w:szCs w:val="26"/>
        </w:rPr>
      </w:pPr>
      <w:r>
        <w:rPr>
          <w:sz w:val="26"/>
          <w:szCs w:val="26"/>
        </w:rPr>
        <w:t>根据</w:t>
      </w:r>
      <w:r>
        <w:rPr>
          <w:rFonts w:hint="eastAsia" w:ascii="宋体" w:hAnsi="宋体" w:cs="宋体"/>
          <w:kern w:val="0"/>
          <w:sz w:val="26"/>
          <w:szCs w:val="26"/>
        </w:rPr>
        <w:t>巴中市</w:t>
      </w:r>
      <w:r>
        <w:rPr>
          <w:sz w:val="26"/>
          <w:szCs w:val="26"/>
        </w:rPr>
        <w:t>生态环境局于202</w:t>
      </w:r>
      <w:r>
        <w:rPr>
          <w:rFonts w:hint="eastAsia"/>
          <w:sz w:val="26"/>
          <w:szCs w:val="26"/>
        </w:rPr>
        <w:t>5</w:t>
      </w:r>
      <w:r>
        <w:rPr>
          <w:sz w:val="26"/>
          <w:szCs w:val="26"/>
        </w:rPr>
        <w:t>年</w:t>
      </w:r>
      <w:r>
        <w:rPr>
          <w:rFonts w:hint="eastAsia"/>
          <w:sz w:val="26"/>
          <w:szCs w:val="26"/>
        </w:rPr>
        <w:t>6</w:t>
      </w:r>
      <w:r>
        <w:rPr>
          <w:sz w:val="26"/>
          <w:szCs w:val="26"/>
        </w:rPr>
        <w:t>月发布的《202</w:t>
      </w:r>
      <w:r>
        <w:rPr>
          <w:rFonts w:hint="eastAsia"/>
          <w:sz w:val="26"/>
          <w:szCs w:val="26"/>
        </w:rPr>
        <w:t>4</w:t>
      </w:r>
      <w:r>
        <w:rPr>
          <w:sz w:val="26"/>
          <w:szCs w:val="26"/>
        </w:rPr>
        <w:t>年</w:t>
      </w:r>
      <w:r>
        <w:rPr>
          <w:rFonts w:hint="eastAsia"/>
          <w:sz w:val="26"/>
          <w:szCs w:val="26"/>
        </w:rPr>
        <w:t>巴中</w:t>
      </w:r>
      <w:r>
        <w:rPr>
          <w:sz w:val="26"/>
          <w:szCs w:val="26"/>
        </w:rPr>
        <w:t>市生态环境状况公报》</w:t>
      </w:r>
      <w:r>
        <w:rPr>
          <w:rFonts w:hint="eastAsia"/>
          <w:sz w:val="26"/>
          <w:szCs w:val="26"/>
        </w:rPr>
        <w:t>，项目所在区域地表水环境质量较好。</w:t>
      </w:r>
    </w:p>
    <w:p w14:paraId="4CEB30D3">
      <w:pPr>
        <w:spacing w:line="460" w:lineRule="exact"/>
        <w:ind w:firstLine="520" w:firstLineChars="200"/>
        <w:rPr>
          <w:sz w:val="26"/>
          <w:szCs w:val="26"/>
        </w:rPr>
      </w:pPr>
      <w:r>
        <w:rPr>
          <w:rFonts w:hint="eastAsia"/>
          <w:sz w:val="26"/>
          <w:szCs w:val="26"/>
        </w:rPr>
        <w:t>（</w:t>
      </w:r>
      <w:r>
        <w:rPr>
          <w:sz w:val="26"/>
          <w:szCs w:val="26"/>
        </w:rPr>
        <w:t>4</w:t>
      </w:r>
      <w:r>
        <w:rPr>
          <w:rFonts w:hint="eastAsia"/>
          <w:sz w:val="26"/>
          <w:szCs w:val="26"/>
        </w:rPr>
        <w:t>）地下水环境</w:t>
      </w:r>
    </w:p>
    <w:p w14:paraId="75BCDC6D">
      <w:pPr>
        <w:pStyle w:val="1381"/>
        <w:ind w:firstLine="520"/>
        <w:rPr>
          <w:rFonts w:cs="Times New Roman"/>
          <w:szCs w:val="26"/>
        </w:rPr>
      </w:pPr>
      <w:r>
        <w:rPr>
          <w:rFonts w:hint="eastAsia" w:cs="Times New Roman"/>
          <w:szCs w:val="26"/>
        </w:rPr>
        <w:t>地下水环境：评价期间在站场所在评价范围内，在其上下游共设置5个地下水水质监测果评价分析可知，各检测点的监测因子均达标，本项目特征污染因子在地下水环境质量现状评价中均不存在超标现象。</w:t>
      </w:r>
    </w:p>
    <w:p w14:paraId="69613044">
      <w:pPr>
        <w:pStyle w:val="1381"/>
        <w:ind w:firstLine="520"/>
        <w:rPr>
          <w:rFonts w:cs="Times New Roman"/>
        </w:rPr>
      </w:pPr>
      <w:r>
        <w:rPr>
          <w:rFonts w:cs="Times New Roman"/>
        </w:rPr>
        <w:t>（5）声环境</w:t>
      </w:r>
    </w:p>
    <w:p w14:paraId="5085857B">
      <w:pPr>
        <w:spacing w:line="460" w:lineRule="exact"/>
        <w:ind w:firstLine="520" w:firstLineChars="200"/>
        <w:rPr>
          <w:sz w:val="26"/>
          <w:szCs w:val="26"/>
        </w:rPr>
      </w:pPr>
      <w:r>
        <w:rPr>
          <w:sz w:val="26"/>
          <w:szCs w:val="26"/>
        </w:rPr>
        <w:t>根据现状监测结果，区域昼间、夜间声环境质量满足《声环境质量标准》（GB3096-2008）中的2类标准限值，项目所在区域声环境质量较好。</w:t>
      </w:r>
    </w:p>
    <w:p w14:paraId="2D5EA54A">
      <w:pPr>
        <w:pStyle w:val="1381"/>
        <w:ind w:firstLine="520"/>
        <w:rPr>
          <w:rFonts w:cs="Times New Roman"/>
        </w:rPr>
      </w:pPr>
      <w:r>
        <w:rPr>
          <w:rFonts w:cs="Times New Roman"/>
        </w:rPr>
        <w:t>（6）土壤环境</w:t>
      </w:r>
    </w:p>
    <w:p w14:paraId="22F7C70D">
      <w:pPr>
        <w:spacing w:line="460" w:lineRule="exact"/>
        <w:ind w:firstLine="520" w:firstLineChars="200"/>
        <w:rPr>
          <w:sz w:val="26"/>
          <w:szCs w:val="26"/>
        </w:rPr>
      </w:pPr>
      <w:r>
        <w:rPr>
          <w:sz w:val="26"/>
          <w:szCs w:val="26"/>
        </w:rPr>
        <w:t>根据补充监测结果，</w:t>
      </w:r>
      <w:r>
        <w:rPr>
          <w:rFonts w:hint="eastAsia"/>
          <w:sz w:val="26"/>
          <w:szCs w:val="26"/>
        </w:rPr>
        <w:t>试采站占地范围内土壤基本因子监测值满足《土壤环境质量 建设用地土壤污染风险管控标准（试行）》（GB36600-2018）中风险筛选值；试采站外土壤基本因子监测值满足《土壤环境质量 农用地土壤污染风险管控标准（试行）》(GB15618-2018)筛选值；特征因子钡满足《四川省建设用地土壤污染风险管控标准》（DB51/2978-2023）第二类用地筛选值，石油烃满足《土壤环境质量 建设用地土壤污染风险管控标准》（试行）（GB36600-2018）第二类用地筛选值</w:t>
      </w:r>
      <w:r>
        <w:rPr>
          <w:sz w:val="26"/>
          <w:szCs w:val="26"/>
        </w:rPr>
        <w:t>，区域土壤环境质量现状较好。</w:t>
      </w:r>
    </w:p>
    <w:p w14:paraId="169BF5EC">
      <w:pPr>
        <w:pStyle w:val="200"/>
        <w:spacing w:line="460" w:lineRule="exact"/>
        <w:ind w:firstLine="522"/>
        <w:outlineLvl w:val="1"/>
        <w:rPr>
          <w:b/>
        </w:rPr>
      </w:pPr>
      <w:bookmarkStart w:id="498" w:name="_Toc219907704"/>
      <w:bookmarkStart w:id="499" w:name="_Toc165810702"/>
      <w:bookmarkStart w:id="500" w:name="_Toc165809791"/>
      <w:r>
        <w:rPr>
          <w:b/>
        </w:rPr>
        <w:t>11.4 环境影响及环保措施</w:t>
      </w:r>
      <w:bookmarkEnd w:id="498"/>
      <w:bookmarkEnd w:id="499"/>
      <w:bookmarkEnd w:id="500"/>
    </w:p>
    <w:p w14:paraId="78361B0C">
      <w:pPr>
        <w:adjustRightInd w:val="0"/>
        <w:snapToGrid w:val="0"/>
        <w:spacing w:line="460" w:lineRule="exact"/>
        <w:ind w:firstLine="522" w:firstLineChars="200"/>
        <w:outlineLvl w:val="2"/>
        <w:rPr>
          <w:b/>
          <w:sz w:val="26"/>
          <w:szCs w:val="26"/>
        </w:rPr>
      </w:pPr>
      <w:bookmarkStart w:id="501" w:name="_Toc165810703"/>
      <w:r>
        <w:rPr>
          <w:b/>
          <w:sz w:val="26"/>
          <w:szCs w:val="26"/>
        </w:rPr>
        <w:t>11.4.1 生态环境影响及保护措施</w:t>
      </w:r>
      <w:bookmarkEnd w:id="501"/>
    </w:p>
    <w:p w14:paraId="4EB8A407">
      <w:pPr>
        <w:adjustRightInd w:val="0"/>
        <w:snapToGrid w:val="0"/>
        <w:spacing w:line="460" w:lineRule="exact"/>
        <w:ind w:firstLine="520" w:firstLineChars="200"/>
        <w:rPr>
          <w:bCs/>
          <w:sz w:val="26"/>
          <w:szCs w:val="26"/>
        </w:rPr>
      </w:pPr>
      <w:r>
        <w:rPr>
          <w:bCs/>
          <w:sz w:val="26"/>
          <w:szCs w:val="26"/>
        </w:rPr>
        <w:t>（1）施工期</w:t>
      </w:r>
    </w:p>
    <w:p w14:paraId="1C79865F">
      <w:pPr>
        <w:adjustRightInd w:val="0"/>
        <w:snapToGrid w:val="0"/>
        <w:spacing w:line="460" w:lineRule="exact"/>
        <w:ind w:firstLine="520" w:firstLineChars="200"/>
        <w:rPr>
          <w:bCs/>
          <w:sz w:val="26"/>
          <w:szCs w:val="26"/>
        </w:rPr>
      </w:pPr>
      <w:r>
        <w:rPr>
          <w:rFonts w:hint="eastAsia"/>
          <w:bCs/>
          <w:sz w:val="26"/>
          <w:szCs w:val="26"/>
        </w:rPr>
        <w:t>本项目在原有钻井工程井场内施工，不新增占地，</w:t>
      </w:r>
      <w:r>
        <w:rPr>
          <w:rFonts w:hint="eastAsia"/>
          <w:sz w:val="26"/>
          <w:szCs w:val="26"/>
        </w:rPr>
        <w:t>不会导致区域土地利用格局的明显改变，不会导致区域植被生物量的损失。</w:t>
      </w:r>
      <w:r>
        <w:rPr>
          <w:rFonts w:hint="eastAsia"/>
          <w:bCs/>
          <w:sz w:val="26"/>
          <w:szCs w:val="26"/>
        </w:rPr>
        <w:t>总体上看，工程建设对生态环境影响较小。</w:t>
      </w:r>
    </w:p>
    <w:p w14:paraId="7D24BE94">
      <w:pPr>
        <w:adjustRightInd w:val="0"/>
        <w:snapToGrid w:val="0"/>
        <w:spacing w:line="460" w:lineRule="exact"/>
        <w:ind w:firstLine="520" w:firstLineChars="200"/>
        <w:rPr>
          <w:bCs/>
          <w:sz w:val="26"/>
          <w:szCs w:val="26"/>
        </w:rPr>
      </w:pPr>
      <w:r>
        <w:rPr>
          <w:bCs/>
          <w:sz w:val="26"/>
          <w:szCs w:val="26"/>
        </w:rPr>
        <w:t>（2）试采期</w:t>
      </w:r>
    </w:p>
    <w:p w14:paraId="05B02C54">
      <w:pPr>
        <w:adjustRightInd w:val="0"/>
        <w:snapToGrid w:val="0"/>
        <w:spacing w:line="460" w:lineRule="exact"/>
        <w:ind w:firstLine="520" w:firstLineChars="200"/>
        <w:rPr>
          <w:bCs/>
          <w:sz w:val="26"/>
          <w:szCs w:val="26"/>
        </w:rPr>
      </w:pPr>
      <w:r>
        <w:rPr>
          <w:rFonts w:hint="eastAsia"/>
          <w:bCs/>
          <w:sz w:val="26"/>
          <w:szCs w:val="26"/>
        </w:rPr>
        <w:t>试采期生态环境影响是施工期影响的一种延续，主要表现为植被恢复期的影响。一般采用经济补偿的方式付给受损失方，按照施工前是其何种植物尽快恢复。采取生态保护及水土保持措施后，可使工程对生态环境的影响大大降低至可接受程度。总的来说，工程的实施不会对区域生态环境造成较大影响，影响可接受。</w:t>
      </w:r>
    </w:p>
    <w:p w14:paraId="52A15008">
      <w:pPr>
        <w:adjustRightInd w:val="0"/>
        <w:snapToGrid w:val="0"/>
        <w:spacing w:line="460" w:lineRule="exact"/>
        <w:ind w:firstLine="522" w:firstLineChars="200"/>
        <w:outlineLvl w:val="2"/>
        <w:rPr>
          <w:b/>
          <w:sz w:val="26"/>
          <w:szCs w:val="26"/>
        </w:rPr>
      </w:pPr>
      <w:bookmarkStart w:id="502" w:name="_Toc165810704"/>
      <w:r>
        <w:rPr>
          <w:b/>
          <w:sz w:val="26"/>
          <w:szCs w:val="26"/>
        </w:rPr>
        <w:t>11.4.2 环境空气影响及污染防治措施</w:t>
      </w:r>
      <w:bookmarkEnd w:id="502"/>
    </w:p>
    <w:p w14:paraId="1188219E">
      <w:pPr>
        <w:snapToGrid w:val="0"/>
        <w:spacing w:line="460" w:lineRule="exact"/>
        <w:ind w:firstLine="520" w:firstLineChars="200"/>
        <w:rPr>
          <w:sz w:val="26"/>
          <w:szCs w:val="26"/>
        </w:rPr>
      </w:pPr>
      <w:r>
        <w:rPr>
          <w:sz w:val="26"/>
          <w:szCs w:val="26"/>
        </w:rPr>
        <w:t>（1）施工期</w:t>
      </w:r>
    </w:p>
    <w:p w14:paraId="2E7E74A7">
      <w:pPr>
        <w:spacing w:line="460" w:lineRule="exact"/>
        <w:ind w:firstLine="520" w:firstLineChars="200"/>
        <w:rPr>
          <w:sz w:val="26"/>
          <w:szCs w:val="26"/>
        </w:rPr>
      </w:pPr>
      <w:r>
        <w:rPr>
          <w:sz w:val="26"/>
          <w:szCs w:val="26"/>
        </w:rPr>
        <w:t>施工期，废气污染源主要来自地面开挖、回填、土石堆放和运输车辆行驶产生的扬尘，施工机械、运输车辆排放的尾气，尾气中的主要污染物为CO、NO等，管道焊接过程中会产生少量焊接烟气。扬尘、CO、NO、焊接烟尘污染物将对环境空气造成一定程度的影响，工程结束后影响将不复存在。总的来说，采取洒水抑尘、密闭运输等大气污染防治措施后，工程施工对周边环境空气影响较小，可接受。</w:t>
      </w:r>
    </w:p>
    <w:p w14:paraId="444E04BB">
      <w:pPr>
        <w:spacing w:line="460" w:lineRule="exact"/>
        <w:ind w:firstLine="520" w:firstLineChars="200"/>
        <w:rPr>
          <w:bCs/>
          <w:sz w:val="26"/>
          <w:szCs w:val="26"/>
        </w:rPr>
      </w:pPr>
      <w:r>
        <w:rPr>
          <w:bCs/>
          <w:sz w:val="26"/>
          <w:szCs w:val="26"/>
        </w:rPr>
        <w:t>（2）试采期</w:t>
      </w:r>
    </w:p>
    <w:p w14:paraId="00186084">
      <w:pPr>
        <w:snapToGrid w:val="0"/>
        <w:spacing w:line="460" w:lineRule="exact"/>
        <w:ind w:firstLine="520" w:firstLineChars="200"/>
        <w:rPr>
          <w:sz w:val="26"/>
          <w:szCs w:val="26"/>
        </w:rPr>
      </w:pPr>
      <w:r>
        <w:rPr>
          <w:rFonts w:hint="eastAsia"/>
          <w:sz w:val="26"/>
          <w:szCs w:val="26"/>
        </w:rPr>
        <w:t>正常情况下，试采站场运行时水套加热炉燃烧将排放废气，水套加热炉自带8m高排气筒排放；凝析油储罐产生的大小呼吸废气通过管道输送至放空立管燃烧排放；试采站通过选用可靠性高的设备、密封性能好的阀门，保证各连接部位的密封，减少天然气的无组织逸散。非正常情况下，项目产生的放空废气经1</w:t>
      </w:r>
      <w:r>
        <w:rPr>
          <w:sz w:val="26"/>
          <w:szCs w:val="26"/>
        </w:rPr>
        <w:t>5</w:t>
      </w:r>
      <w:r>
        <w:rPr>
          <w:rFonts w:hint="eastAsia"/>
          <w:sz w:val="26"/>
          <w:szCs w:val="26"/>
        </w:rPr>
        <w:t>m高放空立管燃烧排放。</w:t>
      </w:r>
    </w:p>
    <w:p w14:paraId="423B4E9E">
      <w:pPr>
        <w:spacing w:line="460" w:lineRule="exact"/>
        <w:ind w:firstLine="520" w:firstLineChars="200"/>
        <w:rPr>
          <w:bCs/>
          <w:sz w:val="26"/>
          <w:szCs w:val="26"/>
        </w:rPr>
      </w:pPr>
      <w:r>
        <w:rPr>
          <w:bCs/>
          <w:sz w:val="26"/>
          <w:szCs w:val="26"/>
        </w:rPr>
        <w:t>采取上述措施后，试采期废气对区域大气环境影响较小。</w:t>
      </w:r>
    </w:p>
    <w:p w14:paraId="7843D2BF">
      <w:pPr>
        <w:adjustRightInd w:val="0"/>
        <w:snapToGrid w:val="0"/>
        <w:spacing w:line="460" w:lineRule="exact"/>
        <w:ind w:firstLine="522" w:firstLineChars="200"/>
        <w:outlineLvl w:val="2"/>
        <w:rPr>
          <w:b/>
          <w:sz w:val="26"/>
          <w:szCs w:val="26"/>
        </w:rPr>
      </w:pPr>
      <w:bookmarkStart w:id="503" w:name="_Toc165810705"/>
      <w:r>
        <w:rPr>
          <w:b/>
          <w:sz w:val="26"/>
          <w:szCs w:val="26"/>
        </w:rPr>
        <w:t>11.4.3 地表水环境影响及污染防治措施</w:t>
      </w:r>
      <w:bookmarkEnd w:id="503"/>
    </w:p>
    <w:p w14:paraId="5CF8DE93">
      <w:pPr>
        <w:snapToGrid w:val="0"/>
        <w:spacing w:line="460" w:lineRule="exact"/>
        <w:ind w:firstLine="520" w:firstLineChars="200"/>
        <w:rPr>
          <w:sz w:val="26"/>
          <w:szCs w:val="26"/>
        </w:rPr>
      </w:pPr>
      <w:r>
        <w:rPr>
          <w:sz w:val="26"/>
          <w:szCs w:val="26"/>
        </w:rPr>
        <w:t>（1）施工期</w:t>
      </w:r>
    </w:p>
    <w:p w14:paraId="527F8A8A">
      <w:pPr>
        <w:snapToGrid w:val="0"/>
        <w:spacing w:line="460" w:lineRule="exact"/>
        <w:ind w:firstLine="520" w:firstLineChars="200"/>
        <w:rPr>
          <w:sz w:val="26"/>
          <w:szCs w:val="26"/>
        </w:rPr>
      </w:pPr>
      <w:r>
        <w:rPr>
          <w:sz w:val="26"/>
          <w:szCs w:val="26"/>
        </w:rPr>
        <w:t>施工期废水包括施工废水、试压废水和生活污水。施工废水沉淀后用于场地洒水抑尘，试压废水简易沉淀后回用于区域绿化和</w:t>
      </w:r>
      <w:r>
        <w:rPr>
          <w:rFonts w:hint="eastAsia"/>
          <w:sz w:val="26"/>
          <w:szCs w:val="26"/>
        </w:rPr>
        <w:t>场地洒水</w:t>
      </w:r>
      <w:r>
        <w:rPr>
          <w:sz w:val="26"/>
          <w:szCs w:val="26"/>
        </w:rPr>
        <w:t>降尘，生活污水依托</w:t>
      </w:r>
      <w:r>
        <w:rPr>
          <w:rFonts w:hint="eastAsia"/>
          <w:sz w:val="26"/>
          <w:szCs w:val="26"/>
        </w:rPr>
        <w:t>附近农户厕所以及所住旅馆厕所处置</w:t>
      </w:r>
      <w:r>
        <w:rPr>
          <w:sz w:val="26"/>
          <w:szCs w:val="26"/>
        </w:rPr>
        <w:t>。</w:t>
      </w:r>
    </w:p>
    <w:p w14:paraId="01F2A182">
      <w:pPr>
        <w:snapToGrid w:val="0"/>
        <w:spacing w:line="460" w:lineRule="exact"/>
        <w:ind w:firstLine="520" w:firstLineChars="200"/>
        <w:rPr>
          <w:sz w:val="26"/>
          <w:szCs w:val="26"/>
        </w:rPr>
      </w:pPr>
      <w:r>
        <w:rPr>
          <w:sz w:val="26"/>
          <w:szCs w:val="26"/>
        </w:rPr>
        <w:t>施工期各类废水均能得到有效处理，对区域地表水环境影响较小。</w:t>
      </w:r>
    </w:p>
    <w:p w14:paraId="542AB5BE">
      <w:pPr>
        <w:snapToGrid w:val="0"/>
        <w:spacing w:line="460" w:lineRule="exact"/>
        <w:ind w:firstLine="520" w:firstLineChars="200"/>
        <w:rPr>
          <w:sz w:val="26"/>
          <w:szCs w:val="26"/>
        </w:rPr>
      </w:pPr>
      <w:r>
        <w:rPr>
          <w:sz w:val="26"/>
          <w:szCs w:val="26"/>
        </w:rPr>
        <w:t>（2）试采期</w:t>
      </w:r>
    </w:p>
    <w:p w14:paraId="058B18BD">
      <w:pPr>
        <w:pStyle w:val="702"/>
        <w:ind w:firstLine="520"/>
        <w:rPr>
          <w:rFonts w:cs="Times New Roman"/>
          <w:szCs w:val="26"/>
        </w:rPr>
      </w:pPr>
      <w:r>
        <w:rPr>
          <w:rFonts w:hint="eastAsia"/>
        </w:rPr>
        <w:t>本项目试采期分离气田水、</w:t>
      </w:r>
      <w:r>
        <w:rPr>
          <w:rFonts w:hint="eastAsia"/>
          <w:szCs w:val="26"/>
        </w:rPr>
        <w:t>放空分离液、分子筛冷凝水和检修废水</w:t>
      </w:r>
      <w:r>
        <w:rPr>
          <w:rFonts w:hint="eastAsia"/>
        </w:rPr>
        <w:t>暂存于</w:t>
      </w:r>
      <w:r>
        <w:rPr>
          <w:rFonts w:hint="eastAsia" w:cs="Times New Roman"/>
        </w:rPr>
        <w:t>气田水储罐（5</w:t>
      </w:r>
      <w:r>
        <w:rPr>
          <w:rFonts w:cs="Times New Roman"/>
        </w:rPr>
        <w:t>0</w:t>
      </w:r>
      <w:r>
        <w:rPr>
          <w:rFonts w:hint="eastAsia" w:cs="Times New Roman"/>
        </w:rPr>
        <w:t>m</w:t>
      </w:r>
      <w:r>
        <w:rPr>
          <w:rFonts w:cs="Times New Roman"/>
          <w:vertAlign w:val="superscript"/>
        </w:rPr>
        <w:t>3</w:t>
      </w:r>
      <w:r>
        <w:rPr>
          <w:rFonts w:hint="eastAsia" w:cs="Times New Roman"/>
        </w:rPr>
        <w:t>），定期由罐车运输至四川洁安环境科技有限公司油气田废水处理站、四川兴澳环境技术服务有限公司油气井地下水处理站处置，或区域内有合法资质且有处理能力的第三方单位处置，值守人员生活污水经环保厕所收集后定期外运附近城镇生活污水处理厂处置。</w:t>
      </w:r>
    </w:p>
    <w:p w14:paraId="4440C58E">
      <w:pPr>
        <w:pStyle w:val="702"/>
        <w:ind w:firstLine="520"/>
        <w:rPr>
          <w:rFonts w:cs="Times New Roman"/>
          <w:szCs w:val="26"/>
        </w:rPr>
      </w:pPr>
      <w:r>
        <w:rPr>
          <w:rFonts w:cs="Times New Roman"/>
          <w:szCs w:val="26"/>
        </w:rPr>
        <w:t>试采期产生的</w:t>
      </w:r>
      <w:r>
        <w:rPr>
          <w:rFonts w:hint="eastAsia" w:cs="Times New Roman"/>
          <w:szCs w:val="26"/>
        </w:rPr>
        <w:t>气田水</w:t>
      </w:r>
      <w:r>
        <w:rPr>
          <w:rFonts w:cs="Times New Roman"/>
          <w:szCs w:val="26"/>
        </w:rPr>
        <w:t>和检修废水均得到有效处置，无废水直接外排，对区域地表水环境影响很小。</w:t>
      </w:r>
    </w:p>
    <w:p w14:paraId="03E7A996">
      <w:pPr>
        <w:adjustRightInd w:val="0"/>
        <w:snapToGrid w:val="0"/>
        <w:spacing w:line="460" w:lineRule="exact"/>
        <w:ind w:firstLine="522" w:firstLineChars="200"/>
        <w:outlineLvl w:val="2"/>
        <w:rPr>
          <w:b/>
          <w:sz w:val="26"/>
          <w:szCs w:val="26"/>
        </w:rPr>
      </w:pPr>
      <w:bookmarkStart w:id="504" w:name="_Toc165810706"/>
      <w:r>
        <w:rPr>
          <w:b/>
          <w:sz w:val="26"/>
          <w:szCs w:val="26"/>
        </w:rPr>
        <w:t>11.4.4 地下水环境影响及污染防治措施</w:t>
      </w:r>
      <w:bookmarkEnd w:id="504"/>
    </w:p>
    <w:p w14:paraId="6961A087">
      <w:pPr>
        <w:pStyle w:val="702"/>
        <w:ind w:firstLine="520"/>
        <w:rPr>
          <w:rFonts w:cs="Times New Roman"/>
        </w:rPr>
      </w:pPr>
      <w:bookmarkStart w:id="505" w:name="_Toc165810707"/>
      <w:r>
        <w:rPr>
          <w:rFonts w:hint="eastAsia" w:cs="Times New Roman"/>
        </w:rPr>
        <w:t>本项目施工期制定了合理施工方案，试压废水、施工人员生产生活废水均得到了合理处置，降低了污染物进入地下水环境的可能，施工期对地下水环境影响较小。</w:t>
      </w:r>
    </w:p>
    <w:p w14:paraId="61584E5B">
      <w:pPr>
        <w:pStyle w:val="702"/>
        <w:ind w:firstLine="520"/>
        <w:rPr>
          <w:rFonts w:cs="Times New Roman"/>
        </w:rPr>
      </w:pPr>
      <w:r>
        <w:rPr>
          <w:rFonts w:hint="eastAsia" w:cs="Times New Roman"/>
        </w:rPr>
        <w:t>试采期天然气开采过程会产生气田水，气田水采用气田水罐存放，采用密闭罐车外运处理；气田水罐和储油罐进行了重点防渗并设置围堰。试采期严格执行巡查巡视制度，定期检查罐区等防渗性能和泄漏情况。本项目采用防渗处理并加强环境管理措施后，污废水不会溢流进入地下水环境，下渗进入地下水环境的量极少，对地下水环境影响可接受。</w:t>
      </w:r>
    </w:p>
    <w:p w14:paraId="13C2E7CE">
      <w:pPr>
        <w:adjustRightInd w:val="0"/>
        <w:snapToGrid w:val="0"/>
        <w:spacing w:line="460" w:lineRule="exact"/>
        <w:ind w:firstLine="522" w:firstLineChars="200"/>
        <w:outlineLvl w:val="2"/>
        <w:rPr>
          <w:b/>
          <w:sz w:val="26"/>
          <w:szCs w:val="26"/>
        </w:rPr>
      </w:pPr>
      <w:r>
        <w:rPr>
          <w:b/>
          <w:sz w:val="26"/>
          <w:szCs w:val="26"/>
        </w:rPr>
        <w:t>11.4.5 声环境影响及污染防治措施</w:t>
      </w:r>
      <w:bookmarkEnd w:id="505"/>
    </w:p>
    <w:p w14:paraId="37438F25">
      <w:pPr>
        <w:snapToGrid w:val="0"/>
        <w:spacing w:line="460" w:lineRule="exact"/>
        <w:ind w:firstLine="520" w:firstLineChars="200"/>
        <w:rPr>
          <w:sz w:val="26"/>
          <w:szCs w:val="26"/>
        </w:rPr>
      </w:pPr>
      <w:r>
        <w:rPr>
          <w:sz w:val="26"/>
          <w:szCs w:val="26"/>
        </w:rPr>
        <w:t>（1）施工期</w:t>
      </w:r>
    </w:p>
    <w:p w14:paraId="35D758F5">
      <w:pPr>
        <w:snapToGrid w:val="0"/>
        <w:spacing w:line="460" w:lineRule="exact"/>
        <w:ind w:firstLine="520" w:firstLineChars="200"/>
        <w:rPr>
          <w:sz w:val="26"/>
          <w:szCs w:val="26"/>
        </w:rPr>
      </w:pPr>
      <w:r>
        <w:rPr>
          <w:rFonts w:hint="eastAsia"/>
          <w:sz w:val="26"/>
          <w:szCs w:val="26"/>
        </w:rPr>
        <w:t>施工噪声将对周边居民产生一定程度影响，施工期合理安排施工强度，做好施工设计和组织，加强施工区内机械设备管理，较强噪声源尽可能远离周边的敏感点；施工前加强与附近居民的沟通，争取他们的理解和支持。</w:t>
      </w:r>
    </w:p>
    <w:p w14:paraId="217C72AB">
      <w:pPr>
        <w:snapToGrid w:val="0"/>
        <w:spacing w:line="460" w:lineRule="exact"/>
        <w:ind w:firstLine="520" w:firstLineChars="200"/>
        <w:rPr>
          <w:sz w:val="26"/>
          <w:szCs w:val="26"/>
        </w:rPr>
      </w:pPr>
      <w:r>
        <w:rPr>
          <w:rFonts w:hint="eastAsia"/>
          <w:sz w:val="26"/>
          <w:szCs w:val="26"/>
        </w:rPr>
        <w:t>总的来说，由于施工周期短，且不在夜间施工，待施工结束后这种影响也随之消失。</w:t>
      </w:r>
    </w:p>
    <w:p w14:paraId="3E47BE6C">
      <w:pPr>
        <w:adjustRightInd w:val="0"/>
        <w:snapToGrid w:val="0"/>
        <w:spacing w:line="460" w:lineRule="exact"/>
        <w:ind w:firstLine="520" w:firstLineChars="200"/>
        <w:rPr>
          <w:sz w:val="26"/>
          <w:szCs w:val="26"/>
        </w:rPr>
      </w:pPr>
      <w:r>
        <w:rPr>
          <w:sz w:val="26"/>
          <w:szCs w:val="26"/>
        </w:rPr>
        <w:t>（2）试采期</w:t>
      </w:r>
    </w:p>
    <w:p w14:paraId="616106D4">
      <w:pPr>
        <w:adjustRightInd w:val="0"/>
        <w:snapToGrid w:val="0"/>
        <w:spacing w:line="460" w:lineRule="exact"/>
        <w:ind w:firstLine="520" w:firstLineChars="200"/>
        <w:rPr>
          <w:sz w:val="26"/>
          <w:szCs w:val="26"/>
        </w:rPr>
      </w:pPr>
      <w:bookmarkStart w:id="506" w:name="_Toc165810708"/>
      <w:r>
        <w:rPr>
          <w:sz w:val="26"/>
          <w:szCs w:val="26"/>
        </w:rPr>
        <w:t>本项目使用低噪声设备、基座减震、</w:t>
      </w:r>
      <w:r>
        <w:rPr>
          <w:rFonts w:hint="eastAsia"/>
          <w:sz w:val="26"/>
          <w:szCs w:val="26"/>
        </w:rPr>
        <w:t>消声、隔声、</w:t>
      </w:r>
      <w:r>
        <w:rPr>
          <w:sz w:val="26"/>
          <w:szCs w:val="26"/>
        </w:rPr>
        <w:t>合理布局等措施，经预测，</w:t>
      </w:r>
      <w:r>
        <w:rPr>
          <w:rFonts w:hint="eastAsia"/>
          <w:sz w:val="26"/>
          <w:szCs w:val="26"/>
        </w:rPr>
        <w:t>试采站</w:t>
      </w:r>
      <w:r>
        <w:rPr>
          <w:sz w:val="26"/>
          <w:szCs w:val="26"/>
        </w:rPr>
        <w:t>场界噪声排放满足《</w:t>
      </w:r>
      <w:r>
        <w:rPr>
          <w:rFonts w:hint="eastAsia"/>
          <w:sz w:val="26"/>
          <w:szCs w:val="26"/>
        </w:rPr>
        <w:t>工业企业厂界环境噪声排放标准</w:t>
      </w:r>
      <w:r>
        <w:rPr>
          <w:sz w:val="26"/>
          <w:szCs w:val="26"/>
        </w:rPr>
        <w:t>》（GB12348-2008）2类区标准，周边环境敏感点噪声预测值满足《声环境质量标准》（GB3096-2008）中的2类标准限值。</w:t>
      </w:r>
    </w:p>
    <w:p w14:paraId="624FEBCC">
      <w:pPr>
        <w:adjustRightInd w:val="0"/>
        <w:snapToGrid w:val="0"/>
        <w:spacing w:line="460" w:lineRule="exact"/>
        <w:ind w:firstLine="522" w:firstLineChars="200"/>
        <w:outlineLvl w:val="2"/>
        <w:rPr>
          <w:b/>
          <w:sz w:val="26"/>
          <w:szCs w:val="26"/>
        </w:rPr>
      </w:pPr>
      <w:r>
        <w:rPr>
          <w:b/>
          <w:sz w:val="26"/>
          <w:szCs w:val="26"/>
        </w:rPr>
        <w:t>11.4.6 固体废物影响及污染防治措施</w:t>
      </w:r>
      <w:bookmarkEnd w:id="506"/>
    </w:p>
    <w:p w14:paraId="2F15E9D2">
      <w:pPr>
        <w:snapToGrid w:val="0"/>
        <w:spacing w:line="460" w:lineRule="exact"/>
        <w:ind w:firstLine="520" w:firstLineChars="200"/>
        <w:rPr>
          <w:bCs/>
          <w:sz w:val="26"/>
          <w:szCs w:val="26"/>
        </w:rPr>
      </w:pPr>
      <w:r>
        <w:rPr>
          <w:bCs/>
          <w:sz w:val="26"/>
          <w:szCs w:val="26"/>
        </w:rPr>
        <w:t>（1）施工期</w:t>
      </w:r>
    </w:p>
    <w:p w14:paraId="76B7E8AA">
      <w:pPr>
        <w:pStyle w:val="1381"/>
        <w:ind w:firstLine="520"/>
        <w:rPr>
          <w:rFonts w:cs="Times New Roman"/>
        </w:rPr>
      </w:pPr>
      <w:r>
        <w:rPr>
          <w:rFonts w:hint="eastAsia" w:cs="Times New Roman"/>
        </w:rPr>
        <w:t>施工期产生的固体废物主要包括生活垃圾、施工废料和废包装材料。生活垃圾分类收集后交当地环卫部门处置；施工废料可回收施工废料可由施工单位回收或外售废品回收站回收处置，不可回收施工废料收集后送当地建筑渣场处置。</w:t>
      </w:r>
    </w:p>
    <w:p w14:paraId="0865B7A0">
      <w:pPr>
        <w:pStyle w:val="1381"/>
        <w:ind w:firstLine="520"/>
        <w:rPr>
          <w:rFonts w:cs="Times New Roman"/>
        </w:rPr>
      </w:pPr>
      <w:r>
        <w:rPr>
          <w:rFonts w:hint="eastAsia" w:cs="Times New Roman"/>
        </w:rPr>
        <w:t>施工期固体废物均得到妥善处置，对环境影响较小。</w:t>
      </w:r>
    </w:p>
    <w:p w14:paraId="41421DF6">
      <w:pPr>
        <w:adjustRightInd w:val="0"/>
        <w:snapToGrid w:val="0"/>
        <w:spacing w:line="460" w:lineRule="exact"/>
        <w:ind w:firstLine="520" w:firstLineChars="200"/>
        <w:rPr>
          <w:bCs/>
          <w:sz w:val="26"/>
          <w:szCs w:val="26"/>
        </w:rPr>
      </w:pPr>
      <w:r>
        <w:rPr>
          <w:bCs/>
          <w:sz w:val="26"/>
          <w:szCs w:val="26"/>
        </w:rPr>
        <w:t>（2）试采期</w:t>
      </w:r>
    </w:p>
    <w:p w14:paraId="20843FFC">
      <w:pPr>
        <w:pStyle w:val="1381"/>
        <w:ind w:firstLine="520"/>
        <w:rPr>
          <w:rFonts w:cs="Times New Roman"/>
        </w:rPr>
      </w:pPr>
      <w:r>
        <w:rPr>
          <w:rFonts w:hint="eastAsia" w:cs="Times New Roman"/>
          <w:szCs w:val="21"/>
        </w:rPr>
        <w:t>试采期产生的储罐沉渣、检修废渣、</w:t>
      </w:r>
      <w:r>
        <w:rPr>
          <w:rFonts w:hint="eastAsia"/>
          <w:szCs w:val="26"/>
        </w:rPr>
        <w:t>废油、废油桶、含油擦拭物</w:t>
      </w:r>
      <w:r>
        <w:rPr>
          <w:rFonts w:hint="eastAsia" w:cs="Times New Roman"/>
          <w:szCs w:val="21"/>
        </w:rPr>
        <w:t>属于危险废物，即产即运，</w:t>
      </w:r>
      <w:r>
        <w:rPr>
          <w:rFonts w:hint="eastAsia"/>
        </w:rPr>
        <w:t>由作业区收集后暂存于河飞2</w:t>
      </w:r>
      <w:r>
        <w:t>03</w:t>
      </w:r>
      <w:r>
        <w:rPr>
          <w:rFonts w:hint="eastAsia"/>
        </w:rPr>
        <w:t>中心站危废暂存间，统一交由资质单位处置；</w:t>
      </w:r>
      <w:r>
        <w:rPr>
          <w:rFonts w:hint="eastAsia" w:cs="Times New Roman"/>
        </w:rPr>
        <w:t>聚结过滤分离器产生的废滤芯和</w:t>
      </w:r>
      <w:r>
        <w:rPr>
          <w:rFonts w:hint="eastAsia" w:cs="Times New Roman"/>
          <w:bCs/>
          <w:shd w:val="clear" w:color="auto" w:fill="FFFFFF"/>
        </w:rPr>
        <w:t>脱水压缩撬产生的</w:t>
      </w:r>
      <w:r>
        <w:rPr>
          <w:rFonts w:hint="eastAsia" w:cs="Times New Roman"/>
          <w:szCs w:val="21"/>
        </w:rPr>
        <w:t>废分子筛</w:t>
      </w:r>
      <w:r>
        <w:rPr>
          <w:rFonts w:hint="eastAsia" w:ascii="Helvetica" w:hAnsi="Helvetica" w:cs="Helvetica"/>
          <w:shd w:val="clear" w:color="auto" w:fill="FFFFFF"/>
        </w:rPr>
        <w:t>为一般工业固废，由厂家统一更换后回收，不在站内存储；</w:t>
      </w:r>
      <w:r>
        <w:t>生活垃圾分类收集后，交当地环卫部门处置</w:t>
      </w:r>
      <w:r>
        <w:rPr>
          <w:rFonts w:hint="eastAsia"/>
        </w:rPr>
        <w:t>。</w:t>
      </w:r>
    </w:p>
    <w:p w14:paraId="0C976351">
      <w:pPr>
        <w:adjustRightInd w:val="0"/>
        <w:snapToGrid w:val="0"/>
        <w:spacing w:line="460" w:lineRule="exact"/>
        <w:ind w:firstLine="520" w:firstLineChars="200"/>
        <w:rPr>
          <w:bCs/>
          <w:sz w:val="26"/>
          <w:szCs w:val="26"/>
        </w:rPr>
      </w:pPr>
      <w:r>
        <w:rPr>
          <w:rFonts w:hint="eastAsia"/>
          <w:bCs/>
          <w:sz w:val="26"/>
          <w:szCs w:val="26"/>
        </w:rPr>
        <w:t>试采期固废均得到有效处置，对项目所在地环境影响较小。</w:t>
      </w:r>
    </w:p>
    <w:p w14:paraId="26C9D9D1">
      <w:pPr>
        <w:spacing w:line="460" w:lineRule="exact"/>
        <w:ind w:firstLine="522" w:firstLineChars="200"/>
        <w:outlineLvl w:val="2"/>
        <w:rPr>
          <w:b/>
          <w:bCs/>
          <w:sz w:val="26"/>
          <w:szCs w:val="26"/>
        </w:rPr>
      </w:pPr>
      <w:r>
        <w:rPr>
          <w:rFonts w:hint="eastAsia"/>
          <w:b/>
          <w:bCs/>
          <w:sz w:val="26"/>
          <w:szCs w:val="26"/>
        </w:rPr>
        <w:t>1</w:t>
      </w:r>
      <w:r>
        <w:rPr>
          <w:b/>
          <w:bCs/>
          <w:sz w:val="26"/>
          <w:szCs w:val="26"/>
        </w:rPr>
        <w:t xml:space="preserve">1.4.7 </w:t>
      </w:r>
      <w:r>
        <w:rPr>
          <w:rFonts w:hint="eastAsia"/>
          <w:b/>
          <w:bCs/>
          <w:sz w:val="26"/>
          <w:szCs w:val="26"/>
        </w:rPr>
        <w:t>土壤环境影响及污染防治措施</w:t>
      </w:r>
    </w:p>
    <w:p w14:paraId="28B5F407">
      <w:pPr>
        <w:spacing w:line="460" w:lineRule="exact"/>
        <w:ind w:firstLine="520" w:firstLineChars="200"/>
        <w:rPr>
          <w:sz w:val="26"/>
          <w:szCs w:val="26"/>
        </w:rPr>
      </w:pPr>
      <w:r>
        <w:rPr>
          <w:rFonts w:hint="eastAsia"/>
          <w:sz w:val="26"/>
          <w:szCs w:val="26"/>
        </w:rPr>
        <w:t>（1）施工期</w:t>
      </w:r>
    </w:p>
    <w:p w14:paraId="675F86DC">
      <w:pPr>
        <w:adjustRightInd w:val="0"/>
        <w:snapToGrid w:val="0"/>
        <w:spacing w:line="450" w:lineRule="exact"/>
        <w:ind w:firstLine="520" w:firstLineChars="200"/>
        <w:rPr>
          <w:sz w:val="26"/>
          <w:szCs w:val="26"/>
        </w:rPr>
      </w:pPr>
      <w:r>
        <w:rPr>
          <w:rFonts w:hint="eastAsia"/>
          <w:sz w:val="26"/>
          <w:szCs w:val="26"/>
        </w:rPr>
        <w:t>本项目采气站场在现有井场内建设，对土壤环境影响较小。基础设备开挖扰乱土壤发生层、破坏土壤结构，同时改变土壤质地、土壤肥力等，通过采取严格控制土地占用等措施，施工期对土壤环境影响较小。</w:t>
      </w:r>
    </w:p>
    <w:p w14:paraId="56C5895A">
      <w:pPr>
        <w:adjustRightInd w:val="0"/>
        <w:snapToGrid w:val="0"/>
        <w:spacing w:line="450" w:lineRule="exact"/>
        <w:ind w:firstLine="520" w:firstLineChars="200"/>
        <w:rPr>
          <w:sz w:val="26"/>
          <w:szCs w:val="26"/>
        </w:rPr>
      </w:pPr>
      <w:r>
        <w:rPr>
          <w:rFonts w:hint="eastAsia"/>
          <w:sz w:val="26"/>
          <w:szCs w:val="26"/>
        </w:rPr>
        <w:t>（2）试采期</w:t>
      </w:r>
    </w:p>
    <w:p w14:paraId="73331CF5">
      <w:pPr>
        <w:adjustRightInd w:val="0"/>
        <w:snapToGrid w:val="0"/>
        <w:spacing w:line="450" w:lineRule="exact"/>
        <w:ind w:firstLine="520" w:firstLineChars="200"/>
        <w:rPr>
          <w:sz w:val="26"/>
          <w:szCs w:val="26"/>
        </w:rPr>
      </w:pPr>
      <w:r>
        <w:rPr>
          <w:rFonts w:hint="eastAsia"/>
          <w:sz w:val="26"/>
          <w:szCs w:val="26"/>
        </w:rPr>
        <w:t>站场采取分区防渗措施，凝析油储罐和气田水罐区与工艺区采取重点防渗措施并设置围堰；加强环保管理，禁止企业“偷排漏排”，严禁将气田水等污废水直接灌入土壤。采取以上措施后，对土壤环境影响较小。</w:t>
      </w:r>
    </w:p>
    <w:p w14:paraId="0AEAC5FD">
      <w:pPr>
        <w:adjustRightInd w:val="0"/>
        <w:snapToGrid w:val="0"/>
        <w:spacing w:line="450" w:lineRule="exact"/>
        <w:ind w:firstLine="522" w:firstLineChars="200"/>
        <w:outlineLvl w:val="2"/>
        <w:rPr>
          <w:b/>
          <w:sz w:val="26"/>
          <w:szCs w:val="26"/>
        </w:rPr>
      </w:pPr>
      <w:bookmarkStart w:id="507" w:name="_Toc165810709"/>
      <w:r>
        <w:rPr>
          <w:b/>
          <w:sz w:val="26"/>
          <w:szCs w:val="26"/>
        </w:rPr>
        <w:t>11.4.8 环境风险分析结论</w:t>
      </w:r>
      <w:bookmarkEnd w:id="507"/>
    </w:p>
    <w:p w14:paraId="6BBA2C6F">
      <w:pPr>
        <w:adjustRightInd w:val="0"/>
        <w:snapToGrid w:val="0"/>
        <w:spacing w:line="450" w:lineRule="exact"/>
        <w:ind w:firstLine="520" w:firstLineChars="200"/>
        <w:rPr>
          <w:bCs/>
          <w:sz w:val="26"/>
          <w:szCs w:val="26"/>
        </w:rPr>
      </w:pPr>
      <w:r>
        <w:rPr>
          <w:rFonts w:hint="eastAsia"/>
          <w:bCs/>
          <w:sz w:val="26"/>
          <w:szCs w:val="26"/>
        </w:rPr>
        <w:t>本项目环境风险主要为天然气、凝析油、气田水泄漏事故。由于本项目站场设置了紧急隔离系统，储罐区进行了重点防渗并设置围堰，事故发生的概率低，在采取积极的风险防范措施，并制定有效的应急预案后，环境风险总体可控。</w:t>
      </w:r>
    </w:p>
    <w:p w14:paraId="6047A0FF">
      <w:pPr>
        <w:pStyle w:val="205"/>
        <w:adjustRightInd w:val="0"/>
        <w:snapToGrid w:val="0"/>
        <w:spacing w:line="450" w:lineRule="exact"/>
        <w:ind w:firstLine="522"/>
        <w:outlineLvl w:val="1"/>
        <w:rPr>
          <w:b/>
        </w:rPr>
      </w:pPr>
      <w:bookmarkStart w:id="508" w:name="_Toc423510495"/>
      <w:bookmarkStart w:id="509" w:name="_Toc165809792"/>
      <w:bookmarkStart w:id="510" w:name="_Toc165810710"/>
      <w:bookmarkStart w:id="511" w:name="_Toc219907705"/>
      <w:r>
        <w:rPr>
          <w:b/>
        </w:rPr>
        <w:t>11.</w:t>
      </w:r>
      <w:bookmarkEnd w:id="508"/>
      <w:r>
        <w:rPr>
          <w:b/>
        </w:rPr>
        <w:t>5 选址环境可行性</w:t>
      </w:r>
      <w:bookmarkEnd w:id="509"/>
      <w:bookmarkEnd w:id="510"/>
      <w:bookmarkEnd w:id="511"/>
    </w:p>
    <w:p w14:paraId="36F84E73">
      <w:pPr>
        <w:adjustRightInd w:val="0"/>
        <w:snapToGrid w:val="0"/>
        <w:spacing w:line="450" w:lineRule="exact"/>
        <w:ind w:firstLine="520" w:firstLineChars="200"/>
        <w:rPr>
          <w:sz w:val="26"/>
          <w:szCs w:val="26"/>
        </w:rPr>
      </w:pPr>
      <w:r>
        <w:rPr>
          <w:rFonts w:hint="eastAsia"/>
          <w:sz w:val="26"/>
          <w:szCs w:val="26"/>
        </w:rPr>
        <w:t>本项目试采站在已建井场范围内建设，不新增占地，站场用地不涉及自然保护区、风景名胜区、森林公园和集中式饮用水水源保护区等敏感目标。站场评价范围内仅分布有分散居民房分布，试采期间在落实各项环保措施的前提下对周边居民影响较小，从环境保护角度看，站场选址合理可行。</w:t>
      </w:r>
    </w:p>
    <w:p w14:paraId="6EE65642">
      <w:pPr>
        <w:pStyle w:val="205"/>
        <w:adjustRightInd w:val="0"/>
        <w:snapToGrid w:val="0"/>
        <w:spacing w:line="450" w:lineRule="exact"/>
        <w:ind w:firstLine="522"/>
        <w:outlineLvl w:val="1"/>
        <w:rPr>
          <w:b/>
        </w:rPr>
      </w:pPr>
      <w:bookmarkStart w:id="512" w:name="_Toc219907706"/>
      <w:bookmarkStart w:id="513" w:name="_Toc165809793"/>
      <w:bookmarkStart w:id="514" w:name="_Toc165810711"/>
      <w:r>
        <w:rPr>
          <w:b/>
        </w:rPr>
        <w:t>11.6 总量控制指标</w:t>
      </w:r>
      <w:bookmarkEnd w:id="512"/>
      <w:bookmarkEnd w:id="513"/>
      <w:bookmarkEnd w:id="514"/>
    </w:p>
    <w:p w14:paraId="158822EE">
      <w:pPr>
        <w:adjustRightInd w:val="0"/>
        <w:snapToGrid w:val="0"/>
        <w:spacing w:line="450" w:lineRule="exact"/>
        <w:ind w:firstLine="520" w:firstLineChars="200"/>
        <w:rPr>
          <w:sz w:val="26"/>
          <w:szCs w:val="26"/>
        </w:rPr>
      </w:pPr>
      <w:r>
        <w:rPr>
          <w:sz w:val="26"/>
          <w:szCs w:val="26"/>
        </w:rPr>
        <w:t>本项目试采期无废水直接外排，因此不需要新增废水总量指标。试采期水套加热炉为临时性设施，挥发性有机物为无组织排放，放空管为“其他”排放口，不需申请废气总量指标。</w:t>
      </w:r>
    </w:p>
    <w:p w14:paraId="22B0CF2B">
      <w:pPr>
        <w:pStyle w:val="207"/>
        <w:adjustRightInd w:val="0"/>
        <w:snapToGrid w:val="0"/>
        <w:spacing w:line="450" w:lineRule="exact"/>
        <w:ind w:firstLine="522"/>
        <w:outlineLvl w:val="1"/>
        <w:rPr>
          <w:b/>
        </w:rPr>
      </w:pPr>
      <w:bookmarkStart w:id="515" w:name="_Toc219907707"/>
      <w:bookmarkStart w:id="516" w:name="_Toc165810712"/>
      <w:bookmarkStart w:id="517" w:name="_Toc165809794"/>
      <w:r>
        <w:rPr>
          <w:b/>
        </w:rPr>
        <w:t>11.7 公众参与</w:t>
      </w:r>
      <w:bookmarkEnd w:id="515"/>
      <w:bookmarkEnd w:id="516"/>
      <w:bookmarkEnd w:id="517"/>
    </w:p>
    <w:p w14:paraId="74085BC4">
      <w:pPr>
        <w:adjustRightInd w:val="0"/>
        <w:snapToGrid w:val="0"/>
        <w:spacing w:line="450" w:lineRule="exact"/>
        <w:ind w:firstLine="520" w:firstLineChars="200"/>
        <w:rPr>
          <w:sz w:val="26"/>
          <w:szCs w:val="26"/>
        </w:rPr>
      </w:pPr>
      <w:r>
        <w:rPr>
          <w:rFonts w:hint="eastAsia"/>
          <w:sz w:val="26"/>
          <w:szCs w:val="26"/>
        </w:rPr>
        <w:t>本项目公众参与责任主体为中国石油化工股份有限公司西南油气分公司采气二厂。根据建设单位提供的《公众参与说明》，建设单位采取了网上公示、报纸公示和现场公示相结合等公众参与方式。</w:t>
      </w:r>
    </w:p>
    <w:p w14:paraId="7FB5626A">
      <w:pPr>
        <w:adjustRightInd w:val="0"/>
        <w:snapToGrid w:val="0"/>
        <w:spacing w:line="450" w:lineRule="exact"/>
        <w:ind w:firstLine="520" w:firstLineChars="200"/>
        <w:rPr>
          <w:sz w:val="26"/>
          <w:szCs w:val="26"/>
        </w:rPr>
      </w:pPr>
      <w:r>
        <w:rPr>
          <w:rFonts w:hint="eastAsia"/>
          <w:sz w:val="26"/>
          <w:szCs w:val="26"/>
        </w:rPr>
        <w:t>本项目于202</w:t>
      </w:r>
      <w:r>
        <w:rPr>
          <w:sz w:val="26"/>
          <w:szCs w:val="26"/>
        </w:rPr>
        <w:t>6</w:t>
      </w:r>
      <w:r>
        <w:rPr>
          <w:rFonts w:hint="eastAsia"/>
          <w:sz w:val="26"/>
          <w:szCs w:val="26"/>
        </w:rPr>
        <w:t>年</w:t>
      </w:r>
      <w:r>
        <w:rPr>
          <w:sz w:val="26"/>
          <w:szCs w:val="26"/>
        </w:rPr>
        <w:t>2</w:t>
      </w:r>
      <w:r>
        <w:rPr>
          <w:rFonts w:hint="eastAsia"/>
          <w:sz w:val="26"/>
          <w:szCs w:val="26"/>
        </w:rPr>
        <w:t>月2</w:t>
      </w:r>
      <w:r>
        <w:rPr>
          <w:sz w:val="26"/>
          <w:szCs w:val="26"/>
        </w:rPr>
        <w:t>6</w:t>
      </w:r>
      <w:r>
        <w:rPr>
          <w:rFonts w:hint="eastAsia"/>
          <w:sz w:val="26"/>
          <w:szCs w:val="26"/>
        </w:rPr>
        <w:t>日在“巴中网”进行了第一次公众参与信息公示，公示内容包括建设项目概况、建设单位和环评单位的名称及联系方式、公众意见表的网络链接、环境影响评价的工作程序和主要工作内容、提交公众意见表的方式和途径等内容。“巴中网”是巴中市广播电视台主办的综合性门户网站，巴中网与巴中电视台、巴中人民广播电台等媒体共同参与新闻事件报道，</w:t>
      </w:r>
      <w:r>
        <w:rPr>
          <w:rFonts w:hint="eastAsia" w:hAnsi="宋体"/>
          <w:sz w:val="26"/>
          <w:szCs w:val="26"/>
        </w:rPr>
        <w:t>在该网站上开展公众参与公示，其信息的受众群体更广，更能达到信息推广和公众参与的目的。</w:t>
      </w:r>
    </w:p>
    <w:p w14:paraId="6C8D7238">
      <w:pPr>
        <w:adjustRightInd w:val="0"/>
        <w:snapToGrid w:val="0"/>
        <w:spacing w:line="450" w:lineRule="exact"/>
        <w:ind w:firstLine="520" w:firstLineChars="200"/>
        <w:rPr>
          <w:sz w:val="26"/>
          <w:szCs w:val="26"/>
        </w:rPr>
      </w:pPr>
      <w:r>
        <w:rPr>
          <w:rFonts w:hint="eastAsia"/>
          <w:sz w:val="26"/>
          <w:szCs w:val="26"/>
        </w:rPr>
        <w:t>环境影响报告书征求意见稿形成后，建设单位于202</w:t>
      </w:r>
      <w:r>
        <w:rPr>
          <w:sz w:val="26"/>
          <w:szCs w:val="26"/>
        </w:rPr>
        <w:t>6</w:t>
      </w:r>
      <w:r>
        <w:rPr>
          <w:rFonts w:hint="eastAsia"/>
          <w:sz w:val="26"/>
          <w:szCs w:val="26"/>
        </w:rPr>
        <w:t>年</w:t>
      </w:r>
      <w:r>
        <w:rPr>
          <w:sz w:val="26"/>
          <w:szCs w:val="26"/>
        </w:rPr>
        <w:t>4</w:t>
      </w:r>
      <w:r>
        <w:rPr>
          <w:rFonts w:hint="eastAsia"/>
          <w:sz w:val="26"/>
          <w:szCs w:val="26"/>
        </w:rPr>
        <w:t>月</w:t>
      </w:r>
      <w:r>
        <w:rPr>
          <w:sz w:val="26"/>
          <w:szCs w:val="26"/>
        </w:rPr>
        <w:t>13</w:t>
      </w:r>
      <w:r>
        <w:rPr>
          <w:rFonts w:hint="eastAsia"/>
          <w:sz w:val="26"/>
          <w:szCs w:val="26"/>
        </w:rPr>
        <w:t>日~202</w:t>
      </w:r>
      <w:r>
        <w:rPr>
          <w:sz w:val="26"/>
          <w:szCs w:val="26"/>
        </w:rPr>
        <w:t>6</w:t>
      </w:r>
      <w:r>
        <w:rPr>
          <w:rFonts w:hint="eastAsia"/>
          <w:sz w:val="26"/>
          <w:szCs w:val="26"/>
        </w:rPr>
        <w:t>年</w:t>
      </w:r>
      <w:r>
        <w:rPr>
          <w:sz w:val="26"/>
          <w:szCs w:val="26"/>
        </w:rPr>
        <w:t>4</w:t>
      </w:r>
      <w:r>
        <w:rPr>
          <w:rFonts w:hint="eastAsia"/>
          <w:sz w:val="26"/>
          <w:szCs w:val="26"/>
        </w:rPr>
        <w:t>月</w:t>
      </w:r>
      <w:r>
        <w:rPr>
          <w:sz w:val="26"/>
          <w:szCs w:val="26"/>
        </w:rPr>
        <w:t>27</w:t>
      </w:r>
      <w:r>
        <w:rPr>
          <w:rFonts w:hint="eastAsia"/>
          <w:sz w:val="26"/>
          <w:szCs w:val="26"/>
        </w:rPr>
        <w:t>日在“巴中网”进行了第二次公示，告知环境影响报告书征求意见稿全文的网络链接及查阅纸质报告书的方式和途径；征求意见的公众范围；公众意见表的网络链接；公众提出意见的方式和途径；公众提出意见的起止时间等。并在网络平台公开征求意见的10个工作日内，分别于202</w:t>
      </w:r>
      <w:r>
        <w:rPr>
          <w:sz w:val="26"/>
          <w:szCs w:val="26"/>
        </w:rPr>
        <w:t>6</w:t>
      </w:r>
      <w:r>
        <w:rPr>
          <w:rFonts w:hint="eastAsia"/>
          <w:sz w:val="26"/>
          <w:szCs w:val="26"/>
        </w:rPr>
        <w:t>年</w:t>
      </w:r>
      <w:r>
        <w:rPr>
          <w:sz w:val="26"/>
          <w:szCs w:val="26"/>
        </w:rPr>
        <w:t>4</w:t>
      </w:r>
      <w:r>
        <w:rPr>
          <w:rFonts w:hint="eastAsia"/>
          <w:sz w:val="26"/>
          <w:szCs w:val="26"/>
        </w:rPr>
        <w:t>月</w:t>
      </w:r>
      <w:r>
        <w:rPr>
          <w:sz w:val="26"/>
          <w:szCs w:val="26"/>
        </w:rPr>
        <w:t>14</w:t>
      </w:r>
      <w:r>
        <w:rPr>
          <w:rFonts w:hint="eastAsia"/>
          <w:sz w:val="26"/>
          <w:szCs w:val="26"/>
        </w:rPr>
        <w:t>日、</w:t>
      </w:r>
      <w:r>
        <w:rPr>
          <w:sz w:val="26"/>
          <w:szCs w:val="26"/>
        </w:rPr>
        <w:t>4</w:t>
      </w:r>
      <w:r>
        <w:rPr>
          <w:rFonts w:hint="eastAsia"/>
          <w:sz w:val="26"/>
          <w:szCs w:val="26"/>
        </w:rPr>
        <w:t>月</w:t>
      </w:r>
      <w:r>
        <w:rPr>
          <w:sz w:val="26"/>
          <w:szCs w:val="26"/>
        </w:rPr>
        <w:t>16</w:t>
      </w:r>
      <w:r>
        <w:rPr>
          <w:rFonts w:hint="eastAsia"/>
          <w:sz w:val="26"/>
          <w:szCs w:val="26"/>
        </w:rPr>
        <w:t>日在《巴中日报》进行了两次报纸公示。并于2</w:t>
      </w:r>
      <w:r>
        <w:rPr>
          <w:sz w:val="26"/>
          <w:szCs w:val="26"/>
        </w:rPr>
        <w:t>026</w:t>
      </w:r>
      <w:r>
        <w:rPr>
          <w:rFonts w:hint="eastAsia"/>
          <w:sz w:val="26"/>
          <w:szCs w:val="26"/>
        </w:rPr>
        <w:t>年4月1</w:t>
      </w:r>
      <w:r>
        <w:rPr>
          <w:sz w:val="26"/>
          <w:szCs w:val="26"/>
        </w:rPr>
        <w:t>3</w:t>
      </w:r>
      <w:r>
        <w:rPr>
          <w:rFonts w:hint="eastAsia"/>
          <w:sz w:val="26"/>
          <w:szCs w:val="26"/>
        </w:rPr>
        <w:t>日在现场进行了张贴公示。</w:t>
      </w:r>
    </w:p>
    <w:p w14:paraId="0963B5F9">
      <w:pPr>
        <w:adjustRightInd w:val="0"/>
        <w:snapToGrid w:val="0"/>
        <w:spacing w:line="450" w:lineRule="exact"/>
        <w:ind w:firstLine="520" w:firstLineChars="200"/>
        <w:rPr>
          <w:sz w:val="26"/>
          <w:szCs w:val="26"/>
        </w:rPr>
      </w:pPr>
      <w:r>
        <w:rPr>
          <w:rFonts w:hint="eastAsia"/>
          <w:sz w:val="26"/>
          <w:szCs w:val="26"/>
        </w:rPr>
        <w:t>在两次网上公示及报纸公示、张贴公告收集公众意见的时间内，建设单位和环评单位均未收到公众对项目的质疑性意见。</w:t>
      </w:r>
    </w:p>
    <w:p w14:paraId="5148CD06">
      <w:pPr>
        <w:adjustRightInd w:val="0"/>
        <w:snapToGrid w:val="0"/>
        <w:spacing w:line="450" w:lineRule="exact"/>
        <w:ind w:firstLine="520" w:firstLineChars="200"/>
        <w:rPr>
          <w:sz w:val="26"/>
          <w:szCs w:val="26"/>
        </w:rPr>
      </w:pPr>
      <w:r>
        <w:rPr>
          <w:rFonts w:hint="eastAsia"/>
          <w:sz w:val="26"/>
          <w:szCs w:val="26"/>
        </w:rPr>
        <w:t>建设单位在向生态环境主管部门报批环境影响报告书前，编写了建设项目环境影响评价公众参与说明。公众参与说明包括公众参与的过程、范围和内容；公众意见收集整理和归纳分析情况；公众意见采纳情况，或者未采纳情况、理由及向公众反馈的情况等。并于202</w:t>
      </w:r>
      <w:r>
        <w:rPr>
          <w:sz w:val="26"/>
          <w:szCs w:val="26"/>
        </w:rPr>
        <w:t>6</w:t>
      </w:r>
      <w:r>
        <w:rPr>
          <w:rFonts w:hint="eastAsia"/>
          <w:sz w:val="26"/>
          <w:szCs w:val="26"/>
        </w:rPr>
        <w:t>年</w:t>
      </w:r>
      <w:r>
        <w:rPr>
          <w:sz w:val="26"/>
          <w:szCs w:val="26"/>
        </w:rPr>
        <w:t>4</w:t>
      </w:r>
      <w:r>
        <w:rPr>
          <w:rFonts w:hint="eastAsia"/>
          <w:sz w:val="26"/>
          <w:szCs w:val="26"/>
        </w:rPr>
        <w:t>月</w:t>
      </w:r>
      <w:r>
        <w:rPr>
          <w:sz w:val="26"/>
          <w:szCs w:val="26"/>
        </w:rPr>
        <w:t>29</w:t>
      </w:r>
      <w:r>
        <w:rPr>
          <w:rFonts w:hint="eastAsia"/>
          <w:sz w:val="26"/>
          <w:szCs w:val="26"/>
        </w:rPr>
        <w:t>日在“巴中网”公开了拟报批的环境影响报告书全文和公众参与说明。</w:t>
      </w:r>
    </w:p>
    <w:p w14:paraId="70EE4887">
      <w:pPr>
        <w:adjustRightInd w:val="0"/>
        <w:snapToGrid w:val="0"/>
        <w:spacing w:line="450" w:lineRule="exact"/>
        <w:ind w:firstLine="520" w:firstLineChars="200"/>
        <w:rPr>
          <w:sz w:val="26"/>
          <w:szCs w:val="26"/>
        </w:rPr>
      </w:pPr>
      <w:r>
        <w:rPr>
          <w:rFonts w:hint="eastAsia"/>
          <w:sz w:val="26"/>
          <w:szCs w:val="26"/>
        </w:rPr>
        <w:t>建设单位承诺在项目建设过程中，做好环境保护工作，以最大限度的减少对周围环境的影响，具体做法：落实污染防治措施，确保污染物达标排放，最大限度地减少对环境的影响。</w:t>
      </w:r>
    </w:p>
    <w:p w14:paraId="00614BB9">
      <w:pPr>
        <w:pStyle w:val="207"/>
        <w:adjustRightInd w:val="0"/>
        <w:snapToGrid w:val="0"/>
        <w:spacing w:line="450" w:lineRule="exact"/>
        <w:ind w:firstLine="522"/>
        <w:outlineLvl w:val="1"/>
        <w:rPr>
          <w:b/>
        </w:rPr>
      </w:pPr>
      <w:bookmarkStart w:id="518" w:name="_Toc219907708"/>
      <w:bookmarkStart w:id="519" w:name="_Toc165810713"/>
      <w:bookmarkStart w:id="520" w:name="_Toc165809795"/>
      <w:bookmarkStart w:id="521" w:name="_Toc423510500"/>
      <w:r>
        <w:rPr>
          <w:b/>
        </w:rPr>
        <w:t>11.8 综合结论</w:t>
      </w:r>
      <w:bookmarkEnd w:id="518"/>
      <w:bookmarkEnd w:id="519"/>
      <w:bookmarkEnd w:id="520"/>
      <w:bookmarkEnd w:id="521"/>
    </w:p>
    <w:p w14:paraId="2FA2A23E">
      <w:pPr>
        <w:adjustRightInd w:val="0"/>
        <w:snapToGrid w:val="0"/>
        <w:spacing w:line="450" w:lineRule="exact"/>
        <w:ind w:firstLine="520" w:firstLineChars="200"/>
        <w:rPr>
          <w:bCs/>
          <w:sz w:val="26"/>
          <w:szCs w:val="26"/>
        </w:rPr>
      </w:pPr>
      <w:bookmarkStart w:id="522" w:name="OLE_LINK28"/>
      <w:r>
        <w:rPr>
          <w:rFonts w:hint="eastAsia"/>
          <w:bCs/>
          <w:sz w:val="26"/>
          <w:szCs w:val="26"/>
        </w:rPr>
        <w:t>“巴中2HF井地面工程”的建设符合国家产业政策及规划要求。工程的建设可能对环境造成一定的影响，但在采取严格的生态环境保护措施及污染防治措施后，对环境的不利影响可得到有效控制和缓解，对环境影响有限。因此，从环境保护的角度，评价认为工程建设可行。</w:t>
      </w:r>
    </w:p>
    <w:p w14:paraId="0D36FA8C">
      <w:pPr>
        <w:pStyle w:val="207"/>
        <w:adjustRightInd w:val="0"/>
        <w:snapToGrid w:val="0"/>
        <w:spacing w:line="450" w:lineRule="exact"/>
        <w:ind w:firstLine="522"/>
        <w:outlineLvl w:val="1"/>
        <w:rPr>
          <w:b/>
        </w:rPr>
      </w:pPr>
      <w:bookmarkStart w:id="523" w:name="_Toc219907709"/>
      <w:bookmarkStart w:id="524" w:name="_Toc165810714"/>
      <w:bookmarkStart w:id="525" w:name="_Toc165809796"/>
      <w:r>
        <w:rPr>
          <w:b/>
        </w:rPr>
        <w:t>11.9 建议</w:t>
      </w:r>
      <w:bookmarkEnd w:id="523"/>
      <w:bookmarkEnd w:id="524"/>
      <w:bookmarkEnd w:id="525"/>
    </w:p>
    <w:p w14:paraId="11367C71">
      <w:pPr>
        <w:pStyle w:val="205"/>
        <w:adjustRightInd w:val="0"/>
        <w:snapToGrid w:val="0"/>
        <w:spacing w:line="450" w:lineRule="exact"/>
        <w:ind w:firstLine="520"/>
      </w:pPr>
      <w:r>
        <w:rPr>
          <w:rFonts w:hint="eastAsia"/>
        </w:rPr>
        <w:t>（1）加强施工队伍的管理，严格控制施工区域面积，减少对生态环境的破坏，施工结束后及时进行恢复。</w:t>
      </w:r>
    </w:p>
    <w:p w14:paraId="7250BBA3">
      <w:pPr>
        <w:pStyle w:val="205"/>
        <w:adjustRightInd w:val="0"/>
        <w:snapToGrid w:val="0"/>
        <w:spacing w:line="450" w:lineRule="exact"/>
        <w:ind w:firstLine="520"/>
      </w:pPr>
      <w:r>
        <w:rPr>
          <w:rFonts w:hint="eastAsia"/>
        </w:rPr>
        <w:t>（2）尽量避开雨季施工，防止水土流失；建议应采用户外广告、招贴画、广播等形式，大力宣传野生动植物保护法律、法规。</w:t>
      </w:r>
    </w:p>
    <w:p w14:paraId="1E3B4C16">
      <w:pPr>
        <w:pStyle w:val="205"/>
        <w:adjustRightInd w:val="0"/>
        <w:snapToGrid w:val="0"/>
        <w:spacing w:line="450" w:lineRule="exact"/>
        <w:ind w:firstLine="520"/>
      </w:pPr>
      <w:r>
        <w:rPr>
          <w:rFonts w:hint="eastAsia"/>
        </w:rPr>
        <w:t>（3）加强环境管理和风险防范意识，加强环境风险应急事故演练，不断完善环境风险应急预案，定期巡检、送检各类仪表、阀门等设备，杜绝环境风险事故的发生。</w:t>
      </w:r>
      <w:bookmarkEnd w:id="522"/>
    </w:p>
    <w:sectPr>
      <w:pgSz w:w="11906" w:h="16838"/>
      <w:pgMar w:top="1701" w:right="1588" w:bottom="1588" w:left="1588" w:header="1304" w:footer="124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Arial Unicode MS">
    <w:altName w:val="宋体"/>
    <w:panose1 w:val="020B0604020202020204"/>
    <w:charset w:val="86"/>
    <w:family w:val="swiss"/>
    <w:pitch w:val="default"/>
    <w:sig w:usb0="00000000" w:usb1="00000000" w:usb2="0000007F" w:usb3="00000000" w:csb0="003F01FF" w:csb1="00000000"/>
  </w:font>
  <w:font w:name="隶书">
    <w:altName w:val="微软雅黑"/>
    <w:panose1 w:val="02010509060101010101"/>
    <w:charset w:val="86"/>
    <w:family w:val="modern"/>
    <w:pitch w:val="default"/>
    <w:sig w:usb0="00000000" w:usb1="00000000" w:usb2="00000010" w:usb3="00000000" w:csb0="00040000" w:csb1="00000000"/>
  </w:font>
  <w:font w:name="Bookman Old Style">
    <w:altName w:val="Segoe Print"/>
    <w:panose1 w:val="020506040505050202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 w:name="新宋体">
    <w:panose1 w:val="02010609030101010101"/>
    <w:charset w:val="86"/>
    <w:family w:val="modern"/>
    <w:pitch w:val="default"/>
    <w:sig w:usb0="00000003" w:usb1="288F0000" w:usb2="00000006" w:usb3="00000000" w:csb0="00040001" w:csb1="00000000"/>
  </w:font>
  <w:font w:name="Angsana New">
    <w:panose1 w:val="02020603050405020304"/>
    <w:charset w:val="DE"/>
    <w:family w:val="roman"/>
    <w:pitch w:val="default"/>
    <w:sig w:usb0="81000003" w:usb1="00000000" w:usb2="00000000" w:usb3="00000000" w:csb0="00010001" w:csb1="00000000"/>
  </w:font>
  <w:font w:name="Swis721 BT">
    <w:altName w:val="NumberOnly"/>
    <w:panose1 w:val="020B0504020202020204"/>
    <w:charset w:val="00"/>
    <w:family w:val="swiss"/>
    <w:pitch w:val="default"/>
    <w:sig w:usb0="00000000" w:usb1="00000000" w:usb2="00000000" w:usb3="00000000" w:csb0="0000001B" w:csb1="00000000"/>
  </w:font>
  <w:font w:name="NumberOnly">
    <w:panose1 w:val="020B0500000000000000"/>
    <w:charset w:val="00"/>
    <w:family w:val="auto"/>
    <w:pitch w:val="default"/>
    <w:sig w:usb0="8000002F" w:usb1="10000048" w:usb2="00000000" w:usb3="00000000" w:csb0="00000111" w:csb1="40000000"/>
  </w:font>
  <w:font w:name="Times">
    <w:altName w:val="Times New Roman"/>
    <w:panose1 w:val="02020603050405020304"/>
    <w:charset w:val="00"/>
    <w:family w:val="roman"/>
    <w:pitch w:val="default"/>
    <w:sig w:usb0="00000000" w:usb1="00000000" w:usb2="00000009" w:usb3="00000000" w:csb0="000001FF" w:csb1="00000000"/>
  </w:font>
  <w:font w:name="Swis721 Lt BT">
    <w:altName w:val="NumberOnly"/>
    <w:panose1 w:val="020B0403020202020204"/>
    <w:charset w:val="00"/>
    <w:family w:val="swiss"/>
    <w:pitch w:val="default"/>
    <w:sig w:usb0="00000000" w:usb1="00000000" w:usb2="00000000" w:usb3="00000000" w:csb0="0000001B" w:csb1="00000000"/>
  </w:font>
  <w:font w:name="方正细黑一简体">
    <w:altName w:val="黑体"/>
    <w:panose1 w:val="00000000000000000000"/>
    <w:charset w:val="86"/>
    <w:family w:val="auto"/>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汉鼎简书宋">
    <w:altName w:val="宋体"/>
    <w:panose1 w:val="00000000000000000000"/>
    <w:charset w:val="86"/>
    <w:family w:val="modern"/>
    <w:pitch w:val="default"/>
    <w:sig w:usb0="00000000" w:usb1="00000000" w:usb2="00000010" w:usb3="00000000" w:csb0="00040000" w:csb1="00000000"/>
  </w:font>
  <w:font w:name="Tms Rmn">
    <w:altName w:val="Segoe Print"/>
    <w:panose1 w:val="02020603040505020304"/>
    <w:charset w:val="00"/>
    <w:family w:val="roman"/>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PMingLiU">
    <w:panose1 w:val="02020500000000000000"/>
    <w:charset w:val="88"/>
    <w:family w:val="roman"/>
    <w:pitch w:val="default"/>
    <w:sig w:usb0="A00002FF" w:usb1="28CFFCFA" w:usb2="00000016" w:usb3="00000000" w:csb0="00100001" w:csb1="00000000"/>
  </w:font>
  <w:font w:name="MingLiU">
    <w:panose1 w:val="02020509000000000000"/>
    <w:charset w:val="88"/>
    <w:family w:val="moder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文鼎大标宋简">
    <w:altName w:val="微软雅黑"/>
    <w:panose1 w:val="00000000000000000000"/>
    <w:charset w:val="86"/>
    <w:family w:val="modern"/>
    <w:pitch w:val="default"/>
    <w:sig w:usb0="00000000" w:usb1="00000000" w:usb2="00000010" w:usb3="00000000" w:csb0="00040000" w:csb1="00000000"/>
  </w:font>
  <w:font w:name="Dutch801 Rm BT">
    <w:altName w:val="Times New Roman"/>
    <w:panose1 w:val="02020603060505020304"/>
    <w:charset w:val="00"/>
    <w:family w:val="roman"/>
    <w:pitch w:val="default"/>
    <w:sig w:usb0="00000000" w:usb1="00000000" w:usb2="00000000" w:usb3="00000000" w:csb0="0000001B" w:csb1="00000000"/>
  </w:font>
  <w:font w:name="Book Antiqua">
    <w:altName w:val="Segoe Print"/>
    <w:panose1 w:val="02040602050305030304"/>
    <w:charset w:val="00"/>
    <w:family w:val="roman"/>
    <w:pitch w:val="default"/>
    <w:sig w:usb0="00000000" w:usb1="00000000" w:usb2="00000000" w:usb3="00000000" w:csb0="0000009F" w:csb1="00000000"/>
  </w:font>
  <w:font w:name="Arial Bold">
    <w:altName w:val="Arial"/>
    <w:panose1 w:val="020B0704020202020204"/>
    <w:charset w:val="00"/>
    <w:family w:val="roman"/>
    <w:pitch w:val="default"/>
    <w:sig w:usb0="00000000" w:usb1="00000000" w:usb2="00000000" w:usb3="00000000" w:csb0="00000001" w:csb1="00000000"/>
  </w:font>
  <w:font w:name="Sendnya">
    <w:altName w:val="Segoe Print"/>
    <w:panose1 w:val="00000400000000000000"/>
    <w:charset w:val="01"/>
    <w:family w:val="roman"/>
    <w:pitch w:val="default"/>
    <w:sig w:usb0="00000000" w:usb1="00000000" w:usb2="00000000" w:usb3="00000000" w:csb0="00000000" w:csb1="00000000"/>
  </w:font>
  <w:font w:name="Interstate">
    <w:altName w:val="微软雅黑"/>
    <w:panose1 w:val="00000000000000000000"/>
    <w:charset w:val="86"/>
    <w:family w:val="swiss"/>
    <w:pitch w:val="default"/>
    <w:sig w:usb0="00000000" w:usb1="00000000" w:usb2="00000010"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Palatino">
    <w:altName w:val="Palatino Linotype"/>
    <w:panose1 w:val="00000000000000000000"/>
    <w:charset w:val="00"/>
    <w:family w:val="roman"/>
    <w:pitch w:val="default"/>
    <w:sig w:usb0="00000000" w:usb1="00000000" w:usb2="00000000" w:usb3="00000000" w:csb0="00000001" w:csb1="00000000"/>
  </w:font>
  <w:font w:name="Palatino Linotype">
    <w:panose1 w:val="02040502050505030304"/>
    <w:charset w:val="00"/>
    <w:family w:val="auto"/>
    <w:pitch w:val="default"/>
    <w:sig w:usb0="E0000287" w:usb1="40000013" w:usb2="00000000" w:usb3="00000000" w:csb0="2000019F" w:csb1="00000000"/>
  </w:font>
  <w:font w:name="Batang">
    <w:panose1 w:val="02030600000101010101"/>
    <w:charset w:val="81"/>
    <w:family w:val="roman"/>
    <w:pitch w:val="default"/>
    <w:sig w:usb0="B00002AF" w:usb1="69D77CFB" w:usb2="00000030" w:usb3="00000000" w:csb0="4008009F" w:csb1="DFD7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方正魏碑简体">
    <w:altName w:val="微软雅黑"/>
    <w:panose1 w:val="00000000000000000000"/>
    <w:charset w:val="86"/>
    <w:family w:val="script"/>
    <w:pitch w:val="default"/>
    <w:sig w:usb0="00000000" w:usb1="00000000" w:usb2="00000010" w:usb3="00000000" w:csb0="00040000" w:csb1="00000000"/>
  </w:font>
  <w:font w:name="仿宋体">
    <w:altName w:val="宋体"/>
    <w:panose1 w:val="00000000000000000000"/>
    <w:charset w:val="86"/>
    <w:family w:val="swiss"/>
    <w:pitch w:val="default"/>
    <w:sig w:usb0="00000000" w:usb1="00000000" w:usb2="00000010" w:usb3="00000000" w:csb0="00040000" w:csb1="00000000"/>
  </w:font>
  <w:font w:name="方正楷体简体">
    <w:altName w:val="楷体_GB2312"/>
    <w:panose1 w:val="00000000000000000000"/>
    <w:charset w:val="86"/>
    <w:family w:val="script"/>
    <w:pitch w:val="default"/>
    <w:sig w:usb0="00000000" w:usb1="00000000" w:usb2="00000010" w:usb3="00000000" w:csb0="00040000" w:csb1="00000000"/>
  </w:font>
  <w:font w:name="ΟGB2312">
    <w:altName w:val="宋体"/>
    <w:panose1 w:val="00000000000000000000"/>
    <w:charset w:val="86"/>
    <w:family w:val="roma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方正隶变简体">
    <w:altName w:val="宋体"/>
    <w:panose1 w:val="00000000000000000000"/>
    <w:charset w:val="86"/>
    <w:family w:val="auto"/>
    <w:pitch w:val="default"/>
    <w:sig w:usb0="00000000" w:usb1="00000000" w:usb2="00000010" w:usb3="00000000" w:csb0="00040000" w:csb1="00000000"/>
  </w:font>
  <w:font w:name="方正书宋简体">
    <w:altName w:val="宋体"/>
    <w:panose1 w:val="00000000000000000000"/>
    <w:charset w:val="86"/>
    <w:family w:val="script"/>
    <w:pitch w:val="default"/>
    <w:sig w:usb0="00000000" w:usb1="00000000" w:usb2="00000010" w:usb3="00000000" w:csb0="00040000" w:csb1="00000000"/>
  </w:font>
  <w:font w:name="DF Kai Shu">
    <w:altName w:val="宋体"/>
    <w:panose1 w:val="00000000000000000000"/>
    <w:charset w:val="86"/>
    <w:family w:val="auto"/>
    <w:pitch w:val="default"/>
    <w:sig w:usb0="00000000" w:usb1="00000000" w:usb2="00000010" w:usb3="00000000" w:csb0="00040000" w:csb1="00000000"/>
  </w:font>
  <w:font w:name="Arial Black">
    <w:panose1 w:val="020B0A04020102020204"/>
    <w:charset w:val="00"/>
    <w:family w:val="swiss"/>
    <w:pitch w:val="default"/>
    <w:sig w:usb0="00000287" w:usb1="00000000" w:usb2="00000000" w:usb3="00000000" w:csb0="2000009F" w:csb1="DFD70000"/>
  </w:font>
  <w:font w:name="Geneva">
    <w:altName w:val="Arial"/>
    <w:panose1 w:val="00000000000000000000"/>
    <w:charset w:val="00"/>
    <w:family w:val="swiss"/>
    <w:pitch w:val="default"/>
    <w:sig w:usb0="00000000" w:usb1="00000000" w:usb2="00000000" w:usb3="00000000" w:csb0="00000001" w:csb1="00000000"/>
  </w:font>
  <w:font w:name="方正仿宋简体">
    <w:altName w:val="微软雅黑"/>
    <w:panose1 w:val="00000000000000000000"/>
    <w:charset w:val="86"/>
    <w:family w:val="script"/>
    <w:pitch w:val="default"/>
    <w:sig w:usb0="00000000" w:usb1="00000000" w:usb2="00000010" w:usb3="00000000" w:csb0="00040000" w:csb1="00000000"/>
  </w:font>
  <w:font w:name="Microsoft JhengHei">
    <w:panose1 w:val="020B0604030504040204"/>
    <w:charset w:val="88"/>
    <w:family w:val="swiss"/>
    <w:pitch w:val="default"/>
    <w:sig w:usb0="00000087" w:usb1="28AF4000" w:usb2="00000016" w:usb3="00000000" w:csb0="00100009" w:csb1="00000000"/>
  </w:font>
  <w:font w:name="Cambria Math">
    <w:panose1 w:val="02040503050406030204"/>
    <w:charset w:val="00"/>
    <w:family w:val="roman"/>
    <w:pitch w:val="default"/>
    <w:sig w:usb0="E00002FF" w:usb1="420024FF" w:usb2="00000000" w:usb3="00000000" w:csb0="2000019F" w:csb1="00000000"/>
  </w:font>
  <w:font w:name="TimesNewRomanPS-ItalicMT">
    <w:altName w:val="微软雅黑"/>
    <w:panose1 w:val="00000000000000000000"/>
    <w:charset w:val="86"/>
    <w:family w:val="auto"/>
    <w:pitch w:val="default"/>
    <w:sig w:usb0="00000000" w:usb1="00000000" w:usb2="00000010" w:usb3="00000000" w:csb0="00040000" w:csb1="00000000"/>
  </w:font>
  <w:font w:name="Segoe UI Symbol">
    <w:panose1 w:val="020B0502040204020203"/>
    <w:charset w:val="00"/>
    <w:family w:val="swiss"/>
    <w:pitch w:val="default"/>
    <w:sig w:usb0="8000006F" w:usb1="1200FBEF" w:usb2="0064C000" w:usb3="00000002" w:csb0="00000001" w:csb1="40000000"/>
  </w:font>
  <w:font w:name="等线">
    <w:altName w:val="微软雅黑"/>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8B866">
    <w:pPr>
      <w:pStyle w:val="55"/>
      <w:pBdr>
        <w:top w:val="single" w:color="auto" w:sz="8" w:space="0"/>
      </w:pBdr>
      <w:jc w:val="center"/>
    </w:pPr>
    <w:r>
      <w:rPr>
        <w:rFonts w:hint="eastAsia"/>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line">
                <wp:posOffset>-635</wp:posOffset>
              </wp:positionV>
              <wp:extent cx="439420" cy="237490"/>
              <wp:effectExtent l="0" t="0" r="0" b="0"/>
              <wp:wrapNone/>
              <wp:docPr id="901" name="文本框 901"/>
              <wp:cNvGraphicFramePr/>
              <a:graphic xmlns:a="http://schemas.openxmlformats.org/drawingml/2006/main">
                <a:graphicData uri="http://schemas.microsoft.com/office/word/2010/wordprocessingShape">
                  <wps:wsp>
                    <wps:cNvSpPr txBox="1"/>
                    <wps:spPr>
                      <a:xfrm>
                        <a:off x="0" y="0"/>
                        <a:ext cx="439200" cy="237600"/>
                      </a:xfrm>
                      <a:prstGeom prst="rect">
                        <a:avLst/>
                      </a:prstGeom>
                      <a:noFill/>
                      <a:ln w="6350">
                        <a:noFill/>
                      </a:ln>
                    </wps:spPr>
                    <wps:txbx>
                      <w:txbxContent>
                        <w:p w14:paraId="3289742F">
                          <w:pPr>
                            <w:jc w:val="left"/>
                            <w:rPr>
                              <w:sz w:val="2"/>
                            </w:rPr>
                          </w:pPr>
                          <w:r>
                            <w:rPr>
                              <w:sz w:val="18"/>
                            </w:rPr>
                            <w:fldChar w:fldCharType="begin"/>
                          </w:r>
                          <w:r>
                            <w:rPr>
                              <w:sz w:val="18"/>
                            </w:rPr>
                            <w:instrText xml:space="preserve">PAGE   \* MERGEFORMAT</w:instrText>
                          </w:r>
                          <w:r>
                            <w:rPr>
                              <w:sz w:val="18"/>
                            </w:rPr>
                            <w:fldChar w:fldCharType="separate"/>
                          </w:r>
                          <w:r>
                            <w:rPr>
                              <w:sz w:val="18"/>
                              <w:lang w:val="zh-CN"/>
                            </w:rPr>
                            <w:t>16</w:t>
                          </w:r>
                          <w:r>
                            <w:rPr>
                              <w:sz w:val="18"/>
                            </w:rPr>
                            <w:fldChar w:fldCharType="end"/>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top:-0.05pt;height:18.7pt;width:34.6pt;mso-position-horizontal:left;mso-position-horizontal-relative:margin;mso-position-vertical-relative:line;z-index:251660288;mso-width-relative:page;mso-height-relative:page;" filled="f" stroked="f" coordsize="21600,21600" o:gfxdata="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GNHRBbXAAAABAEAAA8AAAAAAAAAAQAgAAAAIgAAAGRycy9k&#10;b3ducmV2LnhtbFBLAQIUABQAAAAIAIdO4kC0TU7TPAIAAGkEAAAOAAAAAAAAAAEAIAAAACYBAABk&#10;cnMvZTJvRG9jLnhtbFBLBQYAAAAABgAGAFkBAADUBQAAAAA=&#10;">
              <v:fill on="f" focussize="0,0"/>
              <v:stroke on="f" weight="0.5pt"/>
              <v:imagedata o:title=""/>
              <o:lock v:ext="edit" aspectratio="f"/>
              <v:textbox>
                <w:txbxContent>
                  <w:p w14:paraId="3289742F">
                    <w:pPr>
                      <w:jc w:val="left"/>
                      <w:rPr>
                        <w:sz w:val="2"/>
                      </w:rPr>
                    </w:pPr>
                    <w:r>
                      <w:rPr>
                        <w:sz w:val="18"/>
                      </w:rPr>
                      <w:fldChar w:fldCharType="begin"/>
                    </w:r>
                    <w:r>
                      <w:rPr>
                        <w:sz w:val="18"/>
                      </w:rPr>
                      <w:instrText xml:space="preserve">PAGE   \* MERGEFORMAT</w:instrText>
                    </w:r>
                    <w:r>
                      <w:rPr>
                        <w:sz w:val="18"/>
                      </w:rPr>
                      <w:fldChar w:fldCharType="separate"/>
                    </w:r>
                    <w:r>
                      <w:rPr>
                        <w:sz w:val="18"/>
                        <w:lang w:val="zh-CN"/>
                      </w:rPr>
                      <w:t>16</w:t>
                    </w:r>
                    <w:r>
                      <w:rPr>
                        <w:sz w:val="18"/>
                      </w:rPr>
                      <w:fldChar w:fldCharType="end"/>
                    </w:r>
                  </w:p>
                </w:txbxContent>
              </v:textbox>
            </v:shape>
          </w:pict>
        </mc:Fallback>
      </mc:AlternateContent>
    </w:r>
    <w:r>
      <w:rPr>
        <w:rFonts w:hint="eastAsia"/>
        <w:szCs w:val="21"/>
      </w:rPr>
      <w:t>中材地质工程勘查研究院有限公司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73D3A">
    <w:pPr>
      <w:pStyle w:val="55"/>
      <w:pBdr>
        <w:top w:val="single" w:color="auto" w:sz="4" w:space="1"/>
      </w:pBdr>
      <w:tabs>
        <w:tab w:val="center" w:pos="4365"/>
        <w:tab w:val="right" w:pos="8731"/>
        <w:tab w:val="clear" w:pos="4153"/>
        <w:tab w:val="clear" w:pos="8306"/>
      </w:tabs>
      <w:jc w:val="center"/>
    </w:pPr>
    <w:r>
      <w:rPr>
        <w:rFonts w:hint="eastAsia"/>
      </w:rPr>
      <w:t>中材地质工程勘查研究院有限公司</w:t>
    </w:r>
    <w:r>
      <w:rPr>
        <w:rFonts w:hint="eastAsia"/>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line">
                <wp:posOffset>-635</wp:posOffset>
              </wp:positionV>
              <wp:extent cx="439420" cy="237490"/>
              <wp:effectExtent l="0" t="0" r="0" b="1270"/>
              <wp:wrapNone/>
              <wp:docPr id="34" name="文本框 34"/>
              <wp:cNvGraphicFramePr/>
              <a:graphic xmlns:a="http://schemas.openxmlformats.org/drawingml/2006/main">
                <a:graphicData uri="http://schemas.microsoft.com/office/word/2010/wordprocessingShape">
                  <wps:wsp>
                    <wps:cNvSpPr txBox="1"/>
                    <wps:spPr>
                      <a:xfrm>
                        <a:off x="0" y="0"/>
                        <a:ext cx="439200" cy="237600"/>
                      </a:xfrm>
                      <a:prstGeom prst="rect">
                        <a:avLst/>
                      </a:prstGeom>
                      <a:noFill/>
                      <a:ln w="6350">
                        <a:noFill/>
                      </a:ln>
                    </wps:spPr>
                    <wps:txbx>
                      <w:txbxContent>
                        <w:p w14:paraId="1792E48C">
                          <w:pPr>
                            <w:jc w:val="right"/>
                            <w:rPr>
                              <w:sz w:val="2"/>
                            </w:rPr>
                          </w:pPr>
                          <w:r>
                            <w:rPr>
                              <w:sz w:val="18"/>
                            </w:rPr>
                            <w:fldChar w:fldCharType="begin"/>
                          </w:r>
                          <w:r>
                            <w:rPr>
                              <w:sz w:val="18"/>
                            </w:rPr>
                            <w:instrText xml:space="preserve">PAGE   \* MERGEFORMAT</w:instrText>
                          </w:r>
                          <w:r>
                            <w:rPr>
                              <w:sz w:val="18"/>
                            </w:rPr>
                            <w:fldChar w:fldCharType="separate"/>
                          </w:r>
                          <w:r>
                            <w:rPr>
                              <w:sz w:val="18"/>
                              <w:lang w:val="zh-CN"/>
                            </w:rPr>
                            <w:t>17</w:t>
                          </w:r>
                          <w:r>
                            <w:rPr>
                              <w:sz w:val="18"/>
                            </w:rPr>
                            <w:fldChar w:fldCharType="end"/>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top:-0.05pt;height:18.7pt;width:34.6pt;mso-position-horizontal:right;mso-position-horizontal-relative:margin;mso-position-vertical-relative:line;z-index:251659264;mso-width-relative:page;mso-height-relative:page;" filled="f" stroked="f" coordsize="21600,21600" o:gfxdata="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GNHRBbXAAAABAEAAA8AAAAAAAAAAQAgAAAAIgAAAGRycy9k&#10;b3ducmV2LnhtbFBLAQIUABQAAAAIAIdO4kANOxWDPAIAAGcEAAAOAAAAAAAAAAEAIAAAACYBAABk&#10;cnMvZTJvRG9jLnhtbFBLBQYAAAAABgAGAFkBAADUBQAAAAA=&#10;">
              <v:fill on="f" focussize="0,0"/>
              <v:stroke on="f" weight="0.5pt"/>
              <v:imagedata o:title=""/>
              <o:lock v:ext="edit" aspectratio="f"/>
              <v:textbox>
                <w:txbxContent>
                  <w:p w14:paraId="1792E48C">
                    <w:pPr>
                      <w:jc w:val="right"/>
                      <w:rPr>
                        <w:sz w:val="2"/>
                      </w:rPr>
                    </w:pPr>
                    <w:r>
                      <w:rPr>
                        <w:sz w:val="18"/>
                      </w:rPr>
                      <w:fldChar w:fldCharType="begin"/>
                    </w:r>
                    <w:r>
                      <w:rPr>
                        <w:sz w:val="18"/>
                      </w:rPr>
                      <w:instrText xml:space="preserve">PAGE   \* MERGEFORMAT</w:instrText>
                    </w:r>
                    <w:r>
                      <w:rPr>
                        <w:sz w:val="18"/>
                      </w:rPr>
                      <w:fldChar w:fldCharType="separate"/>
                    </w:r>
                    <w:r>
                      <w:rPr>
                        <w:sz w:val="18"/>
                        <w:lang w:val="zh-CN"/>
                      </w:rPr>
                      <w:t>17</w:t>
                    </w:r>
                    <w:r>
                      <w:rPr>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0BC97">
    <w:pPr>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A06D6">
    <w:pPr>
      <w:pStyle w:val="57"/>
      <w:adjustRightInd w:val="0"/>
    </w:pPr>
    <w:r>
      <w:rPr>
        <w:rFonts w:hint="eastAsia"/>
        <w:color w:val="000000"/>
      </w:rPr>
      <w:t>中国石油化工股份有限公司西南油气分公司采气二厂巴中2HF井地面工程环境影响报告书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1959F">
    <w:pPr>
      <w:pStyle w:val="57"/>
      <w:adjustRightInd w:val="0"/>
    </w:pPr>
    <w:r>
      <w:rPr>
        <w:rFonts w:hint="eastAsia"/>
        <w:color w:val="000000"/>
      </w:rPr>
      <w:t>中国石油化工股份有限公司西南油气分公司采气二厂巴中2HF井地面工程环境影响报告书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E3443">
    <w:pP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57CA8"/>
    <w:multiLevelType w:val="multilevel"/>
    <w:tmpl w:val="00557CA8"/>
    <w:lvl w:ilvl="0" w:tentative="0">
      <w:start w:val="1"/>
      <w:numFmt w:val="bullet"/>
      <w:pStyle w:val="465"/>
      <w:lvlText w:val=""/>
      <w:lvlJc w:val="left"/>
      <w:pPr>
        <w:tabs>
          <w:tab w:val="left" w:pos="-193"/>
        </w:tabs>
        <w:ind w:left="-193" w:hanging="521"/>
      </w:pPr>
      <w:rPr>
        <w:rFonts w:hint="default" w:ascii="Wingdings" w:hAnsi="Wingdings"/>
      </w:rPr>
    </w:lvl>
    <w:lvl w:ilvl="1" w:tentative="0">
      <w:start w:val="1"/>
      <w:numFmt w:val="bullet"/>
      <w:lvlText w:val=""/>
      <w:lvlJc w:val="left"/>
      <w:pPr>
        <w:tabs>
          <w:tab w:val="left" w:pos="-294"/>
        </w:tabs>
        <w:ind w:left="-294" w:hanging="420"/>
      </w:pPr>
      <w:rPr>
        <w:rFonts w:hint="default" w:ascii="Wingdings" w:hAnsi="Wingdings"/>
      </w:rPr>
    </w:lvl>
    <w:lvl w:ilvl="2" w:tentative="0">
      <w:start w:val="1"/>
      <w:numFmt w:val="bullet"/>
      <w:lvlText w:val=""/>
      <w:lvlJc w:val="left"/>
      <w:pPr>
        <w:tabs>
          <w:tab w:val="left" w:pos="126"/>
        </w:tabs>
        <w:ind w:left="126" w:hanging="420"/>
      </w:pPr>
      <w:rPr>
        <w:rFonts w:hint="default" w:ascii="Wingdings" w:hAnsi="Wingdings"/>
      </w:rPr>
    </w:lvl>
    <w:lvl w:ilvl="3" w:tentative="0">
      <w:start w:val="1"/>
      <w:numFmt w:val="bullet"/>
      <w:lvlText w:val=""/>
      <w:lvlJc w:val="left"/>
      <w:pPr>
        <w:tabs>
          <w:tab w:val="left" w:pos="546"/>
        </w:tabs>
        <w:ind w:left="546" w:hanging="420"/>
      </w:pPr>
      <w:rPr>
        <w:rFonts w:hint="default" w:ascii="Wingdings" w:hAnsi="Wingdings"/>
      </w:rPr>
    </w:lvl>
    <w:lvl w:ilvl="4" w:tentative="0">
      <w:start w:val="1"/>
      <w:numFmt w:val="bullet"/>
      <w:lvlText w:val=""/>
      <w:lvlJc w:val="left"/>
      <w:pPr>
        <w:tabs>
          <w:tab w:val="left" w:pos="966"/>
        </w:tabs>
        <w:ind w:left="966" w:hanging="420"/>
      </w:pPr>
      <w:rPr>
        <w:rFonts w:hint="default" w:ascii="Wingdings" w:hAnsi="Wingdings"/>
      </w:rPr>
    </w:lvl>
    <w:lvl w:ilvl="5" w:tentative="0">
      <w:start w:val="1"/>
      <w:numFmt w:val="bullet"/>
      <w:lvlText w:val=""/>
      <w:lvlJc w:val="left"/>
      <w:pPr>
        <w:tabs>
          <w:tab w:val="left" w:pos="1386"/>
        </w:tabs>
        <w:ind w:left="1386" w:hanging="420"/>
      </w:pPr>
      <w:rPr>
        <w:rFonts w:hint="default" w:ascii="Wingdings" w:hAnsi="Wingdings"/>
      </w:rPr>
    </w:lvl>
    <w:lvl w:ilvl="6" w:tentative="0">
      <w:start w:val="1"/>
      <w:numFmt w:val="bullet"/>
      <w:lvlText w:val=""/>
      <w:lvlJc w:val="left"/>
      <w:pPr>
        <w:tabs>
          <w:tab w:val="left" w:pos="1806"/>
        </w:tabs>
        <w:ind w:left="1806" w:hanging="420"/>
      </w:pPr>
      <w:rPr>
        <w:rFonts w:hint="default" w:ascii="Wingdings" w:hAnsi="Wingdings"/>
      </w:rPr>
    </w:lvl>
    <w:lvl w:ilvl="7" w:tentative="0">
      <w:start w:val="1"/>
      <w:numFmt w:val="bullet"/>
      <w:lvlText w:val=""/>
      <w:lvlJc w:val="left"/>
      <w:pPr>
        <w:tabs>
          <w:tab w:val="left" w:pos="2226"/>
        </w:tabs>
        <w:ind w:left="2226" w:hanging="420"/>
      </w:pPr>
      <w:rPr>
        <w:rFonts w:hint="default" w:ascii="Wingdings" w:hAnsi="Wingdings"/>
      </w:rPr>
    </w:lvl>
    <w:lvl w:ilvl="8" w:tentative="0">
      <w:start w:val="1"/>
      <w:numFmt w:val="bullet"/>
      <w:lvlText w:val=""/>
      <w:lvlJc w:val="left"/>
      <w:pPr>
        <w:tabs>
          <w:tab w:val="left" w:pos="2646"/>
        </w:tabs>
        <w:ind w:left="2646" w:hanging="420"/>
      </w:pPr>
      <w:rPr>
        <w:rFonts w:hint="default" w:ascii="Wingdings" w:hAnsi="Wingdings"/>
      </w:rPr>
    </w:lvl>
  </w:abstractNum>
  <w:abstractNum w:abstractNumId="1">
    <w:nsid w:val="007F246B"/>
    <w:multiLevelType w:val="multilevel"/>
    <w:tmpl w:val="007F246B"/>
    <w:lvl w:ilvl="0" w:tentative="0">
      <w:start w:val="1"/>
      <w:numFmt w:val="decimal"/>
      <w:pStyle w:val="1612"/>
      <w:lvlText w:val="%1"/>
      <w:lvlJc w:val="left"/>
      <w:pPr>
        <w:tabs>
          <w:tab w:val="left" w:pos="587"/>
        </w:tabs>
        <w:ind w:left="567" w:hanging="340"/>
      </w:pPr>
      <w:rPr>
        <w:rFonts w:hint="eastAsia"/>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4BC21F1"/>
    <w:multiLevelType w:val="multilevel"/>
    <w:tmpl w:val="04BC21F1"/>
    <w:lvl w:ilvl="0" w:tentative="0">
      <w:start w:val="1"/>
      <w:numFmt w:val="japaneseCounting"/>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1117"/>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50C56BC"/>
    <w:multiLevelType w:val="multilevel"/>
    <w:tmpl w:val="050C56BC"/>
    <w:lvl w:ilvl="0" w:tentative="0">
      <w:start w:val="1"/>
      <w:numFmt w:val="chineseCountingThousand"/>
      <w:pStyle w:val="82"/>
      <w:suff w:val="nothing"/>
      <w:lvlText w:val="第%1章  "/>
      <w:lvlJc w:val="left"/>
      <w:pPr>
        <w:ind w:left="0" w:firstLine="0"/>
      </w:pPr>
      <w:rPr>
        <w:rFonts w:hint="eastAsia" w:ascii="宋体" w:eastAsia="宋体"/>
        <w:b/>
        <w:i w:val="0"/>
        <w:sz w:val="30"/>
      </w:rPr>
    </w:lvl>
    <w:lvl w:ilvl="1" w:tentative="0">
      <w:start w:val="1"/>
      <w:numFmt w:val="chineseCountingThousand"/>
      <w:suff w:val="nothing"/>
      <w:lvlText w:val="第%2节  "/>
      <w:lvlJc w:val="left"/>
      <w:pPr>
        <w:ind w:left="0" w:firstLine="0"/>
      </w:pPr>
      <w:rPr>
        <w:rFonts w:hint="eastAsia" w:ascii="宋体" w:eastAsia="宋体"/>
        <w:b/>
        <w:i w:val="0"/>
        <w:sz w:val="28"/>
      </w:rPr>
    </w:lvl>
    <w:lvl w:ilvl="2" w:tentative="0">
      <w:start w:val="1"/>
      <w:numFmt w:val="chineseCountingThousand"/>
      <w:suff w:val="nothing"/>
      <w:lvlText w:val="%3、"/>
      <w:lvlJc w:val="left"/>
      <w:pPr>
        <w:ind w:left="0" w:firstLine="510"/>
      </w:pPr>
      <w:rPr>
        <w:rFonts w:hint="eastAsia" w:ascii="宋体" w:hAnsi="宋体" w:eastAsia="宋体"/>
        <w:b/>
        <w:i w:val="0"/>
        <w:sz w:val="24"/>
      </w:rPr>
    </w:lvl>
    <w:lvl w:ilvl="3" w:tentative="0">
      <w:start w:val="1"/>
      <w:numFmt w:val="decimal"/>
      <w:suff w:val="nothing"/>
      <w:lvlText w:val="%4. "/>
      <w:lvlJc w:val="left"/>
      <w:pPr>
        <w:ind w:left="0" w:firstLine="510"/>
      </w:pPr>
      <w:rPr>
        <w:rFonts w:hint="eastAsia" w:ascii="楷体_GB2312" w:eastAsia="楷体_GB2312"/>
        <w:b/>
        <w:i w:val="0"/>
        <w:sz w:val="24"/>
      </w:rPr>
    </w:lvl>
    <w:lvl w:ilvl="4" w:tentative="0">
      <w:start w:val="1"/>
      <w:numFmt w:val="decimal"/>
      <w:suff w:val="nothing"/>
      <w:lvlText w:val="%5）"/>
      <w:lvlJc w:val="left"/>
      <w:pPr>
        <w:ind w:left="0" w:firstLine="510"/>
      </w:pPr>
      <w:rPr>
        <w:rFonts w:hint="eastAsia" w:ascii="宋体" w:eastAsia="宋体"/>
        <w:b/>
        <w:i w:val="0"/>
        <w:sz w:val="24"/>
      </w:rPr>
    </w:lvl>
    <w:lvl w:ilvl="5" w:tentative="0">
      <w:start w:val="1"/>
      <w:numFmt w:val="decimal"/>
      <w:suff w:val="nothing"/>
      <w:lvlText w:val="(%6) "/>
      <w:lvlJc w:val="left"/>
      <w:pPr>
        <w:ind w:left="0" w:firstLine="510"/>
      </w:pPr>
      <w:rPr>
        <w:rFonts w:hint="eastAsia" w:ascii="宋体" w:eastAsia="宋体"/>
        <w:b/>
        <w:i w:val="0"/>
        <w:sz w:val="24"/>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0ABC0546"/>
    <w:multiLevelType w:val="multilevel"/>
    <w:tmpl w:val="0ABC0546"/>
    <w:lvl w:ilvl="0" w:tentative="0">
      <w:start w:val="1"/>
      <w:numFmt w:val="bullet"/>
      <w:pStyle w:val="1928"/>
      <w:lvlText w:val="■"/>
      <w:lvlJc w:val="left"/>
      <w:pPr>
        <w:tabs>
          <w:tab w:val="left" w:pos="360"/>
        </w:tabs>
        <w:ind w:left="360" w:hanging="360"/>
      </w:pPr>
      <w:rPr>
        <w:rFonts w:hint="default" w:ascii="Times New Roman" w:hAnsi="Times New Roman" w:cs="Times New Roman"/>
        <w:b w:val="0"/>
        <w:i w:val="0"/>
        <w:color w:val="0050AA"/>
        <w:sz w:val="20"/>
        <w:szCs w:val="20"/>
      </w:rPr>
    </w:lvl>
    <w:lvl w:ilvl="1" w:tentative="0">
      <w:start w:val="1"/>
      <w:numFmt w:val="decimal"/>
      <w:lvlText w:val="%2."/>
      <w:lvlJc w:val="left"/>
      <w:pPr>
        <w:tabs>
          <w:tab w:val="left" w:pos="-1620"/>
        </w:tabs>
        <w:ind w:left="-1620" w:hanging="360"/>
      </w:pPr>
      <w:rPr>
        <w:rFonts w:hint="default" w:ascii="Times New Roman" w:hAnsi="Times New Roman"/>
        <w:b w:val="0"/>
        <w:i w:val="0"/>
        <w:color w:val="auto"/>
        <w:sz w:val="22"/>
        <w:szCs w:val="20"/>
      </w:rPr>
    </w:lvl>
    <w:lvl w:ilvl="2" w:tentative="0">
      <w:start w:val="1"/>
      <w:numFmt w:val="bullet"/>
      <w:lvlText w:val=""/>
      <w:lvlJc w:val="left"/>
      <w:pPr>
        <w:tabs>
          <w:tab w:val="left" w:pos="180"/>
        </w:tabs>
        <w:ind w:left="180" w:hanging="360"/>
      </w:pPr>
      <w:rPr>
        <w:rFonts w:hint="default" w:ascii="Wingdings" w:hAnsi="Wingdings"/>
      </w:rPr>
    </w:lvl>
    <w:lvl w:ilvl="3" w:tentative="0">
      <w:start w:val="1"/>
      <w:numFmt w:val="bullet"/>
      <w:lvlText w:val=""/>
      <w:lvlJc w:val="left"/>
      <w:pPr>
        <w:tabs>
          <w:tab w:val="left" w:pos="900"/>
        </w:tabs>
        <w:ind w:left="900" w:hanging="360"/>
      </w:pPr>
      <w:rPr>
        <w:rFonts w:hint="default" w:ascii="Symbol" w:hAnsi="Symbol"/>
      </w:rPr>
    </w:lvl>
    <w:lvl w:ilvl="4" w:tentative="0">
      <w:start w:val="1"/>
      <w:numFmt w:val="bullet"/>
      <w:lvlText w:val="o"/>
      <w:lvlJc w:val="left"/>
      <w:pPr>
        <w:tabs>
          <w:tab w:val="left" w:pos="1620"/>
        </w:tabs>
        <w:ind w:left="1620" w:hanging="360"/>
      </w:pPr>
      <w:rPr>
        <w:rFonts w:hint="default" w:ascii="Courier New" w:hAnsi="Courier New" w:cs="Courier New"/>
      </w:rPr>
    </w:lvl>
    <w:lvl w:ilvl="5" w:tentative="0">
      <w:start w:val="1"/>
      <w:numFmt w:val="bullet"/>
      <w:lvlText w:val=""/>
      <w:lvlJc w:val="left"/>
      <w:pPr>
        <w:tabs>
          <w:tab w:val="left" w:pos="2340"/>
        </w:tabs>
        <w:ind w:left="2340" w:hanging="360"/>
      </w:pPr>
      <w:rPr>
        <w:rFonts w:hint="default" w:ascii="Wingdings" w:hAnsi="Wingdings"/>
      </w:rPr>
    </w:lvl>
    <w:lvl w:ilvl="6" w:tentative="0">
      <w:start w:val="1"/>
      <w:numFmt w:val="bullet"/>
      <w:lvlText w:val=""/>
      <w:lvlJc w:val="left"/>
      <w:pPr>
        <w:tabs>
          <w:tab w:val="left" w:pos="3060"/>
        </w:tabs>
        <w:ind w:left="3060" w:hanging="360"/>
      </w:pPr>
      <w:rPr>
        <w:rFonts w:hint="default" w:ascii="Symbol" w:hAnsi="Symbol"/>
      </w:rPr>
    </w:lvl>
    <w:lvl w:ilvl="7" w:tentative="0">
      <w:start w:val="1"/>
      <w:numFmt w:val="bullet"/>
      <w:lvlText w:val="o"/>
      <w:lvlJc w:val="left"/>
      <w:pPr>
        <w:tabs>
          <w:tab w:val="left" w:pos="3780"/>
        </w:tabs>
        <w:ind w:left="3780" w:hanging="360"/>
      </w:pPr>
      <w:rPr>
        <w:rFonts w:hint="default" w:ascii="Courier New" w:hAnsi="Courier New" w:cs="Courier New"/>
      </w:rPr>
    </w:lvl>
    <w:lvl w:ilvl="8" w:tentative="0">
      <w:start w:val="1"/>
      <w:numFmt w:val="bullet"/>
      <w:lvlText w:val=""/>
      <w:lvlJc w:val="left"/>
      <w:pPr>
        <w:tabs>
          <w:tab w:val="left" w:pos="4500"/>
        </w:tabs>
        <w:ind w:left="4500" w:hanging="360"/>
      </w:pPr>
      <w:rPr>
        <w:rFonts w:hint="default" w:ascii="Wingdings" w:hAnsi="Wingdings"/>
      </w:rPr>
    </w:lvl>
  </w:abstractNum>
  <w:abstractNum w:abstractNumId="5">
    <w:nsid w:val="0C6522D8"/>
    <w:multiLevelType w:val="singleLevel"/>
    <w:tmpl w:val="0C6522D8"/>
    <w:lvl w:ilvl="0" w:tentative="0">
      <w:start w:val="1"/>
      <w:numFmt w:val="bullet"/>
      <w:pStyle w:val="2057"/>
      <w:lvlText w:val=""/>
      <w:lvlJc w:val="left"/>
      <w:pPr>
        <w:tabs>
          <w:tab w:val="left" w:pos="2160"/>
        </w:tabs>
        <w:ind w:left="2160" w:hanging="360"/>
      </w:pPr>
      <w:rPr>
        <w:rFonts w:hint="default" w:ascii="Symbol" w:hAnsi="Symbol"/>
      </w:rPr>
    </w:lvl>
  </w:abstractNum>
  <w:abstractNum w:abstractNumId="6">
    <w:nsid w:val="0CA54428"/>
    <w:multiLevelType w:val="multilevel"/>
    <w:tmpl w:val="0CA54428"/>
    <w:lvl w:ilvl="0" w:tentative="0">
      <w:start w:val="1"/>
      <w:numFmt w:val="decimal"/>
      <w:pStyle w:val="3363"/>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7">
    <w:nsid w:val="102A5A8B"/>
    <w:multiLevelType w:val="singleLevel"/>
    <w:tmpl w:val="102A5A8B"/>
    <w:lvl w:ilvl="0" w:tentative="0">
      <w:start w:val="1"/>
      <w:numFmt w:val="decimal"/>
      <w:pStyle w:val="46"/>
      <w:lvlText w:val="%1"/>
      <w:legacy w:legacy="1" w:legacySpace="0" w:legacyIndent="360"/>
      <w:lvlJc w:val="left"/>
      <w:rPr>
        <w:rFonts w:hint="eastAsia" w:ascii="宋体" w:hAnsi="宋体" w:eastAsia="宋体"/>
      </w:rPr>
    </w:lvl>
  </w:abstractNum>
  <w:abstractNum w:abstractNumId="8">
    <w:nsid w:val="146A4C9A"/>
    <w:multiLevelType w:val="multilevel"/>
    <w:tmpl w:val="146A4C9A"/>
    <w:lvl w:ilvl="0" w:tentative="0">
      <w:start w:val="1"/>
      <w:numFmt w:val="decimalEnclosedCircle"/>
      <w:pStyle w:val="1670"/>
      <w:lvlText w:val="%1"/>
      <w:lvlJc w:val="left"/>
      <w:pPr>
        <w:ind w:left="880" w:hanging="360"/>
      </w:pPr>
      <w:rPr>
        <w:rFonts w:hint="default"/>
      </w:rPr>
    </w:lvl>
    <w:lvl w:ilvl="1" w:tentative="0">
      <w:start w:val="1"/>
      <w:numFmt w:val="lowerLetter"/>
      <w:pStyle w:val="1639"/>
      <w:lvlText w:val="%2)"/>
      <w:lvlJc w:val="left"/>
      <w:pPr>
        <w:ind w:left="1360" w:hanging="420"/>
      </w:pPr>
    </w:lvl>
    <w:lvl w:ilvl="2" w:tentative="0">
      <w:start w:val="1"/>
      <w:numFmt w:val="lowerRoman"/>
      <w:pStyle w:val="1610"/>
      <w:lvlText w:val="%3."/>
      <w:lvlJc w:val="right"/>
      <w:pPr>
        <w:ind w:left="1780" w:hanging="420"/>
      </w:pPr>
    </w:lvl>
    <w:lvl w:ilvl="3" w:tentative="0">
      <w:start w:val="1"/>
      <w:numFmt w:val="decimal"/>
      <w:pStyle w:val="1570"/>
      <w:lvlText w:val="%4."/>
      <w:lvlJc w:val="left"/>
      <w:pPr>
        <w:ind w:left="2200" w:hanging="420"/>
      </w:pPr>
    </w:lvl>
    <w:lvl w:ilvl="4" w:tentative="0">
      <w:start w:val="1"/>
      <w:numFmt w:val="lowerLetter"/>
      <w:lvlText w:val="%5)"/>
      <w:lvlJc w:val="left"/>
      <w:pPr>
        <w:ind w:left="2620" w:hanging="420"/>
      </w:pPr>
    </w:lvl>
    <w:lvl w:ilvl="5" w:tentative="0">
      <w:start w:val="1"/>
      <w:numFmt w:val="lowerRoman"/>
      <w:lvlText w:val="%6."/>
      <w:lvlJc w:val="right"/>
      <w:pPr>
        <w:ind w:left="3040" w:hanging="420"/>
      </w:pPr>
    </w:lvl>
    <w:lvl w:ilvl="6" w:tentative="0">
      <w:start w:val="1"/>
      <w:numFmt w:val="decimal"/>
      <w:lvlText w:val="%7."/>
      <w:lvlJc w:val="left"/>
      <w:pPr>
        <w:ind w:left="3460" w:hanging="420"/>
      </w:pPr>
    </w:lvl>
    <w:lvl w:ilvl="7" w:tentative="0">
      <w:start w:val="1"/>
      <w:numFmt w:val="lowerLetter"/>
      <w:lvlText w:val="%8)"/>
      <w:lvlJc w:val="left"/>
      <w:pPr>
        <w:ind w:left="3880" w:hanging="420"/>
      </w:pPr>
    </w:lvl>
    <w:lvl w:ilvl="8" w:tentative="0">
      <w:start w:val="1"/>
      <w:numFmt w:val="lowerRoman"/>
      <w:lvlText w:val="%9."/>
      <w:lvlJc w:val="right"/>
      <w:pPr>
        <w:ind w:left="4300" w:hanging="420"/>
      </w:pPr>
    </w:lvl>
  </w:abstractNum>
  <w:abstractNum w:abstractNumId="9">
    <w:nsid w:val="19F4552D"/>
    <w:multiLevelType w:val="multilevel"/>
    <w:tmpl w:val="19F4552D"/>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pStyle w:val="2521"/>
      <w:lvlText w:val="%1.%2.%3"/>
      <w:lvlJc w:val="left"/>
      <w:pPr>
        <w:tabs>
          <w:tab w:val="left" w:pos="1571"/>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435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10">
    <w:nsid w:val="21915D5D"/>
    <w:multiLevelType w:val="multilevel"/>
    <w:tmpl w:val="21915D5D"/>
    <w:lvl w:ilvl="0" w:tentative="0">
      <w:start w:val="1"/>
      <w:numFmt w:val="bullet"/>
      <w:pStyle w:val="2110"/>
      <w:lvlText w:val=""/>
      <w:lvlJc w:val="left"/>
      <w:pPr>
        <w:tabs>
          <w:tab w:val="left" w:pos="360"/>
        </w:tabs>
        <w:ind w:left="357" w:hanging="357"/>
      </w:pPr>
      <w:rPr>
        <w:rFonts w:hint="default" w:ascii="Symbol" w:hAnsi="Symbol"/>
        <w:position w:val="0"/>
      </w:rPr>
    </w:lvl>
    <w:lvl w:ilvl="1" w:tentative="0">
      <w:start w:val="1"/>
      <w:numFmt w:val="bullet"/>
      <w:lvlText w:val=""/>
      <w:lvlJc w:val="left"/>
      <w:pPr>
        <w:tabs>
          <w:tab w:val="left" w:pos="720"/>
        </w:tabs>
        <w:ind w:left="720" w:hanging="363"/>
      </w:pPr>
      <w:rPr>
        <w:rFonts w:hint="default" w:ascii="Symbol" w:hAnsi="Symbol"/>
      </w:rPr>
    </w:lvl>
    <w:lvl w:ilvl="2" w:tentative="0">
      <w:start w:val="1"/>
      <w:numFmt w:val="bullet"/>
      <w:lvlText w:val=""/>
      <w:lvlJc w:val="left"/>
      <w:pPr>
        <w:tabs>
          <w:tab w:val="left" w:pos="1077"/>
        </w:tabs>
        <w:ind w:left="1077" w:hanging="357"/>
      </w:pPr>
      <w:rPr>
        <w:rFonts w:hint="default" w:ascii="Symbol" w:hAnsi="Symbol"/>
      </w:rPr>
    </w:lvl>
    <w:lvl w:ilvl="3" w:tentative="0">
      <w:start w:val="1"/>
      <w:numFmt w:val="none"/>
      <w:suff w:val="nothing"/>
      <w:lvlText w:val=""/>
      <w:lvlJc w:val="left"/>
      <w:pPr>
        <w:ind w:left="0" w:firstLine="0"/>
      </w:pPr>
      <w:rPr>
        <w:rFonts w:hint="default"/>
      </w:rPr>
    </w:lvl>
    <w:lvl w:ilvl="4" w:tentative="0">
      <w:start w:val="1"/>
      <w:numFmt w:val="none"/>
      <w:suff w:val="nothing"/>
      <w:lvlText w:val=""/>
      <w:lvlJc w:val="left"/>
      <w:pPr>
        <w:ind w:left="0" w:firstLine="0"/>
      </w:pPr>
      <w:rPr>
        <w:rFonts w:hint="default"/>
      </w:rPr>
    </w:lvl>
    <w:lvl w:ilvl="5" w:tentative="0">
      <w:start w:val="1"/>
      <w:numFmt w:val="none"/>
      <w:suff w:val="nothing"/>
      <w:lvlText w:val=""/>
      <w:lvlJc w:val="left"/>
      <w:pPr>
        <w:ind w:left="0" w:firstLine="0"/>
      </w:pPr>
      <w:rPr>
        <w:rFonts w:hint="default"/>
      </w:rPr>
    </w:lvl>
    <w:lvl w:ilvl="6" w:tentative="0">
      <w:start w:val="1"/>
      <w:numFmt w:val="none"/>
      <w:suff w:val="nothing"/>
      <w:lvlText w:val=""/>
      <w:lvlJc w:val="left"/>
      <w:pPr>
        <w:ind w:left="0" w:firstLine="0"/>
      </w:pPr>
      <w:rPr>
        <w:rFonts w:hint="default"/>
      </w:rPr>
    </w:lvl>
    <w:lvl w:ilvl="7" w:tentative="0">
      <w:start w:val="1"/>
      <w:numFmt w:val="none"/>
      <w:suff w:val="nothing"/>
      <w:lvlText w:val=""/>
      <w:lvlJc w:val="left"/>
      <w:pPr>
        <w:ind w:left="0" w:firstLine="0"/>
      </w:pPr>
      <w:rPr>
        <w:rFonts w:hint="default"/>
      </w:rPr>
    </w:lvl>
    <w:lvl w:ilvl="8" w:tentative="0">
      <w:start w:val="1"/>
      <w:numFmt w:val="none"/>
      <w:suff w:val="nothing"/>
      <w:lvlText w:val=""/>
      <w:lvlJc w:val="left"/>
      <w:pPr>
        <w:ind w:left="0" w:firstLine="0"/>
      </w:pPr>
      <w:rPr>
        <w:rFonts w:hint="default"/>
      </w:rPr>
    </w:lvl>
  </w:abstractNum>
  <w:abstractNum w:abstractNumId="11">
    <w:nsid w:val="2B174586"/>
    <w:multiLevelType w:val="multilevel"/>
    <w:tmpl w:val="2B174586"/>
    <w:lvl w:ilvl="0" w:tentative="0">
      <w:start w:val="1"/>
      <w:numFmt w:val="decimal"/>
      <w:pStyle w:val="2087"/>
      <w:lvlText w:val="Table %1:"/>
      <w:lvlJc w:val="left"/>
      <w:pPr>
        <w:tabs>
          <w:tab w:val="left" w:pos="0"/>
        </w:tabs>
        <w:ind w:left="0" w:firstLine="0"/>
      </w:pPr>
      <w:rPr>
        <w:rFonts w:hint="default" w:ascii="Verdana" w:hAnsi="Verdana" w:cs="Times New Roman"/>
        <w:b/>
        <w:bCs w:val="0"/>
        <w:i w:val="0"/>
        <w:iCs w:val="0"/>
        <w:caps w:val="0"/>
        <w:smallCaps w:val="0"/>
        <w:strike w:val="0"/>
        <w:dstrike w:val="0"/>
        <w:vanish w:val="0"/>
        <w:color w:val="000000"/>
        <w:spacing w:val="0"/>
        <w:kern w:val="0"/>
        <w:position w:val="0"/>
        <w:sz w:val="18"/>
        <w:szCs w:val="18"/>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2">
    <w:nsid w:val="2C38246D"/>
    <w:multiLevelType w:val="multilevel"/>
    <w:tmpl w:val="2C38246D"/>
    <w:lvl w:ilvl="0" w:tentative="0">
      <w:start w:val="1"/>
      <w:numFmt w:val="decimal"/>
      <w:pStyle w:val="2053"/>
      <w:lvlText w:val="(%1)"/>
      <w:lvlJc w:val="left"/>
      <w:pPr>
        <w:tabs>
          <w:tab w:val="left" w:pos="198"/>
        </w:tabs>
        <w:ind w:left="625" w:hanging="427"/>
      </w:pPr>
      <w:rPr>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341A0322"/>
    <w:multiLevelType w:val="multilevel"/>
    <w:tmpl w:val="341A0322"/>
    <w:lvl w:ilvl="0" w:tentative="0">
      <w:start w:val="1"/>
      <w:numFmt w:val="bullet"/>
      <w:lvlText w:val=""/>
      <w:lvlJc w:val="left"/>
      <w:pPr>
        <w:tabs>
          <w:tab w:val="left" w:pos="720"/>
        </w:tabs>
        <w:ind w:left="720" w:hanging="360"/>
      </w:pPr>
      <w:rPr>
        <w:rFonts w:hint="default" w:ascii="Symbol" w:hAnsi="Symbol"/>
        <w:sz w:val="20"/>
        <w:szCs w:val="20"/>
      </w:rPr>
    </w:lvl>
    <w:lvl w:ilvl="1" w:tentative="0">
      <w:start w:val="1"/>
      <w:numFmt w:val="bullet"/>
      <w:pStyle w:val="1929"/>
      <w:lvlText w:val="o"/>
      <w:lvlJc w:val="left"/>
      <w:pPr>
        <w:tabs>
          <w:tab w:val="left" w:pos="540"/>
        </w:tabs>
        <w:ind w:left="540" w:hanging="360"/>
      </w:pPr>
      <w:rPr>
        <w:rFonts w:hint="default" w:ascii="Courier New" w:hAnsi="Courier New" w:cs="Courier New"/>
        <w:sz w:val="20"/>
        <w:szCs w:val="20"/>
      </w:rPr>
    </w:lvl>
    <w:lvl w:ilvl="2" w:tentative="0">
      <w:start w:val="1"/>
      <w:numFmt w:val="upperLetter"/>
      <w:lvlText w:val="%3."/>
      <w:lvlJc w:val="left"/>
      <w:pPr>
        <w:tabs>
          <w:tab w:val="left" w:pos="2160"/>
        </w:tabs>
        <w:ind w:left="2160" w:hanging="360"/>
      </w:pPr>
      <w:rPr>
        <w:rFonts w:hint="default"/>
        <w:sz w:val="20"/>
        <w:szCs w:val="20"/>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4">
    <w:nsid w:val="36D37D3C"/>
    <w:multiLevelType w:val="multilevel"/>
    <w:tmpl w:val="36D37D3C"/>
    <w:lvl w:ilvl="0" w:tentative="0">
      <w:start w:val="1"/>
      <w:numFmt w:val="decimal"/>
      <w:pStyle w:val="78"/>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3901262C"/>
    <w:multiLevelType w:val="multilevel"/>
    <w:tmpl w:val="3901262C"/>
    <w:lvl w:ilvl="0" w:tentative="0">
      <w:start w:val="1"/>
      <w:numFmt w:val="decimal"/>
      <w:lvlText w:val="%1"/>
      <w:lvlJc w:val="left"/>
      <w:pPr>
        <w:tabs>
          <w:tab w:val="left" w:pos="432"/>
        </w:tabs>
        <w:ind w:left="432" w:hanging="432"/>
      </w:pPr>
    </w:lvl>
    <w:lvl w:ilvl="1" w:tentative="0">
      <w:start w:val="1"/>
      <w:numFmt w:val="decimal"/>
      <w:pStyle w:val="2558"/>
      <w:lvlText w:val="%1.%2"/>
      <w:lvlJc w:val="left"/>
      <w:pPr>
        <w:tabs>
          <w:tab w:val="left" w:pos="776"/>
        </w:tabs>
        <w:ind w:left="7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1064"/>
        </w:tabs>
        <w:ind w:left="1064" w:hanging="864"/>
      </w:pPr>
    </w:lvl>
    <w:lvl w:ilvl="4" w:tentative="0">
      <w:start w:val="1"/>
      <w:numFmt w:val="decimal"/>
      <w:lvlText w:val="%1.%2.%3.%4.%5"/>
      <w:lvlJc w:val="left"/>
      <w:pPr>
        <w:tabs>
          <w:tab w:val="left" w:pos="1208"/>
        </w:tabs>
        <w:ind w:left="1208" w:hanging="1008"/>
      </w:pPr>
    </w:lvl>
    <w:lvl w:ilvl="5" w:tentative="0">
      <w:start w:val="1"/>
      <w:numFmt w:val="decimal"/>
      <w:lvlText w:val="%1.%2.%3.%4.%5.%6"/>
      <w:lvlJc w:val="left"/>
      <w:pPr>
        <w:tabs>
          <w:tab w:val="left" w:pos="1352"/>
        </w:tabs>
        <w:ind w:left="1352" w:hanging="1152"/>
      </w:pPr>
    </w:lvl>
    <w:lvl w:ilvl="6" w:tentative="0">
      <w:start w:val="1"/>
      <w:numFmt w:val="decimal"/>
      <w:lvlText w:val="%1.%2.%3.%4.%5.%6.%7"/>
      <w:lvlJc w:val="left"/>
      <w:pPr>
        <w:tabs>
          <w:tab w:val="left" w:pos="1496"/>
        </w:tabs>
        <w:ind w:left="1496" w:hanging="1296"/>
      </w:pPr>
    </w:lvl>
    <w:lvl w:ilvl="7" w:tentative="0">
      <w:start w:val="1"/>
      <w:numFmt w:val="decimal"/>
      <w:lvlText w:val="%1.%2.%3.%4.%5.%6.%7.%8"/>
      <w:lvlJc w:val="left"/>
      <w:pPr>
        <w:tabs>
          <w:tab w:val="left" w:pos="1640"/>
        </w:tabs>
        <w:ind w:left="1640" w:hanging="1440"/>
      </w:pPr>
    </w:lvl>
    <w:lvl w:ilvl="8" w:tentative="0">
      <w:start w:val="1"/>
      <w:numFmt w:val="decimal"/>
      <w:lvlText w:val="%1.%2.%3.%4.%5.%6.%7.%8.%9"/>
      <w:lvlJc w:val="left"/>
      <w:pPr>
        <w:tabs>
          <w:tab w:val="left" w:pos="1784"/>
        </w:tabs>
        <w:ind w:left="1784" w:hanging="1584"/>
      </w:pPr>
    </w:lvl>
  </w:abstractNum>
  <w:abstractNum w:abstractNumId="16">
    <w:nsid w:val="3AB5621C"/>
    <w:multiLevelType w:val="multilevel"/>
    <w:tmpl w:val="3AB5621C"/>
    <w:lvl w:ilvl="0" w:tentative="0">
      <w:start w:val="1"/>
      <w:numFmt w:val="decimal"/>
      <w:lvlText w:val="%1"/>
      <w:lvlJc w:val="left"/>
      <w:pPr>
        <w:ind w:left="420" w:hanging="420"/>
      </w:pPr>
      <w:rPr>
        <w:rFonts w:hint="default"/>
      </w:rPr>
    </w:lvl>
    <w:lvl w:ilvl="1" w:tentative="0">
      <w:start w:val="1"/>
      <w:numFmt w:val="decimal"/>
      <w:lvlText w:val="%1.%2"/>
      <w:lvlJc w:val="left"/>
      <w:pPr>
        <w:ind w:left="540" w:hanging="420"/>
      </w:pPr>
      <w:rPr>
        <w:rFonts w:hint="default"/>
      </w:rPr>
    </w:lvl>
    <w:lvl w:ilvl="2" w:tentative="0">
      <w:start w:val="1"/>
      <w:numFmt w:val="decimal"/>
      <w:lvlText w:val="%1.%2.%3"/>
      <w:lvlJc w:val="left"/>
      <w:pPr>
        <w:ind w:left="960" w:hanging="720"/>
      </w:pPr>
      <w:rPr>
        <w:rFonts w:hint="default"/>
      </w:rPr>
    </w:lvl>
    <w:lvl w:ilvl="3" w:tentative="0">
      <w:start w:val="1"/>
      <w:numFmt w:val="decimal"/>
      <w:lvlText w:val="%1.%2.%3.%4"/>
      <w:lvlJc w:val="left"/>
      <w:pPr>
        <w:ind w:left="1080" w:hanging="720"/>
      </w:pPr>
      <w:rPr>
        <w:rFonts w:hint="default"/>
      </w:rPr>
    </w:lvl>
    <w:lvl w:ilvl="4" w:tentative="0">
      <w:start w:val="1"/>
      <w:numFmt w:val="decimal"/>
      <w:pStyle w:val="1317"/>
      <w:lvlText w:val="%1.%2.%3.%4.%5"/>
      <w:lvlJc w:val="left"/>
      <w:pPr>
        <w:ind w:left="1560" w:hanging="1080"/>
      </w:pPr>
      <w:rPr>
        <w:rFonts w:hint="default"/>
      </w:rPr>
    </w:lvl>
    <w:lvl w:ilvl="5" w:tentative="0">
      <w:start w:val="1"/>
      <w:numFmt w:val="decimal"/>
      <w:lvlText w:val="%1.%2.%3.%4.%5.%6"/>
      <w:lvlJc w:val="left"/>
      <w:pPr>
        <w:ind w:left="1680" w:hanging="1080"/>
      </w:pPr>
      <w:rPr>
        <w:rFonts w:hint="default"/>
      </w:rPr>
    </w:lvl>
    <w:lvl w:ilvl="6" w:tentative="0">
      <w:start w:val="1"/>
      <w:numFmt w:val="decimal"/>
      <w:lvlText w:val="%1.%2.%3.%4.%5.%6.%7"/>
      <w:lvlJc w:val="left"/>
      <w:pPr>
        <w:ind w:left="1800" w:hanging="1080"/>
      </w:pPr>
      <w:rPr>
        <w:rFonts w:hint="default"/>
      </w:rPr>
    </w:lvl>
    <w:lvl w:ilvl="7" w:tentative="0">
      <w:start w:val="1"/>
      <w:numFmt w:val="decimal"/>
      <w:lvlText w:val="%1.%2.%3.%4.%5.%6.%7.%8"/>
      <w:lvlJc w:val="left"/>
      <w:pPr>
        <w:ind w:left="2280" w:hanging="1440"/>
      </w:pPr>
      <w:rPr>
        <w:rFonts w:hint="default"/>
      </w:rPr>
    </w:lvl>
    <w:lvl w:ilvl="8" w:tentative="0">
      <w:start w:val="1"/>
      <w:numFmt w:val="decimal"/>
      <w:lvlText w:val="%1.%2.%3.%4.%5.%6.%7.%8.%9"/>
      <w:lvlJc w:val="left"/>
      <w:pPr>
        <w:ind w:left="2400" w:hanging="1440"/>
      </w:pPr>
      <w:rPr>
        <w:rFonts w:hint="default"/>
      </w:rPr>
    </w:lvl>
  </w:abstractNum>
  <w:abstractNum w:abstractNumId="17">
    <w:nsid w:val="3DB57900"/>
    <w:multiLevelType w:val="multilevel"/>
    <w:tmpl w:val="3DB57900"/>
    <w:lvl w:ilvl="0" w:tentative="0">
      <w:start w:val="1"/>
      <w:numFmt w:val="decimal"/>
      <w:isLgl/>
      <w:suff w:val="space"/>
      <w:lvlText w:val="%1"/>
      <w:lvlJc w:val="left"/>
      <w:pPr>
        <w:ind w:left="0" w:firstLine="0"/>
      </w:pPr>
      <w:rPr>
        <w:rFonts w:hint="default" w:ascii="Times New Roman" w:hAnsi="Times New Roman" w:eastAsia="黑体"/>
        <w:b w:val="0"/>
        <w:i w:val="0"/>
        <w:sz w:val="32"/>
        <w:szCs w:val="32"/>
      </w:rPr>
    </w:lvl>
    <w:lvl w:ilvl="1" w:tentative="0">
      <w:start w:val="1"/>
      <w:numFmt w:val="decimal"/>
      <w:isLgl/>
      <w:suff w:val="space"/>
      <w:lvlText w:val="%1.%2"/>
      <w:lvlJc w:val="left"/>
      <w:pPr>
        <w:ind w:left="0" w:firstLine="0"/>
      </w:pPr>
      <w:rPr>
        <w:rFonts w:hint="default" w:ascii="Times New Roman" w:hAnsi="Times New Roman" w:eastAsia="黑体"/>
        <w:b w:val="0"/>
        <w:i w:val="0"/>
        <w:sz w:val="28"/>
        <w:szCs w:val="28"/>
      </w:rPr>
    </w:lvl>
    <w:lvl w:ilvl="2" w:tentative="0">
      <w:start w:val="1"/>
      <w:numFmt w:val="decimal"/>
      <w:pStyle w:val="2304"/>
      <w:isLgl/>
      <w:suff w:val="space"/>
      <w:lvlText w:val="%1.%2.%3"/>
      <w:lvlJc w:val="left"/>
      <w:pPr>
        <w:ind w:left="0" w:firstLine="0"/>
      </w:pPr>
      <w:rPr>
        <w:rFonts w:hint="default" w:ascii="Times New Roman" w:hAnsi="Times New Roman" w:eastAsia="黑体"/>
        <w:b w:val="0"/>
        <w:i w:val="0"/>
        <w:sz w:val="24"/>
        <w:szCs w:val="24"/>
      </w:rPr>
    </w:lvl>
    <w:lvl w:ilvl="3" w:tentative="0">
      <w:start w:val="1"/>
      <w:numFmt w:val="decimal"/>
      <w:isLgl/>
      <w:suff w:val="space"/>
      <w:lvlText w:val="%1.%2.%3.%4"/>
      <w:lvlJc w:val="left"/>
      <w:pPr>
        <w:ind w:left="0" w:firstLine="0"/>
      </w:pPr>
      <w:rPr>
        <w:rFonts w:hint="default" w:ascii="Times New Roman" w:hAnsi="Times New Roman" w:eastAsia="黑体"/>
        <w:b w:val="0"/>
        <w:i w:val="0"/>
        <w:sz w:val="24"/>
        <w:szCs w:val="24"/>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8">
    <w:nsid w:val="3FFB350C"/>
    <w:multiLevelType w:val="multilevel"/>
    <w:tmpl w:val="3FFB350C"/>
    <w:lvl w:ilvl="0" w:tentative="0">
      <w:start w:val="1"/>
      <w:numFmt w:val="bullet"/>
      <w:pStyle w:val="2055"/>
      <w:lvlText w:val=""/>
      <w:lvlJc w:val="left"/>
      <w:pPr>
        <w:tabs>
          <w:tab w:val="left" w:pos="720"/>
        </w:tabs>
        <w:ind w:left="720"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9">
    <w:nsid w:val="41A9432C"/>
    <w:multiLevelType w:val="multilevel"/>
    <w:tmpl w:val="41A9432C"/>
    <w:lvl w:ilvl="0" w:tentative="0">
      <w:start w:val="1"/>
      <w:numFmt w:val="decimal"/>
      <w:pStyle w:val="2556"/>
      <w:lvlText w:val="%1"/>
      <w:lvlJc w:val="left"/>
      <w:pPr>
        <w:tabs>
          <w:tab w:val="left" w:pos="425"/>
        </w:tabs>
        <w:ind w:left="425" w:hanging="425"/>
      </w:pPr>
      <w:rPr>
        <w:color w:val="auto"/>
      </w:rPr>
    </w:lvl>
    <w:lvl w:ilvl="1" w:tentative="0">
      <w:start w:val="1"/>
      <w:numFmt w:val="decimal"/>
      <w:lvlText w:val="%1.%2"/>
      <w:lvlJc w:val="left"/>
      <w:pPr>
        <w:tabs>
          <w:tab w:val="left" w:pos="927"/>
        </w:tabs>
        <w:ind w:left="927" w:hanging="567"/>
      </w:pPr>
      <w:rPr>
        <w:color w:val="000000"/>
      </w:rPr>
    </w:lvl>
    <w:lvl w:ilvl="2" w:tentative="0">
      <w:start w:val="1"/>
      <w:numFmt w:val="decimal"/>
      <w:pStyle w:val="2555"/>
      <w:lvlText w:val="%1.%2.%3"/>
      <w:lvlJc w:val="left"/>
      <w:pPr>
        <w:tabs>
          <w:tab w:val="left" w:pos="1418"/>
        </w:tabs>
        <w:ind w:left="1418" w:hanging="567"/>
      </w:pPr>
      <w:rPr>
        <w:color w:val="auto"/>
      </w:rPr>
    </w:lvl>
    <w:lvl w:ilvl="3" w:tentative="0">
      <w:start w:val="1"/>
      <w:numFmt w:val="decimal"/>
      <w:lvlText w:val="%1.%2.%3.%4"/>
      <w:lvlJc w:val="left"/>
      <w:pPr>
        <w:tabs>
          <w:tab w:val="left" w:pos="1248"/>
        </w:tabs>
        <w:ind w:left="1248" w:hanging="708"/>
      </w:pPr>
      <w:rPr>
        <w:b w:val="0"/>
      </w:r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0">
    <w:nsid w:val="431B217C"/>
    <w:multiLevelType w:val="multilevel"/>
    <w:tmpl w:val="431B217C"/>
    <w:lvl w:ilvl="0" w:tentative="0">
      <w:start w:val="1"/>
      <w:numFmt w:val="decimal"/>
      <w:pStyle w:val="1225"/>
      <w:lvlText w:val="表1-%1"/>
      <w:lvlJc w:val="left"/>
      <w:pPr>
        <w:tabs>
          <w:tab w:val="left" w:pos="2507"/>
        </w:tabs>
        <w:ind w:left="1260" w:firstLine="0"/>
      </w:pPr>
      <w:rPr>
        <w:rFonts w:hint="eastAsia" w:ascii="黑体" w:eastAsia="黑体"/>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4662533A"/>
    <w:multiLevelType w:val="multilevel"/>
    <w:tmpl w:val="4662533A"/>
    <w:lvl w:ilvl="0" w:tentative="0">
      <w:start w:val="0"/>
      <w:numFmt w:val="bullet"/>
      <w:pStyle w:val="2081"/>
      <w:lvlText w:val=""/>
      <w:lvlJc w:val="left"/>
      <w:pPr>
        <w:tabs>
          <w:tab w:val="left" w:pos="720"/>
        </w:tabs>
        <w:ind w:left="360"/>
      </w:pPr>
      <w:rPr>
        <w:rFonts w:hint="default" w:ascii="Wingdings" w:hAnsi="Wingdings" w:cs="Wingdings"/>
        <w:sz w:val="12"/>
        <w:szCs w:val="12"/>
      </w:rPr>
    </w:lvl>
    <w:lvl w:ilvl="1" w:tentative="0">
      <w:start w:val="1"/>
      <w:numFmt w:val="bullet"/>
      <w:pStyle w:val="2079"/>
      <w:lvlText w:val=""/>
      <w:lvlJc w:val="left"/>
      <w:pPr>
        <w:tabs>
          <w:tab w:val="left" w:pos="1440"/>
        </w:tabs>
        <w:ind w:left="1440" w:hanging="360"/>
      </w:pPr>
      <w:rPr>
        <w:rFonts w:hint="default" w:ascii="Symbol" w:hAnsi="Symbol" w:cs="Symbol"/>
        <w:sz w:val="18"/>
        <w:szCs w:val="18"/>
      </w:rPr>
    </w:lvl>
    <w:lvl w:ilvl="2" w:tentative="0">
      <w:start w:val="0"/>
      <w:numFmt w:val="bullet"/>
      <w:pStyle w:val="2080"/>
      <w:lvlText w:val=""/>
      <w:lvlJc w:val="left"/>
      <w:pPr>
        <w:tabs>
          <w:tab w:val="left" w:pos="2160"/>
        </w:tabs>
        <w:ind w:left="2160" w:hanging="360"/>
      </w:pPr>
      <w:rPr>
        <w:rFonts w:hint="default" w:ascii="Symbol" w:hAnsi="Symbol" w:cs="Symbol"/>
        <w:sz w:val="18"/>
        <w:szCs w:val="18"/>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47CD3793"/>
    <w:multiLevelType w:val="singleLevel"/>
    <w:tmpl w:val="47CD3793"/>
    <w:lvl w:ilvl="0" w:tentative="0">
      <w:start w:val="1"/>
      <w:numFmt w:val="bullet"/>
      <w:pStyle w:val="2054"/>
      <w:lvlText w:val=""/>
      <w:lvlJc w:val="left"/>
      <w:pPr>
        <w:tabs>
          <w:tab w:val="left" w:pos="360"/>
        </w:tabs>
        <w:ind w:left="360" w:hanging="360"/>
      </w:pPr>
      <w:rPr>
        <w:rFonts w:hint="default" w:ascii="Symbol" w:hAnsi="Symbol"/>
      </w:rPr>
    </w:lvl>
  </w:abstractNum>
  <w:abstractNum w:abstractNumId="23">
    <w:nsid w:val="4EE2787C"/>
    <w:multiLevelType w:val="multilevel"/>
    <w:tmpl w:val="4EE2787C"/>
    <w:lvl w:ilvl="0" w:tentative="0">
      <w:start w:val="1"/>
      <w:numFmt w:val="decimal"/>
      <w:lvlText w:val="%1"/>
      <w:lvlJc w:val="left"/>
      <w:pPr>
        <w:tabs>
          <w:tab w:val="left" w:pos="432"/>
        </w:tabs>
        <w:ind w:left="432" w:hanging="432"/>
      </w:pPr>
    </w:lvl>
    <w:lvl w:ilvl="1" w:tentative="0">
      <w:start w:val="1"/>
      <w:numFmt w:val="decimal"/>
      <w:pStyle w:val="2629"/>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4">
    <w:nsid w:val="4FA66920"/>
    <w:multiLevelType w:val="multilevel"/>
    <w:tmpl w:val="4FA66920"/>
    <w:lvl w:ilvl="0" w:tentative="0">
      <w:start w:val="1"/>
      <w:numFmt w:val="bullet"/>
      <w:pStyle w:val="2454"/>
      <w:lvlText w:val=""/>
      <w:lvlJc w:val="left"/>
      <w:pPr>
        <w:tabs>
          <w:tab w:val="left" w:pos="1429"/>
        </w:tabs>
        <w:ind w:left="1429" w:hanging="360"/>
      </w:pPr>
      <w:rPr>
        <w:rFonts w:hint="default" w:ascii="Symbol" w:hAnsi="Symbol"/>
      </w:rPr>
    </w:lvl>
    <w:lvl w:ilvl="1" w:tentative="0">
      <w:start w:val="1"/>
      <w:numFmt w:val="bullet"/>
      <w:lvlText w:val="o"/>
      <w:lvlJc w:val="left"/>
      <w:pPr>
        <w:tabs>
          <w:tab w:val="left" w:pos="2149"/>
        </w:tabs>
        <w:ind w:left="2149" w:hanging="360"/>
      </w:pPr>
      <w:rPr>
        <w:rFonts w:hint="default" w:ascii="Courier New" w:hAnsi="Courier New" w:cs="方正楷体简体"/>
      </w:rPr>
    </w:lvl>
    <w:lvl w:ilvl="2" w:tentative="0">
      <w:start w:val="1"/>
      <w:numFmt w:val="bullet"/>
      <w:lvlText w:val=""/>
      <w:lvlJc w:val="left"/>
      <w:pPr>
        <w:tabs>
          <w:tab w:val="left" w:pos="2869"/>
        </w:tabs>
        <w:ind w:left="2869" w:hanging="360"/>
      </w:pPr>
      <w:rPr>
        <w:rFonts w:hint="default" w:ascii="Wingdings" w:hAnsi="Wingdings"/>
      </w:rPr>
    </w:lvl>
    <w:lvl w:ilvl="3" w:tentative="0">
      <w:start w:val="1"/>
      <w:numFmt w:val="bullet"/>
      <w:lvlText w:val=""/>
      <w:lvlJc w:val="left"/>
      <w:pPr>
        <w:tabs>
          <w:tab w:val="left" w:pos="3589"/>
        </w:tabs>
        <w:ind w:left="3589" w:hanging="360"/>
      </w:pPr>
      <w:rPr>
        <w:rFonts w:hint="default" w:ascii="Symbol" w:hAnsi="Symbol"/>
      </w:rPr>
    </w:lvl>
    <w:lvl w:ilvl="4" w:tentative="0">
      <w:start w:val="1"/>
      <w:numFmt w:val="bullet"/>
      <w:lvlText w:val="o"/>
      <w:lvlJc w:val="left"/>
      <w:pPr>
        <w:tabs>
          <w:tab w:val="left" w:pos="4309"/>
        </w:tabs>
        <w:ind w:left="4309" w:hanging="360"/>
      </w:pPr>
      <w:rPr>
        <w:rFonts w:hint="default" w:ascii="Courier New" w:hAnsi="Courier New" w:cs="方正楷体简体"/>
      </w:rPr>
    </w:lvl>
    <w:lvl w:ilvl="5" w:tentative="0">
      <w:start w:val="1"/>
      <w:numFmt w:val="bullet"/>
      <w:lvlText w:val=""/>
      <w:lvlJc w:val="left"/>
      <w:pPr>
        <w:tabs>
          <w:tab w:val="left" w:pos="5029"/>
        </w:tabs>
        <w:ind w:left="5029" w:hanging="360"/>
      </w:pPr>
      <w:rPr>
        <w:rFonts w:hint="default" w:ascii="Wingdings" w:hAnsi="Wingdings"/>
      </w:rPr>
    </w:lvl>
    <w:lvl w:ilvl="6" w:tentative="0">
      <w:start w:val="1"/>
      <w:numFmt w:val="bullet"/>
      <w:lvlText w:val=""/>
      <w:lvlJc w:val="left"/>
      <w:pPr>
        <w:tabs>
          <w:tab w:val="left" w:pos="5749"/>
        </w:tabs>
        <w:ind w:left="5749" w:hanging="360"/>
      </w:pPr>
      <w:rPr>
        <w:rFonts w:hint="default" w:ascii="Symbol" w:hAnsi="Symbol"/>
      </w:rPr>
    </w:lvl>
    <w:lvl w:ilvl="7" w:tentative="0">
      <w:start w:val="1"/>
      <w:numFmt w:val="bullet"/>
      <w:lvlText w:val="o"/>
      <w:lvlJc w:val="left"/>
      <w:pPr>
        <w:tabs>
          <w:tab w:val="left" w:pos="6469"/>
        </w:tabs>
        <w:ind w:left="6469" w:hanging="360"/>
      </w:pPr>
      <w:rPr>
        <w:rFonts w:hint="default" w:ascii="Courier New" w:hAnsi="Courier New" w:cs="方正楷体简体"/>
      </w:rPr>
    </w:lvl>
    <w:lvl w:ilvl="8" w:tentative="0">
      <w:start w:val="1"/>
      <w:numFmt w:val="bullet"/>
      <w:lvlText w:val=""/>
      <w:lvlJc w:val="left"/>
      <w:pPr>
        <w:tabs>
          <w:tab w:val="left" w:pos="7189"/>
        </w:tabs>
        <w:ind w:left="7189" w:hanging="360"/>
      </w:pPr>
      <w:rPr>
        <w:rFonts w:hint="default" w:ascii="Wingdings" w:hAnsi="Wingdings"/>
      </w:rPr>
    </w:lvl>
  </w:abstractNum>
  <w:abstractNum w:abstractNumId="25">
    <w:nsid w:val="52CA544A"/>
    <w:multiLevelType w:val="singleLevel"/>
    <w:tmpl w:val="52CA544A"/>
    <w:lvl w:ilvl="0" w:tentative="0">
      <w:start w:val="1"/>
      <w:numFmt w:val="decimal"/>
      <w:pStyle w:val="453"/>
      <w:lvlText w:val="[%1]"/>
      <w:lvlJc w:val="left"/>
      <w:pPr>
        <w:tabs>
          <w:tab w:val="left" w:pos="629"/>
        </w:tabs>
        <w:ind w:left="629" w:hanging="629"/>
      </w:pPr>
      <w:rPr>
        <w:rFonts w:hint="default" w:ascii="Times New Roman" w:hAnsi="Times New Roman"/>
        <w:b w:val="0"/>
        <w:bCs w:val="0"/>
        <w:i w:val="0"/>
        <w:iCs w:val="0"/>
        <w:sz w:val="21"/>
        <w:szCs w:val="21"/>
      </w:rPr>
    </w:lvl>
  </w:abstractNum>
  <w:abstractNum w:abstractNumId="26">
    <w:nsid w:val="5AA528E0"/>
    <w:multiLevelType w:val="multilevel"/>
    <w:tmpl w:val="5AA528E0"/>
    <w:lvl w:ilvl="0" w:tentative="0">
      <w:start w:val="1"/>
      <w:numFmt w:val="decimal"/>
      <w:pStyle w:val="988"/>
      <w:lvlText w:val="%1"/>
      <w:lvlJc w:val="left"/>
      <w:pPr>
        <w:tabs>
          <w:tab w:val="left" w:pos="2878"/>
        </w:tabs>
        <w:ind w:left="2878" w:hanging="432"/>
      </w:pPr>
      <w:rPr>
        <w:rFonts w:hint="eastAsia"/>
      </w:rPr>
    </w:lvl>
    <w:lvl w:ilvl="1" w:tentative="0">
      <w:start w:val="1"/>
      <w:numFmt w:val="decimal"/>
      <w:pStyle w:val="989"/>
      <w:suff w:val="space"/>
      <w:lvlText w:val="%1.%2"/>
      <w:lvlJc w:val="left"/>
      <w:pPr>
        <w:ind w:left="576" w:hanging="576"/>
      </w:pPr>
      <w:rPr>
        <w:rFonts w:hint="eastAsia"/>
      </w:rPr>
    </w:lvl>
    <w:lvl w:ilvl="2" w:tentative="0">
      <w:start w:val="1"/>
      <w:numFmt w:val="decimal"/>
      <w:pStyle w:val="990"/>
      <w:suff w:val="space"/>
      <w:lvlText w:val="%1.%2.%3"/>
      <w:lvlJc w:val="left"/>
      <w:pPr>
        <w:ind w:left="720" w:hanging="720"/>
      </w:pPr>
      <w:rPr>
        <w:rFonts w:hint="eastAsia"/>
        <w:b w:val="0"/>
      </w:rPr>
    </w:lvl>
    <w:lvl w:ilvl="3" w:tentative="0">
      <w:start w:val="1"/>
      <w:numFmt w:val="decimal"/>
      <w:suff w:val="space"/>
      <w:lvlText w:val="%1.%2.%3.%4"/>
      <w:lvlJc w:val="left"/>
      <w:pPr>
        <w:ind w:left="864" w:hanging="864"/>
      </w:pPr>
      <w:rPr>
        <w:rFonts w:hint="eastAsia"/>
        <w:b w:val="0"/>
      </w:rPr>
    </w:lvl>
    <w:lvl w:ilvl="4" w:tentative="0">
      <w:start w:val="1"/>
      <w:numFmt w:val="decimal"/>
      <w:lvlText w:val="%1.%2.%3.%4.%5"/>
      <w:lvlJc w:val="left"/>
      <w:pPr>
        <w:tabs>
          <w:tab w:val="left" w:pos="1080"/>
        </w:tabs>
        <w:ind w:left="1008" w:hanging="1008"/>
      </w:pPr>
      <w:rPr>
        <w:rFonts w:hint="eastAsia"/>
      </w:rPr>
    </w:lvl>
    <w:lvl w:ilvl="5" w:tentative="0">
      <w:start w:val="1"/>
      <w:numFmt w:val="decimal"/>
      <w:lvlText w:val="%1.%2.%3.%4.%5.%6"/>
      <w:lvlJc w:val="left"/>
      <w:pPr>
        <w:tabs>
          <w:tab w:val="left" w:pos="1800"/>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Restart w:val="1"/>
      <w:suff w:val="space"/>
      <w:lvlText w:val="表%1.%9"/>
      <w:lvlJc w:val="left"/>
      <w:pPr>
        <w:ind w:left="3744" w:hanging="1584"/>
      </w:pPr>
      <w:rPr>
        <w:rFonts w:hint="eastAsia"/>
        <w:lang w:val="en-US"/>
      </w:rPr>
    </w:lvl>
  </w:abstractNum>
  <w:abstractNum w:abstractNumId="27">
    <w:nsid w:val="5CC3696A"/>
    <w:multiLevelType w:val="singleLevel"/>
    <w:tmpl w:val="5CC3696A"/>
    <w:lvl w:ilvl="0" w:tentative="0">
      <w:start w:val="1"/>
      <w:numFmt w:val="bullet"/>
      <w:pStyle w:val="2058"/>
      <w:lvlText w:val=""/>
      <w:lvlJc w:val="left"/>
      <w:pPr>
        <w:tabs>
          <w:tab w:val="left" w:pos="360"/>
        </w:tabs>
        <w:ind w:left="360" w:hanging="360"/>
      </w:pPr>
      <w:rPr>
        <w:rFonts w:hint="default" w:ascii="Wingdings" w:hAnsi="Wingdings"/>
      </w:rPr>
    </w:lvl>
  </w:abstractNum>
  <w:abstractNum w:abstractNumId="28">
    <w:nsid w:val="5EFE0D05"/>
    <w:multiLevelType w:val="multilevel"/>
    <w:tmpl w:val="5EFE0D05"/>
    <w:lvl w:ilvl="0" w:tentative="0">
      <w:start w:val="1"/>
      <w:numFmt w:val="bullet"/>
      <w:pStyle w:val="1990"/>
      <w:lvlText w:val="■"/>
      <w:lvlJc w:val="left"/>
      <w:pPr>
        <w:tabs>
          <w:tab w:val="left" w:pos="360"/>
        </w:tabs>
        <w:ind w:left="360" w:hanging="360"/>
      </w:pPr>
      <w:rPr>
        <w:rFonts w:hint="default" w:ascii="Times New Roman" w:hAnsi="Times New Roman" w:cs="Times New Roman"/>
        <w:b w:val="0"/>
        <w:i w:val="0"/>
        <w:color w:val="0050AA"/>
        <w:sz w:val="16"/>
        <w:szCs w:val="20"/>
      </w:rPr>
    </w:lvl>
    <w:lvl w:ilvl="1" w:tentative="0">
      <w:start w:val="1"/>
      <w:numFmt w:val="bullet"/>
      <w:lvlText w:val="o"/>
      <w:lvlJc w:val="left"/>
      <w:pPr>
        <w:tabs>
          <w:tab w:val="left" w:pos="-540"/>
        </w:tabs>
        <w:ind w:left="-540" w:hanging="360"/>
      </w:pPr>
      <w:rPr>
        <w:rFonts w:hint="default" w:ascii="Courier New" w:hAnsi="Courier New" w:cs="Courier New"/>
      </w:rPr>
    </w:lvl>
    <w:lvl w:ilvl="2" w:tentative="0">
      <w:start w:val="1"/>
      <w:numFmt w:val="bullet"/>
      <w:lvlText w:val=""/>
      <w:lvlJc w:val="left"/>
      <w:pPr>
        <w:tabs>
          <w:tab w:val="left" w:pos="180"/>
        </w:tabs>
        <w:ind w:left="180" w:hanging="360"/>
      </w:pPr>
      <w:rPr>
        <w:rFonts w:hint="default" w:ascii="Wingdings" w:hAnsi="Wingdings"/>
      </w:rPr>
    </w:lvl>
    <w:lvl w:ilvl="3" w:tentative="0">
      <w:start w:val="1"/>
      <w:numFmt w:val="bullet"/>
      <w:lvlText w:val=""/>
      <w:lvlJc w:val="left"/>
      <w:pPr>
        <w:tabs>
          <w:tab w:val="left" w:pos="900"/>
        </w:tabs>
        <w:ind w:left="900" w:hanging="360"/>
      </w:pPr>
      <w:rPr>
        <w:rFonts w:hint="default" w:ascii="Symbol" w:hAnsi="Symbol"/>
      </w:rPr>
    </w:lvl>
    <w:lvl w:ilvl="4" w:tentative="0">
      <w:start w:val="1"/>
      <w:numFmt w:val="bullet"/>
      <w:lvlText w:val="o"/>
      <w:lvlJc w:val="left"/>
      <w:pPr>
        <w:tabs>
          <w:tab w:val="left" w:pos="1620"/>
        </w:tabs>
        <w:ind w:left="1620" w:hanging="360"/>
      </w:pPr>
      <w:rPr>
        <w:rFonts w:hint="default" w:ascii="Courier New" w:hAnsi="Courier New" w:cs="Courier New"/>
      </w:rPr>
    </w:lvl>
    <w:lvl w:ilvl="5" w:tentative="0">
      <w:start w:val="1"/>
      <w:numFmt w:val="bullet"/>
      <w:lvlText w:val=""/>
      <w:lvlJc w:val="left"/>
      <w:pPr>
        <w:tabs>
          <w:tab w:val="left" w:pos="2340"/>
        </w:tabs>
        <w:ind w:left="2340" w:hanging="360"/>
      </w:pPr>
      <w:rPr>
        <w:rFonts w:hint="default" w:ascii="Wingdings" w:hAnsi="Wingdings"/>
      </w:rPr>
    </w:lvl>
    <w:lvl w:ilvl="6" w:tentative="0">
      <w:start w:val="1"/>
      <w:numFmt w:val="bullet"/>
      <w:lvlText w:val=""/>
      <w:lvlJc w:val="left"/>
      <w:pPr>
        <w:tabs>
          <w:tab w:val="left" w:pos="3060"/>
        </w:tabs>
        <w:ind w:left="3060" w:hanging="360"/>
      </w:pPr>
      <w:rPr>
        <w:rFonts w:hint="default" w:ascii="Symbol" w:hAnsi="Symbol"/>
      </w:rPr>
    </w:lvl>
    <w:lvl w:ilvl="7" w:tentative="0">
      <w:start w:val="1"/>
      <w:numFmt w:val="bullet"/>
      <w:lvlText w:val="o"/>
      <w:lvlJc w:val="left"/>
      <w:pPr>
        <w:tabs>
          <w:tab w:val="left" w:pos="3780"/>
        </w:tabs>
        <w:ind w:left="3780" w:hanging="360"/>
      </w:pPr>
      <w:rPr>
        <w:rFonts w:hint="default" w:ascii="Courier New" w:hAnsi="Courier New" w:cs="Courier New"/>
      </w:rPr>
    </w:lvl>
    <w:lvl w:ilvl="8" w:tentative="0">
      <w:start w:val="1"/>
      <w:numFmt w:val="bullet"/>
      <w:lvlText w:val=""/>
      <w:lvlJc w:val="left"/>
      <w:pPr>
        <w:tabs>
          <w:tab w:val="left" w:pos="4500"/>
        </w:tabs>
        <w:ind w:left="4500" w:hanging="360"/>
      </w:pPr>
      <w:rPr>
        <w:rFonts w:hint="default" w:ascii="Wingdings" w:hAnsi="Wingdings"/>
      </w:rPr>
    </w:lvl>
  </w:abstractNum>
  <w:abstractNum w:abstractNumId="29">
    <w:nsid w:val="641137ED"/>
    <w:multiLevelType w:val="multilevel"/>
    <w:tmpl w:val="641137ED"/>
    <w:lvl w:ilvl="0" w:tentative="0">
      <w:start w:val="1"/>
      <w:numFmt w:val="decimal"/>
      <w:pStyle w:val="466"/>
      <w:lvlText w:val="(%1)"/>
      <w:lvlJc w:val="left"/>
      <w:pPr>
        <w:tabs>
          <w:tab w:val="left" w:pos="941"/>
        </w:tabs>
        <w:ind w:left="941" w:hanging="521"/>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686F4895"/>
    <w:multiLevelType w:val="multilevel"/>
    <w:tmpl w:val="686F4895"/>
    <w:lvl w:ilvl="0" w:tentative="0">
      <w:start w:val="1"/>
      <w:numFmt w:val="decimalEnclosedCircle"/>
      <w:lvlText w:val="%1"/>
      <w:lvlJc w:val="left"/>
      <w:pPr>
        <w:ind w:left="880" w:hanging="360"/>
      </w:pPr>
      <w:rPr>
        <w:rFonts w:hint="default"/>
      </w:rPr>
    </w:lvl>
    <w:lvl w:ilvl="1" w:tentative="0">
      <w:start w:val="1"/>
      <w:numFmt w:val="lowerLetter"/>
      <w:lvlText w:val="%2)"/>
      <w:lvlJc w:val="left"/>
      <w:pPr>
        <w:ind w:left="1400" w:hanging="440"/>
      </w:pPr>
    </w:lvl>
    <w:lvl w:ilvl="2" w:tentative="0">
      <w:start w:val="1"/>
      <w:numFmt w:val="lowerRoman"/>
      <w:lvlText w:val="%3."/>
      <w:lvlJc w:val="right"/>
      <w:pPr>
        <w:ind w:left="1840" w:hanging="440"/>
      </w:pPr>
    </w:lvl>
    <w:lvl w:ilvl="3" w:tentative="0">
      <w:start w:val="1"/>
      <w:numFmt w:val="decimal"/>
      <w:lvlText w:val="%4."/>
      <w:lvlJc w:val="left"/>
      <w:pPr>
        <w:ind w:left="2280" w:hanging="440"/>
      </w:pPr>
    </w:lvl>
    <w:lvl w:ilvl="4" w:tentative="0">
      <w:start w:val="1"/>
      <w:numFmt w:val="lowerLetter"/>
      <w:lvlText w:val="%5)"/>
      <w:lvlJc w:val="left"/>
      <w:pPr>
        <w:ind w:left="2720" w:hanging="440"/>
      </w:pPr>
    </w:lvl>
    <w:lvl w:ilvl="5" w:tentative="0">
      <w:start w:val="1"/>
      <w:numFmt w:val="lowerRoman"/>
      <w:lvlText w:val="%6."/>
      <w:lvlJc w:val="right"/>
      <w:pPr>
        <w:ind w:left="3160" w:hanging="440"/>
      </w:pPr>
    </w:lvl>
    <w:lvl w:ilvl="6" w:tentative="0">
      <w:start w:val="1"/>
      <w:numFmt w:val="decimal"/>
      <w:lvlText w:val="%7."/>
      <w:lvlJc w:val="left"/>
      <w:pPr>
        <w:ind w:left="3600" w:hanging="440"/>
      </w:pPr>
    </w:lvl>
    <w:lvl w:ilvl="7" w:tentative="0">
      <w:start w:val="1"/>
      <w:numFmt w:val="lowerLetter"/>
      <w:lvlText w:val="%8)"/>
      <w:lvlJc w:val="left"/>
      <w:pPr>
        <w:ind w:left="4040" w:hanging="440"/>
      </w:pPr>
    </w:lvl>
    <w:lvl w:ilvl="8" w:tentative="0">
      <w:start w:val="1"/>
      <w:numFmt w:val="lowerRoman"/>
      <w:lvlText w:val="%9."/>
      <w:lvlJc w:val="right"/>
      <w:pPr>
        <w:ind w:left="4480" w:hanging="440"/>
      </w:pPr>
    </w:lvl>
  </w:abstractNum>
  <w:abstractNum w:abstractNumId="31">
    <w:nsid w:val="6B6E169B"/>
    <w:multiLevelType w:val="singleLevel"/>
    <w:tmpl w:val="6B6E169B"/>
    <w:lvl w:ilvl="0" w:tentative="0">
      <w:start w:val="1"/>
      <w:numFmt w:val="decimal"/>
      <w:pStyle w:val="2059"/>
      <w:lvlText w:val="%1."/>
      <w:legacy w:legacy="1" w:legacySpace="0" w:legacyIndent="360"/>
      <w:lvlJc w:val="left"/>
      <w:pPr>
        <w:ind w:left="1080" w:hanging="360"/>
      </w:pPr>
    </w:lvl>
  </w:abstractNum>
  <w:abstractNum w:abstractNumId="32">
    <w:nsid w:val="71A527DC"/>
    <w:multiLevelType w:val="multilevel"/>
    <w:tmpl w:val="71A527DC"/>
    <w:lvl w:ilvl="0" w:tentative="0">
      <w:start w:val="1"/>
      <w:numFmt w:val="decimal"/>
      <w:lvlText w:val="%1"/>
      <w:lvlJc w:val="left"/>
      <w:pPr>
        <w:tabs>
          <w:tab w:val="left" w:pos="852"/>
        </w:tabs>
        <w:ind w:left="852" w:hanging="432"/>
      </w:pPr>
      <w:rPr>
        <w:rFonts w:hint="eastAsia"/>
      </w:rPr>
    </w:lvl>
    <w:lvl w:ilvl="1" w:tentative="0">
      <w:start w:val="1"/>
      <w:numFmt w:val="decimal"/>
      <w:suff w:val="space"/>
      <w:lvlText w:val="%1.%2"/>
      <w:lvlJc w:val="left"/>
      <w:pPr>
        <w:ind w:left="0" w:firstLine="0"/>
      </w:pPr>
      <w:rPr>
        <w:rFonts w:hint="eastAsia"/>
        <w:lang w:eastAsia="zh-CN"/>
      </w:rPr>
    </w:lvl>
    <w:lvl w:ilvl="2" w:tentative="0">
      <w:start w:val="1"/>
      <w:numFmt w:val="decimal"/>
      <w:pStyle w:val="2683"/>
      <w:suff w:val="space"/>
      <w:lvlText w:val="%1.%2.%3"/>
      <w:lvlJc w:val="left"/>
      <w:pPr>
        <w:ind w:left="720" w:hanging="720"/>
      </w:pPr>
      <w:rPr>
        <w:rFonts w:hint="eastAsia" w:eastAsia="黑体"/>
        <w:kern w:val="2"/>
        <w:sz w:val="30"/>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428"/>
        </w:tabs>
        <w:ind w:left="1428" w:hanging="1008"/>
      </w:pPr>
      <w:rPr>
        <w:rFonts w:hint="eastAsia"/>
      </w:rPr>
    </w:lvl>
    <w:lvl w:ilvl="5" w:tentative="0">
      <w:start w:val="1"/>
      <w:numFmt w:val="decimal"/>
      <w:lvlText w:val="%1.%2.%3.%4.%5.%6"/>
      <w:lvlJc w:val="left"/>
      <w:pPr>
        <w:tabs>
          <w:tab w:val="left" w:pos="1572"/>
        </w:tabs>
        <w:ind w:left="1572" w:hanging="1152"/>
      </w:pPr>
      <w:rPr>
        <w:rFonts w:hint="eastAsia"/>
      </w:rPr>
    </w:lvl>
    <w:lvl w:ilvl="6" w:tentative="0">
      <w:start w:val="1"/>
      <w:numFmt w:val="decimal"/>
      <w:lvlText w:val="%1.%2.%3.%4.%5.%6.%7"/>
      <w:lvlJc w:val="left"/>
      <w:pPr>
        <w:tabs>
          <w:tab w:val="left" w:pos="1716"/>
        </w:tabs>
        <w:ind w:left="1716" w:hanging="1296"/>
      </w:pPr>
      <w:rPr>
        <w:rFonts w:hint="eastAsia"/>
      </w:rPr>
    </w:lvl>
    <w:lvl w:ilvl="7" w:tentative="0">
      <w:start w:val="1"/>
      <w:numFmt w:val="decimal"/>
      <w:lvlText w:val="%1.%2.%3.%4.%5.%6.%7.%8"/>
      <w:lvlJc w:val="left"/>
      <w:pPr>
        <w:tabs>
          <w:tab w:val="left" w:pos="1860"/>
        </w:tabs>
        <w:ind w:left="1860" w:hanging="1440"/>
      </w:pPr>
      <w:rPr>
        <w:rFonts w:hint="eastAsia"/>
      </w:rPr>
    </w:lvl>
    <w:lvl w:ilvl="8" w:tentative="0">
      <w:start w:val="1"/>
      <w:numFmt w:val="decimal"/>
      <w:lvlText w:val="%1.%2.%3.%4.%5.%6.%7.%8.%9"/>
      <w:lvlJc w:val="left"/>
      <w:pPr>
        <w:tabs>
          <w:tab w:val="left" w:pos="2004"/>
        </w:tabs>
        <w:ind w:left="2004" w:hanging="1584"/>
      </w:pPr>
      <w:rPr>
        <w:rFonts w:hint="eastAsia"/>
      </w:rPr>
    </w:lvl>
  </w:abstractNum>
  <w:abstractNum w:abstractNumId="33">
    <w:nsid w:val="722C5A71"/>
    <w:multiLevelType w:val="multilevel"/>
    <w:tmpl w:val="722C5A71"/>
    <w:lvl w:ilvl="0" w:tentative="0">
      <w:start w:val="1"/>
      <w:numFmt w:val="japaneseCounting"/>
      <w:pStyle w:val="1107"/>
      <w:lvlText w:val="（%1）"/>
      <w:lvlJc w:val="left"/>
      <w:pPr>
        <w:tabs>
          <w:tab w:val="left" w:pos="720"/>
        </w:tabs>
        <w:ind w:left="720" w:hanging="720"/>
      </w:pPr>
      <w:rPr>
        <w:rFonts w:hint="default"/>
      </w:rPr>
    </w:lvl>
    <w:lvl w:ilvl="1" w:tentative="0">
      <w:start w:val="1"/>
      <w:numFmt w:val="lowerLetter"/>
      <w:pStyle w:val="1120"/>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7A0614A8"/>
    <w:multiLevelType w:val="multilevel"/>
    <w:tmpl w:val="7A0614A8"/>
    <w:lvl w:ilvl="0" w:tentative="0">
      <w:start w:val="1"/>
      <w:numFmt w:val="decimalEnclosedCircle"/>
      <w:pStyle w:val="60"/>
      <w:lvlText w:val="%1"/>
      <w:lvlJc w:val="left"/>
      <w:pPr>
        <w:ind w:left="880" w:hanging="360"/>
      </w:pPr>
      <w:rPr>
        <w:rFonts w:hint="default"/>
      </w:rPr>
    </w:lvl>
    <w:lvl w:ilvl="1" w:tentative="0">
      <w:start w:val="1"/>
      <w:numFmt w:val="lowerLetter"/>
      <w:lvlText w:val="%2)"/>
      <w:lvlJc w:val="left"/>
      <w:pPr>
        <w:ind w:left="1360" w:hanging="420"/>
      </w:pPr>
    </w:lvl>
    <w:lvl w:ilvl="2" w:tentative="0">
      <w:start w:val="1"/>
      <w:numFmt w:val="lowerRoman"/>
      <w:lvlText w:val="%3."/>
      <w:lvlJc w:val="right"/>
      <w:pPr>
        <w:ind w:left="1780" w:hanging="420"/>
      </w:pPr>
    </w:lvl>
    <w:lvl w:ilvl="3" w:tentative="0">
      <w:start w:val="1"/>
      <w:numFmt w:val="decimal"/>
      <w:lvlText w:val="%4."/>
      <w:lvlJc w:val="left"/>
      <w:pPr>
        <w:ind w:left="2200" w:hanging="420"/>
      </w:pPr>
    </w:lvl>
    <w:lvl w:ilvl="4" w:tentative="0">
      <w:start w:val="1"/>
      <w:numFmt w:val="lowerLetter"/>
      <w:lvlText w:val="%5)"/>
      <w:lvlJc w:val="left"/>
      <w:pPr>
        <w:ind w:left="2620" w:hanging="420"/>
      </w:pPr>
    </w:lvl>
    <w:lvl w:ilvl="5" w:tentative="0">
      <w:start w:val="1"/>
      <w:numFmt w:val="lowerRoman"/>
      <w:lvlText w:val="%6."/>
      <w:lvlJc w:val="right"/>
      <w:pPr>
        <w:ind w:left="3040" w:hanging="420"/>
      </w:pPr>
    </w:lvl>
    <w:lvl w:ilvl="6" w:tentative="0">
      <w:start w:val="1"/>
      <w:numFmt w:val="decimal"/>
      <w:lvlText w:val="%7."/>
      <w:lvlJc w:val="left"/>
      <w:pPr>
        <w:ind w:left="3460" w:hanging="420"/>
      </w:pPr>
    </w:lvl>
    <w:lvl w:ilvl="7" w:tentative="0">
      <w:start w:val="1"/>
      <w:numFmt w:val="lowerLetter"/>
      <w:lvlText w:val="%8)"/>
      <w:lvlJc w:val="left"/>
      <w:pPr>
        <w:ind w:left="3880" w:hanging="420"/>
      </w:pPr>
    </w:lvl>
    <w:lvl w:ilvl="8" w:tentative="0">
      <w:start w:val="1"/>
      <w:numFmt w:val="lowerRoman"/>
      <w:lvlText w:val="%9."/>
      <w:lvlJc w:val="right"/>
      <w:pPr>
        <w:ind w:left="4300" w:hanging="420"/>
      </w:pPr>
    </w:lvl>
  </w:abstractNum>
  <w:abstractNum w:abstractNumId="35">
    <w:nsid w:val="7B6E07E0"/>
    <w:multiLevelType w:val="multilevel"/>
    <w:tmpl w:val="7B6E07E0"/>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36">
    <w:nsid w:val="7DF1689F"/>
    <w:multiLevelType w:val="singleLevel"/>
    <w:tmpl w:val="7DF1689F"/>
    <w:lvl w:ilvl="0" w:tentative="0">
      <w:start w:val="1"/>
      <w:numFmt w:val="bullet"/>
      <w:pStyle w:val="2056"/>
      <w:lvlText w:val=""/>
      <w:lvlJc w:val="left"/>
      <w:pPr>
        <w:tabs>
          <w:tab w:val="left" w:pos="360"/>
        </w:tabs>
        <w:ind w:left="360" w:hanging="360"/>
      </w:pPr>
      <w:rPr>
        <w:rFonts w:hint="default" w:ascii="Symbol" w:hAnsi="Symbol"/>
      </w:rPr>
    </w:lvl>
  </w:abstractNum>
  <w:abstractNum w:abstractNumId="37">
    <w:nsid w:val="7E2A70E8"/>
    <w:multiLevelType w:val="singleLevel"/>
    <w:tmpl w:val="7E2A70E8"/>
    <w:lvl w:ilvl="0" w:tentative="0">
      <w:start w:val="1"/>
      <w:numFmt w:val="decimal"/>
      <w:pStyle w:val="815"/>
      <w:lvlText w:val="%1)"/>
      <w:lvlJc w:val="left"/>
      <w:pPr>
        <w:tabs>
          <w:tab w:val="left" w:pos="870"/>
        </w:tabs>
        <w:ind w:left="0" w:firstLine="510"/>
      </w:pPr>
      <w:rPr>
        <w:rFonts w:hint="eastAsia"/>
      </w:rPr>
    </w:lvl>
  </w:abstractNum>
  <w:num w:numId="1">
    <w:abstractNumId w:val="35"/>
  </w:num>
  <w:num w:numId="2">
    <w:abstractNumId w:val="7"/>
  </w:num>
  <w:num w:numId="3">
    <w:abstractNumId w:val="34"/>
  </w:num>
  <w:num w:numId="4">
    <w:abstractNumId w:val="14"/>
  </w:num>
  <w:num w:numId="5">
    <w:abstractNumId w:val="3"/>
  </w:num>
  <w:num w:numId="6">
    <w:abstractNumId w:val="25"/>
  </w:num>
  <w:num w:numId="7">
    <w:abstractNumId w:val="0"/>
  </w:num>
  <w:num w:numId="8">
    <w:abstractNumId w:val="29"/>
  </w:num>
  <w:num w:numId="9">
    <w:abstractNumId w:val="37"/>
  </w:num>
  <w:num w:numId="10">
    <w:abstractNumId w:val="26"/>
  </w:num>
  <w:num w:numId="11">
    <w:abstractNumId w:val="33"/>
  </w:num>
  <w:num w:numId="12">
    <w:abstractNumId w:val="2"/>
  </w:num>
  <w:num w:numId="13">
    <w:abstractNumId w:val="20"/>
  </w:num>
  <w:num w:numId="14">
    <w:abstractNumId w:val="16"/>
  </w:num>
  <w:num w:numId="15">
    <w:abstractNumId w:val="8"/>
  </w:num>
  <w:num w:numId="16">
    <w:abstractNumId w:val="1"/>
  </w:num>
  <w:num w:numId="17">
    <w:abstractNumId w:val="4"/>
  </w:num>
  <w:num w:numId="18">
    <w:abstractNumId w:val="13"/>
  </w:num>
  <w:num w:numId="19">
    <w:abstractNumId w:val="28"/>
  </w:num>
  <w:num w:numId="20">
    <w:abstractNumId w:val="12"/>
  </w:num>
  <w:num w:numId="21">
    <w:abstractNumId w:val="22"/>
  </w:num>
  <w:num w:numId="22">
    <w:abstractNumId w:val="18"/>
  </w:num>
  <w:num w:numId="23">
    <w:abstractNumId w:val="36"/>
  </w:num>
  <w:num w:numId="24">
    <w:abstractNumId w:val="5"/>
  </w:num>
  <w:num w:numId="25">
    <w:abstractNumId w:val="27"/>
  </w:num>
  <w:num w:numId="26">
    <w:abstractNumId w:val="31"/>
  </w:num>
  <w:num w:numId="27">
    <w:abstractNumId w:val="21"/>
  </w:num>
  <w:num w:numId="28">
    <w:abstractNumId w:val="11"/>
  </w:num>
  <w:num w:numId="29">
    <w:abstractNumId w:val="10"/>
  </w:num>
  <w:num w:numId="30">
    <w:abstractNumId w:val="17"/>
  </w:num>
  <w:num w:numId="31">
    <w:abstractNumId w:val="24"/>
  </w:num>
  <w:num w:numId="32">
    <w:abstractNumId w:val="9"/>
  </w:num>
  <w:num w:numId="33">
    <w:abstractNumId w:val="19"/>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32"/>
  </w:num>
  <w:num w:numId="37">
    <w:abstractNumId w:val="6"/>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Q0YjcxYjZlMTRhZTlhMWUxNmU5ODIwNjk3ZTM1MmQifQ=="/>
  </w:docVars>
  <w:rsids>
    <w:rsidRoot w:val="00BA64FF"/>
    <w:rsid w:val="0000005E"/>
    <w:rsid w:val="000002D5"/>
    <w:rsid w:val="00000665"/>
    <w:rsid w:val="000006D0"/>
    <w:rsid w:val="0000084C"/>
    <w:rsid w:val="000008E0"/>
    <w:rsid w:val="00000AC5"/>
    <w:rsid w:val="00000C34"/>
    <w:rsid w:val="00000F23"/>
    <w:rsid w:val="0000103C"/>
    <w:rsid w:val="00001550"/>
    <w:rsid w:val="000019FD"/>
    <w:rsid w:val="00001BB0"/>
    <w:rsid w:val="00001F57"/>
    <w:rsid w:val="00002112"/>
    <w:rsid w:val="00002148"/>
    <w:rsid w:val="000021A4"/>
    <w:rsid w:val="000025F5"/>
    <w:rsid w:val="00002698"/>
    <w:rsid w:val="00002E7D"/>
    <w:rsid w:val="000030D4"/>
    <w:rsid w:val="00003477"/>
    <w:rsid w:val="000038F1"/>
    <w:rsid w:val="0000441C"/>
    <w:rsid w:val="000046E3"/>
    <w:rsid w:val="00004B1A"/>
    <w:rsid w:val="00004E9B"/>
    <w:rsid w:val="00004FC0"/>
    <w:rsid w:val="0000517A"/>
    <w:rsid w:val="000052F3"/>
    <w:rsid w:val="0000542E"/>
    <w:rsid w:val="00005A3C"/>
    <w:rsid w:val="00005A97"/>
    <w:rsid w:val="00005F12"/>
    <w:rsid w:val="0000603E"/>
    <w:rsid w:val="00006527"/>
    <w:rsid w:val="0000663C"/>
    <w:rsid w:val="00006678"/>
    <w:rsid w:val="00006D22"/>
    <w:rsid w:val="00006EA2"/>
    <w:rsid w:val="00007146"/>
    <w:rsid w:val="00007774"/>
    <w:rsid w:val="00007B3A"/>
    <w:rsid w:val="00007E1E"/>
    <w:rsid w:val="00007E33"/>
    <w:rsid w:val="00007EED"/>
    <w:rsid w:val="000100B0"/>
    <w:rsid w:val="0001010B"/>
    <w:rsid w:val="000103FC"/>
    <w:rsid w:val="00010748"/>
    <w:rsid w:val="00010831"/>
    <w:rsid w:val="00010970"/>
    <w:rsid w:val="00010A2B"/>
    <w:rsid w:val="00010F96"/>
    <w:rsid w:val="0001139A"/>
    <w:rsid w:val="00011452"/>
    <w:rsid w:val="00011498"/>
    <w:rsid w:val="000119C3"/>
    <w:rsid w:val="00011B65"/>
    <w:rsid w:val="00011E3B"/>
    <w:rsid w:val="00011F30"/>
    <w:rsid w:val="00011F35"/>
    <w:rsid w:val="0001208E"/>
    <w:rsid w:val="000126CD"/>
    <w:rsid w:val="000127A6"/>
    <w:rsid w:val="0001281D"/>
    <w:rsid w:val="0001290B"/>
    <w:rsid w:val="00012A81"/>
    <w:rsid w:val="00012B0B"/>
    <w:rsid w:val="00012BE8"/>
    <w:rsid w:val="00013665"/>
    <w:rsid w:val="00013884"/>
    <w:rsid w:val="00013A4D"/>
    <w:rsid w:val="00013AF4"/>
    <w:rsid w:val="00013E27"/>
    <w:rsid w:val="000140E4"/>
    <w:rsid w:val="000141D2"/>
    <w:rsid w:val="000141F6"/>
    <w:rsid w:val="00014329"/>
    <w:rsid w:val="00014879"/>
    <w:rsid w:val="00014ACE"/>
    <w:rsid w:val="00014AE3"/>
    <w:rsid w:val="00014BDB"/>
    <w:rsid w:val="00014ECF"/>
    <w:rsid w:val="00014F30"/>
    <w:rsid w:val="000151B0"/>
    <w:rsid w:val="00015650"/>
    <w:rsid w:val="000157C7"/>
    <w:rsid w:val="00015AD9"/>
    <w:rsid w:val="00015CDB"/>
    <w:rsid w:val="00015D53"/>
    <w:rsid w:val="00015EAD"/>
    <w:rsid w:val="00016197"/>
    <w:rsid w:val="00016516"/>
    <w:rsid w:val="000167D6"/>
    <w:rsid w:val="00016837"/>
    <w:rsid w:val="0001687F"/>
    <w:rsid w:val="00016946"/>
    <w:rsid w:val="00016B0E"/>
    <w:rsid w:val="00016F2F"/>
    <w:rsid w:val="00017174"/>
    <w:rsid w:val="0001740C"/>
    <w:rsid w:val="000201BE"/>
    <w:rsid w:val="000202FD"/>
    <w:rsid w:val="0002082B"/>
    <w:rsid w:val="0002088C"/>
    <w:rsid w:val="000208B0"/>
    <w:rsid w:val="00020B66"/>
    <w:rsid w:val="00020DE5"/>
    <w:rsid w:val="0002119F"/>
    <w:rsid w:val="00021256"/>
    <w:rsid w:val="00021357"/>
    <w:rsid w:val="0002164A"/>
    <w:rsid w:val="00021C62"/>
    <w:rsid w:val="00021ED4"/>
    <w:rsid w:val="00021F05"/>
    <w:rsid w:val="0002212F"/>
    <w:rsid w:val="00022410"/>
    <w:rsid w:val="0002272F"/>
    <w:rsid w:val="00022863"/>
    <w:rsid w:val="00022B27"/>
    <w:rsid w:val="00022C55"/>
    <w:rsid w:val="00022CDD"/>
    <w:rsid w:val="00022D30"/>
    <w:rsid w:val="00023491"/>
    <w:rsid w:val="000237FA"/>
    <w:rsid w:val="00023954"/>
    <w:rsid w:val="00023CD2"/>
    <w:rsid w:val="00023D88"/>
    <w:rsid w:val="00023DAD"/>
    <w:rsid w:val="00023E57"/>
    <w:rsid w:val="00023F31"/>
    <w:rsid w:val="000243B7"/>
    <w:rsid w:val="0002441F"/>
    <w:rsid w:val="000247DA"/>
    <w:rsid w:val="0002492C"/>
    <w:rsid w:val="00024AF3"/>
    <w:rsid w:val="00024B30"/>
    <w:rsid w:val="00024B99"/>
    <w:rsid w:val="00024D06"/>
    <w:rsid w:val="00025025"/>
    <w:rsid w:val="000250C7"/>
    <w:rsid w:val="00025798"/>
    <w:rsid w:val="00025AFB"/>
    <w:rsid w:val="00025BCC"/>
    <w:rsid w:val="00025EA8"/>
    <w:rsid w:val="00025EDE"/>
    <w:rsid w:val="00026191"/>
    <w:rsid w:val="000265E3"/>
    <w:rsid w:val="000268C3"/>
    <w:rsid w:val="00026B66"/>
    <w:rsid w:val="00026B77"/>
    <w:rsid w:val="00026B7E"/>
    <w:rsid w:val="00027282"/>
    <w:rsid w:val="000273BE"/>
    <w:rsid w:val="0002764B"/>
    <w:rsid w:val="00027AF0"/>
    <w:rsid w:val="00027BC4"/>
    <w:rsid w:val="0003010B"/>
    <w:rsid w:val="000301A0"/>
    <w:rsid w:val="0003046A"/>
    <w:rsid w:val="00030AD9"/>
    <w:rsid w:val="00030C57"/>
    <w:rsid w:val="00030D23"/>
    <w:rsid w:val="00030D8F"/>
    <w:rsid w:val="0003102D"/>
    <w:rsid w:val="00031261"/>
    <w:rsid w:val="0003127A"/>
    <w:rsid w:val="00031565"/>
    <w:rsid w:val="00031639"/>
    <w:rsid w:val="000316E3"/>
    <w:rsid w:val="000318CD"/>
    <w:rsid w:val="00031B9C"/>
    <w:rsid w:val="00031C28"/>
    <w:rsid w:val="00031D75"/>
    <w:rsid w:val="00031E16"/>
    <w:rsid w:val="000320AA"/>
    <w:rsid w:val="0003241D"/>
    <w:rsid w:val="0003262B"/>
    <w:rsid w:val="00032748"/>
    <w:rsid w:val="00032A2B"/>
    <w:rsid w:val="00032C9F"/>
    <w:rsid w:val="00032CC5"/>
    <w:rsid w:val="00032D81"/>
    <w:rsid w:val="00032DE0"/>
    <w:rsid w:val="00032EAB"/>
    <w:rsid w:val="00033069"/>
    <w:rsid w:val="000330FF"/>
    <w:rsid w:val="00033552"/>
    <w:rsid w:val="00033849"/>
    <w:rsid w:val="00033A35"/>
    <w:rsid w:val="00033BC8"/>
    <w:rsid w:val="00033C34"/>
    <w:rsid w:val="00033C79"/>
    <w:rsid w:val="00033ED2"/>
    <w:rsid w:val="00033FC6"/>
    <w:rsid w:val="000349E1"/>
    <w:rsid w:val="00034BF9"/>
    <w:rsid w:val="0003527F"/>
    <w:rsid w:val="0003549E"/>
    <w:rsid w:val="00035637"/>
    <w:rsid w:val="000356C9"/>
    <w:rsid w:val="00035B6F"/>
    <w:rsid w:val="00035FF4"/>
    <w:rsid w:val="00036120"/>
    <w:rsid w:val="00036265"/>
    <w:rsid w:val="000362BE"/>
    <w:rsid w:val="000363D2"/>
    <w:rsid w:val="00036603"/>
    <w:rsid w:val="000368E4"/>
    <w:rsid w:val="00036A26"/>
    <w:rsid w:val="00036ABD"/>
    <w:rsid w:val="00036F86"/>
    <w:rsid w:val="00037267"/>
    <w:rsid w:val="00037414"/>
    <w:rsid w:val="0003774D"/>
    <w:rsid w:val="0003786C"/>
    <w:rsid w:val="00037C78"/>
    <w:rsid w:val="00037F95"/>
    <w:rsid w:val="0004005A"/>
    <w:rsid w:val="000402DA"/>
    <w:rsid w:val="000405A6"/>
    <w:rsid w:val="00040778"/>
    <w:rsid w:val="00041043"/>
    <w:rsid w:val="00041356"/>
    <w:rsid w:val="00041FDC"/>
    <w:rsid w:val="00042126"/>
    <w:rsid w:val="000426E0"/>
    <w:rsid w:val="00042B1D"/>
    <w:rsid w:val="000432A6"/>
    <w:rsid w:val="00043349"/>
    <w:rsid w:val="000434EB"/>
    <w:rsid w:val="00043646"/>
    <w:rsid w:val="0004384C"/>
    <w:rsid w:val="00043B4A"/>
    <w:rsid w:val="00043BBD"/>
    <w:rsid w:val="00043D9C"/>
    <w:rsid w:val="00043DD9"/>
    <w:rsid w:val="0004407E"/>
    <w:rsid w:val="0004427C"/>
    <w:rsid w:val="00044782"/>
    <w:rsid w:val="00044C61"/>
    <w:rsid w:val="00044DF1"/>
    <w:rsid w:val="00045064"/>
    <w:rsid w:val="000451D4"/>
    <w:rsid w:val="0004546C"/>
    <w:rsid w:val="00045FAB"/>
    <w:rsid w:val="000465B8"/>
    <w:rsid w:val="00046B51"/>
    <w:rsid w:val="00046D82"/>
    <w:rsid w:val="00046F92"/>
    <w:rsid w:val="000472AC"/>
    <w:rsid w:val="0004738B"/>
    <w:rsid w:val="00047416"/>
    <w:rsid w:val="000478A7"/>
    <w:rsid w:val="000478CA"/>
    <w:rsid w:val="00047A7C"/>
    <w:rsid w:val="00047B45"/>
    <w:rsid w:val="00047CEF"/>
    <w:rsid w:val="00047F51"/>
    <w:rsid w:val="000503FE"/>
    <w:rsid w:val="0005041C"/>
    <w:rsid w:val="00050554"/>
    <w:rsid w:val="000507A3"/>
    <w:rsid w:val="00050A51"/>
    <w:rsid w:val="00050ED6"/>
    <w:rsid w:val="00050F15"/>
    <w:rsid w:val="00051079"/>
    <w:rsid w:val="0005107B"/>
    <w:rsid w:val="0005116B"/>
    <w:rsid w:val="00051268"/>
    <w:rsid w:val="000512CC"/>
    <w:rsid w:val="00051587"/>
    <w:rsid w:val="00052091"/>
    <w:rsid w:val="000520F2"/>
    <w:rsid w:val="000521C7"/>
    <w:rsid w:val="0005248B"/>
    <w:rsid w:val="0005264C"/>
    <w:rsid w:val="0005284F"/>
    <w:rsid w:val="0005290D"/>
    <w:rsid w:val="00052D03"/>
    <w:rsid w:val="00052DDD"/>
    <w:rsid w:val="00052DED"/>
    <w:rsid w:val="00052F4C"/>
    <w:rsid w:val="0005306E"/>
    <w:rsid w:val="000531D7"/>
    <w:rsid w:val="00053668"/>
    <w:rsid w:val="00053820"/>
    <w:rsid w:val="000539DD"/>
    <w:rsid w:val="00053CAD"/>
    <w:rsid w:val="00053D2E"/>
    <w:rsid w:val="000540DD"/>
    <w:rsid w:val="00054223"/>
    <w:rsid w:val="00054293"/>
    <w:rsid w:val="000548F7"/>
    <w:rsid w:val="00054D7F"/>
    <w:rsid w:val="00055370"/>
    <w:rsid w:val="0005551C"/>
    <w:rsid w:val="0005560C"/>
    <w:rsid w:val="00055BFC"/>
    <w:rsid w:val="00055D4A"/>
    <w:rsid w:val="00055EC6"/>
    <w:rsid w:val="00055F26"/>
    <w:rsid w:val="0005608A"/>
    <w:rsid w:val="0005610C"/>
    <w:rsid w:val="000562E7"/>
    <w:rsid w:val="000565CE"/>
    <w:rsid w:val="00056747"/>
    <w:rsid w:val="00056A23"/>
    <w:rsid w:val="00056E82"/>
    <w:rsid w:val="0005702F"/>
    <w:rsid w:val="0005714D"/>
    <w:rsid w:val="000575DA"/>
    <w:rsid w:val="000578A3"/>
    <w:rsid w:val="00057DD9"/>
    <w:rsid w:val="000602FA"/>
    <w:rsid w:val="00060978"/>
    <w:rsid w:val="000609A4"/>
    <w:rsid w:val="00060B3A"/>
    <w:rsid w:val="0006104E"/>
    <w:rsid w:val="0006109C"/>
    <w:rsid w:val="00061196"/>
    <w:rsid w:val="000615A2"/>
    <w:rsid w:val="00061702"/>
    <w:rsid w:val="000618B9"/>
    <w:rsid w:val="0006190D"/>
    <w:rsid w:val="0006194D"/>
    <w:rsid w:val="000619AF"/>
    <w:rsid w:val="00061AC7"/>
    <w:rsid w:val="00061B53"/>
    <w:rsid w:val="00061DD4"/>
    <w:rsid w:val="00061F95"/>
    <w:rsid w:val="00061FDB"/>
    <w:rsid w:val="0006217C"/>
    <w:rsid w:val="00062284"/>
    <w:rsid w:val="000622DE"/>
    <w:rsid w:val="00062317"/>
    <w:rsid w:val="00062957"/>
    <w:rsid w:val="00062A88"/>
    <w:rsid w:val="000630E0"/>
    <w:rsid w:val="0006321E"/>
    <w:rsid w:val="0006345E"/>
    <w:rsid w:val="000635B6"/>
    <w:rsid w:val="00063F21"/>
    <w:rsid w:val="000643AC"/>
    <w:rsid w:val="00064514"/>
    <w:rsid w:val="00064585"/>
    <w:rsid w:val="00064736"/>
    <w:rsid w:val="00064760"/>
    <w:rsid w:val="000648D8"/>
    <w:rsid w:val="00064F56"/>
    <w:rsid w:val="000651D5"/>
    <w:rsid w:val="00065378"/>
    <w:rsid w:val="000653E8"/>
    <w:rsid w:val="000655D5"/>
    <w:rsid w:val="000659C0"/>
    <w:rsid w:val="00065AEE"/>
    <w:rsid w:val="00065C4B"/>
    <w:rsid w:val="000660CF"/>
    <w:rsid w:val="0006637C"/>
    <w:rsid w:val="00066396"/>
    <w:rsid w:val="00066651"/>
    <w:rsid w:val="000669A5"/>
    <w:rsid w:val="00066CE4"/>
    <w:rsid w:val="00067296"/>
    <w:rsid w:val="00067847"/>
    <w:rsid w:val="00067B73"/>
    <w:rsid w:val="00067C44"/>
    <w:rsid w:val="00067E53"/>
    <w:rsid w:val="00070124"/>
    <w:rsid w:val="0007029D"/>
    <w:rsid w:val="000708DC"/>
    <w:rsid w:val="00070C15"/>
    <w:rsid w:val="00070DDE"/>
    <w:rsid w:val="00070E4C"/>
    <w:rsid w:val="000710CC"/>
    <w:rsid w:val="00071107"/>
    <w:rsid w:val="000711CD"/>
    <w:rsid w:val="000711FF"/>
    <w:rsid w:val="000712E0"/>
    <w:rsid w:val="00071612"/>
    <w:rsid w:val="00071A76"/>
    <w:rsid w:val="00071D73"/>
    <w:rsid w:val="00071D97"/>
    <w:rsid w:val="00072412"/>
    <w:rsid w:val="000724D3"/>
    <w:rsid w:val="00072943"/>
    <w:rsid w:val="00072997"/>
    <w:rsid w:val="00072CC7"/>
    <w:rsid w:val="00072E4F"/>
    <w:rsid w:val="00073051"/>
    <w:rsid w:val="000730E7"/>
    <w:rsid w:val="0007313E"/>
    <w:rsid w:val="0007318C"/>
    <w:rsid w:val="000733DD"/>
    <w:rsid w:val="00073AC3"/>
    <w:rsid w:val="00073D8B"/>
    <w:rsid w:val="00074047"/>
    <w:rsid w:val="000749FF"/>
    <w:rsid w:val="00075007"/>
    <w:rsid w:val="0007536C"/>
    <w:rsid w:val="0007595D"/>
    <w:rsid w:val="00075CD0"/>
    <w:rsid w:val="000760FF"/>
    <w:rsid w:val="00076864"/>
    <w:rsid w:val="00076A1A"/>
    <w:rsid w:val="00076A92"/>
    <w:rsid w:val="00076B17"/>
    <w:rsid w:val="00076D19"/>
    <w:rsid w:val="00077124"/>
    <w:rsid w:val="00077316"/>
    <w:rsid w:val="00077356"/>
    <w:rsid w:val="00077521"/>
    <w:rsid w:val="0007768E"/>
    <w:rsid w:val="0007798E"/>
    <w:rsid w:val="00077A66"/>
    <w:rsid w:val="00077CE9"/>
    <w:rsid w:val="00077EAC"/>
    <w:rsid w:val="0008031D"/>
    <w:rsid w:val="00080EB8"/>
    <w:rsid w:val="00081689"/>
    <w:rsid w:val="00081862"/>
    <w:rsid w:val="00081AD8"/>
    <w:rsid w:val="00081BDA"/>
    <w:rsid w:val="00082157"/>
    <w:rsid w:val="000821E1"/>
    <w:rsid w:val="0008221E"/>
    <w:rsid w:val="00082390"/>
    <w:rsid w:val="00082459"/>
    <w:rsid w:val="00082910"/>
    <w:rsid w:val="00082A16"/>
    <w:rsid w:val="00082BDA"/>
    <w:rsid w:val="00082D99"/>
    <w:rsid w:val="00083033"/>
    <w:rsid w:val="00083100"/>
    <w:rsid w:val="0008331F"/>
    <w:rsid w:val="0008383D"/>
    <w:rsid w:val="00083946"/>
    <w:rsid w:val="00083998"/>
    <w:rsid w:val="00083A06"/>
    <w:rsid w:val="00083D2A"/>
    <w:rsid w:val="00083D71"/>
    <w:rsid w:val="00083EC6"/>
    <w:rsid w:val="000841DF"/>
    <w:rsid w:val="0008421A"/>
    <w:rsid w:val="000842C6"/>
    <w:rsid w:val="0008446E"/>
    <w:rsid w:val="000845B6"/>
    <w:rsid w:val="000845BF"/>
    <w:rsid w:val="00084674"/>
    <w:rsid w:val="0008469C"/>
    <w:rsid w:val="00084858"/>
    <w:rsid w:val="00084E0F"/>
    <w:rsid w:val="00084EE9"/>
    <w:rsid w:val="000851DB"/>
    <w:rsid w:val="00085343"/>
    <w:rsid w:val="000853FB"/>
    <w:rsid w:val="00085415"/>
    <w:rsid w:val="00085573"/>
    <w:rsid w:val="0008557E"/>
    <w:rsid w:val="000856D3"/>
    <w:rsid w:val="00085BE4"/>
    <w:rsid w:val="00085CAD"/>
    <w:rsid w:val="00085EB3"/>
    <w:rsid w:val="00085ECE"/>
    <w:rsid w:val="00086041"/>
    <w:rsid w:val="000866B6"/>
    <w:rsid w:val="000870C4"/>
    <w:rsid w:val="00087265"/>
    <w:rsid w:val="0008727E"/>
    <w:rsid w:val="0008768D"/>
    <w:rsid w:val="0008777C"/>
    <w:rsid w:val="000877DB"/>
    <w:rsid w:val="0008788D"/>
    <w:rsid w:val="00087942"/>
    <w:rsid w:val="00087A16"/>
    <w:rsid w:val="00087D00"/>
    <w:rsid w:val="00087DD2"/>
    <w:rsid w:val="0009001D"/>
    <w:rsid w:val="00090639"/>
    <w:rsid w:val="000908E5"/>
    <w:rsid w:val="00090AB4"/>
    <w:rsid w:val="00090B92"/>
    <w:rsid w:val="00090D51"/>
    <w:rsid w:val="00090E78"/>
    <w:rsid w:val="0009113C"/>
    <w:rsid w:val="000912A8"/>
    <w:rsid w:val="00091444"/>
    <w:rsid w:val="0009196A"/>
    <w:rsid w:val="000919DB"/>
    <w:rsid w:val="00091A2E"/>
    <w:rsid w:val="00092155"/>
    <w:rsid w:val="000922DF"/>
    <w:rsid w:val="000923D8"/>
    <w:rsid w:val="00092411"/>
    <w:rsid w:val="0009247B"/>
    <w:rsid w:val="000926BE"/>
    <w:rsid w:val="00092B75"/>
    <w:rsid w:val="00092DAB"/>
    <w:rsid w:val="00092FDF"/>
    <w:rsid w:val="00093005"/>
    <w:rsid w:val="0009377D"/>
    <w:rsid w:val="0009422F"/>
    <w:rsid w:val="00094ACA"/>
    <w:rsid w:val="00094B76"/>
    <w:rsid w:val="00094C21"/>
    <w:rsid w:val="00094F0C"/>
    <w:rsid w:val="00095234"/>
    <w:rsid w:val="000953F9"/>
    <w:rsid w:val="00095B90"/>
    <w:rsid w:val="00095C16"/>
    <w:rsid w:val="00095D32"/>
    <w:rsid w:val="00095FF0"/>
    <w:rsid w:val="000967F7"/>
    <w:rsid w:val="00096970"/>
    <w:rsid w:val="00096978"/>
    <w:rsid w:val="00096BC3"/>
    <w:rsid w:val="00096BFB"/>
    <w:rsid w:val="00096E3A"/>
    <w:rsid w:val="00096EAE"/>
    <w:rsid w:val="00096EE8"/>
    <w:rsid w:val="00097646"/>
    <w:rsid w:val="000976B0"/>
    <w:rsid w:val="00097779"/>
    <w:rsid w:val="00097F22"/>
    <w:rsid w:val="000A02F4"/>
    <w:rsid w:val="000A0462"/>
    <w:rsid w:val="000A0560"/>
    <w:rsid w:val="000A0602"/>
    <w:rsid w:val="000A07BD"/>
    <w:rsid w:val="000A0AEA"/>
    <w:rsid w:val="000A0BDA"/>
    <w:rsid w:val="000A0EDD"/>
    <w:rsid w:val="000A110E"/>
    <w:rsid w:val="000A123C"/>
    <w:rsid w:val="000A1603"/>
    <w:rsid w:val="000A16F3"/>
    <w:rsid w:val="000A1816"/>
    <w:rsid w:val="000A1862"/>
    <w:rsid w:val="000A194F"/>
    <w:rsid w:val="000A1A66"/>
    <w:rsid w:val="000A1AA6"/>
    <w:rsid w:val="000A1B66"/>
    <w:rsid w:val="000A1BFF"/>
    <w:rsid w:val="000A1EAA"/>
    <w:rsid w:val="000A1F11"/>
    <w:rsid w:val="000A1F60"/>
    <w:rsid w:val="000A22CE"/>
    <w:rsid w:val="000A260E"/>
    <w:rsid w:val="000A289B"/>
    <w:rsid w:val="000A297E"/>
    <w:rsid w:val="000A2A49"/>
    <w:rsid w:val="000A2C91"/>
    <w:rsid w:val="000A32CE"/>
    <w:rsid w:val="000A3460"/>
    <w:rsid w:val="000A34E2"/>
    <w:rsid w:val="000A3AC6"/>
    <w:rsid w:val="000A3B0A"/>
    <w:rsid w:val="000A42A9"/>
    <w:rsid w:val="000A4AFF"/>
    <w:rsid w:val="000A4D00"/>
    <w:rsid w:val="000A4DE7"/>
    <w:rsid w:val="000A4EC4"/>
    <w:rsid w:val="000A50A2"/>
    <w:rsid w:val="000A5123"/>
    <w:rsid w:val="000A597C"/>
    <w:rsid w:val="000A5AA8"/>
    <w:rsid w:val="000A5B63"/>
    <w:rsid w:val="000A5CB6"/>
    <w:rsid w:val="000A61E3"/>
    <w:rsid w:val="000A6250"/>
    <w:rsid w:val="000A62C1"/>
    <w:rsid w:val="000A671A"/>
    <w:rsid w:val="000A674F"/>
    <w:rsid w:val="000A6C7D"/>
    <w:rsid w:val="000A6DCE"/>
    <w:rsid w:val="000A729C"/>
    <w:rsid w:val="000A7401"/>
    <w:rsid w:val="000A742C"/>
    <w:rsid w:val="000A746A"/>
    <w:rsid w:val="000A7611"/>
    <w:rsid w:val="000A76CD"/>
    <w:rsid w:val="000A778C"/>
    <w:rsid w:val="000A781D"/>
    <w:rsid w:val="000A79D0"/>
    <w:rsid w:val="000A7A28"/>
    <w:rsid w:val="000A7C97"/>
    <w:rsid w:val="000A7C99"/>
    <w:rsid w:val="000B007B"/>
    <w:rsid w:val="000B038D"/>
    <w:rsid w:val="000B058F"/>
    <w:rsid w:val="000B06E0"/>
    <w:rsid w:val="000B07DB"/>
    <w:rsid w:val="000B0E82"/>
    <w:rsid w:val="000B0E95"/>
    <w:rsid w:val="000B1263"/>
    <w:rsid w:val="000B1268"/>
    <w:rsid w:val="000B14F0"/>
    <w:rsid w:val="000B1724"/>
    <w:rsid w:val="000B1869"/>
    <w:rsid w:val="000B191B"/>
    <w:rsid w:val="000B1928"/>
    <w:rsid w:val="000B1C26"/>
    <w:rsid w:val="000B1CDF"/>
    <w:rsid w:val="000B2059"/>
    <w:rsid w:val="000B2210"/>
    <w:rsid w:val="000B2292"/>
    <w:rsid w:val="000B26E5"/>
    <w:rsid w:val="000B26FC"/>
    <w:rsid w:val="000B2A37"/>
    <w:rsid w:val="000B2ACA"/>
    <w:rsid w:val="000B32EA"/>
    <w:rsid w:val="000B34A8"/>
    <w:rsid w:val="000B3BC9"/>
    <w:rsid w:val="000B4117"/>
    <w:rsid w:val="000B428E"/>
    <w:rsid w:val="000B440D"/>
    <w:rsid w:val="000B4601"/>
    <w:rsid w:val="000B483C"/>
    <w:rsid w:val="000B48CA"/>
    <w:rsid w:val="000B4BA3"/>
    <w:rsid w:val="000B4CFE"/>
    <w:rsid w:val="000B4D65"/>
    <w:rsid w:val="000B4EC2"/>
    <w:rsid w:val="000B53F1"/>
    <w:rsid w:val="000B5B2E"/>
    <w:rsid w:val="000B5C66"/>
    <w:rsid w:val="000B609E"/>
    <w:rsid w:val="000B610A"/>
    <w:rsid w:val="000B61FE"/>
    <w:rsid w:val="000B6400"/>
    <w:rsid w:val="000B663E"/>
    <w:rsid w:val="000B6792"/>
    <w:rsid w:val="000B692F"/>
    <w:rsid w:val="000B6A55"/>
    <w:rsid w:val="000B6B71"/>
    <w:rsid w:val="000B6CF7"/>
    <w:rsid w:val="000B749E"/>
    <w:rsid w:val="000B74FD"/>
    <w:rsid w:val="000B7AB5"/>
    <w:rsid w:val="000B7BF4"/>
    <w:rsid w:val="000B7C4A"/>
    <w:rsid w:val="000C05F8"/>
    <w:rsid w:val="000C0CDC"/>
    <w:rsid w:val="000C0D85"/>
    <w:rsid w:val="000C0D8A"/>
    <w:rsid w:val="000C0DA1"/>
    <w:rsid w:val="000C0ECD"/>
    <w:rsid w:val="000C1485"/>
    <w:rsid w:val="000C15CA"/>
    <w:rsid w:val="000C1611"/>
    <w:rsid w:val="000C1807"/>
    <w:rsid w:val="000C1E1F"/>
    <w:rsid w:val="000C1F1C"/>
    <w:rsid w:val="000C1F88"/>
    <w:rsid w:val="000C2713"/>
    <w:rsid w:val="000C2A70"/>
    <w:rsid w:val="000C2F96"/>
    <w:rsid w:val="000C2F9B"/>
    <w:rsid w:val="000C3386"/>
    <w:rsid w:val="000C343A"/>
    <w:rsid w:val="000C38C9"/>
    <w:rsid w:val="000C3B0A"/>
    <w:rsid w:val="000C3BE8"/>
    <w:rsid w:val="000C3DED"/>
    <w:rsid w:val="000C3E3B"/>
    <w:rsid w:val="000C4014"/>
    <w:rsid w:val="000C414C"/>
    <w:rsid w:val="000C4268"/>
    <w:rsid w:val="000C446E"/>
    <w:rsid w:val="000C449C"/>
    <w:rsid w:val="000C501E"/>
    <w:rsid w:val="000C5115"/>
    <w:rsid w:val="000C5354"/>
    <w:rsid w:val="000C54A2"/>
    <w:rsid w:val="000C5700"/>
    <w:rsid w:val="000C57CC"/>
    <w:rsid w:val="000C5802"/>
    <w:rsid w:val="000C5842"/>
    <w:rsid w:val="000C59B8"/>
    <w:rsid w:val="000C5C44"/>
    <w:rsid w:val="000C5D90"/>
    <w:rsid w:val="000C5FB9"/>
    <w:rsid w:val="000C6981"/>
    <w:rsid w:val="000C6A22"/>
    <w:rsid w:val="000C6AD7"/>
    <w:rsid w:val="000C6DA8"/>
    <w:rsid w:val="000C7711"/>
    <w:rsid w:val="000C7C73"/>
    <w:rsid w:val="000D0125"/>
    <w:rsid w:val="000D01A4"/>
    <w:rsid w:val="000D0220"/>
    <w:rsid w:val="000D02BB"/>
    <w:rsid w:val="000D0476"/>
    <w:rsid w:val="000D0A6B"/>
    <w:rsid w:val="000D12DD"/>
    <w:rsid w:val="000D16BA"/>
    <w:rsid w:val="000D1B62"/>
    <w:rsid w:val="000D1D98"/>
    <w:rsid w:val="000D1DBA"/>
    <w:rsid w:val="000D1EE0"/>
    <w:rsid w:val="000D1FE5"/>
    <w:rsid w:val="000D1FEB"/>
    <w:rsid w:val="000D2CBD"/>
    <w:rsid w:val="000D33C2"/>
    <w:rsid w:val="000D34AB"/>
    <w:rsid w:val="000D34D2"/>
    <w:rsid w:val="000D3626"/>
    <w:rsid w:val="000D36A8"/>
    <w:rsid w:val="000D39F2"/>
    <w:rsid w:val="000D3A27"/>
    <w:rsid w:val="000D3A71"/>
    <w:rsid w:val="000D3D35"/>
    <w:rsid w:val="000D3EC0"/>
    <w:rsid w:val="000D4166"/>
    <w:rsid w:val="000D4424"/>
    <w:rsid w:val="000D4439"/>
    <w:rsid w:val="000D4608"/>
    <w:rsid w:val="000D46B5"/>
    <w:rsid w:val="000D488A"/>
    <w:rsid w:val="000D4930"/>
    <w:rsid w:val="000D499D"/>
    <w:rsid w:val="000D4EAF"/>
    <w:rsid w:val="000D54EC"/>
    <w:rsid w:val="000D55AE"/>
    <w:rsid w:val="000D59BD"/>
    <w:rsid w:val="000D5B72"/>
    <w:rsid w:val="000D5DFD"/>
    <w:rsid w:val="000D62CB"/>
    <w:rsid w:val="000D6358"/>
    <w:rsid w:val="000D6841"/>
    <w:rsid w:val="000D68B2"/>
    <w:rsid w:val="000D69E1"/>
    <w:rsid w:val="000D69F5"/>
    <w:rsid w:val="000D6D39"/>
    <w:rsid w:val="000D6E36"/>
    <w:rsid w:val="000D6E63"/>
    <w:rsid w:val="000D7024"/>
    <w:rsid w:val="000D70A7"/>
    <w:rsid w:val="000D70F7"/>
    <w:rsid w:val="000D7450"/>
    <w:rsid w:val="000D76F4"/>
    <w:rsid w:val="000D7945"/>
    <w:rsid w:val="000D7AE2"/>
    <w:rsid w:val="000D7BF3"/>
    <w:rsid w:val="000D7D51"/>
    <w:rsid w:val="000D7EEA"/>
    <w:rsid w:val="000E00D0"/>
    <w:rsid w:val="000E0871"/>
    <w:rsid w:val="000E0884"/>
    <w:rsid w:val="000E08D1"/>
    <w:rsid w:val="000E0CB2"/>
    <w:rsid w:val="000E0EC3"/>
    <w:rsid w:val="000E1322"/>
    <w:rsid w:val="000E1674"/>
    <w:rsid w:val="000E1AE4"/>
    <w:rsid w:val="000E1FB8"/>
    <w:rsid w:val="000E20B0"/>
    <w:rsid w:val="000E219D"/>
    <w:rsid w:val="000E2387"/>
    <w:rsid w:val="000E2538"/>
    <w:rsid w:val="000E25FB"/>
    <w:rsid w:val="000E2710"/>
    <w:rsid w:val="000E2999"/>
    <w:rsid w:val="000E29D6"/>
    <w:rsid w:val="000E2C26"/>
    <w:rsid w:val="000E2CB7"/>
    <w:rsid w:val="000E35C2"/>
    <w:rsid w:val="000E38FB"/>
    <w:rsid w:val="000E3C4D"/>
    <w:rsid w:val="000E3C90"/>
    <w:rsid w:val="000E4100"/>
    <w:rsid w:val="000E4534"/>
    <w:rsid w:val="000E4A9A"/>
    <w:rsid w:val="000E4C1B"/>
    <w:rsid w:val="000E4DED"/>
    <w:rsid w:val="000E4F76"/>
    <w:rsid w:val="000E5023"/>
    <w:rsid w:val="000E554D"/>
    <w:rsid w:val="000E5660"/>
    <w:rsid w:val="000E5E0E"/>
    <w:rsid w:val="000E5EEF"/>
    <w:rsid w:val="000E5EF4"/>
    <w:rsid w:val="000E609B"/>
    <w:rsid w:val="000E622F"/>
    <w:rsid w:val="000E623B"/>
    <w:rsid w:val="000E6321"/>
    <w:rsid w:val="000E64E4"/>
    <w:rsid w:val="000E6ACB"/>
    <w:rsid w:val="000E6E37"/>
    <w:rsid w:val="000E6F0C"/>
    <w:rsid w:val="000E71D7"/>
    <w:rsid w:val="000E7812"/>
    <w:rsid w:val="000E799A"/>
    <w:rsid w:val="000E7CCE"/>
    <w:rsid w:val="000F0032"/>
    <w:rsid w:val="000F07D0"/>
    <w:rsid w:val="000F08FE"/>
    <w:rsid w:val="000F09B7"/>
    <w:rsid w:val="000F0A0E"/>
    <w:rsid w:val="000F0AE6"/>
    <w:rsid w:val="000F100A"/>
    <w:rsid w:val="000F1265"/>
    <w:rsid w:val="000F1377"/>
    <w:rsid w:val="000F173D"/>
    <w:rsid w:val="000F199E"/>
    <w:rsid w:val="000F1BA1"/>
    <w:rsid w:val="000F1C45"/>
    <w:rsid w:val="000F20F1"/>
    <w:rsid w:val="000F223C"/>
    <w:rsid w:val="000F22C8"/>
    <w:rsid w:val="000F2474"/>
    <w:rsid w:val="000F249E"/>
    <w:rsid w:val="000F27EF"/>
    <w:rsid w:val="000F299F"/>
    <w:rsid w:val="000F2AE1"/>
    <w:rsid w:val="000F2C27"/>
    <w:rsid w:val="000F2CAD"/>
    <w:rsid w:val="000F31EC"/>
    <w:rsid w:val="000F3217"/>
    <w:rsid w:val="000F36C6"/>
    <w:rsid w:val="000F3A76"/>
    <w:rsid w:val="000F3ED0"/>
    <w:rsid w:val="000F423D"/>
    <w:rsid w:val="000F4558"/>
    <w:rsid w:val="000F4833"/>
    <w:rsid w:val="000F50AA"/>
    <w:rsid w:val="000F5239"/>
    <w:rsid w:val="000F527A"/>
    <w:rsid w:val="000F52AC"/>
    <w:rsid w:val="000F55DB"/>
    <w:rsid w:val="000F5661"/>
    <w:rsid w:val="000F5BA1"/>
    <w:rsid w:val="000F5FAD"/>
    <w:rsid w:val="000F6031"/>
    <w:rsid w:val="000F6058"/>
    <w:rsid w:val="000F6243"/>
    <w:rsid w:val="000F63C6"/>
    <w:rsid w:val="000F6445"/>
    <w:rsid w:val="000F653F"/>
    <w:rsid w:val="000F6A40"/>
    <w:rsid w:val="000F6C66"/>
    <w:rsid w:val="000F6DB8"/>
    <w:rsid w:val="000F6F02"/>
    <w:rsid w:val="000F72F9"/>
    <w:rsid w:val="000F79BC"/>
    <w:rsid w:val="000F79EF"/>
    <w:rsid w:val="000F7D83"/>
    <w:rsid w:val="000F7EB3"/>
    <w:rsid w:val="001000BF"/>
    <w:rsid w:val="0010032B"/>
    <w:rsid w:val="001004DF"/>
    <w:rsid w:val="00100695"/>
    <w:rsid w:val="00100916"/>
    <w:rsid w:val="00100F3F"/>
    <w:rsid w:val="001013A4"/>
    <w:rsid w:val="0010149E"/>
    <w:rsid w:val="001014A3"/>
    <w:rsid w:val="001018E4"/>
    <w:rsid w:val="00101A25"/>
    <w:rsid w:val="00101C4D"/>
    <w:rsid w:val="00101D8D"/>
    <w:rsid w:val="00101DBE"/>
    <w:rsid w:val="00102087"/>
    <w:rsid w:val="001020D6"/>
    <w:rsid w:val="001020E1"/>
    <w:rsid w:val="0010214C"/>
    <w:rsid w:val="001022B5"/>
    <w:rsid w:val="0010248F"/>
    <w:rsid w:val="00102564"/>
    <w:rsid w:val="00102691"/>
    <w:rsid w:val="001027B0"/>
    <w:rsid w:val="00102801"/>
    <w:rsid w:val="00102A50"/>
    <w:rsid w:val="00102B84"/>
    <w:rsid w:val="00102CC1"/>
    <w:rsid w:val="00102CE6"/>
    <w:rsid w:val="00102FD2"/>
    <w:rsid w:val="00102FFF"/>
    <w:rsid w:val="00103241"/>
    <w:rsid w:val="00103300"/>
    <w:rsid w:val="00103994"/>
    <w:rsid w:val="00103EE8"/>
    <w:rsid w:val="00104285"/>
    <w:rsid w:val="00104485"/>
    <w:rsid w:val="00104B82"/>
    <w:rsid w:val="00104BCE"/>
    <w:rsid w:val="00104C34"/>
    <w:rsid w:val="00104C70"/>
    <w:rsid w:val="00104D33"/>
    <w:rsid w:val="00104D70"/>
    <w:rsid w:val="00104EBF"/>
    <w:rsid w:val="0010539E"/>
    <w:rsid w:val="001054BB"/>
    <w:rsid w:val="00105673"/>
    <w:rsid w:val="001057D5"/>
    <w:rsid w:val="00105855"/>
    <w:rsid w:val="0010587D"/>
    <w:rsid w:val="00105A14"/>
    <w:rsid w:val="00105F2B"/>
    <w:rsid w:val="001062C3"/>
    <w:rsid w:val="00106457"/>
    <w:rsid w:val="0010645D"/>
    <w:rsid w:val="001064FE"/>
    <w:rsid w:val="00106759"/>
    <w:rsid w:val="00106E5B"/>
    <w:rsid w:val="0010716D"/>
    <w:rsid w:val="001071C2"/>
    <w:rsid w:val="0010786F"/>
    <w:rsid w:val="00107A50"/>
    <w:rsid w:val="00107B9F"/>
    <w:rsid w:val="00107F27"/>
    <w:rsid w:val="00107F45"/>
    <w:rsid w:val="00110418"/>
    <w:rsid w:val="0011069C"/>
    <w:rsid w:val="00110719"/>
    <w:rsid w:val="00110A22"/>
    <w:rsid w:val="00110B53"/>
    <w:rsid w:val="00110C05"/>
    <w:rsid w:val="00110D42"/>
    <w:rsid w:val="001116F7"/>
    <w:rsid w:val="00111B57"/>
    <w:rsid w:val="00111CFD"/>
    <w:rsid w:val="00112078"/>
    <w:rsid w:val="001123B3"/>
    <w:rsid w:val="00112448"/>
    <w:rsid w:val="001125F9"/>
    <w:rsid w:val="0011291A"/>
    <w:rsid w:val="00112B2D"/>
    <w:rsid w:val="00113353"/>
    <w:rsid w:val="001133A1"/>
    <w:rsid w:val="0011367F"/>
    <w:rsid w:val="00113832"/>
    <w:rsid w:val="001138FF"/>
    <w:rsid w:val="00113B06"/>
    <w:rsid w:val="00113DAD"/>
    <w:rsid w:val="00113E98"/>
    <w:rsid w:val="00113F07"/>
    <w:rsid w:val="001140CD"/>
    <w:rsid w:val="00114377"/>
    <w:rsid w:val="00114479"/>
    <w:rsid w:val="00114839"/>
    <w:rsid w:val="00114861"/>
    <w:rsid w:val="00114949"/>
    <w:rsid w:val="00114B08"/>
    <w:rsid w:val="00114B5F"/>
    <w:rsid w:val="00114C52"/>
    <w:rsid w:val="00114DC2"/>
    <w:rsid w:val="001150E0"/>
    <w:rsid w:val="00115455"/>
    <w:rsid w:val="001156A7"/>
    <w:rsid w:val="001156F7"/>
    <w:rsid w:val="00115972"/>
    <w:rsid w:val="00115B23"/>
    <w:rsid w:val="00115E83"/>
    <w:rsid w:val="00116488"/>
    <w:rsid w:val="00116682"/>
    <w:rsid w:val="0011676E"/>
    <w:rsid w:val="001168A1"/>
    <w:rsid w:val="00116EC6"/>
    <w:rsid w:val="0011703B"/>
    <w:rsid w:val="0011706F"/>
    <w:rsid w:val="0011737E"/>
    <w:rsid w:val="00117459"/>
    <w:rsid w:val="0011762C"/>
    <w:rsid w:val="00117948"/>
    <w:rsid w:val="001205BB"/>
    <w:rsid w:val="001205E2"/>
    <w:rsid w:val="001207EB"/>
    <w:rsid w:val="001209B4"/>
    <w:rsid w:val="00120C75"/>
    <w:rsid w:val="00120FE1"/>
    <w:rsid w:val="001212A8"/>
    <w:rsid w:val="0012152A"/>
    <w:rsid w:val="00121B0E"/>
    <w:rsid w:val="00121E57"/>
    <w:rsid w:val="00121FBB"/>
    <w:rsid w:val="00122069"/>
    <w:rsid w:val="00122159"/>
    <w:rsid w:val="001221A2"/>
    <w:rsid w:val="001226A6"/>
    <w:rsid w:val="0012297A"/>
    <w:rsid w:val="00122A0B"/>
    <w:rsid w:val="001230A4"/>
    <w:rsid w:val="001230EE"/>
    <w:rsid w:val="0012353E"/>
    <w:rsid w:val="001236F3"/>
    <w:rsid w:val="00123AFE"/>
    <w:rsid w:val="00123BE5"/>
    <w:rsid w:val="00123D58"/>
    <w:rsid w:val="0012449C"/>
    <w:rsid w:val="00124C9C"/>
    <w:rsid w:val="00125237"/>
    <w:rsid w:val="001253D2"/>
    <w:rsid w:val="00125481"/>
    <w:rsid w:val="00125C99"/>
    <w:rsid w:val="00125F17"/>
    <w:rsid w:val="001260F1"/>
    <w:rsid w:val="001265CD"/>
    <w:rsid w:val="00126647"/>
    <w:rsid w:val="001266EF"/>
    <w:rsid w:val="00126969"/>
    <w:rsid w:val="00126AE7"/>
    <w:rsid w:val="00126BAA"/>
    <w:rsid w:val="00126BB5"/>
    <w:rsid w:val="00126BDC"/>
    <w:rsid w:val="00126DAD"/>
    <w:rsid w:val="001272F2"/>
    <w:rsid w:val="001273AC"/>
    <w:rsid w:val="0012742F"/>
    <w:rsid w:val="001275E5"/>
    <w:rsid w:val="00127619"/>
    <w:rsid w:val="0012766D"/>
    <w:rsid w:val="001278D5"/>
    <w:rsid w:val="00127A52"/>
    <w:rsid w:val="00127B02"/>
    <w:rsid w:val="00127EF7"/>
    <w:rsid w:val="00127FB3"/>
    <w:rsid w:val="001301B9"/>
    <w:rsid w:val="001303C5"/>
    <w:rsid w:val="00130483"/>
    <w:rsid w:val="0013072D"/>
    <w:rsid w:val="0013076F"/>
    <w:rsid w:val="001307A5"/>
    <w:rsid w:val="00130BE7"/>
    <w:rsid w:val="00130D5D"/>
    <w:rsid w:val="0013132C"/>
    <w:rsid w:val="00131931"/>
    <w:rsid w:val="001319BA"/>
    <w:rsid w:val="00131C22"/>
    <w:rsid w:val="0013209D"/>
    <w:rsid w:val="001321B9"/>
    <w:rsid w:val="0013223F"/>
    <w:rsid w:val="00132892"/>
    <w:rsid w:val="00132B7D"/>
    <w:rsid w:val="00132BD9"/>
    <w:rsid w:val="001330A4"/>
    <w:rsid w:val="0013321C"/>
    <w:rsid w:val="001337FA"/>
    <w:rsid w:val="00133B0C"/>
    <w:rsid w:val="00133BF3"/>
    <w:rsid w:val="00133CCB"/>
    <w:rsid w:val="00133DA8"/>
    <w:rsid w:val="00134302"/>
    <w:rsid w:val="0013452A"/>
    <w:rsid w:val="00134551"/>
    <w:rsid w:val="00134A6D"/>
    <w:rsid w:val="00134B40"/>
    <w:rsid w:val="00134C42"/>
    <w:rsid w:val="00134DA5"/>
    <w:rsid w:val="00135574"/>
    <w:rsid w:val="0013565E"/>
    <w:rsid w:val="0013567D"/>
    <w:rsid w:val="00135748"/>
    <w:rsid w:val="00135E9F"/>
    <w:rsid w:val="00135EBE"/>
    <w:rsid w:val="00135ECB"/>
    <w:rsid w:val="0013603F"/>
    <w:rsid w:val="0013616B"/>
    <w:rsid w:val="00136591"/>
    <w:rsid w:val="001369CC"/>
    <w:rsid w:val="00136CFA"/>
    <w:rsid w:val="00136EF0"/>
    <w:rsid w:val="00137033"/>
    <w:rsid w:val="00137093"/>
    <w:rsid w:val="0013712A"/>
    <w:rsid w:val="0013721C"/>
    <w:rsid w:val="00137296"/>
    <w:rsid w:val="001372AF"/>
    <w:rsid w:val="00137338"/>
    <w:rsid w:val="00137643"/>
    <w:rsid w:val="001377F5"/>
    <w:rsid w:val="00137B09"/>
    <w:rsid w:val="00137C91"/>
    <w:rsid w:val="00137EE0"/>
    <w:rsid w:val="0014005C"/>
    <w:rsid w:val="00140377"/>
    <w:rsid w:val="001405E5"/>
    <w:rsid w:val="001405FD"/>
    <w:rsid w:val="001406E1"/>
    <w:rsid w:val="0014080D"/>
    <w:rsid w:val="001408AA"/>
    <w:rsid w:val="001408B9"/>
    <w:rsid w:val="00140E6A"/>
    <w:rsid w:val="00140ECE"/>
    <w:rsid w:val="00140F4B"/>
    <w:rsid w:val="00141477"/>
    <w:rsid w:val="00141478"/>
    <w:rsid w:val="00141937"/>
    <w:rsid w:val="00141B2A"/>
    <w:rsid w:val="00141D0A"/>
    <w:rsid w:val="00141E3E"/>
    <w:rsid w:val="00141F7A"/>
    <w:rsid w:val="00142010"/>
    <w:rsid w:val="00142189"/>
    <w:rsid w:val="00142329"/>
    <w:rsid w:val="0014236E"/>
    <w:rsid w:val="00142429"/>
    <w:rsid w:val="00142604"/>
    <w:rsid w:val="00142808"/>
    <w:rsid w:val="001428D0"/>
    <w:rsid w:val="00142A3D"/>
    <w:rsid w:val="00142B0F"/>
    <w:rsid w:val="00142BB8"/>
    <w:rsid w:val="00142CFE"/>
    <w:rsid w:val="00142EDB"/>
    <w:rsid w:val="00143292"/>
    <w:rsid w:val="001432C1"/>
    <w:rsid w:val="001436FE"/>
    <w:rsid w:val="00143713"/>
    <w:rsid w:val="0014375A"/>
    <w:rsid w:val="00143885"/>
    <w:rsid w:val="00143ABF"/>
    <w:rsid w:val="00143D00"/>
    <w:rsid w:val="00143DEB"/>
    <w:rsid w:val="00143EED"/>
    <w:rsid w:val="00144056"/>
    <w:rsid w:val="00144214"/>
    <w:rsid w:val="001442E8"/>
    <w:rsid w:val="001447E9"/>
    <w:rsid w:val="00144A26"/>
    <w:rsid w:val="001450AF"/>
    <w:rsid w:val="001450BC"/>
    <w:rsid w:val="001451F6"/>
    <w:rsid w:val="001454AC"/>
    <w:rsid w:val="00145982"/>
    <w:rsid w:val="00145BC4"/>
    <w:rsid w:val="00145BF8"/>
    <w:rsid w:val="00145E03"/>
    <w:rsid w:val="00145F29"/>
    <w:rsid w:val="00146071"/>
    <w:rsid w:val="00146195"/>
    <w:rsid w:val="001464C1"/>
    <w:rsid w:val="001465B4"/>
    <w:rsid w:val="00146607"/>
    <w:rsid w:val="001467A4"/>
    <w:rsid w:val="001467CE"/>
    <w:rsid w:val="00146F44"/>
    <w:rsid w:val="00147043"/>
    <w:rsid w:val="001470E8"/>
    <w:rsid w:val="0014747F"/>
    <w:rsid w:val="00147767"/>
    <w:rsid w:val="001478AB"/>
    <w:rsid w:val="00147AA5"/>
    <w:rsid w:val="00147F84"/>
    <w:rsid w:val="0015034F"/>
    <w:rsid w:val="001503EC"/>
    <w:rsid w:val="0015059B"/>
    <w:rsid w:val="001506ED"/>
    <w:rsid w:val="00150738"/>
    <w:rsid w:val="0015125A"/>
    <w:rsid w:val="001513B6"/>
    <w:rsid w:val="00151436"/>
    <w:rsid w:val="0015185E"/>
    <w:rsid w:val="001519E0"/>
    <w:rsid w:val="00151D36"/>
    <w:rsid w:val="00151F92"/>
    <w:rsid w:val="00152212"/>
    <w:rsid w:val="001527E5"/>
    <w:rsid w:val="00152ACA"/>
    <w:rsid w:val="00152B37"/>
    <w:rsid w:val="00152CA8"/>
    <w:rsid w:val="00152D51"/>
    <w:rsid w:val="00153101"/>
    <w:rsid w:val="001533FB"/>
    <w:rsid w:val="001539D0"/>
    <w:rsid w:val="00153A27"/>
    <w:rsid w:val="00153A78"/>
    <w:rsid w:val="00153F61"/>
    <w:rsid w:val="001543E3"/>
    <w:rsid w:val="00154486"/>
    <w:rsid w:val="0015460A"/>
    <w:rsid w:val="0015473C"/>
    <w:rsid w:val="00154882"/>
    <w:rsid w:val="001548BB"/>
    <w:rsid w:val="001549F4"/>
    <w:rsid w:val="00154BCB"/>
    <w:rsid w:val="00154ECC"/>
    <w:rsid w:val="001550F5"/>
    <w:rsid w:val="00155ED5"/>
    <w:rsid w:val="00156496"/>
    <w:rsid w:val="0015649E"/>
    <w:rsid w:val="0015659C"/>
    <w:rsid w:val="00156B57"/>
    <w:rsid w:val="00156C92"/>
    <w:rsid w:val="00156D1C"/>
    <w:rsid w:val="00156F5B"/>
    <w:rsid w:val="001570C8"/>
    <w:rsid w:val="00157355"/>
    <w:rsid w:val="00157487"/>
    <w:rsid w:val="001575FA"/>
    <w:rsid w:val="001577CE"/>
    <w:rsid w:val="00157BA7"/>
    <w:rsid w:val="00157E63"/>
    <w:rsid w:val="00157E8D"/>
    <w:rsid w:val="001602CC"/>
    <w:rsid w:val="00160340"/>
    <w:rsid w:val="001603D5"/>
    <w:rsid w:val="001606A5"/>
    <w:rsid w:val="0016080E"/>
    <w:rsid w:val="001608F5"/>
    <w:rsid w:val="00160FE4"/>
    <w:rsid w:val="001615C0"/>
    <w:rsid w:val="001616A0"/>
    <w:rsid w:val="00161A83"/>
    <w:rsid w:val="00161BBC"/>
    <w:rsid w:val="001620D5"/>
    <w:rsid w:val="0016226C"/>
    <w:rsid w:val="00162702"/>
    <w:rsid w:val="00162834"/>
    <w:rsid w:val="00162AE1"/>
    <w:rsid w:val="00162EE4"/>
    <w:rsid w:val="0016330C"/>
    <w:rsid w:val="00163393"/>
    <w:rsid w:val="001635D6"/>
    <w:rsid w:val="001636EB"/>
    <w:rsid w:val="00163A3B"/>
    <w:rsid w:val="00163ED1"/>
    <w:rsid w:val="00164329"/>
    <w:rsid w:val="0016443F"/>
    <w:rsid w:val="001645D7"/>
    <w:rsid w:val="001647E0"/>
    <w:rsid w:val="00164D0A"/>
    <w:rsid w:val="00164F4D"/>
    <w:rsid w:val="0016538E"/>
    <w:rsid w:val="001653EA"/>
    <w:rsid w:val="001655CC"/>
    <w:rsid w:val="00165637"/>
    <w:rsid w:val="001657D7"/>
    <w:rsid w:val="00165867"/>
    <w:rsid w:val="00165B2F"/>
    <w:rsid w:val="00165B5F"/>
    <w:rsid w:val="00165C0B"/>
    <w:rsid w:val="00165D1E"/>
    <w:rsid w:val="00165D59"/>
    <w:rsid w:val="00165E4D"/>
    <w:rsid w:val="0016613E"/>
    <w:rsid w:val="00166164"/>
    <w:rsid w:val="00166214"/>
    <w:rsid w:val="00166287"/>
    <w:rsid w:val="0016694A"/>
    <w:rsid w:val="00166A20"/>
    <w:rsid w:val="00166A66"/>
    <w:rsid w:val="0016700E"/>
    <w:rsid w:val="0016711A"/>
    <w:rsid w:val="0016720D"/>
    <w:rsid w:val="001674A7"/>
    <w:rsid w:val="001676FB"/>
    <w:rsid w:val="001678E4"/>
    <w:rsid w:val="00167D8D"/>
    <w:rsid w:val="00170024"/>
    <w:rsid w:val="001702A5"/>
    <w:rsid w:val="001704BD"/>
    <w:rsid w:val="001707FA"/>
    <w:rsid w:val="00170BC0"/>
    <w:rsid w:val="00170CDA"/>
    <w:rsid w:val="001710FF"/>
    <w:rsid w:val="00171169"/>
    <w:rsid w:val="00171199"/>
    <w:rsid w:val="001713AA"/>
    <w:rsid w:val="00171E2A"/>
    <w:rsid w:val="00171FD1"/>
    <w:rsid w:val="00172157"/>
    <w:rsid w:val="00172274"/>
    <w:rsid w:val="001724BA"/>
    <w:rsid w:val="001724DA"/>
    <w:rsid w:val="001724F4"/>
    <w:rsid w:val="001725CC"/>
    <w:rsid w:val="001726CF"/>
    <w:rsid w:val="00172D0F"/>
    <w:rsid w:val="00172D36"/>
    <w:rsid w:val="0017307D"/>
    <w:rsid w:val="0017312F"/>
    <w:rsid w:val="001733A8"/>
    <w:rsid w:val="00173B4E"/>
    <w:rsid w:val="00173F22"/>
    <w:rsid w:val="001740EA"/>
    <w:rsid w:val="0017425D"/>
    <w:rsid w:val="00174293"/>
    <w:rsid w:val="00174341"/>
    <w:rsid w:val="0017465D"/>
    <w:rsid w:val="0017471A"/>
    <w:rsid w:val="001748A1"/>
    <w:rsid w:val="001748E3"/>
    <w:rsid w:val="00174963"/>
    <w:rsid w:val="00174A38"/>
    <w:rsid w:val="00174C08"/>
    <w:rsid w:val="00174DAA"/>
    <w:rsid w:val="0017516F"/>
    <w:rsid w:val="001751CC"/>
    <w:rsid w:val="00175672"/>
    <w:rsid w:val="00175734"/>
    <w:rsid w:val="001758E6"/>
    <w:rsid w:val="00175A15"/>
    <w:rsid w:val="00175FBB"/>
    <w:rsid w:val="001761F3"/>
    <w:rsid w:val="001763A3"/>
    <w:rsid w:val="00176949"/>
    <w:rsid w:val="00177510"/>
    <w:rsid w:val="0017776F"/>
    <w:rsid w:val="00177A81"/>
    <w:rsid w:val="00180069"/>
    <w:rsid w:val="001800D7"/>
    <w:rsid w:val="00180241"/>
    <w:rsid w:val="001802A0"/>
    <w:rsid w:val="00180482"/>
    <w:rsid w:val="001804C4"/>
    <w:rsid w:val="00180602"/>
    <w:rsid w:val="00180EB6"/>
    <w:rsid w:val="00180F70"/>
    <w:rsid w:val="00181223"/>
    <w:rsid w:val="001812B7"/>
    <w:rsid w:val="00181307"/>
    <w:rsid w:val="00181541"/>
    <w:rsid w:val="00181765"/>
    <w:rsid w:val="001817D0"/>
    <w:rsid w:val="00181D62"/>
    <w:rsid w:val="00181EFE"/>
    <w:rsid w:val="00181FF3"/>
    <w:rsid w:val="0018208F"/>
    <w:rsid w:val="00182245"/>
    <w:rsid w:val="001822FE"/>
    <w:rsid w:val="001824B8"/>
    <w:rsid w:val="00182615"/>
    <w:rsid w:val="00182AB7"/>
    <w:rsid w:val="00182B89"/>
    <w:rsid w:val="00182D66"/>
    <w:rsid w:val="00182D85"/>
    <w:rsid w:val="00183517"/>
    <w:rsid w:val="00183842"/>
    <w:rsid w:val="00183DF8"/>
    <w:rsid w:val="00184341"/>
    <w:rsid w:val="0018435A"/>
    <w:rsid w:val="00184370"/>
    <w:rsid w:val="00184522"/>
    <w:rsid w:val="00184935"/>
    <w:rsid w:val="00184B26"/>
    <w:rsid w:val="00184E21"/>
    <w:rsid w:val="00184ED1"/>
    <w:rsid w:val="00184FA5"/>
    <w:rsid w:val="001850D3"/>
    <w:rsid w:val="0018537C"/>
    <w:rsid w:val="001853D4"/>
    <w:rsid w:val="00185551"/>
    <w:rsid w:val="0018573C"/>
    <w:rsid w:val="001859D6"/>
    <w:rsid w:val="00185E5D"/>
    <w:rsid w:val="001860CA"/>
    <w:rsid w:val="00186180"/>
    <w:rsid w:val="00186403"/>
    <w:rsid w:val="001865DB"/>
    <w:rsid w:val="0018674C"/>
    <w:rsid w:val="001869CC"/>
    <w:rsid w:val="001870FF"/>
    <w:rsid w:val="0018757F"/>
    <w:rsid w:val="001875A9"/>
    <w:rsid w:val="001879BE"/>
    <w:rsid w:val="00187C75"/>
    <w:rsid w:val="00187F17"/>
    <w:rsid w:val="00190482"/>
    <w:rsid w:val="001908C8"/>
    <w:rsid w:val="00190BA6"/>
    <w:rsid w:val="00190D18"/>
    <w:rsid w:val="00190D5F"/>
    <w:rsid w:val="00190FD4"/>
    <w:rsid w:val="00191077"/>
    <w:rsid w:val="0019130D"/>
    <w:rsid w:val="001914EB"/>
    <w:rsid w:val="00191610"/>
    <w:rsid w:val="001918FB"/>
    <w:rsid w:val="00191D37"/>
    <w:rsid w:val="001922C7"/>
    <w:rsid w:val="0019260B"/>
    <w:rsid w:val="00192684"/>
    <w:rsid w:val="0019280C"/>
    <w:rsid w:val="001928A2"/>
    <w:rsid w:val="00192B3E"/>
    <w:rsid w:val="00192C0A"/>
    <w:rsid w:val="00192DE4"/>
    <w:rsid w:val="00192F0A"/>
    <w:rsid w:val="00192F53"/>
    <w:rsid w:val="00192F89"/>
    <w:rsid w:val="0019312E"/>
    <w:rsid w:val="00193412"/>
    <w:rsid w:val="001935D9"/>
    <w:rsid w:val="0019397B"/>
    <w:rsid w:val="00193D12"/>
    <w:rsid w:val="00193F47"/>
    <w:rsid w:val="001943E7"/>
    <w:rsid w:val="0019494B"/>
    <w:rsid w:val="00194B5A"/>
    <w:rsid w:val="00194E5B"/>
    <w:rsid w:val="0019511A"/>
    <w:rsid w:val="00195320"/>
    <w:rsid w:val="001955F4"/>
    <w:rsid w:val="0019579E"/>
    <w:rsid w:val="001957F5"/>
    <w:rsid w:val="0019588F"/>
    <w:rsid w:val="00195CFA"/>
    <w:rsid w:val="00195E48"/>
    <w:rsid w:val="00195F04"/>
    <w:rsid w:val="00196699"/>
    <w:rsid w:val="00196AEB"/>
    <w:rsid w:val="00196B99"/>
    <w:rsid w:val="00196C1F"/>
    <w:rsid w:val="00196CF1"/>
    <w:rsid w:val="00196DE4"/>
    <w:rsid w:val="00196FE2"/>
    <w:rsid w:val="001970E9"/>
    <w:rsid w:val="00197977"/>
    <w:rsid w:val="001A0169"/>
    <w:rsid w:val="001A0178"/>
    <w:rsid w:val="001A03DC"/>
    <w:rsid w:val="001A053B"/>
    <w:rsid w:val="001A0682"/>
    <w:rsid w:val="001A0847"/>
    <w:rsid w:val="001A08B8"/>
    <w:rsid w:val="001A0AA5"/>
    <w:rsid w:val="001A0BF3"/>
    <w:rsid w:val="001A0C20"/>
    <w:rsid w:val="001A0CBB"/>
    <w:rsid w:val="001A0CE2"/>
    <w:rsid w:val="001A0E67"/>
    <w:rsid w:val="001A0F24"/>
    <w:rsid w:val="001A127E"/>
    <w:rsid w:val="001A1429"/>
    <w:rsid w:val="001A1539"/>
    <w:rsid w:val="001A1872"/>
    <w:rsid w:val="001A1A5E"/>
    <w:rsid w:val="001A1BD8"/>
    <w:rsid w:val="001A1DA3"/>
    <w:rsid w:val="001A2121"/>
    <w:rsid w:val="001A2475"/>
    <w:rsid w:val="001A28A0"/>
    <w:rsid w:val="001A29A2"/>
    <w:rsid w:val="001A2EEB"/>
    <w:rsid w:val="001A31D1"/>
    <w:rsid w:val="001A33D5"/>
    <w:rsid w:val="001A3BE1"/>
    <w:rsid w:val="001A3ED7"/>
    <w:rsid w:val="001A402A"/>
    <w:rsid w:val="001A4BCF"/>
    <w:rsid w:val="001A5F10"/>
    <w:rsid w:val="001A6881"/>
    <w:rsid w:val="001A6FD5"/>
    <w:rsid w:val="001A7241"/>
    <w:rsid w:val="001A740D"/>
    <w:rsid w:val="001A7C31"/>
    <w:rsid w:val="001A7EDA"/>
    <w:rsid w:val="001B000D"/>
    <w:rsid w:val="001B001D"/>
    <w:rsid w:val="001B006B"/>
    <w:rsid w:val="001B0325"/>
    <w:rsid w:val="001B054F"/>
    <w:rsid w:val="001B0975"/>
    <w:rsid w:val="001B0ABF"/>
    <w:rsid w:val="001B0AC8"/>
    <w:rsid w:val="001B0C68"/>
    <w:rsid w:val="001B0D82"/>
    <w:rsid w:val="001B108D"/>
    <w:rsid w:val="001B127A"/>
    <w:rsid w:val="001B139A"/>
    <w:rsid w:val="001B17A8"/>
    <w:rsid w:val="001B1C71"/>
    <w:rsid w:val="001B23D8"/>
    <w:rsid w:val="001B2F1A"/>
    <w:rsid w:val="001B33D6"/>
    <w:rsid w:val="001B34C7"/>
    <w:rsid w:val="001B3706"/>
    <w:rsid w:val="001B3853"/>
    <w:rsid w:val="001B3896"/>
    <w:rsid w:val="001B3BFD"/>
    <w:rsid w:val="001B42BA"/>
    <w:rsid w:val="001B42DB"/>
    <w:rsid w:val="001B4539"/>
    <w:rsid w:val="001B494B"/>
    <w:rsid w:val="001B4954"/>
    <w:rsid w:val="001B4B2C"/>
    <w:rsid w:val="001B4C4E"/>
    <w:rsid w:val="001B4D7F"/>
    <w:rsid w:val="001B4D9D"/>
    <w:rsid w:val="001B51F0"/>
    <w:rsid w:val="001B5249"/>
    <w:rsid w:val="001B52BB"/>
    <w:rsid w:val="001B556A"/>
    <w:rsid w:val="001B561F"/>
    <w:rsid w:val="001B5896"/>
    <w:rsid w:val="001B593B"/>
    <w:rsid w:val="001B5A34"/>
    <w:rsid w:val="001B5B30"/>
    <w:rsid w:val="001B5C77"/>
    <w:rsid w:val="001B5E57"/>
    <w:rsid w:val="001B5E59"/>
    <w:rsid w:val="001B60F1"/>
    <w:rsid w:val="001B613C"/>
    <w:rsid w:val="001B61AB"/>
    <w:rsid w:val="001B6490"/>
    <w:rsid w:val="001B69D9"/>
    <w:rsid w:val="001B6CF5"/>
    <w:rsid w:val="001B70E2"/>
    <w:rsid w:val="001B72D3"/>
    <w:rsid w:val="001B74AA"/>
    <w:rsid w:val="001B74E6"/>
    <w:rsid w:val="001B76AD"/>
    <w:rsid w:val="001B7923"/>
    <w:rsid w:val="001B7AA4"/>
    <w:rsid w:val="001B7AAF"/>
    <w:rsid w:val="001B7BC4"/>
    <w:rsid w:val="001B7E0E"/>
    <w:rsid w:val="001C0214"/>
    <w:rsid w:val="001C027D"/>
    <w:rsid w:val="001C04B1"/>
    <w:rsid w:val="001C05A0"/>
    <w:rsid w:val="001C063E"/>
    <w:rsid w:val="001C0670"/>
    <w:rsid w:val="001C0978"/>
    <w:rsid w:val="001C0B7B"/>
    <w:rsid w:val="001C0DD5"/>
    <w:rsid w:val="001C0FE0"/>
    <w:rsid w:val="001C111C"/>
    <w:rsid w:val="001C12D7"/>
    <w:rsid w:val="001C141E"/>
    <w:rsid w:val="001C1814"/>
    <w:rsid w:val="001C194B"/>
    <w:rsid w:val="001C1AA0"/>
    <w:rsid w:val="001C2022"/>
    <w:rsid w:val="001C20DF"/>
    <w:rsid w:val="001C2619"/>
    <w:rsid w:val="001C2A38"/>
    <w:rsid w:val="001C2CD4"/>
    <w:rsid w:val="001C2EB8"/>
    <w:rsid w:val="001C31FC"/>
    <w:rsid w:val="001C3467"/>
    <w:rsid w:val="001C38DB"/>
    <w:rsid w:val="001C3AC2"/>
    <w:rsid w:val="001C3C45"/>
    <w:rsid w:val="001C3E98"/>
    <w:rsid w:val="001C3EAD"/>
    <w:rsid w:val="001C3F48"/>
    <w:rsid w:val="001C43FC"/>
    <w:rsid w:val="001C4589"/>
    <w:rsid w:val="001C45F8"/>
    <w:rsid w:val="001C4A88"/>
    <w:rsid w:val="001C4B15"/>
    <w:rsid w:val="001C4C96"/>
    <w:rsid w:val="001C52B3"/>
    <w:rsid w:val="001C54DE"/>
    <w:rsid w:val="001C5892"/>
    <w:rsid w:val="001C59CA"/>
    <w:rsid w:val="001C5CBC"/>
    <w:rsid w:val="001C5E88"/>
    <w:rsid w:val="001C5EC4"/>
    <w:rsid w:val="001C5F2D"/>
    <w:rsid w:val="001C5F6C"/>
    <w:rsid w:val="001C5FEF"/>
    <w:rsid w:val="001C6038"/>
    <w:rsid w:val="001C67F5"/>
    <w:rsid w:val="001C6A4D"/>
    <w:rsid w:val="001C6A77"/>
    <w:rsid w:val="001C6C94"/>
    <w:rsid w:val="001C6CFC"/>
    <w:rsid w:val="001C7264"/>
    <w:rsid w:val="001C756A"/>
    <w:rsid w:val="001C7665"/>
    <w:rsid w:val="001C77DB"/>
    <w:rsid w:val="001C793D"/>
    <w:rsid w:val="001C79D4"/>
    <w:rsid w:val="001D01C7"/>
    <w:rsid w:val="001D034E"/>
    <w:rsid w:val="001D08D2"/>
    <w:rsid w:val="001D08F8"/>
    <w:rsid w:val="001D09E8"/>
    <w:rsid w:val="001D0B63"/>
    <w:rsid w:val="001D10C5"/>
    <w:rsid w:val="001D1486"/>
    <w:rsid w:val="001D148F"/>
    <w:rsid w:val="001D1737"/>
    <w:rsid w:val="001D17AB"/>
    <w:rsid w:val="001D17F6"/>
    <w:rsid w:val="001D193C"/>
    <w:rsid w:val="001D2954"/>
    <w:rsid w:val="001D2C67"/>
    <w:rsid w:val="001D2DB6"/>
    <w:rsid w:val="001D31A6"/>
    <w:rsid w:val="001D359A"/>
    <w:rsid w:val="001D36F0"/>
    <w:rsid w:val="001D378C"/>
    <w:rsid w:val="001D382D"/>
    <w:rsid w:val="001D3841"/>
    <w:rsid w:val="001D3927"/>
    <w:rsid w:val="001D39DC"/>
    <w:rsid w:val="001D3C0A"/>
    <w:rsid w:val="001D3C83"/>
    <w:rsid w:val="001D4351"/>
    <w:rsid w:val="001D43C0"/>
    <w:rsid w:val="001D443A"/>
    <w:rsid w:val="001D44E5"/>
    <w:rsid w:val="001D45A1"/>
    <w:rsid w:val="001D4816"/>
    <w:rsid w:val="001D4EAB"/>
    <w:rsid w:val="001D4ED5"/>
    <w:rsid w:val="001D5888"/>
    <w:rsid w:val="001D66CB"/>
    <w:rsid w:val="001D66EC"/>
    <w:rsid w:val="001D674C"/>
    <w:rsid w:val="001D68AA"/>
    <w:rsid w:val="001D690F"/>
    <w:rsid w:val="001D7111"/>
    <w:rsid w:val="001D7135"/>
    <w:rsid w:val="001D72D8"/>
    <w:rsid w:val="001D74F7"/>
    <w:rsid w:val="001D7625"/>
    <w:rsid w:val="001D7774"/>
    <w:rsid w:val="001D7A65"/>
    <w:rsid w:val="001D7C6D"/>
    <w:rsid w:val="001D7EAF"/>
    <w:rsid w:val="001D7F0E"/>
    <w:rsid w:val="001E0012"/>
    <w:rsid w:val="001E0197"/>
    <w:rsid w:val="001E02D0"/>
    <w:rsid w:val="001E0866"/>
    <w:rsid w:val="001E09D8"/>
    <w:rsid w:val="001E12B0"/>
    <w:rsid w:val="001E12DC"/>
    <w:rsid w:val="001E1323"/>
    <w:rsid w:val="001E14A2"/>
    <w:rsid w:val="001E1952"/>
    <w:rsid w:val="001E1A8D"/>
    <w:rsid w:val="001E1B30"/>
    <w:rsid w:val="001E1C79"/>
    <w:rsid w:val="001E1E75"/>
    <w:rsid w:val="001E21D7"/>
    <w:rsid w:val="001E2279"/>
    <w:rsid w:val="001E24E7"/>
    <w:rsid w:val="001E2A32"/>
    <w:rsid w:val="001E323C"/>
    <w:rsid w:val="001E3313"/>
    <w:rsid w:val="001E33C7"/>
    <w:rsid w:val="001E38DA"/>
    <w:rsid w:val="001E397F"/>
    <w:rsid w:val="001E3A84"/>
    <w:rsid w:val="001E3ACD"/>
    <w:rsid w:val="001E3D11"/>
    <w:rsid w:val="001E3F94"/>
    <w:rsid w:val="001E3FD5"/>
    <w:rsid w:val="001E400D"/>
    <w:rsid w:val="001E4068"/>
    <w:rsid w:val="001E4431"/>
    <w:rsid w:val="001E448F"/>
    <w:rsid w:val="001E4A8D"/>
    <w:rsid w:val="001E4B82"/>
    <w:rsid w:val="001E4BCA"/>
    <w:rsid w:val="001E547C"/>
    <w:rsid w:val="001E5DB7"/>
    <w:rsid w:val="001E5E7A"/>
    <w:rsid w:val="001E6058"/>
    <w:rsid w:val="001E628A"/>
    <w:rsid w:val="001E674D"/>
    <w:rsid w:val="001E6A9B"/>
    <w:rsid w:val="001E6C67"/>
    <w:rsid w:val="001E6D0C"/>
    <w:rsid w:val="001E7663"/>
    <w:rsid w:val="001E7812"/>
    <w:rsid w:val="001E782D"/>
    <w:rsid w:val="001E7C84"/>
    <w:rsid w:val="001E7F3E"/>
    <w:rsid w:val="001F0112"/>
    <w:rsid w:val="001F0210"/>
    <w:rsid w:val="001F054B"/>
    <w:rsid w:val="001F061B"/>
    <w:rsid w:val="001F120F"/>
    <w:rsid w:val="001F179F"/>
    <w:rsid w:val="001F19E5"/>
    <w:rsid w:val="001F1DD0"/>
    <w:rsid w:val="001F1FA6"/>
    <w:rsid w:val="001F20F8"/>
    <w:rsid w:val="001F275F"/>
    <w:rsid w:val="001F2B47"/>
    <w:rsid w:val="001F2D68"/>
    <w:rsid w:val="001F2E7B"/>
    <w:rsid w:val="001F2FD3"/>
    <w:rsid w:val="001F3156"/>
    <w:rsid w:val="001F3243"/>
    <w:rsid w:val="001F3408"/>
    <w:rsid w:val="001F3446"/>
    <w:rsid w:val="001F37C8"/>
    <w:rsid w:val="001F3A4F"/>
    <w:rsid w:val="001F3B5D"/>
    <w:rsid w:val="001F3DD3"/>
    <w:rsid w:val="001F4089"/>
    <w:rsid w:val="001F4215"/>
    <w:rsid w:val="001F4421"/>
    <w:rsid w:val="001F4470"/>
    <w:rsid w:val="001F449B"/>
    <w:rsid w:val="001F460B"/>
    <w:rsid w:val="001F47C0"/>
    <w:rsid w:val="001F47FD"/>
    <w:rsid w:val="001F4996"/>
    <w:rsid w:val="001F4E5A"/>
    <w:rsid w:val="001F511B"/>
    <w:rsid w:val="001F57BB"/>
    <w:rsid w:val="001F5C5A"/>
    <w:rsid w:val="001F5E98"/>
    <w:rsid w:val="001F5E9E"/>
    <w:rsid w:val="001F5EE3"/>
    <w:rsid w:val="001F6039"/>
    <w:rsid w:val="001F6575"/>
    <w:rsid w:val="001F6608"/>
    <w:rsid w:val="001F67E7"/>
    <w:rsid w:val="001F6B23"/>
    <w:rsid w:val="001F6E9E"/>
    <w:rsid w:val="001F6F0E"/>
    <w:rsid w:val="001F6F1C"/>
    <w:rsid w:val="001F73AF"/>
    <w:rsid w:val="001F73D4"/>
    <w:rsid w:val="001F7477"/>
    <w:rsid w:val="001F7CD9"/>
    <w:rsid w:val="00200047"/>
    <w:rsid w:val="002003B3"/>
    <w:rsid w:val="00200511"/>
    <w:rsid w:val="00200724"/>
    <w:rsid w:val="00200AA6"/>
    <w:rsid w:val="00200F07"/>
    <w:rsid w:val="00201137"/>
    <w:rsid w:val="0020137F"/>
    <w:rsid w:val="0020190E"/>
    <w:rsid w:val="00201B05"/>
    <w:rsid w:val="00201B0B"/>
    <w:rsid w:val="00201B15"/>
    <w:rsid w:val="00201C09"/>
    <w:rsid w:val="00201D97"/>
    <w:rsid w:val="00202167"/>
    <w:rsid w:val="002021B4"/>
    <w:rsid w:val="0020248C"/>
    <w:rsid w:val="0020271C"/>
    <w:rsid w:val="00202901"/>
    <w:rsid w:val="00202970"/>
    <w:rsid w:val="00202ABA"/>
    <w:rsid w:val="00202C48"/>
    <w:rsid w:val="00202CCA"/>
    <w:rsid w:val="00202F4B"/>
    <w:rsid w:val="0020311D"/>
    <w:rsid w:val="00203143"/>
    <w:rsid w:val="00203203"/>
    <w:rsid w:val="0020333B"/>
    <w:rsid w:val="00203398"/>
    <w:rsid w:val="002033FD"/>
    <w:rsid w:val="0020344F"/>
    <w:rsid w:val="0020367A"/>
    <w:rsid w:val="002036C2"/>
    <w:rsid w:val="002037DB"/>
    <w:rsid w:val="0020385F"/>
    <w:rsid w:val="002038A9"/>
    <w:rsid w:val="00203B26"/>
    <w:rsid w:val="00203B3E"/>
    <w:rsid w:val="00203E7E"/>
    <w:rsid w:val="00203F44"/>
    <w:rsid w:val="00203FA2"/>
    <w:rsid w:val="00203FD5"/>
    <w:rsid w:val="00204016"/>
    <w:rsid w:val="0020420A"/>
    <w:rsid w:val="00204275"/>
    <w:rsid w:val="0020432F"/>
    <w:rsid w:val="00204330"/>
    <w:rsid w:val="0020443A"/>
    <w:rsid w:val="002045F6"/>
    <w:rsid w:val="002048A8"/>
    <w:rsid w:val="00204976"/>
    <w:rsid w:val="00204977"/>
    <w:rsid w:val="00204978"/>
    <w:rsid w:val="00204A0D"/>
    <w:rsid w:val="00204B7A"/>
    <w:rsid w:val="00204BA6"/>
    <w:rsid w:val="00204D22"/>
    <w:rsid w:val="00204D7C"/>
    <w:rsid w:val="00204E07"/>
    <w:rsid w:val="00204E90"/>
    <w:rsid w:val="00205A45"/>
    <w:rsid w:val="00205EF1"/>
    <w:rsid w:val="00205F9B"/>
    <w:rsid w:val="00206085"/>
    <w:rsid w:val="002062A0"/>
    <w:rsid w:val="002063C6"/>
    <w:rsid w:val="00206511"/>
    <w:rsid w:val="0020655E"/>
    <w:rsid w:val="0020676F"/>
    <w:rsid w:val="0020687A"/>
    <w:rsid w:val="00206DD3"/>
    <w:rsid w:val="002078C7"/>
    <w:rsid w:val="00207C5C"/>
    <w:rsid w:val="00207D0C"/>
    <w:rsid w:val="002101BF"/>
    <w:rsid w:val="00210380"/>
    <w:rsid w:val="0021067F"/>
    <w:rsid w:val="00210822"/>
    <w:rsid w:val="002109CF"/>
    <w:rsid w:val="00210A8D"/>
    <w:rsid w:val="00210BD0"/>
    <w:rsid w:val="00210E03"/>
    <w:rsid w:val="00210F1F"/>
    <w:rsid w:val="002110FE"/>
    <w:rsid w:val="00211296"/>
    <w:rsid w:val="002113E0"/>
    <w:rsid w:val="002114BF"/>
    <w:rsid w:val="002116C9"/>
    <w:rsid w:val="00211837"/>
    <w:rsid w:val="00212157"/>
    <w:rsid w:val="0021231C"/>
    <w:rsid w:val="00212B19"/>
    <w:rsid w:val="00212DA1"/>
    <w:rsid w:val="002130E4"/>
    <w:rsid w:val="002133A8"/>
    <w:rsid w:val="00213652"/>
    <w:rsid w:val="00213D13"/>
    <w:rsid w:val="00214032"/>
    <w:rsid w:val="0021421D"/>
    <w:rsid w:val="00214758"/>
    <w:rsid w:val="00214895"/>
    <w:rsid w:val="00214A66"/>
    <w:rsid w:val="00214CB9"/>
    <w:rsid w:val="00214F76"/>
    <w:rsid w:val="00214FB0"/>
    <w:rsid w:val="002150B1"/>
    <w:rsid w:val="0021513D"/>
    <w:rsid w:val="0021550A"/>
    <w:rsid w:val="00215583"/>
    <w:rsid w:val="00215600"/>
    <w:rsid w:val="00215983"/>
    <w:rsid w:val="00215D5A"/>
    <w:rsid w:val="002162B0"/>
    <w:rsid w:val="00216555"/>
    <w:rsid w:val="00216644"/>
    <w:rsid w:val="00216960"/>
    <w:rsid w:val="00216A68"/>
    <w:rsid w:val="00216CF3"/>
    <w:rsid w:val="00216D9A"/>
    <w:rsid w:val="0021721F"/>
    <w:rsid w:val="0021742F"/>
    <w:rsid w:val="002174EC"/>
    <w:rsid w:val="00217837"/>
    <w:rsid w:val="00217AD8"/>
    <w:rsid w:val="00217BB5"/>
    <w:rsid w:val="00217D57"/>
    <w:rsid w:val="00217D82"/>
    <w:rsid w:val="00220225"/>
    <w:rsid w:val="002202B2"/>
    <w:rsid w:val="002203CE"/>
    <w:rsid w:val="00220453"/>
    <w:rsid w:val="002204C7"/>
    <w:rsid w:val="00220D98"/>
    <w:rsid w:val="00220F80"/>
    <w:rsid w:val="00221013"/>
    <w:rsid w:val="002210F3"/>
    <w:rsid w:val="002211E1"/>
    <w:rsid w:val="00221275"/>
    <w:rsid w:val="0022157A"/>
    <w:rsid w:val="0022160A"/>
    <w:rsid w:val="002217A4"/>
    <w:rsid w:val="00221ADF"/>
    <w:rsid w:val="00221B5F"/>
    <w:rsid w:val="00221DC8"/>
    <w:rsid w:val="00221E37"/>
    <w:rsid w:val="002220DC"/>
    <w:rsid w:val="00222125"/>
    <w:rsid w:val="00222287"/>
    <w:rsid w:val="00222401"/>
    <w:rsid w:val="0022277D"/>
    <w:rsid w:val="00222B26"/>
    <w:rsid w:val="00222BCC"/>
    <w:rsid w:val="00222E72"/>
    <w:rsid w:val="00222E9B"/>
    <w:rsid w:val="00223863"/>
    <w:rsid w:val="002239B1"/>
    <w:rsid w:val="00223B0D"/>
    <w:rsid w:val="002241E1"/>
    <w:rsid w:val="00224782"/>
    <w:rsid w:val="0022497C"/>
    <w:rsid w:val="00225003"/>
    <w:rsid w:val="00225166"/>
    <w:rsid w:val="002252C1"/>
    <w:rsid w:val="002254A1"/>
    <w:rsid w:val="002255AD"/>
    <w:rsid w:val="002257BC"/>
    <w:rsid w:val="00225B7D"/>
    <w:rsid w:val="00225D90"/>
    <w:rsid w:val="00225E98"/>
    <w:rsid w:val="002260EA"/>
    <w:rsid w:val="0022612E"/>
    <w:rsid w:val="0022615C"/>
    <w:rsid w:val="00226164"/>
    <w:rsid w:val="0022621D"/>
    <w:rsid w:val="00226A7A"/>
    <w:rsid w:val="00226BC6"/>
    <w:rsid w:val="00226DC4"/>
    <w:rsid w:val="00227038"/>
    <w:rsid w:val="002271DD"/>
    <w:rsid w:val="00227705"/>
    <w:rsid w:val="00227798"/>
    <w:rsid w:val="002279CE"/>
    <w:rsid w:val="00227B52"/>
    <w:rsid w:val="00230028"/>
    <w:rsid w:val="0023002A"/>
    <w:rsid w:val="002304B0"/>
    <w:rsid w:val="002306A7"/>
    <w:rsid w:val="002306D0"/>
    <w:rsid w:val="00230BBA"/>
    <w:rsid w:val="00230E4E"/>
    <w:rsid w:val="00230FB6"/>
    <w:rsid w:val="002313C5"/>
    <w:rsid w:val="0023154C"/>
    <w:rsid w:val="00231996"/>
    <w:rsid w:val="00231AE1"/>
    <w:rsid w:val="00231CC8"/>
    <w:rsid w:val="00231F5C"/>
    <w:rsid w:val="00231F6A"/>
    <w:rsid w:val="0023251E"/>
    <w:rsid w:val="00232560"/>
    <w:rsid w:val="00232A06"/>
    <w:rsid w:val="00232BD2"/>
    <w:rsid w:val="00232C56"/>
    <w:rsid w:val="00232E4B"/>
    <w:rsid w:val="00233066"/>
    <w:rsid w:val="00233684"/>
    <w:rsid w:val="00233C3C"/>
    <w:rsid w:val="00233E95"/>
    <w:rsid w:val="00234326"/>
    <w:rsid w:val="00234463"/>
    <w:rsid w:val="002347B6"/>
    <w:rsid w:val="00234E7B"/>
    <w:rsid w:val="0023537B"/>
    <w:rsid w:val="002357AA"/>
    <w:rsid w:val="002359B9"/>
    <w:rsid w:val="00235B2F"/>
    <w:rsid w:val="00235EFC"/>
    <w:rsid w:val="00236181"/>
    <w:rsid w:val="002364E7"/>
    <w:rsid w:val="002366C4"/>
    <w:rsid w:val="00236763"/>
    <w:rsid w:val="002367D1"/>
    <w:rsid w:val="002368D9"/>
    <w:rsid w:val="00236AA5"/>
    <w:rsid w:val="00236B36"/>
    <w:rsid w:val="00236C19"/>
    <w:rsid w:val="00236C50"/>
    <w:rsid w:val="00237137"/>
    <w:rsid w:val="002373FB"/>
    <w:rsid w:val="00237766"/>
    <w:rsid w:val="00237A53"/>
    <w:rsid w:val="00237BA0"/>
    <w:rsid w:val="00237BD6"/>
    <w:rsid w:val="00237CA0"/>
    <w:rsid w:val="002409A3"/>
    <w:rsid w:val="00240B15"/>
    <w:rsid w:val="00240B9E"/>
    <w:rsid w:val="00240DBF"/>
    <w:rsid w:val="00240EE2"/>
    <w:rsid w:val="00240F10"/>
    <w:rsid w:val="00240F93"/>
    <w:rsid w:val="0024115C"/>
    <w:rsid w:val="00241187"/>
    <w:rsid w:val="00241851"/>
    <w:rsid w:val="002419EE"/>
    <w:rsid w:val="00241EE0"/>
    <w:rsid w:val="0024212F"/>
    <w:rsid w:val="002423A3"/>
    <w:rsid w:val="00242524"/>
    <w:rsid w:val="00242945"/>
    <w:rsid w:val="002429AF"/>
    <w:rsid w:val="00242BE7"/>
    <w:rsid w:val="0024367E"/>
    <w:rsid w:val="00243791"/>
    <w:rsid w:val="0024389A"/>
    <w:rsid w:val="00243F5A"/>
    <w:rsid w:val="0024414F"/>
    <w:rsid w:val="00244583"/>
    <w:rsid w:val="002445AA"/>
    <w:rsid w:val="002445E2"/>
    <w:rsid w:val="002446E2"/>
    <w:rsid w:val="00244EE9"/>
    <w:rsid w:val="0024511E"/>
    <w:rsid w:val="002451F9"/>
    <w:rsid w:val="002452BA"/>
    <w:rsid w:val="002452D2"/>
    <w:rsid w:val="0024559E"/>
    <w:rsid w:val="00245661"/>
    <w:rsid w:val="0024584D"/>
    <w:rsid w:val="002459E4"/>
    <w:rsid w:val="00245A4A"/>
    <w:rsid w:val="00245ADF"/>
    <w:rsid w:val="00245D93"/>
    <w:rsid w:val="00246213"/>
    <w:rsid w:val="002466D4"/>
    <w:rsid w:val="00246808"/>
    <w:rsid w:val="0024692A"/>
    <w:rsid w:val="00246AF7"/>
    <w:rsid w:val="00246D45"/>
    <w:rsid w:val="00246FAF"/>
    <w:rsid w:val="00246FF6"/>
    <w:rsid w:val="00247342"/>
    <w:rsid w:val="00247438"/>
    <w:rsid w:val="002475A8"/>
    <w:rsid w:val="00247653"/>
    <w:rsid w:val="002476DB"/>
    <w:rsid w:val="00247907"/>
    <w:rsid w:val="0024792E"/>
    <w:rsid w:val="00247AEE"/>
    <w:rsid w:val="00247BEB"/>
    <w:rsid w:val="00247D8B"/>
    <w:rsid w:val="00247DD8"/>
    <w:rsid w:val="00247EE6"/>
    <w:rsid w:val="00250241"/>
    <w:rsid w:val="002503CD"/>
    <w:rsid w:val="002507C7"/>
    <w:rsid w:val="002508D6"/>
    <w:rsid w:val="0025094E"/>
    <w:rsid w:val="00250D0D"/>
    <w:rsid w:val="00251176"/>
    <w:rsid w:val="002513C9"/>
    <w:rsid w:val="0025150A"/>
    <w:rsid w:val="00251573"/>
    <w:rsid w:val="002515A8"/>
    <w:rsid w:val="0025180B"/>
    <w:rsid w:val="002518BA"/>
    <w:rsid w:val="00251932"/>
    <w:rsid w:val="0025197B"/>
    <w:rsid w:val="00251A3A"/>
    <w:rsid w:val="00251B6E"/>
    <w:rsid w:val="00251DB8"/>
    <w:rsid w:val="00251EFD"/>
    <w:rsid w:val="002520F2"/>
    <w:rsid w:val="00252734"/>
    <w:rsid w:val="002527CD"/>
    <w:rsid w:val="00252BF3"/>
    <w:rsid w:val="00252D24"/>
    <w:rsid w:val="00252DF8"/>
    <w:rsid w:val="00252F26"/>
    <w:rsid w:val="0025302E"/>
    <w:rsid w:val="00253073"/>
    <w:rsid w:val="002531B7"/>
    <w:rsid w:val="002531CE"/>
    <w:rsid w:val="00253267"/>
    <w:rsid w:val="00253353"/>
    <w:rsid w:val="002537A3"/>
    <w:rsid w:val="00253805"/>
    <w:rsid w:val="0025383A"/>
    <w:rsid w:val="0025389E"/>
    <w:rsid w:val="0025395D"/>
    <w:rsid w:val="00253C41"/>
    <w:rsid w:val="00253CFE"/>
    <w:rsid w:val="00253D4E"/>
    <w:rsid w:val="0025408A"/>
    <w:rsid w:val="002545FC"/>
    <w:rsid w:val="00254729"/>
    <w:rsid w:val="002549D3"/>
    <w:rsid w:val="00254CE8"/>
    <w:rsid w:val="00254CFC"/>
    <w:rsid w:val="002550F4"/>
    <w:rsid w:val="002551CD"/>
    <w:rsid w:val="00255418"/>
    <w:rsid w:val="0025571E"/>
    <w:rsid w:val="00255847"/>
    <w:rsid w:val="00255972"/>
    <w:rsid w:val="00256108"/>
    <w:rsid w:val="00256B7A"/>
    <w:rsid w:val="00256C90"/>
    <w:rsid w:val="00256F39"/>
    <w:rsid w:val="002573CF"/>
    <w:rsid w:val="00257EDD"/>
    <w:rsid w:val="00260067"/>
    <w:rsid w:val="002602F4"/>
    <w:rsid w:val="00260344"/>
    <w:rsid w:val="00260517"/>
    <w:rsid w:val="00260536"/>
    <w:rsid w:val="002606F6"/>
    <w:rsid w:val="0026074C"/>
    <w:rsid w:val="00260842"/>
    <w:rsid w:val="0026099D"/>
    <w:rsid w:val="00260B2D"/>
    <w:rsid w:val="002610B1"/>
    <w:rsid w:val="00261136"/>
    <w:rsid w:val="00261A71"/>
    <w:rsid w:val="00261B3D"/>
    <w:rsid w:val="00261B60"/>
    <w:rsid w:val="00261BAA"/>
    <w:rsid w:val="00262084"/>
    <w:rsid w:val="002620B1"/>
    <w:rsid w:val="00262108"/>
    <w:rsid w:val="002622EF"/>
    <w:rsid w:val="00262499"/>
    <w:rsid w:val="002625F6"/>
    <w:rsid w:val="00262689"/>
    <w:rsid w:val="0026288C"/>
    <w:rsid w:val="00262A08"/>
    <w:rsid w:val="00262EE4"/>
    <w:rsid w:val="0026324B"/>
    <w:rsid w:val="00263288"/>
    <w:rsid w:val="0026341F"/>
    <w:rsid w:val="0026352E"/>
    <w:rsid w:val="002635C3"/>
    <w:rsid w:val="00263679"/>
    <w:rsid w:val="0026390B"/>
    <w:rsid w:val="002639F2"/>
    <w:rsid w:val="00263A8D"/>
    <w:rsid w:val="00263AE4"/>
    <w:rsid w:val="00263AEE"/>
    <w:rsid w:val="0026413E"/>
    <w:rsid w:val="00264396"/>
    <w:rsid w:val="00264474"/>
    <w:rsid w:val="002644A4"/>
    <w:rsid w:val="002648E1"/>
    <w:rsid w:val="00264A83"/>
    <w:rsid w:val="00264CFD"/>
    <w:rsid w:val="00264D15"/>
    <w:rsid w:val="00264DBE"/>
    <w:rsid w:val="00264DCD"/>
    <w:rsid w:val="00264F59"/>
    <w:rsid w:val="00265176"/>
    <w:rsid w:val="0026537F"/>
    <w:rsid w:val="00265BC8"/>
    <w:rsid w:val="00265EDF"/>
    <w:rsid w:val="00265F62"/>
    <w:rsid w:val="00266022"/>
    <w:rsid w:val="0026622C"/>
    <w:rsid w:val="00266B16"/>
    <w:rsid w:val="00266C2C"/>
    <w:rsid w:val="0026719E"/>
    <w:rsid w:val="0026758C"/>
    <w:rsid w:val="0026766E"/>
    <w:rsid w:val="002676A4"/>
    <w:rsid w:val="00267959"/>
    <w:rsid w:val="00267960"/>
    <w:rsid w:val="00267AE7"/>
    <w:rsid w:val="00267B50"/>
    <w:rsid w:val="00267E14"/>
    <w:rsid w:val="00267F85"/>
    <w:rsid w:val="002703B9"/>
    <w:rsid w:val="002707DE"/>
    <w:rsid w:val="002709DE"/>
    <w:rsid w:val="00270F05"/>
    <w:rsid w:val="00270F32"/>
    <w:rsid w:val="002713CB"/>
    <w:rsid w:val="0027175F"/>
    <w:rsid w:val="00271AB1"/>
    <w:rsid w:val="00271AED"/>
    <w:rsid w:val="00271B9B"/>
    <w:rsid w:val="00271DE8"/>
    <w:rsid w:val="00271E5A"/>
    <w:rsid w:val="002723D4"/>
    <w:rsid w:val="00272521"/>
    <w:rsid w:val="002725BA"/>
    <w:rsid w:val="00272855"/>
    <w:rsid w:val="002729D6"/>
    <w:rsid w:val="00272C69"/>
    <w:rsid w:val="00272CF9"/>
    <w:rsid w:val="00272E7C"/>
    <w:rsid w:val="002733F9"/>
    <w:rsid w:val="0027349B"/>
    <w:rsid w:val="00273A95"/>
    <w:rsid w:val="00273B4D"/>
    <w:rsid w:val="00273F6C"/>
    <w:rsid w:val="00273F93"/>
    <w:rsid w:val="00273FE4"/>
    <w:rsid w:val="00274130"/>
    <w:rsid w:val="00274690"/>
    <w:rsid w:val="00274899"/>
    <w:rsid w:val="00274BE3"/>
    <w:rsid w:val="00274FAC"/>
    <w:rsid w:val="00275161"/>
    <w:rsid w:val="002751F1"/>
    <w:rsid w:val="002756E4"/>
    <w:rsid w:val="00275904"/>
    <w:rsid w:val="00275949"/>
    <w:rsid w:val="002759D7"/>
    <w:rsid w:val="00275ADD"/>
    <w:rsid w:val="00275C2F"/>
    <w:rsid w:val="00275E4F"/>
    <w:rsid w:val="00275F81"/>
    <w:rsid w:val="00276A5B"/>
    <w:rsid w:val="00276B74"/>
    <w:rsid w:val="00276BAF"/>
    <w:rsid w:val="00276D4C"/>
    <w:rsid w:val="00276DAF"/>
    <w:rsid w:val="00276F55"/>
    <w:rsid w:val="0027722C"/>
    <w:rsid w:val="0027735E"/>
    <w:rsid w:val="00277547"/>
    <w:rsid w:val="0027770E"/>
    <w:rsid w:val="002807A8"/>
    <w:rsid w:val="0028081C"/>
    <w:rsid w:val="00280960"/>
    <w:rsid w:val="0028096B"/>
    <w:rsid w:val="00280D57"/>
    <w:rsid w:val="00280E53"/>
    <w:rsid w:val="00280E5E"/>
    <w:rsid w:val="00280EA3"/>
    <w:rsid w:val="00280EA6"/>
    <w:rsid w:val="00281120"/>
    <w:rsid w:val="002811A2"/>
    <w:rsid w:val="00281330"/>
    <w:rsid w:val="0028218E"/>
    <w:rsid w:val="002825E7"/>
    <w:rsid w:val="00282837"/>
    <w:rsid w:val="0028289B"/>
    <w:rsid w:val="00282A5A"/>
    <w:rsid w:val="00282A7A"/>
    <w:rsid w:val="00282CF2"/>
    <w:rsid w:val="00282ECC"/>
    <w:rsid w:val="00283197"/>
    <w:rsid w:val="00283299"/>
    <w:rsid w:val="00283433"/>
    <w:rsid w:val="00283583"/>
    <w:rsid w:val="00283652"/>
    <w:rsid w:val="0028372F"/>
    <w:rsid w:val="0028377D"/>
    <w:rsid w:val="00283898"/>
    <w:rsid w:val="00283AB5"/>
    <w:rsid w:val="00284174"/>
    <w:rsid w:val="00284230"/>
    <w:rsid w:val="00284300"/>
    <w:rsid w:val="00284B0E"/>
    <w:rsid w:val="00284B38"/>
    <w:rsid w:val="00284C1B"/>
    <w:rsid w:val="00284D06"/>
    <w:rsid w:val="00284EF4"/>
    <w:rsid w:val="00284F27"/>
    <w:rsid w:val="00285525"/>
    <w:rsid w:val="0028597B"/>
    <w:rsid w:val="00285A0E"/>
    <w:rsid w:val="00285B1C"/>
    <w:rsid w:val="00285B6F"/>
    <w:rsid w:val="00285BE9"/>
    <w:rsid w:val="00285D89"/>
    <w:rsid w:val="00286230"/>
    <w:rsid w:val="0028687E"/>
    <w:rsid w:val="00286973"/>
    <w:rsid w:val="00286974"/>
    <w:rsid w:val="00287183"/>
    <w:rsid w:val="002875DF"/>
    <w:rsid w:val="00287667"/>
    <w:rsid w:val="00287732"/>
    <w:rsid w:val="002877A6"/>
    <w:rsid w:val="002877E4"/>
    <w:rsid w:val="00287C2B"/>
    <w:rsid w:val="00287C81"/>
    <w:rsid w:val="00287DCD"/>
    <w:rsid w:val="00287DF4"/>
    <w:rsid w:val="00287EA5"/>
    <w:rsid w:val="00290271"/>
    <w:rsid w:val="002902FE"/>
    <w:rsid w:val="0029044A"/>
    <w:rsid w:val="0029046F"/>
    <w:rsid w:val="00290529"/>
    <w:rsid w:val="00290D13"/>
    <w:rsid w:val="00290F8C"/>
    <w:rsid w:val="00291122"/>
    <w:rsid w:val="002914DC"/>
    <w:rsid w:val="0029195D"/>
    <w:rsid w:val="00291997"/>
    <w:rsid w:val="00291BB1"/>
    <w:rsid w:val="00291EB7"/>
    <w:rsid w:val="0029215A"/>
    <w:rsid w:val="002921D0"/>
    <w:rsid w:val="002923A6"/>
    <w:rsid w:val="00292531"/>
    <w:rsid w:val="00292CE9"/>
    <w:rsid w:val="00292D4A"/>
    <w:rsid w:val="0029312F"/>
    <w:rsid w:val="002935A5"/>
    <w:rsid w:val="00293AD2"/>
    <w:rsid w:val="0029422D"/>
    <w:rsid w:val="00294D2A"/>
    <w:rsid w:val="00294DB5"/>
    <w:rsid w:val="00295196"/>
    <w:rsid w:val="00295273"/>
    <w:rsid w:val="002958EC"/>
    <w:rsid w:val="0029592E"/>
    <w:rsid w:val="002959DC"/>
    <w:rsid w:val="00295CF4"/>
    <w:rsid w:val="00296391"/>
    <w:rsid w:val="002967A0"/>
    <w:rsid w:val="0029684E"/>
    <w:rsid w:val="00296983"/>
    <w:rsid w:val="00296B63"/>
    <w:rsid w:val="00296FB0"/>
    <w:rsid w:val="0029700E"/>
    <w:rsid w:val="002972A2"/>
    <w:rsid w:val="002976CE"/>
    <w:rsid w:val="00297EA0"/>
    <w:rsid w:val="00297F72"/>
    <w:rsid w:val="002A063D"/>
    <w:rsid w:val="002A07C8"/>
    <w:rsid w:val="002A0D0B"/>
    <w:rsid w:val="002A0DBD"/>
    <w:rsid w:val="002A0F10"/>
    <w:rsid w:val="002A122A"/>
    <w:rsid w:val="002A1485"/>
    <w:rsid w:val="002A17C7"/>
    <w:rsid w:val="002A1842"/>
    <w:rsid w:val="002A2047"/>
    <w:rsid w:val="002A20D5"/>
    <w:rsid w:val="002A29B5"/>
    <w:rsid w:val="002A2F6B"/>
    <w:rsid w:val="002A30B0"/>
    <w:rsid w:val="002A32D6"/>
    <w:rsid w:val="002A3776"/>
    <w:rsid w:val="002A37B8"/>
    <w:rsid w:val="002A42F3"/>
    <w:rsid w:val="002A43F7"/>
    <w:rsid w:val="002A4427"/>
    <w:rsid w:val="002A4717"/>
    <w:rsid w:val="002A47A2"/>
    <w:rsid w:val="002A4993"/>
    <w:rsid w:val="002A4AEC"/>
    <w:rsid w:val="002A4B11"/>
    <w:rsid w:val="002A521F"/>
    <w:rsid w:val="002A5410"/>
    <w:rsid w:val="002A5962"/>
    <w:rsid w:val="002A5A1F"/>
    <w:rsid w:val="002A5C46"/>
    <w:rsid w:val="002A5D57"/>
    <w:rsid w:val="002A5D63"/>
    <w:rsid w:val="002A5F5B"/>
    <w:rsid w:val="002A5F8F"/>
    <w:rsid w:val="002A6329"/>
    <w:rsid w:val="002A68A1"/>
    <w:rsid w:val="002A6A85"/>
    <w:rsid w:val="002A6D5F"/>
    <w:rsid w:val="002A7292"/>
    <w:rsid w:val="002A72B3"/>
    <w:rsid w:val="002A72EF"/>
    <w:rsid w:val="002A7449"/>
    <w:rsid w:val="002A7749"/>
    <w:rsid w:val="002A7A4E"/>
    <w:rsid w:val="002A7B0B"/>
    <w:rsid w:val="002A7EEC"/>
    <w:rsid w:val="002B023F"/>
    <w:rsid w:val="002B0477"/>
    <w:rsid w:val="002B0667"/>
    <w:rsid w:val="002B083F"/>
    <w:rsid w:val="002B0923"/>
    <w:rsid w:val="002B0995"/>
    <w:rsid w:val="002B11E8"/>
    <w:rsid w:val="002B13F8"/>
    <w:rsid w:val="002B14D7"/>
    <w:rsid w:val="002B1677"/>
    <w:rsid w:val="002B1BA4"/>
    <w:rsid w:val="002B1CFB"/>
    <w:rsid w:val="002B20CA"/>
    <w:rsid w:val="002B2108"/>
    <w:rsid w:val="002B226F"/>
    <w:rsid w:val="002B2289"/>
    <w:rsid w:val="002B2415"/>
    <w:rsid w:val="002B2465"/>
    <w:rsid w:val="002B2493"/>
    <w:rsid w:val="002B2503"/>
    <w:rsid w:val="002B2AAB"/>
    <w:rsid w:val="002B2F32"/>
    <w:rsid w:val="002B31A5"/>
    <w:rsid w:val="002B336C"/>
    <w:rsid w:val="002B36EB"/>
    <w:rsid w:val="002B39B8"/>
    <w:rsid w:val="002B3A0E"/>
    <w:rsid w:val="002B3A2A"/>
    <w:rsid w:val="002B4BCF"/>
    <w:rsid w:val="002B4C22"/>
    <w:rsid w:val="002B4CE5"/>
    <w:rsid w:val="002B4F36"/>
    <w:rsid w:val="002B5107"/>
    <w:rsid w:val="002B51F3"/>
    <w:rsid w:val="002B559C"/>
    <w:rsid w:val="002B56FC"/>
    <w:rsid w:val="002B5890"/>
    <w:rsid w:val="002B5B2C"/>
    <w:rsid w:val="002B5CA3"/>
    <w:rsid w:val="002B5E06"/>
    <w:rsid w:val="002B5FA5"/>
    <w:rsid w:val="002B6215"/>
    <w:rsid w:val="002B65F8"/>
    <w:rsid w:val="002B6737"/>
    <w:rsid w:val="002B6A49"/>
    <w:rsid w:val="002B6D01"/>
    <w:rsid w:val="002B7408"/>
    <w:rsid w:val="002B76A1"/>
    <w:rsid w:val="002B76E3"/>
    <w:rsid w:val="002B7BB3"/>
    <w:rsid w:val="002B7C77"/>
    <w:rsid w:val="002B7EC9"/>
    <w:rsid w:val="002C000B"/>
    <w:rsid w:val="002C0457"/>
    <w:rsid w:val="002C0938"/>
    <w:rsid w:val="002C0F2C"/>
    <w:rsid w:val="002C1398"/>
    <w:rsid w:val="002C15F5"/>
    <w:rsid w:val="002C179D"/>
    <w:rsid w:val="002C19BE"/>
    <w:rsid w:val="002C1CA9"/>
    <w:rsid w:val="002C1D28"/>
    <w:rsid w:val="002C20BB"/>
    <w:rsid w:val="002C2456"/>
    <w:rsid w:val="002C2567"/>
    <w:rsid w:val="002C2774"/>
    <w:rsid w:val="002C29FB"/>
    <w:rsid w:val="002C2A27"/>
    <w:rsid w:val="002C3058"/>
    <w:rsid w:val="002C3512"/>
    <w:rsid w:val="002C37B4"/>
    <w:rsid w:val="002C38DA"/>
    <w:rsid w:val="002C39FE"/>
    <w:rsid w:val="002C3C66"/>
    <w:rsid w:val="002C3E39"/>
    <w:rsid w:val="002C3E65"/>
    <w:rsid w:val="002C3FA7"/>
    <w:rsid w:val="002C40F4"/>
    <w:rsid w:val="002C420F"/>
    <w:rsid w:val="002C43DF"/>
    <w:rsid w:val="002C468C"/>
    <w:rsid w:val="002C4781"/>
    <w:rsid w:val="002C4B4C"/>
    <w:rsid w:val="002C4DAF"/>
    <w:rsid w:val="002C4DCA"/>
    <w:rsid w:val="002C50A9"/>
    <w:rsid w:val="002C574B"/>
    <w:rsid w:val="002C5951"/>
    <w:rsid w:val="002C5990"/>
    <w:rsid w:val="002C5B6E"/>
    <w:rsid w:val="002C5C63"/>
    <w:rsid w:val="002C60F7"/>
    <w:rsid w:val="002C615B"/>
    <w:rsid w:val="002C6197"/>
    <w:rsid w:val="002C62C4"/>
    <w:rsid w:val="002C6813"/>
    <w:rsid w:val="002C6A25"/>
    <w:rsid w:val="002C7719"/>
    <w:rsid w:val="002C77BC"/>
    <w:rsid w:val="002C7BF1"/>
    <w:rsid w:val="002D0029"/>
    <w:rsid w:val="002D062B"/>
    <w:rsid w:val="002D0AF3"/>
    <w:rsid w:val="002D0C81"/>
    <w:rsid w:val="002D0E13"/>
    <w:rsid w:val="002D1417"/>
    <w:rsid w:val="002D169A"/>
    <w:rsid w:val="002D1C35"/>
    <w:rsid w:val="002D1D18"/>
    <w:rsid w:val="002D1FD5"/>
    <w:rsid w:val="002D23E9"/>
    <w:rsid w:val="002D25BF"/>
    <w:rsid w:val="002D263D"/>
    <w:rsid w:val="002D2720"/>
    <w:rsid w:val="002D2776"/>
    <w:rsid w:val="002D28F2"/>
    <w:rsid w:val="002D2AC3"/>
    <w:rsid w:val="002D2D4C"/>
    <w:rsid w:val="002D2F57"/>
    <w:rsid w:val="002D305B"/>
    <w:rsid w:val="002D325E"/>
    <w:rsid w:val="002D3363"/>
    <w:rsid w:val="002D3399"/>
    <w:rsid w:val="002D3881"/>
    <w:rsid w:val="002D389D"/>
    <w:rsid w:val="002D3950"/>
    <w:rsid w:val="002D3D8C"/>
    <w:rsid w:val="002D3E13"/>
    <w:rsid w:val="002D3EE7"/>
    <w:rsid w:val="002D4106"/>
    <w:rsid w:val="002D42E6"/>
    <w:rsid w:val="002D4F12"/>
    <w:rsid w:val="002D4F64"/>
    <w:rsid w:val="002D4FF9"/>
    <w:rsid w:val="002D504A"/>
    <w:rsid w:val="002D521A"/>
    <w:rsid w:val="002D53AC"/>
    <w:rsid w:val="002D54A2"/>
    <w:rsid w:val="002D56AB"/>
    <w:rsid w:val="002D586A"/>
    <w:rsid w:val="002D5A3A"/>
    <w:rsid w:val="002D5BBE"/>
    <w:rsid w:val="002D5DD7"/>
    <w:rsid w:val="002D5E5B"/>
    <w:rsid w:val="002D64C8"/>
    <w:rsid w:val="002D6627"/>
    <w:rsid w:val="002D67BB"/>
    <w:rsid w:val="002D6AA9"/>
    <w:rsid w:val="002D6E04"/>
    <w:rsid w:val="002D6F27"/>
    <w:rsid w:val="002E0122"/>
    <w:rsid w:val="002E056A"/>
    <w:rsid w:val="002E05AB"/>
    <w:rsid w:val="002E0960"/>
    <w:rsid w:val="002E09F2"/>
    <w:rsid w:val="002E0D39"/>
    <w:rsid w:val="002E1679"/>
    <w:rsid w:val="002E184E"/>
    <w:rsid w:val="002E1CDE"/>
    <w:rsid w:val="002E1D3D"/>
    <w:rsid w:val="002E215D"/>
    <w:rsid w:val="002E22A6"/>
    <w:rsid w:val="002E279D"/>
    <w:rsid w:val="002E29D0"/>
    <w:rsid w:val="002E2ABA"/>
    <w:rsid w:val="002E2CD5"/>
    <w:rsid w:val="002E2E35"/>
    <w:rsid w:val="002E2E75"/>
    <w:rsid w:val="002E2F02"/>
    <w:rsid w:val="002E31C8"/>
    <w:rsid w:val="002E328B"/>
    <w:rsid w:val="002E3386"/>
    <w:rsid w:val="002E345A"/>
    <w:rsid w:val="002E360F"/>
    <w:rsid w:val="002E36C1"/>
    <w:rsid w:val="002E36E1"/>
    <w:rsid w:val="002E37C3"/>
    <w:rsid w:val="002E3FD5"/>
    <w:rsid w:val="002E45DE"/>
    <w:rsid w:val="002E4759"/>
    <w:rsid w:val="002E4894"/>
    <w:rsid w:val="002E4C0F"/>
    <w:rsid w:val="002E53D5"/>
    <w:rsid w:val="002E54AE"/>
    <w:rsid w:val="002E54B2"/>
    <w:rsid w:val="002E568D"/>
    <w:rsid w:val="002E5EA2"/>
    <w:rsid w:val="002E5F05"/>
    <w:rsid w:val="002E611F"/>
    <w:rsid w:val="002E6508"/>
    <w:rsid w:val="002E6A51"/>
    <w:rsid w:val="002E6D7C"/>
    <w:rsid w:val="002E6E86"/>
    <w:rsid w:val="002E6E9D"/>
    <w:rsid w:val="002E751E"/>
    <w:rsid w:val="002E7588"/>
    <w:rsid w:val="002E7622"/>
    <w:rsid w:val="002E7687"/>
    <w:rsid w:val="002E785D"/>
    <w:rsid w:val="002E78F0"/>
    <w:rsid w:val="002E7A17"/>
    <w:rsid w:val="002F0126"/>
    <w:rsid w:val="002F03AB"/>
    <w:rsid w:val="002F06D5"/>
    <w:rsid w:val="002F0706"/>
    <w:rsid w:val="002F0965"/>
    <w:rsid w:val="002F0C60"/>
    <w:rsid w:val="002F0F6A"/>
    <w:rsid w:val="002F1182"/>
    <w:rsid w:val="002F126D"/>
    <w:rsid w:val="002F1647"/>
    <w:rsid w:val="002F18BD"/>
    <w:rsid w:val="002F1A21"/>
    <w:rsid w:val="002F1A58"/>
    <w:rsid w:val="002F1FE0"/>
    <w:rsid w:val="002F265B"/>
    <w:rsid w:val="002F2850"/>
    <w:rsid w:val="002F297F"/>
    <w:rsid w:val="002F29A1"/>
    <w:rsid w:val="002F2EB5"/>
    <w:rsid w:val="002F3298"/>
    <w:rsid w:val="002F3567"/>
    <w:rsid w:val="002F3745"/>
    <w:rsid w:val="002F37D8"/>
    <w:rsid w:val="002F3EE1"/>
    <w:rsid w:val="002F3F63"/>
    <w:rsid w:val="002F4360"/>
    <w:rsid w:val="002F4495"/>
    <w:rsid w:val="002F49C4"/>
    <w:rsid w:val="002F4FD8"/>
    <w:rsid w:val="002F573D"/>
    <w:rsid w:val="002F5A32"/>
    <w:rsid w:val="002F5BB7"/>
    <w:rsid w:val="002F5C27"/>
    <w:rsid w:val="002F5C3F"/>
    <w:rsid w:val="002F5DB6"/>
    <w:rsid w:val="002F5F37"/>
    <w:rsid w:val="002F5F76"/>
    <w:rsid w:val="002F6B14"/>
    <w:rsid w:val="002F6C79"/>
    <w:rsid w:val="002F6DF0"/>
    <w:rsid w:val="002F6FF3"/>
    <w:rsid w:val="002F72E7"/>
    <w:rsid w:val="002F74B0"/>
    <w:rsid w:val="002F76A0"/>
    <w:rsid w:val="002F7849"/>
    <w:rsid w:val="002F78C4"/>
    <w:rsid w:val="002F78FF"/>
    <w:rsid w:val="002F7A1D"/>
    <w:rsid w:val="00300003"/>
    <w:rsid w:val="00300034"/>
    <w:rsid w:val="00300790"/>
    <w:rsid w:val="00300C30"/>
    <w:rsid w:val="00300F65"/>
    <w:rsid w:val="00300FA0"/>
    <w:rsid w:val="0030111F"/>
    <w:rsid w:val="003013AA"/>
    <w:rsid w:val="0030170A"/>
    <w:rsid w:val="0030174D"/>
    <w:rsid w:val="00301811"/>
    <w:rsid w:val="0030194A"/>
    <w:rsid w:val="00301AE4"/>
    <w:rsid w:val="00301B02"/>
    <w:rsid w:val="00301D33"/>
    <w:rsid w:val="0030200D"/>
    <w:rsid w:val="003021D9"/>
    <w:rsid w:val="003025F3"/>
    <w:rsid w:val="0030263B"/>
    <w:rsid w:val="00302770"/>
    <w:rsid w:val="00302872"/>
    <w:rsid w:val="00302AA3"/>
    <w:rsid w:val="00302B4B"/>
    <w:rsid w:val="00302D6C"/>
    <w:rsid w:val="003030F4"/>
    <w:rsid w:val="003034B6"/>
    <w:rsid w:val="00303547"/>
    <w:rsid w:val="00303758"/>
    <w:rsid w:val="0030385D"/>
    <w:rsid w:val="00303898"/>
    <w:rsid w:val="00303B79"/>
    <w:rsid w:val="00303DBF"/>
    <w:rsid w:val="00303E75"/>
    <w:rsid w:val="00303FE4"/>
    <w:rsid w:val="003040DF"/>
    <w:rsid w:val="00304155"/>
    <w:rsid w:val="00304509"/>
    <w:rsid w:val="00304612"/>
    <w:rsid w:val="003046FA"/>
    <w:rsid w:val="00304CE3"/>
    <w:rsid w:val="00304DC4"/>
    <w:rsid w:val="00305629"/>
    <w:rsid w:val="00305908"/>
    <w:rsid w:val="00305B11"/>
    <w:rsid w:val="00305D64"/>
    <w:rsid w:val="00305E90"/>
    <w:rsid w:val="00305ECE"/>
    <w:rsid w:val="00306445"/>
    <w:rsid w:val="003066DF"/>
    <w:rsid w:val="0030675D"/>
    <w:rsid w:val="00306958"/>
    <w:rsid w:val="003069CC"/>
    <w:rsid w:val="00306A40"/>
    <w:rsid w:val="00306AA9"/>
    <w:rsid w:val="00306B43"/>
    <w:rsid w:val="00306B61"/>
    <w:rsid w:val="00306FA0"/>
    <w:rsid w:val="003075A0"/>
    <w:rsid w:val="0030769F"/>
    <w:rsid w:val="00307C40"/>
    <w:rsid w:val="00307F48"/>
    <w:rsid w:val="00310346"/>
    <w:rsid w:val="003104F0"/>
    <w:rsid w:val="00310849"/>
    <w:rsid w:val="00310AB8"/>
    <w:rsid w:val="00310C27"/>
    <w:rsid w:val="00310E70"/>
    <w:rsid w:val="0031110E"/>
    <w:rsid w:val="003111CF"/>
    <w:rsid w:val="0031120A"/>
    <w:rsid w:val="00311B20"/>
    <w:rsid w:val="00311E33"/>
    <w:rsid w:val="00312055"/>
    <w:rsid w:val="003123FB"/>
    <w:rsid w:val="00312540"/>
    <w:rsid w:val="00312706"/>
    <w:rsid w:val="00312867"/>
    <w:rsid w:val="00312A7C"/>
    <w:rsid w:val="00312AEA"/>
    <w:rsid w:val="00312E30"/>
    <w:rsid w:val="00313108"/>
    <w:rsid w:val="00313493"/>
    <w:rsid w:val="003134AB"/>
    <w:rsid w:val="0031352A"/>
    <w:rsid w:val="00313C62"/>
    <w:rsid w:val="00313C64"/>
    <w:rsid w:val="00313D4F"/>
    <w:rsid w:val="00313EFC"/>
    <w:rsid w:val="00314039"/>
    <w:rsid w:val="0031408D"/>
    <w:rsid w:val="003141DD"/>
    <w:rsid w:val="0031430A"/>
    <w:rsid w:val="00314525"/>
    <w:rsid w:val="00314933"/>
    <w:rsid w:val="00314A4D"/>
    <w:rsid w:val="00314A99"/>
    <w:rsid w:val="00314BF2"/>
    <w:rsid w:val="00314C77"/>
    <w:rsid w:val="00314C80"/>
    <w:rsid w:val="00314E45"/>
    <w:rsid w:val="00314FF5"/>
    <w:rsid w:val="003155A3"/>
    <w:rsid w:val="00315607"/>
    <w:rsid w:val="00315759"/>
    <w:rsid w:val="0031578F"/>
    <w:rsid w:val="003158B0"/>
    <w:rsid w:val="003159A7"/>
    <w:rsid w:val="00315A51"/>
    <w:rsid w:val="00315A96"/>
    <w:rsid w:val="00315AA1"/>
    <w:rsid w:val="00315DA3"/>
    <w:rsid w:val="00315F9C"/>
    <w:rsid w:val="00316617"/>
    <w:rsid w:val="00316946"/>
    <w:rsid w:val="00316A24"/>
    <w:rsid w:val="00316CE0"/>
    <w:rsid w:val="00316DF4"/>
    <w:rsid w:val="00316FB0"/>
    <w:rsid w:val="003170FE"/>
    <w:rsid w:val="00317130"/>
    <w:rsid w:val="00317387"/>
    <w:rsid w:val="00317474"/>
    <w:rsid w:val="00317493"/>
    <w:rsid w:val="00317D6A"/>
    <w:rsid w:val="003200C0"/>
    <w:rsid w:val="003200E7"/>
    <w:rsid w:val="003204DB"/>
    <w:rsid w:val="00320971"/>
    <w:rsid w:val="00320B70"/>
    <w:rsid w:val="00320E34"/>
    <w:rsid w:val="00320E72"/>
    <w:rsid w:val="003210D6"/>
    <w:rsid w:val="003210F2"/>
    <w:rsid w:val="003211D5"/>
    <w:rsid w:val="003211DB"/>
    <w:rsid w:val="0032136E"/>
    <w:rsid w:val="0032159A"/>
    <w:rsid w:val="003216E7"/>
    <w:rsid w:val="0032187E"/>
    <w:rsid w:val="003218AF"/>
    <w:rsid w:val="00322491"/>
    <w:rsid w:val="00322725"/>
    <w:rsid w:val="0032274F"/>
    <w:rsid w:val="00322899"/>
    <w:rsid w:val="00322A96"/>
    <w:rsid w:val="00322DC5"/>
    <w:rsid w:val="003233AF"/>
    <w:rsid w:val="00323673"/>
    <w:rsid w:val="003238ED"/>
    <w:rsid w:val="00323B00"/>
    <w:rsid w:val="00323B05"/>
    <w:rsid w:val="0032410B"/>
    <w:rsid w:val="00324275"/>
    <w:rsid w:val="003242DF"/>
    <w:rsid w:val="00324312"/>
    <w:rsid w:val="0032451F"/>
    <w:rsid w:val="00324903"/>
    <w:rsid w:val="00324994"/>
    <w:rsid w:val="00324C31"/>
    <w:rsid w:val="003253E0"/>
    <w:rsid w:val="00325484"/>
    <w:rsid w:val="0032557C"/>
    <w:rsid w:val="00325801"/>
    <w:rsid w:val="00325ECE"/>
    <w:rsid w:val="00325EE1"/>
    <w:rsid w:val="00326096"/>
    <w:rsid w:val="00326214"/>
    <w:rsid w:val="00326531"/>
    <w:rsid w:val="003269DD"/>
    <w:rsid w:val="00326B3B"/>
    <w:rsid w:val="00326FA2"/>
    <w:rsid w:val="003272C1"/>
    <w:rsid w:val="003272D0"/>
    <w:rsid w:val="00327C19"/>
    <w:rsid w:val="0033007B"/>
    <w:rsid w:val="003302EB"/>
    <w:rsid w:val="00330662"/>
    <w:rsid w:val="003306F9"/>
    <w:rsid w:val="00330B86"/>
    <w:rsid w:val="00330C51"/>
    <w:rsid w:val="00330CFD"/>
    <w:rsid w:val="00330DD2"/>
    <w:rsid w:val="00331076"/>
    <w:rsid w:val="00331402"/>
    <w:rsid w:val="00331450"/>
    <w:rsid w:val="0033164B"/>
    <w:rsid w:val="0033180B"/>
    <w:rsid w:val="0033182E"/>
    <w:rsid w:val="00331E2E"/>
    <w:rsid w:val="0033240D"/>
    <w:rsid w:val="0033266D"/>
    <w:rsid w:val="00332A8F"/>
    <w:rsid w:val="00332CB6"/>
    <w:rsid w:val="00332DFE"/>
    <w:rsid w:val="00333407"/>
    <w:rsid w:val="003334D4"/>
    <w:rsid w:val="0033363B"/>
    <w:rsid w:val="00333747"/>
    <w:rsid w:val="0033383C"/>
    <w:rsid w:val="003338DF"/>
    <w:rsid w:val="00333AAB"/>
    <w:rsid w:val="00333F0F"/>
    <w:rsid w:val="003343BC"/>
    <w:rsid w:val="003345F2"/>
    <w:rsid w:val="003346A4"/>
    <w:rsid w:val="00334AB1"/>
    <w:rsid w:val="00334B44"/>
    <w:rsid w:val="00335001"/>
    <w:rsid w:val="0033502E"/>
    <w:rsid w:val="00335242"/>
    <w:rsid w:val="00335A07"/>
    <w:rsid w:val="00335C4A"/>
    <w:rsid w:val="00335DB2"/>
    <w:rsid w:val="00335F42"/>
    <w:rsid w:val="00336132"/>
    <w:rsid w:val="003362AE"/>
    <w:rsid w:val="0033673C"/>
    <w:rsid w:val="0033689E"/>
    <w:rsid w:val="0033693D"/>
    <w:rsid w:val="00336B25"/>
    <w:rsid w:val="00336C21"/>
    <w:rsid w:val="00336D9B"/>
    <w:rsid w:val="0033733C"/>
    <w:rsid w:val="00337560"/>
    <w:rsid w:val="0033774E"/>
    <w:rsid w:val="00337889"/>
    <w:rsid w:val="00337AAC"/>
    <w:rsid w:val="00337B7D"/>
    <w:rsid w:val="00337BA8"/>
    <w:rsid w:val="00337C2E"/>
    <w:rsid w:val="00337EAE"/>
    <w:rsid w:val="00340022"/>
    <w:rsid w:val="00340119"/>
    <w:rsid w:val="003404DB"/>
    <w:rsid w:val="003405CB"/>
    <w:rsid w:val="00340675"/>
    <w:rsid w:val="003407CF"/>
    <w:rsid w:val="00340FEE"/>
    <w:rsid w:val="00341201"/>
    <w:rsid w:val="00341410"/>
    <w:rsid w:val="00341884"/>
    <w:rsid w:val="00341EBE"/>
    <w:rsid w:val="003420D5"/>
    <w:rsid w:val="0034227C"/>
    <w:rsid w:val="003425EA"/>
    <w:rsid w:val="003425FF"/>
    <w:rsid w:val="003426E4"/>
    <w:rsid w:val="00342D7B"/>
    <w:rsid w:val="003431D6"/>
    <w:rsid w:val="003432E7"/>
    <w:rsid w:val="00343558"/>
    <w:rsid w:val="00343635"/>
    <w:rsid w:val="00343670"/>
    <w:rsid w:val="003436A5"/>
    <w:rsid w:val="00343B7B"/>
    <w:rsid w:val="00343CD3"/>
    <w:rsid w:val="00344255"/>
    <w:rsid w:val="003444C4"/>
    <w:rsid w:val="003444CF"/>
    <w:rsid w:val="0034458B"/>
    <w:rsid w:val="0034460A"/>
    <w:rsid w:val="00344678"/>
    <w:rsid w:val="0034491D"/>
    <w:rsid w:val="00344B8D"/>
    <w:rsid w:val="00344EB4"/>
    <w:rsid w:val="00344F36"/>
    <w:rsid w:val="00344F81"/>
    <w:rsid w:val="0034512B"/>
    <w:rsid w:val="003451E2"/>
    <w:rsid w:val="003453D9"/>
    <w:rsid w:val="00345645"/>
    <w:rsid w:val="0034579F"/>
    <w:rsid w:val="0034583F"/>
    <w:rsid w:val="0034592F"/>
    <w:rsid w:val="00345BB7"/>
    <w:rsid w:val="00345D78"/>
    <w:rsid w:val="00345EC9"/>
    <w:rsid w:val="003460B0"/>
    <w:rsid w:val="00346527"/>
    <w:rsid w:val="00346731"/>
    <w:rsid w:val="0034687F"/>
    <w:rsid w:val="0034690A"/>
    <w:rsid w:val="00346C0F"/>
    <w:rsid w:val="00346CDE"/>
    <w:rsid w:val="00346DC6"/>
    <w:rsid w:val="003474AB"/>
    <w:rsid w:val="00347910"/>
    <w:rsid w:val="00347EC0"/>
    <w:rsid w:val="00350145"/>
    <w:rsid w:val="00350AD7"/>
    <w:rsid w:val="00350EB7"/>
    <w:rsid w:val="00350EBD"/>
    <w:rsid w:val="00350EC0"/>
    <w:rsid w:val="003511EC"/>
    <w:rsid w:val="00351776"/>
    <w:rsid w:val="003520F1"/>
    <w:rsid w:val="00352209"/>
    <w:rsid w:val="003522FC"/>
    <w:rsid w:val="00352328"/>
    <w:rsid w:val="00352349"/>
    <w:rsid w:val="00352405"/>
    <w:rsid w:val="003526BC"/>
    <w:rsid w:val="00352788"/>
    <w:rsid w:val="00352A94"/>
    <w:rsid w:val="00352BF9"/>
    <w:rsid w:val="00352C07"/>
    <w:rsid w:val="00352DCC"/>
    <w:rsid w:val="00352EFC"/>
    <w:rsid w:val="003530BD"/>
    <w:rsid w:val="00353213"/>
    <w:rsid w:val="003533F3"/>
    <w:rsid w:val="00353919"/>
    <w:rsid w:val="00353A7D"/>
    <w:rsid w:val="00353AEC"/>
    <w:rsid w:val="00353D3A"/>
    <w:rsid w:val="00354312"/>
    <w:rsid w:val="0035441C"/>
    <w:rsid w:val="00354607"/>
    <w:rsid w:val="0035469C"/>
    <w:rsid w:val="003546F0"/>
    <w:rsid w:val="00354AB3"/>
    <w:rsid w:val="00354CD1"/>
    <w:rsid w:val="00354F41"/>
    <w:rsid w:val="00355391"/>
    <w:rsid w:val="003559AF"/>
    <w:rsid w:val="00355A9B"/>
    <w:rsid w:val="00355BEC"/>
    <w:rsid w:val="00355C81"/>
    <w:rsid w:val="00356082"/>
    <w:rsid w:val="00356112"/>
    <w:rsid w:val="003566E4"/>
    <w:rsid w:val="003567BC"/>
    <w:rsid w:val="003569B3"/>
    <w:rsid w:val="00356A50"/>
    <w:rsid w:val="00356A9E"/>
    <w:rsid w:val="00356DFA"/>
    <w:rsid w:val="00356E31"/>
    <w:rsid w:val="00356EA9"/>
    <w:rsid w:val="003570DE"/>
    <w:rsid w:val="0035716F"/>
    <w:rsid w:val="0035727B"/>
    <w:rsid w:val="003574F3"/>
    <w:rsid w:val="0035766F"/>
    <w:rsid w:val="00357D70"/>
    <w:rsid w:val="00357DFA"/>
    <w:rsid w:val="00357ECE"/>
    <w:rsid w:val="003600A7"/>
    <w:rsid w:val="00360237"/>
    <w:rsid w:val="003605C1"/>
    <w:rsid w:val="0036061C"/>
    <w:rsid w:val="00360783"/>
    <w:rsid w:val="00360DE9"/>
    <w:rsid w:val="00360F55"/>
    <w:rsid w:val="003612BB"/>
    <w:rsid w:val="00361346"/>
    <w:rsid w:val="00361407"/>
    <w:rsid w:val="003615CA"/>
    <w:rsid w:val="003615CC"/>
    <w:rsid w:val="00361A0E"/>
    <w:rsid w:val="00361B34"/>
    <w:rsid w:val="00361C24"/>
    <w:rsid w:val="003620CD"/>
    <w:rsid w:val="003621DF"/>
    <w:rsid w:val="003622BC"/>
    <w:rsid w:val="00362488"/>
    <w:rsid w:val="003628D1"/>
    <w:rsid w:val="00362B2E"/>
    <w:rsid w:val="00363086"/>
    <w:rsid w:val="00363335"/>
    <w:rsid w:val="003633B1"/>
    <w:rsid w:val="00363558"/>
    <w:rsid w:val="003635C0"/>
    <w:rsid w:val="0036362D"/>
    <w:rsid w:val="00363680"/>
    <w:rsid w:val="00363693"/>
    <w:rsid w:val="00363800"/>
    <w:rsid w:val="0036392B"/>
    <w:rsid w:val="00363963"/>
    <w:rsid w:val="00363BDC"/>
    <w:rsid w:val="00363CAE"/>
    <w:rsid w:val="00363DB4"/>
    <w:rsid w:val="00363FEE"/>
    <w:rsid w:val="003642D8"/>
    <w:rsid w:val="003643AC"/>
    <w:rsid w:val="00364652"/>
    <w:rsid w:val="00364A1D"/>
    <w:rsid w:val="00364B4C"/>
    <w:rsid w:val="00364D73"/>
    <w:rsid w:val="00364DEF"/>
    <w:rsid w:val="00364FCD"/>
    <w:rsid w:val="003659D0"/>
    <w:rsid w:val="00365C25"/>
    <w:rsid w:val="00365E3D"/>
    <w:rsid w:val="00365F70"/>
    <w:rsid w:val="0036601A"/>
    <w:rsid w:val="003661AC"/>
    <w:rsid w:val="003662AB"/>
    <w:rsid w:val="00366373"/>
    <w:rsid w:val="003666B2"/>
    <w:rsid w:val="00366934"/>
    <w:rsid w:val="00366B9B"/>
    <w:rsid w:val="00366DD3"/>
    <w:rsid w:val="00367251"/>
    <w:rsid w:val="00367855"/>
    <w:rsid w:val="00367A63"/>
    <w:rsid w:val="00367A7D"/>
    <w:rsid w:val="00367C5D"/>
    <w:rsid w:val="00367C79"/>
    <w:rsid w:val="00370121"/>
    <w:rsid w:val="003702DF"/>
    <w:rsid w:val="00370555"/>
    <w:rsid w:val="003705CD"/>
    <w:rsid w:val="003706CB"/>
    <w:rsid w:val="0037071C"/>
    <w:rsid w:val="0037078B"/>
    <w:rsid w:val="003709F6"/>
    <w:rsid w:val="00370B26"/>
    <w:rsid w:val="00370BD8"/>
    <w:rsid w:val="00370C54"/>
    <w:rsid w:val="00370D1D"/>
    <w:rsid w:val="00370DBC"/>
    <w:rsid w:val="00370E2A"/>
    <w:rsid w:val="00370EC0"/>
    <w:rsid w:val="0037111C"/>
    <w:rsid w:val="00371611"/>
    <w:rsid w:val="003718A5"/>
    <w:rsid w:val="00371968"/>
    <w:rsid w:val="00371C99"/>
    <w:rsid w:val="00371CDE"/>
    <w:rsid w:val="00371D36"/>
    <w:rsid w:val="00371D7D"/>
    <w:rsid w:val="00371E75"/>
    <w:rsid w:val="00372476"/>
    <w:rsid w:val="00372934"/>
    <w:rsid w:val="00372944"/>
    <w:rsid w:val="00372A36"/>
    <w:rsid w:val="00372B1C"/>
    <w:rsid w:val="00372B2B"/>
    <w:rsid w:val="00372E1D"/>
    <w:rsid w:val="00372EEA"/>
    <w:rsid w:val="0037300C"/>
    <w:rsid w:val="003730AA"/>
    <w:rsid w:val="003730D5"/>
    <w:rsid w:val="00373297"/>
    <w:rsid w:val="00373315"/>
    <w:rsid w:val="003733EC"/>
    <w:rsid w:val="003735F3"/>
    <w:rsid w:val="00373700"/>
    <w:rsid w:val="00373FF8"/>
    <w:rsid w:val="003744D9"/>
    <w:rsid w:val="00374713"/>
    <w:rsid w:val="00374725"/>
    <w:rsid w:val="003748F7"/>
    <w:rsid w:val="00374C79"/>
    <w:rsid w:val="00375140"/>
    <w:rsid w:val="00375150"/>
    <w:rsid w:val="0037542D"/>
    <w:rsid w:val="00375454"/>
    <w:rsid w:val="0037566C"/>
    <w:rsid w:val="003756E0"/>
    <w:rsid w:val="003758C8"/>
    <w:rsid w:val="00375A2A"/>
    <w:rsid w:val="00375B50"/>
    <w:rsid w:val="00375BE0"/>
    <w:rsid w:val="00376074"/>
    <w:rsid w:val="003760F1"/>
    <w:rsid w:val="0037611F"/>
    <w:rsid w:val="0037615E"/>
    <w:rsid w:val="00376366"/>
    <w:rsid w:val="00376488"/>
    <w:rsid w:val="003766ED"/>
    <w:rsid w:val="00376810"/>
    <w:rsid w:val="00376C8A"/>
    <w:rsid w:val="00376CC4"/>
    <w:rsid w:val="00376D42"/>
    <w:rsid w:val="00376F57"/>
    <w:rsid w:val="0037723E"/>
    <w:rsid w:val="00377696"/>
    <w:rsid w:val="00377984"/>
    <w:rsid w:val="00377BBA"/>
    <w:rsid w:val="003800DF"/>
    <w:rsid w:val="00380236"/>
    <w:rsid w:val="00380F3B"/>
    <w:rsid w:val="003810E7"/>
    <w:rsid w:val="0038166B"/>
    <w:rsid w:val="00381671"/>
    <w:rsid w:val="00381875"/>
    <w:rsid w:val="003818A0"/>
    <w:rsid w:val="00381D45"/>
    <w:rsid w:val="00381DBA"/>
    <w:rsid w:val="00382245"/>
    <w:rsid w:val="00382279"/>
    <w:rsid w:val="003822DD"/>
    <w:rsid w:val="0038231D"/>
    <w:rsid w:val="003823A3"/>
    <w:rsid w:val="0038253F"/>
    <w:rsid w:val="00382970"/>
    <w:rsid w:val="00383A0E"/>
    <w:rsid w:val="00383B74"/>
    <w:rsid w:val="00383E32"/>
    <w:rsid w:val="003841C5"/>
    <w:rsid w:val="003844F8"/>
    <w:rsid w:val="00384854"/>
    <w:rsid w:val="003849D2"/>
    <w:rsid w:val="00384F8F"/>
    <w:rsid w:val="00385043"/>
    <w:rsid w:val="003852CA"/>
    <w:rsid w:val="00385532"/>
    <w:rsid w:val="00385582"/>
    <w:rsid w:val="0038575D"/>
    <w:rsid w:val="003857DB"/>
    <w:rsid w:val="00385A89"/>
    <w:rsid w:val="00385C56"/>
    <w:rsid w:val="00386177"/>
    <w:rsid w:val="0038621C"/>
    <w:rsid w:val="0038638D"/>
    <w:rsid w:val="0038649A"/>
    <w:rsid w:val="0038652A"/>
    <w:rsid w:val="003865D5"/>
    <w:rsid w:val="003866D3"/>
    <w:rsid w:val="003868C7"/>
    <w:rsid w:val="003869FB"/>
    <w:rsid w:val="00386AFE"/>
    <w:rsid w:val="00386BEF"/>
    <w:rsid w:val="00387110"/>
    <w:rsid w:val="00387769"/>
    <w:rsid w:val="003878A5"/>
    <w:rsid w:val="00387A81"/>
    <w:rsid w:val="00387E39"/>
    <w:rsid w:val="00387F66"/>
    <w:rsid w:val="003903E3"/>
    <w:rsid w:val="00390553"/>
    <w:rsid w:val="00390869"/>
    <w:rsid w:val="003908FB"/>
    <w:rsid w:val="00390ABB"/>
    <w:rsid w:val="00390C83"/>
    <w:rsid w:val="00390CFC"/>
    <w:rsid w:val="00390D63"/>
    <w:rsid w:val="00391169"/>
    <w:rsid w:val="003915A9"/>
    <w:rsid w:val="00391821"/>
    <w:rsid w:val="00391FB6"/>
    <w:rsid w:val="00392140"/>
    <w:rsid w:val="00392152"/>
    <w:rsid w:val="0039229B"/>
    <w:rsid w:val="00392335"/>
    <w:rsid w:val="00392889"/>
    <w:rsid w:val="003928BC"/>
    <w:rsid w:val="00392E1E"/>
    <w:rsid w:val="003931B3"/>
    <w:rsid w:val="00393486"/>
    <w:rsid w:val="00393524"/>
    <w:rsid w:val="003935A2"/>
    <w:rsid w:val="0039377A"/>
    <w:rsid w:val="00393C20"/>
    <w:rsid w:val="00393CA6"/>
    <w:rsid w:val="00393DEE"/>
    <w:rsid w:val="00394018"/>
    <w:rsid w:val="00394051"/>
    <w:rsid w:val="00394B8E"/>
    <w:rsid w:val="00395374"/>
    <w:rsid w:val="0039540B"/>
    <w:rsid w:val="003955CE"/>
    <w:rsid w:val="0039569D"/>
    <w:rsid w:val="003956C6"/>
    <w:rsid w:val="00395DD1"/>
    <w:rsid w:val="00395EA2"/>
    <w:rsid w:val="00396210"/>
    <w:rsid w:val="0039629F"/>
    <w:rsid w:val="0039634A"/>
    <w:rsid w:val="003967A5"/>
    <w:rsid w:val="00396B58"/>
    <w:rsid w:val="00396F84"/>
    <w:rsid w:val="00397829"/>
    <w:rsid w:val="0039797A"/>
    <w:rsid w:val="00397A88"/>
    <w:rsid w:val="00397AD0"/>
    <w:rsid w:val="00397CBF"/>
    <w:rsid w:val="003A0566"/>
    <w:rsid w:val="003A0755"/>
    <w:rsid w:val="003A0CB1"/>
    <w:rsid w:val="003A1297"/>
    <w:rsid w:val="003A139D"/>
    <w:rsid w:val="003A14D6"/>
    <w:rsid w:val="003A14DD"/>
    <w:rsid w:val="003A17B0"/>
    <w:rsid w:val="003A17DC"/>
    <w:rsid w:val="003A17E2"/>
    <w:rsid w:val="003A1BA2"/>
    <w:rsid w:val="003A1C4F"/>
    <w:rsid w:val="003A1F8E"/>
    <w:rsid w:val="003A201D"/>
    <w:rsid w:val="003A22C2"/>
    <w:rsid w:val="003A2D66"/>
    <w:rsid w:val="003A2D96"/>
    <w:rsid w:val="003A312C"/>
    <w:rsid w:val="003A3189"/>
    <w:rsid w:val="003A3383"/>
    <w:rsid w:val="003A34C0"/>
    <w:rsid w:val="003A362B"/>
    <w:rsid w:val="003A36DE"/>
    <w:rsid w:val="003A3D0F"/>
    <w:rsid w:val="003A3E4B"/>
    <w:rsid w:val="003A3F22"/>
    <w:rsid w:val="003A454A"/>
    <w:rsid w:val="003A4796"/>
    <w:rsid w:val="003A4A26"/>
    <w:rsid w:val="003A4C56"/>
    <w:rsid w:val="003A4C7A"/>
    <w:rsid w:val="003A4DCE"/>
    <w:rsid w:val="003A4FA7"/>
    <w:rsid w:val="003A51BC"/>
    <w:rsid w:val="003A51DA"/>
    <w:rsid w:val="003A5219"/>
    <w:rsid w:val="003A5715"/>
    <w:rsid w:val="003A57B6"/>
    <w:rsid w:val="003A5A81"/>
    <w:rsid w:val="003A5C58"/>
    <w:rsid w:val="003A5FA6"/>
    <w:rsid w:val="003A609C"/>
    <w:rsid w:val="003A667D"/>
    <w:rsid w:val="003A6A97"/>
    <w:rsid w:val="003A6CCB"/>
    <w:rsid w:val="003A7144"/>
    <w:rsid w:val="003A7341"/>
    <w:rsid w:val="003A7CFE"/>
    <w:rsid w:val="003A7E26"/>
    <w:rsid w:val="003A7E85"/>
    <w:rsid w:val="003A7EF3"/>
    <w:rsid w:val="003B02EA"/>
    <w:rsid w:val="003B0540"/>
    <w:rsid w:val="003B067D"/>
    <w:rsid w:val="003B08D0"/>
    <w:rsid w:val="003B0BAF"/>
    <w:rsid w:val="003B0E06"/>
    <w:rsid w:val="003B0ECB"/>
    <w:rsid w:val="003B0EE4"/>
    <w:rsid w:val="003B103A"/>
    <w:rsid w:val="003B1268"/>
    <w:rsid w:val="003B146F"/>
    <w:rsid w:val="003B1A0A"/>
    <w:rsid w:val="003B1DF6"/>
    <w:rsid w:val="003B2177"/>
    <w:rsid w:val="003B2727"/>
    <w:rsid w:val="003B2761"/>
    <w:rsid w:val="003B27DB"/>
    <w:rsid w:val="003B2A0A"/>
    <w:rsid w:val="003B2C28"/>
    <w:rsid w:val="003B3001"/>
    <w:rsid w:val="003B32ED"/>
    <w:rsid w:val="003B39D9"/>
    <w:rsid w:val="003B3B83"/>
    <w:rsid w:val="003B3D21"/>
    <w:rsid w:val="003B3FE4"/>
    <w:rsid w:val="003B4061"/>
    <w:rsid w:val="003B4281"/>
    <w:rsid w:val="003B4530"/>
    <w:rsid w:val="003B4872"/>
    <w:rsid w:val="003B48F2"/>
    <w:rsid w:val="003B4D70"/>
    <w:rsid w:val="003B5022"/>
    <w:rsid w:val="003B51BD"/>
    <w:rsid w:val="003B57B8"/>
    <w:rsid w:val="003B5A20"/>
    <w:rsid w:val="003B5AD2"/>
    <w:rsid w:val="003B5E2F"/>
    <w:rsid w:val="003B5F8B"/>
    <w:rsid w:val="003B611D"/>
    <w:rsid w:val="003B6134"/>
    <w:rsid w:val="003B636B"/>
    <w:rsid w:val="003B64AE"/>
    <w:rsid w:val="003B6561"/>
    <w:rsid w:val="003B690F"/>
    <w:rsid w:val="003B69B4"/>
    <w:rsid w:val="003B6B36"/>
    <w:rsid w:val="003B6D50"/>
    <w:rsid w:val="003B6E08"/>
    <w:rsid w:val="003B71D9"/>
    <w:rsid w:val="003B732F"/>
    <w:rsid w:val="003B737F"/>
    <w:rsid w:val="003B7563"/>
    <w:rsid w:val="003B7A48"/>
    <w:rsid w:val="003B7D5D"/>
    <w:rsid w:val="003B7F27"/>
    <w:rsid w:val="003C014A"/>
    <w:rsid w:val="003C02A2"/>
    <w:rsid w:val="003C06D1"/>
    <w:rsid w:val="003C07A4"/>
    <w:rsid w:val="003C0844"/>
    <w:rsid w:val="003C08ED"/>
    <w:rsid w:val="003C0997"/>
    <w:rsid w:val="003C0BF1"/>
    <w:rsid w:val="003C0BF9"/>
    <w:rsid w:val="003C0C2F"/>
    <w:rsid w:val="003C13E8"/>
    <w:rsid w:val="003C15A0"/>
    <w:rsid w:val="003C15A9"/>
    <w:rsid w:val="003C1947"/>
    <w:rsid w:val="003C198D"/>
    <w:rsid w:val="003C1B0D"/>
    <w:rsid w:val="003C1BF5"/>
    <w:rsid w:val="003C202D"/>
    <w:rsid w:val="003C223D"/>
    <w:rsid w:val="003C24CF"/>
    <w:rsid w:val="003C273B"/>
    <w:rsid w:val="003C2857"/>
    <w:rsid w:val="003C2B0A"/>
    <w:rsid w:val="003C3BCD"/>
    <w:rsid w:val="003C3D8B"/>
    <w:rsid w:val="003C4058"/>
    <w:rsid w:val="003C43EE"/>
    <w:rsid w:val="003C463C"/>
    <w:rsid w:val="003C479B"/>
    <w:rsid w:val="003C501A"/>
    <w:rsid w:val="003C58ED"/>
    <w:rsid w:val="003C5E6D"/>
    <w:rsid w:val="003C5FD7"/>
    <w:rsid w:val="003C6253"/>
    <w:rsid w:val="003C667C"/>
    <w:rsid w:val="003C66C7"/>
    <w:rsid w:val="003C6B94"/>
    <w:rsid w:val="003C6C44"/>
    <w:rsid w:val="003C6E76"/>
    <w:rsid w:val="003C6E8C"/>
    <w:rsid w:val="003C6FF6"/>
    <w:rsid w:val="003C75E5"/>
    <w:rsid w:val="003C7AAE"/>
    <w:rsid w:val="003C7B47"/>
    <w:rsid w:val="003C7C58"/>
    <w:rsid w:val="003C7E77"/>
    <w:rsid w:val="003D056D"/>
    <w:rsid w:val="003D06DC"/>
    <w:rsid w:val="003D0E1E"/>
    <w:rsid w:val="003D1079"/>
    <w:rsid w:val="003D10C1"/>
    <w:rsid w:val="003D1234"/>
    <w:rsid w:val="003D1283"/>
    <w:rsid w:val="003D1C46"/>
    <w:rsid w:val="003D1DE6"/>
    <w:rsid w:val="003D22B7"/>
    <w:rsid w:val="003D267A"/>
    <w:rsid w:val="003D28F8"/>
    <w:rsid w:val="003D2A05"/>
    <w:rsid w:val="003D31C7"/>
    <w:rsid w:val="003D389A"/>
    <w:rsid w:val="003D3998"/>
    <w:rsid w:val="003D3A4D"/>
    <w:rsid w:val="003D3BD9"/>
    <w:rsid w:val="003D3D41"/>
    <w:rsid w:val="003D42AD"/>
    <w:rsid w:val="003D4BBC"/>
    <w:rsid w:val="003D4BDE"/>
    <w:rsid w:val="003D5060"/>
    <w:rsid w:val="003D51F4"/>
    <w:rsid w:val="003D53BE"/>
    <w:rsid w:val="003D53C6"/>
    <w:rsid w:val="003D5944"/>
    <w:rsid w:val="003D5CB1"/>
    <w:rsid w:val="003D62AE"/>
    <w:rsid w:val="003D62C7"/>
    <w:rsid w:val="003D68D6"/>
    <w:rsid w:val="003D6FFE"/>
    <w:rsid w:val="003D7113"/>
    <w:rsid w:val="003D73B1"/>
    <w:rsid w:val="003D75AA"/>
    <w:rsid w:val="003D77AE"/>
    <w:rsid w:val="003D7C46"/>
    <w:rsid w:val="003D7ED3"/>
    <w:rsid w:val="003E0034"/>
    <w:rsid w:val="003E0193"/>
    <w:rsid w:val="003E0392"/>
    <w:rsid w:val="003E03C7"/>
    <w:rsid w:val="003E085A"/>
    <w:rsid w:val="003E0969"/>
    <w:rsid w:val="003E0EB4"/>
    <w:rsid w:val="003E0F7C"/>
    <w:rsid w:val="003E10F4"/>
    <w:rsid w:val="003E1405"/>
    <w:rsid w:val="003E1B9F"/>
    <w:rsid w:val="003E1BA1"/>
    <w:rsid w:val="003E1E40"/>
    <w:rsid w:val="003E2333"/>
    <w:rsid w:val="003E2496"/>
    <w:rsid w:val="003E2824"/>
    <w:rsid w:val="003E2BD1"/>
    <w:rsid w:val="003E2D08"/>
    <w:rsid w:val="003E2FAE"/>
    <w:rsid w:val="003E31CC"/>
    <w:rsid w:val="003E321D"/>
    <w:rsid w:val="003E32DD"/>
    <w:rsid w:val="003E337D"/>
    <w:rsid w:val="003E3660"/>
    <w:rsid w:val="003E374F"/>
    <w:rsid w:val="003E3A39"/>
    <w:rsid w:val="003E3AB4"/>
    <w:rsid w:val="003E3B25"/>
    <w:rsid w:val="003E3E57"/>
    <w:rsid w:val="003E426C"/>
    <w:rsid w:val="003E4411"/>
    <w:rsid w:val="003E460F"/>
    <w:rsid w:val="003E48AD"/>
    <w:rsid w:val="003E497F"/>
    <w:rsid w:val="003E4A41"/>
    <w:rsid w:val="003E4B20"/>
    <w:rsid w:val="003E50B9"/>
    <w:rsid w:val="003E50BF"/>
    <w:rsid w:val="003E50CD"/>
    <w:rsid w:val="003E53D3"/>
    <w:rsid w:val="003E5BF3"/>
    <w:rsid w:val="003E5C37"/>
    <w:rsid w:val="003E5CDC"/>
    <w:rsid w:val="003E5F22"/>
    <w:rsid w:val="003E6277"/>
    <w:rsid w:val="003E6428"/>
    <w:rsid w:val="003E6D13"/>
    <w:rsid w:val="003E6FAE"/>
    <w:rsid w:val="003E7325"/>
    <w:rsid w:val="003E7489"/>
    <w:rsid w:val="003E76CF"/>
    <w:rsid w:val="003E77E0"/>
    <w:rsid w:val="003E77F1"/>
    <w:rsid w:val="003E78CD"/>
    <w:rsid w:val="003E7ABE"/>
    <w:rsid w:val="003E7DB8"/>
    <w:rsid w:val="003E7FC4"/>
    <w:rsid w:val="003F02CC"/>
    <w:rsid w:val="003F056A"/>
    <w:rsid w:val="003F06EA"/>
    <w:rsid w:val="003F09C6"/>
    <w:rsid w:val="003F0F46"/>
    <w:rsid w:val="003F1486"/>
    <w:rsid w:val="003F1544"/>
    <w:rsid w:val="003F16AB"/>
    <w:rsid w:val="003F1E8E"/>
    <w:rsid w:val="003F249A"/>
    <w:rsid w:val="003F2692"/>
    <w:rsid w:val="003F2707"/>
    <w:rsid w:val="003F2C89"/>
    <w:rsid w:val="003F3273"/>
    <w:rsid w:val="003F379D"/>
    <w:rsid w:val="003F3CAB"/>
    <w:rsid w:val="003F3E6A"/>
    <w:rsid w:val="003F43AC"/>
    <w:rsid w:val="003F45BD"/>
    <w:rsid w:val="003F4648"/>
    <w:rsid w:val="003F4649"/>
    <w:rsid w:val="003F47B0"/>
    <w:rsid w:val="003F48CA"/>
    <w:rsid w:val="003F4D58"/>
    <w:rsid w:val="003F4FAC"/>
    <w:rsid w:val="003F5782"/>
    <w:rsid w:val="003F5B6B"/>
    <w:rsid w:val="003F64E4"/>
    <w:rsid w:val="003F6733"/>
    <w:rsid w:val="003F70A3"/>
    <w:rsid w:val="003F718B"/>
    <w:rsid w:val="003F7450"/>
    <w:rsid w:val="003F780F"/>
    <w:rsid w:val="003F7825"/>
    <w:rsid w:val="003F79EC"/>
    <w:rsid w:val="003F7F95"/>
    <w:rsid w:val="00400490"/>
    <w:rsid w:val="00400C38"/>
    <w:rsid w:val="00400E1F"/>
    <w:rsid w:val="00400ED7"/>
    <w:rsid w:val="0040161F"/>
    <w:rsid w:val="00401676"/>
    <w:rsid w:val="00401EA0"/>
    <w:rsid w:val="00401F31"/>
    <w:rsid w:val="0040219F"/>
    <w:rsid w:val="00402276"/>
    <w:rsid w:val="004022D7"/>
    <w:rsid w:val="004026A8"/>
    <w:rsid w:val="004026D6"/>
    <w:rsid w:val="0040276F"/>
    <w:rsid w:val="00402EB7"/>
    <w:rsid w:val="00403337"/>
    <w:rsid w:val="004033F3"/>
    <w:rsid w:val="004038B4"/>
    <w:rsid w:val="00403927"/>
    <w:rsid w:val="00403A59"/>
    <w:rsid w:val="00403A7E"/>
    <w:rsid w:val="00403CC6"/>
    <w:rsid w:val="00403E6A"/>
    <w:rsid w:val="00403F32"/>
    <w:rsid w:val="00403FA2"/>
    <w:rsid w:val="004041D8"/>
    <w:rsid w:val="00404DCF"/>
    <w:rsid w:val="00404E46"/>
    <w:rsid w:val="004050A5"/>
    <w:rsid w:val="0040529D"/>
    <w:rsid w:val="00405796"/>
    <w:rsid w:val="004059DC"/>
    <w:rsid w:val="00405E71"/>
    <w:rsid w:val="00405F15"/>
    <w:rsid w:val="00406250"/>
    <w:rsid w:val="00406297"/>
    <w:rsid w:val="00406332"/>
    <w:rsid w:val="004064AA"/>
    <w:rsid w:val="00406515"/>
    <w:rsid w:val="00406708"/>
    <w:rsid w:val="004068E2"/>
    <w:rsid w:val="0040700E"/>
    <w:rsid w:val="004072B0"/>
    <w:rsid w:val="0040759B"/>
    <w:rsid w:val="00407736"/>
    <w:rsid w:val="00407A09"/>
    <w:rsid w:val="00407D8C"/>
    <w:rsid w:val="004103DF"/>
    <w:rsid w:val="0041050C"/>
    <w:rsid w:val="00410575"/>
    <w:rsid w:val="00410636"/>
    <w:rsid w:val="0041081F"/>
    <w:rsid w:val="00410A56"/>
    <w:rsid w:val="00410ACB"/>
    <w:rsid w:val="00410F3B"/>
    <w:rsid w:val="00411091"/>
    <w:rsid w:val="004114B3"/>
    <w:rsid w:val="00411B2F"/>
    <w:rsid w:val="00411F7E"/>
    <w:rsid w:val="0041208E"/>
    <w:rsid w:val="0041217C"/>
    <w:rsid w:val="004121B1"/>
    <w:rsid w:val="004121E2"/>
    <w:rsid w:val="00412532"/>
    <w:rsid w:val="00412564"/>
    <w:rsid w:val="00412D27"/>
    <w:rsid w:val="0041300D"/>
    <w:rsid w:val="0041348C"/>
    <w:rsid w:val="004135E6"/>
    <w:rsid w:val="004136D8"/>
    <w:rsid w:val="0041373B"/>
    <w:rsid w:val="00414009"/>
    <w:rsid w:val="0041403D"/>
    <w:rsid w:val="00414D7F"/>
    <w:rsid w:val="00414FF8"/>
    <w:rsid w:val="004156E5"/>
    <w:rsid w:val="00415A76"/>
    <w:rsid w:val="00415D4A"/>
    <w:rsid w:val="00415D6B"/>
    <w:rsid w:val="00415D77"/>
    <w:rsid w:val="00415EDA"/>
    <w:rsid w:val="00415FF0"/>
    <w:rsid w:val="0041616A"/>
    <w:rsid w:val="00416713"/>
    <w:rsid w:val="00416775"/>
    <w:rsid w:val="00416968"/>
    <w:rsid w:val="00416C06"/>
    <w:rsid w:val="00416D40"/>
    <w:rsid w:val="004174D2"/>
    <w:rsid w:val="00417C80"/>
    <w:rsid w:val="00417D70"/>
    <w:rsid w:val="0042007E"/>
    <w:rsid w:val="00420378"/>
    <w:rsid w:val="004203CD"/>
    <w:rsid w:val="004206F2"/>
    <w:rsid w:val="00420798"/>
    <w:rsid w:val="004207EC"/>
    <w:rsid w:val="00420891"/>
    <w:rsid w:val="00420BF1"/>
    <w:rsid w:val="00420CB9"/>
    <w:rsid w:val="00420EE6"/>
    <w:rsid w:val="00421394"/>
    <w:rsid w:val="00421453"/>
    <w:rsid w:val="00421789"/>
    <w:rsid w:val="00421830"/>
    <w:rsid w:val="004219A7"/>
    <w:rsid w:val="004219D9"/>
    <w:rsid w:val="00421AD2"/>
    <w:rsid w:val="00421C14"/>
    <w:rsid w:val="00421EB9"/>
    <w:rsid w:val="00421FA5"/>
    <w:rsid w:val="00422506"/>
    <w:rsid w:val="00422715"/>
    <w:rsid w:val="00422C7B"/>
    <w:rsid w:val="00422D85"/>
    <w:rsid w:val="00422FAA"/>
    <w:rsid w:val="004230B0"/>
    <w:rsid w:val="00423B2C"/>
    <w:rsid w:val="00423F06"/>
    <w:rsid w:val="00424086"/>
    <w:rsid w:val="00424590"/>
    <w:rsid w:val="004248E8"/>
    <w:rsid w:val="00424B8E"/>
    <w:rsid w:val="00424C10"/>
    <w:rsid w:val="00424C65"/>
    <w:rsid w:val="00424CA1"/>
    <w:rsid w:val="004251E1"/>
    <w:rsid w:val="00425B4E"/>
    <w:rsid w:val="00425CE4"/>
    <w:rsid w:val="00425FB4"/>
    <w:rsid w:val="004261DD"/>
    <w:rsid w:val="00426527"/>
    <w:rsid w:val="00426662"/>
    <w:rsid w:val="004266C2"/>
    <w:rsid w:val="004269B5"/>
    <w:rsid w:val="004269DB"/>
    <w:rsid w:val="00427195"/>
    <w:rsid w:val="00427286"/>
    <w:rsid w:val="0042732F"/>
    <w:rsid w:val="004274E2"/>
    <w:rsid w:val="00427831"/>
    <w:rsid w:val="004279B1"/>
    <w:rsid w:val="00427A65"/>
    <w:rsid w:val="00427B23"/>
    <w:rsid w:val="00427BDB"/>
    <w:rsid w:val="00427BE8"/>
    <w:rsid w:val="00427C01"/>
    <w:rsid w:val="00427CA0"/>
    <w:rsid w:val="00427EF5"/>
    <w:rsid w:val="004301EC"/>
    <w:rsid w:val="00430279"/>
    <w:rsid w:val="0043066F"/>
    <w:rsid w:val="004306CF"/>
    <w:rsid w:val="00430886"/>
    <w:rsid w:val="004309A3"/>
    <w:rsid w:val="00430B35"/>
    <w:rsid w:val="0043130B"/>
    <w:rsid w:val="00431668"/>
    <w:rsid w:val="0043185A"/>
    <w:rsid w:val="00431A22"/>
    <w:rsid w:val="00431A9E"/>
    <w:rsid w:val="00431B45"/>
    <w:rsid w:val="00431E30"/>
    <w:rsid w:val="00432149"/>
    <w:rsid w:val="004321AB"/>
    <w:rsid w:val="0043221D"/>
    <w:rsid w:val="0043237E"/>
    <w:rsid w:val="004324C9"/>
    <w:rsid w:val="004324E1"/>
    <w:rsid w:val="004329BC"/>
    <w:rsid w:val="00432CDC"/>
    <w:rsid w:val="00432D1D"/>
    <w:rsid w:val="00432F9F"/>
    <w:rsid w:val="004332AA"/>
    <w:rsid w:val="0043358C"/>
    <w:rsid w:val="00434191"/>
    <w:rsid w:val="004344C4"/>
    <w:rsid w:val="004344EA"/>
    <w:rsid w:val="00434631"/>
    <w:rsid w:val="00434AE3"/>
    <w:rsid w:val="00434BED"/>
    <w:rsid w:val="0043509D"/>
    <w:rsid w:val="004351EF"/>
    <w:rsid w:val="0043537A"/>
    <w:rsid w:val="00435539"/>
    <w:rsid w:val="0043591C"/>
    <w:rsid w:val="0043595B"/>
    <w:rsid w:val="004359A4"/>
    <w:rsid w:val="00435C19"/>
    <w:rsid w:val="00435C76"/>
    <w:rsid w:val="00435DEB"/>
    <w:rsid w:val="00436409"/>
    <w:rsid w:val="0043640B"/>
    <w:rsid w:val="0043663D"/>
    <w:rsid w:val="004366D2"/>
    <w:rsid w:val="00436D2C"/>
    <w:rsid w:val="004373EE"/>
    <w:rsid w:val="00437984"/>
    <w:rsid w:val="00437C80"/>
    <w:rsid w:val="00437D04"/>
    <w:rsid w:val="00437EE5"/>
    <w:rsid w:val="00437F95"/>
    <w:rsid w:val="004404EA"/>
    <w:rsid w:val="00440569"/>
    <w:rsid w:val="004406EA"/>
    <w:rsid w:val="004407A6"/>
    <w:rsid w:val="00440A8C"/>
    <w:rsid w:val="00440FB2"/>
    <w:rsid w:val="00441169"/>
    <w:rsid w:val="004415C5"/>
    <w:rsid w:val="00441A67"/>
    <w:rsid w:val="00441B0A"/>
    <w:rsid w:val="00441B32"/>
    <w:rsid w:val="00441B95"/>
    <w:rsid w:val="00441CB6"/>
    <w:rsid w:val="00442359"/>
    <w:rsid w:val="00442773"/>
    <w:rsid w:val="00442869"/>
    <w:rsid w:val="004429A7"/>
    <w:rsid w:val="00442B07"/>
    <w:rsid w:val="004431CF"/>
    <w:rsid w:val="0044328F"/>
    <w:rsid w:val="00443638"/>
    <w:rsid w:val="00443895"/>
    <w:rsid w:val="00443A2A"/>
    <w:rsid w:val="004440F4"/>
    <w:rsid w:val="0044411F"/>
    <w:rsid w:val="00444240"/>
    <w:rsid w:val="004442FF"/>
    <w:rsid w:val="004443E0"/>
    <w:rsid w:val="00444412"/>
    <w:rsid w:val="004444A6"/>
    <w:rsid w:val="00444556"/>
    <w:rsid w:val="004445A6"/>
    <w:rsid w:val="00444894"/>
    <w:rsid w:val="004449A5"/>
    <w:rsid w:val="004449AA"/>
    <w:rsid w:val="004450B9"/>
    <w:rsid w:val="00445111"/>
    <w:rsid w:val="004452D7"/>
    <w:rsid w:val="004453B8"/>
    <w:rsid w:val="004453BD"/>
    <w:rsid w:val="00445859"/>
    <w:rsid w:val="00445878"/>
    <w:rsid w:val="004459F0"/>
    <w:rsid w:val="00445D41"/>
    <w:rsid w:val="00446122"/>
    <w:rsid w:val="00446207"/>
    <w:rsid w:val="00446248"/>
    <w:rsid w:val="0044644B"/>
    <w:rsid w:val="00446E50"/>
    <w:rsid w:val="0044700D"/>
    <w:rsid w:val="00447615"/>
    <w:rsid w:val="004476C0"/>
    <w:rsid w:val="004479C3"/>
    <w:rsid w:val="00447C48"/>
    <w:rsid w:val="00447DF9"/>
    <w:rsid w:val="00447F82"/>
    <w:rsid w:val="00447FBA"/>
    <w:rsid w:val="0045040F"/>
    <w:rsid w:val="00450BDC"/>
    <w:rsid w:val="00450C25"/>
    <w:rsid w:val="00450CC2"/>
    <w:rsid w:val="00450DB0"/>
    <w:rsid w:val="0045105A"/>
    <w:rsid w:val="00451562"/>
    <w:rsid w:val="00451742"/>
    <w:rsid w:val="004519CA"/>
    <w:rsid w:val="004520C0"/>
    <w:rsid w:val="004521D8"/>
    <w:rsid w:val="00452552"/>
    <w:rsid w:val="00452CE6"/>
    <w:rsid w:val="00453150"/>
    <w:rsid w:val="004532AD"/>
    <w:rsid w:val="00453301"/>
    <w:rsid w:val="004533A7"/>
    <w:rsid w:val="00453C32"/>
    <w:rsid w:val="004540FA"/>
    <w:rsid w:val="004546F2"/>
    <w:rsid w:val="004549D5"/>
    <w:rsid w:val="00454AC5"/>
    <w:rsid w:val="00454F9F"/>
    <w:rsid w:val="00454FFC"/>
    <w:rsid w:val="004550EE"/>
    <w:rsid w:val="0045527F"/>
    <w:rsid w:val="004552AC"/>
    <w:rsid w:val="00455448"/>
    <w:rsid w:val="004554B8"/>
    <w:rsid w:val="004556C8"/>
    <w:rsid w:val="0045585E"/>
    <w:rsid w:val="004558E0"/>
    <w:rsid w:val="00455BBE"/>
    <w:rsid w:val="00455F11"/>
    <w:rsid w:val="00455FF4"/>
    <w:rsid w:val="00456246"/>
    <w:rsid w:val="00456273"/>
    <w:rsid w:val="0045628C"/>
    <w:rsid w:val="00456336"/>
    <w:rsid w:val="00456522"/>
    <w:rsid w:val="004565A2"/>
    <w:rsid w:val="0045703E"/>
    <w:rsid w:val="00457127"/>
    <w:rsid w:val="0045738A"/>
    <w:rsid w:val="0045761E"/>
    <w:rsid w:val="004576D7"/>
    <w:rsid w:val="00457A1E"/>
    <w:rsid w:val="00457BEE"/>
    <w:rsid w:val="00457DD5"/>
    <w:rsid w:val="00457E79"/>
    <w:rsid w:val="00457F67"/>
    <w:rsid w:val="0046001C"/>
    <w:rsid w:val="00460A77"/>
    <w:rsid w:val="00460F58"/>
    <w:rsid w:val="00460F7E"/>
    <w:rsid w:val="0046101D"/>
    <w:rsid w:val="004616DC"/>
    <w:rsid w:val="00461EE3"/>
    <w:rsid w:val="00461F89"/>
    <w:rsid w:val="004624B0"/>
    <w:rsid w:val="00462720"/>
    <w:rsid w:val="00462C73"/>
    <w:rsid w:val="00462E38"/>
    <w:rsid w:val="004630C8"/>
    <w:rsid w:val="00463127"/>
    <w:rsid w:val="004631F4"/>
    <w:rsid w:val="00463302"/>
    <w:rsid w:val="00463AB0"/>
    <w:rsid w:val="0046404B"/>
    <w:rsid w:val="004644C1"/>
    <w:rsid w:val="00464500"/>
    <w:rsid w:val="004645F5"/>
    <w:rsid w:val="00464633"/>
    <w:rsid w:val="004648C3"/>
    <w:rsid w:val="00464C1C"/>
    <w:rsid w:val="00464CD2"/>
    <w:rsid w:val="00464CE5"/>
    <w:rsid w:val="00464F1A"/>
    <w:rsid w:val="0046502E"/>
    <w:rsid w:val="0046562F"/>
    <w:rsid w:val="00465957"/>
    <w:rsid w:val="004659E5"/>
    <w:rsid w:val="00465B51"/>
    <w:rsid w:val="00465CD2"/>
    <w:rsid w:val="00465FC1"/>
    <w:rsid w:val="004666D6"/>
    <w:rsid w:val="00466809"/>
    <w:rsid w:val="00466C09"/>
    <w:rsid w:val="00466EE4"/>
    <w:rsid w:val="00467015"/>
    <w:rsid w:val="004670DF"/>
    <w:rsid w:val="004678F9"/>
    <w:rsid w:val="00467D1F"/>
    <w:rsid w:val="00467E24"/>
    <w:rsid w:val="00467E26"/>
    <w:rsid w:val="00467ED9"/>
    <w:rsid w:val="0047057F"/>
    <w:rsid w:val="004706EA"/>
    <w:rsid w:val="004707A6"/>
    <w:rsid w:val="004708C3"/>
    <w:rsid w:val="004709F5"/>
    <w:rsid w:val="00470AC7"/>
    <w:rsid w:val="00470B1F"/>
    <w:rsid w:val="00470CF3"/>
    <w:rsid w:val="00471360"/>
    <w:rsid w:val="004715F1"/>
    <w:rsid w:val="004716E8"/>
    <w:rsid w:val="00471898"/>
    <w:rsid w:val="00471AF7"/>
    <w:rsid w:val="00471ECF"/>
    <w:rsid w:val="004722CD"/>
    <w:rsid w:val="00472780"/>
    <w:rsid w:val="00472C06"/>
    <w:rsid w:val="00473138"/>
    <w:rsid w:val="00473629"/>
    <w:rsid w:val="0047364B"/>
    <w:rsid w:val="004736F0"/>
    <w:rsid w:val="004737A4"/>
    <w:rsid w:val="004739F0"/>
    <w:rsid w:val="0047405C"/>
    <w:rsid w:val="00474222"/>
    <w:rsid w:val="00474297"/>
    <w:rsid w:val="00474366"/>
    <w:rsid w:val="0047450A"/>
    <w:rsid w:val="00474650"/>
    <w:rsid w:val="004746ED"/>
    <w:rsid w:val="00474D18"/>
    <w:rsid w:val="00474E82"/>
    <w:rsid w:val="0047515B"/>
    <w:rsid w:val="00475352"/>
    <w:rsid w:val="004753E1"/>
    <w:rsid w:val="004754C5"/>
    <w:rsid w:val="00475628"/>
    <w:rsid w:val="00475A93"/>
    <w:rsid w:val="00475E65"/>
    <w:rsid w:val="00476397"/>
    <w:rsid w:val="004763BC"/>
    <w:rsid w:val="004764D4"/>
    <w:rsid w:val="004764DB"/>
    <w:rsid w:val="004765B1"/>
    <w:rsid w:val="004767D0"/>
    <w:rsid w:val="00476894"/>
    <w:rsid w:val="00476ADA"/>
    <w:rsid w:val="00476B35"/>
    <w:rsid w:val="00476D37"/>
    <w:rsid w:val="00477280"/>
    <w:rsid w:val="004772C4"/>
    <w:rsid w:val="004772DA"/>
    <w:rsid w:val="004773A2"/>
    <w:rsid w:val="004774CC"/>
    <w:rsid w:val="00477514"/>
    <w:rsid w:val="00477980"/>
    <w:rsid w:val="00477D21"/>
    <w:rsid w:val="00477D3D"/>
    <w:rsid w:val="00480291"/>
    <w:rsid w:val="004804C9"/>
    <w:rsid w:val="0048080F"/>
    <w:rsid w:val="00480B4F"/>
    <w:rsid w:val="004814D8"/>
    <w:rsid w:val="004817E6"/>
    <w:rsid w:val="00481A74"/>
    <w:rsid w:val="00481B6C"/>
    <w:rsid w:val="00481BD7"/>
    <w:rsid w:val="0048202F"/>
    <w:rsid w:val="0048228F"/>
    <w:rsid w:val="00482370"/>
    <w:rsid w:val="004823E4"/>
    <w:rsid w:val="00482546"/>
    <w:rsid w:val="00482977"/>
    <w:rsid w:val="004829B4"/>
    <w:rsid w:val="00482F36"/>
    <w:rsid w:val="0048331C"/>
    <w:rsid w:val="004833E7"/>
    <w:rsid w:val="004835F0"/>
    <w:rsid w:val="0048394A"/>
    <w:rsid w:val="0048398D"/>
    <w:rsid w:val="00483F10"/>
    <w:rsid w:val="00484203"/>
    <w:rsid w:val="0048428D"/>
    <w:rsid w:val="004847F1"/>
    <w:rsid w:val="0048485D"/>
    <w:rsid w:val="0048495E"/>
    <w:rsid w:val="004849A5"/>
    <w:rsid w:val="00484B63"/>
    <w:rsid w:val="00484DFD"/>
    <w:rsid w:val="00484EBE"/>
    <w:rsid w:val="00485495"/>
    <w:rsid w:val="0048550C"/>
    <w:rsid w:val="0048550F"/>
    <w:rsid w:val="0048555E"/>
    <w:rsid w:val="00485658"/>
    <w:rsid w:val="004856CD"/>
    <w:rsid w:val="00485AAC"/>
    <w:rsid w:val="00485E28"/>
    <w:rsid w:val="00485ED0"/>
    <w:rsid w:val="00485FB8"/>
    <w:rsid w:val="004860C8"/>
    <w:rsid w:val="0048630D"/>
    <w:rsid w:val="004863C4"/>
    <w:rsid w:val="0048676E"/>
    <w:rsid w:val="00486A65"/>
    <w:rsid w:val="00486A70"/>
    <w:rsid w:val="00486C81"/>
    <w:rsid w:val="00487035"/>
    <w:rsid w:val="00487176"/>
    <w:rsid w:val="00487403"/>
    <w:rsid w:val="00487636"/>
    <w:rsid w:val="004876A0"/>
    <w:rsid w:val="00487875"/>
    <w:rsid w:val="004878E9"/>
    <w:rsid w:val="00487E19"/>
    <w:rsid w:val="00487F2B"/>
    <w:rsid w:val="00487FC3"/>
    <w:rsid w:val="004908E8"/>
    <w:rsid w:val="00490C89"/>
    <w:rsid w:val="00490CBC"/>
    <w:rsid w:val="00490EB6"/>
    <w:rsid w:val="00491075"/>
    <w:rsid w:val="004914E1"/>
    <w:rsid w:val="004915CE"/>
    <w:rsid w:val="00491C44"/>
    <w:rsid w:val="0049256E"/>
    <w:rsid w:val="00492C81"/>
    <w:rsid w:val="00493021"/>
    <w:rsid w:val="004930DC"/>
    <w:rsid w:val="004935C3"/>
    <w:rsid w:val="00493641"/>
    <w:rsid w:val="00493B56"/>
    <w:rsid w:val="00493DDE"/>
    <w:rsid w:val="004940D6"/>
    <w:rsid w:val="0049482E"/>
    <w:rsid w:val="004950B0"/>
    <w:rsid w:val="00495633"/>
    <w:rsid w:val="00495A2B"/>
    <w:rsid w:val="00495BAD"/>
    <w:rsid w:val="00495ECF"/>
    <w:rsid w:val="0049607D"/>
    <w:rsid w:val="00496093"/>
    <w:rsid w:val="00496478"/>
    <w:rsid w:val="004972DA"/>
    <w:rsid w:val="004975E8"/>
    <w:rsid w:val="0049776E"/>
    <w:rsid w:val="00497C3E"/>
    <w:rsid w:val="00497F63"/>
    <w:rsid w:val="004A000B"/>
    <w:rsid w:val="004A06A4"/>
    <w:rsid w:val="004A0778"/>
    <w:rsid w:val="004A0864"/>
    <w:rsid w:val="004A0972"/>
    <w:rsid w:val="004A0C89"/>
    <w:rsid w:val="004A0E20"/>
    <w:rsid w:val="004A1277"/>
    <w:rsid w:val="004A133B"/>
    <w:rsid w:val="004A22AF"/>
    <w:rsid w:val="004A22F1"/>
    <w:rsid w:val="004A31AF"/>
    <w:rsid w:val="004A37AB"/>
    <w:rsid w:val="004A39BE"/>
    <w:rsid w:val="004A3EF2"/>
    <w:rsid w:val="004A41FB"/>
    <w:rsid w:val="004A4807"/>
    <w:rsid w:val="004A4F20"/>
    <w:rsid w:val="004A53AB"/>
    <w:rsid w:val="004A53B3"/>
    <w:rsid w:val="004A572F"/>
    <w:rsid w:val="004A5748"/>
    <w:rsid w:val="004A59FE"/>
    <w:rsid w:val="004A5AAC"/>
    <w:rsid w:val="004A5B1B"/>
    <w:rsid w:val="004A5B8F"/>
    <w:rsid w:val="004A5E0B"/>
    <w:rsid w:val="004A60AA"/>
    <w:rsid w:val="004A6295"/>
    <w:rsid w:val="004A62D1"/>
    <w:rsid w:val="004A6455"/>
    <w:rsid w:val="004A6573"/>
    <w:rsid w:val="004A6C83"/>
    <w:rsid w:val="004A6E30"/>
    <w:rsid w:val="004A6FAC"/>
    <w:rsid w:val="004A711B"/>
    <w:rsid w:val="004A728D"/>
    <w:rsid w:val="004A7AB1"/>
    <w:rsid w:val="004A7F1B"/>
    <w:rsid w:val="004B0200"/>
    <w:rsid w:val="004B0273"/>
    <w:rsid w:val="004B02D5"/>
    <w:rsid w:val="004B0418"/>
    <w:rsid w:val="004B0644"/>
    <w:rsid w:val="004B0E8E"/>
    <w:rsid w:val="004B1189"/>
    <w:rsid w:val="004B1413"/>
    <w:rsid w:val="004B150A"/>
    <w:rsid w:val="004B15B0"/>
    <w:rsid w:val="004B1AC4"/>
    <w:rsid w:val="004B217A"/>
    <w:rsid w:val="004B29B7"/>
    <w:rsid w:val="004B2C90"/>
    <w:rsid w:val="004B31A1"/>
    <w:rsid w:val="004B3318"/>
    <w:rsid w:val="004B347B"/>
    <w:rsid w:val="004B3537"/>
    <w:rsid w:val="004B3623"/>
    <w:rsid w:val="004B3751"/>
    <w:rsid w:val="004B37DD"/>
    <w:rsid w:val="004B3859"/>
    <w:rsid w:val="004B3D70"/>
    <w:rsid w:val="004B3E60"/>
    <w:rsid w:val="004B3F30"/>
    <w:rsid w:val="004B3FDB"/>
    <w:rsid w:val="004B45D7"/>
    <w:rsid w:val="004B467C"/>
    <w:rsid w:val="004B4C92"/>
    <w:rsid w:val="004B4D93"/>
    <w:rsid w:val="004B507D"/>
    <w:rsid w:val="004B51D0"/>
    <w:rsid w:val="004B533D"/>
    <w:rsid w:val="004B5ACB"/>
    <w:rsid w:val="004B5BF3"/>
    <w:rsid w:val="004B5D09"/>
    <w:rsid w:val="004B6365"/>
    <w:rsid w:val="004B638B"/>
    <w:rsid w:val="004B63E1"/>
    <w:rsid w:val="004B6461"/>
    <w:rsid w:val="004B6778"/>
    <w:rsid w:val="004B696C"/>
    <w:rsid w:val="004B6B9D"/>
    <w:rsid w:val="004B6DFC"/>
    <w:rsid w:val="004B6F38"/>
    <w:rsid w:val="004B6FF4"/>
    <w:rsid w:val="004B7341"/>
    <w:rsid w:val="004B75EB"/>
    <w:rsid w:val="004B76F6"/>
    <w:rsid w:val="004B7711"/>
    <w:rsid w:val="004B78A8"/>
    <w:rsid w:val="004B7917"/>
    <w:rsid w:val="004B7D67"/>
    <w:rsid w:val="004C00DE"/>
    <w:rsid w:val="004C011A"/>
    <w:rsid w:val="004C0376"/>
    <w:rsid w:val="004C0772"/>
    <w:rsid w:val="004C08E0"/>
    <w:rsid w:val="004C08E3"/>
    <w:rsid w:val="004C093D"/>
    <w:rsid w:val="004C0C66"/>
    <w:rsid w:val="004C0D03"/>
    <w:rsid w:val="004C0DD3"/>
    <w:rsid w:val="004C0F24"/>
    <w:rsid w:val="004C0F2D"/>
    <w:rsid w:val="004C0F80"/>
    <w:rsid w:val="004C11AC"/>
    <w:rsid w:val="004C13D2"/>
    <w:rsid w:val="004C14CF"/>
    <w:rsid w:val="004C1774"/>
    <w:rsid w:val="004C18B7"/>
    <w:rsid w:val="004C196B"/>
    <w:rsid w:val="004C1985"/>
    <w:rsid w:val="004C1B9D"/>
    <w:rsid w:val="004C1D6D"/>
    <w:rsid w:val="004C1EC7"/>
    <w:rsid w:val="004C1F14"/>
    <w:rsid w:val="004C1F30"/>
    <w:rsid w:val="004C1FCC"/>
    <w:rsid w:val="004C1FCF"/>
    <w:rsid w:val="004C208F"/>
    <w:rsid w:val="004C2444"/>
    <w:rsid w:val="004C24BA"/>
    <w:rsid w:val="004C24C7"/>
    <w:rsid w:val="004C24FE"/>
    <w:rsid w:val="004C2589"/>
    <w:rsid w:val="004C2640"/>
    <w:rsid w:val="004C2850"/>
    <w:rsid w:val="004C2A69"/>
    <w:rsid w:val="004C2ACE"/>
    <w:rsid w:val="004C2C09"/>
    <w:rsid w:val="004C2D18"/>
    <w:rsid w:val="004C334B"/>
    <w:rsid w:val="004C33A4"/>
    <w:rsid w:val="004C3520"/>
    <w:rsid w:val="004C3604"/>
    <w:rsid w:val="004C3B94"/>
    <w:rsid w:val="004C3CEF"/>
    <w:rsid w:val="004C3D8B"/>
    <w:rsid w:val="004C3E81"/>
    <w:rsid w:val="004C3F02"/>
    <w:rsid w:val="004C4143"/>
    <w:rsid w:val="004C4225"/>
    <w:rsid w:val="004C46E4"/>
    <w:rsid w:val="004C48C7"/>
    <w:rsid w:val="004C4D5C"/>
    <w:rsid w:val="004C504A"/>
    <w:rsid w:val="004C5688"/>
    <w:rsid w:val="004C5B54"/>
    <w:rsid w:val="004C5BD2"/>
    <w:rsid w:val="004C5CAD"/>
    <w:rsid w:val="004C5D99"/>
    <w:rsid w:val="004C5E5D"/>
    <w:rsid w:val="004C613C"/>
    <w:rsid w:val="004C6152"/>
    <w:rsid w:val="004C6396"/>
    <w:rsid w:val="004C66AA"/>
    <w:rsid w:val="004C671E"/>
    <w:rsid w:val="004C6881"/>
    <w:rsid w:val="004C6930"/>
    <w:rsid w:val="004C6995"/>
    <w:rsid w:val="004C6A3A"/>
    <w:rsid w:val="004C6AC3"/>
    <w:rsid w:val="004C6FDB"/>
    <w:rsid w:val="004C74EC"/>
    <w:rsid w:val="004C7585"/>
    <w:rsid w:val="004C76C0"/>
    <w:rsid w:val="004C7771"/>
    <w:rsid w:val="004C7777"/>
    <w:rsid w:val="004C7BE4"/>
    <w:rsid w:val="004D0161"/>
    <w:rsid w:val="004D01C3"/>
    <w:rsid w:val="004D098F"/>
    <w:rsid w:val="004D09A0"/>
    <w:rsid w:val="004D0A30"/>
    <w:rsid w:val="004D0B19"/>
    <w:rsid w:val="004D0B83"/>
    <w:rsid w:val="004D0DEA"/>
    <w:rsid w:val="004D0F21"/>
    <w:rsid w:val="004D12E0"/>
    <w:rsid w:val="004D13B1"/>
    <w:rsid w:val="004D1653"/>
    <w:rsid w:val="004D1990"/>
    <w:rsid w:val="004D1AAA"/>
    <w:rsid w:val="004D1D59"/>
    <w:rsid w:val="004D210B"/>
    <w:rsid w:val="004D22DF"/>
    <w:rsid w:val="004D234C"/>
    <w:rsid w:val="004D2925"/>
    <w:rsid w:val="004D292E"/>
    <w:rsid w:val="004D2E46"/>
    <w:rsid w:val="004D317E"/>
    <w:rsid w:val="004D3367"/>
    <w:rsid w:val="004D33F4"/>
    <w:rsid w:val="004D34CD"/>
    <w:rsid w:val="004D352C"/>
    <w:rsid w:val="004D36CB"/>
    <w:rsid w:val="004D36DC"/>
    <w:rsid w:val="004D375D"/>
    <w:rsid w:val="004D3A61"/>
    <w:rsid w:val="004D3CEA"/>
    <w:rsid w:val="004D3DC6"/>
    <w:rsid w:val="004D40DC"/>
    <w:rsid w:val="004D41B7"/>
    <w:rsid w:val="004D426E"/>
    <w:rsid w:val="004D43BD"/>
    <w:rsid w:val="004D453F"/>
    <w:rsid w:val="004D493D"/>
    <w:rsid w:val="004D515F"/>
    <w:rsid w:val="004D5477"/>
    <w:rsid w:val="004D54B5"/>
    <w:rsid w:val="004D58B1"/>
    <w:rsid w:val="004D5908"/>
    <w:rsid w:val="004D5C28"/>
    <w:rsid w:val="004D5C76"/>
    <w:rsid w:val="004D60C8"/>
    <w:rsid w:val="004D621F"/>
    <w:rsid w:val="004D6282"/>
    <w:rsid w:val="004D6930"/>
    <w:rsid w:val="004D6B75"/>
    <w:rsid w:val="004D6F85"/>
    <w:rsid w:val="004D747C"/>
    <w:rsid w:val="004D74EF"/>
    <w:rsid w:val="004D76F3"/>
    <w:rsid w:val="004D76FF"/>
    <w:rsid w:val="004D7B77"/>
    <w:rsid w:val="004D7C1E"/>
    <w:rsid w:val="004D7D10"/>
    <w:rsid w:val="004D7D79"/>
    <w:rsid w:val="004E01FA"/>
    <w:rsid w:val="004E03FF"/>
    <w:rsid w:val="004E0645"/>
    <w:rsid w:val="004E06BE"/>
    <w:rsid w:val="004E0E42"/>
    <w:rsid w:val="004E0FF0"/>
    <w:rsid w:val="004E1954"/>
    <w:rsid w:val="004E1BB5"/>
    <w:rsid w:val="004E2543"/>
    <w:rsid w:val="004E258C"/>
    <w:rsid w:val="004E2909"/>
    <w:rsid w:val="004E2B5B"/>
    <w:rsid w:val="004E3310"/>
    <w:rsid w:val="004E34D7"/>
    <w:rsid w:val="004E387C"/>
    <w:rsid w:val="004E39A8"/>
    <w:rsid w:val="004E3BE3"/>
    <w:rsid w:val="004E3F0C"/>
    <w:rsid w:val="004E4095"/>
    <w:rsid w:val="004E415C"/>
    <w:rsid w:val="004E450F"/>
    <w:rsid w:val="004E4790"/>
    <w:rsid w:val="004E4DA5"/>
    <w:rsid w:val="004E4E07"/>
    <w:rsid w:val="004E56B8"/>
    <w:rsid w:val="004E5741"/>
    <w:rsid w:val="004E587D"/>
    <w:rsid w:val="004E5888"/>
    <w:rsid w:val="004E58F8"/>
    <w:rsid w:val="004E591F"/>
    <w:rsid w:val="004E596A"/>
    <w:rsid w:val="004E5F3E"/>
    <w:rsid w:val="004E5FCC"/>
    <w:rsid w:val="004E648B"/>
    <w:rsid w:val="004E6724"/>
    <w:rsid w:val="004E6740"/>
    <w:rsid w:val="004E6754"/>
    <w:rsid w:val="004E6758"/>
    <w:rsid w:val="004E6B69"/>
    <w:rsid w:val="004E6DE7"/>
    <w:rsid w:val="004E73D8"/>
    <w:rsid w:val="004E7403"/>
    <w:rsid w:val="004E750D"/>
    <w:rsid w:val="004F000A"/>
    <w:rsid w:val="004F00AB"/>
    <w:rsid w:val="004F013B"/>
    <w:rsid w:val="004F0222"/>
    <w:rsid w:val="004F03B0"/>
    <w:rsid w:val="004F0B2E"/>
    <w:rsid w:val="004F0F4A"/>
    <w:rsid w:val="004F17F7"/>
    <w:rsid w:val="004F1829"/>
    <w:rsid w:val="004F1ADE"/>
    <w:rsid w:val="004F1EFF"/>
    <w:rsid w:val="004F1F71"/>
    <w:rsid w:val="004F2454"/>
    <w:rsid w:val="004F24A6"/>
    <w:rsid w:val="004F2537"/>
    <w:rsid w:val="004F260D"/>
    <w:rsid w:val="004F271F"/>
    <w:rsid w:val="004F2998"/>
    <w:rsid w:val="004F2A1B"/>
    <w:rsid w:val="004F2AF9"/>
    <w:rsid w:val="004F2B4E"/>
    <w:rsid w:val="004F2C82"/>
    <w:rsid w:val="004F2E62"/>
    <w:rsid w:val="004F3090"/>
    <w:rsid w:val="004F31E4"/>
    <w:rsid w:val="004F35AD"/>
    <w:rsid w:val="004F3670"/>
    <w:rsid w:val="004F37E9"/>
    <w:rsid w:val="004F3EB3"/>
    <w:rsid w:val="004F42FE"/>
    <w:rsid w:val="004F44B5"/>
    <w:rsid w:val="004F480A"/>
    <w:rsid w:val="004F482E"/>
    <w:rsid w:val="004F4973"/>
    <w:rsid w:val="004F4D4D"/>
    <w:rsid w:val="004F4F03"/>
    <w:rsid w:val="004F510F"/>
    <w:rsid w:val="004F515E"/>
    <w:rsid w:val="004F51A3"/>
    <w:rsid w:val="004F53E5"/>
    <w:rsid w:val="004F53F1"/>
    <w:rsid w:val="004F551B"/>
    <w:rsid w:val="004F55CA"/>
    <w:rsid w:val="004F5D21"/>
    <w:rsid w:val="004F5D9D"/>
    <w:rsid w:val="004F6048"/>
    <w:rsid w:val="004F6475"/>
    <w:rsid w:val="004F670E"/>
    <w:rsid w:val="004F6741"/>
    <w:rsid w:val="004F67CE"/>
    <w:rsid w:val="004F68F2"/>
    <w:rsid w:val="004F7184"/>
    <w:rsid w:val="004F7383"/>
    <w:rsid w:val="004F7671"/>
    <w:rsid w:val="004F77E9"/>
    <w:rsid w:val="004F798D"/>
    <w:rsid w:val="0050012D"/>
    <w:rsid w:val="0050035A"/>
    <w:rsid w:val="005003BC"/>
    <w:rsid w:val="00500436"/>
    <w:rsid w:val="0050045D"/>
    <w:rsid w:val="005007BD"/>
    <w:rsid w:val="00500A8C"/>
    <w:rsid w:val="00500C4D"/>
    <w:rsid w:val="005011D1"/>
    <w:rsid w:val="0050128F"/>
    <w:rsid w:val="0050164E"/>
    <w:rsid w:val="0050168A"/>
    <w:rsid w:val="005016C5"/>
    <w:rsid w:val="005019BD"/>
    <w:rsid w:val="00501A1D"/>
    <w:rsid w:val="00501A25"/>
    <w:rsid w:val="00502093"/>
    <w:rsid w:val="00502528"/>
    <w:rsid w:val="005029AC"/>
    <w:rsid w:val="00502BB4"/>
    <w:rsid w:val="00502DDB"/>
    <w:rsid w:val="00502F51"/>
    <w:rsid w:val="005032B8"/>
    <w:rsid w:val="0050334E"/>
    <w:rsid w:val="005033BE"/>
    <w:rsid w:val="0050354F"/>
    <w:rsid w:val="00503883"/>
    <w:rsid w:val="00503DA3"/>
    <w:rsid w:val="00503F4F"/>
    <w:rsid w:val="00503FC7"/>
    <w:rsid w:val="00504183"/>
    <w:rsid w:val="005043A8"/>
    <w:rsid w:val="00504790"/>
    <w:rsid w:val="00504884"/>
    <w:rsid w:val="005049DD"/>
    <w:rsid w:val="00505687"/>
    <w:rsid w:val="0050579F"/>
    <w:rsid w:val="005057B0"/>
    <w:rsid w:val="00505874"/>
    <w:rsid w:val="00505CA0"/>
    <w:rsid w:val="00505D73"/>
    <w:rsid w:val="00505E31"/>
    <w:rsid w:val="00505E36"/>
    <w:rsid w:val="00505FAD"/>
    <w:rsid w:val="005060A4"/>
    <w:rsid w:val="0050622B"/>
    <w:rsid w:val="005063AB"/>
    <w:rsid w:val="00506422"/>
    <w:rsid w:val="00506688"/>
    <w:rsid w:val="005066D5"/>
    <w:rsid w:val="005069E3"/>
    <w:rsid w:val="00506A0D"/>
    <w:rsid w:val="00506B06"/>
    <w:rsid w:val="00506B8C"/>
    <w:rsid w:val="00506C13"/>
    <w:rsid w:val="00506CC6"/>
    <w:rsid w:val="005070E7"/>
    <w:rsid w:val="0050723C"/>
    <w:rsid w:val="0050724D"/>
    <w:rsid w:val="0050742B"/>
    <w:rsid w:val="00507680"/>
    <w:rsid w:val="005076CC"/>
    <w:rsid w:val="005077F3"/>
    <w:rsid w:val="005078B8"/>
    <w:rsid w:val="005078BE"/>
    <w:rsid w:val="0050791D"/>
    <w:rsid w:val="00507D24"/>
    <w:rsid w:val="00507ECA"/>
    <w:rsid w:val="00507FE6"/>
    <w:rsid w:val="00510109"/>
    <w:rsid w:val="0051058C"/>
    <w:rsid w:val="0051085B"/>
    <w:rsid w:val="00510906"/>
    <w:rsid w:val="00510B32"/>
    <w:rsid w:val="00510D07"/>
    <w:rsid w:val="005110AC"/>
    <w:rsid w:val="00511116"/>
    <w:rsid w:val="0051119A"/>
    <w:rsid w:val="0051120B"/>
    <w:rsid w:val="00511A52"/>
    <w:rsid w:val="00511EB4"/>
    <w:rsid w:val="00512292"/>
    <w:rsid w:val="00512390"/>
    <w:rsid w:val="00512994"/>
    <w:rsid w:val="00512DE7"/>
    <w:rsid w:val="0051301E"/>
    <w:rsid w:val="00513314"/>
    <w:rsid w:val="005138CC"/>
    <w:rsid w:val="00513A55"/>
    <w:rsid w:val="00513ADA"/>
    <w:rsid w:val="00513C25"/>
    <w:rsid w:val="00513E4D"/>
    <w:rsid w:val="00513F6A"/>
    <w:rsid w:val="005140E7"/>
    <w:rsid w:val="00514312"/>
    <w:rsid w:val="005152C9"/>
    <w:rsid w:val="0051539B"/>
    <w:rsid w:val="005155EB"/>
    <w:rsid w:val="005157A9"/>
    <w:rsid w:val="00515D02"/>
    <w:rsid w:val="00515DA8"/>
    <w:rsid w:val="00515EA4"/>
    <w:rsid w:val="005161A8"/>
    <w:rsid w:val="005161F8"/>
    <w:rsid w:val="00516212"/>
    <w:rsid w:val="00516321"/>
    <w:rsid w:val="005163EF"/>
    <w:rsid w:val="00516593"/>
    <w:rsid w:val="005168A3"/>
    <w:rsid w:val="0051691C"/>
    <w:rsid w:val="00516948"/>
    <w:rsid w:val="00516972"/>
    <w:rsid w:val="00516B17"/>
    <w:rsid w:val="00516F9B"/>
    <w:rsid w:val="0051706E"/>
    <w:rsid w:val="005170F2"/>
    <w:rsid w:val="005171D2"/>
    <w:rsid w:val="005175F0"/>
    <w:rsid w:val="005176A9"/>
    <w:rsid w:val="00517BA8"/>
    <w:rsid w:val="00517FB3"/>
    <w:rsid w:val="00520097"/>
    <w:rsid w:val="00520B80"/>
    <w:rsid w:val="00520C86"/>
    <w:rsid w:val="00520D28"/>
    <w:rsid w:val="00520DB2"/>
    <w:rsid w:val="00521176"/>
    <w:rsid w:val="005219A8"/>
    <w:rsid w:val="00521B21"/>
    <w:rsid w:val="00521C62"/>
    <w:rsid w:val="00522473"/>
    <w:rsid w:val="0052253E"/>
    <w:rsid w:val="005227D4"/>
    <w:rsid w:val="00522896"/>
    <w:rsid w:val="00522AD9"/>
    <w:rsid w:val="00522F3A"/>
    <w:rsid w:val="005230CD"/>
    <w:rsid w:val="0052315F"/>
    <w:rsid w:val="00523203"/>
    <w:rsid w:val="0052337A"/>
    <w:rsid w:val="0052353F"/>
    <w:rsid w:val="00523B98"/>
    <w:rsid w:val="00523C69"/>
    <w:rsid w:val="00523CFF"/>
    <w:rsid w:val="00524045"/>
    <w:rsid w:val="0052410E"/>
    <w:rsid w:val="00524466"/>
    <w:rsid w:val="00524BA1"/>
    <w:rsid w:val="00524C06"/>
    <w:rsid w:val="00524E1B"/>
    <w:rsid w:val="00524ECD"/>
    <w:rsid w:val="00525146"/>
    <w:rsid w:val="00525267"/>
    <w:rsid w:val="005256C6"/>
    <w:rsid w:val="0052570D"/>
    <w:rsid w:val="0052573E"/>
    <w:rsid w:val="00525793"/>
    <w:rsid w:val="0052586B"/>
    <w:rsid w:val="0052595E"/>
    <w:rsid w:val="00525F9D"/>
    <w:rsid w:val="0052650D"/>
    <w:rsid w:val="00526633"/>
    <w:rsid w:val="00526729"/>
    <w:rsid w:val="005268EE"/>
    <w:rsid w:val="00526B8E"/>
    <w:rsid w:val="00526D5F"/>
    <w:rsid w:val="00526FC8"/>
    <w:rsid w:val="0052742E"/>
    <w:rsid w:val="00527707"/>
    <w:rsid w:val="00527708"/>
    <w:rsid w:val="00527849"/>
    <w:rsid w:val="00527AAF"/>
    <w:rsid w:val="00527B59"/>
    <w:rsid w:val="00527D96"/>
    <w:rsid w:val="00530065"/>
    <w:rsid w:val="005300CF"/>
    <w:rsid w:val="0053017A"/>
    <w:rsid w:val="0053018D"/>
    <w:rsid w:val="00530266"/>
    <w:rsid w:val="005304E5"/>
    <w:rsid w:val="005305AA"/>
    <w:rsid w:val="00530644"/>
    <w:rsid w:val="00530B81"/>
    <w:rsid w:val="00530EFF"/>
    <w:rsid w:val="00530F83"/>
    <w:rsid w:val="00530FBC"/>
    <w:rsid w:val="0053105E"/>
    <w:rsid w:val="00531080"/>
    <w:rsid w:val="00531446"/>
    <w:rsid w:val="00531A43"/>
    <w:rsid w:val="00531AB3"/>
    <w:rsid w:val="00531E74"/>
    <w:rsid w:val="005325A6"/>
    <w:rsid w:val="00532818"/>
    <w:rsid w:val="00532894"/>
    <w:rsid w:val="00532D78"/>
    <w:rsid w:val="005336AD"/>
    <w:rsid w:val="00533AE8"/>
    <w:rsid w:val="00533C80"/>
    <w:rsid w:val="00533E6D"/>
    <w:rsid w:val="005345E5"/>
    <w:rsid w:val="005346D3"/>
    <w:rsid w:val="00534A64"/>
    <w:rsid w:val="00534F7A"/>
    <w:rsid w:val="0053502A"/>
    <w:rsid w:val="00535281"/>
    <w:rsid w:val="005353C0"/>
    <w:rsid w:val="00535593"/>
    <w:rsid w:val="0053568D"/>
    <w:rsid w:val="00535A8C"/>
    <w:rsid w:val="00535E69"/>
    <w:rsid w:val="0053603F"/>
    <w:rsid w:val="005361A1"/>
    <w:rsid w:val="005365A6"/>
    <w:rsid w:val="00536878"/>
    <w:rsid w:val="00536907"/>
    <w:rsid w:val="005369CF"/>
    <w:rsid w:val="005369EE"/>
    <w:rsid w:val="005370CE"/>
    <w:rsid w:val="005370ED"/>
    <w:rsid w:val="0053726A"/>
    <w:rsid w:val="0053777D"/>
    <w:rsid w:val="00537AD1"/>
    <w:rsid w:val="00537D87"/>
    <w:rsid w:val="00540052"/>
    <w:rsid w:val="005402D7"/>
    <w:rsid w:val="00540441"/>
    <w:rsid w:val="005406D3"/>
    <w:rsid w:val="00540968"/>
    <w:rsid w:val="00540CB2"/>
    <w:rsid w:val="00540F30"/>
    <w:rsid w:val="005412E4"/>
    <w:rsid w:val="005412FD"/>
    <w:rsid w:val="00541763"/>
    <w:rsid w:val="00541981"/>
    <w:rsid w:val="00541BBF"/>
    <w:rsid w:val="00541D8A"/>
    <w:rsid w:val="005422DC"/>
    <w:rsid w:val="005423D3"/>
    <w:rsid w:val="005424C9"/>
    <w:rsid w:val="0054265A"/>
    <w:rsid w:val="00542D41"/>
    <w:rsid w:val="00542FD5"/>
    <w:rsid w:val="00543192"/>
    <w:rsid w:val="005432D1"/>
    <w:rsid w:val="0054387E"/>
    <w:rsid w:val="00543E9E"/>
    <w:rsid w:val="00543F8A"/>
    <w:rsid w:val="005455EA"/>
    <w:rsid w:val="00545A66"/>
    <w:rsid w:val="00545D25"/>
    <w:rsid w:val="00545D62"/>
    <w:rsid w:val="00545E64"/>
    <w:rsid w:val="00545EF0"/>
    <w:rsid w:val="00545FB3"/>
    <w:rsid w:val="005460EB"/>
    <w:rsid w:val="005463EA"/>
    <w:rsid w:val="00546A92"/>
    <w:rsid w:val="00546ADC"/>
    <w:rsid w:val="00546E15"/>
    <w:rsid w:val="00546FBF"/>
    <w:rsid w:val="00546FFD"/>
    <w:rsid w:val="005470EA"/>
    <w:rsid w:val="00547378"/>
    <w:rsid w:val="0054742F"/>
    <w:rsid w:val="005475D9"/>
    <w:rsid w:val="00547916"/>
    <w:rsid w:val="00547989"/>
    <w:rsid w:val="005479CF"/>
    <w:rsid w:val="0055005A"/>
    <w:rsid w:val="0055025E"/>
    <w:rsid w:val="00550319"/>
    <w:rsid w:val="0055033D"/>
    <w:rsid w:val="005503FC"/>
    <w:rsid w:val="00550454"/>
    <w:rsid w:val="00550B07"/>
    <w:rsid w:val="00550B89"/>
    <w:rsid w:val="00550E34"/>
    <w:rsid w:val="0055136F"/>
    <w:rsid w:val="005514C4"/>
    <w:rsid w:val="00551A32"/>
    <w:rsid w:val="00551AFD"/>
    <w:rsid w:val="00551C6F"/>
    <w:rsid w:val="00552794"/>
    <w:rsid w:val="00552B5C"/>
    <w:rsid w:val="00552CFB"/>
    <w:rsid w:val="00552E08"/>
    <w:rsid w:val="00552E2C"/>
    <w:rsid w:val="00553204"/>
    <w:rsid w:val="005538E4"/>
    <w:rsid w:val="0055397A"/>
    <w:rsid w:val="00553A69"/>
    <w:rsid w:val="00553B55"/>
    <w:rsid w:val="00553CAF"/>
    <w:rsid w:val="00553CB8"/>
    <w:rsid w:val="00553EC8"/>
    <w:rsid w:val="00554061"/>
    <w:rsid w:val="005540A1"/>
    <w:rsid w:val="00554179"/>
    <w:rsid w:val="005542FA"/>
    <w:rsid w:val="00554906"/>
    <w:rsid w:val="00554B05"/>
    <w:rsid w:val="00554ED8"/>
    <w:rsid w:val="005551D9"/>
    <w:rsid w:val="0055538A"/>
    <w:rsid w:val="00555759"/>
    <w:rsid w:val="0055589F"/>
    <w:rsid w:val="00555A0C"/>
    <w:rsid w:val="00555A21"/>
    <w:rsid w:val="00555C0D"/>
    <w:rsid w:val="00555D05"/>
    <w:rsid w:val="00555F41"/>
    <w:rsid w:val="00555F5C"/>
    <w:rsid w:val="0055681B"/>
    <w:rsid w:val="005568FA"/>
    <w:rsid w:val="00556CF4"/>
    <w:rsid w:val="0055713C"/>
    <w:rsid w:val="005571DB"/>
    <w:rsid w:val="00557595"/>
    <w:rsid w:val="005575FB"/>
    <w:rsid w:val="0055777E"/>
    <w:rsid w:val="0056025B"/>
    <w:rsid w:val="00560474"/>
    <w:rsid w:val="005607AD"/>
    <w:rsid w:val="0056091A"/>
    <w:rsid w:val="00560925"/>
    <w:rsid w:val="00560DC0"/>
    <w:rsid w:val="005610CF"/>
    <w:rsid w:val="00561488"/>
    <w:rsid w:val="00561577"/>
    <w:rsid w:val="00561887"/>
    <w:rsid w:val="00561928"/>
    <w:rsid w:val="005623FA"/>
    <w:rsid w:val="0056292E"/>
    <w:rsid w:val="00562CB3"/>
    <w:rsid w:val="00562E89"/>
    <w:rsid w:val="00562FEA"/>
    <w:rsid w:val="005630A4"/>
    <w:rsid w:val="005630AC"/>
    <w:rsid w:val="00563267"/>
    <w:rsid w:val="00563417"/>
    <w:rsid w:val="005635E0"/>
    <w:rsid w:val="005635E9"/>
    <w:rsid w:val="0056381F"/>
    <w:rsid w:val="00563959"/>
    <w:rsid w:val="00563969"/>
    <w:rsid w:val="00563A81"/>
    <w:rsid w:val="00563F51"/>
    <w:rsid w:val="00563FE7"/>
    <w:rsid w:val="005641F1"/>
    <w:rsid w:val="0056421F"/>
    <w:rsid w:val="00564324"/>
    <w:rsid w:val="005646A1"/>
    <w:rsid w:val="0056482C"/>
    <w:rsid w:val="00564B76"/>
    <w:rsid w:val="00564C11"/>
    <w:rsid w:val="00564DD4"/>
    <w:rsid w:val="00565039"/>
    <w:rsid w:val="0056530E"/>
    <w:rsid w:val="00565490"/>
    <w:rsid w:val="00565A27"/>
    <w:rsid w:val="00565BF6"/>
    <w:rsid w:val="00565D7E"/>
    <w:rsid w:val="00565DF8"/>
    <w:rsid w:val="00566306"/>
    <w:rsid w:val="00566A00"/>
    <w:rsid w:val="00566A94"/>
    <w:rsid w:val="00566D28"/>
    <w:rsid w:val="00566D4A"/>
    <w:rsid w:val="00566ED6"/>
    <w:rsid w:val="0056708A"/>
    <w:rsid w:val="00567153"/>
    <w:rsid w:val="00567BF1"/>
    <w:rsid w:val="00567CE8"/>
    <w:rsid w:val="00567E60"/>
    <w:rsid w:val="00567E8F"/>
    <w:rsid w:val="0057020B"/>
    <w:rsid w:val="0057035D"/>
    <w:rsid w:val="0057056E"/>
    <w:rsid w:val="005705DD"/>
    <w:rsid w:val="00570836"/>
    <w:rsid w:val="00570BFB"/>
    <w:rsid w:val="00570CC9"/>
    <w:rsid w:val="00570D55"/>
    <w:rsid w:val="005710C3"/>
    <w:rsid w:val="00571209"/>
    <w:rsid w:val="00571315"/>
    <w:rsid w:val="005715EE"/>
    <w:rsid w:val="005716AD"/>
    <w:rsid w:val="00571A06"/>
    <w:rsid w:val="00571DD3"/>
    <w:rsid w:val="00571E44"/>
    <w:rsid w:val="00571F46"/>
    <w:rsid w:val="00572145"/>
    <w:rsid w:val="00572345"/>
    <w:rsid w:val="005725A6"/>
    <w:rsid w:val="00572A41"/>
    <w:rsid w:val="00572AC9"/>
    <w:rsid w:val="00572AE4"/>
    <w:rsid w:val="00572EB5"/>
    <w:rsid w:val="00572EE7"/>
    <w:rsid w:val="00572F9A"/>
    <w:rsid w:val="00573383"/>
    <w:rsid w:val="005737B7"/>
    <w:rsid w:val="00573B72"/>
    <w:rsid w:val="0057407E"/>
    <w:rsid w:val="0057461F"/>
    <w:rsid w:val="00574934"/>
    <w:rsid w:val="00574C59"/>
    <w:rsid w:val="00575294"/>
    <w:rsid w:val="00575438"/>
    <w:rsid w:val="0057544C"/>
    <w:rsid w:val="00575719"/>
    <w:rsid w:val="00575769"/>
    <w:rsid w:val="00575803"/>
    <w:rsid w:val="005758D5"/>
    <w:rsid w:val="00575F66"/>
    <w:rsid w:val="00576072"/>
    <w:rsid w:val="005760C7"/>
    <w:rsid w:val="005767AE"/>
    <w:rsid w:val="00576F63"/>
    <w:rsid w:val="005770EF"/>
    <w:rsid w:val="0057727F"/>
    <w:rsid w:val="0057778D"/>
    <w:rsid w:val="005778A9"/>
    <w:rsid w:val="0057792A"/>
    <w:rsid w:val="00577A11"/>
    <w:rsid w:val="00577AC3"/>
    <w:rsid w:val="00577B18"/>
    <w:rsid w:val="00577D7F"/>
    <w:rsid w:val="00577EA1"/>
    <w:rsid w:val="00577EE3"/>
    <w:rsid w:val="0058012A"/>
    <w:rsid w:val="005801A0"/>
    <w:rsid w:val="00580434"/>
    <w:rsid w:val="00580AF7"/>
    <w:rsid w:val="00580B1C"/>
    <w:rsid w:val="00580B6D"/>
    <w:rsid w:val="005812CA"/>
    <w:rsid w:val="00581723"/>
    <w:rsid w:val="0058198B"/>
    <w:rsid w:val="005820FE"/>
    <w:rsid w:val="00582465"/>
    <w:rsid w:val="00582600"/>
    <w:rsid w:val="005826F8"/>
    <w:rsid w:val="0058275B"/>
    <w:rsid w:val="0058285A"/>
    <w:rsid w:val="00582A26"/>
    <w:rsid w:val="00582BA9"/>
    <w:rsid w:val="00583202"/>
    <w:rsid w:val="00583707"/>
    <w:rsid w:val="00583B2D"/>
    <w:rsid w:val="00583DBE"/>
    <w:rsid w:val="00583F3F"/>
    <w:rsid w:val="0058442D"/>
    <w:rsid w:val="0058444B"/>
    <w:rsid w:val="005844E1"/>
    <w:rsid w:val="00584632"/>
    <w:rsid w:val="005846CF"/>
    <w:rsid w:val="00584B6A"/>
    <w:rsid w:val="00584C56"/>
    <w:rsid w:val="00584EBD"/>
    <w:rsid w:val="00584FCD"/>
    <w:rsid w:val="00585390"/>
    <w:rsid w:val="00585790"/>
    <w:rsid w:val="00585892"/>
    <w:rsid w:val="005858AC"/>
    <w:rsid w:val="005859C6"/>
    <w:rsid w:val="00585C28"/>
    <w:rsid w:val="0058656E"/>
    <w:rsid w:val="00586660"/>
    <w:rsid w:val="00586DB7"/>
    <w:rsid w:val="00586FAC"/>
    <w:rsid w:val="0058740E"/>
    <w:rsid w:val="00587E29"/>
    <w:rsid w:val="00587ED1"/>
    <w:rsid w:val="00590192"/>
    <w:rsid w:val="0059038A"/>
    <w:rsid w:val="005908C9"/>
    <w:rsid w:val="00590CFF"/>
    <w:rsid w:val="00590D82"/>
    <w:rsid w:val="00590EBE"/>
    <w:rsid w:val="00590F07"/>
    <w:rsid w:val="00591393"/>
    <w:rsid w:val="005916F5"/>
    <w:rsid w:val="00591ABE"/>
    <w:rsid w:val="00591E48"/>
    <w:rsid w:val="005926AC"/>
    <w:rsid w:val="005927B6"/>
    <w:rsid w:val="005928E3"/>
    <w:rsid w:val="00592E6E"/>
    <w:rsid w:val="00592F25"/>
    <w:rsid w:val="00593163"/>
    <w:rsid w:val="005932ED"/>
    <w:rsid w:val="005937F4"/>
    <w:rsid w:val="00593B21"/>
    <w:rsid w:val="00593C9A"/>
    <w:rsid w:val="00593D9E"/>
    <w:rsid w:val="0059402F"/>
    <w:rsid w:val="005943E6"/>
    <w:rsid w:val="005945FF"/>
    <w:rsid w:val="005948E6"/>
    <w:rsid w:val="005948F9"/>
    <w:rsid w:val="00594911"/>
    <w:rsid w:val="00594C0F"/>
    <w:rsid w:val="00594C7A"/>
    <w:rsid w:val="00594CBE"/>
    <w:rsid w:val="00594DEF"/>
    <w:rsid w:val="005950EB"/>
    <w:rsid w:val="005950F4"/>
    <w:rsid w:val="00595137"/>
    <w:rsid w:val="0059517A"/>
    <w:rsid w:val="005951EA"/>
    <w:rsid w:val="0059537E"/>
    <w:rsid w:val="00595944"/>
    <w:rsid w:val="00595B17"/>
    <w:rsid w:val="00595BED"/>
    <w:rsid w:val="00595D2C"/>
    <w:rsid w:val="00595E44"/>
    <w:rsid w:val="00595E93"/>
    <w:rsid w:val="00596700"/>
    <w:rsid w:val="00596803"/>
    <w:rsid w:val="00596A5D"/>
    <w:rsid w:val="00596BBD"/>
    <w:rsid w:val="00596D16"/>
    <w:rsid w:val="0059712E"/>
    <w:rsid w:val="00597241"/>
    <w:rsid w:val="005975F7"/>
    <w:rsid w:val="00597756"/>
    <w:rsid w:val="005977E6"/>
    <w:rsid w:val="005978AA"/>
    <w:rsid w:val="00597E7F"/>
    <w:rsid w:val="00597F2B"/>
    <w:rsid w:val="005A0090"/>
    <w:rsid w:val="005A057E"/>
    <w:rsid w:val="005A0673"/>
    <w:rsid w:val="005A071E"/>
    <w:rsid w:val="005A090D"/>
    <w:rsid w:val="005A0920"/>
    <w:rsid w:val="005A0B27"/>
    <w:rsid w:val="005A1109"/>
    <w:rsid w:val="005A1380"/>
    <w:rsid w:val="005A13B3"/>
    <w:rsid w:val="005A162B"/>
    <w:rsid w:val="005A21BE"/>
    <w:rsid w:val="005A22E4"/>
    <w:rsid w:val="005A242B"/>
    <w:rsid w:val="005A2A7C"/>
    <w:rsid w:val="005A2FD8"/>
    <w:rsid w:val="005A3208"/>
    <w:rsid w:val="005A34B6"/>
    <w:rsid w:val="005A364F"/>
    <w:rsid w:val="005A3757"/>
    <w:rsid w:val="005A3D16"/>
    <w:rsid w:val="005A3DBC"/>
    <w:rsid w:val="005A3E0C"/>
    <w:rsid w:val="005A4177"/>
    <w:rsid w:val="005A4189"/>
    <w:rsid w:val="005A4242"/>
    <w:rsid w:val="005A4409"/>
    <w:rsid w:val="005A44AE"/>
    <w:rsid w:val="005A44C2"/>
    <w:rsid w:val="005A475F"/>
    <w:rsid w:val="005A4FDB"/>
    <w:rsid w:val="005A526B"/>
    <w:rsid w:val="005A5444"/>
    <w:rsid w:val="005A558C"/>
    <w:rsid w:val="005A57CF"/>
    <w:rsid w:val="005A57DA"/>
    <w:rsid w:val="005A5A10"/>
    <w:rsid w:val="005A6009"/>
    <w:rsid w:val="005A6046"/>
    <w:rsid w:val="005A6905"/>
    <w:rsid w:val="005A6B27"/>
    <w:rsid w:val="005A6FFD"/>
    <w:rsid w:val="005A702B"/>
    <w:rsid w:val="005A708E"/>
    <w:rsid w:val="005A70B3"/>
    <w:rsid w:val="005A76EA"/>
    <w:rsid w:val="005A780F"/>
    <w:rsid w:val="005A797D"/>
    <w:rsid w:val="005A7F27"/>
    <w:rsid w:val="005B0088"/>
    <w:rsid w:val="005B0254"/>
    <w:rsid w:val="005B03A8"/>
    <w:rsid w:val="005B041B"/>
    <w:rsid w:val="005B0652"/>
    <w:rsid w:val="005B06AF"/>
    <w:rsid w:val="005B0AE9"/>
    <w:rsid w:val="005B0C80"/>
    <w:rsid w:val="005B0FEC"/>
    <w:rsid w:val="005B1515"/>
    <w:rsid w:val="005B1BF8"/>
    <w:rsid w:val="005B1C74"/>
    <w:rsid w:val="005B1CA4"/>
    <w:rsid w:val="005B1E46"/>
    <w:rsid w:val="005B1EDE"/>
    <w:rsid w:val="005B1EE0"/>
    <w:rsid w:val="005B1F80"/>
    <w:rsid w:val="005B25BC"/>
    <w:rsid w:val="005B2602"/>
    <w:rsid w:val="005B27F3"/>
    <w:rsid w:val="005B2DFB"/>
    <w:rsid w:val="005B2E9D"/>
    <w:rsid w:val="005B310E"/>
    <w:rsid w:val="005B3244"/>
    <w:rsid w:val="005B3AE6"/>
    <w:rsid w:val="005B3B67"/>
    <w:rsid w:val="005B3C05"/>
    <w:rsid w:val="005B3C4B"/>
    <w:rsid w:val="005B3E79"/>
    <w:rsid w:val="005B3F01"/>
    <w:rsid w:val="005B3FE6"/>
    <w:rsid w:val="005B42C9"/>
    <w:rsid w:val="005B42D8"/>
    <w:rsid w:val="005B4331"/>
    <w:rsid w:val="005B45D0"/>
    <w:rsid w:val="005B4C39"/>
    <w:rsid w:val="005B4D08"/>
    <w:rsid w:val="005B500E"/>
    <w:rsid w:val="005B5442"/>
    <w:rsid w:val="005B557A"/>
    <w:rsid w:val="005B5996"/>
    <w:rsid w:val="005B5BA2"/>
    <w:rsid w:val="005B6083"/>
    <w:rsid w:val="005B6477"/>
    <w:rsid w:val="005B684D"/>
    <w:rsid w:val="005B6A89"/>
    <w:rsid w:val="005B6E64"/>
    <w:rsid w:val="005B6F0C"/>
    <w:rsid w:val="005B70F1"/>
    <w:rsid w:val="005B733B"/>
    <w:rsid w:val="005B7424"/>
    <w:rsid w:val="005B7541"/>
    <w:rsid w:val="005B7A16"/>
    <w:rsid w:val="005B7CD0"/>
    <w:rsid w:val="005C041B"/>
    <w:rsid w:val="005C0747"/>
    <w:rsid w:val="005C07BE"/>
    <w:rsid w:val="005C07D9"/>
    <w:rsid w:val="005C089B"/>
    <w:rsid w:val="005C0A50"/>
    <w:rsid w:val="005C0BED"/>
    <w:rsid w:val="005C0C58"/>
    <w:rsid w:val="005C0F43"/>
    <w:rsid w:val="005C0FAE"/>
    <w:rsid w:val="005C1108"/>
    <w:rsid w:val="005C1195"/>
    <w:rsid w:val="005C167C"/>
    <w:rsid w:val="005C16BB"/>
    <w:rsid w:val="005C1D7C"/>
    <w:rsid w:val="005C208D"/>
    <w:rsid w:val="005C26BD"/>
    <w:rsid w:val="005C286D"/>
    <w:rsid w:val="005C28C0"/>
    <w:rsid w:val="005C29DB"/>
    <w:rsid w:val="005C2D23"/>
    <w:rsid w:val="005C2E6D"/>
    <w:rsid w:val="005C2E95"/>
    <w:rsid w:val="005C32D4"/>
    <w:rsid w:val="005C3340"/>
    <w:rsid w:val="005C3645"/>
    <w:rsid w:val="005C3A42"/>
    <w:rsid w:val="005C3BAF"/>
    <w:rsid w:val="005C3D74"/>
    <w:rsid w:val="005C412B"/>
    <w:rsid w:val="005C46F2"/>
    <w:rsid w:val="005C4A14"/>
    <w:rsid w:val="005C4A5C"/>
    <w:rsid w:val="005C4F9C"/>
    <w:rsid w:val="005C507C"/>
    <w:rsid w:val="005C5183"/>
    <w:rsid w:val="005C53D7"/>
    <w:rsid w:val="005C54EE"/>
    <w:rsid w:val="005C59D8"/>
    <w:rsid w:val="005C5AE0"/>
    <w:rsid w:val="005C5C85"/>
    <w:rsid w:val="005C5EB4"/>
    <w:rsid w:val="005C623C"/>
    <w:rsid w:val="005C63EE"/>
    <w:rsid w:val="005C6435"/>
    <w:rsid w:val="005C6590"/>
    <w:rsid w:val="005C6697"/>
    <w:rsid w:val="005C682B"/>
    <w:rsid w:val="005C6B71"/>
    <w:rsid w:val="005C70BD"/>
    <w:rsid w:val="005C73BD"/>
    <w:rsid w:val="005C776B"/>
    <w:rsid w:val="005D011C"/>
    <w:rsid w:val="005D0311"/>
    <w:rsid w:val="005D0502"/>
    <w:rsid w:val="005D066D"/>
    <w:rsid w:val="005D06B1"/>
    <w:rsid w:val="005D08E1"/>
    <w:rsid w:val="005D08FA"/>
    <w:rsid w:val="005D0BC5"/>
    <w:rsid w:val="005D1131"/>
    <w:rsid w:val="005D11F5"/>
    <w:rsid w:val="005D12E6"/>
    <w:rsid w:val="005D1471"/>
    <w:rsid w:val="005D1580"/>
    <w:rsid w:val="005D1906"/>
    <w:rsid w:val="005D1ABB"/>
    <w:rsid w:val="005D1B22"/>
    <w:rsid w:val="005D1EA4"/>
    <w:rsid w:val="005D20A8"/>
    <w:rsid w:val="005D22E6"/>
    <w:rsid w:val="005D29E7"/>
    <w:rsid w:val="005D30C7"/>
    <w:rsid w:val="005D33AD"/>
    <w:rsid w:val="005D359B"/>
    <w:rsid w:val="005D3625"/>
    <w:rsid w:val="005D3D56"/>
    <w:rsid w:val="005D44CB"/>
    <w:rsid w:val="005D4BD4"/>
    <w:rsid w:val="005D4E84"/>
    <w:rsid w:val="005D5100"/>
    <w:rsid w:val="005D5B05"/>
    <w:rsid w:val="005D5B6E"/>
    <w:rsid w:val="005D5BAA"/>
    <w:rsid w:val="005D5ECC"/>
    <w:rsid w:val="005D608B"/>
    <w:rsid w:val="005D61F1"/>
    <w:rsid w:val="005D6716"/>
    <w:rsid w:val="005D69D8"/>
    <w:rsid w:val="005D6BC7"/>
    <w:rsid w:val="005D6C2E"/>
    <w:rsid w:val="005D6D8B"/>
    <w:rsid w:val="005D6F35"/>
    <w:rsid w:val="005D7220"/>
    <w:rsid w:val="005D72EE"/>
    <w:rsid w:val="005D74A6"/>
    <w:rsid w:val="005D79CE"/>
    <w:rsid w:val="005D7D15"/>
    <w:rsid w:val="005D7FC7"/>
    <w:rsid w:val="005E02B9"/>
    <w:rsid w:val="005E0300"/>
    <w:rsid w:val="005E0319"/>
    <w:rsid w:val="005E05FE"/>
    <w:rsid w:val="005E0744"/>
    <w:rsid w:val="005E07E7"/>
    <w:rsid w:val="005E0A4A"/>
    <w:rsid w:val="005E0B0A"/>
    <w:rsid w:val="005E0BB6"/>
    <w:rsid w:val="005E0C20"/>
    <w:rsid w:val="005E0E5C"/>
    <w:rsid w:val="005E0E9E"/>
    <w:rsid w:val="005E0FFF"/>
    <w:rsid w:val="005E12A1"/>
    <w:rsid w:val="005E132D"/>
    <w:rsid w:val="005E1787"/>
    <w:rsid w:val="005E19A9"/>
    <w:rsid w:val="005E1DBC"/>
    <w:rsid w:val="005E21DC"/>
    <w:rsid w:val="005E224F"/>
    <w:rsid w:val="005E24BD"/>
    <w:rsid w:val="005E26DA"/>
    <w:rsid w:val="005E28A9"/>
    <w:rsid w:val="005E3560"/>
    <w:rsid w:val="005E3756"/>
    <w:rsid w:val="005E3791"/>
    <w:rsid w:val="005E393E"/>
    <w:rsid w:val="005E39FD"/>
    <w:rsid w:val="005E3D31"/>
    <w:rsid w:val="005E3F2F"/>
    <w:rsid w:val="005E4623"/>
    <w:rsid w:val="005E4707"/>
    <w:rsid w:val="005E4A96"/>
    <w:rsid w:val="005E4E62"/>
    <w:rsid w:val="005E4F64"/>
    <w:rsid w:val="005E4FBA"/>
    <w:rsid w:val="005E518D"/>
    <w:rsid w:val="005E544D"/>
    <w:rsid w:val="005E54F3"/>
    <w:rsid w:val="005E5954"/>
    <w:rsid w:val="005E5C08"/>
    <w:rsid w:val="005E6078"/>
    <w:rsid w:val="005E6118"/>
    <w:rsid w:val="005E65E8"/>
    <w:rsid w:val="005E6674"/>
    <w:rsid w:val="005E68C2"/>
    <w:rsid w:val="005E68D0"/>
    <w:rsid w:val="005E6958"/>
    <w:rsid w:val="005E6E40"/>
    <w:rsid w:val="005E714A"/>
    <w:rsid w:val="005E739A"/>
    <w:rsid w:val="005E763F"/>
    <w:rsid w:val="005E79C8"/>
    <w:rsid w:val="005E7A9B"/>
    <w:rsid w:val="005E7C88"/>
    <w:rsid w:val="005F005C"/>
    <w:rsid w:val="005F0118"/>
    <w:rsid w:val="005F029F"/>
    <w:rsid w:val="005F0CB5"/>
    <w:rsid w:val="005F0F4F"/>
    <w:rsid w:val="005F104B"/>
    <w:rsid w:val="005F1769"/>
    <w:rsid w:val="005F1B06"/>
    <w:rsid w:val="005F1BF8"/>
    <w:rsid w:val="005F1C93"/>
    <w:rsid w:val="005F1EE7"/>
    <w:rsid w:val="005F1FBF"/>
    <w:rsid w:val="005F208B"/>
    <w:rsid w:val="005F211B"/>
    <w:rsid w:val="005F2351"/>
    <w:rsid w:val="005F2473"/>
    <w:rsid w:val="005F2582"/>
    <w:rsid w:val="005F26D5"/>
    <w:rsid w:val="005F27D0"/>
    <w:rsid w:val="005F2A9A"/>
    <w:rsid w:val="005F2B70"/>
    <w:rsid w:val="005F2BB9"/>
    <w:rsid w:val="005F2C94"/>
    <w:rsid w:val="005F2D84"/>
    <w:rsid w:val="005F2ED9"/>
    <w:rsid w:val="005F3050"/>
    <w:rsid w:val="005F355C"/>
    <w:rsid w:val="005F36F0"/>
    <w:rsid w:val="005F3796"/>
    <w:rsid w:val="005F3826"/>
    <w:rsid w:val="005F388D"/>
    <w:rsid w:val="005F399B"/>
    <w:rsid w:val="005F3C76"/>
    <w:rsid w:val="005F3DD4"/>
    <w:rsid w:val="005F3DFE"/>
    <w:rsid w:val="005F408E"/>
    <w:rsid w:val="005F44AC"/>
    <w:rsid w:val="005F44DE"/>
    <w:rsid w:val="005F48DF"/>
    <w:rsid w:val="005F4B46"/>
    <w:rsid w:val="005F4BA2"/>
    <w:rsid w:val="005F4D07"/>
    <w:rsid w:val="005F4D37"/>
    <w:rsid w:val="005F544D"/>
    <w:rsid w:val="005F54C7"/>
    <w:rsid w:val="005F56F9"/>
    <w:rsid w:val="005F5A33"/>
    <w:rsid w:val="005F5A76"/>
    <w:rsid w:val="005F5AF8"/>
    <w:rsid w:val="005F6DE7"/>
    <w:rsid w:val="005F6EDB"/>
    <w:rsid w:val="005F713A"/>
    <w:rsid w:val="005F7411"/>
    <w:rsid w:val="005F773B"/>
    <w:rsid w:val="005F77BC"/>
    <w:rsid w:val="005F77BD"/>
    <w:rsid w:val="005F77C7"/>
    <w:rsid w:val="005F7B66"/>
    <w:rsid w:val="005F7BFA"/>
    <w:rsid w:val="005F7EFF"/>
    <w:rsid w:val="00600148"/>
    <w:rsid w:val="0060066E"/>
    <w:rsid w:val="00600D45"/>
    <w:rsid w:val="00600D9A"/>
    <w:rsid w:val="00600F97"/>
    <w:rsid w:val="0060124E"/>
    <w:rsid w:val="0060126D"/>
    <w:rsid w:val="00601490"/>
    <w:rsid w:val="00601A00"/>
    <w:rsid w:val="00601AA7"/>
    <w:rsid w:val="00601AC7"/>
    <w:rsid w:val="00601B5A"/>
    <w:rsid w:val="00601D54"/>
    <w:rsid w:val="0060207B"/>
    <w:rsid w:val="006021BC"/>
    <w:rsid w:val="0060251A"/>
    <w:rsid w:val="0060334D"/>
    <w:rsid w:val="00603425"/>
    <w:rsid w:val="0060359B"/>
    <w:rsid w:val="00603852"/>
    <w:rsid w:val="006038D0"/>
    <w:rsid w:val="00603E34"/>
    <w:rsid w:val="00604C0F"/>
    <w:rsid w:val="00604CA3"/>
    <w:rsid w:val="00604D71"/>
    <w:rsid w:val="00604F7C"/>
    <w:rsid w:val="00605068"/>
    <w:rsid w:val="0060512E"/>
    <w:rsid w:val="00605405"/>
    <w:rsid w:val="006055C3"/>
    <w:rsid w:val="00605747"/>
    <w:rsid w:val="00605918"/>
    <w:rsid w:val="006059DC"/>
    <w:rsid w:val="00606203"/>
    <w:rsid w:val="00606521"/>
    <w:rsid w:val="0060663D"/>
    <w:rsid w:val="00606770"/>
    <w:rsid w:val="006067BE"/>
    <w:rsid w:val="00606807"/>
    <w:rsid w:val="006068A6"/>
    <w:rsid w:val="00606DF2"/>
    <w:rsid w:val="00606FAA"/>
    <w:rsid w:val="00607277"/>
    <w:rsid w:val="006074A7"/>
    <w:rsid w:val="0060773A"/>
    <w:rsid w:val="006078CA"/>
    <w:rsid w:val="006079C6"/>
    <w:rsid w:val="00607D9F"/>
    <w:rsid w:val="006102FE"/>
    <w:rsid w:val="006103B2"/>
    <w:rsid w:val="006104DB"/>
    <w:rsid w:val="006104F7"/>
    <w:rsid w:val="0061056C"/>
    <w:rsid w:val="00610680"/>
    <w:rsid w:val="006106D3"/>
    <w:rsid w:val="006109B1"/>
    <w:rsid w:val="00611059"/>
    <w:rsid w:val="00611128"/>
    <w:rsid w:val="00611184"/>
    <w:rsid w:val="006111F9"/>
    <w:rsid w:val="0061159F"/>
    <w:rsid w:val="006118D1"/>
    <w:rsid w:val="006118F4"/>
    <w:rsid w:val="00611BF5"/>
    <w:rsid w:val="00611D03"/>
    <w:rsid w:val="00611D08"/>
    <w:rsid w:val="00611DB1"/>
    <w:rsid w:val="00611F57"/>
    <w:rsid w:val="006123A9"/>
    <w:rsid w:val="006123DA"/>
    <w:rsid w:val="00612C7E"/>
    <w:rsid w:val="006134F6"/>
    <w:rsid w:val="0061395B"/>
    <w:rsid w:val="00613A34"/>
    <w:rsid w:val="00613B6F"/>
    <w:rsid w:val="00613D2B"/>
    <w:rsid w:val="0061406D"/>
    <w:rsid w:val="00614327"/>
    <w:rsid w:val="00614488"/>
    <w:rsid w:val="006145A3"/>
    <w:rsid w:val="0061481B"/>
    <w:rsid w:val="00614AF4"/>
    <w:rsid w:val="00614BA1"/>
    <w:rsid w:val="00614C39"/>
    <w:rsid w:val="00614C4F"/>
    <w:rsid w:val="00614D55"/>
    <w:rsid w:val="00614E2C"/>
    <w:rsid w:val="00614F64"/>
    <w:rsid w:val="0061504A"/>
    <w:rsid w:val="00615567"/>
    <w:rsid w:val="00615608"/>
    <w:rsid w:val="006156BE"/>
    <w:rsid w:val="0061571F"/>
    <w:rsid w:val="0061593C"/>
    <w:rsid w:val="00615CC5"/>
    <w:rsid w:val="00615D4F"/>
    <w:rsid w:val="00615E18"/>
    <w:rsid w:val="00615E93"/>
    <w:rsid w:val="0061605E"/>
    <w:rsid w:val="00616130"/>
    <w:rsid w:val="0061624B"/>
    <w:rsid w:val="006167AB"/>
    <w:rsid w:val="00616A18"/>
    <w:rsid w:val="00616A71"/>
    <w:rsid w:val="00616B8B"/>
    <w:rsid w:val="00616BF3"/>
    <w:rsid w:val="00617007"/>
    <w:rsid w:val="006172D4"/>
    <w:rsid w:val="006172FB"/>
    <w:rsid w:val="00617320"/>
    <w:rsid w:val="00617FB6"/>
    <w:rsid w:val="00620053"/>
    <w:rsid w:val="006203F5"/>
    <w:rsid w:val="006205DA"/>
    <w:rsid w:val="00620673"/>
    <w:rsid w:val="00620BE3"/>
    <w:rsid w:val="00620F73"/>
    <w:rsid w:val="006214AD"/>
    <w:rsid w:val="006214B4"/>
    <w:rsid w:val="006214D4"/>
    <w:rsid w:val="006219CE"/>
    <w:rsid w:val="00621AB3"/>
    <w:rsid w:val="0062233D"/>
    <w:rsid w:val="00622550"/>
    <w:rsid w:val="006227CF"/>
    <w:rsid w:val="006229ED"/>
    <w:rsid w:val="00622C37"/>
    <w:rsid w:val="00622E7F"/>
    <w:rsid w:val="0062308D"/>
    <w:rsid w:val="00623469"/>
    <w:rsid w:val="00623630"/>
    <w:rsid w:val="00623748"/>
    <w:rsid w:val="0062395E"/>
    <w:rsid w:val="006239F9"/>
    <w:rsid w:val="00623EE9"/>
    <w:rsid w:val="00623FFC"/>
    <w:rsid w:val="00624037"/>
    <w:rsid w:val="006240AA"/>
    <w:rsid w:val="006241DA"/>
    <w:rsid w:val="00624769"/>
    <w:rsid w:val="00624A60"/>
    <w:rsid w:val="00624AA5"/>
    <w:rsid w:val="00624B26"/>
    <w:rsid w:val="00624BDD"/>
    <w:rsid w:val="00624EB3"/>
    <w:rsid w:val="00625230"/>
    <w:rsid w:val="00625B3D"/>
    <w:rsid w:val="00625D1F"/>
    <w:rsid w:val="00625D56"/>
    <w:rsid w:val="00626362"/>
    <w:rsid w:val="00626453"/>
    <w:rsid w:val="0062646F"/>
    <w:rsid w:val="00626953"/>
    <w:rsid w:val="00626999"/>
    <w:rsid w:val="00626B5A"/>
    <w:rsid w:val="00626E2C"/>
    <w:rsid w:val="00626F67"/>
    <w:rsid w:val="00626F6C"/>
    <w:rsid w:val="00626FE7"/>
    <w:rsid w:val="006272B0"/>
    <w:rsid w:val="006274D3"/>
    <w:rsid w:val="00627AD9"/>
    <w:rsid w:val="00627C7C"/>
    <w:rsid w:val="00627E96"/>
    <w:rsid w:val="00627FF9"/>
    <w:rsid w:val="0063028C"/>
    <w:rsid w:val="006303D2"/>
    <w:rsid w:val="0063046E"/>
    <w:rsid w:val="00630505"/>
    <w:rsid w:val="00630652"/>
    <w:rsid w:val="0063098D"/>
    <w:rsid w:val="00630C63"/>
    <w:rsid w:val="00630DF7"/>
    <w:rsid w:val="00631472"/>
    <w:rsid w:val="0063153C"/>
    <w:rsid w:val="006316EC"/>
    <w:rsid w:val="00631734"/>
    <w:rsid w:val="00631750"/>
    <w:rsid w:val="00631CCD"/>
    <w:rsid w:val="00631F2C"/>
    <w:rsid w:val="006320A8"/>
    <w:rsid w:val="00632383"/>
    <w:rsid w:val="0063251C"/>
    <w:rsid w:val="00632612"/>
    <w:rsid w:val="00632644"/>
    <w:rsid w:val="00632689"/>
    <w:rsid w:val="006326C3"/>
    <w:rsid w:val="006329E2"/>
    <w:rsid w:val="00632A62"/>
    <w:rsid w:val="00632A95"/>
    <w:rsid w:val="00632CB5"/>
    <w:rsid w:val="00632D9D"/>
    <w:rsid w:val="00632F5F"/>
    <w:rsid w:val="006331EB"/>
    <w:rsid w:val="00633269"/>
    <w:rsid w:val="00633423"/>
    <w:rsid w:val="00633456"/>
    <w:rsid w:val="0063355B"/>
    <w:rsid w:val="006335DD"/>
    <w:rsid w:val="006337D9"/>
    <w:rsid w:val="006339EA"/>
    <w:rsid w:val="006340AB"/>
    <w:rsid w:val="006341EF"/>
    <w:rsid w:val="00634465"/>
    <w:rsid w:val="006347DC"/>
    <w:rsid w:val="00634986"/>
    <w:rsid w:val="00634C14"/>
    <w:rsid w:val="00634F84"/>
    <w:rsid w:val="006350C1"/>
    <w:rsid w:val="006353BD"/>
    <w:rsid w:val="006354BF"/>
    <w:rsid w:val="006355E5"/>
    <w:rsid w:val="00635B9D"/>
    <w:rsid w:val="00635CC8"/>
    <w:rsid w:val="00635E38"/>
    <w:rsid w:val="0063616C"/>
    <w:rsid w:val="0063619B"/>
    <w:rsid w:val="006361A6"/>
    <w:rsid w:val="0063635F"/>
    <w:rsid w:val="00636B17"/>
    <w:rsid w:val="00636B9C"/>
    <w:rsid w:val="006370CA"/>
    <w:rsid w:val="006370D5"/>
    <w:rsid w:val="00637543"/>
    <w:rsid w:val="00637906"/>
    <w:rsid w:val="00637DC3"/>
    <w:rsid w:val="006400F3"/>
    <w:rsid w:val="0064039C"/>
    <w:rsid w:val="00640435"/>
    <w:rsid w:val="00640886"/>
    <w:rsid w:val="00640B55"/>
    <w:rsid w:val="00640B91"/>
    <w:rsid w:val="0064139E"/>
    <w:rsid w:val="00641491"/>
    <w:rsid w:val="00641A2B"/>
    <w:rsid w:val="00641BF1"/>
    <w:rsid w:val="00641D08"/>
    <w:rsid w:val="00641D80"/>
    <w:rsid w:val="00641DC5"/>
    <w:rsid w:val="006422AC"/>
    <w:rsid w:val="006422B5"/>
    <w:rsid w:val="006423BE"/>
    <w:rsid w:val="006425D0"/>
    <w:rsid w:val="006426B3"/>
    <w:rsid w:val="00642876"/>
    <w:rsid w:val="00642B83"/>
    <w:rsid w:val="00642CD0"/>
    <w:rsid w:val="00642D09"/>
    <w:rsid w:val="00642E1B"/>
    <w:rsid w:val="00642F1E"/>
    <w:rsid w:val="00642FCF"/>
    <w:rsid w:val="0064304C"/>
    <w:rsid w:val="00643055"/>
    <w:rsid w:val="00643738"/>
    <w:rsid w:val="00643744"/>
    <w:rsid w:val="00643CD1"/>
    <w:rsid w:val="00643D21"/>
    <w:rsid w:val="00643D9C"/>
    <w:rsid w:val="00643EBE"/>
    <w:rsid w:val="00644176"/>
    <w:rsid w:val="006442EB"/>
    <w:rsid w:val="0064430A"/>
    <w:rsid w:val="00644390"/>
    <w:rsid w:val="00644B2A"/>
    <w:rsid w:val="00644BBE"/>
    <w:rsid w:val="006452A4"/>
    <w:rsid w:val="00645402"/>
    <w:rsid w:val="0064547F"/>
    <w:rsid w:val="00645664"/>
    <w:rsid w:val="006456AC"/>
    <w:rsid w:val="00645836"/>
    <w:rsid w:val="006459DE"/>
    <w:rsid w:val="00645DD9"/>
    <w:rsid w:val="00645E9F"/>
    <w:rsid w:val="00645FD9"/>
    <w:rsid w:val="006460C0"/>
    <w:rsid w:val="0064657C"/>
    <w:rsid w:val="006466A7"/>
    <w:rsid w:val="00646895"/>
    <w:rsid w:val="00646B35"/>
    <w:rsid w:val="00646BB2"/>
    <w:rsid w:val="00646C81"/>
    <w:rsid w:val="00646F2B"/>
    <w:rsid w:val="006474D0"/>
    <w:rsid w:val="00647BBA"/>
    <w:rsid w:val="00647C86"/>
    <w:rsid w:val="00647D10"/>
    <w:rsid w:val="00647EB1"/>
    <w:rsid w:val="00647F9F"/>
    <w:rsid w:val="006506DD"/>
    <w:rsid w:val="00650906"/>
    <w:rsid w:val="0065122A"/>
    <w:rsid w:val="006513C3"/>
    <w:rsid w:val="006517E4"/>
    <w:rsid w:val="006522EA"/>
    <w:rsid w:val="00652396"/>
    <w:rsid w:val="00652521"/>
    <w:rsid w:val="0065258B"/>
    <w:rsid w:val="00652763"/>
    <w:rsid w:val="00652999"/>
    <w:rsid w:val="00652A3A"/>
    <w:rsid w:val="00652C0A"/>
    <w:rsid w:val="00652D55"/>
    <w:rsid w:val="00652F16"/>
    <w:rsid w:val="0065346F"/>
    <w:rsid w:val="00653F29"/>
    <w:rsid w:val="00654055"/>
    <w:rsid w:val="00654266"/>
    <w:rsid w:val="0065448B"/>
    <w:rsid w:val="0065480E"/>
    <w:rsid w:val="00654989"/>
    <w:rsid w:val="00654A28"/>
    <w:rsid w:val="00654D21"/>
    <w:rsid w:val="00654D9C"/>
    <w:rsid w:val="0065533C"/>
    <w:rsid w:val="006553AF"/>
    <w:rsid w:val="00655457"/>
    <w:rsid w:val="0065552B"/>
    <w:rsid w:val="00655643"/>
    <w:rsid w:val="0065568C"/>
    <w:rsid w:val="00655C29"/>
    <w:rsid w:val="00655FB1"/>
    <w:rsid w:val="006561A9"/>
    <w:rsid w:val="0065654A"/>
    <w:rsid w:val="00656781"/>
    <w:rsid w:val="006567EF"/>
    <w:rsid w:val="0065694D"/>
    <w:rsid w:val="00656C4E"/>
    <w:rsid w:val="00656D9A"/>
    <w:rsid w:val="0065734A"/>
    <w:rsid w:val="00657648"/>
    <w:rsid w:val="006576EE"/>
    <w:rsid w:val="0065793C"/>
    <w:rsid w:val="006579F8"/>
    <w:rsid w:val="00660139"/>
    <w:rsid w:val="00660252"/>
    <w:rsid w:val="006605AB"/>
    <w:rsid w:val="0066062F"/>
    <w:rsid w:val="00660870"/>
    <w:rsid w:val="00660C59"/>
    <w:rsid w:val="00661460"/>
    <w:rsid w:val="006616A2"/>
    <w:rsid w:val="006618DA"/>
    <w:rsid w:val="00661A1B"/>
    <w:rsid w:val="00661D3C"/>
    <w:rsid w:val="00661FF4"/>
    <w:rsid w:val="0066201A"/>
    <w:rsid w:val="00662272"/>
    <w:rsid w:val="0066231B"/>
    <w:rsid w:val="0066239C"/>
    <w:rsid w:val="006623D5"/>
    <w:rsid w:val="006625AB"/>
    <w:rsid w:val="00662D18"/>
    <w:rsid w:val="00662E0E"/>
    <w:rsid w:val="00662F50"/>
    <w:rsid w:val="0066334D"/>
    <w:rsid w:val="00663510"/>
    <w:rsid w:val="00663A95"/>
    <w:rsid w:val="00663D4F"/>
    <w:rsid w:val="00664528"/>
    <w:rsid w:val="006645DB"/>
    <w:rsid w:val="0066479F"/>
    <w:rsid w:val="00664830"/>
    <w:rsid w:val="00664C0E"/>
    <w:rsid w:val="00665063"/>
    <w:rsid w:val="0066509C"/>
    <w:rsid w:val="006651EE"/>
    <w:rsid w:val="00665929"/>
    <w:rsid w:val="0066597E"/>
    <w:rsid w:val="00665E68"/>
    <w:rsid w:val="00665F61"/>
    <w:rsid w:val="00666080"/>
    <w:rsid w:val="0066612B"/>
    <w:rsid w:val="00666379"/>
    <w:rsid w:val="006667F9"/>
    <w:rsid w:val="0066689A"/>
    <w:rsid w:val="006668FA"/>
    <w:rsid w:val="00666935"/>
    <w:rsid w:val="00666C41"/>
    <w:rsid w:val="00666DB8"/>
    <w:rsid w:val="00666EA1"/>
    <w:rsid w:val="006671AC"/>
    <w:rsid w:val="00667201"/>
    <w:rsid w:val="006674AD"/>
    <w:rsid w:val="0066792F"/>
    <w:rsid w:val="00667DB7"/>
    <w:rsid w:val="00667E3E"/>
    <w:rsid w:val="00667E4B"/>
    <w:rsid w:val="00670488"/>
    <w:rsid w:val="0067057A"/>
    <w:rsid w:val="00670615"/>
    <w:rsid w:val="0067080F"/>
    <w:rsid w:val="0067082B"/>
    <w:rsid w:val="00670C53"/>
    <w:rsid w:val="00670F04"/>
    <w:rsid w:val="00671283"/>
    <w:rsid w:val="00671370"/>
    <w:rsid w:val="006713D6"/>
    <w:rsid w:val="00671B07"/>
    <w:rsid w:val="00671D6A"/>
    <w:rsid w:val="00672085"/>
    <w:rsid w:val="006723DA"/>
    <w:rsid w:val="0067275F"/>
    <w:rsid w:val="0067276E"/>
    <w:rsid w:val="006728E7"/>
    <w:rsid w:val="00672B56"/>
    <w:rsid w:val="00672CF9"/>
    <w:rsid w:val="0067324C"/>
    <w:rsid w:val="0067337E"/>
    <w:rsid w:val="006733AE"/>
    <w:rsid w:val="006734A9"/>
    <w:rsid w:val="0067354D"/>
    <w:rsid w:val="006735C7"/>
    <w:rsid w:val="006736E8"/>
    <w:rsid w:val="00673A8D"/>
    <w:rsid w:val="006740D5"/>
    <w:rsid w:val="00674310"/>
    <w:rsid w:val="006750D5"/>
    <w:rsid w:val="006753E4"/>
    <w:rsid w:val="006754FB"/>
    <w:rsid w:val="006755A5"/>
    <w:rsid w:val="006755BF"/>
    <w:rsid w:val="00675910"/>
    <w:rsid w:val="00675934"/>
    <w:rsid w:val="00675F1E"/>
    <w:rsid w:val="00675FB5"/>
    <w:rsid w:val="00676091"/>
    <w:rsid w:val="00676C45"/>
    <w:rsid w:val="00676D5E"/>
    <w:rsid w:val="00676FB4"/>
    <w:rsid w:val="006770BC"/>
    <w:rsid w:val="00677188"/>
    <w:rsid w:val="0067738A"/>
    <w:rsid w:val="0067762E"/>
    <w:rsid w:val="006776BA"/>
    <w:rsid w:val="006777AB"/>
    <w:rsid w:val="0067795A"/>
    <w:rsid w:val="00677D47"/>
    <w:rsid w:val="00677E58"/>
    <w:rsid w:val="00680516"/>
    <w:rsid w:val="0068063C"/>
    <w:rsid w:val="00680A93"/>
    <w:rsid w:val="00680DD4"/>
    <w:rsid w:val="00680E7A"/>
    <w:rsid w:val="00681016"/>
    <w:rsid w:val="006810CA"/>
    <w:rsid w:val="00681285"/>
    <w:rsid w:val="006813B4"/>
    <w:rsid w:val="006815C5"/>
    <w:rsid w:val="00681777"/>
    <w:rsid w:val="00681C32"/>
    <w:rsid w:val="00681D03"/>
    <w:rsid w:val="00681DAE"/>
    <w:rsid w:val="00681F19"/>
    <w:rsid w:val="00681FF4"/>
    <w:rsid w:val="00682251"/>
    <w:rsid w:val="0068229A"/>
    <w:rsid w:val="0068270C"/>
    <w:rsid w:val="00682821"/>
    <w:rsid w:val="00682B3E"/>
    <w:rsid w:val="00682EFA"/>
    <w:rsid w:val="0068305A"/>
    <w:rsid w:val="00683190"/>
    <w:rsid w:val="0068351D"/>
    <w:rsid w:val="00683C88"/>
    <w:rsid w:val="00683EB2"/>
    <w:rsid w:val="00683F8E"/>
    <w:rsid w:val="00683FF7"/>
    <w:rsid w:val="00684230"/>
    <w:rsid w:val="00684264"/>
    <w:rsid w:val="00684537"/>
    <w:rsid w:val="00684650"/>
    <w:rsid w:val="0068483D"/>
    <w:rsid w:val="006849EB"/>
    <w:rsid w:val="00684BDA"/>
    <w:rsid w:val="00684D11"/>
    <w:rsid w:val="00684F8E"/>
    <w:rsid w:val="00685094"/>
    <w:rsid w:val="0068540E"/>
    <w:rsid w:val="0068575C"/>
    <w:rsid w:val="006857D9"/>
    <w:rsid w:val="006858CD"/>
    <w:rsid w:val="006858EF"/>
    <w:rsid w:val="00685B9B"/>
    <w:rsid w:val="00685C2A"/>
    <w:rsid w:val="00685E0A"/>
    <w:rsid w:val="00685F52"/>
    <w:rsid w:val="006860A5"/>
    <w:rsid w:val="006860CE"/>
    <w:rsid w:val="006863AC"/>
    <w:rsid w:val="006864E6"/>
    <w:rsid w:val="0068653C"/>
    <w:rsid w:val="00686708"/>
    <w:rsid w:val="00686BF3"/>
    <w:rsid w:val="00686DB0"/>
    <w:rsid w:val="006873F4"/>
    <w:rsid w:val="0068753C"/>
    <w:rsid w:val="00687654"/>
    <w:rsid w:val="00687B40"/>
    <w:rsid w:val="00687C56"/>
    <w:rsid w:val="00687DE2"/>
    <w:rsid w:val="006903FC"/>
    <w:rsid w:val="00690608"/>
    <w:rsid w:val="00690685"/>
    <w:rsid w:val="00690708"/>
    <w:rsid w:val="0069077E"/>
    <w:rsid w:val="006907F4"/>
    <w:rsid w:val="006909E1"/>
    <w:rsid w:val="00690ABA"/>
    <w:rsid w:val="00690C37"/>
    <w:rsid w:val="00690FC7"/>
    <w:rsid w:val="00691511"/>
    <w:rsid w:val="0069180B"/>
    <w:rsid w:val="006918C9"/>
    <w:rsid w:val="006918F4"/>
    <w:rsid w:val="00691C6C"/>
    <w:rsid w:val="00691E62"/>
    <w:rsid w:val="0069269F"/>
    <w:rsid w:val="00692C6B"/>
    <w:rsid w:val="00692D18"/>
    <w:rsid w:val="00693202"/>
    <w:rsid w:val="006933CC"/>
    <w:rsid w:val="00693413"/>
    <w:rsid w:val="0069354E"/>
    <w:rsid w:val="006935BE"/>
    <w:rsid w:val="00693E4B"/>
    <w:rsid w:val="0069432B"/>
    <w:rsid w:val="00694811"/>
    <w:rsid w:val="00694E28"/>
    <w:rsid w:val="00694F7F"/>
    <w:rsid w:val="00694FC7"/>
    <w:rsid w:val="006951E8"/>
    <w:rsid w:val="006952B1"/>
    <w:rsid w:val="00695DC2"/>
    <w:rsid w:val="0069608D"/>
    <w:rsid w:val="0069626D"/>
    <w:rsid w:val="0069647A"/>
    <w:rsid w:val="00696506"/>
    <w:rsid w:val="006965B4"/>
    <w:rsid w:val="00696BC1"/>
    <w:rsid w:val="00696CB6"/>
    <w:rsid w:val="00696E8D"/>
    <w:rsid w:val="00696F82"/>
    <w:rsid w:val="006970BD"/>
    <w:rsid w:val="00697278"/>
    <w:rsid w:val="00697552"/>
    <w:rsid w:val="006975A9"/>
    <w:rsid w:val="00697D60"/>
    <w:rsid w:val="00697F19"/>
    <w:rsid w:val="006A015C"/>
    <w:rsid w:val="006A04BE"/>
    <w:rsid w:val="006A0970"/>
    <w:rsid w:val="006A0972"/>
    <w:rsid w:val="006A1082"/>
    <w:rsid w:val="006A148A"/>
    <w:rsid w:val="006A1616"/>
    <w:rsid w:val="006A185F"/>
    <w:rsid w:val="006A186C"/>
    <w:rsid w:val="006A1987"/>
    <w:rsid w:val="006A1BAF"/>
    <w:rsid w:val="006A1F55"/>
    <w:rsid w:val="006A2737"/>
    <w:rsid w:val="006A2A7A"/>
    <w:rsid w:val="006A2CAB"/>
    <w:rsid w:val="006A30E4"/>
    <w:rsid w:val="006A3247"/>
    <w:rsid w:val="006A3371"/>
    <w:rsid w:val="006A3457"/>
    <w:rsid w:val="006A34EE"/>
    <w:rsid w:val="006A3558"/>
    <w:rsid w:val="006A38BD"/>
    <w:rsid w:val="006A3B17"/>
    <w:rsid w:val="006A3B94"/>
    <w:rsid w:val="006A3E5D"/>
    <w:rsid w:val="006A42ED"/>
    <w:rsid w:val="006A43A7"/>
    <w:rsid w:val="006A4790"/>
    <w:rsid w:val="006A47C2"/>
    <w:rsid w:val="006A47F2"/>
    <w:rsid w:val="006A4845"/>
    <w:rsid w:val="006A4D38"/>
    <w:rsid w:val="006A4F1E"/>
    <w:rsid w:val="006A4FDC"/>
    <w:rsid w:val="006A53DA"/>
    <w:rsid w:val="006A5667"/>
    <w:rsid w:val="006A5747"/>
    <w:rsid w:val="006A585E"/>
    <w:rsid w:val="006A5CBD"/>
    <w:rsid w:val="006A6068"/>
    <w:rsid w:val="006A6180"/>
    <w:rsid w:val="006A63D1"/>
    <w:rsid w:val="006A6A33"/>
    <w:rsid w:val="006A6C26"/>
    <w:rsid w:val="006A71F2"/>
    <w:rsid w:val="006A7547"/>
    <w:rsid w:val="006A75E8"/>
    <w:rsid w:val="006A7615"/>
    <w:rsid w:val="006B0154"/>
    <w:rsid w:val="006B0604"/>
    <w:rsid w:val="006B0744"/>
    <w:rsid w:val="006B081B"/>
    <w:rsid w:val="006B0A77"/>
    <w:rsid w:val="006B0BE1"/>
    <w:rsid w:val="006B0C61"/>
    <w:rsid w:val="006B0EB0"/>
    <w:rsid w:val="006B107F"/>
    <w:rsid w:val="006B1318"/>
    <w:rsid w:val="006B143F"/>
    <w:rsid w:val="006B194C"/>
    <w:rsid w:val="006B199A"/>
    <w:rsid w:val="006B1A83"/>
    <w:rsid w:val="006B1BBD"/>
    <w:rsid w:val="006B1C3C"/>
    <w:rsid w:val="006B1DB7"/>
    <w:rsid w:val="006B2051"/>
    <w:rsid w:val="006B21B2"/>
    <w:rsid w:val="006B240C"/>
    <w:rsid w:val="006B2563"/>
    <w:rsid w:val="006B269A"/>
    <w:rsid w:val="006B2B83"/>
    <w:rsid w:val="006B2C47"/>
    <w:rsid w:val="006B2EBF"/>
    <w:rsid w:val="006B2ED5"/>
    <w:rsid w:val="006B2FD5"/>
    <w:rsid w:val="006B328E"/>
    <w:rsid w:val="006B3CDA"/>
    <w:rsid w:val="006B3CFC"/>
    <w:rsid w:val="006B3DB3"/>
    <w:rsid w:val="006B3E18"/>
    <w:rsid w:val="006B4168"/>
    <w:rsid w:val="006B41AC"/>
    <w:rsid w:val="006B433F"/>
    <w:rsid w:val="006B4391"/>
    <w:rsid w:val="006B443D"/>
    <w:rsid w:val="006B47AE"/>
    <w:rsid w:val="006B4B7A"/>
    <w:rsid w:val="006B4D77"/>
    <w:rsid w:val="006B4E49"/>
    <w:rsid w:val="006B5171"/>
    <w:rsid w:val="006B562C"/>
    <w:rsid w:val="006B64CE"/>
    <w:rsid w:val="006B6514"/>
    <w:rsid w:val="006B68CC"/>
    <w:rsid w:val="006B6CFB"/>
    <w:rsid w:val="006B6D5A"/>
    <w:rsid w:val="006B6F17"/>
    <w:rsid w:val="006B6FB8"/>
    <w:rsid w:val="006B70C8"/>
    <w:rsid w:val="006B7329"/>
    <w:rsid w:val="006B7434"/>
    <w:rsid w:val="006B7971"/>
    <w:rsid w:val="006B7A7F"/>
    <w:rsid w:val="006B7CD9"/>
    <w:rsid w:val="006B7DA6"/>
    <w:rsid w:val="006B7DEC"/>
    <w:rsid w:val="006B7DF5"/>
    <w:rsid w:val="006B7E4A"/>
    <w:rsid w:val="006B7E5A"/>
    <w:rsid w:val="006C0265"/>
    <w:rsid w:val="006C03F3"/>
    <w:rsid w:val="006C0799"/>
    <w:rsid w:val="006C0805"/>
    <w:rsid w:val="006C0A9A"/>
    <w:rsid w:val="006C0AF4"/>
    <w:rsid w:val="006C0D65"/>
    <w:rsid w:val="006C0ECF"/>
    <w:rsid w:val="006C0ED1"/>
    <w:rsid w:val="006C1903"/>
    <w:rsid w:val="006C1954"/>
    <w:rsid w:val="006C1B30"/>
    <w:rsid w:val="006C20BD"/>
    <w:rsid w:val="006C234D"/>
    <w:rsid w:val="006C267B"/>
    <w:rsid w:val="006C27FA"/>
    <w:rsid w:val="006C2953"/>
    <w:rsid w:val="006C2BA1"/>
    <w:rsid w:val="006C2BA4"/>
    <w:rsid w:val="006C2C55"/>
    <w:rsid w:val="006C2E9A"/>
    <w:rsid w:val="006C2EFC"/>
    <w:rsid w:val="006C3010"/>
    <w:rsid w:val="006C3106"/>
    <w:rsid w:val="006C32E3"/>
    <w:rsid w:val="006C339E"/>
    <w:rsid w:val="006C3B7A"/>
    <w:rsid w:val="006C3C29"/>
    <w:rsid w:val="006C3D04"/>
    <w:rsid w:val="006C4961"/>
    <w:rsid w:val="006C4E6F"/>
    <w:rsid w:val="006C51AC"/>
    <w:rsid w:val="006C574F"/>
    <w:rsid w:val="006C57D9"/>
    <w:rsid w:val="006C59FD"/>
    <w:rsid w:val="006C5AFC"/>
    <w:rsid w:val="006C5BFF"/>
    <w:rsid w:val="006C6046"/>
    <w:rsid w:val="006C619E"/>
    <w:rsid w:val="006C6237"/>
    <w:rsid w:val="006C650A"/>
    <w:rsid w:val="006C6553"/>
    <w:rsid w:val="006C69F5"/>
    <w:rsid w:val="006C6C3F"/>
    <w:rsid w:val="006C6C4C"/>
    <w:rsid w:val="006C6D59"/>
    <w:rsid w:val="006C6F07"/>
    <w:rsid w:val="006C7024"/>
    <w:rsid w:val="006C71F4"/>
    <w:rsid w:val="006C733A"/>
    <w:rsid w:val="006C7756"/>
    <w:rsid w:val="006C7A13"/>
    <w:rsid w:val="006C7B30"/>
    <w:rsid w:val="006C7D59"/>
    <w:rsid w:val="006C7F9A"/>
    <w:rsid w:val="006D0017"/>
    <w:rsid w:val="006D0244"/>
    <w:rsid w:val="006D0498"/>
    <w:rsid w:val="006D06A6"/>
    <w:rsid w:val="006D08A3"/>
    <w:rsid w:val="006D08BC"/>
    <w:rsid w:val="006D0AE4"/>
    <w:rsid w:val="006D0C73"/>
    <w:rsid w:val="006D0EAD"/>
    <w:rsid w:val="006D0ED7"/>
    <w:rsid w:val="006D12D1"/>
    <w:rsid w:val="006D15D6"/>
    <w:rsid w:val="006D1707"/>
    <w:rsid w:val="006D1948"/>
    <w:rsid w:val="006D1C04"/>
    <w:rsid w:val="006D1CDC"/>
    <w:rsid w:val="006D1E57"/>
    <w:rsid w:val="006D1F93"/>
    <w:rsid w:val="006D1FC2"/>
    <w:rsid w:val="006D20EA"/>
    <w:rsid w:val="006D23B0"/>
    <w:rsid w:val="006D2407"/>
    <w:rsid w:val="006D2B04"/>
    <w:rsid w:val="006D2C6F"/>
    <w:rsid w:val="006D2EBE"/>
    <w:rsid w:val="006D2F09"/>
    <w:rsid w:val="006D2F6B"/>
    <w:rsid w:val="006D3000"/>
    <w:rsid w:val="006D30B2"/>
    <w:rsid w:val="006D3260"/>
    <w:rsid w:val="006D3281"/>
    <w:rsid w:val="006D3BD9"/>
    <w:rsid w:val="006D3C20"/>
    <w:rsid w:val="006D3E5A"/>
    <w:rsid w:val="006D415A"/>
    <w:rsid w:val="006D416A"/>
    <w:rsid w:val="006D430D"/>
    <w:rsid w:val="006D4658"/>
    <w:rsid w:val="006D4682"/>
    <w:rsid w:val="006D46C0"/>
    <w:rsid w:val="006D4972"/>
    <w:rsid w:val="006D4C8F"/>
    <w:rsid w:val="006D4D34"/>
    <w:rsid w:val="006D4DA5"/>
    <w:rsid w:val="006D4DB7"/>
    <w:rsid w:val="006D4E36"/>
    <w:rsid w:val="006D4E3D"/>
    <w:rsid w:val="006D4EF0"/>
    <w:rsid w:val="006D50F8"/>
    <w:rsid w:val="006D562C"/>
    <w:rsid w:val="006D5A9D"/>
    <w:rsid w:val="006D5CBD"/>
    <w:rsid w:val="006D5D25"/>
    <w:rsid w:val="006D627A"/>
    <w:rsid w:val="006D62F8"/>
    <w:rsid w:val="006D674A"/>
    <w:rsid w:val="006D6A5C"/>
    <w:rsid w:val="006D6BAF"/>
    <w:rsid w:val="006D6CF4"/>
    <w:rsid w:val="006D6FED"/>
    <w:rsid w:val="006D72F6"/>
    <w:rsid w:val="006D788C"/>
    <w:rsid w:val="006D78E9"/>
    <w:rsid w:val="006D7997"/>
    <w:rsid w:val="006E0297"/>
    <w:rsid w:val="006E05CC"/>
    <w:rsid w:val="006E0CF1"/>
    <w:rsid w:val="006E0D83"/>
    <w:rsid w:val="006E0DD6"/>
    <w:rsid w:val="006E0E85"/>
    <w:rsid w:val="006E0FB6"/>
    <w:rsid w:val="006E10F7"/>
    <w:rsid w:val="006E1422"/>
    <w:rsid w:val="006E14CB"/>
    <w:rsid w:val="006E15DA"/>
    <w:rsid w:val="006E1808"/>
    <w:rsid w:val="006E1A69"/>
    <w:rsid w:val="006E1DBA"/>
    <w:rsid w:val="006E1FDA"/>
    <w:rsid w:val="006E20FD"/>
    <w:rsid w:val="006E2121"/>
    <w:rsid w:val="006E246C"/>
    <w:rsid w:val="006E2B79"/>
    <w:rsid w:val="006E2D00"/>
    <w:rsid w:val="006E2EAC"/>
    <w:rsid w:val="006E2FA1"/>
    <w:rsid w:val="006E2FF5"/>
    <w:rsid w:val="006E308B"/>
    <w:rsid w:val="006E3109"/>
    <w:rsid w:val="006E31BE"/>
    <w:rsid w:val="006E3264"/>
    <w:rsid w:val="006E3290"/>
    <w:rsid w:val="006E3BF5"/>
    <w:rsid w:val="006E3D5A"/>
    <w:rsid w:val="006E3EE5"/>
    <w:rsid w:val="006E3F2D"/>
    <w:rsid w:val="006E3FDA"/>
    <w:rsid w:val="006E4019"/>
    <w:rsid w:val="006E4240"/>
    <w:rsid w:val="006E42C6"/>
    <w:rsid w:val="006E4342"/>
    <w:rsid w:val="006E4769"/>
    <w:rsid w:val="006E497C"/>
    <w:rsid w:val="006E49B0"/>
    <w:rsid w:val="006E4D5B"/>
    <w:rsid w:val="006E4EA5"/>
    <w:rsid w:val="006E5510"/>
    <w:rsid w:val="006E5E1E"/>
    <w:rsid w:val="006E6701"/>
    <w:rsid w:val="006E67B6"/>
    <w:rsid w:val="006E72EF"/>
    <w:rsid w:val="006E72FF"/>
    <w:rsid w:val="006E74B7"/>
    <w:rsid w:val="006E7530"/>
    <w:rsid w:val="006E77EC"/>
    <w:rsid w:val="006F0124"/>
    <w:rsid w:val="006F08C8"/>
    <w:rsid w:val="006F0B9F"/>
    <w:rsid w:val="006F0EAF"/>
    <w:rsid w:val="006F12D6"/>
    <w:rsid w:val="006F1869"/>
    <w:rsid w:val="006F18EE"/>
    <w:rsid w:val="006F1A85"/>
    <w:rsid w:val="006F1AD6"/>
    <w:rsid w:val="006F20CD"/>
    <w:rsid w:val="006F25E9"/>
    <w:rsid w:val="006F264A"/>
    <w:rsid w:val="006F28AF"/>
    <w:rsid w:val="006F2B3D"/>
    <w:rsid w:val="006F2B70"/>
    <w:rsid w:val="006F2BD2"/>
    <w:rsid w:val="006F2E84"/>
    <w:rsid w:val="006F2EA8"/>
    <w:rsid w:val="006F2FF1"/>
    <w:rsid w:val="006F30BE"/>
    <w:rsid w:val="006F3293"/>
    <w:rsid w:val="006F34C4"/>
    <w:rsid w:val="006F352D"/>
    <w:rsid w:val="006F36F7"/>
    <w:rsid w:val="006F3840"/>
    <w:rsid w:val="006F3869"/>
    <w:rsid w:val="006F3887"/>
    <w:rsid w:val="006F39DE"/>
    <w:rsid w:val="006F3B2E"/>
    <w:rsid w:val="006F4064"/>
    <w:rsid w:val="006F40C4"/>
    <w:rsid w:val="006F4242"/>
    <w:rsid w:val="006F4286"/>
    <w:rsid w:val="006F44FC"/>
    <w:rsid w:val="006F4690"/>
    <w:rsid w:val="006F4E01"/>
    <w:rsid w:val="006F4F4F"/>
    <w:rsid w:val="006F5181"/>
    <w:rsid w:val="006F5352"/>
    <w:rsid w:val="006F560B"/>
    <w:rsid w:val="006F576A"/>
    <w:rsid w:val="006F5B86"/>
    <w:rsid w:val="006F5BAC"/>
    <w:rsid w:val="006F5DC4"/>
    <w:rsid w:val="006F5F26"/>
    <w:rsid w:val="006F603E"/>
    <w:rsid w:val="006F6D5B"/>
    <w:rsid w:val="006F6F50"/>
    <w:rsid w:val="006F72C8"/>
    <w:rsid w:val="006F77D7"/>
    <w:rsid w:val="00700153"/>
    <w:rsid w:val="00700264"/>
    <w:rsid w:val="0070031E"/>
    <w:rsid w:val="00700454"/>
    <w:rsid w:val="00700485"/>
    <w:rsid w:val="0070048D"/>
    <w:rsid w:val="007004C9"/>
    <w:rsid w:val="00700701"/>
    <w:rsid w:val="0070078B"/>
    <w:rsid w:val="00700DA0"/>
    <w:rsid w:val="00700ECB"/>
    <w:rsid w:val="007012AA"/>
    <w:rsid w:val="00701706"/>
    <w:rsid w:val="007018BC"/>
    <w:rsid w:val="00701B55"/>
    <w:rsid w:val="007021CD"/>
    <w:rsid w:val="00702226"/>
    <w:rsid w:val="0070256B"/>
    <w:rsid w:val="0070264F"/>
    <w:rsid w:val="0070275F"/>
    <w:rsid w:val="00702AD9"/>
    <w:rsid w:val="00702CF7"/>
    <w:rsid w:val="00702E3A"/>
    <w:rsid w:val="0070305D"/>
    <w:rsid w:val="007031DD"/>
    <w:rsid w:val="007031F0"/>
    <w:rsid w:val="00703894"/>
    <w:rsid w:val="00703E1C"/>
    <w:rsid w:val="00703F02"/>
    <w:rsid w:val="007044AA"/>
    <w:rsid w:val="00704AD4"/>
    <w:rsid w:val="00705264"/>
    <w:rsid w:val="0070530B"/>
    <w:rsid w:val="00705722"/>
    <w:rsid w:val="007057B1"/>
    <w:rsid w:val="00705A43"/>
    <w:rsid w:val="00705A5C"/>
    <w:rsid w:val="00705B12"/>
    <w:rsid w:val="00705D4A"/>
    <w:rsid w:val="00706191"/>
    <w:rsid w:val="007069E3"/>
    <w:rsid w:val="00706AC1"/>
    <w:rsid w:val="00706B87"/>
    <w:rsid w:val="00706B94"/>
    <w:rsid w:val="00706D3A"/>
    <w:rsid w:val="00706E34"/>
    <w:rsid w:val="00707081"/>
    <w:rsid w:val="00707120"/>
    <w:rsid w:val="007074D5"/>
    <w:rsid w:val="0070753D"/>
    <w:rsid w:val="0070780C"/>
    <w:rsid w:val="00707A35"/>
    <w:rsid w:val="00707E8D"/>
    <w:rsid w:val="00710304"/>
    <w:rsid w:val="007104A9"/>
    <w:rsid w:val="007107F7"/>
    <w:rsid w:val="00710928"/>
    <w:rsid w:val="00710AEB"/>
    <w:rsid w:val="00710E9A"/>
    <w:rsid w:val="00710ED5"/>
    <w:rsid w:val="007110F6"/>
    <w:rsid w:val="007111B8"/>
    <w:rsid w:val="0071161E"/>
    <w:rsid w:val="0071165C"/>
    <w:rsid w:val="00711C85"/>
    <w:rsid w:val="00712127"/>
    <w:rsid w:val="007126A7"/>
    <w:rsid w:val="007129D1"/>
    <w:rsid w:val="00712A4D"/>
    <w:rsid w:val="00712C74"/>
    <w:rsid w:val="00712E8D"/>
    <w:rsid w:val="00712FB1"/>
    <w:rsid w:val="007131B1"/>
    <w:rsid w:val="00713990"/>
    <w:rsid w:val="00713FCD"/>
    <w:rsid w:val="00714250"/>
    <w:rsid w:val="00714362"/>
    <w:rsid w:val="007145A5"/>
    <w:rsid w:val="00714684"/>
    <w:rsid w:val="007148C2"/>
    <w:rsid w:val="00714A5C"/>
    <w:rsid w:val="00714BCD"/>
    <w:rsid w:val="00714E91"/>
    <w:rsid w:val="00715008"/>
    <w:rsid w:val="0071504C"/>
    <w:rsid w:val="00715452"/>
    <w:rsid w:val="0071567E"/>
    <w:rsid w:val="00715A89"/>
    <w:rsid w:val="00715B05"/>
    <w:rsid w:val="00715C17"/>
    <w:rsid w:val="00715F25"/>
    <w:rsid w:val="007160EC"/>
    <w:rsid w:val="0071650E"/>
    <w:rsid w:val="007165FD"/>
    <w:rsid w:val="00716D75"/>
    <w:rsid w:val="00716F9E"/>
    <w:rsid w:val="00720129"/>
    <w:rsid w:val="007203AD"/>
    <w:rsid w:val="0072063D"/>
    <w:rsid w:val="00720670"/>
    <w:rsid w:val="007207FC"/>
    <w:rsid w:val="007209F0"/>
    <w:rsid w:val="0072113D"/>
    <w:rsid w:val="007213B9"/>
    <w:rsid w:val="007215AA"/>
    <w:rsid w:val="007215F4"/>
    <w:rsid w:val="0072165F"/>
    <w:rsid w:val="00721689"/>
    <w:rsid w:val="00721992"/>
    <w:rsid w:val="00721CBA"/>
    <w:rsid w:val="00721E86"/>
    <w:rsid w:val="007223B4"/>
    <w:rsid w:val="00722674"/>
    <w:rsid w:val="0072277D"/>
    <w:rsid w:val="00722942"/>
    <w:rsid w:val="00722A27"/>
    <w:rsid w:val="00723207"/>
    <w:rsid w:val="007235D9"/>
    <w:rsid w:val="0072381B"/>
    <w:rsid w:val="00723C7E"/>
    <w:rsid w:val="00723FDA"/>
    <w:rsid w:val="0072492E"/>
    <w:rsid w:val="007249F4"/>
    <w:rsid w:val="00724F58"/>
    <w:rsid w:val="00725ABD"/>
    <w:rsid w:val="00725CCA"/>
    <w:rsid w:val="0072613D"/>
    <w:rsid w:val="007262CD"/>
    <w:rsid w:val="00726576"/>
    <w:rsid w:val="00726677"/>
    <w:rsid w:val="00726813"/>
    <w:rsid w:val="0072695B"/>
    <w:rsid w:val="00726968"/>
    <w:rsid w:val="00726E0E"/>
    <w:rsid w:val="00726F7D"/>
    <w:rsid w:val="00726FCD"/>
    <w:rsid w:val="0072746C"/>
    <w:rsid w:val="0072747D"/>
    <w:rsid w:val="007274C1"/>
    <w:rsid w:val="00727703"/>
    <w:rsid w:val="00727712"/>
    <w:rsid w:val="0072784E"/>
    <w:rsid w:val="007279E3"/>
    <w:rsid w:val="00727CAA"/>
    <w:rsid w:val="00727D3F"/>
    <w:rsid w:val="0073045D"/>
    <w:rsid w:val="0073067D"/>
    <w:rsid w:val="007307D3"/>
    <w:rsid w:val="0073085F"/>
    <w:rsid w:val="00730961"/>
    <w:rsid w:val="00730A7D"/>
    <w:rsid w:val="00730B10"/>
    <w:rsid w:val="00730C92"/>
    <w:rsid w:val="00730CE6"/>
    <w:rsid w:val="00730CF6"/>
    <w:rsid w:val="00730D12"/>
    <w:rsid w:val="00730D2E"/>
    <w:rsid w:val="00730DAC"/>
    <w:rsid w:val="00730F74"/>
    <w:rsid w:val="00731050"/>
    <w:rsid w:val="007310DC"/>
    <w:rsid w:val="007312D1"/>
    <w:rsid w:val="00731344"/>
    <w:rsid w:val="00731396"/>
    <w:rsid w:val="00731469"/>
    <w:rsid w:val="00731590"/>
    <w:rsid w:val="0073193F"/>
    <w:rsid w:val="00731A46"/>
    <w:rsid w:val="00731A61"/>
    <w:rsid w:val="00731F68"/>
    <w:rsid w:val="00732520"/>
    <w:rsid w:val="00732631"/>
    <w:rsid w:val="007328D4"/>
    <w:rsid w:val="0073296E"/>
    <w:rsid w:val="007329EC"/>
    <w:rsid w:val="00732B0B"/>
    <w:rsid w:val="00732CC0"/>
    <w:rsid w:val="007330D6"/>
    <w:rsid w:val="00733257"/>
    <w:rsid w:val="0073334A"/>
    <w:rsid w:val="00733596"/>
    <w:rsid w:val="007338DE"/>
    <w:rsid w:val="0073396E"/>
    <w:rsid w:val="00733FD2"/>
    <w:rsid w:val="00734180"/>
    <w:rsid w:val="007342E4"/>
    <w:rsid w:val="007353CA"/>
    <w:rsid w:val="0073578A"/>
    <w:rsid w:val="0073584F"/>
    <w:rsid w:val="00735A39"/>
    <w:rsid w:val="00735D3E"/>
    <w:rsid w:val="00735FAA"/>
    <w:rsid w:val="0073609E"/>
    <w:rsid w:val="007360BB"/>
    <w:rsid w:val="007364A9"/>
    <w:rsid w:val="007365DE"/>
    <w:rsid w:val="0073667B"/>
    <w:rsid w:val="00736ED5"/>
    <w:rsid w:val="00737043"/>
    <w:rsid w:val="00737049"/>
    <w:rsid w:val="007377D9"/>
    <w:rsid w:val="0073791D"/>
    <w:rsid w:val="00740037"/>
    <w:rsid w:val="0074014C"/>
    <w:rsid w:val="007401E2"/>
    <w:rsid w:val="0074034E"/>
    <w:rsid w:val="00740481"/>
    <w:rsid w:val="00740542"/>
    <w:rsid w:val="007405DD"/>
    <w:rsid w:val="00740FB0"/>
    <w:rsid w:val="00741305"/>
    <w:rsid w:val="00741341"/>
    <w:rsid w:val="0074151A"/>
    <w:rsid w:val="00741534"/>
    <w:rsid w:val="00741620"/>
    <w:rsid w:val="00741794"/>
    <w:rsid w:val="00741B35"/>
    <w:rsid w:val="00741EBF"/>
    <w:rsid w:val="00742583"/>
    <w:rsid w:val="00742846"/>
    <w:rsid w:val="0074284A"/>
    <w:rsid w:val="00742F38"/>
    <w:rsid w:val="007431D9"/>
    <w:rsid w:val="007434E2"/>
    <w:rsid w:val="00743710"/>
    <w:rsid w:val="00743AD4"/>
    <w:rsid w:val="007441EF"/>
    <w:rsid w:val="007444B9"/>
    <w:rsid w:val="007449EF"/>
    <w:rsid w:val="00744BF2"/>
    <w:rsid w:val="00744CBE"/>
    <w:rsid w:val="00744F74"/>
    <w:rsid w:val="00745290"/>
    <w:rsid w:val="0074540A"/>
    <w:rsid w:val="0074556B"/>
    <w:rsid w:val="007455DA"/>
    <w:rsid w:val="00745612"/>
    <w:rsid w:val="00745720"/>
    <w:rsid w:val="00745818"/>
    <w:rsid w:val="007459B4"/>
    <w:rsid w:val="00745C68"/>
    <w:rsid w:val="00745DA3"/>
    <w:rsid w:val="00745E7A"/>
    <w:rsid w:val="00746034"/>
    <w:rsid w:val="00746BDA"/>
    <w:rsid w:val="00746C96"/>
    <w:rsid w:val="00746E01"/>
    <w:rsid w:val="007471EB"/>
    <w:rsid w:val="00747A61"/>
    <w:rsid w:val="00747C39"/>
    <w:rsid w:val="00747C5B"/>
    <w:rsid w:val="00747EEC"/>
    <w:rsid w:val="00747F93"/>
    <w:rsid w:val="00750182"/>
    <w:rsid w:val="00750442"/>
    <w:rsid w:val="00750683"/>
    <w:rsid w:val="00750AF8"/>
    <w:rsid w:val="00750F31"/>
    <w:rsid w:val="007511B6"/>
    <w:rsid w:val="00751201"/>
    <w:rsid w:val="00751428"/>
    <w:rsid w:val="007517DB"/>
    <w:rsid w:val="00751C97"/>
    <w:rsid w:val="00752052"/>
    <w:rsid w:val="00752548"/>
    <w:rsid w:val="0075266A"/>
    <w:rsid w:val="00752866"/>
    <w:rsid w:val="00752BE1"/>
    <w:rsid w:val="00752F11"/>
    <w:rsid w:val="007531C0"/>
    <w:rsid w:val="007533BB"/>
    <w:rsid w:val="0075377A"/>
    <w:rsid w:val="007539B3"/>
    <w:rsid w:val="00753B49"/>
    <w:rsid w:val="00753E0A"/>
    <w:rsid w:val="00754385"/>
    <w:rsid w:val="007544A1"/>
    <w:rsid w:val="0075464D"/>
    <w:rsid w:val="00754776"/>
    <w:rsid w:val="00754B43"/>
    <w:rsid w:val="00755141"/>
    <w:rsid w:val="0075536E"/>
    <w:rsid w:val="007553EA"/>
    <w:rsid w:val="00755469"/>
    <w:rsid w:val="00755AFB"/>
    <w:rsid w:val="00755F58"/>
    <w:rsid w:val="0075640B"/>
    <w:rsid w:val="0075683A"/>
    <w:rsid w:val="00756D78"/>
    <w:rsid w:val="00757027"/>
    <w:rsid w:val="007570AD"/>
    <w:rsid w:val="00757419"/>
    <w:rsid w:val="00757430"/>
    <w:rsid w:val="0075787A"/>
    <w:rsid w:val="00757A0E"/>
    <w:rsid w:val="00757AF8"/>
    <w:rsid w:val="00757DA2"/>
    <w:rsid w:val="00757E50"/>
    <w:rsid w:val="007600A6"/>
    <w:rsid w:val="0076026E"/>
    <w:rsid w:val="007602DF"/>
    <w:rsid w:val="00760516"/>
    <w:rsid w:val="0076070D"/>
    <w:rsid w:val="0076076A"/>
    <w:rsid w:val="00760C21"/>
    <w:rsid w:val="00760FB1"/>
    <w:rsid w:val="00761363"/>
    <w:rsid w:val="00761381"/>
    <w:rsid w:val="00761470"/>
    <w:rsid w:val="00761612"/>
    <w:rsid w:val="0076168E"/>
    <w:rsid w:val="00761879"/>
    <w:rsid w:val="0076196B"/>
    <w:rsid w:val="00761D48"/>
    <w:rsid w:val="00762042"/>
    <w:rsid w:val="0076219A"/>
    <w:rsid w:val="00762429"/>
    <w:rsid w:val="007625B2"/>
    <w:rsid w:val="0076297B"/>
    <w:rsid w:val="00762B7E"/>
    <w:rsid w:val="00762D5F"/>
    <w:rsid w:val="00762F4E"/>
    <w:rsid w:val="0076316D"/>
    <w:rsid w:val="00763360"/>
    <w:rsid w:val="00763EC3"/>
    <w:rsid w:val="007647DF"/>
    <w:rsid w:val="00764CE3"/>
    <w:rsid w:val="00765001"/>
    <w:rsid w:val="0076511D"/>
    <w:rsid w:val="007651E1"/>
    <w:rsid w:val="00765454"/>
    <w:rsid w:val="00765694"/>
    <w:rsid w:val="0076575C"/>
    <w:rsid w:val="00765804"/>
    <w:rsid w:val="00765906"/>
    <w:rsid w:val="00765966"/>
    <w:rsid w:val="007659D6"/>
    <w:rsid w:val="00765E8F"/>
    <w:rsid w:val="00765F76"/>
    <w:rsid w:val="007660B7"/>
    <w:rsid w:val="00766392"/>
    <w:rsid w:val="007663AC"/>
    <w:rsid w:val="007663DF"/>
    <w:rsid w:val="007667E3"/>
    <w:rsid w:val="007668EF"/>
    <w:rsid w:val="00766D2F"/>
    <w:rsid w:val="00767134"/>
    <w:rsid w:val="00767342"/>
    <w:rsid w:val="007673D3"/>
    <w:rsid w:val="00767767"/>
    <w:rsid w:val="00767B86"/>
    <w:rsid w:val="00767BFD"/>
    <w:rsid w:val="00767EE9"/>
    <w:rsid w:val="00767F16"/>
    <w:rsid w:val="007700E3"/>
    <w:rsid w:val="00770297"/>
    <w:rsid w:val="00770314"/>
    <w:rsid w:val="007706E8"/>
    <w:rsid w:val="00770782"/>
    <w:rsid w:val="00770AEB"/>
    <w:rsid w:val="00770C12"/>
    <w:rsid w:val="00770F1D"/>
    <w:rsid w:val="00771061"/>
    <w:rsid w:val="0077106B"/>
    <w:rsid w:val="00771091"/>
    <w:rsid w:val="0077123D"/>
    <w:rsid w:val="00771A99"/>
    <w:rsid w:val="00771C2E"/>
    <w:rsid w:val="00771D85"/>
    <w:rsid w:val="00772206"/>
    <w:rsid w:val="00772336"/>
    <w:rsid w:val="0077270E"/>
    <w:rsid w:val="00772773"/>
    <w:rsid w:val="00772957"/>
    <w:rsid w:val="007732E9"/>
    <w:rsid w:val="007734EB"/>
    <w:rsid w:val="00773D3E"/>
    <w:rsid w:val="00773E1E"/>
    <w:rsid w:val="00773E8C"/>
    <w:rsid w:val="00774337"/>
    <w:rsid w:val="00774338"/>
    <w:rsid w:val="007745A9"/>
    <w:rsid w:val="0077486F"/>
    <w:rsid w:val="00774945"/>
    <w:rsid w:val="00775148"/>
    <w:rsid w:val="0077514D"/>
    <w:rsid w:val="00775213"/>
    <w:rsid w:val="00775247"/>
    <w:rsid w:val="007752DF"/>
    <w:rsid w:val="0077549B"/>
    <w:rsid w:val="00775BB0"/>
    <w:rsid w:val="00775C80"/>
    <w:rsid w:val="00775D47"/>
    <w:rsid w:val="00775D52"/>
    <w:rsid w:val="00775DAC"/>
    <w:rsid w:val="0077608B"/>
    <w:rsid w:val="007760A9"/>
    <w:rsid w:val="0077620D"/>
    <w:rsid w:val="00776346"/>
    <w:rsid w:val="00776504"/>
    <w:rsid w:val="00776852"/>
    <w:rsid w:val="0077688F"/>
    <w:rsid w:val="0077692D"/>
    <w:rsid w:val="00776B68"/>
    <w:rsid w:val="0077712B"/>
    <w:rsid w:val="0077734E"/>
    <w:rsid w:val="00777354"/>
    <w:rsid w:val="007776CE"/>
    <w:rsid w:val="00777968"/>
    <w:rsid w:val="00777DF4"/>
    <w:rsid w:val="00777EE8"/>
    <w:rsid w:val="00780299"/>
    <w:rsid w:val="00780418"/>
    <w:rsid w:val="007807CF"/>
    <w:rsid w:val="00780B3C"/>
    <w:rsid w:val="00780CBD"/>
    <w:rsid w:val="00780CD9"/>
    <w:rsid w:val="00780E94"/>
    <w:rsid w:val="00780F42"/>
    <w:rsid w:val="007810B3"/>
    <w:rsid w:val="00781542"/>
    <w:rsid w:val="0078189F"/>
    <w:rsid w:val="007818C2"/>
    <w:rsid w:val="0078196E"/>
    <w:rsid w:val="00781A44"/>
    <w:rsid w:val="00781D1F"/>
    <w:rsid w:val="00781E4F"/>
    <w:rsid w:val="00782284"/>
    <w:rsid w:val="00782B86"/>
    <w:rsid w:val="00782F28"/>
    <w:rsid w:val="00783011"/>
    <w:rsid w:val="00783053"/>
    <w:rsid w:val="0078347D"/>
    <w:rsid w:val="007839AD"/>
    <w:rsid w:val="00783ACE"/>
    <w:rsid w:val="00783B30"/>
    <w:rsid w:val="00783C8C"/>
    <w:rsid w:val="00783E02"/>
    <w:rsid w:val="007840C0"/>
    <w:rsid w:val="00784229"/>
    <w:rsid w:val="007842D8"/>
    <w:rsid w:val="00784559"/>
    <w:rsid w:val="0078462C"/>
    <w:rsid w:val="0078496D"/>
    <w:rsid w:val="007849B0"/>
    <w:rsid w:val="00784AAD"/>
    <w:rsid w:val="0078503C"/>
    <w:rsid w:val="00785499"/>
    <w:rsid w:val="00785859"/>
    <w:rsid w:val="007859AE"/>
    <w:rsid w:val="007859FA"/>
    <w:rsid w:val="00785BAB"/>
    <w:rsid w:val="00785FDF"/>
    <w:rsid w:val="00786045"/>
    <w:rsid w:val="007862FB"/>
    <w:rsid w:val="007863E4"/>
    <w:rsid w:val="00786875"/>
    <w:rsid w:val="007872F1"/>
    <w:rsid w:val="00787A8E"/>
    <w:rsid w:val="00787D27"/>
    <w:rsid w:val="00787F91"/>
    <w:rsid w:val="007902E6"/>
    <w:rsid w:val="007903B3"/>
    <w:rsid w:val="0079043E"/>
    <w:rsid w:val="00790BF7"/>
    <w:rsid w:val="00791147"/>
    <w:rsid w:val="0079165D"/>
    <w:rsid w:val="00791904"/>
    <w:rsid w:val="00791983"/>
    <w:rsid w:val="007919B9"/>
    <w:rsid w:val="00791AD3"/>
    <w:rsid w:val="00792398"/>
    <w:rsid w:val="00792654"/>
    <w:rsid w:val="0079269F"/>
    <w:rsid w:val="0079283A"/>
    <w:rsid w:val="00792AF1"/>
    <w:rsid w:val="00792B60"/>
    <w:rsid w:val="00792C00"/>
    <w:rsid w:val="00792DAD"/>
    <w:rsid w:val="00793066"/>
    <w:rsid w:val="007932C0"/>
    <w:rsid w:val="0079344E"/>
    <w:rsid w:val="00793B34"/>
    <w:rsid w:val="00793CE5"/>
    <w:rsid w:val="00794082"/>
    <w:rsid w:val="00794837"/>
    <w:rsid w:val="007949B5"/>
    <w:rsid w:val="0079504A"/>
    <w:rsid w:val="0079512D"/>
    <w:rsid w:val="00795329"/>
    <w:rsid w:val="00795346"/>
    <w:rsid w:val="007953A4"/>
    <w:rsid w:val="00795610"/>
    <w:rsid w:val="007958DF"/>
    <w:rsid w:val="0079605D"/>
    <w:rsid w:val="00796309"/>
    <w:rsid w:val="00796958"/>
    <w:rsid w:val="00796FA6"/>
    <w:rsid w:val="0079704C"/>
    <w:rsid w:val="00797150"/>
    <w:rsid w:val="0079719D"/>
    <w:rsid w:val="007979A2"/>
    <w:rsid w:val="007979B5"/>
    <w:rsid w:val="00797A3B"/>
    <w:rsid w:val="00797D7C"/>
    <w:rsid w:val="00797E40"/>
    <w:rsid w:val="007A0139"/>
    <w:rsid w:val="007A069A"/>
    <w:rsid w:val="007A0871"/>
    <w:rsid w:val="007A0992"/>
    <w:rsid w:val="007A0A10"/>
    <w:rsid w:val="007A0A33"/>
    <w:rsid w:val="007A0C7E"/>
    <w:rsid w:val="007A0F2B"/>
    <w:rsid w:val="007A10B6"/>
    <w:rsid w:val="007A16B2"/>
    <w:rsid w:val="007A1AA3"/>
    <w:rsid w:val="007A1AB8"/>
    <w:rsid w:val="007A1B8A"/>
    <w:rsid w:val="007A1F1F"/>
    <w:rsid w:val="007A1FE5"/>
    <w:rsid w:val="007A2194"/>
    <w:rsid w:val="007A232E"/>
    <w:rsid w:val="007A26A6"/>
    <w:rsid w:val="007A2797"/>
    <w:rsid w:val="007A295B"/>
    <w:rsid w:val="007A2A2F"/>
    <w:rsid w:val="007A2D9E"/>
    <w:rsid w:val="007A2DA4"/>
    <w:rsid w:val="007A2F4C"/>
    <w:rsid w:val="007A2F98"/>
    <w:rsid w:val="007A324A"/>
    <w:rsid w:val="007A3599"/>
    <w:rsid w:val="007A3691"/>
    <w:rsid w:val="007A3FC4"/>
    <w:rsid w:val="007A4082"/>
    <w:rsid w:val="007A425C"/>
    <w:rsid w:val="007A42DE"/>
    <w:rsid w:val="007A43E3"/>
    <w:rsid w:val="007A45A5"/>
    <w:rsid w:val="007A461E"/>
    <w:rsid w:val="007A47A6"/>
    <w:rsid w:val="007A49ED"/>
    <w:rsid w:val="007A52DC"/>
    <w:rsid w:val="007A53D1"/>
    <w:rsid w:val="007A56AA"/>
    <w:rsid w:val="007A5869"/>
    <w:rsid w:val="007A59E5"/>
    <w:rsid w:val="007A5C00"/>
    <w:rsid w:val="007A5C66"/>
    <w:rsid w:val="007A5D7B"/>
    <w:rsid w:val="007A6017"/>
    <w:rsid w:val="007A62F2"/>
    <w:rsid w:val="007A638F"/>
    <w:rsid w:val="007A66F8"/>
    <w:rsid w:val="007A6874"/>
    <w:rsid w:val="007A68BF"/>
    <w:rsid w:val="007A68FB"/>
    <w:rsid w:val="007A703C"/>
    <w:rsid w:val="007A7082"/>
    <w:rsid w:val="007A79A6"/>
    <w:rsid w:val="007A7A45"/>
    <w:rsid w:val="007B02B4"/>
    <w:rsid w:val="007B03BD"/>
    <w:rsid w:val="007B095F"/>
    <w:rsid w:val="007B0ABD"/>
    <w:rsid w:val="007B1037"/>
    <w:rsid w:val="007B1241"/>
    <w:rsid w:val="007B1866"/>
    <w:rsid w:val="007B189A"/>
    <w:rsid w:val="007B1DEF"/>
    <w:rsid w:val="007B1E5F"/>
    <w:rsid w:val="007B1E6C"/>
    <w:rsid w:val="007B20F6"/>
    <w:rsid w:val="007B2159"/>
    <w:rsid w:val="007B2237"/>
    <w:rsid w:val="007B2298"/>
    <w:rsid w:val="007B23EE"/>
    <w:rsid w:val="007B2526"/>
    <w:rsid w:val="007B288B"/>
    <w:rsid w:val="007B3011"/>
    <w:rsid w:val="007B310A"/>
    <w:rsid w:val="007B3725"/>
    <w:rsid w:val="007B3780"/>
    <w:rsid w:val="007B403A"/>
    <w:rsid w:val="007B4058"/>
    <w:rsid w:val="007B41A5"/>
    <w:rsid w:val="007B452F"/>
    <w:rsid w:val="007B45E0"/>
    <w:rsid w:val="007B4765"/>
    <w:rsid w:val="007B4842"/>
    <w:rsid w:val="007B4A22"/>
    <w:rsid w:val="007B4E4C"/>
    <w:rsid w:val="007B522D"/>
    <w:rsid w:val="007B5270"/>
    <w:rsid w:val="007B5819"/>
    <w:rsid w:val="007B5999"/>
    <w:rsid w:val="007B604B"/>
    <w:rsid w:val="007B644B"/>
    <w:rsid w:val="007B64BB"/>
    <w:rsid w:val="007B6733"/>
    <w:rsid w:val="007B69A8"/>
    <w:rsid w:val="007B6A8C"/>
    <w:rsid w:val="007B6D01"/>
    <w:rsid w:val="007B6D7A"/>
    <w:rsid w:val="007B715C"/>
    <w:rsid w:val="007B73E2"/>
    <w:rsid w:val="007B779C"/>
    <w:rsid w:val="007B7965"/>
    <w:rsid w:val="007B7980"/>
    <w:rsid w:val="007B79EA"/>
    <w:rsid w:val="007B7BFA"/>
    <w:rsid w:val="007C0020"/>
    <w:rsid w:val="007C004E"/>
    <w:rsid w:val="007C033D"/>
    <w:rsid w:val="007C03BE"/>
    <w:rsid w:val="007C0546"/>
    <w:rsid w:val="007C05E8"/>
    <w:rsid w:val="007C0740"/>
    <w:rsid w:val="007C12A3"/>
    <w:rsid w:val="007C12B7"/>
    <w:rsid w:val="007C16A2"/>
    <w:rsid w:val="007C183D"/>
    <w:rsid w:val="007C18D8"/>
    <w:rsid w:val="007C1989"/>
    <w:rsid w:val="007C1B3B"/>
    <w:rsid w:val="007C1C43"/>
    <w:rsid w:val="007C1F89"/>
    <w:rsid w:val="007C273E"/>
    <w:rsid w:val="007C297B"/>
    <w:rsid w:val="007C2ADD"/>
    <w:rsid w:val="007C39F2"/>
    <w:rsid w:val="007C3EE6"/>
    <w:rsid w:val="007C4276"/>
    <w:rsid w:val="007C4963"/>
    <w:rsid w:val="007C4A55"/>
    <w:rsid w:val="007C4C4D"/>
    <w:rsid w:val="007C4CF3"/>
    <w:rsid w:val="007C4D02"/>
    <w:rsid w:val="007C5053"/>
    <w:rsid w:val="007C5115"/>
    <w:rsid w:val="007C5390"/>
    <w:rsid w:val="007C5D9B"/>
    <w:rsid w:val="007C5F8F"/>
    <w:rsid w:val="007C5FD0"/>
    <w:rsid w:val="007C61D7"/>
    <w:rsid w:val="007C66D2"/>
    <w:rsid w:val="007C6B33"/>
    <w:rsid w:val="007C6E3C"/>
    <w:rsid w:val="007C6ED9"/>
    <w:rsid w:val="007C6EFE"/>
    <w:rsid w:val="007C703E"/>
    <w:rsid w:val="007C70FB"/>
    <w:rsid w:val="007C760E"/>
    <w:rsid w:val="007C770C"/>
    <w:rsid w:val="007C7BC2"/>
    <w:rsid w:val="007C7CA2"/>
    <w:rsid w:val="007C7E50"/>
    <w:rsid w:val="007C7F78"/>
    <w:rsid w:val="007D0078"/>
    <w:rsid w:val="007D0347"/>
    <w:rsid w:val="007D036D"/>
    <w:rsid w:val="007D0AA3"/>
    <w:rsid w:val="007D0D37"/>
    <w:rsid w:val="007D0F37"/>
    <w:rsid w:val="007D122D"/>
    <w:rsid w:val="007D1616"/>
    <w:rsid w:val="007D1B6A"/>
    <w:rsid w:val="007D1E15"/>
    <w:rsid w:val="007D23AE"/>
    <w:rsid w:val="007D2448"/>
    <w:rsid w:val="007D2931"/>
    <w:rsid w:val="007D2A4C"/>
    <w:rsid w:val="007D2DE6"/>
    <w:rsid w:val="007D2EAD"/>
    <w:rsid w:val="007D2EC2"/>
    <w:rsid w:val="007D30CF"/>
    <w:rsid w:val="007D3220"/>
    <w:rsid w:val="007D32CE"/>
    <w:rsid w:val="007D3380"/>
    <w:rsid w:val="007D3623"/>
    <w:rsid w:val="007D391E"/>
    <w:rsid w:val="007D3ABC"/>
    <w:rsid w:val="007D3B0D"/>
    <w:rsid w:val="007D3B93"/>
    <w:rsid w:val="007D3C0F"/>
    <w:rsid w:val="007D4344"/>
    <w:rsid w:val="007D4348"/>
    <w:rsid w:val="007D441E"/>
    <w:rsid w:val="007D463A"/>
    <w:rsid w:val="007D4698"/>
    <w:rsid w:val="007D4868"/>
    <w:rsid w:val="007D4A50"/>
    <w:rsid w:val="007D5041"/>
    <w:rsid w:val="007D5563"/>
    <w:rsid w:val="007D5F67"/>
    <w:rsid w:val="007D6258"/>
    <w:rsid w:val="007D6570"/>
    <w:rsid w:val="007D6830"/>
    <w:rsid w:val="007D6DE3"/>
    <w:rsid w:val="007D6E90"/>
    <w:rsid w:val="007D76A3"/>
    <w:rsid w:val="007D78AB"/>
    <w:rsid w:val="007D7B49"/>
    <w:rsid w:val="007D7C34"/>
    <w:rsid w:val="007E010F"/>
    <w:rsid w:val="007E0123"/>
    <w:rsid w:val="007E05B1"/>
    <w:rsid w:val="007E0A6C"/>
    <w:rsid w:val="007E0B50"/>
    <w:rsid w:val="007E0BE6"/>
    <w:rsid w:val="007E0E16"/>
    <w:rsid w:val="007E0FC0"/>
    <w:rsid w:val="007E0FD2"/>
    <w:rsid w:val="007E1014"/>
    <w:rsid w:val="007E148D"/>
    <w:rsid w:val="007E151B"/>
    <w:rsid w:val="007E1662"/>
    <w:rsid w:val="007E16C0"/>
    <w:rsid w:val="007E19BC"/>
    <w:rsid w:val="007E19DE"/>
    <w:rsid w:val="007E1BE9"/>
    <w:rsid w:val="007E1BEC"/>
    <w:rsid w:val="007E1E77"/>
    <w:rsid w:val="007E1ED8"/>
    <w:rsid w:val="007E2608"/>
    <w:rsid w:val="007E2834"/>
    <w:rsid w:val="007E29B9"/>
    <w:rsid w:val="007E2D34"/>
    <w:rsid w:val="007E2DA0"/>
    <w:rsid w:val="007E2EC1"/>
    <w:rsid w:val="007E2EDF"/>
    <w:rsid w:val="007E32A4"/>
    <w:rsid w:val="007E34E9"/>
    <w:rsid w:val="007E3624"/>
    <w:rsid w:val="007E3690"/>
    <w:rsid w:val="007E3820"/>
    <w:rsid w:val="007E39BB"/>
    <w:rsid w:val="007E3E1D"/>
    <w:rsid w:val="007E3EA8"/>
    <w:rsid w:val="007E3F25"/>
    <w:rsid w:val="007E3F8D"/>
    <w:rsid w:val="007E3F95"/>
    <w:rsid w:val="007E40DE"/>
    <w:rsid w:val="007E4181"/>
    <w:rsid w:val="007E4894"/>
    <w:rsid w:val="007E4B4C"/>
    <w:rsid w:val="007E4C2E"/>
    <w:rsid w:val="007E4CEE"/>
    <w:rsid w:val="007E4F85"/>
    <w:rsid w:val="007E5070"/>
    <w:rsid w:val="007E52DF"/>
    <w:rsid w:val="007E5580"/>
    <w:rsid w:val="007E5656"/>
    <w:rsid w:val="007E56EC"/>
    <w:rsid w:val="007E57E0"/>
    <w:rsid w:val="007E5847"/>
    <w:rsid w:val="007E58C5"/>
    <w:rsid w:val="007E5951"/>
    <w:rsid w:val="007E5BBE"/>
    <w:rsid w:val="007E5CCC"/>
    <w:rsid w:val="007E5E72"/>
    <w:rsid w:val="007E5FE2"/>
    <w:rsid w:val="007E6021"/>
    <w:rsid w:val="007E6076"/>
    <w:rsid w:val="007E6119"/>
    <w:rsid w:val="007E612A"/>
    <w:rsid w:val="007E6176"/>
    <w:rsid w:val="007E6797"/>
    <w:rsid w:val="007E6D86"/>
    <w:rsid w:val="007E711F"/>
    <w:rsid w:val="007E7225"/>
    <w:rsid w:val="007E7676"/>
    <w:rsid w:val="007E7715"/>
    <w:rsid w:val="007E7AF7"/>
    <w:rsid w:val="007E7DCB"/>
    <w:rsid w:val="007F00FA"/>
    <w:rsid w:val="007F0135"/>
    <w:rsid w:val="007F0180"/>
    <w:rsid w:val="007F05B0"/>
    <w:rsid w:val="007F07E1"/>
    <w:rsid w:val="007F0B3A"/>
    <w:rsid w:val="007F1094"/>
    <w:rsid w:val="007F125D"/>
    <w:rsid w:val="007F1661"/>
    <w:rsid w:val="007F19B8"/>
    <w:rsid w:val="007F1C39"/>
    <w:rsid w:val="007F1CA5"/>
    <w:rsid w:val="007F1DCE"/>
    <w:rsid w:val="007F1F68"/>
    <w:rsid w:val="007F1FB7"/>
    <w:rsid w:val="007F218F"/>
    <w:rsid w:val="007F2261"/>
    <w:rsid w:val="007F2390"/>
    <w:rsid w:val="007F298A"/>
    <w:rsid w:val="007F2B1D"/>
    <w:rsid w:val="007F2C74"/>
    <w:rsid w:val="007F373B"/>
    <w:rsid w:val="007F3744"/>
    <w:rsid w:val="007F39E3"/>
    <w:rsid w:val="007F3BAF"/>
    <w:rsid w:val="007F3CC1"/>
    <w:rsid w:val="007F4557"/>
    <w:rsid w:val="007F456B"/>
    <w:rsid w:val="007F46C3"/>
    <w:rsid w:val="007F4CE4"/>
    <w:rsid w:val="007F4F5D"/>
    <w:rsid w:val="007F5230"/>
    <w:rsid w:val="007F53B6"/>
    <w:rsid w:val="007F5574"/>
    <w:rsid w:val="007F5F10"/>
    <w:rsid w:val="007F602F"/>
    <w:rsid w:val="007F6092"/>
    <w:rsid w:val="007F6115"/>
    <w:rsid w:val="007F624F"/>
    <w:rsid w:val="007F635E"/>
    <w:rsid w:val="007F64AC"/>
    <w:rsid w:val="007F6AD2"/>
    <w:rsid w:val="007F6AEC"/>
    <w:rsid w:val="007F6B09"/>
    <w:rsid w:val="007F6B4F"/>
    <w:rsid w:val="007F6B72"/>
    <w:rsid w:val="007F6CE7"/>
    <w:rsid w:val="007F6DEC"/>
    <w:rsid w:val="007F6E6B"/>
    <w:rsid w:val="007F73E3"/>
    <w:rsid w:val="007F7812"/>
    <w:rsid w:val="007F7B50"/>
    <w:rsid w:val="007F7BD2"/>
    <w:rsid w:val="007F7DFC"/>
    <w:rsid w:val="008000CC"/>
    <w:rsid w:val="0080027C"/>
    <w:rsid w:val="008003CF"/>
    <w:rsid w:val="0080049D"/>
    <w:rsid w:val="00800664"/>
    <w:rsid w:val="008006E1"/>
    <w:rsid w:val="008008E7"/>
    <w:rsid w:val="008009FA"/>
    <w:rsid w:val="00800A8E"/>
    <w:rsid w:val="00800FE1"/>
    <w:rsid w:val="00801098"/>
    <w:rsid w:val="00801339"/>
    <w:rsid w:val="00801408"/>
    <w:rsid w:val="00801548"/>
    <w:rsid w:val="00801597"/>
    <w:rsid w:val="00801648"/>
    <w:rsid w:val="00801C82"/>
    <w:rsid w:val="008025C8"/>
    <w:rsid w:val="00802808"/>
    <w:rsid w:val="00802C3E"/>
    <w:rsid w:val="00802CB3"/>
    <w:rsid w:val="00803709"/>
    <w:rsid w:val="00803780"/>
    <w:rsid w:val="0080395F"/>
    <w:rsid w:val="00803C3A"/>
    <w:rsid w:val="00803F04"/>
    <w:rsid w:val="008041A5"/>
    <w:rsid w:val="00804428"/>
    <w:rsid w:val="008044C0"/>
    <w:rsid w:val="008047BE"/>
    <w:rsid w:val="008047E0"/>
    <w:rsid w:val="0080497E"/>
    <w:rsid w:val="00804ED0"/>
    <w:rsid w:val="00804F81"/>
    <w:rsid w:val="008054ED"/>
    <w:rsid w:val="00805502"/>
    <w:rsid w:val="00805695"/>
    <w:rsid w:val="00805B77"/>
    <w:rsid w:val="00805C66"/>
    <w:rsid w:val="00805D0B"/>
    <w:rsid w:val="00805DB7"/>
    <w:rsid w:val="00805F92"/>
    <w:rsid w:val="0080604C"/>
    <w:rsid w:val="0080626A"/>
    <w:rsid w:val="008063F8"/>
    <w:rsid w:val="0080676F"/>
    <w:rsid w:val="008067C1"/>
    <w:rsid w:val="0080704A"/>
    <w:rsid w:val="008071FD"/>
    <w:rsid w:val="0080749C"/>
    <w:rsid w:val="008074B3"/>
    <w:rsid w:val="00807722"/>
    <w:rsid w:val="008077AA"/>
    <w:rsid w:val="00807821"/>
    <w:rsid w:val="00807A45"/>
    <w:rsid w:val="00807A79"/>
    <w:rsid w:val="00807CA0"/>
    <w:rsid w:val="00810238"/>
    <w:rsid w:val="008103AD"/>
    <w:rsid w:val="0081053B"/>
    <w:rsid w:val="00810602"/>
    <w:rsid w:val="00810854"/>
    <w:rsid w:val="00810E79"/>
    <w:rsid w:val="00810F1B"/>
    <w:rsid w:val="008111F9"/>
    <w:rsid w:val="008113B2"/>
    <w:rsid w:val="0081147D"/>
    <w:rsid w:val="008115D8"/>
    <w:rsid w:val="0081189C"/>
    <w:rsid w:val="00811999"/>
    <w:rsid w:val="00811C71"/>
    <w:rsid w:val="008121B5"/>
    <w:rsid w:val="008121C4"/>
    <w:rsid w:val="00812370"/>
    <w:rsid w:val="00812396"/>
    <w:rsid w:val="008123EB"/>
    <w:rsid w:val="008129BA"/>
    <w:rsid w:val="00812BA4"/>
    <w:rsid w:val="00812DBF"/>
    <w:rsid w:val="00813080"/>
    <w:rsid w:val="00813482"/>
    <w:rsid w:val="008138CB"/>
    <w:rsid w:val="008139DD"/>
    <w:rsid w:val="00813A01"/>
    <w:rsid w:val="00813B60"/>
    <w:rsid w:val="00813CA0"/>
    <w:rsid w:val="00813D91"/>
    <w:rsid w:val="00813F94"/>
    <w:rsid w:val="008140C8"/>
    <w:rsid w:val="00814406"/>
    <w:rsid w:val="0081458B"/>
    <w:rsid w:val="008148F5"/>
    <w:rsid w:val="00814AED"/>
    <w:rsid w:val="00814CF0"/>
    <w:rsid w:val="00814F19"/>
    <w:rsid w:val="008154AB"/>
    <w:rsid w:val="008159AA"/>
    <w:rsid w:val="00815D12"/>
    <w:rsid w:val="00815F87"/>
    <w:rsid w:val="0081602D"/>
    <w:rsid w:val="00816066"/>
    <w:rsid w:val="00816182"/>
    <w:rsid w:val="008161C9"/>
    <w:rsid w:val="0081666F"/>
    <w:rsid w:val="0081682F"/>
    <w:rsid w:val="008170F1"/>
    <w:rsid w:val="008171A0"/>
    <w:rsid w:val="00817211"/>
    <w:rsid w:val="0081723D"/>
    <w:rsid w:val="008174C4"/>
    <w:rsid w:val="00817A9B"/>
    <w:rsid w:val="00817CA5"/>
    <w:rsid w:val="00817F6B"/>
    <w:rsid w:val="00817FD6"/>
    <w:rsid w:val="00820301"/>
    <w:rsid w:val="008208CF"/>
    <w:rsid w:val="00820B49"/>
    <w:rsid w:val="00820D05"/>
    <w:rsid w:val="00820D35"/>
    <w:rsid w:val="00820E61"/>
    <w:rsid w:val="00820F78"/>
    <w:rsid w:val="0082129A"/>
    <w:rsid w:val="00821764"/>
    <w:rsid w:val="008218E0"/>
    <w:rsid w:val="00821B3B"/>
    <w:rsid w:val="00821E99"/>
    <w:rsid w:val="00821F4C"/>
    <w:rsid w:val="008220E7"/>
    <w:rsid w:val="008222B3"/>
    <w:rsid w:val="00822478"/>
    <w:rsid w:val="008224E4"/>
    <w:rsid w:val="008226CD"/>
    <w:rsid w:val="00822B9E"/>
    <w:rsid w:val="008234D4"/>
    <w:rsid w:val="008236FA"/>
    <w:rsid w:val="0082375C"/>
    <w:rsid w:val="00823CE7"/>
    <w:rsid w:val="00823D8D"/>
    <w:rsid w:val="00824178"/>
    <w:rsid w:val="00824293"/>
    <w:rsid w:val="008243C4"/>
    <w:rsid w:val="00824671"/>
    <w:rsid w:val="008249B7"/>
    <w:rsid w:val="00824AB2"/>
    <w:rsid w:val="00824BDB"/>
    <w:rsid w:val="00824F54"/>
    <w:rsid w:val="008250C1"/>
    <w:rsid w:val="00825163"/>
    <w:rsid w:val="008251BB"/>
    <w:rsid w:val="00825233"/>
    <w:rsid w:val="008252AB"/>
    <w:rsid w:val="00825620"/>
    <w:rsid w:val="00825EAC"/>
    <w:rsid w:val="00826067"/>
    <w:rsid w:val="0082698A"/>
    <w:rsid w:val="00826A6A"/>
    <w:rsid w:val="0082711C"/>
    <w:rsid w:val="0082713E"/>
    <w:rsid w:val="008275E7"/>
    <w:rsid w:val="008279F4"/>
    <w:rsid w:val="00827E11"/>
    <w:rsid w:val="00827ECF"/>
    <w:rsid w:val="00827EF6"/>
    <w:rsid w:val="00827FE8"/>
    <w:rsid w:val="00830273"/>
    <w:rsid w:val="008305B9"/>
    <w:rsid w:val="00830733"/>
    <w:rsid w:val="00830B68"/>
    <w:rsid w:val="00830C71"/>
    <w:rsid w:val="00830E49"/>
    <w:rsid w:val="008315F7"/>
    <w:rsid w:val="0083160C"/>
    <w:rsid w:val="0083174A"/>
    <w:rsid w:val="0083179B"/>
    <w:rsid w:val="00831854"/>
    <w:rsid w:val="00831B17"/>
    <w:rsid w:val="008324CD"/>
    <w:rsid w:val="00832702"/>
    <w:rsid w:val="00832A5F"/>
    <w:rsid w:val="008330D3"/>
    <w:rsid w:val="00833262"/>
    <w:rsid w:val="00833452"/>
    <w:rsid w:val="008334A5"/>
    <w:rsid w:val="008336E7"/>
    <w:rsid w:val="00833E29"/>
    <w:rsid w:val="00833EB3"/>
    <w:rsid w:val="00834050"/>
    <w:rsid w:val="00834311"/>
    <w:rsid w:val="008345BC"/>
    <w:rsid w:val="008345D6"/>
    <w:rsid w:val="00834622"/>
    <w:rsid w:val="0083498A"/>
    <w:rsid w:val="00834A04"/>
    <w:rsid w:val="00834B7F"/>
    <w:rsid w:val="00834B84"/>
    <w:rsid w:val="00834DAA"/>
    <w:rsid w:val="00834DB2"/>
    <w:rsid w:val="0083505F"/>
    <w:rsid w:val="008350AE"/>
    <w:rsid w:val="0083541A"/>
    <w:rsid w:val="00835425"/>
    <w:rsid w:val="0083567D"/>
    <w:rsid w:val="008357BD"/>
    <w:rsid w:val="00835D1D"/>
    <w:rsid w:val="008364D3"/>
    <w:rsid w:val="00836727"/>
    <w:rsid w:val="008367F9"/>
    <w:rsid w:val="008368E9"/>
    <w:rsid w:val="00836A7A"/>
    <w:rsid w:val="00836B5E"/>
    <w:rsid w:val="00836D1C"/>
    <w:rsid w:val="00837421"/>
    <w:rsid w:val="00837610"/>
    <w:rsid w:val="008376F6"/>
    <w:rsid w:val="008377C5"/>
    <w:rsid w:val="00837AD5"/>
    <w:rsid w:val="00837C5B"/>
    <w:rsid w:val="00837CEF"/>
    <w:rsid w:val="00837D07"/>
    <w:rsid w:val="00837DF1"/>
    <w:rsid w:val="0084039A"/>
    <w:rsid w:val="00840422"/>
    <w:rsid w:val="00840B27"/>
    <w:rsid w:val="00840BDA"/>
    <w:rsid w:val="00840CF8"/>
    <w:rsid w:val="00840E5A"/>
    <w:rsid w:val="00840E90"/>
    <w:rsid w:val="00840E9C"/>
    <w:rsid w:val="00841AFE"/>
    <w:rsid w:val="00841D31"/>
    <w:rsid w:val="00841EF3"/>
    <w:rsid w:val="00842487"/>
    <w:rsid w:val="008425D9"/>
    <w:rsid w:val="008429A8"/>
    <w:rsid w:val="00842A26"/>
    <w:rsid w:val="00842A8C"/>
    <w:rsid w:val="00842BA8"/>
    <w:rsid w:val="00842DA8"/>
    <w:rsid w:val="0084327E"/>
    <w:rsid w:val="008432A0"/>
    <w:rsid w:val="00843530"/>
    <w:rsid w:val="00843576"/>
    <w:rsid w:val="00843CB0"/>
    <w:rsid w:val="00843D66"/>
    <w:rsid w:val="00843F0C"/>
    <w:rsid w:val="00843F96"/>
    <w:rsid w:val="008448F8"/>
    <w:rsid w:val="00844926"/>
    <w:rsid w:val="00844B23"/>
    <w:rsid w:val="00844B2A"/>
    <w:rsid w:val="00844C51"/>
    <w:rsid w:val="00844E85"/>
    <w:rsid w:val="00845187"/>
    <w:rsid w:val="008452AC"/>
    <w:rsid w:val="00845354"/>
    <w:rsid w:val="008453D9"/>
    <w:rsid w:val="008454FC"/>
    <w:rsid w:val="008458D9"/>
    <w:rsid w:val="00845A41"/>
    <w:rsid w:val="00845AF4"/>
    <w:rsid w:val="00845D91"/>
    <w:rsid w:val="008463F9"/>
    <w:rsid w:val="0084648B"/>
    <w:rsid w:val="008466B7"/>
    <w:rsid w:val="008467CD"/>
    <w:rsid w:val="0084692A"/>
    <w:rsid w:val="008469CD"/>
    <w:rsid w:val="00846AC6"/>
    <w:rsid w:val="00846B83"/>
    <w:rsid w:val="00846E69"/>
    <w:rsid w:val="00846F13"/>
    <w:rsid w:val="00847021"/>
    <w:rsid w:val="0084729A"/>
    <w:rsid w:val="00847503"/>
    <w:rsid w:val="00847655"/>
    <w:rsid w:val="00847ED6"/>
    <w:rsid w:val="00847EE7"/>
    <w:rsid w:val="00847FE1"/>
    <w:rsid w:val="0085012A"/>
    <w:rsid w:val="0085012D"/>
    <w:rsid w:val="00850210"/>
    <w:rsid w:val="0085023A"/>
    <w:rsid w:val="008503AF"/>
    <w:rsid w:val="008504AF"/>
    <w:rsid w:val="008508C1"/>
    <w:rsid w:val="0085102A"/>
    <w:rsid w:val="00851154"/>
    <w:rsid w:val="008515C9"/>
    <w:rsid w:val="00851C23"/>
    <w:rsid w:val="0085268C"/>
    <w:rsid w:val="0085280E"/>
    <w:rsid w:val="00852A14"/>
    <w:rsid w:val="00852B57"/>
    <w:rsid w:val="00852CC6"/>
    <w:rsid w:val="00852E7E"/>
    <w:rsid w:val="00853068"/>
    <w:rsid w:val="00853074"/>
    <w:rsid w:val="008534C5"/>
    <w:rsid w:val="008539BF"/>
    <w:rsid w:val="00853CBD"/>
    <w:rsid w:val="00853CF5"/>
    <w:rsid w:val="00853F43"/>
    <w:rsid w:val="008540C7"/>
    <w:rsid w:val="00854400"/>
    <w:rsid w:val="0085463E"/>
    <w:rsid w:val="00854773"/>
    <w:rsid w:val="00854D27"/>
    <w:rsid w:val="00854D55"/>
    <w:rsid w:val="008554CA"/>
    <w:rsid w:val="00855500"/>
    <w:rsid w:val="00855620"/>
    <w:rsid w:val="00855759"/>
    <w:rsid w:val="00855918"/>
    <w:rsid w:val="00855D55"/>
    <w:rsid w:val="00855D5C"/>
    <w:rsid w:val="00855E5B"/>
    <w:rsid w:val="00856071"/>
    <w:rsid w:val="00856923"/>
    <w:rsid w:val="00856F03"/>
    <w:rsid w:val="00856FAB"/>
    <w:rsid w:val="00856FF9"/>
    <w:rsid w:val="0085790F"/>
    <w:rsid w:val="00857935"/>
    <w:rsid w:val="00857F61"/>
    <w:rsid w:val="00857F69"/>
    <w:rsid w:val="00857F79"/>
    <w:rsid w:val="008603D9"/>
    <w:rsid w:val="00860528"/>
    <w:rsid w:val="00860572"/>
    <w:rsid w:val="008609F9"/>
    <w:rsid w:val="00860AAB"/>
    <w:rsid w:val="00860BCB"/>
    <w:rsid w:val="00860D17"/>
    <w:rsid w:val="00860E38"/>
    <w:rsid w:val="00861803"/>
    <w:rsid w:val="008618F2"/>
    <w:rsid w:val="00861C5A"/>
    <w:rsid w:val="00861CC4"/>
    <w:rsid w:val="00862318"/>
    <w:rsid w:val="0086250C"/>
    <w:rsid w:val="008626A6"/>
    <w:rsid w:val="008627CF"/>
    <w:rsid w:val="00862975"/>
    <w:rsid w:val="00862A13"/>
    <w:rsid w:val="00862B30"/>
    <w:rsid w:val="00862B6C"/>
    <w:rsid w:val="00862C5F"/>
    <w:rsid w:val="00862FF7"/>
    <w:rsid w:val="0086358B"/>
    <w:rsid w:val="008635F0"/>
    <w:rsid w:val="00863736"/>
    <w:rsid w:val="00863776"/>
    <w:rsid w:val="00863782"/>
    <w:rsid w:val="008638A1"/>
    <w:rsid w:val="0086395E"/>
    <w:rsid w:val="0086398A"/>
    <w:rsid w:val="00863A20"/>
    <w:rsid w:val="00863A2E"/>
    <w:rsid w:val="00863A92"/>
    <w:rsid w:val="00863C15"/>
    <w:rsid w:val="00863C50"/>
    <w:rsid w:val="00863DB6"/>
    <w:rsid w:val="008642F0"/>
    <w:rsid w:val="008643A8"/>
    <w:rsid w:val="00864508"/>
    <w:rsid w:val="008645CF"/>
    <w:rsid w:val="0086477F"/>
    <w:rsid w:val="0086491C"/>
    <w:rsid w:val="0086533F"/>
    <w:rsid w:val="00865545"/>
    <w:rsid w:val="008655BA"/>
    <w:rsid w:val="008656C7"/>
    <w:rsid w:val="00865703"/>
    <w:rsid w:val="00865B3E"/>
    <w:rsid w:val="00865D8E"/>
    <w:rsid w:val="00866070"/>
    <w:rsid w:val="008662DC"/>
    <w:rsid w:val="00866541"/>
    <w:rsid w:val="00866556"/>
    <w:rsid w:val="008666FF"/>
    <w:rsid w:val="0086707B"/>
    <w:rsid w:val="00867089"/>
    <w:rsid w:val="00867774"/>
    <w:rsid w:val="008678A4"/>
    <w:rsid w:val="008679A3"/>
    <w:rsid w:val="00867ACC"/>
    <w:rsid w:val="00867E00"/>
    <w:rsid w:val="00867FB6"/>
    <w:rsid w:val="00867FC9"/>
    <w:rsid w:val="0087029E"/>
    <w:rsid w:val="008706CF"/>
    <w:rsid w:val="00870748"/>
    <w:rsid w:val="00870A8F"/>
    <w:rsid w:val="00870E66"/>
    <w:rsid w:val="00870E7B"/>
    <w:rsid w:val="00871051"/>
    <w:rsid w:val="0087118B"/>
    <w:rsid w:val="00871260"/>
    <w:rsid w:val="008713F7"/>
    <w:rsid w:val="00871A41"/>
    <w:rsid w:val="00872066"/>
    <w:rsid w:val="00872369"/>
    <w:rsid w:val="00872558"/>
    <w:rsid w:val="0087289D"/>
    <w:rsid w:val="00872C94"/>
    <w:rsid w:val="00873240"/>
    <w:rsid w:val="0087332A"/>
    <w:rsid w:val="008738FD"/>
    <w:rsid w:val="00873AAF"/>
    <w:rsid w:val="00873AB5"/>
    <w:rsid w:val="00873FFC"/>
    <w:rsid w:val="008741D9"/>
    <w:rsid w:val="0087446A"/>
    <w:rsid w:val="008745AF"/>
    <w:rsid w:val="008745C7"/>
    <w:rsid w:val="00874609"/>
    <w:rsid w:val="0087464B"/>
    <w:rsid w:val="0087485F"/>
    <w:rsid w:val="0087488A"/>
    <w:rsid w:val="008749E3"/>
    <w:rsid w:val="008749FA"/>
    <w:rsid w:val="00874CF2"/>
    <w:rsid w:val="00874F20"/>
    <w:rsid w:val="0087519D"/>
    <w:rsid w:val="008752D9"/>
    <w:rsid w:val="00875348"/>
    <w:rsid w:val="00875CE1"/>
    <w:rsid w:val="00875D42"/>
    <w:rsid w:val="00875D7B"/>
    <w:rsid w:val="00875EFE"/>
    <w:rsid w:val="00875FD8"/>
    <w:rsid w:val="00875FF2"/>
    <w:rsid w:val="008763D3"/>
    <w:rsid w:val="008768DD"/>
    <w:rsid w:val="00876D45"/>
    <w:rsid w:val="0087706E"/>
    <w:rsid w:val="0087711B"/>
    <w:rsid w:val="008771F9"/>
    <w:rsid w:val="008773A2"/>
    <w:rsid w:val="00880162"/>
    <w:rsid w:val="008801FD"/>
    <w:rsid w:val="008803EF"/>
    <w:rsid w:val="00880409"/>
    <w:rsid w:val="00880443"/>
    <w:rsid w:val="00880622"/>
    <w:rsid w:val="00880BE3"/>
    <w:rsid w:val="0088122D"/>
    <w:rsid w:val="008813CB"/>
    <w:rsid w:val="008813F9"/>
    <w:rsid w:val="0088167B"/>
    <w:rsid w:val="00881BAC"/>
    <w:rsid w:val="00881E62"/>
    <w:rsid w:val="008820A6"/>
    <w:rsid w:val="008827FE"/>
    <w:rsid w:val="00882B6B"/>
    <w:rsid w:val="00882B7A"/>
    <w:rsid w:val="00882D9B"/>
    <w:rsid w:val="00883263"/>
    <w:rsid w:val="008833AA"/>
    <w:rsid w:val="00883417"/>
    <w:rsid w:val="00883490"/>
    <w:rsid w:val="00883928"/>
    <w:rsid w:val="00883AF9"/>
    <w:rsid w:val="00883BD2"/>
    <w:rsid w:val="00883FBC"/>
    <w:rsid w:val="0088439C"/>
    <w:rsid w:val="00884600"/>
    <w:rsid w:val="00884842"/>
    <w:rsid w:val="00884F8B"/>
    <w:rsid w:val="008853AE"/>
    <w:rsid w:val="008853D0"/>
    <w:rsid w:val="0088580C"/>
    <w:rsid w:val="00885C9B"/>
    <w:rsid w:val="00885CFA"/>
    <w:rsid w:val="00885F72"/>
    <w:rsid w:val="00886028"/>
    <w:rsid w:val="0088627F"/>
    <w:rsid w:val="00886533"/>
    <w:rsid w:val="008865CD"/>
    <w:rsid w:val="00887076"/>
    <w:rsid w:val="00887683"/>
    <w:rsid w:val="0088781D"/>
    <w:rsid w:val="008879A6"/>
    <w:rsid w:val="008900A3"/>
    <w:rsid w:val="00890258"/>
    <w:rsid w:val="00890420"/>
    <w:rsid w:val="0089078F"/>
    <w:rsid w:val="0089080A"/>
    <w:rsid w:val="00890D2C"/>
    <w:rsid w:val="00890EAD"/>
    <w:rsid w:val="008911A3"/>
    <w:rsid w:val="008916F6"/>
    <w:rsid w:val="00891D09"/>
    <w:rsid w:val="00891DB6"/>
    <w:rsid w:val="008923D5"/>
    <w:rsid w:val="00892494"/>
    <w:rsid w:val="00892685"/>
    <w:rsid w:val="008928D7"/>
    <w:rsid w:val="00892962"/>
    <w:rsid w:val="00892B06"/>
    <w:rsid w:val="00892BF3"/>
    <w:rsid w:val="00892FCD"/>
    <w:rsid w:val="0089305A"/>
    <w:rsid w:val="00893354"/>
    <w:rsid w:val="00893457"/>
    <w:rsid w:val="00893629"/>
    <w:rsid w:val="0089367E"/>
    <w:rsid w:val="008939CB"/>
    <w:rsid w:val="00893C2D"/>
    <w:rsid w:val="00893EF8"/>
    <w:rsid w:val="00893FEC"/>
    <w:rsid w:val="00894010"/>
    <w:rsid w:val="0089423C"/>
    <w:rsid w:val="00894270"/>
    <w:rsid w:val="008946A6"/>
    <w:rsid w:val="00894ACB"/>
    <w:rsid w:val="00894C53"/>
    <w:rsid w:val="00894E96"/>
    <w:rsid w:val="008952C7"/>
    <w:rsid w:val="00895400"/>
    <w:rsid w:val="00896163"/>
    <w:rsid w:val="008961C0"/>
    <w:rsid w:val="00896261"/>
    <w:rsid w:val="008962A0"/>
    <w:rsid w:val="00896670"/>
    <w:rsid w:val="00896A1C"/>
    <w:rsid w:val="00896CFC"/>
    <w:rsid w:val="00896E22"/>
    <w:rsid w:val="00897682"/>
    <w:rsid w:val="008977B8"/>
    <w:rsid w:val="00897924"/>
    <w:rsid w:val="00897990"/>
    <w:rsid w:val="008979EE"/>
    <w:rsid w:val="00897A9B"/>
    <w:rsid w:val="00897B6A"/>
    <w:rsid w:val="00897EA7"/>
    <w:rsid w:val="00897F54"/>
    <w:rsid w:val="008A0204"/>
    <w:rsid w:val="008A046F"/>
    <w:rsid w:val="008A084B"/>
    <w:rsid w:val="008A0BAE"/>
    <w:rsid w:val="008A0D5D"/>
    <w:rsid w:val="008A0F1D"/>
    <w:rsid w:val="008A10A2"/>
    <w:rsid w:val="008A1478"/>
    <w:rsid w:val="008A1737"/>
    <w:rsid w:val="008A1AED"/>
    <w:rsid w:val="008A1AF3"/>
    <w:rsid w:val="008A1B37"/>
    <w:rsid w:val="008A1C96"/>
    <w:rsid w:val="008A1E7C"/>
    <w:rsid w:val="008A2176"/>
    <w:rsid w:val="008A27D4"/>
    <w:rsid w:val="008A2DC7"/>
    <w:rsid w:val="008A2E86"/>
    <w:rsid w:val="008A30D4"/>
    <w:rsid w:val="008A31AC"/>
    <w:rsid w:val="008A3286"/>
    <w:rsid w:val="008A33D8"/>
    <w:rsid w:val="008A375A"/>
    <w:rsid w:val="008A3779"/>
    <w:rsid w:val="008A3811"/>
    <w:rsid w:val="008A381F"/>
    <w:rsid w:val="008A3BE9"/>
    <w:rsid w:val="008A40FF"/>
    <w:rsid w:val="008A44FE"/>
    <w:rsid w:val="008A4653"/>
    <w:rsid w:val="008A4765"/>
    <w:rsid w:val="008A4A15"/>
    <w:rsid w:val="008A4D4B"/>
    <w:rsid w:val="008A4DF7"/>
    <w:rsid w:val="008A4E98"/>
    <w:rsid w:val="008A4FB7"/>
    <w:rsid w:val="008A4FC9"/>
    <w:rsid w:val="008A4FDC"/>
    <w:rsid w:val="008A5239"/>
    <w:rsid w:val="008A554D"/>
    <w:rsid w:val="008A5A1D"/>
    <w:rsid w:val="008A5F71"/>
    <w:rsid w:val="008A5FD3"/>
    <w:rsid w:val="008A688F"/>
    <w:rsid w:val="008A6897"/>
    <w:rsid w:val="008A6B53"/>
    <w:rsid w:val="008A6BAB"/>
    <w:rsid w:val="008A6C2C"/>
    <w:rsid w:val="008A6C5A"/>
    <w:rsid w:val="008A6DD5"/>
    <w:rsid w:val="008A6FAD"/>
    <w:rsid w:val="008A760E"/>
    <w:rsid w:val="008A7809"/>
    <w:rsid w:val="008A7868"/>
    <w:rsid w:val="008A7A0D"/>
    <w:rsid w:val="008A7BBC"/>
    <w:rsid w:val="008A7F40"/>
    <w:rsid w:val="008A7FD5"/>
    <w:rsid w:val="008B011B"/>
    <w:rsid w:val="008B07BB"/>
    <w:rsid w:val="008B07F1"/>
    <w:rsid w:val="008B0FEA"/>
    <w:rsid w:val="008B11CD"/>
    <w:rsid w:val="008B15BE"/>
    <w:rsid w:val="008B1A57"/>
    <w:rsid w:val="008B232A"/>
    <w:rsid w:val="008B2331"/>
    <w:rsid w:val="008B244A"/>
    <w:rsid w:val="008B2499"/>
    <w:rsid w:val="008B252B"/>
    <w:rsid w:val="008B2BE2"/>
    <w:rsid w:val="008B2C4D"/>
    <w:rsid w:val="008B2D00"/>
    <w:rsid w:val="008B2DE7"/>
    <w:rsid w:val="008B2E96"/>
    <w:rsid w:val="008B31B2"/>
    <w:rsid w:val="008B325D"/>
    <w:rsid w:val="008B3691"/>
    <w:rsid w:val="008B39F4"/>
    <w:rsid w:val="008B3C46"/>
    <w:rsid w:val="008B3CF1"/>
    <w:rsid w:val="008B3DA3"/>
    <w:rsid w:val="008B3DE7"/>
    <w:rsid w:val="008B3EAB"/>
    <w:rsid w:val="008B423D"/>
    <w:rsid w:val="008B4270"/>
    <w:rsid w:val="008B49DA"/>
    <w:rsid w:val="008B4CD2"/>
    <w:rsid w:val="008B4E18"/>
    <w:rsid w:val="008B4E89"/>
    <w:rsid w:val="008B5494"/>
    <w:rsid w:val="008B55AE"/>
    <w:rsid w:val="008B59DD"/>
    <w:rsid w:val="008B5B15"/>
    <w:rsid w:val="008B5D91"/>
    <w:rsid w:val="008B5D98"/>
    <w:rsid w:val="008B5F10"/>
    <w:rsid w:val="008B63D9"/>
    <w:rsid w:val="008B650C"/>
    <w:rsid w:val="008B6A43"/>
    <w:rsid w:val="008B6CCC"/>
    <w:rsid w:val="008B6F34"/>
    <w:rsid w:val="008B6F62"/>
    <w:rsid w:val="008B7010"/>
    <w:rsid w:val="008B72BE"/>
    <w:rsid w:val="008B733E"/>
    <w:rsid w:val="008B73C3"/>
    <w:rsid w:val="008B7A82"/>
    <w:rsid w:val="008B7AD9"/>
    <w:rsid w:val="008B7AFF"/>
    <w:rsid w:val="008B7E4D"/>
    <w:rsid w:val="008B7F08"/>
    <w:rsid w:val="008C012E"/>
    <w:rsid w:val="008C01E0"/>
    <w:rsid w:val="008C08C3"/>
    <w:rsid w:val="008C090F"/>
    <w:rsid w:val="008C106E"/>
    <w:rsid w:val="008C11D4"/>
    <w:rsid w:val="008C1368"/>
    <w:rsid w:val="008C160A"/>
    <w:rsid w:val="008C1733"/>
    <w:rsid w:val="008C2027"/>
    <w:rsid w:val="008C2124"/>
    <w:rsid w:val="008C278A"/>
    <w:rsid w:val="008C2C37"/>
    <w:rsid w:val="008C2E06"/>
    <w:rsid w:val="008C32F8"/>
    <w:rsid w:val="008C3A9B"/>
    <w:rsid w:val="008C3AFE"/>
    <w:rsid w:val="008C3D9E"/>
    <w:rsid w:val="008C4124"/>
    <w:rsid w:val="008C4207"/>
    <w:rsid w:val="008C480F"/>
    <w:rsid w:val="008C4B24"/>
    <w:rsid w:val="008C590C"/>
    <w:rsid w:val="008C5973"/>
    <w:rsid w:val="008C5CB4"/>
    <w:rsid w:val="008C61F2"/>
    <w:rsid w:val="008C63DD"/>
    <w:rsid w:val="008C650A"/>
    <w:rsid w:val="008C6A38"/>
    <w:rsid w:val="008C6AD4"/>
    <w:rsid w:val="008C6F7D"/>
    <w:rsid w:val="008C717D"/>
    <w:rsid w:val="008C7251"/>
    <w:rsid w:val="008C7421"/>
    <w:rsid w:val="008C7623"/>
    <w:rsid w:val="008C7D77"/>
    <w:rsid w:val="008D010C"/>
    <w:rsid w:val="008D015B"/>
    <w:rsid w:val="008D0373"/>
    <w:rsid w:val="008D08C3"/>
    <w:rsid w:val="008D0959"/>
    <w:rsid w:val="008D0E27"/>
    <w:rsid w:val="008D118B"/>
    <w:rsid w:val="008D11B5"/>
    <w:rsid w:val="008D12F7"/>
    <w:rsid w:val="008D1586"/>
    <w:rsid w:val="008D182D"/>
    <w:rsid w:val="008D19FB"/>
    <w:rsid w:val="008D1E7C"/>
    <w:rsid w:val="008D2011"/>
    <w:rsid w:val="008D212E"/>
    <w:rsid w:val="008D2157"/>
    <w:rsid w:val="008D21BD"/>
    <w:rsid w:val="008D24D1"/>
    <w:rsid w:val="008D2A3A"/>
    <w:rsid w:val="008D2E1A"/>
    <w:rsid w:val="008D323C"/>
    <w:rsid w:val="008D3578"/>
    <w:rsid w:val="008D35B6"/>
    <w:rsid w:val="008D392C"/>
    <w:rsid w:val="008D3F69"/>
    <w:rsid w:val="008D403B"/>
    <w:rsid w:val="008D4107"/>
    <w:rsid w:val="008D46DA"/>
    <w:rsid w:val="008D48F4"/>
    <w:rsid w:val="008D49D0"/>
    <w:rsid w:val="008D4A11"/>
    <w:rsid w:val="008D4F51"/>
    <w:rsid w:val="008D4FDB"/>
    <w:rsid w:val="008D518D"/>
    <w:rsid w:val="008D5479"/>
    <w:rsid w:val="008D5610"/>
    <w:rsid w:val="008D5749"/>
    <w:rsid w:val="008D58A9"/>
    <w:rsid w:val="008D5B1B"/>
    <w:rsid w:val="008D5B99"/>
    <w:rsid w:val="008D603D"/>
    <w:rsid w:val="008D60C6"/>
    <w:rsid w:val="008D60F5"/>
    <w:rsid w:val="008D6180"/>
    <w:rsid w:val="008D633F"/>
    <w:rsid w:val="008D63C0"/>
    <w:rsid w:val="008D63CA"/>
    <w:rsid w:val="008D670A"/>
    <w:rsid w:val="008D6D25"/>
    <w:rsid w:val="008D750D"/>
    <w:rsid w:val="008D77AB"/>
    <w:rsid w:val="008D798B"/>
    <w:rsid w:val="008D7C41"/>
    <w:rsid w:val="008D7C42"/>
    <w:rsid w:val="008E0155"/>
    <w:rsid w:val="008E025D"/>
    <w:rsid w:val="008E04D0"/>
    <w:rsid w:val="008E0695"/>
    <w:rsid w:val="008E0987"/>
    <w:rsid w:val="008E0E1B"/>
    <w:rsid w:val="008E15A2"/>
    <w:rsid w:val="008E166B"/>
    <w:rsid w:val="008E1724"/>
    <w:rsid w:val="008E19F0"/>
    <w:rsid w:val="008E1AAD"/>
    <w:rsid w:val="008E1B89"/>
    <w:rsid w:val="008E1D4C"/>
    <w:rsid w:val="008E1ECA"/>
    <w:rsid w:val="008E210A"/>
    <w:rsid w:val="008E292E"/>
    <w:rsid w:val="008E29AF"/>
    <w:rsid w:val="008E2AE3"/>
    <w:rsid w:val="008E2AF6"/>
    <w:rsid w:val="008E2D93"/>
    <w:rsid w:val="008E30EE"/>
    <w:rsid w:val="008E38AF"/>
    <w:rsid w:val="008E39C2"/>
    <w:rsid w:val="008E39EE"/>
    <w:rsid w:val="008E3BD0"/>
    <w:rsid w:val="008E4235"/>
    <w:rsid w:val="008E42AF"/>
    <w:rsid w:val="008E4665"/>
    <w:rsid w:val="008E4E1C"/>
    <w:rsid w:val="008E50EA"/>
    <w:rsid w:val="008E51BF"/>
    <w:rsid w:val="008E52DD"/>
    <w:rsid w:val="008E53E3"/>
    <w:rsid w:val="008E53F0"/>
    <w:rsid w:val="008E54A9"/>
    <w:rsid w:val="008E56E6"/>
    <w:rsid w:val="008E5707"/>
    <w:rsid w:val="008E5BCC"/>
    <w:rsid w:val="008E6004"/>
    <w:rsid w:val="008E628E"/>
    <w:rsid w:val="008E6294"/>
    <w:rsid w:val="008E65BA"/>
    <w:rsid w:val="008E6CE5"/>
    <w:rsid w:val="008E6E7F"/>
    <w:rsid w:val="008E6FF9"/>
    <w:rsid w:val="008E71D7"/>
    <w:rsid w:val="008E7319"/>
    <w:rsid w:val="008E763E"/>
    <w:rsid w:val="008E7E2B"/>
    <w:rsid w:val="008F000B"/>
    <w:rsid w:val="008F00E2"/>
    <w:rsid w:val="008F0150"/>
    <w:rsid w:val="008F0301"/>
    <w:rsid w:val="008F04D3"/>
    <w:rsid w:val="008F06BF"/>
    <w:rsid w:val="008F06DE"/>
    <w:rsid w:val="008F0AD9"/>
    <w:rsid w:val="008F0AEF"/>
    <w:rsid w:val="008F0C01"/>
    <w:rsid w:val="008F0FF4"/>
    <w:rsid w:val="008F1009"/>
    <w:rsid w:val="008F144D"/>
    <w:rsid w:val="008F161F"/>
    <w:rsid w:val="008F176B"/>
    <w:rsid w:val="008F17AD"/>
    <w:rsid w:val="008F194A"/>
    <w:rsid w:val="008F1B1F"/>
    <w:rsid w:val="008F2B72"/>
    <w:rsid w:val="008F2BCE"/>
    <w:rsid w:val="008F2BF9"/>
    <w:rsid w:val="008F2CB1"/>
    <w:rsid w:val="008F2E09"/>
    <w:rsid w:val="008F3213"/>
    <w:rsid w:val="008F3240"/>
    <w:rsid w:val="008F32E5"/>
    <w:rsid w:val="008F3613"/>
    <w:rsid w:val="008F36C3"/>
    <w:rsid w:val="008F3878"/>
    <w:rsid w:val="008F38DF"/>
    <w:rsid w:val="008F3AE1"/>
    <w:rsid w:val="008F3BD7"/>
    <w:rsid w:val="008F40AA"/>
    <w:rsid w:val="008F41E3"/>
    <w:rsid w:val="008F4288"/>
    <w:rsid w:val="008F489B"/>
    <w:rsid w:val="008F4C14"/>
    <w:rsid w:val="008F5042"/>
    <w:rsid w:val="008F52E7"/>
    <w:rsid w:val="008F5C81"/>
    <w:rsid w:val="008F5CFA"/>
    <w:rsid w:val="008F60CB"/>
    <w:rsid w:val="008F6127"/>
    <w:rsid w:val="008F6246"/>
    <w:rsid w:val="008F638A"/>
    <w:rsid w:val="008F63C7"/>
    <w:rsid w:val="008F6978"/>
    <w:rsid w:val="008F6AE5"/>
    <w:rsid w:val="008F713D"/>
    <w:rsid w:val="008F7277"/>
    <w:rsid w:val="008F764C"/>
    <w:rsid w:val="008F76AA"/>
    <w:rsid w:val="008F7A0A"/>
    <w:rsid w:val="00900393"/>
    <w:rsid w:val="00900CF9"/>
    <w:rsid w:val="009012C7"/>
    <w:rsid w:val="009012CD"/>
    <w:rsid w:val="0090147D"/>
    <w:rsid w:val="00901511"/>
    <w:rsid w:val="0090153B"/>
    <w:rsid w:val="009015F3"/>
    <w:rsid w:val="00901660"/>
    <w:rsid w:val="00902350"/>
    <w:rsid w:val="0090277E"/>
    <w:rsid w:val="00902920"/>
    <w:rsid w:val="009029F7"/>
    <w:rsid w:val="00902FE0"/>
    <w:rsid w:val="0090314E"/>
    <w:rsid w:val="00903286"/>
    <w:rsid w:val="009034C3"/>
    <w:rsid w:val="009038D3"/>
    <w:rsid w:val="00903E3F"/>
    <w:rsid w:val="00903F5F"/>
    <w:rsid w:val="00904049"/>
    <w:rsid w:val="009048EE"/>
    <w:rsid w:val="00904984"/>
    <w:rsid w:val="00904DE8"/>
    <w:rsid w:val="009052E7"/>
    <w:rsid w:val="00905985"/>
    <w:rsid w:val="00905E6F"/>
    <w:rsid w:val="009061CF"/>
    <w:rsid w:val="009061E9"/>
    <w:rsid w:val="00906277"/>
    <w:rsid w:val="009063D7"/>
    <w:rsid w:val="00906644"/>
    <w:rsid w:val="009069E8"/>
    <w:rsid w:val="00906B63"/>
    <w:rsid w:val="00907146"/>
    <w:rsid w:val="00907236"/>
    <w:rsid w:val="00907399"/>
    <w:rsid w:val="00907558"/>
    <w:rsid w:val="00907589"/>
    <w:rsid w:val="00907B0A"/>
    <w:rsid w:val="00907CEA"/>
    <w:rsid w:val="00907E52"/>
    <w:rsid w:val="00907EFB"/>
    <w:rsid w:val="00910619"/>
    <w:rsid w:val="00910A96"/>
    <w:rsid w:val="00910B70"/>
    <w:rsid w:val="00910E98"/>
    <w:rsid w:val="00911749"/>
    <w:rsid w:val="009117A6"/>
    <w:rsid w:val="00911899"/>
    <w:rsid w:val="00911CC6"/>
    <w:rsid w:val="00911D77"/>
    <w:rsid w:val="009122C9"/>
    <w:rsid w:val="0091236F"/>
    <w:rsid w:val="00912381"/>
    <w:rsid w:val="0091240D"/>
    <w:rsid w:val="00912528"/>
    <w:rsid w:val="009128ED"/>
    <w:rsid w:val="00912B66"/>
    <w:rsid w:val="00912F7A"/>
    <w:rsid w:val="00912FFB"/>
    <w:rsid w:val="009131AD"/>
    <w:rsid w:val="00913529"/>
    <w:rsid w:val="00913636"/>
    <w:rsid w:val="00913C43"/>
    <w:rsid w:val="00913CA4"/>
    <w:rsid w:val="009141C2"/>
    <w:rsid w:val="0091464F"/>
    <w:rsid w:val="00914DD0"/>
    <w:rsid w:val="00914ED9"/>
    <w:rsid w:val="00914FA7"/>
    <w:rsid w:val="00915437"/>
    <w:rsid w:val="0091569E"/>
    <w:rsid w:val="00915A58"/>
    <w:rsid w:val="00915C31"/>
    <w:rsid w:val="00915F33"/>
    <w:rsid w:val="00916309"/>
    <w:rsid w:val="009163E7"/>
    <w:rsid w:val="009169B3"/>
    <w:rsid w:val="00916A24"/>
    <w:rsid w:val="00916C21"/>
    <w:rsid w:val="00916D59"/>
    <w:rsid w:val="00916D7A"/>
    <w:rsid w:val="00916E66"/>
    <w:rsid w:val="00917285"/>
    <w:rsid w:val="00917452"/>
    <w:rsid w:val="009178E3"/>
    <w:rsid w:val="009202FF"/>
    <w:rsid w:val="009207A2"/>
    <w:rsid w:val="0092095F"/>
    <w:rsid w:val="00920EA0"/>
    <w:rsid w:val="0092114E"/>
    <w:rsid w:val="009212C6"/>
    <w:rsid w:val="0092157C"/>
    <w:rsid w:val="009215A5"/>
    <w:rsid w:val="009215E6"/>
    <w:rsid w:val="009216AF"/>
    <w:rsid w:val="009219BF"/>
    <w:rsid w:val="00921B64"/>
    <w:rsid w:val="00921CCB"/>
    <w:rsid w:val="00921CF3"/>
    <w:rsid w:val="009225F8"/>
    <w:rsid w:val="009228D1"/>
    <w:rsid w:val="00922921"/>
    <w:rsid w:val="00922AAB"/>
    <w:rsid w:val="00922F3C"/>
    <w:rsid w:val="00923039"/>
    <w:rsid w:val="00923371"/>
    <w:rsid w:val="009237DA"/>
    <w:rsid w:val="00923810"/>
    <w:rsid w:val="00923B66"/>
    <w:rsid w:val="00923B84"/>
    <w:rsid w:val="00923B8B"/>
    <w:rsid w:val="00923C5C"/>
    <w:rsid w:val="00923EA5"/>
    <w:rsid w:val="00923F0D"/>
    <w:rsid w:val="00924061"/>
    <w:rsid w:val="009242C3"/>
    <w:rsid w:val="009245CA"/>
    <w:rsid w:val="00924715"/>
    <w:rsid w:val="0092473B"/>
    <w:rsid w:val="009249E4"/>
    <w:rsid w:val="00924C5D"/>
    <w:rsid w:val="0092530F"/>
    <w:rsid w:val="00925330"/>
    <w:rsid w:val="009253DE"/>
    <w:rsid w:val="00925460"/>
    <w:rsid w:val="0092569A"/>
    <w:rsid w:val="0092573D"/>
    <w:rsid w:val="00925A20"/>
    <w:rsid w:val="00925A5E"/>
    <w:rsid w:val="00925C37"/>
    <w:rsid w:val="00925D4C"/>
    <w:rsid w:val="00925E93"/>
    <w:rsid w:val="00925FC3"/>
    <w:rsid w:val="0092655C"/>
    <w:rsid w:val="009266EB"/>
    <w:rsid w:val="009268B2"/>
    <w:rsid w:val="009268FB"/>
    <w:rsid w:val="00926F2A"/>
    <w:rsid w:val="0092705F"/>
    <w:rsid w:val="00927723"/>
    <w:rsid w:val="00927790"/>
    <w:rsid w:val="00927A49"/>
    <w:rsid w:val="00927BF2"/>
    <w:rsid w:val="00927D5C"/>
    <w:rsid w:val="00927E97"/>
    <w:rsid w:val="0093006B"/>
    <w:rsid w:val="009301B6"/>
    <w:rsid w:val="009307D4"/>
    <w:rsid w:val="009308E6"/>
    <w:rsid w:val="00930936"/>
    <w:rsid w:val="00931004"/>
    <w:rsid w:val="009314A4"/>
    <w:rsid w:val="00931889"/>
    <w:rsid w:val="00931A9E"/>
    <w:rsid w:val="00932269"/>
    <w:rsid w:val="00932511"/>
    <w:rsid w:val="0093290F"/>
    <w:rsid w:val="0093293E"/>
    <w:rsid w:val="00932B34"/>
    <w:rsid w:val="00932BF5"/>
    <w:rsid w:val="00932C4A"/>
    <w:rsid w:val="00932F7D"/>
    <w:rsid w:val="00932FED"/>
    <w:rsid w:val="009333CC"/>
    <w:rsid w:val="0093368B"/>
    <w:rsid w:val="00933694"/>
    <w:rsid w:val="00933938"/>
    <w:rsid w:val="00933B64"/>
    <w:rsid w:val="00933D1E"/>
    <w:rsid w:val="00934158"/>
    <w:rsid w:val="009344C5"/>
    <w:rsid w:val="0093483B"/>
    <w:rsid w:val="0093484D"/>
    <w:rsid w:val="00934913"/>
    <w:rsid w:val="009349EB"/>
    <w:rsid w:val="00934D72"/>
    <w:rsid w:val="00934E80"/>
    <w:rsid w:val="00935119"/>
    <w:rsid w:val="0093518D"/>
    <w:rsid w:val="009353E9"/>
    <w:rsid w:val="009353EE"/>
    <w:rsid w:val="009357EA"/>
    <w:rsid w:val="00935807"/>
    <w:rsid w:val="00935CA6"/>
    <w:rsid w:val="00935DC1"/>
    <w:rsid w:val="00935E29"/>
    <w:rsid w:val="00935E2A"/>
    <w:rsid w:val="0093616B"/>
    <w:rsid w:val="009362D7"/>
    <w:rsid w:val="00936559"/>
    <w:rsid w:val="00936889"/>
    <w:rsid w:val="00936AA7"/>
    <w:rsid w:val="00936ED9"/>
    <w:rsid w:val="009371F6"/>
    <w:rsid w:val="0093721C"/>
    <w:rsid w:val="009373FB"/>
    <w:rsid w:val="00937618"/>
    <w:rsid w:val="0093761B"/>
    <w:rsid w:val="00937829"/>
    <w:rsid w:val="0093798B"/>
    <w:rsid w:val="00937C02"/>
    <w:rsid w:val="00940071"/>
    <w:rsid w:val="00940276"/>
    <w:rsid w:val="009402FC"/>
    <w:rsid w:val="00940415"/>
    <w:rsid w:val="0094045A"/>
    <w:rsid w:val="00940F1C"/>
    <w:rsid w:val="00941013"/>
    <w:rsid w:val="0094129F"/>
    <w:rsid w:val="0094154F"/>
    <w:rsid w:val="009415BF"/>
    <w:rsid w:val="009415EB"/>
    <w:rsid w:val="00941CC0"/>
    <w:rsid w:val="00941D93"/>
    <w:rsid w:val="00941E64"/>
    <w:rsid w:val="0094214E"/>
    <w:rsid w:val="009423F0"/>
    <w:rsid w:val="00942428"/>
    <w:rsid w:val="00942499"/>
    <w:rsid w:val="0094275D"/>
    <w:rsid w:val="009429CE"/>
    <w:rsid w:val="00942B0A"/>
    <w:rsid w:val="00942CBD"/>
    <w:rsid w:val="00942E45"/>
    <w:rsid w:val="00942E78"/>
    <w:rsid w:val="00943050"/>
    <w:rsid w:val="00943439"/>
    <w:rsid w:val="00943690"/>
    <w:rsid w:val="009436E1"/>
    <w:rsid w:val="00943753"/>
    <w:rsid w:val="009439F0"/>
    <w:rsid w:val="00943E52"/>
    <w:rsid w:val="00943FED"/>
    <w:rsid w:val="00944191"/>
    <w:rsid w:val="00944316"/>
    <w:rsid w:val="0094452D"/>
    <w:rsid w:val="009446B3"/>
    <w:rsid w:val="009447D7"/>
    <w:rsid w:val="009448F6"/>
    <w:rsid w:val="00944BA6"/>
    <w:rsid w:val="00944C39"/>
    <w:rsid w:val="00944D83"/>
    <w:rsid w:val="00944EB8"/>
    <w:rsid w:val="00944F3D"/>
    <w:rsid w:val="0094538F"/>
    <w:rsid w:val="0094547E"/>
    <w:rsid w:val="009456AA"/>
    <w:rsid w:val="009457C3"/>
    <w:rsid w:val="00945A79"/>
    <w:rsid w:val="00945AD4"/>
    <w:rsid w:val="00945B4D"/>
    <w:rsid w:val="009462A9"/>
    <w:rsid w:val="00946316"/>
    <w:rsid w:val="00946F3E"/>
    <w:rsid w:val="00947177"/>
    <w:rsid w:val="009473C5"/>
    <w:rsid w:val="009475D0"/>
    <w:rsid w:val="009476BC"/>
    <w:rsid w:val="009476C4"/>
    <w:rsid w:val="00947ABC"/>
    <w:rsid w:val="009501B1"/>
    <w:rsid w:val="009502C3"/>
    <w:rsid w:val="009503C8"/>
    <w:rsid w:val="009503E5"/>
    <w:rsid w:val="00950511"/>
    <w:rsid w:val="00950526"/>
    <w:rsid w:val="009506A3"/>
    <w:rsid w:val="00950922"/>
    <w:rsid w:val="0095094D"/>
    <w:rsid w:val="00950A83"/>
    <w:rsid w:val="00950D3A"/>
    <w:rsid w:val="00950DF2"/>
    <w:rsid w:val="0095138B"/>
    <w:rsid w:val="009513F7"/>
    <w:rsid w:val="009514FC"/>
    <w:rsid w:val="0095165F"/>
    <w:rsid w:val="00951863"/>
    <w:rsid w:val="009518F7"/>
    <w:rsid w:val="00951939"/>
    <w:rsid w:val="00951C77"/>
    <w:rsid w:val="0095226D"/>
    <w:rsid w:val="009524B4"/>
    <w:rsid w:val="00952804"/>
    <w:rsid w:val="00952D97"/>
    <w:rsid w:val="00952FB9"/>
    <w:rsid w:val="0095354C"/>
    <w:rsid w:val="009537F4"/>
    <w:rsid w:val="00953861"/>
    <w:rsid w:val="00953DEC"/>
    <w:rsid w:val="0095410A"/>
    <w:rsid w:val="00954297"/>
    <w:rsid w:val="009544AE"/>
    <w:rsid w:val="0095452C"/>
    <w:rsid w:val="00954AAD"/>
    <w:rsid w:val="00954ADC"/>
    <w:rsid w:val="00954C5E"/>
    <w:rsid w:val="00954D37"/>
    <w:rsid w:val="00954E17"/>
    <w:rsid w:val="00954E21"/>
    <w:rsid w:val="00955468"/>
    <w:rsid w:val="009556B9"/>
    <w:rsid w:val="0095592E"/>
    <w:rsid w:val="00955B73"/>
    <w:rsid w:val="009561C7"/>
    <w:rsid w:val="0095620B"/>
    <w:rsid w:val="009562FB"/>
    <w:rsid w:val="009563F7"/>
    <w:rsid w:val="0095672A"/>
    <w:rsid w:val="00956AB6"/>
    <w:rsid w:val="009575C1"/>
    <w:rsid w:val="00957BB4"/>
    <w:rsid w:val="00957C59"/>
    <w:rsid w:val="00957F72"/>
    <w:rsid w:val="009601ED"/>
    <w:rsid w:val="0096037F"/>
    <w:rsid w:val="009604B0"/>
    <w:rsid w:val="009605A6"/>
    <w:rsid w:val="0096070F"/>
    <w:rsid w:val="00960A32"/>
    <w:rsid w:val="00960E3E"/>
    <w:rsid w:val="009612C4"/>
    <w:rsid w:val="00961345"/>
    <w:rsid w:val="009613EA"/>
    <w:rsid w:val="0096149A"/>
    <w:rsid w:val="009617F6"/>
    <w:rsid w:val="009628BD"/>
    <w:rsid w:val="00962A4F"/>
    <w:rsid w:val="00962B4F"/>
    <w:rsid w:val="00962C12"/>
    <w:rsid w:val="0096333D"/>
    <w:rsid w:val="009633E8"/>
    <w:rsid w:val="009634C2"/>
    <w:rsid w:val="009634D0"/>
    <w:rsid w:val="00963673"/>
    <w:rsid w:val="00963D52"/>
    <w:rsid w:val="00963DC2"/>
    <w:rsid w:val="00963DE5"/>
    <w:rsid w:val="00963ED9"/>
    <w:rsid w:val="00964147"/>
    <w:rsid w:val="009641C4"/>
    <w:rsid w:val="00964203"/>
    <w:rsid w:val="009643B9"/>
    <w:rsid w:val="009644CC"/>
    <w:rsid w:val="00964CA6"/>
    <w:rsid w:val="00964F72"/>
    <w:rsid w:val="00965074"/>
    <w:rsid w:val="009650DE"/>
    <w:rsid w:val="00965300"/>
    <w:rsid w:val="00965405"/>
    <w:rsid w:val="0096572B"/>
    <w:rsid w:val="00965ABF"/>
    <w:rsid w:val="00965C55"/>
    <w:rsid w:val="00965E0D"/>
    <w:rsid w:val="0096608C"/>
    <w:rsid w:val="009663E3"/>
    <w:rsid w:val="009667A7"/>
    <w:rsid w:val="009667C2"/>
    <w:rsid w:val="00966896"/>
    <w:rsid w:val="00966A34"/>
    <w:rsid w:val="00966ABE"/>
    <w:rsid w:val="009670D2"/>
    <w:rsid w:val="00967478"/>
    <w:rsid w:val="0096753A"/>
    <w:rsid w:val="0096770A"/>
    <w:rsid w:val="00970316"/>
    <w:rsid w:val="00970375"/>
    <w:rsid w:val="009709BA"/>
    <w:rsid w:val="00970BA3"/>
    <w:rsid w:val="00970BB1"/>
    <w:rsid w:val="00970BE9"/>
    <w:rsid w:val="00971337"/>
    <w:rsid w:val="00971427"/>
    <w:rsid w:val="0097195F"/>
    <w:rsid w:val="00971A3B"/>
    <w:rsid w:val="00971F06"/>
    <w:rsid w:val="00972022"/>
    <w:rsid w:val="00972191"/>
    <w:rsid w:val="00972293"/>
    <w:rsid w:val="009725AE"/>
    <w:rsid w:val="00972821"/>
    <w:rsid w:val="009729A8"/>
    <w:rsid w:val="009729CF"/>
    <w:rsid w:val="00972A74"/>
    <w:rsid w:val="00972B04"/>
    <w:rsid w:val="00972DAD"/>
    <w:rsid w:val="00972F30"/>
    <w:rsid w:val="00973006"/>
    <w:rsid w:val="00973493"/>
    <w:rsid w:val="00973E61"/>
    <w:rsid w:val="00973F9C"/>
    <w:rsid w:val="0097401D"/>
    <w:rsid w:val="00974164"/>
    <w:rsid w:val="009741F4"/>
    <w:rsid w:val="009745AC"/>
    <w:rsid w:val="009746E0"/>
    <w:rsid w:val="00974829"/>
    <w:rsid w:val="009749D3"/>
    <w:rsid w:val="00974A82"/>
    <w:rsid w:val="00974D28"/>
    <w:rsid w:val="00975461"/>
    <w:rsid w:val="009759A7"/>
    <w:rsid w:val="00975A9E"/>
    <w:rsid w:val="009760DB"/>
    <w:rsid w:val="0097658B"/>
    <w:rsid w:val="009766C8"/>
    <w:rsid w:val="00976F48"/>
    <w:rsid w:val="00977737"/>
    <w:rsid w:val="0097783B"/>
    <w:rsid w:val="00977C65"/>
    <w:rsid w:val="00977D28"/>
    <w:rsid w:val="009800B2"/>
    <w:rsid w:val="00980214"/>
    <w:rsid w:val="009805FA"/>
    <w:rsid w:val="0098070F"/>
    <w:rsid w:val="0098096E"/>
    <w:rsid w:val="0098099D"/>
    <w:rsid w:val="00980A0E"/>
    <w:rsid w:val="00980BD1"/>
    <w:rsid w:val="00980C58"/>
    <w:rsid w:val="00980D7D"/>
    <w:rsid w:val="00980E66"/>
    <w:rsid w:val="00980ED0"/>
    <w:rsid w:val="009813D2"/>
    <w:rsid w:val="009814A1"/>
    <w:rsid w:val="00981C7B"/>
    <w:rsid w:val="00981C9E"/>
    <w:rsid w:val="00982120"/>
    <w:rsid w:val="00982142"/>
    <w:rsid w:val="009824EC"/>
    <w:rsid w:val="0098250C"/>
    <w:rsid w:val="009827C1"/>
    <w:rsid w:val="00982CB5"/>
    <w:rsid w:val="00982E8C"/>
    <w:rsid w:val="00983013"/>
    <w:rsid w:val="009830DB"/>
    <w:rsid w:val="00983296"/>
    <w:rsid w:val="009834B0"/>
    <w:rsid w:val="0098357A"/>
    <w:rsid w:val="00983A6F"/>
    <w:rsid w:val="00983CB5"/>
    <w:rsid w:val="00983D3A"/>
    <w:rsid w:val="00983F72"/>
    <w:rsid w:val="00984246"/>
    <w:rsid w:val="009845FD"/>
    <w:rsid w:val="0098468F"/>
    <w:rsid w:val="00984708"/>
    <w:rsid w:val="00984C1D"/>
    <w:rsid w:val="00984C47"/>
    <w:rsid w:val="00984E2D"/>
    <w:rsid w:val="009850FF"/>
    <w:rsid w:val="009854F4"/>
    <w:rsid w:val="009854F5"/>
    <w:rsid w:val="00985637"/>
    <w:rsid w:val="00985831"/>
    <w:rsid w:val="0098586F"/>
    <w:rsid w:val="009859B5"/>
    <w:rsid w:val="00985A21"/>
    <w:rsid w:val="00985FDD"/>
    <w:rsid w:val="00986115"/>
    <w:rsid w:val="0098623C"/>
    <w:rsid w:val="009863F1"/>
    <w:rsid w:val="00986B48"/>
    <w:rsid w:val="00986CF5"/>
    <w:rsid w:val="00986E10"/>
    <w:rsid w:val="00986E75"/>
    <w:rsid w:val="00986EAA"/>
    <w:rsid w:val="0098718F"/>
    <w:rsid w:val="00987214"/>
    <w:rsid w:val="00987290"/>
    <w:rsid w:val="009874E9"/>
    <w:rsid w:val="0098792D"/>
    <w:rsid w:val="009879F0"/>
    <w:rsid w:val="009879F5"/>
    <w:rsid w:val="00987AE7"/>
    <w:rsid w:val="00987F56"/>
    <w:rsid w:val="00990135"/>
    <w:rsid w:val="0099039B"/>
    <w:rsid w:val="0099042C"/>
    <w:rsid w:val="0099082E"/>
    <w:rsid w:val="00990923"/>
    <w:rsid w:val="00990C3C"/>
    <w:rsid w:val="00990D6A"/>
    <w:rsid w:val="00990E1E"/>
    <w:rsid w:val="00990F2D"/>
    <w:rsid w:val="00990F80"/>
    <w:rsid w:val="00990F81"/>
    <w:rsid w:val="009912C6"/>
    <w:rsid w:val="00991996"/>
    <w:rsid w:val="00991B0E"/>
    <w:rsid w:val="00991C71"/>
    <w:rsid w:val="00991CA9"/>
    <w:rsid w:val="00991D5A"/>
    <w:rsid w:val="00991DE5"/>
    <w:rsid w:val="00991E68"/>
    <w:rsid w:val="00991FCD"/>
    <w:rsid w:val="00992529"/>
    <w:rsid w:val="00992A14"/>
    <w:rsid w:val="00992E0F"/>
    <w:rsid w:val="00993049"/>
    <w:rsid w:val="00993156"/>
    <w:rsid w:val="00993158"/>
    <w:rsid w:val="009935CE"/>
    <w:rsid w:val="00993626"/>
    <w:rsid w:val="0099363F"/>
    <w:rsid w:val="009939FF"/>
    <w:rsid w:val="00994014"/>
    <w:rsid w:val="009942E8"/>
    <w:rsid w:val="00994431"/>
    <w:rsid w:val="00994903"/>
    <w:rsid w:val="0099499D"/>
    <w:rsid w:val="00994C51"/>
    <w:rsid w:val="00994DDB"/>
    <w:rsid w:val="00994F0A"/>
    <w:rsid w:val="00994FFB"/>
    <w:rsid w:val="009953FE"/>
    <w:rsid w:val="009954DC"/>
    <w:rsid w:val="0099569D"/>
    <w:rsid w:val="0099576F"/>
    <w:rsid w:val="00995ABD"/>
    <w:rsid w:val="00995CCB"/>
    <w:rsid w:val="00995FB6"/>
    <w:rsid w:val="0099605B"/>
    <w:rsid w:val="0099610D"/>
    <w:rsid w:val="009961AC"/>
    <w:rsid w:val="009969DF"/>
    <w:rsid w:val="00996A19"/>
    <w:rsid w:val="00996B45"/>
    <w:rsid w:val="00996BA9"/>
    <w:rsid w:val="00996ED7"/>
    <w:rsid w:val="00996F4F"/>
    <w:rsid w:val="00996F6C"/>
    <w:rsid w:val="0099710B"/>
    <w:rsid w:val="009973AF"/>
    <w:rsid w:val="00997636"/>
    <w:rsid w:val="009976CC"/>
    <w:rsid w:val="009A02DD"/>
    <w:rsid w:val="009A056A"/>
    <w:rsid w:val="009A06A0"/>
    <w:rsid w:val="009A0B1E"/>
    <w:rsid w:val="009A126B"/>
    <w:rsid w:val="009A14AE"/>
    <w:rsid w:val="009A1509"/>
    <w:rsid w:val="009A1764"/>
    <w:rsid w:val="009A1936"/>
    <w:rsid w:val="009A1D10"/>
    <w:rsid w:val="009A1DDA"/>
    <w:rsid w:val="009A262A"/>
    <w:rsid w:val="009A2635"/>
    <w:rsid w:val="009A2916"/>
    <w:rsid w:val="009A2950"/>
    <w:rsid w:val="009A2A86"/>
    <w:rsid w:val="009A2E16"/>
    <w:rsid w:val="009A2EB5"/>
    <w:rsid w:val="009A2ED0"/>
    <w:rsid w:val="009A3024"/>
    <w:rsid w:val="009A3410"/>
    <w:rsid w:val="009A3F9F"/>
    <w:rsid w:val="009A3FE3"/>
    <w:rsid w:val="009A4551"/>
    <w:rsid w:val="009A46C2"/>
    <w:rsid w:val="009A471B"/>
    <w:rsid w:val="009A4A48"/>
    <w:rsid w:val="009A4A91"/>
    <w:rsid w:val="009A4D11"/>
    <w:rsid w:val="009A4EF3"/>
    <w:rsid w:val="009A557A"/>
    <w:rsid w:val="009A598A"/>
    <w:rsid w:val="009A5EB1"/>
    <w:rsid w:val="009A606F"/>
    <w:rsid w:val="009A625F"/>
    <w:rsid w:val="009A63D1"/>
    <w:rsid w:val="009A6410"/>
    <w:rsid w:val="009A67A5"/>
    <w:rsid w:val="009A68D6"/>
    <w:rsid w:val="009A6C89"/>
    <w:rsid w:val="009A6EAB"/>
    <w:rsid w:val="009A6F3E"/>
    <w:rsid w:val="009A6F47"/>
    <w:rsid w:val="009A7054"/>
    <w:rsid w:val="009A70B6"/>
    <w:rsid w:val="009A791D"/>
    <w:rsid w:val="009A7D23"/>
    <w:rsid w:val="009A7D4A"/>
    <w:rsid w:val="009A7DE8"/>
    <w:rsid w:val="009B0341"/>
    <w:rsid w:val="009B048A"/>
    <w:rsid w:val="009B0C77"/>
    <w:rsid w:val="009B1283"/>
    <w:rsid w:val="009B17ED"/>
    <w:rsid w:val="009B18BE"/>
    <w:rsid w:val="009B1A76"/>
    <w:rsid w:val="009B1CE8"/>
    <w:rsid w:val="009B2143"/>
    <w:rsid w:val="009B266B"/>
    <w:rsid w:val="009B272E"/>
    <w:rsid w:val="009B2812"/>
    <w:rsid w:val="009B2898"/>
    <w:rsid w:val="009B2AA0"/>
    <w:rsid w:val="009B33EF"/>
    <w:rsid w:val="009B35F3"/>
    <w:rsid w:val="009B3BCC"/>
    <w:rsid w:val="009B3BD3"/>
    <w:rsid w:val="009B3C83"/>
    <w:rsid w:val="009B3E90"/>
    <w:rsid w:val="009B4129"/>
    <w:rsid w:val="009B4C88"/>
    <w:rsid w:val="009B4D9E"/>
    <w:rsid w:val="009B5344"/>
    <w:rsid w:val="009B5980"/>
    <w:rsid w:val="009B5A9B"/>
    <w:rsid w:val="009B5CB0"/>
    <w:rsid w:val="009B61E0"/>
    <w:rsid w:val="009B6214"/>
    <w:rsid w:val="009B663D"/>
    <w:rsid w:val="009B6742"/>
    <w:rsid w:val="009B6888"/>
    <w:rsid w:val="009B6910"/>
    <w:rsid w:val="009B6A98"/>
    <w:rsid w:val="009B7071"/>
    <w:rsid w:val="009B76DD"/>
    <w:rsid w:val="009B7887"/>
    <w:rsid w:val="009B79DF"/>
    <w:rsid w:val="009B7C82"/>
    <w:rsid w:val="009B7DD7"/>
    <w:rsid w:val="009C01A0"/>
    <w:rsid w:val="009C0507"/>
    <w:rsid w:val="009C0598"/>
    <w:rsid w:val="009C05CE"/>
    <w:rsid w:val="009C0863"/>
    <w:rsid w:val="009C1007"/>
    <w:rsid w:val="009C11B8"/>
    <w:rsid w:val="009C12C7"/>
    <w:rsid w:val="009C1387"/>
    <w:rsid w:val="009C1490"/>
    <w:rsid w:val="009C15B5"/>
    <w:rsid w:val="009C160C"/>
    <w:rsid w:val="009C1780"/>
    <w:rsid w:val="009C188A"/>
    <w:rsid w:val="009C1A70"/>
    <w:rsid w:val="009C1A8F"/>
    <w:rsid w:val="009C1B18"/>
    <w:rsid w:val="009C2122"/>
    <w:rsid w:val="009C23BA"/>
    <w:rsid w:val="009C26A9"/>
    <w:rsid w:val="009C26DD"/>
    <w:rsid w:val="009C2AA4"/>
    <w:rsid w:val="009C3474"/>
    <w:rsid w:val="009C3615"/>
    <w:rsid w:val="009C3829"/>
    <w:rsid w:val="009C3AE2"/>
    <w:rsid w:val="009C4097"/>
    <w:rsid w:val="009C413E"/>
    <w:rsid w:val="009C4195"/>
    <w:rsid w:val="009C41C8"/>
    <w:rsid w:val="009C4453"/>
    <w:rsid w:val="009C4516"/>
    <w:rsid w:val="009C4520"/>
    <w:rsid w:val="009C459E"/>
    <w:rsid w:val="009C4736"/>
    <w:rsid w:val="009C478A"/>
    <w:rsid w:val="009C4892"/>
    <w:rsid w:val="009C50D9"/>
    <w:rsid w:val="009C50DC"/>
    <w:rsid w:val="009C562E"/>
    <w:rsid w:val="009C564D"/>
    <w:rsid w:val="009C598B"/>
    <w:rsid w:val="009C5CA1"/>
    <w:rsid w:val="009C602A"/>
    <w:rsid w:val="009C6235"/>
    <w:rsid w:val="009C6377"/>
    <w:rsid w:val="009C673A"/>
    <w:rsid w:val="009C6B94"/>
    <w:rsid w:val="009C730B"/>
    <w:rsid w:val="009C76B1"/>
    <w:rsid w:val="009C76FB"/>
    <w:rsid w:val="009C7894"/>
    <w:rsid w:val="009C7DC3"/>
    <w:rsid w:val="009D04AD"/>
    <w:rsid w:val="009D12A7"/>
    <w:rsid w:val="009D1361"/>
    <w:rsid w:val="009D13FF"/>
    <w:rsid w:val="009D140B"/>
    <w:rsid w:val="009D1471"/>
    <w:rsid w:val="009D14D0"/>
    <w:rsid w:val="009D173F"/>
    <w:rsid w:val="009D1969"/>
    <w:rsid w:val="009D1C8F"/>
    <w:rsid w:val="009D1D2A"/>
    <w:rsid w:val="009D1E7C"/>
    <w:rsid w:val="009D20E3"/>
    <w:rsid w:val="009D2276"/>
    <w:rsid w:val="009D2621"/>
    <w:rsid w:val="009D2669"/>
    <w:rsid w:val="009D2CD3"/>
    <w:rsid w:val="009D2DCA"/>
    <w:rsid w:val="009D3074"/>
    <w:rsid w:val="009D3200"/>
    <w:rsid w:val="009D32B4"/>
    <w:rsid w:val="009D32E6"/>
    <w:rsid w:val="009D34FB"/>
    <w:rsid w:val="009D358E"/>
    <w:rsid w:val="009D38A3"/>
    <w:rsid w:val="009D38B6"/>
    <w:rsid w:val="009D3916"/>
    <w:rsid w:val="009D44D8"/>
    <w:rsid w:val="009D457B"/>
    <w:rsid w:val="009D4B0F"/>
    <w:rsid w:val="009D5259"/>
    <w:rsid w:val="009D5599"/>
    <w:rsid w:val="009D5948"/>
    <w:rsid w:val="009D5B1E"/>
    <w:rsid w:val="009D5D3C"/>
    <w:rsid w:val="009D5DDA"/>
    <w:rsid w:val="009D5E09"/>
    <w:rsid w:val="009D5FC5"/>
    <w:rsid w:val="009D6096"/>
    <w:rsid w:val="009D63E0"/>
    <w:rsid w:val="009D678A"/>
    <w:rsid w:val="009D690B"/>
    <w:rsid w:val="009D692A"/>
    <w:rsid w:val="009D6C7A"/>
    <w:rsid w:val="009D74F5"/>
    <w:rsid w:val="009D7514"/>
    <w:rsid w:val="009D77CB"/>
    <w:rsid w:val="009E01C3"/>
    <w:rsid w:val="009E050B"/>
    <w:rsid w:val="009E0539"/>
    <w:rsid w:val="009E0619"/>
    <w:rsid w:val="009E0634"/>
    <w:rsid w:val="009E094C"/>
    <w:rsid w:val="009E097E"/>
    <w:rsid w:val="009E09A6"/>
    <w:rsid w:val="009E0A39"/>
    <w:rsid w:val="009E0B4A"/>
    <w:rsid w:val="009E0DBD"/>
    <w:rsid w:val="009E0FE7"/>
    <w:rsid w:val="009E10D8"/>
    <w:rsid w:val="009E11C6"/>
    <w:rsid w:val="009E123C"/>
    <w:rsid w:val="009E1399"/>
    <w:rsid w:val="009E1576"/>
    <w:rsid w:val="009E161B"/>
    <w:rsid w:val="009E1792"/>
    <w:rsid w:val="009E1BEE"/>
    <w:rsid w:val="009E27E7"/>
    <w:rsid w:val="009E327D"/>
    <w:rsid w:val="009E3449"/>
    <w:rsid w:val="009E35CE"/>
    <w:rsid w:val="009E3FA6"/>
    <w:rsid w:val="009E42B3"/>
    <w:rsid w:val="009E42B8"/>
    <w:rsid w:val="009E445A"/>
    <w:rsid w:val="009E467E"/>
    <w:rsid w:val="009E47F3"/>
    <w:rsid w:val="009E4A7E"/>
    <w:rsid w:val="009E4B8A"/>
    <w:rsid w:val="009E4DBF"/>
    <w:rsid w:val="009E4F9B"/>
    <w:rsid w:val="009E51FD"/>
    <w:rsid w:val="009E543B"/>
    <w:rsid w:val="009E573C"/>
    <w:rsid w:val="009E5BEC"/>
    <w:rsid w:val="009E5F63"/>
    <w:rsid w:val="009E60E0"/>
    <w:rsid w:val="009E6372"/>
    <w:rsid w:val="009E6471"/>
    <w:rsid w:val="009E64E7"/>
    <w:rsid w:val="009E67AA"/>
    <w:rsid w:val="009E6933"/>
    <w:rsid w:val="009E6CC4"/>
    <w:rsid w:val="009E6D32"/>
    <w:rsid w:val="009E72C4"/>
    <w:rsid w:val="009E7A30"/>
    <w:rsid w:val="009E7B4F"/>
    <w:rsid w:val="009E7D97"/>
    <w:rsid w:val="009E7E4D"/>
    <w:rsid w:val="009F00FD"/>
    <w:rsid w:val="009F01FB"/>
    <w:rsid w:val="009F02A6"/>
    <w:rsid w:val="009F04FC"/>
    <w:rsid w:val="009F05DD"/>
    <w:rsid w:val="009F096A"/>
    <w:rsid w:val="009F0A77"/>
    <w:rsid w:val="009F0C92"/>
    <w:rsid w:val="009F0EB8"/>
    <w:rsid w:val="009F0FBF"/>
    <w:rsid w:val="009F0FE3"/>
    <w:rsid w:val="009F1205"/>
    <w:rsid w:val="009F1424"/>
    <w:rsid w:val="009F158A"/>
    <w:rsid w:val="009F159D"/>
    <w:rsid w:val="009F1900"/>
    <w:rsid w:val="009F1911"/>
    <w:rsid w:val="009F1D5D"/>
    <w:rsid w:val="009F1E0E"/>
    <w:rsid w:val="009F1EC1"/>
    <w:rsid w:val="009F23B6"/>
    <w:rsid w:val="009F2414"/>
    <w:rsid w:val="009F2C08"/>
    <w:rsid w:val="009F34AC"/>
    <w:rsid w:val="009F34C4"/>
    <w:rsid w:val="009F3A0A"/>
    <w:rsid w:val="009F3A29"/>
    <w:rsid w:val="009F3AAC"/>
    <w:rsid w:val="009F448B"/>
    <w:rsid w:val="009F4651"/>
    <w:rsid w:val="009F48B9"/>
    <w:rsid w:val="009F494F"/>
    <w:rsid w:val="009F4CEE"/>
    <w:rsid w:val="009F509C"/>
    <w:rsid w:val="009F5230"/>
    <w:rsid w:val="009F5386"/>
    <w:rsid w:val="009F54DE"/>
    <w:rsid w:val="009F55F4"/>
    <w:rsid w:val="009F576F"/>
    <w:rsid w:val="009F57DF"/>
    <w:rsid w:val="009F5DE2"/>
    <w:rsid w:val="009F5FB3"/>
    <w:rsid w:val="009F6181"/>
    <w:rsid w:val="009F6413"/>
    <w:rsid w:val="009F647C"/>
    <w:rsid w:val="009F64C9"/>
    <w:rsid w:val="009F66C2"/>
    <w:rsid w:val="009F6D46"/>
    <w:rsid w:val="009F7021"/>
    <w:rsid w:val="009F72D8"/>
    <w:rsid w:val="009F79D0"/>
    <w:rsid w:val="009F7B6B"/>
    <w:rsid w:val="009F7C52"/>
    <w:rsid w:val="009F7D2B"/>
    <w:rsid w:val="00A00212"/>
    <w:rsid w:val="00A003C6"/>
    <w:rsid w:val="00A00403"/>
    <w:rsid w:val="00A0042C"/>
    <w:rsid w:val="00A0052A"/>
    <w:rsid w:val="00A008FE"/>
    <w:rsid w:val="00A00E38"/>
    <w:rsid w:val="00A00F19"/>
    <w:rsid w:val="00A0109C"/>
    <w:rsid w:val="00A010D5"/>
    <w:rsid w:val="00A0141C"/>
    <w:rsid w:val="00A0167D"/>
    <w:rsid w:val="00A01AE9"/>
    <w:rsid w:val="00A01E8E"/>
    <w:rsid w:val="00A02226"/>
    <w:rsid w:val="00A02557"/>
    <w:rsid w:val="00A0266F"/>
    <w:rsid w:val="00A02961"/>
    <w:rsid w:val="00A02B16"/>
    <w:rsid w:val="00A02B63"/>
    <w:rsid w:val="00A02BD1"/>
    <w:rsid w:val="00A02CE6"/>
    <w:rsid w:val="00A03253"/>
    <w:rsid w:val="00A034A8"/>
    <w:rsid w:val="00A034D9"/>
    <w:rsid w:val="00A0352F"/>
    <w:rsid w:val="00A037AD"/>
    <w:rsid w:val="00A03B3C"/>
    <w:rsid w:val="00A03B61"/>
    <w:rsid w:val="00A03F17"/>
    <w:rsid w:val="00A042C9"/>
    <w:rsid w:val="00A044ED"/>
    <w:rsid w:val="00A0464B"/>
    <w:rsid w:val="00A047BB"/>
    <w:rsid w:val="00A0495A"/>
    <w:rsid w:val="00A04AE8"/>
    <w:rsid w:val="00A04C47"/>
    <w:rsid w:val="00A04CA2"/>
    <w:rsid w:val="00A04CDD"/>
    <w:rsid w:val="00A04E32"/>
    <w:rsid w:val="00A04EBC"/>
    <w:rsid w:val="00A0511E"/>
    <w:rsid w:val="00A05414"/>
    <w:rsid w:val="00A05536"/>
    <w:rsid w:val="00A05A2A"/>
    <w:rsid w:val="00A05D1B"/>
    <w:rsid w:val="00A05EAC"/>
    <w:rsid w:val="00A05F2B"/>
    <w:rsid w:val="00A061B8"/>
    <w:rsid w:val="00A061D0"/>
    <w:rsid w:val="00A066D2"/>
    <w:rsid w:val="00A06B15"/>
    <w:rsid w:val="00A06B22"/>
    <w:rsid w:val="00A07148"/>
    <w:rsid w:val="00A07362"/>
    <w:rsid w:val="00A074FD"/>
    <w:rsid w:val="00A077F9"/>
    <w:rsid w:val="00A07B11"/>
    <w:rsid w:val="00A07DE9"/>
    <w:rsid w:val="00A07E36"/>
    <w:rsid w:val="00A07FDC"/>
    <w:rsid w:val="00A101C3"/>
    <w:rsid w:val="00A10384"/>
    <w:rsid w:val="00A1040C"/>
    <w:rsid w:val="00A10596"/>
    <w:rsid w:val="00A1060D"/>
    <w:rsid w:val="00A107CE"/>
    <w:rsid w:val="00A107E0"/>
    <w:rsid w:val="00A109F5"/>
    <w:rsid w:val="00A10FD2"/>
    <w:rsid w:val="00A11042"/>
    <w:rsid w:val="00A110AA"/>
    <w:rsid w:val="00A11361"/>
    <w:rsid w:val="00A113A9"/>
    <w:rsid w:val="00A117E2"/>
    <w:rsid w:val="00A11D83"/>
    <w:rsid w:val="00A1214B"/>
    <w:rsid w:val="00A1214E"/>
    <w:rsid w:val="00A12363"/>
    <w:rsid w:val="00A12408"/>
    <w:rsid w:val="00A12704"/>
    <w:rsid w:val="00A127E1"/>
    <w:rsid w:val="00A12BC9"/>
    <w:rsid w:val="00A1301C"/>
    <w:rsid w:val="00A13087"/>
    <w:rsid w:val="00A13123"/>
    <w:rsid w:val="00A13298"/>
    <w:rsid w:val="00A13350"/>
    <w:rsid w:val="00A13959"/>
    <w:rsid w:val="00A13A22"/>
    <w:rsid w:val="00A13B30"/>
    <w:rsid w:val="00A13C81"/>
    <w:rsid w:val="00A143A2"/>
    <w:rsid w:val="00A149F9"/>
    <w:rsid w:val="00A14A75"/>
    <w:rsid w:val="00A14ABA"/>
    <w:rsid w:val="00A14AE4"/>
    <w:rsid w:val="00A14C9D"/>
    <w:rsid w:val="00A14CF2"/>
    <w:rsid w:val="00A14D9A"/>
    <w:rsid w:val="00A14FC2"/>
    <w:rsid w:val="00A1508C"/>
    <w:rsid w:val="00A150AB"/>
    <w:rsid w:val="00A1539D"/>
    <w:rsid w:val="00A1558E"/>
    <w:rsid w:val="00A15A4A"/>
    <w:rsid w:val="00A15AFC"/>
    <w:rsid w:val="00A15C00"/>
    <w:rsid w:val="00A15C88"/>
    <w:rsid w:val="00A15E3F"/>
    <w:rsid w:val="00A15F03"/>
    <w:rsid w:val="00A16096"/>
    <w:rsid w:val="00A165A8"/>
    <w:rsid w:val="00A16AC9"/>
    <w:rsid w:val="00A16E97"/>
    <w:rsid w:val="00A16F70"/>
    <w:rsid w:val="00A17280"/>
    <w:rsid w:val="00A1753D"/>
    <w:rsid w:val="00A17864"/>
    <w:rsid w:val="00A1788D"/>
    <w:rsid w:val="00A17C76"/>
    <w:rsid w:val="00A17E65"/>
    <w:rsid w:val="00A17E74"/>
    <w:rsid w:val="00A17E83"/>
    <w:rsid w:val="00A2050F"/>
    <w:rsid w:val="00A20694"/>
    <w:rsid w:val="00A207F7"/>
    <w:rsid w:val="00A20A8D"/>
    <w:rsid w:val="00A20B04"/>
    <w:rsid w:val="00A2105D"/>
    <w:rsid w:val="00A21258"/>
    <w:rsid w:val="00A21395"/>
    <w:rsid w:val="00A21488"/>
    <w:rsid w:val="00A215FD"/>
    <w:rsid w:val="00A216E5"/>
    <w:rsid w:val="00A216F4"/>
    <w:rsid w:val="00A217C4"/>
    <w:rsid w:val="00A21D8B"/>
    <w:rsid w:val="00A220DF"/>
    <w:rsid w:val="00A222AC"/>
    <w:rsid w:val="00A222B9"/>
    <w:rsid w:val="00A227B5"/>
    <w:rsid w:val="00A22AAF"/>
    <w:rsid w:val="00A22C04"/>
    <w:rsid w:val="00A22CB6"/>
    <w:rsid w:val="00A22DFD"/>
    <w:rsid w:val="00A22F9F"/>
    <w:rsid w:val="00A22FCB"/>
    <w:rsid w:val="00A23B26"/>
    <w:rsid w:val="00A23EE1"/>
    <w:rsid w:val="00A23EF0"/>
    <w:rsid w:val="00A23F8C"/>
    <w:rsid w:val="00A23FFB"/>
    <w:rsid w:val="00A24222"/>
    <w:rsid w:val="00A2431F"/>
    <w:rsid w:val="00A2440C"/>
    <w:rsid w:val="00A244C5"/>
    <w:rsid w:val="00A2462D"/>
    <w:rsid w:val="00A24776"/>
    <w:rsid w:val="00A24932"/>
    <w:rsid w:val="00A24A1C"/>
    <w:rsid w:val="00A24C94"/>
    <w:rsid w:val="00A24C9D"/>
    <w:rsid w:val="00A24CF5"/>
    <w:rsid w:val="00A24CF8"/>
    <w:rsid w:val="00A25306"/>
    <w:rsid w:val="00A253D9"/>
    <w:rsid w:val="00A256F5"/>
    <w:rsid w:val="00A25BAF"/>
    <w:rsid w:val="00A2662B"/>
    <w:rsid w:val="00A267BF"/>
    <w:rsid w:val="00A26880"/>
    <w:rsid w:val="00A27555"/>
    <w:rsid w:val="00A2786D"/>
    <w:rsid w:val="00A27A3E"/>
    <w:rsid w:val="00A27AAA"/>
    <w:rsid w:val="00A27ADD"/>
    <w:rsid w:val="00A27B79"/>
    <w:rsid w:val="00A27D39"/>
    <w:rsid w:val="00A27E70"/>
    <w:rsid w:val="00A27EF7"/>
    <w:rsid w:val="00A300D2"/>
    <w:rsid w:val="00A3016A"/>
    <w:rsid w:val="00A3052C"/>
    <w:rsid w:val="00A30B95"/>
    <w:rsid w:val="00A30D9C"/>
    <w:rsid w:val="00A30DB2"/>
    <w:rsid w:val="00A30E31"/>
    <w:rsid w:val="00A310CB"/>
    <w:rsid w:val="00A3141D"/>
    <w:rsid w:val="00A31851"/>
    <w:rsid w:val="00A3241E"/>
    <w:rsid w:val="00A32703"/>
    <w:rsid w:val="00A32908"/>
    <w:rsid w:val="00A32A27"/>
    <w:rsid w:val="00A32B95"/>
    <w:rsid w:val="00A32DCF"/>
    <w:rsid w:val="00A32DDB"/>
    <w:rsid w:val="00A32DEE"/>
    <w:rsid w:val="00A32E3C"/>
    <w:rsid w:val="00A32E45"/>
    <w:rsid w:val="00A32E59"/>
    <w:rsid w:val="00A3325B"/>
    <w:rsid w:val="00A334BB"/>
    <w:rsid w:val="00A33B28"/>
    <w:rsid w:val="00A33FCD"/>
    <w:rsid w:val="00A34041"/>
    <w:rsid w:val="00A341CF"/>
    <w:rsid w:val="00A343D3"/>
    <w:rsid w:val="00A3442A"/>
    <w:rsid w:val="00A346C0"/>
    <w:rsid w:val="00A34C25"/>
    <w:rsid w:val="00A34F9B"/>
    <w:rsid w:val="00A35203"/>
    <w:rsid w:val="00A3535F"/>
    <w:rsid w:val="00A3587E"/>
    <w:rsid w:val="00A35DA8"/>
    <w:rsid w:val="00A35EEC"/>
    <w:rsid w:val="00A3639D"/>
    <w:rsid w:val="00A3646C"/>
    <w:rsid w:val="00A366B7"/>
    <w:rsid w:val="00A36795"/>
    <w:rsid w:val="00A37066"/>
    <w:rsid w:val="00A37122"/>
    <w:rsid w:val="00A37137"/>
    <w:rsid w:val="00A371F4"/>
    <w:rsid w:val="00A37267"/>
    <w:rsid w:val="00A3764D"/>
    <w:rsid w:val="00A37681"/>
    <w:rsid w:val="00A37B37"/>
    <w:rsid w:val="00A37FFB"/>
    <w:rsid w:val="00A4020D"/>
    <w:rsid w:val="00A403E5"/>
    <w:rsid w:val="00A40425"/>
    <w:rsid w:val="00A40B4E"/>
    <w:rsid w:val="00A40FAF"/>
    <w:rsid w:val="00A41073"/>
    <w:rsid w:val="00A412C7"/>
    <w:rsid w:val="00A41385"/>
    <w:rsid w:val="00A41511"/>
    <w:rsid w:val="00A41564"/>
    <w:rsid w:val="00A41BFE"/>
    <w:rsid w:val="00A41D4D"/>
    <w:rsid w:val="00A41FB6"/>
    <w:rsid w:val="00A4224A"/>
    <w:rsid w:val="00A422AC"/>
    <w:rsid w:val="00A423A4"/>
    <w:rsid w:val="00A42D45"/>
    <w:rsid w:val="00A430DA"/>
    <w:rsid w:val="00A434E3"/>
    <w:rsid w:val="00A436EE"/>
    <w:rsid w:val="00A43A29"/>
    <w:rsid w:val="00A43A6C"/>
    <w:rsid w:val="00A43EB8"/>
    <w:rsid w:val="00A43FF6"/>
    <w:rsid w:val="00A44348"/>
    <w:rsid w:val="00A44492"/>
    <w:rsid w:val="00A4450F"/>
    <w:rsid w:val="00A4498E"/>
    <w:rsid w:val="00A44B99"/>
    <w:rsid w:val="00A44C39"/>
    <w:rsid w:val="00A44C6A"/>
    <w:rsid w:val="00A44E2F"/>
    <w:rsid w:val="00A44E81"/>
    <w:rsid w:val="00A45794"/>
    <w:rsid w:val="00A45919"/>
    <w:rsid w:val="00A45A0C"/>
    <w:rsid w:val="00A45AC3"/>
    <w:rsid w:val="00A45ED7"/>
    <w:rsid w:val="00A45FDE"/>
    <w:rsid w:val="00A46020"/>
    <w:rsid w:val="00A46029"/>
    <w:rsid w:val="00A460EA"/>
    <w:rsid w:val="00A46272"/>
    <w:rsid w:val="00A463C3"/>
    <w:rsid w:val="00A46564"/>
    <w:rsid w:val="00A46934"/>
    <w:rsid w:val="00A46D84"/>
    <w:rsid w:val="00A46E96"/>
    <w:rsid w:val="00A46F18"/>
    <w:rsid w:val="00A47153"/>
    <w:rsid w:val="00A47449"/>
    <w:rsid w:val="00A474A8"/>
    <w:rsid w:val="00A4758F"/>
    <w:rsid w:val="00A4762A"/>
    <w:rsid w:val="00A477C9"/>
    <w:rsid w:val="00A47C79"/>
    <w:rsid w:val="00A47D0B"/>
    <w:rsid w:val="00A47DD1"/>
    <w:rsid w:val="00A47F5C"/>
    <w:rsid w:val="00A503E9"/>
    <w:rsid w:val="00A504CA"/>
    <w:rsid w:val="00A50616"/>
    <w:rsid w:val="00A50913"/>
    <w:rsid w:val="00A50A25"/>
    <w:rsid w:val="00A50D17"/>
    <w:rsid w:val="00A50D30"/>
    <w:rsid w:val="00A50E13"/>
    <w:rsid w:val="00A50EA7"/>
    <w:rsid w:val="00A50F18"/>
    <w:rsid w:val="00A51193"/>
    <w:rsid w:val="00A514D8"/>
    <w:rsid w:val="00A517C7"/>
    <w:rsid w:val="00A5194A"/>
    <w:rsid w:val="00A51C81"/>
    <w:rsid w:val="00A51CB6"/>
    <w:rsid w:val="00A51CC3"/>
    <w:rsid w:val="00A51E78"/>
    <w:rsid w:val="00A51F3B"/>
    <w:rsid w:val="00A52093"/>
    <w:rsid w:val="00A52864"/>
    <w:rsid w:val="00A52BA9"/>
    <w:rsid w:val="00A52C5F"/>
    <w:rsid w:val="00A52D76"/>
    <w:rsid w:val="00A52FBC"/>
    <w:rsid w:val="00A530D7"/>
    <w:rsid w:val="00A53224"/>
    <w:rsid w:val="00A5344C"/>
    <w:rsid w:val="00A53948"/>
    <w:rsid w:val="00A53DCB"/>
    <w:rsid w:val="00A53E83"/>
    <w:rsid w:val="00A5464E"/>
    <w:rsid w:val="00A547C0"/>
    <w:rsid w:val="00A547F8"/>
    <w:rsid w:val="00A54ABD"/>
    <w:rsid w:val="00A54C5C"/>
    <w:rsid w:val="00A54CF3"/>
    <w:rsid w:val="00A54D9A"/>
    <w:rsid w:val="00A54F58"/>
    <w:rsid w:val="00A5503D"/>
    <w:rsid w:val="00A550C6"/>
    <w:rsid w:val="00A5533F"/>
    <w:rsid w:val="00A55513"/>
    <w:rsid w:val="00A55692"/>
    <w:rsid w:val="00A55A8D"/>
    <w:rsid w:val="00A55ACE"/>
    <w:rsid w:val="00A55B54"/>
    <w:rsid w:val="00A55C86"/>
    <w:rsid w:val="00A55C8C"/>
    <w:rsid w:val="00A55EEF"/>
    <w:rsid w:val="00A55EFB"/>
    <w:rsid w:val="00A55F77"/>
    <w:rsid w:val="00A55FC4"/>
    <w:rsid w:val="00A56251"/>
    <w:rsid w:val="00A567DE"/>
    <w:rsid w:val="00A569B6"/>
    <w:rsid w:val="00A56AAA"/>
    <w:rsid w:val="00A56B29"/>
    <w:rsid w:val="00A56BE9"/>
    <w:rsid w:val="00A57196"/>
    <w:rsid w:val="00A574A6"/>
    <w:rsid w:val="00A57839"/>
    <w:rsid w:val="00A600B4"/>
    <w:rsid w:val="00A60811"/>
    <w:rsid w:val="00A60D5A"/>
    <w:rsid w:val="00A615FF"/>
    <w:rsid w:val="00A61631"/>
    <w:rsid w:val="00A618DF"/>
    <w:rsid w:val="00A619B9"/>
    <w:rsid w:val="00A61C6F"/>
    <w:rsid w:val="00A61D5B"/>
    <w:rsid w:val="00A61F41"/>
    <w:rsid w:val="00A61F50"/>
    <w:rsid w:val="00A6229E"/>
    <w:rsid w:val="00A62A2A"/>
    <w:rsid w:val="00A62C64"/>
    <w:rsid w:val="00A62E19"/>
    <w:rsid w:val="00A62EFA"/>
    <w:rsid w:val="00A63062"/>
    <w:rsid w:val="00A631B6"/>
    <w:rsid w:val="00A631CB"/>
    <w:rsid w:val="00A6330F"/>
    <w:rsid w:val="00A636F4"/>
    <w:rsid w:val="00A638C1"/>
    <w:rsid w:val="00A6392A"/>
    <w:rsid w:val="00A63CAE"/>
    <w:rsid w:val="00A64100"/>
    <w:rsid w:val="00A6419B"/>
    <w:rsid w:val="00A641CB"/>
    <w:rsid w:val="00A6435C"/>
    <w:rsid w:val="00A643D0"/>
    <w:rsid w:val="00A6452F"/>
    <w:rsid w:val="00A645D1"/>
    <w:rsid w:val="00A6467B"/>
    <w:rsid w:val="00A6468F"/>
    <w:rsid w:val="00A64794"/>
    <w:rsid w:val="00A647F7"/>
    <w:rsid w:val="00A64819"/>
    <w:rsid w:val="00A64AFF"/>
    <w:rsid w:val="00A64BFE"/>
    <w:rsid w:val="00A64C7D"/>
    <w:rsid w:val="00A65084"/>
    <w:rsid w:val="00A65187"/>
    <w:rsid w:val="00A653A9"/>
    <w:rsid w:val="00A6595D"/>
    <w:rsid w:val="00A66194"/>
    <w:rsid w:val="00A66CC8"/>
    <w:rsid w:val="00A66D62"/>
    <w:rsid w:val="00A66E7A"/>
    <w:rsid w:val="00A66F60"/>
    <w:rsid w:val="00A671A8"/>
    <w:rsid w:val="00A673AD"/>
    <w:rsid w:val="00A6745D"/>
    <w:rsid w:val="00A67702"/>
    <w:rsid w:val="00A679A9"/>
    <w:rsid w:val="00A67B3F"/>
    <w:rsid w:val="00A67D41"/>
    <w:rsid w:val="00A67F6A"/>
    <w:rsid w:val="00A700E9"/>
    <w:rsid w:val="00A70285"/>
    <w:rsid w:val="00A706A3"/>
    <w:rsid w:val="00A706E4"/>
    <w:rsid w:val="00A708EB"/>
    <w:rsid w:val="00A70B20"/>
    <w:rsid w:val="00A713F4"/>
    <w:rsid w:val="00A71758"/>
    <w:rsid w:val="00A719CE"/>
    <w:rsid w:val="00A71A8C"/>
    <w:rsid w:val="00A71DF1"/>
    <w:rsid w:val="00A723D2"/>
    <w:rsid w:val="00A72627"/>
    <w:rsid w:val="00A72859"/>
    <w:rsid w:val="00A730F8"/>
    <w:rsid w:val="00A731FE"/>
    <w:rsid w:val="00A7392F"/>
    <w:rsid w:val="00A73A92"/>
    <w:rsid w:val="00A73CA2"/>
    <w:rsid w:val="00A74688"/>
    <w:rsid w:val="00A74689"/>
    <w:rsid w:val="00A747EF"/>
    <w:rsid w:val="00A7482A"/>
    <w:rsid w:val="00A74989"/>
    <w:rsid w:val="00A74C57"/>
    <w:rsid w:val="00A74E67"/>
    <w:rsid w:val="00A75121"/>
    <w:rsid w:val="00A75180"/>
    <w:rsid w:val="00A751BB"/>
    <w:rsid w:val="00A756E5"/>
    <w:rsid w:val="00A761A2"/>
    <w:rsid w:val="00A76427"/>
    <w:rsid w:val="00A767D8"/>
    <w:rsid w:val="00A7692D"/>
    <w:rsid w:val="00A76A86"/>
    <w:rsid w:val="00A76BDC"/>
    <w:rsid w:val="00A76CA5"/>
    <w:rsid w:val="00A76ED3"/>
    <w:rsid w:val="00A7714E"/>
    <w:rsid w:val="00A7739B"/>
    <w:rsid w:val="00A77424"/>
    <w:rsid w:val="00A774C4"/>
    <w:rsid w:val="00A77556"/>
    <w:rsid w:val="00A778B7"/>
    <w:rsid w:val="00A77A8D"/>
    <w:rsid w:val="00A77D12"/>
    <w:rsid w:val="00A77D56"/>
    <w:rsid w:val="00A77D92"/>
    <w:rsid w:val="00A77EE2"/>
    <w:rsid w:val="00A77F3C"/>
    <w:rsid w:val="00A77FCE"/>
    <w:rsid w:val="00A8039E"/>
    <w:rsid w:val="00A8045E"/>
    <w:rsid w:val="00A8050D"/>
    <w:rsid w:val="00A810D2"/>
    <w:rsid w:val="00A8114B"/>
    <w:rsid w:val="00A81364"/>
    <w:rsid w:val="00A81B3D"/>
    <w:rsid w:val="00A81F73"/>
    <w:rsid w:val="00A82003"/>
    <w:rsid w:val="00A82790"/>
    <w:rsid w:val="00A82AC9"/>
    <w:rsid w:val="00A82EF5"/>
    <w:rsid w:val="00A83412"/>
    <w:rsid w:val="00A8353D"/>
    <w:rsid w:val="00A837B2"/>
    <w:rsid w:val="00A8397C"/>
    <w:rsid w:val="00A83D46"/>
    <w:rsid w:val="00A84179"/>
    <w:rsid w:val="00A841A0"/>
    <w:rsid w:val="00A842A0"/>
    <w:rsid w:val="00A84735"/>
    <w:rsid w:val="00A847A7"/>
    <w:rsid w:val="00A847B3"/>
    <w:rsid w:val="00A84FF2"/>
    <w:rsid w:val="00A8540F"/>
    <w:rsid w:val="00A85480"/>
    <w:rsid w:val="00A85894"/>
    <w:rsid w:val="00A859EC"/>
    <w:rsid w:val="00A85B1A"/>
    <w:rsid w:val="00A85B90"/>
    <w:rsid w:val="00A85C0D"/>
    <w:rsid w:val="00A85E38"/>
    <w:rsid w:val="00A85E70"/>
    <w:rsid w:val="00A85EA0"/>
    <w:rsid w:val="00A862A5"/>
    <w:rsid w:val="00A86626"/>
    <w:rsid w:val="00A86A2B"/>
    <w:rsid w:val="00A86BAB"/>
    <w:rsid w:val="00A86BBA"/>
    <w:rsid w:val="00A86FB8"/>
    <w:rsid w:val="00A871E4"/>
    <w:rsid w:val="00A872D7"/>
    <w:rsid w:val="00A877E6"/>
    <w:rsid w:val="00A87862"/>
    <w:rsid w:val="00A87B6B"/>
    <w:rsid w:val="00A87BE3"/>
    <w:rsid w:val="00A87D58"/>
    <w:rsid w:val="00A900B5"/>
    <w:rsid w:val="00A90449"/>
    <w:rsid w:val="00A904BF"/>
    <w:rsid w:val="00A90593"/>
    <w:rsid w:val="00A907B4"/>
    <w:rsid w:val="00A90817"/>
    <w:rsid w:val="00A90B27"/>
    <w:rsid w:val="00A90C2C"/>
    <w:rsid w:val="00A911A1"/>
    <w:rsid w:val="00A914ED"/>
    <w:rsid w:val="00A9169D"/>
    <w:rsid w:val="00A9195D"/>
    <w:rsid w:val="00A91CD5"/>
    <w:rsid w:val="00A91D59"/>
    <w:rsid w:val="00A91E8D"/>
    <w:rsid w:val="00A92265"/>
    <w:rsid w:val="00A92310"/>
    <w:rsid w:val="00A923AE"/>
    <w:rsid w:val="00A92508"/>
    <w:rsid w:val="00A926B1"/>
    <w:rsid w:val="00A926CE"/>
    <w:rsid w:val="00A9279E"/>
    <w:rsid w:val="00A92968"/>
    <w:rsid w:val="00A929E8"/>
    <w:rsid w:val="00A92C05"/>
    <w:rsid w:val="00A92D73"/>
    <w:rsid w:val="00A93187"/>
    <w:rsid w:val="00A932D9"/>
    <w:rsid w:val="00A936A5"/>
    <w:rsid w:val="00A937FA"/>
    <w:rsid w:val="00A93A6A"/>
    <w:rsid w:val="00A93AB7"/>
    <w:rsid w:val="00A93E58"/>
    <w:rsid w:val="00A9401D"/>
    <w:rsid w:val="00A9411C"/>
    <w:rsid w:val="00A9428C"/>
    <w:rsid w:val="00A942D4"/>
    <w:rsid w:val="00A946AE"/>
    <w:rsid w:val="00A94907"/>
    <w:rsid w:val="00A94DCF"/>
    <w:rsid w:val="00A9516E"/>
    <w:rsid w:val="00A952E9"/>
    <w:rsid w:val="00A953D5"/>
    <w:rsid w:val="00A954E7"/>
    <w:rsid w:val="00A955AF"/>
    <w:rsid w:val="00A9580E"/>
    <w:rsid w:val="00A95821"/>
    <w:rsid w:val="00A95DD5"/>
    <w:rsid w:val="00A96014"/>
    <w:rsid w:val="00A96168"/>
    <w:rsid w:val="00A9616A"/>
    <w:rsid w:val="00A9626B"/>
    <w:rsid w:val="00A963E0"/>
    <w:rsid w:val="00A9684B"/>
    <w:rsid w:val="00A968EC"/>
    <w:rsid w:val="00A969C5"/>
    <w:rsid w:val="00A975FA"/>
    <w:rsid w:val="00A976BD"/>
    <w:rsid w:val="00A97AA2"/>
    <w:rsid w:val="00A97AC4"/>
    <w:rsid w:val="00A97CBB"/>
    <w:rsid w:val="00A97F98"/>
    <w:rsid w:val="00AA03F6"/>
    <w:rsid w:val="00AA07A2"/>
    <w:rsid w:val="00AA0A10"/>
    <w:rsid w:val="00AA0CE9"/>
    <w:rsid w:val="00AA0E6E"/>
    <w:rsid w:val="00AA1084"/>
    <w:rsid w:val="00AA1166"/>
    <w:rsid w:val="00AA1484"/>
    <w:rsid w:val="00AA16CE"/>
    <w:rsid w:val="00AA174F"/>
    <w:rsid w:val="00AA1971"/>
    <w:rsid w:val="00AA1AC2"/>
    <w:rsid w:val="00AA2243"/>
    <w:rsid w:val="00AA2404"/>
    <w:rsid w:val="00AA2A7D"/>
    <w:rsid w:val="00AA2F1F"/>
    <w:rsid w:val="00AA324C"/>
    <w:rsid w:val="00AA34F8"/>
    <w:rsid w:val="00AA379B"/>
    <w:rsid w:val="00AA39CE"/>
    <w:rsid w:val="00AA3BFB"/>
    <w:rsid w:val="00AA3DCD"/>
    <w:rsid w:val="00AA454F"/>
    <w:rsid w:val="00AA463A"/>
    <w:rsid w:val="00AA4922"/>
    <w:rsid w:val="00AA4AD0"/>
    <w:rsid w:val="00AA4B0B"/>
    <w:rsid w:val="00AA4B5C"/>
    <w:rsid w:val="00AA4E9A"/>
    <w:rsid w:val="00AA514C"/>
    <w:rsid w:val="00AA5229"/>
    <w:rsid w:val="00AA5272"/>
    <w:rsid w:val="00AA5292"/>
    <w:rsid w:val="00AA548E"/>
    <w:rsid w:val="00AA55C8"/>
    <w:rsid w:val="00AA5978"/>
    <w:rsid w:val="00AA5A91"/>
    <w:rsid w:val="00AA5B9E"/>
    <w:rsid w:val="00AA5FB8"/>
    <w:rsid w:val="00AA5FBB"/>
    <w:rsid w:val="00AA6033"/>
    <w:rsid w:val="00AA63C1"/>
    <w:rsid w:val="00AA66BC"/>
    <w:rsid w:val="00AA71E6"/>
    <w:rsid w:val="00AA74BC"/>
    <w:rsid w:val="00AA75F9"/>
    <w:rsid w:val="00AA77F0"/>
    <w:rsid w:val="00AA785B"/>
    <w:rsid w:val="00AA78AA"/>
    <w:rsid w:val="00AB002D"/>
    <w:rsid w:val="00AB069A"/>
    <w:rsid w:val="00AB07AE"/>
    <w:rsid w:val="00AB08BA"/>
    <w:rsid w:val="00AB0922"/>
    <w:rsid w:val="00AB0BD6"/>
    <w:rsid w:val="00AB0E2D"/>
    <w:rsid w:val="00AB1076"/>
    <w:rsid w:val="00AB110A"/>
    <w:rsid w:val="00AB1174"/>
    <w:rsid w:val="00AB1185"/>
    <w:rsid w:val="00AB1207"/>
    <w:rsid w:val="00AB1250"/>
    <w:rsid w:val="00AB1288"/>
    <w:rsid w:val="00AB193F"/>
    <w:rsid w:val="00AB1EAF"/>
    <w:rsid w:val="00AB233A"/>
    <w:rsid w:val="00AB25B5"/>
    <w:rsid w:val="00AB25D8"/>
    <w:rsid w:val="00AB2648"/>
    <w:rsid w:val="00AB29E7"/>
    <w:rsid w:val="00AB2A95"/>
    <w:rsid w:val="00AB30A0"/>
    <w:rsid w:val="00AB3301"/>
    <w:rsid w:val="00AB37DE"/>
    <w:rsid w:val="00AB3906"/>
    <w:rsid w:val="00AB3B0D"/>
    <w:rsid w:val="00AB3B17"/>
    <w:rsid w:val="00AB3D6A"/>
    <w:rsid w:val="00AB41CC"/>
    <w:rsid w:val="00AB45D2"/>
    <w:rsid w:val="00AB4917"/>
    <w:rsid w:val="00AB4938"/>
    <w:rsid w:val="00AB4B6C"/>
    <w:rsid w:val="00AB53C9"/>
    <w:rsid w:val="00AB5430"/>
    <w:rsid w:val="00AB562C"/>
    <w:rsid w:val="00AB594D"/>
    <w:rsid w:val="00AB5B38"/>
    <w:rsid w:val="00AB61E2"/>
    <w:rsid w:val="00AB629F"/>
    <w:rsid w:val="00AB6373"/>
    <w:rsid w:val="00AB6919"/>
    <w:rsid w:val="00AB6C5B"/>
    <w:rsid w:val="00AB6E49"/>
    <w:rsid w:val="00AB6E93"/>
    <w:rsid w:val="00AB7114"/>
    <w:rsid w:val="00AB75C5"/>
    <w:rsid w:val="00AB7D8F"/>
    <w:rsid w:val="00AB7ECE"/>
    <w:rsid w:val="00AC0431"/>
    <w:rsid w:val="00AC0766"/>
    <w:rsid w:val="00AC0A01"/>
    <w:rsid w:val="00AC0ABF"/>
    <w:rsid w:val="00AC1386"/>
    <w:rsid w:val="00AC149B"/>
    <w:rsid w:val="00AC1E2A"/>
    <w:rsid w:val="00AC1E54"/>
    <w:rsid w:val="00AC1FC2"/>
    <w:rsid w:val="00AC217D"/>
    <w:rsid w:val="00AC2377"/>
    <w:rsid w:val="00AC23ED"/>
    <w:rsid w:val="00AC27F5"/>
    <w:rsid w:val="00AC2C43"/>
    <w:rsid w:val="00AC30CB"/>
    <w:rsid w:val="00AC31A3"/>
    <w:rsid w:val="00AC3322"/>
    <w:rsid w:val="00AC34E0"/>
    <w:rsid w:val="00AC3F68"/>
    <w:rsid w:val="00AC415E"/>
    <w:rsid w:val="00AC46D1"/>
    <w:rsid w:val="00AC4997"/>
    <w:rsid w:val="00AC4D6B"/>
    <w:rsid w:val="00AC4F99"/>
    <w:rsid w:val="00AC51AF"/>
    <w:rsid w:val="00AC534A"/>
    <w:rsid w:val="00AC59A3"/>
    <w:rsid w:val="00AC5C31"/>
    <w:rsid w:val="00AC5F34"/>
    <w:rsid w:val="00AC5F7C"/>
    <w:rsid w:val="00AC61E9"/>
    <w:rsid w:val="00AC62C5"/>
    <w:rsid w:val="00AC62D6"/>
    <w:rsid w:val="00AC62D7"/>
    <w:rsid w:val="00AC6604"/>
    <w:rsid w:val="00AC6849"/>
    <w:rsid w:val="00AC696B"/>
    <w:rsid w:val="00AC6CD9"/>
    <w:rsid w:val="00AC6D96"/>
    <w:rsid w:val="00AC71DD"/>
    <w:rsid w:val="00AC72D3"/>
    <w:rsid w:val="00AC7382"/>
    <w:rsid w:val="00AC7540"/>
    <w:rsid w:val="00AC7728"/>
    <w:rsid w:val="00AC7E64"/>
    <w:rsid w:val="00AC7FF9"/>
    <w:rsid w:val="00AD03EB"/>
    <w:rsid w:val="00AD0500"/>
    <w:rsid w:val="00AD0B7B"/>
    <w:rsid w:val="00AD0D89"/>
    <w:rsid w:val="00AD0E26"/>
    <w:rsid w:val="00AD1019"/>
    <w:rsid w:val="00AD10B1"/>
    <w:rsid w:val="00AD11C4"/>
    <w:rsid w:val="00AD15FB"/>
    <w:rsid w:val="00AD1681"/>
    <w:rsid w:val="00AD1E9B"/>
    <w:rsid w:val="00AD1F34"/>
    <w:rsid w:val="00AD1FC6"/>
    <w:rsid w:val="00AD209E"/>
    <w:rsid w:val="00AD2335"/>
    <w:rsid w:val="00AD2593"/>
    <w:rsid w:val="00AD25E1"/>
    <w:rsid w:val="00AD276F"/>
    <w:rsid w:val="00AD2BAE"/>
    <w:rsid w:val="00AD2F4D"/>
    <w:rsid w:val="00AD3199"/>
    <w:rsid w:val="00AD324D"/>
    <w:rsid w:val="00AD33B4"/>
    <w:rsid w:val="00AD33D2"/>
    <w:rsid w:val="00AD3533"/>
    <w:rsid w:val="00AD3E22"/>
    <w:rsid w:val="00AD3E61"/>
    <w:rsid w:val="00AD3F0D"/>
    <w:rsid w:val="00AD47B5"/>
    <w:rsid w:val="00AD4845"/>
    <w:rsid w:val="00AD539A"/>
    <w:rsid w:val="00AD564E"/>
    <w:rsid w:val="00AD57D7"/>
    <w:rsid w:val="00AD584C"/>
    <w:rsid w:val="00AD5899"/>
    <w:rsid w:val="00AD58D6"/>
    <w:rsid w:val="00AD58F1"/>
    <w:rsid w:val="00AD5987"/>
    <w:rsid w:val="00AD5993"/>
    <w:rsid w:val="00AD5AF3"/>
    <w:rsid w:val="00AD5C93"/>
    <w:rsid w:val="00AD5CB6"/>
    <w:rsid w:val="00AD5EFD"/>
    <w:rsid w:val="00AD6569"/>
    <w:rsid w:val="00AD6631"/>
    <w:rsid w:val="00AD6803"/>
    <w:rsid w:val="00AD6991"/>
    <w:rsid w:val="00AD69A7"/>
    <w:rsid w:val="00AD6B24"/>
    <w:rsid w:val="00AD6BC8"/>
    <w:rsid w:val="00AD6D3A"/>
    <w:rsid w:val="00AD6D5F"/>
    <w:rsid w:val="00AD6D8D"/>
    <w:rsid w:val="00AD6E42"/>
    <w:rsid w:val="00AD7B22"/>
    <w:rsid w:val="00AD7CEB"/>
    <w:rsid w:val="00AE0047"/>
    <w:rsid w:val="00AE0157"/>
    <w:rsid w:val="00AE032B"/>
    <w:rsid w:val="00AE0442"/>
    <w:rsid w:val="00AE0444"/>
    <w:rsid w:val="00AE06CD"/>
    <w:rsid w:val="00AE08FF"/>
    <w:rsid w:val="00AE0A02"/>
    <w:rsid w:val="00AE0C98"/>
    <w:rsid w:val="00AE0E59"/>
    <w:rsid w:val="00AE0F3D"/>
    <w:rsid w:val="00AE14DB"/>
    <w:rsid w:val="00AE15C4"/>
    <w:rsid w:val="00AE1A26"/>
    <w:rsid w:val="00AE1A35"/>
    <w:rsid w:val="00AE1C0F"/>
    <w:rsid w:val="00AE23E0"/>
    <w:rsid w:val="00AE25BA"/>
    <w:rsid w:val="00AE26AC"/>
    <w:rsid w:val="00AE2720"/>
    <w:rsid w:val="00AE28BA"/>
    <w:rsid w:val="00AE2BA2"/>
    <w:rsid w:val="00AE2FDB"/>
    <w:rsid w:val="00AE304C"/>
    <w:rsid w:val="00AE31F4"/>
    <w:rsid w:val="00AE3409"/>
    <w:rsid w:val="00AE38A1"/>
    <w:rsid w:val="00AE38C9"/>
    <w:rsid w:val="00AE3A9A"/>
    <w:rsid w:val="00AE3BD5"/>
    <w:rsid w:val="00AE3C69"/>
    <w:rsid w:val="00AE4076"/>
    <w:rsid w:val="00AE4758"/>
    <w:rsid w:val="00AE498F"/>
    <w:rsid w:val="00AE4BCD"/>
    <w:rsid w:val="00AE4F77"/>
    <w:rsid w:val="00AE5176"/>
    <w:rsid w:val="00AE5CC2"/>
    <w:rsid w:val="00AE5D95"/>
    <w:rsid w:val="00AE5EB0"/>
    <w:rsid w:val="00AE62B7"/>
    <w:rsid w:val="00AE631D"/>
    <w:rsid w:val="00AE63A9"/>
    <w:rsid w:val="00AE6412"/>
    <w:rsid w:val="00AE652A"/>
    <w:rsid w:val="00AE66B9"/>
    <w:rsid w:val="00AE676D"/>
    <w:rsid w:val="00AE6B85"/>
    <w:rsid w:val="00AE6FD6"/>
    <w:rsid w:val="00AE70E0"/>
    <w:rsid w:val="00AE721A"/>
    <w:rsid w:val="00AE72FD"/>
    <w:rsid w:val="00AE777B"/>
    <w:rsid w:val="00AE78DE"/>
    <w:rsid w:val="00AE7A45"/>
    <w:rsid w:val="00AE7AD8"/>
    <w:rsid w:val="00AF0420"/>
    <w:rsid w:val="00AF0509"/>
    <w:rsid w:val="00AF0858"/>
    <w:rsid w:val="00AF0996"/>
    <w:rsid w:val="00AF0A28"/>
    <w:rsid w:val="00AF0CE5"/>
    <w:rsid w:val="00AF0D5B"/>
    <w:rsid w:val="00AF0DC6"/>
    <w:rsid w:val="00AF0E7D"/>
    <w:rsid w:val="00AF0ECA"/>
    <w:rsid w:val="00AF0F9F"/>
    <w:rsid w:val="00AF177E"/>
    <w:rsid w:val="00AF1839"/>
    <w:rsid w:val="00AF1AAB"/>
    <w:rsid w:val="00AF1DF1"/>
    <w:rsid w:val="00AF2213"/>
    <w:rsid w:val="00AF275C"/>
    <w:rsid w:val="00AF32CB"/>
    <w:rsid w:val="00AF32D8"/>
    <w:rsid w:val="00AF338E"/>
    <w:rsid w:val="00AF3720"/>
    <w:rsid w:val="00AF3C68"/>
    <w:rsid w:val="00AF3F03"/>
    <w:rsid w:val="00AF3FCC"/>
    <w:rsid w:val="00AF43E9"/>
    <w:rsid w:val="00AF45A7"/>
    <w:rsid w:val="00AF4769"/>
    <w:rsid w:val="00AF4DA3"/>
    <w:rsid w:val="00AF4F8E"/>
    <w:rsid w:val="00AF5C60"/>
    <w:rsid w:val="00AF5D74"/>
    <w:rsid w:val="00AF60D1"/>
    <w:rsid w:val="00AF6788"/>
    <w:rsid w:val="00AF6BBD"/>
    <w:rsid w:val="00AF6EEE"/>
    <w:rsid w:val="00AF6F05"/>
    <w:rsid w:val="00AF75FF"/>
    <w:rsid w:val="00AF76BC"/>
    <w:rsid w:val="00AF79B5"/>
    <w:rsid w:val="00AF7BF2"/>
    <w:rsid w:val="00B00003"/>
    <w:rsid w:val="00B0044C"/>
    <w:rsid w:val="00B00748"/>
    <w:rsid w:val="00B00A21"/>
    <w:rsid w:val="00B00A45"/>
    <w:rsid w:val="00B00A9A"/>
    <w:rsid w:val="00B00AB5"/>
    <w:rsid w:val="00B00B65"/>
    <w:rsid w:val="00B00EC8"/>
    <w:rsid w:val="00B00F1B"/>
    <w:rsid w:val="00B00F51"/>
    <w:rsid w:val="00B0101C"/>
    <w:rsid w:val="00B01FD5"/>
    <w:rsid w:val="00B02398"/>
    <w:rsid w:val="00B023D2"/>
    <w:rsid w:val="00B02765"/>
    <w:rsid w:val="00B028EA"/>
    <w:rsid w:val="00B02A0F"/>
    <w:rsid w:val="00B02AF7"/>
    <w:rsid w:val="00B02B86"/>
    <w:rsid w:val="00B02BA3"/>
    <w:rsid w:val="00B02C6F"/>
    <w:rsid w:val="00B02D51"/>
    <w:rsid w:val="00B03778"/>
    <w:rsid w:val="00B03E11"/>
    <w:rsid w:val="00B03EA6"/>
    <w:rsid w:val="00B04887"/>
    <w:rsid w:val="00B049EE"/>
    <w:rsid w:val="00B05135"/>
    <w:rsid w:val="00B052A3"/>
    <w:rsid w:val="00B0550D"/>
    <w:rsid w:val="00B056BA"/>
    <w:rsid w:val="00B05768"/>
    <w:rsid w:val="00B05D57"/>
    <w:rsid w:val="00B05DFB"/>
    <w:rsid w:val="00B05F4D"/>
    <w:rsid w:val="00B06127"/>
    <w:rsid w:val="00B061C7"/>
    <w:rsid w:val="00B06503"/>
    <w:rsid w:val="00B0674A"/>
    <w:rsid w:val="00B06841"/>
    <w:rsid w:val="00B068FB"/>
    <w:rsid w:val="00B06BE7"/>
    <w:rsid w:val="00B07184"/>
    <w:rsid w:val="00B071E3"/>
    <w:rsid w:val="00B07250"/>
    <w:rsid w:val="00B07489"/>
    <w:rsid w:val="00B07495"/>
    <w:rsid w:val="00B07E0E"/>
    <w:rsid w:val="00B07ED1"/>
    <w:rsid w:val="00B07F69"/>
    <w:rsid w:val="00B07F88"/>
    <w:rsid w:val="00B1007D"/>
    <w:rsid w:val="00B10255"/>
    <w:rsid w:val="00B103E0"/>
    <w:rsid w:val="00B10945"/>
    <w:rsid w:val="00B10A1D"/>
    <w:rsid w:val="00B10A7D"/>
    <w:rsid w:val="00B10DC7"/>
    <w:rsid w:val="00B11199"/>
    <w:rsid w:val="00B11587"/>
    <w:rsid w:val="00B115E4"/>
    <w:rsid w:val="00B118F1"/>
    <w:rsid w:val="00B11977"/>
    <w:rsid w:val="00B11B4D"/>
    <w:rsid w:val="00B11CE3"/>
    <w:rsid w:val="00B11D22"/>
    <w:rsid w:val="00B11E40"/>
    <w:rsid w:val="00B11E56"/>
    <w:rsid w:val="00B11E96"/>
    <w:rsid w:val="00B11F07"/>
    <w:rsid w:val="00B11FF9"/>
    <w:rsid w:val="00B12260"/>
    <w:rsid w:val="00B1243C"/>
    <w:rsid w:val="00B12464"/>
    <w:rsid w:val="00B12737"/>
    <w:rsid w:val="00B12E07"/>
    <w:rsid w:val="00B13212"/>
    <w:rsid w:val="00B1338A"/>
    <w:rsid w:val="00B133D1"/>
    <w:rsid w:val="00B13587"/>
    <w:rsid w:val="00B13599"/>
    <w:rsid w:val="00B13C15"/>
    <w:rsid w:val="00B13FA1"/>
    <w:rsid w:val="00B14367"/>
    <w:rsid w:val="00B14439"/>
    <w:rsid w:val="00B14575"/>
    <w:rsid w:val="00B14A00"/>
    <w:rsid w:val="00B15121"/>
    <w:rsid w:val="00B1557A"/>
    <w:rsid w:val="00B15624"/>
    <w:rsid w:val="00B158C7"/>
    <w:rsid w:val="00B15999"/>
    <w:rsid w:val="00B15A43"/>
    <w:rsid w:val="00B15BAB"/>
    <w:rsid w:val="00B15C9D"/>
    <w:rsid w:val="00B15F60"/>
    <w:rsid w:val="00B16057"/>
    <w:rsid w:val="00B16556"/>
    <w:rsid w:val="00B16786"/>
    <w:rsid w:val="00B16C0D"/>
    <w:rsid w:val="00B16E95"/>
    <w:rsid w:val="00B16F83"/>
    <w:rsid w:val="00B17128"/>
    <w:rsid w:val="00B171AA"/>
    <w:rsid w:val="00B172FE"/>
    <w:rsid w:val="00B17342"/>
    <w:rsid w:val="00B17800"/>
    <w:rsid w:val="00B17830"/>
    <w:rsid w:val="00B178DD"/>
    <w:rsid w:val="00B17FA7"/>
    <w:rsid w:val="00B20099"/>
    <w:rsid w:val="00B20772"/>
    <w:rsid w:val="00B20A2E"/>
    <w:rsid w:val="00B20B9B"/>
    <w:rsid w:val="00B20D38"/>
    <w:rsid w:val="00B20EDA"/>
    <w:rsid w:val="00B218EE"/>
    <w:rsid w:val="00B21B3B"/>
    <w:rsid w:val="00B21EE3"/>
    <w:rsid w:val="00B21F55"/>
    <w:rsid w:val="00B221E7"/>
    <w:rsid w:val="00B2230F"/>
    <w:rsid w:val="00B229E2"/>
    <w:rsid w:val="00B22A09"/>
    <w:rsid w:val="00B22A7B"/>
    <w:rsid w:val="00B22AD4"/>
    <w:rsid w:val="00B22BD8"/>
    <w:rsid w:val="00B234FD"/>
    <w:rsid w:val="00B23602"/>
    <w:rsid w:val="00B2362C"/>
    <w:rsid w:val="00B2366B"/>
    <w:rsid w:val="00B237B5"/>
    <w:rsid w:val="00B237F0"/>
    <w:rsid w:val="00B23A0A"/>
    <w:rsid w:val="00B23D8E"/>
    <w:rsid w:val="00B240ED"/>
    <w:rsid w:val="00B24123"/>
    <w:rsid w:val="00B24432"/>
    <w:rsid w:val="00B24934"/>
    <w:rsid w:val="00B24B9C"/>
    <w:rsid w:val="00B24C86"/>
    <w:rsid w:val="00B24DFA"/>
    <w:rsid w:val="00B254D7"/>
    <w:rsid w:val="00B259DA"/>
    <w:rsid w:val="00B25A32"/>
    <w:rsid w:val="00B25E77"/>
    <w:rsid w:val="00B25E8C"/>
    <w:rsid w:val="00B26021"/>
    <w:rsid w:val="00B26332"/>
    <w:rsid w:val="00B2650B"/>
    <w:rsid w:val="00B26752"/>
    <w:rsid w:val="00B268C2"/>
    <w:rsid w:val="00B26973"/>
    <w:rsid w:val="00B26D5E"/>
    <w:rsid w:val="00B26ED5"/>
    <w:rsid w:val="00B27294"/>
    <w:rsid w:val="00B272D5"/>
    <w:rsid w:val="00B2734B"/>
    <w:rsid w:val="00B275F7"/>
    <w:rsid w:val="00B27639"/>
    <w:rsid w:val="00B2775E"/>
    <w:rsid w:val="00B2793B"/>
    <w:rsid w:val="00B27AFF"/>
    <w:rsid w:val="00B27C27"/>
    <w:rsid w:val="00B304B3"/>
    <w:rsid w:val="00B30B93"/>
    <w:rsid w:val="00B30C1F"/>
    <w:rsid w:val="00B3123A"/>
    <w:rsid w:val="00B31525"/>
    <w:rsid w:val="00B3175E"/>
    <w:rsid w:val="00B31B02"/>
    <w:rsid w:val="00B31C13"/>
    <w:rsid w:val="00B31CBC"/>
    <w:rsid w:val="00B31D46"/>
    <w:rsid w:val="00B31E5E"/>
    <w:rsid w:val="00B31FF7"/>
    <w:rsid w:val="00B320E1"/>
    <w:rsid w:val="00B32309"/>
    <w:rsid w:val="00B324AB"/>
    <w:rsid w:val="00B32F48"/>
    <w:rsid w:val="00B330A0"/>
    <w:rsid w:val="00B33281"/>
    <w:rsid w:val="00B3391A"/>
    <w:rsid w:val="00B33D7F"/>
    <w:rsid w:val="00B34117"/>
    <w:rsid w:val="00B3426B"/>
    <w:rsid w:val="00B347C3"/>
    <w:rsid w:val="00B34A7D"/>
    <w:rsid w:val="00B35165"/>
    <w:rsid w:val="00B3556B"/>
    <w:rsid w:val="00B3573C"/>
    <w:rsid w:val="00B35897"/>
    <w:rsid w:val="00B358FF"/>
    <w:rsid w:val="00B359CE"/>
    <w:rsid w:val="00B35D24"/>
    <w:rsid w:val="00B35F38"/>
    <w:rsid w:val="00B360DF"/>
    <w:rsid w:val="00B36358"/>
    <w:rsid w:val="00B36393"/>
    <w:rsid w:val="00B3659B"/>
    <w:rsid w:val="00B366DC"/>
    <w:rsid w:val="00B3679D"/>
    <w:rsid w:val="00B370DB"/>
    <w:rsid w:val="00B37295"/>
    <w:rsid w:val="00B37763"/>
    <w:rsid w:val="00B37ED2"/>
    <w:rsid w:val="00B37EEB"/>
    <w:rsid w:val="00B40B0C"/>
    <w:rsid w:val="00B4100C"/>
    <w:rsid w:val="00B417BD"/>
    <w:rsid w:val="00B417F4"/>
    <w:rsid w:val="00B419B3"/>
    <w:rsid w:val="00B41BB2"/>
    <w:rsid w:val="00B41D1A"/>
    <w:rsid w:val="00B420DF"/>
    <w:rsid w:val="00B42449"/>
    <w:rsid w:val="00B424BB"/>
    <w:rsid w:val="00B42621"/>
    <w:rsid w:val="00B4267F"/>
    <w:rsid w:val="00B42C4F"/>
    <w:rsid w:val="00B42EC1"/>
    <w:rsid w:val="00B4340B"/>
    <w:rsid w:val="00B4353F"/>
    <w:rsid w:val="00B436E6"/>
    <w:rsid w:val="00B43991"/>
    <w:rsid w:val="00B439D6"/>
    <w:rsid w:val="00B44411"/>
    <w:rsid w:val="00B4461F"/>
    <w:rsid w:val="00B44683"/>
    <w:rsid w:val="00B447FE"/>
    <w:rsid w:val="00B44A7D"/>
    <w:rsid w:val="00B44BF4"/>
    <w:rsid w:val="00B44CBD"/>
    <w:rsid w:val="00B44E98"/>
    <w:rsid w:val="00B44F26"/>
    <w:rsid w:val="00B44F44"/>
    <w:rsid w:val="00B4501D"/>
    <w:rsid w:val="00B45626"/>
    <w:rsid w:val="00B456F5"/>
    <w:rsid w:val="00B45AB7"/>
    <w:rsid w:val="00B45B25"/>
    <w:rsid w:val="00B464EC"/>
    <w:rsid w:val="00B468E1"/>
    <w:rsid w:val="00B46989"/>
    <w:rsid w:val="00B46F60"/>
    <w:rsid w:val="00B474A0"/>
    <w:rsid w:val="00B476DF"/>
    <w:rsid w:val="00B477E9"/>
    <w:rsid w:val="00B47A12"/>
    <w:rsid w:val="00B47BED"/>
    <w:rsid w:val="00B47DFB"/>
    <w:rsid w:val="00B47F5D"/>
    <w:rsid w:val="00B50006"/>
    <w:rsid w:val="00B50442"/>
    <w:rsid w:val="00B5066B"/>
    <w:rsid w:val="00B5066C"/>
    <w:rsid w:val="00B508FE"/>
    <w:rsid w:val="00B509A2"/>
    <w:rsid w:val="00B510C3"/>
    <w:rsid w:val="00B5128E"/>
    <w:rsid w:val="00B5128F"/>
    <w:rsid w:val="00B51496"/>
    <w:rsid w:val="00B514DE"/>
    <w:rsid w:val="00B51521"/>
    <w:rsid w:val="00B5160A"/>
    <w:rsid w:val="00B51AF7"/>
    <w:rsid w:val="00B51B39"/>
    <w:rsid w:val="00B51FF7"/>
    <w:rsid w:val="00B52131"/>
    <w:rsid w:val="00B529AB"/>
    <w:rsid w:val="00B52B0B"/>
    <w:rsid w:val="00B52B6F"/>
    <w:rsid w:val="00B52F6B"/>
    <w:rsid w:val="00B530D6"/>
    <w:rsid w:val="00B53212"/>
    <w:rsid w:val="00B53219"/>
    <w:rsid w:val="00B535C7"/>
    <w:rsid w:val="00B535E1"/>
    <w:rsid w:val="00B539E0"/>
    <w:rsid w:val="00B53F8A"/>
    <w:rsid w:val="00B540C3"/>
    <w:rsid w:val="00B54A8E"/>
    <w:rsid w:val="00B54E06"/>
    <w:rsid w:val="00B54FC7"/>
    <w:rsid w:val="00B551CA"/>
    <w:rsid w:val="00B5542F"/>
    <w:rsid w:val="00B5574B"/>
    <w:rsid w:val="00B55AB7"/>
    <w:rsid w:val="00B55C02"/>
    <w:rsid w:val="00B55E6F"/>
    <w:rsid w:val="00B562C7"/>
    <w:rsid w:val="00B565AB"/>
    <w:rsid w:val="00B56724"/>
    <w:rsid w:val="00B567E8"/>
    <w:rsid w:val="00B568C9"/>
    <w:rsid w:val="00B56AFD"/>
    <w:rsid w:val="00B56C13"/>
    <w:rsid w:val="00B56CA3"/>
    <w:rsid w:val="00B56FBF"/>
    <w:rsid w:val="00B571CE"/>
    <w:rsid w:val="00B5746C"/>
    <w:rsid w:val="00B576CF"/>
    <w:rsid w:val="00B57811"/>
    <w:rsid w:val="00B57A2E"/>
    <w:rsid w:val="00B57AB7"/>
    <w:rsid w:val="00B57BFB"/>
    <w:rsid w:val="00B60039"/>
    <w:rsid w:val="00B600AC"/>
    <w:rsid w:val="00B60114"/>
    <w:rsid w:val="00B60460"/>
    <w:rsid w:val="00B6052C"/>
    <w:rsid w:val="00B60A3D"/>
    <w:rsid w:val="00B61031"/>
    <w:rsid w:val="00B6138D"/>
    <w:rsid w:val="00B6208B"/>
    <w:rsid w:val="00B6272B"/>
    <w:rsid w:val="00B627F7"/>
    <w:rsid w:val="00B629A9"/>
    <w:rsid w:val="00B62BCB"/>
    <w:rsid w:val="00B62BF5"/>
    <w:rsid w:val="00B62D4A"/>
    <w:rsid w:val="00B6316A"/>
    <w:rsid w:val="00B635C8"/>
    <w:rsid w:val="00B637F8"/>
    <w:rsid w:val="00B63B2A"/>
    <w:rsid w:val="00B63B97"/>
    <w:rsid w:val="00B63BD0"/>
    <w:rsid w:val="00B63EB1"/>
    <w:rsid w:val="00B63FD4"/>
    <w:rsid w:val="00B64068"/>
    <w:rsid w:val="00B6459A"/>
    <w:rsid w:val="00B646D4"/>
    <w:rsid w:val="00B647BC"/>
    <w:rsid w:val="00B649C3"/>
    <w:rsid w:val="00B649E8"/>
    <w:rsid w:val="00B64AD4"/>
    <w:rsid w:val="00B64C19"/>
    <w:rsid w:val="00B64D32"/>
    <w:rsid w:val="00B6508F"/>
    <w:rsid w:val="00B650A9"/>
    <w:rsid w:val="00B65307"/>
    <w:rsid w:val="00B65524"/>
    <w:rsid w:val="00B655D7"/>
    <w:rsid w:val="00B656B6"/>
    <w:rsid w:val="00B65854"/>
    <w:rsid w:val="00B65B17"/>
    <w:rsid w:val="00B65EB1"/>
    <w:rsid w:val="00B662D3"/>
    <w:rsid w:val="00B667E1"/>
    <w:rsid w:val="00B66868"/>
    <w:rsid w:val="00B66B4A"/>
    <w:rsid w:val="00B66B7A"/>
    <w:rsid w:val="00B66B99"/>
    <w:rsid w:val="00B66BE0"/>
    <w:rsid w:val="00B66C33"/>
    <w:rsid w:val="00B66F28"/>
    <w:rsid w:val="00B66FB9"/>
    <w:rsid w:val="00B67B8B"/>
    <w:rsid w:val="00B700ED"/>
    <w:rsid w:val="00B70113"/>
    <w:rsid w:val="00B7013C"/>
    <w:rsid w:val="00B7015E"/>
    <w:rsid w:val="00B703FF"/>
    <w:rsid w:val="00B70870"/>
    <w:rsid w:val="00B70942"/>
    <w:rsid w:val="00B70943"/>
    <w:rsid w:val="00B70969"/>
    <w:rsid w:val="00B70977"/>
    <w:rsid w:val="00B70A5F"/>
    <w:rsid w:val="00B70AA5"/>
    <w:rsid w:val="00B70B38"/>
    <w:rsid w:val="00B70F28"/>
    <w:rsid w:val="00B71468"/>
    <w:rsid w:val="00B71BF5"/>
    <w:rsid w:val="00B71C2E"/>
    <w:rsid w:val="00B71C31"/>
    <w:rsid w:val="00B71D0D"/>
    <w:rsid w:val="00B71F5B"/>
    <w:rsid w:val="00B721FB"/>
    <w:rsid w:val="00B72401"/>
    <w:rsid w:val="00B7244D"/>
    <w:rsid w:val="00B7264D"/>
    <w:rsid w:val="00B726E5"/>
    <w:rsid w:val="00B72C00"/>
    <w:rsid w:val="00B72DDA"/>
    <w:rsid w:val="00B72EA1"/>
    <w:rsid w:val="00B72F1A"/>
    <w:rsid w:val="00B73058"/>
    <w:rsid w:val="00B73B5D"/>
    <w:rsid w:val="00B7402F"/>
    <w:rsid w:val="00B740CF"/>
    <w:rsid w:val="00B74494"/>
    <w:rsid w:val="00B744B9"/>
    <w:rsid w:val="00B7486F"/>
    <w:rsid w:val="00B748C8"/>
    <w:rsid w:val="00B74D9F"/>
    <w:rsid w:val="00B74FEA"/>
    <w:rsid w:val="00B74FF9"/>
    <w:rsid w:val="00B75039"/>
    <w:rsid w:val="00B75060"/>
    <w:rsid w:val="00B7520B"/>
    <w:rsid w:val="00B7522F"/>
    <w:rsid w:val="00B7526D"/>
    <w:rsid w:val="00B754CF"/>
    <w:rsid w:val="00B7583D"/>
    <w:rsid w:val="00B7590D"/>
    <w:rsid w:val="00B759DC"/>
    <w:rsid w:val="00B75BDC"/>
    <w:rsid w:val="00B75E09"/>
    <w:rsid w:val="00B763E8"/>
    <w:rsid w:val="00B7653D"/>
    <w:rsid w:val="00B769DF"/>
    <w:rsid w:val="00B77329"/>
    <w:rsid w:val="00B773B9"/>
    <w:rsid w:val="00B774DB"/>
    <w:rsid w:val="00B775CD"/>
    <w:rsid w:val="00B77972"/>
    <w:rsid w:val="00B77E9C"/>
    <w:rsid w:val="00B80005"/>
    <w:rsid w:val="00B8069C"/>
    <w:rsid w:val="00B807F8"/>
    <w:rsid w:val="00B80C95"/>
    <w:rsid w:val="00B80D79"/>
    <w:rsid w:val="00B8104B"/>
    <w:rsid w:val="00B81135"/>
    <w:rsid w:val="00B8132E"/>
    <w:rsid w:val="00B8137C"/>
    <w:rsid w:val="00B813AF"/>
    <w:rsid w:val="00B81ABC"/>
    <w:rsid w:val="00B81CE9"/>
    <w:rsid w:val="00B81D76"/>
    <w:rsid w:val="00B8211B"/>
    <w:rsid w:val="00B8245E"/>
    <w:rsid w:val="00B825DD"/>
    <w:rsid w:val="00B825E1"/>
    <w:rsid w:val="00B8284C"/>
    <w:rsid w:val="00B82C58"/>
    <w:rsid w:val="00B8305F"/>
    <w:rsid w:val="00B830C1"/>
    <w:rsid w:val="00B83239"/>
    <w:rsid w:val="00B83661"/>
    <w:rsid w:val="00B83845"/>
    <w:rsid w:val="00B83B0D"/>
    <w:rsid w:val="00B83BD3"/>
    <w:rsid w:val="00B83C49"/>
    <w:rsid w:val="00B83EA8"/>
    <w:rsid w:val="00B83EBA"/>
    <w:rsid w:val="00B83F8F"/>
    <w:rsid w:val="00B8410A"/>
    <w:rsid w:val="00B841F4"/>
    <w:rsid w:val="00B84291"/>
    <w:rsid w:val="00B8435D"/>
    <w:rsid w:val="00B84495"/>
    <w:rsid w:val="00B8458B"/>
    <w:rsid w:val="00B84729"/>
    <w:rsid w:val="00B849A5"/>
    <w:rsid w:val="00B84C4B"/>
    <w:rsid w:val="00B84CFD"/>
    <w:rsid w:val="00B84DB7"/>
    <w:rsid w:val="00B84EE1"/>
    <w:rsid w:val="00B84F8A"/>
    <w:rsid w:val="00B85875"/>
    <w:rsid w:val="00B85901"/>
    <w:rsid w:val="00B85BF2"/>
    <w:rsid w:val="00B86841"/>
    <w:rsid w:val="00B868FA"/>
    <w:rsid w:val="00B86A43"/>
    <w:rsid w:val="00B86BB6"/>
    <w:rsid w:val="00B86D84"/>
    <w:rsid w:val="00B86EC6"/>
    <w:rsid w:val="00B87188"/>
    <w:rsid w:val="00B87C50"/>
    <w:rsid w:val="00B87E95"/>
    <w:rsid w:val="00B90006"/>
    <w:rsid w:val="00B9007E"/>
    <w:rsid w:val="00B9021A"/>
    <w:rsid w:val="00B902BD"/>
    <w:rsid w:val="00B902FD"/>
    <w:rsid w:val="00B9036F"/>
    <w:rsid w:val="00B90382"/>
    <w:rsid w:val="00B90386"/>
    <w:rsid w:val="00B9038D"/>
    <w:rsid w:val="00B9039A"/>
    <w:rsid w:val="00B903AC"/>
    <w:rsid w:val="00B90437"/>
    <w:rsid w:val="00B905D2"/>
    <w:rsid w:val="00B909C5"/>
    <w:rsid w:val="00B90AC0"/>
    <w:rsid w:val="00B90B42"/>
    <w:rsid w:val="00B90B72"/>
    <w:rsid w:val="00B91279"/>
    <w:rsid w:val="00B91A85"/>
    <w:rsid w:val="00B91AB8"/>
    <w:rsid w:val="00B92197"/>
    <w:rsid w:val="00B92580"/>
    <w:rsid w:val="00B9296F"/>
    <w:rsid w:val="00B929D2"/>
    <w:rsid w:val="00B92A1C"/>
    <w:rsid w:val="00B92D67"/>
    <w:rsid w:val="00B92FE5"/>
    <w:rsid w:val="00B930EA"/>
    <w:rsid w:val="00B9337C"/>
    <w:rsid w:val="00B93523"/>
    <w:rsid w:val="00B9373C"/>
    <w:rsid w:val="00B938BC"/>
    <w:rsid w:val="00B93ED0"/>
    <w:rsid w:val="00B93F48"/>
    <w:rsid w:val="00B9427D"/>
    <w:rsid w:val="00B942FE"/>
    <w:rsid w:val="00B94501"/>
    <w:rsid w:val="00B94640"/>
    <w:rsid w:val="00B9484E"/>
    <w:rsid w:val="00B94C22"/>
    <w:rsid w:val="00B94C45"/>
    <w:rsid w:val="00B94DF5"/>
    <w:rsid w:val="00B9510B"/>
    <w:rsid w:val="00B95555"/>
    <w:rsid w:val="00B957AB"/>
    <w:rsid w:val="00B958B8"/>
    <w:rsid w:val="00B95A25"/>
    <w:rsid w:val="00B95C68"/>
    <w:rsid w:val="00B9640B"/>
    <w:rsid w:val="00B964F0"/>
    <w:rsid w:val="00B9652D"/>
    <w:rsid w:val="00B96670"/>
    <w:rsid w:val="00B9690B"/>
    <w:rsid w:val="00B9698C"/>
    <w:rsid w:val="00B969EE"/>
    <w:rsid w:val="00B972E5"/>
    <w:rsid w:val="00B974E6"/>
    <w:rsid w:val="00B97A49"/>
    <w:rsid w:val="00B97A96"/>
    <w:rsid w:val="00B97C30"/>
    <w:rsid w:val="00B97C31"/>
    <w:rsid w:val="00B97E9B"/>
    <w:rsid w:val="00B97F5C"/>
    <w:rsid w:val="00BA0055"/>
    <w:rsid w:val="00BA0182"/>
    <w:rsid w:val="00BA03C5"/>
    <w:rsid w:val="00BA0553"/>
    <w:rsid w:val="00BA079C"/>
    <w:rsid w:val="00BA0807"/>
    <w:rsid w:val="00BA095B"/>
    <w:rsid w:val="00BA0C8F"/>
    <w:rsid w:val="00BA16B1"/>
    <w:rsid w:val="00BA16B3"/>
    <w:rsid w:val="00BA16DE"/>
    <w:rsid w:val="00BA1BB7"/>
    <w:rsid w:val="00BA1C21"/>
    <w:rsid w:val="00BA1C5D"/>
    <w:rsid w:val="00BA1DB5"/>
    <w:rsid w:val="00BA210E"/>
    <w:rsid w:val="00BA2998"/>
    <w:rsid w:val="00BA29AD"/>
    <w:rsid w:val="00BA2FEE"/>
    <w:rsid w:val="00BA3134"/>
    <w:rsid w:val="00BA35B4"/>
    <w:rsid w:val="00BA37DF"/>
    <w:rsid w:val="00BA3CC7"/>
    <w:rsid w:val="00BA3D50"/>
    <w:rsid w:val="00BA3DF3"/>
    <w:rsid w:val="00BA491B"/>
    <w:rsid w:val="00BA4B74"/>
    <w:rsid w:val="00BA4C20"/>
    <w:rsid w:val="00BA4EA3"/>
    <w:rsid w:val="00BA50CC"/>
    <w:rsid w:val="00BA5115"/>
    <w:rsid w:val="00BA52D0"/>
    <w:rsid w:val="00BA571C"/>
    <w:rsid w:val="00BA58B0"/>
    <w:rsid w:val="00BA5F8F"/>
    <w:rsid w:val="00BA5FAA"/>
    <w:rsid w:val="00BA61A7"/>
    <w:rsid w:val="00BA628F"/>
    <w:rsid w:val="00BA63B8"/>
    <w:rsid w:val="00BA6442"/>
    <w:rsid w:val="00BA64FF"/>
    <w:rsid w:val="00BA6610"/>
    <w:rsid w:val="00BA67E6"/>
    <w:rsid w:val="00BA6939"/>
    <w:rsid w:val="00BA6984"/>
    <w:rsid w:val="00BA69B7"/>
    <w:rsid w:val="00BA6BD3"/>
    <w:rsid w:val="00BA6EEE"/>
    <w:rsid w:val="00BA7095"/>
    <w:rsid w:val="00BA7BAE"/>
    <w:rsid w:val="00BA7BCB"/>
    <w:rsid w:val="00BA7EB4"/>
    <w:rsid w:val="00BA7F79"/>
    <w:rsid w:val="00BB0160"/>
    <w:rsid w:val="00BB038F"/>
    <w:rsid w:val="00BB0CB2"/>
    <w:rsid w:val="00BB0DE0"/>
    <w:rsid w:val="00BB0F0F"/>
    <w:rsid w:val="00BB111B"/>
    <w:rsid w:val="00BB1281"/>
    <w:rsid w:val="00BB1537"/>
    <w:rsid w:val="00BB1B20"/>
    <w:rsid w:val="00BB1D51"/>
    <w:rsid w:val="00BB1E44"/>
    <w:rsid w:val="00BB1EEC"/>
    <w:rsid w:val="00BB1F27"/>
    <w:rsid w:val="00BB1F29"/>
    <w:rsid w:val="00BB1F5B"/>
    <w:rsid w:val="00BB1FBF"/>
    <w:rsid w:val="00BB20C4"/>
    <w:rsid w:val="00BB22C5"/>
    <w:rsid w:val="00BB246B"/>
    <w:rsid w:val="00BB24DB"/>
    <w:rsid w:val="00BB265C"/>
    <w:rsid w:val="00BB27FC"/>
    <w:rsid w:val="00BB2CC3"/>
    <w:rsid w:val="00BB3057"/>
    <w:rsid w:val="00BB312E"/>
    <w:rsid w:val="00BB3138"/>
    <w:rsid w:val="00BB31ED"/>
    <w:rsid w:val="00BB38C1"/>
    <w:rsid w:val="00BB3911"/>
    <w:rsid w:val="00BB3B65"/>
    <w:rsid w:val="00BB3CED"/>
    <w:rsid w:val="00BB3E2A"/>
    <w:rsid w:val="00BB4070"/>
    <w:rsid w:val="00BB4817"/>
    <w:rsid w:val="00BB48C0"/>
    <w:rsid w:val="00BB48D1"/>
    <w:rsid w:val="00BB494D"/>
    <w:rsid w:val="00BB49EA"/>
    <w:rsid w:val="00BB4A58"/>
    <w:rsid w:val="00BB4EEE"/>
    <w:rsid w:val="00BB4FFA"/>
    <w:rsid w:val="00BB5443"/>
    <w:rsid w:val="00BB5560"/>
    <w:rsid w:val="00BB5610"/>
    <w:rsid w:val="00BB5D8D"/>
    <w:rsid w:val="00BB61AC"/>
    <w:rsid w:val="00BB646C"/>
    <w:rsid w:val="00BB68E8"/>
    <w:rsid w:val="00BB6A91"/>
    <w:rsid w:val="00BB6C75"/>
    <w:rsid w:val="00BB6E5B"/>
    <w:rsid w:val="00BB71EF"/>
    <w:rsid w:val="00BB7492"/>
    <w:rsid w:val="00BB7898"/>
    <w:rsid w:val="00BB7912"/>
    <w:rsid w:val="00BB7AE8"/>
    <w:rsid w:val="00BB7D08"/>
    <w:rsid w:val="00BB7FC8"/>
    <w:rsid w:val="00BC00D7"/>
    <w:rsid w:val="00BC011A"/>
    <w:rsid w:val="00BC0308"/>
    <w:rsid w:val="00BC054A"/>
    <w:rsid w:val="00BC06CC"/>
    <w:rsid w:val="00BC0710"/>
    <w:rsid w:val="00BC0990"/>
    <w:rsid w:val="00BC0DCE"/>
    <w:rsid w:val="00BC0F26"/>
    <w:rsid w:val="00BC1045"/>
    <w:rsid w:val="00BC1665"/>
    <w:rsid w:val="00BC1790"/>
    <w:rsid w:val="00BC1806"/>
    <w:rsid w:val="00BC1BC2"/>
    <w:rsid w:val="00BC1E54"/>
    <w:rsid w:val="00BC1E93"/>
    <w:rsid w:val="00BC1FB2"/>
    <w:rsid w:val="00BC247D"/>
    <w:rsid w:val="00BC24A9"/>
    <w:rsid w:val="00BC28BC"/>
    <w:rsid w:val="00BC2CBE"/>
    <w:rsid w:val="00BC2DB0"/>
    <w:rsid w:val="00BC2DE9"/>
    <w:rsid w:val="00BC2E23"/>
    <w:rsid w:val="00BC356C"/>
    <w:rsid w:val="00BC35AB"/>
    <w:rsid w:val="00BC3828"/>
    <w:rsid w:val="00BC3AE5"/>
    <w:rsid w:val="00BC3B8C"/>
    <w:rsid w:val="00BC3C19"/>
    <w:rsid w:val="00BC3C6A"/>
    <w:rsid w:val="00BC3D3C"/>
    <w:rsid w:val="00BC3F5F"/>
    <w:rsid w:val="00BC3FD0"/>
    <w:rsid w:val="00BC4088"/>
    <w:rsid w:val="00BC41B6"/>
    <w:rsid w:val="00BC4A69"/>
    <w:rsid w:val="00BC4BD4"/>
    <w:rsid w:val="00BC4DDF"/>
    <w:rsid w:val="00BC522A"/>
    <w:rsid w:val="00BC533C"/>
    <w:rsid w:val="00BC5410"/>
    <w:rsid w:val="00BC5604"/>
    <w:rsid w:val="00BC5605"/>
    <w:rsid w:val="00BC582A"/>
    <w:rsid w:val="00BC587F"/>
    <w:rsid w:val="00BC5A31"/>
    <w:rsid w:val="00BC5AC5"/>
    <w:rsid w:val="00BC5C56"/>
    <w:rsid w:val="00BC610F"/>
    <w:rsid w:val="00BC66C6"/>
    <w:rsid w:val="00BC6881"/>
    <w:rsid w:val="00BC695D"/>
    <w:rsid w:val="00BC6AE3"/>
    <w:rsid w:val="00BC6C5D"/>
    <w:rsid w:val="00BC6CDD"/>
    <w:rsid w:val="00BC7080"/>
    <w:rsid w:val="00BC70B9"/>
    <w:rsid w:val="00BC70F4"/>
    <w:rsid w:val="00BC7656"/>
    <w:rsid w:val="00BC76CC"/>
    <w:rsid w:val="00BC7719"/>
    <w:rsid w:val="00BC779A"/>
    <w:rsid w:val="00BC7FF2"/>
    <w:rsid w:val="00BD0070"/>
    <w:rsid w:val="00BD0117"/>
    <w:rsid w:val="00BD02F7"/>
    <w:rsid w:val="00BD0435"/>
    <w:rsid w:val="00BD05B7"/>
    <w:rsid w:val="00BD0874"/>
    <w:rsid w:val="00BD0A8F"/>
    <w:rsid w:val="00BD0B79"/>
    <w:rsid w:val="00BD0CFE"/>
    <w:rsid w:val="00BD0D76"/>
    <w:rsid w:val="00BD0E56"/>
    <w:rsid w:val="00BD0FF0"/>
    <w:rsid w:val="00BD12E3"/>
    <w:rsid w:val="00BD1346"/>
    <w:rsid w:val="00BD161B"/>
    <w:rsid w:val="00BD1B89"/>
    <w:rsid w:val="00BD1C45"/>
    <w:rsid w:val="00BD1C76"/>
    <w:rsid w:val="00BD2073"/>
    <w:rsid w:val="00BD2915"/>
    <w:rsid w:val="00BD2CBC"/>
    <w:rsid w:val="00BD365A"/>
    <w:rsid w:val="00BD3A47"/>
    <w:rsid w:val="00BD3A62"/>
    <w:rsid w:val="00BD3DBB"/>
    <w:rsid w:val="00BD3E76"/>
    <w:rsid w:val="00BD3E88"/>
    <w:rsid w:val="00BD4122"/>
    <w:rsid w:val="00BD426C"/>
    <w:rsid w:val="00BD42E3"/>
    <w:rsid w:val="00BD444B"/>
    <w:rsid w:val="00BD4885"/>
    <w:rsid w:val="00BD4A47"/>
    <w:rsid w:val="00BD4A66"/>
    <w:rsid w:val="00BD4DF8"/>
    <w:rsid w:val="00BD4E54"/>
    <w:rsid w:val="00BD4E57"/>
    <w:rsid w:val="00BD5523"/>
    <w:rsid w:val="00BD5BD1"/>
    <w:rsid w:val="00BD5BF5"/>
    <w:rsid w:val="00BD5C51"/>
    <w:rsid w:val="00BD5F94"/>
    <w:rsid w:val="00BD607C"/>
    <w:rsid w:val="00BD64B4"/>
    <w:rsid w:val="00BD6773"/>
    <w:rsid w:val="00BD67AD"/>
    <w:rsid w:val="00BD69FB"/>
    <w:rsid w:val="00BD6A08"/>
    <w:rsid w:val="00BD6ABE"/>
    <w:rsid w:val="00BD6E41"/>
    <w:rsid w:val="00BD6E75"/>
    <w:rsid w:val="00BD6F43"/>
    <w:rsid w:val="00BD7702"/>
    <w:rsid w:val="00BD770C"/>
    <w:rsid w:val="00BD782D"/>
    <w:rsid w:val="00BD78CA"/>
    <w:rsid w:val="00BD7E67"/>
    <w:rsid w:val="00BE00EE"/>
    <w:rsid w:val="00BE0286"/>
    <w:rsid w:val="00BE0418"/>
    <w:rsid w:val="00BE0845"/>
    <w:rsid w:val="00BE0B7A"/>
    <w:rsid w:val="00BE0B8C"/>
    <w:rsid w:val="00BE0BEC"/>
    <w:rsid w:val="00BE0C24"/>
    <w:rsid w:val="00BE0D41"/>
    <w:rsid w:val="00BE0FDF"/>
    <w:rsid w:val="00BE12BF"/>
    <w:rsid w:val="00BE1484"/>
    <w:rsid w:val="00BE1B3D"/>
    <w:rsid w:val="00BE1C54"/>
    <w:rsid w:val="00BE1D4A"/>
    <w:rsid w:val="00BE217E"/>
    <w:rsid w:val="00BE24F8"/>
    <w:rsid w:val="00BE294B"/>
    <w:rsid w:val="00BE2D6C"/>
    <w:rsid w:val="00BE2EBB"/>
    <w:rsid w:val="00BE3403"/>
    <w:rsid w:val="00BE368B"/>
    <w:rsid w:val="00BE380C"/>
    <w:rsid w:val="00BE3F5A"/>
    <w:rsid w:val="00BE4074"/>
    <w:rsid w:val="00BE4289"/>
    <w:rsid w:val="00BE429E"/>
    <w:rsid w:val="00BE42BE"/>
    <w:rsid w:val="00BE431F"/>
    <w:rsid w:val="00BE4523"/>
    <w:rsid w:val="00BE4659"/>
    <w:rsid w:val="00BE46DD"/>
    <w:rsid w:val="00BE47F1"/>
    <w:rsid w:val="00BE4C28"/>
    <w:rsid w:val="00BE4EA7"/>
    <w:rsid w:val="00BE4F49"/>
    <w:rsid w:val="00BE518C"/>
    <w:rsid w:val="00BE52B6"/>
    <w:rsid w:val="00BE54AE"/>
    <w:rsid w:val="00BE5768"/>
    <w:rsid w:val="00BE5973"/>
    <w:rsid w:val="00BE5D52"/>
    <w:rsid w:val="00BE632F"/>
    <w:rsid w:val="00BE6426"/>
    <w:rsid w:val="00BE6538"/>
    <w:rsid w:val="00BE6749"/>
    <w:rsid w:val="00BE69FD"/>
    <w:rsid w:val="00BE6BBD"/>
    <w:rsid w:val="00BE7162"/>
    <w:rsid w:val="00BE718C"/>
    <w:rsid w:val="00BE725A"/>
    <w:rsid w:val="00BE75AF"/>
    <w:rsid w:val="00BE76DF"/>
    <w:rsid w:val="00BE788A"/>
    <w:rsid w:val="00BE797B"/>
    <w:rsid w:val="00BE7A82"/>
    <w:rsid w:val="00BE7AD9"/>
    <w:rsid w:val="00BE7BB0"/>
    <w:rsid w:val="00BE7CD7"/>
    <w:rsid w:val="00BF005E"/>
    <w:rsid w:val="00BF039E"/>
    <w:rsid w:val="00BF05EB"/>
    <w:rsid w:val="00BF0FA6"/>
    <w:rsid w:val="00BF12EF"/>
    <w:rsid w:val="00BF1465"/>
    <w:rsid w:val="00BF147A"/>
    <w:rsid w:val="00BF15A1"/>
    <w:rsid w:val="00BF1648"/>
    <w:rsid w:val="00BF16DA"/>
    <w:rsid w:val="00BF17E0"/>
    <w:rsid w:val="00BF18AA"/>
    <w:rsid w:val="00BF18F3"/>
    <w:rsid w:val="00BF199A"/>
    <w:rsid w:val="00BF1AAC"/>
    <w:rsid w:val="00BF1CB5"/>
    <w:rsid w:val="00BF2016"/>
    <w:rsid w:val="00BF22C2"/>
    <w:rsid w:val="00BF2557"/>
    <w:rsid w:val="00BF2887"/>
    <w:rsid w:val="00BF2C60"/>
    <w:rsid w:val="00BF2D5C"/>
    <w:rsid w:val="00BF2DD1"/>
    <w:rsid w:val="00BF2E10"/>
    <w:rsid w:val="00BF2EE9"/>
    <w:rsid w:val="00BF2F3B"/>
    <w:rsid w:val="00BF2FB2"/>
    <w:rsid w:val="00BF34E8"/>
    <w:rsid w:val="00BF3700"/>
    <w:rsid w:val="00BF3D67"/>
    <w:rsid w:val="00BF3FDC"/>
    <w:rsid w:val="00BF452D"/>
    <w:rsid w:val="00BF46AB"/>
    <w:rsid w:val="00BF4E7B"/>
    <w:rsid w:val="00BF508C"/>
    <w:rsid w:val="00BF50C7"/>
    <w:rsid w:val="00BF52A5"/>
    <w:rsid w:val="00BF568A"/>
    <w:rsid w:val="00BF56D5"/>
    <w:rsid w:val="00BF5C73"/>
    <w:rsid w:val="00BF5D1B"/>
    <w:rsid w:val="00BF5D21"/>
    <w:rsid w:val="00BF5EEC"/>
    <w:rsid w:val="00BF6288"/>
    <w:rsid w:val="00BF69A4"/>
    <w:rsid w:val="00BF6FC5"/>
    <w:rsid w:val="00BF7359"/>
    <w:rsid w:val="00BF7735"/>
    <w:rsid w:val="00BF7D53"/>
    <w:rsid w:val="00BF7FE9"/>
    <w:rsid w:val="00C00074"/>
    <w:rsid w:val="00C00563"/>
    <w:rsid w:val="00C00670"/>
    <w:rsid w:val="00C0075E"/>
    <w:rsid w:val="00C00E67"/>
    <w:rsid w:val="00C00F34"/>
    <w:rsid w:val="00C0115D"/>
    <w:rsid w:val="00C011A1"/>
    <w:rsid w:val="00C01809"/>
    <w:rsid w:val="00C01CB8"/>
    <w:rsid w:val="00C0244F"/>
    <w:rsid w:val="00C024FF"/>
    <w:rsid w:val="00C02616"/>
    <w:rsid w:val="00C0293E"/>
    <w:rsid w:val="00C03710"/>
    <w:rsid w:val="00C037B1"/>
    <w:rsid w:val="00C03829"/>
    <w:rsid w:val="00C0383B"/>
    <w:rsid w:val="00C03C09"/>
    <w:rsid w:val="00C03C0B"/>
    <w:rsid w:val="00C04342"/>
    <w:rsid w:val="00C043DE"/>
    <w:rsid w:val="00C04489"/>
    <w:rsid w:val="00C04583"/>
    <w:rsid w:val="00C045AB"/>
    <w:rsid w:val="00C048D9"/>
    <w:rsid w:val="00C04CD6"/>
    <w:rsid w:val="00C05571"/>
    <w:rsid w:val="00C05CD9"/>
    <w:rsid w:val="00C05EBE"/>
    <w:rsid w:val="00C05FF7"/>
    <w:rsid w:val="00C06138"/>
    <w:rsid w:val="00C06297"/>
    <w:rsid w:val="00C06362"/>
    <w:rsid w:val="00C06397"/>
    <w:rsid w:val="00C066F9"/>
    <w:rsid w:val="00C069E2"/>
    <w:rsid w:val="00C07861"/>
    <w:rsid w:val="00C07A0B"/>
    <w:rsid w:val="00C1004D"/>
    <w:rsid w:val="00C1014D"/>
    <w:rsid w:val="00C1037D"/>
    <w:rsid w:val="00C10415"/>
    <w:rsid w:val="00C1058A"/>
    <w:rsid w:val="00C10768"/>
    <w:rsid w:val="00C10842"/>
    <w:rsid w:val="00C1086E"/>
    <w:rsid w:val="00C10D86"/>
    <w:rsid w:val="00C10EE3"/>
    <w:rsid w:val="00C10F37"/>
    <w:rsid w:val="00C11172"/>
    <w:rsid w:val="00C111BD"/>
    <w:rsid w:val="00C11207"/>
    <w:rsid w:val="00C1139A"/>
    <w:rsid w:val="00C113F7"/>
    <w:rsid w:val="00C116B5"/>
    <w:rsid w:val="00C11E05"/>
    <w:rsid w:val="00C12559"/>
    <w:rsid w:val="00C12653"/>
    <w:rsid w:val="00C127B0"/>
    <w:rsid w:val="00C128CB"/>
    <w:rsid w:val="00C12BE2"/>
    <w:rsid w:val="00C12CAF"/>
    <w:rsid w:val="00C12CDD"/>
    <w:rsid w:val="00C12ECB"/>
    <w:rsid w:val="00C12FA7"/>
    <w:rsid w:val="00C1356E"/>
    <w:rsid w:val="00C136A3"/>
    <w:rsid w:val="00C1390D"/>
    <w:rsid w:val="00C13A18"/>
    <w:rsid w:val="00C13E21"/>
    <w:rsid w:val="00C145B4"/>
    <w:rsid w:val="00C14763"/>
    <w:rsid w:val="00C1477A"/>
    <w:rsid w:val="00C14BBD"/>
    <w:rsid w:val="00C14BF1"/>
    <w:rsid w:val="00C14BF9"/>
    <w:rsid w:val="00C14F12"/>
    <w:rsid w:val="00C14FD0"/>
    <w:rsid w:val="00C151BC"/>
    <w:rsid w:val="00C159E3"/>
    <w:rsid w:val="00C15C24"/>
    <w:rsid w:val="00C15D15"/>
    <w:rsid w:val="00C15EB4"/>
    <w:rsid w:val="00C160CD"/>
    <w:rsid w:val="00C16195"/>
    <w:rsid w:val="00C1623E"/>
    <w:rsid w:val="00C16362"/>
    <w:rsid w:val="00C1641D"/>
    <w:rsid w:val="00C16804"/>
    <w:rsid w:val="00C1693E"/>
    <w:rsid w:val="00C16E18"/>
    <w:rsid w:val="00C16F0C"/>
    <w:rsid w:val="00C1723C"/>
    <w:rsid w:val="00C1783B"/>
    <w:rsid w:val="00C17A02"/>
    <w:rsid w:val="00C17D70"/>
    <w:rsid w:val="00C204D7"/>
    <w:rsid w:val="00C2076B"/>
    <w:rsid w:val="00C2095E"/>
    <w:rsid w:val="00C20B30"/>
    <w:rsid w:val="00C20D2C"/>
    <w:rsid w:val="00C20FAD"/>
    <w:rsid w:val="00C21015"/>
    <w:rsid w:val="00C21467"/>
    <w:rsid w:val="00C217A7"/>
    <w:rsid w:val="00C21895"/>
    <w:rsid w:val="00C2196F"/>
    <w:rsid w:val="00C21B92"/>
    <w:rsid w:val="00C21D29"/>
    <w:rsid w:val="00C21FDA"/>
    <w:rsid w:val="00C2253F"/>
    <w:rsid w:val="00C2274E"/>
    <w:rsid w:val="00C22975"/>
    <w:rsid w:val="00C22BD8"/>
    <w:rsid w:val="00C22DB0"/>
    <w:rsid w:val="00C22EF1"/>
    <w:rsid w:val="00C23040"/>
    <w:rsid w:val="00C231E5"/>
    <w:rsid w:val="00C233DA"/>
    <w:rsid w:val="00C23A17"/>
    <w:rsid w:val="00C23B8B"/>
    <w:rsid w:val="00C23CEE"/>
    <w:rsid w:val="00C23E87"/>
    <w:rsid w:val="00C24041"/>
    <w:rsid w:val="00C24152"/>
    <w:rsid w:val="00C246A5"/>
    <w:rsid w:val="00C246EF"/>
    <w:rsid w:val="00C2478F"/>
    <w:rsid w:val="00C24A11"/>
    <w:rsid w:val="00C24B6C"/>
    <w:rsid w:val="00C24C1F"/>
    <w:rsid w:val="00C24C4D"/>
    <w:rsid w:val="00C24E14"/>
    <w:rsid w:val="00C2507A"/>
    <w:rsid w:val="00C25131"/>
    <w:rsid w:val="00C251A1"/>
    <w:rsid w:val="00C25326"/>
    <w:rsid w:val="00C2576F"/>
    <w:rsid w:val="00C25889"/>
    <w:rsid w:val="00C2595B"/>
    <w:rsid w:val="00C25DD6"/>
    <w:rsid w:val="00C261D1"/>
    <w:rsid w:val="00C26515"/>
    <w:rsid w:val="00C26578"/>
    <w:rsid w:val="00C2664C"/>
    <w:rsid w:val="00C2670F"/>
    <w:rsid w:val="00C26DBD"/>
    <w:rsid w:val="00C26FBF"/>
    <w:rsid w:val="00C2704B"/>
    <w:rsid w:val="00C27163"/>
    <w:rsid w:val="00C27185"/>
    <w:rsid w:val="00C275C7"/>
    <w:rsid w:val="00C27604"/>
    <w:rsid w:val="00C276D3"/>
    <w:rsid w:val="00C27923"/>
    <w:rsid w:val="00C27A63"/>
    <w:rsid w:val="00C27BF9"/>
    <w:rsid w:val="00C27EFF"/>
    <w:rsid w:val="00C27FFB"/>
    <w:rsid w:val="00C3004D"/>
    <w:rsid w:val="00C30404"/>
    <w:rsid w:val="00C3062A"/>
    <w:rsid w:val="00C3065E"/>
    <w:rsid w:val="00C307A2"/>
    <w:rsid w:val="00C30BAC"/>
    <w:rsid w:val="00C30E0F"/>
    <w:rsid w:val="00C3151E"/>
    <w:rsid w:val="00C31644"/>
    <w:rsid w:val="00C318D5"/>
    <w:rsid w:val="00C319FF"/>
    <w:rsid w:val="00C31AB6"/>
    <w:rsid w:val="00C31FE8"/>
    <w:rsid w:val="00C32759"/>
    <w:rsid w:val="00C330A5"/>
    <w:rsid w:val="00C3310F"/>
    <w:rsid w:val="00C3329E"/>
    <w:rsid w:val="00C33397"/>
    <w:rsid w:val="00C333AC"/>
    <w:rsid w:val="00C34509"/>
    <w:rsid w:val="00C347A6"/>
    <w:rsid w:val="00C34C8A"/>
    <w:rsid w:val="00C34DE1"/>
    <w:rsid w:val="00C34F33"/>
    <w:rsid w:val="00C34F51"/>
    <w:rsid w:val="00C3511E"/>
    <w:rsid w:val="00C3518E"/>
    <w:rsid w:val="00C35328"/>
    <w:rsid w:val="00C355CB"/>
    <w:rsid w:val="00C355D5"/>
    <w:rsid w:val="00C35665"/>
    <w:rsid w:val="00C356DA"/>
    <w:rsid w:val="00C3579E"/>
    <w:rsid w:val="00C35995"/>
    <w:rsid w:val="00C36177"/>
    <w:rsid w:val="00C3630C"/>
    <w:rsid w:val="00C36540"/>
    <w:rsid w:val="00C36B6A"/>
    <w:rsid w:val="00C36D48"/>
    <w:rsid w:val="00C36D5C"/>
    <w:rsid w:val="00C3710C"/>
    <w:rsid w:val="00C372A2"/>
    <w:rsid w:val="00C3779E"/>
    <w:rsid w:val="00C377D0"/>
    <w:rsid w:val="00C37A82"/>
    <w:rsid w:val="00C37BC6"/>
    <w:rsid w:val="00C37D82"/>
    <w:rsid w:val="00C37DD6"/>
    <w:rsid w:val="00C405FB"/>
    <w:rsid w:val="00C406B2"/>
    <w:rsid w:val="00C4078C"/>
    <w:rsid w:val="00C40A6F"/>
    <w:rsid w:val="00C40D00"/>
    <w:rsid w:val="00C40D24"/>
    <w:rsid w:val="00C41192"/>
    <w:rsid w:val="00C414D2"/>
    <w:rsid w:val="00C417A9"/>
    <w:rsid w:val="00C4198F"/>
    <w:rsid w:val="00C41AAF"/>
    <w:rsid w:val="00C41B17"/>
    <w:rsid w:val="00C41E28"/>
    <w:rsid w:val="00C426E4"/>
    <w:rsid w:val="00C427C8"/>
    <w:rsid w:val="00C42C51"/>
    <w:rsid w:val="00C42D2F"/>
    <w:rsid w:val="00C437A7"/>
    <w:rsid w:val="00C43C16"/>
    <w:rsid w:val="00C43C97"/>
    <w:rsid w:val="00C43D8B"/>
    <w:rsid w:val="00C43EF5"/>
    <w:rsid w:val="00C4419F"/>
    <w:rsid w:val="00C44590"/>
    <w:rsid w:val="00C44B14"/>
    <w:rsid w:val="00C44FA2"/>
    <w:rsid w:val="00C44FBB"/>
    <w:rsid w:val="00C454F7"/>
    <w:rsid w:val="00C45682"/>
    <w:rsid w:val="00C45DAA"/>
    <w:rsid w:val="00C4640F"/>
    <w:rsid w:val="00C46433"/>
    <w:rsid w:val="00C464D9"/>
    <w:rsid w:val="00C466A1"/>
    <w:rsid w:val="00C466FE"/>
    <w:rsid w:val="00C46946"/>
    <w:rsid w:val="00C46A6B"/>
    <w:rsid w:val="00C46AEE"/>
    <w:rsid w:val="00C46FF9"/>
    <w:rsid w:val="00C4712E"/>
    <w:rsid w:val="00C476A9"/>
    <w:rsid w:val="00C476E7"/>
    <w:rsid w:val="00C47D10"/>
    <w:rsid w:val="00C47E35"/>
    <w:rsid w:val="00C47F80"/>
    <w:rsid w:val="00C501F4"/>
    <w:rsid w:val="00C5037B"/>
    <w:rsid w:val="00C509C9"/>
    <w:rsid w:val="00C50FF2"/>
    <w:rsid w:val="00C51031"/>
    <w:rsid w:val="00C51236"/>
    <w:rsid w:val="00C5142B"/>
    <w:rsid w:val="00C51439"/>
    <w:rsid w:val="00C517CA"/>
    <w:rsid w:val="00C51896"/>
    <w:rsid w:val="00C5198F"/>
    <w:rsid w:val="00C51993"/>
    <w:rsid w:val="00C51B8D"/>
    <w:rsid w:val="00C51BC9"/>
    <w:rsid w:val="00C51C4A"/>
    <w:rsid w:val="00C520CD"/>
    <w:rsid w:val="00C52400"/>
    <w:rsid w:val="00C5265E"/>
    <w:rsid w:val="00C5271B"/>
    <w:rsid w:val="00C5287C"/>
    <w:rsid w:val="00C52E72"/>
    <w:rsid w:val="00C530F9"/>
    <w:rsid w:val="00C53245"/>
    <w:rsid w:val="00C535D6"/>
    <w:rsid w:val="00C539E1"/>
    <w:rsid w:val="00C53E36"/>
    <w:rsid w:val="00C547A8"/>
    <w:rsid w:val="00C54835"/>
    <w:rsid w:val="00C54947"/>
    <w:rsid w:val="00C54C98"/>
    <w:rsid w:val="00C555C9"/>
    <w:rsid w:val="00C557DD"/>
    <w:rsid w:val="00C557DE"/>
    <w:rsid w:val="00C55862"/>
    <w:rsid w:val="00C55CA2"/>
    <w:rsid w:val="00C55FC0"/>
    <w:rsid w:val="00C560E6"/>
    <w:rsid w:val="00C567F6"/>
    <w:rsid w:val="00C56872"/>
    <w:rsid w:val="00C569C5"/>
    <w:rsid w:val="00C56A60"/>
    <w:rsid w:val="00C57032"/>
    <w:rsid w:val="00C57432"/>
    <w:rsid w:val="00C57571"/>
    <w:rsid w:val="00C57620"/>
    <w:rsid w:val="00C579A8"/>
    <w:rsid w:val="00C57AE4"/>
    <w:rsid w:val="00C57C04"/>
    <w:rsid w:val="00C57CE7"/>
    <w:rsid w:val="00C600F0"/>
    <w:rsid w:val="00C601DB"/>
    <w:rsid w:val="00C6023C"/>
    <w:rsid w:val="00C60430"/>
    <w:rsid w:val="00C6057D"/>
    <w:rsid w:val="00C607BD"/>
    <w:rsid w:val="00C6140C"/>
    <w:rsid w:val="00C61450"/>
    <w:rsid w:val="00C61755"/>
    <w:rsid w:val="00C61F35"/>
    <w:rsid w:val="00C6256B"/>
    <w:rsid w:val="00C6266F"/>
    <w:rsid w:val="00C62729"/>
    <w:rsid w:val="00C629AB"/>
    <w:rsid w:val="00C63050"/>
    <w:rsid w:val="00C63056"/>
    <w:rsid w:val="00C6334F"/>
    <w:rsid w:val="00C63674"/>
    <w:rsid w:val="00C63751"/>
    <w:rsid w:val="00C6389E"/>
    <w:rsid w:val="00C63B12"/>
    <w:rsid w:val="00C63B82"/>
    <w:rsid w:val="00C63DEE"/>
    <w:rsid w:val="00C63E40"/>
    <w:rsid w:val="00C6410B"/>
    <w:rsid w:val="00C6436B"/>
    <w:rsid w:val="00C6447A"/>
    <w:rsid w:val="00C64617"/>
    <w:rsid w:val="00C64980"/>
    <w:rsid w:val="00C64A0A"/>
    <w:rsid w:val="00C64B2E"/>
    <w:rsid w:val="00C64B75"/>
    <w:rsid w:val="00C64C07"/>
    <w:rsid w:val="00C64DF3"/>
    <w:rsid w:val="00C65289"/>
    <w:rsid w:val="00C653CD"/>
    <w:rsid w:val="00C65747"/>
    <w:rsid w:val="00C65749"/>
    <w:rsid w:val="00C65A43"/>
    <w:rsid w:val="00C65D9E"/>
    <w:rsid w:val="00C65DC8"/>
    <w:rsid w:val="00C65EA8"/>
    <w:rsid w:val="00C6640F"/>
    <w:rsid w:val="00C66490"/>
    <w:rsid w:val="00C66AED"/>
    <w:rsid w:val="00C66E1A"/>
    <w:rsid w:val="00C66EE5"/>
    <w:rsid w:val="00C6769B"/>
    <w:rsid w:val="00C678AE"/>
    <w:rsid w:val="00C678E9"/>
    <w:rsid w:val="00C679F6"/>
    <w:rsid w:val="00C67BEF"/>
    <w:rsid w:val="00C67C68"/>
    <w:rsid w:val="00C67CCD"/>
    <w:rsid w:val="00C67D23"/>
    <w:rsid w:val="00C67FAE"/>
    <w:rsid w:val="00C70579"/>
    <w:rsid w:val="00C707C9"/>
    <w:rsid w:val="00C707F0"/>
    <w:rsid w:val="00C70AAB"/>
    <w:rsid w:val="00C70C2B"/>
    <w:rsid w:val="00C70F2E"/>
    <w:rsid w:val="00C70FFE"/>
    <w:rsid w:val="00C715B0"/>
    <w:rsid w:val="00C71986"/>
    <w:rsid w:val="00C71A05"/>
    <w:rsid w:val="00C71ADB"/>
    <w:rsid w:val="00C71D8D"/>
    <w:rsid w:val="00C71DCD"/>
    <w:rsid w:val="00C71FDB"/>
    <w:rsid w:val="00C723E3"/>
    <w:rsid w:val="00C724B7"/>
    <w:rsid w:val="00C72714"/>
    <w:rsid w:val="00C727CD"/>
    <w:rsid w:val="00C72AC8"/>
    <w:rsid w:val="00C72C1D"/>
    <w:rsid w:val="00C72DD1"/>
    <w:rsid w:val="00C72F67"/>
    <w:rsid w:val="00C7324D"/>
    <w:rsid w:val="00C7352D"/>
    <w:rsid w:val="00C735A4"/>
    <w:rsid w:val="00C735F9"/>
    <w:rsid w:val="00C738E4"/>
    <w:rsid w:val="00C73BE1"/>
    <w:rsid w:val="00C73FE5"/>
    <w:rsid w:val="00C7422C"/>
    <w:rsid w:val="00C7431E"/>
    <w:rsid w:val="00C7486C"/>
    <w:rsid w:val="00C74ACD"/>
    <w:rsid w:val="00C74D70"/>
    <w:rsid w:val="00C74E5E"/>
    <w:rsid w:val="00C75040"/>
    <w:rsid w:val="00C75081"/>
    <w:rsid w:val="00C75114"/>
    <w:rsid w:val="00C7517A"/>
    <w:rsid w:val="00C754F6"/>
    <w:rsid w:val="00C7562F"/>
    <w:rsid w:val="00C75707"/>
    <w:rsid w:val="00C7595C"/>
    <w:rsid w:val="00C75A44"/>
    <w:rsid w:val="00C75BBD"/>
    <w:rsid w:val="00C75CA9"/>
    <w:rsid w:val="00C75EC9"/>
    <w:rsid w:val="00C75FDA"/>
    <w:rsid w:val="00C7637B"/>
    <w:rsid w:val="00C7668A"/>
    <w:rsid w:val="00C76977"/>
    <w:rsid w:val="00C76DC1"/>
    <w:rsid w:val="00C77141"/>
    <w:rsid w:val="00C7718D"/>
    <w:rsid w:val="00C77B5D"/>
    <w:rsid w:val="00C77DA6"/>
    <w:rsid w:val="00C77E0E"/>
    <w:rsid w:val="00C77E27"/>
    <w:rsid w:val="00C801E8"/>
    <w:rsid w:val="00C80248"/>
    <w:rsid w:val="00C80312"/>
    <w:rsid w:val="00C80C21"/>
    <w:rsid w:val="00C81078"/>
    <w:rsid w:val="00C81710"/>
    <w:rsid w:val="00C81755"/>
    <w:rsid w:val="00C8210A"/>
    <w:rsid w:val="00C82498"/>
    <w:rsid w:val="00C82810"/>
    <w:rsid w:val="00C82863"/>
    <w:rsid w:val="00C8288E"/>
    <w:rsid w:val="00C82BBD"/>
    <w:rsid w:val="00C82ED1"/>
    <w:rsid w:val="00C833BB"/>
    <w:rsid w:val="00C83470"/>
    <w:rsid w:val="00C834FC"/>
    <w:rsid w:val="00C83752"/>
    <w:rsid w:val="00C83753"/>
    <w:rsid w:val="00C83AAA"/>
    <w:rsid w:val="00C83EC4"/>
    <w:rsid w:val="00C83FF0"/>
    <w:rsid w:val="00C84546"/>
    <w:rsid w:val="00C846D0"/>
    <w:rsid w:val="00C84874"/>
    <w:rsid w:val="00C84CAB"/>
    <w:rsid w:val="00C8509D"/>
    <w:rsid w:val="00C85870"/>
    <w:rsid w:val="00C85A47"/>
    <w:rsid w:val="00C85B4F"/>
    <w:rsid w:val="00C860DE"/>
    <w:rsid w:val="00C8649A"/>
    <w:rsid w:val="00C869C5"/>
    <w:rsid w:val="00C86A63"/>
    <w:rsid w:val="00C86B59"/>
    <w:rsid w:val="00C86EFC"/>
    <w:rsid w:val="00C87218"/>
    <w:rsid w:val="00C87403"/>
    <w:rsid w:val="00C876EE"/>
    <w:rsid w:val="00C877C7"/>
    <w:rsid w:val="00C87844"/>
    <w:rsid w:val="00C878EE"/>
    <w:rsid w:val="00C879C4"/>
    <w:rsid w:val="00C87A7A"/>
    <w:rsid w:val="00C87FB9"/>
    <w:rsid w:val="00C90442"/>
    <w:rsid w:val="00C90ECF"/>
    <w:rsid w:val="00C90EE5"/>
    <w:rsid w:val="00C9119A"/>
    <w:rsid w:val="00C91572"/>
    <w:rsid w:val="00C9169D"/>
    <w:rsid w:val="00C919D9"/>
    <w:rsid w:val="00C91D50"/>
    <w:rsid w:val="00C92156"/>
    <w:rsid w:val="00C92443"/>
    <w:rsid w:val="00C92E96"/>
    <w:rsid w:val="00C93125"/>
    <w:rsid w:val="00C9316D"/>
    <w:rsid w:val="00C93C50"/>
    <w:rsid w:val="00C94A56"/>
    <w:rsid w:val="00C94AF1"/>
    <w:rsid w:val="00C94B11"/>
    <w:rsid w:val="00C94F9C"/>
    <w:rsid w:val="00C95104"/>
    <w:rsid w:val="00C951CC"/>
    <w:rsid w:val="00C952E5"/>
    <w:rsid w:val="00C954A0"/>
    <w:rsid w:val="00C95642"/>
    <w:rsid w:val="00C95673"/>
    <w:rsid w:val="00C95690"/>
    <w:rsid w:val="00C95773"/>
    <w:rsid w:val="00C9599D"/>
    <w:rsid w:val="00C95AD8"/>
    <w:rsid w:val="00C9673F"/>
    <w:rsid w:val="00C96C4F"/>
    <w:rsid w:val="00C9784B"/>
    <w:rsid w:val="00C97A60"/>
    <w:rsid w:val="00C97B3D"/>
    <w:rsid w:val="00C97DD2"/>
    <w:rsid w:val="00CA014B"/>
    <w:rsid w:val="00CA023E"/>
    <w:rsid w:val="00CA0276"/>
    <w:rsid w:val="00CA0570"/>
    <w:rsid w:val="00CA082D"/>
    <w:rsid w:val="00CA0A2F"/>
    <w:rsid w:val="00CA0A7C"/>
    <w:rsid w:val="00CA0D85"/>
    <w:rsid w:val="00CA0FFF"/>
    <w:rsid w:val="00CA11A7"/>
    <w:rsid w:val="00CA1209"/>
    <w:rsid w:val="00CA12BE"/>
    <w:rsid w:val="00CA163D"/>
    <w:rsid w:val="00CA1843"/>
    <w:rsid w:val="00CA1AC1"/>
    <w:rsid w:val="00CA1C09"/>
    <w:rsid w:val="00CA1C82"/>
    <w:rsid w:val="00CA1E1D"/>
    <w:rsid w:val="00CA2368"/>
    <w:rsid w:val="00CA2496"/>
    <w:rsid w:val="00CA279D"/>
    <w:rsid w:val="00CA2D25"/>
    <w:rsid w:val="00CA2D56"/>
    <w:rsid w:val="00CA2E49"/>
    <w:rsid w:val="00CA3174"/>
    <w:rsid w:val="00CA3B6B"/>
    <w:rsid w:val="00CA3E47"/>
    <w:rsid w:val="00CA3E8B"/>
    <w:rsid w:val="00CA4092"/>
    <w:rsid w:val="00CA41F4"/>
    <w:rsid w:val="00CA43CE"/>
    <w:rsid w:val="00CA465C"/>
    <w:rsid w:val="00CA4725"/>
    <w:rsid w:val="00CA4A55"/>
    <w:rsid w:val="00CA4AD9"/>
    <w:rsid w:val="00CA4C74"/>
    <w:rsid w:val="00CA4C93"/>
    <w:rsid w:val="00CA54EE"/>
    <w:rsid w:val="00CA55F6"/>
    <w:rsid w:val="00CA58B8"/>
    <w:rsid w:val="00CA5B24"/>
    <w:rsid w:val="00CA5F21"/>
    <w:rsid w:val="00CA6162"/>
    <w:rsid w:val="00CA6392"/>
    <w:rsid w:val="00CA671E"/>
    <w:rsid w:val="00CA6721"/>
    <w:rsid w:val="00CA67F6"/>
    <w:rsid w:val="00CA6B33"/>
    <w:rsid w:val="00CA7386"/>
    <w:rsid w:val="00CA7792"/>
    <w:rsid w:val="00CA79F1"/>
    <w:rsid w:val="00CA7BF0"/>
    <w:rsid w:val="00CA7C63"/>
    <w:rsid w:val="00CA7D70"/>
    <w:rsid w:val="00CA7F2E"/>
    <w:rsid w:val="00CB03F5"/>
    <w:rsid w:val="00CB0612"/>
    <w:rsid w:val="00CB07D1"/>
    <w:rsid w:val="00CB0BF8"/>
    <w:rsid w:val="00CB0D1D"/>
    <w:rsid w:val="00CB0DC1"/>
    <w:rsid w:val="00CB18BA"/>
    <w:rsid w:val="00CB1B2D"/>
    <w:rsid w:val="00CB1F3E"/>
    <w:rsid w:val="00CB1FAA"/>
    <w:rsid w:val="00CB2438"/>
    <w:rsid w:val="00CB28D2"/>
    <w:rsid w:val="00CB2A7C"/>
    <w:rsid w:val="00CB2CB6"/>
    <w:rsid w:val="00CB3188"/>
    <w:rsid w:val="00CB369E"/>
    <w:rsid w:val="00CB37CA"/>
    <w:rsid w:val="00CB3862"/>
    <w:rsid w:val="00CB3892"/>
    <w:rsid w:val="00CB4086"/>
    <w:rsid w:val="00CB417E"/>
    <w:rsid w:val="00CB4727"/>
    <w:rsid w:val="00CB4791"/>
    <w:rsid w:val="00CB4B36"/>
    <w:rsid w:val="00CB4C83"/>
    <w:rsid w:val="00CB4F5E"/>
    <w:rsid w:val="00CB4FC2"/>
    <w:rsid w:val="00CB5160"/>
    <w:rsid w:val="00CB51DA"/>
    <w:rsid w:val="00CB5320"/>
    <w:rsid w:val="00CB550D"/>
    <w:rsid w:val="00CB565D"/>
    <w:rsid w:val="00CB58F2"/>
    <w:rsid w:val="00CB5D07"/>
    <w:rsid w:val="00CB5D1C"/>
    <w:rsid w:val="00CB5D22"/>
    <w:rsid w:val="00CB5FAA"/>
    <w:rsid w:val="00CB6294"/>
    <w:rsid w:val="00CB629C"/>
    <w:rsid w:val="00CB631C"/>
    <w:rsid w:val="00CB6357"/>
    <w:rsid w:val="00CB638D"/>
    <w:rsid w:val="00CB6748"/>
    <w:rsid w:val="00CB692A"/>
    <w:rsid w:val="00CB6AB8"/>
    <w:rsid w:val="00CB735C"/>
    <w:rsid w:val="00CB7425"/>
    <w:rsid w:val="00CB7429"/>
    <w:rsid w:val="00CB745C"/>
    <w:rsid w:val="00CB7909"/>
    <w:rsid w:val="00CB7B06"/>
    <w:rsid w:val="00CB7C01"/>
    <w:rsid w:val="00CB7D40"/>
    <w:rsid w:val="00CB7DB3"/>
    <w:rsid w:val="00CC0207"/>
    <w:rsid w:val="00CC0486"/>
    <w:rsid w:val="00CC04DC"/>
    <w:rsid w:val="00CC065C"/>
    <w:rsid w:val="00CC0B04"/>
    <w:rsid w:val="00CC1103"/>
    <w:rsid w:val="00CC1572"/>
    <w:rsid w:val="00CC1B2B"/>
    <w:rsid w:val="00CC1B33"/>
    <w:rsid w:val="00CC214B"/>
    <w:rsid w:val="00CC238F"/>
    <w:rsid w:val="00CC2759"/>
    <w:rsid w:val="00CC28A0"/>
    <w:rsid w:val="00CC29DF"/>
    <w:rsid w:val="00CC33FC"/>
    <w:rsid w:val="00CC364C"/>
    <w:rsid w:val="00CC3771"/>
    <w:rsid w:val="00CC3971"/>
    <w:rsid w:val="00CC3A1B"/>
    <w:rsid w:val="00CC3B29"/>
    <w:rsid w:val="00CC3C4A"/>
    <w:rsid w:val="00CC3C63"/>
    <w:rsid w:val="00CC3E21"/>
    <w:rsid w:val="00CC3FD1"/>
    <w:rsid w:val="00CC44BB"/>
    <w:rsid w:val="00CC4626"/>
    <w:rsid w:val="00CC49FC"/>
    <w:rsid w:val="00CC4B7D"/>
    <w:rsid w:val="00CC4D30"/>
    <w:rsid w:val="00CC506D"/>
    <w:rsid w:val="00CC5255"/>
    <w:rsid w:val="00CC52A6"/>
    <w:rsid w:val="00CC52C7"/>
    <w:rsid w:val="00CC548E"/>
    <w:rsid w:val="00CC59C4"/>
    <w:rsid w:val="00CC5C37"/>
    <w:rsid w:val="00CC5E9F"/>
    <w:rsid w:val="00CC5EB1"/>
    <w:rsid w:val="00CC6898"/>
    <w:rsid w:val="00CC6930"/>
    <w:rsid w:val="00CC6F62"/>
    <w:rsid w:val="00CC721D"/>
    <w:rsid w:val="00CC73A4"/>
    <w:rsid w:val="00CC786B"/>
    <w:rsid w:val="00CC7B88"/>
    <w:rsid w:val="00CC7C51"/>
    <w:rsid w:val="00CC7D7E"/>
    <w:rsid w:val="00CD01DE"/>
    <w:rsid w:val="00CD0AF2"/>
    <w:rsid w:val="00CD0BA1"/>
    <w:rsid w:val="00CD0C84"/>
    <w:rsid w:val="00CD1019"/>
    <w:rsid w:val="00CD105A"/>
    <w:rsid w:val="00CD11D0"/>
    <w:rsid w:val="00CD1DC1"/>
    <w:rsid w:val="00CD1DD2"/>
    <w:rsid w:val="00CD2106"/>
    <w:rsid w:val="00CD2486"/>
    <w:rsid w:val="00CD28B2"/>
    <w:rsid w:val="00CD2B66"/>
    <w:rsid w:val="00CD2D46"/>
    <w:rsid w:val="00CD3036"/>
    <w:rsid w:val="00CD3160"/>
    <w:rsid w:val="00CD3226"/>
    <w:rsid w:val="00CD32B3"/>
    <w:rsid w:val="00CD3932"/>
    <w:rsid w:val="00CD3ABD"/>
    <w:rsid w:val="00CD3D26"/>
    <w:rsid w:val="00CD3DE1"/>
    <w:rsid w:val="00CD43AD"/>
    <w:rsid w:val="00CD4593"/>
    <w:rsid w:val="00CD46BC"/>
    <w:rsid w:val="00CD47B8"/>
    <w:rsid w:val="00CD4924"/>
    <w:rsid w:val="00CD4981"/>
    <w:rsid w:val="00CD4C59"/>
    <w:rsid w:val="00CD4D71"/>
    <w:rsid w:val="00CD4F1C"/>
    <w:rsid w:val="00CD51A9"/>
    <w:rsid w:val="00CD5295"/>
    <w:rsid w:val="00CD52B0"/>
    <w:rsid w:val="00CD5434"/>
    <w:rsid w:val="00CD5508"/>
    <w:rsid w:val="00CD5772"/>
    <w:rsid w:val="00CD57BF"/>
    <w:rsid w:val="00CD5949"/>
    <w:rsid w:val="00CD594C"/>
    <w:rsid w:val="00CD5AEC"/>
    <w:rsid w:val="00CD5BB8"/>
    <w:rsid w:val="00CD5CCF"/>
    <w:rsid w:val="00CD5E73"/>
    <w:rsid w:val="00CD6059"/>
    <w:rsid w:val="00CD670A"/>
    <w:rsid w:val="00CD6726"/>
    <w:rsid w:val="00CD673F"/>
    <w:rsid w:val="00CD6A2A"/>
    <w:rsid w:val="00CD6C5A"/>
    <w:rsid w:val="00CD6F09"/>
    <w:rsid w:val="00CD70C4"/>
    <w:rsid w:val="00CD71E4"/>
    <w:rsid w:val="00CD71F7"/>
    <w:rsid w:val="00CD72F9"/>
    <w:rsid w:val="00CD749F"/>
    <w:rsid w:val="00CD753B"/>
    <w:rsid w:val="00CD75DE"/>
    <w:rsid w:val="00CD774E"/>
    <w:rsid w:val="00CD78FA"/>
    <w:rsid w:val="00CE0626"/>
    <w:rsid w:val="00CE06B4"/>
    <w:rsid w:val="00CE07C4"/>
    <w:rsid w:val="00CE08CC"/>
    <w:rsid w:val="00CE09D4"/>
    <w:rsid w:val="00CE0CF6"/>
    <w:rsid w:val="00CE0E52"/>
    <w:rsid w:val="00CE0EC7"/>
    <w:rsid w:val="00CE1003"/>
    <w:rsid w:val="00CE1060"/>
    <w:rsid w:val="00CE125D"/>
    <w:rsid w:val="00CE1467"/>
    <w:rsid w:val="00CE1648"/>
    <w:rsid w:val="00CE173D"/>
    <w:rsid w:val="00CE1B3C"/>
    <w:rsid w:val="00CE2018"/>
    <w:rsid w:val="00CE20DD"/>
    <w:rsid w:val="00CE2399"/>
    <w:rsid w:val="00CE25B6"/>
    <w:rsid w:val="00CE25F8"/>
    <w:rsid w:val="00CE2859"/>
    <w:rsid w:val="00CE2A23"/>
    <w:rsid w:val="00CE2AF4"/>
    <w:rsid w:val="00CE2B97"/>
    <w:rsid w:val="00CE2D1C"/>
    <w:rsid w:val="00CE2D3B"/>
    <w:rsid w:val="00CE2EA3"/>
    <w:rsid w:val="00CE2FA7"/>
    <w:rsid w:val="00CE32F0"/>
    <w:rsid w:val="00CE348F"/>
    <w:rsid w:val="00CE36EB"/>
    <w:rsid w:val="00CE36F6"/>
    <w:rsid w:val="00CE397C"/>
    <w:rsid w:val="00CE39EA"/>
    <w:rsid w:val="00CE3B6F"/>
    <w:rsid w:val="00CE3BB8"/>
    <w:rsid w:val="00CE3C18"/>
    <w:rsid w:val="00CE3D30"/>
    <w:rsid w:val="00CE3D5A"/>
    <w:rsid w:val="00CE400F"/>
    <w:rsid w:val="00CE4035"/>
    <w:rsid w:val="00CE422E"/>
    <w:rsid w:val="00CE4A24"/>
    <w:rsid w:val="00CE4EC3"/>
    <w:rsid w:val="00CE5059"/>
    <w:rsid w:val="00CE5657"/>
    <w:rsid w:val="00CE56AB"/>
    <w:rsid w:val="00CE5869"/>
    <w:rsid w:val="00CE5B08"/>
    <w:rsid w:val="00CE5C20"/>
    <w:rsid w:val="00CE5F20"/>
    <w:rsid w:val="00CE60DF"/>
    <w:rsid w:val="00CE632C"/>
    <w:rsid w:val="00CE63F5"/>
    <w:rsid w:val="00CE6737"/>
    <w:rsid w:val="00CE6A50"/>
    <w:rsid w:val="00CE6A71"/>
    <w:rsid w:val="00CE6B82"/>
    <w:rsid w:val="00CE7034"/>
    <w:rsid w:val="00CE7266"/>
    <w:rsid w:val="00CE732D"/>
    <w:rsid w:val="00CE751D"/>
    <w:rsid w:val="00CE77C0"/>
    <w:rsid w:val="00CE7857"/>
    <w:rsid w:val="00CE7978"/>
    <w:rsid w:val="00CE7B0A"/>
    <w:rsid w:val="00CE7CC7"/>
    <w:rsid w:val="00CF076B"/>
    <w:rsid w:val="00CF086B"/>
    <w:rsid w:val="00CF0D32"/>
    <w:rsid w:val="00CF1005"/>
    <w:rsid w:val="00CF12D4"/>
    <w:rsid w:val="00CF1326"/>
    <w:rsid w:val="00CF15F9"/>
    <w:rsid w:val="00CF17BC"/>
    <w:rsid w:val="00CF17CD"/>
    <w:rsid w:val="00CF184A"/>
    <w:rsid w:val="00CF1983"/>
    <w:rsid w:val="00CF19CD"/>
    <w:rsid w:val="00CF1B15"/>
    <w:rsid w:val="00CF1C06"/>
    <w:rsid w:val="00CF1D85"/>
    <w:rsid w:val="00CF1DDE"/>
    <w:rsid w:val="00CF2025"/>
    <w:rsid w:val="00CF2538"/>
    <w:rsid w:val="00CF2772"/>
    <w:rsid w:val="00CF29B6"/>
    <w:rsid w:val="00CF2FF4"/>
    <w:rsid w:val="00CF33F5"/>
    <w:rsid w:val="00CF34CF"/>
    <w:rsid w:val="00CF3731"/>
    <w:rsid w:val="00CF3EFE"/>
    <w:rsid w:val="00CF3F51"/>
    <w:rsid w:val="00CF3FD7"/>
    <w:rsid w:val="00CF403B"/>
    <w:rsid w:val="00CF4576"/>
    <w:rsid w:val="00CF461A"/>
    <w:rsid w:val="00CF46AF"/>
    <w:rsid w:val="00CF4756"/>
    <w:rsid w:val="00CF4933"/>
    <w:rsid w:val="00CF4A73"/>
    <w:rsid w:val="00CF4B65"/>
    <w:rsid w:val="00CF4D70"/>
    <w:rsid w:val="00CF4D7B"/>
    <w:rsid w:val="00CF4D82"/>
    <w:rsid w:val="00CF52CA"/>
    <w:rsid w:val="00CF57C9"/>
    <w:rsid w:val="00CF5C04"/>
    <w:rsid w:val="00CF5D88"/>
    <w:rsid w:val="00CF5DDC"/>
    <w:rsid w:val="00CF600F"/>
    <w:rsid w:val="00CF6082"/>
    <w:rsid w:val="00CF60BC"/>
    <w:rsid w:val="00CF6120"/>
    <w:rsid w:val="00CF62EE"/>
    <w:rsid w:val="00CF6314"/>
    <w:rsid w:val="00CF6B51"/>
    <w:rsid w:val="00CF6BEF"/>
    <w:rsid w:val="00CF6EC5"/>
    <w:rsid w:val="00CF7CEC"/>
    <w:rsid w:val="00CF7DAF"/>
    <w:rsid w:val="00CF7FF8"/>
    <w:rsid w:val="00D00000"/>
    <w:rsid w:val="00D0014F"/>
    <w:rsid w:val="00D0043B"/>
    <w:rsid w:val="00D004C8"/>
    <w:rsid w:val="00D008AD"/>
    <w:rsid w:val="00D00AF1"/>
    <w:rsid w:val="00D00C9D"/>
    <w:rsid w:val="00D01173"/>
    <w:rsid w:val="00D017B7"/>
    <w:rsid w:val="00D01A02"/>
    <w:rsid w:val="00D022E5"/>
    <w:rsid w:val="00D023BF"/>
    <w:rsid w:val="00D025A7"/>
    <w:rsid w:val="00D0279B"/>
    <w:rsid w:val="00D0284C"/>
    <w:rsid w:val="00D03155"/>
    <w:rsid w:val="00D03497"/>
    <w:rsid w:val="00D03541"/>
    <w:rsid w:val="00D03628"/>
    <w:rsid w:val="00D03667"/>
    <w:rsid w:val="00D03B1C"/>
    <w:rsid w:val="00D03C7B"/>
    <w:rsid w:val="00D03DC1"/>
    <w:rsid w:val="00D04198"/>
    <w:rsid w:val="00D0429C"/>
    <w:rsid w:val="00D04881"/>
    <w:rsid w:val="00D04A98"/>
    <w:rsid w:val="00D04C8A"/>
    <w:rsid w:val="00D04D18"/>
    <w:rsid w:val="00D04E71"/>
    <w:rsid w:val="00D0501D"/>
    <w:rsid w:val="00D050C0"/>
    <w:rsid w:val="00D0515F"/>
    <w:rsid w:val="00D054F7"/>
    <w:rsid w:val="00D05760"/>
    <w:rsid w:val="00D059AE"/>
    <w:rsid w:val="00D05B10"/>
    <w:rsid w:val="00D05D67"/>
    <w:rsid w:val="00D0609D"/>
    <w:rsid w:val="00D061F4"/>
    <w:rsid w:val="00D0671C"/>
    <w:rsid w:val="00D0688F"/>
    <w:rsid w:val="00D068CA"/>
    <w:rsid w:val="00D06A95"/>
    <w:rsid w:val="00D06B4A"/>
    <w:rsid w:val="00D06C43"/>
    <w:rsid w:val="00D07095"/>
    <w:rsid w:val="00D071B5"/>
    <w:rsid w:val="00D07A6F"/>
    <w:rsid w:val="00D07AFC"/>
    <w:rsid w:val="00D07B06"/>
    <w:rsid w:val="00D07D08"/>
    <w:rsid w:val="00D07D55"/>
    <w:rsid w:val="00D07EC7"/>
    <w:rsid w:val="00D104F8"/>
    <w:rsid w:val="00D10CF7"/>
    <w:rsid w:val="00D111BE"/>
    <w:rsid w:val="00D11481"/>
    <w:rsid w:val="00D114CD"/>
    <w:rsid w:val="00D1199A"/>
    <w:rsid w:val="00D119C5"/>
    <w:rsid w:val="00D11AC5"/>
    <w:rsid w:val="00D11CFC"/>
    <w:rsid w:val="00D11DEB"/>
    <w:rsid w:val="00D1204C"/>
    <w:rsid w:val="00D121DE"/>
    <w:rsid w:val="00D12643"/>
    <w:rsid w:val="00D126BC"/>
    <w:rsid w:val="00D12764"/>
    <w:rsid w:val="00D12797"/>
    <w:rsid w:val="00D128BA"/>
    <w:rsid w:val="00D12A1C"/>
    <w:rsid w:val="00D12A7B"/>
    <w:rsid w:val="00D12BAD"/>
    <w:rsid w:val="00D12CE7"/>
    <w:rsid w:val="00D132B2"/>
    <w:rsid w:val="00D1359B"/>
    <w:rsid w:val="00D13949"/>
    <w:rsid w:val="00D13C3F"/>
    <w:rsid w:val="00D13F7E"/>
    <w:rsid w:val="00D1430B"/>
    <w:rsid w:val="00D1436A"/>
    <w:rsid w:val="00D1487A"/>
    <w:rsid w:val="00D1489C"/>
    <w:rsid w:val="00D14A6E"/>
    <w:rsid w:val="00D14CB2"/>
    <w:rsid w:val="00D14E62"/>
    <w:rsid w:val="00D1540B"/>
    <w:rsid w:val="00D154F6"/>
    <w:rsid w:val="00D158CE"/>
    <w:rsid w:val="00D159E7"/>
    <w:rsid w:val="00D1603D"/>
    <w:rsid w:val="00D162CE"/>
    <w:rsid w:val="00D16513"/>
    <w:rsid w:val="00D1677E"/>
    <w:rsid w:val="00D167E0"/>
    <w:rsid w:val="00D16C54"/>
    <w:rsid w:val="00D16CD3"/>
    <w:rsid w:val="00D171F5"/>
    <w:rsid w:val="00D1727C"/>
    <w:rsid w:val="00D1787E"/>
    <w:rsid w:val="00D179C4"/>
    <w:rsid w:val="00D17C13"/>
    <w:rsid w:val="00D202F1"/>
    <w:rsid w:val="00D204CC"/>
    <w:rsid w:val="00D20A97"/>
    <w:rsid w:val="00D20AFD"/>
    <w:rsid w:val="00D20B69"/>
    <w:rsid w:val="00D20B6F"/>
    <w:rsid w:val="00D2106A"/>
    <w:rsid w:val="00D21448"/>
    <w:rsid w:val="00D217AA"/>
    <w:rsid w:val="00D21800"/>
    <w:rsid w:val="00D21865"/>
    <w:rsid w:val="00D21AEA"/>
    <w:rsid w:val="00D21BEC"/>
    <w:rsid w:val="00D21D18"/>
    <w:rsid w:val="00D21FE1"/>
    <w:rsid w:val="00D2220B"/>
    <w:rsid w:val="00D2235E"/>
    <w:rsid w:val="00D2247E"/>
    <w:rsid w:val="00D22701"/>
    <w:rsid w:val="00D22C55"/>
    <w:rsid w:val="00D22C81"/>
    <w:rsid w:val="00D22F7A"/>
    <w:rsid w:val="00D2308E"/>
    <w:rsid w:val="00D23334"/>
    <w:rsid w:val="00D233A2"/>
    <w:rsid w:val="00D23446"/>
    <w:rsid w:val="00D234BC"/>
    <w:rsid w:val="00D234D5"/>
    <w:rsid w:val="00D236C6"/>
    <w:rsid w:val="00D23A6F"/>
    <w:rsid w:val="00D23DB7"/>
    <w:rsid w:val="00D23DDD"/>
    <w:rsid w:val="00D2408D"/>
    <w:rsid w:val="00D24333"/>
    <w:rsid w:val="00D244F9"/>
    <w:rsid w:val="00D24537"/>
    <w:rsid w:val="00D245F3"/>
    <w:rsid w:val="00D24666"/>
    <w:rsid w:val="00D246F6"/>
    <w:rsid w:val="00D248B5"/>
    <w:rsid w:val="00D2491B"/>
    <w:rsid w:val="00D24D36"/>
    <w:rsid w:val="00D24D9E"/>
    <w:rsid w:val="00D24DB1"/>
    <w:rsid w:val="00D24FE4"/>
    <w:rsid w:val="00D251E3"/>
    <w:rsid w:val="00D25432"/>
    <w:rsid w:val="00D257C7"/>
    <w:rsid w:val="00D25984"/>
    <w:rsid w:val="00D25B0D"/>
    <w:rsid w:val="00D25BD8"/>
    <w:rsid w:val="00D25D2C"/>
    <w:rsid w:val="00D25E0F"/>
    <w:rsid w:val="00D25E60"/>
    <w:rsid w:val="00D25F8E"/>
    <w:rsid w:val="00D26232"/>
    <w:rsid w:val="00D2648D"/>
    <w:rsid w:val="00D26521"/>
    <w:rsid w:val="00D2676D"/>
    <w:rsid w:val="00D26C09"/>
    <w:rsid w:val="00D26F2F"/>
    <w:rsid w:val="00D2705A"/>
    <w:rsid w:val="00D27405"/>
    <w:rsid w:val="00D27548"/>
    <w:rsid w:val="00D27581"/>
    <w:rsid w:val="00D2762D"/>
    <w:rsid w:val="00D27C3A"/>
    <w:rsid w:val="00D27EC3"/>
    <w:rsid w:val="00D27ED5"/>
    <w:rsid w:val="00D30038"/>
    <w:rsid w:val="00D301B1"/>
    <w:rsid w:val="00D30447"/>
    <w:rsid w:val="00D304C9"/>
    <w:rsid w:val="00D30D89"/>
    <w:rsid w:val="00D31A55"/>
    <w:rsid w:val="00D31D60"/>
    <w:rsid w:val="00D3209D"/>
    <w:rsid w:val="00D320E3"/>
    <w:rsid w:val="00D3225F"/>
    <w:rsid w:val="00D3256E"/>
    <w:rsid w:val="00D32590"/>
    <w:rsid w:val="00D32AB9"/>
    <w:rsid w:val="00D32D2F"/>
    <w:rsid w:val="00D32E09"/>
    <w:rsid w:val="00D32E7F"/>
    <w:rsid w:val="00D32FFF"/>
    <w:rsid w:val="00D33060"/>
    <w:rsid w:val="00D33166"/>
    <w:rsid w:val="00D33319"/>
    <w:rsid w:val="00D33778"/>
    <w:rsid w:val="00D33C6A"/>
    <w:rsid w:val="00D33D4E"/>
    <w:rsid w:val="00D33EDC"/>
    <w:rsid w:val="00D3406A"/>
    <w:rsid w:val="00D340B4"/>
    <w:rsid w:val="00D3419D"/>
    <w:rsid w:val="00D34580"/>
    <w:rsid w:val="00D346FD"/>
    <w:rsid w:val="00D3476C"/>
    <w:rsid w:val="00D34857"/>
    <w:rsid w:val="00D34E97"/>
    <w:rsid w:val="00D3507C"/>
    <w:rsid w:val="00D351C8"/>
    <w:rsid w:val="00D354D0"/>
    <w:rsid w:val="00D35514"/>
    <w:rsid w:val="00D3552C"/>
    <w:rsid w:val="00D35720"/>
    <w:rsid w:val="00D358E8"/>
    <w:rsid w:val="00D35A20"/>
    <w:rsid w:val="00D35F1D"/>
    <w:rsid w:val="00D362FC"/>
    <w:rsid w:val="00D3637D"/>
    <w:rsid w:val="00D36B07"/>
    <w:rsid w:val="00D37327"/>
    <w:rsid w:val="00D37430"/>
    <w:rsid w:val="00D374B3"/>
    <w:rsid w:val="00D37ACA"/>
    <w:rsid w:val="00D37F70"/>
    <w:rsid w:val="00D403A5"/>
    <w:rsid w:val="00D4063E"/>
    <w:rsid w:val="00D40894"/>
    <w:rsid w:val="00D408EC"/>
    <w:rsid w:val="00D41107"/>
    <w:rsid w:val="00D414E9"/>
    <w:rsid w:val="00D4155F"/>
    <w:rsid w:val="00D418E8"/>
    <w:rsid w:val="00D41C53"/>
    <w:rsid w:val="00D41D11"/>
    <w:rsid w:val="00D41D1F"/>
    <w:rsid w:val="00D42567"/>
    <w:rsid w:val="00D4272D"/>
    <w:rsid w:val="00D427EC"/>
    <w:rsid w:val="00D42932"/>
    <w:rsid w:val="00D429FA"/>
    <w:rsid w:val="00D42A5F"/>
    <w:rsid w:val="00D42DC2"/>
    <w:rsid w:val="00D42F59"/>
    <w:rsid w:val="00D42F6B"/>
    <w:rsid w:val="00D43986"/>
    <w:rsid w:val="00D43AE7"/>
    <w:rsid w:val="00D43CAC"/>
    <w:rsid w:val="00D440A6"/>
    <w:rsid w:val="00D441CF"/>
    <w:rsid w:val="00D44214"/>
    <w:rsid w:val="00D44302"/>
    <w:rsid w:val="00D44838"/>
    <w:rsid w:val="00D44AD1"/>
    <w:rsid w:val="00D44C36"/>
    <w:rsid w:val="00D44F1F"/>
    <w:rsid w:val="00D453BF"/>
    <w:rsid w:val="00D455BF"/>
    <w:rsid w:val="00D456DE"/>
    <w:rsid w:val="00D45BDA"/>
    <w:rsid w:val="00D45DCD"/>
    <w:rsid w:val="00D45E03"/>
    <w:rsid w:val="00D46092"/>
    <w:rsid w:val="00D46243"/>
    <w:rsid w:val="00D463FB"/>
    <w:rsid w:val="00D4684A"/>
    <w:rsid w:val="00D46A30"/>
    <w:rsid w:val="00D46AEE"/>
    <w:rsid w:val="00D46CE0"/>
    <w:rsid w:val="00D47F49"/>
    <w:rsid w:val="00D500C7"/>
    <w:rsid w:val="00D502B1"/>
    <w:rsid w:val="00D505D1"/>
    <w:rsid w:val="00D5069A"/>
    <w:rsid w:val="00D50BA6"/>
    <w:rsid w:val="00D50C6B"/>
    <w:rsid w:val="00D50D92"/>
    <w:rsid w:val="00D50FC9"/>
    <w:rsid w:val="00D511FE"/>
    <w:rsid w:val="00D51235"/>
    <w:rsid w:val="00D513E3"/>
    <w:rsid w:val="00D51453"/>
    <w:rsid w:val="00D515AE"/>
    <w:rsid w:val="00D518AE"/>
    <w:rsid w:val="00D51BC4"/>
    <w:rsid w:val="00D51CAB"/>
    <w:rsid w:val="00D51FD4"/>
    <w:rsid w:val="00D52186"/>
    <w:rsid w:val="00D52441"/>
    <w:rsid w:val="00D5248B"/>
    <w:rsid w:val="00D52CD3"/>
    <w:rsid w:val="00D53221"/>
    <w:rsid w:val="00D53236"/>
    <w:rsid w:val="00D53276"/>
    <w:rsid w:val="00D53291"/>
    <w:rsid w:val="00D535FB"/>
    <w:rsid w:val="00D5377D"/>
    <w:rsid w:val="00D53E5F"/>
    <w:rsid w:val="00D54003"/>
    <w:rsid w:val="00D54633"/>
    <w:rsid w:val="00D5465A"/>
    <w:rsid w:val="00D54756"/>
    <w:rsid w:val="00D54953"/>
    <w:rsid w:val="00D54D99"/>
    <w:rsid w:val="00D55029"/>
    <w:rsid w:val="00D5504C"/>
    <w:rsid w:val="00D55262"/>
    <w:rsid w:val="00D55815"/>
    <w:rsid w:val="00D55C5A"/>
    <w:rsid w:val="00D55E37"/>
    <w:rsid w:val="00D56040"/>
    <w:rsid w:val="00D560D5"/>
    <w:rsid w:val="00D5667B"/>
    <w:rsid w:val="00D567C3"/>
    <w:rsid w:val="00D5687C"/>
    <w:rsid w:val="00D56990"/>
    <w:rsid w:val="00D56BF0"/>
    <w:rsid w:val="00D56EB9"/>
    <w:rsid w:val="00D5753F"/>
    <w:rsid w:val="00D57849"/>
    <w:rsid w:val="00D578AB"/>
    <w:rsid w:val="00D5790B"/>
    <w:rsid w:val="00D5796D"/>
    <w:rsid w:val="00D57EFE"/>
    <w:rsid w:val="00D60595"/>
    <w:rsid w:val="00D60F5E"/>
    <w:rsid w:val="00D61032"/>
    <w:rsid w:val="00D6128D"/>
    <w:rsid w:val="00D61391"/>
    <w:rsid w:val="00D61496"/>
    <w:rsid w:val="00D61827"/>
    <w:rsid w:val="00D6182E"/>
    <w:rsid w:val="00D61BE9"/>
    <w:rsid w:val="00D61C53"/>
    <w:rsid w:val="00D61D2D"/>
    <w:rsid w:val="00D61DE5"/>
    <w:rsid w:val="00D61E0A"/>
    <w:rsid w:val="00D62147"/>
    <w:rsid w:val="00D6259D"/>
    <w:rsid w:val="00D62656"/>
    <w:rsid w:val="00D62B80"/>
    <w:rsid w:val="00D62B8B"/>
    <w:rsid w:val="00D62BEA"/>
    <w:rsid w:val="00D633A5"/>
    <w:rsid w:val="00D635F5"/>
    <w:rsid w:val="00D63958"/>
    <w:rsid w:val="00D63B55"/>
    <w:rsid w:val="00D63F09"/>
    <w:rsid w:val="00D64221"/>
    <w:rsid w:val="00D642F6"/>
    <w:rsid w:val="00D6478B"/>
    <w:rsid w:val="00D64C11"/>
    <w:rsid w:val="00D64D0D"/>
    <w:rsid w:val="00D65130"/>
    <w:rsid w:val="00D654BD"/>
    <w:rsid w:val="00D655B2"/>
    <w:rsid w:val="00D65C29"/>
    <w:rsid w:val="00D660C5"/>
    <w:rsid w:val="00D66206"/>
    <w:rsid w:val="00D6690B"/>
    <w:rsid w:val="00D669DF"/>
    <w:rsid w:val="00D66AE1"/>
    <w:rsid w:val="00D66C89"/>
    <w:rsid w:val="00D66CD2"/>
    <w:rsid w:val="00D66FDA"/>
    <w:rsid w:val="00D676C9"/>
    <w:rsid w:val="00D679AE"/>
    <w:rsid w:val="00D67D7D"/>
    <w:rsid w:val="00D7010B"/>
    <w:rsid w:val="00D70149"/>
    <w:rsid w:val="00D70357"/>
    <w:rsid w:val="00D7064B"/>
    <w:rsid w:val="00D707A7"/>
    <w:rsid w:val="00D709FE"/>
    <w:rsid w:val="00D70DD7"/>
    <w:rsid w:val="00D70EC5"/>
    <w:rsid w:val="00D7113A"/>
    <w:rsid w:val="00D711F5"/>
    <w:rsid w:val="00D7131B"/>
    <w:rsid w:val="00D71333"/>
    <w:rsid w:val="00D716F3"/>
    <w:rsid w:val="00D71909"/>
    <w:rsid w:val="00D71D99"/>
    <w:rsid w:val="00D722BC"/>
    <w:rsid w:val="00D724EA"/>
    <w:rsid w:val="00D72A16"/>
    <w:rsid w:val="00D72A4F"/>
    <w:rsid w:val="00D72D7E"/>
    <w:rsid w:val="00D734E6"/>
    <w:rsid w:val="00D73683"/>
    <w:rsid w:val="00D73BAD"/>
    <w:rsid w:val="00D73ECD"/>
    <w:rsid w:val="00D741D5"/>
    <w:rsid w:val="00D7439A"/>
    <w:rsid w:val="00D7468D"/>
    <w:rsid w:val="00D74763"/>
    <w:rsid w:val="00D748B2"/>
    <w:rsid w:val="00D74DEF"/>
    <w:rsid w:val="00D74EE0"/>
    <w:rsid w:val="00D75128"/>
    <w:rsid w:val="00D752E0"/>
    <w:rsid w:val="00D7535A"/>
    <w:rsid w:val="00D75521"/>
    <w:rsid w:val="00D75530"/>
    <w:rsid w:val="00D756FF"/>
    <w:rsid w:val="00D757F4"/>
    <w:rsid w:val="00D757F6"/>
    <w:rsid w:val="00D75CCE"/>
    <w:rsid w:val="00D75DA2"/>
    <w:rsid w:val="00D76088"/>
    <w:rsid w:val="00D760F5"/>
    <w:rsid w:val="00D764FD"/>
    <w:rsid w:val="00D76674"/>
    <w:rsid w:val="00D767A6"/>
    <w:rsid w:val="00D768CB"/>
    <w:rsid w:val="00D76904"/>
    <w:rsid w:val="00D76A09"/>
    <w:rsid w:val="00D76B93"/>
    <w:rsid w:val="00D76BF9"/>
    <w:rsid w:val="00D76D63"/>
    <w:rsid w:val="00D76E12"/>
    <w:rsid w:val="00D76E40"/>
    <w:rsid w:val="00D76F3E"/>
    <w:rsid w:val="00D76F59"/>
    <w:rsid w:val="00D76FF8"/>
    <w:rsid w:val="00D77052"/>
    <w:rsid w:val="00D77756"/>
    <w:rsid w:val="00D77787"/>
    <w:rsid w:val="00D77982"/>
    <w:rsid w:val="00D779D5"/>
    <w:rsid w:val="00D77BED"/>
    <w:rsid w:val="00D77DE6"/>
    <w:rsid w:val="00D77EC7"/>
    <w:rsid w:val="00D800CC"/>
    <w:rsid w:val="00D801EC"/>
    <w:rsid w:val="00D80211"/>
    <w:rsid w:val="00D8067A"/>
    <w:rsid w:val="00D80749"/>
    <w:rsid w:val="00D807BD"/>
    <w:rsid w:val="00D80B19"/>
    <w:rsid w:val="00D80BCB"/>
    <w:rsid w:val="00D81099"/>
    <w:rsid w:val="00D8116F"/>
    <w:rsid w:val="00D82101"/>
    <w:rsid w:val="00D824F5"/>
    <w:rsid w:val="00D825B8"/>
    <w:rsid w:val="00D827DF"/>
    <w:rsid w:val="00D82A67"/>
    <w:rsid w:val="00D82CC8"/>
    <w:rsid w:val="00D83087"/>
    <w:rsid w:val="00D83252"/>
    <w:rsid w:val="00D832FA"/>
    <w:rsid w:val="00D83462"/>
    <w:rsid w:val="00D8399D"/>
    <w:rsid w:val="00D83B36"/>
    <w:rsid w:val="00D83B82"/>
    <w:rsid w:val="00D83CED"/>
    <w:rsid w:val="00D83D83"/>
    <w:rsid w:val="00D841BF"/>
    <w:rsid w:val="00D84266"/>
    <w:rsid w:val="00D84B26"/>
    <w:rsid w:val="00D84ED4"/>
    <w:rsid w:val="00D84FAA"/>
    <w:rsid w:val="00D84FCA"/>
    <w:rsid w:val="00D8574D"/>
    <w:rsid w:val="00D8584A"/>
    <w:rsid w:val="00D85C68"/>
    <w:rsid w:val="00D85DBF"/>
    <w:rsid w:val="00D85FDC"/>
    <w:rsid w:val="00D86013"/>
    <w:rsid w:val="00D86325"/>
    <w:rsid w:val="00D8636C"/>
    <w:rsid w:val="00D86459"/>
    <w:rsid w:val="00D86760"/>
    <w:rsid w:val="00D86F84"/>
    <w:rsid w:val="00D871CB"/>
    <w:rsid w:val="00D878E6"/>
    <w:rsid w:val="00D87916"/>
    <w:rsid w:val="00D87AF1"/>
    <w:rsid w:val="00D87C61"/>
    <w:rsid w:val="00D87D47"/>
    <w:rsid w:val="00D87EB1"/>
    <w:rsid w:val="00D902BE"/>
    <w:rsid w:val="00D907A0"/>
    <w:rsid w:val="00D90E33"/>
    <w:rsid w:val="00D90F24"/>
    <w:rsid w:val="00D91339"/>
    <w:rsid w:val="00D9180E"/>
    <w:rsid w:val="00D91A4E"/>
    <w:rsid w:val="00D920C4"/>
    <w:rsid w:val="00D921F1"/>
    <w:rsid w:val="00D92279"/>
    <w:rsid w:val="00D9246E"/>
    <w:rsid w:val="00D924FC"/>
    <w:rsid w:val="00D926DA"/>
    <w:rsid w:val="00D92824"/>
    <w:rsid w:val="00D92C7D"/>
    <w:rsid w:val="00D9311D"/>
    <w:rsid w:val="00D93238"/>
    <w:rsid w:val="00D933C2"/>
    <w:rsid w:val="00D9361B"/>
    <w:rsid w:val="00D938F5"/>
    <w:rsid w:val="00D93915"/>
    <w:rsid w:val="00D939BD"/>
    <w:rsid w:val="00D93C30"/>
    <w:rsid w:val="00D93D3B"/>
    <w:rsid w:val="00D94671"/>
    <w:rsid w:val="00D94AA9"/>
    <w:rsid w:val="00D95128"/>
    <w:rsid w:val="00D95251"/>
    <w:rsid w:val="00D95861"/>
    <w:rsid w:val="00D95CA3"/>
    <w:rsid w:val="00D95E08"/>
    <w:rsid w:val="00D95E42"/>
    <w:rsid w:val="00D95E9B"/>
    <w:rsid w:val="00D95ED5"/>
    <w:rsid w:val="00D961F7"/>
    <w:rsid w:val="00D965AE"/>
    <w:rsid w:val="00D96786"/>
    <w:rsid w:val="00D9699F"/>
    <w:rsid w:val="00D96BEC"/>
    <w:rsid w:val="00D96D72"/>
    <w:rsid w:val="00D96E41"/>
    <w:rsid w:val="00D96FF2"/>
    <w:rsid w:val="00D97384"/>
    <w:rsid w:val="00D973A1"/>
    <w:rsid w:val="00D974D3"/>
    <w:rsid w:val="00D976C1"/>
    <w:rsid w:val="00D9770D"/>
    <w:rsid w:val="00D9775B"/>
    <w:rsid w:val="00D979FC"/>
    <w:rsid w:val="00D97C95"/>
    <w:rsid w:val="00D97D63"/>
    <w:rsid w:val="00DA03DA"/>
    <w:rsid w:val="00DA05E4"/>
    <w:rsid w:val="00DA05EA"/>
    <w:rsid w:val="00DA1275"/>
    <w:rsid w:val="00DA1690"/>
    <w:rsid w:val="00DA1A42"/>
    <w:rsid w:val="00DA1CAF"/>
    <w:rsid w:val="00DA1FEA"/>
    <w:rsid w:val="00DA21BF"/>
    <w:rsid w:val="00DA2295"/>
    <w:rsid w:val="00DA2EF4"/>
    <w:rsid w:val="00DA3196"/>
    <w:rsid w:val="00DA3416"/>
    <w:rsid w:val="00DA3801"/>
    <w:rsid w:val="00DA3D73"/>
    <w:rsid w:val="00DA3DCF"/>
    <w:rsid w:val="00DA3F41"/>
    <w:rsid w:val="00DA4094"/>
    <w:rsid w:val="00DA40A5"/>
    <w:rsid w:val="00DA40B1"/>
    <w:rsid w:val="00DA432D"/>
    <w:rsid w:val="00DA479B"/>
    <w:rsid w:val="00DA47C2"/>
    <w:rsid w:val="00DA4933"/>
    <w:rsid w:val="00DA4B11"/>
    <w:rsid w:val="00DA4B91"/>
    <w:rsid w:val="00DA51A7"/>
    <w:rsid w:val="00DA5407"/>
    <w:rsid w:val="00DA5A21"/>
    <w:rsid w:val="00DA5B3E"/>
    <w:rsid w:val="00DA5C5A"/>
    <w:rsid w:val="00DA5D85"/>
    <w:rsid w:val="00DA5E09"/>
    <w:rsid w:val="00DA5F94"/>
    <w:rsid w:val="00DA602F"/>
    <w:rsid w:val="00DA6409"/>
    <w:rsid w:val="00DA6920"/>
    <w:rsid w:val="00DA6E0D"/>
    <w:rsid w:val="00DA6FBE"/>
    <w:rsid w:val="00DA7087"/>
    <w:rsid w:val="00DA740F"/>
    <w:rsid w:val="00DA7786"/>
    <w:rsid w:val="00DA78C4"/>
    <w:rsid w:val="00DA7C94"/>
    <w:rsid w:val="00DA7CF7"/>
    <w:rsid w:val="00DA7DAA"/>
    <w:rsid w:val="00DB0066"/>
    <w:rsid w:val="00DB0128"/>
    <w:rsid w:val="00DB029F"/>
    <w:rsid w:val="00DB0761"/>
    <w:rsid w:val="00DB07C1"/>
    <w:rsid w:val="00DB0E66"/>
    <w:rsid w:val="00DB0EB6"/>
    <w:rsid w:val="00DB1025"/>
    <w:rsid w:val="00DB1108"/>
    <w:rsid w:val="00DB1165"/>
    <w:rsid w:val="00DB1189"/>
    <w:rsid w:val="00DB18AA"/>
    <w:rsid w:val="00DB1AB0"/>
    <w:rsid w:val="00DB1ACB"/>
    <w:rsid w:val="00DB1C35"/>
    <w:rsid w:val="00DB1E9D"/>
    <w:rsid w:val="00DB21E2"/>
    <w:rsid w:val="00DB25E4"/>
    <w:rsid w:val="00DB2601"/>
    <w:rsid w:val="00DB26D1"/>
    <w:rsid w:val="00DB2BED"/>
    <w:rsid w:val="00DB2F66"/>
    <w:rsid w:val="00DB3875"/>
    <w:rsid w:val="00DB3A28"/>
    <w:rsid w:val="00DB3A8E"/>
    <w:rsid w:val="00DB3C79"/>
    <w:rsid w:val="00DB40BA"/>
    <w:rsid w:val="00DB41F0"/>
    <w:rsid w:val="00DB43B9"/>
    <w:rsid w:val="00DB4402"/>
    <w:rsid w:val="00DB453F"/>
    <w:rsid w:val="00DB4685"/>
    <w:rsid w:val="00DB4B49"/>
    <w:rsid w:val="00DB4C80"/>
    <w:rsid w:val="00DB4D80"/>
    <w:rsid w:val="00DB4E68"/>
    <w:rsid w:val="00DB5087"/>
    <w:rsid w:val="00DB5348"/>
    <w:rsid w:val="00DB54AE"/>
    <w:rsid w:val="00DB54D9"/>
    <w:rsid w:val="00DB5780"/>
    <w:rsid w:val="00DB592B"/>
    <w:rsid w:val="00DB5AA5"/>
    <w:rsid w:val="00DB5F97"/>
    <w:rsid w:val="00DB67E0"/>
    <w:rsid w:val="00DB6863"/>
    <w:rsid w:val="00DB696B"/>
    <w:rsid w:val="00DB6B7B"/>
    <w:rsid w:val="00DB6CDE"/>
    <w:rsid w:val="00DB6D0E"/>
    <w:rsid w:val="00DB7114"/>
    <w:rsid w:val="00DB77B1"/>
    <w:rsid w:val="00DB7973"/>
    <w:rsid w:val="00DB7B5E"/>
    <w:rsid w:val="00DB7E6C"/>
    <w:rsid w:val="00DB7EE8"/>
    <w:rsid w:val="00DC00F6"/>
    <w:rsid w:val="00DC063F"/>
    <w:rsid w:val="00DC0681"/>
    <w:rsid w:val="00DC07B4"/>
    <w:rsid w:val="00DC07C3"/>
    <w:rsid w:val="00DC080B"/>
    <w:rsid w:val="00DC081A"/>
    <w:rsid w:val="00DC0BA5"/>
    <w:rsid w:val="00DC0BC0"/>
    <w:rsid w:val="00DC0F7D"/>
    <w:rsid w:val="00DC108F"/>
    <w:rsid w:val="00DC1165"/>
    <w:rsid w:val="00DC137A"/>
    <w:rsid w:val="00DC1B01"/>
    <w:rsid w:val="00DC1B28"/>
    <w:rsid w:val="00DC1B46"/>
    <w:rsid w:val="00DC1D72"/>
    <w:rsid w:val="00DC1EFB"/>
    <w:rsid w:val="00DC2083"/>
    <w:rsid w:val="00DC21FB"/>
    <w:rsid w:val="00DC2497"/>
    <w:rsid w:val="00DC261A"/>
    <w:rsid w:val="00DC26D8"/>
    <w:rsid w:val="00DC283B"/>
    <w:rsid w:val="00DC29D6"/>
    <w:rsid w:val="00DC29DA"/>
    <w:rsid w:val="00DC2D7E"/>
    <w:rsid w:val="00DC2FD1"/>
    <w:rsid w:val="00DC3090"/>
    <w:rsid w:val="00DC37B4"/>
    <w:rsid w:val="00DC380D"/>
    <w:rsid w:val="00DC3A81"/>
    <w:rsid w:val="00DC3C36"/>
    <w:rsid w:val="00DC3FCA"/>
    <w:rsid w:val="00DC41C0"/>
    <w:rsid w:val="00DC4409"/>
    <w:rsid w:val="00DC480E"/>
    <w:rsid w:val="00DC544C"/>
    <w:rsid w:val="00DC58A3"/>
    <w:rsid w:val="00DC58C6"/>
    <w:rsid w:val="00DC5D11"/>
    <w:rsid w:val="00DC5F07"/>
    <w:rsid w:val="00DC5FDB"/>
    <w:rsid w:val="00DC60C9"/>
    <w:rsid w:val="00DC624A"/>
    <w:rsid w:val="00DC6337"/>
    <w:rsid w:val="00DC6765"/>
    <w:rsid w:val="00DC6806"/>
    <w:rsid w:val="00DC6AA3"/>
    <w:rsid w:val="00DC6ACB"/>
    <w:rsid w:val="00DC719C"/>
    <w:rsid w:val="00DC738B"/>
    <w:rsid w:val="00DC74CC"/>
    <w:rsid w:val="00DC74E8"/>
    <w:rsid w:val="00DC7C6A"/>
    <w:rsid w:val="00DD0301"/>
    <w:rsid w:val="00DD04E4"/>
    <w:rsid w:val="00DD0636"/>
    <w:rsid w:val="00DD08DE"/>
    <w:rsid w:val="00DD0A0E"/>
    <w:rsid w:val="00DD0A79"/>
    <w:rsid w:val="00DD0AD2"/>
    <w:rsid w:val="00DD0DE4"/>
    <w:rsid w:val="00DD0F5B"/>
    <w:rsid w:val="00DD10DD"/>
    <w:rsid w:val="00DD1520"/>
    <w:rsid w:val="00DD189C"/>
    <w:rsid w:val="00DD1A71"/>
    <w:rsid w:val="00DD1EE4"/>
    <w:rsid w:val="00DD1FF9"/>
    <w:rsid w:val="00DD20C0"/>
    <w:rsid w:val="00DD2138"/>
    <w:rsid w:val="00DD21E3"/>
    <w:rsid w:val="00DD2761"/>
    <w:rsid w:val="00DD27A8"/>
    <w:rsid w:val="00DD2830"/>
    <w:rsid w:val="00DD2983"/>
    <w:rsid w:val="00DD30BA"/>
    <w:rsid w:val="00DD328D"/>
    <w:rsid w:val="00DD343E"/>
    <w:rsid w:val="00DD383F"/>
    <w:rsid w:val="00DD3AE8"/>
    <w:rsid w:val="00DD3AFA"/>
    <w:rsid w:val="00DD403F"/>
    <w:rsid w:val="00DD4093"/>
    <w:rsid w:val="00DD420D"/>
    <w:rsid w:val="00DD429C"/>
    <w:rsid w:val="00DD439A"/>
    <w:rsid w:val="00DD4561"/>
    <w:rsid w:val="00DD4873"/>
    <w:rsid w:val="00DD495A"/>
    <w:rsid w:val="00DD49DC"/>
    <w:rsid w:val="00DD4AA1"/>
    <w:rsid w:val="00DD4C99"/>
    <w:rsid w:val="00DD4DC1"/>
    <w:rsid w:val="00DD4EF7"/>
    <w:rsid w:val="00DD55C2"/>
    <w:rsid w:val="00DD5904"/>
    <w:rsid w:val="00DD590C"/>
    <w:rsid w:val="00DD5918"/>
    <w:rsid w:val="00DD59B1"/>
    <w:rsid w:val="00DD5D19"/>
    <w:rsid w:val="00DD6256"/>
    <w:rsid w:val="00DD63F9"/>
    <w:rsid w:val="00DD6909"/>
    <w:rsid w:val="00DD6911"/>
    <w:rsid w:val="00DD695D"/>
    <w:rsid w:val="00DD7141"/>
    <w:rsid w:val="00DD715F"/>
    <w:rsid w:val="00DD7457"/>
    <w:rsid w:val="00DD7ADE"/>
    <w:rsid w:val="00DD7C4D"/>
    <w:rsid w:val="00DD7C91"/>
    <w:rsid w:val="00DD7E0F"/>
    <w:rsid w:val="00DE01FB"/>
    <w:rsid w:val="00DE0557"/>
    <w:rsid w:val="00DE0691"/>
    <w:rsid w:val="00DE101C"/>
    <w:rsid w:val="00DE1762"/>
    <w:rsid w:val="00DE18D6"/>
    <w:rsid w:val="00DE1AC8"/>
    <w:rsid w:val="00DE2245"/>
    <w:rsid w:val="00DE2389"/>
    <w:rsid w:val="00DE241D"/>
    <w:rsid w:val="00DE2527"/>
    <w:rsid w:val="00DE26F2"/>
    <w:rsid w:val="00DE2A6D"/>
    <w:rsid w:val="00DE2BCC"/>
    <w:rsid w:val="00DE2D47"/>
    <w:rsid w:val="00DE2E1F"/>
    <w:rsid w:val="00DE2ED7"/>
    <w:rsid w:val="00DE30E4"/>
    <w:rsid w:val="00DE3347"/>
    <w:rsid w:val="00DE39A9"/>
    <w:rsid w:val="00DE3A46"/>
    <w:rsid w:val="00DE3BF7"/>
    <w:rsid w:val="00DE474C"/>
    <w:rsid w:val="00DE47EC"/>
    <w:rsid w:val="00DE4A48"/>
    <w:rsid w:val="00DE4AA2"/>
    <w:rsid w:val="00DE4B5D"/>
    <w:rsid w:val="00DE4CD4"/>
    <w:rsid w:val="00DE4D1D"/>
    <w:rsid w:val="00DE506E"/>
    <w:rsid w:val="00DE50C7"/>
    <w:rsid w:val="00DE545B"/>
    <w:rsid w:val="00DE56C4"/>
    <w:rsid w:val="00DE5831"/>
    <w:rsid w:val="00DE5FDB"/>
    <w:rsid w:val="00DE6112"/>
    <w:rsid w:val="00DE6311"/>
    <w:rsid w:val="00DE63CC"/>
    <w:rsid w:val="00DE650A"/>
    <w:rsid w:val="00DE656D"/>
    <w:rsid w:val="00DE670D"/>
    <w:rsid w:val="00DE6DCC"/>
    <w:rsid w:val="00DE716B"/>
    <w:rsid w:val="00DE7256"/>
    <w:rsid w:val="00DE76F7"/>
    <w:rsid w:val="00DE783F"/>
    <w:rsid w:val="00DE79B8"/>
    <w:rsid w:val="00DF011D"/>
    <w:rsid w:val="00DF02E6"/>
    <w:rsid w:val="00DF04FB"/>
    <w:rsid w:val="00DF0792"/>
    <w:rsid w:val="00DF07D1"/>
    <w:rsid w:val="00DF0A62"/>
    <w:rsid w:val="00DF0AA9"/>
    <w:rsid w:val="00DF0C17"/>
    <w:rsid w:val="00DF0DD8"/>
    <w:rsid w:val="00DF11C1"/>
    <w:rsid w:val="00DF16A9"/>
    <w:rsid w:val="00DF1728"/>
    <w:rsid w:val="00DF1732"/>
    <w:rsid w:val="00DF177C"/>
    <w:rsid w:val="00DF1B4E"/>
    <w:rsid w:val="00DF1C71"/>
    <w:rsid w:val="00DF26DD"/>
    <w:rsid w:val="00DF2787"/>
    <w:rsid w:val="00DF29B4"/>
    <w:rsid w:val="00DF2A08"/>
    <w:rsid w:val="00DF3264"/>
    <w:rsid w:val="00DF33A1"/>
    <w:rsid w:val="00DF35E9"/>
    <w:rsid w:val="00DF3644"/>
    <w:rsid w:val="00DF3E6D"/>
    <w:rsid w:val="00DF3F0E"/>
    <w:rsid w:val="00DF3FD3"/>
    <w:rsid w:val="00DF4002"/>
    <w:rsid w:val="00DF40AC"/>
    <w:rsid w:val="00DF44CF"/>
    <w:rsid w:val="00DF4580"/>
    <w:rsid w:val="00DF464E"/>
    <w:rsid w:val="00DF46A4"/>
    <w:rsid w:val="00DF487A"/>
    <w:rsid w:val="00DF4962"/>
    <w:rsid w:val="00DF4B9C"/>
    <w:rsid w:val="00DF4DAA"/>
    <w:rsid w:val="00DF52D1"/>
    <w:rsid w:val="00DF573C"/>
    <w:rsid w:val="00DF578F"/>
    <w:rsid w:val="00DF5B52"/>
    <w:rsid w:val="00DF5D24"/>
    <w:rsid w:val="00DF5D34"/>
    <w:rsid w:val="00DF5E91"/>
    <w:rsid w:val="00DF6DE3"/>
    <w:rsid w:val="00DF70DC"/>
    <w:rsid w:val="00DF7264"/>
    <w:rsid w:val="00DF7325"/>
    <w:rsid w:val="00DF768C"/>
    <w:rsid w:val="00DF79D8"/>
    <w:rsid w:val="00DF7A40"/>
    <w:rsid w:val="00DF7B96"/>
    <w:rsid w:val="00DF7DC0"/>
    <w:rsid w:val="00DF7ED6"/>
    <w:rsid w:val="00E0008E"/>
    <w:rsid w:val="00E00259"/>
    <w:rsid w:val="00E008E2"/>
    <w:rsid w:val="00E00FD9"/>
    <w:rsid w:val="00E0117F"/>
    <w:rsid w:val="00E012D6"/>
    <w:rsid w:val="00E01980"/>
    <w:rsid w:val="00E01A88"/>
    <w:rsid w:val="00E01CA1"/>
    <w:rsid w:val="00E0201F"/>
    <w:rsid w:val="00E0204A"/>
    <w:rsid w:val="00E0211F"/>
    <w:rsid w:val="00E02168"/>
    <w:rsid w:val="00E02374"/>
    <w:rsid w:val="00E023DC"/>
    <w:rsid w:val="00E025FD"/>
    <w:rsid w:val="00E02840"/>
    <w:rsid w:val="00E02CB5"/>
    <w:rsid w:val="00E02E7F"/>
    <w:rsid w:val="00E0343D"/>
    <w:rsid w:val="00E03473"/>
    <w:rsid w:val="00E034F0"/>
    <w:rsid w:val="00E03662"/>
    <w:rsid w:val="00E03A3A"/>
    <w:rsid w:val="00E03BF4"/>
    <w:rsid w:val="00E03E3C"/>
    <w:rsid w:val="00E03E77"/>
    <w:rsid w:val="00E04062"/>
    <w:rsid w:val="00E0488D"/>
    <w:rsid w:val="00E0497F"/>
    <w:rsid w:val="00E049D0"/>
    <w:rsid w:val="00E04A76"/>
    <w:rsid w:val="00E04BF9"/>
    <w:rsid w:val="00E04CC0"/>
    <w:rsid w:val="00E04FD0"/>
    <w:rsid w:val="00E0504B"/>
    <w:rsid w:val="00E05275"/>
    <w:rsid w:val="00E0585C"/>
    <w:rsid w:val="00E05C3E"/>
    <w:rsid w:val="00E05C42"/>
    <w:rsid w:val="00E0642D"/>
    <w:rsid w:val="00E06453"/>
    <w:rsid w:val="00E064EB"/>
    <w:rsid w:val="00E067C7"/>
    <w:rsid w:val="00E06C60"/>
    <w:rsid w:val="00E07554"/>
    <w:rsid w:val="00E076CE"/>
    <w:rsid w:val="00E0795E"/>
    <w:rsid w:val="00E07ADA"/>
    <w:rsid w:val="00E07FBA"/>
    <w:rsid w:val="00E104D2"/>
    <w:rsid w:val="00E10900"/>
    <w:rsid w:val="00E10924"/>
    <w:rsid w:val="00E10A86"/>
    <w:rsid w:val="00E10C08"/>
    <w:rsid w:val="00E10C1D"/>
    <w:rsid w:val="00E10CCD"/>
    <w:rsid w:val="00E10D20"/>
    <w:rsid w:val="00E1140D"/>
    <w:rsid w:val="00E1198F"/>
    <w:rsid w:val="00E119A7"/>
    <w:rsid w:val="00E11BAA"/>
    <w:rsid w:val="00E11F93"/>
    <w:rsid w:val="00E11FA4"/>
    <w:rsid w:val="00E12B34"/>
    <w:rsid w:val="00E12B6C"/>
    <w:rsid w:val="00E12C59"/>
    <w:rsid w:val="00E13085"/>
    <w:rsid w:val="00E1345A"/>
    <w:rsid w:val="00E13602"/>
    <w:rsid w:val="00E13831"/>
    <w:rsid w:val="00E13960"/>
    <w:rsid w:val="00E14589"/>
    <w:rsid w:val="00E1476B"/>
    <w:rsid w:val="00E14930"/>
    <w:rsid w:val="00E15362"/>
    <w:rsid w:val="00E15436"/>
    <w:rsid w:val="00E155E4"/>
    <w:rsid w:val="00E15CDD"/>
    <w:rsid w:val="00E15E72"/>
    <w:rsid w:val="00E16621"/>
    <w:rsid w:val="00E166BB"/>
    <w:rsid w:val="00E1694C"/>
    <w:rsid w:val="00E16C2D"/>
    <w:rsid w:val="00E16DD2"/>
    <w:rsid w:val="00E1714F"/>
    <w:rsid w:val="00E173BF"/>
    <w:rsid w:val="00E1755D"/>
    <w:rsid w:val="00E17D53"/>
    <w:rsid w:val="00E20063"/>
    <w:rsid w:val="00E20297"/>
    <w:rsid w:val="00E2048E"/>
    <w:rsid w:val="00E2083D"/>
    <w:rsid w:val="00E209FB"/>
    <w:rsid w:val="00E20E32"/>
    <w:rsid w:val="00E2122D"/>
    <w:rsid w:val="00E21665"/>
    <w:rsid w:val="00E21751"/>
    <w:rsid w:val="00E21840"/>
    <w:rsid w:val="00E219D4"/>
    <w:rsid w:val="00E21BF8"/>
    <w:rsid w:val="00E21FE2"/>
    <w:rsid w:val="00E2214E"/>
    <w:rsid w:val="00E221A0"/>
    <w:rsid w:val="00E22A73"/>
    <w:rsid w:val="00E22ACF"/>
    <w:rsid w:val="00E22C57"/>
    <w:rsid w:val="00E22DF5"/>
    <w:rsid w:val="00E22E04"/>
    <w:rsid w:val="00E22F95"/>
    <w:rsid w:val="00E23590"/>
    <w:rsid w:val="00E2380E"/>
    <w:rsid w:val="00E23829"/>
    <w:rsid w:val="00E23834"/>
    <w:rsid w:val="00E23AD0"/>
    <w:rsid w:val="00E23E27"/>
    <w:rsid w:val="00E23EE5"/>
    <w:rsid w:val="00E2433A"/>
    <w:rsid w:val="00E24542"/>
    <w:rsid w:val="00E245BB"/>
    <w:rsid w:val="00E249B0"/>
    <w:rsid w:val="00E24AEF"/>
    <w:rsid w:val="00E24DDB"/>
    <w:rsid w:val="00E25401"/>
    <w:rsid w:val="00E25DCF"/>
    <w:rsid w:val="00E25EE2"/>
    <w:rsid w:val="00E264BC"/>
    <w:rsid w:val="00E26547"/>
    <w:rsid w:val="00E265D6"/>
    <w:rsid w:val="00E26979"/>
    <w:rsid w:val="00E26D2E"/>
    <w:rsid w:val="00E26E19"/>
    <w:rsid w:val="00E26E28"/>
    <w:rsid w:val="00E2700E"/>
    <w:rsid w:val="00E271DF"/>
    <w:rsid w:val="00E274F3"/>
    <w:rsid w:val="00E27A2C"/>
    <w:rsid w:val="00E27BC4"/>
    <w:rsid w:val="00E27EB1"/>
    <w:rsid w:val="00E27F3D"/>
    <w:rsid w:val="00E27FA6"/>
    <w:rsid w:val="00E302EB"/>
    <w:rsid w:val="00E307C7"/>
    <w:rsid w:val="00E30C6D"/>
    <w:rsid w:val="00E31555"/>
    <w:rsid w:val="00E31E92"/>
    <w:rsid w:val="00E31EC9"/>
    <w:rsid w:val="00E32405"/>
    <w:rsid w:val="00E3242C"/>
    <w:rsid w:val="00E3244A"/>
    <w:rsid w:val="00E32633"/>
    <w:rsid w:val="00E32825"/>
    <w:rsid w:val="00E32BB8"/>
    <w:rsid w:val="00E330F7"/>
    <w:rsid w:val="00E33AF6"/>
    <w:rsid w:val="00E3452D"/>
    <w:rsid w:val="00E34686"/>
    <w:rsid w:val="00E346D8"/>
    <w:rsid w:val="00E3483E"/>
    <w:rsid w:val="00E34925"/>
    <w:rsid w:val="00E3494D"/>
    <w:rsid w:val="00E34DBF"/>
    <w:rsid w:val="00E350B1"/>
    <w:rsid w:val="00E35148"/>
    <w:rsid w:val="00E3533A"/>
    <w:rsid w:val="00E354DC"/>
    <w:rsid w:val="00E35AF0"/>
    <w:rsid w:val="00E35C3F"/>
    <w:rsid w:val="00E36032"/>
    <w:rsid w:val="00E362BA"/>
    <w:rsid w:val="00E367EC"/>
    <w:rsid w:val="00E36A3C"/>
    <w:rsid w:val="00E36B3E"/>
    <w:rsid w:val="00E36BAE"/>
    <w:rsid w:val="00E3700F"/>
    <w:rsid w:val="00E37088"/>
    <w:rsid w:val="00E371A9"/>
    <w:rsid w:val="00E3742A"/>
    <w:rsid w:val="00E3757C"/>
    <w:rsid w:val="00E37679"/>
    <w:rsid w:val="00E377F2"/>
    <w:rsid w:val="00E37924"/>
    <w:rsid w:val="00E37C4F"/>
    <w:rsid w:val="00E37DED"/>
    <w:rsid w:val="00E37E85"/>
    <w:rsid w:val="00E40173"/>
    <w:rsid w:val="00E40306"/>
    <w:rsid w:val="00E4057D"/>
    <w:rsid w:val="00E4063D"/>
    <w:rsid w:val="00E406A2"/>
    <w:rsid w:val="00E406F9"/>
    <w:rsid w:val="00E40D22"/>
    <w:rsid w:val="00E40DE0"/>
    <w:rsid w:val="00E40E01"/>
    <w:rsid w:val="00E40E93"/>
    <w:rsid w:val="00E40F3E"/>
    <w:rsid w:val="00E41889"/>
    <w:rsid w:val="00E41BA2"/>
    <w:rsid w:val="00E41EF3"/>
    <w:rsid w:val="00E42442"/>
    <w:rsid w:val="00E428DC"/>
    <w:rsid w:val="00E42BA2"/>
    <w:rsid w:val="00E42BAA"/>
    <w:rsid w:val="00E42CC3"/>
    <w:rsid w:val="00E42CE1"/>
    <w:rsid w:val="00E42DA2"/>
    <w:rsid w:val="00E4321E"/>
    <w:rsid w:val="00E43234"/>
    <w:rsid w:val="00E434FC"/>
    <w:rsid w:val="00E436AD"/>
    <w:rsid w:val="00E437C3"/>
    <w:rsid w:val="00E43C70"/>
    <w:rsid w:val="00E43C84"/>
    <w:rsid w:val="00E43D58"/>
    <w:rsid w:val="00E43DB7"/>
    <w:rsid w:val="00E443DB"/>
    <w:rsid w:val="00E44664"/>
    <w:rsid w:val="00E4470A"/>
    <w:rsid w:val="00E44A53"/>
    <w:rsid w:val="00E44B63"/>
    <w:rsid w:val="00E451FE"/>
    <w:rsid w:val="00E45489"/>
    <w:rsid w:val="00E45629"/>
    <w:rsid w:val="00E4566E"/>
    <w:rsid w:val="00E456DE"/>
    <w:rsid w:val="00E458FE"/>
    <w:rsid w:val="00E45A9C"/>
    <w:rsid w:val="00E45BF9"/>
    <w:rsid w:val="00E45D32"/>
    <w:rsid w:val="00E45D43"/>
    <w:rsid w:val="00E45EAD"/>
    <w:rsid w:val="00E4603A"/>
    <w:rsid w:val="00E4604F"/>
    <w:rsid w:val="00E466AA"/>
    <w:rsid w:val="00E468BE"/>
    <w:rsid w:val="00E46E86"/>
    <w:rsid w:val="00E46E98"/>
    <w:rsid w:val="00E4723E"/>
    <w:rsid w:val="00E4734D"/>
    <w:rsid w:val="00E473CE"/>
    <w:rsid w:val="00E476CC"/>
    <w:rsid w:val="00E476D0"/>
    <w:rsid w:val="00E47B1D"/>
    <w:rsid w:val="00E47D73"/>
    <w:rsid w:val="00E47E96"/>
    <w:rsid w:val="00E505ED"/>
    <w:rsid w:val="00E50CD5"/>
    <w:rsid w:val="00E50E11"/>
    <w:rsid w:val="00E50EE4"/>
    <w:rsid w:val="00E50F13"/>
    <w:rsid w:val="00E50FE6"/>
    <w:rsid w:val="00E51098"/>
    <w:rsid w:val="00E51656"/>
    <w:rsid w:val="00E51710"/>
    <w:rsid w:val="00E51A9F"/>
    <w:rsid w:val="00E51B37"/>
    <w:rsid w:val="00E51D3A"/>
    <w:rsid w:val="00E51DA5"/>
    <w:rsid w:val="00E51F6F"/>
    <w:rsid w:val="00E52044"/>
    <w:rsid w:val="00E52254"/>
    <w:rsid w:val="00E523B2"/>
    <w:rsid w:val="00E524E6"/>
    <w:rsid w:val="00E52740"/>
    <w:rsid w:val="00E52936"/>
    <w:rsid w:val="00E52BE6"/>
    <w:rsid w:val="00E52D73"/>
    <w:rsid w:val="00E52F96"/>
    <w:rsid w:val="00E53291"/>
    <w:rsid w:val="00E532AD"/>
    <w:rsid w:val="00E535F2"/>
    <w:rsid w:val="00E538FA"/>
    <w:rsid w:val="00E53924"/>
    <w:rsid w:val="00E53B4C"/>
    <w:rsid w:val="00E5419A"/>
    <w:rsid w:val="00E54230"/>
    <w:rsid w:val="00E54380"/>
    <w:rsid w:val="00E54460"/>
    <w:rsid w:val="00E54687"/>
    <w:rsid w:val="00E546F8"/>
    <w:rsid w:val="00E54896"/>
    <w:rsid w:val="00E548C7"/>
    <w:rsid w:val="00E54E90"/>
    <w:rsid w:val="00E54F13"/>
    <w:rsid w:val="00E5505E"/>
    <w:rsid w:val="00E5519A"/>
    <w:rsid w:val="00E552C5"/>
    <w:rsid w:val="00E5542C"/>
    <w:rsid w:val="00E5547D"/>
    <w:rsid w:val="00E5556C"/>
    <w:rsid w:val="00E555D3"/>
    <w:rsid w:val="00E557F0"/>
    <w:rsid w:val="00E5592A"/>
    <w:rsid w:val="00E559AF"/>
    <w:rsid w:val="00E55BC5"/>
    <w:rsid w:val="00E55CBC"/>
    <w:rsid w:val="00E55F93"/>
    <w:rsid w:val="00E5605B"/>
    <w:rsid w:val="00E565CF"/>
    <w:rsid w:val="00E568A6"/>
    <w:rsid w:val="00E56B9A"/>
    <w:rsid w:val="00E56D0A"/>
    <w:rsid w:val="00E56DAF"/>
    <w:rsid w:val="00E56FB5"/>
    <w:rsid w:val="00E57093"/>
    <w:rsid w:val="00E570E6"/>
    <w:rsid w:val="00E5724B"/>
    <w:rsid w:val="00E57258"/>
    <w:rsid w:val="00E5740E"/>
    <w:rsid w:val="00E57886"/>
    <w:rsid w:val="00E57998"/>
    <w:rsid w:val="00E579ED"/>
    <w:rsid w:val="00E57C89"/>
    <w:rsid w:val="00E600F7"/>
    <w:rsid w:val="00E604E0"/>
    <w:rsid w:val="00E605D5"/>
    <w:rsid w:val="00E60612"/>
    <w:rsid w:val="00E60796"/>
    <w:rsid w:val="00E6080C"/>
    <w:rsid w:val="00E60E85"/>
    <w:rsid w:val="00E60F60"/>
    <w:rsid w:val="00E6107A"/>
    <w:rsid w:val="00E610B7"/>
    <w:rsid w:val="00E612B0"/>
    <w:rsid w:val="00E6154E"/>
    <w:rsid w:val="00E61A5E"/>
    <w:rsid w:val="00E61B6E"/>
    <w:rsid w:val="00E61C61"/>
    <w:rsid w:val="00E61EDA"/>
    <w:rsid w:val="00E620CA"/>
    <w:rsid w:val="00E62177"/>
    <w:rsid w:val="00E62322"/>
    <w:rsid w:val="00E62477"/>
    <w:rsid w:val="00E62560"/>
    <w:rsid w:val="00E6261F"/>
    <w:rsid w:val="00E627D4"/>
    <w:rsid w:val="00E62CBA"/>
    <w:rsid w:val="00E62DCE"/>
    <w:rsid w:val="00E62FDD"/>
    <w:rsid w:val="00E62FE0"/>
    <w:rsid w:val="00E632DD"/>
    <w:rsid w:val="00E6338E"/>
    <w:rsid w:val="00E638ED"/>
    <w:rsid w:val="00E639DF"/>
    <w:rsid w:val="00E63AFB"/>
    <w:rsid w:val="00E63B7D"/>
    <w:rsid w:val="00E63ECD"/>
    <w:rsid w:val="00E648C3"/>
    <w:rsid w:val="00E64E8A"/>
    <w:rsid w:val="00E64E9D"/>
    <w:rsid w:val="00E64FAE"/>
    <w:rsid w:val="00E65012"/>
    <w:rsid w:val="00E65037"/>
    <w:rsid w:val="00E6512B"/>
    <w:rsid w:val="00E6518B"/>
    <w:rsid w:val="00E65204"/>
    <w:rsid w:val="00E65793"/>
    <w:rsid w:val="00E65D85"/>
    <w:rsid w:val="00E660BE"/>
    <w:rsid w:val="00E6636D"/>
    <w:rsid w:val="00E66A04"/>
    <w:rsid w:val="00E66E48"/>
    <w:rsid w:val="00E66E66"/>
    <w:rsid w:val="00E67058"/>
    <w:rsid w:val="00E672A5"/>
    <w:rsid w:val="00E67446"/>
    <w:rsid w:val="00E675FC"/>
    <w:rsid w:val="00E67849"/>
    <w:rsid w:val="00E6790C"/>
    <w:rsid w:val="00E67FF4"/>
    <w:rsid w:val="00E70C7B"/>
    <w:rsid w:val="00E7104C"/>
    <w:rsid w:val="00E710E9"/>
    <w:rsid w:val="00E7111E"/>
    <w:rsid w:val="00E717AE"/>
    <w:rsid w:val="00E718BC"/>
    <w:rsid w:val="00E71ACB"/>
    <w:rsid w:val="00E71AE3"/>
    <w:rsid w:val="00E72104"/>
    <w:rsid w:val="00E72226"/>
    <w:rsid w:val="00E7235D"/>
    <w:rsid w:val="00E7246B"/>
    <w:rsid w:val="00E726B7"/>
    <w:rsid w:val="00E7291C"/>
    <w:rsid w:val="00E72A8D"/>
    <w:rsid w:val="00E72B50"/>
    <w:rsid w:val="00E72D6E"/>
    <w:rsid w:val="00E72F98"/>
    <w:rsid w:val="00E73098"/>
    <w:rsid w:val="00E7326E"/>
    <w:rsid w:val="00E73345"/>
    <w:rsid w:val="00E73395"/>
    <w:rsid w:val="00E73549"/>
    <w:rsid w:val="00E735F4"/>
    <w:rsid w:val="00E7365D"/>
    <w:rsid w:val="00E739B0"/>
    <w:rsid w:val="00E73A83"/>
    <w:rsid w:val="00E73B18"/>
    <w:rsid w:val="00E73B25"/>
    <w:rsid w:val="00E73CA6"/>
    <w:rsid w:val="00E73CDE"/>
    <w:rsid w:val="00E73E6F"/>
    <w:rsid w:val="00E74571"/>
    <w:rsid w:val="00E74859"/>
    <w:rsid w:val="00E749BF"/>
    <w:rsid w:val="00E74AEF"/>
    <w:rsid w:val="00E74B5E"/>
    <w:rsid w:val="00E74C00"/>
    <w:rsid w:val="00E74E3F"/>
    <w:rsid w:val="00E75690"/>
    <w:rsid w:val="00E757AE"/>
    <w:rsid w:val="00E757DF"/>
    <w:rsid w:val="00E75A6A"/>
    <w:rsid w:val="00E76117"/>
    <w:rsid w:val="00E761E0"/>
    <w:rsid w:val="00E763C7"/>
    <w:rsid w:val="00E766B4"/>
    <w:rsid w:val="00E76724"/>
    <w:rsid w:val="00E76797"/>
    <w:rsid w:val="00E76A03"/>
    <w:rsid w:val="00E76E42"/>
    <w:rsid w:val="00E76EA4"/>
    <w:rsid w:val="00E771ED"/>
    <w:rsid w:val="00E772E0"/>
    <w:rsid w:val="00E7789D"/>
    <w:rsid w:val="00E77AD6"/>
    <w:rsid w:val="00E77CD4"/>
    <w:rsid w:val="00E77F61"/>
    <w:rsid w:val="00E80C6D"/>
    <w:rsid w:val="00E80D83"/>
    <w:rsid w:val="00E80EE7"/>
    <w:rsid w:val="00E81302"/>
    <w:rsid w:val="00E8140E"/>
    <w:rsid w:val="00E81716"/>
    <w:rsid w:val="00E81A64"/>
    <w:rsid w:val="00E81AA3"/>
    <w:rsid w:val="00E81B78"/>
    <w:rsid w:val="00E81BF0"/>
    <w:rsid w:val="00E81C73"/>
    <w:rsid w:val="00E81F07"/>
    <w:rsid w:val="00E81FA4"/>
    <w:rsid w:val="00E822E2"/>
    <w:rsid w:val="00E8251B"/>
    <w:rsid w:val="00E8288B"/>
    <w:rsid w:val="00E82938"/>
    <w:rsid w:val="00E82DBF"/>
    <w:rsid w:val="00E82DFA"/>
    <w:rsid w:val="00E835E6"/>
    <w:rsid w:val="00E837B8"/>
    <w:rsid w:val="00E83954"/>
    <w:rsid w:val="00E83BBC"/>
    <w:rsid w:val="00E83E05"/>
    <w:rsid w:val="00E83EFE"/>
    <w:rsid w:val="00E83FDB"/>
    <w:rsid w:val="00E84321"/>
    <w:rsid w:val="00E845AA"/>
    <w:rsid w:val="00E8467A"/>
    <w:rsid w:val="00E8473F"/>
    <w:rsid w:val="00E85488"/>
    <w:rsid w:val="00E85897"/>
    <w:rsid w:val="00E85A8D"/>
    <w:rsid w:val="00E8628E"/>
    <w:rsid w:val="00E86415"/>
    <w:rsid w:val="00E86826"/>
    <w:rsid w:val="00E868C7"/>
    <w:rsid w:val="00E86BAC"/>
    <w:rsid w:val="00E86EC9"/>
    <w:rsid w:val="00E87032"/>
    <w:rsid w:val="00E8722C"/>
    <w:rsid w:val="00E87371"/>
    <w:rsid w:val="00E87C83"/>
    <w:rsid w:val="00E87D7C"/>
    <w:rsid w:val="00E901C0"/>
    <w:rsid w:val="00E90252"/>
    <w:rsid w:val="00E902A2"/>
    <w:rsid w:val="00E906D6"/>
    <w:rsid w:val="00E9073B"/>
    <w:rsid w:val="00E90878"/>
    <w:rsid w:val="00E90D04"/>
    <w:rsid w:val="00E90D50"/>
    <w:rsid w:val="00E91523"/>
    <w:rsid w:val="00E91697"/>
    <w:rsid w:val="00E9184D"/>
    <w:rsid w:val="00E91B8C"/>
    <w:rsid w:val="00E91C9F"/>
    <w:rsid w:val="00E91CF1"/>
    <w:rsid w:val="00E92389"/>
    <w:rsid w:val="00E924DB"/>
    <w:rsid w:val="00E928DC"/>
    <w:rsid w:val="00E92AD9"/>
    <w:rsid w:val="00E92C1D"/>
    <w:rsid w:val="00E92C59"/>
    <w:rsid w:val="00E92D52"/>
    <w:rsid w:val="00E92F31"/>
    <w:rsid w:val="00E9305F"/>
    <w:rsid w:val="00E93064"/>
    <w:rsid w:val="00E930BE"/>
    <w:rsid w:val="00E9318A"/>
    <w:rsid w:val="00E934C0"/>
    <w:rsid w:val="00E936ED"/>
    <w:rsid w:val="00E9385B"/>
    <w:rsid w:val="00E93A7E"/>
    <w:rsid w:val="00E93D52"/>
    <w:rsid w:val="00E940B4"/>
    <w:rsid w:val="00E945B4"/>
    <w:rsid w:val="00E94884"/>
    <w:rsid w:val="00E9493E"/>
    <w:rsid w:val="00E94EB7"/>
    <w:rsid w:val="00E94F0D"/>
    <w:rsid w:val="00E953BE"/>
    <w:rsid w:val="00E95435"/>
    <w:rsid w:val="00E957FE"/>
    <w:rsid w:val="00E959A2"/>
    <w:rsid w:val="00E959B4"/>
    <w:rsid w:val="00E963F7"/>
    <w:rsid w:val="00E96547"/>
    <w:rsid w:val="00E9679A"/>
    <w:rsid w:val="00E96CF2"/>
    <w:rsid w:val="00E9737D"/>
    <w:rsid w:val="00E97530"/>
    <w:rsid w:val="00E9783F"/>
    <w:rsid w:val="00E97A19"/>
    <w:rsid w:val="00E97A42"/>
    <w:rsid w:val="00E97AAA"/>
    <w:rsid w:val="00E97ACF"/>
    <w:rsid w:val="00E97B34"/>
    <w:rsid w:val="00E97C9B"/>
    <w:rsid w:val="00E97CF4"/>
    <w:rsid w:val="00EA0173"/>
    <w:rsid w:val="00EA02A8"/>
    <w:rsid w:val="00EA0467"/>
    <w:rsid w:val="00EA08BD"/>
    <w:rsid w:val="00EA0CAF"/>
    <w:rsid w:val="00EA0D4C"/>
    <w:rsid w:val="00EA10AC"/>
    <w:rsid w:val="00EA18A0"/>
    <w:rsid w:val="00EA1E62"/>
    <w:rsid w:val="00EA223B"/>
    <w:rsid w:val="00EA223F"/>
    <w:rsid w:val="00EA224D"/>
    <w:rsid w:val="00EA249B"/>
    <w:rsid w:val="00EA2606"/>
    <w:rsid w:val="00EA26BB"/>
    <w:rsid w:val="00EA2992"/>
    <w:rsid w:val="00EA2B1B"/>
    <w:rsid w:val="00EA2C68"/>
    <w:rsid w:val="00EA32BD"/>
    <w:rsid w:val="00EA32EE"/>
    <w:rsid w:val="00EA3604"/>
    <w:rsid w:val="00EA3B7B"/>
    <w:rsid w:val="00EA3E63"/>
    <w:rsid w:val="00EA3FA4"/>
    <w:rsid w:val="00EA41AF"/>
    <w:rsid w:val="00EA424C"/>
    <w:rsid w:val="00EA4670"/>
    <w:rsid w:val="00EA4708"/>
    <w:rsid w:val="00EA4C3A"/>
    <w:rsid w:val="00EA4CCC"/>
    <w:rsid w:val="00EA4ED4"/>
    <w:rsid w:val="00EA4F42"/>
    <w:rsid w:val="00EA4FD2"/>
    <w:rsid w:val="00EA5323"/>
    <w:rsid w:val="00EA56C2"/>
    <w:rsid w:val="00EA5AD1"/>
    <w:rsid w:val="00EA5AE8"/>
    <w:rsid w:val="00EA5B3A"/>
    <w:rsid w:val="00EA5CD5"/>
    <w:rsid w:val="00EA5D6E"/>
    <w:rsid w:val="00EA626D"/>
    <w:rsid w:val="00EA62FF"/>
    <w:rsid w:val="00EA65F7"/>
    <w:rsid w:val="00EA6989"/>
    <w:rsid w:val="00EA6D04"/>
    <w:rsid w:val="00EA6E63"/>
    <w:rsid w:val="00EA6E82"/>
    <w:rsid w:val="00EA7596"/>
    <w:rsid w:val="00EA777D"/>
    <w:rsid w:val="00EA798F"/>
    <w:rsid w:val="00EB0419"/>
    <w:rsid w:val="00EB042D"/>
    <w:rsid w:val="00EB0580"/>
    <w:rsid w:val="00EB09B1"/>
    <w:rsid w:val="00EB0AB4"/>
    <w:rsid w:val="00EB0BB8"/>
    <w:rsid w:val="00EB0C63"/>
    <w:rsid w:val="00EB0D39"/>
    <w:rsid w:val="00EB0E9B"/>
    <w:rsid w:val="00EB0EC2"/>
    <w:rsid w:val="00EB0F84"/>
    <w:rsid w:val="00EB12A4"/>
    <w:rsid w:val="00EB162C"/>
    <w:rsid w:val="00EB1BAD"/>
    <w:rsid w:val="00EB1D87"/>
    <w:rsid w:val="00EB1DFC"/>
    <w:rsid w:val="00EB211F"/>
    <w:rsid w:val="00EB226A"/>
    <w:rsid w:val="00EB24BF"/>
    <w:rsid w:val="00EB2689"/>
    <w:rsid w:val="00EB2950"/>
    <w:rsid w:val="00EB2B73"/>
    <w:rsid w:val="00EB2C2D"/>
    <w:rsid w:val="00EB2C87"/>
    <w:rsid w:val="00EB302C"/>
    <w:rsid w:val="00EB307F"/>
    <w:rsid w:val="00EB324A"/>
    <w:rsid w:val="00EB42DA"/>
    <w:rsid w:val="00EB4429"/>
    <w:rsid w:val="00EB4495"/>
    <w:rsid w:val="00EB4567"/>
    <w:rsid w:val="00EB4688"/>
    <w:rsid w:val="00EB46FC"/>
    <w:rsid w:val="00EB483A"/>
    <w:rsid w:val="00EB48B2"/>
    <w:rsid w:val="00EB4F69"/>
    <w:rsid w:val="00EB511D"/>
    <w:rsid w:val="00EB5A7E"/>
    <w:rsid w:val="00EB5D06"/>
    <w:rsid w:val="00EB5D6D"/>
    <w:rsid w:val="00EB60AB"/>
    <w:rsid w:val="00EB6286"/>
    <w:rsid w:val="00EB62A0"/>
    <w:rsid w:val="00EB695D"/>
    <w:rsid w:val="00EB6BB4"/>
    <w:rsid w:val="00EB6C2A"/>
    <w:rsid w:val="00EB729C"/>
    <w:rsid w:val="00EB75AF"/>
    <w:rsid w:val="00EB7617"/>
    <w:rsid w:val="00EB7904"/>
    <w:rsid w:val="00EB7C46"/>
    <w:rsid w:val="00EC064D"/>
    <w:rsid w:val="00EC0EDE"/>
    <w:rsid w:val="00EC0F32"/>
    <w:rsid w:val="00EC14AF"/>
    <w:rsid w:val="00EC1B94"/>
    <w:rsid w:val="00EC1D3F"/>
    <w:rsid w:val="00EC1DA8"/>
    <w:rsid w:val="00EC269C"/>
    <w:rsid w:val="00EC28E9"/>
    <w:rsid w:val="00EC2AA1"/>
    <w:rsid w:val="00EC2B3C"/>
    <w:rsid w:val="00EC2FA7"/>
    <w:rsid w:val="00EC3353"/>
    <w:rsid w:val="00EC381F"/>
    <w:rsid w:val="00EC3984"/>
    <w:rsid w:val="00EC3E0D"/>
    <w:rsid w:val="00EC4269"/>
    <w:rsid w:val="00EC4291"/>
    <w:rsid w:val="00EC4636"/>
    <w:rsid w:val="00EC46B6"/>
    <w:rsid w:val="00EC487A"/>
    <w:rsid w:val="00EC4A6C"/>
    <w:rsid w:val="00EC4ACC"/>
    <w:rsid w:val="00EC4BF2"/>
    <w:rsid w:val="00EC57B0"/>
    <w:rsid w:val="00EC58C3"/>
    <w:rsid w:val="00EC6140"/>
    <w:rsid w:val="00EC6236"/>
    <w:rsid w:val="00EC6906"/>
    <w:rsid w:val="00EC6A3C"/>
    <w:rsid w:val="00EC6C50"/>
    <w:rsid w:val="00EC6D1D"/>
    <w:rsid w:val="00EC6FBF"/>
    <w:rsid w:val="00EC71AF"/>
    <w:rsid w:val="00EC72A9"/>
    <w:rsid w:val="00EC7517"/>
    <w:rsid w:val="00EC79A1"/>
    <w:rsid w:val="00EC79E8"/>
    <w:rsid w:val="00EC7A40"/>
    <w:rsid w:val="00EC7C71"/>
    <w:rsid w:val="00EC7D7B"/>
    <w:rsid w:val="00EC7E44"/>
    <w:rsid w:val="00EC7EC1"/>
    <w:rsid w:val="00ED012D"/>
    <w:rsid w:val="00ED02C6"/>
    <w:rsid w:val="00ED03FF"/>
    <w:rsid w:val="00ED06BA"/>
    <w:rsid w:val="00ED077F"/>
    <w:rsid w:val="00ED10A6"/>
    <w:rsid w:val="00ED113E"/>
    <w:rsid w:val="00ED14CD"/>
    <w:rsid w:val="00ED151B"/>
    <w:rsid w:val="00ED167E"/>
    <w:rsid w:val="00ED1712"/>
    <w:rsid w:val="00ED1BBB"/>
    <w:rsid w:val="00ED1D8F"/>
    <w:rsid w:val="00ED2690"/>
    <w:rsid w:val="00ED2FFC"/>
    <w:rsid w:val="00ED30C5"/>
    <w:rsid w:val="00ED312D"/>
    <w:rsid w:val="00ED332D"/>
    <w:rsid w:val="00ED359D"/>
    <w:rsid w:val="00ED379B"/>
    <w:rsid w:val="00ED3B92"/>
    <w:rsid w:val="00ED3D07"/>
    <w:rsid w:val="00ED3D92"/>
    <w:rsid w:val="00ED3EC7"/>
    <w:rsid w:val="00ED419E"/>
    <w:rsid w:val="00ED4946"/>
    <w:rsid w:val="00ED4BA7"/>
    <w:rsid w:val="00ED4CD0"/>
    <w:rsid w:val="00ED4E77"/>
    <w:rsid w:val="00ED524C"/>
    <w:rsid w:val="00ED5261"/>
    <w:rsid w:val="00ED56AD"/>
    <w:rsid w:val="00ED57E0"/>
    <w:rsid w:val="00ED5AB1"/>
    <w:rsid w:val="00ED5CA0"/>
    <w:rsid w:val="00ED5D78"/>
    <w:rsid w:val="00ED5DC9"/>
    <w:rsid w:val="00ED5F55"/>
    <w:rsid w:val="00ED643C"/>
    <w:rsid w:val="00ED67D1"/>
    <w:rsid w:val="00ED685A"/>
    <w:rsid w:val="00ED6A06"/>
    <w:rsid w:val="00ED6BF3"/>
    <w:rsid w:val="00ED6D14"/>
    <w:rsid w:val="00ED7168"/>
    <w:rsid w:val="00ED72A2"/>
    <w:rsid w:val="00ED7473"/>
    <w:rsid w:val="00ED78FA"/>
    <w:rsid w:val="00ED7B4A"/>
    <w:rsid w:val="00ED7B74"/>
    <w:rsid w:val="00ED7FDA"/>
    <w:rsid w:val="00EE005F"/>
    <w:rsid w:val="00EE0117"/>
    <w:rsid w:val="00EE03D0"/>
    <w:rsid w:val="00EE051B"/>
    <w:rsid w:val="00EE0554"/>
    <w:rsid w:val="00EE058B"/>
    <w:rsid w:val="00EE065D"/>
    <w:rsid w:val="00EE078D"/>
    <w:rsid w:val="00EE0965"/>
    <w:rsid w:val="00EE0C83"/>
    <w:rsid w:val="00EE1118"/>
    <w:rsid w:val="00EE1777"/>
    <w:rsid w:val="00EE19A0"/>
    <w:rsid w:val="00EE232C"/>
    <w:rsid w:val="00EE24DA"/>
    <w:rsid w:val="00EE26EE"/>
    <w:rsid w:val="00EE27BC"/>
    <w:rsid w:val="00EE28D7"/>
    <w:rsid w:val="00EE2A98"/>
    <w:rsid w:val="00EE2D39"/>
    <w:rsid w:val="00EE34B4"/>
    <w:rsid w:val="00EE3597"/>
    <w:rsid w:val="00EE36C5"/>
    <w:rsid w:val="00EE379B"/>
    <w:rsid w:val="00EE37BF"/>
    <w:rsid w:val="00EE3AC4"/>
    <w:rsid w:val="00EE3D49"/>
    <w:rsid w:val="00EE3D66"/>
    <w:rsid w:val="00EE3E4D"/>
    <w:rsid w:val="00EE424E"/>
    <w:rsid w:val="00EE4268"/>
    <w:rsid w:val="00EE46DC"/>
    <w:rsid w:val="00EE4783"/>
    <w:rsid w:val="00EE49FE"/>
    <w:rsid w:val="00EE4B6B"/>
    <w:rsid w:val="00EE4C81"/>
    <w:rsid w:val="00EE4F57"/>
    <w:rsid w:val="00EE56AA"/>
    <w:rsid w:val="00EE56E9"/>
    <w:rsid w:val="00EE5CD0"/>
    <w:rsid w:val="00EE5D91"/>
    <w:rsid w:val="00EE6203"/>
    <w:rsid w:val="00EE650F"/>
    <w:rsid w:val="00EE6593"/>
    <w:rsid w:val="00EE6CFA"/>
    <w:rsid w:val="00EE6EF4"/>
    <w:rsid w:val="00EE7354"/>
    <w:rsid w:val="00EE753D"/>
    <w:rsid w:val="00EE7804"/>
    <w:rsid w:val="00EE795D"/>
    <w:rsid w:val="00EE7C6C"/>
    <w:rsid w:val="00EE7E3D"/>
    <w:rsid w:val="00EE7F93"/>
    <w:rsid w:val="00EE7FD6"/>
    <w:rsid w:val="00EF0028"/>
    <w:rsid w:val="00EF0164"/>
    <w:rsid w:val="00EF01D0"/>
    <w:rsid w:val="00EF035E"/>
    <w:rsid w:val="00EF06A5"/>
    <w:rsid w:val="00EF0C5D"/>
    <w:rsid w:val="00EF0E35"/>
    <w:rsid w:val="00EF13FA"/>
    <w:rsid w:val="00EF1701"/>
    <w:rsid w:val="00EF1830"/>
    <w:rsid w:val="00EF21B5"/>
    <w:rsid w:val="00EF2412"/>
    <w:rsid w:val="00EF25E1"/>
    <w:rsid w:val="00EF2675"/>
    <w:rsid w:val="00EF27E5"/>
    <w:rsid w:val="00EF37C1"/>
    <w:rsid w:val="00EF385A"/>
    <w:rsid w:val="00EF3A54"/>
    <w:rsid w:val="00EF3E2B"/>
    <w:rsid w:val="00EF41FD"/>
    <w:rsid w:val="00EF42D1"/>
    <w:rsid w:val="00EF44A1"/>
    <w:rsid w:val="00EF46A8"/>
    <w:rsid w:val="00EF47CE"/>
    <w:rsid w:val="00EF4C7F"/>
    <w:rsid w:val="00EF4F66"/>
    <w:rsid w:val="00EF5293"/>
    <w:rsid w:val="00EF5391"/>
    <w:rsid w:val="00EF56EA"/>
    <w:rsid w:val="00EF5822"/>
    <w:rsid w:val="00EF5992"/>
    <w:rsid w:val="00EF5B03"/>
    <w:rsid w:val="00EF5C59"/>
    <w:rsid w:val="00EF6146"/>
    <w:rsid w:val="00EF65BA"/>
    <w:rsid w:val="00EF6A90"/>
    <w:rsid w:val="00EF6BF6"/>
    <w:rsid w:val="00EF7229"/>
    <w:rsid w:val="00EF7AAF"/>
    <w:rsid w:val="00EF7CEB"/>
    <w:rsid w:val="00EF7D2B"/>
    <w:rsid w:val="00EF7D53"/>
    <w:rsid w:val="00EF7D5C"/>
    <w:rsid w:val="00EF7F7C"/>
    <w:rsid w:val="00F00489"/>
    <w:rsid w:val="00F005BB"/>
    <w:rsid w:val="00F0060B"/>
    <w:rsid w:val="00F009EB"/>
    <w:rsid w:val="00F00DCE"/>
    <w:rsid w:val="00F00E8C"/>
    <w:rsid w:val="00F00EC1"/>
    <w:rsid w:val="00F011CE"/>
    <w:rsid w:val="00F0168A"/>
    <w:rsid w:val="00F01A5B"/>
    <w:rsid w:val="00F01BA7"/>
    <w:rsid w:val="00F01E25"/>
    <w:rsid w:val="00F02397"/>
    <w:rsid w:val="00F0267E"/>
    <w:rsid w:val="00F02A8B"/>
    <w:rsid w:val="00F02DF7"/>
    <w:rsid w:val="00F02F2C"/>
    <w:rsid w:val="00F03636"/>
    <w:rsid w:val="00F038C6"/>
    <w:rsid w:val="00F03905"/>
    <w:rsid w:val="00F03AE5"/>
    <w:rsid w:val="00F03D9B"/>
    <w:rsid w:val="00F03F77"/>
    <w:rsid w:val="00F03FA4"/>
    <w:rsid w:val="00F0400E"/>
    <w:rsid w:val="00F04224"/>
    <w:rsid w:val="00F04240"/>
    <w:rsid w:val="00F04710"/>
    <w:rsid w:val="00F04748"/>
    <w:rsid w:val="00F04A71"/>
    <w:rsid w:val="00F04AE6"/>
    <w:rsid w:val="00F04D66"/>
    <w:rsid w:val="00F04DF7"/>
    <w:rsid w:val="00F04FB8"/>
    <w:rsid w:val="00F04FD3"/>
    <w:rsid w:val="00F053EC"/>
    <w:rsid w:val="00F057C9"/>
    <w:rsid w:val="00F05829"/>
    <w:rsid w:val="00F05DDA"/>
    <w:rsid w:val="00F05E9D"/>
    <w:rsid w:val="00F05F5E"/>
    <w:rsid w:val="00F0603C"/>
    <w:rsid w:val="00F06A87"/>
    <w:rsid w:val="00F06B83"/>
    <w:rsid w:val="00F06C43"/>
    <w:rsid w:val="00F06E34"/>
    <w:rsid w:val="00F06E3E"/>
    <w:rsid w:val="00F06F18"/>
    <w:rsid w:val="00F07282"/>
    <w:rsid w:val="00F0731D"/>
    <w:rsid w:val="00F0767A"/>
    <w:rsid w:val="00F077E6"/>
    <w:rsid w:val="00F07831"/>
    <w:rsid w:val="00F079CD"/>
    <w:rsid w:val="00F07A49"/>
    <w:rsid w:val="00F07A54"/>
    <w:rsid w:val="00F07CB3"/>
    <w:rsid w:val="00F07CB9"/>
    <w:rsid w:val="00F1004D"/>
    <w:rsid w:val="00F100C1"/>
    <w:rsid w:val="00F10205"/>
    <w:rsid w:val="00F103A4"/>
    <w:rsid w:val="00F10813"/>
    <w:rsid w:val="00F10946"/>
    <w:rsid w:val="00F10EA4"/>
    <w:rsid w:val="00F1114B"/>
    <w:rsid w:val="00F1134B"/>
    <w:rsid w:val="00F115F3"/>
    <w:rsid w:val="00F11640"/>
    <w:rsid w:val="00F11E2F"/>
    <w:rsid w:val="00F125E9"/>
    <w:rsid w:val="00F1263E"/>
    <w:rsid w:val="00F126BB"/>
    <w:rsid w:val="00F12E2F"/>
    <w:rsid w:val="00F1303A"/>
    <w:rsid w:val="00F130BF"/>
    <w:rsid w:val="00F131D0"/>
    <w:rsid w:val="00F1331B"/>
    <w:rsid w:val="00F1338F"/>
    <w:rsid w:val="00F135AB"/>
    <w:rsid w:val="00F1372D"/>
    <w:rsid w:val="00F13A1C"/>
    <w:rsid w:val="00F13C17"/>
    <w:rsid w:val="00F13FD8"/>
    <w:rsid w:val="00F14066"/>
    <w:rsid w:val="00F14282"/>
    <w:rsid w:val="00F142AD"/>
    <w:rsid w:val="00F14954"/>
    <w:rsid w:val="00F149D2"/>
    <w:rsid w:val="00F14B72"/>
    <w:rsid w:val="00F14DBE"/>
    <w:rsid w:val="00F14F68"/>
    <w:rsid w:val="00F14FE4"/>
    <w:rsid w:val="00F1515D"/>
    <w:rsid w:val="00F159A4"/>
    <w:rsid w:val="00F15A01"/>
    <w:rsid w:val="00F15E2E"/>
    <w:rsid w:val="00F16079"/>
    <w:rsid w:val="00F16088"/>
    <w:rsid w:val="00F1627E"/>
    <w:rsid w:val="00F16363"/>
    <w:rsid w:val="00F163C3"/>
    <w:rsid w:val="00F1642F"/>
    <w:rsid w:val="00F1667C"/>
    <w:rsid w:val="00F16844"/>
    <w:rsid w:val="00F16FD3"/>
    <w:rsid w:val="00F17313"/>
    <w:rsid w:val="00F173D8"/>
    <w:rsid w:val="00F178C8"/>
    <w:rsid w:val="00F179E5"/>
    <w:rsid w:val="00F17B55"/>
    <w:rsid w:val="00F17E54"/>
    <w:rsid w:val="00F17F94"/>
    <w:rsid w:val="00F20326"/>
    <w:rsid w:val="00F2052A"/>
    <w:rsid w:val="00F206DB"/>
    <w:rsid w:val="00F20871"/>
    <w:rsid w:val="00F20908"/>
    <w:rsid w:val="00F2109F"/>
    <w:rsid w:val="00F211BF"/>
    <w:rsid w:val="00F21417"/>
    <w:rsid w:val="00F214E5"/>
    <w:rsid w:val="00F2180C"/>
    <w:rsid w:val="00F21853"/>
    <w:rsid w:val="00F218B8"/>
    <w:rsid w:val="00F219B0"/>
    <w:rsid w:val="00F21A3E"/>
    <w:rsid w:val="00F21E11"/>
    <w:rsid w:val="00F2201B"/>
    <w:rsid w:val="00F22456"/>
    <w:rsid w:val="00F227F7"/>
    <w:rsid w:val="00F2282F"/>
    <w:rsid w:val="00F22969"/>
    <w:rsid w:val="00F22B0F"/>
    <w:rsid w:val="00F22B6F"/>
    <w:rsid w:val="00F22C72"/>
    <w:rsid w:val="00F22CAA"/>
    <w:rsid w:val="00F22D23"/>
    <w:rsid w:val="00F22E57"/>
    <w:rsid w:val="00F22FC8"/>
    <w:rsid w:val="00F237BB"/>
    <w:rsid w:val="00F237E0"/>
    <w:rsid w:val="00F23C67"/>
    <w:rsid w:val="00F23C89"/>
    <w:rsid w:val="00F23D06"/>
    <w:rsid w:val="00F24003"/>
    <w:rsid w:val="00F24704"/>
    <w:rsid w:val="00F24712"/>
    <w:rsid w:val="00F2477E"/>
    <w:rsid w:val="00F24831"/>
    <w:rsid w:val="00F24E08"/>
    <w:rsid w:val="00F252DA"/>
    <w:rsid w:val="00F25377"/>
    <w:rsid w:val="00F25539"/>
    <w:rsid w:val="00F2569B"/>
    <w:rsid w:val="00F25869"/>
    <w:rsid w:val="00F25D02"/>
    <w:rsid w:val="00F26733"/>
    <w:rsid w:val="00F26A9E"/>
    <w:rsid w:val="00F26AD5"/>
    <w:rsid w:val="00F26AE4"/>
    <w:rsid w:val="00F26D11"/>
    <w:rsid w:val="00F26D9E"/>
    <w:rsid w:val="00F26DF7"/>
    <w:rsid w:val="00F26F1F"/>
    <w:rsid w:val="00F27250"/>
    <w:rsid w:val="00F2725C"/>
    <w:rsid w:val="00F273BA"/>
    <w:rsid w:val="00F275F9"/>
    <w:rsid w:val="00F27742"/>
    <w:rsid w:val="00F278AB"/>
    <w:rsid w:val="00F278CD"/>
    <w:rsid w:val="00F279F3"/>
    <w:rsid w:val="00F3068D"/>
    <w:rsid w:val="00F30A43"/>
    <w:rsid w:val="00F311FE"/>
    <w:rsid w:val="00F3168C"/>
    <w:rsid w:val="00F31781"/>
    <w:rsid w:val="00F318F9"/>
    <w:rsid w:val="00F31C01"/>
    <w:rsid w:val="00F31D5E"/>
    <w:rsid w:val="00F3233D"/>
    <w:rsid w:val="00F32534"/>
    <w:rsid w:val="00F32580"/>
    <w:rsid w:val="00F32586"/>
    <w:rsid w:val="00F32829"/>
    <w:rsid w:val="00F32A53"/>
    <w:rsid w:val="00F32DA7"/>
    <w:rsid w:val="00F32F75"/>
    <w:rsid w:val="00F33042"/>
    <w:rsid w:val="00F330D9"/>
    <w:rsid w:val="00F3316D"/>
    <w:rsid w:val="00F33C17"/>
    <w:rsid w:val="00F3406B"/>
    <w:rsid w:val="00F344B6"/>
    <w:rsid w:val="00F34551"/>
    <w:rsid w:val="00F34736"/>
    <w:rsid w:val="00F3478D"/>
    <w:rsid w:val="00F34827"/>
    <w:rsid w:val="00F34B69"/>
    <w:rsid w:val="00F34F4A"/>
    <w:rsid w:val="00F34F8F"/>
    <w:rsid w:val="00F352E8"/>
    <w:rsid w:val="00F35487"/>
    <w:rsid w:val="00F35617"/>
    <w:rsid w:val="00F356DB"/>
    <w:rsid w:val="00F357FB"/>
    <w:rsid w:val="00F3584A"/>
    <w:rsid w:val="00F35AF5"/>
    <w:rsid w:val="00F35C25"/>
    <w:rsid w:val="00F35CA9"/>
    <w:rsid w:val="00F35D3E"/>
    <w:rsid w:val="00F35DE7"/>
    <w:rsid w:val="00F35F78"/>
    <w:rsid w:val="00F35FA9"/>
    <w:rsid w:val="00F36069"/>
    <w:rsid w:val="00F36ACB"/>
    <w:rsid w:val="00F36CA4"/>
    <w:rsid w:val="00F36DDD"/>
    <w:rsid w:val="00F36FAC"/>
    <w:rsid w:val="00F36FDE"/>
    <w:rsid w:val="00F37301"/>
    <w:rsid w:val="00F37645"/>
    <w:rsid w:val="00F37946"/>
    <w:rsid w:val="00F37A10"/>
    <w:rsid w:val="00F37AAF"/>
    <w:rsid w:val="00F37EE5"/>
    <w:rsid w:val="00F40228"/>
    <w:rsid w:val="00F404A7"/>
    <w:rsid w:val="00F404CD"/>
    <w:rsid w:val="00F4060F"/>
    <w:rsid w:val="00F40D16"/>
    <w:rsid w:val="00F40FB5"/>
    <w:rsid w:val="00F4117F"/>
    <w:rsid w:val="00F41260"/>
    <w:rsid w:val="00F41450"/>
    <w:rsid w:val="00F416DF"/>
    <w:rsid w:val="00F417A1"/>
    <w:rsid w:val="00F4198B"/>
    <w:rsid w:val="00F41B3F"/>
    <w:rsid w:val="00F421FA"/>
    <w:rsid w:val="00F4239C"/>
    <w:rsid w:val="00F424C6"/>
    <w:rsid w:val="00F42740"/>
    <w:rsid w:val="00F42A2C"/>
    <w:rsid w:val="00F42B97"/>
    <w:rsid w:val="00F42EF8"/>
    <w:rsid w:val="00F4302D"/>
    <w:rsid w:val="00F4310D"/>
    <w:rsid w:val="00F4336B"/>
    <w:rsid w:val="00F437E0"/>
    <w:rsid w:val="00F43855"/>
    <w:rsid w:val="00F439BA"/>
    <w:rsid w:val="00F43B55"/>
    <w:rsid w:val="00F43B81"/>
    <w:rsid w:val="00F43D21"/>
    <w:rsid w:val="00F43D88"/>
    <w:rsid w:val="00F44047"/>
    <w:rsid w:val="00F4455E"/>
    <w:rsid w:val="00F44659"/>
    <w:rsid w:val="00F44EEC"/>
    <w:rsid w:val="00F44FBE"/>
    <w:rsid w:val="00F45009"/>
    <w:rsid w:val="00F45045"/>
    <w:rsid w:val="00F452A9"/>
    <w:rsid w:val="00F456E5"/>
    <w:rsid w:val="00F45751"/>
    <w:rsid w:val="00F45936"/>
    <w:rsid w:val="00F45A86"/>
    <w:rsid w:val="00F45C12"/>
    <w:rsid w:val="00F45CA4"/>
    <w:rsid w:val="00F46065"/>
    <w:rsid w:val="00F46813"/>
    <w:rsid w:val="00F46906"/>
    <w:rsid w:val="00F46A9C"/>
    <w:rsid w:val="00F46D03"/>
    <w:rsid w:val="00F4719E"/>
    <w:rsid w:val="00F4732C"/>
    <w:rsid w:val="00F4740D"/>
    <w:rsid w:val="00F4768F"/>
    <w:rsid w:val="00F47779"/>
    <w:rsid w:val="00F47DE0"/>
    <w:rsid w:val="00F47EE7"/>
    <w:rsid w:val="00F47FEA"/>
    <w:rsid w:val="00F500F4"/>
    <w:rsid w:val="00F504B7"/>
    <w:rsid w:val="00F50658"/>
    <w:rsid w:val="00F50674"/>
    <w:rsid w:val="00F508BE"/>
    <w:rsid w:val="00F50971"/>
    <w:rsid w:val="00F50AF7"/>
    <w:rsid w:val="00F50BC5"/>
    <w:rsid w:val="00F50EA9"/>
    <w:rsid w:val="00F51061"/>
    <w:rsid w:val="00F511D5"/>
    <w:rsid w:val="00F5154B"/>
    <w:rsid w:val="00F515C5"/>
    <w:rsid w:val="00F51A8D"/>
    <w:rsid w:val="00F52573"/>
    <w:rsid w:val="00F5299B"/>
    <w:rsid w:val="00F52E4C"/>
    <w:rsid w:val="00F52EA2"/>
    <w:rsid w:val="00F53862"/>
    <w:rsid w:val="00F53D93"/>
    <w:rsid w:val="00F53E82"/>
    <w:rsid w:val="00F54052"/>
    <w:rsid w:val="00F54527"/>
    <w:rsid w:val="00F5485C"/>
    <w:rsid w:val="00F548F9"/>
    <w:rsid w:val="00F5493A"/>
    <w:rsid w:val="00F54B25"/>
    <w:rsid w:val="00F54D8F"/>
    <w:rsid w:val="00F5500D"/>
    <w:rsid w:val="00F55166"/>
    <w:rsid w:val="00F5518C"/>
    <w:rsid w:val="00F553F3"/>
    <w:rsid w:val="00F55747"/>
    <w:rsid w:val="00F55885"/>
    <w:rsid w:val="00F55A19"/>
    <w:rsid w:val="00F55EB8"/>
    <w:rsid w:val="00F55F19"/>
    <w:rsid w:val="00F5623E"/>
    <w:rsid w:val="00F564A6"/>
    <w:rsid w:val="00F566CA"/>
    <w:rsid w:val="00F568BB"/>
    <w:rsid w:val="00F56A1B"/>
    <w:rsid w:val="00F56A6F"/>
    <w:rsid w:val="00F56AD9"/>
    <w:rsid w:val="00F56E85"/>
    <w:rsid w:val="00F5720F"/>
    <w:rsid w:val="00F57351"/>
    <w:rsid w:val="00F576EA"/>
    <w:rsid w:val="00F576FC"/>
    <w:rsid w:val="00F57AA3"/>
    <w:rsid w:val="00F57B85"/>
    <w:rsid w:val="00F57D3D"/>
    <w:rsid w:val="00F57D88"/>
    <w:rsid w:val="00F602F4"/>
    <w:rsid w:val="00F60A95"/>
    <w:rsid w:val="00F60B47"/>
    <w:rsid w:val="00F60D82"/>
    <w:rsid w:val="00F60DBF"/>
    <w:rsid w:val="00F60F5F"/>
    <w:rsid w:val="00F6152C"/>
    <w:rsid w:val="00F61DE5"/>
    <w:rsid w:val="00F6222D"/>
    <w:rsid w:val="00F62296"/>
    <w:rsid w:val="00F62388"/>
    <w:rsid w:val="00F62A30"/>
    <w:rsid w:val="00F62AC3"/>
    <w:rsid w:val="00F632F5"/>
    <w:rsid w:val="00F63349"/>
    <w:rsid w:val="00F634C5"/>
    <w:rsid w:val="00F63543"/>
    <w:rsid w:val="00F63575"/>
    <w:rsid w:val="00F639A1"/>
    <w:rsid w:val="00F6409D"/>
    <w:rsid w:val="00F640CA"/>
    <w:rsid w:val="00F644B8"/>
    <w:rsid w:val="00F644E5"/>
    <w:rsid w:val="00F6492F"/>
    <w:rsid w:val="00F64DD8"/>
    <w:rsid w:val="00F650D4"/>
    <w:rsid w:val="00F652B3"/>
    <w:rsid w:val="00F65839"/>
    <w:rsid w:val="00F65985"/>
    <w:rsid w:val="00F65B84"/>
    <w:rsid w:val="00F65BDF"/>
    <w:rsid w:val="00F65BEA"/>
    <w:rsid w:val="00F66A53"/>
    <w:rsid w:val="00F66B99"/>
    <w:rsid w:val="00F66BC0"/>
    <w:rsid w:val="00F6712C"/>
    <w:rsid w:val="00F67134"/>
    <w:rsid w:val="00F67138"/>
    <w:rsid w:val="00F67207"/>
    <w:rsid w:val="00F67278"/>
    <w:rsid w:val="00F6735C"/>
    <w:rsid w:val="00F675FA"/>
    <w:rsid w:val="00F677DA"/>
    <w:rsid w:val="00F67902"/>
    <w:rsid w:val="00F67915"/>
    <w:rsid w:val="00F679A9"/>
    <w:rsid w:val="00F679D4"/>
    <w:rsid w:val="00F67EC4"/>
    <w:rsid w:val="00F67FB3"/>
    <w:rsid w:val="00F7021A"/>
    <w:rsid w:val="00F70275"/>
    <w:rsid w:val="00F70545"/>
    <w:rsid w:val="00F70935"/>
    <w:rsid w:val="00F70EBF"/>
    <w:rsid w:val="00F710E0"/>
    <w:rsid w:val="00F71201"/>
    <w:rsid w:val="00F71A68"/>
    <w:rsid w:val="00F71B6B"/>
    <w:rsid w:val="00F71CBF"/>
    <w:rsid w:val="00F720DF"/>
    <w:rsid w:val="00F7255B"/>
    <w:rsid w:val="00F72834"/>
    <w:rsid w:val="00F72A66"/>
    <w:rsid w:val="00F72A6A"/>
    <w:rsid w:val="00F72B6B"/>
    <w:rsid w:val="00F733CE"/>
    <w:rsid w:val="00F73420"/>
    <w:rsid w:val="00F735CF"/>
    <w:rsid w:val="00F735FD"/>
    <w:rsid w:val="00F73E9B"/>
    <w:rsid w:val="00F73F03"/>
    <w:rsid w:val="00F74046"/>
    <w:rsid w:val="00F740A1"/>
    <w:rsid w:val="00F74AD8"/>
    <w:rsid w:val="00F74BAA"/>
    <w:rsid w:val="00F74BC7"/>
    <w:rsid w:val="00F752EC"/>
    <w:rsid w:val="00F7583B"/>
    <w:rsid w:val="00F759E8"/>
    <w:rsid w:val="00F75A2B"/>
    <w:rsid w:val="00F75EA6"/>
    <w:rsid w:val="00F76477"/>
    <w:rsid w:val="00F7667C"/>
    <w:rsid w:val="00F76BB0"/>
    <w:rsid w:val="00F76E91"/>
    <w:rsid w:val="00F76F61"/>
    <w:rsid w:val="00F77730"/>
    <w:rsid w:val="00F77B4D"/>
    <w:rsid w:val="00F8021D"/>
    <w:rsid w:val="00F807DF"/>
    <w:rsid w:val="00F80844"/>
    <w:rsid w:val="00F80C2D"/>
    <w:rsid w:val="00F80E9E"/>
    <w:rsid w:val="00F80FED"/>
    <w:rsid w:val="00F814DA"/>
    <w:rsid w:val="00F8165E"/>
    <w:rsid w:val="00F81FA0"/>
    <w:rsid w:val="00F821C5"/>
    <w:rsid w:val="00F821E6"/>
    <w:rsid w:val="00F82230"/>
    <w:rsid w:val="00F824CF"/>
    <w:rsid w:val="00F82A60"/>
    <w:rsid w:val="00F82A7C"/>
    <w:rsid w:val="00F82CEE"/>
    <w:rsid w:val="00F82EC7"/>
    <w:rsid w:val="00F82F12"/>
    <w:rsid w:val="00F82F2C"/>
    <w:rsid w:val="00F82FF5"/>
    <w:rsid w:val="00F83156"/>
    <w:rsid w:val="00F831F6"/>
    <w:rsid w:val="00F836F6"/>
    <w:rsid w:val="00F838E0"/>
    <w:rsid w:val="00F83F5A"/>
    <w:rsid w:val="00F8494E"/>
    <w:rsid w:val="00F84CB1"/>
    <w:rsid w:val="00F84F64"/>
    <w:rsid w:val="00F85116"/>
    <w:rsid w:val="00F851AE"/>
    <w:rsid w:val="00F85207"/>
    <w:rsid w:val="00F854AF"/>
    <w:rsid w:val="00F85565"/>
    <w:rsid w:val="00F85781"/>
    <w:rsid w:val="00F85BC1"/>
    <w:rsid w:val="00F85D7E"/>
    <w:rsid w:val="00F85E49"/>
    <w:rsid w:val="00F864C5"/>
    <w:rsid w:val="00F865BE"/>
    <w:rsid w:val="00F866F0"/>
    <w:rsid w:val="00F869DE"/>
    <w:rsid w:val="00F86DCB"/>
    <w:rsid w:val="00F86F15"/>
    <w:rsid w:val="00F870BF"/>
    <w:rsid w:val="00F87207"/>
    <w:rsid w:val="00F8732D"/>
    <w:rsid w:val="00F87582"/>
    <w:rsid w:val="00F87897"/>
    <w:rsid w:val="00F879A5"/>
    <w:rsid w:val="00F87B38"/>
    <w:rsid w:val="00F87BEB"/>
    <w:rsid w:val="00F90201"/>
    <w:rsid w:val="00F9039B"/>
    <w:rsid w:val="00F90601"/>
    <w:rsid w:val="00F90783"/>
    <w:rsid w:val="00F907AD"/>
    <w:rsid w:val="00F90A26"/>
    <w:rsid w:val="00F90AD7"/>
    <w:rsid w:val="00F90C30"/>
    <w:rsid w:val="00F90C4D"/>
    <w:rsid w:val="00F90F92"/>
    <w:rsid w:val="00F9118A"/>
    <w:rsid w:val="00F9128C"/>
    <w:rsid w:val="00F912D5"/>
    <w:rsid w:val="00F917BD"/>
    <w:rsid w:val="00F91E84"/>
    <w:rsid w:val="00F92482"/>
    <w:rsid w:val="00F9262D"/>
    <w:rsid w:val="00F9283E"/>
    <w:rsid w:val="00F92B4C"/>
    <w:rsid w:val="00F92C5D"/>
    <w:rsid w:val="00F938BB"/>
    <w:rsid w:val="00F9392D"/>
    <w:rsid w:val="00F93974"/>
    <w:rsid w:val="00F943E9"/>
    <w:rsid w:val="00F94553"/>
    <w:rsid w:val="00F94B30"/>
    <w:rsid w:val="00F94B42"/>
    <w:rsid w:val="00F94C98"/>
    <w:rsid w:val="00F950E3"/>
    <w:rsid w:val="00F95221"/>
    <w:rsid w:val="00F95884"/>
    <w:rsid w:val="00F959C2"/>
    <w:rsid w:val="00F959E3"/>
    <w:rsid w:val="00F95C75"/>
    <w:rsid w:val="00F962E2"/>
    <w:rsid w:val="00F9690E"/>
    <w:rsid w:val="00F969B2"/>
    <w:rsid w:val="00F96BD6"/>
    <w:rsid w:val="00F974BF"/>
    <w:rsid w:val="00F97657"/>
    <w:rsid w:val="00F97794"/>
    <w:rsid w:val="00F977F1"/>
    <w:rsid w:val="00F978E2"/>
    <w:rsid w:val="00F97AA8"/>
    <w:rsid w:val="00F97B7C"/>
    <w:rsid w:val="00F97BAC"/>
    <w:rsid w:val="00F97CFE"/>
    <w:rsid w:val="00FA0448"/>
    <w:rsid w:val="00FA06EF"/>
    <w:rsid w:val="00FA079A"/>
    <w:rsid w:val="00FA0AEA"/>
    <w:rsid w:val="00FA0B1A"/>
    <w:rsid w:val="00FA0CBF"/>
    <w:rsid w:val="00FA0D1B"/>
    <w:rsid w:val="00FA0F50"/>
    <w:rsid w:val="00FA1207"/>
    <w:rsid w:val="00FA1270"/>
    <w:rsid w:val="00FA12BC"/>
    <w:rsid w:val="00FA13C3"/>
    <w:rsid w:val="00FA1425"/>
    <w:rsid w:val="00FA15E7"/>
    <w:rsid w:val="00FA2435"/>
    <w:rsid w:val="00FA26C8"/>
    <w:rsid w:val="00FA276A"/>
    <w:rsid w:val="00FA2917"/>
    <w:rsid w:val="00FA2FE6"/>
    <w:rsid w:val="00FA3231"/>
    <w:rsid w:val="00FA32FC"/>
    <w:rsid w:val="00FA349A"/>
    <w:rsid w:val="00FA35CA"/>
    <w:rsid w:val="00FA391C"/>
    <w:rsid w:val="00FA3A6F"/>
    <w:rsid w:val="00FA3F28"/>
    <w:rsid w:val="00FA4031"/>
    <w:rsid w:val="00FA41EC"/>
    <w:rsid w:val="00FA43A4"/>
    <w:rsid w:val="00FA453B"/>
    <w:rsid w:val="00FA465B"/>
    <w:rsid w:val="00FA490E"/>
    <w:rsid w:val="00FA49BC"/>
    <w:rsid w:val="00FA4C53"/>
    <w:rsid w:val="00FA5137"/>
    <w:rsid w:val="00FA515A"/>
    <w:rsid w:val="00FA51E4"/>
    <w:rsid w:val="00FA530A"/>
    <w:rsid w:val="00FA5808"/>
    <w:rsid w:val="00FA5850"/>
    <w:rsid w:val="00FA5B96"/>
    <w:rsid w:val="00FA5C7F"/>
    <w:rsid w:val="00FA5E1C"/>
    <w:rsid w:val="00FA5EE1"/>
    <w:rsid w:val="00FA5F4E"/>
    <w:rsid w:val="00FA5FDD"/>
    <w:rsid w:val="00FA610F"/>
    <w:rsid w:val="00FA61CA"/>
    <w:rsid w:val="00FA62AC"/>
    <w:rsid w:val="00FA63A3"/>
    <w:rsid w:val="00FA65B9"/>
    <w:rsid w:val="00FA684A"/>
    <w:rsid w:val="00FA689B"/>
    <w:rsid w:val="00FA697E"/>
    <w:rsid w:val="00FA6A4C"/>
    <w:rsid w:val="00FA6EF1"/>
    <w:rsid w:val="00FA6F5B"/>
    <w:rsid w:val="00FA7746"/>
    <w:rsid w:val="00FA7793"/>
    <w:rsid w:val="00FA789D"/>
    <w:rsid w:val="00FA7B3A"/>
    <w:rsid w:val="00FA7D7F"/>
    <w:rsid w:val="00FA7FCC"/>
    <w:rsid w:val="00FB0027"/>
    <w:rsid w:val="00FB0158"/>
    <w:rsid w:val="00FB0309"/>
    <w:rsid w:val="00FB056B"/>
    <w:rsid w:val="00FB0BBF"/>
    <w:rsid w:val="00FB0BF9"/>
    <w:rsid w:val="00FB0D4E"/>
    <w:rsid w:val="00FB0D68"/>
    <w:rsid w:val="00FB0F1E"/>
    <w:rsid w:val="00FB117A"/>
    <w:rsid w:val="00FB11D9"/>
    <w:rsid w:val="00FB1281"/>
    <w:rsid w:val="00FB1A93"/>
    <w:rsid w:val="00FB1B14"/>
    <w:rsid w:val="00FB1CD0"/>
    <w:rsid w:val="00FB2292"/>
    <w:rsid w:val="00FB26A2"/>
    <w:rsid w:val="00FB3718"/>
    <w:rsid w:val="00FB3B53"/>
    <w:rsid w:val="00FB433F"/>
    <w:rsid w:val="00FB44DA"/>
    <w:rsid w:val="00FB4EA7"/>
    <w:rsid w:val="00FB4F68"/>
    <w:rsid w:val="00FB53EF"/>
    <w:rsid w:val="00FB553A"/>
    <w:rsid w:val="00FB55FC"/>
    <w:rsid w:val="00FB57A7"/>
    <w:rsid w:val="00FB67A8"/>
    <w:rsid w:val="00FB6E39"/>
    <w:rsid w:val="00FB6F44"/>
    <w:rsid w:val="00FB71F4"/>
    <w:rsid w:val="00FB7206"/>
    <w:rsid w:val="00FB72A6"/>
    <w:rsid w:val="00FB7439"/>
    <w:rsid w:val="00FB75ED"/>
    <w:rsid w:val="00FB75F9"/>
    <w:rsid w:val="00FB76B7"/>
    <w:rsid w:val="00FB79E1"/>
    <w:rsid w:val="00FC0172"/>
    <w:rsid w:val="00FC027D"/>
    <w:rsid w:val="00FC0669"/>
    <w:rsid w:val="00FC08BD"/>
    <w:rsid w:val="00FC0E1B"/>
    <w:rsid w:val="00FC11D2"/>
    <w:rsid w:val="00FC1435"/>
    <w:rsid w:val="00FC16C3"/>
    <w:rsid w:val="00FC18BE"/>
    <w:rsid w:val="00FC1C3D"/>
    <w:rsid w:val="00FC2171"/>
    <w:rsid w:val="00FC21D0"/>
    <w:rsid w:val="00FC229B"/>
    <w:rsid w:val="00FC247F"/>
    <w:rsid w:val="00FC2587"/>
    <w:rsid w:val="00FC25AF"/>
    <w:rsid w:val="00FC26A5"/>
    <w:rsid w:val="00FC27CD"/>
    <w:rsid w:val="00FC2B7B"/>
    <w:rsid w:val="00FC2BCC"/>
    <w:rsid w:val="00FC2BF7"/>
    <w:rsid w:val="00FC2CB4"/>
    <w:rsid w:val="00FC2CCF"/>
    <w:rsid w:val="00FC2E5C"/>
    <w:rsid w:val="00FC3008"/>
    <w:rsid w:val="00FC3A56"/>
    <w:rsid w:val="00FC3C08"/>
    <w:rsid w:val="00FC3C10"/>
    <w:rsid w:val="00FC40C6"/>
    <w:rsid w:val="00FC41B6"/>
    <w:rsid w:val="00FC4496"/>
    <w:rsid w:val="00FC464B"/>
    <w:rsid w:val="00FC4659"/>
    <w:rsid w:val="00FC46EF"/>
    <w:rsid w:val="00FC47DD"/>
    <w:rsid w:val="00FC48E0"/>
    <w:rsid w:val="00FC512C"/>
    <w:rsid w:val="00FC51B3"/>
    <w:rsid w:val="00FC534C"/>
    <w:rsid w:val="00FC5817"/>
    <w:rsid w:val="00FC5BD1"/>
    <w:rsid w:val="00FC5BFB"/>
    <w:rsid w:val="00FC5CF6"/>
    <w:rsid w:val="00FC60AC"/>
    <w:rsid w:val="00FC6281"/>
    <w:rsid w:val="00FC65BF"/>
    <w:rsid w:val="00FC65C8"/>
    <w:rsid w:val="00FC6713"/>
    <w:rsid w:val="00FC6881"/>
    <w:rsid w:val="00FC68B7"/>
    <w:rsid w:val="00FC6B45"/>
    <w:rsid w:val="00FC7097"/>
    <w:rsid w:val="00FC723E"/>
    <w:rsid w:val="00FC7516"/>
    <w:rsid w:val="00FC7933"/>
    <w:rsid w:val="00FC795E"/>
    <w:rsid w:val="00FC79EC"/>
    <w:rsid w:val="00FC7C59"/>
    <w:rsid w:val="00FC7C67"/>
    <w:rsid w:val="00FC7D9A"/>
    <w:rsid w:val="00FD0458"/>
    <w:rsid w:val="00FD051A"/>
    <w:rsid w:val="00FD0670"/>
    <w:rsid w:val="00FD0794"/>
    <w:rsid w:val="00FD1079"/>
    <w:rsid w:val="00FD10A6"/>
    <w:rsid w:val="00FD1581"/>
    <w:rsid w:val="00FD16B3"/>
    <w:rsid w:val="00FD1AC3"/>
    <w:rsid w:val="00FD1AEE"/>
    <w:rsid w:val="00FD1C07"/>
    <w:rsid w:val="00FD1C33"/>
    <w:rsid w:val="00FD213D"/>
    <w:rsid w:val="00FD27EA"/>
    <w:rsid w:val="00FD2A41"/>
    <w:rsid w:val="00FD2BAD"/>
    <w:rsid w:val="00FD2C2F"/>
    <w:rsid w:val="00FD321A"/>
    <w:rsid w:val="00FD36FF"/>
    <w:rsid w:val="00FD3B1F"/>
    <w:rsid w:val="00FD3C07"/>
    <w:rsid w:val="00FD3D64"/>
    <w:rsid w:val="00FD4196"/>
    <w:rsid w:val="00FD436C"/>
    <w:rsid w:val="00FD43B1"/>
    <w:rsid w:val="00FD45F6"/>
    <w:rsid w:val="00FD4673"/>
    <w:rsid w:val="00FD47DC"/>
    <w:rsid w:val="00FD48EE"/>
    <w:rsid w:val="00FD48FB"/>
    <w:rsid w:val="00FD49A2"/>
    <w:rsid w:val="00FD49BD"/>
    <w:rsid w:val="00FD49C3"/>
    <w:rsid w:val="00FD4A8F"/>
    <w:rsid w:val="00FD4BED"/>
    <w:rsid w:val="00FD50C9"/>
    <w:rsid w:val="00FD564D"/>
    <w:rsid w:val="00FD5769"/>
    <w:rsid w:val="00FD5799"/>
    <w:rsid w:val="00FD5983"/>
    <w:rsid w:val="00FD5ABA"/>
    <w:rsid w:val="00FD5DD5"/>
    <w:rsid w:val="00FD5DE9"/>
    <w:rsid w:val="00FD61EA"/>
    <w:rsid w:val="00FD64A9"/>
    <w:rsid w:val="00FD6831"/>
    <w:rsid w:val="00FD6913"/>
    <w:rsid w:val="00FD698B"/>
    <w:rsid w:val="00FD6B08"/>
    <w:rsid w:val="00FD6D95"/>
    <w:rsid w:val="00FD71B8"/>
    <w:rsid w:val="00FD7242"/>
    <w:rsid w:val="00FD744D"/>
    <w:rsid w:val="00FD745F"/>
    <w:rsid w:val="00FD76B7"/>
    <w:rsid w:val="00FD79F1"/>
    <w:rsid w:val="00FD7F4C"/>
    <w:rsid w:val="00FE0046"/>
    <w:rsid w:val="00FE059B"/>
    <w:rsid w:val="00FE05C9"/>
    <w:rsid w:val="00FE05D0"/>
    <w:rsid w:val="00FE068E"/>
    <w:rsid w:val="00FE0C22"/>
    <w:rsid w:val="00FE131C"/>
    <w:rsid w:val="00FE168A"/>
    <w:rsid w:val="00FE1E02"/>
    <w:rsid w:val="00FE1F98"/>
    <w:rsid w:val="00FE2159"/>
    <w:rsid w:val="00FE216E"/>
    <w:rsid w:val="00FE27F3"/>
    <w:rsid w:val="00FE28E9"/>
    <w:rsid w:val="00FE292B"/>
    <w:rsid w:val="00FE2E33"/>
    <w:rsid w:val="00FE35C1"/>
    <w:rsid w:val="00FE3B97"/>
    <w:rsid w:val="00FE3CDF"/>
    <w:rsid w:val="00FE3EEB"/>
    <w:rsid w:val="00FE412E"/>
    <w:rsid w:val="00FE43BB"/>
    <w:rsid w:val="00FE4610"/>
    <w:rsid w:val="00FE4A4F"/>
    <w:rsid w:val="00FE4A6E"/>
    <w:rsid w:val="00FE4B35"/>
    <w:rsid w:val="00FE5261"/>
    <w:rsid w:val="00FE53E7"/>
    <w:rsid w:val="00FE563E"/>
    <w:rsid w:val="00FE59C8"/>
    <w:rsid w:val="00FE5A7E"/>
    <w:rsid w:val="00FE5B1B"/>
    <w:rsid w:val="00FE5EE4"/>
    <w:rsid w:val="00FE5FEA"/>
    <w:rsid w:val="00FE632D"/>
    <w:rsid w:val="00FE634E"/>
    <w:rsid w:val="00FE69DD"/>
    <w:rsid w:val="00FE6C79"/>
    <w:rsid w:val="00FE6CF8"/>
    <w:rsid w:val="00FE6F53"/>
    <w:rsid w:val="00FE7105"/>
    <w:rsid w:val="00FE73B0"/>
    <w:rsid w:val="00FE7790"/>
    <w:rsid w:val="00FE790A"/>
    <w:rsid w:val="00FE7B46"/>
    <w:rsid w:val="00FE7D7A"/>
    <w:rsid w:val="00FF000B"/>
    <w:rsid w:val="00FF00D7"/>
    <w:rsid w:val="00FF07DF"/>
    <w:rsid w:val="00FF1007"/>
    <w:rsid w:val="00FF1A0F"/>
    <w:rsid w:val="00FF1DE6"/>
    <w:rsid w:val="00FF1E7C"/>
    <w:rsid w:val="00FF20B2"/>
    <w:rsid w:val="00FF2110"/>
    <w:rsid w:val="00FF2240"/>
    <w:rsid w:val="00FF2780"/>
    <w:rsid w:val="00FF2910"/>
    <w:rsid w:val="00FF2FB3"/>
    <w:rsid w:val="00FF32AB"/>
    <w:rsid w:val="00FF3304"/>
    <w:rsid w:val="00FF3786"/>
    <w:rsid w:val="00FF39E4"/>
    <w:rsid w:val="00FF3CA0"/>
    <w:rsid w:val="00FF3D9D"/>
    <w:rsid w:val="00FF3F2D"/>
    <w:rsid w:val="00FF42D7"/>
    <w:rsid w:val="00FF4396"/>
    <w:rsid w:val="00FF43AA"/>
    <w:rsid w:val="00FF444F"/>
    <w:rsid w:val="00FF4699"/>
    <w:rsid w:val="00FF4BD7"/>
    <w:rsid w:val="00FF4CE7"/>
    <w:rsid w:val="00FF4F84"/>
    <w:rsid w:val="00FF5258"/>
    <w:rsid w:val="00FF5316"/>
    <w:rsid w:val="00FF53A0"/>
    <w:rsid w:val="00FF54F3"/>
    <w:rsid w:val="00FF5755"/>
    <w:rsid w:val="00FF57E4"/>
    <w:rsid w:val="00FF5ABC"/>
    <w:rsid w:val="00FF5B52"/>
    <w:rsid w:val="00FF5D48"/>
    <w:rsid w:val="00FF6044"/>
    <w:rsid w:val="00FF61AD"/>
    <w:rsid w:val="00FF6314"/>
    <w:rsid w:val="00FF699D"/>
    <w:rsid w:val="00FF6A4F"/>
    <w:rsid w:val="00FF6A6A"/>
    <w:rsid w:val="00FF6FBE"/>
    <w:rsid w:val="00FF7334"/>
    <w:rsid w:val="00FF7407"/>
    <w:rsid w:val="00FF750C"/>
    <w:rsid w:val="00FF77B7"/>
    <w:rsid w:val="00FF7922"/>
    <w:rsid w:val="00FF7D4E"/>
    <w:rsid w:val="02BF0D61"/>
    <w:rsid w:val="04E54BEF"/>
    <w:rsid w:val="065C082E"/>
    <w:rsid w:val="07D37F63"/>
    <w:rsid w:val="098967D1"/>
    <w:rsid w:val="0CF72F3F"/>
    <w:rsid w:val="0DA73361"/>
    <w:rsid w:val="10F64457"/>
    <w:rsid w:val="11FB4AB7"/>
    <w:rsid w:val="12000875"/>
    <w:rsid w:val="140D7386"/>
    <w:rsid w:val="17561AAC"/>
    <w:rsid w:val="1787048B"/>
    <w:rsid w:val="1B41022C"/>
    <w:rsid w:val="1C0F7DF8"/>
    <w:rsid w:val="1DA46B8C"/>
    <w:rsid w:val="22994D41"/>
    <w:rsid w:val="22B53C3F"/>
    <w:rsid w:val="22BA0C36"/>
    <w:rsid w:val="265E5F9B"/>
    <w:rsid w:val="27406FF8"/>
    <w:rsid w:val="27825051"/>
    <w:rsid w:val="298339DD"/>
    <w:rsid w:val="29A42A5E"/>
    <w:rsid w:val="2C3A0686"/>
    <w:rsid w:val="2CFE79D0"/>
    <w:rsid w:val="2D031F0A"/>
    <w:rsid w:val="305111DE"/>
    <w:rsid w:val="32A32330"/>
    <w:rsid w:val="33452BAA"/>
    <w:rsid w:val="374452AD"/>
    <w:rsid w:val="3A4A73CA"/>
    <w:rsid w:val="3B4F5282"/>
    <w:rsid w:val="3D1B504E"/>
    <w:rsid w:val="3D8031A7"/>
    <w:rsid w:val="417E1337"/>
    <w:rsid w:val="4185310F"/>
    <w:rsid w:val="4197682B"/>
    <w:rsid w:val="422119BA"/>
    <w:rsid w:val="44642901"/>
    <w:rsid w:val="48CD6310"/>
    <w:rsid w:val="4AA72C36"/>
    <w:rsid w:val="4DDE2EF4"/>
    <w:rsid w:val="51184368"/>
    <w:rsid w:val="5284625C"/>
    <w:rsid w:val="536D1A80"/>
    <w:rsid w:val="55846FDD"/>
    <w:rsid w:val="57952240"/>
    <w:rsid w:val="57DB745C"/>
    <w:rsid w:val="591264BB"/>
    <w:rsid w:val="5C12559D"/>
    <w:rsid w:val="5DC05941"/>
    <w:rsid w:val="5FAA1212"/>
    <w:rsid w:val="60743FD5"/>
    <w:rsid w:val="61686215"/>
    <w:rsid w:val="67035AC4"/>
    <w:rsid w:val="68814582"/>
    <w:rsid w:val="6AB204F0"/>
    <w:rsid w:val="6BA23FFF"/>
    <w:rsid w:val="6CA14477"/>
    <w:rsid w:val="6E334459"/>
    <w:rsid w:val="6E66587A"/>
    <w:rsid w:val="6E675D06"/>
    <w:rsid w:val="6F103A37"/>
    <w:rsid w:val="70147557"/>
    <w:rsid w:val="7386169F"/>
    <w:rsid w:val="76C97A24"/>
    <w:rsid w:val="786B43E6"/>
    <w:rsid w:val="7C8B0BA1"/>
    <w:rsid w:val="7FE32922"/>
    <w:rsid w:val="7FF7634F"/>
    <w:rsid w:val="E7AF686E"/>
    <w:rsid w:val="FE35B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99"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99"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99"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99"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qFormat="1" w:unhideWhenUsed="0" w:uiPriority="0" w:semiHidden="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qFormat="1" w:unhideWhenUsed="0" w:uiPriority="0" w:semiHidden="0" w:name="Table Grid 1"/>
    <w:lsdException w:uiPriority="0" w:name="Table Grid 2"/>
    <w:lsdException w:uiPriority="0" w:name="Table Grid 3"/>
    <w:lsdException w:uiPriority="0" w:name="Table Grid 4"/>
    <w:lsdException w:qFormat="1" w:unhideWhenUsed="0" w:uiPriority="0" w:semiHidden="0" w:name="Table Grid 5"/>
    <w:lsdException w:uiPriority="0" w:name="Table Grid 6"/>
    <w:lsdException w:qFormat="1" w:unhideWhenUsed="0" w:uiPriority="0" w:semiHidden="0" w:name="Table Grid 7"/>
    <w:lsdException w:uiPriority="0" w:name="Table Grid 8"/>
    <w:lsdException w:uiPriority="0" w:name="Table List 1"/>
    <w:lsdException w:uiPriority="0" w:name="Table List 2"/>
    <w:lsdException w:qFormat="1" w:unhideWhenUsed="0" w:uiPriority="0" w:semiHidden="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qFormat="1" w:unhideWhenUsed="0" w:uiPriority="0" w:semiHidden="0" w:name="Table Theme"/>
    <w:lsdException w:qFormat="1" w:unhideWhenUsed="0" w:uiPriority="0"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5"/>
    <w:qFormat/>
    <w:uiPriority w:val="0"/>
    <w:pPr>
      <w:adjustRightInd w:val="0"/>
      <w:snapToGrid w:val="0"/>
      <w:spacing w:line="480" w:lineRule="exact"/>
      <w:jc w:val="center"/>
      <w:outlineLvl w:val="0"/>
    </w:pPr>
    <w:rPr>
      <w:b/>
      <w:bCs/>
      <w:kern w:val="44"/>
      <w:sz w:val="32"/>
      <w:szCs w:val="32"/>
    </w:rPr>
  </w:style>
  <w:style w:type="paragraph" w:styleId="4">
    <w:name w:val="heading 2"/>
    <w:basedOn w:val="1"/>
    <w:next w:val="1"/>
    <w:link w:val="116"/>
    <w:qFormat/>
    <w:uiPriority w:val="0"/>
    <w:pPr>
      <w:keepNext/>
      <w:keepLines/>
      <w:spacing w:before="260" w:after="260" w:line="416" w:lineRule="auto"/>
      <w:outlineLvl w:val="1"/>
    </w:pPr>
    <w:rPr>
      <w:rFonts w:ascii="Arial" w:hAnsi="Arial" w:eastAsia="Courier New"/>
      <w:b/>
      <w:bCs/>
      <w:sz w:val="32"/>
      <w:szCs w:val="32"/>
    </w:rPr>
  </w:style>
  <w:style w:type="paragraph" w:styleId="5">
    <w:name w:val="heading 3"/>
    <w:basedOn w:val="1"/>
    <w:next w:val="1"/>
    <w:link w:val="117"/>
    <w:qFormat/>
    <w:uiPriority w:val="0"/>
    <w:pPr>
      <w:keepNext/>
      <w:keepLines/>
      <w:spacing w:before="260" w:after="260" w:line="416" w:lineRule="auto"/>
      <w:outlineLvl w:val="2"/>
    </w:pPr>
    <w:rPr>
      <w:b/>
      <w:bCs/>
      <w:sz w:val="32"/>
      <w:szCs w:val="32"/>
    </w:rPr>
  </w:style>
  <w:style w:type="paragraph" w:styleId="6">
    <w:name w:val="heading 4"/>
    <w:basedOn w:val="1"/>
    <w:next w:val="1"/>
    <w:link w:val="118"/>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119"/>
    <w:qFormat/>
    <w:uiPriority w:val="9"/>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120"/>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121"/>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12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124"/>
    <w:qFormat/>
    <w:uiPriority w:val="0"/>
    <w:pPr>
      <w:keepNext/>
      <w:keepLines/>
      <w:numPr>
        <w:ilvl w:val="8"/>
        <w:numId w:val="1"/>
      </w:numPr>
      <w:spacing w:before="240" w:after="64" w:line="320" w:lineRule="auto"/>
      <w:ind w:firstLine="0"/>
      <w:outlineLvl w:val="8"/>
    </w:pPr>
    <w:rPr>
      <w:rFonts w:ascii="Arial" w:hAnsi="Arial" w:eastAsia="黑体"/>
      <w:szCs w:val="20"/>
    </w:rPr>
  </w:style>
  <w:style w:type="character" w:default="1" w:styleId="97">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basedOn w:val="1"/>
    <w:link w:val="1087"/>
    <w:qFormat/>
    <w:uiPriority w:val="99"/>
    <w:pPr>
      <w:widowControl/>
      <w:spacing w:before="100" w:beforeAutospacing="1" w:after="100" w:afterAutospacing="1"/>
      <w:jc w:val="left"/>
    </w:pPr>
    <w:rPr>
      <w:rFonts w:ascii="宋体" w:hAnsi="宋体" w:cs="Calibri"/>
      <w:kern w:val="0"/>
      <w:sz w:val="24"/>
    </w:rPr>
  </w:style>
  <w:style w:type="paragraph" w:styleId="12">
    <w:name w:val="List 3"/>
    <w:basedOn w:val="1"/>
    <w:qFormat/>
    <w:uiPriority w:val="0"/>
    <w:pPr>
      <w:spacing w:line="460" w:lineRule="exact"/>
      <w:ind w:left="100" w:leftChars="400" w:hanging="200" w:hangingChars="200"/>
    </w:pPr>
    <w:rPr>
      <w:sz w:val="26"/>
      <w:szCs w:val="26"/>
    </w:rPr>
  </w:style>
  <w:style w:type="paragraph" w:styleId="13">
    <w:name w:val="toc 7"/>
    <w:basedOn w:val="1"/>
    <w:next w:val="1"/>
    <w:qFormat/>
    <w:uiPriority w:val="39"/>
    <w:pPr>
      <w:ind w:left="1050"/>
      <w:jc w:val="left"/>
    </w:pPr>
    <w:rPr>
      <w:rFonts w:asciiTheme="minorHAnsi" w:eastAsiaTheme="minorHAnsi"/>
      <w:sz w:val="20"/>
      <w:szCs w:val="20"/>
    </w:rPr>
  </w:style>
  <w:style w:type="paragraph" w:styleId="14">
    <w:name w:val="List Number 2"/>
    <w:basedOn w:val="1"/>
    <w:qFormat/>
    <w:uiPriority w:val="0"/>
    <w:pPr>
      <w:tabs>
        <w:tab w:val="left" w:pos="360"/>
        <w:tab w:val="left" w:pos="980"/>
      </w:tabs>
      <w:spacing w:line="300" w:lineRule="auto"/>
      <w:ind w:firstLine="200" w:firstLineChars="200"/>
    </w:pPr>
    <w:rPr>
      <w:rFonts w:ascii="宋体"/>
      <w:sz w:val="28"/>
      <w:szCs w:val="28"/>
    </w:rPr>
  </w:style>
  <w:style w:type="paragraph" w:styleId="15">
    <w:name w:val="table of authorities"/>
    <w:basedOn w:val="1"/>
    <w:next w:val="1"/>
    <w:qFormat/>
    <w:uiPriority w:val="0"/>
    <w:rPr>
      <w:rFonts w:ascii="宋体"/>
      <w:sz w:val="28"/>
      <w:szCs w:val="20"/>
    </w:rPr>
  </w:style>
  <w:style w:type="paragraph" w:styleId="16">
    <w:name w:val="Note Heading"/>
    <w:basedOn w:val="1"/>
    <w:next w:val="1"/>
    <w:link w:val="125"/>
    <w:qFormat/>
    <w:uiPriority w:val="0"/>
    <w:pPr>
      <w:adjustRightInd w:val="0"/>
      <w:snapToGrid w:val="0"/>
      <w:spacing w:before="100" w:beforeAutospacing="1" w:after="100" w:afterAutospacing="1"/>
      <w:ind w:firstLine="200" w:firstLineChars="200"/>
      <w:jc w:val="center"/>
    </w:pPr>
    <w:rPr>
      <w:snapToGrid w:val="0"/>
      <w:sz w:val="24"/>
    </w:rPr>
  </w:style>
  <w:style w:type="paragraph" w:styleId="17">
    <w:name w:val="List Bullet 4"/>
    <w:basedOn w:val="1"/>
    <w:qFormat/>
    <w:uiPriority w:val="0"/>
    <w:pPr>
      <w:tabs>
        <w:tab w:val="left" w:pos="360"/>
        <w:tab w:val="left" w:pos="930"/>
      </w:tabs>
      <w:spacing w:line="300" w:lineRule="auto"/>
      <w:ind w:firstLine="200" w:firstLineChars="200"/>
    </w:pPr>
    <w:rPr>
      <w:rFonts w:ascii="宋体"/>
      <w:sz w:val="28"/>
      <w:szCs w:val="28"/>
    </w:rPr>
  </w:style>
  <w:style w:type="paragraph" w:styleId="18">
    <w:name w:val="index 8"/>
    <w:basedOn w:val="1"/>
    <w:next w:val="1"/>
    <w:qFormat/>
    <w:uiPriority w:val="0"/>
    <w:pPr>
      <w:snapToGrid w:val="0"/>
      <w:jc w:val="center"/>
    </w:pPr>
    <w:rPr>
      <w:rFonts w:ascii="宋体"/>
      <w:szCs w:val="21"/>
    </w:rPr>
  </w:style>
  <w:style w:type="paragraph" w:styleId="19">
    <w:name w:val="E-mail Signature"/>
    <w:basedOn w:val="1"/>
    <w:link w:val="1453"/>
    <w:qFormat/>
    <w:uiPriority w:val="0"/>
    <w:pPr>
      <w:spacing w:line="300" w:lineRule="auto"/>
      <w:ind w:firstLine="200" w:firstLineChars="200"/>
    </w:pPr>
    <w:rPr>
      <w:rFonts w:ascii="宋体" w:hAnsiTheme="minorHAnsi" w:eastAsiaTheme="minorEastAsia" w:cstheme="minorBidi"/>
      <w:sz w:val="28"/>
      <w:szCs w:val="28"/>
    </w:rPr>
  </w:style>
  <w:style w:type="paragraph" w:styleId="20">
    <w:name w:val="List Number"/>
    <w:basedOn w:val="1"/>
    <w:link w:val="1455"/>
    <w:qFormat/>
    <w:uiPriority w:val="0"/>
    <w:pPr>
      <w:tabs>
        <w:tab w:val="left" w:pos="360"/>
        <w:tab w:val="left" w:pos="1986"/>
      </w:tabs>
      <w:spacing w:line="300" w:lineRule="auto"/>
      <w:ind w:left="360"/>
    </w:pPr>
    <w:rPr>
      <w:rFonts w:ascii="宋体"/>
      <w:sz w:val="28"/>
      <w:szCs w:val="28"/>
    </w:rPr>
  </w:style>
  <w:style w:type="paragraph" w:styleId="21">
    <w:name w:val="Normal Indent"/>
    <w:basedOn w:val="1"/>
    <w:link w:val="123"/>
    <w:qFormat/>
    <w:uiPriority w:val="0"/>
    <w:pPr>
      <w:ind w:firstLine="420"/>
    </w:pPr>
    <w:rPr>
      <w:sz w:val="28"/>
      <w:szCs w:val="20"/>
    </w:rPr>
  </w:style>
  <w:style w:type="paragraph" w:styleId="22">
    <w:name w:val="caption"/>
    <w:basedOn w:val="1"/>
    <w:next w:val="1"/>
    <w:link w:val="126"/>
    <w:qFormat/>
    <w:uiPriority w:val="0"/>
    <w:pPr>
      <w:spacing w:line="360" w:lineRule="auto"/>
      <w:ind w:firstLine="200" w:firstLineChars="200"/>
    </w:pPr>
    <w:rPr>
      <w:rFonts w:eastAsia="黑体"/>
      <w:caps/>
      <w:spacing w:val="10"/>
      <w:sz w:val="18"/>
      <w:szCs w:val="18"/>
    </w:rPr>
  </w:style>
  <w:style w:type="paragraph" w:styleId="23">
    <w:name w:val="index 5"/>
    <w:basedOn w:val="1"/>
    <w:next w:val="1"/>
    <w:qFormat/>
    <w:uiPriority w:val="0"/>
    <w:pPr>
      <w:spacing w:line="300" w:lineRule="auto"/>
      <w:ind w:left="800" w:leftChars="800" w:firstLine="200" w:firstLineChars="200"/>
    </w:pPr>
    <w:rPr>
      <w:rFonts w:ascii="宋体"/>
      <w:sz w:val="28"/>
      <w:szCs w:val="28"/>
    </w:rPr>
  </w:style>
  <w:style w:type="paragraph" w:styleId="24">
    <w:name w:val="List Bullet"/>
    <w:basedOn w:val="1"/>
    <w:qFormat/>
    <w:uiPriority w:val="0"/>
    <w:pPr>
      <w:tabs>
        <w:tab w:val="left" w:pos="360"/>
      </w:tabs>
      <w:ind w:left="360" w:hanging="360" w:hangingChars="200"/>
    </w:pPr>
  </w:style>
  <w:style w:type="paragraph" w:styleId="25">
    <w:name w:val="envelope address"/>
    <w:basedOn w:val="1"/>
    <w:qFormat/>
    <w:uiPriority w:val="0"/>
    <w:pPr>
      <w:snapToGrid w:val="0"/>
      <w:spacing w:line="300" w:lineRule="auto"/>
      <w:ind w:left="100" w:leftChars="1400" w:firstLine="200" w:firstLineChars="200"/>
    </w:pPr>
    <w:rPr>
      <w:rFonts w:ascii="Arial" w:hAnsi="Arial"/>
      <w:sz w:val="24"/>
    </w:rPr>
  </w:style>
  <w:style w:type="paragraph" w:styleId="26">
    <w:name w:val="Document Map"/>
    <w:basedOn w:val="1"/>
    <w:link w:val="127"/>
    <w:qFormat/>
    <w:uiPriority w:val="99"/>
    <w:pPr>
      <w:shd w:val="clear" w:color="auto" w:fill="000080"/>
    </w:pPr>
  </w:style>
  <w:style w:type="paragraph" w:styleId="27">
    <w:name w:val="toa heading"/>
    <w:basedOn w:val="1"/>
    <w:next w:val="1"/>
    <w:qFormat/>
    <w:uiPriority w:val="0"/>
    <w:pPr>
      <w:spacing w:before="120" w:line="300" w:lineRule="auto"/>
      <w:ind w:firstLine="200" w:firstLineChars="200"/>
    </w:pPr>
    <w:rPr>
      <w:rFonts w:ascii="Arial" w:hAnsi="Arial"/>
      <w:sz w:val="24"/>
    </w:rPr>
  </w:style>
  <w:style w:type="paragraph" w:styleId="28">
    <w:name w:val="annotation text"/>
    <w:basedOn w:val="1"/>
    <w:link w:val="128"/>
    <w:qFormat/>
    <w:uiPriority w:val="0"/>
    <w:pPr>
      <w:jc w:val="left"/>
    </w:pPr>
  </w:style>
  <w:style w:type="paragraph" w:styleId="29">
    <w:name w:val="index 6"/>
    <w:basedOn w:val="1"/>
    <w:next w:val="1"/>
    <w:qFormat/>
    <w:uiPriority w:val="0"/>
    <w:pPr>
      <w:spacing w:line="300" w:lineRule="auto"/>
      <w:ind w:left="1000" w:leftChars="1000" w:firstLine="200" w:firstLineChars="200"/>
    </w:pPr>
    <w:rPr>
      <w:rFonts w:ascii="宋体"/>
      <w:sz w:val="28"/>
      <w:szCs w:val="28"/>
    </w:rPr>
  </w:style>
  <w:style w:type="paragraph" w:styleId="30">
    <w:name w:val="Salutation"/>
    <w:basedOn w:val="1"/>
    <w:next w:val="1"/>
    <w:link w:val="1083"/>
    <w:qFormat/>
    <w:uiPriority w:val="0"/>
    <w:pPr>
      <w:widowControl/>
      <w:adjustRightInd w:val="0"/>
      <w:snapToGrid w:val="0"/>
      <w:spacing w:line="300" w:lineRule="auto"/>
      <w:ind w:firstLine="200" w:firstLineChars="200"/>
      <w:jc w:val="left"/>
      <w:textAlignment w:val="baseline"/>
    </w:pPr>
    <w:rPr>
      <w:rFonts w:ascii="宋体"/>
      <w:kern w:val="0"/>
      <w:sz w:val="28"/>
      <w:szCs w:val="28"/>
    </w:rPr>
  </w:style>
  <w:style w:type="paragraph" w:styleId="31">
    <w:name w:val="Body Text 3"/>
    <w:basedOn w:val="1"/>
    <w:link w:val="129"/>
    <w:qFormat/>
    <w:uiPriority w:val="99"/>
    <w:pPr>
      <w:spacing w:before="60" w:after="60"/>
    </w:pPr>
    <w:rPr>
      <w:rFonts w:eastAsia="仿宋_GB2312"/>
      <w:bCs/>
      <w:szCs w:val="20"/>
    </w:rPr>
  </w:style>
  <w:style w:type="paragraph" w:styleId="32">
    <w:name w:val="Closing"/>
    <w:basedOn w:val="1"/>
    <w:link w:val="1458"/>
    <w:qFormat/>
    <w:uiPriority w:val="0"/>
    <w:pPr>
      <w:spacing w:line="300" w:lineRule="auto"/>
      <w:ind w:left="100" w:leftChars="2100" w:firstLine="200" w:firstLineChars="200"/>
    </w:pPr>
    <w:rPr>
      <w:rFonts w:ascii="宋体" w:hAnsiTheme="minorHAnsi" w:eastAsiaTheme="minorEastAsia" w:cstheme="minorBidi"/>
      <w:sz w:val="28"/>
      <w:szCs w:val="28"/>
    </w:rPr>
  </w:style>
  <w:style w:type="paragraph" w:styleId="33">
    <w:name w:val="List Bullet 3"/>
    <w:basedOn w:val="1"/>
    <w:qFormat/>
    <w:uiPriority w:val="0"/>
    <w:pPr>
      <w:tabs>
        <w:tab w:val="left" w:pos="1200"/>
      </w:tabs>
      <w:snapToGrid w:val="0"/>
      <w:spacing w:line="300" w:lineRule="auto"/>
      <w:ind w:left="1200" w:hanging="360"/>
    </w:pPr>
    <w:rPr>
      <w:rFonts w:ascii="宋体"/>
      <w:sz w:val="28"/>
      <w:szCs w:val="20"/>
    </w:rPr>
  </w:style>
  <w:style w:type="paragraph" w:styleId="34">
    <w:name w:val="Body Text"/>
    <w:basedOn w:val="1"/>
    <w:link w:val="130"/>
    <w:qFormat/>
    <w:uiPriority w:val="0"/>
    <w:pPr>
      <w:spacing w:after="120"/>
    </w:pPr>
  </w:style>
  <w:style w:type="paragraph" w:styleId="35">
    <w:name w:val="Body Text Indent"/>
    <w:basedOn w:val="1"/>
    <w:link w:val="131"/>
    <w:qFormat/>
    <w:uiPriority w:val="99"/>
    <w:pPr>
      <w:spacing w:after="120"/>
      <w:ind w:left="420" w:leftChars="200"/>
    </w:pPr>
    <w:rPr>
      <w:snapToGrid w:val="0"/>
      <w:kern w:val="0"/>
      <w:sz w:val="28"/>
    </w:rPr>
  </w:style>
  <w:style w:type="paragraph" w:styleId="36">
    <w:name w:val="List Number 3"/>
    <w:basedOn w:val="1"/>
    <w:qFormat/>
    <w:uiPriority w:val="0"/>
    <w:pPr>
      <w:tabs>
        <w:tab w:val="left" w:pos="360"/>
        <w:tab w:val="left" w:pos="1130"/>
      </w:tabs>
      <w:spacing w:line="300" w:lineRule="auto"/>
      <w:ind w:firstLine="200" w:firstLineChars="200"/>
    </w:pPr>
    <w:rPr>
      <w:rFonts w:ascii="宋体"/>
      <w:sz w:val="28"/>
      <w:szCs w:val="28"/>
    </w:rPr>
  </w:style>
  <w:style w:type="paragraph" w:styleId="37">
    <w:name w:val="List 2"/>
    <w:basedOn w:val="1"/>
    <w:link w:val="132"/>
    <w:qFormat/>
    <w:uiPriority w:val="99"/>
    <w:rPr>
      <w:rFonts w:ascii="楷体_GB2312" w:hAnsi="宋体" w:eastAsia="楷体_GB2312"/>
      <w:color w:val="000000"/>
      <w:szCs w:val="28"/>
    </w:rPr>
  </w:style>
  <w:style w:type="paragraph" w:styleId="38">
    <w:name w:val="List Continue"/>
    <w:basedOn w:val="1"/>
    <w:qFormat/>
    <w:uiPriority w:val="0"/>
    <w:pPr>
      <w:spacing w:after="120"/>
      <w:ind w:left="420" w:leftChars="200"/>
    </w:pPr>
  </w:style>
  <w:style w:type="paragraph" w:styleId="39">
    <w:name w:val="Block Text"/>
    <w:basedOn w:val="1"/>
    <w:link w:val="133"/>
    <w:qFormat/>
    <w:uiPriority w:val="0"/>
    <w:pPr>
      <w:ind w:left="-120" w:leftChars="-50" w:right="-120" w:rightChars="-50"/>
    </w:pPr>
    <w:rPr>
      <w:rFonts w:eastAsia="仿宋_GB2312"/>
    </w:rPr>
  </w:style>
  <w:style w:type="paragraph" w:styleId="40">
    <w:name w:val="List Bullet 2"/>
    <w:basedOn w:val="1"/>
    <w:qFormat/>
    <w:uiPriority w:val="0"/>
    <w:pPr>
      <w:tabs>
        <w:tab w:val="left" w:pos="780"/>
      </w:tabs>
      <w:ind w:left="780" w:hanging="360"/>
    </w:pPr>
  </w:style>
  <w:style w:type="paragraph" w:styleId="41">
    <w:name w:val="HTML Address"/>
    <w:basedOn w:val="1"/>
    <w:link w:val="1460"/>
    <w:qFormat/>
    <w:uiPriority w:val="0"/>
    <w:pPr>
      <w:spacing w:line="300" w:lineRule="auto"/>
      <w:ind w:firstLine="200" w:firstLineChars="200"/>
    </w:pPr>
    <w:rPr>
      <w:rFonts w:ascii="宋体" w:hAnsiTheme="minorHAnsi" w:eastAsiaTheme="minorEastAsia" w:cstheme="minorBidi"/>
      <w:i/>
      <w:iCs/>
      <w:sz w:val="28"/>
      <w:szCs w:val="28"/>
    </w:rPr>
  </w:style>
  <w:style w:type="paragraph" w:styleId="42">
    <w:name w:val="index 4"/>
    <w:basedOn w:val="1"/>
    <w:next w:val="1"/>
    <w:qFormat/>
    <w:uiPriority w:val="0"/>
    <w:pPr>
      <w:spacing w:line="300" w:lineRule="auto"/>
      <w:ind w:left="600" w:leftChars="600" w:firstLine="200" w:firstLineChars="200"/>
    </w:pPr>
    <w:rPr>
      <w:rFonts w:ascii="宋体"/>
      <w:sz w:val="28"/>
      <w:szCs w:val="28"/>
    </w:rPr>
  </w:style>
  <w:style w:type="paragraph" w:styleId="43">
    <w:name w:val="toc 5"/>
    <w:basedOn w:val="1"/>
    <w:next w:val="1"/>
    <w:qFormat/>
    <w:uiPriority w:val="39"/>
    <w:pPr>
      <w:ind w:left="630"/>
      <w:jc w:val="left"/>
    </w:pPr>
    <w:rPr>
      <w:rFonts w:asciiTheme="minorHAnsi" w:eastAsiaTheme="minorHAnsi"/>
      <w:sz w:val="20"/>
      <w:szCs w:val="20"/>
    </w:rPr>
  </w:style>
  <w:style w:type="paragraph" w:styleId="44">
    <w:name w:val="toc 3"/>
    <w:basedOn w:val="1"/>
    <w:next w:val="1"/>
    <w:link w:val="134"/>
    <w:qFormat/>
    <w:uiPriority w:val="39"/>
    <w:pPr>
      <w:ind w:left="210"/>
      <w:jc w:val="left"/>
    </w:pPr>
    <w:rPr>
      <w:rFonts w:asciiTheme="minorHAnsi" w:eastAsiaTheme="minorHAnsi"/>
      <w:sz w:val="20"/>
      <w:szCs w:val="20"/>
    </w:rPr>
  </w:style>
  <w:style w:type="paragraph" w:styleId="45">
    <w:name w:val="Plain Text"/>
    <w:basedOn w:val="1"/>
    <w:link w:val="135"/>
    <w:qFormat/>
    <w:uiPriority w:val="0"/>
    <w:rPr>
      <w:rFonts w:ascii="ˎ̥" w:hAnsi="Courier New"/>
      <w:sz w:val="28"/>
      <w:szCs w:val="20"/>
    </w:rPr>
  </w:style>
  <w:style w:type="paragraph" w:styleId="46">
    <w:name w:val="List Bullet 5"/>
    <w:basedOn w:val="1"/>
    <w:qFormat/>
    <w:uiPriority w:val="0"/>
    <w:pPr>
      <w:numPr>
        <w:ilvl w:val="0"/>
        <w:numId w:val="2"/>
      </w:numPr>
      <w:tabs>
        <w:tab w:val="left" w:pos="930"/>
      </w:tabs>
      <w:spacing w:line="300" w:lineRule="auto"/>
      <w:ind w:firstLine="200" w:firstLineChars="200"/>
    </w:pPr>
    <w:rPr>
      <w:rFonts w:ascii="宋体"/>
      <w:sz w:val="28"/>
      <w:szCs w:val="28"/>
    </w:rPr>
  </w:style>
  <w:style w:type="paragraph" w:styleId="47">
    <w:name w:val="List Number 4"/>
    <w:basedOn w:val="1"/>
    <w:qFormat/>
    <w:uiPriority w:val="0"/>
    <w:pPr>
      <w:tabs>
        <w:tab w:val="left" w:pos="360"/>
        <w:tab w:val="left" w:pos="1131"/>
      </w:tabs>
      <w:spacing w:line="300" w:lineRule="auto"/>
      <w:ind w:firstLine="200" w:firstLineChars="200"/>
    </w:pPr>
    <w:rPr>
      <w:rFonts w:ascii="宋体"/>
      <w:sz w:val="28"/>
      <w:szCs w:val="28"/>
    </w:rPr>
  </w:style>
  <w:style w:type="paragraph" w:styleId="48">
    <w:name w:val="toc 8"/>
    <w:basedOn w:val="1"/>
    <w:next w:val="1"/>
    <w:qFormat/>
    <w:uiPriority w:val="39"/>
    <w:pPr>
      <w:ind w:left="1260"/>
      <w:jc w:val="left"/>
    </w:pPr>
    <w:rPr>
      <w:rFonts w:asciiTheme="minorHAnsi" w:eastAsiaTheme="minorHAnsi"/>
      <w:sz w:val="20"/>
      <w:szCs w:val="20"/>
    </w:rPr>
  </w:style>
  <w:style w:type="paragraph" w:styleId="49">
    <w:name w:val="index 3"/>
    <w:basedOn w:val="1"/>
    <w:next w:val="1"/>
    <w:qFormat/>
    <w:uiPriority w:val="0"/>
    <w:pPr>
      <w:spacing w:line="460" w:lineRule="exact"/>
      <w:ind w:left="400" w:leftChars="400" w:firstLine="200" w:firstLineChars="200"/>
    </w:pPr>
    <w:rPr>
      <w:sz w:val="26"/>
      <w:szCs w:val="26"/>
    </w:rPr>
  </w:style>
  <w:style w:type="paragraph" w:styleId="50">
    <w:name w:val="Date"/>
    <w:basedOn w:val="1"/>
    <w:next w:val="1"/>
    <w:link w:val="136"/>
    <w:qFormat/>
    <w:uiPriority w:val="99"/>
    <w:pPr>
      <w:ind w:left="100" w:leftChars="2500"/>
    </w:pPr>
  </w:style>
  <w:style w:type="paragraph" w:styleId="51">
    <w:name w:val="Body Text Indent 2"/>
    <w:basedOn w:val="1"/>
    <w:link w:val="137"/>
    <w:qFormat/>
    <w:uiPriority w:val="99"/>
    <w:pPr>
      <w:spacing w:after="120" w:line="480" w:lineRule="auto"/>
      <w:ind w:left="420" w:leftChars="200"/>
    </w:pPr>
  </w:style>
  <w:style w:type="paragraph" w:styleId="52">
    <w:name w:val="endnote text"/>
    <w:basedOn w:val="1"/>
    <w:link w:val="138"/>
    <w:qFormat/>
    <w:uiPriority w:val="0"/>
    <w:pPr>
      <w:tabs>
        <w:tab w:val="left" w:pos="420"/>
        <w:tab w:val="left" w:pos="840"/>
      </w:tabs>
      <w:snapToGrid w:val="0"/>
      <w:spacing w:line="480" w:lineRule="exact"/>
      <w:ind w:firstLine="200" w:firstLineChars="200"/>
      <w:jc w:val="left"/>
    </w:pPr>
    <w:rPr>
      <w:szCs w:val="21"/>
    </w:rPr>
  </w:style>
  <w:style w:type="paragraph" w:styleId="53">
    <w:name w:val="List Continue 5"/>
    <w:basedOn w:val="1"/>
    <w:qFormat/>
    <w:uiPriority w:val="0"/>
    <w:pPr>
      <w:tabs>
        <w:tab w:val="left" w:pos="360"/>
      </w:tabs>
      <w:spacing w:after="120" w:line="300" w:lineRule="auto"/>
      <w:ind w:left="2100" w:leftChars="1000" w:firstLine="200" w:firstLineChars="200"/>
    </w:pPr>
    <w:rPr>
      <w:rFonts w:ascii="宋体"/>
      <w:sz w:val="28"/>
      <w:szCs w:val="28"/>
    </w:rPr>
  </w:style>
  <w:style w:type="paragraph" w:styleId="54">
    <w:name w:val="Balloon Text"/>
    <w:basedOn w:val="1"/>
    <w:link w:val="139"/>
    <w:qFormat/>
    <w:uiPriority w:val="99"/>
    <w:rPr>
      <w:sz w:val="18"/>
      <w:szCs w:val="18"/>
    </w:rPr>
  </w:style>
  <w:style w:type="paragraph" w:styleId="55">
    <w:name w:val="footer"/>
    <w:basedOn w:val="1"/>
    <w:link w:val="140"/>
    <w:qFormat/>
    <w:uiPriority w:val="0"/>
    <w:pPr>
      <w:tabs>
        <w:tab w:val="center" w:pos="4153"/>
        <w:tab w:val="right" w:pos="8306"/>
      </w:tabs>
      <w:snapToGrid w:val="0"/>
      <w:jc w:val="left"/>
    </w:pPr>
    <w:rPr>
      <w:sz w:val="18"/>
      <w:szCs w:val="18"/>
    </w:rPr>
  </w:style>
  <w:style w:type="paragraph" w:styleId="56">
    <w:name w:val="envelope return"/>
    <w:basedOn w:val="1"/>
    <w:qFormat/>
    <w:uiPriority w:val="0"/>
    <w:pPr>
      <w:snapToGrid w:val="0"/>
      <w:spacing w:line="300" w:lineRule="auto"/>
      <w:ind w:firstLine="200" w:firstLineChars="200"/>
    </w:pPr>
    <w:rPr>
      <w:rFonts w:ascii="Arial" w:hAnsi="Arial"/>
      <w:sz w:val="28"/>
      <w:szCs w:val="28"/>
    </w:rPr>
  </w:style>
  <w:style w:type="paragraph" w:styleId="57">
    <w:name w:val="header"/>
    <w:basedOn w:val="1"/>
    <w:link w:val="141"/>
    <w:qFormat/>
    <w:uiPriority w:val="0"/>
    <w:pPr>
      <w:pBdr>
        <w:bottom w:val="single" w:color="auto" w:sz="6" w:space="1"/>
      </w:pBdr>
      <w:tabs>
        <w:tab w:val="center" w:pos="4153"/>
        <w:tab w:val="right" w:pos="8306"/>
      </w:tabs>
      <w:snapToGrid w:val="0"/>
      <w:jc w:val="center"/>
    </w:pPr>
    <w:rPr>
      <w:sz w:val="18"/>
      <w:szCs w:val="18"/>
    </w:rPr>
  </w:style>
  <w:style w:type="paragraph" w:styleId="58">
    <w:name w:val="Signature"/>
    <w:basedOn w:val="1"/>
    <w:link w:val="1465"/>
    <w:qFormat/>
    <w:uiPriority w:val="0"/>
    <w:pPr>
      <w:spacing w:line="300" w:lineRule="auto"/>
      <w:ind w:left="100" w:leftChars="2100" w:firstLine="200" w:firstLineChars="200"/>
    </w:pPr>
    <w:rPr>
      <w:rFonts w:ascii="宋体" w:hAnsiTheme="minorHAnsi" w:eastAsiaTheme="minorEastAsia" w:cstheme="minorBidi"/>
      <w:sz w:val="28"/>
      <w:szCs w:val="28"/>
    </w:rPr>
  </w:style>
  <w:style w:type="paragraph" w:styleId="59">
    <w:name w:val="toc 1"/>
    <w:basedOn w:val="1"/>
    <w:next w:val="1"/>
    <w:qFormat/>
    <w:uiPriority w:val="39"/>
    <w:pPr>
      <w:spacing w:before="360"/>
      <w:jc w:val="left"/>
    </w:pPr>
    <w:rPr>
      <w:rFonts w:asciiTheme="majorHAnsi" w:eastAsiaTheme="majorHAnsi"/>
      <w:b/>
      <w:bCs/>
      <w:caps/>
      <w:sz w:val="24"/>
    </w:rPr>
  </w:style>
  <w:style w:type="paragraph" w:styleId="60">
    <w:name w:val="List Continue 4"/>
    <w:basedOn w:val="1"/>
    <w:qFormat/>
    <w:uiPriority w:val="0"/>
    <w:pPr>
      <w:numPr>
        <w:ilvl w:val="0"/>
        <w:numId w:val="3"/>
      </w:numPr>
      <w:spacing w:after="120" w:line="300" w:lineRule="auto"/>
      <w:ind w:left="1680" w:leftChars="800" w:firstLine="200" w:firstLineChars="200"/>
    </w:pPr>
    <w:rPr>
      <w:rFonts w:ascii="宋体"/>
      <w:sz w:val="28"/>
      <w:szCs w:val="28"/>
    </w:rPr>
  </w:style>
  <w:style w:type="paragraph" w:styleId="61">
    <w:name w:val="toc 4"/>
    <w:basedOn w:val="1"/>
    <w:next w:val="1"/>
    <w:qFormat/>
    <w:uiPriority w:val="39"/>
    <w:pPr>
      <w:ind w:left="420"/>
      <w:jc w:val="left"/>
    </w:pPr>
    <w:rPr>
      <w:rFonts w:asciiTheme="minorHAnsi" w:eastAsiaTheme="minorHAnsi"/>
      <w:sz w:val="20"/>
      <w:szCs w:val="20"/>
    </w:rPr>
  </w:style>
  <w:style w:type="paragraph" w:styleId="62">
    <w:name w:val="index heading"/>
    <w:basedOn w:val="1"/>
    <w:next w:val="63"/>
    <w:qFormat/>
    <w:uiPriority w:val="0"/>
    <w:rPr>
      <w:rFonts w:ascii="Arial" w:hAnsi="Arial" w:cs="Arial"/>
      <w:b/>
      <w:bCs/>
      <w:sz w:val="24"/>
    </w:rPr>
  </w:style>
  <w:style w:type="paragraph" w:styleId="63">
    <w:name w:val="index 1"/>
    <w:basedOn w:val="1"/>
    <w:next w:val="1"/>
    <w:qFormat/>
    <w:uiPriority w:val="0"/>
    <w:pPr>
      <w:wordWrap w:val="0"/>
      <w:topLinePunct/>
      <w:adjustRightInd w:val="0"/>
      <w:snapToGrid w:val="0"/>
      <w:spacing w:before="40" w:after="40"/>
      <w:jc w:val="center"/>
    </w:pPr>
    <w:rPr>
      <w:rFonts w:ascii="宋体" w:hAnsi="宋体"/>
      <w:snapToGrid w:val="0"/>
      <w:kern w:val="0"/>
      <w:sz w:val="24"/>
      <w:szCs w:val="20"/>
    </w:rPr>
  </w:style>
  <w:style w:type="paragraph" w:styleId="64">
    <w:name w:val="Subtitle"/>
    <w:basedOn w:val="1"/>
    <w:next w:val="1"/>
    <w:link w:val="142"/>
    <w:qFormat/>
    <w:uiPriority w:val="0"/>
    <w:pPr>
      <w:spacing w:line="480" w:lineRule="exact"/>
      <w:ind w:firstLine="200" w:firstLineChars="200"/>
      <w:jc w:val="left"/>
    </w:pPr>
    <w:rPr>
      <w:rFonts w:ascii="Cambria" w:hAnsi="Cambria" w:eastAsia="仿宋_GB2312"/>
      <w:bCs/>
      <w:kern w:val="28"/>
      <w:sz w:val="28"/>
      <w:szCs w:val="32"/>
    </w:rPr>
  </w:style>
  <w:style w:type="paragraph" w:styleId="65">
    <w:name w:val="List Number 5"/>
    <w:basedOn w:val="1"/>
    <w:qFormat/>
    <w:uiPriority w:val="0"/>
    <w:pPr>
      <w:tabs>
        <w:tab w:val="left" w:pos="360"/>
        <w:tab w:val="left" w:pos="1280"/>
      </w:tabs>
      <w:spacing w:line="300" w:lineRule="auto"/>
      <w:ind w:firstLine="200" w:firstLineChars="200"/>
    </w:pPr>
    <w:rPr>
      <w:rFonts w:ascii="宋体"/>
      <w:sz w:val="28"/>
      <w:szCs w:val="28"/>
    </w:rPr>
  </w:style>
  <w:style w:type="paragraph" w:styleId="66">
    <w:name w:val="List"/>
    <w:basedOn w:val="1"/>
    <w:link w:val="143"/>
    <w:qFormat/>
    <w:uiPriority w:val="0"/>
    <w:pPr>
      <w:ind w:left="200" w:hanging="200" w:hangingChars="200"/>
    </w:pPr>
  </w:style>
  <w:style w:type="paragraph" w:styleId="67">
    <w:name w:val="footnote text"/>
    <w:basedOn w:val="1"/>
    <w:link w:val="144"/>
    <w:qFormat/>
    <w:uiPriority w:val="0"/>
    <w:pPr>
      <w:snapToGrid w:val="0"/>
      <w:spacing w:line="480" w:lineRule="exact"/>
      <w:ind w:firstLine="200" w:firstLineChars="200"/>
      <w:jc w:val="left"/>
    </w:pPr>
    <w:rPr>
      <w:rFonts w:ascii="宋体" w:eastAsia="仿宋_GB2312"/>
      <w:sz w:val="18"/>
      <w:szCs w:val="18"/>
    </w:rPr>
  </w:style>
  <w:style w:type="paragraph" w:styleId="68">
    <w:name w:val="toc 6"/>
    <w:basedOn w:val="1"/>
    <w:next w:val="1"/>
    <w:qFormat/>
    <w:uiPriority w:val="39"/>
    <w:pPr>
      <w:ind w:left="840"/>
      <w:jc w:val="left"/>
    </w:pPr>
    <w:rPr>
      <w:rFonts w:asciiTheme="minorHAnsi" w:eastAsiaTheme="minorHAnsi"/>
      <w:sz w:val="20"/>
      <w:szCs w:val="20"/>
    </w:rPr>
  </w:style>
  <w:style w:type="paragraph" w:styleId="69">
    <w:name w:val="List 5"/>
    <w:basedOn w:val="1"/>
    <w:qFormat/>
    <w:uiPriority w:val="0"/>
    <w:pPr>
      <w:ind w:left="100" w:leftChars="800" w:hanging="200" w:hangingChars="200"/>
    </w:pPr>
    <w:rPr>
      <w:rFonts w:eastAsia="黑体"/>
      <w:sz w:val="28"/>
    </w:rPr>
  </w:style>
  <w:style w:type="paragraph" w:styleId="70">
    <w:name w:val="Body Text Indent 3"/>
    <w:basedOn w:val="1"/>
    <w:link w:val="145"/>
    <w:qFormat/>
    <w:uiPriority w:val="0"/>
    <w:pPr>
      <w:spacing w:after="120"/>
      <w:ind w:left="420" w:leftChars="200"/>
    </w:pPr>
    <w:rPr>
      <w:sz w:val="16"/>
      <w:szCs w:val="16"/>
    </w:rPr>
  </w:style>
  <w:style w:type="paragraph" w:styleId="71">
    <w:name w:val="index 7"/>
    <w:basedOn w:val="1"/>
    <w:next w:val="1"/>
    <w:qFormat/>
    <w:uiPriority w:val="0"/>
    <w:pPr>
      <w:spacing w:line="300" w:lineRule="auto"/>
      <w:ind w:left="1200" w:leftChars="1200" w:firstLine="200" w:firstLineChars="200"/>
    </w:pPr>
    <w:rPr>
      <w:rFonts w:ascii="宋体"/>
      <w:sz w:val="28"/>
      <w:szCs w:val="28"/>
    </w:rPr>
  </w:style>
  <w:style w:type="paragraph" w:styleId="72">
    <w:name w:val="index 9"/>
    <w:basedOn w:val="1"/>
    <w:next w:val="1"/>
    <w:qFormat/>
    <w:uiPriority w:val="0"/>
    <w:pPr>
      <w:spacing w:line="300" w:lineRule="auto"/>
      <w:ind w:left="1600" w:leftChars="1600" w:firstLine="200" w:firstLineChars="200"/>
    </w:pPr>
    <w:rPr>
      <w:rFonts w:ascii="宋体"/>
      <w:sz w:val="28"/>
      <w:szCs w:val="28"/>
    </w:rPr>
  </w:style>
  <w:style w:type="paragraph" w:styleId="73">
    <w:name w:val="table of figures"/>
    <w:basedOn w:val="1"/>
    <w:next w:val="1"/>
    <w:qFormat/>
    <w:uiPriority w:val="0"/>
    <w:pPr>
      <w:ind w:left="200" w:leftChars="200" w:hanging="200" w:hangingChars="200"/>
    </w:pPr>
  </w:style>
  <w:style w:type="paragraph" w:styleId="74">
    <w:name w:val="toc 2"/>
    <w:basedOn w:val="1"/>
    <w:next w:val="1"/>
    <w:qFormat/>
    <w:uiPriority w:val="39"/>
    <w:pPr>
      <w:spacing w:before="240"/>
      <w:jc w:val="left"/>
    </w:pPr>
    <w:rPr>
      <w:rFonts w:asciiTheme="minorHAnsi" w:eastAsiaTheme="minorHAnsi"/>
      <w:b/>
      <w:bCs/>
      <w:sz w:val="20"/>
      <w:szCs w:val="20"/>
    </w:rPr>
  </w:style>
  <w:style w:type="paragraph" w:styleId="75">
    <w:name w:val="toc 9"/>
    <w:basedOn w:val="1"/>
    <w:next w:val="1"/>
    <w:qFormat/>
    <w:uiPriority w:val="39"/>
    <w:pPr>
      <w:ind w:left="1470"/>
      <w:jc w:val="left"/>
    </w:pPr>
    <w:rPr>
      <w:rFonts w:asciiTheme="minorHAnsi" w:eastAsiaTheme="minorHAnsi"/>
      <w:sz w:val="20"/>
      <w:szCs w:val="20"/>
    </w:rPr>
  </w:style>
  <w:style w:type="paragraph" w:styleId="76">
    <w:name w:val="Body Text 2"/>
    <w:basedOn w:val="1"/>
    <w:link w:val="146"/>
    <w:qFormat/>
    <w:uiPriority w:val="0"/>
    <w:pPr>
      <w:spacing w:after="120" w:line="480" w:lineRule="auto"/>
    </w:pPr>
    <w:rPr>
      <w:rFonts w:ascii="宋体" w:hAnsi="宋体"/>
      <w:szCs w:val="21"/>
    </w:rPr>
  </w:style>
  <w:style w:type="paragraph" w:styleId="77">
    <w:name w:val="List 4"/>
    <w:basedOn w:val="1"/>
    <w:qFormat/>
    <w:uiPriority w:val="0"/>
    <w:pPr>
      <w:tabs>
        <w:tab w:val="left" w:pos="360"/>
      </w:tabs>
      <w:spacing w:line="300" w:lineRule="auto"/>
      <w:ind w:left="100" w:leftChars="600" w:hanging="200"/>
    </w:pPr>
    <w:rPr>
      <w:rFonts w:ascii="宋体"/>
      <w:sz w:val="28"/>
      <w:szCs w:val="28"/>
    </w:rPr>
  </w:style>
  <w:style w:type="paragraph" w:styleId="78">
    <w:name w:val="List Continue 2"/>
    <w:basedOn w:val="1"/>
    <w:qFormat/>
    <w:uiPriority w:val="0"/>
    <w:pPr>
      <w:numPr>
        <w:ilvl w:val="0"/>
        <w:numId w:val="4"/>
      </w:numPr>
      <w:spacing w:after="120" w:line="300" w:lineRule="auto"/>
      <w:ind w:left="840" w:leftChars="400" w:firstLine="200" w:firstLineChars="200"/>
    </w:pPr>
    <w:rPr>
      <w:rFonts w:ascii="宋体"/>
      <w:sz w:val="28"/>
      <w:szCs w:val="28"/>
    </w:rPr>
  </w:style>
  <w:style w:type="paragraph" w:styleId="79">
    <w:name w:val="Message Header"/>
    <w:basedOn w:val="1"/>
    <w:link w:val="147"/>
    <w:qFormat/>
    <w:uiPriority w:val="0"/>
    <w:pPr>
      <w:pBdr>
        <w:top w:val="single" w:color="auto" w:sz="6" w:space="1"/>
        <w:left w:val="single" w:color="auto" w:sz="6" w:space="1"/>
        <w:bottom w:val="single" w:color="auto" w:sz="6" w:space="1"/>
        <w:right w:val="single" w:color="auto" w:sz="6" w:space="1"/>
      </w:pBdr>
      <w:shd w:val="pct20" w:color="auto" w:fill="auto"/>
      <w:spacing w:line="360" w:lineRule="auto"/>
      <w:ind w:left="1080" w:leftChars="500" w:hanging="1080" w:hangingChars="500"/>
    </w:pPr>
    <w:rPr>
      <w:rFonts w:ascii="Arial" w:hAnsi="Arial"/>
      <w:kern w:val="0"/>
      <w:sz w:val="24"/>
      <w:szCs w:val="28"/>
      <w:shd w:val="pct20" w:color="auto" w:fill="auto"/>
    </w:rPr>
  </w:style>
  <w:style w:type="paragraph" w:styleId="80">
    <w:name w:val="HTML Preformatted"/>
    <w:basedOn w:val="1"/>
    <w:link w:val="1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000000"/>
      <w:kern w:val="0"/>
      <w:sz w:val="20"/>
      <w:szCs w:val="20"/>
    </w:rPr>
  </w:style>
  <w:style w:type="paragraph" w:styleId="81">
    <w:name w:val="Normal (Web)"/>
    <w:basedOn w:val="1"/>
    <w:link w:val="149"/>
    <w:qFormat/>
    <w:uiPriority w:val="0"/>
    <w:pPr>
      <w:widowControl/>
      <w:spacing w:before="100" w:beforeAutospacing="1" w:after="100" w:afterAutospacing="1"/>
      <w:jc w:val="left"/>
    </w:pPr>
    <w:rPr>
      <w:rFonts w:ascii="ˎ̥" w:hAnsi="ˎ̥" w:cs="ˎ̥"/>
      <w:kern w:val="0"/>
      <w:sz w:val="24"/>
    </w:rPr>
  </w:style>
  <w:style w:type="paragraph" w:styleId="82">
    <w:name w:val="List Continue 3"/>
    <w:basedOn w:val="1"/>
    <w:qFormat/>
    <w:uiPriority w:val="0"/>
    <w:pPr>
      <w:numPr>
        <w:ilvl w:val="0"/>
        <w:numId w:val="5"/>
      </w:numPr>
      <w:spacing w:after="120" w:line="300" w:lineRule="auto"/>
      <w:ind w:left="1260" w:leftChars="600" w:firstLine="200" w:firstLineChars="200"/>
    </w:pPr>
    <w:rPr>
      <w:rFonts w:ascii="宋体"/>
      <w:sz w:val="28"/>
      <w:szCs w:val="28"/>
    </w:rPr>
  </w:style>
  <w:style w:type="paragraph" w:styleId="83">
    <w:name w:val="index 2"/>
    <w:basedOn w:val="1"/>
    <w:next w:val="1"/>
    <w:qFormat/>
    <w:uiPriority w:val="0"/>
    <w:pPr>
      <w:spacing w:line="300" w:lineRule="auto"/>
      <w:ind w:left="200" w:leftChars="200" w:firstLine="200" w:firstLineChars="200"/>
    </w:pPr>
    <w:rPr>
      <w:rFonts w:ascii="宋体"/>
      <w:sz w:val="28"/>
      <w:szCs w:val="28"/>
    </w:rPr>
  </w:style>
  <w:style w:type="paragraph" w:styleId="84">
    <w:name w:val="Title"/>
    <w:basedOn w:val="1"/>
    <w:next w:val="1"/>
    <w:link w:val="150"/>
    <w:qFormat/>
    <w:uiPriority w:val="0"/>
    <w:pPr>
      <w:spacing w:before="240" w:after="60" w:line="480" w:lineRule="exact"/>
      <w:ind w:firstLine="200" w:firstLineChars="200"/>
      <w:jc w:val="center"/>
      <w:outlineLvl w:val="0"/>
    </w:pPr>
    <w:rPr>
      <w:rFonts w:ascii="Cambria" w:hAnsi="Cambria"/>
      <w:b/>
      <w:bCs/>
      <w:sz w:val="32"/>
      <w:szCs w:val="32"/>
    </w:rPr>
  </w:style>
  <w:style w:type="paragraph" w:styleId="85">
    <w:name w:val="annotation subject"/>
    <w:basedOn w:val="28"/>
    <w:next w:val="28"/>
    <w:link w:val="151"/>
    <w:qFormat/>
    <w:uiPriority w:val="99"/>
    <w:rPr>
      <w:b/>
      <w:bCs/>
    </w:rPr>
  </w:style>
  <w:style w:type="paragraph" w:styleId="86">
    <w:name w:val="Body Text First Indent"/>
    <w:basedOn w:val="34"/>
    <w:link w:val="152"/>
    <w:qFormat/>
    <w:uiPriority w:val="99"/>
    <w:pPr>
      <w:ind w:firstLine="420" w:firstLineChars="100"/>
    </w:pPr>
  </w:style>
  <w:style w:type="paragraph" w:styleId="87">
    <w:name w:val="Body Text First Indent 2"/>
    <w:basedOn w:val="35"/>
    <w:link w:val="153"/>
    <w:qFormat/>
    <w:uiPriority w:val="0"/>
    <w:pPr>
      <w:spacing w:line="360" w:lineRule="auto"/>
      <w:ind w:firstLine="210" w:firstLineChars="200"/>
    </w:pPr>
    <w:rPr>
      <w:kern w:val="2"/>
    </w:rPr>
  </w:style>
  <w:style w:type="table" w:styleId="89">
    <w:name w:val="Table Grid"/>
    <w:basedOn w:val="8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Elegant"/>
    <w:basedOn w:val="88"/>
    <w:qFormat/>
    <w:uiPriority w:val="0"/>
    <w:pPr>
      <w:widowControl w:val="0"/>
      <w:spacing w:line="480" w:lineRule="exact"/>
      <w:ind w:firstLine="20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2">
    <w:name w:val="Table Simple 1"/>
    <w:basedOn w:val="88"/>
    <w:qFormat/>
    <w:uiPriority w:val="0"/>
    <w:pPr>
      <w:widowControl w:val="0"/>
    </w:pPr>
    <w:tblPr>
      <w:jc w:val="center"/>
      <w:tblBorders>
        <w:top w:val="single" w:color="008000" w:sz="12" w:space="0"/>
        <w:bottom w:val="single" w:color="008000" w:sz="12" w:space="0"/>
      </w:tblBorders>
      <w:tblCellMar>
        <w:left w:w="0" w:type="dxa"/>
        <w:right w:w="0" w:type="dxa"/>
      </w:tblCellMar>
    </w:tblPr>
    <w:trPr>
      <w:jc w:val="center"/>
    </w:trPr>
    <w:tcPr>
      <w:shd w:val="clear" w:color="auto" w:fill="auto"/>
      <w:vAlign w:val="center"/>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3">
    <w:name w:val="Table List 3"/>
    <w:basedOn w:val="88"/>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94">
    <w:name w:val="Table Grid 1"/>
    <w:basedOn w:val="88"/>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5">
    <w:name w:val="Table Grid 5"/>
    <w:basedOn w:val="88"/>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6">
    <w:name w:val="Table Grid 7"/>
    <w:basedOn w:val="88"/>
    <w:qFormat/>
    <w:uiPriority w:val="0"/>
    <w:pPr>
      <w:widowControl w:val="0"/>
      <w:spacing w:line="46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98">
    <w:name w:val="Strong"/>
    <w:qFormat/>
    <w:uiPriority w:val="22"/>
    <w:rPr>
      <w:b/>
      <w:bCs/>
    </w:rPr>
  </w:style>
  <w:style w:type="character" w:styleId="99">
    <w:name w:val="endnote reference"/>
    <w:qFormat/>
    <w:uiPriority w:val="0"/>
    <w:rPr>
      <w:color w:val="FF0000"/>
      <w:sz w:val="24"/>
      <w:szCs w:val="21"/>
      <w:vertAlign w:val="superscript"/>
    </w:rPr>
  </w:style>
  <w:style w:type="character" w:styleId="100">
    <w:name w:val="page number"/>
    <w:qFormat/>
    <w:uiPriority w:val="0"/>
  </w:style>
  <w:style w:type="character" w:styleId="101">
    <w:name w:val="FollowedHyperlink"/>
    <w:qFormat/>
    <w:uiPriority w:val="0"/>
    <w:rPr>
      <w:color w:val="800080"/>
      <w:u w:val="single"/>
    </w:rPr>
  </w:style>
  <w:style w:type="character" w:styleId="102">
    <w:name w:val="Emphasis"/>
    <w:qFormat/>
    <w:uiPriority w:val="0"/>
    <w:rPr>
      <w:i/>
      <w:iCs/>
    </w:rPr>
  </w:style>
  <w:style w:type="character" w:styleId="103">
    <w:name w:val="line number"/>
    <w:qFormat/>
    <w:uiPriority w:val="0"/>
  </w:style>
  <w:style w:type="character" w:styleId="104">
    <w:name w:val="HTML Definition"/>
    <w:qFormat/>
    <w:uiPriority w:val="0"/>
    <w:rPr>
      <w:i/>
      <w:iCs/>
    </w:rPr>
  </w:style>
  <w:style w:type="character" w:styleId="105">
    <w:name w:val="HTML Typewriter"/>
    <w:qFormat/>
    <w:uiPriority w:val="0"/>
    <w:rPr>
      <w:rFonts w:ascii="Courier New" w:hAnsi="Courier New" w:cs="Courier New"/>
      <w:sz w:val="20"/>
      <w:szCs w:val="20"/>
    </w:rPr>
  </w:style>
  <w:style w:type="character" w:styleId="106">
    <w:name w:val="HTML Acronym"/>
    <w:qFormat/>
    <w:uiPriority w:val="0"/>
  </w:style>
  <w:style w:type="character" w:styleId="107">
    <w:name w:val="HTML Variable"/>
    <w:qFormat/>
    <w:uiPriority w:val="0"/>
    <w:rPr>
      <w:i/>
      <w:iCs/>
    </w:rPr>
  </w:style>
  <w:style w:type="character" w:styleId="108">
    <w:name w:val="Hyperlink"/>
    <w:qFormat/>
    <w:uiPriority w:val="99"/>
    <w:rPr>
      <w:color w:val="666666"/>
      <w:u w:val="none"/>
      <w:shd w:val="clear" w:color="auto" w:fill="auto"/>
    </w:rPr>
  </w:style>
  <w:style w:type="character" w:styleId="109">
    <w:name w:val="HTML Code"/>
    <w:qFormat/>
    <w:uiPriority w:val="0"/>
    <w:rPr>
      <w:rFonts w:ascii="Courier New" w:hAnsi="Courier New" w:cs="Courier New"/>
      <w:sz w:val="20"/>
      <w:szCs w:val="20"/>
    </w:rPr>
  </w:style>
  <w:style w:type="character" w:styleId="110">
    <w:name w:val="annotation reference"/>
    <w:qFormat/>
    <w:uiPriority w:val="0"/>
    <w:rPr>
      <w:sz w:val="21"/>
      <w:szCs w:val="21"/>
    </w:rPr>
  </w:style>
  <w:style w:type="character" w:styleId="111">
    <w:name w:val="HTML Cite"/>
    <w:qFormat/>
    <w:uiPriority w:val="0"/>
    <w:rPr>
      <w:i/>
      <w:iCs/>
    </w:rPr>
  </w:style>
  <w:style w:type="character" w:styleId="112">
    <w:name w:val="footnote reference"/>
    <w:qFormat/>
    <w:uiPriority w:val="0"/>
    <w:rPr>
      <w:vertAlign w:val="superscript"/>
    </w:rPr>
  </w:style>
  <w:style w:type="character" w:styleId="113">
    <w:name w:val="HTML Keyboard"/>
    <w:qFormat/>
    <w:uiPriority w:val="0"/>
    <w:rPr>
      <w:rFonts w:ascii="Courier New" w:hAnsi="Courier New" w:cs="Courier New"/>
      <w:sz w:val="20"/>
      <w:szCs w:val="20"/>
    </w:rPr>
  </w:style>
  <w:style w:type="character" w:styleId="114">
    <w:name w:val="HTML Sample"/>
    <w:qFormat/>
    <w:uiPriority w:val="0"/>
    <w:rPr>
      <w:rFonts w:ascii="Courier New" w:hAnsi="Courier New" w:cs="Courier New"/>
    </w:rPr>
  </w:style>
  <w:style w:type="character" w:customStyle="1" w:styleId="115">
    <w:name w:val="标题 1 字符"/>
    <w:link w:val="3"/>
    <w:qFormat/>
    <w:uiPriority w:val="0"/>
    <w:rPr>
      <w:rFonts w:eastAsia="宋体"/>
      <w:b/>
      <w:bCs/>
      <w:kern w:val="44"/>
      <w:sz w:val="32"/>
      <w:szCs w:val="32"/>
      <w:lang w:val="en-US" w:eastAsia="zh-CN" w:bidi="ar-SA"/>
    </w:rPr>
  </w:style>
  <w:style w:type="character" w:customStyle="1" w:styleId="116">
    <w:name w:val="标题 2 字符"/>
    <w:link w:val="4"/>
    <w:qFormat/>
    <w:uiPriority w:val="0"/>
    <w:rPr>
      <w:rFonts w:ascii="Arial" w:hAnsi="Arial" w:eastAsia="Courier New"/>
      <w:b/>
      <w:bCs/>
      <w:kern w:val="2"/>
      <w:sz w:val="32"/>
      <w:szCs w:val="32"/>
      <w:lang w:val="en-US" w:eastAsia="zh-CN" w:bidi="ar-SA"/>
    </w:rPr>
  </w:style>
  <w:style w:type="character" w:customStyle="1" w:styleId="117">
    <w:name w:val="标题 3 字符"/>
    <w:link w:val="5"/>
    <w:qFormat/>
    <w:uiPriority w:val="0"/>
    <w:rPr>
      <w:rFonts w:eastAsia="宋体"/>
      <w:b/>
      <w:bCs/>
      <w:kern w:val="2"/>
      <w:sz w:val="32"/>
      <w:szCs w:val="32"/>
      <w:lang w:val="en-US" w:eastAsia="zh-CN" w:bidi="ar-SA"/>
    </w:rPr>
  </w:style>
  <w:style w:type="character" w:customStyle="1" w:styleId="118">
    <w:name w:val="标题 4 字符"/>
    <w:link w:val="6"/>
    <w:qFormat/>
    <w:uiPriority w:val="0"/>
    <w:rPr>
      <w:rFonts w:ascii="Arial" w:hAnsi="Arial" w:eastAsia="黑体"/>
      <w:b/>
      <w:bCs/>
      <w:kern w:val="2"/>
      <w:sz w:val="28"/>
      <w:szCs w:val="28"/>
      <w:lang w:val="en-US" w:eastAsia="zh-CN" w:bidi="ar-SA"/>
    </w:rPr>
  </w:style>
  <w:style w:type="character" w:customStyle="1" w:styleId="119">
    <w:name w:val="标题 5 字符"/>
    <w:link w:val="7"/>
    <w:qFormat/>
    <w:uiPriority w:val="9"/>
    <w:rPr>
      <w:rFonts w:eastAsia="宋体"/>
      <w:b/>
      <w:sz w:val="28"/>
      <w:lang w:val="en-US" w:eastAsia="zh-CN" w:bidi="ar-SA"/>
    </w:rPr>
  </w:style>
  <w:style w:type="character" w:customStyle="1" w:styleId="120">
    <w:name w:val="标题 6 字符1"/>
    <w:link w:val="8"/>
    <w:qFormat/>
    <w:uiPriority w:val="9"/>
    <w:rPr>
      <w:rFonts w:ascii="Arial" w:hAnsi="Arial" w:eastAsia="黑体"/>
      <w:b/>
      <w:sz w:val="24"/>
      <w:lang w:val="en-US" w:eastAsia="zh-CN" w:bidi="ar-SA"/>
    </w:rPr>
  </w:style>
  <w:style w:type="character" w:customStyle="1" w:styleId="121">
    <w:name w:val="标题 7 字符"/>
    <w:link w:val="9"/>
    <w:qFormat/>
    <w:uiPriority w:val="0"/>
    <w:rPr>
      <w:rFonts w:eastAsia="宋体"/>
      <w:b/>
      <w:sz w:val="24"/>
      <w:lang w:val="en-US" w:eastAsia="zh-CN" w:bidi="ar-SA"/>
    </w:rPr>
  </w:style>
  <w:style w:type="character" w:customStyle="1" w:styleId="122">
    <w:name w:val="标题 8 字符"/>
    <w:link w:val="10"/>
    <w:qFormat/>
    <w:uiPriority w:val="0"/>
    <w:rPr>
      <w:rFonts w:ascii="Arial" w:hAnsi="Arial" w:eastAsia="黑体"/>
      <w:sz w:val="24"/>
      <w:lang w:val="en-US" w:eastAsia="zh-CN" w:bidi="ar-SA"/>
    </w:rPr>
  </w:style>
  <w:style w:type="character" w:customStyle="1" w:styleId="123">
    <w:name w:val="正文缩进 字符1"/>
    <w:link w:val="21"/>
    <w:qFormat/>
    <w:uiPriority w:val="0"/>
    <w:rPr>
      <w:rFonts w:eastAsia="宋体"/>
      <w:kern w:val="2"/>
      <w:sz w:val="28"/>
      <w:lang w:val="en-US" w:eastAsia="zh-CN" w:bidi="ar-SA"/>
    </w:rPr>
  </w:style>
  <w:style w:type="character" w:customStyle="1" w:styleId="124">
    <w:name w:val="标题 9 字符"/>
    <w:link w:val="11"/>
    <w:qFormat/>
    <w:uiPriority w:val="0"/>
    <w:rPr>
      <w:rFonts w:ascii="Arial" w:hAnsi="Arial" w:eastAsia="黑体"/>
      <w:kern w:val="2"/>
      <w:sz w:val="21"/>
    </w:rPr>
  </w:style>
  <w:style w:type="character" w:customStyle="1" w:styleId="125">
    <w:name w:val="注释标题 字符"/>
    <w:link w:val="16"/>
    <w:qFormat/>
    <w:uiPriority w:val="0"/>
    <w:rPr>
      <w:snapToGrid/>
      <w:kern w:val="2"/>
      <w:sz w:val="24"/>
      <w:szCs w:val="24"/>
    </w:rPr>
  </w:style>
  <w:style w:type="character" w:customStyle="1" w:styleId="126">
    <w:name w:val="题注 字符1"/>
    <w:link w:val="22"/>
    <w:qFormat/>
    <w:uiPriority w:val="0"/>
    <w:rPr>
      <w:rFonts w:eastAsia="黑体"/>
      <w:caps/>
      <w:spacing w:val="10"/>
      <w:kern w:val="2"/>
      <w:sz w:val="18"/>
      <w:szCs w:val="18"/>
      <w:lang w:val="en-US" w:eastAsia="zh-CN" w:bidi="ar-SA"/>
    </w:rPr>
  </w:style>
  <w:style w:type="character" w:customStyle="1" w:styleId="127">
    <w:name w:val="文档结构图 字符"/>
    <w:link w:val="26"/>
    <w:qFormat/>
    <w:uiPriority w:val="99"/>
    <w:rPr>
      <w:rFonts w:eastAsia="宋体"/>
      <w:kern w:val="2"/>
      <w:sz w:val="21"/>
      <w:szCs w:val="24"/>
      <w:lang w:val="en-US" w:eastAsia="zh-CN" w:bidi="ar-SA"/>
    </w:rPr>
  </w:style>
  <w:style w:type="character" w:customStyle="1" w:styleId="128">
    <w:name w:val="批注文字 字符1"/>
    <w:link w:val="28"/>
    <w:qFormat/>
    <w:uiPriority w:val="0"/>
    <w:rPr>
      <w:rFonts w:eastAsia="宋体"/>
      <w:kern w:val="2"/>
      <w:sz w:val="21"/>
      <w:szCs w:val="24"/>
      <w:lang w:val="en-US" w:eastAsia="zh-CN" w:bidi="ar-SA"/>
    </w:rPr>
  </w:style>
  <w:style w:type="character" w:customStyle="1" w:styleId="129">
    <w:name w:val="正文文本 3 字符"/>
    <w:link w:val="31"/>
    <w:qFormat/>
    <w:uiPriority w:val="99"/>
    <w:rPr>
      <w:rFonts w:eastAsia="仿宋_GB2312"/>
      <w:bCs/>
      <w:kern w:val="2"/>
      <w:sz w:val="21"/>
      <w:lang w:val="en-US" w:eastAsia="zh-CN" w:bidi="ar-SA"/>
    </w:rPr>
  </w:style>
  <w:style w:type="character" w:customStyle="1" w:styleId="130">
    <w:name w:val="正文文本 字符"/>
    <w:link w:val="34"/>
    <w:qFormat/>
    <w:uiPriority w:val="0"/>
    <w:rPr>
      <w:rFonts w:eastAsia="宋体"/>
      <w:kern w:val="2"/>
      <w:sz w:val="21"/>
      <w:szCs w:val="24"/>
      <w:lang w:val="en-US" w:eastAsia="zh-CN" w:bidi="ar-SA"/>
    </w:rPr>
  </w:style>
  <w:style w:type="character" w:customStyle="1" w:styleId="131">
    <w:name w:val="正文文本缩进 字符1"/>
    <w:link w:val="35"/>
    <w:qFormat/>
    <w:uiPriority w:val="99"/>
    <w:rPr>
      <w:rFonts w:eastAsia="宋体"/>
      <w:snapToGrid w:val="0"/>
      <w:sz w:val="28"/>
      <w:szCs w:val="24"/>
      <w:lang w:val="en-US" w:eastAsia="zh-CN" w:bidi="ar-SA"/>
    </w:rPr>
  </w:style>
  <w:style w:type="character" w:customStyle="1" w:styleId="132">
    <w:name w:val="列表 2 字符"/>
    <w:link w:val="37"/>
    <w:qFormat/>
    <w:uiPriority w:val="99"/>
    <w:rPr>
      <w:rFonts w:ascii="楷体_GB2312" w:hAnsi="宋体" w:eastAsia="楷体_GB2312"/>
      <w:color w:val="000000"/>
      <w:kern w:val="2"/>
      <w:sz w:val="21"/>
      <w:szCs w:val="28"/>
    </w:rPr>
  </w:style>
  <w:style w:type="character" w:customStyle="1" w:styleId="133">
    <w:name w:val="文本块 字符"/>
    <w:link w:val="39"/>
    <w:qFormat/>
    <w:uiPriority w:val="0"/>
    <w:rPr>
      <w:rFonts w:eastAsia="仿宋_GB2312"/>
      <w:kern w:val="2"/>
      <w:sz w:val="21"/>
      <w:szCs w:val="24"/>
    </w:rPr>
  </w:style>
  <w:style w:type="character" w:customStyle="1" w:styleId="134">
    <w:name w:val="目录 3 字符"/>
    <w:link w:val="44"/>
    <w:qFormat/>
    <w:uiPriority w:val="39"/>
    <w:rPr>
      <w:rFonts w:asciiTheme="minorHAnsi" w:eastAsiaTheme="minorHAnsi"/>
      <w:kern w:val="2"/>
    </w:rPr>
  </w:style>
  <w:style w:type="character" w:customStyle="1" w:styleId="135">
    <w:name w:val="纯文本 字符"/>
    <w:link w:val="45"/>
    <w:qFormat/>
    <w:uiPriority w:val="0"/>
    <w:rPr>
      <w:rFonts w:ascii="ˎ̥" w:hAnsi="Courier New" w:eastAsia="宋体"/>
      <w:kern w:val="2"/>
      <w:sz w:val="28"/>
      <w:lang w:val="en-US" w:eastAsia="zh-CN" w:bidi="ar-SA"/>
    </w:rPr>
  </w:style>
  <w:style w:type="character" w:customStyle="1" w:styleId="136">
    <w:name w:val="日期 字符"/>
    <w:link w:val="50"/>
    <w:qFormat/>
    <w:uiPriority w:val="0"/>
    <w:rPr>
      <w:rFonts w:eastAsia="宋体"/>
      <w:kern w:val="2"/>
      <w:sz w:val="21"/>
      <w:szCs w:val="24"/>
      <w:lang w:val="en-US" w:eastAsia="zh-CN" w:bidi="ar-SA"/>
    </w:rPr>
  </w:style>
  <w:style w:type="character" w:customStyle="1" w:styleId="137">
    <w:name w:val="正文文本缩进 2 字符"/>
    <w:link w:val="51"/>
    <w:qFormat/>
    <w:uiPriority w:val="99"/>
    <w:rPr>
      <w:rFonts w:eastAsia="宋体"/>
      <w:kern w:val="2"/>
      <w:sz w:val="21"/>
      <w:szCs w:val="24"/>
      <w:lang w:val="en-US" w:eastAsia="zh-CN" w:bidi="ar-SA"/>
    </w:rPr>
  </w:style>
  <w:style w:type="character" w:customStyle="1" w:styleId="138">
    <w:name w:val="尾注文本 字符1"/>
    <w:link w:val="52"/>
    <w:qFormat/>
    <w:locked/>
    <w:uiPriority w:val="0"/>
    <w:rPr>
      <w:kern w:val="2"/>
      <w:sz w:val="21"/>
      <w:szCs w:val="21"/>
    </w:rPr>
  </w:style>
  <w:style w:type="character" w:customStyle="1" w:styleId="139">
    <w:name w:val="批注框文本 字符"/>
    <w:link w:val="54"/>
    <w:qFormat/>
    <w:uiPriority w:val="99"/>
    <w:rPr>
      <w:rFonts w:eastAsia="宋体"/>
      <w:kern w:val="2"/>
      <w:sz w:val="18"/>
      <w:szCs w:val="18"/>
      <w:lang w:val="en-US" w:eastAsia="zh-CN" w:bidi="ar-SA"/>
    </w:rPr>
  </w:style>
  <w:style w:type="character" w:customStyle="1" w:styleId="140">
    <w:name w:val="页脚 字符1"/>
    <w:link w:val="55"/>
    <w:qFormat/>
    <w:uiPriority w:val="99"/>
    <w:rPr>
      <w:rFonts w:eastAsia="宋体"/>
      <w:kern w:val="2"/>
      <w:sz w:val="18"/>
      <w:szCs w:val="18"/>
      <w:lang w:val="en-US" w:eastAsia="zh-CN" w:bidi="ar-SA"/>
    </w:rPr>
  </w:style>
  <w:style w:type="character" w:customStyle="1" w:styleId="141">
    <w:name w:val="页眉 字符1"/>
    <w:link w:val="57"/>
    <w:qFormat/>
    <w:uiPriority w:val="0"/>
    <w:rPr>
      <w:rFonts w:eastAsia="宋体"/>
      <w:kern w:val="2"/>
      <w:sz w:val="18"/>
      <w:szCs w:val="18"/>
      <w:lang w:val="en-US" w:eastAsia="zh-CN" w:bidi="ar-SA"/>
    </w:rPr>
  </w:style>
  <w:style w:type="character" w:customStyle="1" w:styleId="142">
    <w:name w:val="副标题 字符1"/>
    <w:link w:val="64"/>
    <w:qFormat/>
    <w:uiPriority w:val="0"/>
    <w:rPr>
      <w:rFonts w:ascii="Cambria" w:hAnsi="Cambria" w:eastAsia="仿宋_GB2312"/>
      <w:bCs/>
      <w:kern w:val="28"/>
      <w:sz w:val="28"/>
      <w:szCs w:val="32"/>
      <w:lang w:val="en-US" w:eastAsia="zh-CN" w:bidi="ar-SA"/>
    </w:rPr>
  </w:style>
  <w:style w:type="character" w:customStyle="1" w:styleId="143">
    <w:name w:val="列表 字符"/>
    <w:link w:val="66"/>
    <w:qFormat/>
    <w:uiPriority w:val="0"/>
    <w:rPr>
      <w:kern w:val="2"/>
      <w:sz w:val="21"/>
      <w:szCs w:val="24"/>
    </w:rPr>
  </w:style>
  <w:style w:type="character" w:customStyle="1" w:styleId="144">
    <w:name w:val="脚注文本 字符1"/>
    <w:link w:val="67"/>
    <w:qFormat/>
    <w:locked/>
    <w:uiPriority w:val="0"/>
    <w:rPr>
      <w:rFonts w:ascii="宋体" w:eastAsia="仿宋_GB2312"/>
      <w:kern w:val="2"/>
      <w:sz w:val="18"/>
      <w:szCs w:val="18"/>
    </w:rPr>
  </w:style>
  <w:style w:type="character" w:customStyle="1" w:styleId="145">
    <w:name w:val="正文文本缩进 3 字符"/>
    <w:link w:val="70"/>
    <w:qFormat/>
    <w:uiPriority w:val="99"/>
    <w:rPr>
      <w:rFonts w:eastAsia="宋体"/>
      <w:kern w:val="2"/>
      <w:sz w:val="16"/>
      <w:szCs w:val="16"/>
      <w:lang w:val="en-US" w:eastAsia="zh-CN" w:bidi="ar-SA"/>
    </w:rPr>
  </w:style>
  <w:style w:type="character" w:customStyle="1" w:styleId="146">
    <w:name w:val="正文文本 2 字符"/>
    <w:link w:val="76"/>
    <w:qFormat/>
    <w:uiPriority w:val="99"/>
    <w:rPr>
      <w:rFonts w:ascii="宋体" w:hAnsi="宋体" w:eastAsia="宋体"/>
      <w:kern w:val="2"/>
      <w:sz w:val="21"/>
      <w:szCs w:val="21"/>
      <w:lang w:val="en-US" w:eastAsia="zh-CN" w:bidi="ar-SA"/>
    </w:rPr>
  </w:style>
  <w:style w:type="character" w:customStyle="1" w:styleId="147">
    <w:name w:val="信息标题 字符1"/>
    <w:link w:val="79"/>
    <w:qFormat/>
    <w:uiPriority w:val="0"/>
    <w:rPr>
      <w:rFonts w:ascii="Arial" w:hAnsi="Arial"/>
      <w:sz w:val="24"/>
      <w:szCs w:val="28"/>
      <w:shd w:val="pct20" w:color="auto" w:fill="auto"/>
    </w:rPr>
  </w:style>
  <w:style w:type="character" w:customStyle="1" w:styleId="148">
    <w:name w:val="HTML 预设格式 字符1"/>
    <w:link w:val="80"/>
    <w:qFormat/>
    <w:locked/>
    <w:uiPriority w:val="0"/>
    <w:rPr>
      <w:rFonts w:ascii="Courier New" w:hAnsi="Courier New" w:cs="Courier New"/>
      <w:color w:val="000000"/>
    </w:rPr>
  </w:style>
  <w:style w:type="character" w:customStyle="1" w:styleId="149">
    <w:name w:val="普通(网站) 字符1"/>
    <w:link w:val="81"/>
    <w:qFormat/>
    <w:uiPriority w:val="99"/>
    <w:rPr>
      <w:rFonts w:ascii="ˎ̥" w:hAnsi="ˎ̥" w:cs="ˎ̥"/>
      <w:sz w:val="24"/>
      <w:szCs w:val="24"/>
    </w:rPr>
  </w:style>
  <w:style w:type="character" w:customStyle="1" w:styleId="150">
    <w:name w:val="标题 字符1"/>
    <w:link w:val="84"/>
    <w:qFormat/>
    <w:locked/>
    <w:uiPriority w:val="0"/>
    <w:rPr>
      <w:rFonts w:ascii="Cambria" w:hAnsi="Cambria"/>
      <w:b/>
      <w:bCs/>
      <w:kern w:val="2"/>
      <w:sz w:val="32"/>
      <w:szCs w:val="32"/>
    </w:rPr>
  </w:style>
  <w:style w:type="character" w:customStyle="1" w:styleId="151">
    <w:name w:val="批注主题 字符"/>
    <w:link w:val="85"/>
    <w:qFormat/>
    <w:locked/>
    <w:uiPriority w:val="99"/>
    <w:rPr>
      <w:b/>
      <w:bCs/>
      <w:kern w:val="2"/>
      <w:sz w:val="21"/>
      <w:szCs w:val="24"/>
    </w:rPr>
  </w:style>
  <w:style w:type="character" w:customStyle="1" w:styleId="152">
    <w:name w:val="正文首行缩进 字符"/>
    <w:link w:val="86"/>
    <w:qFormat/>
    <w:uiPriority w:val="99"/>
    <w:rPr>
      <w:lang w:val="en-US" w:eastAsia="zh-CN" w:bidi="ar-SA"/>
    </w:rPr>
  </w:style>
  <w:style w:type="character" w:customStyle="1" w:styleId="153">
    <w:name w:val="正文首行缩进 2 字符"/>
    <w:link w:val="87"/>
    <w:qFormat/>
    <w:uiPriority w:val="0"/>
    <w:rPr>
      <w:rFonts w:eastAsia="宋体"/>
      <w:snapToGrid w:val="0"/>
      <w:kern w:val="2"/>
      <w:sz w:val="28"/>
      <w:szCs w:val="24"/>
      <w:lang w:val="en-US" w:eastAsia="zh-CN" w:bidi="ar-SA"/>
    </w:rPr>
  </w:style>
  <w:style w:type="paragraph" w:customStyle="1" w:styleId="154">
    <w:name w:val="表文字"/>
    <w:link w:val="155"/>
    <w:qFormat/>
    <w:uiPriority w:val="0"/>
    <w:pPr>
      <w:widowControl w:val="0"/>
      <w:adjustRightInd w:val="0"/>
      <w:spacing w:line="240" w:lineRule="exact"/>
      <w:jc w:val="center"/>
      <w:textAlignment w:val="baseline"/>
    </w:pPr>
    <w:rPr>
      <w:rFonts w:ascii="Times New Roman" w:hAnsi="Times New Roman" w:eastAsia="宋体" w:cs="Times New Roman"/>
      <w:sz w:val="21"/>
      <w:szCs w:val="21"/>
      <w:lang w:val="en-US" w:eastAsia="zh-CN" w:bidi="ar-SA"/>
    </w:rPr>
  </w:style>
  <w:style w:type="character" w:customStyle="1" w:styleId="155">
    <w:name w:val="表文字 Char1"/>
    <w:link w:val="154"/>
    <w:qFormat/>
    <w:uiPriority w:val="0"/>
    <w:rPr>
      <w:sz w:val="21"/>
      <w:szCs w:val="21"/>
      <w:lang w:val="en-US" w:eastAsia="zh-CN" w:bidi="ar-SA"/>
    </w:rPr>
  </w:style>
  <w:style w:type="paragraph" w:customStyle="1" w:styleId="156">
    <w:name w:val="样式 左 首行缩进:  1.01 厘米"/>
    <w:basedOn w:val="1"/>
    <w:link w:val="157"/>
    <w:qFormat/>
    <w:uiPriority w:val="0"/>
    <w:pPr>
      <w:adjustRightInd w:val="0"/>
      <w:snapToGrid w:val="0"/>
      <w:spacing w:line="460" w:lineRule="exact"/>
      <w:ind w:firstLine="200" w:firstLineChars="200"/>
    </w:pPr>
    <w:rPr>
      <w:rFonts w:cs="ˎ̥"/>
      <w:sz w:val="26"/>
      <w:szCs w:val="26"/>
    </w:rPr>
  </w:style>
  <w:style w:type="character" w:customStyle="1" w:styleId="157">
    <w:name w:val="样式 左 首行缩进:  1.01 厘米 Char"/>
    <w:link w:val="156"/>
    <w:qFormat/>
    <w:uiPriority w:val="0"/>
    <w:rPr>
      <w:rFonts w:eastAsia="宋体" w:cs="ˎ̥"/>
      <w:kern w:val="2"/>
      <w:sz w:val="26"/>
      <w:szCs w:val="26"/>
      <w:lang w:val="en-US" w:eastAsia="zh-CN" w:bidi="ar-SA"/>
    </w:rPr>
  </w:style>
  <w:style w:type="paragraph" w:customStyle="1" w:styleId="158">
    <w:name w:val="表号"/>
    <w:link w:val="159"/>
    <w:qFormat/>
    <w:uiPriority w:val="0"/>
    <w:pPr>
      <w:adjustRightInd w:val="0"/>
      <w:snapToGrid w:val="0"/>
      <w:jc w:val="both"/>
      <w:outlineLvl w:val="4"/>
    </w:pPr>
    <w:rPr>
      <w:rFonts w:ascii="Times New Roman" w:hAnsi="Times New Roman" w:eastAsia="宋体" w:cs="Times New Roman"/>
      <w:sz w:val="24"/>
      <w:szCs w:val="24"/>
      <w:lang w:val="en-US" w:eastAsia="zh-CN" w:bidi="ar-SA"/>
    </w:rPr>
  </w:style>
  <w:style w:type="character" w:customStyle="1" w:styleId="159">
    <w:name w:val="表号 Char"/>
    <w:link w:val="158"/>
    <w:qFormat/>
    <w:locked/>
    <w:uiPriority w:val="0"/>
    <w:rPr>
      <w:sz w:val="24"/>
      <w:szCs w:val="24"/>
      <w:lang w:val="en-US" w:eastAsia="zh-CN" w:bidi="ar-SA"/>
    </w:rPr>
  </w:style>
  <w:style w:type="paragraph" w:customStyle="1" w:styleId="160">
    <w:name w:val="样式 13 磅 行距: 固定值 23 磅 首行缩进:  2 字符 Char"/>
    <w:basedOn w:val="1"/>
    <w:link w:val="161"/>
    <w:semiHidden/>
    <w:qFormat/>
    <w:uiPriority w:val="0"/>
    <w:pPr>
      <w:spacing w:line="460" w:lineRule="exact"/>
      <w:ind w:firstLine="520" w:firstLineChars="200"/>
    </w:pPr>
    <w:rPr>
      <w:rFonts w:cs="ˎ̥"/>
      <w:sz w:val="26"/>
      <w:szCs w:val="20"/>
    </w:rPr>
  </w:style>
  <w:style w:type="character" w:customStyle="1" w:styleId="161">
    <w:name w:val="样式 13 磅 行距: 固定值 23 磅 首行缩进:  2 字符 Char Char"/>
    <w:link w:val="160"/>
    <w:qFormat/>
    <w:uiPriority w:val="0"/>
    <w:rPr>
      <w:rFonts w:eastAsia="宋体" w:cs="ˎ̥"/>
      <w:kern w:val="2"/>
      <w:sz w:val="26"/>
      <w:lang w:val="en-US" w:eastAsia="zh-CN" w:bidi="ar-SA"/>
    </w:rPr>
  </w:style>
  <w:style w:type="paragraph" w:customStyle="1" w:styleId="162">
    <w:name w:val="样式 13 磅 行距: 固定值 23 磅"/>
    <w:basedOn w:val="1"/>
    <w:link w:val="163"/>
    <w:qFormat/>
    <w:uiPriority w:val="0"/>
    <w:pPr>
      <w:spacing w:line="460" w:lineRule="exact"/>
      <w:ind w:firstLine="520" w:firstLineChars="200"/>
    </w:pPr>
    <w:rPr>
      <w:rFonts w:cs="ˎ̥"/>
      <w:sz w:val="26"/>
      <w:szCs w:val="20"/>
    </w:rPr>
  </w:style>
  <w:style w:type="character" w:customStyle="1" w:styleId="163">
    <w:name w:val="样式 13 磅 行距: 固定值 23 磅 Char1"/>
    <w:link w:val="162"/>
    <w:qFormat/>
    <w:uiPriority w:val="0"/>
    <w:rPr>
      <w:rFonts w:eastAsia="宋体" w:cs="ˎ̥"/>
      <w:kern w:val="2"/>
      <w:sz w:val="26"/>
      <w:lang w:val="en-US" w:eastAsia="zh-CN" w:bidi="ar-SA"/>
    </w:rPr>
  </w:style>
  <w:style w:type="paragraph" w:customStyle="1" w:styleId="164">
    <w:name w:val="排版正文"/>
    <w:basedOn w:val="1"/>
    <w:link w:val="165"/>
    <w:qFormat/>
    <w:uiPriority w:val="0"/>
    <w:pPr>
      <w:overflowPunct w:val="0"/>
      <w:autoSpaceDE w:val="0"/>
      <w:autoSpaceDN w:val="0"/>
      <w:adjustRightInd w:val="0"/>
      <w:snapToGrid w:val="0"/>
      <w:spacing w:line="480" w:lineRule="exact"/>
      <w:ind w:firstLine="520" w:firstLineChars="200"/>
      <w:textAlignment w:val="center"/>
    </w:pPr>
    <w:rPr>
      <w:color w:val="000000"/>
      <w:sz w:val="26"/>
    </w:rPr>
  </w:style>
  <w:style w:type="character" w:customStyle="1" w:styleId="165">
    <w:name w:val="排版正文 Char"/>
    <w:link w:val="164"/>
    <w:qFormat/>
    <w:uiPriority w:val="0"/>
    <w:rPr>
      <w:rFonts w:eastAsia="宋体"/>
      <w:color w:val="000000"/>
      <w:kern w:val="2"/>
      <w:sz w:val="26"/>
      <w:szCs w:val="24"/>
      <w:lang w:val="en-US" w:eastAsia="zh-CN" w:bidi="ar-SA"/>
    </w:rPr>
  </w:style>
  <w:style w:type="paragraph" w:customStyle="1" w:styleId="166">
    <w:name w:val="样式 13 磅 行距: 固定值 23 磅 首行缩进:  2 字符"/>
    <w:basedOn w:val="1"/>
    <w:qFormat/>
    <w:uiPriority w:val="0"/>
    <w:pPr>
      <w:spacing w:line="460" w:lineRule="exact"/>
      <w:ind w:firstLine="520" w:firstLineChars="200"/>
    </w:pPr>
    <w:rPr>
      <w:rFonts w:cs="ˎ̥"/>
      <w:sz w:val="26"/>
      <w:szCs w:val="20"/>
    </w:rPr>
  </w:style>
  <w:style w:type="character" w:customStyle="1" w:styleId="167">
    <w:name w:val="标题 3 Char Char"/>
    <w:qFormat/>
    <w:uiPriority w:val="0"/>
    <w:rPr>
      <w:rFonts w:eastAsia="ˎ̥"/>
      <w:b/>
      <w:bCs/>
      <w:kern w:val="2"/>
      <w:sz w:val="32"/>
      <w:szCs w:val="32"/>
      <w:lang w:val="en-US" w:eastAsia="zh-CN" w:bidi="ar-SA"/>
    </w:rPr>
  </w:style>
  <w:style w:type="paragraph" w:customStyle="1" w:styleId="168">
    <w:name w:val="样式 13 磅 加粗 黑色 行距: 固定值 23 磅"/>
    <w:basedOn w:val="1"/>
    <w:link w:val="169"/>
    <w:qFormat/>
    <w:uiPriority w:val="0"/>
    <w:pPr>
      <w:spacing w:line="460" w:lineRule="exact"/>
      <w:ind w:firstLine="522" w:firstLineChars="200"/>
    </w:pPr>
    <w:rPr>
      <w:rFonts w:cs="ˎ̥"/>
      <w:b/>
      <w:bCs/>
      <w:color w:val="000000"/>
      <w:sz w:val="26"/>
      <w:szCs w:val="20"/>
    </w:rPr>
  </w:style>
  <w:style w:type="character" w:customStyle="1" w:styleId="169">
    <w:name w:val="样式 13 磅 加粗 黑色 行距: 固定值 23 磅 Char"/>
    <w:link w:val="168"/>
    <w:qFormat/>
    <w:uiPriority w:val="0"/>
    <w:rPr>
      <w:rFonts w:eastAsia="宋体" w:cs="ˎ̥"/>
      <w:b/>
      <w:bCs/>
      <w:color w:val="000000"/>
      <w:kern w:val="2"/>
      <w:sz w:val="26"/>
      <w:lang w:val="en-US" w:eastAsia="zh-CN" w:bidi="ar-SA"/>
    </w:rPr>
  </w:style>
  <w:style w:type="paragraph" w:customStyle="1" w:styleId="170">
    <w:name w:val="样式 正文1 + 黑色 首行缩进:  2 字符"/>
    <w:basedOn w:val="1"/>
    <w:link w:val="171"/>
    <w:qFormat/>
    <w:uiPriority w:val="0"/>
    <w:pPr>
      <w:adjustRightInd w:val="0"/>
      <w:snapToGrid w:val="0"/>
      <w:spacing w:line="500" w:lineRule="exact"/>
      <w:ind w:firstLine="200" w:firstLineChars="200"/>
    </w:pPr>
    <w:rPr>
      <w:rFonts w:cs="ˎ̥"/>
      <w:color w:val="000000"/>
      <w:sz w:val="26"/>
      <w:szCs w:val="20"/>
    </w:rPr>
  </w:style>
  <w:style w:type="character" w:customStyle="1" w:styleId="171">
    <w:name w:val="样式 正文1 + 黑色 首行缩进:  2 字符 Char"/>
    <w:link w:val="170"/>
    <w:qFormat/>
    <w:uiPriority w:val="0"/>
    <w:rPr>
      <w:rFonts w:eastAsia="宋体" w:cs="ˎ̥"/>
      <w:color w:val="000000"/>
      <w:kern w:val="2"/>
      <w:sz w:val="26"/>
      <w:lang w:val="en-US" w:eastAsia="zh-CN" w:bidi="ar-SA"/>
    </w:rPr>
  </w:style>
  <w:style w:type="paragraph" w:customStyle="1" w:styleId="172">
    <w:name w:val="表格文字"/>
    <w:basedOn w:val="1"/>
    <w:next w:val="1"/>
    <w:link w:val="173"/>
    <w:qFormat/>
    <w:uiPriority w:val="0"/>
    <w:pPr>
      <w:adjustRightInd w:val="0"/>
      <w:snapToGrid w:val="0"/>
      <w:jc w:val="center"/>
    </w:pPr>
    <w:rPr>
      <w:sz w:val="22"/>
      <w:szCs w:val="22"/>
    </w:rPr>
  </w:style>
  <w:style w:type="character" w:customStyle="1" w:styleId="173">
    <w:name w:val="表格文字 Char"/>
    <w:link w:val="172"/>
    <w:qFormat/>
    <w:uiPriority w:val="0"/>
    <w:rPr>
      <w:rFonts w:eastAsia="宋体"/>
      <w:kern w:val="2"/>
      <w:sz w:val="22"/>
      <w:szCs w:val="22"/>
      <w:lang w:val="en-US" w:eastAsia="zh-CN" w:bidi="ar-SA"/>
    </w:rPr>
  </w:style>
  <w:style w:type="paragraph" w:customStyle="1" w:styleId="174">
    <w:name w:val="xl24"/>
    <w:basedOn w:val="1"/>
    <w:qFormat/>
    <w:uiPriority w:val="0"/>
    <w:pPr>
      <w:widowControl/>
      <w:spacing w:before="100" w:beforeAutospacing="1" w:after="100" w:afterAutospacing="1"/>
      <w:jc w:val="center"/>
      <w:textAlignment w:val="center"/>
    </w:pPr>
    <w:rPr>
      <w:rFonts w:ascii="Courier New" w:hAnsi="Courier New" w:eastAsia="Courier New" w:cs="Courier New"/>
      <w:kern w:val="0"/>
      <w:sz w:val="22"/>
      <w:szCs w:val="22"/>
    </w:rPr>
  </w:style>
  <w:style w:type="paragraph" w:customStyle="1" w:styleId="175">
    <w:name w:val="表题"/>
    <w:basedOn w:val="1"/>
    <w:qFormat/>
    <w:uiPriority w:val="0"/>
    <w:pPr>
      <w:tabs>
        <w:tab w:val="left" w:pos="720"/>
      </w:tabs>
      <w:spacing w:line="240" w:lineRule="exact"/>
      <w:ind w:firstLine="11" w:firstLineChars="5"/>
      <w:jc w:val="center"/>
    </w:pPr>
    <w:rPr>
      <w:bCs/>
      <w:color w:val="000000"/>
      <w:sz w:val="22"/>
    </w:rPr>
  </w:style>
  <w:style w:type="paragraph" w:customStyle="1" w:styleId="176">
    <w:name w:val="表文"/>
    <w:basedOn w:val="1"/>
    <w:link w:val="177"/>
    <w:qFormat/>
    <w:uiPriority w:val="0"/>
    <w:pPr>
      <w:overflowPunct w:val="0"/>
      <w:spacing w:line="300" w:lineRule="exact"/>
      <w:ind w:left="-140" w:leftChars="-50" w:right="-140" w:rightChars="-50"/>
      <w:jc w:val="center"/>
    </w:pPr>
    <w:rPr>
      <w:color w:val="000000"/>
      <w:sz w:val="22"/>
      <w:szCs w:val="21"/>
    </w:rPr>
  </w:style>
  <w:style w:type="character" w:customStyle="1" w:styleId="177">
    <w:name w:val="表文 Char1"/>
    <w:link w:val="176"/>
    <w:qFormat/>
    <w:uiPriority w:val="0"/>
    <w:rPr>
      <w:rFonts w:eastAsia="宋体"/>
      <w:color w:val="000000"/>
      <w:kern w:val="2"/>
      <w:sz w:val="22"/>
      <w:szCs w:val="21"/>
      <w:lang w:val="en-US" w:eastAsia="zh-CN" w:bidi="ar-SA"/>
    </w:rPr>
  </w:style>
  <w:style w:type="paragraph" w:customStyle="1" w:styleId="178">
    <w:name w:val="样式 首行缩进:  0.85 厘米1"/>
    <w:basedOn w:val="1"/>
    <w:qFormat/>
    <w:uiPriority w:val="0"/>
    <w:pPr>
      <w:widowControl/>
      <w:spacing w:line="500" w:lineRule="exact"/>
      <w:ind w:firstLine="522" w:firstLineChars="200"/>
      <w:outlineLvl w:val="1"/>
    </w:pPr>
    <w:rPr>
      <w:rFonts w:cs="ˎ̥"/>
      <w:b/>
      <w:color w:val="000000"/>
      <w:sz w:val="26"/>
      <w:szCs w:val="26"/>
    </w:rPr>
  </w:style>
  <w:style w:type="paragraph" w:customStyle="1" w:styleId="179">
    <w:name w:val="Char Char Char Char Char Char Char Char Char Char Char Char Char Char Char Char Char Char Char Char Char Char Char Char Char Char Char Char Char Char Char"/>
    <w:basedOn w:val="1"/>
    <w:qFormat/>
    <w:uiPriority w:val="0"/>
  </w:style>
  <w:style w:type="paragraph" w:customStyle="1" w:styleId="180">
    <w:name w:val="Char Char Char Char Char Char Char Char Char"/>
    <w:basedOn w:val="1"/>
    <w:qFormat/>
    <w:uiPriority w:val="0"/>
    <w:rPr>
      <w:sz w:val="24"/>
    </w:rPr>
  </w:style>
  <w:style w:type="paragraph" w:customStyle="1" w:styleId="181">
    <w:name w:val="地告正文"/>
    <w:basedOn w:val="1"/>
    <w:qFormat/>
    <w:uiPriority w:val="0"/>
    <w:pPr>
      <w:adjustRightInd w:val="0"/>
      <w:snapToGrid w:val="0"/>
      <w:spacing w:line="620" w:lineRule="atLeast"/>
      <w:ind w:firstLine="200" w:firstLineChars="200"/>
    </w:pPr>
    <w:rPr>
      <w:sz w:val="28"/>
    </w:rPr>
  </w:style>
  <w:style w:type="paragraph" w:customStyle="1" w:styleId="182">
    <w:name w:val="默认段落字体 Para Char"/>
    <w:basedOn w:val="1"/>
    <w:next w:val="1"/>
    <w:link w:val="183"/>
    <w:qFormat/>
    <w:uiPriority w:val="0"/>
    <w:pPr>
      <w:spacing w:line="360" w:lineRule="auto"/>
      <w:ind w:firstLine="200" w:firstLineChars="200"/>
    </w:pPr>
    <w:rPr>
      <w:rFonts w:ascii="宋体" w:hAnsi="宋体" w:cs="宋体"/>
      <w:sz w:val="24"/>
    </w:rPr>
  </w:style>
  <w:style w:type="character" w:customStyle="1" w:styleId="183">
    <w:name w:val="默认段落字体 Para Char Char"/>
    <w:link w:val="182"/>
    <w:qFormat/>
    <w:uiPriority w:val="0"/>
    <w:rPr>
      <w:rFonts w:ascii="宋体" w:hAnsi="宋体" w:cs="宋体"/>
      <w:kern w:val="2"/>
      <w:sz w:val="24"/>
      <w:szCs w:val="24"/>
    </w:rPr>
  </w:style>
  <w:style w:type="paragraph" w:customStyle="1" w:styleId="184">
    <w:name w:val="标准正文格式"/>
    <w:basedOn w:val="1"/>
    <w:qFormat/>
    <w:uiPriority w:val="0"/>
    <w:pPr>
      <w:spacing w:before="156" w:beforeLines="50"/>
      <w:jc w:val="center"/>
    </w:pPr>
    <w:rPr>
      <w:kern w:val="0"/>
      <w:szCs w:val="21"/>
    </w:rPr>
  </w:style>
  <w:style w:type="paragraph" w:customStyle="1" w:styleId="185">
    <w:name w:val="样式1"/>
    <w:basedOn w:val="21"/>
    <w:link w:val="186"/>
    <w:qFormat/>
    <w:uiPriority w:val="0"/>
    <w:pPr>
      <w:ind w:firstLine="560" w:firstLineChars="200"/>
    </w:pPr>
    <w:rPr>
      <w:rFonts w:ascii="宋体" w:hAnsi="宋体"/>
      <w:szCs w:val="24"/>
    </w:rPr>
  </w:style>
  <w:style w:type="character" w:customStyle="1" w:styleId="186">
    <w:name w:val="样式1 Char"/>
    <w:link w:val="185"/>
    <w:qFormat/>
    <w:uiPriority w:val="0"/>
    <w:rPr>
      <w:rFonts w:ascii="宋体" w:hAnsi="宋体"/>
      <w:kern w:val="2"/>
      <w:sz w:val="28"/>
      <w:szCs w:val="24"/>
    </w:rPr>
  </w:style>
  <w:style w:type="paragraph" w:customStyle="1" w:styleId="187">
    <w:name w:val="表体"/>
    <w:basedOn w:val="1"/>
    <w:qFormat/>
    <w:uiPriority w:val="0"/>
    <w:pPr>
      <w:spacing w:line="300" w:lineRule="exact"/>
      <w:jc w:val="center"/>
    </w:pPr>
    <w:rPr>
      <w:rFonts w:ascii="宋体" w:hAnsi="宋体"/>
      <w:szCs w:val="21"/>
    </w:rPr>
  </w:style>
  <w:style w:type="paragraph" w:customStyle="1" w:styleId="188">
    <w:name w:val="正文0"/>
    <w:basedOn w:val="1"/>
    <w:qFormat/>
    <w:uiPriority w:val="0"/>
    <w:pPr>
      <w:adjustRightInd w:val="0"/>
      <w:spacing w:line="360" w:lineRule="auto"/>
      <w:ind w:firstLine="482"/>
      <w:textAlignment w:val="baseline"/>
    </w:pPr>
    <w:rPr>
      <w:kern w:val="24"/>
      <w:sz w:val="24"/>
      <w:szCs w:val="20"/>
    </w:rPr>
  </w:style>
  <w:style w:type="paragraph" w:customStyle="1" w:styleId="189">
    <w:name w:val="样式1.1.1"/>
    <w:basedOn w:val="1"/>
    <w:qFormat/>
    <w:uiPriority w:val="0"/>
    <w:pPr>
      <w:spacing w:line="360" w:lineRule="auto"/>
    </w:pPr>
    <w:rPr>
      <w:rFonts w:hAnsi="宋体"/>
      <w:b/>
      <w:sz w:val="28"/>
      <w:szCs w:val="20"/>
    </w:rPr>
  </w:style>
  <w:style w:type="paragraph" w:customStyle="1" w:styleId="190">
    <w:name w:val="Body Text First Indent3"/>
    <w:basedOn w:val="34"/>
    <w:qFormat/>
    <w:uiPriority w:val="0"/>
    <w:pPr>
      <w:tabs>
        <w:tab w:val="left" w:pos="7840"/>
      </w:tabs>
      <w:adjustRightInd w:val="0"/>
      <w:spacing w:before="120" w:line="360" w:lineRule="auto"/>
      <w:ind w:firstLine="567"/>
      <w:textAlignment w:val="baseline"/>
    </w:pPr>
    <w:rPr>
      <w:kern w:val="28"/>
      <w:sz w:val="28"/>
      <w:szCs w:val="20"/>
    </w:rPr>
  </w:style>
  <w:style w:type="paragraph" w:customStyle="1" w:styleId="191">
    <w:name w:val="Char2"/>
    <w:basedOn w:val="1"/>
    <w:qFormat/>
    <w:uiPriority w:val="0"/>
    <w:pPr>
      <w:widowControl/>
      <w:spacing w:after="160" w:line="240" w:lineRule="exact"/>
      <w:jc w:val="left"/>
    </w:pPr>
    <w:rPr>
      <w:rFonts w:ascii="Verdana" w:hAnsi="Verdana" w:eastAsia="仿宋_GB2312"/>
      <w:kern w:val="0"/>
      <w:sz w:val="24"/>
      <w:szCs w:val="30"/>
      <w:lang w:eastAsia="en-US"/>
    </w:rPr>
  </w:style>
  <w:style w:type="paragraph" w:customStyle="1" w:styleId="192">
    <w:name w:val="样式 标题 3小节名小节小节标题段头SottoparagrafoReh33heading 3- bodyh..."/>
    <w:basedOn w:val="5"/>
    <w:link w:val="193"/>
    <w:qFormat/>
    <w:uiPriority w:val="0"/>
    <w:pPr>
      <w:spacing w:before="0" w:beforeLines="50" w:after="0" w:line="360" w:lineRule="auto"/>
    </w:pPr>
    <w:rPr>
      <w:rFonts w:cs="宋体"/>
      <w:sz w:val="30"/>
    </w:rPr>
  </w:style>
  <w:style w:type="character" w:customStyle="1" w:styleId="193">
    <w:name w:val="样式 标题 3小节名小节小节标题段头SottoparagrafoReh33heading 3- bodyh... Char"/>
    <w:link w:val="192"/>
    <w:qFormat/>
    <w:uiPriority w:val="0"/>
    <w:rPr>
      <w:rFonts w:eastAsia="宋体" w:cs="宋体"/>
      <w:b/>
      <w:bCs/>
      <w:kern w:val="2"/>
      <w:sz w:val="30"/>
      <w:szCs w:val="32"/>
      <w:lang w:val="en-US" w:eastAsia="zh-CN" w:bidi="ar-SA"/>
    </w:rPr>
  </w:style>
  <w:style w:type="paragraph" w:customStyle="1" w:styleId="194">
    <w:name w:val="样式 标题 3小节名小节小节标题段头SottoparagrafoReh33heading 3- bodyh...1"/>
    <w:basedOn w:val="5"/>
    <w:link w:val="195"/>
    <w:qFormat/>
    <w:uiPriority w:val="0"/>
    <w:pPr>
      <w:spacing w:before="50" w:beforeLines="50" w:after="0" w:line="360" w:lineRule="auto"/>
    </w:pPr>
    <w:rPr>
      <w:sz w:val="30"/>
      <w:szCs w:val="30"/>
    </w:rPr>
  </w:style>
  <w:style w:type="character" w:customStyle="1" w:styleId="195">
    <w:name w:val="样式 标题 3小节名小节小节标题段头SottoparagrafoReh33heading 3- bodyh...1 Char"/>
    <w:link w:val="194"/>
    <w:qFormat/>
    <w:uiPriority w:val="0"/>
    <w:rPr>
      <w:rFonts w:eastAsia="宋体"/>
      <w:b/>
      <w:bCs/>
      <w:kern w:val="2"/>
      <w:sz w:val="30"/>
      <w:szCs w:val="30"/>
      <w:lang w:val="en-US" w:eastAsia="zh-CN" w:bidi="ar-SA"/>
    </w:rPr>
  </w:style>
  <w:style w:type="paragraph" w:customStyle="1" w:styleId="196">
    <w:name w:val="样式 标题 3小节名小节小节标题段头SottoparagrafoReh33heading 3- bodyh...2"/>
    <w:basedOn w:val="5"/>
    <w:link w:val="197"/>
    <w:qFormat/>
    <w:uiPriority w:val="0"/>
    <w:pPr>
      <w:spacing w:before="50" w:beforeLines="50" w:after="0" w:line="360" w:lineRule="auto"/>
    </w:pPr>
    <w:rPr>
      <w:color w:val="000000"/>
      <w:sz w:val="30"/>
      <w:szCs w:val="30"/>
    </w:rPr>
  </w:style>
  <w:style w:type="character" w:customStyle="1" w:styleId="197">
    <w:name w:val="样式 标题 3小节名小节小节标题段头SottoparagrafoReh33heading 3- bodyh...2 Char"/>
    <w:link w:val="196"/>
    <w:qFormat/>
    <w:uiPriority w:val="0"/>
    <w:rPr>
      <w:rFonts w:eastAsia="宋体"/>
      <w:b/>
      <w:bCs/>
      <w:color w:val="000000"/>
      <w:kern w:val="2"/>
      <w:sz w:val="30"/>
      <w:szCs w:val="30"/>
      <w:lang w:val="en-US" w:eastAsia="zh-CN" w:bidi="ar-SA"/>
    </w:rPr>
  </w:style>
  <w:style w:type="paragraph" w:customStyle="1" w:styleId="198">
    <w:name w:val="样式 标题 3小节名小节小节标题段头SottoparagrafoReh33heading 3- bodyh...3"/>
    <w:basedOn w:val="5"/>
    <w:link w:val="199"/>
    <w:qFormat/>
    <w:uiPriority w:val="0"/>
    <w:pPr>
      <w:spacing w:before="50" w:beforeLines="50" w:after="0" w:line="360" w:lineRule="auto"/>
    </w:pPr>
    <w:rPr>
      <w:sz w:val="30"/>
      <w:szCs w:val="30"/>
    </w:rPr>
  </w:style>
  <w:style w:type="character" w:customStyle="1" w:styleId="199">
    <w:name w:val="样式 标题 3小节名小节小节标题段头SottoparagrafoReh33heading 3- bodyh...3 Char"/>
    <w:link w:val="198"/>
    <w:qFormat/>
    <w:uiPriority w:val="0"/>
    <w:rPr>
      <w:rFonts w:eastAsia="宋体"/>
      <w:b/>
      <w:bCs/>
      <w:kern w:val="2"/>
      <w:sz w:val="30"/>
      <w:szCs w:val="30"/>
      <w:lang w:val="en-US" w:eastAsia="zh-CN" w:bidi="ar-SA"/>
    </w:rPr>
  </w:style>
  <w:style w:type="paragraph" w:customStyle="1" w:styleId="200">
    <w:name w:val="样式9"/>
    <w:basedOn w:val="1"/>
    <w:link w:val="201"/>
    <w:qFormat/>
    <w:uiPriority w:val="0"/>
    <w:pPr>
      <w:spacing w:line="480" w:lineRule="exact"/>
      <w:ind w:firstLine="200" w:firstLineChars="200"/>
    </w:pPr>
    <w:rPr>
      <w:sz w:val="26"/>
      <w:szCs w:val="26"/>
    </w:rPr>
  </w:style>
  <w:style w:type="character" w:customStyle="1" w:styleId="201">
    <w:name w:val="样式9 Char"/>
    <w:link w:val="200"/>
    <w:qFormat/>
    <w:uiPriority w:val="0"/>
    <w:rPr>
      <w:rFonts w:eastAsia="宋体"/>
      <w:kern w:val="2"/>
      <w:sz w:val="26"/>
      <w:szCs w:val="26"/>
      <w:lang w:val="en-US" w:eastAsia="zh-CN" w:bidi="ar-SA"/>
    </w:rPr>
  </w:style>
  <w:style w:type="paragraph" w:styleId="202">
    <w:name w:val="List Paragraph"/>
    <w:basedOn w:val="1"/>
    <w:link w:val="203"/>
    <w:qFormat/>
    <w:uiPriority w:val="34"/>
    <w:pPr>
      <w:spacing w:line="360" w:lineRule="auto"/>
      <w:ind w:left="720" w:firstLine="200" w:firstLineChars="200"/>
      <w:contextualSpacing/>
    </w:pPr>
    <w:rPr>
      <w:rFonts w:eastAsia="黑体"/>
      <w:sz w:val="28"/>
    </w:rPr>
  </w:style>
  <w:style w:type="character" w:customStyle="1" w:styleId="203">
    <w:name w:val="列出段落 字符"/>
    <w:link w:val="202"/>
    <w:qFormat/>
    <w:uiPriority w:val="34"/>
    <w:rPr>
      <w:rFonts w:eastAsia="黑体"/>
      <w:kern w:val="2"/>
      <w:sz w:val="28"/>
      <w:szCs w:val="24"/>
    </w:rPr>
  </w:style>
  <w:style w:type="character" w:customStyle="1" w:styleId="204">
    <w:name w:val="样式7 Char"/>
    <w:link w:val="205"/>
    <w:qFormat/>
    <w:uiPriority w:val="0"/>
    <w:rPr>
      <w:kern w:val="2"/>
      <w:sz w:val="26"/>
      <w:szCs w:val="26"/>
      <w:lang w:bidi="ar-SA"/>
    </w:rPr>
  </w:style>
  <w:style w:type="paragraph" w:customStyle="1" w:styleId="205">
    <w:name w:val="样式7"/>
    <w:basedOn w:val="1"/>
    <w:link w:val="204"/>
    <w:qFormat/>
    <w:uiPriority w:val="0"/>
    <w:pPr>
      <w:spacing w:line="480" w:lineRule="exact"/>
      <w:ind w:firstLine="200" w:firstLineChars="200"/>
    </w:pPr>
    <w:rPr>
      <w:sz w:val="26"/>
      <w:szCs w:val="26"/>
    </w:rPr>
  </w:style>
  <w:style w:type="character" w:customStyle="1" w:styleId="206">
    <w:name w:val="样式5 Char"/>
    <w:link w:val="207"/>
    <w:qFormat/>
    <w:uiPriority w:val="0"/>
    <w:rPr>
      <w:kern w:val="2"/>
      <w:sz w:val="26"/>
      <w:szCs w:val="26"/>
      <w:lang w:bidi="ar-SA"/>
    </w:rPr>
  </w:style>
  <w:style w:type="paragraph" w:customStyle="1" w:styleId="207">
    <w:name w:val="样式5"/>
    <w:basedOn w:val="1"/>
    <w:link w:val="206"/>
    <w:qFormat/>
    <w:uiPriority w:val="0"/>
    <w:pPr>
      <w:spacing w:line="480" w:lineRule="exact"/>
      <w:ind w:firstLine="520" w:firstLineChars="200"/>
    </w:pPr>
    <w:rPr>
      <w:sz w:val="26"/>
      <w:szCs w:val="26"/>
    </w:rPr>
  </w:style>
  <w:style w:type="paragraph" w:customStyle="1" w:styleId="208">
    <w:name w:val="Char4 Char Char Char"/>
    <w:basedOn w:val="1"/>
    <w:qFormat/>
    <w:uiPriority w:val="0"/>
    <w:pPr>
      <w:adjustRightInd w:val="0"/>
      <w:snapToGrid w:val="0"/>
      <w:spacing w:line="360" w:lineRule="auto"/>
      <w:ind w:firstLine="200" w:firstLineChars="200"/>
    </w:pPr>
    <w:rPr>
      <w:rFonts w:ascii="宋体" w:hAnsi="宋体" w:cs="宋体"/>
      <w:sz w:val="24"/>
      <w:szCs w:val="26"/>
    </w:rPr>
  </w:style>
  <w:style w:type="character" w:customStyle="1" w:styleId="209">
    <w:name w:val="Char Char22"/>
    <w:qFormat/>
    <w:uiPriority w:val="0"/>
    <w:rPr>
      <w:rFonts w:ascii="Times New Roman" w:hAnsi="Times New Roman" w:eastAsia="宋体" w:cs="Times New Roman"/>
      <w:b/>
      <w:bCs/>
      <w:kern w:val="44"/>
      <w:sz w:val="32"/>
      <w:szCs w:val="32"/>
    </w:rPr>
  </w:style>
  <w:style w:type="character" w:customStyle="1" w:styleId="210">
    <w:name w:val="小节标题 Char Char"/>
    <w:qFormat/>
    <w:uiPriority w:val="0"/>
    <w:rPr>
      <w:rFonts w:ascii="Times New Roman" w:hAnsi="Times New Roman" w:eastAsia="宋体" w:cs="Times New Roman"/>
      <w:b/>
      <w:bCs/>
      <w:sz w:val="26"/>
      <w:szCs w:val="26"/>
    </w:rPr>
  </w:style>
  <w:style w:type="character" w:customStyle="1" w:styleId="211">
    <w:name w:val="正文四号 Char Char"/>
    <w:link w:val="212"/>
    <w:qFormat/>
    <w:locked/>
    <w:uiPriority w:val="0"/>
    <w:rPr>
      <w:rFonts w:eastAsia="宋体"/>
      <w:sz w:val="24"/>
      <w:szCs w:val="28"/>
      <w:lang w:bidi="ar-SA"/>
    </w:rPr>
  </w:style>
  <w:style w:type="paragraph" w:customStyle="1" w:styleId="212">
    <w:name w:val="正文四号"/>
    <w:basedOn w:val="1"/>
    <w:link w:val="211"/>
    <w:qFormat/>
    <w:uiPriority w:val="0"/>
    <w:pPr>
      <w:spacing w:afterLines="50" w:line="360" w:lineRule="auto"/>
      <w:ind w:firstLine="200" w:firstLineChars="200"/>
    </w:pPr>
    <w:rPr>
      <w:kern w:val="0"/>
      <w:sz w:val="24"/>
      <w:szCs w:val="28"/>
    </w:rPr>
  </w:style>
  <w:style w:type="paragraph" w:customStyle="1" w:styleId="213">
    <w:name w:val="正文1"/>
    <w:basedOn w:val="1"/>
    <w:link w:val="214"/>
    <w:qFormat/>
    <w:uiPriority w:val="0"/>
    <w:pPr>
      <w:adjustRightInd w:val="0"/>
      <w:snapToGrid w:val="0"/>
      <w:spacing w:line="480" w:lineRule="exact"/>
      <w:ind w:firstLine="200" w:firstLineChars="200"/>
    </w:pPr>
    <w:rPr>
      <w:rFonts w:cs="宋体"/>
      <w:sz w:val="26"/>
      <w:szCs w:val="26"/>
    </w:rPr>
  </w:style>
  <w:style w:type="character" w:customStyle="1" w:styleId="214">
    <w:name w:val="正文1 Char"/>
    <w:link w:val="213"/>
    <w:qFormat/>
    <w:uiPriority w:val="0"/>
    <w:rPr>
      <w:rFonts w:cs="宋体"/>
      <w:kern w:val="2"/>
      <w:sz w:val="26"/>
      <w:szCs w:val="26"/>
    </w:rPr>
  </w:style>
  <w:style w:type="character" w:customStyle="1" w:styleId="215">
    <w:name w:val="排版正文 Char Char"/>
    <w:qFormat/>
    <w:uiPriority w:val="0"/>
    <w:rPr>
      <w:rFonts w:ascii="Times New Roman" w:hAnsi="Times New Roman" w:eastAsia="宋体" w:cs="Times New Roman"/>
      <w:kern w:val="0"/>
      <w:sz w:val="26"/>
      <w:szCs w:val="24"/>
    </w:rPr>
  </w:style>
  <w:style w:type="paragraph" w:customStyle="1" w:styleId="216">
    <w:name w:val="xl25"/>
    <w:basedOn w:val="1"/>
    <w:qFormat/>
    <w:uiPriority w:val="0"/>
    <w:pPr>
      <w:widowControl/>
      <w:spacing w:before="100" w:after="100"/>
      <w:jc w:val="center"/>
    </w:pPr>
    <w:rPr>
      <w:rFonts w:eastAsia="Arial Unicode MS"/>
      <w:kern w:val="0"/>
      <w:sz w:val="24"/>
      <w:szCs w:val="20"/>
    </w:rPr>
  </w:style>
  <w:style w:type="paragraph" w:customStyle="1" w:styleId="217">
    <w:name w:val="1"/>
    <w:basedOn w:val="1"/>
    <w:next w:val="35"/>
    <w:qFormat/>
    <w:uiPriority w:val="0"/>
    <w:pPr>
      <w:ind w:firstLine="560" w:firstLineChars="200"/>
    </w:pPr>
    <w:rPr>
      <w:rFonts w:eastAsia="楷体_GB2312"/>
      <w:sz w:val="28"/>
    </w:rPr>
  </w:style>
  <w:style w:type="paragraph" w:customStyle="1" w:styleId="218">
    <w:name w:val="环评正文"/>
    <w:basedOn w:val="3"/>
    <w:link w:val="219"/>
    <w:qFormat/>
    <w:uiPriority w:val="0"/>
    <w:pPr>
      <w:adjustRightInd/>
      <w:snapToGrid/>
      <w:spacing w:before="60" w:after="60" w:line="400" w:lineRule="exact"/>
      <w:ind w:firstLine="484"/>
      <w:jc w:val="both"/>
      <w:outlineLvl w:val="9"/>
    </w:pPr>
    <w:rPr>
      <w:rFonts w:eastAsia="仿宋_GB2312"/>
      <w:b w:val="0"/>
      <w:sz w:val="24"/>
      <w:szCs w:val="28"/>
    </w:rPr>
  </w:style>
  <w:style w:type="character" w:customStyle="1" w:styleId="219">
    <w:name w:val="环评正文 Char Char"/>
    <w:link w:val="218"/>
    <w:qFormat/>
    <w:uiPriority w:val="0"/>
    <w:rPr>
      <w:rFonts w:eastAsia="仿宋_GB2312"/>
      <w:bCs/>
      <w:kern w:val="44"/>
      <w:sz w:val="24"/>
      <w:szCs w:val="28"/>
    </w:rPr>
  </w:style>
  <w:style w:type="paragraph" w:customStyle="1" w:styleId="220">
    <w:name w:val="2"/>
    <w:basedOn w:val="1"/>
    <w:next w:val="35"/>
    <w:qFormat/>
    <w:uiPriority w:val="0"/>
    <w:pPr>
      <w:spacing w:line="440" w:lineRule="exact"/>
      <w:ind w:left="902" w:firstLine="480" w:firstLineChars="200"/>
    </w:pPr>
    <w:rPr>
      <w:rFonts w:ascii="宋体" w:hAnsi="宋体"/>
      <w:sz w:val="24"/>
      <w:szCs w:val="20"/>
    </w:rPr>
  </w:style>
  <w:style w:type="paragraph" w:customStyle="1" w:styleId="221">
    <w:name w:val="xl26"/>
    <w:basedOn w:val="1"/>
    <w:link w:val="222"/>
    <w:qFormat/>
    <w:uiPriority w:val="0"/>
    <w:pPr>
      <w:widowControl/>
      <w:pBdr>
        <w:left w:val="single" w:color="auto" w:sz="4" w:space="0"/>
        <w:bottom w:val="single" w:color="auto" w:sz="4" w:space="0"/>
        <w:right w:val="single" w:color="auto" w:sz="4" w:space="0"/>
      </w:pBdr>
      <w:spacing w:before="100" w:after="100" w:line="560" w:lineRule="exact"/>
      <w:jc w:val="center"/>
      <w:textAlignment w:val="center"/>
    </w:pPr>
    <w:rPr>
      <w:kern w:val="0"/>
      <w:sz w:val="24"/>
    </w:rPr>
  </w:style>
  <w:style w:type="character" w:customStyle="1" w:styleId="222">
    <w:name w:val="xl26 Char"/>
    <w:link w:val="221"/>
    <w:qFormat/>
    <w:uiPriority w:val="0"/>
    <w:rPr>
      <w:sz w:val="24"/>
      <w:szCs w:val="24"/>
    </w:rPr>
  </w:style>
  <w:style w:type="paragraph" w:customStyle="1" w:styleId="223">
    <w:name w:val="表格"/>
    <w:basedOn w:val="1"/>
    <w:link w:val="224"/>
    <w:qFormat/>
    <w:uiPriority w:val="0"/>
    <w:pPr>
      <w:spacing w:line="360" w:lineRule="exact"/>
      <w:jc w:val="center"/>
      <w:textAlignment w:val="center"/>
    </w:pPr>
    <w:rPr>
      <w:szCs w:val="20"/>
    </w:rPr>
  </w:style>
  <w:style w:type="character" w:customStyle="1" w:styleId="224">
    <w:name w:val="表格 Char"/>
    <w:link w:val="223"/>
    <w:qFormat/>
    <w:uiPriority w:val="0"/>
    <w:rPr>
      <w:rFonts w:eastAsia="宋体"/>
      <w:kern w:val="2"/>
      <w:sz w:val="21"/>
      <w:lang w:val="en-US" w:eastAsia="zh-CN" w:bidi="ar-SA"/>
    </w:rPr>
  </w:style>
  <w:style w:type="paragraph" w:customStyle="1" w:styleId="225">
    <w:name w:val="表头"/>
    <w:basedOn w:val="1"/>
    <w:link w:val="226"/>
    <w:qFormat/>
    <w:uiPriority w:val="0"/>
    <w:pPr>
      <w:spacing w:beforeLines="50" w:afterLines="50" w:line="400" w:lineRule="exact"/>
      <w:jc w:val="center"/>
    </w:pPr>
    <w:rPr>
      <w:b/>
      <w:bCs/>
      <w:sz w:val="24"/>
    </w:rPr>
  </w:style>
  <w:style w:type="character" w:customStyle="1" w:styleId="226">
    <w:name w:val="表头 Char1"/>
    <w:link w:val="225"/>
    <w:qFormat/>
    <w:uiPriority w:val="0"/>
    <w:rPr>
      <w:rFonts w:eastAsia="宋体"/>
      <w:b/>
      <w:bCs/>
      <w:kern w:val="2"/>
      <w:sz w:val="24"/>
      <w:szCs w:val="24"/>
      <w:lang w:val="en-US" w:eastAsia="zh-CN" w:bidi="ar-SA"/>
    </w:rPr>
  </w:style>
  <w:style w:type="paragraph" w:customStyle="1" w:styleId="227">
    <w:name w:val="black12"/>
    <w:basedOn w:val="1"/>
    <w:qFormat/>
    <w:uiPriority w:val="0"/>
    <w:pPr>
      <w:widowControl/>
      <w:spacing w:before="100" w:beforeAutospacing="1" w:after="100" w:afterAutospacing="1" w:line="240" w:lineRule="atLeast"/>
      <w:jc w:val="left"/>
    </w:pPr>
    <w:rPr>
      <w:rFonts w:ascii="ˎ̥" w:hAnsi="ˎ̥" w:cs="宋体"/>
      <w:color w:val="333333"/>
      <w:kern w:val="0"/>
      <w:sz w:val="18"/>
      <w:szCs w:val="18"/>
    </w:rPr>
  </w:style>
  <w:style w:type="paragraph" w:customStyle="1" w:styleId="228">
    <w:name w:val="正文2"/>
    <w:basedOn w:val="1"/>
    <w:qFormat/>
    <w:uiPriority w:val="0"/>
    <w:pPr>
      <w:overflowPunct w:val="0"/>
      <w:topLinePunct/>
      <w:autoSpaceDE w:val="0"/>
      <w:autoSpaceDN w:val="0"/>
      <w:adjustRightInd w:val="0"/>
      <w:snapToGrid w:val="0"/>
      <w:spacing w:line="460" w:lineRule="exact"/>
      <w:ind w:firstLine="200" w:firstLineChars="200"/>
      <w:textAlignment w:val="baseline"/>
    </w:pPr>
    <w:rPr>
      <w:kern w:val="0"/>
      <w:sz w:val="24"/>
      <w:szCs w:val="20"/>
    </w:rPr>
  </w:style>
  <w:style w:type="paragraph" w:customStyle="1" w:styleId="229">
    <w:name w:val="样式1."/>
    <w:basedOn w:val="1"/>
    <w:qFormat/>
    <w:uiPriority w:val="0"/>
    <w:pPr>
      <w:adjustRightInd w:val="0"/>
      <w:snapToGrid w:val="0"/>
      <w:spacing w:line="460" w:lineRule="exact"/>
    </w:pPr>
    <w:rPr>
      <w:rFonts w:ascii="黑体" w:eastAsia="黑体"/>
      <w:b/>
      <w:sz w:val="30"/>
      <w:szCs w:val="20"/>
    </w:rPr>
  </w:style>
  <w:style w:type="paragraph" w:customStyle="1" w:styleId="230">
    <w:name w:val="三级标题"/>
    <w:basedOn w:val="1"/>
    <w:next w:val="1"/>
    <w:link w:val="231"/>
    <w:qFormat/>
    <w:uiPriority w:val="0"/>
    <w:pPr>
      <w:spacing w:beforeLines="50" w:afterLines="50" w:line="360" w:lineRule="exact"/>
      <w:jc w:val="center"/>
    </w:pPr>
    <w:rPr>
      <w:bCs/>
      <w:sz w:val="26"/>
      <w:szCs w:val="26"/>
    </w:rPr>
  </w:style>
  <w:style w:type="character" w:customStyle="1" w:styleId="231">
    <w:name w:val="三级标题 Char"/>
    <w:link w:val="230"/>
    <w:qFormat/>
    <w:uiPriority w:val="0"/>
    <w:rPr>
      <w:rFonts w:eastAsia="宋体"/>
      <w:bCs/>
      <w:kern w:val="2"/>
      <w:sz w:val="26"/>
      <w:szCs w:val="26"/>
      <w:lang w:val="en-US" w:eastAsia="zh-CN" w:bidi="ar-SA"/>
    </w:rPr>
  </w:style>
  <w:style w:type="paragraph" w:customStyle="1" w:styleId="232">
    <w:name w:val="环评"/>
    <w:basedOn w:val="1"/>
    <w:qFormat/>
    <w:uiPriority w:val="0"/>
    <w:pPr>
      <w:spacing w:before="60" w:after="60" w:line="360" w:lineRule="exact"/>
    </w:pPr>
    <w:rPr>
      <w:rFonts w:eastAsia="仿宋_GB2312"/>
      <w:bCs/>
      <w:sz w:val="24"/>
    </w:rPr>
  </w:style>
  <w:style w:type="paragraph" w:customStyle="1" w:styleId="233">
    <w:name w:val="正文3"/>
    <w:link w:val="234"/>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234">
    <w:name w:val="正文3 Char1"/>
    <w:link w:val="233"/>
    <w:qFormat/>
    <w:uiPriority w:val="0"/>
    <w:rPr>
      <w:rFonts w:ascii="宋体"/>
      <w:sz w:val="34"/>
    </w:rPr>
  </w:style>
  <w:style w:type="paragraph" w:customStyle="1" w:styleId="235">
    <w:name w:val="正1"/>
    <w:basedOn w:val="1"/>
    <w:qFormat/>
    <w:uiPriority w:val="0"/>
    <w:pPr>
      <w:spacing w:before="60" w:after="60" w:line="400" w:lineRule="exact"/>
      <w:ind w:right="32" w:firstLine="612"/>
    </w:pPr>
    <w:rPr>
      <w:rFonts w:ascii="宋体"/>
      <w:sz w:val="28"/>
      <w:szCs w:val="20"/>
    </w:rPr>
  </w:style>
  <w:style w:type="paragraph" w:customStyle="1" w:styleId="236">
    <w:name w:val="样式3"/>
    <w:basedOn w:val="1"/>
    <w:link w:val="237"/>
    <w:qFormat/>
    <w:uiPriority w:val="0"/>
    <w:rPr>
      <w:b/>
      <w:sz w:val="28"/>
      <w:szCs w:val="20"/>
    </w:rPr>
  </w:style>
  <w:style w:type="character" w:customStyle="1" w:styleId="237">
    <w:name w:val="样式3 Char"/>
    <w:link w:val="236"/>
    <w:qFormat/>
    <w:uiPriority w:val="0"/>
    <w:rPr>
      <w:b/>
      <w:kern w:val="2"/>
      <w:sz w:val="28"/>
    </w:rPr>
  </w:style>
  <w:style w:type="paragraph" w:customStyle="1" w:styleId="238">
    <w:name w:val="一级标题"/>
    <w:next w:val="1"/>
    <w:qFormat/>
    <w:uiPriority w:val="0"/>
    <w:pPr>
      <w:spacing w:beforeLines="50" w:afterLines="50" w:line="360" w:lineRule="exact"/>
      <w:jc w:val="center"/>
    </w:pPr>
    <w:rPr>
      <w:rFonts w:ascii="Times New Roman" w:hAnsi="Times New Roman" w:eastAsia="仿宋_GB2312" w:cs="Times New Roman"/>
      <w:b/>
      <w:bCs/>
      <w:sz w:val="32"/>
      <w:lang w:val="en-US" w:eastAsia="zh-CN" w:bidi="ar-SA"/>
    </w:rPr>
  </w:style>
  <w:style w:type="paragraph" w:customStyle="1" w:styleId="239">
    <w:name w:val="二级标题"/>
    <w:basedOn w:val="238"/>
    <w:next w:val="1"/>
    <w:qFormat/>
    <w:uiPriority w:val="0"/>
    <w:pPr>
      <w:jc w:val="both"/>
    </w:pPr>
    <w:rPr>
      <w:sz w:val="30"/>
    </w:rPr>
  </w:style>
  <w:style w:type="paragraph" w:customStyle="1" w:styleId="240">
    <w:name w:val="样式 表文 + 首行缩进:  2 字符"/>
    <w:basedOn w:val="1"/>
    <w:qFormat/>
    <w:uiPriority w:val="0"/>
    <w:pPr>
      <w:overflowPunct w:val="0"/>
      <w:jc w:val="center"/>
      <w:textAlignment w:val="baseline"/>
    </w:pPr>
    <w:rPr>
      <w:color w:val="000000"/>
      <w:szCs w:val="20"/>
    </w:rPr>
  </w:style>
  <w:style w:type="paragraph" w:customStyle="1" w:styleId="241">
    <w:name w:val="样式 表名 + 首行缩进:  0.74 厘米"/>
    <w:basedOn w:val="1"/>
    <w:qFormat/>
    <w:uiPriority w:val="0"/>
    <w:pPr>
      <w:overflowPunct w:val="0"/>
      <w:spacing w:line="360" w:lineRule="auto"/>
      <w:jc w:val="center"/>
      <w:textAlignment w:val="baseline"/>
    </w:pPr>
    <w:rPr>
      <w:rFonts w:ascii="Arial" w:hAnsi="Arial" w:eastAsia="黑体"/>
      <w:color w:val="000000"/>
      <w:szCs w:val="20"/>
    </w:rPr>
  </w:style>
  <w:style w:type="paragraph" w:customStyle="1" w:styleId="242">
    <w:name w:val="标题1"/>
    <w:basedOn w:val="238"/>
    <w:qFormat/>
    <w:uiPriority w:val="0"/>
  </w:style>
  <w:style w:type="paragraph" w:customStyle="1" w:styleId="243">
    <w:name w:val="册除格式 Char Char"/>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244">
    <w:name w:val="表"/>
    <w:basedOn w:val="34"/>
    <w:link w:val="245"/>
    <w:qFormat/>
    <w:uiPriority w:val="0"/>
    <w:pPr>
      <w:adjustRightInd w:val="0"/>
      <w:snapToGrid w:val="0"/>
      <w:spacing w:after="0" w:line="400" w:lineRule="exact"/>
      <w:jc w:val="center"/>
    </w:pPr>
    <w:rPr>
      <w:rFonts w:eastAsia="仿宋_GB2312"/>
      <w:sz w:val="24"/>
    </w:rPr>
  </w:style>
  <w:style w:type="character" w:customStyle="1" w:styleId="245">
    <w:name w:val="表 Char"/>
    <w:link w:val="244"/>
    <w:qFormat/>
    <w:uiPriority w:val="0"/>
    <w:rPr>
      <w:rFonts w:eastAsia="仿宋_GB2312"/>
      <w:kern w:val="2"/>
      <w:sz w:val="24"/>
      <w:szCs w:val="24"/>
    </w:rPr>
  </w:style>
  <w:style w:type="paragraph" w:customStyle="1" w:styleId="246">
    <w:name w:val="环评标题二级"/>
    <w:basedOn w:val="3"/>
    <w:qFormat/>
    <w:uiPriority w:val="0"/>
    <w:pPr>
      <w:keepNext/>
      <w:keepLines/>
      <w:adjustRightInd/>
      <w:snapToGrid/>
      <w:spacing w:beforeLines="50" w:afterLines="50" w:line="360" w:lineRule="exact"/>
      <w:jc w:val="left"/>
    </w:pPr>
    <w:rPr>
      <w:sz w:val="30"/>
      <w:szCs w:val="44"/>
    </w:rPr>
  </w:style>
  <w:style w:type="paragraph" w:customStyle="1" w:styleId="247">
    <w:name w:val="文本框"/>
    <w:basedOn w:val="1"/>
    <w:qFormat/>
    <w:uiPriority w:val="0"/>
    <w:pPr>
      <w:adjustRightInd w:val="0"/>
      <w:snapToGrid w:val="0"/>
      <w:spacing w:after="6"/>
      <w:jc w:val="center"/>
    </w:pPr>
    <w:rPr>
      <w:rFonts w:eastAsia="仿宋_GB2312"/>
    </w:rPr>
  </w:style>
  <w:style w:type="paragraph" w:customStyle="1" w:styleId="248">
    <w:name w:val="环评标题一级"/>
    <w:basedOn w:val="3"/>
    <w:qFormat/>
    <w:uiPriority w:val="0"/>
    <w:pPr>
      <w:keepNext/>
      <w:keepLines/>
      <w:adjustRightInd/>
      <w:snapToGrid/>
      <w:spacing w:beforeLines="50" w:afterLines="50" w:line="360" w:lineRule="exact"/>
    </w:pPr>
    <w:rPr>
      <w:szCs w:val="44"/>
    </w:rPr>
  </w:style>
  <w:style w:type="paragraph" w:customStyle="1" w:styleId="249">
    <w:name w:val="环评标题三级"/>
    <w:basedOn w:val="4"/>
    <w:qFormat/>
    <w:uiPriority w:val="0"/>
    <w:pPr>
      <w:spacing w:before="0" w:beforeLines="50" w:after="0" w:afterLines="50" w:line="360" w:lineRule="exact"/>
      <w:jc w:val="left"/>
      <w:outlineLvl w:val="2"/>
    </w:pPr>
    <w:rPr>
      <w:rFonts w:ascii="Times New Roman" w:hAnsi="Times New Roman" w:eastAsia="宋体"/>
      <w:sz w:val="28"/>
    </w:rPr>
  </w:style>
  <w:style w:type="paragraph" w:customStyle="1" w:styleId="250">
    <w:name w:val="表中文字"/>
    <w:basedOn w:val="218"/>
    <w:qFormat/>
    <w:uiPriority w:val="0"/>
    <w:pPr>
      <w:keepNext/>
      <w:keepLines/>
      <w:spacing w:before="0" w:after="0" w:line="360" w:lineRule="exact"/>
      <w:ind w:firstLine="0"/>
      <w:jc w:val="center"/>
    </w:pPr>
    <w:rPr>
      <w:sz w:val="21"/>
      <w:szCs w:val="44"/>
    </w:rPr>
  </w:style>
  <w:style w:type="paragraph" w:customStyle="1" w:styleId="251">
    <w:name w:val="表下注释"/>
    <w:basedOn w:val="218"/>
    <w:qFormat/>
    <w:uiPriority w:val="0"/>
    <w:pPr>
      <w:keepNext/>
      <w:keepLines/>
      <w:spacing w:line="240" w:lineRule="exact"/>
      <w:ind w:firstLine="200"/>
      <w:jc w:val="center"/>
    </w:pPr>
    <w:rPr>
      <w:sz w:val="21"/>
      <w:szCs w:val="44"/>
    </w:rPr>
  </w:style>
  <w:style w:type="paragraph" w:customStyle="1" w:styleId="252">
    <w:name w:val="文本框内文字"/>
    <w:basedOn w:val="1"/>
    <w:qFormat/>
    <w:uiPriority w:val="0"/>
    <w:pPr>
      <w:spacing w:line="240" w:lineRule="exact"/>
      <w:ind w:left="-120" w:leftChars="-50" w:right="-120" w:rightChars="-50"/>
      <w:jc w:val="center"/>
    </w:pPr>
    <w:rPr>
      <w:rFonts w:ascii="仿宋_GB2312" w:eastAsia="仿宋_GB2312"/>
      <w:sz w:val="24"/>
    </w:rPr>
  </w:style>
  <w:style w:type="paragraph" w:customStyle="1" w:styleId="253">
    <w:name w:val="td1"/>
    <w:basedOn w:val="1"/>
    <w:qFormat/>
    <w:uiPriority w:val="0"/>
    <w:pPr>
      <w:widowControl/>
      <w:spacing w:before="100" w:beforeAutospacing="1" w:after="100" w:afterAutospacing="1" w:line="300" w:lineRule="atLeast"/>
      <w:jc w:val="left"/>
    </w:pPr>
    <w:rPr>
      <w:color w:val="000000"/>
      <w:kern w:val="0"/>
      <w:sz w:val="18"/>
      <w:szCs w:val="18"/>
    </w:rPr>
  </w:style>
  <w:style w:type="paragraph" w:customStyle="1" w:styleId="254">
    <w:name w:val="font7"/>
    <w:basedOn w:val="1"/>
    <w:qFormat/>
    <w:uiPriority w:val="0"/>
    <w:pPr>
      <w:widowControl/>
      <w:spacing w:before="100" w:beforeAutospacing="1" w:after="100" w:afterAutospacing="1"/>
      <w:jc w:val="left"/>
    </w:pPr>
    <w:rPr>
      <w:color w:val="FF0000"/>
      <w:kern w:val="0"/>
      <w:szCs w:val="21"/>
    </w:rPr>
  </w:style>
  <w:style w:type="paragraph" w:customStyle="1" w:styleId="255">
    <w:name w:val="xl22"/>
    <w:basedOn w:val="1"/>
    <w:qFormat/>
    <w:uiPriority w:val="0"/>
    <w:pPr>
      <w:widowControl/>
      <w:spacing w:before="100" w:beforeAutospacing="1" w:after="100" w:afterAutospacing="1"/>
      <w:jc w:val="center"/>
    </w:pPr>
    <w:rPr>
      <w:rFonts w:ascii="宋体" w:hAnsi="宋体"/>
      <w:kern w:val="0"/>
      <w:sz w:val="24"/>
    </w:rPr>
  </w:style>
  <w:style w:type="paragraph" w:customStyle="1" w:styleId="256">
    <w:name w:val="xl23"/>
    <w:basedOn w:val="1"/>
    <w:qFormat/>
    <w:uiPriority w:val="0"/>
    <w:pPr>
      <w:widowControl/>
      <w:spacing w:before="100" w:beforeAutospacing="1" w:after="100" w:afterAutospacing="1"/>
      <w:jc w:val="center"/>
    </w:pPr>
    <w:rPr>
      <w:rFonts w:ascii="宋体" w:hAnsi="宋体"/>
      <w:kern w:val="0"/>
      <w:sz w:val="20"/>
      <w:szCs w:val="20"/>
    </w:rPr>
  </w:style>
  <w:style w:type="paragraph" w:customStyle="1" w:styleId="257">
    <w:name w:val="xl28"/>
    <w:basedOn w:val="1"/>
    <w:qFormat/>
    <w:uiPriority w:val="0"/>
    <w:pPr>
      <w:widowControl/>
      <w:spacing w:before="100" w:beforeAutospacing="1" w:after="100" w:afterAutospacing="1"/>
      <w:jc w:val="center"/>
    </w:pPr>
    <w:rPr>
      <w:kern w:val="0"/>
      <w:sz w:val="20"/>
      <w:szCs w:val="20"/>
    </w:rPr>
  </w:style>
  <w:style w:type="paragraph" w:customStyle="1" w:styleId="258">
    <w:name w:val="样式 宋体 四号 行距: 1.5 倍行距"/>
    <w:basedOn w:val="1"/>
    <w:link w:val="259"/>
    <w:qFormat/>
    <w:uiPriority w:val="0"/>
    <w:pPr>
      <w:spacing w:afterLines="50" w:line="360" w:lineRule="auto"/>
      <w:ind w:firstLine="560" w:firstLineChars="200"/>
    </w:pPr>
    <w:rPr>
      <w:rFonts w:ascii="宋体" w:hAnsi="宋体" w:cs="宋体"/>
      <w:sz w:val="28"/>
      <w:szCs w:val="20"/>
    </w:rPr>
  </w:style>
  <w:style w:type="character" w:customStyle="1" w:styleId="259">
    <w:name w:val="样式 宋体 四号 行距: 1.5 倍行距 Char"/>
    <w:link w:val="258"/>
    <w:qFormat/>
    <w:uiPriority w:val="0"/>
    <w:rPr>
      <w:rFonts w:ascii="宋体" w:hAnsi="宋体" w:eastAsia="宋体" w:cs="宋体"/>
      <w:kern w:val="2"/>
      <w:sz w:val="28"/>
      <w:lang w:val="en-US" w:eastAsia="zh-CN" w:bidi="ar-SA"/>
    </w:rPr>
  </w:style>
  <w:style w:type="character" w:customStyle="1" w:styleId="260">
    <w:name w:val="正文四号 Char"/>
    <w:qFormat/>
    <w:uiPriority w:val="0"/>
    <w:rPr>
      <w:rFonts w:eastAsia="宋体" w:cs="宋体"/>
      <w:kern w:val="2"/>
      <w:sz w:val="24"/>
      <w:szCs w:val="24"/>
      <w:lang w:val="en-US" w:eastAsia="zh-CN" w:bidi="ar-SA"/>
    </w:rPr>
  </w:style>
  <w:style w:type="paragraph" w:customStyle="1" w:styleId="261">
    <w:name w:val="样式 左"/>
    <w:basedOn w:val="1"/>
    <w:link w:val="262"/>
    <w:qFormat/>
    <w:uiPriority w:val="0"/>
    <w:pPr>
      <w:ind w:firstLine="420" w:firstLineChars="200"/>
      <w:jc w:val="left"/>
    </w:pPr>
    <w:rPr>
      <w:rFonts w:cs="宋体"/>
      <w:szCs w:val="20"/>
    </w:rPr>
  </w:style>
  <w:style w:type="character" w:customStyle="1" w:styleId="262">
    <w:name w:val="样式 左 Char"/>
    <w:link w:val="261"/>
    <w:qFormat/>
    <w:uiPriority w:val="0"/>
    <w:rPr>
      <w:rFonts w:eastAsia="宋体" w:cs="宋体"/>
      <w:kern w:val="2"/>
      <w:sz w:val="21"/>
      <w:lang w:val="en-US" w:eastAsia="zh-CN" w:bidi="ar-SA"/>
    </w:rPr>
  </w:style>
  <w:style w:type="paragraph" w:customStyle="1" w:styleId="263">
    <w:name w:val="段落"/>
    <w:basedOn w:val="1"/>
    <w:qFormat/>
    <w:uiPriority w:val="0"/>
    <w:pPr>
      <w:tabs>
        <w:tab w:val="left" w:pos="1021"/>
      </w:tabs>
      <w:adjustRightInd w:val="0"/>
      <w:spacing w:line="460" w:lineRule="exact"/>
      <w:ind w:firstLine="520" w:firstLineChars="200"/>
    </w:pPr>
    <w:rPr>
      <w:rFonts w:hAnsi="宋体"/>
      <w:kern w:val="24"/>
      <w:sz w:val="26"/>
      <w:szCs w:val="26"/>
    </w:rPr>
  </w:style>
  <w:style w:type="paragraph" w:customStyle="1" w:styleId="264">
    <w:name w:val="表尾"/>
    <w:basedOn w:val="1"/>
    <w:qFormat/>
    <w:uiPriority w:val="0"/>
    <w:pPr>
      <w:tabs>
        <w:tab w:val="left" w:pos="1021"/>
      </w:tabs>
      <w:spacing w:line="160" w:lineRule="exact"/>
    </w:pPr>
    <w:rPr>
      <w:sz w:val="10"/>
      <w:szCs w:val="20"/>
    </w:rPr>
  </w:style>
  <w:style w:type="paragraph" w:customStyle="1" w:styleId="265">
    <w:name w:val="责任表文"/>
    <w:basedOn w:val="1"/>
    <w:qFormat/>
    <w:uiPriority w:val="0"/>
    <w:pPr>
      <w:adjustRightInd w:val="0"/>
      <w:jc w:val="center"/>
      <w:textAlignment w:val="baseline"/>
    </w:pPr>
    <w:rPr>
      <w:rFonts w:ascii="隶书" w:eastAsia="隶书"/>
      <w:b/>
      <w:snapToGrid w:val="0"/>
      <w:kern w:val="24"/>
      <w:sz w:val="36"/>
      <w:szCs w:val="20"/>
    </w:rPr>
  </w:style>
  <w:style w:type="paragraph" w:customStyle="1" w:styleId="266">
    <w:name w:val="封面"/>
    <w:basedOn w:val="3"/>
    <w:qFormat/>
    <w:uiPriority w:val="0"/>
    <w:pPr>
      <w:keepNext/>
      <w:keepLines/>
      <w:snapToGrid/>
      <w:spacing w:before="240" w:after="240" w:line="240" w:lineRule="auto"/>
      <w:textAlignment w:val="baseline"/>
    </w:pPr>
    <w:rPr>
      <w:rFonts w:eastAsia="黑体"/>
      <w:bCs w:val="0"/>
      <w:snapToGrid w:val="0"/>
      <w:sz w:val="52"/>
      <w:szCs w:val="20"/>
    </w:rPr>
  </w:style>
  <w:style w:type="paragraph" w:customStyle="1" w:styleId="267">
    <w:name w:val="流程图"/>
    <w:basedOn w:val="1"/>
    <w:qFormat/>
    <w:uiPriority w:val="0"/>
    <w:pPr>
      <w:adjustRightInd w:val="0"/>
      <w:spacing w:after="60"/>
      <w:ind w:firstLine="200" w:firstLineChars="200"/>
      <w:jc w:val="center"/>
      <w:textAlignment w:val="baseline"/>
    </w:pPr>
    <w:rPr>
      <w:rFonts w:ascii="宋体" w:hAnsi="Bookman Old Style"/>
      <w:spacing w:val="5"/>
      <w:kern w:val="44"/>
      <w:position w:val="-10"/>
      <w:szCs w:val="20"/>
    </w:rPr>
  </w:style>
  <w:style w:type="paragraph" w:customStyle="1" w:styleId="268">
    <w:name w:val="表格3"/>
    <w:basedOn w:val="40"/>
    <w:qFormat/>
    <w:uiPriority w:val="0"/>
    <w:pPr>
      <w:adjustRightInd w:val="0"/>
      <w:ind w:left="0" w:firstLine="0"/>
      <w:jc w:val="center"/>
      <w:textAlignment w:val="baseline"/>
    </w:pPr>
    <w:rPr>
      <w:color w:val="000000"/>
      <w:kern w:val="0"/>
      <w:szCs w:val="22"/>
    </w:rPr>
  </w:style>
  <w:style w:type="character" w:customStyle="1" w:styleId="269">
    <w:name w:val="要点1"/>
    <w:qFormat/>
    <w:uiPriority w:val="0"/>
    <w:rPr>
      <w:rFonts w:ascii="宋体" w:hAnsi="宋体" w:eastAsia="宋体"/>
      <w:b/>
    </w:rPr>
  </w:style>
  <w:style w:type="paragraph" w:customStyle="1" w:styleId="270">
    <w:name w:val="表格文字1"/>
    <w:basedOn w:val="1"/>
    <w:link w:val="271"/>
    <w:qFormat/>
    <w:uiPriority w:val="0"/>
    <w:pPr>
      <w:adjustRightInd w:val="0"/>
      <w:spacing w:before="120"/>
      <w:ind w:left="-108" w:right="-28" w:firstLine="108"/>
      <w:textAlignment w:val="baseline"/>
    </w:pPr>
    <w:rPr>
      <w:kern w:val="0"/>
      <w:szCs w:val="20"/>
    </w:rPr>
  </w:style>
  <w:style w:type="character" w:customStyle="1" w:styleId="271">
    <w:name w:val="表格文字1 Char Char"/>
    <w:link w:val="270"/>
    <w:qFormat/>
    <w:uiPriority w:val="0"/>
    <w:rPr>
      <w:sz w:val="21"/>
    </w:rPr>
  </w:style>
  <w:style w:type="character" w:customStyle="1" w:styleId="272">
    <w:name w:val="t_tag"/>
    <w:qFormat/>
    <w:uiPriority w:val="0"/>
  </w:style>
  <w:style w:type="paragraph" w:customStyle="1" w:styleId="273">
    <w:name w:val="Char Char Char Char Char Char Char Char Char1"/>
    <w:basedOn w:val="1"/>
    <w:qFormat/>
    <w:uiPriority w:val="0"/>
    <w:rPr>
      <w:sz w:val="24"/>
    </w:rPr>
  </w:style>
  <w:style w:type="paragraph" w:customStyle="1" w:styleId="274">
    <w:name w:val="Char"/>
    <w:basedOn w:val="1"/>
    <w:qFormat/>
    <w:uiPriority w:val="0"/>
    <w:pPr>
      <w:spacing w:line="360" w:lineRule="auto"/>
    </w:pPr>
    <w:rPr>
      <w:rFonts w:ascii="仿宋_GB2312" w:hAnsi="Tahoma" w:eastAsia="仿宋_GB2312"/>
      <w:szCs w:val="21"/>
    </w:rPr>
  </w:style>
  <w:style w:type="paragraph" w:customStyle="1" w:styleId="275">
    <w:name w:val="Char Char Char Char"/>
    <w:basedOn w:val="1"/>
    <w:qFormat/>
    <w:uiPriority w:val="0"/>
  </w:style>
  <w:style w:type="paragraph" w:customStyle="1" w:styleId="276">
    <w:name w:val="Char Char Char1 Char Char Char Char Char Char Char Char Char Char Char Char Char"/>
    <w:basedOn w:val="6"/>
    <w:qFormat/>
    <w:uiPriority w:val="0"/>
    <w:pPr>
      <w:widowControl/>
      <w:spacing w:before="120" w:after="120" w:line="360" w:lineRule="auto"/>
      <w:jc w:val="left"/>
    </w:pPr>
    <w:rPr>
      <w:rFonts w:ascii="Times New Roman" w:hAnsi="Times New Roman" w:eastAsia="仿宋_GB2312" w:cs="宋体"/>
      <w:b w:val="0"/>
      <w:kern w:val="0"/>
    </w:rPr>
  </w:style>
  <w:style w:type="paragraph" w:customStyle="1" w:styleId="277">
    <w:name w:val="正文（首行缩进两字）"/>
    <w:basedOn w:val="1"/>
    <w:qFormat/>
    <w:uiPriority w:val="0"/>
    <w:pPr>
      <w:spacing w:line="360" w:lineRule="auto"/>
      <w:ind w:firstLine="573"/>
    </w:pPr>
    <w:rPr>
      <w:sz w:val="28"/>
      <w:szCs w:val="28"/>
    </w:rPr>
  </w:style>
  <w:style w:type="paragraph" w:customStyle="1" w:styleId="278">
    <w:name w:val="（一）"/>
    <w:basedOn w:val="1"/>
    <w:qFormat/>
    <w:uiPriority w:val="0"/>
    <w:pPr>
      <w:adjustRightInd w:val="0"/>
      <w:snapToGrid w:val="0"/>
      <w:spacing w:line="460" w:lineRule="exact"/>
      <w:ind w:left="23" w:leftChars="-32" w:right="29" w:rightChars="14" w:hanging="90"/>
    </w:pPr>
    <w:rPr>
      <w:bCs/>
      <w:kern w:val="0"/>
      <w:sz w:val="26"/>
      <w:szCs w:val="26"/>
    </w:rPr>
  </w:style>
  <w:style w:type="paragraph" w:customStyle="1" w:styleId="279">
    <w:name w:val="表5"/>
    <w:basedOn w:val="1"/>
    <w:qFormat/>
    <w:uiPriority w:val="0"/>
    <w:pPr>
      <w:spacing w:line="0" w:lineRule="atLeast"/>
      <w:jc w:val="right"/>
    </w:pPr>
  </w:style>
  <w:style w:type="paragraph" w:customStyle="1" w:styleId="280">
    <w:name w:val="小表文居中"/>
    <w:basedOn w:val="1"/>
    <w:qFormat/>
    <w:uiPriority w:val="0"/>
    <w:pPr>
      <w:autoSpaceDE w:val="0"/>
      <w:autoSpaceDN w:val="0"/>
      <w:adjustRightInd w:val="0"/>
      <w:spacing w:before="20"/>
      <w:jc w:val="center"/>
      <w:textAlignment w:val="baseline"/>
    </w:pPr>
    <w:rPr>
      <w:kern w:val="0"/>
      <w:sz w:val="18"/>
      <w:szCs w:val="20"/>
    </w:rPr>
  </w:style>
  <w:style w:type="paragraph" w:customStyle="1" w:styleId="281">
    <w:name w:val="表样"/>
    <w:basedOn w:val="1"/>
    <w:qFormat/>
    <w:uiPriority w:val="0"/>
    <w:pPr>
      <w:adjustRightInd w:val="0"/>
      <w:snapToGrid w:val="0"/>
      <w:spacing w:line="360" w:lineRule="auto"/>
      <w:jc w:val="center"/>
      <w:textAlignment w:val="baseline"/>
    </w:pPr>
    <w:rPr>
      <w:kern w:val="0"/>
      <w:szCs w:val="21"/>
    </w:rPr>
  </w:style>
  <w:style w:type="paragraph" w:customStyle="1" w:styleId="282">
    <w:name w:val="xl33"/>
    <w:basedOn w:val="1"/>
    <w:qFormat/>
    <w:uiPriority w:val="0"/>
    <w:pPr>
      <w:widowControl/>
      <w:pBdr>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FF0000"/>
      <w:kern w:val="0"/>
      <w:szCs w:val="21"/>
    </w:rPr>
  </w:style>
  <w:style w:type="paragraph" w:customStyle="1" w:styleId="283">
    <w:name w:val="表头[BT]"/>
    <w:basedOn w:val="1"/>
    <w:qFormat/>
    <w:uiPriority w:val="0"/>
    <w:pPr>
      <w:adjustRightInd w:val="0"/>
      <w:spacing w:before="120" w:after="120"/>
      <w:jc w:val="center"/>
      <w:textAlignment w:val="baseline"/>
    </w:pPr>
    <w:rPr>
      <w:rFonts w:ascii="仿宋_GB2312" w:eastAsia="仿宋_GB2312"/>
      <w:kern w:val="0"/>
      <w:szCs w:val="20"/>
    </w:rPr>
  </w:style>
  <w:style w:type="paragraph" w:customStyle="1" w:styleId="284">
    <w:name w:val="xl47"/>
    <w:basedOn w:val="1"/>
    <w:qFormat/>
    <w:uiPriority w:val="0"/>
    <w:pPr>
      <w:widowControl/>
      <w:spacing w:before="100" w:beforeAutospacing="1" w:after="100" w:afterAutospacing="1"/>
      <w:jc w:val="center"/>
    </w:pPr>
    <w:rPr>
      <w:rFonts w:hint="eastAsia" w:ascii="黑体" w:hAnsi="Arial Unicode MS" w:eastAsia="黑体" w:cs="Arial Unicode MS"/>
      <w:kern w:val="0"/>
      <w:sz w:val="24"/>
    </w:rPr>
  </w:style>
  <w:style w:type="paragraph" w:customStyle="1" w:styleId="285">
    <w:name w:val="标准样式"/>
    <w:link w:val="286"/>
    <w:qFormat/>
    <w:uiPriority w:val="0"/>
    <w:pPr>
      <w:widowControl w:val="0"/>
      <w:spacing w:line="500" w:lineRule="exact"/>
      <w:ind w:firstLine="200" w:firstLineChars="200"/>
      <w:jc w:val="both"/>
    </w:pPr>
    <w:rPr>
      <w:rFonts w:ascii="Times New Roman" w:hAnsi="Times New Roman" w:eastAsia="宋体" w:cs="Times New Roman"/>
      <w:sz w:val="24"/>
      <w:lang w:val="en-US" w:eastAsia="zh-CN" w:bidi="ar-SA"/>
    </w:rPr>
  </w:style>
  <w:style w:type="character" w:customStyle="1" w:styleId="286">
    <w:name w:val="标准样式 Char"/>
    <w:link w:val="285"/>
    <w:qFormat/>
    <w:uiPriority w:val="0"/>
    <w:rPr>
      <w:sz w:val="24"/>
      <w:lang w:val="en-US" w:eastAsia="zh-CN" w:bidi="ar-SA"/>
    </w:rPr>
  </w:style>
  <w:style w:type="paragraph" w:customStyle="1" w:styleId="287">
    <w:name w:val="正文文字"/>
    <w:basedOn w:val="1"/>
    <w:qFormat/>
    <w:uiPriority w:val="0"/>
    <w:rPr>
      <w:sz w:val="28"/>
      <w:szCs w:val="28"/>
    </w:rPr>
  </w:style>
  <w:style w:type="paragraph" w:customStyle="1" w:styleId="288">
    <w:name w:val="xl53"/>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Arial Unicode MS" w:hAnsi="Arial Unicode MS" w:eastAsia="Arial Unicode MS"/>
      <w:color w:val="000000"/>
      <w:kern w:val="0"/>
      <w:sz w:val="20"/>
      <w:szCs w:val="20"/>
    </w:rPr>
  </w:style>
  <w:style w:type="character" w:customStyle="1" w:styleId="289">
    <w:name w:val="style11"/>
    <w:qFormat/>
    <w:uiPriority w:val="0"/>
  </w:style>
  <w:style w:type="paragraph" w:customStyle="1" w:styleId="290">
    <w:name w:val="报告书正文"/>
    <w:basedOn w:val="1"/>
    <w:qFormat/>
    <w:uiPriority w:val="0"/>
    <w:pPr>
      <w:adjustRightInd w:val="0"/>
      <w:spacing w:line="460" w:lineRule="exact"/>
      <w:ind w:firstLine="520" w:firstLineChars="200"/>
    </w:pPr>
    <w:rPr>
      <w:snapToGrid w:val="0"/>
      <w:kern w:val="0"/>
      <w:sz w:val="26"/>
      <w:szCs w:val="26"/>
    </w:rPr>
  </w:style>
  <w:style w:type="paragraph" w:customStyle="1" w:styleId="291">
    <w:name w:val="font10"/>
    <w:basedOn w:val="1"/>
    <w:qFormat/>
    <w:uiPriority w:val="0"/>
    <w:pPr>
      <w:widowControl/>
      <w:spacing w:before="100" w:beforeAutospacing="1" w:after="100" w:afterAutospacing="1"/>
      <w:jc w:val="left"/>
    </w:pPr>
    <w:rPr>
      <w:rFonts w:hint="eastAsia" w:ascii="宋体" w:hAnsi="宋体" w:cs="Arial Unicode MS"/>
      <w:b/>
      <w:bCs/>
      <w:color w:val="000000"/>
      <w:kern w:val="0"/>
      <w:szCs w:val="21"/>
    </w:rPr>
  </w:style>
  <w:style w:type="paragraph" w:customStyle="1" w:styleId="292">
    <w:name w:val="xl51"/>
    <w:basedOn w:val="1"/>
    <w:qFormat/>
    <w:uiPriority w:val="0"/>
    <w:pPr>
      <w:widowControl/>
      <w:spacing w:before="100" w:beforeAutospacing="1" w:after="100" w:afterAutospacing="1"/>
      <w:jc w:val="center"/>
    </w:pPr>
    <w:rPr>
      <w:rFonts w:ascii="Arial Unicode MS" w:hAnsi="Arial Unicode MS" w:eastAsia="Arial Unicode MS"/>
      <w:kern w:val="0"/>
      <w:sz w:val="28"/>
      <w:szCs w:val="28"/>
    </w:rPr>
  </w:style>
  <w:style w:type="paragraph" w:customStyle="1" w:styleId="293">
    <w:name w:val="Char3"/>
    <w:basedOn w:val="1"/>
    <w:qFormat/>
    <w:uiPriority w:val="0"/>
    <w:pPr>
      <w:spacing w:line="360" w:lineRule="auto"/>
      <w:ind w:firstLine="200" w:firstLineChars="200"/>
    </w:pPr>
    <w:rPr>
      <w:rFonts w:ascii="ˎ̥" w:hAnsi="ˎ̥" w:cs="ˎ̥"/>
      <w:sz w:val="24"/>
      <w:szCs w:val="26"/>
    </w:rPr>
  </w:style>
  <w:style w:type="character" w:customStyle="1" w:styleId="294">
    <w:name w:val="章 Char Char"/>
    <w:qFormat/>
    <w:uiPriority w:val="0"/>
    <w:rPr>
      <w:rFonts w:eastAsia="宋体"/>
      <w:b/>
      <w:bCs/>
      <w:kern w:val="44"/>
      <w:sz w:val="32"/>
      <w:szCs w:val="32"/>
      <w:lang w:val="en-US" w:eastAsia="zh-CN" w:bidi="ar-SA"/>
    </w:rPr>
  </w:style>
  <w:style w:type="character" w:customStyle="1" w:styleId="295">
    <w:name w:val="节 Char Char"/>
    <w:qFormat/>
    <w:uiPriority w:val="0"/>
    <w:rPr>
      <w:rFonts w:ascii="Arial" w:hAnsi="Arial" w:eastAsia="Courier New"/>
      <w:b/>
      <w:bCs/>
      <w:kern w:val="2"/>
      <w:sz w:val="32"/>
      <w:szCs w:val="32"/>
    </w:rPr>
  </w:style>
  <w:style w:type="character" w:customStyle="1" w:styleId="296">
    <w:name w:val="123YJ Char Char"/>
    <w:qFormat/>
    <w:uiPriority w:val="0"/>
    <w:rPr>
      <w:kern w:val="2"/>
      <w:sz w:val="18"/>
      <w:szCs w:val="18"/>
    </w:rPr>
  </w:style>
  <w:style w:type="paragraph" w:customStyle="1" w:styleId="297">
    <w:name w:val="标题11"/>
    <w:basedOn w:val="1"/>
    <w:qFormat/>
    <w:uiPriority w:val="0"/>
    <w:pPr>
      <w:adjustRightInd w:val="0"/>
      <w:snapToGrid w:val="0"/>
      <w:spacing w:before="50" w:beforeLines="50" w:after="50" w:afterLines="50" w:line="360" w:lineRule="auto"/>
      <w:jc w:val="left"/>
      <w:outlineLvl w:val="0"/>
    </w:pPr>
    <w:rPr>
      <w:b/>
      <w:sz w:val="36"/>
      <w:szCs w:val="36"/>
    </w:rPr>
  </w:style>
  <w:style w:type="paragraph" w:customStyle="1" w:styleId="298">
    <w:name w:val="样式 标题 1 + 段后: 7.8 磅"/>
    <w:basedOn w:val="3"/>
    <w:qFormat/>
    <w:uiPriority w:val="0"/>
    <w:pPr>
      <w:keepNext/>
      <w:keepLines/>
      <w:spacing w:before="120" w:line="360" w:lineRule="auto"/>
      <w:jc w:val="both"/>
    </w:pPr>
    <w:rPr>
      <w:rFonts w:cs="宋体"/>
      <w:sz w:val="44"/>
      <w:szCs w:val="20"/>
    </w:rPr>
  </w:style>
  <w:style w:type="paragraph" w:customStyle="1" w:styleId="299">
    <w:name w:val="居中"/>
    <w:basedOn w:val="1"/>
    <w:qFormat/>
    <w:uiPriority w:val="0"/>
    <w:pPr>
      <w:jc w:val="center"/>
    </w:pPr>
    <w:rPr>
      <w:color w:val="000000"/>
      <w:szCs w:val="20"/>
    </w:rPr>
  </w:style>
  <w:style w:type="paragraph" w:customStyle="1" w:styleId="300">
    <w:name w:val="我的正文"/>
    <w:basedOn w:val="1"/>
    <w:link w:val="301"/>
    <w:qFormat/>
    <w:uiPriority w:val="0"/>
    <w:pPr>
      <w:ind w:firstLine="538" w:firstLineChars="192"/>
    </w:pPr>
    <w:rPr>
      <w:color w:val="000000"/>
      <w:sz w:val="28"/>
    </w:rPr>
  </w:style>
  <w:style w:type="character" w:customStyle="1" w:styleId="301">
    <w:name w:val="我的正文 Char"/>
    <w:link w:val="300"/>
    <w:qFormat/>
    <w:uiPriority w:val="0"/>
    <w:rPr>
      <w:rFonts w:eastAsia="宋体"/>
      <w:color w:val="000000"/>
      <w:kern w:val="2"/>
      <w:sz w:val="28"/>
      <w:szCs w:val="24"/>
      <w:lang w:val="en-US" w:eastAsia="zh-CN" w:bidi="ar-SA"/>
    </w:rPr>
  </w:style>
  <w:style w:type="paragraph" w:customStyle="1" w:styleId="302">
    <w:name w:val="样式 样式 标题 4项 + 非加粗 段前: 0.5 行 段后: 0.5 行 + 段前: 0.5 行 段后: 0.5 行"/>
    <w:basedOn w:val="1"/>
    <w:qFormat/>
    <w:uiPriority w:val="0"/>
    <w:pPr>
      <w:keepLines/>
      <w:adjustRightInd w:val="0"/>
      <w:snapToGrid w:val="0"/>
      <w:spacing w:line="360" w:lineRule="auto"/>
      <w:ind w:firstLine="480" w:firstLineChars="200"/>
      <w:jc w:val="center"/>
    </w:pPr>
    <w:rPr>
      <w:bCs/>
      <w:color w:val="000000"/>
      <w:sz w:val="24"/>
    </w:rPr>
  </w:style>
  <w:style w:type="paragraph" w:customStyle="1" w:styleId="303">
    <w:name w:val="表头文字"/>
    <w:basedOn w:val="1"/>
    <w:qFormat/>
    <w:uiPriority w:val="0"/>
    <w:pPr>
      <w:adjustRightInd w:val="0"/>
      <w:spacing w:after="120" w:line="420" w:lineRule="atLeast"/>
      <w:jc w:val="center"/>
      <w:textAlignment w:val="baseline"/>
    </w:pPr>
    <w:rPr>
      <w:kern w:val="0"/>
      <w:sz w:val="24"/>
      <w:szCs w:val="20"/>
    </w:rPr>
  </w:style>
  <w:style w:type="paragraph" w:customStyle="1" w:styleId="304">
    <w:name w:val="表名 Char Char Char Char"/>
    <w:basedOn w:val="1"/>
    <w:qFormat/>
    <w:uiPriority w:val="0"/>
    <w:pPr>
      <w:autoSpaceDE w:val="0"/>
      <w:autoSpaceDN w:val="0"/>
      <w:adjustRightInd w:val="0"/>
      <w:snapToGrid w:val="0"/>
      <w:spacing w:before="163"/>
      <w:jc w:val="center"/>
      <w:textAlignment w:val="baseline"/>
    </w:pPr>
    <w:rPr>
      <w:rFonts w:ascii="Arial" w:hAnsi="Arial" w:eastAsia="黑体"/>
      <w:color w:val="000000"/>
      <w:sz w:val="24"/>
      <w:szCs w:val="21"/>
    </w:rPr>
  </w:style>
  <w:style w:type="paragraph" w:customStyle="1" w:styleId="305">
    <w:name w:val="样式 样式 样式 样式 标题 3段 + + 段前: 1.5 行 段后: 1.5 行 + 段前: 1.5 行 段后: 1.5 行 ..."/>
    <w:basedOn w:val="1"/>
    <w:qFormat/>
    <w:uiPriority w:val="0"/>
    <w:pPr>
      <w:keepLines/>
      <w:spacing w:before="100" w:beforeLines="100" w:after="100" w:afterLines="100"/>
      <w:outlineLvl w:val="2"/>
    </w:pPr>
    <w:rPr>
      <w:rFonts w:eastAsia="黑体" w:cs="宋体"/>
      <w:b/>
      <w:bCs/>
      <w:color w:val="000000"/>
      <w:kern w:val="0"/>
      <w:sz w:val="24"/>
      <w:szCs w:val="20"/>
    </w:rPr>
  </w:style>
  <w:style w:type="paragraph" w:customStyle="1" w:styleId="306">
    <w:name w:val="样式 标题 1章 + Times New Roman 二号 非加粗"/>
    <w:basedOn w:val="3"/>
    <w:qFormat/>
    <w:uiPriority w:val="0"/>
    <w:pPr>
      <w:keepNext/>
      <w:keepLines/>
      <w:adjustRightInd/>
      <w:snapToGrid/>
      <w:spacing w:before="40" w:after="40" w:line="360" w:lineRule="auto"/>
      <w:jc w:val="both"/>
    </w:pPr>
    <w:rPr>
      <w:bCs w:val="0"/>
      <w:color w:val="000000"/>
      <w:sz w:val="44"/>
      <w:szCs w:val="20"/>
    </w:rPr>
  </w:style>
  <w:style w:type="paragraph" w:customStyle="1" w:styleId="307">
    <w:name w:val="样式 标题 2节 + 段前: 0.5 行 段后: 0.5 行"/>
    <w:basedOn w:val="4"/>
    <w:qFormat/>
    <w:uiPriority w:val="0"/>
    <w:pPr>
      <w:adjustRightInd w:val="0"/>
      <w:snapToGrid w:val="0"/>
      <w:spacing w:before="0" w:after="0" w:line="360" w:lineRule="auto"/>
    </w:pPr>
    <w:rPr>
      <w:rFonts w:ascii="Times New Roman" w:hAnsi="Times New Roman" w:eastAsia="宋体" w:cs="宋体"/>
      <w:color w:val="000000"/>
      <w:kern w:val="0"/>
    </w:rPr>
  </w:style>
  <w:style w:type="paragraph" w:customStyle="1" w:styleId="308">
    <w:name w:val="样式 标题 4项 + 非加粗 段前: 0.5 行 段后: 0.5 行"/>
    <w:basedOn w:val="6"/>
    <w:qFormat/>
    <w:uiPriority w:val="0"/>
    <w:pPr>
      <w:keepNext w:val="0"/>
      <w:spacing w:before="50" w:beforeLines="50" w:after="50" w:afterLines="50" w:line="240" w:lineRule="auto"/>
      <w:jc w:val="center"/>
    </w:pPr>
    <w:rPr>
      <w:rFonts w:ascii="黑体" w:eastAsia="宋体" w:cs="宋体"/>
      <w:bCs w:val="0"/>
      <w:color w:val="000000"/>
      <w:sz w:val="24"/>
      <w:szCs w:val="20"/>
    </w:rPr>
  </w:style>
  <w:style w:type="paragraph" w:customStyle="1" w:styleId="309">
    <w:name w:val="表内文字"/>
    <w:basedOn w:val="1"/>
    <w:link w:val="310"/>
    <w:qFormat/>
    <w:uiPriority w:val="0"/>
    <w:pPr>
      <w:adjustRightInd w:val="0"/>
      <w:spacing w:before="80" w:line="240" w:lineRule="atLeast"/>
      <w:jc w:val="center"/>
      <w:textAlignment w:val="baseline"/>
    </w:pPr>
    <w:rPr>
      <w:kern w:val="0"/>
      <w:szCs w:val="20"/>
    </w:rPr>
  </w:style>
  <w:style w:type="character" w:customStyle="1" w:styleId="310">
    <w:name w:val="表内文字 Char"/>
    <w:link w:val="309"/>
    <w:qFormat/>
    <w:uiPriority w:val="0"/>
    <w:rPr>
      <w:sz w:val="21"/>
    </w:rPr>
  </w:style>
  <w:style w:type="paragraph" w:customStyle="1" w:styleId="311">
    <w:name w:val="样式 样式3 + 黑色"/>
    <w:basedOn w:val="1"/>
    <w:qFormat/>
    <w:uiPriority w:val="0"/>
    <w:pPr>
      <w:ind w:firstLine="480" w:firstLineChars="200"/>
    </w:pPr>
    <w:rPr>
      <w:rFonts w:eastAsia="华文中宋"/>
      <w:color w:val="000000"/>
      <w:sz w:val="24"/>
    </w:rPr>
  </w:style>
  <w:style w:type="paragraph" w:customStyle="1" w:styleId="312">
    <w:name w:val="Char Char Char Char Char Char Char"/>
    <w:basedOn w:val="1"/>
    <w:link w:val="313"/>
    <w:qFormat/>
    <w:uiPriority w:val="0"/>
  </w:style>
  <w:style w:type="character" w:customStyle="1" w:styleId="313">
    <w:name w:val="Char Char Char Char Char Char Char Char"/>
    <w:link w:val="312"/>
    <w:qFormat/>
    <w:uiPriority w:val="0"/>
    <w:rPr>
      <w:rFonts w:eastAsia="宋体"/>
      <w:kern w:val="2"/>
      <w:sz w:val="21"/>
      <w:szCs w:val="24"/>
      <w:lang w:val="en-US" w:eastAsia="zh-CN" w:bidi="ar-SA"/>
    </w:rPr>
  </w:style>
  <w:style w:type="paragraph" w:customStyle="1" w:styleId="314">
    <w:name w:val="表单位"/>
    <w:basedOn w:val="1"/>
    <w:qFormat/>
    <w:uiPriority w:val="0"/>
    <w:pPr>
      <w:spacing w:line="360" w:lineRule="auto"/>
      <w:ind w:firstLine="200" w:firstLineChars="200"/>
      <w:jc w:val="center"/>
    </w:pPr>
    <w:rPr>
      <w:rFonts w:ascii="宋体"/>
      <w:sz w:val="24"/>
    </w:rPr>
  </w:style>
  <w:style w:type="character" w:customStyle="1" w:styleId="315">
    <w:name w:val="正文部分 Char"/>
    <w:link w:val="316"/>
    <w:qFormat/>
    <w:locked/>
    <w:uiPriority w:val="0"/>
    <w:rPr>
      <w:rFonts w:ascii="宋体" w:hAnsi="宋体"/>
      <w:snapToGrid w:val="0"/>
      <w:kern w:val="2"/>
      <w:sz w:val="28"/>
      <w:szCs w:val="28"/>
      <w:lang w:bidi="ar-SA"/>
    </w:rPr>
  </w:style>
  <w:style w:type="paragraph" w:customStyle="1" w:styleId="316">
    <w:name w:val="正文部分"/>
    <w:basedOn w:val="1"/>
    <w:link w:val="315"/>
    <w:qFormat/>
    <w:uiPriority w:val="0"/>
    <w:pPr>
      <w:snapToGrid w:val="0"/>
      <w:ind w:firstLine="200" w:firstLineChars="200"/>
    </w:pPr>
    <w:rPr>
      <w:rFonts w:ascii="宋体" w:hAnsi="宋体"/>
      <w:snapToGrid w:val="0"/>
      <w:sz w:val="28"/>
      <w:szCs w:val="28"/>
    </w:rPr>
  </w:style>
  <w:style w:type="paragraph" w:customStyle="1" w:styleId="317">
    <w:name w:val="表名"/>
    <w:basedOn w:val="1"/>
    <w:link w:val="318"/>
    <w:qFormat/>
    <w:uiPriority w:val="0"/>
    <w:pPr>
      <w:wordWrap w:val="0"/>
      <w:adjustRightInd w:val="0"/>
      <w:snapToGrid w:val="0"/>
      <w:spacing w:before="144"/>
      <w:ind w:firstLine="480" w:firstLineChars="200"/>
      <w:jc w:val="center"/>
    </w:pPr>
    <w:rPr>
      <w:bCs/>
      <w:kern w:val="0"/>
      <w:sz w:val="24"/>
    </w:rPr>
  </w:style>
  <w:style w:type="character" w:customStyle="1" w:styleId="318">
    <w:name w:val="表名 Char"/>
    <w:link w:val="317"/>
    <w:qFormat/>
    <w:uiPriority w:val="0"/>
    <w:rPr>
      <w:rFonts w:eastAsia="宋体"/>
      <w:bCs/>
      <w:sz w:val="24"/>
      <w:szCs w:val="24"/>
      <w:lang w:val="en-US" w:eastAsia="zh-CN" w:bidi="ar-SA"/>
    </w:rPr>
  </w:style>
  <w:style w:type="paragraph" w:customStyle="1" w:styleId="319">
    <w:name w:val="Char Char Char1 Char"/>
    <w:basedOn w:val="1"/>
    <w:qFormat/>
    <w:uiPriority w:val="0"/>
    <w:pPr>
      <w:jc w:val="center"/>
    </w:pPr>
    <w:rPr>
      <w:rFonts w:ascii="宋体"/>
      <w:sz w:val="28"/>
      <w:szCs w:val="20"/>
    </w:rPr>
  </w:style>
  <w:style w:type="paragraph" w:customStyle="1" w:styleId="320">
    <w:name w:val="表格名"/>
    <w:basedOn w:val="1"/>
    <w:qFormat/>
    <w:uiPriority w:val="0"/>
    <w:pPr>
      <w:jc w:val="right"/>
    </w:pPr>
    <w:rPr>
      <w:rFonts w:ascii="宋体" w:hAnsi="宋体"/>
      <w:b/>
      <w:kern w:val="28"/>
      <w:sz w:val="28"/>
      <w:szCs w:val="28"/>
    </w:rPr>
  </w:style>
  <w:style w:type="paragraph" w:customStyle="1" w:styleId="321">
    <w:name w:val="!正文(alt+c)"/>
    <w:link w:val="322"/>
    <w:qFormat/>
    <w:uiPriority w:val="0"/>
    <w:pPr>
      <w:spacing w:line="420" w:lineRule="exact"/>
      <w:ind w:firstLine="200" w:firstLineChars="200"/>
      <w:jc w:val="both"/>
    </w:pPr>
    <w:rPr>
      <w:rFonts w:ascii="Times New Roman" w:hAnsi="Times New Roman" w:eastAsia="宋体" w:cs="Times New Roman"/>
      <w:sz w:val="24"/>
      <w:lang w:val="en-US" w:eastAsia="zh-CN" w:bidi="ar-SA"/>
    </w:rPr>
  </w:style>
  <w:style w:type="character" w:customStyle="1" w:styleId="322">
    <w:name w:val="!正文(alt+c) Char4"/>
    <w:link w:val="321"/>
    <w:qFormat/>
    <w:uiPriority w:val="0"/>
    <w:rPr>
      <w:sz w:val="24"/>
    </w:rPr>
  </w:style>
  <w:style w:type="character" w:customStyle="1" w:styleId="323">
    <w:name w:val="red size"/>
    <w:qFormat/>
    <w:uiPriority w:val="0"/>
  </w:style>
  <w:style w:type="character" w:customStyle="1" w:styleId="324">
    <w:name w:val="djen2"/>
    <w:qFormat/>
    <w:uiPriority w:val="0"/>
    <w:rPr>
      <w:color w:val="3476CD"/>
    </w:rPr>
  </w:style>
  <w:style w:type="character" w:customStyle="1" w:styleId="325">
    <w:name w:val="matched"/>
    <w:qFormat/>
    <w:uiPriority w:val="0"/>
  </w:style>
  <w:style w:type="paragraph" w:customStyle="1" w:styleId="326">
    <w:name w:val="样式 标题 2节第一章 标题 2Heading 2 HiddenHeading 2 CCBSH2h2ISO1 + ..."/>
    <w:basedOn w:val="4"/>
    <w:qFormat/>
    <w:uiPriority w:val="0"/>
    <w:pPr>
      <w:spacing w:before="120" w:after="120" w:line="360" w:lineRule="auto"/>
      <w:ind w:left="720" w:hanging="720"/>
    </w:pPr>
    <w:rPr>
      <w:rFonts w:ascii="Times New Roman" w:hAnsi="Times New Roman" w:eastAsia="宋体" w:cs="宋体"/>
      <w:sz w:val="30"/>
      <w:szCs w:val="20"/>
    </w:rPr>
  </w:style>
  <w:style w:type="paragraph" w:customStyle="1" w:styleId="327">
    <w:name w:val="样式 样式 标题 1 + 首行缩进:  2 字符 + 段前: 0.5 行 段后: 0.5 行"/>
    <w:basedOn w:val="1"/>
    <w:qFormat/>
    <w:uiPriority w:val="0"/>
    <w:pPr>
      <w:keepNext/>
      <w:spacing w:before="120" w:beforeLines="50" w:after="120" w:afterLines="50" w:line="360" w:lineRule="auto"/>
      <w:ind w:left="420" w:hanging="420"/>
      <w:outlineLvl w:val="0"/>
    </w:pPr>
    <w:rPr>
      <w:rFonts w:cs="宋体"/>
      <w:b/>
      <w:bCs/>
      <w:sz w:val="32"/>
      <w:szCs w:val="20"/>
    </w:rPr>
  </w:style>
  <w:style w:type="paragraph" w:customStyle="1" w:styleId="328">
    <w:name w:val="样式 标题 3 + 首行缩进:  2 字符"/>
    <w:basedOn w:val="5"/>
    <w:qFormat/>
    <w:uiPriority w:val="0"/>
    <w:pPr>
      <w:spacing w:before="120" w:after="120" w:line="240" w:lineRule="auto"/>
      <w:ind w:left="720" w:hanging="720"/>
    </w:pPr>
    <w:rPr>
      <w:rFonts w:cs="宋体"/>
      <w:sz w:val="28"/>
      <w:szCs w:val="20"/>
    </w:rPr>
  </w:style>
  <w:style w:type="paragraph" w:customStyle="1" w:styleId="329">
    <w:name w:val="样式13"/>
    <w:basedOn w:val="207"/>
    <w:link w:val="330"/>
    <w:qFormat/>
    <w:uiPriority w:val="0"/>
    <w:pPr>
      <w:ind w:firstLine="200"/>
    </w:pPr>
  </w:style>
  <w:style w:type="character" w:customStyle="1" w:styleId="330">
    <w:name w:val="样式13 Char"/>
    <w:link w:val="329"/>
    <w:qFormat/>
    <w:uiPriority w:val="0"/>
    <w:rPr>
      <w:rFonts w:eastAsia="宋体"/>
      <w:kern w:val="2"/>
      <w:sz w:val="26"/>
      <w:szCs w:val="26"/>
      <w:lang w:val="en-US" w:eastAsia="zh-CN" w:bidi="ar-SA"/>
    </w:rPr>
  </w:style>
  <w:style w:type="character" w:customStyle="1" w:styleId="331">
    <w:name w:val="标题2"/>
    <w:qFormat/>
    <w:uiPriority w:val="0"/>
  </w:style>
  <w:style w:type="paragraph" w:customStyle="1" w:styleId="332">
    <w:name w:val="样式11"/>
    <w:basedOn w:val="1"/>
    <w:next w:val="1"/>
    <w:link w:val="333"/>
    <w:qFormat/>
    <w:uiPriority w:val="0"/>
    <w:pPr>
      <w:spacing w:line="480" w:lineRule="exact"/>
      <w:ind w:firstLine="522"/>
    </w:pPr>
    <w:rPr>
      <w:sz w:val="26"/>
    </w:rPr>
  </w:style>
  <w:style w:type="character" w:customStyle="1" w:styleId="333">
    <w:name w:val="样式11 Char"/>
    <w:link w:val="332"/>
    <w:qFormat/>
    <w:uiPriority w:val="0"/>
    <w:rPr>
      <w:rFonts w:eastAsia="宋体"/>
      <w:kern w:val="2"/>
      <w:sz w:val="26"/>
      <w:szCs w:val="24"/>
      <w:lang w:val="en-US" w:eastAsia="zh-CN" w:bidi="ar-SA"/>
    </w:rPr>
  </w:style>
  <w:style w:type="paragraph" w:customStyle="1" w:styleId="334">
    <w:name w:val="正文111"/>
    <w:basedOn w:val="1"/>
    <w:link w:val="335"/>
    <w:qFormat/>
    <w:uiPriority w:val="0"/>
    <w:pPr>
      <w:spacing w:before="200" w:after="100" w:line="360" w:lineRule="auto"/>
      <w:ind w:firstLine="480" w:firstLineChars="200"/>
    </w:pPr>
    <w:rPr>
      <w:rFonts w:ascii="宋体" w:hAnsi="宋体"/>
      <w:sz w:val="24"/>
    </w:rPr>
  </w:style>
  <w:style w:type="character" w:customStyle="1" w:styleId="335">
    <w:name w:val="正文111 Char"/>
    <w:link w:val="334"/>
    <w:qFormat/>
    <w:uiPriority w:val="0"/>
    <w:rPr>
      <w:rFonts w:ascii="宋体" w:hAnsi="宋体" w:eastAsia="宋体"/>
      <w:kern w:val="2"/>
      <w:sz w:val="24"/>
      <w:szCs w:val="24"/>
      <w:lang w:val="en-US" w:eastAsia="zh-CN" w:bidi="ar-SA"/>
    </w:rPr>
  </w:style>
  <w:style w:type="paragraph" w:customStyle="1" w:styleId="336">
    <w:name w:val="样式15"/>
    <w:basedOn w:val="1"/>
    <w:link w:val="337"/>
    <w:qFormat/>
    <w:uiPriority w:val="0"/>
    <w:pPr>
      <w:spacing w:line="480" w:lineRule="exact"/>
      <w:ind w:firstLine="520" w:firstLineChars="200"/>
    </w:pPr>
    <w:rPr>
      <w:sz w:val="26"/>
      <w:szCs w:val="26"/>
    </w:rPr>
  </w:style>
  <w:style w:type="character" w:customStyle="1" w:styleId="337">
    <w:name w:val="样式15 Char"/>
    <w:link w:val="336"/>
    <w:qFormat/>
    <w:uiPriority w:val="0"/>
    <w:rPr>
      <w:rFonts w:eastAsia="宋体"/>
      <w:kern w:val="2"/>
      <w:sz w:val="26"/>
      <w:szCs w:val="26"/>
      <w:lang w:val="en-US" w:eastAsia="zh-CN" w:bidi="ar-SA"/>
    </w:rPr>
  </w:style>
  <w:style w:type="paragraph" w:customStyle="1" w:styleId="338">
    <w:name w:val="样式17"/>
    <w:basedOn w:val="1"/>
    <w:qFormat/>
    <w:uiPriority w:val="0"/>
    <w:pPr>
      <w:adjustRightInd w:val="0"/>
      <w:spacing w:before="120" w:beforeLines="50" w:line="480" w:lineRule="exact"/>
      <w:ind w:firstLine="522" w:firstLineChars="200"/>
      <w:textAlignment w:val="baseline"/>
      <w:outlineLvl w:val="1"/>
    </w:pPr>
    <w:rPr>
      <w:b/>
      <w:snapToGrid w:val="0"/>
      <w:kern w:val="0"/>
      <w:sz w:val="26"/>
      <w:szCs w:val="26"/>
    </w:rPr>
  </w:style>
  <w:style w:type="paragraph" w:customStyle="1" w:styleId="339">
    <w:name w:val="6"/>
    <w:basedOn w:val="1"/>
    <w:next w:val="35"/>
    <w:qFormat/>
    <w:uiPriority w:val="0"/>
    <w:pPr>
      <w:spacing w:line="460" w:lineRule="exact"/>
      <w:ind w:firstLine="480" w:firstLineChars="200"/>
    </w:pPr>
    <w:rPr>
      <w:sz w:val="24"/>
    </w:rPr>
  </w:style>
  <w:style w:type="paragraph" w:customStyle="1" w:styleId="340">
    <w:name w:val="表格文字居中"/>
    <w:basedOn w:val="1"/>
    <w:next w:val="1"/>
    <w:qFormat/>
    <w:uiPriority w:val="0"/>
    <w:pPr>
      <w:adjustRightInd w:val="0"/>
      <w:snapToGrid w:val="0"/>
      <w:spacing w:line="460" w:lineRule="atLeast"/>
      <w:ind w:firstLine="200" w:firstLineChars="200"/>
      <w:jc w:val="center"/>
    </w:pPr>
    <w:rPr>
      <w:color w:val="000000"/>
      <w:sz w:val="22"/>
      <w:szCs w:val="22"/>
    </w:rPr>
  </w:style>
  <w:style w:type="character" w:customStyle="1" w:styleId="341">
    <w:name w:val="章 Char"/>
    <w:qFormat/>
    <w:uiPriority w:val="0"/>
    <w:rPr>
      <w:rFonts w:eastAsia="宋体"/>
      <w:b/>
      <w:bCs/>
      <w:kern w:val="44"/>
      <w:sz w:val="32"/>
      <w:szCs w:val="32"/>
      <w:lang w:val="en-US" w:eastAsia="zh-CN" w:bidi="ar-SA"/>
    </w:rPr>
  </w:style>
  <w:style w:type="character" w:customStyle="1" w:styleId="342">
    <w:name w:val="图 Char"/>
    <w:qFormat/>
    <w:uiPriority w:val="0"/>
    <w:rPr>
      <w:rFonts w:eastAsia="黑体"/>
      <w:caps/>
      <w:spacing w:val="10"/>
      <w:kern w:val="2"/>
      <w:sz w:val="18"/>
      <w:szCs w:val="18"/>
      <w:lang w:val="en-US" w:eastAsia="zh-CN" w:bidi="ar-SA"/>
    </w:rPr>
  </w:style>
  <w:style w:type="character" w:customStyle="1" w:styleId="343">
    <w:name w:val="H5 Char"/>
    <w:qFormat/>
    <w:uiPriority w:val="0"/>
    <w:rPr>
      <w:b/>
      <w:sz w:val="28"/>
    </w:rPr>
  </w:style>
  <w:style w:type="character" w:customStyle="1" w:styleId="344">
    <w:name w:val="H6 Char"/>
    <w:qFormat/>
    <w:uiPriority w:val="0"/>
    <w:rPr>
      <w:rFonts w:ascii="Arial" w:hAnsi="Arial" w:eastAsia="黑体"/>
      <w:b/>
      <w:sz w:val="24"/>
    </w:rPr>
  </w:style>
  <w:style w:type="character" w:customStyle="1" w:styleId="345">
    <w:name w:val="标题 7 表 Char"/>
    <w:qFormat/>
    <w:uiPriority w:val="0"/>
    <w:rPr>
      <w:b/>
      <w:sz w:val="24"/>
    </w:rPr>
  </w:style>
  <w:style w:type="character" w:customStyle="1" w:styleId="346">
    <w:name w:val="无节款 Char"/>
    <w:qFormat/>
    <w:uiPriority w:val="0"/>
    <w:rPr>
      <w:rFonts w:ascii="Arial" w:hAnsi="Arial" w:eastAsia="黑体"/>
      <w:sz w:val="24"/>
    </w:rPr>
  </w:style>
  <w:style w:type="character" w:customStyle="1" w:styleId="347">
    <w:name w:val="干标题(a) Char"/>
    <w:qFormat/>
    <w:uiPriority w:val="0"/>
    <w:rPr>
      <w:rFonts w:ascii="Arial" w:hAnsi="Arial" w:eastAsia="黑体"/>
      <w:kern w:val="2"/>
      <w:sz w:val="26"/>
    </w:rPr>
  </w:style>
  <w:style w:type="paragraph" w:customStyle="1" w:styleId="348">
    <w:name w:val="Char Char Char Char Char Char Char Char Char Char"/>
    <w:basedOn w:val="1"/>
    <w:qFormat/>
    <w:uiPriority w:val="0"/>
    <w:pPr>
      <w:adjustRightInd w:val="0"/>
      <w:snapToGrid w:val="0"/>
      <w:spacing w:line="360" w:lineRule="auto"/>
      <w:ind w:firstLine="200" w:firstLineChars="200"/>
    </w:pPr>
    <w:rPr>
      <w:rFonts w:ascii="宋体" w:hAnsi="宋体" w:cs="宋体"/>
      <w:sz w:val="24"/>
      <w:szCs w:val="26"/>
    </w:rPr>
  </w:style>
  <w:style w:type="character" w:customStyle="1" w:styleId="349">
    <w:name w:val="项 Char"/>
    <w:qFormat/>
    <w:uiPriority w:val="0"/>
    <w:rPr>
      <w:rFonts w:ascii="Arial" w:hAnsi="Arial" w:eastAsia="黑体"/>
      <w:b/>
      <w:bCs/>
      <w:kern w:val="2"/>
      <w:sz w:val="28"/>
      <w:szCs w:val="28"/>
    </w:rPr>
  </w:style>
  <w:style w:type="paragraph" w:customStyle="1" w:styleId="350">
    <w:name w:val="Char Char Char Char3"/>
    <w:basedOn w:val="1"/>
    <w:qFormat/>
    <w:uiPriority w:val="0"/>
    <w:pPr>
      <w:adjustRightInd w:val="0"/>
      <w:snapToGrid w:val="0"/>
      <w:spacing w:line="360" w:lineRule="auto"/>
      <w:ind w:firstLine="200" w:firstLineChars="200"/>
    </w:pPr>
    <w:rPr>
      <w:rFonts w:ascii="宋体" w:hAnsi="宋体" w:cs="宋体"/>
      <w:sz w:val="24"/>
      <w:szCs w:val="26"/>
    </w:rPr>
  </w:style>
  <w:style w:type="character" w:customStyle="1" w:styleId="351">
    <w:name w:val="正文文字缩进 3 Char Char"/>
    <w:qFormat/>
    <w:uiPriority w:val="0"/>
    <w:rPr>
      <w:rFonts w:ascii="宋体"/>
      <w:color w:val="000000"/>
      <w:kern w:val="4"/>
      <w:sz w:val="26"/>
      <w:szCs w:val="26"/>
    </w:rPr>
  </w:style>
  <w:style w:type="paragraph" w:customStyle="1" w:styleId="352">
    <w:name w:val="font5"/>
    <w:basedOn w:val="1"/>
    <w:qFormat/>
    <w:uiPriority w:val="0"/>
    <w:pPr>
      <w:widowControl/>
      <w:spacing w:before="100" w:beforeAutospacing="1" w:after="100" w:afterAutospacing="1" w:line="460" w:lineRule="exact"/>
      <w:ind w:firstLine="200" w:firstLineChars="200"/>
      <w:jc w:val="left"/>
    </w:pPr>
    <w:rPr>
      <w:rFonts w:hint="eastAsia" w:ascii="宋体" w:hAnsi="宋体" w:cs="Arial Unicode MS"/>
      <w:kern w:val="0"/>
      <w:sz w:val="18"/>
      <w:szCs w:val="18"/>
    </w:rPr>
  </w:style>
  <w:style w:type="paragraph" w:customStyle="1" w:styleId="353">
    <w:name w:val="font6"/>
    <w:basedOn w:val="1"/>
    <w:qFormat/>
    <w:uiPriority w:val="0"/>
    <w:pPr>
      <w:widowControl/>
      <w:spacing w:before="100" w:beforeAutospacing="1" w:after="100" w:afterAutospacing="1" w:line="460" w:lineRule="exact"/>
      <w:ind w:firstLine="200" w:firstLineChars="200"/>
      <w:jc w:val="left"/>
    </w:pPr>
    <w:rPr>
      <w:rFonts w:hint="eastAsia" w:ascii="宋体" w:hAnsi="宋体" w:cs="Arial Unicode MS"/>
      <w:color w:val="000000"/>
      <w:kern w:val="0"/>
      <w:sz w:val="18"/>
      <w:szCs w:val="18"/>
    </w:rPr>
  </w:style>
  <w:style w:type="paragraph" w:customStyle="1" w:styleId="354">
    <w:name w:val="xl27"/>
    <w:basedOn w:val="1"/>
    <w:qFormat/>
    <w:uiPriority w:val="0"/>
    <w:pPr>
      <w:widowControl/>
      <w:spacing w:before="100" w:beforeAutospacing="1" w:after="100" w:afterAutospacing="1" w:line="460" w:lineRule="exact"/>
      <w:ind w:firstLine="200" w:firstLineChars="200"/>
      <w:jc w:val="center"/>
      <w:textAlignment w:val="center"/>
    </w:pPr>
    <w:rPr>
      <w:rFonts w:ascii="Arial Unicode MS" w:hAnsi="Arial Unicode MS" w:eastAsia="Arial Unicode MS" w:cs="Arial Unicode MS"/>
      <w:kern w:val="0"/>
      <w:sz w:val="22"/>
      <w:szCs w:val="22"/>
    </w:rPr>
  </w:style>
  <w:style w:type="character" w:customStyle="1" w:styleId="355">
    <w:name w:val="t11"/>
    <w:qFormat/>
    <w:uiPriority w:val="0"/>
    <w:rPr>
      <w:rFonts w:hint="eastAsia" w:ascii="宋体" w:hAnsi="宋体" w:eastAsia="宋体"/>
      <w:sz w:val="18"/>
      <w:szCs w:val="18"/>
    </w:rPr>
  </w:style>
  <w:style w:type="table" w:customStyle="1" w:styleId="356">
    <w:name w:val="三线表1"/>
    <w:basedOn w:val="88"/>
    <w:qFormat/>
    <w:uiPriority w:val="0"/>
    <w:pPr>
      <w:widowControl w:val="0"/>
      <w:spacing w:line="460" w:lineRule="exact"/>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57">
    <w:name w:val="Char1"/>
    <w:basedOn w:val="1"/>
    <w:link w:val="358"/>
    <w:qFormat/>
    <w:uiPriority w:val="0"/>
    <w:pPr>
      <w:spacing w:line="360" w:lineRule="auto"/>
      <w:ind w:firstLine="200" w:firstLineChars="200"/>
    </w:pPr>
    <w:rPr>
      <w:rFonts w:ascii="宋体" w:hAnsi="宋体" w:cs="宋体"/>
      <w:sz w:val="24"/>
    </w:rPr>
  </w:style>
  <w:style w:type="character" w:customStyle="1" w:styleId="358">
    <w:name w:val="Char1 Char"/>
    <w:link w:val="357"/>
    <w:qFormat/>
    <w:uiPriority w:val="0"/>
    <w:rPr>
      <w:rFonts w:ascii="宋体" w:hAnsi="宋体" w:cs="宋体"/>
      <w:kern w:val="2"/>
      <w:sz w:val="24"/>
      <w:szCs w:val="24"/>
    </w:rPr>
  </w:style>
  <w:style w:type="paragraph" w:customStyle="1" w:styleId="359">
    <w:name w:val="Char Char Char1"/>
    <w:basedOn w:val="1"/>
    <w:qFormat/>
    <w:uiPriority w:val="0"/>
    <w:pPr>
      <w:adjustRightInd w:val="0"/>
      <w:snapToGrid w:val="0"/>
      <w:spacing w:line="360" w:lineRule="auto"/>
      <w:ind w:firstLine="200" w:firstLineChars="200"/>
    </w:pPr>
    <w:rPr>
      <w:rFonts w:ascii="宋体" w:hAnsi="宋体" w:cs="宋体"/>
      <w:sz w:val="24"/>
      <w:szCs w:val="26"/>
    </w:rPr>
  </w:style>
  <w:style w:type="paragraph" w:customStyle="1" w:styleId="360">
    <w:name w:val="正文文字缩进"/>
    <w:basedOn w:val="1"/>
    <w:next w:val="1"/>
    <w:qFormat/>
    <w:uiPriority w:val="0"/>
    <w:pPr>
      <w:autoSpaceDE w:val="0"/>
      <w:autoSpaceDN w:val="0"/>
      <w:adjustRightInd w:val="0"/>
      <w:jc w:val="left"/>
    </w:pPr>
    <w:rPr>
      <w:rFonts w:ascii="仿宋_GB2312" w:eastAsia="仿宋_GB2312"/>
      <w:kern w:val="0"/>
      <w:sz w:val="24"/>
    </w:rPr>
  </w:style>
  <w:style w:type="paragraph" w:customStyle="1" w:styleId="361">
    <w:name w:val="Char Char Char Char Char Char Char Char Char Char Char Char Char Char Char Char Char Char Char Char Char Char Char Char Char"/>
    <w:basedOn w:val="1"/>
    <w:semiHidden/>
    <w:qFormat/>
    <w:uiPriority w:val="0"/>
    <w:pPr>
      <w:adjustRightInd w:val="0"/>
      <w:snapToGrid w:val="0"/>
      <w:spacing w:line="360" w:lineRule="auto"/>
      <w:ind w:firstLine="200" w:firstLineChars="200"/>
    </w:pPr>
    <w:rPr>
      <w:rFonts w:ascii="宋体" w:hAnsi="宋体" w:cs="宋体"/>
      <w:sz w:val="24"/>
      <w:szCs w:val="26"/>
    </w:rPr>
  </w:style>
  <w:style w:type="paragraph" w:customStyle="1" w:styleId="362">
    <w:name w:val="Char Char Char Char Char Char Char Char Char1 Char Char Char Char"/>
    <w:basedOn w:val="1"/>
    <w:qFormat/>
    <w:uiPriority w:val="0"/>
    <w:pPr>
      <w:spacing w:line="360" w:lineRule="auto"/>
      <w:ind w:firstLine="200" w:firstLineChars="200"/>
    </w:pPr>
    <w:rPr>
      <w:rFonts w:ascii="宋体" w:hAnsi="宋体" w:cs="宋体"/>
      <w:sz w:val="24"/>
      <w:szCs w:val="26"/>
    </w:rPr>
  </w:style>
  <w:style w:type="paragraph" w:customStyle="1" w:styleId="363">
    <w:name w:val="Char Char Char Char2"/>
    <w:basedOn w:val="1"/>
    <w:qFormat/>
    <w:uiPriority w:val="0"/>
    <w:pPr>
      <w:spacing w:line="360" w:lineRule="auto"/>
      <w:ind w:firstLine="200" w:firstLineChars="200"/>
    </w:pPr>
    <w:rPr>
      <w:rFonts w:ascii="宋体" w:hAnsi="宋体" w:cs="宋体"/>
      <w:sz w:val="24"/>
      <w:szCs w:val="26"/>
    </w:rPr>
  </w:style>
  <w:style w:type="character" w:customStyle="1" w:styleId="364">
    <w:name w:val="unnamed11"/>
    <w:qFormat/>
    <w:uiPriority w:val="0"/>
  </w:style>
  <w:style w:type="character" w:customStyle="1" w:styleId="365">
    <w:name w:val="tdhui011"/>
    <w:qFormat/>
    <w:uiPriority w:val="0"/>
    <w:rPr>
      <w:color w:val="000000"/>
      <w:sz w:val="18"/>
      <w:szCs w:val="18"/>
    </w:rPr>
  </w:style>
  <w:style w:type="paragraph" w:customStyle="1" w:styleId="366">
    <w:name w:val="1表格"/>
    <w:basedOn w:val="1"/>
    <w:qFormat/>
    <w:uiPriority w:val="0"/>
    <w:pPr>
      <w:snapToGrid w:val="0"/>
      <w:spacing w:before="20" w:beforeLines="20" w:after="20" w:afterLines="20"/>
      <w:jc w:val="center"/>
      <w:outlineLvl w:val="4"/>
    </w:pPr>
    <w:rPr>
      <w:szCs w:val="21"/>
    </w:rPr>
  </w:style>
  <w:style w:type="paragraph" w:customStyle="1" w:styleId="367">
    <w:name w:val="简单回函地址"/>
    <w:basedOn w:val="1"/>
    <w:qFormat/>
    <w:uiPriority w:val="0"/>
    <w:rPr>
      <w:szCs w:val="20"/>
    </w:rPr>
  </w:style>
  <w:style w:type="paragraph" w:customStyle="1" w:styleId="368">
    <w:name w:val="样式4"/>
    <w:basedOn w:val="1"/>
    <w:link w:val="369"/>
    <w:qFormat/>
    <w:uiPriority w:val="0"/>
    <w:pPr>
      <w:spacing w:line="360" w:lineRule="auto"/>
      <w:ind w:firstLine="480"/>
    </w:pPr>
    <w:rPr>
      <w:sz w:val="24"/>
    </w:rPr>
  </w:style>
  <w:style w:type="character" w:customStyle="1" w:styleId="369">
    <w:name w:val="样式4 Char"/>
    <w:link w:val="368"/>
    <w:qFormat/>
    <w:uiPriority w:val="0"/>
    <w:rPr>
      <w:rFonts w:eastAsia="宋体"/>
      <w:kern w:val="2"/>
      <w:sz w:val="24"/>
      <w:szCs w:val="24"/>
      <w:lang w:val="en-US" w:eastAsia="zh-CN" w:bidi="ar-SA"/>
    </w:rPr>
  </w:style>
  <w:style w:type="paragraph" w:customStyle="1" w:styleId="370">
    <w:name w:val="报告正文"/>
    <w:basedOn w:val="1"/>
    <w:link w:val="371"/>
    <w:qFormat/>
    <w:uiPriority w:val="0"/>
    <w:pPr>
      <w:adjustRightInd w:val="0"/>
      <w:snapToGrid w:val="0"/>
      <w:spacing w:line="360" w:lineRule="auto"/>
      <w:ind w:firstLine="200" w:firstLineChars="200"/>
    </w:pPr>
    <w:rPr>
      <w:rFonts w:ascii="宋体"/>
      <w:sz w:val="24"/>
      <w:szCs w:val="20"/>
    </w:rPr>
  </w:style>
  <w:style w:type="character" w:customStyle="1" w:styleId="371">
    <w:name w:val="报告正文 Char1"/>
    <w:link w:val="370"/>
    <w:qFormat/>
    <w:uiPriority w:val="0"/>
    <w:rPr>
      <w:rFonts w:ascii="宋体"/>
      <w:kern w:val="2"/>
      <w:sz w:val="24"/>
    </w:rPr>
  </w:style>
  <w:style w:type="paragraph" w:customStyle="1" w:styleId="372">
    <w:name w:val="表格内容"/>
    <w:link w:val="374"/>
    <w:qFormat/>
    <w:uiPriority w:val="0"/>
    <w:pPr>
      <w:jc w:val="center"/>
    </w:pPr>
    <w:rPr>
      <w:rFonts w:ascii="Times New Roman" w:hAnsi="Times New Roman" w:eastAsia="宋体" w:cs="Times New Roman"/>
      <w:kern w:val="2"/>
      <w:sz w:val="24"/>
      <w:lang w:val="en-US" w:eastAsia="zh-CN" w:bidi="ar-SA"/>
    </w:rPr>
  </w:style>
  <w:style w:type="paragraph" w:customStyle="1" w:styleId="373">
    <w:name w:val="表题头"/>
    <w:basedOn w:val="45"/>
    <w:qFormat/>
    <w:uiPriority w:val="0"/>
    <w:pPr>
      <w:spacing w:line="440" w:lineRule="exact"/>
      <w:jc w:val="center"/>
    </w:pPr>
    <w:rPr>
      <w:rFonts w:ascii="Times New Roman" w:hAnsi="Times New Roman"/>
      <w:b/>
    </w:rPr>
  </w:style>
  <w:style w:type="character" w:customStyle="1" w:styleId="374">
    <w:name w:val="表格内容 Char1"/>
    <w:link w:val="372"/>
    <w:qFormat/>
    <w:uiPriority w:val="0"/>
    <w:rPr>
      <w:rFonts w:eastAsia="宋体"/>
      <w:kern w:val="2"/>
      <w:sz w:val="24"/>
      <w:lang w:val="en-US" w:eastAsia="zh-CN" w:bidi="ar-SA"/>
    </w:rPr>
  </w:style>
  <w:style w:type="paragraph" w:customStyle="1" w:styleId="375">
    <w:name w:val="表格 32"/>
    <w:basedOn w:val="1"/>
    <w:qFormat/>
    <w:uiPriority w:val="0"/>
    <w:pPr>
      <w:autoSpaceDE w:val="0"/>
      <w:autoSpaceDN w:val="0"/>
      <w:adjustRightInd w:val="0"/>
      <w:spacing w:line="360" w:lineRule="auto"/>
      <w:jc w:val="center"/>
      <w:textAlignment w:val="baseline"/>
    </w:pPr>
    <w:rPr>
      <w:rFonts w:eastAsia="楷体_GB2312"/>
      <w:kern w:val="0"/>
      <w:sz w:val="24"/>
      <w:szCs w:val="20"/>
    </w:rPr>
  </w:style>
  <w:style w:type="paragraph" w:customStyle="1" w:styleId="376">
    <w:name w:val="5文章(治)"/>
    <w:basedOn w:val="1"/>
    <w:qFormat/>
    <w:uiPriority w:val="0"/>
    <w:pPr>
      <w:spacing w:line="360" w:lineRule="auto"/>
      <w:ind w:firstLine="560" w:firstLineChars="200"/>
    </w:pPr>
    <w:rPr>
      <w:rFonts w:eastAsia="楷体_GB2312"/>
      <w:sz w:val="28"/>
      <w:szCs w:val="20"/>
    </w:rPr>
  </w:style>
  <w:style w:type="paragraph" w:customStyle="1" w:styleId="377">
    <w:name w:val="zhang正文"/>
    <w:basedOn w:val="35"/>
    <w:qFormat/>
    <w:uiPriority w:val="0"/>
    <w:pPr>
      <w:autoSpaceDE w:val="0"/>
      <w:autoSpaceDN w:val="0"/>
      <w:adjustRightInd w:val="0"/>
      <w:snapToGrid w:val="0"/>
      <w:spacing w:after="0" w:line="360" w:lineRule="auto"/>
      <w:ind w:left="0" w:leftChars="0" w:firstLine="539"/>
      <w:textAlignment w:val="baseline"/>
    </w:pPr>
    <w:rPr>
      <w:rFonts w:eastAsia="楷体_GB2312"/>
      <w:snapToGrid/>
      <w:szCs w:val="20"/>
    </w:rPr>
  </w:style>
  <w:style w:type="paragraph" w:customStyle="1" w:styleId="378">
    <w:name w:val="content"/>
    <w:basedOn w:val="1"/>
    <w:qFormat/>
    <w:uiPriority w:val="0"/>
    <w:pPr>
      <w:widowControl/>
      <w:spacing w:before="100" w:beforeAutospacing="1" w:after="100" w:afterAutospacing="1" w:line="360" w:lineRule="auto"/>
      <w:ind w:firstLine="420"/>
    </w:pPr>
    <w:rPr>
      <w:rFonts w:ascii="ˎ̥" w:hAnsi="ˎ̥" w:cs="宋体"/>
      <w:kern w:val="0"/>
      <w:sz w:val="18"/>
      <w:szCs w:val="18"/>
    </w:rPr>
  </w:style>
  <w:style w:type="paragraph" w:customStyle="1" w:styleId="379">
    <w:name w:val="Char Char Char Char Char2 Char"/>
    <w:basedOn w:val="1"/>
    <w:qFormat/>
    <w:uiPriority w:val="0"/>
    <w:pPr>
      <w:adjustRightInd w:val="0"/>
      <w:snapToGrid w:val="0"/>
      <w:spacing w:line="360" w:lineRule="auto"/>
      <w:ind w:firstLine="200" w:firstLineChars="200"/>
    </w:pPr>
    <w:rPr>
      <w:rFonts w:ascii="宋体" w:hAnsi="宋体" w:cs="宋体"/>
      <w:sz w:val="24"/>
      <w:szCs w:val="26"/>
    </w:rPr>
  </w:style>
  <w:style w:type="paragraph" w:customStyle="1" w:styleId="380">
    <w:name w:val="Char Char Char Char1"/>
    <w:basedOn w:val="1"/>
    <w:qFormat/>
    <w:uiPriority w:val="0"/>
    <w:pPr>
      <w:spacing w:line="360" w:lineRule="auto"/>
      <w:ind w:firstLine="200" w:firstLineChars="200"/>
    </w:pPr>
    <w:rPr>
      <w:rFonts w:ascii="宋体" w:hAnsi="宋体" w:cs="宋体"/>
      <w:sz w:val="24"/>
    </w:rPr>
  </w:style>
  <w:style w:type="character" w:customStyle="1" w:styleId="381">
    <w:name w:val="表头 Char"/>
    <w:qFormat/>
    <w:uiPriority w:val="0"/>
    <w:rPr>
      <w:rFonts w:eastAsia="黑体"/>
      <w:kern w:val="2"/>
      <w:sz w:val="24"/>
      <w:szCs w:val="24"/>
      <w:lang w:val="en-US" w:eastAsia="zh-CN" w:bidi="ar-SA"/>
      <w14:shadow w14:blurRad="50800" w14:dist="38100" w14:dir="2700000" w14:sx="100000" w14:sy="100000" w14:kx="0" w14:ky="0" w14:algn="tl">
        <w14:srgbClr w14:val="000000">
          <w14:alpha w14:val="60000"/>
        </w14:srgbClr>
      </w14:shadow>
    </w:rPr>
  </w:style>
  <w:style w:type="paragraph" w:customStyle="1" w:styleId="382">
    <w:name w:val="样式 标题 3 + (中文) 楷体_GB2312 四号 黑色 段前: 6 磅 段后: 6 磅 图案: 清除 (白色)..."/>
    <w:basedOn w:val="5"/>
    <w:qFormat/>
    <w:uiPriority w:val="0"/>
    <w:pPr>
      <w:spacing w:before="120" w:after="120" w:line="240" w:lineRule="auto"/>
      <w:ind w:firstLine="112" w:firstLineChars="112"/>
    </w:pPr>
    <w:rPr>
      <w:rFonts w:eastAsia="楷体_GB2312" w:cs="宋体"/>
      <w:color w:val="000000"/>
      <w:sz w:val="28"/>
      <w:szCs w:val="20"/>
      <w:shd w:val="clear" w:color="auto" w:fill="FFFFFF"/>
    </w:rPr>
  </w:style>
  <w:style w:type="paragraph" w:customStyle="1" w:styleId="383">
    <w:name w:val="样式 列表 2 + 华文仿宋 居中"/>
    <w:basedOn w:val="37"/>
    <w:qFormat/>
    <w:uiPriority w:val="0"/>
    <w:pPr>
      <w:jc w:val="center"/>
    </w:pPr>
    <w:rPr>
      <w:rFonts w:ascii="Times New Roman" w:hAnsi="Times New Roman" w:eastAsia="宋体"/>
      <w:sz w:val="22"/>
      <w:szCs w:val="22"/>
    </w:rPr>
  </w:style>
  <w:style w:type="paragraph" w:customStyle="1" w:styleId="384">
    <w:name w:val="文章正文 Char"/>
    <w:basedOn w:val="1"/>
    <w:link w:val="385"/>
    <w:qFormat/>
    <w:uiPriority w:val="0"/>
    <w:pPr>
      <w:spacing w:line="600" w:lineRule="exact"/>
      <w:ind w:firstLine="200" w:firstLineChars="200"/>
    </w:pPr>
    <w:rPr>
      <w:rFonts w:eastAsia="仿宋_GB2312"/>
      <w:sz w:val="32"/>
      <w:szCs w:val="32"/>
    </w:rPr>
  </w:style>
  <w:style w:type="character" w:customStyle="1" w:styleId="385">
    <w:name w:val="文章正文 Char Char"/>
    <w:link w:val="384"/>
    <w:qFormat/>
    <w:uiPriority w:val="0"/>
    <w:rPr>
      <w:rFonts w:eastAsia="仿宋_GB2312"/>
      <w:kern w:val="2"/>
      <w:sz w:val="32"/>
      <w:szCs w:val="32"/>
    </w:rPr>
  </w:style>
  <w:style w:type="paragraph" w:customStyle="1" w:styleId="38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0"/>
      <w:szCs w:val="20"/>
    </w:rPr>
  </w:style>
  <w:style w:type="paragraph" w:customStyle="1" w:styleId="387">
    <w:name w:val="样式2"/>
    <w:basedOn w:val="76"/>
    <w:link w:val="388"/>
    <w:qFormat/>
    <w:uiPriority w:val="0"/>
    <w:pPr>
      <w:shd w:val="clear" w:color="auto" w:fill="FFFFFF"/>
      <w:tabs>
        <w:tab w:val="left" w:pos="1000"/>
      </w:tabs>
      <w:adjustRightInd w:val="0"/>
      <w:snapToGrid w:val="0"/>
      <w:spacing w:after="0" w:line="520" w:lineRule="exact"/>
      <w:ind w:left="200" w:leftChars="200" w:right="88" w:rightChars="42" w:firstLine="520" w:firstLineChars="200"/>
    </w:pPr>
    <w:rPr>
      <w:rFonts w:ascii="Times New Roman" w:eastAsia="仿宋_GB2312" w:cs="宋体"/>
      <w:b/>
      <w:color w:val="000000"/>
      <w:kern w:val="0"/>
      <w:sz w:val="28"/>
      <w:szCs w:val="28"/>
      <w:shd w:val="clear" w:color="auto" w:fill="FFFFFF"/>
      <w:lang w:val="zh-CN"/>
    </w:rPr>
  </w:style>
  <w:style w:type="character" w:customStyle="1" w:styleId="388">
    <w:name w:val="样式2 Char"/>
    <w:link w:val="387"/>
    <w:qFormat/>
    <w:uiPriority w:val="0"/>
    <w:rPr>
      <w:rFonts w:hAnsi="宋体" w:eastAsia="仿宋_GB2312" w:cs="宋体"/>
      <w:b/>
      <w:color w:val="000000"/>
      <w:sz w:val="28"/>
      <w:szCs w:val="28"/>
      <w:shd w:val="clear" w:color="auto" w:fill="FFFFFF"/>
      <w:lang w:val="zh-CN" w:eastAsia="zh-CN" w:bidi="ar-SA"/>
    </w:rPr>
  </w:style>
  <w:style w:type="paragraph" w:customStyle="1" w:styleId="389">
    <w:name w:val="表格1"/>
    <w:basedOn w:val="1"/>
    <w:qFormat/>
    <w:uiPriority w:val="0"/>
    <w:pPr>
      <w:spacing w:line="480" w:lineRule="exact"/>
      <w:jc w:val="center"/>
    </w:pPr>
    <w:rPr>
      <w:sz w:val="24"/>
    </w:rPr>
  </w:style>
  <w:style w:type="character" w:customStyle="1" w:styleId="390">
    <w:name w:val="m lh15"/>
    <w:qFormat/>
    <w:uiPriority w:val="0"/>
  </w:style>
  <w:style w:type="paragraph" w:customStyle="1" w:styleId="391">
    <w:name w:val="样式 标题 2 + Times New Roman"/>
    <w:basedOn w:val="4"/>
    <w:link w:val="392"/>
    <w:qFormat/>
    <w:uiPriority w:val="0"/>
    <w:pPr>
      <w:keepNext w:val="0"/>
      <w:keepLines w:val="0"/>
      <w:spacing w:before="0" w:after="0" w:line="240" w:lineRule="auto"/>
      <w:ind w:firstLine="522" w:firstLineChars="200"/>
    </w:pPr>
    <w:rPr>
      <w:rFonts w:ascii="Times New Roman" w:hAnsi="Times New Roman" w:eastAsia="宋体"/>
      <w:sz w:val="26"/>
    </w:rPr>
  </w:style>
  <w:style w:type="character" w:customStyle="1" w:styleId="392">
    <w:name w:val="样式 标题 2 + Times New Roman Char"/>
    <w:link w:val="391"/>
    <w:qFormat/>
    <w:uiPriority w:val="0"/>
    <w:rPr>
      <w:rFonts w:eastAsia="宋体"/>
      <w:b/>
      <w:bCs/>
      <w:kern w:val="2"/>
      <w:sz w:val="26"/>
      <w:szCs w:val="32"/>
      <w:lang w:val="en-US" w:eastAsia="zh-CN" w:bidi="ar-SA"/>
    </w:rPr>
  </w:style>
  <w:style w:type="paragraph" w:customStyle="1" w:styleId="393">
    <w:name w:val="正文样式"/>
    <w:basedOn w:val="1"/>
    <w:qFormat/>
    <w:uiPriority w:val="0"/>
    <w:pPr>
      <w:adjustRightInd w:val="0"/>
      <w:snapToGrid w:val="0"/>
      <w:spacing w:line="460" w:lineRule="exact"/>
      <w:ind w:firstLine="200" w:firstLineChars="200"/>
    </w:pPr>
    <w:rPr>
      <w:color w:val="000000"/>
      <w:sz w:val="26"/>
      <w:szCs w:val="26"/>
    </w:rPr>
  </w:style>
  <w:style w:type="paragraph" w:customStyle="1" w:styleId="394">
    <w:name w:val="标题3 Char Char Char Char"/>
    <w:basedOn w:val="1"/>
    <w:qFormat/>
    <w:uiPriority w:val="0"/>
    <w:pPr>
      <w:spacing w:after="156" w:afterLines="50" w:line="560" w:lineRule="exact"/>
    </w:pPr>
    <w:rPr>
      <w:rFonts w:eastAsia="黑体"/>
      <w:sz w:val="30"/>
      <w:szCs w:val="30"/>
    </w:rPr>
  </w:style>
  <w:style w:type="paragraph" w:customStyle="1" w:styleId="395">
    <w:name w:val="正文4"/>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396">
    <w:name w:val="Char2 Char Char Char"/>
    <w:qFormat/>
    <w:uiPriority w:val="0"/>
    <w:rPr>
      <w:snapToGrid w:val="0"/>
      <w:kern w:val="2"/>
      <w:sz w:val="28"/>
      <w:szCs w:val="24"/>
    </w:rPr>
  </w:style>
  <w:style w:type="character" w:customStyle="1" w:styleId="397">
    <w:name w:val="要点2"/>
    <w:qFormat/>
    <w:uiPriority w:val="0"/>
    <w:rPr>
      <w:rFonts w:ascii="宋体" w:hAnsi="宋体" w:eastAsia="宋体"/>
      <w:b/>
    </w:rPr>
  </w:style>
  <w:style w:type="paragraph" w:customStyle="1" w:styleId="398">
    <w:name w:val="文章"/>
    <w:basedOn w:val="21"/>
    <w:link w:val="399"/>
    <w:qFormat/>
    <w:uiPriority w:val="0"/>
    <w:pPr>
      <w:adjustRightInd w:val="0"/>
      <w:snapToGrid w:val="0"/>
      <w:spacing w:before="62" w:beforeLines="20" w:after="62" w:afterLines="20" w:line="360" w:lineRule="auto"/>
      <w:ind w:firstLine="520" w:firstLineChars="200"/>
      <w:textAlignment w:val="baseline"/>
    </w:pPr>
    <w:rPr>
      <w:rFonts w:ascii="Garamond" w:hAnsi="Garamond"/>
      <w:kern w:val="0"/>
      <w:sz w:val="26"/>
    </w:rPr>
  </w:style>
  <w:style w:type="character" w:customStyle="1" w:styleId="399">
    <w:name w:val="文章 Char"/>
    <w:link w:val="398"/>
    <w:qFormat/>
    <w:uiPriority w:val="0"/>
    <w:rPr>
      <w:rFonts w:ascii="Garamond" w:hAnsi="Garamond"/>
      <w:sz w:val="26"/>
    </w:rPr>
  </w:style>
  <w:style w:type="paragraph" w:customStyle="1" w:styleId="400">
    <w:name w:val="Char Char Char Char Char Char Char Char Char Char Char Char Char"/>
    <w:basedOn w:val="1"/>
    <w:qFormat/>
    <w:uiPriority w:val="0"/>
    <w:pPr>
      <w:spacing w:before="50" w:beforeLines="50" w:after="50" w:afterLines="50"/>
      <w:ind w:firstLine="200" w:firstLineChars="200"/>
    </w:pPr>
    <w:rPr>
      <w:rFonts w:ascii="宋体" w:hAnsi="宋体" w:cs="Courier New"/>
      <w:spacing w:val="-2"/>
      <w:sz w:val="22"/>
      <w:szCs w:val="32"/>
    </w:rPr>
  </w:style>
  <w:style w:type="paragraph" w:customStyle="1" w:styleId="401">
    <w:name w:val="Char Char3 Char Char Char Char"/>
    <w:basedOn w:val="1"/>
    <w:link w:val="402"/>
    <w:qFormat/>
    <w:uiPriority w:val="0"/>
    <w:pPr>
      <w:widowControl/>
      <w:spacing w:after="160" w:line="240" w:lineRule="exact"/>
      <w:jc w:val="left"/>
    </w:pPr>
    <w:rPr>
      <w:rFonts w:ascii="Verdana" w:hAnsi="Verdana" w:eastAsia="仿宋_GB2312"/>
      <w:kern w:val="0"/>
      <w:sz w:val="30"/>
      <w:szCs w:val="30"/>
      <w:lang w:eastAsia="en-US"/>
    </w:rPr>
  </w:style>
  <w:style w:type="character" w:customStyle="1" w:styleId="402">
    <w:name w:val="Char Char3 Char Char Char Char Char Char"/>
    <w:link w:val="401"/>
    <w:qFormat/>
    <w:uiPriority w:val="0"/>
    <w:rPr>
      <w:rFonts w:ascii="Verdana" w:hAnsi="Verdana" w:eastAsia="仿宋_GB2312"/>
      <w:sz w:val="30"/>
      <w:szCs w:val="30"/>
      <w:lang w:eastAsia="en-US"/>
    </w:rPr>
  </w:style>
  <w:style w:type="paragraph" w:customStyle="1" w:styleId="403">
    <w:name w:val="正文 lsp"/>
    <w:basedOn w:val="1"/>
    <w:qFormat/>
    <w:uiPriority w:val="0"/>
    <w:pPr>
      <w:spacing w:line="360" w:lineRule="auto"/>
      <w:ind w:firstLine="480" w:firstLineChars="200"/>
    </w:pPr>
    <w:rPr>
      <w:rFonts w:ascii="宋体"/>
      <w:sz w:val="24"/>
    </w:rPr>
  </w:style>
  <w:style w:type="paragraph" w:customStyle="1" w:styleId="404">
    <w:name w:val="Default"/>
    <w:qFormat/>
    <w:uiPriority w:val="0"/>
    <w:pPr>
      <w:widowControl w:val="0"/>
      <w:autoSpaceDE w:val="0"/>
      <w:autoSpaceDN w:val="0"/>
      <w:adjustRightInd w:val="0"/>
    </w:pPr>
    <w:rPr>
      <w:rFonts w:ascii="新宋体" w:hAnsi="Times New Roman" w:eastAsia="新宋体" w:cs="新宋体"/>
      <w:color w:val="000000"/>
      <w:sz w:val="24"/>
      <w:szCs w:val="24"/>
      <w:lang w:val="en-US" w:eastAsia="zh-CN" w:bidi="ar-SA"/>
    </w:rPr>
  </w:style>
  <w:style w:type="paragraph" w:customStyle="1" w:styleId="405">
    <w:name w:val="Char Char Char"/>
    <w:basedOn w:val="1"/>
    <w:qFormat/>
    <w:uiPriority w:val="0"/>
    <w:rPr>
      <w:rFonts w:ascii="Tahoma" w:hAnsi="Tahoma"/>
      <w:sz w:val="24"/>
      <w:szCs w:val="20"/>
    </w:rPr>
  </w:style>
  <w:style w:type="paragraph" w:customStyle="1" w:styleId="406">
    <w:name w:val="样式 样式3 + 首行缩进:  2 字符"/>
    <w:basedOn w:val="236"/>
    <w:qFormat/>
    <w:uiPriority w:val="0"/>
    <w:pPr>
      <w:spacing w:line="360" w:lineRule="auto"/>
      <w:ind w:firstLine="480"/>
    </w:pPr>
    <w:rPr>
      <w:rFonts w:cs="宋体"/>
      <w:b w:val="0"/>
      <w:bCs/>
      <w:color w:val="000000"/>
      <w:sz w:val="24"/>
    </w:rPr>
  </w:style>
  <w:style w:type="paragraph" w:customStyle="1" w:styleId="407">
    <w:name w:val="gg_body"/>
    <w:basedOn w:val="1"/>
    <w:qFormat/>
    <w:uiPriority w:val="0"/>
    <w:pPr>
      <w:spacing w:line="460" w:lineRule="exact"/>
      <w:ind w:firstLine="200"/>
    </w:pPr>
    <w:rPr>
      <w:rFonts w:ascii="宋体" w:hAnsi="宋体"/>
      <w:sz w:val="24"/>
      <w:szCs w:val="20"/>
    </w:rPr>
  </w:style>
  <w:style w:type="paragraph" w:customStyle="1" w:styleId="408">
    <w:name w:val="表文排版"/>
    <w:basedOn w:val="34"/>
    <w:qFormat/>
    <w:uiPriority w:val="99"/>
    <w:pPr>
      <w:adjustRightInd w:val="0"/>
      <w:snapToGrid w:val="0"/>
      <w:spacing w:after="0"/>
      <w:jc w:val="center"/>
    </w:pPr>
    <w:rPr>
      <w:sz w:val="22"/>
    </w:rPr>
  </w:style>
  <w:style w:type="paragraph" w:customStyle="1" w:styleId="409">
    <w:name w:val="样式 四号 行距: 固定值 27 磅"/>
    <w:basedOn w:val="1"/>
    <w:qFormat/>
    <w:uiPriority w:val="0"/>
    <w:pPr>
      <w:spacing w:line="540" w:lineRule="exact"/>
      <w:ind w:left="40" w:leftChars="40" w:firstLine="200" w:firstLineChars="200"/>
    </w:pPr>
    <w:rPr>
      <w:rFonts w:cs="宋体"/>
      <w:kern w:val="28"/>
      <w:sz w:val="28"/>
      <w:szCs w:val="20"/>
    </w:rPr>
  </w:style>
  <w:style w:type="paragraph" w:customStyle="1" w:styleId="410">
    <w:name w:val="Char Char Char Char Char2 Char Char Char Char"/>
    <w:basedOn w:val="1"/>
    <w:next w:val="1"/>
    <w:link w:val="411"/>
    <w:qFormat/>
    <w:uiPriority w:val="0"/>
    <w:pPr>
      <w:adjustRightInd w:val="0"/>
      <w:snapToGrid w:val="0"/>
      <w:spacing w:line="360" w:lineRule="auto"/>
      <w:ind w:firstLine="200" w:firstLineChars="200"/>
    </w:pPr>
    <w:rPr>
      <w:rFonts w:ascii="宋体" w:hAnsi="宋体" w:cs="宋体"/>
      <w:sz w:val="24"/>
      <w:szCs w:val="26"/>
    </w:rPr>
  </w:style>
  <w:style w:type="character" w:customStyle="1" w:styleId="411">
    <w:name w:val="Char Char Char Char Char2 Char Char Char Char Char"/>
    <w:link w:val="410"/>
    <w:qFormat/>
    <w:uiPriority w:val="0"/>
    <w:rPr>
      <w:rFonts w:ascii="宋体" w:hAnsi="宋体" w:cs="宋体"/>
      <w:kern w:val="2"/>
      <w:sz w:val="24"/>
      <w:szCs w:val="26"/>
    </w:rPr>
  </w:style>
  <w:style w:type="paragraph" w:customStyle="1" w:styleId="412">
    <w:name w:val="样式6"/>
    <w:basedOn w:val="4"/>
    <w:link w:val="413"/>
    <w:qFormat/>
    <w:uiPriority w:val="0"/>
    <w:pPr>
      <w:keepNext w:val="0"/>
      <w:keepLines w:val="0"/>
      <w:adjustRightInd w:val="0"/>
      <w:spacing w:before="50" w:beforeLines="50" w:after="0" w:line="480" w:lineRule="exact"/>
      <w:ind w:firstLine="200" w:firstLineChars="200"/>
      <w:textAlignment w:val="baseline"/>
    </w:pPr>
    <w:rPr>
      <w:rFonts w:ascii="Times New Roman" w:hAnsi="Times New Roman" w:eastAsia="宋体"/>
      <w:bCs w:val="0"/>
      <w:snapToGrid w:val="0"/>
      <w:kern w:val="0"/>
      <w:sz w:val="26"/>
      <w:szCs w:val="26"/>
    </w:rPr>
  </w:style>
  <w:style w:type="character" w:customStyle="1" w:styleId="413">
    <w:name w:val="样式6 Char"/>
    <w:link w:val="412"/>
    <w:qFormat/>
    <w:uiPriority w:val="0"/>
    <w:rPr>
      <w:b/>
      <w:snapToGrid w:val="0"/>
      <w:sz w:val="26"/>
      <w:szCs w:val="26"/>
    </w:rPr>
  </w:style>
  <w:style w:type="paragraph" w:customStyle="1" w:styleId="414">
    <w:name w:val="样式 正文文本 + 四号 左侧:  0 厘米 行距: 固定值 28 磅"/>
    <w:basedOn w:val="34"/>
    <w:qFormat/>
    <w:uiPriority w:val="0"/>
    <w:pPr>
      <w:spacing w:after="0" w:line="540" w:lineRule="exact"/>
      <w:ind w:firstLine="200" w:firstLineChars="200"/>
    </w:pPr>
    <w:rPr>
      <w:rFonts w:cs="宋体"/>
      <w:kern w:val="0"/>
      <w:sz w:val="28"/>
      <w:szCs w:val="20"/>
    </w:rPr>
  </w:style>
  <w:style w:type="paragraph" w:customStyle="1" w:styleId="415">
    <w:name w:val="样式 四号 行距: 固定值 28 磅"/>
    <w:basedOn w:val="1"/>
    <w:qFormat/>
    <w:uiPriority w:val="0"/>
    <w:pPr>
      <w:spacing w:line="540" w:lineRule="exact"/>
      <w:ind w:firstLine="200" w:firstLineChars="200"/>
    </w:pPr>
    <w:rPr>
      <w:rFonts w:cs="宋体"/>
      <w:sz w:val="28"/>
      <w:szCs w:val="20"/>
    </w:rPr>
  </w:style>
  <w:style w:type="paragraph" w:customStyle="1" w:styleId="416">
    <w:name w:val="正文 + 四号"/>
    <w:basedOn w:val="70"/>
    <w:qFormat/>
    <w:uiPriority w:val="0"/>
    <w:pPr>
      <w:topLinePunct/>
      <w:spacing w:after="0" w:line="600" w:lineRule="exact"/>
      <w:ind w:left="0" w:leftChars="0" w:firstLine="560" w:firstLineChars="200"/>
    </w:pPr>
    <w:rPr>
      <w:sz w:val="28"/>
      <w:szCs w:val="28"/>
    </w:rPr>
  </w:style>
  <w:style w:type="paragraph" w:customStyle="1" w:styleId="417">
    <w:name w:val="样式8"/>
    <w:basedOn w:val="1"/>
    <w:qFormat/>
    <w:uiPriority w:val="0"/>
    <w:pPr>
      <w:spacing w:line="480" w:lineRule="exact"/>
      <w:ind w:firstLine="200" w:firstLineChars="200"/>
    </w:pPr>
    <w:rPr>
      <w:sz w:val="26"/>
      <w:szCs w:val="26"/>
    </w:rPr>
  </w:style>
  <w:style w:type="paragraph" w:customStyle="1" w:styleId="418">
    <w:name w:val="样式10"/>
    <w:basedOn w:val="1"/>
    <w:next w:val="1"/>
    <w:link w:val="419"/>
    <w:qFormat/>
    <w:uiPriority w:val="0"/>
    <w:pPr>
      <w:spacing w:line="480" w:lineRule="exact"/>
      <w:ind w:firstLine="522"/>
      <w:outlineLvl w:val="1"/>
    </w:pPr>
    <w:rPr>
      <w:b/>
      <w:sz w:val="26"/>
    </w:rPr>
  </w:style>
  <w:style w:type="character" w:customStyle="1" w:styleId="419">
    <w:name w:val="样式10 Char"/>
    <w:link w:val="418"/>
    <w:qFormat/>
    <w:uiPriority w:val="0"/>
    <w:rPr>
      <w:b/>
      <w:kern w:val="2"/>
      <w:sz w:val="26"/>
      <w:szCs w:val="24"/>
    </w:rPr>
  </w:style>
  <w:style w:type="paragraph" w:customStyle="1" w:styleId="420">
    <w:name w:val="样式12"/>
    <w:basedOn w:val="1"/>
    <w:qFormat/>
    <w:uiPriority w:val="0"/>
    <w:pPr>
      <w:jc w:val="center"/>
    </w:pPr>
    <w:rPr>
      <w:sz w:val="22"/>
      <w:szCs w:val="22"/>
    </w:rPr>
  </w:style>
  <w:style w:type="paragraph" w:customStyle="1" w:styleId="421">
    <w:name w:val="样式14"/>
    <w:basedOn w:val="412"/>
    <w:link w:val="422"/>
    <w:qFormat/>
    <w:uiPriority w:val="0"/>
  </w:style>
  <w:style w:type="character" w:customStyle="1" w:styleId="422">
    <w:name w:val="样式14 Char"/>
    <w:link w:val="421"/>
    <w:qFormat/>
    <w:uiPriority w:val="0"/>
    <w:rPr>
      <w:b/>
      <w:snapToGrid w:val="0"/>
      <w:sz w:val="26"/>
      <w:szCs w:val="26"/>
    </w:rPr>
  </w:style>
  <w:style w:type="paragraph" w:customStyle="1" w:styleId="423">
    <w:name w:val="样式16"/>
    <w:basedOn w:val="417"/>
    <w:link w:val="424"/>
    <w:qFormat/>
    <w:uiPriority w:val="0"/>
    <w:pPr>
      <w:ind w:firstLine="522"/>
      <w:outlineLvl w:val="1"/>
    </w:pPr>
    <w:rPr>
      <w:b/>
    </w:rPr>
  </w:style>
  <w:style w:type="character" w:customStyle="1" w:styleId="424">
    <w:name w:val="样式16 Char"/>
    <w:link w:val="423"/>
    <w:qFormat/>
    <w:uiPriority w:val="0"/>
    <w:rPr>
      <w:rFonts w:eastAsia="宋体"/>
      <w:b/>
      <w:kern w:val="2"/>
      <w:sz w:val="26"/>
      <w:szCs w:val="26"/>
      <w:lang w:val="en-US" w:eastAsia="zh-CN" w:bidi="ar-SA"/>
    </w:rPr>
  </w:style>
  <w:style w:type="paragraph" w:customStyle="1" w:styleId="425">
    <w:name w:val="样式18"/>
    <w:basedOn w:val="205"/>
    <w:link w:val="426"/>
    <w:qFormat/>
    <w:uiPriority w:val="0"/>
  </w:style>
  <w:style w:type="character" w:customStyle="1" w:styleId="426">
    <w:name w:val="样式18 Char"/>
    <w:link w:val="425"/>
    <w:qFormat/>
    <w:uiPriority w:val="0"/>
    <w:rPr>
      <w:kern w:val="2"/>
      <w:sz w:val="26"/>
      <w:szCs w:val="26"/>
    </w:rPr>
  </w:style>
  <w:style w:type="paragraph" w:customStyle="1" w:styleId="427">
    <w:name w:val="默认段落字体 Para Char Char Char Char"/>
    <w:basedOn w:val="1"/>
    <w:qFormat/>
    <w:uiPriority w:val="0"/>
    <w:rPr>
      <w:sz w:val="24"/>
    </w:rPr>
  </w:style>
  <w:style w:type="paragraph" w:customStyle="1" w:styleId="428">
    <w:name w:val="Char Char Char Char Char Char Char Char Char Char Char Char Char Char Char Char Char Char1 Char Char Char Char Char Char Char Char Char Char Char Char Char"/>
    <w:basedOn w:val="1"/>
    <w:qFormat/>
    <w:uiPriority w:val="0"/>
    <w:pPr>
      <w:spacing w:line="360" w:lineRule="auto"/>
      <w:ind w:firstLine="200" w:firstLineChars="200"/>
    </w:pPr>
    <w:rPr>
      <w:rFonts w:ascii="Courier New" w:hAnsi="Courier New" w:cs="Courier New"/>
      <w:sz w:val="24"/>
    </w:rPr>
  </w:style>
  <w:style w:type="table" w:customStyle="1" w:styleId="429">
    <w:name w:val="网格型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0">
    <w:name w:val="网格型3"/>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31">
    <w:name w:val="Plain Text Char Char Char Char Char Char Char Char Char Char Char Char Char Char Char Char"/>
    <w:qFormat/>
    <w:uiPriority w:val="0"/>
    <w:rPr>
      <w:rFonts w:ascii="宋体" w:hAnsi="Courier New" w:eastAsia="宋体" w:cs="Courier New"/>
      <w:kern w:val="2"/>
      <w:sz w:val="21"/>
      <w:szCs w:val="21"/>
      <w:lang w:val="en-US" w:eastAsia="zh-CN" w:bidi="ar-SA"/>
    </w:rPr>
  </w:style>
  <w:style w:type="character" w:customStyle="1" w:styleId="432">
    <w:name w:val="apple-style-span"/>
    <w:qFormat/>
    <w:uiPriority w:val="0"/>
  </w:style>
  <w:style w:type="character" w:customStyle="1" w:styleId="433">
    <w:name w:val="表格内容 Char Char"/>
    <w:qFormat/>
    <w:uiPriority w:val="0"/>
    <w:rPr>
      <w:rFonts w:ascii="宋体" w:hAnsi="宋体" w:eastAsia="宋体"/>
      <w:sz w:val="21"/>
      <w:szCs w:val="21"/>
      <w:lang w:val="en-US" w:eastAsia="zh-CN" w:bidi="ar-SA"/>
    </w:rPr>
  </w:style>
  <w:style w:type="character" w:customStyle="1" w:styleId="434">
    <w:name w:val="页眉 Char Char"/>
    <w:qFormat/>
    <w:uiPriority w:val="0"/>
    <w:rPr>
      <w:kern w:val="2"/>
      <w:sz w:val="18"/>
      <w:szCs w:val="18"/>
    </w:rPr>
  </w:style>
  <w:style w:type="character" w:customStyle="1" w:styleId="435">
    <w:name w:val="123YJ Char"/>
    <w:qFormat/>
    <w:uiPriority w:val="0"/>
    <w:rPr>
      <w:kern w:val="2"/>
      <w:sz w:val="18"/>
      <w:szCs w:val="18"/>
    </w:rPr>
  </w:style>
  <w:style w:type="paragraph" w:customStyle="1" w:styleId="436">
    <w:name w:val="图名"/>
    <w:basedOn w:val="1"/>
    <w:link w:val="437"/>
    <w:qFormat/>
    <w:uiPriority w:val="0"/>
    <w:pPr>
      <w:tabs>
        <w:tab w:val="left" w:pos="540"/>
      </w:tabs>
      <w:ind w:firstLine="1084" w:firstLineChars="450"/>
      <w:jc w:val="center"/>
    </w:pPr>
    <w:rPr>
      <w:rFonts w:ascii="宋体" w:hAnsi="宋体"/>
      <w:b/>
      <w:kern w:val="0"/>
      <w:szCs w:val="21"/>
    </w:rPr>
  </w:style>
  <w:style w:type="character" w:customStyle="1" w:styleId="437">
    <w:name w:val="图名 Char Char"/>
    <w:link w:val="436"/>
    <w:qFormat/>
    <w:uiPriority w:val="0"/>
    <w:rPr>
      <w:rFonts w:ascii="宋体" w:hAnsi="宋体"/>
      <w:b/>
      <w:sz w:val="21"/>
      <w:szCs w:val="21"/>
    </w:rPr>
  </w:style>
  <w:style w:type="paragraph" w:customStyle="1" w:styleId="438">
    <w:name w:val="样式 四号"/>
    <w:basedOn w:val="1"/>
    <w:link w:val="439"/>
    <w:qFormat/>
    <w:uiPriority w:val="0"/>
    <w:pPr>
      <w:ind w:firstLine="540" w:firstLineChars="193"/>
    </w:pPr>
    <w:rPr>
      <w:sz w:val="28"/>
      <w:szCs w:val="20"/>
    </w:rPr>
  </w:style>
  <w:style w:type="character" w:customStyle="1" w:styleId="439">
    <w:name w:val="样式 四号 Char"/>
    <w:link w:val="438"/>
    <w:qFormat/>
    <w:uiPriority w:val="0"/>
    <w:rPr>
      <w:rFonts w:eastAsia="宋体"/>
      <w:kern w:val="2"/>
      <w:sz w:val="28"/>
      <w:lang w:bidi="ar-SA"/>
    </w:rPr>
  </w:style>
  <w:style w:type="table" w:customStyle="1" w:styleId="440">
    <w:name w:val="网格型4"/>
    <w:basedOn w:val="8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1">
    <w:name w:val="网格型5"/>
    <w:basedOn w:val="8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2">
    <w:name w:val="网格型6"/>
    <w:basedOn w:val="8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43">
    <w:name w:val="z-窗体底端1"/>
    <w:basedOn w:val="1"/>
    <w:next w:val="1"/>
    <w:link w:val="444"/>
    <w:qFormat/>
    <w:uiPriority w:val="0"/>
    <w:pPr>
      <w:pBdr>
        <w:top w:val="single" w:color="auto" w:sz="6" w:space="1"/>
      </w:pBdr>
      <w:spacing w:line="480" w:lineRule="exact"/>
      <w:ind w:firstLine="200" w:firstLineChars="200"/>
      <w:jc w:val="center"/>
    </w:pPr>
    <w:rPr>
      <w:rFonts w:ascii="Arial" w:hAnsi="Arial" w:eastAsia="仿宋_GB2312"/>
      <w:vanish/>
      <w:sz w:val="16"/>
      <w:szCs w:val="16"/>
    </w:rPr>
  </w:style>
  <w:style w:type="character" w:customStyle="1" w:styleId="444">
    <w:name w:val="z-窗体底端 字符"/>
    <w:link w:val="443"/>
    <w:qFormat/>
    <w:uiPriority w:val="0"/>
    <w:rPr>
      <w:rFonts w:ascii="Arial" w:hAnsi="Arial" w:eastAsia="仿宋_GB2312"/>
      <w:vanish/>
      <w:kern w:val="2"/>
      <w:sz w:val="16"/>
      <w:szCs w:val="16"/>
    </w:rPr>
  </w:style>
  <w:style w:type="paragraph" w:customStyle="1" w:styleId="445">
    <w:name w:val="z-窗体顶端1"/>
    <w:basedOn w:val="1"/>
    <w:next w:val="1"/>
    <w:link w:val="446"/>
    <w:qFormat/>
    <w:uiPriority w:val="0"/>
    <w:pPr>
      <w:pBdr>
        <w:bottom w:val="single" w:color="auto" w:sz="6" w:space="1"/>
      </w:pBdr>
      <w:spacing w:line="480" w:lineRule="exact"/>
      <w:ind w:firstLine="200" w:firstLineChars="200"/>
      <w:jc w:val="center"/>
    </w:pPr>
    <w:rPr>
      <w:rFonts w:ascii="Arial" w:hAnsi="Arial" w:eastAsia="仿宋_GB2312"/>
      <w:vanish/>
      <w:sz w:val="16"/>
      <w:szCs w:val="16"/>
    </w:rPr>
  </w:style>
  <w:style w:type="character" w:customStyle="1" w:styleId="446">
    <w:name w:val="z-窗体顶端 字符"/>
    <w:link w:val="445"/>
    <w:qFormat/>
    <w:uiPriority w:val="0"/>
    <w:rPr>
      <w:rFonts w:ascii="Arial" w:hAnsi="Arial" w:eastAsia="仿宋_GB2312"/>
      <w:vanish/>
      <w:kern w:val="2"/>
      <w:sz w:val="16"/>
      <w:szCs w:val="16"/>
    </w:rPr>
  </w:style>
  <w:style w:type="character" w:customStyle="1" w:styleId="447">
    <w:name w:val="@Superscript"/>
    <w:qFormat/>
    <w:uiPriority w:val="0"/>
    <w:rPr>
      <w:color w:val="0000FF"/>
      <w:vertAlign w:val="superscript"/>
    </w:rPr>
  </w:style>
  <w:style w:type="character" w:customStyle="1" w:styleId="448">
    <w:name w:val="@Variance"/>
    <w:qFormat/>
    <w:uiPriority w:val="0"/>
    <w:rPr>
      <w:i/>
      <w:color w:val="0000FF"/>
    </w:rPr>
  </w:style>
  <w:style w:type="paragraph" w:customStyle="1" w:styleId="449">
    <w:name w:val="!Abstract"/>
    <w:next w:val="1"/>
    <w:qFormat/>
    <w:uiPriority w:val="0"/>
    <w:pPr>
      <w:spacing w:afterLines="100" w:line="460" w:lineRule="exact"/>
      <w:jc w:val="both"/>
    </w:pPr>
    <w:rPr>
      <w:rFonts w:ascii="Times New Roman" w:hAnsi="Times New Roman" w:eastAsia="宋体" w:cs="Angsana New"/>
      <w:bCs/>
      <w:sz w:val="24"/>
      <w:szCs w:val="24"/>
      <w:lang w:val="en-US" w:eastAsia="zh-CN" w:bidi="th-TH"/>
    </w:rPr>
  </w:style>
  <w:style w:type="paragraph" w:customStyle="1" w:styleId="450">
    <w:name w:val="!footnote"/>
    <w:qFormat/>
    <w:uiPriority w:val="0"/>
    <w:pPr>
      <w:framePr w:hSpace="187" w:vSpace="187" w:wrap="notBeside" w:vAnchor="text" w:hAnchor="page" w:x="6121" w:y="577"/>
      <w:spacing w:afterLines="100" w:line="460" w:lineRule="exact"/>
      <w:jc w:val="center"/>
    </w:pPr>
    <w:rPr>
      <w:rFonts w:ascii="Times New Roman" w:hAnsi="Times New Roman" w:eastAsia="宋体" w:cs="Angsana New"/>
      <w:sz w:val="16"/>
      <w:szCs w:val="16"/>
      <w:lang w:val="en-US" w:eastAsia="en-US" w:bidi="th-TH"/>
    </w:rPr>
  </w:style>
  <w:style w:type="paragraph" w:customStyle="1" w:styleId="451">
    <w:name w:val="!Paper Subtitle"/>
    <w:basedOn w:val="1"/>
    <w:qFormat/>
    <w:uiPriority w:val="0"/>
    <w:pPr>
      <w:spacing w:beforeLines="100" w:afterLines="50" w:line="480" w:lineRule="auto"/>
      <w:ind w:firstLine="200" w:firstLineChars="200"/>
      <w:jc w:val="center"/>
      <w:outlineLvl w:val="0"/>
    </w:pPr>
    <w:rPr>
      <w:rFonts w:eastAsia="黑体"/>
      <w:b/>
      <w:color w:val="000000"/>
      <w:spacing w:val="100"/>
      <w:kern w:val="0"/>
      <w:sz w:val="40"/>
      <w:szCs w:val="40"/>
    </w:rPr>
  </w:style>
  <w:style w:type="paragraph" w:customStyle="1" w:styleId="452">
    <w:name w:val="!Paper Title"/>
    <w:basedOn w:val="1"/>
    <w:qFormat/>
    <w:uiPriority w:val="0"/>
    <w:pPr>
      <w:spacing w:line="360" w:lineRule="auto"/>
      <w:ind w:firstLine="200" w:firstLineChars="200"/>
      <w:jc w:val="center"/>
    </w:pPr>
    <w:rPr>
      <w:rFonts w:eastAsia="楷体_GB2312"/>
      <w:b/>
      <w:bCs/>
      <w:color w:val="000000"/>
      <w:sz w:val="52"/>
      <w:szCs w:val="52"/>
    </w:rPr>
  </w:style>
  <w:style w:type="paragraph" w:customStyle="1" w:styleId="453">
    <w:name w:val="!references"/>
    <w:basedOn w:val="1"/>
    <w:qFormat/>
    <w:uiPriority w:val="0"/>
    <w:pPr>
      <w:numPr>
        <w:ilvl w:val="0"/>
        <w:numId w:val="6"/>
      </w:numPr>
      <w:spacing w:line="480" w:lineRule="exact"/>
      <w:ind w:firstLine="200" w:firstLineChars="200"/>
    </w:pPr>
    <w:rPr>
      <w:color w:val="000000"/>
      <w:sz w:val="26"/>
      <w:szCs w:val="28"/>
      <w:lang w:eastAsia="en-US" w:bidi="th-TH"/>
    </w:rPr>
  </w:style>
  <w:style w:type="paragraph" w:customStyle="1" w:styleId="454">
    <w:name w:val="!sponsors"/>
    <w:qFormat/>
    <w:uiPriority w:val="0"/>
    <w:pPr>
      <w:framePr w:wrap="around" w:vAnchor="margin" w:hAnchor="text" w:x="615" w:y="2239"/>
      <w:pBdr>
        <w:top w:val="single" w:color="auto" w:sz="4" w:space="2"/>
      </w:pBdr>
      <w:spacing w:afterLines="100" w:line="460" w:lineRule="exact"/>
      <w:ind w:firstLine="288"/>
      <w:jc w:val="center"/>
    </w:pPr>
    <w:rPr>
      <w:rFonts w:ascii="Times New Roman" w:hAnsi="Times New Roman" w:eastAsia="宋体" w:cs="Angsana New"/>
      <w:sz w:val="16"/>
      <w:szCs w:val="16"/>
      <w:lang w:val="en-US" w:eastAsia="en-US" w:bidi="th-TH"/>
    </w:rPr>
  </w:style>
  <w:style w:type="paragraph" w:customStyle="1" w:styleId="455">
    <w:name w:val="!table col head"/>
    <w:basedOn w:val="1"/>
    <w:qFormat/>
    <w:uiPriority w:val="0"/>
    <w:pPr>
      <w:spacing w:line="480" w:lineRule="exact"/>
      <w:ind w:firstLine="200" w:firstLineChars="200"/>
    </w:pPr>
    <w:rPr>
      <w:b/>
      <w:bCs/>
      <w:color w:val="000000"/>
      <w:sz w:val="26"/>
      <w:szCs w:val="16"/>
    </w:rPr>
  </w:style>
  <w:style w:type="paragraph" w:customStyle="1" w:styleId="456">
    <w:name w:val="!table copy"/>
    <w:qFormat/>
    <w:uiPriority w:val="0"/>
    <w:pPr>
      <w:spacing w:afterLines="100" w:line="460" w:lineRule="exact"/>
      <w:jc w:val="both"/>
    </w:pPr>
    <w:rPr>
      <w:rFonts w:ascii="Times New Roman" w:hAnsi="Times New Roman" w:eastAsia="宋体" w:cs="Angsana New"/>
      <w:sz w:val="21"/>
      <w:szCs w:val="16"/>
      <w:lang w:val="en-US" w:eastAsia="en-US" w:bidi="th-TH"/>
    </w:rPr>
  </w:style>
  <w:style w:type="paragraph" w:customStyle="1" w:styleId="457">
    <w:name w:val="!table footnote"/>
    <w:qFormat/>
    <w:uiPriority w:val="0"/>
    <w:pPr>
      <w:spacing w:before="60" w:afterLines="100" w:line="460" w:lineRule="exact"/>
      <w:jc w:val="right"/>
    </w:pPr>
    <w:rPr>
      <w:rFonts w:ascii="Times New Roman" w:hAnsi="Times New Roman" w:eastAsia="宋体" w:cs="Angsana New"/>
      <w:sz w:val="21"/>
      <w:szCs w:val="18"/>
      <w:lang w:val="en-US" w:eastAsia="en-US" w:bidi="th-TH"/>
    </w:rPr>
  </w:style>
  <w:style w:type="paragraph" w:customStyle="1" w:styleId="458">
    <w:name w:val="@Temp段落"/>
    <w:basedOn w:val="52"/>
    <w:link w:val="459"/>
    <w:qFormat/>
    <w:uiPriority w:val="0"/>
    <w:pPr>
      <w:tabs>
        <w:tab w:val="left" w:pos="718"/>
        <w:tab w:val="clear" w:pos="420"/>
      </w:tabs>
      <w:ind w:left="342" w:hanging="342" w:hangingChars="342"/>
      <w:jc w:val="both"/>
    </w:pPr>
  </w:style>
  <w:style w:type="character" w:customStyle="1" w:styleId="459">
    <w:name w:val="@Temp段落 Char Char"/>
    <w:link w:val="458"/>
    <w:qFormat/>
    <w:uiPriority w:val="0"/>
    <w:rPr>
      <w:rFonts w:eastAsia="宋体"/>
      <w:kern w:val="2"/>
      <w:sz w:val="21"/>
      <w:szCs w:val="21"/>
      <w:lang w:val="en-US" w:eastAsia="zh-CN" w:bidi="ar-SA"/>
    </w:rPr>
  </w:style>
  <w:style w:type="paragraph" w:customStyle="1" w:styleId="460">
    <w:name w:val="!Author"/>
    <w:next w:val="1"/>
    <w:qFormat/>
    <w:uiPriority w:val="0"/>
    <w:pPr>
      <w:spacing w:before="360" w:afterLines="100" w:line="460" w:lineRule="exact"/>
      <w:jc w:val="center"/>
    </w:pPr>
    <w:rPr>
      <w:rFonts w:ascii="Times New Roman" w:hAnsi="Times New Roman" w:eastAsia="宋体" w:cs="Angsana New"/>
      <w:sz w:val="24"/>
      <w:szCs w:val="24"/>
      <w:lang w:val="en-US" w:eastAsia="zh-CN" w:bidi="th-TH"/>
    </w:rPr>
  </w:style>
  <w:style w:type="paragraph" w:customStyle="1" w:styleId="461">
    <w:name w:val="!Date"/>
    <w:next w:val="1"/>
    <w:qFormat/>
    <w:uiPriority w:val="0"/>
    <w:pPr>
      <w:spacing w:before="40" w:afterLines="100" w:line="460" w:lineRule="exact"/>
      <w:jc w:val="center"/>
    </w:pPr>
    <w:rPr>
      <w:rFonts w:ascii="Times New Roman" w:hAnsi="Times New Roman" w:eastAsia="宋体" w:cs="Times New Roman"/>
      <w:kern w:val="2"/>
      <w:sz w:val="24"/>
      <w:szCs w:val="24"/>
      <w:lang w:val="en-US" w:eastAsia="zh-CN" w:bidi="ar-SA"/>
    </w:rPr>
  </w:style>
  <w:style w:type="paragraph" w:customStyle="1" w:styleId="462">
    <w:name w:val="!Equation caption"/>
    <w:basedOn w:val="1"/>
    <w:qFormat/>
    <w:uiPriority w:val="0"/>
    <w:pPr>
      <w:spacing w:line="480" w:lineRule="exact"/>
      <w:ind w:firstLine="200" w:firstLineChars="200"/>
    </w:pPr>
    <w:rPr>
      <w:color w:val="000000"/>
      <w:kern w:val="0"/>
      <w:sz w:val="26"/>
      <w:szCs w:val="28"/>
    </w:rPr>
  </w:style>
  <w:style w:type="paragraph" w:customStyle="1" w:styleId="463">
    <w:name w:val="!Figure"/>
    <w:basedOn w:val="1"/>
    <w:next w:val="1"/>
    <w:qFormat/>
    <w:uiPriority w:val="0"/>
    <w:pPr>
      <w:spacing w:line="480" w:lineRule="exact"/>
      <w:ind w:firstLine="200" w:firstLineChars="200"/>
      <w:jc w:val="center"/>
    </w:pPr>
    <w:rPr>
      <w:color w:val="000000"/>
      <w:sz w:val="26"/>
      <w:szCs w:val="28"/>
    </w:rPr>
  </w:style>
  <w:style w:type="paragraph" w:customStyle="1" w:styleId="464">
    <w:name w:val="!Keyword"/>
    <w:next w:val="1"/>
    <w:qFormat/>
    <w:uiPriority w:val="0"/>
    <w:pPr>
      <w:spacing w:afterLines="100" w:line="460" w:lineRule="exact"/>
      <w:jc w:val="center"/>
    </w:pPr>
    <w:rPr>
      <w:rFonts w:ascii="Times New Roman" w:hAnsi="Times New Roman" w:eastAsia="宋体" w:cs="Times New Roman"/>
      <w:b/>
      <w:kern w:val="2"/>
      <w:sz w:val="21"/>
      <w:szCs w:val="24"/>
      <w:lang w:val="en-US" w:eastAsia="zh-CN" w:bidi="ar-SA"/>
    </w:rPr>
  </w:style>
  <w:style w:type="paragraph" w:customStyle="1" w:styleId="465">
    <w:name w:val="!List bullet"/>
    <w:basedOn w:val="1"/>
    <w:next w:val="1"/>
    <w:qFormat/>
    <w:uiPriority w:val="0"/>
    <w:pPr>
      <w:numPr>
        <w:ilvl w:val="0"/>
        <w:numId w:val="7"/>
      </w:numPr>
      <w:spacing w:line="480" w:lineRule="exact"/>
      <w:ind w:firstLine="200" w:firstLineChars="200"/>
    </w:pPr>
    <w:rPr>
      <w:color w:val="000000"/>
      <w:sz w:val="26"/>
      <w:szCs w:val="28"/>
    </w:rPr>
  </w:style>
  <w:style w:type="paragraph" w:customStyle="1" w:styleId="466">
    <w:name w:val="!List number"/>
    <w:next w:val="1"/>
    <w:link w:val="469"/>
    <w:qFormat/>
    <w:uiPriority w:val="0"/>
    <w:pPr>
      <w:numPr>
        <w:ilvl w:val="0"/>
        <w:numId w:val="8"/>
      </w:numPr>
      <w:tabs>
        <w:tab w:val="left" w:pos="1240"/>
        <w:tab w:val="clear" w:pos="941"/>
      </w:tabs>
      <w:ind w:left="1240" w:firstLine="0"/>
    </w:pPr>
    <w:rPr>
      <w:rFonts w:ascii="Times New Roman" w:hAnsi="Times New Roman" w:eastAsia="宋体" w:cs="Times New Roman"/>
      <w:szCs w:val="21"/>
      <w:lang w:val="en-US" w:eastAsia="zh-CN" w:bidi="ar-SA"/>
    </w:rPr>
  </w:style>
  <w:style w:type="paragraph" w:customStyle="1" w:styleId="467">
    <w:name w:val="!Paragraph"/>
    <w:basedOn w:val="1"/>
    <w:link w:val="468"/>
    <w:qFormat/>
    <w:uiPriority w:val="0"/>
    <w:pPr>
      <w:spacing w:before="160" w:after="160" w:line="440" w:lineRule="atLeast"/>
      <w:ind w:firstLine="200" w:firstLineChars="200"/>
    </w:pPr>
    <w:rPr>
      <w:sz w:val="24"/>
    </w:rPr>
  </w:style>
  <w:style w:type="character" w:customStyle="1" w:styleId="468">
    <w:name w:val="!Paragraph Char"/>
    <w:link w:val="467"/>
    <w:qFormat/>
    <w:uiPriority w:val="0"/>
    <w:rPr>
      <w:kern w:val="2"/>
      <w:sz w:val="24"/>
      <w:szCs w:val="24"/>
      <w:lang w:bidi="ar-SA"/>
    </w:rPr>
  </w:style>
  <w:style w:type="character" w:customStyle="1" w:styleId="469">
    <w:name w:val="!List number Char"/>
    <w:link w:val="466"/>
    <w:qFormat/>
    <w:uiPriority w:val="0"/>
    <w:rPr>
      <w:kern w:val="2"/>
      <w:sz w:val="24"/>
      <w:szCs w:val="21"/>
    </w:rPr>
  </w:style>
  <w:style w:type="paragraph" w:customStyle="1" w:styleId="470">
    <w:name w:val="!Subtitle"/>
    <w:next w:val="1"/>
    <w:qFormat/>
    <w:uiPriority w:val="0"/>
    <w:pPr>
      <w:spacing w:afterLines="100" w:line="460" w:lineRule="exact"/>
      <w:jc w:val="center"/>
    </w:pPr>
    <w:rPr>
      <w:rFonts w:ascii="Times New Roman" w:hAnsi="Times New Roman" w:eastAsia="宋体" w:cs="Times New Roman"/>
      <w:sz w:val="28"/>
      <w:szCs w:val="28"/>
      <w:lang w:val="en-US" w:eastAsia="zh-CN" w:bidi="th-TH"/>
    </w:rPr>
  </w:style>
  <w:style w:type="paragraph" w:customStyle="1" w:styleId="471">
    <w:name w:val="!Title"/>
    <w:next w:val="470"/>
    <w:qFormat/>
    <w:uiPriority w:val="0"/>
    <w:pPr>
      <w:spacing w:afterLines="100" w:line="460" w:lineRule="exact"/>
      <w:jc w:val="center"/>
    </w:pPr>
    <w:rPr>
      <w:rFonts w:ascii="Times New Roman" w:hAnsi="Times New Roman" w:eastAsia="宋体" w:cs="Times New Roman"/>
      <w:sz w:val="48"/>
      <w:szCs w:val="48"/>
      <w:lang w:val="en-US" w:eastAsia="zh-CN" w:bidi="th-TH"/>
    </w:rPr>
  </w:style>
  <w:style w:type="character" w:customStyle="1" w:styleId="472">
    <w:name w:val="@Subscript"/>
    <w:qFormat/>
    <w:uiPriority w:val="0"/>
    <w:rPr>
      <w:color w:val="0000FF"/>
      <w:vertAlign w:val="subscript"/>
    </w:rPr>
  </w:style>
  <w:style w:type="character" w:customStyle="1" w:styleId="473">
    <w:name w:val="@高亮1"/>
    <w:qFormat/>
    <w:uiPriority w:val="0"/>
    <w:rPr>
      <w:color w:val="0000FF"/>
    </w:rPr>
  </w:style>
  <w:style w:type="character" w:customStyle="1" w:styleId="474">
    <w:name w:val="@高亮2"/>
    <w:qFormat/>
    <w:uiPriority w:val="0"/>
    <w:rPr>
      <w:color w:val="FF0000"/>
    </w:rPr>
  </w:style>
  <w:style w:type="character" w:customStyle="1" w:styleId="475">
    <w:name w:val="@高亮3"/>
    <w:qFormat/>
    <w:uiPriority w:val="0"/>
    <w:rPr>
      <w:color w:val="FF00FF"/>
    </w:rPr>
  </w:style>
  <w:style w:type="character" w:customStyle="1" w:styleId="476">
    <w:name w:val="@高亮4"/>
    <w:qFormat/>
    <w:uiPriority w:val="0"/>
    <w:rPr>
      <w:shd w:val="clear" w:color="auto" w:fill="FFFF00"/>
    </w:rPr>
  </w:style>
  <w:style w:type="character" w:customStyle="1" w:styleId="477">
    <w:name w:val="@高亮5"/>
    <w:qFormat/>
    <w:uiPriority w:val="0"/>
    <w:rPr>
      <w:shd w:val="clear" w:color="auto" w:fill="CC99FF"/>
    </w:rPr>
  </w:style>
  <w:style w:type="paragraph" w:customStyle="1" w:styleId="478">
    <w:name w:val="!Equation"/>
    <w:basedOn w:val="1"/>
    <w:next w:val="1"/>
    <w:qFormat/>
    <w:uiPriority w:val="0"/>
    <w:pPr>
      <w:tabs>
        <w:tab w:val="center" w:pos="4368"/>
        <w:tab w:val="right" w:pos="8280"/>
      </w:tabs>
      <w:snapToGrid w:val="0"/>
      <w:spacing w:beforeLines="50" w:after="100" w:afterAutospacing="1" w:line="440" w:lineRule="atLeast"/>
      <w:ind w:firstLine="200" w:firstLineChars="200"/>
    </w:pPr>
    <w:rPr>
      <w:color w:val="000000"/>
      <w:sz w:val="26"/>
      <w:szCs w:val="28"/>
    </w:rPr>
  </w:style>
  <w:style w:type="paragraph" w:customStyle="1" w:styleId="479">
    <w:name w:val="!Figure and Table caption"/>
    <w:basedOn w:val="1"/>
    <w:qFormat/>
    <w:uiPriority w:val="0"/>
    <w:pPr>
      <w:spacing w:beforeLines="50" w:afterLines="50" w:line="480" w:lineRule="exact"/>
      <w:ind w:firstLine="200" w:firstLineChars="200"/>
      <w:jc w:val="center"/>
    </w:pPr>
    <w:rPr>
      <w:rFonts w:ascii="Arial" w:hAnsi="Arial" w:eastAsia="黑体" w:cs="宋体"/>
      <w:b/>
      <w:bCs/>
      <w:color w:val="000000"/>
      <w:sz w:val="26"/>
      <w:szCs w:val="20"/>
    </w:rPr>
  </w:style>
  <w:style w:type="character" w:customStyle="1" w:styleId="480">
    <w:name w:val="样式 宋体 四号"/>
    <w:qFormat/>
    <w:uiPriority w:val="0"/>
    <w:rPr>
      <w:rFonts w:ascii="宋体" w:hAnsi="宋体" w:eastAsia="宋体"/>
      <w:sz w:val="28"/>
    </w:rPr>
  </w:style>
  <w:style w:type="table" w:customStyle="1" w:styleId="481">
    <w:name w:val="网格型c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82">
    <w:name w:val="交叉引用"/>
    <w:qFormat/>
    <w:uiPriority w:val="0"/>
    <w:rPr>
      <w:rFonts w:eastAsia="宋体"/>
      <w:sz w:val="24"/>
    </w:rPr>
  </w:style>
  <w:style w:type="paragraph" w:customStyle="1" w:styleId="483">
    <w:name w:val="样式 题注 + 居中"/>
    <w:basedOn w:val="22"/>
    <w:qFormat/>
    <w:uiPriority w:val="0"/>
    <w:pPr>
      <w:keepLines/>
      <w:spacing w:line="480" w:lineRule="exact"/>
      <w:ind w:firstLine="0" w:firstLineChars="0"/>
      <w:jc w:val="center"/>
    </w:pPr>
    <w:rPr>
      <w:rFonts w:eastAsia="宋体" w:cs="宋体"/>
      <w:b/>
      <w:caps w:val="0"/>
      <w:color w:val="000000"/>
      <w:spacing w:val="0"/>
      <w:sz w:val="26"/>
      <w:szCs w:val="20"/>
    </w:rPr>
  </w:style>
  <w:style w:type="paragraph" w:customStyle="1" w:styleId="484">
    <w:name w:val="样式 标题 2 + 行距: 多倍行距 1.73 字行"/>
    <w:basedOn w:val="4"/>
    <w:qFormat/>
    <w:uiPriority w:val="0"/>
    <w:pPr>
      <w:widowControl/>
      <w:spacing w:before="0" w:after="0" w:line="415" w:lineRule="auto"/>
      <w:jc w:val="left"/>
    </w:pPr>
    <w:rPr>
      <w:rFonts w:ascii="Times New Roman" w:hAnsi="Times New Roman" w:eastAsia="宋体" w:cs="宋体"/>
      <w:color w:val="000000"/>
      <w:sz w:val="26"/>
      <w:szCs w:val="20"/>
    </w:rPr>
  </w:style>
  <w:style w:type="paragraph" w:customStyle="1" w:styleId="485">
    <w:name w:val="样式 标题 1 + 段前: 1 行 段后: 1 行"/>
    <w:basedOn w:val="3"/>
    <w:qFormat/>
    <w:uiPriority w:val="0"/>
    <w:pPr>
      <w:keepNext/>
      <w:pageBreakBefore/>
      <w:adjustRightInd/>
      <w:snapToGrid/>
      <w:spacing w:afterLines="100" w:line="415" w:lineRule="auto"/>
    </w:pPr>
    <w:rPr>
      <w:caps/>
      <w:kern w:val="2"/>
      <w:szCs w:val="20"/>
    </w:rPr>
  </w:style>
  <w:style w:type="paragraph" w:customStyle="1" w:styleId="486">
    <w:name w:val="样式 标题 3 + 加粗 黑色"/>
    <w:basedOn w:val="5"/>
    <w:qFormat/>
    <w:uiPriority w:val="0"/>
    <w:pPr>
      <w:spacing w:before="0" w:after="0" w:line="415" w:lineRule="auto"/>
      <w:jc w:val="left"/>
    </w:pPr>
    <w:rPr>
      <w:color w:val="000000"/>
      <w:kern w:val="0"/>
      <w:sz w:val="26"/>
      <w:szCs w:val="28"/>
    </w:rPr>
  </w:style>
  <w:style w:type="paragraph" w:customStyle="1" w:styleId="487">
    <w:name w:val="样式 样式 标题 2 + 行距: 多倍行距 1.73 字行 + 段前: 1 行 段后: 1 行"/>
    <w:basedOn w:val="484"/>
    <w:qFormat/>
    <w:uiPriority w:val="0"/>
    <w:pPr>
      <w:spacing w:line="240" w:lineRule="auto"/>
    </w:pPr>
  </w:style>
  <w:style w:type="paragraph" w:customStyle="1" w:styleId="488">
    <w:name w:val="Char Char Char1 Char Char Char1 Char Char Char Char Char Char1 Char Char Char1 Char"/>
    <w:basedOn w:val="1"/>
    <w:semiHidden/>
    <w:qFormat/>
    <w:uiPriority w:val="0"/>
    <w:pPr>
      <w:spacing w:line="480" w:lineRule="exact"/>
      <w:ind w:firstLine="200" w:firstLineChars="200"/>
    </w:pPr>
    <w:rPr>
      <w:color w:val="000000"/>
      <w:sz w:val="26"/>
      <w:szCs w:val="28"/>
    </w:rPr>
  </w:style>
  <w:style w:type="paragraph" w:customStyle="1" w:styleId="489">
    <w:name w:val="样式 小四 行距: 最小值 22 磅"/>
    <w:basedOn w:val="1"/>
    <w:qFormat/>
    <w:uiPriority w:val="0"/>
    <w:pPr>
      <w:spacing w:line="400" w:lineRule="atLeast"/>
      <w:ind w:firstLine="200" w:firstLineChars="200"/>
    </w:pPr>
    <w:rPr>
      <w:rFonts w:cs="宋体"/>
      <w:color w:val="000000"/>
      <w:sz w:val="24"/>
      <w:szCs w:val="20"/>
    </w:rPr>
  </w:style>
  <w:style w:type="paragraph" w:customStyle="1" w:styleId="490">
    <w:name w:val="样式 !Paragraph + 首行缩进:  2 字符"/>
    <w:basedOn w:val="1"/>
    <w:qFormat/>
    <w:uiPriority w:val="0"/>
    <w:pPr>
      <w:spacing w:line="400" w:lineRule="atLeast"/>
      <w:ind w:firstLine="200" w:firstLineChars="200"/>
    </w:pPr>
    <w:rPr>
      <w:rFonts w:cs="宋体"/>
      <w:color w:val="000000"/>
      <w:sz w:val="24"/>
      <w:szCs w:val="20"/>
    </w:rPr>
  </w:style>
  <w:style w:type="paragraph" w:customStyle="1" w:styleId="491">
    <w:name w:val="样式 题注 + (西文) Times New Roman 居中 行距: 1.5 倍行距"/>
    <w:basedOn w:val="22"/>
    <w:qFormat/>
    <w:uiPriority w:val="0"/>
    <w:pPr>
      <w:keepLines/>
      <w:spacing w:line="480" w:lineRule="exact"/>
      <w:ind w:firstLine="0" w:firstLineChars="0"/>
      <w:jc w:val="center"/>
    </w:pPr>
    <w:rPr>
      <w:rFonts w:eastAsia="宋体" w:cs="宋体"/>
      <w:b/>
      <w:caps w:val="0"/>
      <w:color w:val="000000"/>
      <w:spacing w:val="0"/>
      <w:sz w:val="26"/>
      <w:szCs w:val="20"/>
    </w:rPr>
  </w:style>
  <w:style w:type="paragraph" w:customStyle="1" w:styleId="492">
    <w:name w:val="样式 小四 居中 行距: 1.5 倍行距"/>
    <w:basedOn w:val="1"/>
    <w:qFormat/>
    <w:uiPriority w:val="0"/>
    <w:pPr>
      <w:spacing w:line="480" w:lineRule="exact"/>
      <w:ind w:firstLine="200" w:firstLineChars="200"/>
      <w:jc w:val="center"/>
    </w:pPr>
    <w:rPr>
      <w:rFonts w:cs="宋体"/>
      <w:color w:val="000000"/>
      <w:sz w:val="24"/>
      <w:szCs w:val="20"/>
    </w:rPr>
  </w:style>
  <w:style w:type="character" w:customStyle="1" w:styleId="493">
    <w:name w:val="titlestyle13331"/>
    <w:qFormat/>
    <w:uiPriority w:val="0"/>
    <w:rPr>
      <w:sz w:val="18"/>
      <w:szCs w:val="18"/>
      <w:u w:val="none"/>
    </w:rPr>
  </w:style>
  <w:style w:type="paragraph" w:customStyle="1" w:styleId="494">
    <w:name w:val="四级标题"/>
    <w:basedOn w:val="5"/>
    <w:qFormat/>
    <w:uiPriority w:val="0"/>
    <w:pPr>
      <w:spacing w:before="0" w:after="0" w:line="480" w:lineRule="exact"/>
      <w:jc w:val="left"/>
    </w:pPr>
    <w:rPr>
      <w:kern w:val="0"/>
      <w:sz w:val="24"/>
    </w:rPr>
  </w:style>
  <w:style w:type="paragraph" w:customStyle="1" w:styleId="495">
    <w:name w:val="样式 标题 3 + 加粗 黑色 行距: 单倍行距"/>
    <w:basedOn w:val="5"/>
    <w:qFormat/>
    <w:uiPriority w:val="0"/>
    <w:pPr>
      <w:spacing w:before="0" w:after="0" w:line="480" w:lineRule="exact"/>
      <w:ind w:left="1051"/>
      <w:jc w:val="left"/>
    </w:pPr>
    <w:rPr>
      <w:rFonts w:cs="宋体"/>
      <w:bCs w:val="0"/>
      <w:color w:val="000000"/>
      <w:kern w:val="0"/>
      <w:sz w:val="26"/>
      <w:szCs w:val="20"/>
    </w:rPr>
  </w:style>
  <w:style w:type="paragraph" w:customStyle="1" w:styleId="496">
    <w:name w:val="目录"/>
    <w:basedOn w:val="451"/>
    <w:qFormat/>
    <w:uiPriority w:val="0"/>
    <w:pPr>
      <w:spacing w:beforeLines="0" w:afterLines="100" w:line="460" w:lineRule="exact"/>
      <w:ind w:firstLine="0" w:firstLineChars="0"/>
      <w:outlineLvl w:val="1"/>
    </w:pPr>
    <w:rPr>
      <w:rFonts w:cs="宋体"/>
      <w:bCs/>
      <w:sz w:val="32"/>
      <w:szCs w:val="20"/>
    </w:rPr>
  </w:style>
  <w:style w:type="paragraph" w:customStyle="1" w:styleId="497">
    <w:name w:val="样式 标题 1 + 段前: 1 行 段后: 1 行1"/>
    <w:basedOn w:val="3"/>
    <w:qFormat/>
    <w:uiPriority w:val="0"/>
    <w:pPr>
      <w:keepNext/>
      <w:pageBreakBefore/>
      <w:adjustRightInd/>
      <w:snapToGrid/>
      <w:spacing w:before="240" w:after="240" w:afterLines="100" w:line="240" w:lineRule="auto"/>
    </w:pPr>
    <w:rPr>
      <w:caps/>
      <w:kern w:val="2"/>
      <w:szCs w:val="20"/>
    </w:rPr>
  </w:style>
  <w:style w:type="paragraph" w:customStyle="1" w:styleId="498">
    <w:name w:val="样式 标题 1 + 段前: 1 行 段后: 1 行2"/>
    <w:basedOn w:val="3"/>
    <w:qFormat/>
    <w:uiPriority w:val="0"/>
    <w:pPr>
      <w:keepNext/>
      <w:pageBreakBefore/>
      <w:adjustRightInd/>
      <w:snapToGrid/>
      <w:spacing w:before="240" w:after="240" w:afterLines="100" w:line="240" w:lineRule="auto"/>
    </w:pPr>
    <w:rPr>
      <w:caps/>
      <w:kern w:val="2"/>
      <w:szCs w:val="20"/>
    </w:rPr>
  </w:style>
  <w:style w:type="paragraph" w:customStyle="1" w:styleId="499">
    <w:name w:val="样式 首行缩进:  0.74 厘米 行距: 1.5 倍行距"/>
    <w:basedOn w:val="1"/>
    <w:qFormat/>
    <w:uiPriority w:val="0"/>
    <w:pPr>
      <w:spacing w:line="360" w:lineRule="auto"/>
      <w:ind w:firstLine="420" w:firstLineChars="200"/>
    </w:pPr>
    <w:rPr>
      <w:rFonts w:cs="宋体"/>
      <w:color w:val="000000"/>
      <w:sz w:val="24"/>
      <w:szCs w:val="20"/>
    </w:rPr>
  </w:style>
  <w:style w:type="paragraph" w:customStyle="1" w:styleId="500">
    <w:name w:val="样式 标题 3 +"/>
    <w:basedOn w:val="5"/>
    <w:qFormat/>
    <w:uiPriority w:val="0"/>
    <w:pPr>
      <w:spacing w:before="0" w:after="0" w:line="480" w:lineRule="exact"/>
      <w:jc w:val="left"/>
    </w:pPr>
    <w:rPr>
      <w:kern w:val="0"/>
      <w:sz w:val="26"/>
    </w:rPr>
  </w:style>
  <w:style w:type="character" w:customStyle="1" w:styleId="501">
    <w:name w:val="timestyle13331"/>
    <w:qFormat/>
    <w:uiPriority w:val="0"/>
    <w:rPr>
      <w:color w:val="222222"/>
      <w:sz w:val="18"/>
      <w:szCs w:val="18"/>
    </w:rPr>
  </w:style>
  <w:style w:type="paragraph" w:customStyle="1" w:styleId="502">
    <w:name w:val="样式 标题 2 + 段前: 12 磅 段后: 12 磅"/>
    <w:basedOn w:val="4"/>
    <w:qFormat/>
    <w:uiPriority w:val="0"/>
    <w:pPr>
      <w:widowControl/>
      <w:spacing w:before="0" w:after="0" w:line="480" w:lineRule="exact"/>
      <w:ind w:left="1049"/>
      <w:jc w:val="left"/>
    </w:pPr>
    <w:rPr>
      <w:rFonts w:ascii="Times New Roman" w:hAnsi="Times New Roman" w:eastAsia="宋体" w:cs="宋体"/>
      <w:color w:val="000000"/>
      <w:sz w:val="26"/>
      <w:szCs w:val="20"/>
    </w:rPr>
  </w:style>
  <w:style w:type="paragraph" w:customStyle="1" w:styleId="503">
    <w:name w:val="样式 标题 3 + 段前: 0.5 行 段后: 0.5 行"/>
    <w:basedOn w:val="5"/>
    <w:qFormat/>
    <w:uiPriority w:val="0"/>
    <w:pPr>
      <w:spacing w:before="0" w:after="0" w:line="480" w:lineRule="exact"/>
      <w:ind w:left="1051"/>
      <w:jc w:val="left"/>
    </w:pPr>
    <w:rPr>
      <w:rFonts w:cs="宋体"/>
      <w:b w:val="0"/>
      <w:bCs w:val="0"/>
      <w:kern w:val="0"/>
      <w:sz w:val="26"/>
      <w:szCs w:val="20"/>
    </w:rPr>
  </w:style>
  <w:style w:type="character" w:customStyle="1" w:styleId="504">
    <w:name w:val="Body Text Indent 2 Char Char"/>
    <w:qFormat/>
    <w:uiPriority w:val="0"/>
    <w:rPr>
      <w:kern w:val="2"/>
      <w:sz w:val="21"/>
      <w:szCs w:val="24"/>
    </w:rPr>
  </w:style>
  <w:style w:type="paragraph" w:customStyle="1" w:styleId="505">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line="480" w:lineRule="exact"/>
      <w:ind w:firstLine="200" w:firstLineChars="200"/>
      <w:jc w:val="center"/>
    </w:pPr>
    <w:rPr>
      <w:color w:val="000000"/>
      <w:kern w:val="0"/>
      <w:sz w:val="24"/>
      <w:szCs w:val="28"/>
    </w:rPr>
  </w:style>
  <w:style w:type="character" w:customStyle="1" w:styleId="506">
    <w:name w:val="文献上标 Char"/>
    <w:link w:val="507"/>
    <w:qFormat/>
    <w:uiPriority w:val="0"/>
    <w:rPr>
      <w:kern w:val="2"/>
      <w:sz w:val="24"/>
      <w:szCs w:val="22"/>
      <w:vertAlign w:val="superscript"/>
      <w:lang w:bidi="ar-SA"/>
    </w:rPr>
  </w:style>
  <w:style w:type="paragraph" w:customStyle="1" w:styleId="507">
    <w:name w:val="文献上标"/>
    <w:basedOn w:val="1"/>
    <w:link w:val="506"/>
    <w:qFormat/>
    <w:uiPriority w:val="0"/>
    <w:pPr>
      <w:adjustRightInd w:val="0"/>
      <w:snapToGrid w:val="0"/>
      <w:spacing w:line="400" w:lineRule="atLeast"/>
      <w:ind w:firstLine="480" w:firstLineChars="200"/>
      <w:jc w:val="left"/>
    </w:pPr>
    <w:rPr>
      <w:sz w:val="24"/>
      <w:szCs w:val="22"/>
      <w:vertAlign w:val="superscript"/>
    </w:rPr>
  </w:style>
  <w:style w:type="paragraph" w:customStyle="1" w:styleId="508">
    <w:name w:val="样式%正文"/>
    <w:basedOn w:val="1"/>
    <w:link w:val="509"/>
    <w:qFormat/>
    <w:uiPriority w:val="0"/>
    <w:pPr>
      <w:spacing w:line="480" w:lineRule="exact"/>
      <w:ind w:firstLine="420" w:firstLineChars="200"/>
    </w:pPr>
    <w:rPr>
      <w:rFonts w:ascii="Arial" w:hAnsi="Arial"/>
      <w:szCs w:val="20"/>
    </w:rPr>
  </w:style>
  <w:style w:type="character" w:customStyle="1" w:styleId="509">
    <w:name w:val="样式%正文 Char"/>
    <w:link w:val="508"/>
    <w:qFormat/>
    <w:uiPriority w:val="0"/>
    <w:rPr>
      <w:rFonts w:ascii="Arial" w:hAnsi="Arial" w:eastAsia="宋体"/>
      <w:kern w:val="2"/>
      <w:sz w:val="21"/>
      <w:lang w:val="en-US" w:eastAsia="zh-CN" w:bidi="ar-SA"/>
    </w:rPr>
  </w:style>
  <w:style w:type="paragraph" w:customStyle="1" w:styleId="510">
    <w:name w:val="TOC 标题1"/>
    <w:basedOn w:val="3"/>
    <w:next w:val="1"/>
    <w:qFormat/>
    <w:uiPriority w:val="39"/>
    <w:pPr>
      <w:keepNext/>
      <w:keepLines/>
      <w:adjustRightInd/>
      <w:snapToGrid/>
      <w:spacing w:before="480" w:afterLines="100" w:line="276" w:lineRule="auto"/>
      <w:outlineLvl w:val="9"/>
    </w:pPr>
    <w:rPr>
      <w:rFonts w:ascii="Cambria" w:hAnsi="Cambria"/>
      <w:b w:val="0"/>
      <w:caps/>
      <w:color w:val="365F91"/>
      <w:kern w:val="0"/>
      <w:sz w:val="28"/>
      <w:szCs w:val="28"/>
    </w:rPr>
  </w:style>
  <w:style w:type="paragraph" w:customStyle="1" w:styleId="511">
    <w:name w:val="修订1"/>
    <w:semiHidden/>
    <w:qFormat/>
    <w:uiPriority w:val="0"/>
    <w:pPr>
      <w:spacing w:afterLines="100" w:line="460" w:lineRule="exact"/>
      <w:jc w:val="center"/>
    </w:pPr>
    <w:rPr>
      <w:rFonts w:ascii="Times New Roman" w:hAnsi="Times New Roman" w:eastAsia="宋体" w:cs="Times New Roman"/>
      <w:kern w:val="2"/>
      <w:sz w:val="24"/>
      <w:szCs w:val="24"/>
      <w:lang w:val="en-US" w:eastAsia="zh-CN" w:bidi="ar-SA"/>
    </w:rPr>
  </w:style>
  <w:style w:type="paragraph" w:customStyle="1" w:styleId="512">
    <w:name w:val="a"/>
    <w:basedOn w:val="3"/>
    <w:qFormat/>
    <w:uiPriority w:val="0"/>
    <w:pPr>
      <w:keepNext/>
      <w:keepLines/>
      <w:pageBreakBefore/>
      <w:snapToGrid/>
      <w:spacing w:beforeLines="100" w:afterLines="100" w:line="240" w:lineRule="auto"/>
      <w:jc w:val="both"/>
      <w:textAlignment w:val="baseline"/>
    </w:pPr>
    <w:rPr>
      <w:rFonts w:ascii="宋体"/>
      <w:bCs w:val="0"/>
      <w:caps/>
      <w:kern w:val="2"/>
      <w:szCs w:val="20"/>
    </w:rPr>
  </w:style>
  <w:style w:type="paragraph" w:customStyle="1" w:styleId="513">
    <w:name w:val="b"/>
    <w:basedOn w:val="4"/>
    <w:qFormat/>
    <w:uiPriority w:val="0"/>
    <w:pPr>
      <w:keepLines w:val="0"/>
      <w:widowControl/>
      <w:adjustRightInd w:val="0"/>
      <w:snapToGrid w:val="0"/>
      <w:spacing w:before="0" w:after="0" w:line="480" w:lineRule="exact"/>
      <w:jc w:val="left"/>
      <w:textAlignment w:val="baseline"/>
    </w:pPr>
    <w:rPr>
      <w:rFonts w:ascii="Times New Roman" w:hAnsi="Times New Roman" w:eastAsia="仿宋_GB2312"/>
      <w:color w:val="000000"/>
      <w:kern w:val="0"/>
      <w:sz w:val="26"/>
    </w:rPr>
  </w:style>
  <w:style w:type="character" w:customStyle="1" w:styleId="514">
    <w:name w:val="日期 Char1"/>
    <w:qFormat/>
    <w:uiPriority w:val="0"/>
    <w:rPr>
      <w:rFonts w:ascii="宋体"/>
      <w:kern w:val="2"/>
      <w:sz w:val="21"/>
      <w:szCs w:val="21"/>
    </w:rPr>
  </w:style>
  <w:style w:type="character" w:customStyle="1" w:styleId="515">
    <w:name w:val="正文文本缩进 Char1"/>
    <w:qFormat/>
    <w:uiPriority w:val="0"/>
    <w:rPr>
      <w:rFonts w:ascii="宋体"/>
      <w:kern w:val="2"/>
      <w:sz w:val="21"/>
      <w:szCs w:val="21"/>
    </w:rPr>
  </w:style>
  <w:style w:type="character" w:customStyle="1" w:styleId="516">
    <w:name w:val="正文首行缩进 2 Char1"/>
    <w:qFormat/>
    <w:uiPriority w:val="0"/>
    <w:rPr>
      <w:rFonts w:ascii="宋体"/>
      <w:kern w:val="2"/>
      <w:sz w:val="21"/>
      <w:szCs w:val="21"/>
    </w:rPr>
  </w:style>
  <w:style w:type="character" w:customStyle="1" w:styleId="517">
    <w:name w:val="正文文字 Char1"/>
    <w:qFormat/>
    <w:uiPriority w:val="0"/>
    <w:rPr>
      <w:kern w:val="2"/>
      <w:sz w:val="21"/>
      <w:szCs w:val="24"/>
    </w:rPr>
  </w:style>
  <w:style w:type="character" w:customStyle="1" w:styleId="518">
    <w:name w:val="正文文本 Char1"/>
    <w:qFormat/>
    <w:uiPriority w:val="0"/>
    <w:rPr>
      <w:rFonts w:ascii="宋体"/>
      <w:kern w:val="2"/>
      <w:sz w:val="21"/>
      <w:szCs w:val="21"/>
    </w:rPr>
  </w:style>
  <w:style w:type="paragraph" w:customStyle="1" w:styleId="519">
    <w:name w:val="正文样式 Char"/>
    <w:basedOn w:val="1"/>
    <w:qFormat/>
    <w:uiPriority w:val="0"/>
    <w:pPr>
      <w:adjustRightInd w:val="0"/>
      <w:snapToGrid w:val="0"/>
      <w:spacing w:line="480" w:lineRule="exact"/>
      <w:ind w:firstLine="200" w:firstLineChars="200"/>
    </w:pPr>
    <w:rPr>
      <w:color w:val="000000"/>
      <w:sz w:val="26"/>
      <w:szCs w:val="26"/>
    </w:rPr>
  </w:style>
  <w:style w:type="paragraph" w:customStyle="1" w:styleId="520">
    <w:name w:val="公正文"/>
    <w:basedOn w:val="21"/>
    <w:link w:val="521"/>
    <w:qFormat/>
    <w:uiPriority w:val="0"/>
    <w:pPr>
      <w:adjustRightInd w:val="0"/>
      <w:snapToGrid w:val="0"/>
      <w:spacing w:line="355" w:lineRule="auto"/>
      <w:ind w:firstLine="200" w:firstLineChars="200"/>
    </w:pPr>
    <w:rPr>
      <w:rFonts w:ascii="宋体" w:hAnsi="宋体" w:eastAsia="仿宋_GB2312"/>
      <w:szCs w:val="24"/>
    </w:rPr>
  </w:style>
  <w:style w:type="character" w:customStyle="1" w:styleId="521">
    <w:name w:val="公正文 Char"/>
    <w:link w:val="520"/>
    <w:qFormat/>
    <w:uiPriority w:val="0"/>
    <w:rPr>
      <w:rFonts w:ascii="宋体" w:hAnsi="宋体" w:eastAsia="仿宋_GB2312"/>
      <w:kern w:val="2"/>
      <w:sz w:val="28"/>
      <w:szCs w:val="24"/>
      <w:lang w:val="en-US" w:eastAsia="zh-CN" w:bidi="ar-SA"/>
    </w:rPr>
  </w:style>
  <w:style w:type="paragraph" w:customStyle="1" w:styleId="522">
    <w:name w:val="公标题3"/>
    <w:basedOn w:val="1"/>
    <w:link w:val="523"/>
    <w:qFormat/>
    <w:uiPriority w:val="0"/>
    <w:pPr>
      <w:adjustRightInd w:val="0"/>
      <w:snapToGrid w:val="0"/>
      <w:spacing w:beforeLines="30" w:afterLines="30" w:line="355" w:lineRule="auto"/>
      <w:ind w:firstLine="200" w:firstLineChars="200"/>
      <w:outlineLvl w:val="2"/>
    </w:pPr>
    <w:rPr>
      <w:rFonts w:ascii="Swis721 BT" w:hAnsi="Swis721 BT" w:eastAsia="黑体"/>
      <w:sz w:val="28"/>
    </w:rPr>
  </w:style>
  <w:style w:type="character" w:customStyle="1" w:styleId="523">
    <w:name w:val="公标题3 Char"/>
    <w:link w:val="522"/>
    <w:qFormat/>
    <w:uiPriority w:val="0"/>
    <w:rPr>
      <w:rFonts w:ascii="Swis721 BT" w:hAnsi="Swis721 BT" w:eastAsia="黑体"/>
      <w:kern w:val="2"/>
      <w:sz w:val="28"/>
      <w:szCs w:val="24"/>
      <w:lang w:val="en-US" w:eastAsia="zh-CN" w:bidi="ar-SA"/>
    </w:rPr>
  </w:style>
  <w:style w:type="paragraph" w:customStyle="1" w:styleId="524">
    <w:name w:val="公表序"/>
    <w:basedOn w:val="1"/>
    <w:link w:val="525"/>
    <w:qFormat/>
    <w:uiPriority w:val="0"/>
    <w:pPr>
      <w:adjustRightInd w:val="0"/>
      <w:snapToGrid w:val="0"/>
      <w:spacing w:line="300" w:lineRule="auto"/>
      <w:ind w:firstLine="100" w:firstLineChars="100"/>
    </w:pPr>
    <w:rPr>
      <w:rFonts w:ascii="黑体" w:eastAsia="黑体"/>
      <w:sz w:val="24"/>
    </w:rPr>
  </w:style>
  <w:style w:type="character" w:customStyle="1" w:styleId="525">
    <w:name w:val="公表序 Char"/>
    <w:link w:val="524"/>
    <w:qFormat/>
    <w:uiPriority w:val="0"/>
    <w:rPr>
      <w:rFonts w:ascii="黑体" w:eastAsia="黑体"/>
      <w:kern w:val="2"/>
      <w:sz w:val="24"/>
      <w:szCs w:val="24"/>
      <w:lang w:val="en-US" w:eastAsia="zh-CN" w:bidi="ar-SA"/>
    </w:rPr>
  </w:style>
  <w:style w:type="paragraph" w:customStyle="1" w:styleId="526">
    <w:name w:val="样式 标题 3头小节标题 + 宋体 四号 左 段前: 0 磅 段后: 0 磅 行距: 1.5 倍行距"/>
    <w:basedOn w:val="5"/>
    <w:qFormat/>
    <w:uiPriority w:val="0"/>
    <w:pPr>
      <w:spacing w:before="0" w:after="0" w:line="360" w:lineRule="auto"/>
      <w:jc w:val="left"/>
    </w:pPr>
    <w:rPr>
      <w:rFonts w:hAnsi="宋体" w:cs="宋体"/>
      <w:kern w:val="0"/>
      <w:sz w:val="28"/>
      <w:szCs w:val="20"/>
    </w:rPr>
  </w:style>
  <w:style w:type="paragraph" w:customStyle="1" w:styleId="527">
    <w:name w:val="样式 标题 3头小节标题 + 宋体 四号 左 段前: 0 磅 段后: 0 磅 行距: 最小值 26 磅"/>
    <w:basedOn w:val="5"/>
    <w:qFormat/>
    <w:uiPriority w:val="0"/>
    <w:pPr>
      <w:spacing w:before="0" w:after="0" w:line="520" w:lineRule="atLeast"/>
      <w:jc w:val="left"/>
    </w:pPr>
    <w:rPr>
      <w:rFonts w:hAnsi="宋体" w:cs="宋体"/>
      <w:b w:val="0"/>
      <w:kern w:val="0"/>
      <w:sz w:val="28"/>
      <w:szCs w:val="20"/>
    </w:rPr>
  </w:style>
  <w:style w:type="character" w:customStyle="1" w:styleId="528">
    <w:name w:val="标题三 Char"/>
    <w:link w:val="529"/>
    <w:qFormat/>
    <w:uiPriority w:val="0"/>
    <w:rPr>
      <w:rFonts w:ascii="宋体" w:hAnsi="宋体"/>
      <w:b/>
      <w:bCs/>
      <w:kern w:val="2"/>
      <w:sz w:val="28"/>
      <w:szCs w:val="32"/>
      <w:lang w:bidi="ar-SA"/>
    </w:rPr>
  </w:style>
  <w:style w:type="paragraph" w:customStyle="1" w:styleId="529">
    <w:name w:val="标题三"/>
    <w:basedOn w:val="5"/>
    <w:link w:val="528"/>
    <w:qFormat/>
    <w:uiPriority w:val="0"/>
    <w:pPr>
      <w:spacing w:before="0" w:after="0" w:line="520" w:lineRule="atLeast"/>
      <w:jc w:val="left"/>
    </w:pPr>
    <w:rPr>
      <w:rFonts w:ascii="宋体" w:hAnsi="宋体"/>
      <w:sz w:val="28"/>
    </w:rPr>
  </w:style>
  <w:style w:type="paragraph" w:customStyle="1" w:styleId="530">
    <w:name w:val="Char Char Char Char Char Char Char Char Char1 Char Char Char Char1"/>
    <w:basedOn w:val="1"/>
    <w:qFormat/>
    <w:uiPriority w:val="0"/>
    <w:pPr>
      <w:spacing w:line="360" w:lineRule="auto"/>
      <w:ind w:firstLine="200" w:firstLineChars="200"/>
    </w:pPr>
    <w:rPr>
      <w:rFonts w:hAnsi="宋体" w:cs="宋体"/>
      <w:color w:val="000000"/>
      <w:sz w:val="24"/>
      <w:szCs w:val="26"/>
    </w:rPr>
  </w:style>
  <w:style w:type="paragraph" w:customStyle="1" w:styleId="531">
    <w:name w:val="Char Char Char Char Char Char Char Char Char Char6"/>
    <w:basedOn w:val="1"/>
    <w:qFormat/>
    <w:uiPriority w:val="0"/>
    <w:pPr>
      <w:spacing w:line="480" w:lineRule="exact"/>
    </w:pPr>
    <w:rPr>
      <w:color w:val="000000"/>
    </w:rPr>
  </w:style>
  <w:style w:type="paragraph" w:customStyle="1" w:styleId="532">
    <w:name w:val="text"/>
    <w:basedOn w:val="1"/>
    <w:next w:val="1"/>
    <w:qFormat/>
    <w:uiPriority w:val="0"/>
    <w:pPr>
      <w:widowControl/>
      <w:overflowPunct w:val="0"/>
      <w:autoSpaceDE w:val="0"/>
      <w:autoSpaceDN w:val="0"/>
      <w:adjustRightInd w:val="0"/>
      <w:spacing w:line="360" w:lineRule="auto"/>
      <w:ind w:firstLine="510" w:firstLineChars="200"/>
      <w:textAlignment w:val="baseline"/>
    </w:pPr>
    <w:rPr>
      <w:rFonts w:ascii="Times" w:hAnsi="Times"/>
      <w:color w:val="000000"/>
      <w:kern w:val="0"/>
      <w:sz w:val="24"/>
      <w:lang w:val="en-GB"/>
    </w:rPr>
  </w:style>
  <w:style w:type="paragraph" w:customStyle="1" w:styleId="533">
    <w:name w:val="Char Char Char Char Char Char Char1"/>
    <w:basedOn w:val="1"/>
    <w:link w:val="534"/>
    <w:qFormat/>
    <w:uiPriority w:val="0"/>
    <w:pPr>
      <w:spacing w:line="360" w:lineRule="auto"/>
      <w:ind w:firstLine="200" w:firstLineChars="200"/>
    </w:pPr>
    <w:rPr>
      <w:rFonts w:hAnsi="宋体" w:cs="宋体"/>
      <w:color w:val="000000"/>
      <w:sz w:val="24"/>
    </w:rPr>
  </w:style>
  <w:style w:type="character" w:customStyle="1" w:styleId="534">
    <w:name w:val="Char Char Char Char Char Char Char Char1"/>
    <w:link w:val="533"/>
    <w:qFormat/>
    <w:locked/>
    <w:uiPriority w:val="0"/>
    <w:rPr>
      <w:rFonts w:hAnsi="宋体" w:cs="宋体"/>
      <w:color w:val="000000"/>
      <w:kern w:val="2"/>
      <w:sz w:val="24"/>
      <w:szCs w:val="24"/>
    </w:rPr>
  </w:style>
  <w:style w:type="character" w:customStyle="1" w:styleId="535">
    <w:name w:val="正文样式 Char Char"/>
    <w:qFormat/>
    <w:uiPriority w:val="0"/>
    <w:rPr>
      <w:rFonts w:eastAsia="宋体"/>
      <w:color w:val="000000"/>
      <w:kern w:val="2"/>
      <w:sz w:val="26"/>
      <w:szCs w:val="26"/>
      <w:lang w:val="en-US" w:eastAsia="zh-CN" w:bidi="ar-SA"/>
    </w:rPr>
  </w:style>
  <w:style w:type="paragraph" w:customStyle="1" w:styleId="536">
    <w:name w:val="样式 二级标题 + 仿宋_GB2312 小四 加粗 段后: 4.65 磅"/>
    <w:basedOn w:val="5"/>
    <w:qFormat/>
    <w:uiPriority w:val="0"/>
    <w:pPr>
      <w:tabs>
        <w:tab w:val="left" w:pos="480"/>
      </w:tabs>
      <w:adjustRightInd w:val="0"/>
      <w:snapToGrid w:val="0"/>
      <w:spacing w:before="0" w:after="0" w:line="480" w:lineRule="exact"/>
      <w:jc w:val="left"/>
    </w:pPr>
    <w:rPr>
      <w:rFonts w:ascii="仿宋_GB2312" w:eastAsia="仿宋_GB2312" w:cs="宋体"/>
      <w:bCs w:val="0"/>
      <w:kern w:val="0"/>
      <w:sz w:val="24"/>
      <w:szCs w:val="20"/>
    </w:rPr>
  </w:style>
  <w:style w:type="paragraph" w:customStyle="1" w:styleId="537">
    <w:name w:val="三级标题 Char Char"/>
    <w:basedOn w:val="1"/>
    <w:next w:val="1"/>
    <w:qFormat/>
    <w:uiPriority w:val="0"/>
    <w:pPr>
      <w:spacing w:after="120" w:line="480" w:lineRule="exact"/>
      <w:outlineLvl w:val="2"/>
    </w:pPr>
    <w:rPr>
      <w:rFonts w:hAnsi="宋体"/>
      <w:b/>
      <w:color w:val="000000"/>
      <w:sz w:val="26"/>
      <w:szCs w:val="28"/>
    </w:rPr>
  </w:style>
  <w:style w:type="paragraph" w:customStyle="1" w:styleId="538">
    <w:name w:val="中文报告书样式"/>
    <w:basedOn w:val="1"/>
    <w:link w:val="539"/>
    <w:qFormat/>
    <w:uiPriority w:val="0"/>
    <w:pPr>
      <w:adjustRightInd w:val="0"/>
      <w:spacing w:line="480" w:lineRule="atLeast"/>
      <w:ind w:firstLine="482"/>
      <w:textAlignment w:val="baseline"/>
    </w:pPr>
    <w:rPr>
      <w:color w:val="000000"/>
      <w:kern w:val="24"/>
      <w:sz w:val="24"/>
      <w:szCs w:val="20"/>
    </w:rPr>
  </w:style>
  <w:style w:type="character" w:customStyle="1" w:styleId="539">
    <w:name w:val="中文报告书样式 Char"/>
    <w:link w:val="538"/>
    <w:qFormat/>
    <w:uiPriority w:val="0"/>
    <w:rPr>
      <w:color w:val="000000"/>
      <w:kern w:val="24"/>
      <w:sz w:val="24"/>
    </w:rPr>
  </w:style>
  <w:style w:type="paragraph" w:customStyle="1" w:styleId="540">
    <w:name w:val="Char11"/>
    <w:basedOn w:val="1"/>
    <w:qFormat/>
    <w:uiPriority w:val="0"/>
    <w:pPr>
      <w:spacing w:line="360" w:lineRule="auto"/>
    </w:pPr>
    <w:rPr>
      <w:rFonts w:ascii="仿宋_GB2312" w:hAnsi="Tahoma"/>
      <w:color w:val="000000"/>
      <w:szCs w:val="28"/>
    </w:rPr>
  </w:style>
  <w:style w:type="character" w:customStyle="1" w:styleId="541">
    <w:name w:val="表号 Char Char Char"/>
    <w:qFormat/>
    <w:uiPriority w:val="0"/>
    <w:rPr>
      <w:rFonts w:eastAsia="宋体"/>
      <w:kern w:val="2"/>
      <w:sz w:val="21"/>
      <w:szCs w:val="24"/>
      <w:lang w:val="en-US" w:eastAsia="zh-CN" w:bidi="ar-SA"/>
    </w:rPr>
  </w:style>
  <w:style w:type="character" w:customStyle="1" w:styleId="542">
    <w:name w:val="样式 宋体"/>
    <w:qFormat/>
    <w:uiPriority w:val="0"/>
    <w:rPr>
      <w:rFonts w:ascii="宋体" w:hAnsi="宋体" w:eastAsia="宋体"/>
      <w:kern w:val="2"/>
      <w:sz w:val="24"/>
      <w:szCs w:val="21"/>
      <w:lang w:val="en-US" w:eastAsia="zh-CN" w:bidi="ar-SA"/>
    </w:rPr>
  </w:style>
  <w:style w:type="paragraph" w:customStyle="1" w:styleId="543">
    <w:name w:val="样式 公标题4 + 首行缩进:  2 字符"/>
    <w:basedOn w:val="1"/>
    <w:qFormat/>
    <w:uiPriority w:val="0"/>
    <w:pPr>
      <w:adjustRightInd w:val="0"/>
      <w:snapToGrid w:val="0"/>
      <w:spacing w:line="355" w:lineRule="auto"/>
      <w:outlineLvl w:val="3"/>
    </w:pPr>
    <w:rPr>
      <w:rFonts w:ascii="Swis721 Lt BT" w:hAnsi="Swis721 Lt BT" w:eastAsia="方正细黑一简体" w:cs="宋体"/>
      <w:color w:val="000000"/>
      <w:sz w:val="26"/>
      <w:szCs w:val="20"/>
    </w:rPr>
  </w:style>
  <w:style w:type="paragraph" w:customStyle="1" w:styleId="544">
    <w:name w:val="样式 公表文 + 段前: 0.2 行 段后: 0.2 行"/>
    <w:basedOn w:val="1"/>
    <w:qFormat/>
    <w:uiPriority w:val="0"/>
    <w:pPr>
      <w:adjustRightInd w:val="0"/>
      <w:snapToGrid w:val="0"/>
      <w:spacing w:beforeLines="20" w:afterLines="20" w:line="480" w:lineRule="exact"/>
      <w:ind w:left="-20" w:leftChars="-20" w:right="-20" w:rightChars="-20"/>
      <w:jc w:val="center"/>
    </w:pPr>
    <w:rPr>
      <w:rFonts w:eastAsia="楷体_GB2312" w:cs="宋体"/>
      <w:color w:val="000000"/>
      <w:szCs w:val="20"/>
    </w:rPr>
  </w:style>
  <w:style w:type="paragraph" w:customStyle="1" w:styleId="545">
    <w:name w:val="Char Char Char Char Char Char Char Char Char Char1"/>
    <w:basedOn w:val="1"/>
    <w:qFormat/>
    <w:uiPriority w:val="0"/>
    <w:pPr>
      <w:spacing w:line="480" w:lineRule="exact"/>
    </w:pPr>
    <w:rPr>
      <w:color w:val="000000"/>
    </w:rPr>
  </w:style>
  <w:style w:type="paragraph" w:customStyle="1" w:styleId="546">
    <w:name w:val="样式24"/>
    <w:basedOn w:val="176"/>
    <w:link w:val="547"/>
    <w:qFormat/>
    <w:uiPriority w:val="0"/>
    <w:pPr>
      <w:overflowPunct/>
      <w:adjustRightInd w:val="0"/>
      <w:snapToGrid w:val="0"/>
      <w:spacing w:beforeLines="20" w:afterLines="20" w:line="480" w:lineRule="exact"/>
      <w:ind w:left="-25" w:leftChars="-25" w:right="-25" w:rightChars="-25"/>
    </w:pPr>
    <w:rPr>
      <w:rFonts w:ascii="宋体" w:hAnsi="宋体" w:eastAsia="楷体_GB2312"/>
      <w:sz w:val="21"/>
      <w:szCs w:val="24"/>
    </w:rPr>
  </w:style>
  <w:style w:type="character" w:customStyle="1" w:styleId="547">
    <w:name w:val="样式24 Char"/>
    <w:link w:val="546"/>
    <w:qFormat/>
    <w:uiPriority w:val="0"/>
    <w:rPr>
      <w:rFonts w:ascii="宋体" w:hAnsi="宋体" w:eastAsia="楷体_GB2312"/>
      <w:color w:val="000000"/>
      <w:kern w:val="2"/>
      <w:sz w:val="21"/>
      <w:szCs w:val="24"/>
    </w:rPr>
  </w:style>
  <w:style w:type="paragraph" w:customStyle="1" w:styleId="548">
    <w:name w:val="样式23"/>
    <w:basedOn w:val="1"/>
    <w:qFormat/>
    <w:uiPriority w:val="0"/>
    <w:pPr>
      <w:keepNext/>
      <w:keepLines/>
      <w:adjustRightInd w:val="0"/>
      <w:snapToGrid w:val="0"/>
      <w:spacing w:beforeLines="30" w:afterLines="30" w:line="355" w:lineRule="auto"/>
      <w:jc w:val="left"/>
      <w:outlineLvl w:val="2"/>
    </w:pPr>
    <w:rPr>
      <w:rFonts w:ascii="Swis721 BT" w:hAnsi="Swis721 BT" w:eastAsia="黑体"/>
      <w:color w:val="000000"/>
      <w:sz w:val="26"/>
      <w:szCs w:val="32"/>
    </w:rPr>
  </w:style>
  <w:style w:type="character" w:styleId="549">
    <w:name w:val="Placeholder Text"/>
    <w:qFormat/>
    <w:uiPriority w:val="0"/>
    <w:rPr>
      <w:color w:val="808080"/>
    </w:rPr>
  </w:style>
  <w:style w:type="paragraph" w:customStyle="1" w:styleId="550">
    <w:name w:val="Char1 Char Char Char Char Char Char Char Char Char Char1 Char"/>
    <w:basedOn w:val="1"/>
    <w:semiHidden/>
    <w:qFormat/>
    <w:uiPriority w:val="0"/>
    <w:pPr>
      <w:widowControl/>
      <w:adjustRightInd w:val="0"/>
      <w:snapToGrid w:val="0"/>
      <w:spacing w:line="360" w:lineRule="auto"/>
      <w:ind w:firstLine="200" w:firstLineChars="200"/>
      <w:jc w:val="left"/>
    </w:pPr>
    <w:rPr>
      <w:rFonts w:hAnsi="宋体" w:cs="宋体"/>
      <w:color w:val="000000"/>
      <w:kern w:val="0"/>
      <w:sz w:val="24"/>
      <w:szCs w:val="26"/>
    </w:rPr>
  </w:style>
  <w:style w:type="paragraph" w:customStyle="1" w:styleId="551">
    <w:name w:val="表格10号"/>
    <w:basedOn w:val="223"/>
    <w:link w:val="552"/>
    <w:qFormat/>
    <w:uiPriority w:val="0"/>
    <w:pPr>
      <w:keepLines/>
      <w:adjustRightInd w:val="0"/>
      <w:snapToGrid w:val="0"/>
      <w:spacing w:line="240" w:lineRule="auto"/>
      <w:textAlignment w:val="auto"/>
    </w:pPr>
    <w:rPr>
      <w:bCs/>
      <w:sz w:val="20"/>
      <w:szCs w:val="28"/>
    </w:rPr>
  </w:style>
  <w:style w:type="character" w:customStyle="1" w:styleId="552">
    <w:name w:val="表格10号 Char"/>
    <w:link w:val="551"/>
    <w:qFormat/>
    <w:uiPriority w:val="0"/>
    <w:rPr>
      <w:rFonts w:eastAsia="宋体"/>
      <w:bCs/>
      <w:kern w:val="2"/>
      <w:szCs w:val="28"/>
      <w:lang w:val="en-US" w:eastAsia="zh-CN" w:bidi="ar-SA"/>
    </w:rPr>
  </w:style>
  <w:style w:type="paragraph" w:customStyle="1" w:styleId="553">
    <w:name w:val="Char Char Char Char Char Char Char Char Char Char2"/>
    <w:basedOn w:val="1"/>
    <w:qFormat/>
    <w:uiPriority w:val="0"/>
    <w:rPr>
      <w:color w:val="000000"/>
    </w:rPr>
  </w:style>
  <w:style w:type="paragraph" w:customStyle="1" w:styleId="554">
    <w:name w:val="Char1 Char Char Char Char Char Char Char Char Char Char1 Char1"/>
    <w:basedOn w:val="1"/>
    <w:semiHidden/>
    <w:qFormat/>
    <w:uiPriority w:val="0"/>
    <w:pPr>
      <w:widowControl/>
      <w:adjustRightInd w:val="0"/>
      <w:snapToGrid w:val="0"/>
      <w:spacing w:line="360" w:lineRule="auto"/>
      <w:ind w:firstLine="200" w:firstLineChars="200"/>
      <w:jc w:val="left"/>
    </w:pPr>
    <w:rPr>
      <w:rFonts w:hAnsi="宋体" w:cs="宋体"/>
      <w:color w:val="000000"/>
      <w:kern w:val="0"/>
      <w:sz w:val="24"/>
      <w:szCs w:val="26"/>
    </w:rPr>
  </w:style>
  <w:style w:type="paragraph" w:customStyle="1" w:styleId="555">
    <w:name w:val="Char Char Char Char Char Char Char Char Char Char5"/>
    <w:basedOn w:val="1"/>
    <w:qFormat/>
    <w:uiPriority w:val="0"/>
    <w:rPr>
      <w:color w:val="000000"/>
    </w:rPr>
  </w:style>
  <w:style w:type="paragraph" w:customStyle="1" w:styleId="556">
    <w:name w:val="Char Char Char Char Char Char Char Char Char Char4"/>
    <w:basedOn w:val="1"/>
    <w:qFormat/>
    <w:uiPriority w:val="0"/>
    <w:rPr>
      <w:color w:val="000000"/>
    </w:rPr>
  </w:style>
  <w:style w:type="paragraph" w:customStyle="1" w:styleId="557">
    <w:name w:val="Char Char Char Char Char Char Char Char Char Char3"/>
    <w:basedOn w:val="1"/>
    <w:qFormat/>
    <w:uiPriority w:val="0"/>
    <w:rPr>
      <w:color w:val="000000"/>
    </w:rPr>
  </w:style>
  <w:style w:type="paragraph" w:customStyle="1" w:styleId="558">
    <w:name w:val="无间隔1"/>
    <w:basedOn w:val="223"/>
    <w:next w:val="551"/>
    <w:link w:val="559"/>
    <w:qFormat/>
    <w:uiPriority w:val="0"/>
    <w:pPr>
      <w:keepLines/>
      <w:widowControl/>
      <w:adjustRightInd w:val="0"/>
      <w:snapToGrid w:val="0"/>
      <w:spacing w:line="240" w:lineRule="auto"/>
      <w:textAlignment w:val="auto"/>
    </w:pPr>
    <w:rPr>
      <w:bCs/>
      <w:kern w:val="0"/>
      <w:sz w:val="16"/>
      <w:szCs w:val="22"/>
    </w:rPr>
  </w:style>
  <w:style w:type="character" w:customStyle="1" w:styleId="559">
    <w:name w:val="无间隔 Char"/>
    <w:link w:val="558"/>
    <w:qFormat/>
    <w:uiPriority w:val="0"/>
    <w:rPr>
      <w:bCs/>
      <w:sz w:val="16"/>
      <w:szCs w:val="22"/>
    </w:rPr>
  </w:style>
  <w:style w:type="character" w:customStyle="1" w:styleId="560">
    <w:name w:val="songti"/>
    <w:qFormat/>
    <w:uiPriority w:val="0"/>
    <w:rPr>
      <w:rFonts w:ascii="Calibri" w:hAnsi="宋体" w:eastAsia="宋体" w:cs="Times New Roman"/>
      <w:sz w:val="22"/>
      <w:szCs w:val="22"/>
      <w:lang w:eastAsia="zh-CN"/>
    </w:rPr>
  </w:style>
  <w:style w:type="paragraph" w:customStyle="1" w:styleId="561">
    <w:name w:val="引用1"/>
    <w:basedOn w:val="223"/>
    <w:next w:val="551"/>
    <w:link w:val="562"/>
    <w:qFormat/>
    <w:uiPriority w:val="0"/>
    <w:pPr>
      <w:keepLines/>
      <w:widowControl/>
      <w:adjustRightInd w:val="0"/>
      <w:snapToGrid w:val="0"/>
      <w:spacing w:line="240" w:lineRule="auto"/>
      <w:textAlignment w:val="auto"/>
    </w:pPr>
    <w:rPr>
      <w:iCs/>
      <w:kern w:val="0"/>
      <w:sz w:val="18"/>
    </w:rPr>
  </w:style>
  <w:style w:type="character" w:customStyle="1" w:styleId="562">
    <w:name w:val="引用 Char"/>
    <w:link w:val="561"/>
    <w:qFormat/>
    <w:uiPriority w:val="0"/>
    <w:rPr>
      <w:rFonts w:eastAsia="宋体"/>
      <w:iCs/>
      <w:sz w:val="18"/>
      <w:lang w:val="en-US" w:eastAsia="zh-CN" w:bidi="ar-SA"/>
    </w:rPr>
  </w:style>
  <w:style w:type="paragraph" w:customStyle="1" w:styleId="563">
    <w:name w:val="Char1 Char Char Char Char Char Char Char Char Char Char1 Char Char Char"/>
    <w:basedOn w:val="1"/>
    <w:semiHidden/>
    <w:qFormat/>
    <w:uiPriority w:val="0"/>
    <w:pPr>
      <w:widowControl/>
      <w:adjustRightInd w:val="0"/>
      <w:snapToGrid w:val="0"/>
      <w:spacing w:line="360" w:lineRule="auto"/>
      <w:ind w:firstLine="200" w:firstLineChars="200"/>
      <w:jc w:val="left"/>
    </w:pPr>
    <w:rPr>
      <w:rFonts w:ascii="宋体" w:hAnsi="宋体" w:cs="宋体"/>
      <w:color w:val="000000"/>
      <w:kern w:val="0"/>
      <w:sz w:val="24"/>
      <w:szCs w:val="26"/>
    </w:rPr>
  </w:style>
  <w:style w:type="paragraph" w:customStyle="1" w:styleId="564">
    <w:name w:val="标准"/>
    <w:link w:val="565"/>
    <w:qFormat/>
    <w:uiPriority w:val="0"/>
    <w:pPr>
      <w:widowControl w:val="0"/>
      <w:ind w:firstLine="200" w:firstLineChars="200"/>
      <w:jc w:val="both"/>
    </w:pPr>
    <w:rPr>
      <w:rFonts w:ascii="仿宋_GB2312" w:hAnsi="宋体" w:eastAsia="宋体" w:cs="Times New Roman"/>
      <w:kern w:val="2"/>
      <w:sz w:val="18"/>
      <w:szCs w:val="28"/>
      <w:lang w:val="en-US" w:eastAsia="zh-CN" w:bidi="ar-SA"/>
    </w:rPr>
  </w:style>
  <w:style w:type="character" w:customStyle="1" w:styleId="565">
    <w:name w:val="标准 Char"/>
    <w:link w:val="564"/>
    <w:qFormat/>
    <w:uiPriority w:val="0"/>
    <w:rPr>
      <w:rFonts w:ascii="仿宋_GB2312" w:hAnsi="宋体"/>
      <w:kern w:val="2"/>
      <w:sz w:val="18"/>
      <w:szCs w:val="28"/>
      <w:lang w:val="en-US" w:eastAsia="zh-CN" w:bidi="ar-SA"/>
    </w:rPr>
  </w:style>
  <w:style w:type="paragraph" w:customStyle="1" w:styleId="566">
    <w:name w:val="方案正文样式"/>
    <w:basedOn w:val="1"/>
    <w:link w:val="567"/>
    <w:qFormat/>
    <w:uiPriority w:val="0"/>
    <w:pPr>
      <w:adjustRightInd w:val="0"/>
      <w:snapToGrid w:val="0"/>
      <w:spacing w:line="360" w:lineRule="auto"/>
      <w:ind w:firstLine="454"/>
      <w:textAlignment w:val="baseline"/>
    </w:pPr>
    <w:rPr>
      <w:snapToGrid w:val="0"/>
      <w:kern w:val="0"/>
      <w:sz w:val="24"/>
    </w:rPr>
  </w:style>
  <w:style w:type="character" w:customStyle="1" w:styleId="567">
    <w:name w:val="方案正文样式 Char"/>
    <w:link w:val="566"/>
    <w:qFormat/>
    <w:uiPriority w:val="0"/>
    <w:rPr>
      <w:rFonts w:eastAsia="宋体"/>
      <w:snapToGrid w:val="0"/>
      <w:sz w:val="24"/>
      <w:szCs w:val="24"/>
      <w:lang w:val="en-US" w:eastAsia="zh-CN" w:bidi="ar-SA"/>
    </w:rPr>
  </w:style>
  <w:style w:type="paragraph" w:customStyle="1" w:styleId="568">
    <w:name w:val="（文章）正文石"/>
    <w:basedOn w:val="1"/>
    <w:link w:val="569"/>
    <w:qFormat/>
    <w:uiPriority w:val="0"/>
    <w:pPr>
      <w:spacing w:line="360" w:lineRule="auto"/>
      <w:ind w:firstLine="200" w:firstLineChars="200"/>
    </w:pPr>
    <w:rPr>
      <w:sz w:val="24"/>
    </w:rPr>
  </w:style>
  <w:style w:type="character" w:customStyle="1" w:styleId="569">
    <w:name w:val="（文章）正文石 Char"/>
    <w:link w:val="568"/>
    <w:qFormat/>
    <w:uiPriority w:val="0"/>
    <w:rPr>
      <w:rFonts w:eastAsia="宋体"/>
      <w:kern w:val="2"/>
      <w:sz w:val="24"/>
      <w:szCs w:val="24"/>
      <w:lang w:val="en-US" w:eastAsia="zh-CN" w:bidi="ar-SA"/>
    </w:rPr>
  </w:style>
  <w:style w:type="paragraph" w:customStyle="1" w:styleId="570">
    <w:name w:val="表标题"/>
    <w:next w:val="87"/>
    <w:link w:val="571"/>
    <w:qFormat/>
    <w:uiPriority w:val="0"/>
    <w:pPr>
      <w:adjustRightInd w:val="0"/>
      <w:snapToGrid w:val="0"/>
      <w:spacing w:line="460" w:lineRule="exact"/>
      <w:jc w:val="center"/>
      <w:textAlignment w:val="baseline"/>
    </w:pPr>
    <w:rPr>
      <w:rFonts w:ascii="Times New Roman" w:hAnsi="Times New Roman" w:eastAsia="宋体" w:cs="Times New Roman"/>
      <w:spacing w:val="14"/>
      <w:kern w:val="2"/>
      <w:sz w:val="24"/>
      <w:szCs w:val="24"/>
      <w:lang w:val="zh-CN" w:eastAsia="zh-CN" w:bidi="ar-SA"/>
    </w:rPr>
  </w:style>
  <w:style w:type="character" w:customStyle="1" w:styleId="571">
    <w:name w:val="表标题 Char"/>
    <w:link w:val="570"/>
    <w:qFormat/>
    <w:uiPriority w:val="0"/>
    <w:rPr>
      <w:spacing w:val="14"/>
      <w:kern w:val="2"/>
      <w:sz w:val="24"/>
      <w:szCs w:val="24"/>
      <w:lang w:val="zh-CN" w:eastAsia="zh-CN" w:bidi="ar-SA"/>
    </w:rPr>
  </w:style>
  <w:style w:type="paragraph" w:customStyle="1" w:styleId="572">
    <w:name w:val="表数字"/>
    <w:basedOn w:val="1"/>
    <w:qFormat/>
    <w:uiPriority w:val="0"/>
    <w:pPr>
      <w:adjustRightInd w:val="0"/>
      <w:snapToGrid w:val="0"/>
      <w:spacing w:line="320" w:lineRule="exact"/>
      <w:jc w:val="center"/>
    </w:pPr>
    <w:rPr>
      <w:rFonts w:ascii="Arial" w:hAnsi="Arial" w:cs="Arial"/>
      <w:snapToGrid w:val="0"/>
      <w:color w:val="000000"/>
      <w:kern w:val="0"/>
      <w:szCs w:val="28"/>
    </w:rPr>
  </w:style>
  <w:style w:type="paragraph" w:customStyle="1" w:styleId="573">
    <w:name w:val="Char Char Char Char Char Char Char Char Char Char Char Char Char Char Char Char"/>
    <w:basedOn w:val="1"/>
    <w:qFormat/>
    <w:uiPriority w:val="0"/>
    <w:rPr>
      <w:color w:val="000000"/>
    </w:rPr>
  </w:style>
  <w:style w:type="paragraph" w:customStyle="1" w:styleId="574">
    <w:name w:val="样式 !正文 + 首行缩进:  2 字符"/>
    <w:basedOn w:val="1"/>
    <w:qFormat/>
    <w:uiPriority w:val="0"/>
    <w:pPr>
      <w:snapToGrid w:val="0"/>
      <w:spacing w:line="336" w:lineRule="auto"/>
      <w:ind w:firstLine="480" w:firstLineChars="200"/>
      <w:jc w:val="left"/>
      <w:textAlignment w:val="baseline"/>
    </w:pPr>
    <w:rPr>
      <w:rFonts w:cs="宋体"/>
      <w:color w:val="000000"/>
      <w:kern w:val="0"/>
      <w:sz w:val="24"/>
      <w:szCs w:val="20"/>
      <w:u w:color="000000"/>
    </w:rPr>
  </w:style>
  <w:style w:type="paragraph" w:customStyle="1" w:styleId="575">
    <w:name w:val="表格间"/>
    <w:basedOn w:val="1"/>
    <w:qFormat/>
    <w:uiPriority w:val="0"/>
    <w:pPr>
      <w:ind w:firstLine="200" w:firstLineChars="200"/>
    </w:pPr>
    <w:rPr>
      <w:color w:val="000000"/>
      <w:sz w:val="22"/>
      <w:szCs w:val="28"/>
    </w:rPr>
  </w:style>
  <w:style w:type="paragraph" w:customStyle="1" w:styleId="576">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eastAsia="Arial Unicode MS" w:cs="Arial Unicode MS"/>
      <w:color w:val="000000"/>
      <w:kern w:val="0"/>
      <w:sz w:val="24"/>
    </w:rPr>
  </w:style>
  <w:style w:type="character" w:customStyle="1" w:styleId="577">
    <w:name w:val="明显参考1"/>
    <w:qFormat/>
    <w:uiPriority w:val="0"/>
    <w:rPr>
      <w:b/>
      <w:bCs/>
      <w:smallCaps/>
      <w:color w:val="C0504D"/>
      <w:spacing w:val="5"/>
      <w:u w:val="single"/>
    </w:rPr>
  </w:style>
  <w:style w:type="paragraph" w:customStyle="1" w:styleId="578">
    <w:name w:val="表格体"/>
    <w:basedOn w:val="1"/>
    <w:qFormat/>
    <w:uiPriority w:val="0"/>
    <w:pPr>
      <w:widowControl/>
      <w:overflowPunct w:val="0"/>
      <w:adjustRightInd w:val="0"/>
      <w:snapToGrid w:val="0"/>
      <w:spacing w:line="500" w:lineRule="exact"/>
      <w:ind w:firstLine="539"/>
      <w:jc w:val="center"/>
    </w:pPr>
    <w:rPr>
      <w:bCs/>
      <w:color w:val="000000"/>
      <w:kern w:val="0"/>
      <w:sz w:val="26"/>
      <w:szCs w:val="28"/>
    </w:rPr>
  </w:style>
  <w:style w:type="paragraph" w:customStyle="1" w:styleId="579">
    <w:name w:val="_Style 10"/>
    <w:basedOn w:val="1"/>
    <w:qFormat/>
    <w:uiPriority w:val="0"/>
    <w:rPr>
      <w:color w:val="000000"/>
    </w:rPr>
  </w:style>
  <w:style w:type="character" w:customStyle="1" w:styleId="580">
    <w:name w:val="正文文字 Char"/>
    <w:qFormat/>
    <w:uiPriority w:val="0"/>
    <w:rPr>
      <w:rFonts w:ascii="Arial" w:hAnsi="Arial"/>
      <w:kern w:val="2"/>
      <w:sz w:val="28"/>
      <w:szCs w:val="24"/>
    </w:rPr>
  </w:style>
  <w:style w:type="character" w:customStyle="1" w:styleId="581">
    <w:name w:val="表题目 Char"/>
    <w:link w:val="582"/>
    <w:qFormat/>
    <w:locked/>
    <w:uiPriority w:val="0"/>
    <w:rPr>
      <w:rFonts w:ascii="宋体" w:hAnsi="宋体"/>
      <w:b/>
      <w:kern w:val="2"/>
      <w:sz w:val="24"/>
      <w:szCs w:val="24"/>
      <w:lang w:bidi="ar-SA"/>
    </w:rPr>
  </w:style>
  <w:style w:type="paragraph" w:customStyle="1" w:styleId="582">
    <w:name w:val="表题目"/>
    <w:basedOn w:val="1"/>
    <w:link w:val="581"/>
    <w:qFormat/>
    <w:uiPriority w:val="0"/>
    <w:pPr>
      <w:spacing w:beforeLines="100" w:afterLines="30" w:line="360" w:lineRule="auto"/>
      <w:jc w:val="center"/>
    </w:pPr>
    <w:rPr>
      <w:rFonts w:ascii="宋体" w:hAnsi="宋体"/>
      <w:b/>
      <w:sz w:val="24"/>
    </w:rPr>
  </w:style>
  <w:style w:type="paragraph" w:customStyle="1" w:styleId="583">
    <w:name w:val="表中内容"/>
    <w:basedOn w:val="1"/>
    <w:qFormat/>
    <w:uiPriority w:val="0"/>
    <w:rPr>
      <w:rFonts w:ascii="宋体"/>
      <w:spacing w:val="-6"/>
    </w:rPr>
  </w:style>
  <w:style w:type="paragraph" w:customStyle="1" w:styleId="584">
    <w:name w:val="10.2.2"/>
    <w:basedOn w:val="21"/>
    <w:link w:val="585"/>
    <w:qFormat/>
    <w:uiPriority w:val="0"/>
    <w:pPr>
      <w:adjustRightInd w:val="0"/>
      <w:snapToGrid w:val="0"/>
      <w:spacing w:line="336" w:lineRule="auto"/>
      <w:ind w:firstLine="200" w:firstLineChars="200"/>
    </w:pPr>
    <w:rPr>
      <w:rFonts w:ascii="宋体" w:hAnsi="宋体"/>
      <w:bCs/>
      <w:kern w:val="0"/>
      <w:szCs w:val="28"/>
    </w:rPr>
  </w:style>
  <w:style w:type="character" w:customStyle="1" w:styleId="585">
    <w:name w:val="10.2.2 Char Char"/>
    <w:link w:val="584"/>
    <w:qFormat/>
    <w:uiPriority w:val="0"/>
    <w:rPr>
      <w:rFonts w:ascii="宋体" w:hAnsi="宋体" w:eastAsia="宋体"/>
      <w:bCs/>
      <w:sz w:val="28"/>
      <w:szCs w:val="28"/>
      <w:lang w:val="en-US" w:eastAsia="zh-CN" w:bidi="ar-SA"/>
    </w:rPr>
  </w:style>
  <w:style w:type="paragraph" w:customStyle="1" w:styleId="586">
    <w:name w:val="表（左对齐）"/>
    <w:basedOn w:val="1"/>
    <w:qFormat/>
    <w:uiPriority w:val="0"/>
    <w:pPr>
      <w:jc w:val="center"/>
    </w:pPr>
    <w:rPr>
      <w:color w:val="008000"/>
      <w:kern w:val="0"/>
    </w:rPr>
  </w:style>
  <w:style w:type="character" w:customStyle="1" w:styleId="587">
    <w:name w:val="0水保正文 Char Char"/>
    <w:link w:val="588"/>
    <w:qFormat/>
    <w:uiPriority w:val="0"/>
    <w:rPr>
      <w:rFonts w:ascii="宋体" w:hAnsi="宋体"/>
      <w:color w:val="000000"/>
      <w:sz w:val="24"/>
      <w:szCs w:val="24"/>
      <w:lang w:bidi="ar-SA"/>
    </w:rPr>
  </w:style>
  <w:style w:type="paragraph" w:customStyle="1" w:styleId="588">
    <w:name w:val="0水保正文"/>
    <w:basedOn w:val="1"/>
    <w:link w:val="587"/>
    <w:qFormat/>
    <w:uiPriority w:val="0"/>
    <w:pPr>
      <w:spacing w:line="360" w:lineRule="auto"/>
      <w:ind w:firstLine="480" w:firstLineChars="200"/>
    </w:pPr>
    <w:rPr>
      <w:rFonts w:ascii="宋体" w:hAnsi="宋体"/>
      <w:color w:val="000000"/>
      <w:kern w:val="0"/>
      <w:sz w:val="24"/>
    </w:rPr>
  </w:style>
  <w:style w:type="character" w:customStyle="1" w:styleId="589">
    <w:name w:val="normaltext1"/>
    <w:qFormat/>
    <w:uiPriority w:val="0"/>
    <w:rPr>
      <w:color w:val="000000"/>
      <w:sz w:val="21"/>
      <w:szCs w:val="21"/>
    </w:rPr>
  </w:style>
  <w:style w:type="paragraph" w:customStyle="1" w:styleId="590">
    <w:name w:val="样式 仿宋_GB2312 四号3"/>
    <w:basedOn w:val="1"/>
    <w:qFormat/>
    <w:uiPriority w:val="0"/>
    <w:pPr>
      <w:spacing w:line="360" w:lineRule="auto"/>
      <w:ind w:firstLine="584" w:firstLineChars="200"/>
    </w:pPr>
    <w:rPr>
      <w:rFonts w:ascii="仿宋_GB2312" w:hAnsi="宋体" w:eastAsia="仿宋_GB2312"/>
      <w:spacing w:val="6"/>
      <w:sz w:val="28"/>
      <w:szCs w:val="20"/>
    </w:rPr>
  </w:style>
  <w:style w:type="paragraph" w:customStyle="1" w:styleId="591">
    <w:name w:val="font8"/>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592">
    <w:name w:val="font9"/>
    <w:basedOn w:val="1"/>
    <w:qFormat/>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593">
    <w:name w:val="xl66"/>
    <w:basedOn w:val="1"/>
    <w:qFormat/>
    <w:uiPriority w:val="0"/>
    <w:pPr>
      <w:widowControl/>
      <w:pBdr>
        <w:top w:val="single" w:color="auto" w:sz="8" w:space="0"/>
        <w:left w:val="single" w:color="auto" w:sz="8" w:space="0"/>
        <w:bottom w:val="single" w:color="auto" w:sz="8" w:space="0"/>
        <w:right w:val="single" w:color="auto" w:sz="8"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594">
    <w:name w:val="xl67"/>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595">
    <w:name w:val="xl68"/>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596">
    <w:name w:val="xl69"/>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597">
    <w:name w:val="xl70"/>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kern w:val="0"/>
      <w:sz w:val="18"/>
      <w:szCs w:val="18"/>
    </w:rPr>
  </w:style>
  <w:style w:type="paragraph" w:customStyle="1" w:styleId="598">
    <w:name w:val="xl72"/>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kern w:val="0"/>
      <w:sz w:val="18"/>
      <w:szCs w:val="18"/>
    </w:rPr>
  </w:style>
  <w:style w:type="paragraph" w:customStyle="1" w:styleId="599">
    <w:name w:val="xl73"/>
    <w:basedOn w:val="1"/>
    <w:qFormat/>
    <w:uiPriority w:val="0"/>
    <w:pPr>
      <w:widowControl/>
      <w:pBdr>
        <w:top w:val="single" w:color="auto" w:sz="8" w:space="0"/>
        <w:lef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00">
    <w:name w:val="xl74"/>
    <w:basedOn w:val="1"/>
    <w:qFormat/>
    <w:uiPriority w:val="0"/>
    <w:pPr>
      <w:widowControl/>
      <w:pBdr>
        <w:top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01">
    <w:name w:val="xl75"/>
    <w:basedOn w:val="1"/>
    <w:qFormat/>
    <w:uiPriority w:val="0"/>
    <w:pPr>
      <w:widowControl/>
      <w:pBdr>
        <w:lef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02">
    <w:name w:val="xl76"/>
    <w:basedOn w:val="1"/>
    <w:qFormat/>
    <w:uiPriority w:val="0"/>
    <w:pPr>
      <w:widowControl/>
      <w:pBdr>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03">
    <w:name w:val="xl77"/>
    <w:basedOn w:val="1"/>
    <w:qFormat/>
    <w:uiPriority w:val="0"/>
    <w:pPr>
      <w:widowControl/>
      <w:pBdr>
        <w:left w:val="single" w:color="auto" w:sz="8" w:space="0"/>
        <w:bottom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04">
    <w:name w:val="xl78"/>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05">
    <w:name w:val="xl79"/>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06">
    <w:name w:val="xl80"/>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07">
    <w:name w:val="xl81"/>
    <w:basedOn w:val="1"/>
    <w:qFormat/>
    <w:uiPriority w:val="0"/>
    <w:pPr>
      <w:widowControl/>
      <w:pBdr>
        <w:top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08">
    <w:name w:val="xl82"/>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09">
    <w:name w:val="xl83"/>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10">
    <w:name w:val="xl84"/>
    <w:basedOn w:val="1"/>
    <w:qFormat/>
    <w:uiPriority w:val="0"/>
    <w:pPr>
      <w:widowControl/>
      <w:pBdr>
        <w:top w:val="single" w:color="auto" w:sz="8" w:space="0"/>
        <w:bottom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11">
    <w:name w:val="xl85"/>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612">
    <w:name w:val="xl86"/>
    <w:basedOn w:val="1"/>
    <w:qFormat/>
    <w:uiPriority w:val="0"/>
    <w:pPr>
      <w:widowControl/>
      <w:pBdr>
        <w:top w:val="single" w:color="auto" w:sz="8" w:space="0"/>
        <w:left w:val="single" w:color="auto" w:sz="8" w:space="0"/>
        <w:bottom w:val="single" w:color="auto" w:sz="8" w:space="0"/>
        <w:right w:val="single" w:color="auto" w:sz="8" w:space="0"/>
      </w:pBdr>
      <w:shd w:val="clear" w:color="000000" w:fill="92D050"/>
      <w:spacing w:before="100" w:beforeAutospacing="1" w:after="100" w:afterAutospacing="1"/>
      <w:jc w:val="center"/>
      <w:textAlignment w:val="center"/>
    </w:pPr>
    <w:rPr>
      <w:rFonts w:ascii="宋体" w:hAnsi="宋体" w:cs="宋体"/>
      <w:b/>
      <w:bCs/>
      <w:kern w:val="0"/>
      <w:sz w:val="20"/>
      <w:szCs w:val="20"/>
    </w:rPr>
  </w:style>
  <w:style w:type="paragraph" w:customStyle="1" w:styleId="613">
    <w:name w:val="xl87"/>
    <w:basedOn w:val="1"/>
    <w:qFormat/>
    <w:uiPriority w:val="0"/>
    <w:pPr>
      <w:widowControl/>
      <w:shd w:val="clear" w:color="000000" w:fill="92D050"/>
      <w:spacing w:before="100" w:beforeAutospacing="1" w:after="100" w:afterAutospacing="1"/>
      <w:jc w:val="center"/>
      <w:textAlignment w:val="center"/>
    </w:pPr>
    <w:rPr>
      <w:rFonts w:ascii="宋体" w:hAnsi="宋体" w:cs="宋体"/>
      <w:kern w:val="0"/>
      <w:sz w:val="20"/>
      <w:szCs w:val="20"/>
    </w:rPr>
  </w:style>
  <w:style w:type="paragraph" w:customStyle="1" w:styleId="614">
    <w:name w:val="xl88"/>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宋体" w:hAnsi="宋体" w:cs="宋体"/>
      <w:kern w:val="0"/>
      <w:sz w:val="20"/>
      <w:szCs w:val="20"/>
    </w:rPr>
  </w:style>
  <w:style w:type="paragraph" w:customStyle="1" w:styleId="615">
    <w:name w:val="xl89"/>
    <w:basedOn w:val="1"/>
    <w:qFormat/>
    <w:uiPriority w:val="0"/>
    <w:pPr>
      <w:widowControl/>
      <w:pBdr>
        <w:bottom w:val="single" w:color="auto" w:sz="8" w:space="0"/>
      </w:pBdr>
      <w:spacing w:before="100" w:beforeAutospacing="1" w:after="100" w:afterAutospacing="1"/>
      <w:jc w:val="center"/>
      <w:textAlignment w:val="center"/>
    </w:pPr>
    <w:rPr>
      <w:rFonts w:ascii="宋体" w:hAnsi="宋体" w:cs="宋体"/>
      <w:kern w:val="0"/>
      <w:sz w:val="20"/>
      <w:szCs w:val="20"/>
    </w:rPr>
  </w:style>
  <w:style w:type="paragraph" w:customStyle="1" w:styleId="616">
    <w:name w:val="xl90"/>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17">
    <w:name w:val="xl91"/>
    <w:basedOn w:val="1"/>
    <w:qFormat/>
    <w:uiPriority w:val="0"/>
    <w:pPr>
      <w:widowControl/>
      <w:pBdr>
        <w:bottom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18">
    <w:name w:val="xl92"/>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19">
    <w:name w:val="xl9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20">
    <w:name w:val="xl94"/>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21">
    <w:name w:val="xl95"/>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22">
    <w:name w:val="xl96"/>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b/>
      <w:bCs/>
      <w:color w:val="FF0000"/>
      <w:kern w:val="0"/>
      <w:sz w:val="20"/>
      <w:szCs w:val="20"/>
    </w:rPr>
  </w:style>
  <w:style w:type="paragraph" w:customStyle="1" w:styleId="623">
    <w:name w:val="xl97"/>
    <w:basedOn w:val="1"/>
    <w:qFormat/>
    <w:uiPriority w:val="0"/>
    <w:pPr>
      <w:widowControl/>
      <w:pBdr>
        <w:bottom w:val="single" w:color="auto" w:sz="8" w:space="0"/>
        <w:right w:val="single" w:color="auto" w:sz="8" w:space="0"/>
      </w:pBdr>
      <w:shd w:val="clear" w:color="000000" w:fill="FFFF00"/>
      <w:spacing w:before="100" w:beforeAutospacing="1" w:after="100" w:afterAutospacing="1"/>
      <w:jc w:val="center"/>
      <w:textAlignment w:val="center"/>
    </w:pPr>
    <w:rPr>
      <w:rFonts w:ascii="宋体" w:hAnsi="宋体" w:cs="宋体"/>
      <w:b/>
      <w:bCs/>
      <w:kern w:val="0"/>
      <w:sz w:val="20"/>
      <w:szCs w:val="20"/>
    </w:rPr>
  </w:style>
  <w:style w:type="paragraph" w:customStyle="1" w:styleId="624">
    <w:name w:val="xl98"/>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25">
    <w:name w:val="xl99"/>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26">
    <w:name w:val="xl100"/>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cs="宋体"/>
      <w:b/>
      <w:bCs/>
      <w:color w:val="FF0000"/>
      <w:kern w:val="0"/>
      <w:sz w:val="20"/>
      <w:szCs w:val="20"/>
    </w:rPr>
  </w:style>
  <w:style w:type="paragraph" w:customStyle="1" w:styleId="627">
    <w:name w:val="xl101"/>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28">
    <w:name w:val="xl102"/>
    <w:basedOn w:val="1"/>
    <w:qFormat/>
    <w:uiPriority w:val="0"/>
    <w:pPr>
      <w:widowControl/>
      <w:pBdr>
        <w:top w:val="single" w:color="auto" w:sz="8" w:space="0"/>
        <w:left w:val="single" w:color="auto" w:sz="8" w:space="0"/>
        <w:bottom w:val="single" w:color="auto" w:sz="8" w:space="0"/>
        <w:right w:val="single" w:color="auto" w:sz="8" w:space="0"/>
      </w:pBdr>
      <w:shd w:val="clear" w:color="000000" w:fill="9ED3A4"/>
      <w:spacing w:before="100" w:beforeAutospacing="1" w:after="100" w:afterAutospacing="1"/>
      <w:jc w:val="center"/>
      <w:textAlignment w:val="center"/>
    </w:pPr>
    <w:rPr>
      <w:rFonts w:ascii="宋体" w:hAnsi="宋体" w:cs="宋体"/>
      <w:b/>
      <w:bCs/>
      <w:kern w:val="0"/>
      <w:sz w:val="20"/>
      <w:szCs w:val="20"/>
    </w:rPr>
  </w:style>
  <w:style w:type="paragraph" w:customStyle="1" w:styleId="629">
    <w:name w:val="xl10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30">
    <w:name w:val="xl104"/>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kern w:val="0"/>
      <w:sz w:val="20"/>
      <w:szCs w:val="20"/>
    </w:rPr>
  </w:style>
  <w:style w:type="paragraph" w:customStyle="1" w:styleId="631">
    <w:name w:val="xl105"/>
    <w:basedOn w:val="1"/>
    <w:qFormat/>
    <w:uiPriority w:val="0"/>
    <w:pPr>
      <w:widowControl/>
      <w:pBdr>
        <w:bottom w:val="single" w:color="auto" w:sz="8" w:space="0"/>
        <w:right w:val="single" w:color="auto" w:sz="8" w:space="0"/>
      </w:pBdr>
      <w:shd w:val="clear" w:color="000000" w:fill="FFFF00"/>
      <w:spacing w:before="100" w:beforeAutospacing="1" w:after="100" w:afterAutospacing="1"/>
      <w:jc w:val="center"/>
      <w:textAlignment w:val="center"/>
    </w:pPr>
    <w:rPr>
      <w:rFonts w:ascii="宋体" w:hAnsi="宋体" w:cs="宋体"/>
      <w:kern w:val="0"/>
      <w:sz w:val="20"/>
      <w:szCs w:val="20"/>
    </w:rPr>
  </w:style>
  <w:style w:type="paragraph" w:customStyle="1" w:styleId="632">
    <w:name w:val="xl10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cs="宋体"/>
      <w:kern w:val="0"/>
      <w:sz w:val="20"/>
      <w:szCs w:val="20"/>
    </w:rPr>
  </w:style>
  <w:style w:type="paragraph" w:customStyle="1" w:styleId="633">
    <w:name w:val="xl107"/>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cs="宋体"/>
      <w:kern w:val="0"/>
      <w:sz w:val="20"/>
      <w:szCs w:val="20"/>
    </w:rPr>
  </w:style>
  <w:style w:type="paragraph" w:customStyle="1" w:styleId="634">
    <w:name w:val="xl108"/>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kern w:val="0"/>
      <w:sz w:val="20"/>
      <w:szCs w:val="20"/>
    </w:rPr>
  </w:style>
  <w:style w:type="paragraph" w:customStyle="1" w:styleId="635">
    <w:name w:val="xl109"/>
    <w:basedOn w:val="1"/>
    <w:qFormat/>
    <w:uiPriority w:val="0"/>
    <w:pPr>
      <w:widowControl/>
      <w:pBdr>
        <w:top w:val="single" w:color="auto" w:sz="8" w:space="0"/>
        <w:left w:val="single" w:color="auto" w:sz="8" w:space="0"/>
        <w:bottom w:val="single" w:color="auto" w:sz="8" w:space="0"/>
      </w:pBdr>
      <w:shd w:val="clear" w:color="000000" w:fill="FFFF00"/>
      <w:spacing w:before="100" w:beforeAutospacing="1" w:after="100" w:afterAutospacing="1"/>
      <w:jc w:val="center"/>
      <w:textAlignment w:val="center"/>
    </w:pPr>
    <w:rPr>
      <w:rFonts w:ascii="宋体" w:hAnsi="宋体" w:cs="宋体"/>
      <w:kern w:val="0"/>
      <w:sz w:val="20"/>
      <w:szCs w:val="20"/>
    </w:rPr>
  </w:style>
  <w:style w:type="paragraph" w:customStyle="1" w:styleId="636">
    <w:name w:val="xl110"/>
    <w:basedOn w:val="1"/>
    <w:qFormat/>
    <w:uiPriority w:val="0"/>
    <w:pPr>
      <w:widowControl/>
      <w:pBdr>
        <w:top w:val="single" w:color="auto" w:sz="8" w:space="0"/>
        <w:bottom w:val="single" w:color="auto" w:sz="8" w:space="0"/>
      </w:pBdr>
      <w:shd w:val="clear" w:color="000000" w:fill="FFFF00"/>
      <w:spacing w:before="100" w:beforeAutospacing="1" w:after="100" w:afterAutospacing="1"/>
      <w:jc w:val="center"/>
      <w:textAlignment w:val="center"/>
    </w:pPr>
    <w:rPr>
      <w:rFonts w:ascii="宋体" w:hAnsi="宋体" w:cs="宋体"/>
      <w:kern w:val="0"/>
      <w:sz w:val="20"/>
      <w:szCs w:val="20"/>
    </w:rPr>
  </w:style>
  <w:style w:type="paragraph" w:customStyle="1" w:styleId="637">
    <w:name w:val="xl111"/>
    <w:basedOn w:val="1"/>
    <w:qFormat/>
    <w:uiPriority w:val="0"/>
    <w:pPr>
      <w:widowControl/>
      <w:pBdr>
        <w:top w:val="single" w:color="auto" w:sz="8" w:space="0"/>
        <w:bottom w:val="single" w:color="auto" w:sz="8" w:space="0"/>
        <w:right w:val="single" w:color="auto" w:sz="8" w:space="0"/>
      </w:pBdr>
      <w:shd w:val="clear" w:color="000000" w:fill="FFFF00"/>
      <w:spacing w:before="100" w:beforeAutospacing="1" w:after="100" w:afterAutospacing="1"/>
      <w:jc w:val="center"/>
      <w:textAlignment w:val="center"/>
    </w:pPr>
    <w:rPr>
      <w:rFonts w:ascii="宋体" w:hAnsi="宋体" w:cs="宋体"/>
      <w:kern w:val="0"/>
      <w:sz w:val="20"/>
      <w:szCs w:val="20"/>
    </w:rPr>
  </w:style>
  <w:style w:type="paragraph" w:customStyle="1" w:styleId="638">
    <w:name w:val="xl112"/>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cs="宋体"/>
      <w:kern w:val="0"/>
      <w:sz w:val="20"/>
      <w:szCs w:val="20"/>
    </w:rPr>
  </w:style>
  <w:style w:type="paragraph" w:customStyle="1" w:styleId="639">
    <w:name w:val="xl113"/>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kern w:val="0"/>
      <w:sz w:val="20"/>
      <w:szCs w:val="20"/>
    </w:rPr>
  </w:style>
  <w:style w:type="paragraph" w:customStyle="1" w:styleId="640">
    <w:name w:val="xl114"/>
    <w:basedOn w:val="1"/>
    <w:qFormat/>
    <w:uiPriority w:val="0"/>
    <w:pPr>
      <w:widowControl/>
      <w:pBdr>
        <w:left w:val="single" w:color="auto" w:sz="8" w:space="0"/>
        <w:bottom w:val="single" w:color="auto" w:sz="8" w:space="0"/>
      </w:pBdr>
      <w:spacing w:before="100" w:beforeAutospacing="1" w:after="100" w:afterAutospacing="1"/>
      <w:jc w:val="center"/>
      <w:textAlignment w:val="center"/>
    </w:pPr>
    <w:rPr>
      <w:rFonts w:ascii="宋体" w:hAnsi="宋体" w:cs="宋体"/>
      <w:kern w:val="0"/>
      <w:sz w:val="20"/>
      <w:szCs w:val="20"/>
    </w:rPr>
  </w:style>
  <w:style w:type="paragraph" w:customStyle="1" w:styleId="641">
    <w:name w:val="xl115"/>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宋体" w:hAnsi="宋体" w:cs="宋体"/>
      <w:kern w:val="0"/>
      <w:sz w:val="20"/>
      <w:szCs w:val="20"/>
    </w:rPr>
  </w:style>
  <w:style w:type="paragraph" w:customStyle="1" w:styleId="642">
    <w:name w:val="xl116"/>
    <w:basedOn w:val="1"/>
    <w:qFormat/>
    <w:uiPriority w:val="0"/>
    <w:pPr>
      <w:widowControl/>
      <w:pBdr>
        <w:top w:val="single" w:color="auto" w:sz="8" w:space="0"/>
        <w:bottom w:val="single" w:color="auto" w:sz="8" w:space="0"/>
      </w:pBdr>
      <w:spacing w:before="100" w:beforeAutospacing="1" w:after="100" w:afterAutospacing="1"/>
      <w:jc w:val="center"/>
      <w:textAlignment w:val="center"/>
    </w:pPr>
    <w:rPr>
      <w:rFonts w:ascii="宋体" w:hAnsi="宋体" w:cs="宋体"/>
      <w:kern w:val="0"/>
      <w:sz w:val="20"/>
      <w:szCs w:val="20"/>
    </w:rPr>
  </w:style>
  <w:style w:type="paragraph" w:customStyle="1" w:styleId="643">
    <w:name w:val="xl117"/>
    <w:basedOn w:val="1"/>
    <w:qFormat/>
    <w:uiPriority w:val="0"/>
    <w:pPr>
      <w:widowControl/>
      <w:pBdr>
        <w:top w:val="single" w:color="auto" w:sz="8" w:space="0"/>
        <w:left w:val="single" w:color="auto" w:sz="8" w:space="0"/>
        <w:bottom w:val="single" w:color="auto" w:sz="8" w:space="0"/>
      </w:pBdr>
      <w:shd w:val="clear" w:color="000000" w:fill="92D050"/>
      <w:spacing w:before="100" w:beforeAutospacing="1" w:after="100" w:afterAutospacing="1"/>
      <w:jc w:val="center"/>
      <w:textAlignment w:val="center"/>
    </w:pPr>
    <w:rPr>
      <w:rFonts w:ascii="宋体" w:hAnsi="宋体" w:cs="宋体"/>
      <w:b/>
      <w:bCs/>
      <w:kern w:val="0"/>
      <w:sz w:val="20"/>
      <w:szCs w:val="20"/>
    </w:rPr>
  </w:style>
  <w:style w:type="paragraph" w:customStyle="1" w:styleId="644">
    <w:name w:val="xl118"/>
    <w:basedOn w:val="1"/>
    <w:qFormat/>
    <w:uiPriority w:val="0"/>
    <w:pPr>
      <w:widowControl/>
      <w:pBdr>
        <w:top w:val="single" w:color="auto" w:sz="8" w:space="0"/>
        <w:bottom w:val="single" w:color="auto" w:sz="8" w:space="0"/>
      </w:pBdr>
      <w:shd w:val="clear" w:color="000000" w:fill="92D050"/>
      <w:spacing w:before="100" w:beforeAutospacing="1" w:after="100" w:afterAutospacing="1"/>
      <w:jc w:val="center"/>
      <w:textAlignment w:val="center"/>
    </w:pPr>
    <w:rPr>
      <w:rFonts w:ascii="宋体" w:hAnsi="宋体" w:cs="宋体"/>
      <w:b/>
      <w:bCs/>
      <w:kern w:val="0"/>
      <w:sz w:val="20"/>
      <w:szCs w:val="20"/>
    </w:rPr>
  </w:style>
  <w:style w:type="paragraph" w:customStyle="1" w:styleId="645">
    <w:name w:val="xl119"/>
    <w:basedOn w:val="1"/>
    <w:qFormat/>
    <w:uiPriority w:val="0"/>
    <w:pPr>
      <w:widowControl/>
      <w:pBdr>
        <w:top w:val="single" w:color="auto" w:sz="8" w:space="0"/>
        <w:bottom w:val="single" w:color="auto" w:sz="8" w:space="0"/>
        <w:right w:val="single" w:color="auto" w:sz="8" w:space="0"/>
      </w:pBdr>
      <w:shd w:val="clear" w:color="000000" w:fill="92D050"/>
      <w:spacing w:before="100" w:beforeAutospacing="1" w:after="100" w:afterAutospacing="1"/>
      <w:jc w:val="center"/>
      <w:textAlignment w:val="center"/>
    </w:pPr>
    <w:rPr>
      <w:rFonts w:ascii="宋体" w:hAnsi="宋体" w:cs="宋体"/>
      <w:b/>
      <w:bCs/>
      <w:kern w:val="0"/>
      <w:sz w:val="20"/>
      <w:szCs w:val="20"/>
    </w:rPr>
  </w:style>
  <w:style w:type="paragraph" w:customStyle="1" w:styleId="646">
    <w:name w:val="Char Char Char Char Char Char Char Char Char Char Char Char Char Char Char Char Char Char Char Char Char Char"/>
    <w:basedOn w:val="1"/>
    <w:qFormat/>
    <w:uiPriority w:val="0"/>
    <w:pPr>
      <w:spacing w:beforeLines="50" w:afterLines="50" w:line="360" w:lineRule="auto"/>
      <w:ind w:firstLine="200" w:firstLineChars="200"/>
    </w:pPr>
    <w:rPr>
      <w:rFonts w:ascii="宋体" w:hAnsi="宋体" w:cs="宋体"/>
      <w:b/>
      <w:sz w:val="24"/>
    </w:rPr>
  </w:style>
  <w:style w:type="paragraph" w:customStyle="1" w:styleId="647">
    <w:name w:val="公表文"/>
    <w:basedOn w:val="1"/>
    <w:link w:val="648"/>
    <w:qFormat/>
    <w:uiPriority w:val="0"/>
    <w:pPr>
      <w:adjustRightInd w:val="0"/>
      <w:snapToGrid w:val="0"/>
      <w:spacing w:beforeLines="20" w:afterLines="20" w:line="480" w:lineRule="exact"/>
      <w:ind w:firstLine="200" w:firstLineChars="200"/>
      <w:jc w:val="center"/>
    </w:pPr>
    <w:rPr>
      <w:rFonts w:ascii="宋体" w:eastAsia="楷体_GB2312"/>
      <w:sz w:val="26"/>
    </w:rPr>
  </w:style>
  <w:style w:type="character" w:customStyle="1" w:styleId="648">
    <w:name w:val="公表文 Char"/>
    <w:link w:val="647"/>
    <w:qFormat/>
    <w:uiPriority w:val="0"/>
    <w:rPr>
      <w:rFonts w:ascii="宋体" w:eastAsia="楷体_GB2312"/>
      <w:kern w:val="2"/>
      <w:sz w:val="26"/>
      <w:szCs w:val="24"/>
      <w:lang w:val="en-US" w:eastAsia="zh-CN" w:bidi="ar-SA"/>
    </w:rPr>
  </w:style>
  <w:style w:type="character" w:customStyle="1" w:styleId="649">
    <w:name w:val="Char Char"/>
    <w:qFormat/>
    <w:uiPriority w:val="0"/>
    <w:rPr>
      <w:rFonts w:ascii="宋体" w:hAnsi="Courier New" w:eastAsia="宋体" w:cs="Courier New"/>
      <w:kern w:val="2"/>
      <w:sz w:val="21"/>
      <w:szCs w:val="21"/>
      <w:lang w:val="en-US" w:eastAsia="zh-CN" w:bidi="ar-SA"/>
    </w:rPr>
  </w:style>
  <w:style w:type="paragraph" w:customStyle="1" w:styleId="650">
    <w:name w:val="Char Char Char Char Char2 Char1"/>
    <w:basedOn w:val="1"/>
    <w:qFormat/>
    <w:uiPriority w:val="0"/>
    <w:pPr>
      <w:adjustRightInd w:val="0"/>
      <w:snapToGrid w:val="0"/>
      <w:spacing w:line="360" w:lineRule="auto"/>
      <w:ind w:firstLine="200" w:firstLineChars="200"/>
    </w:pPr>
    <w:rPr>
      <w:rFonts w:ascii="宋体" w:hAnsi="宋体" w:cs="宋体"/>
      <w:sz w:val="24"/>
      <w:szCs w:val="26"/>
    </w:rPr>
  </w:style>
  <w:style w:type="paragraph" w:customStyle="1" w:styleId="651">
    <w:name w:val="Char4 Char Char Char1"/>
    <w:basedOn w:val="1"/>
    <w:qFormat/>
    <w:uiPriority w:val="0"/>
    <w:pPr>
      <w:adjustRightInd w:val="0"/>
      <w:snapToGrid w:val="0"/>
      <w:spacing w:line="360" w:lineRule="auto"/>
      <w:ind w:firstLine="200" w:firstLineChars="200"/>
    </w:pPr>
    <w:rPr>
      <w:rFonts w:ascii="宋体" w:hAnsi="宋体" w:cs="宋体"/>
      <w:sz w:val="24"/>
      <w:szCs w:val="26"/>
    </w:rPr>
  </w:style>
  <w:style w:type="paragraph" w:customStyle="1" w:styleId="652">
    <w:name w:val="样式 首行缩进:  2 字符"/>
    <w:basedOn w:val="1"/>
    <w:link w:val="653"/>
    <w:qFormat/>
    <w:uiPriority w:val="0"/>
    <w:pPr>
      <w:adjustRightInd w:val="0"/>
      <w:spacing w:line="360" w:lineRule="auto"/>
      <w:ind w:firstLine="480" w:firstLineChars="200"/>
    </w:pPr>
    <w:rPr>
      <w:rFonts w:hAnsi="宋体"/>
      <w:bCs/>
      <w:snapToGrid w:val="0"/>
      <w:color w:val="000000"/>
      <w:kern w:val="0"/>
      <w:sz w:val="24"/>
    </w:rPr>
  </w:style>
  <w:style w:type="character" w:customStyle="1" w:styleId="653">
    <w:name w:val="样式 首行缩进:  2 字符 Char Char"/>
    <w:link w:val="652"/>
    <w:qFormat/>
    <w:uiPriority w:val="0"/>
    <w:rPr>
      <w:rFonts w:hAnsi="宋体"/>
      <w:bCs/>
      <w:snapToGrid w:val="0"/>
      <w:color w:val="000000"/>
      <w:sz w:val="24"/>
      <w:szCs w:val="24"/>
    </w:rPr>
  </w:style>
  <w:style w:type="paragraph" w:customStyle="1" w:styleId="654">
    <w:name w:val="xyb自建表格名称"/>
    <w:basedOn w:val="1"/>
    <w:link w:val="655"/>
    <w:qFormat/>
    <w:uiPriority w:val="0"/>
    <w:pPr>
      <w:spacing w:line="360" w:lineRule="auto"/>
      <w:jc w:val="center"/>
    </w:pPr>
    <w:rPr>
      <w:rFonts w:ascii="宋体" w:hAnsi="宋体"/>
      <w:sz w:val="24"/>
    </w:rPr>
  </w:style>
  <w:style w:type="character" w:customStyle="1" w:styleId="655">
    <w:name w:val="xyb自建表格名称 Char"/>
    <w:link w:val="654"/>
    <w:qFormat/>
    <w:uiPriority w:val="0"/>
    <w:rPr>
      <w:rFonts w:ascii="宋体" w:hAnsi="宋体" w:eastAsia="宋体"/>
      <w:kern w:val="2"/>
      <w:sz w:val="24"/>
      <w:szCs w:val="24"/>
      <w:lang w:val="en-US" w:eastAsia="zh-CN" w:bidi="ar-SA"/>
    </w:rPr>
  </w:style>
  <w:style w:type="paragraph" w:customStyle="1" w:styleId="656">
    <w:name w:val="xyb自建正文"/>
    <w:basedOn w:val="1"/>
    <w:link w:val="657"/>
    <w:qFormat/>
    <w:uiPriority w:val="0"/>
    <w:pPr>
      <w:tabs>
        <w:tab w:val="left" w:pos="1440"/>
        <w:tab w:val="left" w:pos="8280"/>
      </w:tabs>
      <w:spacing w:line="360" w:lineRule="auto"/>
      <w:ind w:firstLine="472" w:firstLineChars="200"/>
    </w:pPr>
    <w:rPr>
      <w:rFonts w:ascii="宋体" w:hAnsi="宋体"/>
      <w:spacing w:val="-2"/>
      <w:kern w:val="0"/>
      <w:sz w:val="24"/>
    </w:rPr>
  </w:style>
  <w:style w:type="character" w:customStyle="1" w:styleId="657">
    <w:name w:val="xyb自建正文 Char"/>
    <w:link w:val="656"/>
    <w:qFormat/>
    <w:uiPriority w:val="0"/>
    <w:rPr>
      <w:rFonts w:ascii="宋体" w:hAnsi="宋体" w:eastAsia="宋体"/>
      <w:spacing w:val="-2"/>
      <w:sz w:val="24"/>
      <w:szCs w:val="24"/>
      <w:lang w:val="en-US" w:eastAsia="zh-CN" w:bidi="ar-SA"/>
    </w:rPr>
  </w:style>
  <w:style w:type="character" w:customStyle="1" w:styleId="658">
    <w:name w:val="批注文字 Char1"/>
    <w:qFormat/>
    <w:uiPriority w:val="0"/>
    <w:rPr>
      <w:rFonts w:eastAsia="宋体"/>
      <w:kern w:val="2"/>
      <w:sz w:val="21"/>
      <w:szCs w:val="24"/>
      <w:lang w:val="en-US" w:eastAsia="zh-CN" w:bidi="ar-SA"/>
    </w:rPr>
  </w:style>
  <w:style w:type="paragraph" w:customStyle="1" w:styleId="659">
    <w:name w:val="样式 样式 首行缩进:  2 字符 + 首行缩进:  2 字符"/>
    <w:basedOn w:val="1"/>
    <w:link w:val="660"/>
    <w:qFormat/>
    <w:uiPriority w:val="0"/>
    <w:pPr>
      <w:spacing w:line="360" w:lineRule="auto"/>
      <w:ind w:firstLine="480" w:firstLineChars="200"/>
    </w:pPr>
    <w:rPr>
      <w:rFonts w:hAnsi="宋体"/>
      <w:sz w:val="24"/>
    </w:rPr>
  </w:style>
  <w:style w:type="character" w:customStyle="1" w:styleId="660">
    <w:name w:val="样式 样式 首行缩进:  2 字符 + 首行缩进:  2 字符 Char Char"/>
    <w:link w:val="659"/>
    <w:qFormat/>
    <w:uiPriority w:val="0"/>
    <w:rPr>
      <w:rFonts w:hAnsi="宋体"/>
      <w:kern w:val="2"/>
      <w:sz w:val="24"/>
      <w:szCs w:val="24"/>
    </w:rPr>
  </w:style>
  <w:style w:type="paragraph" w:customStyle="1" w:styleId="661">
    <w:name w:val="7"/>
    <w:basedOn w:val="1"/>
    <w:qFormat/>
    <w:uiPriority w:val="0"/>
    <w:rPr>
      <w:rFonts w:ascii="宋体" w:hAnsi="宋体" w:eastAsia="仿宋_GB2312" w:cs="Courier New"/>
      <w:sz w:val="32"/>
      <w:szCs w:val="32"/>
    </w:rPr>
  </w:style>
  <w:style w:type="paragraph" w:customStyle="1" w:styleId="662">
    <w:name w:val="标准样式1"/>
    <w:basedOn w:val="1"/>
    <w:qFormat/>
    <w:uiPriority w:val="0"/>
    <w:pPr>
      <w:spacing w:line="600" w:lineRule="exact"/>
      <w:ind w:firstLine="567"/>
    </w:pPr>
    <w:rPr>
      <w:sz w:val="28"/>
      <w:szCs w:val="20"/>
    </w:rPr>
  </w:style>
  <w:style w:type="character" w:customStyle="1" w:styleId="663">
    <w:name w:val="表格文字 Char1"/>
    <w:qFormat/>
    <w:uiPriority w:val="0"/>
    <w:rPr>
      <w:rFonts w:eastAsia="宋体"/>
      <w:kern w:val="2"/>
      <w:lang w:val="en-US" w:eastAsia="zh-CN" w:bidi="ar-SA"/>
    </w:rPr>
  </w:style>
  <w:style w:type="character" w:customStyle="1" w:styleId="664">
    <w:name w:val="hb2 Char Char"/>
    <w:qFormat/>
    <w:uiPriority w:val="0"/>
    <w:rPr>
      <w:rFonts w:ascii="宋体" w:hAnsi="宋体" w:eastAsia="宋体" w:cs="Arial"/>
      <w:b/>
      <w:bCs/>
      <w:sz w:val="28"/>
      <w:szCs w:val="28"/>
      <w:lang w:val="en-US" w:eastAsia="zh-CN" w:bidi="ar-SA"/>
    </w:rPr>
  </w:style>
  <w:style w:type="paragraph" w:customStyle="1" w:styleId="665">
    <w:name w:val="xl49"/>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ind w:firstLine="200" w:firstLineChars="200"/>
      <w:jc w:val="center"/>
      <w:textAlignment w:val="center"/>
    </w:pPr>
    <w:rPr>
      <w:rFonts w:ascii="宋体" w:hAnsi="宋体" w:cs="宋体"/>
      <w:kern w:val="0"/>
      <w:sz w:val="20"/>
      <w:szCs w:val="20"/>
    </w:rPr>
  </w:style>
  <w:style w:type="character" w:customStyle="1" w:styleId="666">
    <w:name w:val="页脚 Char1"/>
    <w:qFormat/>
    <w:uiPriority w:val="0"/>
    <w:rPr>
      <w:rFonts w:eastAsia="宋体"/>
      <w:kern w:val="2"/>
      <w:sz w:val="18"/>
      <w:lang w:val="en-US" w:eastAsia="zh-CN" w:bidi="ar-SA"/>
    </w:rPr>
  </w:style>
  <w:style w:type="paragraph" w:customStyle="1" w:styleId="667">
    <w:name w:val="正文文本最新 Char Char Char"/>
    <w:basedOn w:val="1"/>
    <w:link w:val="668"/>
    <w:qFormat/>
    <w:uiPriority w:val="0"/>
    <w:pPr>
      <w:spacing w:line="360" w:lineRule="auto"/>
      <w:ind w:firstLine="200" w:firstLineChars="200"/>
    </w:pPr>
    <w:rPr>
      <w:bCs/>
      <w:sz w:val="28"/>
    </w:rPr>
  </w:style>
  <w:style w:type="character" w:customStyle="1" w:styleId="668">
    <w:name w:val="正文文本最新 Char Char Char Char1"/>
    <w:link w:val="667"/>
    <w:qFormat/>
    <w:uiPriority w:val="0"/>
    <w:rPr>
      <w:rFonts w:eastAsia="宋体"/>
      <w:bCs/>
      <w:kern w:val="2"/>
      <w:sz w:val="28"/>
      <w:szCs w:val="24"/>
      <w:lang w:val="en-US" w:eastAsia="zh-CN" w:bidi="ar-SA"/>
    </w:rPr>
  </w:style>
  <w:style w:type="paragraph" w:customStyle="1" w:styleId="669">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670">
    <w:name w:val="正式文本 Char"/>
    <w:link w:val="671"/>
    <w:qFormat/>
    <w:uiPriority w:val="0"/>
    <w:rPr>
      <w:rFonts w:ascii="Arial Narrow" w:hAnsi="Arial Narrow" w:eastAsia="汉鼎简书宋"/>
      <w:kern w:val="2"/>
      <w:sz w:val="24"/>
      <w:szCs w:val="24"/>
      <w:lang w:val="en-US" w:eastAsia="zh-CN" w:bidi="ar-SA"/>
    </w:rPr>
  </w:style>
  <w:style w:type="paragraph" w:customStyle="1" w:styleId="671">
    <w:name w:val="正式文本"/>
    <w:basedOn w:val="1"/>
    <w:link w:val="670"/>
    <w:qFormat/>
    <w:uiPriority w:val="0"/>
    <w:pPr>
      <w:spacing w:line="540" w:lineRule="exact"/>
      <w:ind w:firstLine="200" w:firstLineChars="200"/>
    </w:pPr>
    <w:rPr>
      <w:rFonts w:ascii="Arial Narrow" w:hAnsi="Arial Narrow" w:eastAsia="汉鼎简书宋"/>
      <w:sz w:val="24"/>
    </w:rPr>
  </w:style>
  <w:style w:type="table" w:customStyle="1" w:styleId="672">
    <w:name w:val="网格型c2"/>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73">
    <w:name w:val="表名 Char Char"/>
    <w:qFormat/>
    <w:uiPriority w:val="0"/>
    <w:rPr>
      <w:rFonts w:ascii="仿宋_GB2312" w:hAnsi="仿宋_GB2312" w:eastAsia="仿宋_GB2312"/>
      <w:kern w:val="2"/>
      <w:sz w:val="28"/>
      <w:szCs w:val="24"/>
      <w:lang w:val="en-US" w:eastAsia="zh-CN" w:bidi="ar-SA"/>
    </w:rPr>
  </w:style>
  <w:style w:type="paragraph" w:customStyle="1" w:styleId="674">
    <w:name w:val="正文xxx"/>
    <w:basedOn w:val="1"/>
    <w:link w:val="675"/>
    <w:qFormat/>
    <w:uiPriority w:val="0"/>
    <w:pPr>
      <w:spacing w:before="200" w:after="100" w:line="360" w:lineRule="auto"/>
      <w:ind w:firstLine="480" w:firstLineChars="200"/>
      <w:textAlignment w:val="center"/>
    </w:pPr>
    <w:rPr>
      <w:rFonts w:ascii="宋体" w:hAnsi="宋体"/>
      <w:sz w:val="24"/>
    </w:rPr>
  </w:style>
  <w:style w:type="character" w:customStyle="1" w:styleId="675">
    <w:name w:val="正文xxx Char"/>
    <w:link w:val="674"/>
    <w:qFormat/>
    <w:uiPriority w:val="0"/>
    <w:rPr>
      <w:rFonts w:ascii="宋体" w:hAnsi="宋体" w:eastAsia="宋体"/>
      <w:kern w:val="2"/>
      <w:sz w:val="24"/>
      <w:szCs w:val="24"/>
      <w:lang w:val="en-US" w:eastAsia="zh-CN" w:bidi="ar-SA"/>
    </w:rPr>
  </w:style>
  <w:style w:type="paragraph" w:customStyle="1" w:styleId="676">
    <w:name w:val="公式"/>
    <w:basedOn w:val="1"/>
    <w:qFormat/>
    <w:uiPriority w:val="0"/>
    <w:pPr>
      <w:autoSpaceDE w:val="0"/>
      <w:autoSpaceDN w:val="0"/>
      <w:adjustRightInd w:val="0"/>
      <w:jc w:val="center"/>
      <w:textAlignment w:val="baseline"/>
    </w:pPr>
    <w:rPr>
      <w:kern w:val="0"/>
      <w:sz w:val="26"/>
      <w:szCs w:val="20"/>
    </w:rPr>
  </w:style>
  <w:style w:type="character" w:customStyle="1" w:styleId="677">
    <w:name w:val="普通文字 Char Char4"/>
    <w:qFormat/>
    <w:uiPriority w:val="0"/>
    <w:rPr>
      <w:rFonts w:ascii="宋体" w:hAnsi="Courier New" w:eastAsia="宋体" w:cs="Courier New"/>
      <w:b/>
      <w:kern w:val="2"/>
      <w:sz w:val="21"/>
      <w:szCs w:val="21"/>
      <w:lang w:val="en-US" w:eastAsia="zh-CN" w:bidi="ar-SA"/>
    </w:rPr>
  </w:style>
  <w:style w:type="character" w:customStyle="1" w:styleId="678">
    <w:name w:val="apple-converted-space"/>
    <w:qFormat/>
    <w:uiPriority w:val="0"/>
  </w:style>
  <w:style w:type="character" w:customStyle="1" w:styleId="679">
    <w:name w:val="number"/>
    <w:qFormat/>
    <w:uiPriority w:val="0"/>
  </w:style>
  <w:style w:type="character" w:customStyle="1" w:styleId="680">
    <w:name w:val="!表格（alt+t) Char Char Char Char"/>
    <w:link w:val="681"/>
    <w:qFormat/>
    <w:locked/>
    <w:uiPriority w:val="0"/>
    <w:rPr>
      <w:rFonts w:ascii="宋体" w:hAnsi="宋体" w:eastAsia="宋体"/>
      <w:sz w:val="21"/>
      <w:szCs w:val="24"/>
      <w:lang w:bidi="ar-SA"/>
    </w:rPr>
  </w:style>
  <w:style w:type="paragraph" w:customStyle="1" w:styleId="681">
    <w:name w:val="!表格（alt+t) Char"/>
    <w:basedOn w:val="1"/>
    <w:link w:val="680"/>
    <w:qFormat/>
    <w:uiPriority w:val="0"/>
    <w:pPr>
      <w:spacing w:line="240" w:lineRule="atLeast"/>
      <w:jc w:val="center"/>
    </w:pPr>
    <w:rPr>
      <w:rFonts w:ascii="宋体" w:hAnsi="宋体"/>
      <w:kern w:val="0"/>
    </w:rPr>
  </w:style>
  <w:style w:type="paragraph" w:customStyle="1" w:styleId="682">
    <w:name w:val="！表标题"/>
    <w:basedOn w:val="1"/>
    <w:uiPriority w:val="0"/>
    <w:pPr>
      <w:snapToGrid w:val="0"/>
      <w:spacing w:before="234" w:beforeLines="75" w:line="264" w:lineRule="auto"/>
      <w:jc w:val="center"/>
      <w:textAlignment w:val="baseline"/>
      <w:outlineLvl w:val="4"/>
    </w:pPr>
    <w:rPr>
      <w:rFonts w:ascii="黑体" w:eastAsia="黑体"/>
      <w:b/>
      <w:color w:val="000000"/>
      <w:u w:color="000000"/>
    </w:rPr>
  </w:style>
  <w:style w:type="paragraph" w:customStyle="1" w:styleId="683">
    <w:name w:val="样式 表格文字 + 宋体"/>
    <w:basedOn w:val="172"/>
    <w:qFormat/>
    <w:uiPriority w:val="0"/>
    <w:pPr>
      <w:widowControl/>
      <w:tabs>
        <w:tab w:val="left" w:pos="-24"/>
      </w:tabs>
      <w:autoSpaceDE w:val="0"/>
      <w:autoSpaceDN w:val="0"/>
      <w:snapToGrid/>
      <w:spacing w:line="0" w:lineRule="atLeast"/>
      <w:textAlignment w:val="baseline"/>
    </w:pPr>
    <w:rPr>
      <w:rFonts w:ascii="宋体" w:hAnsi="宋体"/>
      <w:color w:val="000000"/>
      <w:kern w:val="0"/>
      <w:sz w:val="24"/>
      <w:szCs w:val="20"/>
      <w:u w:color="000000"/>
    </w:rPr>
  </w:style>
  <w:style w:type="character" w:customStyle="1" w:styleId="684">
    <w:name w:val="Char Char18"/>
    <w:qFormat/>
    <w:uiPriority w:val="0"/>
    <w:rPr>
      <w:rFonts w:ascii="Times New Roman" w:hAnsi="Times New Roman" w:eastAsia="宋体" w:cs="Times New Roman"/>
      <w:b/>
      <w:sz w:val="32"/>
      <w:szCs w:val="32"/>
      <w:shd w:val="clear" w:color="auto" w:fill="FFFFFF"/>
      <w:lang w:val="zh-CN"/>
    </w:rPr>
  </w:style>
  <w:style w:type="character" w:customStyle="1" w:styleId="685">
    <w:name w:val="表格 Char Char"/>
    <w:qFormat/>
    <w:uiPriority w:val="0"/>
    <w:rPr>
      <w:rFonts w:eastAsia="宋体"/>
      <w:bCs/>
      <w:snapToGrid w:val="0"/>
      <w:lang w:val="en-US" w:eastAsia="zh-CN" w:bidi="ar-SA"/>
    </w:rPr>
  </w:style>
  <w:style w:type="paragraph" w:customStyle="1" w:styleId="686">
    <w:name w:val="样式 xns表格 + 行距: 最小值 0 磅"/>
    <w:basedOn w:val="1"/>
    <w:qFormat/>
    <w:uiPriority w:val="0"/>
    <w:pPr>
      <w:spacing w:line="0" w:lineRule="atLeast"/>
      <w:jc w:val="center"/>
    </w:pPr>
    <w:rPr>
      <w:rFonts w:ascii="宋体" w:hAnsi="宋体" w:cs="宋体"/>
      <w:color w:val="FF00FF"/>
      <w:szCs w:val="20"/>
    </w:rPr>
  </w:style>
  <w:style w:type="paragraph" w:customStyle="1" w:styleId="687">
    <w:name w:val="+4表内"/>
    <w:basedOn w:val="1"/>
    <w:qFormat/>
    <w:uiPriority w:val="0"/>
    <w:pPr>
      <w:jc w:val="center"/>
    </w:pPr>
    <w:rPr>
      <w:sz w:val="22"/>
    </w:rPr>
  </w:style>
  <w:style w:type="character" w:customStyle="1" w:styleId="688">
    <w:name w:val="纯文本 Char Char Char"/>
    <w:qFormat/>
    <w:uiPriority w:val="0"/>
    <w:rPr>
      <w:rFonts w:ascii="宋体" w:hAnsi="Courier New" w:eastAsia="宋体"/>
      <w:kern w:val="2"/>
      <w:sz w:val="21"/>
      <w:lang w:val="en-US" w:eastAsia="zh-CN" w:bidi="ar-SA"/>
    </w:rPr>
  </w:style>
  <w:style w:type="paragraph" w:customStyle="1" w:styleId="689">
    <w:name w:val="图形中文字"/>
    <w:basedOn w:val="1"/>
    <w:qFormat/>
    <w:uiPriority w:val="0"/>
    <w:pPr>
      <w:autoSpaceDE w:val="0"/>
      <w:autoSpaceDN w:val="0"/>
      <w:adjustRightInd w:val="0"/>
      <w:jc w:val="center"/>
    </w:pPr>
    <w:rPr>
      <w:rFonts w:ascii="宋体" w:hAnsi="Tms Rmn"/>
      <w:kern w:val="0"/>
      <w:sz w:val="24"/>
      <w:szCs w:val="20"/>
    </w:rPr>
  </w:style>
  <w:style w:type="character" w:customStyle="1" w:styleId="690">
    <w:name w:val="批注框文本 Char2"/>
    <w:qFormat/>
    <w:uiPriority w:val="0"/>
    <w:rPr>
      <w:rFonts w:eastAsia="宋体"/>
      <w:kern w:val="2"/>
      <w:sz w:val="18"/>
      <w:szCs w:val="18"/>
      <w:lang w:val="en-US" w:eastAsia="zh-CN" w:bidi="ar-SA"/>
    </w:rPr>
  </w:style>
  <w:style w:type="character" w:customStyle="1" w:styleId="691">
    <w:name w:val="批注文字 Char3"/>
    <w:semiHidden/>
    <w:qFormat/>
    <w:uiPriority w:val="0"/>
    <w:rPr>
      <w:rFonts w:eastAsia="宋体"/>
      <w:kern w:val="2"/>
      <w:sz w:val="21"/>
      <w:szCs w:val="24"/>
      <w:lang w:val="en-US" w:eastAsia="zh-CN" w:bidi="ar-SA"/>
    </w:rPr>
  </w:style>
  <w:style w:type="character" w:customStyle="1" w:styleId="692">
    <w:name w:val="日期 Char3"/>
    <w:qFormat/>
    <w:uiPriority w:val="0"/>
    <w:rPr>
      <w:rFonts w:eastAsia="宋体"/>
      <w:kern w:val="2"/>
      <w:sz w:val="21"/>
      <w:szCs w:val="24"/>
      <w:lang w:val="en-US" w:eastAsia="zh-CN" w:bidi="ar-SA"/>
    </w:rPr>
  </w:style>
  <w:style w:type="character" w:customStyle="1" w:styleId="693">
    <w:name w:val="正文文本缩进 Char3"/>
    <w:qFormat/>
    <w:uiPriority w:val="0"/>
    <w:rPr>
      <w:rFonts w:eastAsia="宋体"/>
      <w:snapToGrid w:val="0"/>
      <w:sz w:val="28"/>
      <w:szCs w:val="24"/>
      <w:lang w:val="en-US" w:eastAsia="zh-CN" w:bidi="ar-SA"/>
    </w:rPr>
  </w:style>
  <w:style w:type="character" w:customStyle="1" w:styleId="694">
    <w:name w:val="正文文本 Char3"/>
    <w:semiHidden/>
    <w:qFormat/>
    <w:uiPriority w:val="0"/>
    <w:rPr>
      <w:rFonts w:eastAsia="宋体"/>
      <w:kern w:val="2"/>
      <w:sz w:val="21"/>
      <w:szCs w:val="24"/>
      <w:lang w:val="en-US" w:eastAsia="zh-CN" w:bidi="ar-SA"/>
    </w:rPr>
  </w:style>
  <w:style w:type="character" w:customStyle="1" w:styleId="695">
    <w:name w:val="正文首行缩进 Char2"/>
    <w:qFormat/>
    <w:uiPriority w:val="0"/>
  </w:style>
  <w:style w:type="character" w:customStyle="1" w:styleId="696">
    <w:name w:val="正文文本缩进 2 Char1"/>
    <w:qFormat/>
    <w:uiPriority w:val="0"/>
    <w:rPr>
      <w:rFonts w:eastAsia="宋体"/>
      <w:kern w:val="2"/>
      <w:sz w:val="21"/>
      <w:szCs w:val="24"/>
      <w:lang w:val="en-US" w:eastAsia="zh-CN" w:bidi="ar-SA"/>
    </w:rPr>
  </w:style>
  <w:style w:type="character" w:customStyle="1" w:styleId="697">
    <w:name w:val="正文文本 2 Char2"/>
    <w:qFormat/>
    <w:uiPriority w:val="0"/>
    <w:rPr>
      <w:rFonts w:ascii="宋体" w:hAnsi="宋体" w:eastAsia="宋体"/>
      <w:kern w:val="2"/>
      <w:sz w:val="21"/>
      <w:szCs w:val="21"/>
      <w:lang w:val="en-US" w:eastAsia="zh-CN" w:bidi="ar-SA"/>
    </w:rPr>
  </w:style>
  <w:style w:type="character" w:customStyle="1" w:styleId="698">
    <w:name w:val="文档结构图 Char2"/>
    <w:qFormat/>
    <w:uiPriority w:val="0"/>
    <w:rPr>
      <w:rFonts w:eastAsia="宋体"/>
      <w:kern w:val="2"/>
      <w:sz w:val="21"/>
      <w:szCs w:val="24"/>
      <w:lang w:val="en-US" w:eastAsia="zh-CN" w:bidi="ar-SA"/>
    </w:rPr>
  </w:style>
  <w:style w:type="character" w:customStyle="1" w:styleId="699">
    <w:name w:val="正文文本缩进 3 Char2"/>
    <w:qFormat/>
    <w:uiPriority w:val="0"/>
    <w:rPr>
      <w:rFonts w:eastAsia="宋体"/>
      <w:kern w:val="2"/>
      <w:sz w:val="16"/>
      <w:szCs w:val="16"/>
      <w:lang w:val="en-US" w:eastAsia="zh-CN" w:bidi="ar-SA"/>
    </w:rPr>
  </w:style>
  <w:style w:type="character" w:customStyle="1" w:styleId="700">
    <w:name w:val="正文文本 3 Char1"/>
    <w:qFormat/>
    <w:uiPriority w:val="0"/>
    <w:rPr>
      <w:rFonts w:eastAsia="仿宋_GB2312"/>
      <w:bCs/>
      <w:kern w:val="2"/>
      <w:sz w:val="21"/>
      <w:lang w:val="en-US" w:eastAsia="zh-CN" w:bidi="ar-SA"/>
    </w:rPr>
  </w:style>
  <w:style w:type="character" w:customStyle="1" w:styleId="701">
    <w:name w:val="副标题 Char2"/>
    <w:qFormat/>
    <w:uiPriority w:val="0"/>
    <w:rPr>
      <w:rFonts w:ascii="Cambria" w:hAnsi="Cambria" w:eastAsia="仿宋_GB2312"/>
      <w:bCs/>
      <w:kern w:val="28"/>
      <w:sz w:val="28"/>
      <w:szCs w:val="32"/>
      <w:lang w:val="en-US" w:eastAsia="zh-CN" w:bidi="ar-SA"/>
    </w:rPr>
  </w:style>
  <w:style w:type="paragraph" w:customStyle="1" w:styleId="702">
    <w:name w:val="0正文"/>
    <w:basedOn w:val="1"/>
    <w:qFormat/>
    <w:uiPriority w:val="0"/>
    <w:pPr>
      <w:spacing w:line="460" w:lineRule="exact"/>
      <w:ind w:firstLine="200" w:firstLineChars="200"/>
    </w:pPr>
    <w:rPr>
      <w:rFonts w:cs="宋体"/>
      <w:kern w:val="0"/>
      <w:sz w:val="26"/>
      <w:szCs w:val="20"/>
    </w:rPr>
  </w:style>
  <w:style w:type="paragraph" w:customStyle="1" w:styleId="703">
    <w:name w:val="6表内文字 居中"/>
    <w:basedOn w:val="1"/>
    <w:qFormat/>
    <w:uiPriority w:val="0"/>
    <w:pPr>
      <w:adjustRightInd w:val="0"/>
      <w:spacing w:line="220" w:lineRule="exact"/>
      <w:jc w:val="center"/>
      <w:textAlignment w:val="baseline"/>
    </w:pPr>
    <w:rPr>
      <w:snapToGrid w:val="0"/>
      <w:kern w:val="0"/>
    </w:rPr>
  </w:style>
  <w:style w:type="character" w:customStyle="1" w:styleId="704">
    <w:name w:val="表格文字 Char Char Char"/>
    <w:qFormat/>
    <w:uiPriority w:val="0"/>
    <w:rPr>
      <w:kern w:val="2"/>
      <w:sz w:val="18"/>
      <w:szCs w:val="18"/>
      <w:lang w:val="en-US" w:eastAsia="zh-CN" w:bidi="ar-SA"/>
    </w:rPr>
  </w:style>
  <w:style w:type="paragraph" w:customStyle="1" w:styleId="705">
    <w:name w:val="表格文字样式"/>
    <w:basedOn w:val="1"/>
    <w:qFormat/>
    <w:uiPriority w:val="0"/>
    <w:pPr>
      <w:widowControl/>
      <w:adjustRightInd w:val="0"/>
      <w:snapToGrid w:val="0"/>
      <w:jc w:val="center"/>
    </w:pPr>
    <w:rPr>
      <w:rFonts w:ascii="Arial" w:hAnsi="Arial" w:cs="Arial"/>
      <w:kern w:val="0"/>
      <w:sz w:val="24"/>
    </w:rPr>
  </w:style>
  <w:style w:type="character" w:customStyle="1" w:styleId="706">
    <w:name w:val="5表标题 Char Char"/>
    <w:link w:val="707"/>
    <w:qFormat/>
    <w:uiPriority w:val="0"/>
    <w:rPr>
      <w:rFonts w:eastAsia="黑体" w:cs="宋体"/>
      <w:bCs/>
      <w:kern w:val="2"/>
      <w:sz w:val="24"/>
    </w:rPr>
  </w:style>
  <w:style w:type="paragraph" w:customStyle="1" w:styleId="707">
    <w:name w:val="5表标题"/>
    <w:link w:val="706"/>
    <w:qFormat/>
    <w:uiPriority w:val="0"/>
    <w:pPr>
      <w:spacing w:before="156" w:beforeLines="50"/>
      <w:jc w:val="center"/>
    </w:pPr>
    <w:rPr>
      <w:rFonts w:ascii="Times New Roman" w:hAnsi="Times New Roman" w:eastAsia="黑体" w:cs="宋体"/>
      <w:bCs/>
      <w:kern w:val="2"/>
      <w:sz w:val="24"/>
      <w:lang w:val="en-US" w:eastAsia="zh-CN" w:bidi="ar-SA"/>
    </w:rPr>
  </w:style>
  <w:style w:type="paragraph" w:customStyle="1" w:styleId="708">
    <w:name w:val="bg正文首行缩进"/>
    <w:basedOn w:val="1"/>
    <w:link w:val="709"/>
    <w:qFormat/>
    <w:uiPriority w:val="0"/>
    <w:pPr>
      <w:spacing w:line="360" w:lineRule="exact"/>
      <w:ind w:firstLine="482"/>
    </w:pPr>
    <w:rPr>
      <w:sz w:val="24"/>
      <w:szCs w:val="28"/>
    </w:rPr>
  </w:style>
  <w:style w:type="character" w:customStyle="1" w:styleId="709">
    <w:name w:val="bg正文首行缩进 Char"/>
    <w:link w:val="708"/>
    <w:qFormat/>
    <w:uiPriority w:val="0"/>
    <w:rPr>
      <w:kern w:val="2"/>
      <w:sz w:val="24"/>
      <w:szCs w:val="28"/>
    </w:rPr>
  </w:style>
  <w:style w:type="paragraph" w:customStyle="1" w:styleId="710">
    <w:name w:val="报告正文小四"/>
    <w:basedOn w:val="1"/>
    <w:qFormat/>
    <w:uiPriority w:val="0"/>
    <w:pPr>
      <w:adjustRightInd w:val="0"/>
      <w:snapToGrid w:val="0"/>
      <w:spacing w:before="120" w:line="420" w:lineRule="atLeast"/>
      <w:ind w:firstLine="510"/>
    </w:pPr>
    <w:rPr>
      <w:sz w:val="24"/>
      <w:szCs w:val="20"/>
    </w:rPr>
  </w:style>
  <w:style w:type="character" w:customStyle="1" w:styleId="711">
    <w:name w:val="bg正文首行缩进 Char1"/>
    <w:qFormat/>
    <w:uiPriority w:val="0"/>
    <w:rPr>
      <w:rFonts w:eastAsia="宋体"/>
      <w:kern w:val="2"/>
      <w:sz w:val="28"/>
      <w:szCs w:val="28"/>
      <w:lang w:val="en-US" w:eastAsia="zh-CN" w:bidi="ar-SA"/>
    </w:rPr>
  </w:style>
  <w:style w:type="paragraph" w:customStyle="1" w:styleId="712">
    <w:name w:val="bg表内容"/>
    <w:basedOn w:val="1"/>
    <w:next w:val="1"/>
    <w:qFormat/>
    <w:uiPriority w:val="0"/>
    <w:pPr>
      <w:ind w:left="-113" w:right="-113"/>
      <w:jc w:val="center"/>
    </w:pPr>
    <w:rPr>
      <w:sz w:val="18"/>
      <w:szCs w:val="18"/>
    </w:rPr>
  </w:style>
  <w:style w:type="paragraph" w:customStyle="1" w:styleId="713">
    <w:name w:val="bgbt6插图标题"/>
    <w:basedOn w:val="73"/>
    <w:next w:val="1"/>
    <w:link w:val="714"/>
    <w:qFormat/>
    <w:uiPriority w:val="0"/>
    <w:pPr>
      <w:spacing w:after="60"/>
      <w:ind w:left="420" w:leftChars="0" w:hanging="420" w:firstLineChars="0"/>
      <w:jc w:val="center"/>
      <w:outlineLvl w:val="5"/>
    </w:pPr>
    <w:rPr>
      <w:rFonts w:eastAsia="黑体"/>
      <w:smallCaps/>
      <w:sz w:val="20"/>
      <w:szCs w:val="21"/>
    </w:rPr>
  </w:style>
  <w:style w:type="character" w:customStyle="1" w:styleId="714">
    <w:name w:val="bgbt6插图标题 Char"/>
    <w:link w:val="713"/>
    <w:qFormat/>
    <w:uiPriority w:val="0"/>
    <w:rPr>
      <w:rFonts w:eastAsia="黑体"/>
      <w:smallCaps/>
      <w:kern w:val="2"/>
      <w:szCs w:val="21"/>
    </w:rPr>
  </w:style>
  <w:style w:type="paragraph" w:customStyle="1" w:styleId="715">
    <w:name w:val="bg正文首行缩进 Char Char"/>
    <w:basedOn w:val="1"/>
    <w:qFormat/>
    <w:uiPriority w:val="0"/>
    <w:pPr>
      <w:spacing w:line="360" w:lineRule="exact"/>
      <w:ind w:firstLine="482"/>
    </w:pPr>
    <w:rPr>
      <w:sz w:val="24"/>
      <w:szCs w:val="28"/>
    </w:rPr>
  </w:style>
  <w:style w:type="paragraph" w:customStyle="1" w:styleId="716">
    <w:name w:val="bgbt5附表标题"/>
    <w:basedOn w:val="1"/>
    <w:next w:val="1"/>
    <w:link w:val="717"/>
    <w:qFormat/>
    <w:uiPriority w:val="0"/>
    <w:pPr>
      <w:spacing w:before="60"/>
      <w:jc w:val="center"/>
      <w:outlineLvl w:val="4"/>
    </w:pPr>
    <w:rPr>
      <w:rFonts w:eastAsia="黑体"/>
      <w:szCs w:val="21"/>
    </w:rPr>
  </w:style>
  <w:style w:type="character" w:customStyle="1" w:styleId="717">
    <w:name w:val="bgbt5附表标题 Char"/>
    <w:link w:val="716"/>
    <w:qFormat/>
    <w:uiPriority w:val="0"/>
    <w:rPr>
      <w:rFonts w:eastAsia="黑体"/>
      <w:kern w:val="2"/>
      <w:sz w:val="21"/>
      <w:szCs w:val="21"/>
    </w:rPr>
  </w:style>
  <w:style w:type="character" w:customStyle="1" w:styleId="718">
    <w:name w:val="正文宋体小四1.5行 Char1"/>
    <w:qFormat/>
    <w:uiPriority w:val="0"/>
    <w:rPr>
      <w:rFonts w:ascii="宋体" w:hAnsi="宋体" w:eastAsia="宋体"/>
      <w:kern w:val="2"/>
      <w:sz w:val="28"/>
      <w:lang w:val="en-US" w:eastAsia="zh-CN" w:bidi="ar-SA"/>
    </w:rPr>
  </w:style>
  <w:style w:type="paragraph" w:customStyle="1" w:styleId="719">
    <w:name w:val="Char Char Char Char Char Char1 Char Char Char1 Char Char Char Char Char Char Char"/>
    <w:basedOn w:val="1"/>
    <w:qFormat/>
    <w:uiPriority w:val="0"/>
    <w:pPr>
      <w:spacing w:line="360" w:lineRule="auto"/>
      <w:ind w:firstLine="200" w:firstLineChars="200"/>
    </w:pPr>
    <w:rPr>
      <w:rFonts w:ascii="宋体" w:hAnsi="宋体" w:cs="宋体"/>
      <w:sz w:val="24"/>
    </w:rPr>
  </w:style>
  <w:style w:type="paragraph" w:customStyle="1" w:styleId="720">
    <w:name w:val="我的正文 Char Char"/>
    <w:basedOn w:val="1"/>
    <w:qFormat/>
    <w:uiPriority w:val="0"/>
    <w:pPr>
      <w:spacing w:line="360" w:lineRule="auto"/>
      <w:ind w:firstLine="200" w:firstLineChars="200"/>
    </w:pPr>
    <w:rPr>
      <w:sz w:val="24"/>
    </w:rPr>
  </w:style>
  <w:style w:type="paragraph" w:customStyle="1" w:styleId="721">
    <w:name w:val="bgbt2节标题"/>
    <w:basedOn w:val="1"/>
    <w:next w:val="1"/>
    <w:qFormat/>
    <w:uiPriority w:val="0"/>
    <w:pPr>
      <w:spacing w:before="300" w:after="60"/>
      <w:jc w:val="center"/>
      <w:outlineLvl w:val="1"/>
    </w:pPr>
    <w:rPr>
      <w:rFonts w:eastAsia="黑体"/>
      <w:sz w:val="30"/>
      <w:szCs w:val="30"/>
    </w:rPr>
  </w:style>
  <w:style w:type="paragraph" w:customStyle="1" w:styleId="722">
    <w:name w:val="水保1级"/>
    <w:basedOn w:val="3"/>
    <w:qFormat/>
    <w:uiPriority w:val="0"/>
    <w:pPr>
      <w:keepNext/>
      <w:keepLines/>
      <w:adjustRightInd/>
      <w:snapToGrid/>
      <w:spacing w:before="340" w:after="330" w:line="578" w:lineRule="auto"/>
    </w:pPr>
    <w:rPr>
      <w:sz w:val="36"/>
      <w:szCs w:val="44"/>
    </w:rPr>
  </w:style>
  <w:style w:type="paragraph" w:customStyle="1" w:styleId="723">
    <w:name w:val="样式 水保2级 + Times New Roman"/>
    <w:basedOn w:val="1"/>
    <w:qFormat/>
    <w:uiPriority w:val="0"/>
    <w:pPr>
      <w:keepNext/>
      <w:keepLines/>
      <w:spacing w:before="260" w:after="260" w:line="415" w:lineRule="auto"/>
      <w:outlineLvl w:val="1"/>
    </w:pPr>
    <w:rPr>
      <w:sz w:val="28"/>
      <w:szCs w:val="32"/>
    </w:rPr>
  </w:style>
  <w:style w:type="character" w:customStyle="1" w:styleId="724">
    <w:name w:val="纯文本 Char Char Char Char Char Char Char"/>
    <w:qFormat/>
    <w:uiPriority w:val="0"/>
    <w:rPr>
      <w:rFonts w:ascii="宋体" w:hAnsi="Courier New" w:eastAsia="宋体" w:cs="Courier New"/>
      <w:kern w:val="2"/>
      <w:sz w:val="21"/>
      <w:szCs w:val="21"/>
      <w:lang w:val="en-US" w:eastAsia="zh-CN" w:bidi="ar-SA"/>
    </w:rPr>
  </w:style>
  <w:style w:type="character" w:customStyle="1" w:styleId="725">
    <w:name w:val="正文缩进 Char Char Char Char Char1"/>
    <w:qFormat/>
    <w:uiPriority w:val="0"/>
    <w:rPr>
      <w:rFonts w:eastAsia="宋体"/>
      <w:kern w:val="2"/>
      <w:sz w:val="24"/>
      <w:szCs w:val="24"/>
      <w:lang w:val="en-US" w:eastAsia="zh-CN" w:bidi="ar-SA"/>
    </w:rPr>
  </w:style>
  <w:style w:type="paragraph" w:customStyle="1" w:styleId="726">
    <w:name w:val="!标题4(alt+4)"/>
    <w:basedOn w:val="1"/>
    <w:uiPriority w:val="0"/>
    <w:pPr>
      <w:spacing w:line="420" w:lineRule="exact"/>
      <w:ind w:firstLine="480" w:firstLineChars="200"/>
      <w:outlineLvl w:val="3"/>
    </w:pPr>
    <w:rPr>
      <w:sz w:val="24"/>
    </w:rPr>
  </w:style>
  <w:style w:type="paragraph" w:customStyle="1" w:styleId="727">
    <w:name w:val="Char Char Char Char Char Char1 Char Char Char Char Char Char Char Char Char1 Char Char Char Char Char Char Char Char Char Char Char Char Char"/>
    <w:basedOn w:val="1"/>
    <w:qFormat/>
    <w:uiPriority w:val="0"/>
    <w:pPr>
      <w:widowControl/>
      <w:jc w:val="left"/>
    </w:pPr>
    <w:rPr>
      <w:rFonts w:ascii="宋体" w:hAnsi="宋体" w:cs="宋体"/>
      <w:kern w:val="0"/>
      <w:sz w:val="24"/>
    </w:rPr>
  </w:style>
  <w:style w:type="paragraph" w:customStyle="1" w:styleId="728">
    <w:name w:val="样式0表换行"/>
    <w:basedOn w:val="1"/>
    <w:qFormat/>
    <w:uiPriority w:val="0"/>
    <w:pPr>
      <w:spacing w:line="300" w:lineRule="auto"/>
      <w:jc w:val="center"/>
    </w:pPr>
    <w:rPr>
      <w:szCs w:val="20"/>
    </w:rPr>
  </w:style>
  <w:style w:type="paragraph" w:customStyle="1" w:styleId="729">
    <w:name w:val="水保2级"/>
    <w:basedOn w:val="4"/>
    <w:qFormat/>
    <w:uiPriority w:val="0"/>
    <w:pPr>
      <w:spacing w:line="415" w:lineRule="auto"/>
    </w:pPr>
    <w:rPr>
      <w:rFonts w:eastAsia="宋体"/>
      <w:b w:val="0"/>
      <w:sz w:val="28"/>
    </w:rPr>
  </w:style>
  <w:style w:type="paragraph" w:customStyle="1" w:styleId="730">
    <w:name w:val="水保3级"/>
    <w:basedOn w:val="5"/>
    <w:qFormat/>
    <w:uiPriority w:val="0"/>
    <w:pPr>
      <w:spacing w:line="500" w:lineRule="exact"/>
      <w:ind w:firstLine="480" w:firstLineChars="200"/>
    </w:pPr>
    <w:rPr>
      <w:b w:val="0"/>
      <w:sz w:val="28"/>
    </w:rPr>
  </w:style>
  <w:style w:type="paragraph" w:customStyle="1" w:styleId="731">
    <w:name w:val="水保4级"/>
    <w:basedOn w:val="6"/>
    <w:qFormat/>
    <w:uiPriority w:val="0"/>
    <w:pPr>
      <w:spacing w:line="360" w:lineRule="auto"/>
    </w:pPr>
    <w:rPr>
      <w:rFonts w:eastAsia="宋体"/>
      <w:b w:val="0"/>
      <w:sz w:val="24"/>
    </w:rPr>
  </w:style>
  <w:style w:type="paragraph" w:customStyle="1" w:styleId="732">
    <w:name w:val="样式 水保3级 + 首行缩进:  2 字符"/>
    <w:basedOn w:val="730"/>
    <w:qFormat/>
    <w:uiPriority w:val="0"/>
    <w:pPr>
      <w:ind w:firstLine="560"/>
    </w:pPr>
    <w:rPr>
      <w:rFonts w:cs="宋体"/>
      <w:bCs w:val="0"/>
      <w:szCs w:val="20"/>
    </w:rPr>
  </w:style>
  <w:style w:type="paragraph" w:customStyle="1" w:styleId="733">
    <w:name w:val="xl2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73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color w:val="FF0000"/>
      <w:kern w:val="0"/>
      <w:szCs w:val="21"/>
    </w:rPr>
  </w:style>
  <w:style w:type="paragraph" w:customStyle="1" w:styleId="735">
    <w:name w:val="4"/>
    <w:basedOn w:val="1"/>
    <w:qFormat/>
    <w:uiPriority w:val="0"/>
  </w:style>
  <w:style w:type="character" w:customStyle="1" w:styleId="736">
    <w:name w:val="grame"/>
    <w:qFormat/>
    <w:uiPriority w:val="0"/>
  </w:style>
  <w:style w:type="paragraph" w:customStyle="1" w:styleId="737">
    <w:name w:val="305"/>
    <w:basedOn w:val="1"/>
    <w:qFormat/>
    <w:uiPriority w:val="0"/>
    <w:pPr>
      <w:widowControl/>
      <w:spacing w:before="100" w:beforeAutospacing="1" w:after="100" w:afterAutospacing="1"/>
      <w:jc w:val="left"/>
    </w:pPr>
    <w:rPr>
      <w:rFonts w:ascii="宋体" w:hAnsi="宋体"/>
      <w:kern w:val="0"/>
      <w:sz w:val="24"/>
    </w:rPr>
  </w:style>
  <w:style w:type="paragraph" w:customStyle="1" w:styleId="738">
    <w:name w:val="样式 样式 样式 样式 标题 3 + 首行缩进:  0 厘米1 + 首行缩进:  0 厘米 + 首行缩进:  0 字符 + 首行..."/>
    <w:basedOn w:val="1"/>
    <w:qFormat/>
    <w:uiPriority w:val="0"/>
    <w:pPr>
      <w:keepNext/>
      <w:keepLines/>
      <w:outlineLvl w:val="2"/>
    </w:pPr>
    <w:rPr>
      <w:sz w:val="28"/>
      <w:szCs w:val="20"/>
    </w:rPr>
  </w:style>
  <w:style w:type="paragraph" w:customStyle="1" w:styleId="739">
    <w:name w:val="5"/>
    <w:basedOn w:val="1"/>
    <w:next w:val="81"/>
    <w:qFormat/>
    <w:uiPriority w:val="0"/>
    <w:pPr>
      <w:widowControl/>
      <w:spacing w:before="100" w:beforeAutospacing="1" w:after="100" w:afterAutospacing="1"/>
      <w:jc w:val="left"/>
    </w:pPr>
    <w:rPr>
      <w:rFonts w:ascii="宋体" w:hAnsi="宋体" w:cs="宋体"/>
      <w:kern w:val="0"/>
      <w:sz w:val="24"/>
    </w:rPr>
  </w:style>
  <w:style w:type="paragraph" w:customStyle="1" w:styleId="740">
    <w:name w:val="Char Char Char Char Char Char"/>
    <w:basedOn w:val="1"/>
    <w:qFormat/>
    <w:uiPriority w:val="0"/>
    <w:pPr>
      <w:spacing w:line="360" w:lineRule="auto"/>
      <w:ind w:firstLine="200" w:firstLineChars="200"/>
    </w:pPr>
    <w:rPr>
      <w:rFonts w:ascii="宋体" w:hAnsi="宋体" w:cs="宋体"/>
      <w:sz w:val="24"/>
    </w:rPr>
  </w:style>
  <w:style w:type="paragraph" w:customStyle="1" w:styleId="741">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742">
    <w:name w:val="xl32"/>
    <w:basedOn w:val="1"/>
    <w:qFormat/>
    <w:uiPriority w:val="0"/>
    <w:pPr>
      <w:widowControl/>
      <w:pBdr>
        <w:bottom w:val="single" w:color="auto" w:sz="4" w:space="0"/>
      </w:pBdr>
      <w:spacing w:before="100" w:beforeAutospacing="1" w:after="100" w:afterAutospacing="1"/>
      <w:jc w:val="center"/>
    </w:pPr>
    <w:rPr>
      <w:rFonts w:ascii="宋体" w:hAnsi="宋体"/>
      <w:kern w:val="0"/>
      <w:sz w:val="20"/>
      <w:szCs w:val="20"/>
    </w:rPr>
  </w:style>
  <w:style w:type="paragraph" w:customStyle="1" w:styleId="743">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textAlignment w:val="top"/>
    </w:pPr>
    <w:rPr>
      <w:kern w:val="0"/>
      <w:sz w:val="20"/>
      <w:szCs w:val="20"/>
    </w:rPr>
  </w:style>
  <w:style w:type="paragraph" w:customStyle="1" w:styleId="744">
    <w:name w:val="xl3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kern w:val="0"/>
      <w:sz w:val="20"/>
      <w:szCs w:val="20"/>
    </w:rPr>
  </w:style>
  <w:style w:type="paragraph" w:customStyle="1" w:styleId="745">
    <w:name w:val="xl36"/>
    <w:basedOn w:val="1"/>
    <w:qFormat/>
    <w:uiPriority w:val="0"/>
    <w:pPr>
      <w:widowControl/>
      <w:pBdr>
        <w:bottom w:val="single" w:color="auto" w:sz="4" w:space="0"/>
        <w:right w:val="single" w:color="auto" w:sz="4" w:space="0"/>
      </w:pBdr>
      <w:spacing w:before="100" w:beforeAutospacing="1" w:after="100" w:afterAutospacing="1"/>
    </w:pPr>
    <w:rPr>
      <w:kern w:val="0"/>
      <w:sz w:val="20"/>
      <w:szCs w:val="20"/>
    </w:rPr>
  </w:style>
  <w:style w:type="paragraph" w:customStyle="1" w:styleId="746">
    <w:name w:val="xl37"/>
    <w:basedOn w:val="1"/>
    <w:qFormat/>
    <w:uiPriority w:val="0"/>
    <w:pPr>
      <w:widowControl/>
      <w:pBdr>
        <w:bottom w:val="single" w:color="auto" w:sz="4" w:space="0"/>
      </w:pBdr>
      <w:spacing w:before="100" w:beforeAutospacing="1" w:after="100" w:afterAutospacing="1"/>
    </w:pPr>
    <w:rPr>
      <w:kern w:val="0"/>
      <w:sz w:val="20"/>
      <w:szCs w:val="20"/>
    </w:rPr>
  </w:style>
  <w:style w:type="paragraph" w:customStyle="1" w:styleId="747">
    <w:name w:val="xl38"/>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 w:val="20"/>
      <w:szCs w:val="20"/>
    </w:rPr>
  </w:style>
  <w:style w:type="paragraph" w:customStyle="1" w:styleId="748">
    <w:name w:val="xl39"/>
    <w:basedOn w:val="1"/>
    <w:qFormat/>
    <w:uiPriority w:val="0"/>
    <w:pPr>
      <w:widowControl/>
      <w:pBdr>
        <w:left w:val="single" w:color="auto" w:sz="4" w:space="0"/>
        <w:right w:val="single" w:color="auto" w:sz="4" w:space="0"/>
      </w:pBdr>
      <w:spacing w:before="100" w:beforeAutospacing="1" w:after="100" w:afterAutospacing="1"/>
    </w:pPr>
    <w:rPr>
      <w:rFonts w:ascii="宋体" w:hAnsi="宋体"/>
      <w:kern w:val="0"/>
      <w:sz w:val="20"/>
      <w:szCs w:val="20"/>
    </w:rPr>
  </w:style>
  <w:style w:type="paragraph" w:customStyle="1" w:styleId="749">
    <w:name w:val="xl40"/>
    <w:basedOn w:val="1"/>
    <w:qFormat/>
    <w:uiPriority w:val="0"/>
    <w:pPr>
      <w:widowControl/>
      <w:pBdr>
        <w:left w:val="single" w:color="auto" w:sz="4" w:space="0"/>
        <w:right w:val="single" w:color="auto" w:sz="4" w:space="0"/>
      </w:pBdr>
      <w:spacing w:before="100" w:beforeAutospacing="1" w:after="100" w:afterAutospacing="1"/>
      <w:textAlignment w:val="top"/>
    </w:pPr>
    <w:rPr>
      <w:kern w:val="0"/>
      <w:sz w:val="20"/>
      <w:szCs w:val="20"/>
    </w:rPr>
  </w:style>
  <w:style w:type="paragraph" w:customStyle="1" w:styleId="750">
    <w:name w:val="xl41"/>
    <w:basedOn w:val="1"/>
    <w:qFormat/>
    <w:uiPriority w:val="0"/>
    <w:pPr>
      <w:widowControl/>
      <w:pBdr>
        <w:left w:val="single" w:color="auto" w:sz="4" w:space="0"/>
        <w:right w:val="single" w:color="auto" w:sz="4" w:space="0"/>
      </w:pBdr>
      <w:spacing w:before="100" w:beforeAutospacing="1" w:after="100" w:afterAutospacing="1"/>
      <w:jc w:val="center"/>
    </w:pPr>
    <w:rPr>
      <w:kern w:val="0"/>
      <w:sz w:val="20"/>
      <w:szCs w:val="20"/>
    </w:rPr>
  </w:style>
  <w:style w:type="paragraph" w:customStyle="1" w:styleId="751">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rFonts w:ascii="宋体" w:hAnsi="宋体"/>
      <w:kern w:val="0"/>
      <w:sz w:val="20"/>
      <w:szCs w:val="20"/>
    </w:rPr>
  </w:style>
  <w:style w:type="paragraph" w:customStyle="1" w:styleId="75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 w:val="20"/>
      <w:szCs w:val="20"/>
    </w:rPr>
  </w:style>
  <w:style w:type="paragraph" w:customStyle="1" w:styleId="753">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kern w:val="0"/>
      <w:sz w:val="20"/>
      <w:szCs w:val="20"/>
    </w:rPr>
  </w:style>
  <w:style w:type="paragraph" w:customStyle="1" w:styleId="754">
    <w:name w:val="xl46"/>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kern w:val="0"/>
      <w:sz w:val="20"/>
      <w:szCs w:val="20"/>
    </w:rPr>
  </w:style>
  <w:style w:type="paragraph" w:customStyle="1" w:styleId="755">
    <w:name w:val="xl48"/>
    <w:basedOn w:val="1"/>
    <w:qFormat/>
    <w:uiPriority w:val="0"/>
    <w:pPr>
      <w:widowControl/>
      <w:pBdr>
        <w:bottom w:val="single" w:color="auto" w:sz="4" w:space="0"/>
      </w:pBdr>
      <w:spacing w:before="100" w:beforeAutospacing="1" w:after="100" w:afterAutospacing="1"/>
    </w:pPr>
    <w:rPr>
      <w:kern w:val="0"/>
      <w:sz w:val="20"/>
      <w:szCs w:val="20"/>
    </w:rPr>
  </w:style>
  <w:style w:type="paragraph" w:customStyle="1" w:styleId="756">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rFonts w:ascii="宋体" w:hAnsi="宋体"/>
      <w:kern w:val="0"/>
      <w:sz w:val="20"/>
      <w:szCs w:val="20"/>
    </w:rPr>
  </w:style>
  <w:style w:type="paragraph" w:customStyle="1" w:styleId="757">
    <w:name w:val="Char Char Char Char Char Char1 Char Char Char"/>
    <w:basedOn w:val="1"/>
    <w:qFormat/>
    <w:uiPriority w:val="0"/>
    <w:pPr>
      <w:spacing w:line="360" w:lineRule="auto"/>
      <w:ind w:firstLine="200" w:firstLineChars="200"/>
    </w:pPr>
    <w:rPr>
      <w:rFonts w:ascii="宋体" w:hAnsi="宋体" w:cs="宋体"/>
      <w:sz w:val="24"/>
    </w:rPr>
  </w:style>
  <w:style w:type="paragraph" w:customStyle="1" w:styleId="758">
    <w:name w:val="Char Char Char Char Char Char1"/>
    <w:basedOn w:val="1"/>
    <w:qFormat/>
    <w:uiPriority w:val="0"/>
    <w:pPr>
      <w:spacing w:line="360" w:lineRule="auto"/>
      <w:ind w:firstLine="200" w:firstLineChars="200"/>
    </w:pPr>
    <w:rPr>
      <w:rFonts w:ascii="宋体" w:hAnsi="宋体" w:cs="宋体"/>
      <w:sz w:val="24"/>
    </w:rPr>
  </w:style>
  <w:style w:type="paragraph" w:customStyle="1" w:styleId="759">
    <w:name w:val="Char Char Char Char Char Char3"/>
    <w:basedOn w:val="1"/>
    <w:qFormat/>
    <w:uiPriority w:val="0"/>
    <w:pPr>
      <w:spacing w:line="360" w:lineRule="auto"/>
      <w:ind w:firstLine="200" w:firstLineChars="200"/>
    </w:pPr>
    <w:rPr>
      <w:rFonts w:ascii="宋体" w:hAnsi="宋体" w:cs="宋体"/>
      <w:sz w:val="24"/>
    </w:rPr>
  </w:style>
  <w:style w:type="paragraph" w:customStyle="1" w:styleId="760">
    <w:name w:val="Char Char Char Char Char Char3 Char Char Char"/>
    <w:basedOn w:val="1"/>
    <w:qFormat/>
    <w:uiPriority w:val="0"/>
    <w:pPr>
      <w:spacing w:line="360" w:lineRule="auto"/>
      <w:ind w:firstLine="200" w:firstLineChars="200"/>
    </w:pPr>
    <w:rPr>
      <w:rFonts w:ascii="宋体" w:hAnsi="宋体" w:cs="宋体"/>
      <w:sz w:val="24"/>
    </w:rPr>
  </w:style>
  <w:style w:type="paragraph" w:customStyle="1" w:styleId="761">
    <w:name w:val="Char Char Char Char Char Char3 Char Char Char Char Char Char"/>
    <w:basedOn w:val="1"/>
    <w:qFormat/>
    <w:uiPriority w:val="0"/>
    <w:pPr>
      <w:spacing w:line="360" w:lineRule="auto"/>
      <w:ind w:firstLine="200" w:firstLineChars="200"/>
    </w:pPr>
    <w:rPr>
      <w:rFonts w:ascii="宋体" w:hAnsi="宋体" w:cs="宋体"/>
      <w:sz w:val="24"/>
    </w:rPr>
  </w:style>
  <w:style w:type="paragraph" w:customStyle="1" w:styleId="762">
    <w:name w:val="Char Char Char Char Char Char1 Char Char Char1"/>
    <w:basedOn w:val="1"/>
    <w:qFormat/>
    <w:uiPriority w:val="0"/>
    <w:pPr>
      <w:spacing w:line="360" w:lineRule="auto"/>
      <w:ind w:firstLine="200" w:firstLineChars="200"/>
    </w:pPr>
    <w:rPr>
      <w:rFonts w:ascii="宋体" w:hAnsi="宋体" w:cs="宋体"/>
      <w:sz w:val="24"/>
    </w:rPr>
  </w:style>
  <w:style w:type="paragraph" w:customStyle="1" w:styleId="763">
    <w:name w:val="Char Char Char Char Char Char1 Char Char Char1 Char Char Char"/>
    <w:basedOn w:val="1"/>
    <w:qFormat/>
    <w:uiPriority w:val="0"/>
    <w:pPr>
      <w:spacing w:line="360" w:lineRule="auto"/>
      <w:ind w:firstLine="200" w:firstLineChars="200"/>
    </w:pPr>
    <w:rPr>
      <w:rFonts w:ascii="宋体" w:hAnsi="宋体" w:cs="宋体"/>
      <w:sz w:val="24"/>
    </w:rPr>
  </w:style>
  <w:style w:type="paragraph" w:customStyle="1" w:styleId="764">
    <w:name w:val="Char Char Char Char Char Char3 Char Char Char Char Char Char Char"/>
    <w:basedOn w:val="1"/>
    <w:qFormat/>
    <w:uiPriority w:val="0"/>
    <w:pPr>
      <w:spacing w:line="360" w:lineRule="auto"/>
      <w:ind w:firstLine="200" w:firstLineChars="200"/>
    </w:pPr>
    <w:rPr>
      <w:rFonts w:ascii="宋体" w:hAnsi="宋体" w:cs="宋体"/>
      <w:sz w:val="24"/>
    </w:rPr>
  </w:style>
  <w:style w:type="paragraph" w:customStyle="1" w:styleId="765">
    <w:name w:val="Char Char Char Char Char Char1 Char Char Char1 Char Char Char Char Char Char Char1"/>
    <w:basedOn w:val="1"/>
    <w:qFormat/>
    <w:uiPriority w:val="0"/>
    <w:pPr>
      <w:spacing w:line="360" w:lineRule="auto"/>
      <w:ind w:firstLine="200" w:firstLineChars="200"/>
    </w:pPr>
    <w:rPr>
      <w:rFonts w:ascii="宋体" w:hAnsi="宋体" w:cs="宋体"/>
      <w:sz w:val="24"/>
    </w:rPr>
  </w:style>
  <w:style w:type="paragraph" w:customStyle="1" w:styleId="766">
    <w:name w:val="Char1 Char Char Char"/>
    <w:basedOn w:val="1"/>
    <w:qFormat/>
    <w:uiPriority w:val="0"/>
    <w:pPr>
      <w:spacing w:line="360" w:lineRule="auto"/>
      <w:ind w:firstLine="200" w:firstLineChars="200"/>
    </w:pPr>
    <w:rPr>
      <w:rFonts w:ascii="宋体" w:hAnsi="宋体" w:cs="宋体"/>
      <w:sz w:val="24"/>
    </w:rPr>
  </w:style>
  <w:style w:type="paragraph" w:customStyle="1" w:styleId="767">
    <w:name w:val="Char1 Char Char Char1"/>
    <w:basedOn w:val="1"/>
    <w:qFormat/>
    <w:uiPriority w:val="0"/>
    <w:pPr>
      <w:spacing w:line="360" w:lineRule="auto"/>
      <w:ind w:firstLine="200" w:firstLineChars="200"/>
    </w:pPr>
    <w:rPr>
      <w:rFonts w:ascii="宋体" w:hAnsi="宋体" w:cs="宋体"/>
      <w:sz w:val="24"/>
    </w:rPr>
  </w:style>
  <w:style w:type="paragraph" w:customStyle="1" w:styleId="768">
    <w:name w:val="样式 标题 2 + 首行缩进:  0 厘米"/>
    <w:basedOn w:val="4"/>
    <w:qFormat/>
    <w:uiPriority w:val="0"/>
    <w:pPr>
      <w:tabs>
        <w:tab w:val="left" w:pos="0"/>
      </w:tabs>
      <w:spacing w:before="0" w:after="0" w:line="300" w:lineRule="auto"/>
      <w:ind w:left="113"/>
    </w:pPr>
    <w:rPr>
      <w:rFonts w:eastAsia="宋体" w:cs="宋体"/>
      <w:b w:val="0"/>
      <w:bCs w:val="0"/>
      <w:sz w:val="28"/>
      <w:szCs w:val="20"/>
    </w:rPr>
  </w:style>
  <w:style w:type="paragraph" w:customStyle="1" w:styleId="769">
    <w:name w:val="样式 标题 3 + 首行缩进:  0 厘米"/>
    <w:basedOn w:val="5"/>
    <w:qFormat/>
    <w:uiPriority w:val="0"/>
    <w:pPr>
      <w:tabs>
        <w:tab w:val="left" w:leader="dot" w:pos="284"/>
      </w:tabs>
      <w:spacing w:before="0" w:after="0" w:line="240" w:lineRule="auto"/>
      <w:ind w:firstLine="100" w:firstLineChars="100"/>
    </w:pPr>
    <w:rPr>
      <w:rFonts w:cs="宋体"/>
      <w:b w:val="0"/>
      <w:bCs w:val="0"/>
      <w:sz w:val="28"/>
      <w:szCs w:val="20"/>
    </w:rPr>
  </w:style>
  <w:style w:type="paragraph" w:customStyle="1" w:styleId="770">
    <w:name w:val="样式 标题 3 + 首行缩进:  0 厘米1"/>
    <w:basedOn w:val="5"/>
    <w:qFormat/>
    <w:uiPriority w:val="0"/>
    <w:pPr>
      <w:spacing w:before="0" w:after="0" w:line="240" w:lineRule="auto"/>
    </w:pPr>
    <w:rPr>
      <w:rFonts w:cs="宋体"/>
      <w:b w:val="0"/>
      <w:bCs w:val="0"/>
      <w:sz w:val="28"/>
      <w:szCs w:val="20"/>
    </w:rPr>
  </w:style>
  <w:style w:type="paragraph" w:customStyle="1" w:styleId="771">
    <w:name w:val="样式 样式 标题 3 + 首行缩进:  0 厘米1 + 首行缩进:  0 厘米"/>
    <w:basedOn w:val="770"/>
    <w:qFormat/>
    <w:uiPriority w:val="0"/>
    <w:pPr>
      <w:ind w:firstLine="100"/>
    </w:pPr>
  </w:style>
  <w:style w:type="paragraph" w:customStyle="1" w:styleId="772">
    <w:name w:val="样式 样式 样式 标题 3 + 首行缩进:  0 厘米1 + 首行缩进:  0 厘米 + 首行缩进:  0 字符"/>
    <w:basedOn w:val="771"/>
    <w:qFormat/>
    <w:uiPriority w:val="0"/>
    <w:pPr>
      <w:ind w:firstLine="0"/>
    </w:pPr>
  </w:style>
  <w:style w:type="character" w:customStyle="1" w:styleId="773">
    <w:name w:val="正文文字 Char Char"/>
    <w:qFormat/>
    <w:uiPriority w:val="0"/>
    <w:rPr>
      <w:rFonts w:eastAsia="宋体"/>
      <w:kern w:val="2"/>
      <w:sz w:val="21"/>
      <w:szCs w:val="24"/>
      <w:lang w:val="en-US" w:eastAsia="zh-CN" w:bidi="ar-SA"/>
    </w:rPr>
  </w:style>
  <w:style w:type="paragraph" w:customStyle="1" w:styleId="774">
    <w:name w:val="Char Char Char Char Char Char2"/>
    <w:basedOn w:val="1"/>
    <w:qFormat/>
    <w:uiPriority w:val="0"/>
    <w:pPr>
      <w:spacing w:line="360" w:lineRule="auto"/>
      <w:ind w:firstLine="200" w:firstLineChars="200"/>
    </w:pPr>
    <w:rPr>
      <w:rFonts w:ascii="宋体" w:hAnsi="宋体" w:cs="宋体"/>
      <w:sz w:val="24"/>
    </w:rPr>
  </w:style>
  <w:style w:type="paragraph" w:customStyle="1" w:styleId="775">
    <w:name w:val="xl52"/>
    <w:basedOn w:val="1"/>
    <w:qFormat/>
    <w:uiPriority w:val="0"/>
    <w:pPr>
      <w:widowControl/>
      <w:pBdr>
        <w:bottom w:val="single" w:color="auto" w:sz="4" w:space="0"/>
      </w:pBdr>
      <w:spacing w:before="100" w:beforeAutospacing="1" w:after="100" w:afterAutospacing="1"/>
      <w:jc w:val="center"/>
      <w:textAlignment w:val="bottom"/>
    </w:pPr>
    <w:rPr>
      <w:rFonts w:ascii="宋体" w:hAnsi="宋体" w:cs="宋体"/>
      <w:color w:val="000000"/>
      <w:kern w:val="0"/>
      <w:sz w:val="20"/>
      <w:szCs w:val="20"/>
    </w:rPr>
  </w:style>
  <w:style w:type="paragraph" w:customStyle="1" w:styleId="776">
    <w:name w:val="Char Char Char Char Char Char1 Char Char Char1 Char"/>
    <w:basedOn w:val="1"/>
    <w:qFormat/>
    <w:uiPriority w:val="0"/>
    <w:pPr>
      <w:spacing w:line="360" w:lineRule="auto"/>
      <w:ind w:firstLine="200" w:firstLineChars="200"/>
    </w:pPr>
    <w:rPr>
      <w:rFonts w:ascii="宋体" w:hAnsi="宋体" w:cs="宋体"/>
      <w:sz w:val="24"/>
    </w:rPr>
  </w:style>
  <w:style w:type="paragraph" w:customStyle="1" w:styleId="777">
    <w:name w:val="Char Char Char Char Char Char1 Char Char Char1 Char Char Char Char Char Char"/>
    <w:basedOn w:val="1"/>
    <w:qFormat/>
    <w:uiPriority w:val="0"/>
    <w:pPr>
      <w:spacing w:line="360" w:lineRule="auto"/>
      <w:ind w:firstLine="200" w:firstLineChars="200"/>
    </w:pPr>
    <w:rPr>
      <w:rFonts w:ascii="宋体" w:hAnsi="宋体" w:cs="宋体"/>
      <w:sz w:val="24"/>
    </w:rPr>
  </w:style>
  <w:style w:type="paragraph" w:customStyle="1" w:styleId="778">
    <w:name w:val="Char4"/>
    <w:basedOn w:val="1"/>
    <w:qFormat/>
    <w:uiPriority w:val="0"/>
    <w:pPr>
      <w:spacing w:line="360" w:lineRule="auto"/>
      <w:ind w:firstLine="200" w:firstLineChars="200"/>
    </w:pPr>
    <w:rPr>
      <w:rFonts w:ascii="宋体" w:hAnsi="宋体" w:cs="宋体"/>
      <w:sz w:val="24"/>
    </w:rPr>
  </w:style>
  <w:style w:type="paragraph" w:customStyle="1" w:styleId="779">
    <w:name w:val="表名 Char Char Char"/>
    <w:basedOn w:val="1"/>
    <w:qFormat/>
    <w:uiPriority w:val="0"/>
    <w:pPr>
      <w:overflowPunct w:val="0"/>
      <w:spacing w:before="120" w:line="300" w:lineRule="exact"/>
      <w:textAlignment w:val="baseline"/>
    </w:pPr>
    <w:rPr>
      <w:rFonts w:eastAsia="黑体"/>
      <w:sz w:val="28"/>
      <w:szCs w:val="20"/>
    </w:rPr>
  </w:style>
  <w:style w:type="paragraph" w:customStyle="1" w:styleId="780">
    <w:name w:val="样式 样式 (符号) 宋体 左侧:  0.74 厘米 首行缩进:  0 厘米 + 左侧:  0.74 厘米 首行缩进:  0 ..."/>
    <w:basedOn w:val="86"/>
    <w:qFormat/>
    <w:uiPriority w:val="0"/>
    <w:pPr>
      <w:adjustRightInd w:val="0"/>
      <w:snapToGrid w:val="0"/>
      <w:spacing w:before="100" w:beforeAutospacing="1" w:after="100" w:afterAutospacing="1" w:line="360" w:lineRule="auto"/>
      <w:ind w:firstLine="200" w:firstLineChars="200"/>
    </w:pPr>
    <w:rPr>
      <w:snapToGrid w:val="0"/>
      <w:sz w:val="28"/>
      <w:szCs w:val="20"/>
    </w:rPr>
  </w:style>
  <w:style w:type="paragraph" w:customStyle="1" w:styleId="781">
    <w:name w:val="样式 样式1 + 段前: 0.5 行"/>
    <w:basedOn w:val="185"/>
    <w:qFormat/>
    <w:uiPriority w:val="0"/>
    <w:pPr>
      <w:adjustRightInd w:val="0"/>
      <w:spacing w:before="100" w:beforeAutospacing="1" w:after="100" w:afterAutospacing="1" w:line="360" w:lineRule="auto"/>
      <w:jc w:val="left"/>
    </w:pPr>
    <w:rPr>
      <w:bCs/>
      <w:snapToGrid w:val="0"/>
      <w:color w:val="000000"/>
      <w:sz w:val="24"/>
      <w:szCs w:val="20"/>
    </w:rPr>
  </w:style>
  <w:style w:type="paragraph" w:customStyle="1" w:styleId="782">
    <w:name w:val="日期1"/>
    <w:basedOn w:val="1"/>
    <w:next w:val="1"/>
    <w:qFormat/>
    <w:uiPriority w:val="0"/>
    <w:pPr>
      <w:adjustRightInd w:val="0"/>
      <w:spacing w:beforeAutospacing="1" w:after="100" w:afterAutospacing="1"/>
      <w:ind w:firstLine="200" w:firstLineChars="200"/>
      <w:textAlignment w:val="baseline"/>
    </w:pPr>
    <w:rPr>
      <w:snapToGrid w:val="0"/>
      <w:sz w:val="24"/>
      <w:szCs w:val="20"/>
    </w:rPr>
  </w:style>
  <w:style w:type="paragraph" w:customStyle="1" w:styleId="783">
    <w:name w:val="bg"/>
    <w:basedOn w:val="1"/>
    <w:qFormat/>
    <w:uiPriority w:val="0"/>
    <w:pPr>
      <w:widowControl/>
      <w:snapToGrid w:val="0"/>
      <w:jc w:val="center"/>
    </w:pPr>
    <w:rPr>
      <w:rFonts w:cs="宋体"/>
      <w:snapToGrid w:val="0"/>
      <w:color w:val="000000"/>
      <w:sz w:val="18"/>
      <w:szCs w:val="18"/>
    </w:rPr>
  </w:style>
  <w:style w:type="paragraph" w:customStyle="1" w:styleId="784">
    <w:name w:val="样式 标题 1 + 首行缩进:  2 字符"/>
    <w:basedOn w:val="3"/>
    <w:qFormat/>
    <w:uiPriority w:val="0"/>
    <w:pPr>
      <w:keepNext/>
      <w:keepLines/>
      <w:spacing w:line="440" w:lineRule="exact"/>
      <w:jc w:val="left"/>
    </w:pPr>
    <w:rPr>
      <w:rFonts w:eastAsia="黑体"/>
      <w:bCs w:val="0"/>
      <w:snapToGrid w:val="0"/>
    </w:rPr>
  </w:style>
  <w:style w:type="paragraph" w:customStyle="1" w:styleId="785">
    <w:name w:val="样式 标题 2 + Times New Roman 首行缩进:  2 字符"/>
    <w:basedOn w:val="4"/>
    <w:qFormat/>
    <w:uiPriority w:val="0"/>
    <w:pPr>
      <w:adjustRightInd w:val="0"/>
      <w:snapToGrid w:val="0"/>
      <w:spacing w:before="120" w:after="0" w:line="360" w:lineRule="auto"/>
    </w:pPr>
    <w:rPr>
      <w:rFonts w:ascii="Times New Roman" w:hAnsi="Times New Roman" w:eastAsia="宋体"/>
      <w:snapToGrid w:val="0"/>
      <w:sz w:val="28"/>
      <w:szCs w:val="28"/>
    </w:rPr>
  </w:style>
  <w:style w:type="paragraph" w:customStyle="1" w:styleId="786">
    <w:name w:val="样式 标题 2 + 首行缩进:  2 字符"/>
    <w:basedOn w:val="4"/>
    <w:qFormat/>
    <w:uiPriority w:val="0"/>
    <w:pPr>
      <w:adjustRightInd w:val="0"/>
      <w:snapToGrid w:val="0"/>
      <w:spacing w:beforeAutospacing="1" w:afterAutospacing="1" w:line="360" w:lineRule="auto"/>
      <w:ind w:firstLine="592" w:firstLineChars="200"/>
    </w:pPr>
    <w:rPr>
      <w:rFonts w:ascii="黑体" w:hAnsi="宋体" w:eastAsia="黑体" w:cs="宋体"/>
      <w:b w:val="0"/>
      <w:bCs w:val="0"/>
      <w:snapToGrid w:val="0"/>
      <w:kern w:val="0"/>
      <w:sz w:val="30"/>
      <w:szCs w:val="20"/>
    </w:rPr>
  </w:style>
  <w:style w:type="paragraph" w:customStyle="1" w:styleId="787">
    <w:name w:val="表头1"/>
    <w:basedOn w:val="1"/>
    <w:link w:val="788"/>
    <w:qFormat/>
    <w:uiPriority w:val="0"/>
    <w:pPr>
      <w:adjustRightInd w:val="0"/>
      <w:snapToGrid w:val="0"/>
      <w:spacing w:before="100" w:beforeAutospacing="1" w:after="100" w:afterAutospacing="1"/>
      <w:jc w:val="center"/>
    </w:pPr>
    <w:rPr>
      <w:b/>
      <w:snapToGrid w:val="0"/>
      <w:sz w:val="24"/>
    </w:rPr>
  </w:style>
  <w:style w:type="character" w:customStyle="1" w:styleId="788">
    <w:name w:val="表头1 Char Char"/>
    <w:link w:val="787"/>
    <w:qFormat/>
    <w:uiPriority w:val="0"/>
    <w:rPr>
      <w:b/>
      <w:snapToGrid w:val="0"/>
      <w:kern w:val="2"/>
      <w:sz w:val="24"/>
      <w:szCs w:val="24"/>
    </w:rPr>
  </w:style>
  <w:style w:type="paragraph" w:customStyle="1" w:styleId="789">
    <w:name w:val="样式 (符号) 宋体 五号 加粗 居中 段前: 0.5 行 行距: 单倍行距"/>
    <w:basedOn w:val="1"/>
    <w:qFormat/>
    <w:uiPriority w:val="0"/>
    <w:pPr>
      <w:snapToGrid w:val="0"/>
      <w:jc w:val="center"/>
    </w:pPr>
    <w:rPr>
      <w:rFonts w:hAnsi="宋体" w:cs="宋体"/>
      <w:b/>
      <w:bCs/>
      <w:kern w:val="0"/>
      <w:sz w:val="24"/>
      <w:szCs w:val="20"/>
    </w:rPr>
  </w:style>
  <w:style w:type="paragraph" w:customStyle="1" w:styleId="790">
    <w:name w:val="样式 右侧:  0 厘米 段前: 0.5 行"/>
    <w:basedOn w:val="1"/>
    <w:qFormat/>
    <w:uiPriority w:val="0"/>
    <w:pPr>
      <w:adjustRightInd w:val="0"/>
      <w:snapToGrid w:val="0"/>
      <w:spacing w:before="50" w:beforeLines="50" w:line="360" w:lineRule="auto"/>
      <w:ind w:firstLine="200" w:firstLineChars="200"/>
    </w:pPr>
    <w:rPr>
      <w:rFonts w:cs="宋体"/>
      <w:sz w:val="24"/>
    </w:rPr>
  </w:style>
  <w:style w:type="character" w:customStyle="1" w:styleId="791">
    <w:name w:val="样式 右侧:  0 厘米 段前: 0.5 行 Char"/>
    <w:qFormat/>
    <w:uiPriority w:val="0"/>
    <w:rPr>
      <w:rFonts w:eastAsia="宋体" w:cs="宋体"/>
      <w:kern w:val="2"/>
      <w:sz w:val="24"/>
      <w:szCs w:val="24"/>
      <w:lang w:val="en-US" w:eastAsia="zh-CN" w:bidi="ar-SA"/>
    </w:rPr>
  </w:style>
  <w:style w:type="paragraph" w:customStyle="1" w:styleId="792">
    <w:name w:val="font0"/>
    <w:basedOn w:val="1"/>
    <w:qFormat/>
    <w:uiPriority w:val="0"/>
    <w:pPr>
      <w:widowControl/>
      <w:spacing w:before="100" w:beforeAutospacing="1" w:after="100" w:afterAutospacing="1"/>
      <w:jc w:val="left"/>
    </w:pPr>
    <w:rPr>
      <w:rFonts w:ascii="宋体" w:hAnsi="宋体"/>
      <w:kern w:val="0"/>
      <w:sz w:val="24"/>
    </w:rPr>
  </w:style>
  <w:style w:type="paragraph" w:customStyle="1" w:styleId="793">
    <w:name w:val="font11"/>
    <w:basedOn w:val="1"/>
    <w:qFormat/>
    <w:uiPriority w:val="0"/>
    <w:pPr>
      <w:widowControl/>
      <w:spacing w:before="100" w:beforeAutospacing="1" w:after="100" w:afterAutospacing="1"/>
      <w:jc w:val="left"/>
    </w:pPr>
    <w:rPr>
      <w:kern w:val="0"/>
      <w:sz w:val="22"/>
      <w:szCs w:val="22"/>
    </w:rPr>
  </w:style>
  <w:style w:type="paragraph" w:customStyle="1" w:styleId="794">
    <w:name w:val="font12"/>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795">
    <w:name w:val="font1"/>
    <w:basedOn w:val="1"/>
    <w:qFormat/>
    <w:uiPriority w:val="0"/>
    <w:pPr>
      <w:widowControl/>
      <w:spacing w:before="100" w:beforeAutospacing="1" w:after="100" w:afterAutospacing="1"/>
      <w:jc w:val="left"/>
    </w:pPr>
    <w:rPr>
      <w:rFonts w:ascii="宋体" w:hAnsi="宋体"/>
      <w:kern w:val="0"/>
      <w:sz w:val="24"/>
    </w:rPr>
  </w:style>
  <w:style w:type="paragraph" w:customStyle="1" w:styleId="796">
    <w:name w:val="批注框文本1"/>
    <w:basedOn w:val="1"/>
    <w:qFormat/>
    <w:uiPriority w:val="0"/>
    <w:pPr>
      <w:snapToGrid w:val="0"/>
      <w:spacing w:before="50" w:beforeLines="50" w:line="360" w:lineRule="auto"/>
    </w:pPr>
    <w:rPr>
      <w:sz w:val="18"/>
      <w:szCs w:val="18"/>
    </w:rPr>
  </w:style>
  <w:style w:type="paragraph" w:customStyle="1" w:styleId="797">
    <w:name w:val="xl5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eastAsia="Arial Unicode MS"/>
      <w:kern w:val="0"/>
      <w:sz w:val="24"/>
      <w:szCs w:val="21"/>
    </w:rPr>
  </w:style>
  <w:style w:type="paragraph" w:customStyle="1" w:styleId="798">
    <w:name w:val="样式 表格 + 左侧:  0.98 厘米"/>
    <w:basedOn w:val="1"/>
    <w:qFormat/>
    <w:uiPriority w:val="0"/>
    <w:pPr>
      <w:adjustRightInd w:val="0"/>
      <w:snapToGrid w:val="0"/>
      <w:spacing w:before="100" w:beforeAutospacing="1" w:after="100" w:afterAutospacing="1" w:line="300" w:lineRule="auto"/>
    </w:pPr>
    <w:rPr>
      <w:rFonts w:ascii="Arial" w:hAnsi="Arial"/>
      <w:snapToGrid w:val="0"/>
      <w:kern w:val="0"/>
      <w:sz w:val="24"/>
      <w:szCs w:val="20"/>
    </w:rPr>
  </w:style>
  <w:style w:type="paragraph" w:customStyle="1" w:styleId="799">
    <w:name w:val="样式 样式 表格 + 左侧:  0.98 厘米 + 居中"/>
    <w:basedOn w:val="798"/>
    <w:qFormat/>
    <w:uiPriority w:val="0"/>
    <w:pPr>
      <w:jc w:val="center"/>
    </w:pPr>
  </w:style>
  <w:style w:type="character" w:customStyle="1" w:styleId="800">
    <w:name w:val="表文 Char2"/>
    <w:qFormat/>
    <w:uiPriority w:val="0"/>
    <w:rPr>
      <w:rFonts w:eastAsia="宋体"/>
      <w:sz w:val="18"/>
      <w:lang w:val="en-US" w:eastAsia="zh-CN" w:bidi="ar-SA"/>
    </w:rPr>
  </w:style>
  <w:style w:type="paragraph" w:customStyle="1" w:styleId="801">
    <w:name w:val="样式 样式 正文缩进s4 + 首行缩进:  2 字符 + 首行缩进:  2 字符"/>
    <w:basedOn w:val="1"/>
    <w:qFormat/>
    <w:uiPriority w:val="0"/>
    <w:pPr>
      <w:adjustRightInd w:val="0"/>
      <w:snapToGrid w:val="0"/>
      <w:spacing w:line="360" w:lineRule="auto"/>
      <w:ind w:firstLine="480" w:firstLineChars="200"/>
    </w:pPr>
    <w:rPr>
      <w:rFonts w:eastAsia="仿宋_GB2312"/>
      <w:sz w:val="28"/>
      <w:szCs w:val="20"/>
    </w:rPr>
  </w:style>
  <w:style w:type="paragraph" w:customStyle="1" w:styleId="802">
    <w:name w:val="样式 左侧:  0.98 厘米"/>
    <w:basedOn w:val="1"/>
    <w:link w:val="803"/>
    <w:qFormat/>
    <w:uiPriority w:val="0"/>
    <w:pPr>
      <w:adjustRightInd w:val="0"/>
      <w:snapToGrid w:val="0"/>
      <w:spacing w:line="490" w:lineRule="exact"/>
      <w:ind w:firstLine="560" w:firstLineChars="200"/>
    </w:pPr>
    <w:rPr>
      <w:rFonts w:eastAsia="仿宋_GB2312"/>
      <w:sz w:val="28"/>
      <w:szCs w:val="20"/>
    </w:rPr>
  </w:style>
  <w:style w:type="character" w:customStyle="1" w:styleId="803">
    <w:name w:val="样式 左侧:  0.98 厘米 Char1"/>
    <w:link w:val="802"/>
    <w:qFormat/>
    <w:uiPriority w:val="0"/>
    <w:rPr>
      <w:rFonts w:eastAsia="仿宋_GB2312"/>
      <w:kern w:val="2"/>
      <w:sz w:val="28"/>
    </w:rPr>
  </w:style>
  <w:style w:type="paragraph" w:customStyle="1" w:styleId="804">
    <w:name w:val="zz"/>
    <w:basedOn w:val="1"/>
    <w:qFormat/>
    <w:uiPriority w:val="0"/>
    <w:pPr>
      <w:adjustRightInd w:val="0"/>
      <w:spacing w:line="360" w:lineRule="auto"/>
      <w:ind w:firstLine="567"/>
      <w:textAlignment w:val="baseline"/>
    </w:pPr>
    <w:rPr>
      <w:rFonts w:ascii="宋体"/>
      <w:kern w:val="28"/>
      <w:sz w:val="28"/>
      <w:szCs w:val="20"/>
    </w:rPr>
  </w:style>
  <w:style w:type="paragraph" w:customStyle="1" w:styleId="805">
    <w:name w:val="表格文字2"/>
    <w:basedOn w:val="1"/>
    <w:link w:val="806"/>
    <w:qFormat/>
    <w:uiPriority w:val="0"/>
    <w:pPr>
      <w:adjustRightInd w:val="0"/>
      <w:spacing w:before="60" w:line="240" w:lineRule="atLeast"/>
      <w:jc w:val="center"/>
      <w:textAlignment w:val="baseline"/>
    </w:pPr>
    <w:rPr>
      <w:kern w:val="0"/>
      <w:sz w:val="24"/>
      <w:szCs w:val="20"/>
    </w:rPr>
  </w:style>
  <w:style w:type="character" w:customStyle="1" w:styleId="806">
    <w:name w:val="表格文字2 Char"/>
    <w:link w:val="805"/>
    <w:qFormat/>
    <w:uiPriority w:val="0"/>
    <w:rPr>
      <w:sz w:val="24"/>
    </w:rPr>
  </w:style>
  <w:style w:type="paragraph" w:customStyle="1" w:styleId="807">
    <w:name w:val="样式 正文文本缩进 2 + 左侧:  0.98 厘米 首行缩进:  2 字符"/>
    <w:basedOn w:val="51"/>
    <w:qFormat/>
    <w:uiPriority w:val="0"/>
    <w:pPr>
      <w:adjustRightInd w:val="0"/>
      <w:snapToGrid w:val="0"/>
      <w:spacing w:after="0" w:line="360" w:lineRule="auto"/>
      <w:ind w:left="0" w:leftChars="0" w:firstLine="560" w:firstLineChars="200"/>
    </w:pPr>
    <w:rPr>
      <w:rFonts w:eastAsia="仿宋_GB2312"/>
      <w:sz w:val="28"/>
      <w:szCs w:val="20"/>
    </w:rPr>
  </w:style>
  <w:style w:type="paragraph" w:customStyle="1" w:styleId="808">
    <w:name w:val="Char Char Char Char Char Char3 Char Char Char Char Char Char Char1"/>
    <w:basedOn w:val="1"/>
    <w:qFormat/>
    <w:uiPriority w:val="0"/>
    <w:pPr>
      <w:spacing w:line="360" w:lineRule="auto"/>
      <w:ind w:firstLine="200" w:firstLineChars="200"/>
    </w:pPr>
    <w:rPr>
      <w:rFonts w:ascii="宋体" w:hAnsi="宋体" w:cs="宋体"/>
      <w:sz w:val="24"/>
    </w:rPr>
  </w:style>
  <w:style w:type="paragraph" w:customStyle="1" w:styleId="809">
    <w:name w:val="样式 标题 5标题（五） + 左侧:  0 厘米 首行缩进:  0 厘米"/>
    <w:basedOn w:val="7"/>
    <w:qFormat/>
    <w:uiPriority w:val="0"/>
    <w:pPr>
      <w:tabs>
        <w:tab w:val="left" w:pos="0"/>
      </w:tabs>
      <w:jc w:val="left"/>
    </w:pPr>
    <w:rPr>
      <w:rFonts w:cs="宋体"/>
      <w:bCs/>
    </w:rPr>
  </w:style>
  <w:style w:type="paragraph" w:customStyle="1" w:styleId="810">
    <w:name w:val="正文（首行缩进2字符）"/>
    <w:basedOn w:val="1"/>
    <w:qFormat/>
    <w:uiPriority w:val="0"/>
    <w:pPr>
      <w:topLinePunct/>
      <w:spacing w:line="360" w:lineRule="auto"/>
      <w:ind w:firstLine="200" w:firstLineChars="200"/>
    </w:pPr>
    <w:rPr>
      <w:rFonts w:cs="宋体"/>
      <w:sz w:val="28"/>
      <w:szCs w:val="28"/>
    </w:rPr>
  </w:style>
  <w:style w:type="paragraph" w:customStyle="1" w:styleId="811">
    <w:name w:val="样式 题注 + 左侧:  0.98 厘米 首行缩进:  2 字符"/>
    <w:basedOn w:val="22"/>
    <w:qFormat/>
    <w:uiPriority w:val="0"/>
    <w:pPr>
      <w:adjustRightInd w:val="0"/>
      <w:snapToGrid w:val="0"/>
      <w:spacing w:before="120" w:line="300" w:lineRule="exact"/>
      <w:ind w:firstLine="480"/>
      <w:jc w:val="center"/>
    </w:pPr>
    <w:rPr>
      <w:rFonts w:ascii="Arial" w:hAnsi="Arial"/>
      <w:caps w:val="0"/>
      <w:color w:val="000000"/>
      <w:spacing w:val="0"/>
      <w:sz w:val="24"/>
      <w:szCs w:val="20"/>
    </w:rPr>
  </w:style>
  <w:style w:type="paragraph" w:customStyle="1" w:styleId="812">
    <w:name w:val="正文文字标准"/>
    <w:basedOn w:val="86"/>
    <w:qFormat/>
    <w:uiPriority w:val="0"/>
    <w:pPr>
      <w:spacing w:after="0" w:line="480" w:lineRule="exact"/>
      <w:ind w:firstLine="200" w:firstLineChars="200"/>
    </w:pPr>
    <w:rPr>
      <w:sz w:val="28"/>
    </w:rPr>
  </w:style>
  <w:style w:type="paragraph" w:customStyle="1" w:styleId="813">
    <w:name w:val="说明书正文"/>
    <w:basedOn w:val="1"/>
    <w:qFormat/>
    <w:uiPriority w:val="0"/>
    <w:pPr>
      <w:spacing w:line="480" w:lineRule="exact"/>
      <w:ind w:firstLine="600" w:firstLineChars="200"/>
    </w:pPr>
    <w:rPr>
      <w:rFonts w:eastAsia="仿宋_GB2312"/>
      <w:color w:val="000000"/>
      <w:sz w:val="30"/>
    </w:rPr>
  </w:style>
  <w:style w:type="paragraph" w:customStyle="1" w:styleId="814">
    <w:name w:val="font13"/>
    <w:basedOn w:val="1"/>
    <w:qFormat/>
    <w:uiPriority w:val="0"/>
    <w:pPr>
      <w:widowControl/>
      <w:spacing w:before="100" w:beforeAutospacing="1" w:after="100" w:afterAutospacing="1"/>
      <w:jc w:val="left"/>
    </w:pPr>
    <w:rPr>
      <w:rFonts w:ascii="宋体" w:hAnsi="宋体" w:cs="宋体"/>
      <w:color w:val="000000"/>
      <w:kern w:val="0"/>
      <w:szCs w:val="21"/>
      <w:u w:val="single"/>
    </w:rPr>
  </w:style>
  <w:style w:type="paragraph" w:customStyle="1" w:styleId="815">
    <w:name w:val="正文小标题"/>
    <w:basedOn w:val="1"/>
    <w:qFormat/>
    <w:uiPriority w:val="0"/>
    <w:pPr>
      <w:numPr>
        <w:ilvl w:val="0"/>
        <w:numId w:val="9"/>
      </w:numPr>
      <w:tabs>
        <w:tab w:val="left" w:pos="964"/>
      </w:tabs>
      <w:overflowPunct w:val="0"/>
      <w:autoSpaceDE w:val="0"/>
      <w:autoSpaceDN w:val="0"/>
      <w:adjustRightInd w:val="0"/>
      <w:spacing w:line="360" w:lineRule="auto"/>
      <w:jc w:val="left"/>
      <w:textAlignment w:val="baseline"/>
    </w:pPr>
    <w:rPr>
      <w:spacing w:val="10"/>
      <w:kern w:val="0"/>
      <w:sz w:val="24"/>
      <w:szCs w:val="20"/>
    </w:rPr>
  </w:style>
  <w:style w:type="paragraph" w:customStyle="1" w:styleId="816">
    <w:name w:val="正文（首行缩进）"/>
    <w:basedOn w:val="1"/>
    <w:link w:val="817"/>
    <w:qFormat/>
    <w:uiPriority w:val="0"/>
    <w:pPr>
      <w:snapToGrid w:val="0"/>
      <w:spacing w:line="288" w:lineRule="auto"/>
      <w:ind w:firstLine="200" w:firstLineChars="200"/>
    </w:pPr>
    <w:rPr>
      <w:sz w:val="24"/>
    </w:rPr>
  </w:style>
  <w:style w:type="character" w:customStyle="1" w:styleId="817">
    <w:name w:val="正文（首行缩进） Char"/>
    <w:link w:val="816"/>
    <w:qFormat/>
    <w:uiPriority w:val="0"/>
    <w:rPr>
      <w:kern w:val="2"/>
      <w:sz w:val="24"/>
      <w:szCs w:val="24"/>
    </w:rPr>
  </w:style>
  <w:style w:type="paragraph" w:customStyle="1" w:styleId="818">
    <w:name w:val="标题3"/>
    <w:basedOn w:val="21"/>
    <w:link w:val="819"/>
    <w:qFormat/>
    <w:uiPriority w:val="0"/>
    <w:pPr>
      <w:snapToGrid w:val="0"/>
      <w:spacing w:line="360" w:lineRule="auto"/>
      <w:ind w:firstLine="609" w:firstLineChars="200"/>
      <w:jc w:val="left"/>
    </w:pPr>
    <w:rPr>
      <w:rFonts w:ascii="宋体" w:hAnsi="宋体"/>
    </w:rPr>
  </w:style>
  <w:style w:type="character" w:customStyle="1" w:styleId="819">
    <w:name w:val="标题3 Char"/>
    <w:link w:val="818"/>
    <w:qFormat/>
    <w:uiPriority w:val="0"/>
    <w:rPr>
      <w:rFonts w:ascii="宋体" w:hAnsi="宋体"/>
      <w:kern w:val="2"/>
      <w:sz w:val="28"/>
    </w:rPr>
  </w:style>
  <w:style w:type="paragraph" w:customStyle="1" w:styleId="820">
    <w:name w:val="样式 首行缩进:  2 字符2"/>
    <w:basedOn w:val="1"/>
    <w:qFormat/>
    <w:uiPriority w:val="0"/>
    <w:pPr>
      <w:ind w:firstLine="200" w:firstLineChars="200"/>
    </w:pPr>
    <w:rPr>
      <w:rFonts w:cs="宋体"/>
      <w:spacing w:val="6"/>
      <w:sz w:val="24"/>
    </w:rPr>
  </w:style>
  <w:style w:type="paragraph" w:customStyle="1" w:styleId="821">
    <w:name w:val="默认段落字体 Char Char Char"/>
    <w:basedOn w:val="1"/>
    <w:qFormat/>
    <w:uiPriority w:val="0"/>
    <w:rPr>
      <w:sz w:val="24"/>
    </w:rPr>
  </w:style>
  <w:style w:type="paragraph" w:customStyle="1" w:styleId="822">
    <w:name w:val="5号正文"/>
    <w:qFormat/>
    <w:uiPriority w:val="0"/>
    <w:pPr>
      <w:widowControl w:val="0"/>
      <w:adjustRightInd w:val="0"/>
      <w:snapToGrid w:val="0"/>
      <w:spacing w:line="360" w:lineRule="auto"/>
      <w:ind w:firstLine="480" w:firstLineChars="200"/>
      <w:jc w:val="both"/>
    </w:pPr>
    <w:rPr>
      <w:rFonts w:ascii="楷体_GB2312" w:hAnsi="宋体" w:eastAsia="楷体_GB2312" w:cs="Times New Roman"/>
      <w:snapToGrid w:val="0"/>
      <w:sz w:val="24"/>
      <w:szCs w:val="28"/>
      <w:lang w:val="en-US" w:eastAsia="zh-CN" w:bidi="ar-SA"/>
    </w:rPr>
  </w:style>
  <w:style w:type="paragraph" w:customStyle="1" w:styleId="823">
    <w:name w:val="表首"/>
    <w:basedOn w:val="1"/>
    <w:link w:val="824"/>
    <w:qFormat/>
    <w:uiPriority w:val="0"/>
    <w:pPr>
      <w:spacing w:before="258" w:beforeLines="50" w:line="520" w:lineRule="exact"/>
      <w:jc w:val="center"/>
    </w:pPr>
    <w:rPr>
      <w:rFonts w:ascii="宋体" w:hAnsi="宋体"/>
      <w:b/>
      <w:kern w:val="0"/>
      <w:sz w:val="28"/>
      <w:szCs w:val="28"/>
    </w:rPr>
  </w:style>
  <w:style w:type="character" w:customStyle="1" w:styleId="824">
    <w:name w:val="表首 Char"/>
    <w:link w:val="823"/>
    <w:qFormat/>
    <w:uiPriority w:val="0"/>
    <w:rPr>
      <w:rFonts w:ascii="宋体" w:hAnsi="宋体"/>
      <w:b/>
      <w:sz w:val="28"/>
      <w:szCs w:val="28"/>
    </w:rPr>
  </w:style>
  <w:style w:type="paragraph" w:customStyle="1" w:styleId="825">
    <w:name w:val="Char Char1 Char Char Char Char Char Char Char"/>
    <w:basedOn w:val="1"/>
    <w:qFormat/>
    <w:uiPriority w:val="0"/>
    <w:pPr>
      <w:pageBreakBefore/>
      <w:spacing w:line="480" w:lineRule="auto"/>
      <w:ind w:firstLine="200" w:firstLineChars="200"/>
    </w:pPr>
    <w:rPr>
      <w:rFonts w:ascii="宋体" w:hAnsi="宋体" w:eastAsia="仿宋_GB2312" w:cs="宋体"/>
      <w:sz w:val="28"/>
      <w:szCs w:val="28"/>
    </w:rPr>
  </w:style>
  <w:style w:type="character" w:customStyle="1" w:styleId="826">
    <w:name w:val="正文宋体小四1.5行 Char"/>
    <w:qFormat/>
    <w:uiPriority w:val="0"/>
    <w:rPr>
      <w:rFonts w:ascii="宋体" w:hAnsi="宋体" w:eastAsia="宋体"/>
      <w:kern w:val="2"/>
      <w:sz w:val="28"/>
      <w:lang w:val="en-US" w:eastAsia="zh-CN" w:bidi="ar-SA"/>
    </w:rPr>
  </w:style>
  <w:style w:type="character" w:customStyle="1" w:styleId="827">
    <w:name w:val="样式 (西文) ˎ̥ 四号"/>
    <w:qFormat/>
    <w:uiPriority w:val="0"/>
    <w:rPr>
      <w:rFonts w:ascii="ˎ̥" w:hAnsi="ˎ̥"/>
      <w:kern w:val="0"/>
      <w:sz w:val="24"/>
    </w:rPr>
  </w:style>
  <w:style w:type="paragraph" w:customStyle="1" w:styleId="828">
    <w:name w:val="正文文本缩进 31"/>
    <w:basedOn w:val="1"/>
    <w:qFormat/>
    <w:uiPriority w:val="0"/>
    <w:pPr>
      <w:adjustRightInd w:val="0"/>
      <w:spacing w:line="360" w:lineRule="atLeast"/>
      <w:ind w:firstLine="480"/>
      <w:textAlignment w:val="baseline"/>
    </w:pPr>
    <w:rPr>
      <w:rFonts w:ascii="宋体"/>
      <w:kern w:val="0"/>
      <w:sz w:val="24"/>
      <w:szCs w:val="20"/>
    </w:rPr>
  </w:style>
  <w:style w:type="character" w:customStyle="1" w:styleId="829">
    <w:name w:val="正文粗 Char"/>
    <w:qFormat/>
    <w:uiPriority w:val="0"/>
    <w:rPr>
      <w:rFonts w:eastAsia="宋体"/>
      <w:b/>
      <w:sz w:val="24"/>
      <w:lang w:val="en-US" w:eastAsia="zh-CN"/>
    </w:rPr>
  </w:style>
  <w:style w:type="character" w:customStyle="1" w:styleId="830">
    <w:name w:val="C样式 Char"/>
    <w:link w:val="831"/>
    <w:qFormat/>
    <w:uiPriority w:val="0"/>
    <w:rPr>
      <w:rFonts w:ascii="宋体" w:hAnsi="宋体"/>
      <w:snapToGrid/>
      <w:kern w:val="24"/>
      <w:sz w:val="24"/>
    </w:rPr>
  </w:style>
  <w:style w:type="paragraph" w:customStyle="1" w:styleId="831">
    <w:name w:val="C样式"/>
    <w:basedOn w:val="21"/>
    <w:link w:val="830"/>
    <w:qFormat/>
    <w:uiPriority w:val="0"/>
    <w:pPr>
      <w:spacing w:line="440" w:lineRule="exact"/>
      <w:ind w:firstLine="424" w:firstLineChars="200"/>
    </w:pPr>
    <w:rPr>
      <w:rFonts w:ascii="宋体" w:hAnsi="宋体"/>
      <w:snapToGrid w:val="0"/>
      <w:kern w:val="24"/>
      <w:sz w:val="24"/>
    </w:rPr>
  </w:style>
  <w:style w:type="paragraph" w:customStyle="1" w:styleId="832">
    <w:name w:val="标准正文"/>
    <w:basedOn w:val="1"/>
    <w:link w:val="833"/>
    <w:qFormat/>
    <w:uiPriority w:val="0"/>
    <w:pPr>
      <w:autoSpaceDE w:val="0"/>
      <w:autoSpaceDN w:val="0"/>
      <w:adjustRightInd w:val="0"/>
      <w:snapToGrid w:val="0"/>
      <w:spacing w:line="360" w:lineRule="auto"/>
      <w:ind w:firstLine="480" w:firstLineChars="200"/>
    </w:pPr>
    <w:rPr>
      <w:bCs/>
      <w:color w:val="000000"/>
      <w:sz w:val="24"/>
    </w:rPr>
  </w:style>
  <w:style w:type="character" w:customStyle="1" w:styleId="833">
    <w:name w:val="标准正文 Char"/>
    <w:link w:val="832"/>
    <w:qFormat/>
    <w:uiPriority w:val="0"/>
    <w:rPr>
      <w:bCs/>
      <w:color w:val="000000"/>
      <w:kern w:val="2"/>
      <w:sz w:val="24"/>
      <w:szCs w:val="24"/>
    </w:rPr>
  </w:style>
  <w:style w:type="paragraph" w:customStyle="1" w:styleId="834">
    <w:name w:val="正文缩进1"/>
    <w:qFormat/>
    <w:uiPriority w:val="0"/>
    <w:pPr>
      <w:ind w:firstLine="420" w:firstLineChars="200"/>
    </w:pPr>
    <w:rPr>
      <w:rFonts w:ascii="Times New Roman" w:hAnsi="Times New Roman" w:eastAsia="宋体" w:cs="Times New Roman"/>
      <w:kern w:val="2"/>
      <w:sz w:val="24"/>
      <w:szCs w:val="24"/>
      <w:lang w:val="en-US" w:eastAsia="zh-CN" w:bidi="ar-SA"/>
    </w:rPr>
  </w:style>
  <w:style w:type="paragraph" w:customStyle="1" w:styleId="835">
    <w:name w:val="样式 样式 样式 正文首行缩进 + 首行缩进:  1 字符 + 宋体 + 自动设置"/>
    <w:basedOn w:val="1"/>
    <w:link w:val="836"/>
    <w:qFormat/>
    <w:uiPriority w:val="0"/>
    <w:pPr>
      <w:spacing w:line="460" w:lineRule="exact"/>
      <w:ind w:firstLine="480" w:firstLineChars="200"/>
      <w:jc w:val="left"/>
    </w:pPr>
    <w:rPr>
      <w:rFonts w:ascii="宋体" w:hAnsi="宋体"/>
      <w:sz w:val="24"/>
      <w:szCs w:val="20"/>
    </w:rPr>
  </w:style>
  <w:style w:type="character" w:customStyle="1" w:styleId="836">
    <w:name w:val="样式 样式 样式 正文首行缩进 + 首行缩进:  1 字符 + 宋体 + 自动设置 Char"/>
    <w:link w:val="835"/>
    <w:qFormat/>
    <w:uiPriority w:val="0"/>
    <w:rPr>
      <w:rFonts w:ascii="宋体" w:hAnsi="宋体"/>
      <w:kern w:val="2"/>
      <w:sz w:val="24"/>
    </w:rPr>
  </w:style>
  <w:style w:type="paragraph" w:customStyle="1" w:styleId="837">
    <w:name w:val="样式 样式 正文首行缩进 + 首行缩进:  1 字符 + 宋体"/>
    <w:basedOn w:val="1"/>
    <w:link w:val="838"/>
    <w:qFormat/>
    <w:uiPriority w:val="0"/>
    <w:pPr>
      <w:spacing w:line="460" w:lineRule="exact"/>
      <w:ind w:firstLine="480" w:firstLineChars="200"/>
      <w:jc w:val="left"/>
    </w:pPr>
    <w:rPr>
      <w:rFonts w:ascii="宋体" w:hAnsi="宋体"/>
      <w:color w:val="0000FF"/>
      <w:sz w:val="24"/>
      <w:szCs w:val="20"/>
    </w:rPr>
  </w:style>
  <w:style w:type="character" w:customStyle="1" w:styleId="838">
    <w:name w:val="样式 样式 正文首行缩进 + 首行缩进:  1 字符 + 宋体 Char"/>
    <w:link w:val="837"/>
    <w:qFormat/>
    <w:uiPriority w:val="0"/>
    <w:rPr>
      <w:rFonts w:ascii="宋体" w:hAnsi="宋体"/>
      <w:color w:val="0000FF"/>
      <w:kern w:val="2"/>
      <w:sz w:val="24"/>
    </w:rPr>
  </w:style>
  <w:style w:type="paragraph" w:customStyle="1" w:styleId="839">
    <w:name w:val="样式 !正文(alt+c) + 蓝色"/>
    <w:basedOn w:val="321"/>
    <w:link w:val="840"/>
    <w:qFormat/>
    <w:uiPriority w:val="0"/>
    <w:pPr>
      <w:spacing w:line="460" w:lineRule="exact"/>
      <w:ind w:firstLine="480"/>
    </w:pPr>
    <w:rPr>
      <w:rFonts w:ascii="宋体" w:hAnsi="宋体"/>
      <w:color w:val="0000FF"/>
      <w:kern w:val="2"/>
      <w:szCs w:val="24"/>
    </w:rPr>
  </w:style>
  <w:style w:type="character" w:customStyle="1" w:styleId="840">
    <w:name w:val="样式 !正文(alt+c) + 蓝色 Char"/>
    <w:link w:val="839"/>
    <w:qFormat/>
    <w:uiPriority w:val="0"/>
    <w:rPr>
      <w:rFonts w:ascii="宋体" w:hAnsi="宋体"/>
      <w:color w:val="0000FF"/>
      <w:kern w:val="2"/>
      <w:sz w:val="24"/>
      <w:szCs w:val="24"/>
    </w:rPr>
  </w:style>
  <w:style w:type="character" w:customStyle="1" w:styleId="841">
    <w:name w:val="123YJ Char Char1"/>
    <w:qFormat/>
    <w:uiPriority w:val="0"/>
    <w:rPr>
      <w:rFonts w:eastAsia="宋体"/>
      <w:kern w:val="2"/>
      <w:sz w:val="18"/>
      <w:szCs w:val="18"/>
      <w:lang w:val="en-US" w:eastAsia="zh-CN" w:bidi="ar-SA"/>
    </w:rPr>
  </w:style>
  <w:style w:type="character" w:customStyle="1" w:styleId="842">
    <w:name w:val="even Char1"/>
    <w:qFormat/>
    <w:uiPriority w:val="0"/>
    <w:rPr>
      <w:rFonts w:eastAsia="宋体"/>
      <w:kern w:val="2"/>
      <w:sz w:val="18"/>
      <w:szCs w:val="18"/>
      <w:lang w:val="en-US" w:eastAsia="zh-CN" w:bidi="ar-SA"/>
    </w:rPr>
  </w:style>
  <w:style w:type="paragraph" w:customStyle="1" w:styleId="843">
    <w:name w:val="样式 都福路表格 + 左"/>
    <w:basedOn w:val="1"/>
    <w:link w:val="844"/>
    <w:qFormat/>
    <w:uiPriority w:val="0"/>
    <w:pPr>
      <w:jc w:val="center"/>
    </w:pPr>
    <w:rPr>
      <w:rFonts w:ascii="宋体" w:hAnsi="宋体" w:cs="宋体"/>
      <w:color w:val="0000FF"/>
      <w:kern w:val="0"/>
      <w:szCs w:val="20"/>
    </w:rPr>
  </w:style>
  <w:style w:type="character" w:customStyle="1" w:styleId="844">
    <w:name w:val="样式 都福路表格 + 左 Char"/>
    <w:link w:val="843"/>
    <w:qFormat/>
    <w:uiPriority w:val="0"/>
    <w:rPr>
      <w:rFonts w:ascii="宋体" w:hAnsi="宋体" w:cs="宋体"/>
      <w:color w:val="0000FF"/>
      <w:sz w:val="21"/>
    </w:rPr>
  </w:style>
  <w:style w:type="paragraph" w:customStyle="1" w:styleId="845">
    <w:name w:val="正文，四宋"/>
    <w:basedOn w:val="1"/>
    <w:link w:val="846"/>
    <w:qFormat/>
    <w:uiPriority w:val="0"/>
    <w:pPr>
      <w:spacing w:line="460" w:lineRule="exact"/>
      <w:ind w:firstLine="567"/>
      <w:outlineLvl w:val="4"/>
    </w:pPr>
    <w:rPr>
      <w:sz w:val="28"/>
      <w:szCs w:val="20"/>
    </w:rPr>
  </w:style>
  <w:style w:type="character" w:customStyle="1" w:styleId="846">
    <w:name w:val="正文，四宋 Char"/>
    <w:link w:val="845"/>
    <w:qFormat/>
    <w:uiPriority w:val="0"/>
    <w:rPr>
      <w:kern w:val="2"/>
      <w:sz w:val="28"/>
    </w:rPr>
  </w:style>
  <w:style w:type="paragraph" w:customStyle="1" w:styleId="847">
    <w:name w:val="正文－other2"/>
    <w:basedOn w:val="1"/>
    <w:qFormat/>
    <w:uiPriority w:val="0"/>
    <w:pPr>
      <w:spacing w:line="400" w:lineRule="exact"/>
      <w:ind w:firstLine="480"/>
    </w:pPr>
    <w:rPr>
      <w:sz w:val="24"/>
      <w:szCs w:val="20"/>
    </w:rPr>
  </w:style>
  <w:style w:type="paragraph" w:customStyle="1" w:styleId="848">
    <w:name w:val="样式 表格文字 + 自动设置"/>
    <w:basedOn w:val="172"/>
    <w:link w:val="849"/>
    <w:qFormat/>
    <w:uiPriority w:val="0"/>
    <w:pPr>
      <w:widowControl/>
      <w:tabs>
        <w:tab w:val="left" w:pos="-24"/>
      </w:tabs>
      <w:adjustRightInd/>
      <w:snapToGrid/>
      <w:spacing w:line="0" w:lineRule="atLeast"/>
      <w:textAlignment w:val="baseline"/>
    </w:pPr>
    <w:rPr>
      <w:color w:val="0000FF"/>
      <w:kern w:val="0"/>
      <w:sz w:val="21"/>
      <w:szCs w:val="20"/>
      <w:u w:color="000000"/>
    </w:rPr>
  </w:style>
  <w:style w:type="character" w:customStyle="1" w:styleId="849">
    <w:name w:val="样式 表格文字 + 自动设置 Char"/>
    <w:link w:val="848"/>
    <w:qFormat/>
    <w:uiPriority w:val="0"/>
    <w:rPr>
      <w:color w:val="0000FF"/>
      <w:sz w:val="21"/>
      <w:u w:color="000000"/>
    </w:rPr>
  </w:style>
  <w:style w:type="paragraph" w:customStyle="1" w:styleId="850">
    <w:name w:val="Char3 Char Char Char Char Char Char Char Char Char1 Char Char Char"/>
    <w:basedOn w:val="1"/>
    <w:semiHidden/>
    <w:qFormat/>
    <w:uiPriority w:val="0"/>
    <w:pPr>
      <w:spacing w:line="360" w:lineRule="auto"/>
      <w:ind w:firstLine="480" w:firstLineChars="200"/>
    </w:pPr>
    <w:rPr>
      <w:rFonts w:ascii="仿宋_GB2312"/>
      <w:b/>
      <w:szCs w:val="32"/>
    </w:rPr>
  </w:style>
  <w:style w:type="paragraph" w:customStyle="1" w:styleId="851">
    <w:name w:val="表格字体"/>
    <w:basedOn w:val="1"/>
    <w:qFormat/>
    <w:uiPriority w:val="0"/>
    <w:pPr>
      <w:widowControl/>
      <w:adjustRightInd w:val="0"/>
      <w:snapToGrid w:val="0"/>
      <w:spacing w:before="24" w:after="24"/>
      <w:jc w:val="center"/>
    </w:pPr>
    <w:rPr>
      <w:rFonts w:ascii="宋体" w:hAnsi="宋体" w:cs="Arial Unicode MS"/>
      <w:kern w:val="0"/>
      <w:sz w:val="24"/>
      <w:szCs w:val="18"/>
    </w:rPr>
  </w:style>
  <w:style w:type="paragraph" w:customStyle="1" w:styleId="852">
    <w:name w:val="样式8表号"/>
    <w:next w:val="1"/>
    <w:qFormat/>
    <w:uiPriority w:val="0"/>
    <w:pPr>
      <w:spacing w:line="360" w:lineRule="auto"/>
      <w:ind w:firstLine="510"/>
      <w:jc w:val="both"/>
    </w:pPr>
    <w:rPr>
      <w:rFonts w:ascii="Times New Roman" w:hAnsi="Times New Roman" w:eastAsia="宋体" w:cs="Times New Roman"/>
      <w:lang w:val="en-US" w:eastAsia="zh-CN" w:bidi="ar-SA"/>
    </w:rPr>
  </w:style>
  <w:style w:type="paragraph" w:customStyle="1" w:styleId="853">
    <w:name w:val="正文文本缩进 311"/>
    <w:basedOn w:val="1"/>
    <w:qFormat/>
    <w:uiPriority w:val="0"/>
    <w:pPr>
      <w:widowControl/>
      <w:spacing w:line="360" w:lineRule="auto"/>
      <w:ind w:firstLine="570"/>
      <w:jc w:val="left"/>
    </w:pPr>
    <w:rPr>
      <w:rFonts w:ascii="宋体" w:hAnsi="宋体" w:eastAsia="Times New Roman"/>
      <w:kern w:val="0"/>
      <w:sz w:val="24"/>
    </w:rPr>
  </w:style>
  <w:style w:type="paragraph" w:customStyle="1" w:styleId="854">
    <w:name w:val="样式  + 行距: 固定值 26 磅"/>
    <w:basedOn w:val="1"/>
    <w:qFormat/>
    <w:uiPriority w:val="0"/>
    <w:pPr>
      <w:spacing w:line="560" w:lineRule="exact"/>
      <w:ind w:firstLine="560" w:firstLineChars="200"/>
    </w:pPr>
    <w:rPr>
      <w:rFonts w:eastAsia="仿宋_GB2312" w:cs="宋体"/>
      <w:sz w:val="28"/>
      <w:szCs w:val="20"/>
    </w:rPr>
  </w:style>
  <w:style w:type="paragraph" w:customStyle="1" w:styleId="855">
    <w:name w:val="样式 表格名称 + 蓝色"/>
    <w:basedOn w:val="1"/>
    <w:qFormat/>
    <w:uiPriority w:val="0"/>
    <w:pPr>
      <w:tabs>
        <w:tab w:val="left" w:pos="-24"/>
      </w:tabs>
      <w:snapToGrid w:val="0"/>
      <w:spacing w:line="500" w:lineRule="exact"/>
      <w:jc w:val="center"/>
      <w:textAlignment w:val="baseline"/>
      <w:outlineLvl w:val="4"/>
    </w:pPr>
    <w:rPr>
      <w:rFonts w:ascii="宋体" w:hAnsi="宋体"/>
      <w:b/>
      <w:bCs/>
      <w:color w:val="0000FF"/>
      <w:kern w:val="0"/>
      <w:sz w:val="24"/>
      <w:szCs w:val="20"/>
      <w:u w:color="000000"/>
    </w:rPr>
  </w:style>
  <w:style w:type="paragraph" w:customStyle="1" w:styleId="856">
    <w:name w:val="xl55"/>
    <w:basedOn w:val="1"/>
    <w:qFormat/>
    <w:uiPriority w:val="0"/>
    <w:pPr>
      <w:widowControl/>
      <w:pBdr>
        <w:top w:val="single" w:color="auto" w:sz="4" w:space="0"/>
        <w:left w:val="single" w:color="auto" w:sz="4" w:space="0"/>
        <w:bottom w:val="single" w:color="auto" w:sz="4" w:space="0"/>
        <w:right w:val="single" w:color="auto" w:sz="8" w:space="0"/>
      </w:pBdr>
      <w:shd w:val="clear" w:color="auto" w:fill="CCFFFF"/>
      <w:spacing w:before="100" w:beforeAutospacing="1" w:after="100" w:afterAutospacing="1"/>
      <w:jc w:val="left"/>
      <w:textAlignment w:val="center"/>
    </w:pPr>
    <w:rPr>
      <w:rFonts w:ascii="宋体" w:hAnsi="宋体" w:cs="宋体"/>
      <w:kern w:val="0"/>
      <w:szCs w:val="21"/>
    </w:rPr>
  </w:style>
  <w:style w:type="paragraph" w:customStyle="1" w:styleId="857">
    <w:name w:val="xl56"/>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jc w:val="left"/>
      <w:textAlignment w:val="center"/>
    </w:pPr>
    <w:rPr>
      <w:kern w:val="0"/>
      <w:szCs w:val="21"/>
    </w:rPr>
  </w:style>
  <w:style w:type="paragraph" w:customStyle="1" w:styleId="858">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Cs w:val="21"/>
    </w:rPr>
  </w:style>
  <w:style w:type="paragraph" w:customStyle="1" w:styleId="859">
    <w:name w:val="xl58"/>
    <w:basedOn w:val="1"/>
    <w:qFormat/>
    <w:uiPriority w:val="0"/>
    <w:pPr>
      <w:widowControl/>
      <w:pBdr>
        <w:top w:val="single" w:color="auto" w:sz="4" w:space="0"/>
        <w:left w:val="single" w:color="auto" w:sz="8" w:space="0"/>
      </w:pBdr>
      <w:spacing w:before="100" w:beforeAutospacing="1" w:after="100" w:afterAutospacing="1"/>
      <w:jc w:val="center"/>
      <w:textAlignment w:val="center"/>
    </w:pPr>
    <w:rPr>
      <w:rFonts w:ascii="宋体" w:hAnsi="宋体" w:cs="宋体"/>
      <w:kern w:val="0"/>
      <w:szCs w:val="21"/>
    </w:rPr>
  </w:style>
  <w:style w:type="paragraph" w:customStyle="1" w:styleId="860">
    <w:name w:val="xl59"/>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cs="宋体"/>
      <w:kern w:val="0"/>
      <w:szCs w:val="21"/>
    </w:rPr>
  </w:style>
  <w:style w:type="paragraph" w:customStyle="1" w:styleId="861">
    <w:name w:val="xl60"/>
    <w:basedOn w:val="1"/>
    <w:qFormat/>
    <w:uiPriority w:val="0"/>
    <w:pPr>
      <w:widowControl/>
      <w:pBdr>
        <w:left w:val="single" w:color="auto" w:sz="8" w:space="0"/>
        <w:bottom w:val="single" w:color="auto" w:sz="4" w:space="0"/>
      </w:pBdr>
      <w:spacing w:before="100" w:beforeAutospacing="1" w:after="100" w:afterAutospacing="1"/>
      <w:jc w:val="center"/>
      <w:textAlignment w:val="center"/>
    </w:pPr>
    <w:rPr>
      <w:rFonts w:ascii="宋体" w:hAnsi="宋体" w:cs="宋体"/>
      <w:kern w:val="0"/>
      <w:szCs w:val="21"/>
    </w:rPr>
  </w:style>
  <w:style w:type="paragraph" w:customStyle="1" w:styleId="862">
    <w:name w:val="xl61"/>
    <w:basedOn w:val="1"/>
    <w:qFormat/>
    <w:uiPriority w:val="0"/>
    <w:pPr>
      <w:widowControl/>
      <w:pBdr>
        <w:bottom w:val="single" w:color="auto" w:sz="4" w:space="0"/>
      </w:pBdr>
      <w:spacing w:before="100" w:beforeAutospacing="1" w:after="100" w:afterAutospacing="1"/>
      <w:jc w:val="center"/>
      <w:textAlignment w:val="center"/>
    </w:pPr>
    <w:rPr>
      <w:rFonts w:ascii="宋体" w:hAnsi="宋体" w:cs="宋体"/>
      <w:kern w:val="0"/>
      <w:szCs w:val="21"/>
    </w:rPr>
  </w:style>
  <w:style w:type="paragraph" w:customStyle="1" w:styleId="863">
    <w:name w:val="xl62"/>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Cs w:val="21"/>
    </w:rPr>
  </w:style>
  <w:style w:type="paragraph" w:customStyle="1" w:styleId="864">
    <w:name w:val="xl63"/>
    <w:basedOn w:val="1"/>
    <w:qFormat/>
    <w:uiPriority w:val="0"/>
    <w:pPr>
      <w:widowControl/>
      <w:pBdr>
        <w:top w:val="single" w:color="auto" w:sz="4" w:space="0"/>
        <w:left w:val="single" w:color="auto" w:sz="4" w:space="0"/>
        <w:bottom w:val="single" w:color="auto" w:sz="8" w:space="0"/>
        <w:right w:val="single" w:color="auto" w:sz="4" w:space="0"/>
      </w:pBdr>
      <w:shd w:val="clear" w:color="auto" w:fill="CCFFFF"/>
      <w:spacing w:before="100" w:beforeAutospacing="1" w:after="100" w:afterAutospacing="1"/>
      <w:jc w:val="center"/>
      <w:textAlignment w:val="center"/>
    </w:pPr>
    <w:rPr>
      <w:kern w:val="0"/>
      <w:szCs w:val="21"/>
    </w:rPr>
  </w:style>
  <w:style w:type="paragraph" w:customStyle="1" w:styleId="865">
    <w:name w:val="xl64"/>
    <w:basedOn w:val="1"/>
    <w:qFormat/>
    <w:uiPriority w:val="0"/>
    <w:pPr>
      <w:widowControl/>
      <w:pBdr>
        <w:top w:val="single" w:color="auto" w:sz="4" w:space="0"/>
        <w:left w:val="single" w:color="auto" w:sz="4" w:space="0"/>
        <w:bottom w:val="single" w:color="auto" w:sz="8" w:space="0"/>
        <w:right w:val="single" w:color="auto" w:sz="8" w:space="0"/>
      </w:pBdr>
      <w:shd w:val="clear" w:color="auto" w:fill="CCFFFF"/>
      <w:spacing w:before="100" w:beforeAutospacing="1" w:after="100" w:afterAutospacing="1"/>
      <w:jc w:val="center"/>
      <w:textAlignment w:val="center"/>
    </w:pPr>
    <w:rPr>
      <w:kern w:val="0"/>
      <w:szCs w:val="21"/>
    </w:rPr>
  </w:style>
  <w:style w:type="paragraph" w:customStyle="1" w:styleId="866">
    <w:name w:val="样式 (符号) 宋体 小四 红色 左 行距: 固定值 25 磅"/>
    <w:basedOn w:val="1"/>
    <w:qFormat/>
    <w:uiPriority w:val="0"/>
    <w:pPr>
      <w:spacing w:line="460" w:lineRule="exact"/>
      <w:ind w:firstLine="200" w:firstLineChars="200"/>
      <w:jc w:val="left"/>
    </w:pPr>
    <w:rPr>
      <w:rFonts w:hAnsi="宋体" w:cs="宋体"/>
      <w:color w:val="FF0000"/>
      <w:kern w:val="0"/>
      <w:sz w:val="24"/>
      <w:szCs w:val="20"/>
    </w:rPr>
  </w:style>
  <w:style w:type="character" w:customStyle="1" w:styleId="867">
    <w:name w:val="表格标题 Char2"/>
    <w:qFormat/>
    <w:uiPriority w:val="0"/>
    <w:rPr>
      <w:rFonts w:ascii="黑体" w:eastAsia="黑体"/>
      <w:b/>
      <w:color w:val="000000"/>
      <w:sz w:val="28"/>
      <w:lang w:val="en-US" w:eastAsia="zh-CN" w:bidi="ar-SA"/>
    </w:rPr>
  </w:style>
  <w:style w:type="character" w:customStyle="1" w:styleId="868">
    <w:name w:val="Char Char28"/>
    <w:qFormat/>
    <w:uiPriority w:val="0"/>
    <w:rPr>
      <w:rFonts w:eastAsia="宋体"/>
      <w:sz w:val="24"/>
      <w:szCs w:val="24"/>
      <w:lang w:bidi="ar-SA"/>
    </w:rPr>
  </w:style>
  <w:style w:type="paragraph" w:customStyle="1" w:styleId="869">
    <w:name w:val="reader-word-layer reader-word-s31-7"/>
    <w:basedOn w:val="1"/>
    <w:qFormat/>
    <w:uiPriority w:val="0"/>
    <w:pPr>
      <w:widowControl/>
      <w:spacing w:before="100" w:beforeAutospacing="1" w:after="100" w:afterAutospacing="1"/>
      <w:jc w:val="left"/>
    </w:pPr>
    <w:rPr>
      <w:rFonts w:ascii="宋体" w:hAnsi="宋体" w:cs="宋体"/>
      <w:kern w:val="0"/>
      <w:sz w:val="24"/>
    </w:rPr>
  </w:style>
  <w:style w:type="paragraph" w:customStyle="1" w:styleId="870">
    <w:name w:val="reader-word-layer reader-word-s31-0"/>
    <w:basedOn w:val="1"/>
    <w:qFormat/>
    <w:uiPriority w:val="0"/>
    <w:pPr>
      <w:widowControl/>
      <w:spacing w:before="100" w:beforeAutospacing="1" w:after="100" w:afterAutospacing="1"/>
      <w:jc w:val="left"/>
    </w:pPr>
    <w:rPr>
      <w:rFonts w:ascii="宋体" w:hAnsi="宋体" w:cs="宋体"/>
      <w:kern w:val="0"/>
      <w:sz w:val="24"/>
    </w:rPr>
  </w:style>
  <w:style w:type="paragraph" w:customStyle="1" w:styleId="871">
    <w:name w:val="reader-word-layer reader-word-s31-8"/>
    <w:basedOn w:val="1"/>
    <w:qFormat/>
    <w:uiPriority w:val="0"/>
    <w:pPr>
      <w:widowControl/>
      <w:spacing w:before="100" w:beforeAutospacing="1" w:after="100" w:afterAutospacing="1"/>
      <w:jc w:val="left"/>
    </w:pPr>
    <w:rPr>
      <w:rFonts w:ascii="宋体" w:hAnsi="宋体" w:cs="宋体"/>
      <w:kern w:val="0"/>
      <w:sz w:val="24"/>
    </w:rPr>
  </w:style>
  <w:style w:type="paragraph" w:customStyle="1" w:styleId="872">
    <w:name w:val="reader-word-layer reader-word-s34-1"/>
    <w:basedOn w:val="1"/>
    <w:qFormat/>
    <w:uiPriority w:val="0"/>
    <w:pPr>
      <w:widowControl/>
      <w:spacing w:before="100" w:beforeAutospacing="1" w:after="100" w:afterAutospacing="1"/>
      <w:jc w:val="left"/>
    </w:pPr>
    <w:rPr>
      <w:rFonts w:ascii="宋体" w:hAnsi="宋体" w:cs="宋体"/>
      <w:kern w:val="0"/>
      <w:sz w:val="24"/>
    </w:rPr>
  </w:style>
  <w:style w:type="paragraph" w:customStyle="1" w:styleId="873">
    <w:name w:val="reader-word-layer reader-word-s34-6"/>
    <w:basedOn w:val="1"/>
    <w:qFormat/>
    <w:uiPriority w:val="0"/>
    <w:pPr>
      <w:widowControl/>
      <w:spacing w:before="100" w:beforeAutospacing="1" w:after="100" w:afterAutospacing="1"/>
      <w:jc w:val="left"/>
    </w:pPr>
    <w:rPr>
      <w:rFonts w:ascii="宋体" w:hAnsi="宋体" w:cs="宋体"/>
      <w:kern w:val="0"/>
      <w:sz w:val="24"/>
    </w:rPr>
  </w:style>
  <w:style w:type="paragraph" w:customStyle="1" w:styleId="874">
    <w:name w:val="reader-word-layer reader-word-s34-7"/>
    <w:basedOn w:val="1"/>
    <w:qFormat/>
    <w:uiPriority w:val="0"/>
    <w:pPr>
      <w:widowControl/>
      <w:spacing w:before="100" w:beforeAutospacing="1" w:after="100" w:afterAutospacing="1"/>
      <w:jc w:val="left"/>
    </w:pPr>
    <w:rPr>
      <w:rFonts w:ascii="宋体" w:hAnsi="宋体" w:cs="宋体"/>
      <w:kern w:val="0"/>
      <w:sz w:val="24"/>
    </w:rPr>
  </w:style>
  <w:style w:type="paragraph" w:customStyle="1" w:styleId="875">
    <w:name w:val="reader-word-layer reader-word-s34-3"/>
    <w:basedOn w:val="1"/>
    <w:qFormat/>
    <w:uiPriority w:val="0"/>
    <w:pPr>
      <w:widowControl/>
      <w:spacing w:before="100" w:beforeAutospacing="1" w:after="100" w:afterAutospacing="1"/>
      <w:jc w:val="left"/>
    </w:pPr>
    <w:rPr>
      <w:rFonts w:ascii="宋体" w:hAnsi="宋体" w:cs="宋体"/>
      <w:kern w:val="0"/>
      <w:sz w:val="24"/>
    </w:rPr>
  </w:style>
  <w:style w:type="paragraph" w:customStyle="1" w:styleId="876">
    <w:name w:val="reader-word-layer reader-word-s34-5"/>
    <w:basedOn w:val="1"/>
    <w:qFormat/>
    <w:uiPriority w:val="0"/>
    <w:pPr>
      <w:widowControl/>
      <w:spacing w:before="100" w:beforeAutospacing="1" w:after="100" w:afterAutospacing="1"/>
      <w:jc w:val="left"/>
    </w:pPr>
    <w:rPr>
      <w:rFonts w:ascii="宋体" w:hAnsi="宋体" w:cs="宋体"/>
      <w:kern w:val="0"/>
      <w:sz w:val="24"/>
    </w:rPr>
  </w:style>
  <w:style w:type="paragraph" w:customStyle="1" w:styleId="877">
    <w:name w:val="reader-word-layer reader-word-s33-1"/>
    <w:basedOn w:val="1"/>
    <w:qFormat/>
    <w:uiPriority w:val="0"/>
    <w:pPr>
      <w:widowControl/>
      <w:spacing w:before="100" w:beforeAutospacing="1" w:after="100" w:afterAutospacing="1"/>
      <w:jc w:val="left"/>
    </w:pPr>
    <w:rPr>
      <w:rFonts w:ascii="宋体" w:hAnsi="宋体" w:cs="宋体"/>
      <w:kern w:val="0"/>
      <w:sz w:val="24"/>
    </w:rPr>
  </w:style>
  <w:style w:type="paragraph" w:customStyle="1" w:styleId="878">
    <w:name w:val="reader-word-layer reader-word-s33-3"/>
    <w:basedOn w:val="1"/>
    <w:qFormat/>
    <w:uiPriority w:val="0"/>
    <w:pPr>
      <w:widowControl/>
      <w:spacing w:before="100" w:beforeAutospacing="1" w:after="100" w:afterAutospacing="1"/>
      <w:jc w:val="left"/>
    </w:pPr>
    <w:rPr>
      <w:rFonts w:ascii="宋体" w:hAnsi="宋体" w:cs="宋体"/>
      <w:kern w:val="0"/>
      <w:sz w:val="24"/>
    </w:rPr>
  </w:style>
  <w:style w:type="paragraph" w:customStyle="1" w:styleId="879">
    <w:name w:val="reader-word-layer reader-word-s33-7"/>
    <w:basedOn w:val="1"/>
    <w:qFormat/>
    <w:uiPriority w:val="0"/>
    <w:pPr>
      <w:widowControl/>
      <w:spacing w:before="100" w:beforeAutospacing="1" w:after="100" w:afterAutospacing="1"/>
      <w:jc w:val="left"/>
    </w:pPr>
    <w:rPr>
      <w:rFonts w:ascii="宋体" w:hAnsi="宋体" w:cs="宋体"/>
      <w:kern w:val="0"/>
      <w:sz w:val="24"/>
    </w:rPr>
  </w:style>
  <w:style w:type="paragraph" w:customStyle="1" w:styleId="880">
    <w:name w:val="reader-word-layer reader-word-s33-9"/>
    <w:basedOn w:val="1"/>
    <w:qFormat/>
    <w:uiPriority w:val="0"/>
    <w:pPr>
      <w:widowControl/>
      <w:spacing w:before="100" w:beforeAutospacing="1" w:after="100" w:afterAutospacing="1"/>
      <w:jc w:val="left"/>
    </w:pPr>
    <w:rPr>
      <w:rFonts w:ascii="宋体" w:hAnsi="宋体" w:cs="宋体"/>
      <w:kern w:val="0"/>
      <w:sz w:val="24"/>
    </w:rPr>
  </w:style>
  <w:style w:type="paragraph" w:customStyle="1" w:styleId="881">
    <w:name w:val="reader-word-layer reader-word-s34-11"/>
    <w:basedOn w:val="1"/>
    <w:qFormat/>
    <w:uiPriority w:val="0"/>
    <w:pPr>
      <w:widowControl/>
      <w:spacing w:before="100" w:beforeAutospacing="1" w:after="100" w:afterAutospacing="1"/>
      <w:jc w:val="left"/>
    </w:pPr>
    <w:rPr>
      <w:rFonts w:ascii="宋体" w:hAnsi="宋体" w:cs="宋体"/>
      <w:kern w:val="0"/>
      <w:sz w:val="24"/>
    </w:rPr>
  </w:style>
  <w:style w:type="character" w:customStyle="1" w:styleId="882">
    <w:name w:val="z-窗体顶端 Char"/>
    <w:link w:val="883"/>
    <w:qFormat/>
    <w:uiPriority w:val="0"/>
    <w:rPr>
      <w:rFonts w:ascii="Arial" w:hAnsi="Arial"/>
      <w:vanish/>
      <w:sz w:val="16"/>
      <w:szCs w:val="16"/>
    </w:rPr>
  </w:style>
  <w:style w:type="paragraph" w:customStyle="1" w:styleId="883">
    <w:name w:val="z-窗体顶端111"/>
    <w:basedOn w:val="1"/>
    <w:next w:val="1"/>
    <w:link w:val="882"/>
    <w:qFormat/>
    <w:uiPriority w:val="0"/>
    <w:pPr>
      <w:widowControl/>
      <w:pBdr>
        <w:bottom w:val="single" w:color="auto" w:sz="6" w:space="1"/>
      </w:pBdr>
      <w:jc w:val="center"/>
    </w:pPr>
    <w:rPr>
      <w:rFonts w:ascii="Arial" w:hAnsi="Arial"/>
      <w:vanish/>
      <w:kern w:val="0"/>
      <w:sz w:val="16"/>
      <w:szCs w:val="16"/>
    </w:rPr>
  </w:style>
  <w:style w:type="character" w:customStyle="1" w:styleId="884">
    <w:name w:val="报告书正文 Char"/>
    <w:qFormat/>
    <w:uiPriority w:val="0"/>
    <w:rPr>
      <w:rFonts w:eastAsia="宋体"/>
      <w:sz w:val="26"/>
      <w:szCs w:val="26"/>
      <w:lang w:val="en-US" w:eastAsia="zh-CN" w:bidi="ar-SA"/>
    </w:rPr>
  </w:style>
  <w:style w:type="paragraph" w:customStyle="1" w:styleId="885">
    <w:name w:val="font14"/>
    <w:basedOn w:val="1"/>
    <w:qFormat/>
    <w:uiPriority w:val="0"/>
    <w:pPr>
      <w:widowControl/>
      <w:spacing w:before="100" w:beforeAutospacing="1" w:after="100" w:afterAutospacing="1"/>
      <w:jc w:val="left"/>
    </w:pPr>
    <w:rPr>
      <w:rFonts w:ascii="宋体" w:hAnsi="宋体" w:cs="宋体"/>
      <w:kern w:val="0"/>
      <w:szCs w:val="21"/>
    </w:rPr>
  </w:style>
  <w:style w:type="paragraph" w:customStyle="1" w:styleId="886">
    <w:name w:val="xl120"/>
    <w:basedOn w:val="1"/>
    <w:qFormat/>
    <w:uiPriority w:val="0"/>
    <w:pPr>
      <w:widowControl/>
      <w:pBdr>
        <w:left w:val="single" w:color="auto" w:sz="8" w:space="0"/>
        <w:bottom w:val="single" w:color="auto" w:sz="4" w:space="0"/>
      </w:pBdr>
      <w:shd w:val="clear" w:color="000000" w:fill="92D050"/>
      <w:spacing w:before="100" w:beforeAutospacing="1" w:after="100" w:afterAutospacing="1"/>
      <w:jc w:val="center"/>
      <w:textAlignment w:val="center"/>
    </w:pPr>
    <w:rPr>
      <w:rFonts w:ascii="宋体" w:hAnsi="宋体" w:cs="宋体"/>
      <w:kern w:val="0"/>
      <w:szCs w:val="21"/>
    </w:rPr>
  </w:style>
  <w:style w:type="paragraph" w:customStyle="1" w:styleId="887">
    <w:name w:val="xl121"/>
    <w:basedOn w:val="1"/>
    <w:qFormat/>
    <w:uiPriority w:val="0"/>
    <w:pPr>
      <w:widowControl/>
      <w:pBdr>
        <w:bottom w:val="single" w:color="auto" w:sz="4" w:space="0"/>
      </w:pBdr>
      <w:shd w:val="clear" w:color="000000" w:fill="92D050"/>
      <w:spacing w:before="100" w:beforeAutospacing="1" w:after="100" w:afterAutospacing="1"/>
      <w:jc w:val="center"/>
      <w:textAlignment w:val="center"/>
    </w:pPr>
    <w:rPr>
      <w:rFonts w:ascii="宋体" w:hAnsi="宋体" w:cs="宋体"/>
      <w:kern w:val="0"/>
      <w:szCs w:val="21"/>
    </w:rPr>
  </w:style>
  <w:style w:type="paragraph" w:customStyle="1" w:styleId="888">
    <w:name w:val="xl122"/>
    <w:basedOn w:val="1"/>
    <w:qFormat/>
    <w:uiPriority w:val="0"/>
    <w:pPr>
      <w:widowControl/>
      <w:pBdr>
        <w:bottom w:val="single" w:color="auto" w:sz="4" w:space="0"/>
        <w:right w:val="single" w:color="auto" w:sz="4" w:space="0"/>
      </w:pBdr>
      <w:shd w:val="clear" w:color="000000" w:fill="92D050"/>
      <w:spacing w:before="100" w:beforeAutospacing="1" w:after="100" w:afterAutospacing="1"/>
      <w:jc w:val="center"/>
      <w:textAlignment w:val="center"/>
    </w:pPr>
    <w:rPr>
      <w:rFonts w:ascii="宋体" w:hAnsi="宋体" w:cs="宋体"/>
      <w:kern w:val="0"/>
      <w:szCs w:val="21"/>
    </w:rPr>
  </w:style>
  <w:style w:type="paragraph" w:customStyle="1" w:styleId="889">
    <w:name w:val="p0"/>
    <w:basedOn w:val="1"/>
    <w:qFormat/>
    <w:uiPriority w:val="0"/>
    <w:pPr>
      <w:widowControl/>
    </w:pPr>
    <w:rPr>
      <w:kern w:val="0"/>
      <w:szCs w:val="21"/>
    </w:rPr>
  </w:style>
  <w:style w:type="paragraph" w:customStyle="1" w:styleId="890">
    <w:name w:val="一般正文"/>
    <w:basedOn w:val="1"/>
    <w:link w:val="891"/>
    <w:qFormat/>
    <w:uiPriority w:val="0"/>
    <w:pPr>
      <w:adjustRightInd w:val="0"/>
      <w:snapToGrid w:val="0"/>
      <w:spacing w:line="480" w:lineRule="exact"/>
      <w:ind w:firstLine="200" w:firstLineChars="200"/>
    </w:pPr>
    <w:rPr>
      <w:sz w:val="28"/>
      <w:szCs w:val="28"/>
    </w:rPr>
  </w:style>
  <w:style w:type="character" w:customStyle="1" w:styleId="891">
    <w:name w:val="一般正文 Char"/>
    <w:link w:val="890"/>
    <w:qFormat/>
    <w:uiPriority w:val="0"/>
    <w:rPr>
      <w:kern w:val="2"/>
      <w:sz w:val="28"/>
      <w:szCs w:val="28"/>
    </w:rPr>
  </w:style>
  <w:style w:type="paragraph" w:customStyle="1" w:styleId="892">
    <w:name w:val="标题 51"/>
    <w:basedOn w:val="1"/>
    <w:next w:val="1"/>
    <w:qFormat/>
    <w:uiPriority w:val="0"/>
    <w:pPr>
      <w:snapToGrid w:val="0"/>
      <w:jc w:val="center"/>
      <w:outlineLvl w:val="4"/>
    </w:pPr>
    <w:rPr>
      <w:rFonts w:hAnsi="黑体" w:eastAsia="黑体"/>
      <w:bCs/>
      <w:color w:val="FF0000"/>
      <w:kern w:val="0"/>
      <w:sz w:val="26"/>
      <w:szCs w:val="28"/>
    </w:rPr>
  </w:style>
  <w:style w:type="paragraph" w:customStyle="1" w:styleId="893">
    <w:name w:val="正文文本缩进1"/>
    <w:basedOn w:val="1"/>
    <w:link w:val="894"/>
    <w:qFormat/>
    <w:uiPriority w:val="0"/>
    <w:pPr>
      <w:spacing w:after="120"/>
      <w:ind w:left="420" w:leftChars="200"/>
    </w:pPr>
    <w:rPr>
      <w:kern w:val="0"/>
      <w:sz w:val="20"/>
    </w:rPr>
  </w:style>
  <w:style w:type="character" w:customStyle="1" w:styleId="894">
    <w:name w:val="正文文本缩进 Char"/>
    <w:basedOn w:val="97"/>
    <w:link w:val="893"/>
    <w:qFormat/>
    <w:uiPriority w:val="0"/>
    <w:rPr>
      <w:szCs w:val="24"/>
    </w:rPr>
  </w:style>
  <w:style w:type="character" w:customStyle="1" w:styleId="895">
    <w:name w:val="!表格标题（alt+h） Char Char Char Char"/>
    <w:link w:val="896"/>
    <w:qFormat/>
    <w:uiPriority w:val="0"/>
    <w:rPr>
      <w:rFonts w:hAnsi="宋体" w:eastAsia="黑体"/>
      <w:kern w:val="2"/>
      <w:sz w:val="24"/>
      <w:szCs w:val="24"/>
    </w:rPr>
  </w:style>
  <w:style w:type="paragraph" w:customStyle="1" w:styleId="896">
    <w:name w:val="!表格标题（alt+h） Char"/>
    <w:basedOn w:val="1"/>
    <w:next w:val="681"/>
    <w:link w:val="895"/>
    <w:uiPriority w:val="0"/>
    <w:pPr>
      <w:spacing w:before="156" w:beforeLines="50" w:after="78" w:afterLines="25" w:line="300" w:lineRule="auto"/>
      <w:jc w:val="center"/>
      <w:outlineLvl w:val="4"/>
    </w:pPr>
    <w:rPr>
      <w:rFonts w:hAnsi="宋体" w:eastAsia="黑体"/>
      <w:sz w:val="24"/>
    </w:rPr>
  </w:style>
  <w:style w:type="character" w:customStyle="1" w:styleId="897">
    <w:name w:val="批注文字 Char2"/>
    <w:qFormat/>
    <w:locked/>
    <w:uiPriority w:val="0"/>
    <w:rPr>
      <w:kern w:val="2"/>
      <w:sz w:val="21"/>
      <w:szCs w:val="24"/>
      <w:lang w:bidi="ar-SA"/>
    </w:rPr>
  </w:style>
  <w:style w:type="character" w:customStyle="1" w:styleId="898">
    <w:name w:val="正文文本 Char2"/>
    <w:semiHidden/>
    <w:qFormat/>
    <w:locked/>
    <w:uiPriority w:val="0"/>
    <w:rPr>
      <w:kern w:val="2"/>
      <w:sz w:val="21"/>
      <w:szCs w:val="24"/>
      <w:lang w:bidi="ar-SA"/>
    </w:rPr>
  </w:style>
  <w:style w:type="character" w:customStyle="1" w:styleId="899">
    <w:name w:val="正文文本缩进 Char2"/>
    <w:semiHidden/>
    <w:qFormat/>
    <w:locked/>
    <w:uiPriority w:val="0"/>
    <w:rPr>
      <w:rFonts w:ascii="宋体" w:hAnsi="宋体" w:eastAsia="宋体"/>
      <w:sz w:val="28"/>
      <w:szCs w:val="24"/>
      <w:lang w:bidi="ar-SA"/>
    </w:rPr>
  </w:style>
  <w:style w:type="character" w:customStyle="1" w:styleId="900">
    <w:name w:val="副标题 Char1"/>
    <w:qFormat/>
    <w:locked/>
    <w:uiPriority w:val="0"/>
    <w:rPr>
      <w:rFonts w:ascii="Cambria" w:hAnsi="Cambria" w:eastAsia="仿宋_GB2312"/>
      <w:bCs/>
      <w:kern w:val="28"/>
      <w:sz w:val="28"/>
      <w:szCs w:val="32"/>
      <w:lang w:bidi="ar-SA"/>
    </w:rPr>
  </w:style>
  <w:style w:type="character" w:customStyle="1" w:styleId="901">
    <w:name w:val="日期 Char2"/>
    <w:qFormat/>
    <w:locked/>
    <w:uiPriority w:val="0"/>
    <w:rPr>
      <w:kern w:val="2"/>
      <w:sz w:val="21"/>
      <w:szCs w:val="24"/>
      <w:lang w:bidi="ar-SA"/>
    </w:rPr>
  </w:style>
  <w:style w:type="character" w:customStyle="1" w:styleId="902">
    <w:name w:val="正文首行缩进 2 Char2"/>
    <w:qFormat/>
    <w:locked/>
    <w:uiPriority w:val="0"/>
    <w:rPr>
      <w:rFonts w:ascii="宋体" w:hAnsi="宋体" w:eastAsia="宋体"/>
      <w:kern w:val="2"/>
      <w:sz w:val="28"/>
      <w:szCs w:val="24"/>
      <w:lang w:bidi="ar-SA"/>
    </w:rPr>
  </w:style>
  <w:style w:type="character" w:customStyle="1" w:styleId="903">
    <w:name w:val="正文文本 2 Char1"/>
    <w:qFormat/>
    <w:locked/>
    <w:uiPriority w:val="0"/>
    <w:rPr>
      <w:rFonts w:ascii="宋体" w:hAnsi="宋体" w:eastAsia="宋体"/>
      <w:kern w:val="2"/>
      <w:sz w:val="21"/>
      <w:szCs w:val="21"/>
      <w:lang w:bidi="ar-SA"/>
    </w:rPr>
  </w:style>
  <w:style w:type="character" w:customStyle="1" w:styleId="904">
    <w:name w:val="正文文本缩进 3 Char1"/>
    <w:qFormat/>
    <w:locked/>
    <w:uiPriority w:val="0"/>
    <w:rPr>
      <w:rFonts w:ascii="宋体" w:hAnsi="宋体" w:eastAsia="宋体"/>
      <w:kern w:val="2"/>
      <w:sz w:val="16"/>
      <w:szCs w:val="16"/>
      <w:lang w:bidi="ar-SA"/>
    </w:rPr>
  </w:style>
  <w:style w:type="character" w:customStyle="1" w:styleId="905">
    <w:name w:val="文档结构图 Char1"/>
    <w:qFormat/>
    <w:locked/>
    <w:uiPriority w:val="0"/>
    <w:rPr>
      <w:kern w:val="2"/>
      <w:sz w:val="21"/>
      <w:szCs w:val="24"/>
      <w:shd w:val="clear" w:color="auto" w:fill="000080"/>
      <w:lang w:bidi="ar-SA"/>
    </w:rPr>
  </w:style>
  <w:style w:type="character" w:customStyle="1" w:styleId="906">
    <w:name w:val="批注框文本 Char1"/>
    <w:semiHidden/>
    <w:qFormat/>
    <w:locked/>
    <w:uiPriority w:val="0"/>
    <w:rPr>
      <w:kern w:val="2"/>
      <w:sz w:val="18"/>
      <w:szCs w:val="18"/>
      <w:lang w:bidi="ar-SA"/>
    </w:rPr>
  </w:style>
  <w:style w:type="paragraph" w:customStyle="1" w:styleId="907">
    <w:name w:val="msormpane"/>
    <w:semiHidden/>
    <w:qFormat/>
    <w:uiPriority w:val="0"/>
    <w:pPr>
      <w:spacing w:line="460" w:lineRule="exact"/>
      <w:jc w:val="center"/>
    </w:pPr>
    <w:rPr>
      <w:rFonts w:ascii="Times New Roman" w:hAnsi="Times New Roman" w:eastAsia="宋体" w:cs="Times New Roman"/>
      <w:kern w:val="2"/>
      <w:sz w:val="24"/>
      <w:szCs w:val="24"/>
      <w:lang w:val="en-US" w:eastAsia="zh-CN" w:bidi="ar-SA"/>
    </w:rPr>
  </w:style>
  <w:style w:type="paragraph" w:customStyle="1" w:styleId="908">
    <w:name w:val="msolistparagraph"/>
    <w:basedOn w:val="1"/>
    <w:semiHidden/>
    <w:qFormat/>
    <w:uiPriority w:val="0"/>
    <w:pPr>
      <w:spacing w:line="360" w:lineRule="auto"/>
      <w:ind w:left="720" w:firstLine="200" w:firstLineChars="200"/>
      <w:contextualSpacing/>
    </w:pPr>
    <w:rPr>
      <w:rFonts w:eastAsia="黑体"/>
      <w:sz w:val="28"/>
    </w:rPr>
  </w:style>
  <w:style w:type="paragraph" w:customStyle="1" w:styleId="909">
    <w:name w:val="msotocheading"/>
    <w:basedOn w:val="3"/>
    <w:next w:val="1"/>
    <w:semiHidden/>
    <w:qFormat/>
    <w:uiPriority w:val="0"/>
    <w:pPr>
      <w:keepNext/>
      <w:keepLines/>
      <w:adjustRightInd/>
      <w:snapToGrid/>
      <w:spacing w:before="480" w:line="276" w:lineRule="auto"/>
      <w:outlineLvl w:val="9"/>
    </w:pPr>
    <w:rPr>
      <w:rFonts w:ascii="Cambria" w:hAnsi="Cambria"/>
      <w:b w:val="0"/>
      <w:caps/>
      <w:color w:val="365F91"/>
      <w:kern w:val="0"/>
      <w:sz w:val="28"/>
      <w:szCs w:val="28"/>
    </w:rPr>
  </w:style>
  <w:style w:type="paragraph" w:customStyle="1" w:styleId="910">
    <w:name w:val="Char Char Char1 Char1"/>
    <w:basedOn w:val="1"/>
    <w:qFormat/>
    <w:uiPriority w:val="0"/>
    <w:pPr>
      <w:jc w:val="center"/>
    </w:pPr>
    <w:rPr>
      <w:rFonts w:ascii="宋体"/>
      <w:sz w:val="28"/>
      <w:szCs w:val="20"/>
    </w:rPr>
  </w:style>
  <w:style w:type="paragraph" w:customStyle="1" w:styleId="911">
    <w:name w:val="Char Char Char11"/>
    <w:basedOn w:val="1"/>
    <w:qFormat/>
    <w:uiPriority w:val="0"/>
    <w:pPr>
      <w:adjustRightInd w:val="0"/>
      <w:snapToGrid w:val="0"/>
      <w:spacing w:line="360" w:lineRule="auto"/>
      <w:ind w:firstLine="200" w:firstLineChars="200"/>
    </w:pPr>
    <w:rPr>
      <w:rFonts w:ascii="宋体" w:hAnsi="宋体" w:cs="宋体"/>
      <w:sz w:val="24"/>
      <w:szCs w:val="26"/>
    </w:rPr>
  </w:style>
  <w:style w:type="paragraph" w:customStyle="1" w:styleId="912">
    <w:name w:val="Char Char Char Char Char Char Char Char Char Char Char Char Char Char Char Char Char Char Char Char Char Char Char Char Char1"/>
    <w:basedOn w:val="1"/>
    <w:semiHidden/>
    <w:qFormat/>
    <w:uiPriority w:val="0"/>
    <w:pPr>
      <w:adjustRightInd w:val="0"/>
      <w:snapToGrid w:val="0"/>
      <w:spacing w:line="360" w:lineRule="auto"/>
      <w:ind w:firstLine="200" w:firstLineChars="200"/>
    </w:pPr>
    <w:rPr>
      <w:rFonts w:ascii="宋体" w:hAnsi="宋体" w:cs="宋体"/>
      <w:sz w:val="24"/>
      <w:szCs w:val="26"/>
    </w:rPr>
  </w:style>
  <w:style w:type="paragraph" w:customStyle="1" w:styleId="913">
    <w:name w:val="Char Char Char Char21"/>
    <w:basedOn w:val="1"/>
    <w:semiHidden/>
    <w:qFormat/>
    <w:uiPriority w:val="0"/>
    <w:pPr>
      <w:spacing w:line="360" w:lineRule="auto"/>
      <w:ind w:firstLine="200" w:firstLineChars="200"/>
    </w:pPr>
    <w:rPr>
      <w:rFonts w:ascii="宋体" w:hAnsi="宋体" w:cs="宋体"/>
      <w:sz w:val="24"/>
      <w:szCs w:val="26"/>
    </w:rPr>
  </w:style>
  <w:style w:type="paragraph" w:customStyle="1" w:styleId="914">
    <w:name w:val="Char Char Char Char11"/>
    <w:basedOn w:val="1"/>
    <w:semiHidden/>
    <w:qFormat/>
    <w:uiPriority w:val="0"/>
    <w:pPr>
      <w:spacing w:line="360" w:lineRule="auto"/>
      <w:ind w:firstLine="200" w:firstLineChars="200"/>
    </w:pPr>
    <w:rPr>
      <w:rFonts w:ascii="宋体" w:hAnsi="宋体" w:cs="宋体"/>
      <w:sz w:val="24"/>
    </w:rPr>
  </w:style>
  <w:style w:type="paragraph" w:customStyle="1" w:styleId="915">
    <w:name w:val="Char Char Char Char Char Char Char Char Char Char Char Char Char1"/>
    <w:basedOn w:val="1"/>
    <w:qFormat/>
    <w:uiPriority w:val="0"/>
    <w:pPr>
      <w:spacing w:beforeLines="50"/>
      <w:ind w:firstLine="200" w:firstLineChars="200"/>
    </w:pPr>
    <w:rPr>
      <w:rFonts w:ascii="宋体" w:hAnsi="宋体" w:cs="Courier New"/>
      <w:spacing w:val="-2"/>
      <w:sz w:val="22"/>
      <w:szCs w:val="32"/>
    </w:rPr>
  </w:style>
  <w:style w:type="paragraph" w:customStyle="1" w:styleId="916">
    <w:name w:val="Char Char3 Char Char Char Char1"/>
    <w:basedOn w:val="1"/>
    <w:link w:val="917"/>
    <w:qFormat/>
    <w:uiPriority w:val="0"/>
    <w:pPr>
      <w:widowControl/>
      <w:spacing w:after="160" w:line="240" w:lineRule="exact"/>
      <w:jc w:val="left"/>
    </w:pPr>
    <w:rPr>
      <w:rFonts w:ascii="Verdana" w:hAnsi="Verdana" w:eastAsia="仿宋_GB2312"/>
      <w:kern w:val="0"/>
      <w:sz w:val="30"/>
      <w:szCs w:val="30"/>
      <w:lang w:eastAsia="en-US"/>
    </w:rPr>
  </w:style>
  <w:style w:type="character" w:customStyle="1" w:styleId="917">
    <w:name w:val="Char Char3 Char Char Char Char Char Char1"/>
    <w:link w:val="916"/>
    <w:qFormat/>
    <w:uiPriority w:val="0"/>
    <w:rPr>
      <w:rFonts w:ascii="Verdana" w:hAnsi="Verdana" w:eastAsia="仿宋_GB2312"/>
      <w:sz w:val="30"/>
      <w:szCs w:val="30"/>
      <w:lang w:eastAsia="en-US"/>
    </w:rPr>
  </w:style>
  <w:style w:type="paragraph" w:customStyle="1" w:styleId="918">
    <w:name w:val="Char Char Char Char Char Char Char Char Char Char Char Char Char Char Char Char Char Char1 Char Char Char Char Char Char Char Char Char Char Char Char Char1"/>
    <w:basedOn w:val="1"/>
    <w:semiHidden/>
    <w:qFormat/>
    <w:uiPriority w:val="0"/>
    <w:pPr>
      <w:spacing w:line="360" w:lineRule="auto"/>
      <w:ind w:firstLine="200" w:firstLineChars="200"/>
    </w:pPr>
    <w:rPr>
      <w:rFonts w:ascii="Courier New" w:hAnsi="Courier New" w:cs="Courier New"/>
      <w:sz w:val="24"/>
    </w:rPr>
  </w:style>
  <w:style w:type="paragraph" w:customStyle="1" w:styleId="919">
    <w:name w:val="Char Char Char Char Char Char1 Char Char Char Char Char Char Char Char Char1 Char Char Char Char Char Char Char Char Char Char Char Char Char1"/>
    <w:basedOn w:val="1"/>
    <w:qFormat/>
    <w:uiPriority w:val="0"/>
    <w:pPr>
      <w:widowControl/>
      <w:jc w:val="left"/>
    </w:pPr>
    <w:rPr>
      <w:rFonts w:ascii="宋体" w:hAnsi="宋体" w:cs="宋体"/>
      <w:kern w:val="0"/>
      <w:sz w:val="24"/>
    </w:rPr>
  </w:style>
  <w:style w:type="paragraph" w:customStyle="1" w:styleId="920">
    <w:name w:val="Char Char Char Char Char Char4"/>
    <w:basedOn w:val="1"/>
    <w:qFormat/>
    <w:uiPriority w:val="0"/>
    <w:pPr>
      <w:spacing w:line="360" w:lineRule="auto"/>
      <w:ind w:firstLine="200" w:firstLineChars="200"/>
    </w:pPr>
    <w:rPr>
      <w:rFonts w:ascii="宋体" w:hAnsi="宋体" w:cs="宋体"/>
      <w:sz w:val="24"/>
    </w:rPr>
  </w:style>
  <w:style w:type="paragraph" w:customStyle="1" w:styleId="921">
    <w:name w:val="Char Char Char Char Char Char1 Char Char Char2"/>
    <w:basedOn w:val="1"/>
    <w:semiHidden/>
    <w:qFormat/>
    <w:uiPriority w:val="0"/>
    <w:pPr>
      <w:spacing w:line="360" w:lineRule="auto"/>
      <w:ind w:firstLine="200" w:firstLineChars="200"/>
    </w:pPr>
    <w:rPr>
      <w:rFonts w:ascii="宋体" w:hAnsi="宋体" w:cs="宋体"/>
      <w:sz w:val="24"/>
    </w:rPr>
  </w:style>
  <w:style w:type="paragraph" w:customStyle="1" w:styleId="922">
    <w:name w:val="Char Char Char Char Char Char11"/>
    <w:basedOn w:val="1"/>
    <w:semiHidden/>
    <w:qFormat/>
    <w:uiPriority w:val="0"/>
    <w:pPr>
      <w:spacing w:line="360" w:lineRule="auto"/>
      <w:ind w:firstLine="200" w:firstLineChars="200"/>
    </w:pPr>
    <w:rPr>
      <w:rFonts w:ascii="宋体" w:hAnsi="宋体" w:cs="宋体"/>
      <w:sz w:val="24"/>
    </w:rPr>
  </w:style>
  <w:style w:type="paragraph" w:customStyle="1" w:styleId="923">
    <w:name w:val="Char Char Char Char Char Char31"/>
    <w:basedOn w:val="1"/>
    <w:semiHidden/>
    <w:qFormat/>
    <w:uiPriority w:val="0"/>
    <w:pPr>
      <w:spacing w:line="360" w:lineRule="auto"/>
      <w:ind w:firstLine="200" w:firstLineChars="200"/>
    </w:pPr>
    <w:rPr>
      <w:rFonts w:ascii="宋体" w:hAnsi="宋体" w:cs="宋体"/>
      <w:sz w:val="24"/>
    </w:rPr>
  </w:style>
  <w:style w:type="paragraph" w:customStyle="1" w:styleId="924">
    <w:name w:val="Char Char Char Char Char Char3 Char Char Char1"/>
    <w:basedOn w:val="1"/>
    <w:semiHidden/>
    <w:qFormat/>
    <w:uiPriority w:val="0"/>
    <w:pPr>
      <w:spacing w:line="360" w:lineRule="auto"/>
      <w:ind w:firstLine="200" w:firstLineChars="200"/>
    </w:pPr>
    <w:rPr>
      <w:rFonts w:ascii="宋体" w:hAnsi="宋体" w:cs="宋体"/>
      <w:sz w:val="24"/>
    </w:rPr>
  </w:style>
  <w:style w:type="paragraph" w:customStyle="1" w:styleId="925">
    <w:name w:val="Char Char Char Char Char Char3 Char Char Char Char Char Char1"/>
    <w:basedOn w:val="1"/>
    <w:semiHidden/>
    <w:qFormat/>
    <w:uiPriority w:val="0"/>
    <w:pPr>
      <w:spacing w:line="360" w:lineRule="auto"/>
      <w:ind w:firstLine="200" w:firstLineChars="200"/>
    </w:pPr>
    <w:rPr>
      <w:rFonts w:ascii="宋体" w:hAnsi="宋体" w:cs="宋体"/>
      <w:sz w:val="24"/>
    </w:rPr>
  </w:style>
  <w:style w:type="paragraph" w:customStyle="1" w:styleId="926">
    <w:name w:val="Char Char Char Char Char Char1 Char Char Char11"/>
    <w:basedOn w:val="1"/>
    <w:semiHidden/>
    <w:qFormat/>
    <w:uiPriority w:val="0"/>
    <w:pPr>
      <w:spacing w:line="360" w:lineRule="auto"/>
      <w:ind w:firstLine="200" w:firstLineChars="200"/>
    </w:pPr>
    <w:rPr>
      <w:rFonts w:ascii="宋体" w:hAnsi="宋体" w:cs="宋体"/>
      <w:sz w:val="24"/>
    </w:rPr>
  </w:style>
  <w:style w:type="paragraph" w:customStyle="1" w:styleId="927">
    <w:name w:val="Char Char Char Char Char Char1 Char Char Char1 Char Char Char1"/>
    <w:basedOn w:val="1"/>
    <w:semiHidden/>
    <w:qFormat/>
    <w:uiPriority w:val="0"/>
    <w:pPr>
      <w:spacing w:line="360" w:lineRule="auto"/>
      <w:ind w:firstLine="200" w:firstLineChars="200"/>
    </w:pPr>
    <w:rPr>
      <w:rFonts w:ascii="宋体" w:hAnsi="宋体" w:cs="宋体"/>
      <w:sz w:val="24"/>
    </w:rPr>
  </w:style>
  <w:style w:type="paragraph" w:customStyle="1" w:styleId="928">
    <w:name w:val="Char Char Char Char Char Char21"/>
    <w:basedOn w:val="1"/>
    <w:semiHidden/>
    <w:qFormat/>
    <w:uiPriority w:val="0"/>
    <w:pPr>
      <w:spacing w:line="360" w:lineRule="auto"/>
      <w:ind w:firstLine="200" w:firstLineChars="200"/>
    </w:pPr>
    <w:rPr>
      <w:rFonts w:ascii="宋体" w:hAnsi="宋体" w:cs="宋体"/>
      <w:sz w:val="24"/>
    </w:rPr>
  </w:style>
  <w:style w:type="paragraph" w:customStyle="1" w:styleId="929">
    <w:name w:val="Char Char Char Char Char Char1 Char Char Char1 Char1"/>
    <w:basedOn w:val="1"/>
    <w:semiHidden/>
    <w:qFormat/>
    <w:uiPriority w:val="0"/>
    <w:pPr>
      <w:spacing w:line="360" w:lineRule="auto"/>
      <w:ind w:firstLine="200" w:firstLineChars="200"/>
    </w:pPr>
    <w:rPr>
      <w:rFonts w:ascii="宋体" w:hAnsi="宋体" w:cs="宋体"/>
      <w:sz w:val="24"/>
    </w:rPr>
  </w:style>
  <w:style w:type="paragraph" w:customStyle="1" w:styleId="930">
    <w:name w:val="Char Char Char Char Char Char1 Char Char Char1 Char Char Char Char Char Char1"/>
    <w:basedOn w:val="1"/>
    <w:semiHidden/>
    <w:qFormat/>
    <w:uiPriority w:val="0"/>
    <w:pPr>
      <w:spacing w:line="360" w:lineRule="auto"/>
      <w:ind w:firstLine="200" w:firstLineChars="200"/>
    </w:pPr>
    <w:rPr>
      <w:rFonts w:ascii="宋体" w:hAnsi="宋体" w:cs="宋体"/>
      <w:sz w:val="24"/>
    </w:rPr>
  </w:style>
  <w:style w:type="paragraph" w:customStyle="1" w:styleId="931">
    <w:name w:val="Char41"/>
    <w:basedOn w:val="1"/>
    <w:qFormat/>
    <w:uiPriority w:val="0"/>
    <w:pPr>
      <w:spacing w:line="360" w:lineRule="auto"/>
      <w:ind w:firstLine="200" w:firstLineChars="200"/>
    </w:pPr>
    <w:rPr>
      <w:rFonts w:ascii="宋体" w:hAnsi="宋体" w:cs="宋体"/>
      <w:sz w:val="24"/>
    </w:rPr>
  </w:style>
  <w:style w:type="paragraph" w:customStyle="1" w:styleId="932">
    <w:name w:val="Char3 Char Char Char Char Char Char Char Char Char1 Char Char Char1"/>
    <w:basedOn w:val="1"/>
    <w:semiHidden/>
    <w:qFormat/>
    <w:uiPriority w:val="0"/>
    <w:pPr>
      <w:spacing w:line="360" w:lineRule="auto"/>
      <w:ind w:firstLine="480" w:firstLineChars="200"/>
    </w:pPr>
    <w:rPr>
      <w:rFonts w:ascii="仿宋_GB2312"/>
      <w:b/>
      <w:szCs w:val="32"/>
    </w:rPr>
  </w:style>
  <w:style w:type="character" w:customStyle="1" w:styleId="933">
    <w:name w:val="msoplaceholdertext"/>
    <w:semiHidden/>
    <w:qFormat/>
    <w:uiPriority w:val="0"/>
    <w:rPr>
      <w:color w:val="808080"/>
    </w:rPr>
  </w:style>
  <w:style w:type="character" w:customStyle="1" w:styleId="934">
    <w:name w:val="msointensereference"/>
    <w:qFormat/>
    <w:uiPriority w:val="0"/>
    <w:rPr>
      <w:b/>
      <w:bCs/>
      <w:smallCaps/>
      <w:color w:val="C0504D"/>
      <w:spacing w:val="5"/>
      <w:u w:val="single"/>
    </w:rPr>
  </w:style>
  <w:style w:type="character" w:customStyle="1" w:styleId="935">
    <w:name w:val="正文首行缩进 Char1"/>
    <w:qFormat/>
    <w:uiPriority w:val="0"/>
    <w:rPr>
      <w:rFonts w:hint="default" w:ascii="Times New Roman" w:hAnsi="Times New Roman" w:eastAsia="宋体" w:cs="Times New Roman"/>
      <w:kern w:val="2"/>
      <w:sz w:val="21"/>
      <w:szCs w:val="24"/>
    </w:rPr>
  </w:style>
  <w:style w:type="character" w:customStyle="1" w:styleId="936">
    <w:name w:val="Char Char221"/>
    <w:qFormat/>
    <w:uiPriority w:val="0"/>
    <w:rPr>
      <w:rFonts w:hint="default" w:ascii="Times New Roman" w:hAnsi="Times New Roman" w:eastAsia="宋体" w:cs="Times New Roman"/>
      <w:b/>
      <w:bCs/>
      <w:kern w:val="44"/>
      <w:sz w:val="32"/>
      <w:szCs w:val="32"/>
    </w:rPr>
  </w:style>
  <w:style w:type="character" w:customStyle="1" w:styleId="937">
    <w:name w:val="Char2 Char Char Char1"/>
    <w:qFormat/>
    <w:uiPriority w:val="0"/>
    <w:rPr>
      <w:snapToGrid w:val="0"/>
      <w:kern w:val="2"/>
      <w:sz w:val="28"/>
      <w:szCs w:val="24"/>
    </w:rPr>
  </w:style>
  <w:style w:type="character" w:customStyle="1" w:styleId="938">
    <w:name w:val="Char Char181"/>
    <w:qFormat/>
    <w:uiPriority w:val="0"/>
    <w:rPr>
      <w:rFonts w:hint="default" w:ascii="Times New Roman" w:hAnsi="Times New Roman" w:eastAsia="宋体" w:cs="Times New Roman"/>
      <w:b/>
      <w:sz w:val="32"/>
      <w:szCs w:val="32"/>
      <w:shd w:val="clear" w:color="auto" w:fill="FFFFFF"/>
      <w:lang w:val="zh-CN"/>
    </w:rPr>
  </w:style>
  <w:style w:type="character" w:customStyle="1" w:styleId="939">
    <w:name w:val="Char Char281"/>
    <w:qFormat/>
    <w:uiPriority w:val="0"/>
    <w:rPr>
      <w:rFonts w:hint="eastAsia" w:ascii="宋体" w:hAnsi="宋体" w:eastAsia="宋体"/>
      <w:sz w:val="24"/>
      <w:szCs w:val="24"/>
      <w:lang w:bidi="ar-SA"/>
    </w:rPr>
  </w:style>
  <w:style w:type="paragraph" w:customStyle="1" w:styleId="940">
    <w:name w:val="Zw Char Char Char Char Char Char"/>
    <w:basedOn w:val="1"/>
    <w:qFormat/>
    <w:uiPriority w:val="0"/>
    <w:pPr>
      <w:wordWrap w:val="0"/>
    </w:pPr>
    <w:rPr>
      <w:rFonts w:eastAsia="楷体_GB2312"/>
      <w:b/>
      <w:bCs/>
      <w:snapToGrid w:val="0"/>
      <w:kern w:val="0"/>
      <w:sz w:val="24"/>
    </w:rPr>
  </w:style>
  <w:style w:type="character" w:customStyle="1" w:styleId="941">
    <w:name w:val="样式 样式6 + 非加粗 首行缩进:  2 字符 段前: 0.5 行 Char Char"/>
    <w:link w:val="942"/>
    <w:qFormat/>
    <w:uiPriority w:val="0"/>
    <w:rPr>
      <w:rFonts w:eastAsia="宋体" w:cs="宋体"/>
      <w:snapToGrid w:val="0"/>
      <w:sz w:val="26"/>
      <w:lang w:val="en-US" w:eastAsia="zh-CN" w:bidi="ar-SA"/>
    </w:rPr>
  </w:style>
  <w:style w:type="paragraph" w:customStyle="1" w:styleId="942">
    <w:name w:val="样式 样式6 + 非加粗 首行缩进:  2 字符 段前: 0.5 行"/>
    <w:basedOn w:val="1"/>
    <w:link w:val="941"/>
    <w:qFormat/>
    <w:uiPriority w:val="0"/>
    <w:pPr>
      <w:adjustRightInd w:val="0"/>
      <w:spacing w:line="480" w:lineRule="exact"/>
      <w:ind w:firstLine="200" w:firstLineChars="200"/>
      <w:textAlignment w:val="baseline"/>
    </w:pPr>
    <w:rPr>
      <w:rFonts w:cs="宋体"/>
      <w:snapToGrid w:val="0"/>
      <w:kern w:val="0"/>
      <w:sz w:val="26"/>
      <w:szCs w:val="20"/>
    </w:rPr>
  </w:style>
  <w:style w:type="character" w:customStyle="1" w:styleId="943">
    <w:name w:val="表头 Char Char"/>
    <w:qFormat/>
    <w:uiPriority w:val="0"/>
    <w:rPr>
      <w:rFonts w:eastAsia="宋体"/>
      <w:bCs/>
      <w:kern w:val="2"/>
      <w:sz w:val="24"/>
      <w:szCs w:val="24"/>
      <w:lang w:val="en-US" w:eastAsia="zh-CN" w:bidi="ar-SA"/>
    </w:rPr>
  </w:style>
  <w:style w:type="paragraph" w:customStyle="1" w:styleId="944">
    <w:name w:val="表格名称"/>
    <w:basedOn w:val="292"/>
    <w:qFormat/>
    <w:uiPriority w:val="0"/>
    <w:pPr>
      <w:pBdr>
        <w:bottom w:val="single" w:color="auto" w:sz="4" w:space="0"/>
      </w:pBdr>
      <w:tabs>
        <w:tab w:val="left" w:pos="-24"/>
      </w:tabs>
      <w:snapToGrid w:val="0"/>
      <w:spacing w:line="460" w:lineRule="exact"/>
      <w:ind w:left="-1" w:leftChars="-1" w:hanging="2" w:hangingChars="1"/>
      <w:textAlignment w:val="baseline"/>
      <w:outlineLvl w:val="4"/>
    </w:pPr>
    <w:rPr>
      <w:rFonts w:ascii="宋体" w:hAnsi="宋体" w:eastAsia="宋体"/>
      <w:sz w:val="24"/>
      <w:szCs w:val="20"/>
      <w:u w:color="000000"/>
    </w:rPr>
  </w:style>
  <w:style w:type="paragraph" w:customStyle="1" w:styleId="945">
    <w:name w:val="曾家表格"/>
    <w:basedOn w:val="1"/>
    <w:qFormat/>
    <w:uiPriority w:val="0"/>
    <w:pPr>
      <w:jc w:val="center"/>
    </w:pPr>
    <w:rPr>
      <w:rFonts w:ascii="Calibri" w:hAnsi="Calibri"/>
      <w:szCs w:val="22"/>
    </w:rPr>
  </w:style>
  <w:style w:type="character" w:customStyle="1" w:styleId="946">
    <w:name w:val="未处理的提及1"/>
    <w:unhideWhenUsed/>
    <w:qFormat/>
    <w:uiPriority w:val="99"/>
    <w:rPr>
      <w:color w:val="808080"/>
      <w:shd w:val="clear" w:color="auto" w:fill="E6E6E6"/>
    </w:rPr>
  </w:style>
  <w:style w:type="character" w:customStyle="1" w:styleId="947">
    <w:name w:val="正文缩进 字符"/>
    <w:qFormat/>
    <w:uiPriority w:val="99"/>
    <w:rPr>
      <w:rFonts w:ascii="Times New Roman" w:hAnsi="Times New Roman" w:eastAsia="宋体" w:cs="Times New Roman"/>
      <w:szCs w:val="24"/>
    </w:rPr>
  </w:style>
  <w:style w:type="paragraph" w:customStyle="1" w:styleId="948">
    <w:name w:val="图名-中煤"/>
    <w:basedOn w:val="34"/>
    <w:qFormat/>
    <w:uiPriority w:val="0"/>
    <w:pPr>
      <w:autoSpaceDE w:val="0"/>
      <w:autoSpaceDN w:val="0"/>
      <w:adjustRightInd w:val="0"/>
      <w:snapToGrid w:val="0"/>
      <w:spacing w:after="0"/>
      <w:jc w:val="center"/>
    </w:pPr>
    <w:rPr>
      <w:rFonts w:eastAsia="Times New Roman"/>
      <w:kern w:val="0"/>
      <w:sz w:val="26"/>
      <w:szCs w:val="22"/>
      <w:lang w:val="zh-CN"/>
    </w:rPr>
  </w:style>
  <w:style w:type="paragraph" w:customStyle="1" w:styleId="949">
    <w:name w:val="表名-中煤"/>
    <w:basedOn w:val="1"/>
    <w:link w:val="950"/>
    <w:qFormat/>
    <w:uiPriority w:val="0"/>
    <w:pPr>
      <w:autoSpaceDE w:val="0"/>
      <w:autoSpaceDN w:val="0"/>
      <w:adjustRightInd w:val="0"/>
      <w:snapToGrid w:val="0"/>
      <w:ind w:firstLine="520"/>
      <w:jc w:val="center"/>
    </w:pPr>
    <w:rPr>
      <w:color w:val="000000"/>
      <w:kern w:val="0"/>
      <w:sz w:val="26"/>
      <w:szCs w:val="21"/>
      <w:lang w:val="zh-CN"/>
    </w:rPr>
  </w:style>
  <w:style w:type="character" w:customStyle="1" w:styleId="950">
    <w:name w:val="表名-中煤 Char"/>
    <w:link w:val="949"/>
    <w:qFormat/>
    <w:uiPriority w:val="0"/>
    <w:rPr>
      <w:color w:val="000000"/>
      <w:sz w:val="26"/>
      <w:szCs w:val="21"/>
      <w:lang w:val="zh-CN"/>
    </w:rPr>
  </w:style>
  <w:style w:type="paragraph" w:customStyle="1" w:styleId="951">
    <w:name w:val="表格文字-中煤"/>
    <w:basedOn w:val="1"/>
    <w:next w:val="1"/>
    <w:qFormat/>
    <w:uiPriority w:val="0"/>
    <w:pPr>
      <w:widowControl/>
      <w:autoSpaceDE w:val="0"/>
      <w:autoSpaceDN w:val="0"/>
      <w:adjustRightInd w:val="0"/>
      <w:snapToGrid w:val="0"/>
      <w:jc w:val="center"/>
    </w:pPr>
    <w:rPr>
      <w:rFonts w:eastAsia="Times New Roman"/>
      <w:kern w:val="0"/>
      <w:sz w:val="22"/>
      <w:szCs w:val="21"/>
      <w:lang w:val="zh-CN"/>
    </w:rPr>
  </w:style>
  <w:style w:type="paragraph" w:customStyle="1" w:styleId="952">
    <w:name w:val="0环评正文"/>
    <w:basedOn w:val="1"/>
    <w:qFormat/>
    <w:uiPriority w:val="0"/>
    <w:pPr>
      <w:spacing w:line="480" w:lineRule="exact"/>
      <w:ind w:firstLine="200" w:firstLineChars="200"/>
    </w:pPr>
    <w:rPr>
      <w:rFonts w:ascii="Calibri" w:hAnsi="Calibri"/>
      <w:sz w:val="26"/>
      <w:szCs w:val="22"/>
    </w:rPr>
  </w:style>
  <w:style w:type="character" w:customStyle="1" w:styleId="953">
    <w:name w:val="题注 字符"/>
    <w:qFormat/>
    <w:uiPriority w:val="0"/>
    <w:rPr>
      <w:rFonts w:cs="Arial"/>
      <w:b/>
      <w:kern w:val="2"/>
      <w:sz w:val="21"/>
    </w:rPr>
  </w:style>
  <w:style w:type="character" w:customStyle="1" w:styleId="954">
    <w:name w:val="样式 首行缩进:  2 字符1 Char Char"/>
    <w:link w:val="955"/>
    <w:qFormat/>
    <w:uiPriority w:val="0"/>
    <w:rPr>
      <w:rFonts w:ascii="宋体" w:cs="宋体"/>
      <w:kern w:val="2"/>
      <w:sz w:val="28"/>
    </w:rPr>
  </w:style>
  <w:style w:type="paragraph" w:customStyle="1" w:styleId="955">
    <w:name w:val="样式 首行缩进:  2 字符1"/>
    <w:basedOn w:val="1"/>
    <w:link w:val="954"/>
    <w:qFormat/>
    <w:uiPriority w:val="0"/>
    <w:pPr>
      <w:snapToGrid w:val="0"/>
      <w:spacing w:line="300" w:lineRule="auto"/>
      <w:ind w:firstLine="200" w:firstLineChars="200"/>
    </w:pPr>
    <w:rPr>
      <w:rFonts w:ascii="宋体" w:cs="宋体"/>
      <w:sz w:val="28"/>
      <w:szCs w:val="20"/>
    </w:rPr>
  </w:style>
  <w:style w:type="paragraph" w:customStyle="1" w:styleId="956">
    <w:name w:val="列表段落1"/>
    <w:basedOn w:val="1"/>
    <w:qFormat/>
    <w:uiPriority w:val="34"/>
    <w:pPr>
      <w:ind w:firstLine="420" w:firstLineChars="200"/>
    </w:pPr>
    <w:rPr>
      <w:rFonts w:ascii="等线" w:hAnsi="等线" w:eastAsia="等线"/>
      <w:szCs w:val="22"/>
    </w:rPr>
  </w:style>
  <w:style w:type="paragraph" w:customStyle="1" w:styleId="957">
    <w:name w:val="二级无标题条"/>
    <w:basedOn w:val="1"/>
    <w:qFormat/>
    <w:uiPriority w:val="0"/>
  </w:style>
  <w:style w:type="paragraph" w:customStyle="1" w:styleId="958">
    <w:name w:val="表文居中"/>
    <w:basedOn w:val="176"/>
    <w:qFormat/>
    <w:uiPriority w:val="0"/>
    <w:pPr>
      <w:overflowPunct/>
      <w:autoSpaceDE w:val="0"/>
      <w:autoSpaceDN w:val="0"/>
      <w:adjustRightInd w:val="0"/>
      <w:spacing w:line="360" w:lineRule="auto"/>
      <w:ind w:left="0" w:leftChars="0" w:right="0" w:rightChars="0"/>
      <w:textAlignment w:val="baseline"/>
    </w:pPr>
    <w:rPr>
      <w:color w:val="auto"/>
      <w:kern w:val="0"/>
      <w:sz w:val="18"/>
      <w:szCs w:val="20"/>
    </w:rPr>
  </w:style>
  <w:style w:type="paragraph" w:customStyle="1" w:styleId="959">
    <w:name w:val="小表文"/>
    <w:basedOn w:val="1"/>
    <w:qFormat/>
    <w:uiPriority w:val="0"/>
    <w:pPr>
      <w:autoSpaceDE w:val="0"/>
      <w:autoSpaceDN w:val="0"/>
      <w:adjustRightInd w:val="0"/>
      <w:spacing w:before="20"/>
      <w:textAlignment w:val="baseline"/>
    </w:pPr>
    <w:rPr>
      <w:kern w:val="0"/>
      <w:sz w:val="18"/>
      <w:szCs w:val="20"/>
    </w:rPr>
  </w:style>
  <w:style w:type="paragraph" w:customStyle="1" w:styleId="960">
    <w:name w:val="报告题目"/>
    <w:basedOn w:val="3"/>
    <w:qFormat/>
    <w:uiPriority w:val="0"/>
    <w:pPr>
      <w:keepNext/>
      <w:keepLines/>
      <w:autoSpaceDE w:val="0"/>
      <w:autoSpaceDN w:val="0"/>
      <w:snapToGrid/>
      <w:spacing w:before="360" w:after="120" w:line="360" w:lineRule="auto"/>
      <w:textAlignment w:val="baseline"/>
    </w:pPr>
    <w:rPr>
      <w:rFonts w:ascii="Arial" w:hAnsi="Arial" w:eastAsia="黑体"/>
      <w:bCs w:val="0"/>
      <w:kern w:val="0"/>
      <w:sz w:val="30"/>
      <w:szCs w:val="20"/>
    </w:rPr>
  </w:style>
  <w:style w:type="paragraph" w:customStyle="1" w:styleId="961">
    <w:name w:val="正文(小)"/>
    <w:basedOn w:val="1"/>
    <w:qFormat/>
    <w:uiPriority w:val="0"/>
    <w:pPr>
      <w:autoSpaceDE w:val="0"/>
      <w:autoSpaceDN w:val="0"/>
      <w:adjustRightInd w:val="0"/>
      <w:spacing w:line="360" w:lineRule="auto"/>
      <w:ind w:firstLine="420" w:firstLineChars="200"/>
      <w:textAlignment w:val="baseline"/>
    </w:pPr>
    <w:rPr>
      <w:kern w:val="0"/>
      <w:szCs w:val="20"/>
    </w:rPr>
  </w:style>
  <w:style w:type="paragraph" w:customStyle="1" w:styleId="962">
    <w:name w:val="正文(加宽0.3磅)"/>
    <w:basedOn w:val="1"/>
    <w:qFormat/>
    <w:uiPriority w:val="0"/>
    <w:pPr>
      <w:autoSpaceDE w:val="0"/>
      <w:autoSpaceDN w:val="0"/>
      <w:adjustRightInd w:val="0"/>
      <w:spacing w:line="360" w:lineRule="auto"/>
      <w:ind w:firstLine="482"/>
      <w:jc w:val="left"/>
      <w:textAlignment w:val="baseline"/>
    </w:pPr>
    <w:rPr>
      <w:spacing w:val="6"/>
      <w:kern w:val="0"/>
      <w:sz w:val="24"/>
      <w:szCs w:val="20"/>
    </w:rPr>
  </w:style>
  <w:style w:type="paragraph" w:customStyle="1" w:styleId="963">
    <w:name w:val="11"/>
    <w:basedOn w:val="1"/>
    <w:qFormat/>
    <w:uiPriority w:val="0"/>
    <w:pPr>
      <w:adjustRightInd w:val="0"/>
      <w:spacing w:line="240" w:lineRule="atLeast"/>
      <w:jc w:val="center"/>
      <w:textAlignment w:val="baseline"/>
    </w:pPr>
    <w:rPr>
      <w:kern w:val="0"/>
      <w:sz w:val="24"/>
      <w:szCs w:val="20"/>
    </w:rPr>
  </w:style>
  <w:style w:type="paragraph" w:customStyle="1" w:styleId="964">
    <w:name w:val="报告题目1"/>
    <w:basedOn w:val="3"/>
    <w:qFormat/>
    <w:uiPriority w:val="0"/>
    <w:pPr>
      <w:keepNext/>
      <w:keepLines/>
      <w:snapToGrid/>
      <w:spacing w:before="120" w:after="60" w:line="300" w:lineRule="auto"/>
      <w:textAlignment w:val="baseline"/>
    </w:pPr>
    <w:rPr>
      <w:rFonts w:ascii="黑体" w:eastAsia="黑体"/>
      <w:b w:val="0"/>
      <w:bCs w:val="0"/>
      <w:szCs w:val="20"/>
    </w:rPr>
  </w:style>
  <w:style w:type="paragraph" w:customStyle="1" w:styleId="965">
    <w:name w:val="表文2"/>
    <w:basedOn w:val="176"/>
    <w:qFormat/>
    <w:uiPriority w:val="0"/>
    <w:pPr>
      <w:autoSpaceDE w:val="0"/>
      <w:autoSpaceDN w:val="0"/>
      <w:adjustRightInd w:val="0"/>
      <w:spacing w:line="140" w:lineRule="atLeast"/>
      <w:ind w:left="0" w:leftChars="0" w:right="0" w:rightChars="0"/>
      <w:textAlignment w:val="baseline"/>
    </w:pPr>
    <w:rPr>
      <w:kern w:val="0"/>
      <w:sz w:val="21"/>
      <w:szCs w:val="20"/>
    </w:rPr>
  </w:style>
  <w:style w:type="paragraph" w:customStyle="1" w:styleId="966">
    <w:name w:val="图正文"/>
    <w:basedOn w:val="1"/>
    <w:qFormat/>
    <w:uiPriority w:val="0"/>
    <w:pPr>
      <w:framePr w:w="8190" w:h="6657" w:hSpace="180" w:wrap="around" w:vAnchor="text" w:hAnchor="page" w:x="1845" w:y="1"/>
      <w:autoSpaceDE w:val="0"/>
      <w:autoSpaceDN w:val="0"/>
      <w:adjustRightInd w:val="0"/>
      <w:jc w:val="center"/>
      <w:textAlignment w:val="baseline"/>
    </w:pPr>
    <w:rPr>
      <w:kern w:val="0"/>
      <w:szCs w:val="20"/>
    </w:rPr>
  </w:style>
  <w:style w:type="paragraph" w:customStyle="1" w:styleId="967">
    <w:name w:val="表文1"/>
    <w:basedOn w:val="176"/>
    <w:qFormat/>
    <w:uiPriority w:val="0"/>
    <w:pPr>
      <w:overflowPunct/>
      <w:adjustRightInd w:val="0"/>
      <w:spacing w:line="360" w:lineRule="auto"/>
      <w:ind w:left="0" w:leftChars="0" w:right="0" w:rightChars="0"/>
      <w:jc w:val="left"/>
      <w:textAlignment w:val="baseline"/>
    </w:pPr>
    <w:rPr>
      <w:rFonts w:ascii="宋体"/>
      <w:color w:val="auto"/>
      <w:kern w:val="0"/>
      <w:sz w:val="21"/>
      <w:szCs w:val="20"/>
    </w:rPr>
  </w:style>
  <w:style w:type="paragraph" w:customStyle="1" w:styleId="968">
    <w:name w:val="样式 表文居中 + 段前: 0.5 行"/>
    <w:basedOn w:val="958"/>
    <w:qFormat/>
    <w:uiPriority w:val="0"/>
    <w:pPr>
      <w:snapToGrid w:val="0"/>
    </w:pPr>
    <w:rPr>
      <w:rFonts w:cs="宋体"/>
      <w:sz w:val="21"/>
    </w:rPr>
  </w:style>
  <w:style w:type="paragraph" w:customStyle="1" w:styleId="969">
    <w:name w:val="样式 小四 行距: 1.5 倍行距"/>
    <w:basedOn w:val="1"/>
    <w:link w:val="970"/>
    <w:qFormat/>
    <w:uiPriority w:val="0"/>
    <w:pPr>
      <w:spacing w:line="360" w:lineRule="auto"/>
    </w:pPr>
    <w:rPr>
      <w:rFonts w:cs="宋体"/>
      <w:sz w:val="24"/>
    </w:rPr>
  </w:style>
  <w:style w:type="character" w:customStyle="1" w:styleId="970">
    <w:name w:val="样式 小四 行距: 1.5 倍行距 Char Char"/>
    <w:link w:val="969"/>
    <w:qFormat/>
    <w:uiPriority w:val="0"/>
    <w:rPr>
      <w:rFonts w:cs="宋体"/>
      <w:kern w:val="2"/>
      <w:sz w:val="24"/>
      <w:szCs w:val="24"/>
    </w:rPr>
  </w:style>
  <w:style w:type="character" w:customStyle="1" w:styleId="971">
    <w:name w:val="表名 Char Char Char Char Char"/>
    <w:qFormat/>
    <w:uiPriority w:val="0"/>
    <w:rPr>
      <w:rFonts w:ascii="Arial" w:hAnsi="Arial" w:eastAsia="黑体"/>
      <w:kern w:val="2"/>
      <w:sz w:val="24"/>
      <w:szCs w:val="24"/>
      <w:lang w:val="en-US" w:eastAsia="zh-CN" w:bidi="ar-SA"/>
    </w:rPr>
  </w:style>
  <w:style w:type="character" w:customStyle="1" w:styleId="972">
    <w:name w:val="表号 Char Char"/>
    <w:qFormat/>
    <w:uiPriority w:val="0"/>
    <w:rPr>
      <w:rFonts w:ascii="宋体" w:hAnsi="宋体" w:eastAsia="宋体"/>
      <w:kern w:val="2"/>
      <w:sz w:val="18"/>
      <w:szCs w:val="21"/>
      <w:lang w:val="en-US" w:eastAsia="zh-CN" w:bidi="ar-SA"/>
    </w:rPr>
  </w:style>
  <w:style w:type="character" w:customStyle="1" w:styleId="973">
    <w:name w:val="dectext1"/>
    <w:qFormat/>
    <w:uiPriority w:val="0"/>
    <w:rPr>
      <w:rFonts w:hint="eastAsia" w:ascii="宋体" w:hAnsi="宋体" w:eastAsia="宋体"/>
      <w:color w:val="333333"/>
      <w:sz w:val="20"/>
      <w:szCs w:val="20"/>
      <w:u w:val="none"/>
    </w:rPr>
  </w:style>
  <w:style w:type="paragraph" w:customStyle="1" w:styleId="974">
    <w:name w:val="样式 四号 首行缩进:  0.99 厘米 行距: 固定值 23 磅"/>
    <w:basedOn w:val="1"/>
    <w:qFormat/>
    <w:uiPriority w:val="0"/>
    <w:pPr>
      <w:spacing w:line="460" w:lineRule="exact"/>
      <w:ind w:firstLine="560"/>
    </w:pPr>
    <w:rPr>
      <w:rFonts w:cs="宋体"/>
      <w:sz w:val="28"/>
      <w:szCs w:val="20"/>
    </w:rPr>
  </w:style>
  <w:style w:type="character" w:customStyle="1" w:styleId="975">
    <w:name w:val="news51"/>
    <w:qFormat/>
    <w:uiPriority w:val="0"/>
    <w:rPr>
      <w:rFonts w:hint="default" w:ascii="ˎ̥" w:hAnsi="ˎ̥"/>
      <w:sz w:val="23"/>
      <w:szCs w:val="23"/>
    </w:rPr>
  </w:style>
  <w:style w:type="character" w:customStyle="1" w:styleId="976">
    <w:name w:val="标题 3 Char Char Char Char Char Char Char Char"/>
    <w:qFormat/>
    <w:uiPriority w:val="0"/>
    <w:rPr>
      <w:rFonts w:eastAsia="宋体"/>
      <w:b/>
      <w:bCs/>
      <w:kern w:val="2"/>
      <w:sz w:val="32"/>
      <w:szCs w:val="32"/>
      <w:lang w:val="en-US" w:eastAsia="zh-CN" w:bidi="ar-SA"/>
    </w:rPr>
  </w:style>
  <w:style w:type="character" w:customStyle="1" w:styleId="977">
    <w:name w:val="indextext12"/>
    <w:qFormat/>
    <w:uiPriority w:val="0"/>
  </w:style>
  <w:style w:type="paragraph" w:customStyle="1" w:styleId="978">
    <w:name w:val="表格正文"/>
    <w:basedOn w:val="1"/>
    <w:link w:val="979"/>
    <w:qFormat/>
    <w:uiPriority w:val="0"/>
    <w:pPr>
      <w:jc w:val="center"/>
    </w:pPr>
    <w:rPr>
      <w:rFonts w:ascii="仿宋_GB2312" w:eastAsia="仿宋_GB2312"/>
    </w:rPr>
  </w:style>
  <w:style w:type="character" w:customStyle="1" w:styleId="979">
    <w:name w:val="表格正文 Char"/>
    <w:link w:val="978"/>
    <w:qFormat/>
    <w:uiPriority w:val="0"/>
    <w:rPr>
      <w:rFonts w:ascii="仿宋_GB2312" w:eastAsia="仿宋_GB2312"/>
      <w:kern w:val="2"/>
      <w:sz w:val="21"/>
      <w:szCs w:val="24"/>
    </w:rPr>
  </w:style>
  <w:style w:type="paragraph" w:customStyle="1" w:styleId="980">
    <w:name w:val="样式 正文 首行缩进:  2 字符 + 首行缩进:  2 字符"/>
    <w:basedOn w:val="1"/>
    <w:qFormat/>
    <w:uiPriority w:val="0"/>
    <w:pPr>
      <w:spacing w:line="520" w:lineRule="exact"/>
      <w:ind w:firstLine="420" w:firstLineChars="150"/>
      <w:textAlignment w:val="bottom"/>
    </w:pPr>
    <w:rPr>
      <w:rFonts w:ascii="仿宋_GB2312" w:eastAsia="仿宋_GB2312"/>
      <w:bCs/>
      <w:w w:val="80"/>
      <w:sz w:val="28"/>
      <w:szCs w:val="28"/>
    </w:rPr>
  </w:style>
  <w:style w:type="paragraph" w:customStyle="1" w:styleId="981">
    <w:name w:val="Char Char Char1 Char Char Char Char"/>
    <w:basedOn w:val="1"/>
    <w:qFormat/>
    <w:uiPriority w:val="0"/>
    <w:rPr>
      <w:rFonts w:ascii="Tahoma" w:hAnsi="Tahoma"/>
      <w:sz w:val="24"/>
    </w:rPr>
  </w:style>
  <w:style w:type="paragraph" w:customStyle="1" w:styleId="982">
    <w:name w:val="报告"/>
    <w:basedOn w:val="1"/>
    <w:qFormat/>
    <w:uiPriority w:val="0"/>
    <w:pPr>
      <w:autoSpaceDE w:val="0"/>
      <w:autoSpaceDN w:val="0"/>
      <w:adjustRightInd w:val="0"/>
      <w:spacing w:line="360" w:lineRule="auto"/>
      <w:ind w:firstLine="505"/>
      <w:jc w:val="left"/>
      <w:textAlignment w:val="baseline"/>
    </w:pPr>
    <w:rPr>
      <w:kern w:val="0"/>
      <w:sz w:val="24"/>
      <w:szCs w:val="20"/>
    </w:rPr>
  </w:style>
  <w:style w:type="paragraph" w:customStyle="1" w:styleId="983">
    <w:name w:val="报告表正文"/>
    <w:basedOn w:val="1"/>
    <w:link w:val="984"/>
    <w:qFormat/>
    <w:uiPriority w:val="0"/>
    <w:pPr>
      <w:adjustRightInd w:val="0"/>
      <w:spacing w:line="300" w:lineRule="auto"/>
      <w:ind w:left="113" w:right="113"/>
      <w:textAlignment w:val="baseline"/>
    </w:pPr>
    <w:rPr>
      <w:kern w:val="0"/>
      <w:sz w:val="24"/>
      <w:szCs w:val="20"/>
    </w:rPr>
  </w:style>
  <w:style w:type="character" w:customStyle="1" w:styleId="984">
    <w:name w:val="报告表正文 Char"/>
    <w:link w:val="983"/>
    <w:qFormat/>
    <w:uiPriority w:val="0"/>
    <w:rPr>
      <w:sz w:val="24"/>
    </w:rPr>
  </w:style>
  <w:style w:type="paragraph" w:customStyle="1" w:styleId="985">
    <w:name w:val="默认段落字体 Para Char Char Char Char Char Char Char Char Char Char"/>
    <w:basedOn w:val="1"/>
    <w:qFormat/>
    <w:uiPriority w:val="0"/>
  </w:style>
  <w:style w:type="paragraph" w:customStyle="1" w:styleId="986">
    <w:name w:val="表头排版"/>
    <w:basedOn w:val="1"/>
    <w:link w:val="987"/>
    <w:qFormat/>
    <w:uiPriority w:val="0"/>
    <w:pPr>
      <w:jc w:val="right"/>
    </w:pPr>
    <w:rPr>
      <w:sz w:val="26"/>
      <w:szCs w:val="21"/>
    </w:rPr>
  </w:style>
  <w:style w:type="character" w:customStyle="1" w:styleId="987">
    <w:name w:val="表头排版 Char"/>
    <w:link w:val="986"/>
    <w:qFormat/>
    <w:uiPriority w:val="0"/>
    <w:rPr>
      <w:kern w:val="2"/>
      <w:sz w:val="26"/>
      <w:szCs w:val="21"/>
    </w:rPr>
  </w:style>
  <w:style w:type="paragraph" w:customStyle="1" w:styleId="988">
    <w:name w:val="Z章标题"/>
    <w:basedOn w:val="3"/>
    <w:next w:val="3"/>
    <w:qFormat/>
    <w:uiPriority w:val="0"/>
    <w:pPr>
      <w:keepNext/>
      <w:keepLines/>
      <w:numPr>
        <w:ilvl w:val="0"/>
        <w:numId w:val="10"/>
      </w:numPr>
      <w:adjustRightInd/>
      <w:snapToGrid/>
      <w:spacing w:before="340" w:after="330" w:line="360" w:lineRule="auto"/>
    </w:pPr>
    <w:rPr>
      <w:rFonts w:eastAsia="楷体_GB2312"/>
      <w:sz w:val="30"/>
      <w:szCs w:val="44"/>
    </w:rPr>
  </w:style>
  <w:style w:type="paragraph" w:customStyle="1" w:styleId="989">
    <w:name w:val="Z节标题"/>
    <w:basedOn w:val="988"/>
    <w:qFormat/>
    <w:uiPriority w:val="0"/>
    <w:pPr>
      <w:numPr>
        <w:ilvl w:val="1"/>
      </w:numPr>
      <w:spacing w:line="240" w:lineRule="auto"/>
      <w:jc w:val="left"/>
      <w:outlineLvl w:val="1"/>
    </w:pPr>
    <w:rPr>
      <w:rFonts w:eastAsia="仿宋_GB2312"/>
    </w:rPr>
  </w:style>
  <w:style w:type="paragraph" w:customStyle="1" w:styleId="990">
    <w:name w:val="Z小节标题"/>
    <w:basedOn w:val="989"/>
    <w:next w:val="1"/>
    <w:link w:val="991"/>
    <w:qFormat/>
    <w:uiPriority w:val="0"/>
    <w:pPr>
      <w:numPr>
        <w:ilvl w:val="2"/>
      </w:numPr>
      <w:outlineLvl w:val="2"/>
    </w:pPr>
    <w:rPr>
      <w:sz w:val="28"/>
    </w:rPr>
  </w:style>
  <w:style w:type="character" w:customStyle="1" w:styleId="991">
    <w:name w:val="Z小节标题 Char1"/>
    <w:link w:val="990"/>
    <w:qFormat/>
    <w:uiPriority w:val="0"/>
    <w:rPr>
      <w:rFonts w:eastAsia="仿宋_GB2312"/>
      <w:b/>
      <w:bCs/>
      <w:kern w:val="44"/>
      <w:sz w:val="28"/>
      <w:szCs w:val="44"/>
    </w:rPr>
  </w:style>
  <w:style w:type="paragraph" w:customStyle="1" w:styleId="992">
    <w:name w:val="样式 13 磅 行距: 固定值 25 磅"/>
    <w:basedOn w:val="1"/>
    <w:qFormat/>
    <w:uiPriority w:val="0"/>
    <w:pPr>
      <w:spacing w:line="500" w:lineRule="exact"/>
      <w:ind w:firstLine="520" w:firstLineChars="200"/>
    </w:pPr>
    <w:rPr>
      <w:rFonts w:cs="宋体"/>
      <w:sz w:val="26"/>
      <w:szCs w:val="20"/>
    </w:rPr>
  </w:style>
  <w:style w:type="paragraph" w:customStyle="1" w:styleId="993">
    <w:name w:val="文本一"/>
    <w:basedOn w:val="34"/>
    <w:link w:val="994"/>
    <w:qFormat/>
    <w:uiPriority w:val="0"/>
    <w:pPr>
      <w:spacing w:after="0" w:line="360" w:lineRule="auto"/>
      <w:ind w:firstLine="200" w:firstLineChars="200"/>
    </w:pPr>
    <w:rPr>
      <w:sz w:val="24"/>
    </w:rPr>
  </w:style>
  <w:style w:type="character" w:customStyle="1" w:styleId="994">
    <w:name w:val="文本一 Char"/>
    <w:link w:val="993"/>
    <w:qFormat/>
    <w:uiPriority w:val="0"/>
    <w:rPr>
      <w:kern w:val="2"/>
      <w:sz w:val="24"/>
      <w:szCs w:val="24"/>
    </w:rPr>
  </w:style>
  <w:style w:type="paragraph" w:customStyle="1" w:styleId="995">
    <w:name w:val="正文（科宏）"/>
    <w:link w:val="996"/>
    <w:qFormat/>
    <w:uiPriority w:val="0"/>
    <w:pPr>
      <w:widowControl w:val="0"/>
      <w:spacing w:line="360" w:lineRule="auto"/>
      <w:ind w:firstLine="200" w:firstLineChars="200"/>
      <w:jc w:val="both"/>
    </w:pPr>
    <w:rPr>
      <w:rFonts w:ascii="Arial" w:hAnsi="Arial" w:eastAsia="仿宋_GB2312" w:cs="Times New Roman"/>
      <w:sz w:val="28"/>
      <w:lang w:val="en-US" w:eastAsia="zh-CN" w:bidi="ar-SA"/>
    </w:rPr>
  </w:style>
  <w:style w:type="character" w:customStyle="1" w:styleId="996">
    <w:name w:val="正文（科宏） Char"/>
    <w:link w:val="995"/>
    <w:qFormat/>
    <w:uiPriority w:val="0"/>
    <w:rPr>
      <w:rFonts w:ascii="Arial" w:hAnsi="Arial" w:eastAsia="仿宋_GB2312"/>
      <w:sz w:val="28"/>
    </w:rPr>
  </w:style>
  <w:style w:type="paragraph" w:customStyle="1" w:styleId="997">
    <w:name w:val="表格字体（科宏）"/>
    <w:basedOn w:val="1"/>
    <w:link w:val="998"/>
    <w:qFormat/>
    <w:uiPriority w:val="0"/>
    <w:pPr>
      <w:widowControl/>
      <w:jc w:val="center"/>
    </w:pPr>
    <w:rPr>
      <w:rFonts w:ascii="Arial" w:hAnsi="Arial" w:eastAsia="仿宋_GB2312"/>
      <w:kern w:val="0"/>
      <w:szCs w:val="20"/>
    </w:rPr>
  </w:style>
  <w:style w:type="character" w:customStyle="1" w:styleId="998">
    <w:name w:val="表格字体（科宏） Char"/>
    <w:link w:val="997"/>
    <w:qFormat/>
    <w:uiPriority w:val="0"/>
    <w:rPr>
      <w:rFonts w:ascii="Arial" w:hAnsi="Arial" w:eastAsia="仿宋_GB2312"/>
      <w:sz w:val="21"/>
    </w:rPr>
  </w:style>
  <w:style w:type="character" w:customStyle="1" w:styleId="999">
    <w:name w:val="正文(首缩进) Char"/>
    <w:link w:val="1000"/>
    <w:qFormat/>
    <w:uiPriority w:val="0"/>
    <w:rPr>
      <w:kern w:val="2"/>
      <w:sz w:val="28"/>
    </w:rPr>
  </w:style>
  <w:style w:type="paragraph" w:customStyle="1" w:styleId="1000">
    <w:name w:val="正文(首缩进)"/>
    <w:basedOn w:val="1"/>
    <w:link w:val="999"/>
    <w:qFormat/>
    <w:uiPriority w:val="0"/>
    <w:pPr>
      <w:spacing w:before="78" w:beforeLines="25" w:after="78" w:afterLines="25" w:line="420" w:lineRule="auto"/>
      <w:ind w:firstLine="200" w:firstLineChars="200"/>
    </w:pPr>
    <w:rPr>
      <w:sz w:val="28"/>
      <w:szCs w:val="20"/>
    </w:rPr>
  </w:style>
  <w:style w:type="paragraph" w:customStyle="1" w:styleId="1001">
    <w:name w:val="(页眉)科宏"/>
    <w:link w:val="1002"/>
    <w:uiPriority w:val="0"/>
    <w:rPr>
      <w:rFonts w:ascii="Arial" w:hAnsi="Arial" w:eastAsia="仿宋_GB2312" w:cs="Times New Roman"/>
      <w:sz w:val="21"/>
      <w:lang w:val="en-US" w:eastAsia="zh-CN" w:bidi="ar-SA"/>
    </w:rPr>
  </w:style>
  <w:style w:type="character" w:customStyle="1" w:styleId="1002">
    <w:name w:val="(页眉)科宏 Char"/>
    <w:link w:val="1001"/>
    <w:qFormat/>
    <w:locked/>
    <w:uiPriority w:val="0"/>
    <w:rPr>
      <w:rFonts w:ascii="Arial" w:hAnsi="Arial" w:eastAsia="仿宋_GB2312"/>
      <w:sz w:val="21"/>
    </w:rPr>
  </w:style>
  <w:style w:type="paragraph" w:customStyle="1" w:styleId="1003">
    <w:name w:val="正式表头"/>
    <w:basedOn w:val="1"/>
    <w:qFormat/>
    <w:uiPriority w:val="0"/>
    <w:pPr>
      <w:keepNext/>
      <w:widowControl/>
      <w:adjustRightInd w:val="0"/>
      <w:snapToGrid w:val="0"/>
      <w:spacing w:beforeLines="15" w:line="360" w:lineRule="auto"/>
      <w:jc w:val="center"/>
    </w:pPr>
    <w:rPr>
      <w:rFonts w:eastAsia="黑体"/>
      <w:kern w:val="0"/>
      <w:sz w:val="28"/>
      <w:szCs w:val="20"/>
    </w:rPr>
  </w:style>
  <w:style w:type="paragraph" w:customStyle="1" w:styleId="1004">
    <w:name w:val="表内容"/>
    <w:basedOn w:val="1"/>
    <w:link w:val="1005"/>
    <w:qFormat/>
    <w:uiPriority w:val="9"/>
    <w:pPr>
      <w:adjustRightInd w:val="0"/>
      <w:snapToGrid w:val="0"/>
      <w:jc w:val="center"/>
    </w:pPr>
    <w:rPr>
      <w:snapToGrid w:val="0"/>
      <w:sz w:val="22"/>
    </w:rPr>
  </w:style>
  <w:style w:type="character" w:customStyle="1" w:styleId="1005">
    <w:name w:val="表内容 Char Char"/>
    <w:link w:val="1004"/>
    <w:qFormat/>
    <w:uiPriority w:val="0"/>
    <w:rPr>
      <w:snapToGrid w:val="0"/>
      <w:kern w:val="2"/>
      <w:sz w:val="22"/>
      <w:szCs w:val="24"/>
    </w:rPr>
  </w:style>
  <w:style w:type="paragraph" w:customStyle="1" w:styleId="1006">
    <w:name w:val="表格头"/>
    <w:basedOn w:val="1"/>
    <w:qFormat/>
    <w:uiPriority w:val="0"/>
    <w:pPr>
      <w:tabs>
        <w:tab w:val="left" w:pos="4755"/>
      </w:tabs>
      <w:adjustRightInd w:val="0"/>
      <w:snapToGrid w:val="0"/>
      <w:jc w:val="center"/>
    </w:pPr>
    <w:rPr>
      <w:b/>
      <w:bCs/>
      <w:lang w:val="zh-CN"/>
    </w:rPr>
  </w:style>
  <w:style w:type="character" w:customStyle="1" w:styleId="1007">
    <w:name w:val="标题 6 字符"/>
    <w:qFormat/>
    <w:uiPriority w:val="9"/>
    <w:rPr>
      <w:rFonts w:ascii="等线 Light" w:hAnsi="等线 Light" w:eastAsia="等线 Light" w:cs="Times New Roman"/>
      <w:b/>
      <w:bCs/>
      <w:sz w:val="24"/>
      <w:szCs w:val="24"/>
    </w:rPr>
  </w:style>
  <w:style w:type="character" w:customStyle="1" w:styleId="1008">
    <w:name w:val="HTML 预设格式 字符"/>
    <w:qFormat/>
    <w:uiPriority w:val="0"/>
    <w:rPr>
      <w:rFonts w:ascii="Courier New" w:hAnsi="Courier New" w:cs="Courier New"/>
    </w:rPr>
  </w:style>
  <w:style w:type="character" w:customStyle="1" w:styleId="1009">
    <w:name w:val="脚注文本 字符"/>
    <w:qFormat/>
    <w:uiPriority w:val="0"/>
    <w:rPr>
      <w:sz w:val="18"/>
      <w:szCs w:val="18"/>
    </w:rPr>
  </w:style>
  <w:style w:type="character" w:customStyle="1" w:styleId="1010">
    <w:name w:val="尾注文本 字符"/>
    <w:qFormat/>
    <w:uiPriority w:val="0"/>
    <w:rPr>
      <w:sz w:val="24"/>
    </w:rPr>
  </w:style>
  <w:style w:type="character" w:customStyle="1" w:styleId="1011">
    <w:name w:val="标题 字符"/>
    <w:qFormat/>
    <w:uiPriority w:val="0"/>
    <w:rPr>
      <w:rFonts w:ascii="等线 Light" w:hAnsi="等线 Light" w:cs="Times New Roman"/>
      <w:b/>
      <w:bCs/>
      <w:sz w:val="32"/>
      <w:szCs w:val="32"/>
    </w:rPr>
  </w:style>
  <w:style w:type="character" w:customStyle="1" w:styleId="1012">
    <w:name w:val="副标题 字符"/>
    <w:qFormat/>
    <w:uiPriority w:val="0"/>
    <w:rPr>
      <w:rFonts w:ascii="等线 Light" w:hAnsi="等线 Light" w:cs="Times New Roman"/>
      <w:b/>
      <w:bCs/>
      <w:kern w:val="28"/>
      <w:sz w:val="32"/>
      <w:szCs w:val="32"/>
    </w:rPr>
  </w:style>
  <w:style w:type="character" w:customStyle="1" w:styleId="1013">
    <w:name w:val="信息标题 字符"/>
    <w:qFormat/>
    <w:uiPriority w:val="0"/>
    <w:rPr>
      <w:rFonts w:ascii="等线 Light" w:hAnsi="等线 Light" w:eastAsia="等线 Light" w:cs="Times New Roman"/>
      <w:sz w:val="24"/>
      <w:szCs w:val="24"/>
      <w:shd w:val="pct20" w:color="auto" w:fill="auto"/>
    </w:rPr>
  </w:style>
  <w:style w:type="character" w:customStyle="1" w:styleId="1014">
    <w:name w:val="正文文本缩进 字符"/>
    <w:qFormat/>
    <w:uiPriority w:val="99"/>
    <w:rPr>
      <w:sz w:val="24"/>
    </w:rPr>
  </w:style>
  <w:style w:type="character" w:customStyle="1" w:styleId="1015">
    <w:name w:val="正文文本首行缩进 2 字符"/>
    <w:qFormat/>
    <w:uiPriority w:val="0"/>
  </w:style>
  <w:style w:type="table" w:customStyle="1" w:styleId="1016">
    <w:name w:val="网格型7"/>
    <w:basedOn w:val="88"/>
    <w:qFormat/>
    <w:uiPriority w:val="59"/>
    <w:pPr>
      <w:widowControl w:val="0"/>
    </w:pPr>
    <w:rPr>
      <w:rFonts w:ascii="Calibri" w:hAnsi="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17">
    <w:name w:val="fontstyle01"/>
    <w:qFormat/>
    <w:uiPriority w:val="0"/>
    <w:rPr>
      <w:rFonts w:hint="eastAsia" w:ascii="宋体" w:hAnsi="宋体" w:eastAsia="宋体"/>
      <w:color w:val="000000"/>
      <w:sz w:val="24"/>
      <w:szCs w:val="24"/>
    </w:rPr>
  </w:style>
  <w:style w:type="character" w:customStyle="1" w:styleId="1018">
    <w:name w:val="fontstyle21"/>
    <w:qFormat/>
    <w:uiPriority w:val="0"/>
    <w:rPr>
      <w:rFonts w:hint="eastAsia" w:ascii="宋体" w:hAnsi="宋体" w:eastAsia="宋体"/>
      <w:color w:val="000000"/>
      <w:sz w:val="24"/>
      <w:szCs w:val="24"/>
    </w:rPr>
  </w:style>
  <w:style w:type="character" w:customStyle="1" w:styleId="1019">
    <w:name w:val="xi3f 标题8 字符"/>
    <w:link w:val="1020"/>
    <w:qFormat/>
    <w:uiPriority w:val="0"/>
    <w:rPr>
      <w:b/>
      <w:bCs/>
      <w:kern w:val="32"/>
      <w:sz w:val="21"/>
      <w:szCs w:val="24"/>
    </w:rPr>
  </w:style>
  <w:style w:type="paragraph" w:customStyle="1" w:styleId="1020">
    <w:name w:val="xi3f 标题8"/>
    <w:next w:val="1"/>
    <w:link w:val="1019"/>
    <w:qFormat/>
    <w:uiPriority w:val="0"/>
    <w:pPr>
      <w:keepNext/>
      <w:spacing w:line="360" w:lineRule="auto"/>
      <w:jc w:val="center"/>
      <w:outlineLvl w:val="7"/>
    </w:pPr>
    <w:rPr>
      <w:rFonts w:ascii="Times New Roman" w:hAnsi="Times New Roman" w:eastAsia="宋体" w:cs="Times New Roman"/>
      <w:b/>
      <w:bCs/>
      <w:kern w:val="32"/>
      <w:sz w:val="21"/>
      <w:szCs w:val="24"/>
      <w:lang w:val="en-US" w:eastAsia="zh-CN" w:bidi="ar-SA"/>
    </w:rPr>
  </w:style>
  <w:style w:type="character" w:customStyle="1" w:styleId="1021">
    <w:name w:val="编辑正文 Char"/>
    <w:link w:val="1022"/>
    <w:qFormat/>
    <w:uiPriority w:val="0"/>
    <w:rPr>
      <w:rFonts w:hAnsi="宋体"/>
      <w:kern w:val="2"/>
      <w:sz w:val="26"/>
      <w:szCs w:val="26"/>
    </w:rPr>
  </w:style>
  <w:style w:type="paragraph" w:customStyle="1" w:styleId="1022">
    <w:name w:val="编辑正文"/>
    <w:basedOn w:val="1"/>
    <w:link w:val="1021"/>
    <w:qFormat/>
    <w:uiPriority w:val="0"/>
    <w:pPr>
      <w:spacing w:line="460" w:lineRule="exact"/>
      <w:ind w:firstLine="520" w:firstLineChars="200"/>
    </w:pPr>
    <w:rPr>
      <w:rFonts w:hAnsi="宋体"/>
      <w:sz w:val="26"/>
      <w:szCs w:val="26"/>
    </w:rPr>
  </w:style>
  <w:style w:type="paragraph" w:customStyle="1" w:styleId="1023">
    <w:name w:val="Char Char Char Char Char Char Char Char Char Char Char Char Char Char Char Char Char Char Char Char Char Char Char Char Char Char Char Char Char Char Char Char Char Char Char Char Char Char Char1 Char"/>
    <w:basedOn w:val="1"/>
    <w:qFormat/>
    <w:uiPriority w:val="0"/>
    <w:pPr>
      <w:spacing w:before="300" w:after="300" w:line="560" w:lineRule="exact"/>
    </w:pPr>
    <w:rPr>
      <w:rFonts w:eastAsia="黑体"/>
      <w:sz w:val="36"/>
      <w:szCs w:val="36"/>
    </w:rPr>
  </w:style>
  <w:style w:type="paragraph" w:customStyle="1" w:styleId="1024">
    <w:name w:val="正文表标题"/>
    <w:next w:val="1"/>
    <w:qFormat/>
    <w:uiPriority w:val="0"/>
    <w:pPr>
      <w:spacing w:line="480" w:lineRule="exact"/>
      <w:jc w:val="center"/>
    </w:pPr>
    <w:rPr>
      <w:rFonts w:ascii="黑体" w:hAnsi="Times New Roman" w:eastAsia="黑体" w:cs="Times New Roman"/>
      <w:sz w:val="21"/>
      <w:szCs w:val="26"/>
      <w:lang w:val="en-US" w:eastAsia="zh-CN" w:bidi="ar-SA"/>
    </w:rPr>
  </w:style>
  <w:style w:type="character" w:customStyle="1" w:styleId="1025">
    <w:name w:val="表号 Char1"/>
    <w:qFormat/>
    <w:uiPriority w:val="0"/>
    <w:rPr>
      <w:rFonts w:ascii="Times New Roman" w:hAnsi="Times New Roman"/>
      <w:sz w:val="21"/>
      <w:szCs w:val="24"/>
    </w:rPr>
  </w:style>
  <w:style w:type="paragraph" w:customStyle="1" w:styleId="1026">
    <w:name w:val="zw1"/>
    <w:basedOn w:val="1"/>
    <w:qFormat/>
    <w:uiPriority w:val="0"/>
    <w:pPr>
      <w:widowControl/>
      <w:ind w:firstLine="480"/>
      <w:jc w:val="center"/>
    </w:pPr>
    <w:rPr>
      <w:rFonts w:eastAsia="仿宋_GB2312"/>
      <w:kern w:val="0"/>
      <w:sz w:val="24"/>
      <w:szCs w:val="26"/>
    </w:rPr>
  </w:style>
  <w:style w:type="paragraph" w:customStyle="1" w:styleId="1027">
    <w:name w:val="封面正文"/>
    <w:qFormat/>
    <w:uiPriority w:val="0"/>
    <w:pPr>
      <w:spacing w:line="480" w:lineRule="exact"/>
      <w:jc w:val="both"/>
    </w:pPr>
    <w:rPr>
      <w:rFonts w:ascii="Times New Roman" w:hAnsi="Times New Roman" w:eastAsia="宋体" w:cs="Times New Roman"/>
      <w:sz w:val="26"/>
      <w:szCs w:val="26"/>
      <w:lang w:val="en-US" w:eastAsia="zh-CN" w:bidi="ar-SA"/>
    </w:rPr>
  </w:style>
  <w:style w:type="paragraph" w:customStyle="1" w:styleId="1028">
    <w:name w:val="13"/>
    <w:basedOn w:val="5"/>
    <w:qFormat/>
    <w:uiPriority w:val="0"/>
    <w:pPr>
      <w:keepLines w:val="0"/>
      <w:widowControl/>
      <w:adjustRightInd w:val="0"/>
      <w:snapToGrid w:val="0"/>
      <w:spacing w:before="0" w:after="0" w:line="440" w:lineRule="atLeast"/>
      <w:jc w:val="center"/>
    </w:pPr>
    <w:rPr>
      <w:rFonts w:ascii="宋体" w:hAnsi="Cambria"/>
      <w:b w:val="0"/>
      <w:kern w:val="0"/>
      <w:sz w:val="26"/>
      <w:szCs w:val="26"/>
    </w:rPr>
  </w:style>
  <w:style w:type="character" w:customStyle="1" w:styleId="1029">
    <w:name w:val="样式15 Char Char"/>
    <w:qFormat/>
    <w:uiPriority w:val="0"/>
    <w:rPr>
      <w:rFonts w:ascii="Times New Roman" w:hAnsi="Times New Roman"/>
      <w:kern w:val="2"/>
      <w:sz w:val="22"/>
      <w:szCs w:val="22"/>
    </w:rPr>
  </w:style>
  <w:style w:type="paragraph" w:customStyle="1" w:styleId="1030">
    <w:name w:val="空行"/>
    <w:basedOn w:val="1"/>
    <w:qFormat/>
    <w:uiPriority w:val="0"/>
    <w:pPr>
      <w:adjustRightInd w:val="0"/>
      <w:snapToGrid w:val="0"/>
      <w:spacing w:line="240" w:lineRule="atLeast"/>
    </w:pPr>
  </w:style>
  <w:style w:type="character" w:customStyle="1" w:styleId="1031">
    <w:name w:val="zhenwen14"/>
    <w:qFormat/>
    <w:uiPriority w:val="0"/>
  </w:style>
  <w:style w:type="paragraph" w:customStyle="1" w:styleId="1032">
    <w:name w:val="0环评表格"/>
    <w:basedOn w:val="1"/>
    <w:qFormat/>
    <w:uiPriority w:val="0"/>
    <w:pPr>
      <w:tabs>
        <w:tab w:val="center" w:pos="4153"/>
        <w:tab w:val="right" w:pos="8306"/>
      </w:tabs>
      <w:snapToGrid w:val="0"/>
      <w:jc w:val="center"/>
    </w:pPr>
    <w:rPr>
      <w:rFonts w:ascii="宋体" w:hAnsi="宋体"/>
      <w:sz w:val="22"/>
      <w:szCs w:val="22"/>
    </w:rPr>
  </w:style>
  <w:style w:type="character" w:customStyle="1" w:styleId="1033">
    <w:name w:val="插图、表名勘探南方 Char"/>
    <w:link w:val="1034"/>
    <w:qFormat/>
    <w:uiPriority w:val="0"/>
    <w:rPr>
      <w:rFonts w:ascii="黑体" w:eastAsia="黑体"/>
      <w:kern w:val="2"/>
      <w:sz w:val="21"/>
      <w:szCs w:val="24"/>
    </w:rPr>
  </w:style>
  <w:style w:type="paragraph" w:customStyle="1" w:styleId="1034">
    <w:name w:val="插图、表名勘探南方"/>
    <w:link w:val="1033"/>
    <w:qFormat/>
    <w:uiPriority w:val="0"/>
    <w:pPr>
      <w:spacing w:line="400" w:lineRule="exact"/>
      <w:jc w:val="center"/>
    </w:pPr>
    <w:rPr>
      <w:rFonts w:ascii="黑体" w:hAnsi="Times New Roman" w:eastAsia="黑体" w:cs="Times New Roman"/>
      <w:kern w:val="2"/>
      <w:sz w:val="21"/>
      <w:szCs w:val="24"/>
      <w:lang w:val="en-US" w:eastAsia="zh-CN" w:bidi="ar-SA"/>
    </w:rPr>
  </w:style>
  <w:style w:type="paragraph" w:customStyle="1" w:styleId="1035">
    <w:name w:val="Char Char4"/>
    <w:basedOn w:val="1"/>
    <w:qFormat/>
    <w:uiPriority w:val="0"/>
  </w:style>
  <w:style w:type="paragraph" w:customStyle="1" w:styleId="1036">
    <w:name w:val="样式25"/>
    <w:basedOn w:val="1"/>
    <w:link w:val="1037"/>
    <w:qFormat/>
    <w:uiPriority w:val="0"/>
    <w:pPr>
      <w:spacing w:line="460" w:lineRule="exact"/>
      <w:ind w:firstLine="520" w:firstLineChars="200"/>
    </w:pPr>
    <w:rPr>
      <w:color w:val="000000"/>
      <w:sz w:val="26"/>
      <w:szCs w:val="20"/>
    </w:rPr>
  </w:style>
  <w:style w:type="character" w:customStyle="1" w:styleId="1037">
    <w:name w:val="样式25 Char"/>
    <w:link w:val="1036"/>
    <w:qFormat/>
    <w:uiPriority w:val="0"/>
    <w:rPr>
      <w:color w:val="000000"/>
      <w:kern w:val="2"/>
      <w:sz w:val="26"/>
    </w:rPr>
  </w:style>
  <w:style w:type="character" w:customStyle="1" w:styleId="1038">
    <w:name w:val="样式 样式 正文 首行缩进:  2 字符 SL CON + 首行缩进:  2 字符 + 宋体 Char Char"/>
    <w:link w:val="1039"/>
    <w:qFormat/>
    <w:uiPriority w:val="0"/>
    <w:rPr>
      <w:kern w:val="2"/>
      <w:sz w:val="24"/>
      <w:szCs w:val="21"/>
    </w:rPr>
  </w:style>
  <w:style w:type="paragraph" w:customStyle="1" w:styleId="1039">
    <w:name w:val="样式 样式 正文 首行缩进:  2 字符 SL CON + 首行缩进:  2 字符 + 宋体"/>
    <w:basedOn w:val="1"/>
    <w:link w:val="1038"/>
    <w:qFormat/>
    <w:uiPriority w:val="0"/>
    <w:pPr>
      <w:widowControl/>
      <w:tabs>
        <w:tab w:val="left" w:pos="377"/>
      </w:tabs>
      <w:spacing w:line="360" w:lineRule="auto"/>
      <w:ind w:firstLine="480" w:firstLineChars="200"/>
    </w:pPr>
    <w:rPr>
      <w:sz w:val="24"/>
      <w:szCs w:val="21"/>
    </w:rPr>
  </w:style>
  <w:style w:type="character" w:customStyle="1" w:styleId="1040">
    <w:name w:val="图题表题 Char Char"/>
    <w:link w:val="1041"/>
    <w:qFormat/>
    <w:uiPriority w:val="0"/>
    <w:rPr>
      <w:b/>
      <w:bCs/>
      <w:kern w:val="2"/>
      <w:sz w:val="21"/>
    </w:rPr>
  </w:style>
  <w:style w:type="paragraph" w:customStyle="1" w:styleId="1041">
    <w:name w:val="图题表题"/>
    <w:basedOn w:val="1"/>
    <w:link w:val="1040"/>
    <w:qFormat/>
    <w:uiPriority w:val="0"/>
    <w:pPr>
      <w:spacing w:line="360" w:lineRule="auto"/>
      <w:jc w:val="center"/>
    </w:pPr>
    <w:rPr>
      <w:b/>
      <w:bCs/>
      <w:szCs w:val="20"/>
    </w:rPr>
  </w:style>
  <w:style w:type="character" w:customStyle="1" w:styleId="1042">
    <w:name w:val="样式 正文 首行缩进:  2 字符 SL CON + 首行缩进:  2 字符 Char Char Char Char"/>
    <w:link w:val="1043"/>
    <w:qFormat/>
    <w:uiPriority w:val="0"/>
    <w:rPr>
      <w:kern w:val="2"/>
      <w:sz w:val="24"/>
      <w:szCs w:val="21"/>
    </w:rPr>
  </w:style>
  <w:style w:type="paragraph" w:customStyle="1" w:styleId="1043">
    <w:name w:val="样式 正文 首行缩进:  2 字符 SL CON + 首行缩进:  2 字符"/>
    <w:basedOn w:val="1"/>
    <w:link w:val="1042"/>
    <w:qFormat/>
    <w:uiPriority w:val="0"/>
    <w:pPr>
      <w:widowControl/>
      <w:tabs>
        <w:tab w:val="left" w:pos="377"/>
      </w:tabs>
      <w:spacing w:line="360" w:lineRule="auto"/>
      <w:ind w:firstLine="480" w:firstLineChars="200"/>
    </w:pPr>
    <w:rPr>
      <w:sz w:val="24"/>
      <w:szCs w:val="21"/>
    </w:rPr>
  </w:style>
  <w:style w:type="paragraph" w:customStyle="1" w:styleId="1044">
    <w:name w:val="Char Char5"/>
    <w:basedOn w:val="1"/>
    <w:qFormat/>
    <w:uiPriority w:val="0"/>
    <w:pPr>
      <w:widowControl/>
      <w:spacing w:line="360" w:lineRule="atLeast"/>
      <w:jc w:val="left"/>
    </w:pPr>
    <w:rPr>
      <w:rFonts w:ascii="宋体" w:hAnsi="宋体" w:cs="宋体"/>
      <w:kern w:val="0"/>
      <w:sz w:val="24"/>
    </w:rPr>
  </w:style>
  <w:style w:type="paragraph" w:customStyle="1" w:styleId="1045">
    <w:name w:val="Char Char1 Char Char Char Char Char Char Char Char Char"/>
    <w:basedOn w:val="1"/>
    <w:qFormat/>
    <w:uiPriority w:val="0"/>
  </w:style>
  <w:style w:type="paragraph" w:customStyle="1" w:styleId="1046">
    <w:name w:val="表格内文字"/>
    <w:basedOn w:val="1"/>
    <w:link w:val="1047"/>
    <w:qFormat/>
    <w:uiPriority w:val="0"/>
    <w:pPr>
      <w:jc w:val="center"/>
    </w:pPr>
    <w:rPr>
      <w:rFonts w:cs="宋体"/>
      <w:kern w:val="0"/>
      <w:szCs w:val="18"/>
      <w:lang w:eastAsia="en-US"/>
    </w:rPr>
  </w:style>
  <w:style w:type="character" w:customStyle="1" w:styleId="1047">
    <w:name w:val="表格内文字 Char Char"/>
    <w:link w:val="1046"/>
    <w:qFormat/>
    <w:uiPriority w:val="0"/>
    <w:rPr>
      <w:rFonts w:cs="宋体"/>
      <w:sz w:val="21"/>
      <w:szCs w:val="18"/>
      <w:lang w:eastAsia="en-US"/>
    </w:rPr>
  </w:style>
  <w:style w:type="paragraph" w:customStyle="1" w:styleId="1048">
    <w:name w:val="_Style 5"/>
    <w:basedOn w:val="1"/>
    <w:uiPriority w:val="0"/>
    <w:pPr>
      <w:spacing w:line="360" w:lineRule="auto"/>
      <w:ind w:firstLine="200" w:firstLineChars="200"/>
    </w:pPr>
    <w:rPr>
      <w:sz w:val="24"/>
      <w:szCs w:val="20"/>
    </w:rPr>
  </w:style>
  <w:style w:type="character" w:customStyle="1" w:styleId="1049">
    <w:name w:val="批注文字 字符"/>
    <w:qFormat/>
    <w:uiPriority w:val="0"/>
    <w:rPr>
      <w:rFonts w:eastAsia="宋体"/>
      <w:kern w:val="2"/>
      <w:sz w:val="21"/>
      <w:szCs w:val="24"/>
      <w:lang w:val="en-US" w:eastAsia="zh-CN" w:bidi="ar-SA"/>
    </w:rPr>
  </w:style>
  <w:style w:type="paragraph" w:customStyle="1" w:styleId="1050">
    <w:name w:val="X1"/>
    <w:basedOn w:val="202"/>
    <w:next w:val="1"/>
    <w:qFormat/>
    <w:uiPriority w:val="0"/>
    <w:pPr>
      <w:autoSpaceDE w:val="0"/>
      <w:autoSpaceDN w:val="0"/>
      <w:adjustRightInd w:val="0"/>
      <w:snapToGrid w:val="0"/>
      <w:spacing w:line="480" w:lineRule="exact"/>
      <w:ind w:left="0" w:firstLine="0" w:firstLineChars="0"/>
      <w:jc w:val="center"/>
      <w:textAlignment w:val="baseline"/>
      <w:outlineLvl w:val="0"/>
    </w:pPr>
    <w:rPr>
      <w:rFonts w:eastAsia="宋体"/>
      <w:b/>
      <w:sz w:val="32"/>
      <w:szCs w:val="22"/>
    </w:rPr>
  </w:style>
  <w:style w:type="paragraph" w:customStyle="1" w:styleId="1051">
    <w:name w:val="X2"/>
    <w:basedOn w:val="1050"/>
    <w:next w:val="1"/>
    <w:qFormat/>
    <w:uiPriority w:val="0"/>
    <w:pPr>
      <w:ind w:firstLine="425"/>
      <w:jc w:val="both"/>
      <w:outlineLvl w:val="1"/>
    </w:pPr>
    <w:rPr>
      <w:sz w:val="26"/>
    </w:rPr>
  </w:style>
  <w:style w:type="paragraph" w:customStyle="1" w:styleId="1052">
    <w:name w:val="X3"/>
    <w:basedOn w:val="1051"/>
    <w:next w:val="1"/>
    <w:qFormat/>
    <w:uiPriority w:val="0"/>
    <w:pPr>
      <w:outlineLvl w:val="2"/>
    </w:pPr>
  </w:style>
  <w:style w:type="paragraph" w:customStyle="1" w:styleId="1053">
    <w:name w:val="正文样式1"/>
    <w:basedOn w:val="1"/>
    <w:qFormat/>
    <w:uiPriority w:val="0"/>
    <w:pPr>
      <w:spacing w:line="360" w:lineRule="auto"/>
      <w:ind w:firstLine="480" w:firstLineChars="200"/>
    </w:pPr>
    <w:rPr>
      <w:rFonts w:hint="eastAsia" w:ascii="宋体"/>
      <w:kern w:val="0"/>
      <w:sz w:val="24"/>
      <w:szCs w:val="20"/>
    </w:rPr>
  </w:style>
  <w:style w:type="character" w:customStyle="1" w:styleId="1054">
    <w:name w:val="纯文本 字符1"/>
    <w:qFormat/>
    <w:uiPriority w:val="0"/>
    <w:rPr>
      <w:rFonts w:ascii="宋体" w:hAnsi="宋体"/>
      <w:kern w:val="0"/>
      <w:sz w:val="24"/>
      <w:szCs w:val="24"/>
    </w:rPr>
  </w:style>
  <w:style w:type="character" w:customStyle="1" w:styleId="1055">
    <w:name w:val="页脚 字符"/>
    <w:qFormat/>
    <w:uiPriority w:val="0"/>
  </w:style>
  <w:style w:type="character" w:customStyle="1" w:styleId="1056">
    <w:name w:val="页眉 字符"/>
    <w:qFormat/>
    <w:uiPriority w:val="0"/>
    <w:rPr>
      <w:rFonts w:eastAsia="宋体"/>
      <w:kern w:val="2"/>
      <w:sz w:val="18"/>
      <w:szCs w:val="18"/>
      <w:lang w:val="en-US" w:eastAsia="zh-CN" w:bidi="ar-SA"/>
    </w:rPr>
  </w:style>
  <w:style w:type="paragraph" w:customStyle="1" w:styleId="1057">
    <w:name w:val="5表头"/>
    <w:basedOn w:val="1"/>
    <w:next w:val="1"/>
    <w:qFormat/>
    <w:uiPriority w:val="0"/>
    <w:pPr>
      <w:widowControl/>
      <w:spacing w:before="120" w:beforeLines="50"/>
      <w:jc w:val="center"/>
    </w:pPr>
    <w:rPr>
      <w:rFonts w:hAnsi="宋体"/>
      <w:b/>
      <w:szCs w:val="21"/>
      <w:lang w:bidi="zh-CN"/>
    </w:rPr>
  </w:style>
  <w:style w:type="table" w:customStyle="1" w:styleId="1058">
    <w:name w:val="Table Normal"/>
    <w:unhideWhenUsed/>
    <w:qFormat/>
    <w:uiPriority w:val="0"/>
    <w:tblPr>
      <w:tblCellMar>
        <w:top w:w="0" w:type="dxa"/>
        <w:left w:w="0" w:type="dxa"/>
        <w:bottom w:w="0" w:type="dxa"/>
        <w:right w:w="0" w:type="dxa"/>
      </w:tblCellMar>
    </w:tblPr>
  </w:style>
  <w:style w:type="paragraph" w:customStyle="1" w:styleId="1059">
    <w:name w:val="+2二级标题"/>
    <w:basedOn w:val="702"/>
    <w:qFormat/>
    <w:uiPriority w:val="0"/>
    <w:pPr>
      <w:ind w:firstLine="522"/>
      <w:outlineLvl w:val="1"/>
    </w:pPr>
    <w:rPr>
      <w:b/>
    </w:rPr>
  </w:style>
  <w:style w:type="character" w:customStyle="1" w:styleId="1060">
    <w:name w:val="1表格中字 Char"/>
    <w:link w:val="1061"/>
    <w:qFormat/>
    <w:uiPriority w:val="0"/>
    <w:rPr>
      <w:rFonts w:hAnsi="宋体"/>
      <w:kern w:val="2"/>
      <w:sz w:val="21"/>
      <w:szCs w:val="21"/>
    </w:rPr>
  </w:style>
  <w:style w:type="paragraph" w:customStyle="1" w:styleId="1061">
    <w:name w:val="1表格中字"/>
    <w:basedOn w:val="1"/>
    <w:link w:val="1060"/>
    <w:qFormat/>
    <w:uiPriority w:val="0"/>
    <w:pPr>
      <w:snapToGrid w:val="0"/>
      <w:jc w:val="center"/>
    </w:pPr>
    <w:rPr>
      <w:rFonts w:hAnsi="宋体"/>
      <w:szCs w:val="21"/>
    </w:rPr>
  </w:style>
  <w:style w:type="paragraph" w:customStyle="1" w:styleId="1062">
    <w:name w:val="Char Char Char Char1 Char"/>
    <w:basedOn w:val="1"/>
    <w:qFormat/>
    <w:uiPriority w:val="0"/>
  </w:style>
  <w:style w:type="character" w:customStyle="1" w:styleId="1063">
    <w:name w:val="长宁  2级标题"/>
    <w:qFormat/>
    <w:uiPriority w:val="9"/>
    <w:rPr>
      <w:rFonts w:ascii="Times New Roman" w:hAnsi="Times New Roman" w:eastAsia="宋体" w:cs="Times New Roman"/>
      <w:b/>
      <w:bCs/>
      <w:sz w:val="32"/>
      <w:szCs w:val="32"/>
    </w:rPr>
  </w:style>
  <w:style w:type="character" w:customStyle="1" w:styleId="1064">
    <w:name w:val="+1表头 字符"/>
    <w:link w:val="1065"/>
    <w:qFormat/>
    <w:uiPriority w:val="0"/>
    <w:rPr>
      <w:kern w:val="2"/>
      <w:sz w:val="26"/>
      <w:szCs w:val="26"/>
    </w:rPr>
  </w:style>
  <w:style w:type="paragraph" w:customStyle="1" w:styleId="1065">
    <w:name w:val="+1表头"/>
    <w:basedOn w:val="1"/>
    <w:link w:val="1064"/>
    <w:qFormat/>
    <w:uiPriority w:val="0"/>
    <w:pPr>
      <w:tabs>
        <w:tab w:val="right" w:pos="8730"/>
      </w:tabs>
      <w:adjustRightInd w:val="0"/>
      <w:snapToGrid w:val="0"/>
      <w:jc w:val="center"/>
    </w:pPr>
    <w:rPr>
      <w:sz w:val="26"/>
      <w:szCs w:val="26"/>
    </w:rPr>
  </w:style>
  <w:style w:type="paragraph" w:customStyle="1" w:styleId="1066">
    <w:name w:val="+0单倍行距"/>
    <w:basedOn w:val="1"/>
    <w:uiPriority w:val="0"/>
    <w:pPr>
      <w:adjustRightInd w:val="0"/>
      <w:snapToGrid w:val="0"/>
      <w:ind w:firstLine="200" w:firstLineChars="200"/>
    </w:pPr>
    <w:rPr>
      <w:rFonts w:cs="宋体"/>
      <w:snapToGrid w:val="0"/>
      <w:kern w:val="0"/>
      <w:sz w:val="26"/>
      <w:szCs w:val="20"/>
    </w:rPr>
  </w:style>
  <w:style w:type="character" w:customStyle="1" w:styleId="1067">
    <w:name w:val="纯文本 字符2"/>
    <w:qFormat/>
    <w:uiPriority w:val="0"/>
    <w:rPr>
      <w:rFonts w:ascii="宋体" w:hAnsi="Courier New" w:eastAsia="宋体"/>
      <w:kern w:val="44"/>
    </w:rPr>
  </w:style>
  <w:style w:type="paragraph" w:customStyle="1" w:styleId="1068">
    <w:name w:val="+3三级标题"/>
    <w:basedOn w:val="702"/>
    <w:qFormat/>
    <w:uiPriority w:val="0"/>
    <w:pPr>
      <w:ind w:firstLine="522"/>
      <w:outlineLvl w:val="2"/>
    </w:pPr>
    <w:rPr>
      <w:b/>
    </w:rPr>
  </w:style>
  <w:style w:type="paragraph" w:customStyle="1" w:styleId="1069">
    <w:name w:val="！正文"/>
    <w:basedOn w:val="1"/>
    <w:link w:val="1070"/>
    <w:uiPriority w:val="0"/>
    <w:pPr>
      <w:spacing w:line="360" w:lineRule="auto"/>
      <w:ind w:firstLine="200" w:firstLineChars="200"/>
    </w:pPr>
    <w:rPr>
      <w:rFonts w:hAnsi="Calibri" w:cs="Calibri"/>
      <w:sz w:val="24"/>
      <w:szCs w:val="20"/>
    </w:rPr>
  </w:style>
  <w:style w:type="character" w:customStyle="1" w:styleId="1070">
    <w:name w:val="！正文 Char Char"/>
    <w:link w:val="1069"/>
    <w:qFormat/>
    <w:uiPriority w:val="0"/>
    <w:rPr>
      <w:rFonts w:hAnsi="Calibri" w:cs="Calibri"/>
      <w:kern w:val="2"/>
      <w:sz w:val="24"/>
    </w:rPr>
  </w:style>
  <w:style w:type="character" w:customStyle="1" w:styleId="1071">
    <w:name w:val="图表标题 字符"/>
    <w:link w:val="1072"/>
    <w:qFormat/>
    <w:uiPriority w:val="0"/>
    <w:rPr>
      <w:rFonts w:eastAsia="楷体" w:cs="宋体"/>
      <w:b/>
      <w:sz w:val="22"/>
      <w:szCs w:val="24"/>
    </w:rPr>
  </w:style>
  <w:style w:type="paragraph" w:customStyle="1" w:styleId="1072">
    <w:name w:val="图表标题"/>
    <w:basedOn w:val="1"/>
    <w:link w:val="1071"/>
    <w:qFormat/>
    <w:uiPriority w:val="0"/>
    <w:pPr>
      <w:spacing w:line="360" w:lineRule="auto"/>
      <w:jc w:val="center"/>
      <w:outlineLvl w:val="5"/>
    </w:pPr>
    <w:rPr>
      <w:rFonts w:eastAsia="楷体" w:cs="宋体"/>
      <w:b/>
      <w:kern w:val="0"/>
      <w:sz w:val="22"/>
    </w:rPr>
  </w:style>
  <w:style w:type="character" w:customStyle="1" w:styleId="1073">
    <w:name w:val="表格内容 字符"/>
    <w:qFormat/>
    <w:uiPriority w:val="0"/>
    <w:rPr>
      <w:rFonts w:ascii="Cambria" w:hAnsi="Cambria"/>
      <w:kern w:val="2"/>
      <w:sz w:val="21"/>
    </w:rPr>
  </w:style>
  <w:style w:type="paragraph" w:customStyle="1" w:styleId="1074">
    <w:name w:val="图    表标题"/>
    <w:qFormat/>
    <w:uiPriority w:val="0"/>
    <w:pPr>
      <w:keepNext/>
      <w:snapToGrid w:val="0"/>
      <w:spacing w:line="0" w:lineRule="atLeast"/>
      <w:ind w:firstLine="480"/>
      <w:jc w:val="center"/>
    </w:pPr>
    <w:rPr>
      <w:rFonts w:ascii="Times New Roman" w:hAnsi="Times New Roman" w:eastAsia="黑体" w:cs="Times New Roman"/>
      <w:kern w:val="2"/>
      <w:sz w:val="21"/>
      <w:szCs w:val="24"/>
      <w:lang w:val="en-US" w:eastAsia="zh-CN" w:bidi="ar-SA"/>
    </w:rPr>
  </w:style>
  <w:style w:type="character" w:customStyle="1" w:styleId="1075">
    <w:name w:val="SSEC正文 20150323 Char"/>
    <w:link w:val="1076"/>
    <w:qFormat/>
    <w:uiPriority w:val="0"/>
    <w:rPr>
      <w:rFonts w:ascii="宋体" w:hAnsi="宋体"/>
      <w:sz w:val="24"/>
      <w:szCs w:val="24"/>
    </w:rPr>
  </w:style>
  <w:style w:type="paragraph" w:customStyle="1" w:styleId="1076">
    <w:name w:val="SSEC正文 20150323"/>
    <w:link w:val="1075"/>
    <w:qFormat/>
    <w:uiPriority w:val="0"/>
    <w:pPr>
      <w:adjustRightInd w:val="0"/>
      <w:snapToGrid w:val="0"/>
      <w:spacing w:line="331" w:lineRule="auto"/>
      <w:ind w:firstLine="200" w:firstLineChars="200"/>
      <w:jc w:val="both"/>
    </w:pPr>
    <w:rPr>
      <w:rFonts w:ascii="宋体" w:hAnsi="宋体" w:eastAsia="宋体" w:cs="Times New Roman"/>
      <w:sz w:val="24"/>
      <w:szCs w:val="24"/>
      <w:lang w:val="en-US" w:eastAsia="zh-CN" w:bidi="ar-SA"/>
    </w:rPr>
  </w:style>
  <w:style w:type="character" w:customStyle="1" w:styleId="1077">
    <w:name w:val="zhengwen Char1"/>
    <w:link w:val="1078"/>
    <w:qFormat/>
    <w:uiPriority w:val="0"/>
    <w:rPr>
      <w:rFonts w:ascii="Arial" w:hAnsi="Arial" w:cs="Arial"/>
      <w:sz w:val="24"/>
      <w:szCs w:val="24"/>
    </w:rPr>
  </w:style>
  <w:style w:type="paragraph" w:customStyle="1" w:styleId="1078">
    <w:name w:val="zhengwen"/>
    <w:basedOn w:val="1"/>
    <w:link w:val="1077"/>
    <w:qFormat/>
    <w:uiPriority w:val="0"/>
    <w:pPr>
      <w:snapToGrid w:val="0"/>
      <w:spacing w:line="360" w:lineRule="auto"/>
      <w:ind w:firstLine="200" w:firstLineChars="200"/>
    </w:pPr>
    <w:rPr>
      <w:rFonts w:ascii="Arial" w:hAnsi="Arial" w:cs="Arial"/>
      <w:kern w:val="0"/>
      <w:sz w:val="24"/>
    </w:rPr>
  </w:style>
  <w:style w:type="paragraph" w:customStyle="1" w:styleId="1079">
    <w:name w:val="z 表格内容"/>
    <w:basedOn w:val="1"/>
    <w:qFormat/>
    <w:uiPriority w:val="0"/>
    <w:pPr>
      <w:jc w:val="center"/>
    </w:pPr>
    <w:rPr>
      <w:szCs w:val="20"/>
    </w:rPr>
  </w:style>
  <w:style w:type="paragraph" w:customStyle="1" w:styleId="1080">
    <w:name w:val="!表格(alt+t)"/>
    <w:next w:val="1"/>
    <w:uiPriority w:val="0"/>
    <w:pPr>
      <w:adjustRightInd w:val="0"/>
      <w:spacing w:line="260" w:lineRule="exact"/>
      <w:jc w:val="center"/>
      <w:textAlignment w:val="center"/>
    </w:pPr>
    <w:rPr>
      <w:rFonts w:ascii="Times New Roman" w:hAnsi="Times New Roman" w:eastAsia="宋体" w:cs="Times New Roman"/>
      <w:color w:val="000000"/>
      <w:sz w:val="21"/>
      <w:lang w:val="en-US" w:eastAsia="zh-CN" w:bidi="ar-SA"/>
    </w:rPr>
  </w:style>
  <w:style w:type="character" w:customStyle="1" w:styleId="1081">
    <w:name w:val="列出段落 Char"/>
    <w:link w:val="1082"/>
    <w:qFormat/>
    <w:locked/>
    <w:uiPriority w:val="34"/>
    <w:rPr>
      <w:rFonts w:ascii="宋体"/>
      <w:b/>
      <w:sz w:val="28"/>
      <w:szCs w:val="28"/>
    </w:rPr>
  </w:style>
  <w:style w:type="paragraph" w:customStyle="1" w:styleId="1082">
    <w:name w:val="列出段落3"/>
    <w:basedOn w:val="1"/>
    <w:link w:val="1081"/>
    <w:qFormat/>
    <w:uiPriority w:val="34"/>
    <w:pPr>
      <w:widowControl/>
      <w:adjustRightInd w:val="0"/>
      <w:snapToGrid w:val="0"/>
      <w:spacing w:line="300" w:lineRule="auto"/>
      <w:ind w:firstLine="200" w:firstLineChars="200"/>
      <w:jc w:val="left"/>
      <w:textAlignment w:val="baseline"/>
      <w:outlineLvl w:val="2"/>
    </w:pPr>
    <w:rPr>
      <w:rFonts w:ascii="宋体"/>
      <w:b/>
      <w:kern w:val="0"/>
      <w:sz w:val="28"/>
      <w:szCs w:val="28"/>
    </w:rPr>
  </w:style>
  <w:style w:type="character" w:customStyle="1" w:styleId="1083">
    <w:name w:val="称呼 字符"/>
    <w:link w:val="30"/>
    <w:qFormat/>
    <w:uiPriority w:val="0"/>
    <w:rPr>
      <w:rFonts w:ascii="宋体"/>
      <w:sz w:val="28"/>
      <w:szCs w:val="28"/>
    </w:rPr>
  </w:style>
  <w:style w:type="character" w:customStyle="1" w:styleId="1084">
    <w:name w:val="称呼 字符1"/>
    <w:basedOn w:val="97"/>
    <w:qFormat/>
    <w:uiPriority w:val="0"/>
    <w:rPr>
      <w:kern w:val="2"/>
      <w:sz w:val="21"/>
      <w:szCs w:val="24"/>
    </w:rPr>
  </w:style>
  <w:style w:type="paragraph" w:customStyle="1" w:styleId="1085">
    <w:name w:val="报告书"/>
    <w:basedOn w:val="1"/>
    <w:qFormat/>
    <w:uiPriority w:val="0"/>
    <w:pPr>
      <w:autoSpaceDE w:val="0"/>
      <w:autoSpaceDN w:val="0"/>
      <w:adjustRightInd w:val="0"/>
      <w:spacing w:line="360" w:lineRule="auto"/>
      <w:ind w:firstLine="505"/>
      <w:jc w:val="left"/>
      <w:textAlignment w:val="bottom"/>
    </w:pPr>
    <w:rPr>
      <w:kern w:val="0"/>
      <w:sz w:val="24"/>
      <w:szCs w:val="20"/>
    </w:rPr>
  </w:style>
  <w:style w:type="table" w:customStyle="1" w:styleId="1086">
    <w:name w:val="网格型1"/>
    <w:basedOn w:val="88"/>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87">
    <w:name w:val="宏文本 字符"/>
    <w:basedOn w:val="97"/>
    <w:link w:val="2"/>
    <w:qFormat/>
    <w:uiPriority w:val="99"/>
    <w:rPr>
      <w:rFonts w:ascii="宋体" w:hAnsi="宋体" w:cs="Calibri"/>
      <w:sz w:val="24"/>
      <w:szCs w:val="24"/>
    </w:rPr>
  </w:style>
  <w:style w:type="character" w:customStyle="1" w:styleId="1088">
    <w:name w:val="正文文本 字符2"/>
    <w:qFormat/>
    <w:uiPriority w:val="0"/>
    <w:rPr>
      <w:rFonts w:ascii="宋体" w:hAnsi="宋体"/>
      <w:sz w:val="24"/>
    </w:rPr>
  </w:style>
  <w:style w:type="character" w:customStyle="1" w:styleId="1089">
    <w:name w:val="注释标题 字符2"/>
    <w:qFormat/>
    <w:uiPriority w:val="0"/>
    <w:rPr>
      <w:rFonts w:ascii="宋体"/>
      <w:kern w:val="2"/>
      <w:sz w:val="21"/>
      <w:szCs w:val="24"/>
    </w:rPr>
  </w:style>
  <w:style w:type="character" w:customStyle="1" w:styleId="1090">
    <w:name w:val="正文缩进 字符2"/>
    <w:qFormat/>
    <w:uiPriority w:val="0"/>
    <w:rPr>
      <w:rFonts w:ascii="Calibri" w:hAnsi="Calibri"/>
      <w:kern w:val="2"/>
      <w:sz w:val="24"/>
      <w:szCs w:val="24"/>
    </w:rPr>
  </w:style>
  <w:style w:type="character" w:customStyle="1" w:styleId="1091">
    <w:name w:val="题注 字符2"/>
    <w:qFormat/>
    <w:uiPriority w:val="99"/>
    <w:rPr>
      <w:rFonts w:ascii="Arial" w:hAnsi="Arial" w:cs="Arial"/>
      <w:b/>
      <w:kern w:val="2"/>
      <w:sz w:val="24"/>
      <w:szCs w:val="24"/>
    </w:rPr>
  </w:style>
  <w:style w:type="character" w:customStyle="1" w:styleId="1092">
    <w:name w:val="批注文字 字符2"/>
    <w:qFormat/>
    <w:uiPriority w:val="0"/>
  </w:style>
  <w:style w:type="character" w:customStyle="1" w:styleId="1093">
    <w:name w:val="批注框文本 字符1"/>
    <w:qFormat/>
    <w:uiPriority w:val="99"/>
    <w:rPr>
      <w:rFonts w:ascii="Calibri" w:hAnsi="Calibri"/>
      <w:kern w:val="2"/>
      <w:sz w:val="18"/>
      <w:szCs w:val="18"/>
    </w:rPr>
  </w:style>
  <w:style w:type="character" w:customStyle="1" w:styleId="1094">
    <w:name w:val="正文文本缩进 3 字符2"/>
    <w:qFormat/>
    <w:uiPriority w:val="99"/>
    <w:rPr>
      <w:rFonts w:ascii="Times New Roman"/>
      <w:kern w:val="2"/>
    </w:rPr>
  </w:style>
  <w:style w:type="character" w:customStyle="1" w:styleId="1095">
    <w:name w:val="批注主题 字符2"/>
    <w:qFormat/>
    <w:uiPriority w:val="99"/>
    <w:rPr>
      <w:rFonts w:ascii="Calibri" w:hAnsi="Calibri"/>
      <w:b/>
      <w:bCs/>
      <w:kern w:val="2"/>
      <w:sz w:val="24"/>
      <w:szCs w:val="24"/>
    </w:rPr>
  </w:style>
  <w:style w:type="character" w:customStyle="1" w:styleId="1096">
    <w:name w:val="标题 1 字符1"/>
    <w:qFormat/>
    <w:uiPriority w:val="0"/>
    <w:rPr>
      <w:rFonts w:ascii="Calibri" w:hAnsi="Calibri"/>
      <w:b/>
      <w:kern w:val="44"/>
      <w:sz w:val="44"/>
      <w:szCs w:val="24"/>
    </w:rPr>
  </w:style>
  <w:style w:type="character" w:customStyle="1" w:styleId="1097">
    <w:name w:val="标题 2 字符1"/>
    <w:qFormat/>
    <w:uiPriority w:val="0"/>
    <w:rPr>
      <w:b/>
      <w:bCs/>
      <w:kern w:val="2"/>
      <w:sz w:val="28"/>
      <w:szCs w:val="24"/>
    </w:rPr>
  </w:style>
  <w:style w:type="character" w:customStyle="1" w:styleId="1098">
    <w:name w:val="标题 3 字符1"/>
    <w:qFormat/>
    <w:uiPriority w:val="9"/>
    <w:rPr>
      <w:rFonts w:ascii="宋体" w:hAnsi="宋体" w:eastAsia="宋体"/>
      <w:b/>
      <w:sz w:val="24"/>
    </w:rPr>
  </w:style>
  <w:style w:type="character" w:customStyle="1" w:styleId="1099">
    <w:name w:val="页脚 字符2"/>
    <w:qFormat/>
    <w:uiPriority w:val="0"/>
    <w:rPr>
      <w:rFonts w:ascii="Calibri" w:hAnsi="Calibri"/>
      <w:kern w:val="2"/>
      <w:sz w:val="18"/>
      <w:szCs w:val="24"/>
    </w:rPr>
  </w:style>
  <w:style w:type="character" w:customStyle="1" w:styleId="1100">
    <w:name w:val="页眉 字符2"/>
    <w:qFormat/>
    <w:uiPriority w:val="0"/>
    <w:rPr>
      <w:rFonts w:ascii="Calibri" w:hAnsi="Calibri"/>
      <w:kern w:val="2"/>
      <w:sz w:val="18"/>
      <w:szCs w:val="24"/>
    </w:rPr>
  </w:style>
  <w:style w:type="character" w:customStyle="1" w:styleId="1101">
    <w:name w:val="表格字体 华文仿宋"/>
    <w:qFormat/>
    <w:uiPriority w:val="0"/>
    <w:rPr>
      <w:rFonts w:hint="eastAsia" w:ascii="华文仿宋" w:hAnsi="华文仿宋" w:eastAsia="华文仿宋"/>
      <w:szCs w:val="21"/>
    </w:rPr>
  </w:style>
  <w:style w:type="character" w:customStyle="1" w:styleId="1102">
    <w:name w:val="16"/>
    <w:qFormat/>
    <w:uiPriority w:val="0"/>
    <w:rPr>
      <w:rFonts w:hint="eastAsia" w:ascii="PMingLiU" w:hAnsi="PMingLiU" w:eastAsia="PMingLiU" w:cs="宋体"/>
      <w:color w:val="000000"/>
      <w:spacing w:val="20"/>
      <w:sz w:val="13"/>
      <w:szCs w:val="13"/>
    </w:rPr>
  </w:style>
  <w:style w:type="character" w:customStyle="1" w:styleId="1103">
    <w:name w:val="表头图注 Char Char"/>
    <w:link w:val="1104"/>
    <w:qFormat/>
    <w:uiPriority w:val="99"/>
    <w:rPr>
      <w:rFonts w:ascii="黑体" w:eastAsia="黑体" w:cs="宋体"/>
      <w:szCs w:val="21"/>
    </w:rPr>
  </w:style>
  <w:style w:type="paragraph" w:customStyle="1" w:styleId="1104">
    <w:name w:val="表头图注"/>
    <w:basedOn w:val="1"/>
    <w:link w:val="1103"/>
    <w:qFormat/>
    <w:uiPriority w:val="99"/>
    <w:pPr>
      <w:jc w:val="center"/>
    </w:pPr>
    <w:rPr>
      <w:rFonts w:ascii="黑体" w:eastAsia="黑体" w:cs="宋体"/>
      <w:kern w:val="0"/>
      <w:sz w:val="20"/>
      <w:szCs w:val="21"/>
    </w:rPr>
  </w:style>
  <w:style w:type="paragraph" w:customStyle="1" w:styleId="1105">
    <w:name w:val="ENFI图表标题"/>
    <w:basedOn w:val="1"/>
    <w:qFormat/>
    <w:uiPriority w:val="0"/>
    <w:pPr>
      <w:widowControl/>
      <w:adjustRightInd w:val="0"/>
      <w:snapToGrid w:val="0"/>
      <w:spacing w:before="120" w:line="240" w:lineRule="atLeast"/>
      <w:jc w:val="center"/>
    </w:pPr>
    <w:rPr>
      <w:rFonts w:ascii="Calibri" w:hAnsi="Calibri" w:eastAsia="仿宋_GB2312" w:cs="Calibri"/>
      <w:b/>
      <w:kern w:val="0"/>
      <w:sz w:val="28"/>
    </w:rPr>
  </w:style>
  <w:style w:type="paragraph" w:customStyle="1" w:styleId="1106">
    <w:name w:val="Header or footer|1"/>
    <w:basedOn w:val="1"/>
    <w:qFormat/>
    <w:uiPriority w:val="0"/>
    <w:rPr>
      <w:rFonts w:ascii="MingLiU" w:hAnsi="MingLiU" w:eastAsia="MingLiU" w:cs="MingLiU"/>
      <w:color w:val="231F20"/>
      <w:sz w:val="16"/>
      <w:szCs w:val="16"/>
      <w:lang w:val="zh-TW" w:eastAsia="zh-TW" w:bidi="zh-TW"/>
    </w:rPr>
  </w:style>
  <w:style w:type="paragraph" w:customStyle="1" w:styleId="1107">
    <w:name w:val="章标题"/>
    <w:qFormat/>
    <w:uiPriority w:val="0"/>
    <w:pPr>
      <w:numPr>
        <w:ilvl w:val="0"/>
        <w:numId w:val="11"/>
      </w:numPr>
      <w:spacing w:before="312" w:beforeLines="100" w:after="312" w:afterLines="100"/>
      <w:jc w:val="both"/>
      <w:outlineLvl w:val="1"/>
    </w:pPr>
    <w:rPr>
      <w:rFonts w:ascii="黑体" w:hAnsi="Calibri" w:eastAsia="黑体" w:cs="Calibri"/>
      <w:kern w:val="2"/>
      <w:sz w:val="21"/>
      <w:szCs w:val="28"/>
      <w:lang w:val="en-US" w:eastAsia="zh-CN" w:bidi="ar-SA"/>
    </w:rPr>
  </w:style>
  <w:style w:type="paragraph" w:customStyle="1" w:styleId="1108">
    <w:name w:val="段"/>
    <w:basedOn w:val="1"/>
    <w:link w:val="1109"/>
    <w:qFormat/>
    <w:uiPriority w:val="0"/>
    <w:pPr>
      <w:widowControl/>
      <w:autoSpaceDE w:val="0"/>
      <w:autoSpaceDN w:val="0"/>
      <w:ind w:firstLine="200" w:firstLineChars="200"/>
    </w:pPr>
    <w:rPr>
      <w:rFonts w:hint="eastAsia" w:ascii="宋体"/>
      <w:kern w:val="0"/>
      <w:szCs w:val="22"/>
    </w:rPr>
  </w:style>
  <w:style w:type="character" w:customStyle="1" w:styleId="1109">
    <w:name w:val="段 Char"/>
    <w:link w:val="1108"/>
    <w:qFormat/>
    <w:uiPriority w:val="0"/>
    <w:rPr>
      <w:rFonts w:ascii="宋体"/>
      <w:sz w:val="21"/>
      <w:szCs w:val="22"/>
    </w:rPr>
  </w:style>
  <w:style w:type="paragraph" w:customStyle="1" w:styleId="1110">
    <w:name w:val="正文格式"/>
    <w:basedOn w:val="1"/>
    <w:link w:val="1111"/>
    <w:qFormat/>
    <w:uiPriority w:val="0"/>
    <w:pPr>
      <w:spacing w:line="360" w:lineRule="auto"/>
      <w:ind w:firstLine="482"/>
    </w:pPr>
    <w:rPr>
      <w:rFonts w:ascii="宋体" w:hAnsi="宋体" w:cs="Calibri"/>
      <w:kern w:val="0"/>
      <w:sz w:val="24"/>
    </w:rPr>
  </w:style>
  <w:style w:type="character" w:customStyle="1" w:styleId="1111">
    <w:name w:val="正文格式 Char"/>
    <w:link w:val="1110"/>
    <w:qFormat/>
    <w:uiPriority w:val="0"/>
    <w:rPr>
      <w:rFonts w:ascii="宋体" w:hAnsi="宋体" w:cs="Calibri"/>
      <w:sz w:val="24"/>
      <w:szCs w:val="24"/>
    </w:rPr>
  </w:style>
  <w:style w:type="paragraph" w:customStyle="1" w:styleId="1112">
    <w:name w:val="报告表正文2"/>
    <w:basedOn w:val="1"/>
    <w:qFormat/>
    <w:uiPriority w:val="0"/>
    <w:pPr>
      <w:adjustRightInd w:val="0"/>
      <w:snapToGrid w:val="0"/>
      <w:spacing w:before="60" w:line="460" w:lineRule="exact"/>
      <w:ind w:firstLine="480" w:firstLineChars="200"/>
    </w:pPr>
    <w:rPr>
      <w:rFonts w:ascii="Calibri" w:hAnsi="Calibri" w:cs="Calibri"/>
      <w:kern w:val="0"/>
      <w:sz w:val="24"/>
    </w:rPr>
  </w:style>
  <w:style w:type="paragraph" w:customStyle="1" w:styleId="1113">
    <w:name w:val="样式 表中文字 +"/>
    <w:qFormat/>
    <w:uiPriority w:val="0"/>
    <w:pPr>
      <w:widowControl w:val="0"/>
      <w:adjustRightInd w:val="0"/>
      <w:snapToGrid w:val="0"/>
      <w:spacing w:line="400" w:lineRule="exact"/>
      <w:jc w:val="center"/>
    </w:pPr>
    <w:rPr>
      <w:rFonts w:ascii="Calibri" w:hAnsi="Calibri" w:eastAsia="宋体" w:cs="Calibri"/>
      <w:sz w:val="21"/>
      <w:lang w:val="en-US" w:eastAsia="zh-CN" w:bidi="ar-SA"/>
    </w:rPr>
  </w:style>
  <w:style w:type="paragraph" w:customStyle="1" w:styleId="1114">
    <w:name w:val="Normal Indent1"/>
    <w:basedOn w:val="1"/>
    <w:qFormat/>
    <w:uiPriority w:val="0"/>
    <w:pPr>
      <w:ind w:firstLine="420" w:firstLineChars="200"/>
    </w:pPr>
    <w:rPr>
      <w:rFonts w:ascii="Calibri" w:hAnsi="Calibri" w:cs="Calibri"/>
      <w:sz w:val="24"/>
    </w:rPr>
  </w:style>
  <w:style w:type="paragraph" w:customStyle="1" w:styleId="1115">
    <w:name w:val="正文文本缩进 21"/>
    <w:basedOn w:val="1"/>
    <w:qFormat/>
    <w:uiPriority w:val="0"/>
    <w:pPr>
      <w:spacing w:line="480" w:lineRule="auto"/>
      <w:ind w:left="420" w:leftChars="200"/>
    </w:pPr>
    <w:rPr>
      <w:rFonts w:ascii="Calibri" w:hAnsi="Calibri" w:cs="Calibri"/>
      <w:sz w:val="24"/>
    </w:rPr>
  </w:style>
  <w:style w:type="paragraph" w:customStyle="1" w:styleId="1116">
    <w:name w:val="纯文本1"/>
    <w:basedOn w:val="1"/>
    <w:qFormat/>
    <w:uiPriority w:val="0"/>
    <w:pPr>
      <w:adjustRightInd w:val="0"/>
      <w:jc w:val="center"/>
      <w:textAlignment w:val="baseline"/>
    </w:pPr>
    <w:rPr>
      <w:rFonts w:ascii="宋体" w:hAnsi="Courier New" w:cs="Calibri"/>
      <w:sz w:val="24"/>
      <w:szCs w:val="20"/>
    </w:rPr>
  </w:style>
  <w:style w:type="paragraph" w:customStyle="1" w:styleId="1117">
    <w:name w:val="四级条标题"/>
    <w:next w:val="1108"/>
    <w:qFormat/>
    <w:uiPriority w:val="0"/>
    <w:pPr>
      <w:numPr>
        <w:ilvl w:val="4"/>
        <w:numId w:val="12"/>
      </w:numPr>
      <w:tabs>
        <w:tab w:val="left" w:pos="720"/>
      </w:tabs>
      <w:outlineLvl w:val="5"/>
    </w:pPr>
    <w:rPr>
      <w:rFonts w:hint="eastAsia" w:ascii="Times New Roman" w:hAnsi="Times New Roman" w:eastAsia="宋体" w:cs="Times New Roman"/>
      <w:lang w:val="en-US" w:eastAsia="zh-CN" w:bidi="ar-SA"/>
    </w:rPr>
  </w:style>
  <w:style w:type="paragraph" w:customStyle="1" w:styleId="1118">
    <w:name w:val="三级条标题"/>
    <w:next w:val="1108"/>
    <w:qFormat/>
    <w:uiPriority w:val="0"/>
    <w:pPr>
      <w:tabs>
        <w:tab w:val="left" w:pos="720"/>
      </w:tabs>
      <w:outlineLvl w:val="4"/>
    </w:pPr>
    <w:rPr>
      <w:rFonts w:ascii="Times New Roman" w:hAnsi="Times New Roman" w:eastAsia="宋体" w:cs="Times New Roman"/>
      <w:lang w:val="en-US" w:eastAsia="zh-CN" w:bidi="ar-SA"/>
    </w:rPr>
  </w:style>
  <w:style w:type="paragraph" w:customStyle="1" w:styleId="1119">
    <w:name w:val="二级条标题"/>
    <w:next w:val="1108"/>
    <w:qFormat/>
    <w:uiPriority w:val="0"/>
    <w:pPr>
      <w:tabs>
        <w:tab w:val="left" w:pos="720"/>
      </w:tabs>
      <w:spacing w:before="50" w:after="50"/>
      <w:outlineLvl w:val="3"/>
    </w:pPr>
    <w:rPr>
      <w:rFonts w:ascii="Times New Roman" w:hAnsi="Times New Roman" w:eastAsia="宋体" w:cs="Times New Roman"/>
      <w:lang w:val="en-US" w:eastAsia="zh-CN" w:bidi="ar-SA"/>
    </w:rPr>
  </w:style>
  <w:style w:type="paragraph" w:customStyle="1" w:styleId="1120">
    <w:name w:val="一级条标题"/>
    <w:basedOn w:val="1107"/>
    <w:next w:val="1108"/>
    <w:qFormat/>
    <w:uiPriority w:val="0"/>
    <w:pPr>
      <w:numPr>
        <w:ilvl w:val="1"/>
      </w:numPr>
      <w:spacing w:before="156" w:beforeLines="50" w:after="156" w:afterLines="50"/>
      <w:ind w:left="0"/>
      <w:outlineLvl w:val="2"/>
    </w:pPr>
    <w:rPr>
      <w:szCs w:val="21"/>
    </w:rPr>
  </w:style>
  <w:style w:type="paragraph" w:customStyle="1" w:styleId="1121">
    <w:name w:val="正本文字"/>
    <w:basedOn w:val="1"/>
    <w:qFormat/>
    <w:uiPriority w:val="0"/>
    <w:pPr>
      <w:adjustRightInd w:val="0"/>
      <w:snapToGrid w:val="0"/>
      <w:spacing w:line="360" w:lineRule="auto"/>
      <w:ind w:firstLine="200" w:firstLineChars="200"/>
      <w:jc w:val="left"/>
    </w:pPr>
    <w:rPr>
      <w:rFonts w:cs="宋体"/>
      <w:kern w:val="18"/>
      <w:sz w:val="24"/>
    </w:rPr>
  </w:style>
  <w:style w:type="paragraph" w:customStyle="1" w:styleId="1122">
    <w:name w:val="表格标题"/>
    <w:basedOn w:val="1"/>
    <w:next w:val="372"/>
    <w:link w:val="1123"/>
    <w:qFormat/>
    <w:uiPriority w:val="0"/>
    <w:pPr>
      <w:keepNext/>
      <w:widowControl/>
      <w:overflowPunct w:val="0"/>
      <w:adjustRightInd w:val="0"/>
      <w:snapToGrid w:val="0"/>
      <w:spacing w:line="360" w:lineRule="auto"/>
      <w:jc w:val="center"/>
      <w:textAlignment w:val="baseline"/>
    </w:pPr>
    <w:rPr>
      <w:rFonts w:ascii="Calibri" w:hAnsi="Calibri" w:cs="Calibri"/>
      <w:b/>
      <w:kern w:val="0"/>
      <w:sz w:val="24"/>
      <w:szCs w:val="20"/>
    </w:rPr>
  </w:style>
  <w:style w:type="character" w:customStyle="1" w:styleId="1123">
    <w:name w:val="表格标题 Char"/>
    <w:link w:val="1122"/>
    <w:qFormat/>
    <w:uiPriority w:val="0"/>
    <w:rPr>
      <w:rFonts w:ascii="Calibri" w:hAnsi="Calibri" w:cs="Calibri"/>
      <w:b/>
      <w:sz w:val="24"/>
    </w:rPr>
  </w:style>
  <w:style w:type="paragraph" w:customStyle="1" w:styleId="1124">
    <w:name w:val="Body text|2"/>
    <w:basedOn w:val="1"/>
    <w:qFormat/>
    <w:uiPriority w:val="0"/>
    <w:pPr>
      <w:spacing w:line="497" w:lineRule="exact"/>
      <w:ind w:firstLine="560"/>
    </w:pPr>
    <w:rPr>
      <w:rFonts w:ascii="Calibri" w:hAnsi="Calibri" w:cs="Calibri"/>
      <w:color w:val="231F20"/>
      <w:sz w:val="24"/>
    </w:rPr>
  </w:style>
  <w:style w:type="paragraph" w:customStyle="1" w:styleId="1125">
    <w:name w:val="ENFI表体注"/>
    <w:qFormat/>
    <w:uiPriority w:val="0"/>
    <w:pPr>
      <w:widowControl w:val="0"/>
      <w:spacing w:before="20"/>
      <w:ind w:left="-96" w:right="-85"/>
      <w:jc w:val="both"/>
      <w:textAlignment w:val="baseline"/>
    </w:pPr>
    <w:rPr>
      <w:rFonts w:ascii="仿宋_GB2312" w:hAnsi="Courier New" w:eastAsia="宋体" w:cs="Times New Roman"/>
      <w:spacing w:val="-6"/>
      <w:sz w:val="21"/>
      <w:szCs w:val="21"/>
      <w:lang w:val="zh-CN" w:eastAsia="zh-CN" w:bidi="ar-SA"/>
    </w:rPr>
  </w:style>
  <w:style w:type="paragraph" w:customStyle="1" w:styleId="1126">
    <w:name w:val="ENFI表体"/>
    <w:basedOn w:val="1"/>
    <w:qFormat/>
    <w:uiPriority w:val="0"/>
    <w:pPr>
      <w:widowControl/>
      <w:adjustRightInd w:val="0"/>
      <w:snapToGrid w:val="0"/>
      <w:spacing w:line="240" w:lineRule="atLeast"/>
      <w:jc w:val="center"/>
    </w:pPr>
    <w:rPr>
      <w:rFonts w:ascii="Calibri" w:hAnsi="Calibri" w:eastAsia="仿宋_GB2312" w:cs="Calibri"/>
      <w:kern w:val="0"/>
      <w:sz w:val="24"/>
    </w:rPr>
  </w:style>
  <w:style w:type="paragraph" w:customStyle="1" w:styleId="1127">
    <w:name w:val="内容"/>
    <w:link w:val="1128"/>
    <w:qFormat/>
    <w:uiPriority w:val="0"/>
    <w:pPr>
      <w:widowControl w:val="0"/>
      <w:spacing w:line="360" w:lineRule="auto"/>
      <w:ind w:firstLine="960" w:firstLineChars="200"/>
      <w:jc w:val="both"/>
    </w:pPr>
    <w:rPr>
      <w:rFonts w:ascii="Calibri" w:hAnsi="Calibri" w:eastAsia="宋体" w:cs="Calibri"/>
      <w:sz w:val="24"/>
      <w:szCs w:val="24"/>
      <w:lang w:val="en-US" w:eastAsia="zh-CN" w:bidi="ar-SA"/>
    </w:rPr>
  </w:style>
  <w:style w:type="character" w:customStyle="1" w:styleId="1128">
    <w:name w:val="内容 Char"/>
    <w:link w:val="1127"/>
    <w:qFormat/>
    <w:uiPriority w:val="0"/>
    <w:rPr>
      <w:rFonts w:ascii="Calibri" w:hAnsi="Calibri" w:cs="Calibri"/>
      <w:sz w:val="24"/>
      <w:szCs w:val="24"/>
    </w:rPr>
  </w:style>
  <w:style w:type="paragraph" w:customStyle="1" w:styleId="1129">
    <w:name w:val="正文首行缩进 2 + Times New Roman"/>
    <w:basedOn w:val="1"/>
    <w:link w:val="1130"/>
    <w:qFormat/>
    <w:uiPriority w:val="0"/>
    <w:pPr>
      <w:tabs>
        <w:tab w:val="left" w:pos="0"/>
        <w:tab w:val="left" w:pos="870"/>
        <w:tab w:val="left" w:pos="3150"/>
      </w:tabs>
      <w:autoSpaceDE w:val="0"/>
      <w:autoSpaceDN w:val="0"/>
      <w:spacing w:line="360" w:lineRule="auto"/>
      <w:ind w:firstLine="480" w:firstLineChars="200"/>
      <w:jc w:val="left"/>
    </w:pPr>
    <w:rPr>
      <w:rFonts w:ascii="Calibri" w:hAnsi="Calibri" w:cs="Calibri"/>
      <w:kern w:val="0"/>
      <w:sz w:val="24"/>
    </w:rPr>
  </w:style>
  <w:style w:type="character" w:customStyle="1" w:styleId="1130">
    <w:name w:val="正文首行缩进 2 + Times New Roman Char"/>
    <w:link w:val="1129"/>
    <w:qFormat/>
    <w:uiPriority w:val="0"/>
    <w:rPr>
      <w:rFonts w:ascii="Calibri" w:hAnsi="Calibri" w:cs="Calibri"/>
      <w:sz w:val="24"/>
      <w:szCs w:val="24"/>
    </w:rPr>
  </w:style>
  <w:style w:type="paragraph" w:customStyle="1" w:styleId="1131">
    <w:name w:val="ENFI正文"/>
    <w:basedOn w:val="1"/>
    <w:qFormat/>
    <w:uiPriority w:val="0"/>
    <w:pPr>
      <w:adjustRightInd w:val="0"/>
      <w:snapToGrid w:val="0"/>
      <w:spacing w:line="500" w:lineRule="exact"/>
      <w:ind w:firstLine="567"/>
    </w:pPr>
    <w:rPr>
      <w:rFonts w:ascii="Calibri" w:hAnsi="Calibri" w:eastAsia="仿宋_GB2312" w:cs="Calibri"/>
      <w:snapToGrid w:val="0"/>
      <w:color w:val="000000"/>
      <w:kern w:val="0"/>
      <w:sz w:val="28"/>
    </w:rPr>
  </w:style>
  <w:style w:type="paragraph" w:customStyle="1" w:styleId="1132">
    <w:name w:val="标题 #9"/>
    <w:basedOn w:val="1"/>
    <w:qFormat/>
    <w:uiPriority w:val="0"/>
    <w:pPr>
      <w:shd w:val="clear" w:color="auto" w:fill="FFFFFF"/>
      <w:spacing w:after="120" w:line="410" w:lineRule="exact"/>
      <w:outlineLvl w:val="8"/>
    </w:pPr>
    <w:rPr>
      <w:rFonts w:ascii="宋体" w:hAnsi="宋体" w:cs="宋体"/>
      <w:b/>
      <w:bCs/>
      <w:sz w:val="20"/>
      <w:szCs w:val="20"/>
      <w:lang w:val="zh-CN" w:bidi="zh-CN"/>
    </w:rPr>
  </w:style>
  <w:style w:type="paragraph" w:customStyle="1" w:styleId="1133">
    <w:name w:val="Body text|1"/>
    <w:basedOn w:val="1"/>
    <w:qFormat/>
    <w:uiPriority w:val="0"/>
    <w:pPr>
      <w:spacing w:after="100" w:line="451" w:lineRule="auto"/>
      <w:ind w:firstLine="400"/>
    </w:pPr>
    <w:rPr>
      <w:rFonts w:ascii="MingLiU" w:hAnsi="MingLiU" w:eastAsia="MingLiU" w:cs="MingLiU"/>
      <w:color w:val="231F20"/>
      <w:sz w:val="22"/>
      <w:szCs w:val="22"/>
      <w:lang w:val="zh-TW" w:eastAsia="zh-TW" w:bidi="zh-TW"/>
    </w:rPr>
  </w:style>
  <w:style w:type="paragraph" w:customStyle="1" w:styleId="1134">
    <w:name w:val="Table Paragraph"/>
    <w:basedOn w:val="1"/>
    <w:qFormat/>
    <w:uiPriority w:val="1"/>
    <w:pPr>
      <w:jc w:val="center"/>
    </w:pPr>
    <w:rPr>
      <w:rFonts w:ascii="宋体" w:hAnsi="宋体" w:cs="宋体"/>
      <w:sz w:val="24"/>
      <w:lang w:val="zh-CN" w:bidi="zh-CN"/>
    </w:rPr>
  </w:style>
  <w:style w:type="paragraph" w:customStyle="1" w:styleId="1135">
    <w:name w:val="Picture caption|1"/>
    <w:basedOn w:val="1"/>
    <w:qFormat/>
    <w:uiPriority w:val="0"/>
    <w:rPr>
      <w:rFonts w:ascii="MingLiU" w:hAnsi="MingLiU" w:eastAsia="MingLiU" w:cs="MingLiU"/>
      <w:color w:val="231F20"/>
      <w:sz w:val="22"/>
      <w:szCs w:val="22"/>
      <w:lang w:val="zh-TW" w:eastAsia="zh-TW" w:bidi="zh-TW"/>
    </w:rPr>
  </w:style>
  <w:style w:type="paragraph" w:customStyle="1" w:styleId="1136">
    <w:name w:val="普通(网站)1"/>
    <w:basedOn w:val="1"/>
    <w:qFormat/>
    <w:uiPriority w:val="0"/>
    <w:pPr>
      <w:jc w:val="left"/>
    </w:pPr>
    <w:rPr>
      <w:rFonts w:ascii="Calibri" w:hAnsi="Calibri" w:cs="Calibri"/>
      <w:kern w:val="0"/>
      <w:sz w:val="24"/>
    </w:rPr>
  </w:style>
  <w:style w:type="paragraph" w:customStyle="1" w:styleId="1137">
    <w:name w:val="Heading #1|1"/>
    <w:basedOn w:val="1"/>
    <w:qFormat/>
    <w:uiPriority w:val="0"/>
    <w:pPr>
      <w:spacing w:after="320"/>
      <w:jc w:val="center"/>
      <w:outlineLvl w:val="0"/>
    </w:pPr>
    <w:rPr>
      <w:rFonts w:ascii="MingLiU" w:hAnsi="MingLiU" w:eastAsia="MingLiU" w:cs="MingLiU"/>
      <w:color w:val="231F20"/>
      <w:sz w:val="28"/>
      <w:szCs w:val="28"/>
      <w:lang w:val="zh-TW" w:eastAsia="zh-TW" w:bidi="zh-TW"/>
    </w:rPr>
  </w:style>
  <w:style w:type="paragraph" w:customStyle="1" w:styleId="1138">
    <w:name w:val="环表头"/>
    <w:basedOn w:val="1"/>
    <w:next w:val="1"/>
    <w:qFormat/>
    <w:uiPriority w:val="0"/>
    <w:pPr>
      <w:suppressAutoHyphens/>
      <w:adjustRightInd w:val="0"/>
      <w:spacing w:line="480" w:lineRule="auto"/>
      <w:ind w:left="-2" w:leftChars="-1" w:right="28"/>
      <w:jc w:val="center"/>
      <w:textAlignment w:val="baseline"/>
    </w:pPr>
    <w:rPr>
      <w:rFonts w:ascii="Calibri" w:hAnsi="Calibri" w:eastAsia="仿宋_GB2312" w:cs="Calibri"/>
      <w:b/>
      <w:bCs/>
      <w:color w:val="000000"/>
      <w:sz w:val="28"/>
      <w:szCs w:val="28"/>
    </w:rPr>
  </w:style>
  <w:style w:type="paragraph" w:customStyle="1" w:styleId="1139">
    <w:name w:val="正文文本2"/>
    <w:basedOn w:val="1"/>
    <w:qFormat/>
    <w:uiPriority w:val="0"/>
    <w:pPr>
      <w:shd w:val="clear" w:color="auto" w:fill="FFFFFF"/>
      <w:spacing w:before="120" w:line="468" w:lineRule="exact"/>
      <w:jc w:val="distribute"/>
    </w:pPr>
    <w:rPr>
      <w:rFonts w:ascii="MingLiU" w:hAnsi="MingLiU" w:eastAsia="MingLiU" w:cs="MingLiU"/>
      <w:sz w:val="23"/>
      <w:szCs w:val="23"/>
    </w:rPr>
  </w:style>
  <w:style w:type="paragraph" w:customStyle="1" w:styleId="1140">
    <w:name w:val="表格文字 居中"/>
    <w:basedOn w:val="1"/>
    <w:qFormat/>
    <w:uiPriority w:val="0"/>
    <w:pPr>
      <w:spacing w:line="320" w:lineRule="exact"/>
      <w:jc w:val="center"/>
    </w:pPr>
    <w:rPr>
      <w:rFonts w:cs="宋体"/>
      <w:sz w:val="24"/>
      <w:szCs w:val="20"/>
    </w:rPr>
  </w:style>
  <w:style w:type="paragraph" w:customStyle="1" w:styleId="1141">
    <w:name w:val="Heading #2|1"/>
    <w:basedOn w:val="1"/>
    <w:qFormat/>
    <w:uiPriority w:val="0"/>
    <w:pPr>
      <w:spacing w:after="120" w:line="499" w:lineRule="exact"/>
      <w:outlineLvl w:val="1"/>
    </w:pPr>
    <w:rPr>
      <w:rFonts w:ascii="MingLiU" w:hAnsi="MingLiU" w:eastAsia="MingLiU" w:cs="MingLiU"/>
      <w:b/>
      <w:bCs/>
      <w:color w:val="231F20"/>
      <w:sz w:val="22"/>
      <w:szCs w:val="22"/>
      <w:lang w:val="zh-TW" w:eastAsia="zh-TW" w:bidi="zh-TW"/>
    </w:rPr>
  </w:style>
  <w:style w:type="paragraph" w:customStyle="1" w:styleId="1142">
    <w:name w:val="正文新格式"/>
    <w:basedOn w:val="1"/>
    <w:qFormat/>
    <w:uiPriority w:val="0"/>
    <w:pPr>
      <w:ind w:firstLine="200" w:firstLineChars="200"/>
    </w:pPr>
    <w:rPr>
      <w:rFonts w:ascii="宋体" w:hAnsi="宋体" w:cs="Calibri"/>
      <w:b/>
    </w:rPr>
  </w:style>
  <w:style w:type="character" w:customStyle="1" w:styleId="1143">
    <w:name w:val="列出段落 字符1"/>
    <w:qFormat/>
    <w:uiPriority w:val="34"/>
    <w:rPr>
      <w:rFonts w:ascii="宋体" w:hAnsi="宋体" w:cs="宋体"/>
      <w:kern w:val="2"/>
      <w:sz w:val="24"/>
      <w:szCs w:val="24"/>
      <w:lang w:val="zh-CN" w:bidi="zh-CN"/>
    </w:rPr>
  </w:style>
  <w:style w:type="paragraph" w:customStyle="1" w:styleId="1144">
    <w:name w:val="正文 单倍行距 无缩进"/>
    <w:basedOn w:val="1"/>
    <w:qFormat/>
    <w:uiPriority w:val="99"/>
    <w:pPr>
      <w:widowControl/>
      <w:ind w:left="-108" w:leftChars="-45" w:right="-103" w:rightChars="-43"/>
      <w:jc w:val="center"/>
    </w:pPr>
    <w:rPr>
      <w:rFonts w:ascii="Calibri" w:hAnsi="宋体" w:cs="宋体"/>
      <w:bCs/>
      <w:kern w:val="0"/>
    </w:rPr>
  </w:style>
  <w:style w:type="paragraph" w:customStyle="1" w:styleId="1145">
    <w:name w:val="二级标题 Char Char Char"/>
    <w:basedOn w:val="1"/>
    <w:next w:val="1"/>
    <w:qFormat/>
    <w:uiPriority w:val="0"/>
    <w:pPr>
      <w:spacing w:line="529" w:lineRule="exact"/>
      <w:ind w:firstLine="200" w:firstLineChars="200"/>
    </w:pPr>
    <w:rPr>
      <w:rFonts w:ascii="宋体" w:hAnsi="Calibri" w:cs="Calibri"/>
      <w:sz w:val="24"/>
      <w:szCs w:val="21"/>
    </w:rPr>
  </w:style>
  <w:style w:type="paragraph" w:customStyle="1" w:styleId="1146">
    <w:name w:val="Other|1"/>
    <w:basedOn w:val="1"/>
    <w:qFormat/>
    <w:uiPriority w:val="0"/>
    <w:pPr>
      <w:spacing w:after="100" w:line="451" w:lineRule="auto"/>
      <w:ind w:firstLine="400"/>
    </w:pPr>
    <w:rPr>
      <w:rFonts w:ascii="MingLiU" w:hAnsi="MingLiU" w:eastAsia="MingLiU" w:cs="MingLiU"/>
      <w:color w:val="231F20"/>
      <w:sz w:val="22"/>
      <w:szCs w:val="22"/>
      <w:lang w:val="zh-TW" w:eastAsia="zh-TW" w:bidi="zh-TW"/>
    </w:rPr>
  </w:style>
  <w:style w:type="paragraph" w:customStyle="1" w:styleId="1147">
    <w:name w:val="Header or footer|2"/>
    <w:basedOn w:val="1"/>
    <w:qFormat/>
    <w:uiPriority w:val="0"/>
    <w:rPr>
      <w:rFonts w:ascii="Calibri" w:hAnsi="Calibri" w:cs="Calibri"/>
      <w:sz w:val="20"/>
      <w:szCs w:val="20"/>
      <w:lang w:val="zh-TW" w:eastAsia="zh-TW" w:bidi="zh-TW"/>
    </w:rPr>
  </w:style>
  <w:style w:type="paragraph" w:customStyle="1" w:styleId="1148">
    <w:name w:val="Table caption|1"/>
    <w:basedOn w:val="1"/>
    <w:qFormat/>
    <w:uiPriority w:val="0"/>
    <w:rPr>
      <w:rFonts w:ascii="MingLiU" w:hAnsi="MingLiU" w:eastAsia="MingLiU" w:cs="MingLiU"/>
      <w:b/>
      <w:bCs/>
      <w:color w:val="231F20"/>
      <w:sz w:val="22"/>
      <w:szCs w:val="22"/>
      <w:lang w:val="zh-TW" w:eastAsia="zh-TW" w:bidi="zh-TW"/>
    </w:rPr>
  </w:style>
  <w:style w:type="paragraph" w:customStyle="1" w:styleId="1149">
    <w:name w:val="样式 表中文字"/>
    <w:qFormat/>
    <w:uiPriority w:val="0"/>
    <w:pPr>
      <w:widowControl w:val="0"/>
      <w:adjustRightInd w:val="0"/>
      <w:snapToGrid w:val="0"/>
      <w:spacing w:line="320" w:lineRule="exact"/>
      <w:jc w:val="center"/>
    </w:pPr>
    <w:rPr>
      <w:rFonts w:ascii="Calibri" w:hAnsi="Calibri" w:eastAsia="宋体" w:cs="Calibri"/>
      <w:sz w:val="21"/>
      <w:lang w:val="en-US" w:eastAsia="zh-CN" w:bidi="ar-SA"/>
    </w:rPr>
  </w:style>
  <w:style w:type="paragraph" w:customStyle="1" w:styleId="1150">
    <w:name w:val="样式 样式9 + 宋体"/>
    <w:basedOn w:val="1"/>
    <w:link w:val="1151"/>
    <w:qFormat/>
    <w:uiPriority w:val="0"/>
    <w:pPr>
      <w:adjustRightInd w:val="0"/>
      <w:snapToGrid w:val="0"/>
      <w:spacing w:line="480" w:lineRule="exact"/>
      <w:ind w:firstLine="200" w:firstLineChars="200"/>
    </w:pPr>
    <w:rPr>
      <w:rFonts w:cs="Calibri"/>
      <w:sz w:val="26"/>
      <w:szCs w:val="26"/>
    </w:rPr>
  </w:style>
  <w:style w:type="character" w:customStyle="1" w:styleId="1151">
    <w:name w:val="样式 样式9 + 宋体 Char"/>
    <w:link w:val="1150"/>
    <w:qFormat/>
    <w:uiPriority w:val="0"/>
    <w:rPr>
      <w:rFonts w:cs="Calibri"/>
      <w:kern w:val="2"/>
      <w:sz w:val="26"/>
      <w:szCs w:val="26"/>
    </w:rPr>
  </w:style>
  <w:style w:type="paragraph" w:customStyle="1" w:styleId="1152">
    <w:name w:val="01正文"/>
    <w:basedOn w:val="1"/>
    <w:link w:val="1153"/>
    <w:qFormat/>
    <w:uiPriority w:val="0"/>
    <w:pPr>
      <w:adjustRightInd w:val="0"/>
      <w:snapToGrid w:val="0"/>
      <w:spacing w:line="480" w:lineRule="exact"/>
      <w:ind w:firstLine="520" w:firstLineChars="200"/>
    </w:pPr>
    <w:rPr>
      <w:rFonts w:cs="Calibri"/>
      <w:sz w:val="26"/>
      <w:szCs w:val="26"/>
    </w:rPr>
  </w:style>
  <w:style w:type="character" w:customStyle="1" w:styleId="1153">
    <w:name w:val="01正文 Char"/>
    <w:link w:val="1152"/>
    <w:qFormat/>
    <w:uiPriority w:val="0"/>
    <w:rPr>
      <w:rFonts w:cs="Calibri"/>
      <w:kern w:val="2"/>
      <w:sz w:val="26"/>
      <w:szCs w:val="26"/>
    </w:rPr>
  </w:style>
  <w:style w:type="character" w:customStyle="1" w:styleId="1154">
    <w:name w:val="正文(首行缩进) Char"/>
    <w:link w:val="1155"/>
    <w:qFormat/>
    <w:uiPriority w:val="0"/>
    <w:rPr>
      <w:sz w:val="24"/>
      <w:szCs w:val="24"/>
    </w:rPr>
  </w:style>
  <w:style w:type="paragraph" w:customStyle="1" w:styleId="1155">
    <w:name w:val="正文(首行缩进)"/>
    <w:basedOn w:val="1"/>
    <w:link w:val="1154"/>
    <w:qFormat/>
    <w:uiPriority w:val="0"/>
    <w:pPr>
      <w:adjustRightInd w:val="0"/>
      <w:snapToGrid w:val="0"/>
      <w:spacing w:line="360" w:lineRule="auto"/>
      <w:ind w:firstLine="200" w:firstLineChars="200"/>
    </w:pPr>
    <w:rPr>
      <w:kern w:val="0"/>
      <w:sz w:val="24"/>
    </w:rPr>
  </w:style>
  <w:style w:type="paragraph" w:customStyle="1" w:styleId="1156">
    <w:name w:val="L正文"/>
    <w:basedOn w:val="1"/>
    <w:qFormat/>
    <w:uiPriority w:val="0"/>
    <w:pPr>
      <w:adjustRightInd w:val="0"/>
      <w:snapToGrid w:val="0"/>
      <w:spacing w:line="360" w:lineRule="auto"/>
      <w:ind w:firstLine="200" w:firstLineChars="200"/>
      <w:jc w:val="left"/>
    </w:pPr>
    <w:rPr>
      <w:rFonts w:cs="Calibri"/>
      <w:sz w:val="24"/>
    </w:rPr>
  </w:style>
  <w:style w:type="paragraph" w:customStyle="1" w:styleId="1157">
    <w:name w:val="样式 样式 正文（赵志杰） + 首行缩进:  0 字符 + 行距: 固定值 24 磅"/>
    <w:basedOn w:val="1"/>
    <w:qFormat/>
    <w:uiPriority w:val="0"/>
    <w:pPr>
      <w:spacing w:line="480" w:lineRule="exact"/>
      <w:ind w:firstLine="200" w:firstLineChars="200"/>
    </w:pPr>
    <w:rPr>
      <w:rFonts w:cs="宋体"/>
      <w:szCs w:val="20"/>
    </w:rPr>
  </w:style>
  <w:style w:type="paragraph" w:customStyle="1" w:styleId="1158">
    <w:name w:val="题注W"/>
    <w:next w:val="1"/>
    <w:qFormat/>
    <w:uiPriority w:val="0"/>
    <w:pPr>
      <w:spacing w:before="50" w:beforeLines="50" w:line="360" w:lineRule="auto"/>
      <w:jc w:val="center"/>
    </w:pPr>
    <w:rPr>
      <w:rFonts w:ascii="Calibri" w:hAnsi="Calibri" w:eastAsia="黑体" w:cs="Calibri"/>
      <w:kern w:val="2"/>
      <w:sz w:val="21"/>
      <w:szCs w:val="22"/>
      <w:lang w:val="en-US" w:eastAsia="zh-CN" w:bidi="ar-SA"/>
    </w:rPr>
  </w:style>
  <w:style w:type="paragraph" w:customStyle="1" w:styleId="1159">
    <w:name w:val="标题2W"/>
    <w:next w:val="1"/>
    <w:qFormat/>
    <w:uiPriority w:val="0"/>
    <w:pPr>
      <w:spacing w:line="360" w:lineRule="auto"/>
      <w:outlineLvl w:val="1"/>
    </w:pPr>
    <w:rPr>
      <w:rFonts w:ascii="Calibri" w:hAnsi="Calibri" w:eastAsia="黑体" w:cs="Calibri"/>
      <w:kern w:val="2"/>
      <w:sz w:val="28"/>
      <w:szCs w:val="22"/>
      <w:lang w:val="en-US" w:eastAsia="zh-CN" w:bidi="ar-SA"/>
    </w:rPr>
  </w:style>
  <w:style w:type="paragraph" w:customStyle="1" w:styleId="1160">
    <w:name w:val="标题3W"/>
    <w:next w:val="1"/>
    <w:qFormat/>
    <w:uiPriority w:val="0"/>
    <w:pPr>
      <w:spacing w:line="360" w:lineRule="auto"/>
      <w:outlineLvl w:val="2"/>
    </w:pPr>
    <w:rPr>
      <w:rFonts w:ascii="Calibri" w:hAnsi="Calibri" w:eastAsia="黑体" w:cs="Calibri"/>
      <w:kern w:val="2"/>
      <w:sz w:val="24"/>
      <w:szCs w:val="22"/>
      <w:lang w:val="en-US" w:eastAsia="zh-CN" w:bidi="ar-SA"/>
    </w:rPr>
  </w:style>
  <w:style w:type="paragraph" w:customStyle="1" w:styleId="1161">
    <w:name w:val="H正文"/>
    <w:basedOn w:val="1"/>
    <w:link w:val="1162"/>
    <w:qFormat/>
    <w:uiPriority w:val="0"/>
    <w:pPr>
      <w:adjustRightInd w:val="0"/>
      <w:spacing w:line="400" w:lineRule="exact"/>
      <w:ind w:firstLine="200" w:firstLineChars="200"/>
      <w:textAlignment w:val="baseline"/>
    </w:pPr>
    <w:rPr>
      <w:rFonts w:cs="Calibri"/>
      <w:spacing w:val="6"/>
      <w:kern w:val="0"/>
      <w:sz w:val="24"/>
      <w:szCs w:val="20"/>
    </w:rPr>
  </w:style>
  <w:style w:type="character" w:customStyle="1" w:styleId="1162">
    <w:name w:val="H正文 Char"/>
    <w:link w:val="1161"/>
    <w:qFormat/>
    <w:uiPriority w:val="0"/>
    <w:rPr>
      <w:rFonts w:cs="Calibri"/>
      <w:spacing w:val="6"/>
      <w:sz w:val="24"/>
    </w:rPr>
  </w:style>
  <w:style w:type="character" w:customStyle="1" w:styleId="1163">
    <w:name w:val="正文 首行缩进:  2 字符 Char"/>
    <w:link w:val="1164"/>
    <w:qFormat/>
    <w:uiPriority w:val="0"/>
    <w:rPr>
      <w:rFonts w:ascii="宋体" w:hAnsi="宋体" w:cs="宋体"/>
      <w:kern w:val="2"/>
      <w:sz w:val="24"/>
      <w:szCs w:val="24"/>
    </w:rPr>
  </w:style>
  <w:style w:type="paragraph" w:customStyle="1" w:styleId="1164">
    <w:name w:val="正文 首行缩进:  2 字符"/>
    <w:basedOn w:val="1"/>
    <w:link w:val="1163"/>
    <w:qFormat/>
    <w:uiPriority w:val="0"/>
    <w:pPr>
      <w:snapToGrid w:val="0"/>
      <w:spacing w:line="500" w:lineRule="exact"/>
      <w:ind w:firstLine="480" w:firstLineChars="200"/>
      <w:jc w:val="left"/>
    </w:pPr>
    <w:rPr>
      <w:rFonts w:ascii="宋体" w:hAnsi="宋体" w:cs="宋体"/>
      <w:sz w:val="24"/>
    </w:rPr>
  </w:style>
  <w:style w:type="character" w:customStyle="1" w:styleId="1165">
    <w:name w:val="样式 标题 3H31.1.1标题 3条标题1.1.1h3level_3PIM 3Level 3 HeadHead... Char Char"/>
    <w:link w:val="1166"/>
    <w:qFormat/>
    <w:uiPriority w:val="0"/>
    <w:rPr>
      <w:rFonts w:ascii="黑体" w:hAnsi="黑体" w:eastAsia="黑体"/>
      <w:sz w:val="28"/>
      <w:szCs w:val="32"/>
    </w:rPr>
  </w:style>
  <w:style w:type="paragraph" w:customStyle="1" w:styleId="1166">
    <w:name w:val="样式 标题 3H31.1.1标题 3条标题1.1.1h3level_3PIM 3Level 3 HeadHead..."/>
    <w:basedOn w:val="5"/>
    <w:link w:val="1165"/>
    <w:qFormat/>
    <w:uiPriority w:val="0"/>
    <w:pPr>
      <w:spacing w:line="415" w:lineRule="auto"/>
    </w:pPr>
    <w:rPr>
      <w:rFonts w:ascii="黑体" w:hAnsi="黑体" w:eastAsia="黑体"/>
      <w:b w:val="0"/>
      <w:bCs w:val="0"/>
      <w:kern w:val="0"/>
      <w:sz w:val="28"/>
    </w:rPr>
  </w:style>
  <w:style w:type="character" w:customStyle="1" w:styleId="1167">
    <w:name w:val="1.1.1 Char Char"/>
    <w:link w:val="1168"/>
    <w:qFormat/>
    <w:uiPriority w:val="0"/>
    <w:rPr>
      <w:rFonts w:eastAsia="黑体"/>
      <w:sz w:val="28"/>
      <w:szCs w:val="24"/>
    </w:rPr>
  </w:style>
  <w:style w:type="paragraph" w:customStyle="1" w:styleId="1168">
    <w:name w:val="1.1.1"/>
    <w:basedOn w:val="1"/>
    <w:link w:val="1167"/>
    <w:qFormat/>
    <w:uiPriority w:val="0"/>
    <w:pPr>
      <w:spacing w:line="600" w:lineRule="exact"/>
      <w:outlineLvl w:val="0"/>
    </w:pPr>
    <w:rPr>
      <w:rFonts w:eastAsia="黑体"/>
      <w:kern w:val="0"/>
      <w:sz w:val="28"/>
    </w:rPr>
  </w:style>
  <w:style w:type="character" w:customStyle="1" w:styleId="1169">
    <w:name w:val="参数解释 Char Char"/>
    <w:link w:val="1170"/>
    <w:qFormat/>
    <w:uiPriority w:val="0"/>
    <w:rPr>
      <w:rFonts w:cs="宋体"/>
      <w:kern w:val="2"/>
      <w:sz w:val="24"/>
    </w:rPr>
  </w:style>
  <w:style w:type="paragraph" w:customStyle="1" w:styleId="1170">
    <w:name w:val="参数解释"/>
    <w:link w:val="1169"/>
    <w:qFormat/>
    <w:uiPriority w:val="0"/>
    <w:pPr>
      <w:ind w:firstLine="1274" w:firstLineChars="531"/>
    </w:pPr>
    <w:rPr>
      <w:rFonts w:ascii="Times New Roman" w:hAnsi="Times New Roman" w:eastAsia="宋体" w:cs="宋体"/>
      <w:kern w:val="2"/>
      <w:lang w:val="en-US" w:eastAsia="zh-CN" w:bidi="ar-SA"/>
    </w:rPr>
  </w:style>
  <w:style w:type="paragraph" w:customStyle="1" w:styleId="1171">
    <w:name w:val="金源"/>
    <w:basedOn w:val="1"/>
    <w:link w:val="1172"/>
    <w:qFormat/>
    <w:uiPriority w:val="0"/>
    <w:pPr>
      <w:spacing w:line="480" w:lineRule="exact"/>
      <w:ind w:firstLine="480" w:firstLineChars="200"/>
      <w:jc w:val="left"/>
    </w:pPr>
    <w:rPr>
      <w:rFonts w:cs="Calibri"/>
      <w:kern w:val="0"/>
      <w:sz w:val="24"/>
      <w:szCs w:val="20"/>
    </w:rPr>
  </w:style>
  <w:style w:type="character" w:customStyle="1" w:styleId="1172">
    <w:name w:val="金源 Char Char"/>
    <w:link w:val="1171"/>
    <w:qFormat/>
    <w:uiPriority w:val="0"/>
    <w:rPr>
      <w:rFonts w:cs="Calibri"/>
      <w:sz w:val="24"/>
    </w:rPr>
  </w:style>
  <w:style w:type="character" w:customStyle="1" w:styleId="1173">
    <w:name w:val="专用字体 Char Char"/>
    <w:link w:val="1174"/>
    <w:qFormat/>
    <w:uiPriority w:val="0"/>
    <w:rPr>
      <w:bCs/>
      <w:sz w:val="24"/>
      <w:szCs w:val="24"/>
    </w:rPr>
  </w:style>
  <w:style w:type="paragraph" w:customStyle="1" w:styleId="1174">
    <w:name w:val="专用字体"/>
    <w:basedOn w:val="1"/>
    <w:link w:val="1173"/>
    <w:qFormat/>
    <w:uiPriority w:val="0"/>
    <w:pPr>
      <w:spacing w:line="360" w:lineRule="auto"/>
      <w:ind w:firstLine="200" w:firstLineChars="200"/>
    </w:pPr>
    <w:rPr>
      <w:bCs/>
      <w:kern w:val="0"/>
      <w:sz w:val="24"/>
    </w:rPr>
  </w:style>
  <w:style w:type="character" w:customStyle="1" w:styleId="1175">
    <w:name w:val="宋体4 Char Char"/>
    <w:link w:val="1176"/>
    <w:qFormat/>
    <w:uiPriority w:val="0"/>
    <w:rPr>
      <w:kern w:val="2"/>
      <w:sz w:val="28"/>
      <w:szCs w:val="48"/>
    </w:rPr>
  </w:style>
  <w:style w:type="paragraph" w:customStyle="1" w:styleId="1176">
    <w:name w:val="宋体4"/>
    <w:basedOn w:val="1"/>
    <w:link w:val="1175"/>
    <w:qFormat/>
    <w:uiPriority w:val="0"/>
    <w:pPr>
      <w:spacing w:line="360" w:lineRule="auto"/>
      <w:ind w:firstLine="200" w:firstLineChars="200"/>
    </w:pPr>
    <w:rPr>
      <w:sz w:val="28"/>
      <w:szCs w:val="48"/>
    </w:rPr>
  </w:style>
  <w:style w:type="character" w:customStyle="1" w:styleId="1177">
    <w:name w:val="未确定 Char Char"/>
    <w:link w:val="1178"/>
    <w:qFormat/>
    <w:uiPriority w:val="0"/>
    <w:rPr>
      <w:color w:val="800080"/>
      <w:sz w:val="24"/>
      <w:szCs w:val="24"/>
    </w:rPr>
  </w:style>
  <w:style w:type="paragraph" w:customStyle="1" w:styleId="1178">
    <w:name w:val="未确定"/>
    <w:basedOn w:val="1"/>
    <w:link w:val="1177"/>
    <w:qFormat/>
    <w:uiPriority w:val="0"/>
    <w:pPr>
      <w:spacing w:beforeLines="50" w:line="400" w:lineRule="exact"/>
      <w:ind w:firstLine="480" w:firstLineChars="200"/>
    </w:pPr>
    <w:rPr>
      <w:color w:val="800080"/>
      <w:kern w:val="0"/>
      <w:sz w:val="24"/>
    </w:rPr>
  </w:style>
  <w:style w:type="character" w:customStyle="1" w:styleId="1179">
    <w:name w:val="表蕊居中 Char Char"/>
    <w:link w:val="1180"/>
    <w:qFormat/>
    <w:uiPriority w:val="0"/>
    <w:rPr>
      <w:color w:val="FF0000"/>
      <w:spacing w:val="-10"/>
      <w:kern w:val="2"/>
      <w:sz w:val="21"/>
      <w:szCs w:val="21"/>
    </w:rPr>
  </w:style>
  <w:style w:type="paragraph" w:customStyle="1" w:styleId="1180">
    <w:name w:val="表蕊居中"/>
    <w:basedOn w:val="1"/>
    <w:link w:val="1179"/>
    <w:qFormat/>
    <w:uiPriority w:val="0"/>
    <w:pPr>
      <w:adjustRightInd w:val="0"/>
      <w:spacing w:line="280" w:lineRule="atLeast"/>
      <w:jc w:val="center"/>
      <w:textAlignment w:val="baseline"/>
    </w:pPr>
    <w:rPr>
      <w:color w:val="FF0000"/>
      <w:spacing w:val="-10"/>
      <w:szCs w:val="21"/>
    </w:rPr>
  </w:style>
  <w:style w:type="character" w:customStyle="1" w:styleId="1181">
    <w:name w:val="表格填充1 Char Char"/>
    <w:link w:val="1182"/>
    <w:qFormat/>
    <w:uiPriority w:val="0"/>
    <w:rPr>
      <w:szCs w:val="18"/>
    </w:rPr>
  </w:style>
  <w:style w:type="paragraph" w:customStyle="1" w:styleId="1182">
    <w:name w:val="表格填充1"/>
    <w:basedOn w:val="1"/>
    <w:link w:val="1181"/>
    <w:qFormat/>
    <w:uiPriority w:val="0"/>
    <w:pPr>
      <w:adjustRightInd w:val="0"/>
      <w:snapToGrid w:val="0"/>
      <w:spacing w:line="400" w:lineRule="exact"/>
      <w:jc w:val="center"/>
    </w:pPr>
    <w:rPr>
      <w:kern w:val="0"/>
      <w:sz w:val="20"/>
      <w:szCs w:val="18"/>
    </w:rPr>
  </w:style>
  <w:style w:type="character" w:customStyle="1" w:styleId="1183">
    <w:name w:val="甲乙酮正文 Char Char"/>
    <w:link w:val="1184"/>
    <w:qFormat/>
    <w:uiPriority w:val="0"/>
    <w:rPr>
      <w:color w:val="000000"/>
      <w:kern w:val="2"/>
      <w:sz w:val="24"/>
      <w:szCs w:val="24"/>
    </w:rPr>
  </w:style>
  <w:style w:type="paragraph" w:customStyle="1" w:styleId="1184">
    <w:name w:val="甲乙酮正文"/>
    <w:basedOn w:val="86"/>
    <w:link w:val="1183"/>
    <w:qFormat/>
    <w:uiPriority w:val="0"/>
    <w:pPr>
      <w:spacing w:after="0" w:line="360" w:lineRule="auto"/>
      <w:ind w:firstLine="200" w:firstLineChars="200"/>
      <w:jc w:val="left"/>
    </w:pPr>
    <w:rPr>
      <w:color w:val="000000"/>
      <w:sz w:val="24"/>
    </w:rPr>
  </w:style>
  <w:style w:type="character" w:customStyle="1" w:styleId="1185">
    <w:name w:val="表 标题 Char Char"/>
    <w:link w:val="1186"/>
    <w:qFormat/>
    <w:uiPriority w:val="0"/>
    <w:rPr>
      <w:rFonts w:cs="宋体"/>
      <w:b/>
      <w:kern w:val="2"/>
      <w:sz w:val="24"/>
    </w:rPr>
  </w:style>
  <w:style w:type="paragraph" w:customStyle="1" w:styleId="1186">
    <w:name w:val="表 标题"/>
    <w:basedOn w:val="73"/>
    <w:next w:val="1"/>
    <w:link w:val="1185"/>
    <w:qFormat/>
    <w:uiPriority w:val="0"/>
    <w:pPr>
      <w:spacing w:beforeLines="50"/>
      <w:ind w:left="0" w:leftChars="0" w:firstLine="0" w:firstLineChars="0"/>
      <w:jc w:val="center"/>
    </w:pPr>
    <w:rPr>
      <w:rFonts w:cs="宋体"/>
      <w:b/>
      <w:sz w:val="24"/>
      <w:szCs w:val="20"/>
    </w:rPr>
  </w:style>
  <w:style w:type="character" w:customStyle="1" w:styleId="1187">
    <w:name w:val="正文四号ss Char Char"/>
    <w:link w:val="1188"/>
    <w:qFormat/>
    <w:uiPriority w:val="0"/>
    <w:rPr>
      <w:rFonts w:ascii="宋体" w:hAnsi="宋体"/>
      <w:kern w:val="2"/>
      <w:sz w:val="28"/>
      <w:szCs w:val="28"/>
    </w:rPr>
  </w:style>
  <w:style w:type="paragraph" w:customStyle="1" w:styleId="1188">
    <w:name w:val="正文四号ss"/>
    <w:basedOn w:val="1"/>
    <w:next w:val="1"/>
    <w:link w:val="1187"/>
    <w:qFormat/>
    <w:uiPriority w:val="0"/>
    <w:pPr>
      <w:spacing w:line="520" w:lineRule="exact"/>
      <w:ind w:firstLine="200" w:firstLineChars="200"/>
    </w:pPr>
    <w:rPr>
      <w:rFonts w:ascii="宋体" w:hAnsi="宋体"/>
      <w:sz w:val="28"/>
      <w:szCs w:val="28"/>
    </w:rPr>
  </w:style>
  <w:style w:type="character" w:customStyle="1" w:styleId="1189">
    <w:name w:val="博泵1 Char Char"/>
    <w:link w:val="1190"/>
    <w:qFormat/>
    <w:uiPriority w:val="0"/>
    <w:rPr>
      <w:rFonts w:hAnsi="宋体" w:cs="宋体"/>
      <w:color w:val="000000"/>
      <w:sz w:val="24"/>
    </w:rPr>
  </w:style>
  <w:style w:type="paragraph" w:customStyle="1" w:styleId="1190">
    <w:name w:val="博泵1"/>
    <w:basedOn w:val="1"/>
    <w:link w:val="1189"/>
    <w:qFormat/>
    <w:uiPriority w:val="0"/>
    <w:pPr>
      <w:adjustRightInd w:val="0"/>
      <w:spacing w:line="480" w:lineRule="exact"/>
      <w:ind w:firstLine="200" w:firstLineChars="200"/>
      <w:jc w:val="left"/>
      <w:textAlignment w:val="baseline"/>
    </w:pPr>
    <w:rPr>
      <w:rFonts w:hAnsi="宋体" w:cs="宋体"/>
      <w:color w:val="000000"/>
      <w:kern w:val="0"/>
      <w:sz w:val="24"/>
      <w:szCs w:val="20"/>
    </w:rPr>
  </w:style>
  <w:style w:type="character" w:customStyle="1" w:styleId="1191">
    <w:name w:val="报告正文1 Char Char"/>
    <w:link w:val="1192"/>
    <w:qFormat/>
    <w:uiPriority w:val="0"/>
    <w:rPr>
      <w:color w:val="000000"/>
      <w:kern w:val="2"/>
      <w:sz w:val="24"/>
      <w:szCs w:val="24"/>
    </w:rPr>
  </w:style>
  <w:style w:type="paragraph" w:customStyle="1" w:styleId="1192">
    <w:name w:val="报告正文1"/>
    <w:basedOn w:val="87"/>
    <w:link w:val="1191"/>
    <w:qFormat/>
    <w:uiPriority w:val="0"/>
    <w:pPr>
      <w:spacing w:after="0"/>
      <w:ind w:left="0" w:leftChars="0" w:firstLine="200"/>
    </w:pPr>
    <w:rPr>
      <w:snapToGrid/>
      <w:color w:val="000000"/>
      <w:sz w:val="24"/>
    </w:rPr>
  </w:style>
  <w:style w:type="character" w:customStyle="1" w:styleId="1193">
    <w:name w:val="表格标题博泵 Char Char"/>
    <w:link w:val="1194"/>
    <w:qFormat/>
    <w:uiPriority w:val="0"/>
    <w:rPr>
      <w:rFonts w:cs="宋体"/>
      <w:b/>
      <w:color w:val="000000"/>
      <w:kern w:val="2"/>
      <w:sz w:val="21"/>
    </w:rPr>
  </w:style>
  <w:style w:type="paragraph" w:customStyle="1" w:styleId="1194">
    <w:name w:val="表格标题博泵"/>
    <w:basedOn w:val="1"/>
    <w:link w:val="1193"/>
    <w:qFormat/>
    <w:uiPriority w:val="0"/>
    <w:pPr>
      <w:adjustRightInd w:val="0"/>
      <w:snapToGrid w:val="0"/>
      <w:jc w:val="center"/>
      <w:textAlignment w:val="baseline"/>
    </w:pPr>
    <w:rPr>
      <w:rFonts w:cs="宋体"/>
      <w:b/>
      <w:color w:val="000000"/>
      <w:szCs w:val="20"/>
    </w:rPr>
  </w:style>
  <w:style w:type="character" w:customStyle="1" w:styleId="1195">
    <w:name w:val="样式 标题 3H31.1.1标题 3条标题1.1.1h3level_3PIM 3Level 3 HeadHead...1 Char Char"/>
    <w:link w:val="1196"/>
    <w:qFormat/>
    <w:uiPriority w:val="0"/>
    <w:rPr>
      <w:rFonts w:ascii="黑体" w:hAnsi="黑体" w:eastAsia="黑体"/>
      <w:b/>
      <w:bCs/>
      <w:sz w:val="28"/>
      <w:szCs w:val="32"/>
    </w:rPr>
  </w:style>
  <w:style w:type="paragraph" w:customStyle="1" w:styleId="1196">
    <w:name w:val="样式 标题 3H31.1.1标题 3条标题1.1.1h3level_3PIM 3Level 3 HeadHead...1"/>
    <w:basedOn w:val="5"/>
    <w:link w:val="1195"/>
    <w:qFormat/>
    <w:uiPriority w:val="0"/>
    <w:rPr>
      <w:rFonts w:ascii="黑体" w:hAnsi="黑体" w:eastAsia="黑体"/>
      <w:kern w:val="0"/>
      <w:sz w:val="28"/>
    </w:rPr>
  </w:style>
  <w:style w:type="paragraph" w:customStyle="1" w:styleId="1197">
    <w:name w:val="章"/>
    <w:basedOn w:val="1"/>
    <w:qFormat/>
    <w:uiPriority w:val="0"/>
    <w:pPr>
      <w:autoSpaceDE w:val="0"/>
      <w:autoSpaceDN w:val="0"/>
      <w:adjustRightInd w:val="0"/>
      <w:jc w:val="center"/>
      <w:textAlignment w:val="baseline"/>
    </w:pPr>
    <w:rPr>
      <w:rFonts w:cs="Calibri"/>
      <w:b/>
      <w:kern w:val="0"/>
      <w:sz w:val="36"/>
      <w:szCs w:val="20"/>
    </w:rPr>
  </w:style>
  <w:style w:type="paragraph" w:customStyle="1" w:styleId="1198">
    <w:name w:val="word"/>
    <w:basedOn w:val="1"/>
    <w:qFormat/>
    <w:uiPriority w:val="0"/>
    <w:pPr>
      <w:spacing w:line="360" w:lineRule="auto"/>
      <w:ind w:firstLine="480" w:firstLineChars="200"/>
    </w:pPr>
    <w:rPr>
      <w:rFonts w:cs="Calibri"/>
      <w:sz w:val="24"/>
    </w:rPr>
  </w:style>
  <w:style w:type="paragraph" w:customStyle="1" w:styleId="1199">
    <w:name w:val="Char Char Char Char Char Char1 Char Char Char Char Char Char Char"/>
    <w:basedOn w:val="1"/>
    <w:qFormat/>
    <w:uiPriority w:val="0"/>
    <w:rPr>
      <w:rFonts w:cs="Calibri"/>
    </w:rPr>
  </w:style>
  <w:style w:type="paragraph" w:customStyle="1" w:styleId="1200">
    <w:name w:val="样式 标题 3 + 宋体 四号"/>
    <w:basedOn w:val="5"/>
    <w:qFormat/>
    <w:uiPriority w:val="0"/>
    <w:pPr>
      <w:snapToGrid w:val="0"/>
      <w:spacing w:line="415" w:lineRule="auto"/>
    </w:pPr>
    <w:rPr>
      <w:rFonts w:ascii="宋体" w:hAnsi="宋体" w:eastAsia="黑体" w:cs="宋体"/>
      <w:kern w:val="0"/>
      <w:sz w:val="28"/>
      <w:szCs w:val="20"/>
    </w:rPr>
  </w:style>
  <w:style w:type="paragraph" w:customStyle="1" w:styleId="1201">
    <w:name w:val="表格内容1"/>
    <w:basedOn w:val="372"/>
    <w:qFormat/>
    <w:uiPriority w:val="0"/>
    <w:pPr>
      <w:widowControl w:val="0"/>
    </w:pPr>
    <w:rPr>
      <w:rFonts w:cs="宋体"/>
      <w:sz w:val="21"/>
    </w:rPr>
  </w:style>
  <w:style w:type="paragraph" w:customStyle="1" w:styleId="1202">
    <w:name w:val="Char Char Char Char Char Char Char Char Char Char Char Char Char Char Char Char Char Char Char"/>
    <w:basedOn w:val="1"/>
    <w:qFormat/>
    <w:uiPriority w:val="0"/>
    <w:rPr>
      <w:rFonts w:cs="Calibri"/>
    </w:rPr>
  </w:style>
  <w:style w:type="paragraph" w:customStyle="1" w:styleId="1203">
    <w:name w:val="标准条文"/>
    <w:basedOn w:val="404"/>
    <w:next w:val="404"/>
    <w:qFormat/>
    <w:uiPriority w:val="0"/>
    <w:rPr>
      <w:rFonts w:ascii="宋体" w:eastAsia="宋体" w:cs="Times New Roman"/>
      <w:color w:val="auto"/>
    </w:rPr>
  </w:style>
  <w:style w:type="paragraph" w:customStyle="1" w:styleId="1204">
    <w:name w:val="标准公文"/>
    <w:qFormat/>
    <w:uiPriority w:val="0"/>
    <w:pPr>
      <w:widowControl w:val="0"/>
      <w:spacing w:line="520" w:lineRule="exact"/>
      <w:ind w:firstLine="560" w:firstLineChars="200"/>
      <w:jc w:val="both"/>
    </w:pPr>
    <w:rPr>
      <w:rFonts w:ascii="宋体" w:hAnsi="宋体" w:eastAsia="宋体" w:cs="Calibri"/>
      <w:sz w:val="28"/>
      <w:szCs w:val="34"/>
      <w:lang w:val="en-US" w:eastAsia="zh-CN" w:bidi="ar-SA"/>
    </w:rPr>
  </w:style>
  <w:style w:type="paragraph" w:customStyle="1" w:styleId="1205">
    <w:name w:val="Char2 Char Char Char Char Char Char Char Char Char"/>
    <w:basedOn w:val="1"/>
    <w:qFormat/>
    <w:uiPriority w:val="0"/>
    <w:rPr>
      <w:rFonts w:cs="Calibri"/>
      <w:sz w:val="24"/>
    </w:rPr>
  </w:style>
  <w:style w:type="paragraph" w:customStyle="1" w:styleId="1206">
    <w:name w:val="defaultfont"/>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7">
    <w:name w:val="dash6b63-6587"/>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8">
    <w:name w:val="甲乙酮2"/>
    <w:basedOn w:val="1184"/>
    <w:next w:val="1"/>
    <w:qFormat/>
    <w:uiPriority w:val="0"/>
  </w:style>
  <w:style w:type="paragraph" w:customStyle="1" w:styleId="1209">
    <w:name w:val="表内字"/>
    <w:basedOn w:val="1"/>
    <w:link w:val="1210"/>
    <w:qFormat/>
    <w:uiPriority w:val="0"/>
    <w:pPr>
      <w:spacing w:line="240" w:lineRule="exact"/>
      <w:jc w:val="center"/>
    </w:pPr>
    <w:rPr>
      <w:rFonts w:ascii="宋体" w:hAnsi="宋体" w:cs="Calibri"/>
      <w:color w:val="000000"/>
      <w:szCs w:val="21"/>
    </w:rPr>
  </w:style>
  <w:style w:type="character" w:customStyle="1" w:styleId="1210">
    <w:name w:val="表内字 Char"/>
    <w:link w:val="1209"/>
    <w:qFormat/>
    <w:uiPriority w:val="0"/>
    <w:rPr>
      <w:rFonts w:ascii="宋体" w:hAnsi="宋体" w:cs="Calibri"/>
      <w:color w:val="000000"/>
      <w:kern w:val="2"/>
      <w:sz w:val="21"/>
      <w:szCs w:val="21"/>
    </w:rPr>
  </w:style>
  <w:style w:type="paragraph" w:customStyle="1" w:styleId="1211">
    <w:name w:val="Char5"/>
    <w:basedOn w:val="1"/>
    <w:qFormat/>
    <w:uiPriority w:val="0"/>
    <w:rPr>
      <w:rFonts w:cs="Calibri"/>
    </w:rPr>
  </w:style>
  <w:style w:type="paragraph" w:customStyle="1" w:styleId="1212">
    <w:name w:val="论文正文"/>
    <w:basedOn w:val="21"/>
    <w:qFormat/>
    <w:uiPriority w:val="0"/>
    <w:pPr>
      <w:ind w:firstLine="480" w:firstLineChars="200"/>
    </w:pPr>
    <w:rPr>
      <w:rFonts w:ascii="宋体" w:hAnsi="宋体" w:cs="Calibri"/>
      <w:kern w:val="0"/>
      <w:szCs w:val="24"/>
    </w:rPr>
  </w:style>
  <w:style w:type="paragraph" w:customStyle="1" w:styleId="1213">
    <w:name w:val="样式 标题 2节H2（一）Underrubrik1prop2Heading 2 HiddenHeading 2 C..."/>
    <w:basedOn w:val="4"/>
    <w:qFormat/>
    <w:uiPriority w:val="0"/>
    <w:pPr>
      <w:spacing w:before="240" w:after="240" w:line="480" w:lineRule="exact"/>
    </w:pPr>
    <w:rPr>
      <w:rFonts w:eastAsia="黑体" w:cs="宋体"/>
      <w:b w:val="0"/>
      <w:kern w:val="0"/>
      <w:szCs w:val="20"/>
    </w:rPr>
  </w:style>
  <w:style w:type="paragraph" w:customStyle="1" w:styleId="1214">
    <w:name w:val="1 Char Char Char Char Char Char Char"/>
    <w:basedOn w:val="1"/>
    <w:qFormat/>
    <w:uiPriority w:val="0"/>
    <w:pPr>
      <w:spacing w:line="360" w:lineRule="auto"/>
      <w:ind w:firstLine="200" w:firstLineChars="200"/>
    </w:pPr>
    <w:rPr>
      <w:rFonts w:ascii="宋体" w:hAnsi="宋体" w:cs="宋体"/>
      <w:sz w:val="24"/>
    </w:rPr>
  </w:style>
  <w:style w:type="paragraph" w:customStyle="1" w:styleId="1215">
    <w:name w:val="font16"/>
    <w:basedOn w:val="1"/>
    <w:qFormat/>
    <w:uiPriority w:val="0"/>
    <w:pPr>
      <w:widowControl/>
      <w:spacing w:before="100" w:beforeAutospacing="1" w:after="100" w:afterAutospacing="1"/>
      <w:jc w:val="left"/>
    </w:pPr>
    <w:rPr>
      <w:rFonts w:ascii="Tahoma" w:hAnsi="Tahoma" w:cs="Tahoma"/>
      <w:color w:val="000000"/>
      <w:kern w:val="0"/>
      <w:sz w:val="16"/>
      <w:szCs w:val="16"/>
    </w:rPr>
  </w:style>
  <w:style w:type="paragraph" w:customStyle="1" w:styleId="1216">
    <w:name w:val="TOC 标题111"/>
    <w:basedOn w:val="3"/>
    <w:next w:val="1"/>
    <w:qFormat/>
    <w:uiPriority w:val="0"/>
    <w:pPr>
      <w:keepNext/>
      <w:keepLines/>
      <w:widowControl/>
      <w:adjustRightInd/>
      <w:snapToGrid/>
      <w:spacing w:before="480" w:line="276" w:lineRule="auto"/>
      <w:jc w:val="left"/>
      <w:outlineLvl w:val="9"/>
    </w:pPr>
    <w:rPr>
      <w:rFonts w:ascii="Cambria" w:hAnsi="Cambria" w:cs="Calibri"/>
      <w:color w:val="365F91"/>
      <w:kern w:val="0"/>
      <w:sz w:val="28"/>
      <w:szCs w:val="28"/>
    </w:rPr>
  </w:style>
  <w:style w:type="paragraph" w:customStyle="1" w:styleId="1217">
    <w:name w:val="缺省文本_宋体"/>
    <w:basedOn w:val="1"/>
    <w:qFormat/>
    <w:uiPriority w:val="0"/>
    <w:pPr>
      <w:tabs>
        <w:tab w:val="left" w:pos="525"/>
        <w:tab w:val="center" w:pos="5670"/>
        <w:tab w:val="right" w:pos="7655"/>
      </w:tabs>
      <w:spacing w:before="80" w:after="120" w:line="360" w:lineRule="auto"/>
      <w:outlineLvl w:val="7"/>
    </w:pPr>
    <w:rPr>
      <w:rFonts w:cs="Calibri"/>
      <w:spacing w:val="16"/>
      <w:kern w:val="28"/>
      <w:sz w:val="24"/>
      <w:szCs w:val="20"/>
    </w:rPr>
  </w:style>
  <w:style w:type="paragraph" w:customStyle="1" w:styleId="1218">
    <w:name w:val="图表文字"/>
    <w:basedOn w:val="1"/>
    <w:qFormat/>
    <w:uiPriority w:val="0"/>
    <w:pPr>
      <w:spacing w:line="300" w:lineRule="exact"/>
      <w:jc w:val="center"/>
    </w:pPr>
    <w:rPr>
      <w:rFonts w:cs="Calibri"/>
      <w:bCs/>
      <w:szCs w:val="20"/>
    </w:rPr>
  </w:style>
  <w:style w:type="paragraph" w:customStyle="1" w:styleId="1219">
    <w:name w:val="CM4"/>
    <w:basedOn w:val="1"/>
    <w:next w:val="1"/>
    <w:qFormat/>
    <w:uiPriority w:val="0"/>
    <w:pPr>
      <w:autoSpaceDE w:val="0"/>
      <w:autoSpaceDN w:val="0"/>
      <w:adjustRightInd w:val="0"/>
      <w:spacing w:line="520" w:lineRule="atLeast"/>
      <w:jc w:val="left"/>
    </w:pPr>
    <w:rPr>
      <w:rFonts w:ascii="宋体" w:cs="Calibri"/>
      <w:kern w:val="0"/>
      <w:sz w:val="24"/>
    </w:rPr>
  </w:style>
  <w:style w:type="paragraph" w:customStyle="1" w:styleId="1220">
    <w:name w:val="正文01"/>
    <w:basedOn w:val="1"/>
    <w:link w:val="1221"/>
    <w:qFormat/>
    <w:uiPriority w:val="0"/>
    <w:pPr>
      <w:adjustRightInd w:val="0"/>
      <w:snapToGrid w:val="0"/>
      <w:spacing w:before="60" w:line="460" w:lineRule="exact"/>
      <w:ind w:firstLine="200" w:firstLineChars="200"/>
    </w:pPr>
    <w:rPr>
      <w:rFonts w:ascii="Calibri" w:hAnsi="Calibri" w:cs="Calibri"/>
      <w:sz w:val="24"/>
    </w:rPr>
  </w:style>
  <w:style w:type="character" w:customStyle="1" w:styleId="1221">
    <w:name w:val="正文01 Char"/>
    <w:link w:val="1220"/>
    <w:qFormat/>
    <w:uiPriority w:val="0"/>
    <w:rPr>
      <w:rFonts w:ascii="Calibri" w:hAnsi="Calibri" w:cs="Calibri"/>
      <w:kern w:val="2"/>
      <w:sz w:val="24"/>
      <w:szCs w:val="24"/>
    </w:rPr>
  </w:style>
  <w:style w:type="paragraph" w:customStyle="1" w:styleId="1222">
    <w:name w:val="列出段落11"/>
    <w:basedOn w:val="1"/>
    <w:qFormat/>
    <w:uiPriority w:val="0"/>
    <w:pPr>
      <w:ind w:firstLine="420" w:firstLineChars="200"/>
    </w:pPr>
    <w:rPr>
      <w:rFonts w:cs="Calibri"/>
      <w:sz w:val="28"/>
    </w:rPr>
  </w:style>
  <w:style w:type="paragraph" w:customStyle="1" w:styleId="1223">
    <w:name w:val="Char Char Char1 Char Char Char Char Char Char Char Char Char Char Char Char Char Char Char Char Char Char Char"/>
    <w:basedOn w:val="1"/>
    <w:link w:val="1224"/>
    <w:qFormat/>
    <w:uiPriority w:val="0"/>
    <w:pPr>
      <w:spacing w:line="360" w:lineRule="auto"/>
      <w:ind w:firstLine="200" w:firstLineChars="200"/>
    </w:pPr>
    <w:rPr>
      <w:rFonts w:ascii="Calibri" w:hAnsi="Calibri" w:cs="Calibri"/>
      <w:sz w:val="24"/>
      <w:szCs w:val="20"/>
    </w:rPr>
  </w:style>
  <w:style w:type="character" w:customStyle="1" w:styleId="1224">
    <w:name w:val="Char Char Char1 Char Char Char Char Char Char Char Char Char Char Char Char Char Char Char Char Char Char Char Char"/>
    <w:link w:val="1223"/>
    <w:qFormat/>
    <w:uiPriority w:val="0"/>
    <w:rPr>
      <w:rFonts w:ascii="Calibri" w:hAnsi="Calibri" w:cs="Calibri"/>
      <w:kern w:val="2"/>
      <w:sz w:val="24"/>
    </w:rPr>
  </w:style>
  <w:style w:type="paragraph" w:customStyle="1" w:styleId="1225">
    <w:name w:val="第二章表头"/>
    <w:basedOn w:val="1"/>
    <w:qFormat/>
    <w:uiPriority w:val="0"/>
    <w:pPr>
      <w:numPr>
        <w:ilvl w:val="0"/>
        <w:numId w:val="13"/>
      </w:numPr>
      <w:spacing w:line="360" w:lineRule="auto"/>
      <w:jc w:val="center"/>
    </w:pPr>
    <w:rPr>
      <w:rFonts w:cs="Calibri"/>
      <w:b/>
      <w:color w:val="0000FF"/>
      <w:sz w:val="24"/>
    </w:rPr>
  </w:style>
  <w:style w:type="paragraph" w:customStyle="1" w:styleId="1226">
    <w:name w:val="样式 文本正文 + 首行缩进:  2 字符3"/>
    <w:basedOn w:val="1"/>
    <w:qFormat/>
    <w:uiPriority w:val="0"/>
    <w:pPr>
      <w:autoSpaceDE w:val="0"/>
      <w:autoSpaceDN w:val="0"/>
      <w:adjustRightInd w:val="0"/>
      <w:spacing w:line="360" w:lineRule="auto"/>
      <w:ind w:firstLine="496" w:firstLineChars="200"/>
      <w:textAlignment w:val="baseline"/>
    </w:pPr>
    <w:rPr>
      <w:rFonts w:ascii="宋体" w:hAnsi="宋体" w:cs="宋体"/>
      <w:snapToGrid w:val="0"/>
      <w:color w:val="000000"/>
      <w:kern w:val="21"/>
      <w:sz w:val="24"/>
      <w:szCs w:val="20"/>
    </w:rPr>
  </w:style>
  <w:style w:type="paragraph" w:customStyle="1" w:styleId="1227">
    <w:name w:val="目录正文"/>
    <w:basedOn w:val="494"/>
    <w:link w:val="1228"/>
    <w:qFormat/>
    <w:uiPriority w:val="0"/>
    <w:pPr>
      <w:keepNext w:val="0"/>
      <w:keepLines w:val="0"/>
      <w:ind w:firstLine="480" w:firstLineChars="200"/>
      <w:jc w:val="both"/>
      <w:outlineLvl w:val="9"/>
    </w:pPr>
    <w:rPr>
      <w:rFonts w:ascii="Calibri" w:hAnsi="Calibri" w:cs="Calibri"/>
      <w:b w:val="0"/>
      <w:bCs w:val="0"/>
      <w:kern w:val="2"/>
      <w:szCs w:val="20"/>
    </w:rPr>
  </w:style>
  <w:style w:type="character" w:customStyle="1" w:styleId="1228">
    <w:name w:val="目录正文 Char"/>
    <w:link w:val="1227"/>
    <w:qFormat/>
    <w:uiPriority w:val="0"/>
    <w:rPr>
      <w:rFonts w:ascii="Calibri" w:hAnsi="Calibri" w:cs="Calibri"/>
      <w:kern w:val="2"/>
      <w:sz w:val="24"/>
    </w:rPr>
  </w:style>
  <w:style w:type="paragraph" w:customStyle="1" w:styleId="1229">
    <w:name w:val="表头字"/>
    <w:basedOn w:val="1"/>
    <w:qFormat/>
    <w:uiPriority w:val="0"/>
    <w:pPr>
      <w:spacing w:line="520" w:lineRule="exact"/>
    </w:pPr>
    <w:rPr>
      <w:rFonts w:eastAsia="黑体" w:cs="Calibri"/>
      <w:b/>
      <w:color w:val="000000"/>
      <w:sz w:val="24"/>
      <w:szCs w:val="20"/>
    </w:rPr>
  </w:style>
  <w:style w:type="character" w:customStyle="1" w:styleId="1230">
    <w:name w:val="正文小四首缩1.3行距 Char"/>
    <w:link w:val="1231"/>
    <w:qFormat/>
    <w:uiPriority w:val="0"/>
    <w:rPr>
      <w:kern w:val="2"/>
      <w:sz w:val="24"/>
      <w:szCs w:val="24"/>
    </w:rPr>
  </w:style>
  <w:style w:type="paragraph" w:customStyle="1" w:styleId="1231">
    <w:name w:val="正文小四首缩1.3行距"/>
    <w:basedOn w:val="1"/>
    <w:link w:val="1230"/>
    <w:qFormat/>
    <w:uiPriority w:val="0"/>
    <w:pPr>
      <w:spacing w:line="312" w:lineRule="auto"/>
      <w:ind w:firstLine="420" w:firstLineChars="200"/>
    </w:pPr>
    <w:rPr>
      <w:sz w:val="24"/>
    </w:rPr>
  </w:style>
  <w:style w:type="character" w:customStyle="1" w:styleId="1232">
    <w:name w:val="my Char"/>
    <w:link w:val="1233"/>
    <w:qFormat/>
    <w:uiPriority w:val="0"/>
    <w:rPr>
      <w:rFonts w:eastAsia="Times New Roman"/>
      <w:sz w:val="24"/>
      <w:szCs w:val="24"/>
    </w:rPr>
  </w:style>
  <w:style w:type="paragraph" w:customStyle="1" w:styleId="1233">
    <w:name w:val="my"/>
    <w:link w:val="1232"/>
    <w:qFormat/>
    <w:uiPriority w:val="0"/>
    <w:pPr>
      <w:widowControl w:val="0"/>
      <w:spacing w:before="60" w:line="460" w:lineRule="exact"/>
      <w:ind w:firstLine="200" w:firstLineChars="200"/>
    </w:pPr>
    <w:rPr>
      <w:rFonts w:ascii="Times New Roman" w:hAnsi="Times New Roman" w:eastAsia="Times New Roman" w:cs="Times New Roman"/>
      <w:sz w:val="24"/>
      <w:szCs w:val="24"/>
      <w:lang w:val="en-US" w:eastAsia="zh-CN" w:bidi="ar-SA"/>
    </w:rPr>
  </w:style>
  <w:style w:type="character" w:customStyle="1" w:styleId="1234">
    <w:name w:val="正文(首行缩进)宋旭峰 Char Char"/>
    <w:link w:val="1235"/>
    <w:qFormat/>
    <w:uiPriority w:val="0"/>
    <w:rPr>
      <w:rFonts w:cs="Arial"/>
      <w:i/>
      <w:sz w:val="24"/>
      <w:szCs w:val="24"/>
    </w:rPr>
  </w:style>
  <w:style w:type="paragraph" w:customStyle="1" w:styleId="1235">
    <w:name w:val="正文(首行缩进)宋旭峰"/>
    <w:basedOn w:val="21"/>
    <w:link w:val="1234"/>
    <w:qFormat/>
    <w:uiPriority w:val="0"/>
    <w:pPr>
      <w:spacing w:before="258" w:beforeLines="50" w:after="258" w:afterLines="50"/>
      <w:ind w:firstLine="480" w:firstLineChars="200"/>
      <w:contextualSpacing/>
    </w:pPr>
    <w:rPr>
      <w:rFonts w:cs="Arial"/>
      <w:i/>
      <w:kern w:val="0"/>
      <w:sz w:val="24"/>
      <w:szCs w:val="24"/>
    </w:rPr>
  </w:style>
  <w:style w:type="character" w:customStyle="1" w:styleId="1236">
    <w:name w:val="样式 标题 1 + Arial Char"/>
    <w:link w:val="1237"/>
    <w:qFormat/>
    <w:uiPriority w:val="0"/>
    <w:rPr>
      <w:rFonts w:ascii="Arial" w:hAnsi="Arial"/>
      <w:b/>
      <w:bCs/>
      <w:kern w:val="44"/>
      <w:sz w:val="30"/>
      <w:szCs w:val="44"/>
    </w:rPr>
  </w:style>
  <w:style w:type="paragraph" w:customStyle="1" w:styleId="1237">
    <w:name w:val="样式 标题 1 + Arial"/>
    <w:basedOn w:val="3"/>
    <w:link w:val="1236"/>
    <w:qFormat/>
    <w:uiPriority w:val="0"/>
    <w:pPr>
      <w:keepNext/>
      <w:keepLines/>
      <w:adjustRightInd/>
      <w:snapToGrid/>
      <w:spacing w:before="340" w:after="330" w:line="578" w:lineRule="auto"/>
      <w:jc w:val="both"/>
    </w:pPr>
    <w:rPr>
      <w:rFonts w:ascii="Arial" w:hAnsi="Arial"/>
      <w:sz w:val="30"/>
      <w:szCs w:val="44"/>
    </w:rPr>
  </w:style>
  <w:style w:type="character" w:customStyle="1" w:styleId="1238">
    <w:name w:val="亚行正文 Char"/>
    <w:link w:val="1239"/>
    <w:qFormat/>
    <w:uiPriority w:val="0"/>
    <w:rPr>
      <w:color w:val="0000FF"/>
      <w:kern w:val="2"/>
      <w:sz w:val="21"/>
      <w:szCs w:val="21"/>
    </w:rPr>
  </w:style>
  <w:style w:type="paragraph" w:customStyle="1" w:styleId="1239">
    <w:name w:val="亚行正文"/>
    <w:basedOn w:val="1"/>
    <w:link w:val="1238"/>
    <w:qFormat/>
    <w:uiPriority w:val="0"/>
    <w:pPr>
      <w:wordWrap w:val="0"/>
      <w:spacing w:line="240" w:lineRule="exact"/>
      <w:jc w:val="center"/>
    </w:pPr>
    <w:rPr>
      <w:color w:val="0000FF"/>
      <w:szCs w:val="21"/>
    </w:rPr>
  </w:style>
  <w:style w:type="paragraph" w:customStyle="1" w:styleId="1240">
    <w:name w:val="正文文本的"/>
    <w:basedOn w:val="1"/>
    <w:link w:val="1241"/>
    <w:qFormat/>
    <w:uiPriority w:val="0"/>
    <w:pPr>
      <w:spacing w:line="360" w:lineRule="auto"/>
      <w:ind w:firstLine="480" w:firstLineChars="200"/>
    </w:pPr>
    <w:rPr>
      <w:rFonts w:ascii="Calibri" w:hAnsi="Calibri" w:cs="Calibri"/>
      <w:sz w:val="24"/>
      <w:szCs w:val="20"/>
    </w:rPr>
  </w:style>
  <w:style w:type="character" w:customStyle="1" w:styleId="1241">
    <w:name w:val="正文文本的 Char"/>
    <w:link w:val="1240"/>
    <w:qFormat/>
    <w:uiPriority w:val="0"/>
    <w:rPr>
      <w:rFonts w:ascii="Calibri" w:hAnsi="Calibri" w:cs="Calibri"/>
      <w:kern w:val="2"/>
      <w:sz w:val="24"/>
    </w:rPr>
  </w:style>
  <w:style w:type="character" w:customStyle="1" w:styleId="1242">
    <w:name w:val="04文本 Char Char"/>
    <w:link w:val="1243"/>
    <w:qFormat/>
    <w:uiPriority w:val="0"/>
    <w:rPr>
      <w:kern w:val="2"/>
      <w:sz w:val="24"/>
      <w:szCs w:val="28"/>
    </w:rPr>
  </w:style>
  <w:style w:type="paragraph" w:customStyle="1" w:styleId="1243">
    <w:name w:val="04文本"/>
    <w:basedOn w:val="1"/>
    <w:link w:val="1242"/>
    <w:qFormat/>
    <w:uiPriority w:val="0"/>
    <w:pPr>
      <w:spacing w:line="360" w:lineRule="auto"/>
      <w:ind w:firstLine="200" w:firstLineChars="200"/>
    </w:pPr>
    <w:rPr>
      <w:sz w:val="24"/>
      <w:szCs w:val="28"/>
    </w:rPr>
  </w:style>
  <w:style w:type="character" w:customStyle="1" w:styleId="1244">
    <w:name w:val="文本正文 Char"/>
    <w:link w:val="1245"/>
    <w:semiHidden/>
    <w:qFormat/>
    <w:uiPriority w:val="0"/>
    <w:rPr>
      <w:rFonts w:ascii="宋体" w:hAnsi="宋体" w:cs="宋体"/>
      <w:kern w:val="2"/>
      <w:sz w:val="24"/>
      <w:szCs w:val="24"/>
    </w:rPr>
  </w:style>
  <w:style w:type="paragraph" w:customStyle="1" w:styleId="1245">
    <w:name w:val="文本正文"/>
    <w:basedOn w:val="1"/>
    <w:link w:val="1244"/>
    <w:semiHidden/>
    <w:qFormat/>
    <w:uiPriority w:val="0"/>
    <w:pPr>
      <w:spacing w:line="360" w:lineRule="auto"/>
      <w:ind w:firstLine="200" w:firstLineChars="200"/>
      <w:jc w:val="left"/>
    </w:pPr>
    <w:rPr>
      <w:rFonts w:ascii="宋体" w:hAnsi="宋体" w:cs="宋体"/>
      <w:sz w:val="24"/>
    </w:rPr>
  </w:style>
  <w:style w:type="paragraph" w:customStyle="1" w:styleId="1246">
    <w:name w:val="19"/>
    <w:basedOn w:val="3"/>
    <w:next w:val="1"/>
    <w:qFormat/>
    <w:uiPriority w:val="0"/>
    <w:pPr>
      <w:keepNext/>
      <w:keepLines/>
      <w:widowControl/>
      <w:adjustRightInd/>
      <w:snapToGrid/>
      <w:spacing w:before="240" w:line="259" w:lineRule="auto"/>
      <w:jc w:val="left"/>
      <w:outlineLvl w:val="9"/>
    </w:pPr>
    <w:rPr>
      <w:rFonts w:ascii="等线 Light" w:hAnsi="等线 Light" w:eastAsia="等线 Light" w:cs="Calibri"/>
      <w:b w:val="0"/>
      <w:bCs w:val="0"/>
      <w:color w:val="2E74B5"/>
      <w:kern w:val="0"/>
    </w:rPr>
  </w:style>
  <w:style w:type="paragraph" w:customStyle="1" w:styleId="1247">
    <w:name w:val="样式 标题 4 + 小四 左侧:  0 厘米 首行缩进:  0 厘米 段前: 0 磅 段后: 0 磅 行距: 1.5 ..."/>
    <w:basedOn w:val="6"/>
    <w:qFormat/>
    <w:uiPriority w:val="0"/>
    <w:pPr>
      <w:tabs>
        <w:tab w:val="left" w:pos="945"/>
        <w:tab w:val="left" w:pos="8715"/>
      </w:tabs>
      <w:adjustRightInd w:val="0"/>
      <w:snapToGrid w:val="0"/>
      <w:spacing w:before="0" w:after="0" w:line="360" w:lineRule="auto"/>
    </w:pPr>
    <w:rPr>
      <w:rFonts w:eastAsia="宋体" w:cs="Calibri"/>
      <w:b w:val="0"/>
      <w:snapToGrid w:val="0"/>
      <w:kern w:val="0"/>
      <w:sz w:val="24"/>
      <w:szCs w:val="20"/>
    </w:rPr>
  </w:style>
  <w:style w:type="character" w:customStyle="1" w:styleId="1248">
    <w:name w:val="引用 字符1"/>
    <w:link w:val="1249"/>
    <w:qFormat/>
    <w:uiPriority w:val="0"/>
    <w:rPr>
      <w:rFonts w:ascii="黑体" w:hAnsi="黑体" w:eastAsia="黑体"/>
      <w:iCs/>
      <w:color w:val="000000"/>
      <w:kern w:val="2"/>
      <w:sz w:val="24"/>
      <w:szCs w:val="24"/>
    </w:rPr>
  </w:style>
  <w:style w:type="paragraph" w:styleId="1249">
    <w:name w:val="Quote"/>
    <w:basedOn w:val="1"/>
    <w:next w:val="1"/>
    <w:link w:val="1248"/>
    <w:qFormat/>
    <w:uiPriority w:val="29"/>
    <w:pPr>
      <w:spacing w:line="480" w:lineRule="exact"/>
      <w:jc w:val="center"/>
    </w:pPr>
    <w:rPr>
      <w:rFonts w:ascii="黑体" w:hAnsi="黑体" w:eastAsia="黑体"/>
      <w:iCs/>
      <w:color w:val="000000"/>
      <w:sz w:val="24"/>
    </w:rPr>
  </w:style>
  <w:style w:type="character" w:customStyle="1" w:styleId="1250">
    <w:name w:val="引用 字符"/>
    <w:basedOn w:val="97"/>
    <w:qFormat/>
    <w:uiPriority w:val="29"/>
    <w:rPr>
      <w:i/>
      <w:iCs/>
      <w:color w:val="404040" w:themeColor="text1" w:themeTint="BF"/>
      <w:kern w:val="2"/>
      <w:sz w:val="21"/>
      <w:szCs w:val="24"/>
      <w14:textFill>
        <w14:solidFill>
          <w14:schemeClr w14:val="tx1">
            <w14:lumMod w14:val="75000"/>
            <w14:lumOff w14:val="25000"/>
          </w14:schemeClr>
        </w14:solidFill>
      </w14:textFill>
    </w:rPr>
  </w:style>
  <w:style w:type="paragraph" w:styleId="1251">
    <w:name w:val="No Spacing"/>
    <w:link w:val="1252"/>
    <w:qFormat/>
    <w:uiPriority w:val="0"/>
    <w:pPr>
      <w:widowControl w:val="0"/>
      <w:spacing w:line="280" w:lineRule="exact"/>
      <w:jc w:val="center"/>
    </w:pPr>
    <w:rPr>
      <w:rFonts w:ascii="Calibri" w:hAnsi="Calibri" w:eastAsia="宋体" w:cs="Calibri"/>
      <w:kern w:val="2"/>
      <w:sz w:val="18"/>
      <w:szCs w:val="24"/>
      <w:lang w:val="en-US" w:eastAsia="zh-CN" w:bidi="ar-SA"/>
    </w:rPr>
  </w:style>
  <w:style w:type="character" w:customStyle="1" w:styleId="1252">
    <w:name w:val="无间隔 字符"/>
    <w:link w:val="1251"/>
    <w:qFormat/>
    <w:uiPriority w:val="0"/>
    <w:rPr>
      <w:rFonts w:ascii="Calibri" w:hAnsi="Calibri" w:cs="Calibri"/>
      <w:kern w:val="2"/>
      <w:sz w:val="18"/>
      <w:szCs w:val="24"/>
    </w:rPr>
  </w:style>
  <w:style w:type="paragraph" w:customStyle="1" w:styleId="1253">
    <w:name w:val="表格文字居中 Char"/>
    <w:basedOn w:val="1"/>
    <w:next w:val="1"/>
    <w:link w:val="1254"/>
    <w:qFormat/>
    <w:uiPriority w:val="0"/>
    <w:pPr>
      <w:adjustRightInd w:val="0"/>
      <w:snapToGrid w:val="0"/>
      <w:jc w:val="center"/>
    </w:pPr>
    <w:rPr>
      <w:rFonts w:cs="Calibri"/>
      <w:color w:val="000000"/>
      <w:sz w:val="22"/>
      <w:szCs w:val="22"/>
    </w:rPr>
  </w:style>
  <w:style w:type="character" w:customStyle="1" w:styleId="1254">
    <w:name w:val="表格文字居中 Char Char"/>
    <w:link w:val="1253"/>
    <w:qFormat/>
    <w:uiPriority w:val="0"/>
    <w:rPr>
      <w:rFonts w:cs="Calibri"/>
      <w:color w:val="000000"/>
      <w:kern w:val="2"/>
      <w:sz w:val="22"/>
      <w:szCs w:val="22"/>
    </w:rPr>
  </w:style>
  <w:style w:type="paragraph" w:customStyle="1" w:styleId="1255">
    <w:name w:val="本人用正文"/>
    <w:basedOn w:val="1"/>
    <w:link w:val="1256"/>
    <w:qFormat/>
    <w:uiPriority w:val="0"/>
    <w:pPr>
      <w:ind w:firstLine="520" w:firstLineChars="200"/>
    </w:pPr>
    <w:rPr>
      <w:rFonts w:cs="Calibri"/>
      <w:bCs/>
      <w:sz w:val="26"/>
      <w:szCs w:val="26"/>
    </w:rPr>
  </w:style>
  <w:style w:type="character" w:customStyle="1" w:styleId="1256">
    <w:name w:val="本人用正文 Char"/>
    <w:link w:val="1255"/>
    <w:qFormat/>
    <w:uiPriority w:val="0"/>
    <w:rPr>
      <w:rFonts w:cs="Calibri"/>
      <w:bCs/>
      <w:kern w:val="2"/>
      <w:sz w:val="26"/>
      <w:szCs w:val="26"/>
    </w:rPr>
  </w:style>
  <w:style w:type="paragraph" w:customStyle="1" w:styleId="1257">
    <w:name w:val="官寨正文"/>
    <w:basedOn w:val="51"/>
    <w:link w:val="1258"/>
    <w:qFormat/>
    <w:uiPriority w:val="0"/>
    <w:pPr>
      <w:spacing w:after="0" w:line="240" w:lineRule="auto"/>
      <w:ind w:left="0" w:leftChars="0" w:firstLine="560" w:firstLineChars="200"/>
    </w:pPr>
    <w:rPr>
      <w:rFonts w:ascii="宋体" w:hAnsi="宋体" w:cs="Calibri"/>
      <w:bCs/>
      <w:color w:val="0000FF"/>
      <w:sz w:val="28"/>
      <w:szCs w:val="28"/>
    </w:rPr>
  </w:style>
  <w:style w:type="character" w:customStyle="1" w:styleId="1258">
    <w:name w:val="官寨正文 Char"/>
    <w:link w:val="1257"/>
    <w:qFormat/>
    <w:uiPriority w:val="0"/>
    <w:rPr>
      <w:rFonts w:ascii="宋体" w:hAnsi="宋体" w:cs="Calibri"/>
      <w:bCs/>
      <w:color w:val="0000FF"/>
      <w:kern w:val="2"/>
      <w:sz w:val="28"/>
      <w:szCs w:val="28"/>
    </w:rPr>
  </w:style>
  <w:style w:type="paragraph" w:customStyle="1" w:styleId="1259">
    <w:name w:val="我的报告正文"/>
    <w:basedOn w:val="1"/>
    <w:link w:val="1260"/>
    <w:qFormat/>
    <w:uiPriority w:val="0"/>
    <w:pPr>
      <w:spacing w:line="360" w:lineRule="auto"/>
      <w:ind w:firstLine="200" w:firstLineChars="200"/>
    </w:pPr>
    <w:rPr>
      <w:rFonts w:cs="Calibri"/>
      <w:sz w:val="24"/>
    </w:rPr>
  </w:style>
  <w:style w:type="character" w:customStyle="1" w:styleId="1260">
    <w:name w:val="我的报告正文 Char"/>
    <w:link w:val="1259"/>
    <w:qFormat/>
    <w:uiPriority w:val="0"/>
    <w:rPr>
      <w:rFonts w:cs="Calibri"/>
      <w:kern w:val="2"/>
      <w:sz w:val="24"/>
      <w:szCs w:val="24"/>
    </w:rPr>
  </w:style>
  <w:style w:type="paragraph" w:customStyle="1" w:styleId="1261">
    <w:name w:val="A环评正文"/>
    <w:basedOn w:val="1"/>
    <w:link w:val="1262"/>
    <w:qFormat/>
    <w:uiPriority w:val="3"/>
    <w:pPr>
      <w:spacing w:line="480" w:lineRule="exact"/>
      <w:ind w:firstLine="520" w:firstLineChars="200"/>
    </w:pPr>
    <w:rPr>
      <w:rFonts w:cs="Calibri"/>
      <w:sz w:val="26"/>
      <w:szCs w:val="21"/>
    </w:rPr>
  </w:style>
  <w:style w:type="character" w:customStyle="1" w:styleId="1262">
    <w:name w:val="A环评正文 字符"/>
    <w:link w:val="1261"/>
    <w:qFormat/>
    <w:uiPriority w:val="3"/>
    <w:rPr>
      <w:rFonts w:cs="Calibri"/>
      <w:kern w:val="2"/>
      <w:sz w:val="26"/>
      <w:szCs w:val="21"/>
    </w:rPr>
  </w:style>
  <w:style w:type="paragraph" w:customStyle="1" w:styleId="1263">
    <w:name w:val="A表头"/>
    <w:basedOn w:val="22"/>
    <w:link w:val="1264"/>
    <w:qFormat/>
    <w:uiPriority w:val="0"/>
    <w:pPr>
      <w:spacing w:beforeLines="50" w:line="460" w:lineRule="exact"/>
      <w:jc w:val="left"/>
    </w:pPr>
    <w:rPr>
      <w:rFonts w:eastAsia="宋体" w:cs="Calibri"/>
      <w:b/>
      <w:caps w:val="0"/>
      <w:spacing w:val="0"/>
      <w:sz w:val="26"/>
      <w:szCs w:val="21"/>
    </w:rPr>
  </w:style>
  <w:style w:type="character" w:customStyle="1" w:styleId="1264">
    <w:name w:val="A表头 字符"/>
    <w:link w:val="1263"/>
    <w:qFormat/>
    <w:uiPriority w:val="0"/>
    <w:rPr>
      <w:rFonts w:cs="Calibri"/>
      <w:b/>
      <w:kern w:val="2"/>
      <w:sz w:val="26"/>
      <w:szCs w:val="21"/>
    </w:rPr>
  </w:style>
  <w:style w:type="paragraph" w:customStyle="1" w:styleId="1265">
    <w:name w:val="A表内字"/>
    <w:basedOn w:val="1"/>
    <w:link w:val="1266"/>
    <w:qFormat/>
    <w:uiPriority w:val="0"/>
    <w:pPr>
      <w:jc w:val="center"/>
    </w:pPr>
    <w:rPr>
      <w:rFonts w:cs="Calibri"/>
      <w:sz w:val="22"/>
      <w:szCs w:val="21"/>
    </w:rPr>
  </w:style>
  <w:style w:type="character" w:customStyle="1" w:styleId="1266">
    <w:name w:val="A表内字 字符"/>
    <w:link w:val="1265"/>
    <w:qFormat/>
    <w:uiPriority w:val="0"/>
    <w:rPr>
      <w:rFonts w:cs="Calibri"/>
      <w:kern w:val="2"/>
      <w:sz w:val="22"/>
      <w:szCs w:val="21"/>
    </w:rPr>
  </w:style>
  <w:style w:type="paragraph" w:customStyle="1" w:styleId="1267">
    <w:name w:val="1、表内字"/>
    <w:basedOn w:val="1"/>
    <w:qFormat/>
    <w:uiPriority w:val="0"/>
    <w:pPr>
      <w:widowControl/>
      <w:jc w:val="center"/>
      <w:textAlignment w:val="baseline"/>
    </w:pPr>
    <w:rPr>
      <w:rFonts w:cs="Calibri"/>
      <w:kern w:val="0"/>
      <w:sz w:val="22"/>
      <w:szCs w:val="21"/>
    </w:rPr>
  </w:style>
  <w:style w:type="character" w:customStyle="1" w:styleId="1268">
    <w:name w:val="6表居中 Char"/>
    <w:link w:val="1269"/>
    <w:qFormat/>
    <w:uiPriority w:val="0"/>
    <w:rPr>
      <w:rFonts w:eastAsia="仿宋_GB2312"/>
      <w:kern w:val="2"/>
      <w:sz w:val="21"/>
      <w:szCs w:val="22"/>
    </w:rPr>
  </w:style>
  <w:style w:type="paragraph" w:customStyle="1" w:styleId="1269">
    <w:name w:val="6表居中"/>
    <w:basedOn w:val="1"/>
    <w:link w:val="1268"/>
    <w:qFormat/>
    <w:uiPriority w:val="0"/>
    <w:pPr>
      <w:snapToGrid w:val="0"/>
      <w:spacing w:before="50" w:beforeLines="50"/>
      <w:jc w:val="center"/>
    </w:pPr>
    <w:rPr>
      <w:rFonts w:eastAsia="仿宋_GB2312"/>
      <w:szCs w:val="22"/>
    </w:rPr>
  </w:style>
  <w:style w:type="paragraph" w:customStyle="1" w:styleId="1270">
    <w:name w:val="表内字体111"/>
    <w:basedOn w:val="1"/>
    <w:link w:val="1271"/>
    <w:qFormat/>
    <w:uiPriority w:val="0"/>
    <w:pPr>
      <w:adjustRightInd w:val="0"/>
      <w:snapToGrid w:val="0"/>
      <w:jc w:val="center"/>
    </w:pPr>
    <w:rPr>
      <w:rFonts w:cs="Calibri"/>
      <w:kern w:val="0"/>
    </w:rPr>
  </w:style>
  <w:style w:type="character" w:customStyle="1" w:styleId="1271">
    <w:name w:val="表内字体111 Char"/>
    <w:link w:val="1270"/>
    <w:qFormat/>
    <w:uiPriority w:val="0"/>
    <w:rPr>
      <w:rFonts w:cs="Calibri"/>
      <w:sz w:val="21"/>
      <w:szCs w:val="24"/>
    </w:rPr>
  </w:style>
  <w:style w:type="paragraph" w:customStyle="1" w:styleId="1272">
    <w:name w:val="表头11"/>
    <w:basedOn w:val="1"/>
    <w:link w:val="1273"/>
    <w:qFormat/>
    <w:uiPriority w:val="0"/>
    <w:pPr>
      <w:adjustRightInd w:val="0"/>
      <w:snapToGrid w:val="0"/>
      <w:spacing w:beforeLines="30" w:afterLines="10" w:line="460" w:lineRule="exact"/>
      <w:jc w:val="center"/>
    </w:pPr>
    <w:rPr>
      <w:rFonts w:cs="Calibri"/>
      <w:b/>
      <w:kern w:val="0"/>
      <w:sz w:val="24"/>
    </w:rPr>
  </w:style>
  <w:style w:type="character" w:customStyle="1" w:styleId="1273">
    <w:name w:val="表头11 Char"/>
    <w:link w:val="1272"/>
    <w:qFormat/>
    <w:uiPriority w:val="0"/>
    <w:rPr>
      <w:rFonts w:cs="Calibri"/>
      <w:b/>
      <w:sz w:val="24"/>
      <w:szCs w:val="24"/>
    </w:rPr>
  </w:style>
  <w:style w:type="paragraph" w:customStyle="1" w:styleId="1274">
    <w:name w:val="文本11"/>
    <w:basedOn w:val="1"/>
    <w:link w:val="1275"/>
    <w:qFormat/>
    <w:uiPriority w:val="0"/>
    <w:pPr>
      <w:spacing w:line="360" w:lineRule="auto"/>
      <w:ind w:firstLine="200" w:firstLineChars="200"/>
    </w:pPr>
    <w:rPr>
      <w:rFonts w:cs="Calibri"/>
      <w:color w:val="000000"/>
      <w:sz w:val="24"/>
    </w:rPr>
  </w:style>
  <w:style w:type="character" w:customStyle="1" w:styleId="1275">
    <w:name w:val="文本11 Char"/>
    <w:link w:val="1274"/>
    <w:qFormat/>
    <w:uiPriority w:val="0"/>
    <w:rPr>
      <w:rFonts w:cs="Calibri"/>
      <w:color w:val="000000"/>
      <w:kern w:val="2"/>
      <w:sz w:val="24"/>
      <w:szCs w:val="24"/>
    </w:rPr>
  </w:style>
  <w:style w:type="character" w:customStyle="1" w:styleId="1276">
    <w:name w:val="样式 样式 正文文本 + 首行缩进:  2 字符1 + 首行缩进:  2 字符 Char"/>
    <w:link w:val="1277"/>
    <w:qFormat/>
    <w:uiPriority w:val="0"/>
    <w:rPr>
      <w:color w:val="000000"/>
      <w:kern w:val="2"/>
      <w:sz w:val="26"/>
      <w:szCs w:val="26"/>
    </w:rPr>
  </w:style>
  <w:style w:type="paragraph" w:customStyle="1" w:styleId="1277">
    <w:name w:val="样式 样式 正文文本 + 首行缩进:  2 字符1 + 首行缩进:  2 字符"/>
    <w:basedOn w:val="1"/>
    <w:link w:val="1276"/>
    <w:qFormat/>
    <w:uiPriority w:val="0"/>
    <w:pPr>
      <w:spacing w:line="500" w:lineRule="exact"/>
      <w:ind w:firstLine="520" w:firstLineChars="200"/>
    </w:pPr>
    <w:rPr>
      <w:color w:val="000000"/>
      <w:sz w:val="26"/>
      <w:szCs w:val="26"/>
    </w:rPr>
  </w:style>
  <w:style w:type="paragraph" w:customStyle="1" w:styleId="1278">
    <w:name w:val="中煤正文"/>
    <w:basedOn w:val="1"/>
    <w:link w:val="1279"/>
    <w:qFormat/>
    <w:uiPriority w:val="0"/>
    <w:pPr>
      <w:widowControl/>
      <w:adjustRightInd w:val="0"/>
      <w:snapToGrid w:val="0"/>
      <w:spacing w:line="480" w:lineRule="exact"/>
      <w:ind w:firstLine="520" w:firstLineChars="200"/>
    </w:pPr>
    <w:rPr>
      <w:rFonts w:cs="Calibri"/>
      <w:sz w:val="26"/>
      <w:szCs w:val="26"/>
      <w:lang w:bidi="en-US"/>
    </w:rPr>
  </w:style>
  <w:style w:type="character" w:customStyle="1" w:styleId="1279">
    <w:name w:val="中煤正文 Char"/>
    <w:link w:val="1278"/>
    <w:qFormat/>
    <w:uiPriority w:val="0"/>
    <w:rPr>
      <w:rFonts w:cs="Calibri"/>
      <w:kern w:val="2"/>
      <w:sz w:val="26"/>
      <w:szCs w:val="26"/>
      <w:lang w:bidi="en-US"/>
    </w:rPr>
  </w:style>
  <w:style w:type="paragraph" w:customStyle="1" w:styleId="1280">
    <w:name w:val="正文文本3"/>
    <w:basedOn w:val="1"/>
    <w:link w:val="1281"/>
    <w:qFormat/>
    <w:uiPriority w:val="0"/>
    <w:pPr>
      <w:widowControl/>
      <w:shd w:val="clear" w:color="auto" w:fill="FFFFFF"/>
      <w:spacing w:line="0" w:lineRule="atLeast"/>
      <w:ind w:hanging="640"/>
      <w:jc w:val="left"/>
    </w:pPr>
    <w:rPr>
      <w:rFonts w:ascii="黑体" w:hAnsi="黑体" w:eastAsia="黑体" w:cs="Calibri"/>
      <w:kern w:val="0"/>
      <w:sz w:val="23"/>
      <w:szCs w:val="23"/>
    </w:rPr>
  </w:style>
  <w:style w:type="character" w:customStyle="1" w:styleId="1281">
    <w:name w:val="Body text_"/>
    <w:link w:val="1280"/>
    <w:qFormat/>
    <w:uiPriority w:val="0"/>
    <w:rPr>
      <w:rFonts w:ascii="黑体" w:hAnsi="黑体" w:eastAsia="黑体" w:cs="Calibri"/>
      <w:sz w:val="23"/>
      <w:szCs w:val="23"/>
      <w:shd w:val="clear" w:color="auto" w:fill="FFFFFF"/>
    </w:rPr>
  </w:style>
  <w:style w:type="character" w:customStyle="1" w:styleId="1282">
    <w:name w:val="图件 Char"/>
    <w:link w:val="1283"/>
    <w:qFormat/>
    <w:uiPriority w:val="0"/>
    <w:rPr>
      <w:b/>
      <w:color w:val="000000"/>
      <w:sz w:val="24"/>
    </w:rPr>
  </w:style>
  <w:style w:type="paragraph" w:customStyle="1" w:styleId="1283">
    <w:name w:val="图件"/>
    <w:link w:val="1282"/>
    <w:qFormat/>
    <w:uiPriority w:val="0"/>
    <w:pPr>
      <w:adjustRightInd w:val="0"/>
      <w:snapToGrid w:val="0"/>
      <w:jc w:val="center"/>
    </w:pPr>
    <w:rPr>
      <w:rFonts w:ascii="Times New Roman" w:hAnsi="Times New Roman" w:eastAsia="宋体" w:cs="Times New Roman"/>
      <w:b/>
      <w:color w:val="000000"/>
      <w:sz w:val="24"/>
      <w:lang w:val="en-US" w:eastAsia="zh-CN" w:bidi="ar-SA"/>
    </w:rPr>
  </w:style>
  <w:style w:type="paragraph" w:customStyle="1" w:styleId="1284">
    <w:name w:val="我的表格文字"/>
    <w:basedOn w:val="1"/>
    <w:link w:val="1285"/>
    <w:qFormat/>
    <w:uiPriority w:val="0"/>
    <w:pPr>
      <w:adjustRightInd w:val="0"/>
      <w:snapToGrid w:val="0"/>
      <w:jc w:val="center"/>
      <w:textAlignment w:val="baseline"/>
    </w:pPr>
    <w:rPr>
      <w:rFonts w:ascii="宋体" w:hAnsi="宋体" w:cs="Calibri"/>
      <w:szCs w:val="21"/>
    </w:rPr>
  </w:style>
  <w:style w:type="character" w:customStyle="1" w:styleId="1285">
    <w:name w:val="我的表格文字 Char"/>
    <w:link w:val="1284"/>
    <w:qFormat/>
    <w:uiPriority w:val="0"/>
    <w:rPr>
      <w:rFonts w:ascii="宋体" w:hAnsi="宋体" w:cs="Calibri"/>
      <w:kern w:val="2"/>
      <w:sz w:val="21"/>
      <w:szCs w:val="21"/>
    </w:rPr>
  </w:style>
  <w:style w:type="paragraph" w:customStyle="1" w:styleId="1286">
    <w:name w:val="图表"/>
    <w:basedOn w:val="1"/>
    <w:link w:val="1287"/>
    <w:qFormat/>
    <w:uiPriority w:val="0"/>
    <w:pPr>
      <w:overflowPunct w:val="0"/>
      <w:jc w:val="center"/>
    </w:pPr>
    <w:rPr>
      <w:rFonts w:ascii="宋体" w:hAnsi="宋体" w:cs="Calibri"/>
      <w:b/>
      <w:bCs/>
      <w:kern w:val="44"/>
      <w:sz w:val="24"/>
      <w:szCs w:val="21"/>
    </w:rPr>
  </w:style>
  <w:style w:type="character" w:customStyle="1" w:styleId="1287">
    <w:name w:val="图表 Char Char"/>
    <w:link w:val="1286"/>
    <w:qFormat/>
    <w:uiPriority w:val="0"/>
    <w:rPr>
      <w:rFonts w:ascii="宋体" w:hAnsi="宋体" w:cs="Calibri"/>
      <w:b/>
      <w:bCs/>
      <w:kern w:val="44"/>
      <w:sz w:val="24"/>
      <w:szCs w:val="21"/>
    </w:rPr>
  </w:style>
  <w:style w:type="paragraph" w:customStyle="1" w:styleId="1288">
    <w:name w:val="表格tdh"/>
    <w:basedOn w:val="1"/>
    <w:link w:val="1289"/>
    <w:qFormat/>
    <w:uiPriority w:val="0"/>
    <w:pPr>
      <w:tabs>
        <w:tab w:val="left" w:pos="761"/>
        <w:tab w:val="left" w:pos="1933"/>
        <w:tab w:val="left" w:pos="3316"/>
        <w:tab w:val="left" w:pos="4570"/>
        <w:tab w:val="left" w:pos="6031"/>
      </w:tabs>
      <w:jc w:val="center"/>
    </w:pPr>
    <w:rPr>
      <w:rFonts w:hAnsi="宋体" w:cs="Calibri"/>
      <w:color w:val="000000"/>
      <w:kern w:val="0"/>
      <w:szCs w:val="20"/>
    </w:rPr>
  </w:style>
  <w:style w:type="character" w:customStyle="1" w:styleId="1289">
    <w:name w:val="表格tdh Char"/>
    <w:link w:val="1288"/>
    <w:qFormat/>
    <w:uiPriority w:val="0"/>
    <w:rPr>
      <w:rFonts w:hAnsi="宋体" w:cs="Calibri"/>
      <w:color w:val="000000"/>
      <w:sz w:val="21"/>
    </w:rPr>
  </w:style>
  <w:style w:type="character" w:customStyle="1" w:styleId="1290">
    <w:name w:val="L-E  正文（宋体、小四） Char Char"/>
    <w:link w:val="1291"/>
    <w:qFormat/>
    <w:uiPriority w:val="0"/>
    <w:rPr>
      <w:rFonts w:ascii="宋体" w:hAnsi="宋体"/>
      <w:color w:val="0000FF"/>
      <w:sz w:val="24"/>
      <w:szCs w:val="24"/>
    </w:rPr>
  </w:style>
  <w:style w:type="paragraph" w:customStyle="1" w:styleId="1291">
    <w:name w:val="L-E  正文（宋体、小四）"/>
    <w:basedOn w:val="1"/>
    <w:next w:val="34"/>
    <w:link w:val="1290"/>
    <w:qFormat/>
    <w:uiPriority w:val="0"/>
    <w:pPr>
      <w:ind w:firstLine="480" w:firstLineChars="200"/>
    </w:pPr>
    <w:rPr>
      <w:rFonts w:ascii="宋体" w:hAnsi="宋体"/>
      <w:color w:val="0000FF"/>
      <w:kern w:val="0"/>
      <w:sz w:val="24"/>
    </w:rPr>
  </w:style>
  <w:style w:type="paragraph" w:customStyle="1" w:styleId="1292">
    <w:name w:val="tdh报告正文"/>
    <w:basedOn w:val="1"/>
    <w:link w:val="1293"/>
    <w:qFormat/>
    <w:uiPriority w:val="0"/>
    <w:pPr>
      <w:ind w:firstLine="480" w:firstLineChars="200"/>
    </w:pPr>
    <w:rPr>
      <w:rFonts w:cs="Calibri"/>
      <w:color w:val="000000"/>
      <w:sz w:val="24"/>
      <w:lang w:val="zh-CN"/>
    </w:rPr>
  </w:style>
  <w:style w:type="character" w:customStyle="1" w:styleId="1293">
    <w:name w:val="tdh报告正文 Char Char"/>
    <w:link w:val="1292"/>
    <w:qFormat/>
    <w:uiPriority w:val="0"/>
    <w:rPr>
      <w:rFonts w:cs="Calibri"/>
      <w:color w:val="000000"/>
      <w:kern w:val="2"/>
      <w:sz w:val="24"/>
      <w:szCs w:val="24"/>
      <w:lang w:val="zh-CN"/>
    </w:rPr>
  </w:style>
  <w:style w:type="paragraph" w:customStyle="1" w:styleId="1294">
    <w:name w:val="tdh表格标题"/>
    <w:basedOn w:val="1"/>
    <w:link w:val="1295"/>
    <w:qFormat/>
    <w:uiPriority w:val="0"/>
    <w:pPr>
      <w:spacing w:before="50" w:beforeLines="50" w:after="50" w:afterLines="50"/>
      <w:jc w:val="center"/>
    </w:pPr>
    <w:rPr>
      <w:rFonts w:cs="Calibri"/>
      <w:b/>
    </w:rPr>
  </w:style>
  <w:style w:type="character" w:customStyle="1" w:styleId="1295">
    <w:name w:val="tdh表格标题 Char"/>
    <w:link w:val="1294"/>
    <w:qFormat/>
    <w:uiPriority w:val="0"/>
    <w:rPr>
      <w:rFonts w:cs="Calibri"/>
      <w:b/>
      <w:kern w:val="2"/>
      <w:sz w:val="21"/>
      <w:szCs w:val="24"/>
    </w:rPr>
  </w:style>
  <w:style w:type="character" w:customStyle="1" w:styleId="1296">
    <w:name w:val="2应急预案 图标表头 Char Char"/>
    <w:link w:val="1297"/>
    <w:qFormat/>
    <w:uiPriority w:val="0"/>
    <w:rPr>
      <w:rFonts w:cs="宋体"/>
      <w:b/>
      <w:sz w:val="24"/>
    </w:rPr>
  </w:style>
  <w:style w:type="paragraph" w:customStyle="1" w:styleId="1297">
    <w:name w:val="2应急预案 图标表头"/>
    <w:basedOn w:val="1"/>
    <w:link w:val="1296"/>
    <w:qFormat/>
    <w:uiPriority w:val="0"/>
    <w:pPr>
      <w:spacing w:before="156" w:beforeLines="50" w:after="50" w:afterLines="50" w:line="360" w:lineRule="auto"/>
      <w:jc w:val="center"/>
    </w:pPr>
    <w:rPr>
      <w:rFonts w:cs="宋体"/>
      <w:b/>
      <w:kern w:val="0"/>
      <w:sz w:val="24"/>
      <w:szCs w:val="20"/>
    </w:rPr>
  </w:style>
  <w:style w:type="character" w:customStyle="1" w:styleId="1298">
    <w:name w:val="2应急预案 图标内容 Char Char"/>
    <w:link w:val="1299"/>
    <w:qFormat/>
    <w:uiPriority w:val="0"/>
  </w:style>
  <w:style w:type="paragraph" w:customStyle="1" w:styleId="1299">
    <w:name w:val="2应急预案 图标内容"/>
    <w:basedOn w:val="1297"/>
    <w:link w:val="1298"/>
    <w:qFormat/>
    <w:uiPriority w:val="0"/>
    <w:rPr>
      <w:rFonts w:cs="Times New Roman"/>
      <w:b w:val="0"/>
      <w:sz w:val="20"/>
    </w:rPr>
  </w:style>
  <w:style w:type="character" w:customStyle="1" w:styleId="1300">
    <w:name w:val="zwb-正文 Char"/>
    <w:link w:val="1301"/>
    <w:qFormat/>
    <w:uiPriority w:val="0"/>
    <w:rPr>
      <w:sz w:val="24"/>
      <w:szCs w:val="24"/>
    </w:rPr>
  </w:style>
  <w:style w:type="paragraph" w:customStyle="1" w:styleId="1301">
    <w:name w:val="zwb-正文"/>
    <w:basedOn w:val="1"/>
    <w:link w:val="1300"/>
    <w:qFormat/>
    <w:uiPriority w:val="0"/>
    <w:pPr>
      <w:spacing w:before="50" w:beforeLines="50" w:after="50" w:afterLines="50" w:line="360" w:lineRule="auto"/>
      <w:ind w:firstLine="480" w:firstLineChars="200"/>
    </w:pPr>
    <w:rPr>
      <w:kern w:val="0"/>
      <w:sz w:val="24"/>
    </w:rPr>
  </w:style>
  <w:style w:type="character" w:customStyle="1" w:styleId="1302">
    <w:name w:val="xxxxx正文 Char"/>
    <w:link w:val="1303"/>
    <w:qFormat/>
    <w:uiPriority w:val="0"/>
    <w:rPr>
      <w:rFonts w:ascii="宋体"/>
      <w:sz w:val="24"/>
      <w:szCs w:val="24"/>
      <w:lang w:val="zh-CN"/>
    </w:rPr>
  </w:style>
  <w:style w:type="paragraph" w:customStyle="1" w:styleId="1303">
    <w:name w:val="xxxxx正文"/>
    <w:basedOn w:val="1"/>
    <w:link w:val="1302"/>
    <w:qFormat/>
    <w:uiPriority w:val="0"/>
    <w:pPr>
      <w:topLinePunct/>
      <w:spacing w:before="50" w:beforeLines="50" w:after="50" w:afterLines="50" w:line="360" w:lineRule="auto"/>
      <w:ind w:firstLine="200" w:firstLineChars="200"/>
    </w:pPr>
    <w:rPr>
      <w:rFonts w:ascii="宋体"/>
      <w:kern w:val="0"/>
      <w:sz w:val="24"/>
      <w:lang w:val="zh-CN"/>
    </w:rPr>
  </w:style>
  <w:style w:type="character" w:customStyle="1" w:styleId="1304">
    <w:name w:val="新标题3x Char"/>
    <w:link w:val="1305"/>
    <w:qFormat/>
    <w:uiPriority w:val="0"/>
    <w:rPr>
      <w:rFonts w:ascii="黑体" w:eastAsia="黑体" w:cs="宋体"/>
      <w:b/>
      <w:bCs/>
      <w:color w:val="000000"/>
      <w:sz w:val="24"/>
      <w:szCs w:val="24"/>
      <w:lang w:val="zh-CN"/>
    </w:rPr>
  </w:style>
  <w:style w:type="paragraph" w:customStyle="1" w:styleId="1305">
    <w:name w:val="标题3x"/>
    <w:basedOn w:val="1"/>
    <w:link w:val="1304"/>
    <w:qFormat/>
    <w:uiPriority w:val="0"/>
    <w:pPr>
      <w:keepNext/>
      <w:keepLines/>
      <w:spacing w:before="120" w:beforeLines="50" w:after="50" w:afterLines="50" w:line="360" w:lineRule="auto"/>
      <w:outlineLvl w:val="2"/>
    </w:pPr>
    <w:rPr>
      <w:rFonts w:ascii="黑体" w:eastAsia="黑体" w:cs="宋体"/>
      <w:b/>
      <w:bCs/>
      <w:color w:val="000000"/>
      <w:kern w:val="0"/>
      <w:sz w:val="24"/>
      <w:lang w:val="zh-CN"/>
    </w:rPr>
  </w:style>
  <w:style w:type="character" w:customStyle="1" w:styleId="1306">
    <w:name w:val="环保3级标题 Char"/>
    <w:link w:val="1307"/>
    <w:qFormat/>
    <w:uiPriority w:val="0"/>
    <w:rPr>
      <w:b/>
      <w:bCs/>
      <w:sz w:val="28"/>
      <w:szCs w:val="32"/>
    </w:rPr>
  </w:style>
  <w:style w:type="paragraph" w:customStyle="1" w:styleId="1307">
    <w:name w:val="环保3级标题"/>
    <w:basedOn w:val="1"/>
    <w:link w:val="1306"/>
    <w:qFormat/>
    <w:uiPriority w:val="0"/>
    <w:pPr>
      <w:keepNext/>
      <w:keepLines/>
      <w:spacing w:before="120" w:after="120" w:line="360" w:lineRule="auto"/>
      <w:jc w:val="left"/>
      <w:outlineLvl w:val="2"/>
    </w:pPr>
    <w:rPr>
      <w:b/>
      <w:bCs/>
      <w:kern w:val="0"/>
      <w:sz w:val="28"/>
      <w:szCs w:val="32"/>
    </w:rPr>
  </w:style>
  <w:style w:type="character" w:customStyle="1" w:styleId="1308">
    <w:name w:val="岳长样式 Char"/>
    <w:link w:val="1309"/>
    <w:qFormat/>
    <w:uiPriority w:val="0"/>
    <w:rPr>
      <w:rFonts w:ascii="楷体" w:eastAsia="楷体"/>
      <w:w w:val="90"/>
      <w:sz w:val="24"/>
      <w:szCs w:val="28"/>
    </w:rPr>
  </w:style>
  <w:style w:type="paragraph" w:customStyle="1" w:styleId="1309">
    <w:name w:val="岳长样式"/>
    <w:basedOn w:val="35"/>
    <w:link w:val="1308"/>
    <w:qFormat/>
    <w:uiPriority w:val="0"/>
    <w:pPr>
      <w:spacing w:before="50" w:beforeLines="50" w:after="0" w:afterLines="50" w:line="288" w:lineRule="auto"/>
      <w:ind w:left="0" w:leftChars="0" w:firstLine="431" w:firstLineChars="200"/>
    </w:pPr>
    <w:rPr>
      <w:rFonts w:ascii="楷体" w:eastAsia="楷体"/>
      <w:snapToGrid/>
      <w:w w:val="90"/>
      <w:sz w:val="24"/>
      <w:szCs w:val="28"/>
    </w:rPr>
  </w:style>
  <w:style w:type="character" w:customStyle="1" w:styleId="1310">
    <w:name w:val="111111正文 Char Char"/>
    <w:link w:val="1311"/>
    <w:qFormat/>
    <w:uiPriority w:val="99"/>
    <w:rPr>
      <w:sz w:val="24"/>
      <w:szCs w:val="24"/>
    </w:rPr>
  </w:style>
  <w:style w:type="paragraph" w:customStyle="1" w:styleId="1311">
    <w:name w:val="111111正文"/>
    <w:basedOn w:val="1"/>
    <w:link w:val="1310"/>
    <w:qFormat/>
    <w:uiPriority w:val="99"/>
    <w:pPr>
      <w:spacing w:before="50" w:beforeLines="50" w:after="50" w:afterLines="50" w:line="360" w:lineRule="auto"/>
      <w:ind w:firstLine="200" w:firstLineChars="200"/>
    </w:pPr>
    <w:rPr>
      <w:kern w:val="0"/>
      <w:sz w:val="24"/>
    </w:rPr>
  </w:style>
  <w:style w:type="character" w:customStyle="1" w:styleId="1312">
    <w:name w:val="样式标题5 Char"/>
    <w:link w:val="1313"/>
    <w:qFormat/>
    <w:uiPriority w:val="0"/>
    <w:rPr>
      <w:rFonts w:ascii="Calibri" w:hAnsi="Calibri"/>
      <w:sz w:val="24"/>
      <w:szCs w:val="24"/>
    </w:rPr>
  </w:style>
  <w:style w:type="paragraph" w:customStyle="1" w:styleId="1313">
    <w:name w:val="样式标题5"/>
    <w:basedOn w:val="1"/>
    <w:next w:val="1"/>
    <w:link w:val="1312"/>
    <w:qFormat/>
    <w:uiPriority w:val="0"/>
    <w:pPr>
      <w:spacing w:before="50" w:beforeLines="50" w:after="50" w:afterLines="50" w:line="360" w:lineRule="auto"/>
      <w:ind w:left="167" w:firstLine="400"/>
    </w:pPr>
    <w:rPr>
      <w:rFonts w:ascii="Calibri" w:hAnsi="Calibri"/>
      <w:kern w:val="0"/>
      <w:sz w:val="24"/>
    </w:rPr>
  </w:style>
  <w:style w:type="character" w:customStyle="1" w:styleId="1314">
    <w:name w:val="热电厂正文 Char"/>
    <w:link w:val="1315"/>
    <w:qFormat/>
    <w:uiPriority w:val="0"/>
    <w:rPr>
      <w:sz w:val="24"/>
    </w:rPr>
  </w:style>
  <w:style w:type="paragraph" w:customStyle="1" w:styleId="1315">
    <w:name w:val="热电厂正文"/>
    <w:basedOn w:val="1"/>
    <w:link w:val="1314"/>
    <w:qFormat/>
    <w:uiPriority w:val="0"/>
    <w:pPr>
      <w:spacing w:before="50" w:beforeLines="50" w:after="50" w:afterLines="50" w:line="440" w:lineRule="exact"/>
      <w:ind w:firstLine="480" w:firstLineChars="200"/>
    </w:pPr>
    <w:rPr>
      <w:kern w:val="0"/>
      <w:sz w:val="24"/>
      <w:szCs w:val="20"/>
    </w:rPr>
  </w:style>
  <w:style w:type="character" w:customStyle="1" w:styleId="1316">
    <w:name w:val="提头 Char"/>
    <w:link w:val="1317"/>
    <w:qFormat/>
    <w:uiPriority w:val="0"/>
    <w:rPr>
      <w:b/>
      <w:sz w:val="24"/>
      <w:szCs w:val="24"/>
    </w:rPr>
  </w:style>
  <w:style w:type="paragraph" w:customStyle="1" w:styleId="1317">
    <w:name w:val="提头"/>
    <w:basedOn w:val="1"/>
    <w:next w:val="1"/>
    <w:link w:val="1316"/>
    <w:qFormat/>
    <w:uiPriority w:val="0"/>
    <w:pPr>
      <w:numPr>
        <w:ilvl w:val="4"/>
        <w:numId w:val="14"/>
      </w:numPr>
      <w:tabs>
        <w:tab w:val="left" w:pos="227"/>
      </w:tabs>
      <w:spacing w:before="50" w:beforeLines="20" w:after="50" w:afterLines="50" w:line="360" w:lineRule="auto"/>
      <w:ind w:firstLine="0"/>
      <w:jc w:val="center"/>
    </w:pPr>
    <w:rPr>
      <w:b/>
      <w:kern w:val="0"/>
      <w:sz w:val="24"/>
    </w:rPr>
  </w:style>
  <w:style w:type="character" w:customStyle="1" w:styleId="1318">
    <w:name w:val="hb22 Char"/>
    <w:link w:val="1319"/>
    <w:qFormat/>
    <w:uiPriority w:val="0"/>
    <w:rPr>
      <w:rFonts w:cs="Arial"/>
      <w:b/>
      <w:bCs/>
      <w:sz w:val="32"/>
      <w:szCs w:val="32"/>
    </w:rPr>
  </w:style>
  <w:style w:type="paragraph" w:customStyle="1" w:styleId="1319">
    <w:name w:val="hb22"/>
    <w:basedOn w:val="4"/>
    <w:link w:val="1318"/>
    <w:qFormat/>
    <w:uiPriority w:val="0"/>
    <w:pPr>
      <w:keepLines w:val="0"/>
      <w:topLinePunct/>
      <w:spacing w:before="120" w:after="120" w:line="240" w:lineRule="atLeast"/>
      <w:jc w:val="left"/>
      <w:textAlignment w:val="baseline"/>
    </w:pPr>
    <w:rPr>
      <w:rFonts w:ascii="Times New Roman" w:hAnsi="Times New Roman" w:eastAsia="宋体" w:cs="Arial"/>
      <w:kern w:val="0"/>
    </w:rPr>
  </w:style>
  <w:style w:type="paragraph" w:customStyle="1" w:styleId="1320">
    <w:name w:val="正文-"/>
    <w:basedOn w:val="1"/>
    <w:link w:val="1321"/>
    <w:qFormat/>
    <w:uiPriority w:val="0"/>
    <w:pPr>
      <w:spacing w:line="360" w:lineRule="auto"/>
      <w:ind w:firstLine="200" w:firstLineChars="200"/>
    </w:pPr>
    <w:rPr>
      <w:rFonts w:cs="Calibri"/>
      <w:bCs/>
      <w:sz w:val="24"/>
      <w:szCs w:val="22"/>
    </w:rPr>
  </w:style>
  <w:style w:type="character" w:customStyle="1" w:styleId="1321">
    <w:name w:val="正文- Char"/>
    <w:link w:val="1320"/>
    <w:qFormat/>
    <w:uiPriority w:val="0"/>
    <w:rPr>
      <w:rFonts w:cs="Calibri"/>
      <w:bCs/>
      <w:kern w:val="2"/>
      <w:sz w:val="24"/>
      <w:szCs w:val="22"/>
    </w:rPr>
  </w:style>
  <w:style w:type="character" w:customStyle="1" w:styleId="1322">
    <w:name w:val="样式 标题 2标题节标题 2 Char Char + 段前: 2 行 Char"/>
    <w:link w:val="1323"/>
    <w:qFormat/>
    <w:uiPriority w:val="0"/>
    <w:rPr>
      <w:b/>
      <w:sz w:val="26"/>
    </w:rPr>
  </w:style>
  <w:style w:type="paragraph" w:customStyle="1" w:styleId="1323">
    <w:name w:val="样式 标题 2标题节标题 2 Char Char + 段前: 2 行"/>
    <w:basedOn w:val="4"/>
    <w:next w:val="1"/>
    <w:link w:val="1322"/>
    <w:qFormat/>
    <w:uiPriority w:val="0"/>
    <w:pPr>
      <w:keepLines w:val="0"/>
      <w:widowControl/>
      <w:spacing w:before="240" w:after="60" w:line="460" w:lineRule="exact"/>
      <w:ind w:firstLine="200" w:firstLineChars="200"/>
      <w:jc w:val="center"/>
    </w:pPr>
    <w:rPr>
      <w:rFonts w:ascii="Times New Roman" w:hAnsi="Times New Roman" w:eastAsia="宋体"/>
      <w:bCs w:val="0"/>
      <w:kern w:val="0"/>
      <w:sz w:val="26"/>
      <w:szCs w:val="20"/>
    </w:rPr>
  </w:style>
  <w:style w:type="paragraph" w:customStyle="1" w:styleId="1324">
    <w:name w:val="正文缩进(正文内容)"/>
    <w:basedOn w:val="1"/>
    <w:link w:val="1325"/>
    <w:qFormat/>
    <w:uiPriority w:val="0"/>
    <w:pPr>
      <w:widowControl/>
      <w:snapToGrid w:val="0"/>
      <w:spacing w:line="400" w:lineRule="exact"/>
      <w:ind w:firstLine="200" w:firstLineChars="200"/>
      <w:jc w:val="center"/>
    </w:pPr>
    <w:rPr>
      <w:rFonts w:ascii="宋体" w:hAnsi="宋体" w:cs="Calibri"/>
      <w:kern w:val="0"/>
      <w:sz w:val="24"/>
    </w:rPr>
  </w:style>
  <w:style w:type="character" w:customStyle="1" w:styleId="1325">
    <w:name w:val="正文缩进(正文内容) Char1"/>
    <w:link w:val="1324"/>
    <w:qFormat/>
    <w:uiPriority w:val="0"/>
    <w:rPr>
      <w:rFonts w:ascii="宋体" w:hAnsi="宋体" w:cs="Calibri"/>
      <w:sz w:val="24"/>
      <w:szCs w:val="24"/>
    </w:rPr>
  </w:style>
  <w:style w:type="paragraph" w:customStyle="1" w:styleId="1326">
    <w:name w:val="样式 样式 标题 2标题节标题 2 Char Char + 段前: 2 行 + 段前: 0.5 行 段后: 0.5 行1"/>
    <w:basedOn w:val="1323"/>
    <w:qFormat/>
    <w:uiPriority w:val="0"/>
  </w:style>
  <w:style w:type="paragraph" w:styleId="1327">
    <w:name w:val="Intense Quote"/>
    <w:basedOn w:val="1"/>
    <w:next w:val="1"/>
    <w:link w:val="1328"/>
    <w:qFormat/>
    <w:uiPriority w:val="30"/>
    <w:pPr>
      <w:widowControl/>
      <w:ind w:left="720" w:right="720"/>
      <w:jc w:val="center"/>
    </w:pPr>
    <w:rPr>
      <w:rFonts w:cs="Calibri"/>
      <w:b/>
      <w:i/>
      <w:kern w:val="0"/>
      <w:sz w:val="26"/>
      <w:szCs w:val="22"/>
    </w:rPr>
  </w:style>
  <w:style w:type="character" w:customStyle="1" w:styleId="1328">
    <w:name w:val="明显引用 字符1"/>
    <w:link w:val="1327"/>
    <w:qFormat/>
    <w:uiPriority w:val="30"/>
    <w:rPr>
      <w:rFonts w:cs="Calibri"/>
      <w:b/>
      <w:i/>
      <w:sz w:val="26"/>
      <w:szCs w:val="22"/>
    </w:rPr>
  </w:style>
  <w:style w:type="character" w:customStyle="1" w:styleId="1329">
    <w:name w:val="明显引用 字符"/>
    <w:basedOn w:val="97"/>
    <w:qFormat/>
    <w:uiPriority w:val="30"/>
    <w:rPr>
      <w:i/>
      <w:iCs/>
      <w:color w:val="5B9BD5" w:themeColor="accent1"/>
      <w:kern w:val="2"/>
      <w:sz w:val="21"/>
      <w:szCs w:val="24"/>
      <w14:textFill>
        <w14:solidFill>
          <w14:schemeClr w14:val="accent1"/>
        </w14:solidFill>
      </w14:textFill>
    </w:rPr>
  </w:style>
  <w:style w:type="character" w:customStyle="1" w:styleId="1330">
    <w:name w:val="17"/>
    <w:qFormat/>
    <w:uiPriority w:val="19"/>
    <w:rPr>
      <w:i/>
      <w:color w:val="5A5A5A"/>
    </w:rPr>
  </w:style>
  <w:style w:type="character" w:customStyle="1" w:styleId="1331">
    <w:name w:val="14"/>
    <w:qFormat/>
    <w:uiPriority w:val="21"/>
    <w:rPr>
      <w:b/>
      <w:i/>
      <w:sz w:val="24"/>
      <w:szCs w:val="24"/>
      <w:u w:val="single"/>
    </w:rPr>
  </w:style>
  <w:style w:type="character" w:customStyle="1" w:styleId="1332">
    <w:name w:val="12"/>
    <w:qFormat/>
    <w:uiPriority w:val="31"/>
    <w:rPr>
      <w:sz w:val="24"/>
      <w:szCs w:val="24"/>
      <w:u w:val="single"/>
    </w:rPr>
  </w:style>
  <w:style w:type="character" w:customStyle="1" w:styleId="1333">
    <w:name w:val="10"/>
    <w:qFormat/>
    <w:uiPriority w:val="0"/>
    <w:rPr>
      <w:b/>
      <w:sz w:val="24"/>
      <w:u w:val="single"/>
    </w:rPr>
  </w:style>
  <w:style w:type="character" w:customStyle="1" w:styleId="1334">
    <w:name w:val="9"/>
    <w:qFormat/>
    <w:uiPriority w:val="33"/>
    <w:rPr>
      <w:rFonts w:ascii="Cambria" w:hAnsi="Cambria" w:eastAsia="宋体"/>
      <w:b/>
      <w:i/>
      <w:sz w:val="24"/>
      <w:szCs w:val="24"/>
    </w:rPr>
  </w:style>
  <w:style w:type="character" w:customStyle="1" w:styleId="1335">
    <w:name w:val="图表头 Char"/>
    <w:link w:val="1336"/>
    <w:qFormat/>
    <w:uiPriority w:val="0"/>
    <w:rPr>
      <w:rFonts w:ascii="宋体"/>
      <w:b/>
      <w:sz w:val="24"/>
    </w:rPr>
  </w:style>
  <w:style w:type="paragraph" w:customStyle="1" w:styleId="1336">
    <w:name w:val="图表头"/>
    <w:basedOn w:val="1"/>
    <w:link w:val="1335"/>
    <w:qFormat/>
    <w:uiPriority w:val="0"/>
    <w:pPr>
      <w:spacing w:before="156" w:beforeLines="50" w:after="156" w:afterLines="50" w:line="312" w:lineRule="auto"/>
      <w:jc w:val="center"/>
    </w:pPr>
    <w:rPr>
      <w:rFonts w:ascii="宋体"/>
      <w:b/>
      <w:kern w:val="0"/>
      <w:sz w:val="24"/>
      <w:szCs w:val="20"/>
    </w:rPr>
  </w:style>
  <w:style w:type="paragraph" w:customStyle="1" w:styleId="1337">
    <w:name w:val="0环评标题3"/>
    <w:basedOn w:val="5"/>
    <w:qFormat/>
    <w:uiPriority w:val="0"/>
    <w:pPr>
      <w:spacing w:before="0" w:after="0" w:line="480" w:lineRule="exact"/>
      <w:ind w:firstLine="200" w:firstLineChars="200"/>
    </w:pPr>
    <w:rPr>
      <w:rFonts w:ascii="Calibri" w:hAnsi="Calibri" w:eastAsia="Times New Roman" w:cs="Calibri"/>
      <w:b w:val="0"/>
      <w:color w:val="FF0000"/>
      <w:sz w:val="26"/>
    </w:rPr>
  </w:style>
  <w:style w:type="paragraph" w:customStyle="1" w:styleId="1338">
    <w:name w:val="0环评标题2"/>
    <w:basedOn w:val="4"/>
    <w:qFormat/>
    <w:uiPriority w:val="0"/>
    <w:pPr>
      <w:spacing w:before="0" w:after="0" w:line="480" w:lineRule="exact"/>
      <w:ind w:firstLine="200" w:firstLineChars="200"/>
    </w:pPr>
    <w:rPr>
      <w:rFonts w:ascii="Cambria" w:hAnsi="Cambria" w:eastAsia="Times New Roman" w:cs="Calibri"/>
      <w:b w:val="0"/>
      <w:sz w:val="26"/>
    </w:rPr>
  </w:style>
  <w:style w:type="character" w:customStyle="1" w:styleId="1339">
    <w:name w:val="样式 标题ljm + 首行缩进:  2 字符 Char Char Char"/>
    <w:link w:val="1340"/>
    <w:qFormat/>
    <w:uiPriority w:val="0"/>
    <w:rPr>
      <w:rFonts w:cs="宋体"/>
      <w:b/>
      <w:bCs/>
      <w:sz w:val="24"/>
      <w:szCs w:val="24"/>
    </w:rPr>
  </w:style>
  <w:style w:type="paragraph" w:customStyle="1" w:styleId="1340">
    <w:name w:val="样式 标题ljm + 首行缩进:  2 字符"/>
    <w:basedOn w:val="1"/>
    <w:link w:val="1339"/>
    <w:qFormat/>
    <w:uiPriority w:val="0"/>
    <w:pPr>
      <w:spacing w:line="0" w:lineRule="atLeast"/>
      <w:ind w:firstLine="482"/>
    </w:pPr>
    <w:rPr>
      <w:rFonts w:cs="宋体"/>
      <w:b/>
      <w:bCs/>
      <w:kern w:val="0"/>
      <w:sz w:val="24"/>
    </w:rPr>
  </w:style>
  <w:style w:type="character" w:customStyle="1" w:styleId="1341">
    <w:name w:val="样式 五号 Char"/>
    <w:link w:val="1342"/>
    <w:qFormat/>
    <w:uiPriority w:val="0"/>
    <w:rPr>
      <w:rFonts w:ascii="宋体" w:hAnsi="宋体" w:cs="宋体"/>
      <w:w w:val="90"/>
      <w:sz w:val="28"/>
      <w:szCs w:val="21"/>
    </w:rPr>
  </w:style>
  <w:style w:type="paragraph" w:customStyle="1" w:styleId="1342">
    <w:name w:val="样式 五号"/>
    <w:basedOn w:val="1"/>
    <w:link w:val="1341"/>
    <w:qFormat/>
    <w:uiPriority w:val="0"/>
    <w:pPr>
      <w:tabs>
        <w:tab w:val="center" w:pos="4153"/>
        <w:tab w:val="right" w:pos="8306"/>
      </w:tabs>
      <w:adjustRightInd w:val="0"/>
      <w:snapToGrid w:val="0"/>
      <w:spacing w:line="360" w:lineRule="auto"/>
      <w:ind w:firstLine="200" w:firstLineChars="200"/>
      <w:jc w:val="left"/>
    </w:pPr>
    <w:rPr>
      <w:rFonts w:ascii="宋体" w:hAnsi="宋体" w:cs="宋体"/>
      <w:w w:val="90"/>
      <w:kern w:val="0"/>
      <w:sz w:val="28"/>
      <w:szCs w:val="21"/>
    </w:rPr>
  </w:style>
  <w:style w:type="character" w:customStyle="1" w:styleId="1343">
    <w:name w:val="耿宝 正文 Char Char"/>
    <w:link w:val="1344"/>
    <w:qFormat/>
    <w:uiPriority w:val="0"/>
    <w:rPr>
      <w:rFonts w:ascii="宋体"/>
      <w:sz w:val="28"/>
      <w:szCs w:val="28"/>
    </w:rPr>
  </w:style>
  <w:style w:type="paragraph" w:customStyle="1" w:styleId="1344">
    <w:name w:val="耿宝 正文"/>
    <w:basedOn w:val="1"/>
    <w:link w:val="1343"/>
    <w:qFormat/>
    <w:uiPriority w:val="0"/>
    <w:pPr>
      <w:snapToGrid w:val="0"/>
      <w:spacing w:line="300" w:lineRule="auto"/>
      <w:ind w:firstLine="560" w:firstLineChars="200"/>
    </w:pPr>
    <w:rPr>
      <w:rFonts w:ascii="宋体"/>
      <w:kern w:val="0"/>
      <w:sz w:val="28"/>
      <w:szCs w:val="28"/>
    </w:rPr>
  </w:style>
  <w:style w:type="paragraph" w:customStyle="1" w:styleId="1345">
    <w:name w:val="中煤表格"/>
    <w:basedOn w:val="1"/>
    <w:qFormat/>
    <w:uiPriority w:val="0"/>
    <w:pPr>
      <w:jc w:val="center"/>
    </w:pPr>
    <w:rPr>
      <w:rFonts w:cs="Calibri"/>
      <w:sz w:val="22"/>
      <w:szCs w:val="21"/>
    </w:rPr>
  </w:style>
  <w:style w:type="paragraph" w:customStyle="1" w:styleId="1346">
    <w:name w:val="图片，环保"/>
    <w:basedOn w:val="1"/>
    <w:link w:val="1347"/>
    <w:qFormat/>
    <w:uiPriority w:val="0"/>
    <w:pPr>
      <w:jc w:val="center"/>
    </w:pPr>
    <w:rPr>
      <w:rFonts w:cs="Calibri"/>
      <w:kern w:val="0"/>
      <w:sz w:val="24"/>
      <w:szCs w:val="20"/>
    </w:rPr>
  </w:style>
  <w:style w:type="character" w:customStyle="1" w:styleId="1347">
    <w:name w:val="图片，环保 Char"/>
    <w:link w:val="1346"/>
    <w:qFormat/>
    <w:uiPriority w:val="0"/>
    <w:rPr>
      <w:rFonts w:cs="Calibri"/>
      <w:sz w:val="24"/>
    </w:rPr>
  </w:style>
  <w:style w:type="character" w:customStyle="1" w:styleId="1348">
    <w:name w:val="耿宝  表格文字 Char Char"/>
    <w:link w:val="1349"/>
    <w:qFormat/>
    <w:uiPriority w:val="0"/>
    <w:rPr>
      <w:rFonts w:ascii="宋体" w:hAnsi="宋体"/>
      <w:sz w:val="24"/>
      <w:szCs w:val="24"/>
    </w:rPr>
  </w:style>
  <w:style w:type="paragraph" w:customStyle="1" w:styleId="1349">
    <w:name w:val="耿宝  表格文字"/>
    <w:basedOn w:val="81"/>
    <w:link w:val="1348"/>
    <w:qFormat/>
    <w:uiPriority w:val="0"/>
    <w:pPr>
      <w:adjustRightInd w:val="0"/>
      <w:snapToGrid w:val="0"/>
      <w:spacing w:before="0" w:beforeAutospacing="0" w:after="0" w:afterAutospacing="0" w:line="360" w:lineRule="atLeast"/>
      <w:jc w:val="center"/>
      <w:textAlignment w:val="baseline"/>
    </w:pPr>
    <w:rPr>
      <w:rFonts w:ascii="宋体" w:hAnsi="宋体" w:cs="Times New Roman"/>
    </w:rPr>
  </w:style>
  <w:style w:type="paragraph" w:customStyle="1" w:styleId="1350">
    <w:name w:val="503定义表格标题"/>
    <w:basedOn w:val="1"/>
    <w:link w:val="1351"/>
    <w:qFormat/>
    <w:uiPriority w:val="0"/>
    <w:pPr>
      <w:spacing w:before="50" w:beforeLines="50"/>
      <w:jc w:val="center"/>
    </w:pPr>
    <w:rPr>
      <w:rFonts w:cs="Calibri"/>
      <w:b/>
      <w:kern w:val="0"/>
      <w:szCs w:val="21"/>
    </w:rPr>
  </w:style>
  <w:style w:type="character" w:customStyle="1" w:styleId="1351">
    <w:name w:val="503定义表格标题 Char"/>
    <w:link w:val="1350"/>
    <w:qFormat/>
    <w:uiPriority w:val="0"/>
    <w:rPr>
      <w:rFonts w:cs="Calibri"/>
      <w:b/>
      <w:sz w:val="21"/>
      <w:szCs w:val="21"/>
    </w:rPr>
  </w:style>
  <w:style w:type="paragraph" w:customStyle="1" w:styleId="1352">
    <w:name w:val="503定义表标题"/>
    <w:basedOn w:val="1"/>
    <w:next w:val="1"/>
    <w:link w:val="1353"/>
    <w:qFormat/>
    <w:uiPriority w:val="0"/>
    <w:pPr>
      <w:adjustRightInd w:val="0"/>
      <w:spacing w:before="50" w:beforeLines="50"/>
      <w:jc w:val="center"/>
      <w:textAlignment w:val="baseline"/>
    </w:pPr>
    <w:rPr>
      <w:rFonts w:cs="Calibri"/>
      <w:b/>
      <w:color w:val="FF6600"/>
      <w:kern w:val="0"/>
      <w:szCs w:val="21"/>
    </w:rPr>
  </w:style>
  <w:style w:type="character" w:customStyle="1" w:styleId="1353">
    <w:name w:val="503定义表标题 Char"/>
    <w:link w:val="1352"/>
    <w:qFormat/>
    <w:uiPriority w:val="0"/>
    <w:rPr>
      <w:rFonts w:cs="Calibri"/>
      <w:b/>
      <w:color w:val="FF6600"/>
      <w:sz w:val="21"/>
      <w:szCs w:val="21"/>
    </w:rPr>
  </w:style>
  <w:style w:type="character" w:customStyle="1" w:styleId="1354">
    <w:name w:val="++++正文 Char"/>
    <w:link w:val="1355"/>
    <w:qFormat/>
    <w:uiPriority w:val="0"/>
    <w:rPr>
      <w:rFonts w:eastAsia="黑体" w:cs="宋体"/>
      <w:b/>
      <w:sz w:val="24"/>
      <w:szCs w:val="24"/>
    </w:rPr>
  </w:style>
  <w:style w:type="paragraph" w:customStyle="1" w:styleId="1355">
    <w:name w:val="++++正文"/>
    <w:basedOn w:val="1"/>
    <w:link w:val="1354"/>
    <w:qFormat/>
    <w:uiPriority w:val="0"/>
    <w:pPr>
      <w:spacing w:line="360" w:lineRule="auto"/>
      <w:ind w:firstLine="200" w:firstLineChars="200"/>
    </w:pPr>
    <w:rPr>
      <w:rFonts w:eastAsia="黑体" w:cs="宋体"/>
      <w:b/>
      <w:kern w:val="0"/>
      <w:sz w:val="24"/>
    </w:rPr>
  </w:style>
  <w:style w:type="character" w:customStyle="1" w:styleId="1356">
    <w:name w:val="正文小四 Char"/>
    <w:link w:val="1357"/>
    <w:qFormat/>
    <w:uiPriority w:val="0"/>
    <w:rPr>
      <w:rFonts w:ascii="Arial" w:hAnsi="Arial"/>
      <w:sz w:val="24"/>
      <w:szCs w:val="24"/>
    </w:rPr>
  </w:style>
  <w:style w:type="paragraph" w:customStyle="1" w:styleId="1357">
    <w:name w:val="正文小四"/>
    <w:basedOn w:val="1"/>
    <w:link w:val="1356"/>
    <w:qFormat/>
    <w:uiPriority w:val="0"/>
    <w:pPr>
      <w:widowControl/>
      <w:ind w:firstLine="480"/>
      <w:jc w:val="left"/>
    </w:pPr>
    <w:rPr>
      <w:rFonts w:ascii="Arial" w:hAnsi="Arial"/>
      <w:kern w:val="0"/>
      <w:sz w:val="24"/>
    </w:rPr>
  </w:style>
  <w:style w:type="character" w:customStyle="1" w:styleId="1358">
    <w:name w:val="9正文 Char"/>
    <w:link w:val="1359"/>
    <w:qFormat/>
    <w:uiPriority w:val="0"/>
    <w:rPr>
      <w:sz w:val="24"/>
    </w:rPr>
  </w:style>
  <w:style w:type="paragraph" w:customStyle="1" w:styleId="1359">
    <w:name w:val="9正文"/>
    <w:basedOn w:val="1"/>
    <w:link w:val="1358"/>
    <w:qFormat/>
    <w:uiPriority w:val="0"/>
    <w:pPr>
      <w:widowControl/>
      <w:spacing w:afterLines="50" w:line="360" w:lineRule="auto"/>
      <w:ind w:firstLine="200" w:firstLineChars="200"/>
      <w:jc w:val="left"/>
      <w:textAlignment w:val="center"/>
    </w:pPr>
    <w:rPr>
      <w:kern w:val="0"/>
      <w:sz w:val="24"/>
      <w:szCs w:val="20"/>
    </w:rPr>
  </w:style>
  <w:style w:type="character" w:customStyle="1" w:styleId="1360">
    <w:name w:val="zwb-正文 Char Char"/>
    <w:qFormat/>
    <w:uiPriority w:val="0"/>
    <w:rPr>
      <w:sz w:val="24"/>
      <w:szCs w:val="24"/>
    </w:rPr>
  </w:style>
  <w:style w:type="paragraph" w:customStyle="1" w:styleId="1361">
    <w:name w:val="0环评标题1"/>
    <w:basedOn w:val="3"/>
    <w:qFormat/>
    <w:uiPriority w:val="0"/>
    <w:pPr>
      <w:keepNext/>
      <w:keepLines/>
      <w:adjustRightInd/>
      <w:snapToGrid/>
      <w:spacing w:before="340" w:beforeLines="50" w:after="330" w:afterLines="50" w:line="240" w:lineRule="auto"/>
    </w:pPr>
    <w:rPr>
      <w:rFonts w:ascii="Calibri" w:hAnsi="Calibri" w:eastAsia="Times New Roman" w:cs="Calibri"/>
      <w:szCs w:val="44"/>
    </w:rPr>
  </w:style>
  <w:style w:type="paragraph" w:customStyle="1" w:styleId="1362">
    <w:name w:val="条标题（科宏）"/>
    <w:next w:val="995"/>
    <w:link w:val="1363"/>
    <w:qFormat/>
    <w:uiPriority w:val="0"/>
    <w:pPr>
      <w:widowControl w:val="0"/>
      <w:spacing w:line="360" w:lineRule="auto"/>
      <w:jc w:val="both"/>
      <w:outlineLvl w:val="2"/>
    </w:pPr>
    <w:rPr>
      <w:rFonts w:ascii="Arial" w:hAnsi="Arial" w:eastAsia="仿宋_GB2312" w:cs="Calibri"/>
      <w:sz w:val="28"/>
      <w:lang w:val="en-US" w:eastAsia="zh-CN" w:bidi="ar-SA"/>
    </w:rPr>
  </w:style>
  <w:style w:type="character" w:customStyle="1" w:styleId="1363">
    <w:name w:val="条标题（科宏） Char"/>
    <w:link w:val="1362"/>
    <w:qFormat/>
    <w:uiPriority w:val="0"/>
    <w:rPr>
      <w:rFonts w:ascii="Arial" w:hAnsi="Arial" w:eastAsia="仿宋_GB2312" w:cs="Calibri"/>
      <w:sz w:val="28"/>
    </w:rPr>
  </w:style>
  <w:style w:type="paragraph" w:customStyle="1" w:styleId="1364">
    <w:name w:val="图表车"/>
    <w:basedOn w:val="73"/>
    <w:link w:val="1365"/>
    <w:qFormat/>
    <w:uiPriority w:val="0"/>
    <w:pPr>
      <w:jc w:val="center"/>
    </w:pPr>
    <w:rPr>
      <w:rFonts w:eastAsia="黑体" w:cs="Calibri"/>
      <w:sz w:val="24"/>
    </w:rPr>
  </w:style>
  <w:style w:type="character" w:customStyle="1" w:styleId="1365">
    <w:name w:val="图表车 Char"/>
    <w:link w:val="1364"/>
    <w:qFormat/>
    <w:uiPriority w:val="0"/>
    <w:rPr>
      <w:rFonts w:eastAsia="黑体" w:cs="Calibri"/>
      <w:kern w:val="2"/>
      <w:sz w:val="24"/>
      <w:szCs w:val="24"/>
    </w:rPr>
  </w:style>
  <w:style w:type="paragraph" w:customStyle="1" w:styleId="1366">
    <w:name w:val="分类0"/>
    <w:basedOn w:val="1"/>
    <w:link w:val="1367"/>
    <w:qFormat/>
    <w:uiPriority w:val="0"/>
    <w:pPr>
      <w:outlineLvl w:val="0"/>
    </w:pPr>
    <w:rPr>
      <w:rFonts w:cs="Calibri"/>
      <w:szCs w:val="20"/>
    </w:rPr>
  </w:style>
  <w:style w:type="character" w:customStyle="1" w:styleId="1367">
    <w:name w:val="分类0 Char"/>
    <w:link w:val="1366"/>
    <w:qFormat/>
    <w:uiPriority w:val="0"/>
    <w:rPr>
      <w:rFonts w:cs="Calibri"/>
      <w:kern w:val="2"/>
      <w:sz w:val="21"/>
    </w:rPr>
  </w:style>
  <w:style w:type="paragraph" w:customStyle="1" w:styleId="1368">
    <w:name w:val="款正文（科宏）"/>
    <w:next w:val="995"/>
    <w:link w:val="1369"/>
    <w:qFormat/>
    <w:uiPriority w:val="0"/>
    <w:pPr>
      <w:tabs>
        <w:tab w:val="left" w:pos="340"/>
      </w:tabs>
      <w:spacing w:line="360" w:lineRule="auto"/>
      <w:ind w:firstLine="567"/>
      <w:jc w:val="both"/>
    </w:pPr>
    <w:rPr>
      <w:rFonts w:ascii="Arial" w:hAnsi="Arial" w:eastAsia="仿宋_GB2312" w:cs="Calibri"/>
      <w:sz w:val="28"/>
      <w:lang w:val="en-US" w:eastAsia="zh-CN" w:bidi="ar-SA"/>
    </w:rPr>
  </w:style>
  <w:style w:type="character" w:customStyle="1" w:styleId="1369">
    <w:name w:val="款正文（科宏） Char"/>
    <w:link w:val="1368"/>
    <w:qFormat/>
    <w:uiPriority w:val="0"/>
    <w:rPr>
      <w:rFonts w:ascii="Arial" w:hAnsi="Arial" w:eastAsia="仿宋_GB2312" w:cs="Calibri"/>
      <w:sz w:val="28"/>
    </w:rPr>
  </w:style>
  <w:style w:type="character" w:customStyle="1" w:styleId="1370">
    <w:name w:val="陕西，正文 Char Char"/>
    <w:link w:val="1371"/>
    <w:qFormat/>
    <w:uiPriority w:val="0"/>
    <w:rPr>
      <w:sz w:val="28"/>
    </w:rPr>
  </w:style>
  <w:style w:type="paragraph" w:customStyle="1" w:styleId="1371">
    <w:name w:val="陕西，正文 Char"/>
    <w:basedOn w:val="1"/>
    <w:link w:val="1370"/>
    <w:qFormat/>
    <w:uiPriority w:val="0"/>
    <w:pPr>
      <w:spacing w:line="360" w:lineRule="auto"/>
      <w:ind w:firstLine="560" w:firstLineChars="200"/>
    </w:pPr>
    <w:rPr>
      <w:kern w:val="0"/>
      <w:sz w:val="28"/>
      <w:szCs w:val="20"/>
    </w:rPr>
  </w:style>
  <w:style w:type="paragraph" w:customStyle="1" w:styleId="1372">
    <w:name w:val="正文cmb"/>
    <w:basedOn w:val="1"/>
    <w:link w:val="1373"/>
    <w:qFormat/>
    <w:uiPriority w:val="0"/>
    <w:pPr>
      <w:spacing w:line="360" w:lineRule="auto"/>
      <w:ind w:firstLine="200" w:firstLineChars="200"/>
    </w:pPr>
    <w:rPr>
      <w:rFonts w:ascii="Arial" w:hAnsi="Arial" w:cs="Calibri"/>
      <w:sz w:val="28"/>
      <w:szCs w:val="28"/>
    </w:rPr>
  </w:style>
  <w:style w:type="character" w:customStyle="1" w:styleId="1373">
    <w:name w:val="正文cmb Char"/>
    <w:link w:val="1372"/>
    <w:qFormat/>
    <w:uiPriority w:val="0"/>
    <w:rPr>
      <w:rFonts w:ascii="Arial" w:hAnsi="Arial" w:cs="Calibri"/>
      <w:kern w:val="2"/>
      <w:sz w:val="28"/>
      <w:szCs w:val="28"/>
    </w:rPr>
  </w:style>
  <w:style w:type="character" w:customStyle="1" w:styleId="1374">
    <w:name w:val="张登项正文 Char"/>
    <w:link w:val="1375"/>
    <w:qFormat/>
    <w:uiPriority w:val="0"/>
    <w:rPr>
      <w:rFonts w:ascii="宋体" w:hAnsi="宋体" w:cs="宋体"/>
      <w:sz w:val="28"/>
    </w:rPr>
  </w:style>
  <w:style w:type="paragraph" w:customStyle="1" w:styleId="1375">
    <w:name w:val="张登项正文"/>
    <w:basedOn w:val="1"/>
    <w:link w:val="1374"/>
    <w:qFormat/>
    <w:uiPriority w:val="0"/>
    <w:pPr>
      <w:spacing w:line="360" w:lineRule="auto"/>
      <w:ind w:firstLine="480" w:firstLineChars="200"/>
    </w:pPr>
    <w:rPr>
      <w:rFonts w:ascii="宋体" w:hAnsi="宋体" w:cs="宋体"/>
      <w:kern w:val="0"/>
      <w:sz w:val="28"/>
      <w:szCs w:val="20"/>
    </w:rPr>
  </w:style>
  <w:style w:type="paragraph" w:customStyle="1" w:styleId="1376">
    <w:name w:val="3合1文字"/>
    <w:basedOn w:val="1"/>
    <w:qFormat/>
    <w:uiPriority w:val="0"/>
    <w:pPr>
      <w:spacing w:line="520" w:lineRule="exact"/>
      <w:ind w:firstLine="200" w:firstLineChars="200"/>
    </w:pPr>
    <w:rPr>
      <w:rFonts w:eastAsia="仿宋_GB2312" w:cs="Calibri"/>
      <w:sz w:val="28"/>
      <w:szCs w:val="28"/>
    </w:rPr>
  </w:style>
  <w:style w:type="character" w:customStyle="1" w:styleId="1377">
    <w:name w:val="hover126"/>
    <w:qFormat/>
    <w:uiPriority w:val="0"/>
    <w:rPr>
      <w:color w:val="FFFFFF"/>
      <w:shd w:val="clear" w:color="auto" w:fill="2782DF"/>
    </w:rPr>
  </w:style>
  <w:style w:type="character" w:customStyle="1" w:styleId="1378">
    <w:name w:val="bsfwico21"/>
    <w:qFormat/>
    <w:uiPriority w:val="0"/>
  </w:style>
  <w:style w:type="paragraph" w:customStyle="1" w:styleId="1379">
    <w:name w:val="+0单行"/>
    <w:basedOn w:val="1"/>
    <w:qFormat/>
    <w:uiPriority w:val="0"/>
    <w:pPr>
      <w:adjustRightInd w:val="0"/>
      <w:snapToGrid w:val="0"/>
      <w:ind w:firstLine="200" w:firstLineChars="200"/>
    </w:pPr>
    <w:rPr>
      <w:rFonts w:cs="宋体"/>
      <w:snapToGrid w:val="0"/>
      <w:kern w:val="0"/>
      <w:sz w:val="22"/>
      <w:szCs w:val="20"/>
    </w:rPr>
  </w:style>
  <w:style w:type="paragraph" w:customStyle="1" w:styleId="1380">
    <w:name w:val="段落2"/>
    <w:basedOn w:val="1"/>
    <w:qFormat/>
    <w:uiPriority w:val="0"/>
    <w:pPr>
      <w:adjustRightInd w:val="0"/>
      <w:spacing w:line="440" w:lineRule="atLeast"/>
    </w:pPr>
    <w:rPr>
      <w:rFonts w:cs="Calibri"/>
      <w:spacing w:val="6"/>
      <w:sz w:val="28"/>
      <w:szCs w:val="20"/>
    </w:rPr>
  </w:style>
  <w:style w:type="paragraph" w:customStyle="1" w:styleId="1381">
    <w:name w:val="+5正文"/>
    <w:basedOn w:val="1"/>
    <w:qFormat/>
    <w:uiPriority w:val="0"/>
    <w:pPr>
      <w:spacing w:line="460" w:lineRule="exact"/>
      <w:ind w:firstLine="200" w:firstLineChars="200"/>
    </w:pPr>
    <w:rPr>
      <w:rFonts w:cs="Calibri"/>
      <w:sz w:val="26"/>
      <w:szCs w:val="20"/>
    </w:rPr>
  </w:style>
  <w:style w:type="paragraph" w:customStyle="1" w:styleId="1382">
    <w:name w:val="+正文"/>
    <w:basedOn w:val="1"/>
    <w:qFormat/>
    <w:uiPriority w:val="0"/>
    <w:pPr>
      <w:spacing w:line="360" w:lineRule="auto"/>
      <w:ind w:firstLine="200" w:firstLineChars="200"/>
    </w:pPr>
    <w:rPr>
      <w:rFonts w:cs="Calibri"/>
      <w:kern w:val="0"/>
      <w:sz w:val="24"/>
      <w:szCs w:val="28"/>
    </w:rPr>
  </w:style>
  <w:style w:type="paragraph" w:customStyle="1" w:styleId="1383">
    <w:name w:val="段落1"/>
    <w:basedOn w:val="1"/>
    <w:qFormat/>
    <w:uiPriority w:val="0"/>
    <w:pPr>
      <w:tabs>
        <w:tab w:val="left" w:pos="0"/>
      </w:tabs>
      <w:adjustRightInd w:val="0"/>
      <w:spacing w:line="360" w:lineRule="auto"/>
      <w:textAlignment w:val="center"/>
      <w:outlineLvl w:val="0"/>
    </w:pPr>
    <w:rPr>
      <w:rFonts w:cs="Calibri"/>
      <w:b/>
      <w:color w:val="000000"/>
      <w:kern w:val="0"/>
      <w:sz w:val="24"/>
    </w:rPr>
  </w:style>
  <w:style w:type="paragraph" w:customStyle="1" w:styleId="1384">
    <w:name w:val="段落1 Char"/>
    <w:basedOn w:val="1"/>
    <w:qFormat/>
    <w:uiPriority w:val="0"/>
    <w:pPr>
      <w:adjustRightInd w:val="0"/>
      <w:spacing w:line="440" w:lineRule="exact"/>
      <w:ind w:firstLine="480" w:firstLineChars="200"/>
    </w:pPr>
    <w:rPr>
      <w:rFonts w:cs="Calibri"/>
      <w:spacing w:val="8"/>
      <w:sz w:val="24"/>
      <w:szCs w:val="20"/>
    </w:rPr>
  </w:style>
  <w:style w:type="paragraph" w:customStyle="1" w:styleId="1385">
    <w:name w:val="正文一"/>
    <w:basedOn w:val="652"/>
    <w:qFormat/>
    <w:uiPriority w:val="0"/>
    <w:pPr>
      <w:adjustRightInd/>
      <w:snapToGrid w:val="0"/>
      <w:spacing w:line="300" w:lineRule="auto"/>
      <w:ind w:firstLine="200"/>
      <w:jc w:val="left"/>
    </w:pPr>
    <w:rPr>
      <w:rFonts w:ascii="仿宋_GB2312" w:hAnsi="Times New Roman" w:eastAsia="仿宋_GB2312"/>
      <w:bCs w:val="0"/>
      <w:snapToGrid/>
      <w:color w:val="auto"/>
      <w:kern w:val="2"/>
      <w:sz w:val="28"/>
      <w:szCs w:val="28"/>
    </w:rPr>
  </w:style>
  <w:style w:type="paragraph" w:customStyle="1" w:styleId="1386">
    <w:name w:val="a3"/>
    <w:basedOn w:val="1"/>
    <w:link w:val="1387"/>
    <w:qFormat/>
    <w:uiPriority w:val="0"/>
    <w:pPr>
      <w:spacing w:line="288" w:lineRule="auto"/>
      <w:jc w:val="center"/>
    </w:pPr>
    <w:rPr>
      <w:rFonts w:cs="Calibri"/>
    </w:rPr>
  </w:style>
  <w:style w:type="character" w:customStyle="1" w:styleId="1387">
    <w:name w:val="a3 Char"/>
    <w:link w:val="1386"/>
    <w:qFormat/>
    <w:uiPriority w:val="0"/>
    <w:rPr>
      <w:rFonts w:cs="Calibri"/>
      <w:kern w:val="2"/>
      <w:sz w:val="21"/>
      <w:szCs w:val="24"/>
    </w:rPr>
  </w:style>
  <w:style w:type="paragraph" w:customStyle="1" w:styleId="1388">
    <w:name w:val="a1"/>
    <w:basedOn w:val="1"/>
    <w:link w:val="1389"/>
    <w:qFormat/>
    <w:uiPriority w:val="0"/>
    <w:pPr>
      <w:spacing w:line="360" w:lineRule="auto"/>
      <w:ind w:firstLine="493"/>
    </w:pPr>
    <w:rPr>
      <w:rFonts w:ascii="宋体" w:cs="Calibri"/>
      <w:sz w:val="24"/>
      <w:szCs w:val="20"/>
    </w:rPr>
  </w:style>
  <w:style w:type="character" w:customStyle="1" w:styleId="1389">
    <w:name w:val="a1 Char"/>
    <w:link w:val="1388"/>
    <w:qFormat/>
    <w:uiPriority w:val="0"/>
    <w:rPr>
      <w:rFonts w:ascii="宋体" w:cs="Calibri"/>
      <w:kern w:val="2"/>
      <w:sz w:val="24"/>
    </w:rPr>
  </w:style>
  <w:style w:type="paragraph" w:customStyle="1" w:styleId="1390">
    <w:name w:val="样式20"/>
    <w:basedOn w:val="45"/>
    <w:link w:val="1391"/>
    <w:qFormat/>
    <w:uiPriority w:val="0"/>
    <w:pPr>
      <w:adjustRightInd w:val="0"/>
      <w:snapToGrid w:val="0"/>
      <w:spacing w:line="480" w:lineRule="exact"/>
      <w:ind w:firstLine="520" w:firstLineChars="200"/>
    </w:pPr>
    <w:rPr>
      <w:rFonts w:ascii="Times New Roman" w:hAnsi="Times New Roman" w:cs="Calibri"/>
      <w:kern w:val="0"/>
      <w:sz w:val="26"/>
    </w:rPr>
  </w:style>
  <w:style w:type="character" w:customStyle="1" w:styleId="1391">
    <w:name w:val="样式20 Char"/>
    <w:link w:val="1390"/>
    <w:qFormat/>
    <w:uiPriority w:val="0"/>
    <w:rPr>
      <w:rFonts w:cs="Calibri"/>
      <w:sz w:val="26"/>
    </w:rPr>
  </w:style>
  <w:style w:type="character" w:customStyle="1" w:styleId="1392">
    <w:name w:val="正文缩进 Char"/>
    <w:qFormat/>
    <w:uiPriority w:val="0"/>
    <w:rPr>
      <w:rFonts w:ascii="Times New Roman" w:hAnsi="Times New Roman"/>
    </w:rPr>
  </w:style>
  <w:style w:type="paragraph" w:customStyle="1" w:styleId="1393">
    <w:name w:val="样式 左侧:  0 厘米 首行缩进:  0.85 厘米"/>
    <w:basedOn w:val="1"/>
    <w:qFormat/>
    <w:uiPriority w:val="0"/>
    <w:pPr>
      <w:ind w:firstLine="480"/>
    </w:pPr>
    <w:rPr>
      <w:rFonts w:ascii="Calibri" w:hAnsi="Calibri" w:cs="宋体"/>
      <w:sz w:val="28"/>
      <w:szCs w:val="20"/>
    </w:rPr>
  </w:style>
  <w:style w:type="paragraph" w:customStyle="1" w:styleId="1394">
    <w:name w:val="样式3（代正文）"/>
    <w:link w:val="1395"/>
    <w:qFormat/>
    <w:uiPriority w:val="0"/>
    <w:pPr>
      <w:widowControl w:val="0"/>
      <w:adjustRightInd w:val="0"/>
      <w:snapToGrid w:val="0"/>
      <w:spacing w:line="360" w:lineRule="auto"/>
      <w:ind w:firstLine="480" w:firstLineChars="200"/>
      <w:jc w:val="both"/>
    </w:pPr>
    <w:rPr>
      <w:rFonts w:ascii="Calibri" w:hAnsi="Calibri" w:eastAsia="宋体" w:cs="Calibri"/>
      <w:snapToGrid w:val="0"/>
      <w:sz w:val="24"/>
      <w:szCs w:val="24"/>
      <w:lang w:val="en-US" w:eastAsia="zh-CN" w:bidi="ar-SA"/>
    </w:rPr>
  </w:style>
  <w:style w:type="character" w:customStyle="1" w:styleId="1395">
    <w:name w:val="样式3（代正文） Char"/>
    <w:link w:val="1394"/>
    <w:qFormat/>
    <w:uiPriority w:val="0"/>
    <w:rPr>
      <w:rFonts w:ascii="Calibri" w:hAnsi="Calibri" w:cs="Calibri"/>
      <w:snapToGrid w:val="0"/>
      <w:sz w:val="24"/>
      <w:szCs w:val="24"/>
    </w:rPr>
  </w:style>
  <w:style w:type="paragraph" w:customStyle="1" w:styleId="1396">
    <w:name w:val="5表内"/>
    <w:basedOn w:val="1"/>
    <w:qFormat/>
    <w:uiPriority w:val="0"/>
    <w:pPr>
      <w:adjustRightInd w:val="0"/>
      <w:jc w:val="center"/>
      <w:textAlignment w:val="baseline"/>
    </w:pPr>
    <w:rPr>
      <w:rFonts w:cs="Calibri"/>
      <w:snapToGrid w:val="0"/>
      <w:kern w:val="0"/>
      <w:sz w:val="22"/>
      <w:szCs w:val="22"/>
    </w:rPr>
  </w:style>
  <w:style w:type="paragraph" w:customStyle="1" w:styleId="1397">
    <w:name w:val="6括号缩进"/>
    <w:basedOn w:val="1"/>
    <w:link w:val="1398"/>
    <w:qFormat/>
    <w:uiPriority w:val="0"/>
    <w:pPr>
      <w:adjustRightInd w:val="0"/>
      <w:snapToGrid w:val="0"/>
      <w:spacing w:line="460" w:lineRule="exact"/>
      <w:ind w:firstLine="390" w:firstLineChars="150"/>
    </w:pPr>
    <w:rPr>
      <w:rFonts w:cs="Calibri"/>
      <w:sz w:val="26"/>
      <w:szCs w:val="26"/>
    </w:rPr>
  </w:style>
  <w:style w:type="character" w:customStyle="1" w:styleId="1398">
    <w:name w:val="6括号缩进 字符"/>
    <w:link w:val="1397"/>
    <w:qFormat/>
    <w:uiPriority w:val="0"/>
    <w:rPr>
      <w:rFonts w:cs="Calibri"/>
      <w:kern w:val="2"/>
      <w:sz w:val="26"/>
      <w:szCs w:val="26"/>
    </w:rPr>
  </w:style>
  <w:style w:type="character" w:customStyle="1" w:styleId="1399">
    <w:name w:val="3及标题 字符"/>
    <w:link w:val="1400"/>
    <w:qFormat/>
    <w:uiPriority w:val="0"/>
    <w:rPr>
      <w:b/>
      <w:kern w:val="2"/>
      <w:sz w:val="26"/>
      <w:szCs w:val="26"/>
    </w:rPr>
  </w:style>
  <w:style w:type="paragraph" w:customStyle="1" w:styleId="1400">
    <w:name w:val="3及标题"/>
    <w:basedOn w:val="1"/>
    <w:link w:val="1399"/>
    <w:qFormat/>
    <w:uiPriority w:val="0"/>
    <w:pPr>
      <w:adjustRightInd w:val="0"/>
      <w:snapToGrid w:val="0"/>
      <w:spacing w:line="460" w:lineRule="exact"/>
      <w:ind w:firstLine="522" w:firstLineChars="200"/>
      <w:outlineLvl w:val="2"/>
    </w:pPr>
    <w:rPr>
      <w:b/>
      <w:sz w:val="26"/>
      <w:szCs w:val="26"/>
    </w:rPr>
  </w:style>
  <w:style w:type="paragraph" w:customStyle="1" w:styleId="1401">
    <w:name w:val="标题 53"/>
    <w:basedOn w:val="1"/>
    <w:next w:val="1"/>
    <w:qFormat/>
    <w:uiPriority w:val="0"/>
    <w:pPr>
      <w:snapToGrid w:val="0"/>
      <w:jc w:val="center"/>
      <w:outlineLvl w:val="4"/>
    </w:pPr>
    <w:rPr>
      <w:rFonts w:hAnsi="黑体" w:eastAsia="黑体" w:cs="Calibri"/>
      <w:bCs/>
      <w:color w:val="FF0000"/>
      <w:kern w:val="0"/>
      <w:sz w:val="26"/>
      <w:szCs w:val="28"/>
    </w:rPr>
  </w:style>
  <w:style w:type="character" w:customStyle="1" w:styleId="1402">
    <w:name w:val="标题 字符3"/>
    <w:qFormat/>
    <w:uiPriority w:val="10"/>
    <w:rPr>
      <w:rFonts w:ascii="等线 Light" w:hAnsi="等线 Light" w:cs="Times New Roman"/>
      <w:b/>
      <w:bCs/>
      <w:sz w:val="32"/>
      <w:szCs w:val="32"/>
    </w:rPr>
  </w:style>
  <w:style w:type="paragraph" w:customStyle="1" w:styleId="1403">
    <w:name w:val="4表头"/>
    <w:basedOn w:val="1"/>
    <w:next w:val="1"/>
    <w:qFormat/>
    <w:uiPriority w:val="0"/>
    <w:pPr>
      <w:widowControl/>
      <w:jc w:val="center"/>
    </w:pPr>
    <w:rPr>
      <w:rFonts w:hAnsi="宋体" w:cs="宋体"/>
      <w:color w:val="000000"/>
      <w:kern w:val="0"/>
      <w:sz w:val="26"/>
      <w:szCs w:val="22"/>
    </w:rPr>
  </w:style>
  <w:style w:type="paragraph" w:customStyle="1" w:styleId="1404">
    <w:name w:val="表格(新)"/>
    <w:basedOn w:val="1"/>
    <w:qFormat/>
    <w:uiPriority w:val="0"/>
    <w:pPr>
      <w:spacing w:line="240" w:lineRule="atLeast"/>
      <w:ind w:firstLine="200" w:firstLineChars="200"/>
      <w:jc w:val="center"/>
    </w:pPr>
    <w:rPr>
      <w:rFonts w:cs="Calibri"/>
      <w:kern w:val="0"/>
      <w:szCs w:val="18"/>
    </w:rPr>
  </w:style>
  <w:style w:type="character" w:customStyle="1" w:styleId="1405">
    <w:name w:val="於 Char"/>
    <w:link w:val="1406"/>
    <w:qFormat/>
    <w:uiPriority w:val="0"/>
    <w:rPr>
      <w:sz w:val="30"/>
      <w:szCs w:val="30"/>
    </w:rPr>
  </w:style>
  <w:style w:type="paragraph" w:customStyle="1" w:styleId="1406">
    <w:name w:val="於"/>
    <w:basedOn w:val="1"/>
    <w:link w:val="1405"/>
    <w:qFormat/>
    <w:uiPriority w:val="0"/>
    <w:pPr>
      <w:widowControl/>
      <w:spacing w:after="200" w:line="276" w:lineRule="auto"/>
      <w:jc w:val="left"/>
    </w:pPr>
    <w:rPr>
      <w:kern w:val="0"/>
      <w:sz w:val="30"/>
      <w:szCs w:val="30"/>
    </w:rPr>
  </w:style>
  <w:style w:type="paragraph" w:customStyle="1" w:styleId="1407">
    <w:name w:val="付正文"/>
    <w:basedOn w:val="1"/>
    <w:qFormat/>
    <w:uiPriority w:val="0"/>
    <w:pPr>
      <w:spacing w:line="360" w:lineRule="auto"/>
      <w:ind w:firstLine="200" w:firstLineChars="200"/>
    </w:pPr>
    <w:rPr>
      <w:rFonts w:ascii="宋体" w:cs="Calibri"/>
      <w:color w:val="000000"/>
      <w:sz w:val="24"/>
      <w:szCs w:val="21"/>
    </w:rPr>
  </w:style>
  <w:style w:type="paragraph" w:customStyle="1" w:styleId="1408">
    <w:name w:val="样式 正文缩进正文缩进2正文缩进 Char Char正文缩进 Char Char Char Char正文缩进 Char ..."/>
    <w:basedOn w:val="21"/>
    <w:qFormat/>
    <w:uiPriority w:val="0"/>
    <w:pPr>
      <w:tabs>
        <w:tab w:val="left" w:pos="0"/>
      </w:tabs>
      <w:adjustRightInd w:val="0"/>
      <w:spacing w:line="360" w:lineRule="auto"/>
      <w:ind w:firstLine="200"/>
      <w:jc w:val="left"/>
      <w:textAlignment w:val="baseline"/>
    </w:pPr>
    <w:rPr>
      <w:rFonts w:cs="宋体"/>
      <w:sz w:val="24"/>
    </w:rPr>
  </w:style>
  <w:style w:type="paragraph" w:customStyle="1" w:styleId="1409">
    <w:name w:val="於正文"/>
    <w:basedOn w:val="1"/>
    <w:qFormat/>
    <w:uiPriority w:val="0"/>
    <w:pPr>
      <w:spacing w:line="360" w:lineRule="auto"/>
      <w:ind w:firstLine="200" w:firstLineChars="200"/>
    </w:pPr>
    <w:rPr>
      <w:rFonts w:ascii="仿宋_GB2312" w:hAnsi="仿宋_GB2312" w:eastAsia="仿宋_GB2312" w:cs="Calibri"/>
      <w:color w:val="0000FF"/>
      <w:sz w:val="30"/>
    </w:rPr>
  </w:style>
  <w:style w:type="paragraph" w:customStyle="1" w:styleId="1410">
    <w:name w:val="+4表内字"/>
    <w:basedOn w:val="21"/>
    <w:qFormat/>
    <w:uiPriority w:val="0"/>
    <w:pPr>
      <w:ind w:firstLine="0"/>
      <w:jc w:val="center"/>
    </w:pPr>
    <w:rPr>
      <w:rFonts w:cs="Calibri"/>
      <w:bCs/>
      <w:kern w:val="0"/>
      <w:sz w:val="22"/>
      <w:szCs w:val="22"/>
    </w:rPr>
  </w:style>
  <w:style w:type="paragraph" w:customStyle="1" w:styleId="1411">
    <w:name w:val="样式 段落1 + 首行缩进:  2 字符"/>
    <w:basedOn w:val="1"/>
    <w:qFormat/>
    <w:uiPriority w:val="0"/>
    <w:pPr>
      <w:adjustRightInd w:val="0"/>
      <w:spacing w:line="480" w:lineRule="exact"/>
      <w:ind w:firstLine="504" w:firstLineChars="200"/>
      <w:jc w:val="left"/>
      <w:textAlignment w:val="baseline"/>
    </w:pPr>
    <w:rPr>
      <w:rFonts w:cs="宋体"/>
      <w:spacing w:val="6"/>
      <w:sz w:val="24"/>
      <w:szCs w:val="20"/>
    </w:rPr>
  </w:style>
  <w:style w:type="character" w:customStyle="1" w:styleId="1412">
    <w:name w:val="标题 字符4"/>
    <w:qFormat/>
    <w:uiPriority w:val="0"/>
    <w:rPr>
      <w:rFonts w:ascii="Arial" w:hAnsi="Arial"/>
      <w:b/>
      <w:kern w:val="2"/>
      <w:sz w:val="32"/>
      <w:szCs w:val="21"/>
    </w:rPr>
  </w:style>
  <w:style w:type="paragraph" w:customStyle="1" w:styleId="1413">
    <w:name w:val="白正文"/>
    <w:basedOn w:val="1"/>
    <w:qFormat/>
    <w:uiPriority w:val="0"/>
    <w:pPr>
      <w:spacing w:line="360" w:lineRule="auto"/>
      <w:ind w:firstLine="200" w:firstLineChars="200"/>
    </w:pPr>
    <w:rPr>
      <w:rFonts w:ascii="宋体" w:hAnsi="宋体" w:cs="Calibri"/>
      <w:color w:val="000000"/>
      <w:sz w:val="24"/>
    </w:rPr>
  </w:style>
  <w:style w:type="paragraph" w:customStyle="1" w:styleId="1414">
    <w:name w:val="fu正文"/>
    <w:basedOn w:val="1"/>
    <w:qFormat/>
    <w:uiPriority w:val="0"/>
    <w:pPr>
      <w:spacing w:line="360" w:lineRule="auto"/>
      <w:ind w:firstLine="200" w:firstLineChars="200"/>
    </w:pPr>
    <w:rPr>
      <w:rFonts w:ascii="宋体" w:hAnsi="宋体" w:cs="Calibri"/>
      <w:color w:val="000000"/>
      <w:sz w:val="24"/>
    </w:rPr>
  </w:style>
  <w:style w:type="paragraph" w:customStyle="1" w:styleId="1415">
    <w:name w:val="列表段落3"/>
    <w:basedOn w:val="1"/>
    <w:qFormat/>
    <w:uiPriority w:val="34"/>
    <w:pPr>
      <w:ind w:left="1189" w:hanging="602"/>
    </w:pPr>
    <w:rPr>
      <w:rFonts w:ascii="宋体" w:hAnsi="宋体" w:cs="宋体"/>
      <w:sz w:val="24"/>
      <w:lang w:val="zh-CN" w:bidi="zh-CN"/>
    </w:rPr>
  </w:style>
  <w:style w:type="character" w:customStyle="1" w:styleId="1416">
    <w:name w:val="正文缩进 Char2"/>
    <w:qFormat/>
    <w:uiPriority w:val="0"/>
    <w:rPr>
      <w:rFonts w:ascii="Calibri" w:hAnsi="Calibri"/>
      <w:kern w:val="2"/>
      <w:sz w:val="24"/>
      <w:szCs w:val="24"/>
    </w:rPr>
  </w:style>
  <w:style w:type="paragraph" w:customStyle="1" w:styleId="1417">
    <w:name w:val="0表头"/>
    <w:basedOn w:val="1403"/>
    <w:qFormat/>
    <w:uiPriority w:val="0"/>
    <w:pPr>
      <w:widowControl w:val="0"/>
      <w:tabs>
        <w:tab w:val="right" w:pos="8730"/>
      </w:tabs>
      <w:adjustRightInd w:val="0"/>
      <w:snapToGrid w:val="0"/>
    </w:pPr>
    <w:rPr>
      <w:rFonts w:hAnsi="Times New Roman" w:cs="Times New Roman"/>
      <w:color w:val="auto"/>
      <w:kern w:val="2"/>
      <w:szCs w:val="26"/>
    </w:rPr>
  </w:style>
  <w:style w:type="paragraph" w:customStyle="1" w:styleId="1418">
    <w:name w:val="d表格-单倍行距"/>
    <w:qFormat/>
    <w:uiPriority w:val="0"/>
    <w:pPr>
      <w:jc w:val="center"/>
    </w:pPr>
    <w:rPr>
      <w:rFonts w:ascii="Times New Roman" w:hAnsi="Times New Roman" w:eastAsia="宋体" w:cs="Times New Roman"/>
      <w:sz w:val="21"/>
      <w:szCs w:val="21"/>
      <w:lang w:val="en-US" w:eastAsia="zh-CN" w:bidi="ar-SA"/>
    </w:rPr>
  </w:style>
  <w:style w:type="character" w:customStyle="1" w:styleId="1419">
    <w:name w:val="font51"/>
    <w:qFormat/>
    <w:uiPriority w:val="0"/>
    <w:rPr>
      <w:rFonts w:hint="eastAsia" w:ascii="宋体" w:hAnsi="宋体" w:eastAsia="宋体" w:cs="宋体"/>
      <w:color w:val="000000"/>
      <w:sz w:val="21"/>
      <w:szCs w:val="21"/>
      <w:u w:val="none"/>
    </w:rPr>
  </w:style>
  <w:style w:type="character" w:customStyle="1" w:styleId="1420">
    <w:name w:val="font81"/>
    <w:qFormat/>
    <w:uiPriority w:val="0"/>
    <w:rPr>
      <w:rFonts w:hint="default" w:ascii="Times New Roman" w:hAnsi="Times New Roman" w:cs="Times New Roman"/>
      <w:color w:val="000000"/>
      <w:sz w:val="21"/>
      <w:szCs w:val="21"/>
      <w:u w:val="none"/>
    </w:rPr>
  </w:style>
  <w:style w:type="character" w:customStyle="1" w:styleId="1421">
    <w:name w:val="5.正文 字符"/>
    <w:link w:val="1422"/>
    <w:qFormat/>
    <w:uiPriority w:val="0"/>
    <w:rPr>
      <w:rFonts w:eastAsia="Times New Roman"/>
      <w:kern w:val="2"/>
      <w:sz w:val="26"/>
      <w:szCs w:val="26"/>
    </w:rPr>
  </w:style>
  <w:style w:type="paragraph" w:customStyle="1" w:styleId="1422">
    <w:name w:val="5.正文"/>
    <w:basedOn w:val="1"/>
    <w:link w:val="1421"/>
    <w:qFormat/>
    <w:uiPriority w:val="0"/>
    <w:pPr>
      <w:adjustRightInd w:val="0"/>
      <w:snapToGrid w:val="0"/>
      <w:spacing w:line="460" w:lineRule="exact"/>
      <w:ind w:firstLine="200" w:firstLineChars="200"/>
    </w:pPr>
    <w:rPr>
      <w:rFonts w:eastAsia="Times New Roman"/>
      <w:sz w:val="26"/>
      <w:szCs w:val="26"/>
    </w:rPr>
  </w:style>
  <w:style w:type="character" w:customStyle="1" w:styleId="1423">
    <w:name w:val="0.单行 字符"/>
    <w:link w:val="1424"/>
    <w:qFormat/>
    <w:uiPriority w:val="0"/>
    <w:rPr>
      <w:kern w:val="2"/>
      <w:sz w:val="22"/>
      <w:szCs w:val="24"/>
    </w:rPr>
  </w:style>
  <w:style w:type="paragraph" w:customStyle="1" w:styleId="1424">
    <w:name w:val="0.单行"/>
    <w:basedOn w:val="1"/>
    <w:link w:val="1423"/>
    <w:qFormat/>
    <w:uiPriority w:val="0"/>
    <w:pPr>
      <w:adjustRightInd w:val="0"/>
      <w:snapToGrid w:val="0"/>
      <w:ind w:firstLine="520" w:firstLineChars="200"/>
    </w:pPr>
    <w:rPr>
      <w:sz w:val="22"/>
    </w:rPr>
  </w:style>
  <w:style w:type="paragraph" w:customStyle="1" w:styleId="1425">
    <w:name w:val="1.表头"/>
    <w:basedOn w:val="1"/>
    <w:next w:val="1"/>
    <w:qFormat/>
    <w:uiPriority w:val="0"/>
    <w:pPr>
      <w:adjustRightInd w:val="0"/>
      <w:snapToGrid w:val="0"/>
      <w:ind w:firstLine="200" w:firstLineChars="200"/>
    </w:pPr>
    <w:rPr>
      <w:rFonts w:eastAsiaTheme="minorEastAsia"/>
      <w:sz w:val="26"/>
      <w:szCs w:val="26"/>
    </w:rPr>
  </w:style>
  <w:style w:type="paragraph" w:customStyle="1" w:styleId="1426">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1427">
    <w:name w:val="网格型8"/>
    <w:basedOn w:val="8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paragraph" w:customStyle="1" w:styleId="1428">
    <w:name w:val="4表内字"/>
    <w:basedOn w:val="1"/>
    <w:qFormat/>
    <w:uiPriority w:val="0"/>
    <w:pPr>
      <w:adjustRightInd w:val="0"/>
      <w:jc w:val="center"/>
    </w:pPr>
    <w:rPr>
      <w:sz w:val="22"/>
      <w:szCs w:val="22"/>
    </w:rPr>
  </w:style>
  <w:style w:type="paragraph" w:customStyle="1" w:styleId="1429">
    <w:name w:val="+2表内"/>
    <w:basedOn w:val="1"/>
    <w:qFormat/>
    <w:uiPriority w:val="0"/>
    <w:pPr>
      <w:jc w:val="center"/>
    </w:pPr>
    <w:rPr>
      <w:rFonts w:cstheme="minorBidi"/>
      <w:sz w:val="22"/>
      <w:szCs w:val="22"/>
    </w:rPr>
  </w:style>
  <w:style w:type="paragraph" w:customStyle="1" w:styleId="1430">
    <w:name w:val="+3单倍行距"/>
    <w:basedOn w:val="1"/>
    <w:qFormat/>
    <w:uiPriority w:val="0"/>
    <w:pPr>
      <w:adjustRightInd w:val="0"/>
      <w:snapToGrid w:val="0"/>
      <w:ind w:firstLine="200" w:firstLineChars="200"/>
    </w:pPr>
    <w:rPr>
      <w:rFonts w:cs="宋体"/>
      <w:snapToGrid w:val="0"/>
      <w:kern w:val="0"/>
      <w:sz w:val="26"/>
      <w:szCs w:val="20"/>
    </w:rPr>
  </w:style>
  <w:style w:type="paragraph" w:customStyle="1" w:styleId="1431">
    <w:name w:val="1表头"/>
    <w:basedOn w:val="1"/>
    <w:link w:val="1432"/>
    <w:qFormat/>
    <w:uiPriority w:val="0"/>
    <w:pPr>
      <w:snapToGrid w:val="0"/>
      <w:jc w:val="center"/>
    </w:pPr>
    <w:rPr>
      <w:bCs/>
      <w:sz w:val="26"/>
      <w:szCs w:val="26"/>
    </w:rPr>
  </w:style>
  <w:style w:type="character" w:customStyle="1" w:styleId="1432">
    <w:name w:val="1表头 字符"/>
    <w:link w:val="1431"/>
    <w:qFormat/>
    <w:uiPriority w:val="0"/>
    <w:rPr>
      <w:bCs/>
      <w:kern w:val="2"/>
      <w:sz w:val="26"/>
      <w:szCs w:val="26"/>
    </w:rPr>
  </w:style>
  <w:style w:type="character" w:customStyle="1" w:styleId="1433">
    <w:name w:val="3.三标 字符"/>
    <w:link w:val="1434"/>
    <w:qFormat/>
    <w:uiPriority w:val="0"/>
    <w:rPr>
      <w:rFonts w:eastAsiaTheme="minorEastAsia"/>
      <w:b/>
      <w:bCs/>
      <w:kern w:val="2"/>
      <w:sz w:val="26"/>
      <w:szCs w:val="26"/>
    </w:rPr>
  </w:style>
  <w:style w:type="paragraph" w:customStyle="1" w:styleId="1434">
    <w:name w:val="3.三标"/>
    <w:basedOn w:val="1"/>
    <w:link w:val="1433"/>
    <w:qFormat/>
    <w:uiPriority w:val="0"/>
    <w:pPr>
      <w:adjustRightInd w:val="0"/>
      <w:snapToGrid w:val="0"/>
      <w:spacing w:line="460" w:lineRule="exact"/>
      <w:ind w:firstLine="200" w:firstLineChars="200"/>
      <w:outlineLvl w:val="2"/>
    </w:pPr>
    <w:rPr>
      <w:rFonts w:eastAsiaTheme="minorEastAsia"/>
      <w:b/>
      <w:bCs/>
      <w:sz w:val="26"/>
      <w:szCs w:val="26"/>
    </w:rPr>
  </w:style>
  <w:style w:type="paragraph" w:customStyle="1" w:styleId="1435">
    <w:name w:val="4.表内"/>
    <w:basedOn w:val="1"/>
    <w:qFormat/>
    <w:uiPriority w:val="0"/>
    <w:pPr>
      <w:adjustRightInd w:val="0"/>
      <w:snapToGrid w:val="0"/>
      <w:jc w:val="center"/>
    </w:pPr>
    <w:rPr>
      <w:bCs/>
      <w:sz w:val="22"/>
      <w:szCs w:val="22"/>
    </w:rPr>
  </w:style>
  <w:style w:type="paragraph" w:customStyle="1" w:styleId="1436">
    <w:name w:val="3正文"/>
    <w:basedOn w:val="1"/>
    <w:qFormat/>
    <w:uiPriority w:val="0"/>
    <w:pPr>
      <w:autoSpaceDE w:val="0"/>
      <w:autoSpaceDN w:val="0"/>
      <w:adjustRightInd w:val="0"/>
      <w:spacing w:line="460" w:lineRule="exact"/>
      <w:ind w:firstLine="200" w:firstLineChars="200"/>
    </w:pPr>
    <w:rPr>
      <w:sz w:val="26"/>
      <w:szCs w:val="26"/>
    </w:rPr>
  </w:style>
  <w:style w:type="table" w:customStyle="1" w:styleId="1437">
    <w:name w:val="网格型9"/>
    <w:basedOn w:val="8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table" w:customStyle="1" w:styleId="1438">
    <w:name w:val="网格型10"/>
    <w:basedOn w:val="8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table" w:customStyle="1" w:styleId="1439">
    <w:name w:val="网格型11"/>
    <w:basedOn w:val="8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customStyle="1" w:styleId="1440">
    <w:name w:val="+1表格标题 字符"/>
    <w:link w:val="1441"/>
    <w:qFormat/>
    <w:uiPriority w:val="0"/>
    <w:rPr>
      <w:rFonts w:cstheme="minorBidi"/>
      <w:kern w:val="2"/>
      <w:sz w:val="26"/>
      <w:szCs w:val="26"/>
    </w:rPr>
  </w:style>
  <w:style w:type="paragraph" w:customStyle="1" w:styleId="1441">
    <w:name w:val="+1表格标题"/>
    <w:basedOn w:val="1"/>
    <w:link w:val="1440"/>
    <w:qFormat/>
    <w:uiPriority w:val="0"/>
    <w:pPr>
      <w:tabs>
        <w:tab w:val="right" w:pos="8730"/>
      </w:tabs>
      <w:adjustRightInd w:val="0"/>
      <w:snapToGrid w:val="0"/>
      <w:jc w:val="center"/>
    </w:pPr>
    <w:rPr>
      <w:rFonts w:cstheme="minorBidi"/>
      <w:sz w:val="26"/>
      <w:szCs w:val="26"/>
    </w:rPr>
  </w:style>
  <w:style w:type="paragraph" w:customStyle="1" w:styleId="1442">
    <w:name w:val="+4二级标题"/>
    <w:basedOn w:val="702"/>
    <w:qFormat/>
    <w:uiPriority w:val="0"/>
    <w:pPr>
      <w:ind w:firstLine="522"/>
      <w:outlineLvl w:val="1"/>
    </w:pPr>
    <w:rPr>
      <w:rFonts w:asciiTheme="minorHAnsi" w:hAnsiTheme="minorHAnsi" w:eastAsiaTheme="minorEastAsia"/>
      <w:b/>
    </w:rPr>
  </w:style>
  <w:style w:type="paragraph" w:customStyle="1" w:styleId="1443">
    <w:name w:val="+5三级标题"/>
    <w:basedOn w:val="702"/>
    <w:qFormat/>
    <w:uiPriority w:val="0"/>
    <w:pPr>
      <w:outlineLvl w:val="2"/>
    </w:pPr>
    <w:rPr>
      <w:b/>
    </w:rPr>
  </w:style>
  <w:style w:type="paragraph" w:customStyle="1" w:styleId="1444">
    <w:name w:val="+4表格"/>
    <w:basedOn w:val="687"/>
    <w:qFormat/>
    <w:uiPriority w:val="0"/>
  </w:style>
  <w:style w:type="paragraph" w:customStyle="1" w:styleId="1445">
    <w:name w:val="a正文格式"/>
    <w:basedOn w:val="1"/>
    <w:link w:val="1446"/>
    <w:qFormat/>
    <w:uiPriority w:val="0"/>
    <w:pPr>
      <w:spacing w:line="360" w:lineRule="auto"/>
      <w:ind w:firstLine="200" w:firstLineChars="200"/>
    </w:pPr>
    <w:rPr>
      <w:rFonts w:asciiTheme="minorHAnsi" w:hAnsiTheme="minorHAnsi" w:eastAsiaTheme="minorEastAsia" w:cstheme="minorBidi"/>
      <w:sz w:val="24"/>
      <w:szCs w:val="21"/>
    </w:rPr>
  </w:style>
  <w:style w:type="character" w:customStyle="1" w:styleId="1446">
    <w:name w:val="a正文格式 字符"/>
    <w:link w:val="1445"/>
    <w:qFormat/>
    <w:uiPriority w:val="0"/>
    <w:rPr>
      <w:rFonts w:asciiTheme="minorHAnsi" w:hAnsiTheme="minorHAnsi" w:eastAsiaTheme="minorEastAsia" w:cstheme="minorBidi"/>
      <w:kern w:val="2"/>
      <w:sz w:val="24"/>
      <w:szCs w:val="21"/>
    </w:rPr>
  </w:style>
  <w:style w:type="character" w:customStyle="1" w:styleId="1447">
    <w:name w:val="标题 4 字符1"/>
    <w:basedOn w:val="97"/>
    <w:qFormat/>
    <w:uiPriority w:val="0"/>
    <w:rPr>
      <w:rFonts w:ascii="Arial" w:hAnsi="Arial" w:eastAsia="黑体" w:cs="Times New Roman"/>
      <w:b/>
      <w:bCs/>
      <w:sz w:val="28"/>
      <w:szCs w:val="28"/>
    </w:rPr>
  </w:style>
  <w:style w:type="character" w:customStyle="1" w:styleId="1448">
    <w:name w:val="标题 5 字符1"/>
    <w:basedOn w:val="97"/>
    <w:qFormat/>
    <w:uiPriority w:val="9"/>
    <w:rPr>
      <w:rFonts w:ascii="宋体" w:hAnsi="宋体" w:eastAsia="宋体" w:cs="Times New Roman"/>
      <w:i/>
      <w:iCs/>
      <w:color w:val="FF0000"/>
      <w:sz w:val="28"/>
      <w:szCs w:val="28"/>
    </w:rPr>
  </w:style>
  <w:style w:type="character" w:customStyle="1" w:styleId="1449">
    <w:name w:val="标题 7 字符1"/>
    <w:basedOn w:val="97"/>
    <w:qFormat/>
    <w:uiPriority w:val="0"/>
    <w:rPr>
      <w:rFonts w:ascii="宋体" w:hAnsi="Times New Roman" w:eastAsia="宋体" w:cs="Times New Roman"/>
      <w:b/>
      <w:bCs/>
      <w:sz w:val="24"/>
      <w:szCs w:val="24"/>
    </w:rPr>
  </w:style>
  <w:style w:type="character" w:customStyle="1" w:styleId="1450">
    <w:name w:val="标题 8 字符1"/>
    <w:basedOn w:val="97"/>
    <w:qFormat/>
    <w:uiPriority w:val="0"/>
    <w:rPr>
      <w:rFonts w:ascii="Arial" w:hAnsi="Arial" w:eastAsia="黑体" w:cs="Times New Roman"/>
      <w:sz w:val="24"/>
      <w:szCs w:val="20"/>
    </w:rPr>
  </w:style>
  <w:style w:type="character" w:customStyle="1" w:styleId="1451">
    <w:name w:val="标题 9 字符1"/>
    <w:basedOn w:val="97"/>
    <w:qFormat/>
    <w:uiPriority w:val="0"/>
    <w:rPr>
      <w:rFonts w:ascii="Arial" w:hAnsi="Arial" w:eastAsia="黑体" w:cs="Times New Roman"/>
      <w:sz w:val="28"/>
      <w:szCs w:val="21"/>
    </w:rPr>
  </w:style>
  <w:style w:type="character" w:customStyle="1" w:styleId="1452">
    <w:name w:val="宏文本 字符1"/>
    <w:qFormat/>
    <w:uiPriority w:val="99"/>
    <w:rPr>
      <w:rFonts w:ascii="Courier New" w:hAnsi="Courier New"/>
      <w:spacing w:val="6"/>
      <w:sz w:val="24"/>
      <w:szCs w:val="24"/>
    </w:rPr>
  </w:style>
  <w:style w:type="character" w:customStyle="1" w:styleId="1453">
    <w:name w:val="电子邮件签名 字符1"/>
    <w:link w:val="19"/>
    <w:qFormat/>
    <w:uiPriority w:val="0"/>
    <w:rPr>
      <w:rFonts w:ascii="宋体" w:hAnsiTheme="minorHAnsi" w:eastAsiaTheme="minorEastAsia" w:cstheme="minorBidi"/>
      <w:kern w:val="2"/>
      <w:sz w:val="28"/>
      <w:szCs w:val="28"/>
    </w:rPr>
  </w:style>
  <w:style w:type="character" w:customStyle="1" w:styleId="1454">
    <w:name w:val="电子邮件签名 字符"/>
    <w:basedOn w:val="97"/>
    <w:qFormat/>
    <w:uiPriority w:val="0"/>
    <w:rPr>
      <w:kern w:val="2"/>
      <w:sz w:val="21"/>
      <w:szCs w:val="24"/>
    </w:rPr>
  </w:style>
  <w:style w:type="character" w:customStyle="1" w:styleId="1455">
    <w:name w:val="列表编号 字符"/>
    <w:link w:val="20"/>
    <w:qFormat/>
    <w:uiPriority w:val="0"/>
    <w:rPr>
      <w:rFonts w:ascii="宋体"/>
      <w:kern w:val="2"/>
      <w:sz w:val="28"/>
      <w:szCs w:val="28"/>
    </w:rPr>
  </w:style>
  <w:style w:type="character" w:customStyle="1" w:styleId="1456">
    <w:name w:val="文档结构图 字符1"/>
    <w:basedOn w:val="97"/>
    <w:qFormat/>
    <w:uiPriority w:val="0"/>
    <w:rPr>
      <w:rFonts w:ascii="Times New Roman" w:hAnsi="Times New Roman" w:eastAsia="宋体" w:cs="Times New Roman"/>
      <w:szCs w:val="21"/>
      <w:shd w:val="clear" w:color="auto" w:fill="000080"/>
    </w:rPr>
  </w:style>
  <w:style w:type="character" w:customStyle="1" w:styleId="1457">
    <w:name w:val="正文文本 3 字符1"/>
    <w:qFormat/>
    <w:uiPriority w:val="0"/>
    <w:rPr>
      <w:sz w:val="18"/>
      <w:szCs w:val="24"/>
    </w:rPr>
  </w:style>
  <w:style w:type="character" w:customStyle="1" w:styleId="1458">
    <w:name w:val="结束语 字符1"/>
    <w:link w:val="32"/>
    <w:qFormat/>
    <w:uiPriority w:val="0"/>
    <w:rPr>
      <w:rFonts w:ascii="宋体" w:hAnsiTheme="minorHAnsi" w:eastAsiaTheme="minorEastAsia" w:cstheme="minorBidi"/>
      <w:kern w:val="2"/>
      <w:sz w:val="28"/>
      <w:szCs w:val="28"/>
    </w:rPr>
  </w:style>
  <w:style w:type="character" w:customStyle="1" w:styleId="1459">
    <w:name w:val="结束语 字符"/>
    <w:basedOn w:val="97"/>
    <w:qFormat/>
    <w:uiPriority w:val="0"/>
    <w:rPr>
      <w:kern w:val="2"/>
      <w:sz w:val="21"/>
      <w:szCs w:val="24"/>
    </w:rPr>
  </w:style>
  <w:style w:type="character" w:customStyle="1" w:styleId="1460">
    <w:name w:val="HTML 地址 字符1"/>
    <w:link w:val="41"/>
    <w:qFormat/>
    <w:uiPriority w:val="0"/>
    <w:rPr>
      <w:rFonts w:ascii="宋体" w:hAnsiTheme="minorHAnsi" w:eastAsiaTheme="minorEastAsia" w:cstheme="minorBidi"/>
      <w:i/>
      <w:iCs/>
      <w:kern w:val="2"/>
      <w:sz w:val="28"/>
      <w:szCs w:val="28"/>
    </w:rPr>
  </w:style>
  <w:style w:type="character" w:customStyle="1" w:styleId="1461">
    <w:name w:val="HTML 地址 字符"/>
    <w:basedOn w:val="97"/>
    <w:qFormat/>
    <w:uiPriority w:val="0"/>
    <w:rPr>
      <w:i/>
      <w:iCs/>
      <w:kern w:val="2"/>
      <w:sz w:val="21"/>
      <w:szCs w:val="24"/>
    </w:rPr>
  </w:style>
  <w:style w:type="character" w:customStyle="1" w:styleId="1462">
    <w:name w:val="纯文本 字符3"/>
    <w:qFormat/>
    <w:uiPriority w:val="0"/>
    <w:rPr>
      <w:rFonts w:ascii="宋体" w:hAnsi="Courier New" w:eastAsia="宋体" w:cs="Times New Roman"/>
      <w:sz w:val="26"/>
      <w:szCs w:val="20"/>
    </w:rPr>
  </w:style>
  <w:style w:type="character" w:customStyle="1" w:styleId="1463">
    <w:name w:val="日期 字符1"/>
    <w:basedOn w:val="97"/>
    <w:qFormat/>
    <w:uiPriority w:val="0"/>
    <w:rPr>
      <w:rFonts w:ascii="Times New Roman" w:hAnsi="Times New Roman" w:eastAsia="宋体" w:cs="Times New Roman"/>
      <w:szCs w:val="21"/>
    </w:rPr>
  </w:style>
  <w:style w:type="character" w:customStyle="1" w:styleId="1464">
    <w:name w:val="正文文本缩进 2 字符1"/>
    <w:basedOn w:val="97"/>
    <w:qFormat/>
    <w:uiPriority w:val="99"/>
    <w:rPr>
      <w:rFonts w:ascii="Times New Roman" w:hAnsi="Times New Roman" w:eastAsia="宋体" w:cs="Times New Roman"/>
      <w:szCs w:val="21"/>
    </w:rPr>
  </w:style>
  <w:style w:type="character" w:customStyle="1" w:styleId="1465">
    <w:name w:val="签名 字符1"/>
    <w:link w:val="58"/>
    <w:qFormat/>
    <w:uiPriority w:val="0"/>
    <w:rPr>
      <w:rFonts w:ascii="宋体" w:hAnsiTheme="minorHAnsi" w:eastAsiaTheme="minorEastAsia" w:cstheme="minorBidi"/>
      <w:kern w:val="2"/>
      <w:sz w:val="28"/>
      <w:szCs w:val="28"/>
    </w:rPr>
  </w:style>
  <w:style w:type="character" w:customStyle="1" w:styleId="1466">
    <w:name w:val="签名 字符"/>
    <w:basedOn w:val="97"/>
    <w:qFormat/>
    <w:uiPriority w:val="0"/>
    <w:rPr>
      <w:kern w:val="2"/>
      <w:sz w:val="21"/>
      <w:szCs w:val="24"/>
    </w:rPr>
  </w:style>
  <w:style w:type="character" w:customStyle="1" w:styleId="1467">
    <w:name w:val="正文文本缩进 3 字符1"/>
    <w:qFormat/>
    <w:uiPriority w:val="99"/>
    <w:rPr>
      <w:rFonts w:ascii="宋体"/>
      <w:sz w:val="16"/>
      <w:szCs w:val="16"/>
    </w:rPr>
  </w:style>
  <w:style w:type="character" w:customStyle="1" w:styleId="1468">
    <w:name w:val="正文文本 2 字符1"/>
    <w:qFormat/>
    <w:uiPriority w:val="0"/>
    <w:rPr>
      <w:rFonts w:ascii="宋体"/>
      <w:sz w:val="28"/>
      <w:szCs w:val="28"/>
    </w:rPr>
  </w:style>
  <w:style w:type="character" w:customStyle="1" w:styleId="1469">
    <w:name w:val="批注主题 字符1"/>
    <w:basedOn w:val="1092"/>
    <w:qFormat/>
    <w:uiPriority w:val="99"/>
    <w:rPr>
      <w:rFonts w:ascii="Times New Roman" w:hAnsi="Times New Roman" w:eastAsia="宋体" w:cs="Times New Roman"/>
      <w:b/>
      <w:bCs/>
      <w:szCs w:val="21"/>
    </w:rPr>
  </w:style>
  <w:style w:type="character" w:customStyle="1" w:styleId="1470">
    <w:name w:val="正文首行缩进 字符1"/>
    <w:qFormat/>
    <w:uiPriority w:val="0"/>
    <w:rPr>
      <w:szCs w:val="24"/>
    </w:rPr>
  </w:style>
  <w:style w:type="character" w:customStyle="1" w:styleId="1471">
    <w:name w:val="正文首行缩进 2 字符1"/>
    <w:qFormat/>
    <w:uiPriority w:val="0"/>
    <w:rPr>
      <w:sz w:val="28"/>
      <w:szCs w:val="24"/>
    </w:rPr>
  </w:style>
  <w:style w:type="character" w:customStyle="1" w:styleId="1472">
    <w:name w:val="正文文本 字符1"/>
    <w:basedOn w:val="97"/>
    <w:qFormat/>
    <w:uiPriority w:val="0"/>
    <w:rPr>
      <w:rFonts w:ascii="Times New Roman" w:hAnsi="Times New Roman" w:eastAsia="宋体" w:cs="Times New Roman"/>
      <w:sz w:val="32"/>
      <w:szCs w:val="20"/>
    </w:rPr>
  </w:style>
  <w:style w:type="character" w:customStyle="1" w:styleId="1473">
    <w:name w:val="标题 3 Char1"/>
    <w:qFormat/>
    <w:uiPriority w:val="0"/>
    <w:rPr>
      <w:rFonts w:eastAsia="宋体"/>
      <w:b/>
      <w:bCs/>
      <w:kern w:val="2"/>
      <w:sz w:val="32"/>
      <w:szCs w:val="32"/>
      <w:lang w:val="en-US" w:eastAsia="zh-CN" w:bidi="ar-SA"/>
    </w:rPr>
  </w:style>
  <w:style w:type="character" w:customStyle="1" w:styleId="1474">
    <w:name w:val="标题 1 Char"/>
    <w:basedOn w:val="97"/>
    <w:qFormat/>
    <w:uiPriority w:val="9"/>
    <w:rPr>
      <w:b/>
      <w:bCs/>
      <w:kern w:val="44"/>
      <w:sz w:val="44"/>
      <w:szCs w:val="44"/>
    </w:rPr>
  </w:style>
  <w:style w:type="paragraph" w:customStyle="1" w:styleId="1475">
    <w:name w:val="表头样式"/>
    <w:basedOn w:val="1"/>
    <w:next w:val="1"/>
    <w:link w:val="1476"/>
    <w:qFormat/>
    <w:uiPriority w:val="0"/>
    <w:pPr>
      <w:widowControl/>
      <w:adjustRightInd w:val="0"/>
      <w:snapToGrid w:val="0"/>
      <w:spacing w:before="100" w:beforeAutospacing="1" w:line="460" w:lineRule="exact"/>
      <w:jc w:val="center"/>
    </w:pPr>
    <w:rPr>
      <w:sz w:val="26"/>
      <w:szCs w:val="26"/>
    </w:rPr>
  </w:style>
  <w:style w:type="character" w:customStyle="1" w:styleId="1476">
    <w:name w:val="表头样式 Char"/>
    <w:link w:val="1475"/>
    <w:qFormat/>
    <w:uiPriority w:val="0"/>
    <w:rPr>
      <w:kern w:val="2"/>
      <w:sz w:val="26"/>
      <w:szCs w:val="26"/>
    </w:rPr>
  </w:style>
  <w:style w:type="character" w:customStyle="1" w:styleId="1477">
    <w:name w:val="纯文本 Char"/>
    <w:basedOn w:val="97"/>
    <w:qFormat/>
    <w:uiPriority w:val="99"/>
    <w:rPr>
      <w:rFonts w:ascii="宋体" w:hAnsi="Courier New" w:eastAsia="宋体" w:cs="Courier New"/>
      <w:szCs w:val="21"/>
    </w:rPr>
  </w:style>
  <w:style w:type="character" w:customStyle="1" w:styleId="1478">
    <w:name w:val="批注框文本 Char"/>
    <w:basedOn w:val="97"/>
    <w:qFormat/>
    <w:uiPriority w:val="99"/>
    <w:rPr>
      <w:sz w:val="18"/>
      <w:szCs w:val="18"/>
    </w:rPr>
  </w:style>
  <w:style w:type="character" w:customStyle="1" w:styleId="1479">
    <w:name w:val="标题 4 Char1"/>
    <w:qFormat/>
    <w:uiPriority w:val="0"/>
    <w:rPr>
      <w:rFonts w:ascii="Arial" w:hAnsi="Arial" w:eastAsia="黑体"/>
      <w:b/>
      <w:bCs/>
      <w:kern w:val="2"/>
      <w:sz w:val="28"/>
      <w:szCs w:val="28"/>
    </w:rPr>
  </w:style>
  <w:style w:type="character" w:customStyle="1" w:styleId="1480">
    <w:name w:val="1 Char"/>
    <w:qFormat/>
    <w:uiPriority w:val="0"/>
    <w:rPr>
      <w:rFonts w:ascii="黑体" w:hAnsi="Times New Roman" w:eastAsia="黑体"/>
      <w:bCs/>
      <w:kern w:val="44"/>
      <w:sz w:val="28"/>
      <w:szCs w:val="28"/>
    </w:rPr>
  </w:style>
  <w:style w:type="character" w:customStyle="1" w:styleId="1481">
    <w:name w:val="datatitle1"/>
    <w:qFormat/>
    <w:uiPriority w:val="0"/>
    <w:rPr>
      <w:b/>
      <w:bCs/>
      <w:color w:val="10619F"/>
      <w:sz w:val="21"/>
      <w:szCs w:val="21"/>
    </w:rPr>
  </w:style>
  <w:style w:type="character" w:customStyle="1" w:styleId="1482">
    <w:name w:val="HTML 预设格式 Char1"/>
    <w:qFormat/>
    <w:uiPriority w:val="99"/>
    <w:rPr>
      <w:rFonts w:ascii="Courier New" w:hAnsi="Courier New" w:cs="Courier New"/>
      <w:kern w:val="2"/>
    </w:rPr>
  </w:style>
  <w:style w:type="character" w:customStyle="1" w:styleId="1483">
    <w:name w:val="尾注文本 Char1"/>
    <w:basedOn w:val="97"/>
    <w:qFormat/>
    <w:uiPriority w:val="0"/>
  </w:style>
  <w:style w:type="character" w:customStyle="1" w:styleId="1484">
    <w:name w:val="表格标题采用 Char Char"/>
    <w:link w:val="1485"/>
    <w:qFormat/>
    <w:uiPriority w:val="0"/>
    <w:rPr>
      <w:rFonts w:ascii="黑体" w:hAnsi="宋体" w:eastAsia="黑体"/>
      <w:b/>
      <w:sz w:val="24"/>
      <w:szCs w:val="24"/>
    </w:rPr>
  </w:style>
  <w:style w:type="paragraph" w:customStyle="1" w:styleId="1485">
    <w:name w:val="表格标题采用"/>
    <w:basedOn w:val="1"/>
    <w:link w:val="1484"/>
    <w:qFormat/>
    <w:uiPriority w:val="0"/>
    <w:pPr>
      <w:spacing w:before="78" w:beforeLines="25" w:after="78" w:afterLines="25" w:line="360" w:lineRule="auto"/>
      <w:jc w:val="center"/>
    </w:pPr>
    <w:rPr>
      <w:rFonts w:ascii="黑体" w:hAnsi="宋体" w:eastAsia="黑体"/>
      <w:b/>
      <w:kern w:val="0"/>
      <w:sz w:val="24"/>
    </w:rPr>
  </w:style>
  <w:style w:type="character" w:customStyle="1" w:styleId="1486">
    <w:name w:val="标题 Char1"/>
    <w:qFormat/>
    <w:uiPriority w:val="0"/>
    <w:rPr>
      <w:rFonts w:ascii="Cambria" w:hAnsi="Cambria" w:cs="Times New Roman"/>
      <w:b/>
      <w:bCs/>
      <w:kern w:val="2"/>
      <w:sz w:val="32"/>
      <w:szCs w:val="32"/>
    </w:rPr>
  </w:style>
  <w:style w:type="character" w:customStyle="1" w:styleId="1487">
    <w:name w:val="正文(首行缩进) Char Char"/>
    <w:qFormat/>
    <w:uiPriority w:val="0"/>
    <w:rPr>
      <w:rFonts w:ascii="宋体" w:hAnsi="宋体"/>
      <w:snapToGrid w:val="0"/>
      <w:color w:val="000000"/>
      <w:sz w:val="24"/>
      <w:szCs w:val="24"/>
    </w:rPr>
  </w:style>
  <w:style w:type="character" w:customStyle="1" w:styleId="1488">
    <w:name w:val="mytext1"/>
    <w:qFormat/>
    <w:uiPriority w:val="0"/>
  </w:style>
  <w:style w:type="character" w:customStyle="1" w:styleId="1489">
    <w:name w:val="unnamed1"/>
    <w:qFormat/>
    <w:uiPriority w:val="0"/>
  </w:style>
  <w:style w:type="character" w:customStyle="1" w:styleId="1490">
    <w:name w:val="增强"/>
    <w:qFormat/>
    <w:uiPriority w:val="0"/>
    <w:rPr>
      <w:b/>
    </w:rPr>
  </w:style>
  <w:style w:type="character" w:customStyle="1" w:styleId="1491">
    <w:name w:val="签名 Char1"/>
    <w:basedOn w:val="97"/>
    <w:qFormat/>
    <w:uiPriority w:val="0"/>
  </w:style>
  <w:style w:type="character" w:customStyle="1" w:styleId="1492">
    <w:name w:val="电子邮件签名 Char1"/>
    <w:basedOn w:val="97"/>
    <w:qFormat/>
    <w:uiPriority w:val="0"/>
  </w:style>
  <w:style w:type="character" w:customStyle="1" w:styleId="1493">
    <w:name w:val="表格内字体 Char Char"/>
    <w:link w:val="1494"/>
    <w:qFormat/>
    <w:uiPriority w:val="0"/>
    <w:rPr>
      <w:rFonts w:ascii="宋体" w:cs="宋体"/>
    </w:rPr>
  </w:style>
  <w:style w:type="paragraph" w:customStyle="1" w:styleId="1494">
    <w:name w:val="表格内字体"/>
    <w:link w:val="1493"/>
    <w:qFormat/>
    <w:uiPriority w:val="0"/>
    <w:pPr>
      <w:jc w:val="center"/>
    </w:pPr>
    <w:rPr>
      <w:rFonts w:ascii="宋体" w:hAnsi="Times New Roman" w:eastAsia="宋体" w:cs="宋体"/>
      <w:lang w:val="en-US" w:eastAsia="zh-CN" w:bidi="ar-SA"/>
    </w:rPr>
  </w:style>
  <w:style w:type="character" w:customStyle="1" w:styleId="1495">
    <w:name w:val="正文格式 Char Char"/>
    <w:qFormat/>
    <w:uiPriority w:val="0"/>
    <w:rPr>
      <w:rFonts w:ascii="宋体" w:hAnsi="宋体" w:eastAsia="宋体" w:cs="Times New Roman"/>
      <w:sz w:val="24"/>
      <w:szCs w:val="24"/>
    </w:rPr>
  </w:style>
  <w:style w:type="character" w:customStyle="1" w:styleId="1496">
    <w:name w:val="p121"/>
    <w:qFormat/>
    <w:uiPriority w:val="0"/>
    <w:rPr>
      <w:sz w:val="18"/>
      <w:szCs w:val="18"/>
      <w:u w:val="none"/>
    </w:rPr>
  </w:style>
  <w:style w:type="character" w:customStyle="1" w:styleId="1497">
    <w:name w:val="big style1"/>
    <w:qFormat/>
    <w:uiPriority w:val="0"/>
  </w:style>
  <w:style w:type="character" w:customStyle="1" w:styleId="1498">
    <w:name w:val="报告正文 Char Char"/>
    <w:qFormat/>
    <w:uiPriority w:val="0"/>
    <w:rPr>
      <w:rFonts w:ascii="宋体" w:eastAsia="宋体"/>
      <w:kern w:val="2"/>
      <w:sz w:val="28"/>
      <w:lang w:val="en-US" w:eastAsia="zh-CN" w:bidi="ar-SA"/>
    </w:rPr>
  </w:style>
  <w:style w:type="character" w:customStyle="1" w:styleId="1499">
    <w:name w:val="结束语 Char1"/>
    <w:basedOn w:val="97"/>
    <w:qFormat/>
    <w:uiPriority w:val="0"/>
  </w:style>
  <w:style w:type="character" w:customStyle="1" w:styleId="1500">
    <w:name w:val="脚注文本 Char1"/>
    <w:basedOn w:val="97"/>
    <w:qFormat/>
    <w:uiPriority w:val="0"/>
    <w:rPr>
      <w:sz w:val="18"/>
      <w:szCs w:val="18"/>
    </w:rPr>
  </w:style>
  <w:style w:type="character" w:customStyle="1" w:styleId="1501">
    <w:name w:val="称呼 Char1"/>
    <w:basedOn w:val="97"/>
    <w:qFormat/>
    <w:uiPriority w:val="0"/>
  </w:style>
  <w:style w:type="character" w:customStyle="1" w:styleId="1502">
    <w:name w:val="正文 Char Char"/>
    <w:qFormat/>
    <w:uiPriority w:val="0"/>
    <w:rPr>
      <w:rFonts w:ascii="宋体" w:hAnsi="宋体" w:eastAsia="宋体" w:cs="宋体"/>
      <w:kern w:val="2"/>
      <w:sz w:val="28"/>
      <w:lang w:val="en-US" w:eastAsia="zh-CN" w:bidi="ar-SA"/>
    </w:rPr>
  </w:style>
  <w:style w:type="character" w:customStyle="1" w:styleId="1503">
    <w:name w:val="马学海内容 Char Char"/>
    <w:link w:val="1504"/>
    <w:qFormat/>
    <w:uiPriority w:val="0"/>
    <w:rPr>
      <w:rFonts w:ascii="新宋体" w:hAnsi="新宋体"/>
      <w:kern w:val="44"/>
      <w:sz w:val="24"/>
      <w:szCs w:val="24"/>
    </w:rPr>
  </w:style>
  <w:style w:type="paragraph" w:customStyle="1" w:styleId="1504">
    <w:name w:val="马学海内容"/>
    <w:basedOn w:val="1"/>
    <w:link w:val="1503"/>
    <w:qFormat/>
    <w:uiPriority w:val="0"/>
    <w:pPr>
      <w:tabs>
        <w:tab w:val="left" w:pos="5725"/>
        <w:tab w:val="left" w:pos="5880"/>
      </w:tabs>
      <w:spacing w:line="360" w:lineRule="auto"/>
      <w:ind w:firstLine="200" w:firstLineChars="200"/>
    </w:pPr>
    <w:rPr>
      <w:rFonts w:ascii="新宋体" w:hAnsi="新宋体"/>
      <w:kern w:val="44"/>
      <w:sz w:val="24"/>
    </w:rPr>
  </w:style>
  <w:style w:type="character" w:customStyle="1" w:styleId="1505">
    <w:name w:val="篇号"/>
    <w:qFormat/>
    <w:uiPriority w:val="0"/>
    <w:rPr>
      <w:rFonts w:eastAsia="宋体"/>
    </w:rPr>
  </w:style>
  <w:style w:type="character" w:customStyle="1" w:styleId="1506">
    <w:name w:val="文字 Char Char"/>
    <w:link w:val="1507"/>
    <w:qFormat/>
    <w:uiPriority w:val="0"/>
    <w:rPr>
      <w:sz w:val="24"/>
      <w:szCs w:val="24"/>
    </w:rPr>
  </w:style>
  <w:style w:type="paragraph" w:customStyle="1" w:styleId="1507">
    <w:name w:val="文字"/>
    <w:basedOn w:val="1"/>
    <w:link w:val="1506"/>
    <w:qFormat/>
    <w:uiPriority w:val="0"/>
    <w:pPr>
      <w:widowControl/>
      <w:spacing w:after="156" w:afterLines="50" w:line="360" w:lineRule="auto"/>
      <w:ind w:firstLine="420"/>
    </w:pPr>
    <w:rPr>
      <w:kern w:val="0"/>
      <w:sz w:val="24"/>
    </w:rPr>
  </w:style>
  <w:style w:type="character" w:customStyle="1" w:styleId="1508">
    <w:name w:val="标题 Char2"/>
    <w:basedOn w:val="97"/>
    <w:qFormat/>
    <w:uiPriority w:val="0"/>
    <w:rPr>
      <w:rFonts w:eastAsia="宋体" w:asciiTheme="majorHAnsi" w:hAnsiTheme="majorHAnsi" w:cstheme="majorBidi"/>
      <w:b/>
      <w:bCs/>
      <w:sz w:val="32"/>
      <w:szCs w:val="32"/>
    </w:rPr>
  </w:style>
  <w:style w:type="character" w:customStyle="1" w:styleId="1509">
    <w:name w:val="postbody1"/>
    <w:qFormat/>
    <w:uiPriority w:val="0"/>
    <w:rPr>
      <w:sz w:val="21"/>
      <w:szCs w:val="21"/>
    </w:rPr>
  </w:style>
  <w:style w:type="character" w:customStyle="1" w:styleId="1510">
    <w:name w:val="highlight1"/>
    <w:qFormat/>
    <w:uiPriority w:val="0"/>
    <w:rPr>
      <w:sz w:val="17"/>
      <w:szCs w:val="17"/>
    </w:rPr>
  </w:style>
  <w:style w:type="character" w:customStyle="1" w:styleId="1511">
    <w:name w:val="样式 目录 2 + 加粗 Char Char"/>
    <w:qFormat/>
    <w:uiPriority w:val="0"/>
    <w:rPr>
      <w:rFonts w:ascii="宋体" w:eastAsia="宋体"/>
      <w:b/>
      <w:bCs/>
      <w:color w:val="000000"/>
      <w:kern w:val="2"/>
      <w:sz w:val="28"/>
      <w:szCs w:val="24"/>
      <w:lang w:val="en-US" w:eastAsia="zh-CN" w:bidi="ar-SA"/>
    </w:rPr>
  </w:style>
  <w:style w:type="character" w:customStyle="1" w:styleId="1512">
    <w:name w:val="总院正文 Char Char"/>
    <w:link w:val="1513"/>
    <w:qFormat/>
    <w:uiPriority w:val="0"/>
    <w:rPr>
      <w:rFonts w:ascii="宋体" w:hAnsi="宋体"/>
      <w:color w:val="000000"/>
      <w:sz w:val="28"/>
      <w:szCs w:val="24"/>
    </w:rPr>
  </w:style>
  <w:style w:type="paragraph" w:customStyle="1" w:styleId="1513">
    <w:name w:val="总院正文"/>
    <w:basedOn w:val="1"/>
    <w:link w:val="1512"/>
    <w:qFormat/>
    <w:uiPriority w:val="0"/>
    <w:pPr>
      <w:adjustRightInd w:val="0"/>
      <w:snapToGrid w:val="0"/>
      <w:spacing w:line="300" w:lineRule="auto"/>
      <w:ind w:firstLine="560" w:firstLineChars="200"/>
    </w:pPr>
    <w:rPr>
      <w:rFonts w:ascii="宋体" w:hAnsi="宋体"/>
      <w:color w:val="000000"/>
      <w:kern w:val="0"/>
      <w:sz w:val="28"/>
    </w:rPr>
  </w:style>
  <w:style w:type="character" w:customStyle="1" w:styleId="1514">
    <w:name w:val="宏文本 Char1"/>
    <w:basedOn w:val="97"/>
    <w:qFormat/>
    <w:uiPriority w:val="0"/>
    <w:rPr>
      <w:rFonts w:ascii="Courier New" w:hAnsi="Courier New" w:eastAsia="宋体" w:cs="Courier New"/>
      <w:sz w:val="24"/>
      <w:szCs w:val="24"/>
    </w:rPr>
  </w:style>
  <w:style w:type="character" w:customStyle="1" w:styleId="1515">
    <w:name w:val="newsbt2"/>
    <w:qFormat/>
    <w:uiPriority w:val="0"/>
  </w:style>
  <w:style w:type="character" w:customStyle="1" w:styleId="1516">
    <w:name w:val="标题 3 Char2"/>
    <w:qFormat/>
    <w:uiPriority w:val="0"/>
    <w:rPr>
      <w:rFonts w:ascii="宋体" w:hAnsi="Times New Roman"/>
      <w:bCs/>
      <w:kern w:val="2"/>
      <w:sz w:val="28"/>
      <w:szCs w:val="32"/>
    </w:rPr>
  </w:style>
  <w:style w:type="character" w:customStyle="1" w:styleId="1517">
    <w:name w:val="表格文字 Char Char"/>
    <w:qFormat/>
    <w:uiPriority w:val="0"/>
    <w:rPr>
      <w:sz w:val="24"/>
    </w:rPr>
  </w:style>
  <w:style w:type="character" w:customStyle="1" w:styleId="1518">
    <w:name w:val="目录 2 Char Char"/>
    <w:qFormat/>
    <w:uiPriority w:val="0"/>
    <w:rPr>
      <w:rFonts w:ascii="宋体" w:eastAsia="宋体"/>
      <w:color w:val="000000"/>
      <w:kern w:val="2"/>
      <w:sz w:val="28"/>
      <w:szCs w:val="24"/>
      <w:lang w:val="en-US" w:eastAsia="zh-CN" w:bidi="ar-SA"/>
    </w:rPr>
  </w:style>
  <w:style w:type="character" w:customStyle="1" w:styleId="1519">
    <w:name w:val="tit"/>
    <w:qFormat/>
    <w:uiPriority w:val="0"/>
  </w:style>
  <w:style w:type="character" w:customStyle="1" w:styleId="1520">
    <w:name w:val="表格正文 Char Char"/>
    <w:qFormat/>
    <w:locked/>
    <w:uiPriority w:val="0"/>
    <w:rPr>
      <w:rFonts w:ascii="宋体" w:hAnsi="宋体"/>
      <w:szCs w:val="24"/>
    </w:rPr>
  </w:style>
  <w:style w:type="character" w:customStyle="1" w:styleId="1521">
    <w:name w:val="HTML 预设格式 Char2"/>
    <w:basedOn w:val="97"/>
    <w:qFormat/>
    <w:uiPriority w:val="0"/>
    <w:rPr>
      <w:rFonts w:ascii="Courier New" w:hAnsi="Courier New" w:cs="Courier New"/>
      <w:sz w:val="20"/>
      <w:szCs w:val="20"/>
    </w:rPr>
  </w:style>
  <w:style w:type="character" w:customStyle="1" w:styleId="1522">
    <w:name w:val="样式 正文 +1 Char Char"/>
    <w:link w:val="1523"/>
    <w:qFormat/>
    <w:uiPriority w:val="0"/>
  </w:style>
  <w:style w:type="paragraph" w:customStyle="1" w:styleId="1523">
    <w:name w:val="样式 正文 +1"/>
    <w:basedOn w:val="1"/>
    <w:link w:val="1522"/>
    <w:qFormat/>
    <w:uiPriority w:val="0"/>
    <w:pPr>
      <w:adjustRightInd w:val="0"/>
      <w:snapToGrid w:val="0"/>
      <w:spacing w:line="300" w:lineRule="auto"/>
      <w:ind w:firstLine="200" w:firstLineChars="200"/>
      <w:jc w:val="left"/>
    </w:pPr>
    <w:rPr>
      <w:kern w:val="0"/>
      <w:sz w:val="20"/>
      <w:szCs w:val="20"/>
    </w:rPr>
  </w:style>
  <w:style w:type="character" w:customStyle="1" w:styleId="1524">
    <w:name w:val="Char Char9"/>
    <w:qFormat/>
    <w:uiPriority w:val="0"/>
    <w:rPr>
      <w:rFonts w:ascii="Arial" w:hAnsi="Arial" w:cs="Arial"/>
      <w:b/>
      <w:bCs/>
      <w:sz w:val="32"/>
      <w:szCs w:val="32"/>
    </w:rPr>
  </w:style>
  <w:style w:type="character" w:customStyle="1" w:styleId="1525">
    <w:name w:val="表格标题 Char Char"/>
    <w:qFormat/>
    <w:uiPriority w:val="0"/>
    <w:rPr>
      <w:rFonts w:ascii="Arial" w:hAnsi="Arial" w:eastAsia="黑体" w:cs="宋体"/>
      <w:b/>
      <w:bCs/>
      <w:kern w:val="2"/>
      <w:sz w:val="24"/>
      <w:szCs w:val="24"/>
      <w:lang w:val="en-US" w:eastAsia="zh-CN" w:bidi="ar-SA"/>
    </w:rPr>
  </w:style>
  <w:style w:type="character" w:customStyle="1" w:styleId="1526">
    <w:name w:val="样式 图名表头 + Char Char"/>
    <w:link w:val="1527"/>
    <w:qFormat/>
    <w:uiPriority w:val="0"/>
    <w:rPr>
      <w:rFonts w:hAnsi="宋体" w:eastAsia="黑体" w:cs="宋体"/>
      <w:b/>
      <w:bCs/>
      <w:color w:val="000000"/>
      <w:sz w:val="24"/>
      <w:szCs w:val="28"/>
    </w:rPr>
  </w:style>
  <w:style w:type="paragraph" w:customStyle="1" w:styleId="1527">
    <w:name w:val="样式 图名表头 +"/>
    <w:link w:val="1526"/>
    <w:qFormat/>
    <w:uiPriority w:val="0"/>
    <w:rPr>
      <w:rFonts w:ascii="Times New Roman" w:hAnsi="宋体" w:eastAsia="黑体" w:cs="宋体"/>
      <w:b/>
      <w:bCs/>
      <w:color w:val="000000"/>
      <w:sz w:val="24"/>
      <w:szCs w:val="28"/>
      <w:lang w:val="en-US" w:eastAsia="zh-CN" w:bidi="ar-SA"/>
    </w:rPr>
  </w:style>
  <w:style w:type="paragraph" w:customStyle="1" w:styleId="1528">
    <w:name w:val="图名表头"/>
    <w:basedOn w:val="1"/>
    <w:next w:val="1507"/>
    <w:link w:val="1529"/>
    <w:qFormat/>
    <w:uiPriority w:val="0"/>
    <w:pPr>
      <w:adjustRightInd w:val="0"/>
      <w:snapToGrid w:val="0"/>
      <w:spacing w:line="360" w:lineRule="auto"/>
      <w:jc w:val="center"/>
    </w:pPr>
    <w:rPr>
      <w:rFonts w:hAnsi="宋体" w:cs="宋体"/>
      <w:b/>
      <w:bCs/>
      <w:color w:val="000000"/>
      <w:szCs w:val="28"/>
    </w:rPr>
  </w:style>
  <w:style w:type="character" w:customStyle="1" w:styleId="1529">
    <w:name w:val="图名表头 Char Char"/>
    <w:link w:val="1528"/>
    <w:qFormat/>
    <w:uiPriority w:val="0"/>
    <w:rPr>
      <w:rFonts w:hAnsi="宋体" w:cs="宋体"/>
      <w:b/>
      <w:bCs/>
      <w:color w:val="000000"/>
      <w:kern w:val="2"/>
      <w:sz w:val="21"/>
      <w:szCs w:val="28"/>
    </w:rPr>
  </w:style>
  <w:style w:type="character" w:customStyle="1" w:styleId="1530">
    <w:name w:val="HTML 地址 Char1"/>
    <w:basedOn w:val="97"/>
    <w:qFormat/>
    <w:uiPriority w:val="0"/>
    <w:rPr>
      <w:i/>
      <w:iCs/>
    </w:rPr>
  </w:style>
  <w:style w:type="character" w:customStyle="1" w:styleId="1531">
    <w:name w:val="信息标题 Char1"/>
    <w:basedOn w:val="97"/>
    <w:qFormat/>
    <w:uiPriority w:val="0"/>
    <w:rPr>
      <w:rFonts w:asciiTheme="majorHAnsi" w:hAnsiTheme="majorHAnsi" w:eastAsiaTheme="majorEastAsia" w:cstheme="majorBidi"/>
      <w:sz w:val="24"/>
      <w:szCs w:val="24"/>
      <w:shd w:val="pct20" w:color="auto" w:fill="auto"/>
    </w:rPr>
  </w:style>
  <w:style w:type="character" w:customStyle="1" w:styleId="1532">
    <w:name w:val="注释标题 Char1"/>
    <w:basedOn w:val="97"/>
    <w:qFormat/>
    <w:uiPriority w:val="99"/>
  </w:style>
  <w:style w:type="character" w:customStyle="1" w:styleId="1533">
    <w:name w:val="节 Char"/>
    <w:qFormat/>
    <w:uiPriority w:val="0"/>
    <w:rPr>
      <w:rFonts w:ascii="黑体" w:hAnsi="Arial" w:eastAsia="黑体"/>
      <w:b/>
      <w:bCs/>
      <w:kern w:val="2"/>
      <w:sz w:val="30"/>
      <w:szCs w:val="30"/>
    </w:rPr>
  </w:style>
  <w:style w:type="character" w:customStyle="1" w:styleId="1534">
    <w:name w:val="表内文字 Char Char"/>
    <w:qFormat/>
    <w:uiPriority w:val="0"/>
    <w:rPr>
      <w:rFonts w:ascii="宋体" w:hAnsi="Courier New" w:eastAsia="宋体" w:cs="Courier New"/>
      <w:kern w:val="2"/>
      <w:sz w:val="21"/>
      <w:szCs w:val="21"/>
      <w:lang w:val="en-US" w:eastAsia="zh-CN" w:bidi="ar-SA"/>
    </w:rPr>
  </w:style>
  <w:style w:type="character" w:customStyle="1" w:styleId="1535">
    <w:name w:val="宋体四号 Char Char"/>
    <w:link w:val="1536"/>
    <w:qFormat/>
    <w:uiPriority w:val="0"/>
    <w:rPr>
      <w:rFonts w:ascii="宋体" w:hAnsi="宋体"/>
      <w:snapToGrid w:val="0"/>
      <w:sz w:val="24"/>
      <w:szCs w:val="24"/>
    </w:rPr>
  </w:style>
  <w:style w:type="paragraph" w:customStyle="1" w:styleId="1536">
    <w:name w:val="宋体四号"/>
    <w:basedOn w:val="1"/>
    <w:link w:val="1535"/>
    <w:qFormat/>
    <w:uiPriority w:val="0"/>
    <w:pPr>
      <w:adjustRightInd w:val="0"/>
      <w:snapToGrid w:val="0"/>
      <w:spacing w:line="360" w:lineRule="auto"/>
      <w:ind w:firstLine="480" w:firstLineChars="200"/>
    </w:pPr>
    <w:rPr>
      <w:rFonts w:ascii="宋体" w:hAnsi="宋体"/>
      <w:snapToGrid w:val="0"/>
      <w:kern w:val="0"/>
      <w:sz w:val="24"/>
    </w:rPr>
  </w:style>
  <w:style w:type="character" w:customStyle="1" w:styleId="1537">
    <w:name w:val="Char Char1"/>
    <w:qFormat/>
    <w:uiPriority w:val="0"/>
    <w:rPr>
      <w:rFonts w:ascii="Arial" w:hAnsi="Arial" w:eastAsia="黑体" w:cs="Arial"/>
      <w:kern w:val="2"/>
      <w:sz w:val="24"/>
      <w:szCs w:val="28"/>
      <w:lang w:val="en-US" w:eastAsia="zh-CN" w:bidi="ar-SA"/>
    </w:rPr>
  </w:style>
  <w:style w:type="character" w:customStyle="1" w:styleId="1538">
    <w:name w:val="表格正文 Char Char Char"/>
    <w:qFormat/>
    <w:uiPriority w:val="0"/>
    <w:rPr>
      <w:rFonts w:ascii="Arial" w:hAnsi="Arial" w:eastAsia="宋体"/>
      <w:color w:val="000000"/>
      <w:kern w:val="2"/>
      <w:sz w:val="21"/>
      <w:szCs w:val="24"/>
      <w:lang w:val="en-US" w:eastAsia="zh-CN" w:bidi="ar-SA"/>
    </w:rPr>
  </w:style>
  <w:style w:type="character" w:customStyle="1" w:styleId="1539">
    <w:name w:val="st1"/>
    <w:qFormat/>
    <w:uiPriority w:val="0"/>
  </w:style>
  <w:style w:type="character" w:customStyle="1" w:styleId="1540">
    <w:name w:val="Char Char94"/>
    <w:qFormat/>
    <w:uiPriority w:val="0"/>
    <w:rPr>
      <w:rFonts w:ascii="Arial" w:hAnsi="Arial" w:cs="Arial"/>
      <w:b/>
      <w:bCs/>
      <w:sz w:val="32"/>
      <w:szCs w:val="32"/>
    </w:rPr>
  </w:style>
  <w:style w:type="character" w:customStyle="1" w:styleId="1541">
    <w:name w:val="1.1标题 2 Char Char"/>
    <w:qFormat/>
    <w:uiPriority w:val="0"/>
    <w:rPr>
      <w:rFonts w:ascii="黑体" w:eastAsia="黑体"/>
      <w:kern w:val="2"/>
      <w:sz w:val="28"/>
      <w:lang w:val="en-US" w:eastAsia="zh-CN"/>
    </w:rPr>
  </w:style>
  <w:style w:type="character" w:customStyle="1" w:styleId="1542">
    <w:name w:val="p21"/>
    <w:qFormat/>
    <w:uiPriority w:val="0"/>
    <w:rPr>
      <w:sz w:val="18"/>
    </w:rPr>
  </w:style>
  <w:style w:type="character" w:customStyle="1" w:styleId="1543">
    <w:name w:val="style17"/>
    <w:qFormat/>
    <w:uiPriority w:val="0"/>
  </w:style>
  <w:style w:type="character" w:customStyle="1" w:styleId="1544">
    <w:name w:val="char"/>
    <w:qFormat/>
    <w:uiPriority w:val="0"/>
  </w:style>
  <w:style w:type="character" w:customStyle="1" w:styleId="1545">
    <w:name w:val="标题 1 Char Char Char"/>
    <w:qFormat/>
    <w:uiPriority w:val="0"/>
    <w:rPr>
      <w:rFonts w:ascii="宋体" w:eastAsia="宋体"/>
      <w:b/>
      <w:color w:val="000000"/>
      <w:kern w:val="32"/>
      <w:sz w:val="32"/>
      <w:lang w:val="en-US" w:eastAsia="zh-CN"/>
    </w:rPr>
  </w:style>
  <w:style w:type="character" w:customStyle="1" w:styleId="1546">
    <w:name w:val="公正文 Char Char"/>
    <w:qFormat/>
    <w:uiPriority w:val="0"/>
    <w:rPr>
      <w:rFonts w:ascii="宋体" w:hAnsi="宋体" w:eastAsia="仿宋_GB2312"/>
      <w:sz w:val="28"/>
      <w:szCs w:val="21"/>
    </w:rPr>
  </w:style>
  <w:style w:type="character" w:customStyle="1" w:styleId="1547">
    <w:name w:val="style21"/>
    <w:qFormat/>
    <w:uiPriority w:val="0"/>
    <w:rPr>
      <w:sz w:val="18"/>
      <w:szCs w:val="18"/>
    </w:rPr>
  </w:style>
  <w:style w:type="character" w:customStyle="1" w:styleId="1548">
    <w:name w:val="公标题1 Char Char"/>
    <w:link w:val="1549"/>
    <w:qFormat/>
    <w:uiPriority w:val="0"/>
    <w:rPr>
      <w:rFonts w:ascii="Swis721 BT" w:hAnsi="Swis721 BT" w:eastAsia="黑体"/>
      <w:sz w:val="36"/>
      <w:szCs w:val="21"/>
    </w:rPr>
  </w:style>
  <w:style w:type="paragraph" w:customStyle="1" w:styleId="1549">
    <w:name w:val="公标题1"/>
    <w:basedOn w:val="1"/>
    <w:link w:val="1548"/>
    <w:qFormat/>
    <w:uiPriority w:val="0"/>
    <w:pPr>
      <w:adjustRightInd w:val="0"/>
      <w:snapToGrid w:val="0"/>
      <w:spacing w:before="218" w:beforeLines="70" w:after="218" w:afterLines="70" w:line="355" w:lineRule="auto"/>
      <w:outlineLvl w:val="0"/>
    </w:pPr>
    <w:rPr>
      <w:rFonts w:ascii="Swis721 BT" w:hAnsi="Swis721 BT" w:eastAsia="黑体"/>
      <w:kern w:val="0"/>
      <w:sz w:val="36"/>
      <w:szCs w:val="21"/>
    </w:rPr>
  </w:style>
  <w:style w:type="character" w:customStyle="1" w:styleId="1550">
    <w:name w:val="公标题2 Char Char"/>
    <w:link w:val="1551"/>
    <w:qFormat/>
    <w:uiPriority w:val="0"/>
    <w:rPr>
      <w:rFonts w:ascii="Swis721 BT" w:hAnsi="Swis721 BT" w:eastAsia="黑体"/>
      <w:sz w:val="32"/>
      <w:szCs w:val="21"/>
    </w:rPr>
  </w:style>
  <w:style w:type="paragraph" w:customStyle="1" w:styleId="1551">
    <w:name w:val="公标题2"/>
    <w:basedOn w:val="1549"/>
    <w:link w:val="1550"/>
    <w:qFormat/>
    <w:uiPriority w:val="0"/>
    <w:pPr>
      <w:spacing w:before="156" w:beforeLines="50" w:after="156" w:afterLines="50"/>
      <w:outlineLvl w:val="1"/>
    </w:pPr>
    <w:rPr>
      <w:sz w:val="32"/>
    </w:rPr>
  </w:style>
  <w:style w:type="character" w:customStyle="1" w:styleId="1552">
    <w:name w:val="公标题3 Char Char"/>
    <w:qFormat/>
    <w:uiPriority w:val="0"/>
    <w:rPr>
      <w:rFonts w:ascii="Swis721 BT" w:hAnsi="Swis721 BT" w:eastAsia="黑体"/>
      <w:sz w:val="28"/>
      <w:szCs w:val="21"/>
    </w:rPr>
  </w:style>
  <w:style w:type="character" w:customStyle="1" w:styleId="1553">
    <w:name w:val="公标题4 Char Char"/>
    <w:link w:val="1554"/>
    <w:qFormat/>
    <w:uiPriority w:val="0"/>
    <w:rPr>
      <w:rFonts w:ascii="Swis721 Lt BT" w:hAnsi="Swis721 Lt BT" w:eastAsia="方正细黑一简体"/>
      <w:sz w:val="28"/>
      <w:szCs w:val="21"/>
    </w:rPr>
  </w:style>
  <w:style w:type="paragraph" w:customStyle="1" w:styleId="1554">
    <w:name w:val="公标题4"/>
    <w:basedOn w:val="522"/>
    <w:link w:val="1553"/>
    <w:qFormat/>
    <w:uiPriority w:val="0"/>
    <w:pPr>
      <w:spacing w:beforeLines="0" w:afterLines="0"/>
      <w:ind w:firstLine="0" w:firstLineChars="0"/>
      <w:outlineLvl w:val="3"/>
    </w:pPr>
    <w:rPr>
      <w:rFonts w:ascii="Swis721 Lt BT" w:hAnsi="Swis721 Lt BT" w:eastAsia="方正细黑一简体"/>
      <w:kern w:val="0"/>
      <w:szCs w:val="21"/>
    </w:rPr>
  </w:style>
  <w:style w:type="character" w:customStyle="1" w:styleId="1555">
    <w:name w:val="公表头 Char Char"/>
    <w:link w:val="1556"/>
    <w:qFormat/>
    <w:uiPriority w:val="0"/>
    <w:rPr>
      <w:rFonts w:ascii="黑体" w:hAnsi="宋体" w:eastAsia="黑体"/>
      <w:sz w:val="24"/>
      <w:szCs w:val="24"/>
    </w:rPr>
  </w:style>
  <w:style w:type="paragraph" w:customStyle="1" w:styleId="1556">
    <w:name w:val="公表头"/>
    <w:basedOn w:val="520"/>
    <w:link w:val="1555"/>
    <w:qFormat/>
    <w:uiPriority w:val="0"/>
    <w:pPr>
      <w:spacing w:line="300" w:lineRule="auto"/>
      <w:ind w:firstLine="100" w:firstLineChars="100"/>
    </w:pPr>
    <w:rPr>
      <w:rFonts w:ascii="黑体" w:eastAsia="黑体"/>
      <w:kern w:val="0"/>
      <w:sz w:val="24"/>
    </w:rPr>
  </w:style>
  <w:style w:type="character" w:customStyle="1" w:styleId="1557">
    <w:name w:val="公标题5 Char Char"/>
    <w:link w:val="1558"/>
    <w:qFormat/>
    <w:uiPriority w:val="0"/>
    <w:rPr>
      <w:rFonts w:ascii="Swis721 Lt BT" w:hAnsi="Swis721 Lt BT" w:eastAsia="方正细黑一简体"/>
      <w:sz w:val="28"/>
      <w:szCs w:val="24"/>
    </w:rPr>
  </w:style>
  <w:style w:type="paragraph" w:customStyle="1" w:styleId="1558">
    <w:name w:val="公标题5"/>
    <w:basedOn w:val="1554"/>
    <w:link w:val="1557"/>
    <w:qFormat/>
    <w:uiPriority w:val="0"/>
    <w:pPr>
      <w:outlineLvl w:val="4"/>
    </w:pPr>
    <w:rPr>
      <w:szCs w:val="24"/>
    </w:rPr>
  </w:style>
  <w:style w:type="character" w:customStyle="1" w:styleId="1559">
    <w:name w:val="公表文 Char Char"/>
    <w:qFormat/>
    <w:uiPriority w:val="0"/>
    <w:rPr>
      <w:rFonts w:ascii="宋体" w:hAnsi="宋体" w:eastAsia="楷体_GB2312"/>
      <w:szCs w:val="24"/>
    </w:rPr>
  </w:style>
  <w:style w:type="character" w:customStyle="1" w:styleId="1560">
    <w:name w:val="h Char Char"/>
    <w:qFormat/>
    <w:uiPriority w:val="0"/>
    <w:rPr>
      <w:rFonts w:eastAsia="宋体"/>
      <w:kern w:val="2"/>
      <w:sz w:val="18"/>
      <w:szCs w:val="18"/>
      <w:lang w:val="en-US" w:eastAsia="zh-CN" w:bidi="ar-SA"/>
    </w:rPr>
  </w:style>
  <w:style w:type="character" w:customStyle="1" w:styleId="1561">
    <w:name w:val="样式 样式 标题 3条标题1.1.1小标题白鹤滩标题 31.1.1标题033h33rd levelH3l3CT... + Ari... Char"/>
    <w:qFormat/>
    <w:uiPriority w:val="0"/>
    <w:rPr>
      <w:rFonts w:hint="default" w:ascii="Arial" w:hAnsi="Arial" w:eastAsia="黑体" w:cs="Arial"/>
      <w:b/>
      <w:sz w:val="28"/>
      <w:lang w:val="en-US" w:eastAsia="en-US"/>
    </w:rPr>
  </w:style>
  <w:style w:type="character" w:customStyle="1" w:styleId="1562">
    <w:name w:val="tit2"/>
    <w:qFormat/>
    <w:uiPriority w:val="0"/>
    <w:rPr>
      <w:b/>
      <w:bCs/>
      <w:sz w:val="48"/>
      <w:szCs w:val="48"/>
    </w:rPr>
  </w:style>
  <w:style w:type="character" w:customStyle="1" w:styleId="1563">
    <w:name w:val="内容 Char Char"/>
    <w:qFormat/>
    <w:uiPriority w:val="0"/>
    <w:rPr>
      <w:sz w:val="28"/>
    </w:rPr>
  </w:style>
  <w:style w:type="character" w:customStyle="1" w:styleId="1564">
    <w:name w:val="Char Char8"/>
    <w:qFormat/>
    <w:uiPriority w:val="0"/>
    <w:rPr>
      <w:rFonts w:ascii="Times New Roman" w:hAnsi="Times New Roman" w:eastAsia="宋体" w:cs="Times New Roman"/>
      <w:szCs w:val="21"/>
    </w:rPr>
  </w:style>
  <w:style w:type="character" w:customStyle="1" w:styleId="1565">
    <w:name w:val="HZZH表头 Char Char"/>
    <w:link w:val="1566"/>
    <w:qFormat/>
    <w:uiPriority w:val="0"/>
    <w:rPr>
      <w:rFonts w:ascii="宋体" w:hAnsi="宋体"/>
      <w:b/>
      <w:bCs/>
      <w:sz w:val="24"/>
      <w:szCs w:val="24"/>
    </w:rPr>
  </w:style>
  <w:style w:type="paragraph" w:customStyle="1" w:styleId="1566">
    <w:name w:val="HZZH表头"/>
    <w:basedOn w:val="1"/>
    <w:link w:val="1565"/>
    <w:qFormat/>
    <w:uiPriority w:val="0"/>
    <w:pPr>
      <w:spacing w:line="360" w:lineRule="auto"/>
      <w:jc w:val="center"/>
    </w:pPr>
    <w:rPr>
      <w:rFonts w:ascii="宋体" w:hAnsi="宋体"/>
      <w:b/>
      <w:bCs/>
      <w:kern w:val="0"/>
      <w:sz w:val="24"/>
    </w:rPr>
  </w:style>
  <w:style w:type="character" w:customStyle="1" w:styleId="1567">
    <w:name w:val="HZZH正文 Char Char"/>
    <w:link w:val="1568"/>
    <w:qFormat/>
    <w:uiPriority w:val="0"/>
    <w:rPr>
      <w:rFonts w:ascii="宋体" w:hAnsi="宋体" w:cs="宋体"/>
      <w:bCs/>
      <w:sz w:val="24"/>
      <w:szCs w:val="24"/>
    </w:rPr>
  </w:style>
  <w:style w:type="paragraph" w:customStyle="1" w:styleId="1568">
    <w:name w:val="HZZH正文"/>
    <w:basedOn w:val="1"/>
    <w:link w:val="1567"/>
    <w:qFormat/>
    <w:uiPriority w:val="0"/>
    <w:pPr>
      <w:tabs>
        <w:tab w:val="left" w:pos="720"/>
        <w:tab w:val="left" w:pos="900"/>
      </w:tabs>
      <w:overflowPunct w:val="0"/>
      <w:spacing w:line="360" w:lineRule="auto"/>
      <w:ind w:firstLine="480" w:firstLineChars="200"/>
    </w:pPr>
    <w:rPr>
      <w:rFonts w:ascii="宋体" w:hAnsi="宋体" w:cs="宋体"/>
      <w:bCs/>
      <w:kern w:val="0"/>
      <w:sz w:val="24"/>
    </w:rPr>
  </w:style>
  <w:style w:type="character" w:customStyle="1" w:styleId="1569">
    <w:name w:val="HZZH标题—4 Char Char"/>
    <w:link w:val="1570"/>
    <w:qFormat/>
    <w:uiPriority w:val="0"/>
    <w:rPr>
      <w:rFonts w:ascii="宋体" w:hAnsi="宋体"/>
      <w:b/>
      <w:sz w:val="24"/>
      <w:szCs w:val="28"/>
    </w:rPr>
  </w:style>
  <w:style w:type="paragraph" w:customStyle="1" w:styleId="1570">
    <w:name w:val="HZZH标题—4"/>
    <w:basedOn w:val="6"/>
    <w:link w:val="1569"/>
    <w:qFormat/>
    <w:uiPriority w:val="0"/>
    <w:pPr>
      <w:numPr>
        <w:ilvl w:val="3"/>
        <w:numId w:val="15"/>
      </w:numPr>
      <w:tabs>
        <w:tab w:val="left" w:pos="0"/>
        <w:tab w:val="left" w:pos="786"/>
        <w:tab w:val="left" w:pos="993"/>
      </w:tabs>
      <w:spacing w:before="0" w:after="0" w:line="360" w:lineRule="auto"/>
      <w:ind w:hanging="200" w:hangingChars="200"/>
      <w:jc w:val="left"/>
    </w:pPr>
    <w:rPr>
      <w:rFonts w:ascii="宋体" w:hAnsi="宋体" w:eastAsia="宋体"/>
      <w:bCs w:val="0"/>
      <w:kern w:val="0"/>
      <w:sz w:val="24"/>
    </w:rPr>
  </w:style>
  <w:style w:type="character" w:customStyle="1" w:styleId="1571">
    <w:name w:val="样式 !正文 + 首行缩进:  2 字符1 Char Char"/>
    <w:link w:val="1572"/>
    <w:qFormat/>
    <w:uiPriority w:val="0"/>
    <w:rPr>
      <w:rFonts w:cs="宋体"/>
      <w:color w:val="000000"/>
      <w:sz w:val="24"/>
      <w:u w:color="000000"/>
    </w:rPr>
  </w:style>
  <w:style w:type="paragraph" w:customStyle="1" w:styleId="1572">
    <w:name w:val="样式 !正文 + 首行缩进:  2 字符1"/>
    <w:basedOn w:val="1"/>
    <w:link w:val="1571"/>
    <w:qFormat/>
    <w:uiPriority w:val="0"/>
    <w:pPr>
      <w:snapToGrid w:val="0"/>
      <w:spacing w:line="336" w:lineRule="auto"/>
      <w:ind w:firstLine="480" w:firstLineChars="200"/>
      <w:jc w:val="left"/>
      <w:textAlignment w:val="baseline"/>
    </w:pPr>
    <w:rPr>
      <w:rFonts w:cs="宋体"/>
      <w:color w:val="000000"/>
      <w:kern w:val="0"/>
      <w:sz w:val="24"/>
      <w:szCs w:val="20"/>
      <w:u w:color="000000"/>
    </w:rPr>
  </w:style>
  <w:style w:type="character" w:customStyle="1" w:styleId="1573">
    <w:name w:val="报告书正文 Char Char Char Char"/>
    <w:link w:val="1574"/>
    <w:qFormat/>
    <w:uiPriority w:val="0"/>
    <w:rPr>
      <w:color w:val="000000"/>
      <w:sz w:val="24"/>
      <w:szCs w:val="24"/>
    </w:rPr>
  </w:style>
  <w:style w:type="paragraph" w:customStyle="1" w:styleId="1574">
    <w:name w:val="报告书正文 Char Char"/>
    <w:basedOn w:val="1"/>
    <w:link w:val="1573"/>
    <w:qFormat/>
    <w:uiPriority w:val="0"/>
    <w:pPr>
      <w:spacing w:line="300" w:lineRule="auto"/>
      <w:ind w:firstLine="480" w:firstLineChars="200"/>
    </w:pPr>
    <w:rPr>
      <w:color w:val="000000"/>
      <w:kern w:val="0"/>
      <w:sz w:val="24"/>
    </w:rPr>
  </w:style>
  <w:style w:type="character" w:customStyle="1" w:styleId="1575">
    <w:name w:val="耿宝 标题一 Char Char"/>
    <w:link w:val="1576"/>
    <w:qFormat/>
    <w:uiPriority w:val="0"/>
    <w:rPr>
      <w:rFonts w:ascii="黑体" w:eastAsia="黑体"/>
      <w:bCs/>
      <w:kern w:val="44"/>
      <w:sz w:val="28"/>
      <w:szCs w:val="28"/>
    </w:rPr>
  </w:style>
  <w:style w:type="paragraph" w:customStyle="1" w:styleId="1576">
    <w:name w:val="耿宝 标题一"/>
    <w:basedOn w:val="3"/>
    <w:link w:val="1575"/>
    <w:qFormat/>
    <w:uiPriority w:val="0"/>
    <w:pPr>
      <w:keepNext/>
      <w:keepLines/>
      <w:tabs>
        <w:tab w:val="left" w:pos="786"/>
      </w:tabs>
      <w:adjustRightInd/>
      <w:spacing w:line="300" w:lineRule="auto"/>
      <w:ind w:left="2040" w:hanging="360" w:hangingChars="200"/>
      <w:jc w:val="both"/>
    </w:pPr>
    <w:rPr>
      <w:rFonts w:ascii="黑体" w:eastAsia="黑体"/>
      <w:b w:val="0"/>
      <w:sz w:val="28"/>
      <w:szCs w:val="28"/>
    </w:rPr>
  </w:style>
  <w:style w:type="character" w:customStyle="1" w:styleId="1577">
    <w:name w:val="耿宝 标题二 Char Char"/>
    <w:link w:val="1578"/>
    <w:qFormat/>
    <w:uiPriority w:val="0"/>
    <w:rPr>
      <w:rFonts w:ascii="Arial" w:hAnsi="Arial" w:eastAsia="黑体"/>
      <w:b/>
      <w:bCs/>
      <w:sz w:val="32"/>
      <w:szCs w:val="32"/>
    </w:rPr>
  </w:style>
  <w:style w:type="paragraph" w:customStyle="1" w:styleId="1578">
    <w:name w:val="耿宝 标题二"/>
    <w:basedOn w:val="4"/>
    <w:link w:val="1577"/>
    <w:qFormat/>
    <w:uiPriority w:val="0"/>
    <w:pPr>
      <w:tabs>
        <w:tab w:val="left" w:pos="786"/>
      </w:tabs>
      <w:snapToGrid w:val="0"/>
      <w:spacing w:before="0" w:after="0" w:line="300" w:lineRule="auto"/>
      <w:ind w:left="786" w:hanging="360" w:hangingChars="200"/>
    </w:pPr>
    <w:rPr>
      <w:rFonts w:eastAsia="黑体"/>
      <w:kern w:val="0"/>
    </w:rPr>
  </w:style>
  <w:style w:type="character" w:customStyle="1" w:styleId="1579">
    <w:name w:val="耿宝 标题三 Char Char"/>
    <w:link w:val="1580"/>
    <w:qFormat/>
    <w:uiPriority w:val="0"/>
  </w:style>
  <w:style w:type="paragraph" w:customStyle="1" w:styleId="1580">
    <w:name w:val="耿宝 标题三"/>
    <w:basedOn w:val="652"/>
    <w:link w:val="1579"/>
    <w:qFormat/>
    <w:uiPriority w:val="0"/>
    <w:pPr>
      <w:snapToGrid w:val="0"/>
      <w:spacing w:line="300" w:lineRule="auto"/>
      <w:ind w:firstLine="0" w:firstLineChars="0"/>
    </w:pPr>
    <w:rPr>
      <w:rFonts w:hAnsi="Times New Roman"/>
      <w:bCs w:val="0"/>
      <w:snapToGrid/>
      <w:color w:val="auto"/>
      <w:sz w:val="20"/>
      <w:szCs w:val="20"/>
    </w:rPr>
  </w:style>
  <w:style w:type="character" w:customStyle="1" w:styleId="1581">
    <w:name w:val="耿宝 标题四 Char Char"/>
    <w:link w:val="1582"/>
    <w:qFormat/>
    <w:uiPriority w:val="0"/>
    <w:rPr>
      <w:rFonts w:ascii="宋体"/>
      <w:bCs/>
      <w:sz w:val="28"/>
      <w:szCs w:val="32"/>
    </w:rPr>
  </w:style>
  <w:style w:type="paragraph" w:customStyle="1" w:styleId="1582">
    <w:name w:val="耿宝 标题四"/>
    <w:basedOn w:val="5"/>
    <w:link w:val="1581"/>
    <w:qFormat/>
    <w:uiPriority w:val="0"/>
    <w:pPr>
      <w:tabs>
        <w:tab w:val="left" w:pos="786"/>
      </w:tabs>
      <w:snapToGrid w:val="0"/>
      <w:spacing w:before="0" w:after="0" w:line="300" w:lineRule="auto"/>
      <w:ind w:left="786" w:hanging="360" w:hangingChars="200"/>
    </w:pPr>
    <w:rPr>
      <w:rFonts w:ascii="宋体"/>
      <w:b w:val="0"/>
      <w:kern w:val="0"/>
      <w:sz w:val="28"/>
    </w:rPr>
  </w:style>
  <w:style w:type="character" w:customStyle="1" w:styleId="1583">
    <w:name w:val="耿宝 标题五 Char"/>
    <w:link w:val="1584"/>
    <w:qFormat/>
    <w:uiPriority w:val="0"/>
  </w:style>
  <w:style w:type="paragraph" w:customStyle="1" w:styleId="1584">
    <w:name w:val="耿宝 表头"/>
    <w:basedOn w:val="955"/>
    <w:link w:val="1583"/>
    <w:qFormat/>
    <w:uiPriority w:val="0"/>
    <w:pPr>
      <w:ind w:firstLine="480"/>
      <w:jc w:val="center"/>
    </w:pPr>
    <w:rPr>
      <w:rFonts w:ascii="Times New Roman" w:cs="Times New Roman"/>
      <w:kern w:val="0"/>
      <w:sz w:val="20"/>
    </w:rPr>
  </w:style>
  <w:style w:type="paragraph" w:customStyle="1" w:styleId="1585">
    <w:name w:val="规定原文"/>
    <w:basedOn w:val="1"/>
    <w:qFormat/>
    <w:uiPriority w:val="0"/>
    <w:pPr>
      <w:keepNext/>
      <w:snapToGrid w:val="0"/>
      <w:spacing w:before="156" w:beforeLines="50" w:line="300" w:lineRule="auto"/>
      <w:ind w:firstLine="560" w:firstLineChars="200"/>
    </w:pPr>
    <w:rPr>
      <w:rFonts w:ascii="楷体_GB2312" w:eastAsia="楷体_GB2312"/>
      <w:color w:val="FF0000"/>
      <w:sz w:val="28"/>
      <w:szCs w:val="20"/>
    </w:rPr>
  </w:style>
  <w:style w:type="paragraph" w:customStyle="1" w:styleId="1586">
    <w:name w:val="样式 首行缩进:  0.99 厘米"/>
    <w:basedOn w:val="1"/>
    <w:qFormat/>
    <w:uiPriority w:val="0"/>
    <w:pPr>
      <w:tabs>
        <w:tab w:val="left" w:pos="1727"/>
        <w:tab w:val="left" w:pos="1884"/>
      </w:tabs>
      <w:snapToGrid w:val="0"/>
      <w:spacing w:line="300" w:lineRule="auto"/>
      <w:ind w:firstLine="200" w:firstLineChars="200"/>
      <w:outlineLvl w:val="0"/>
    </w:pPr>
    <w:rPr>
      <w:rFonts w:ascii="宋体"/>
      <w:sz w:val="28"/>
      <w:szCs w:val="20"/>
    </w:rPr>
  </w:style>
  <w:style w:type="paragraph" w:customStyle="1" w:styleId="1587">
    <w:name w:val="Char Char Char Char Char Char1 Char Char Char Char Char Char Char Char Char1 Char Char Char Char Char Char Char Char Char Char"/>
    <w:basedOn w:val="1"/>
    <w:qFormat/>
    <w:uiPriority w:val="0"/>
    <w:rPr>
      <w:szCs w:val="20"/>
    </w:rPr>
  </w:style>
  <w:style w:type="paragraph" w:customStyle="1" w:styleId="1588">
    <w:name w:val="Char Char Char Char Char Char Char5"/>
    <w:basedOn w:val="1"/>
    <w:qFormat/>
    <w:uiPriority w:val="0"/>
  </w:style>
  <w:style w:type="paragraph" w:customStyle="1" w:styleId="1589">
    <w:name w:val="Char Char Char Char Char Char Char4"/>
    <w:basedOn w:val="1"/>
    <w:qFormat/>
    <w:uiPriority w:val="0"/>
    <w:pPr>
      <w:adjustRightInd w:val="0"/>
      <w:snapToGrid w:val="0"/>
      <w:spacing w:line="360" w:lineRule="auto"/>
      <w:ind w:firstLine="200" w:firstLineChars="200"/>
      <w:jc w:val="left"/>
    </w:pPr>
    <w:rPr>
      <w:rFonts w:ascii="仿宋_GB2312" w:hAnsi="仿宋_GB2312" w:eastAsia="仿宋_GB2312" w:cs="宋体"/>
      <w:sz w:val="24"/>
    </w:rPr>
  </w:style>
  <w:style w:type="character" w:customStyle="1" w:styleId="1590">
    <w:name w:val="表文 Char Char"/>
    <w:qFormat/>
    <w:uiPriority w:val="0"/>
    <w:rPr>
      <w:rFonts w:ascii="Times New Roman" w:hAnsi="Times New Roman" w:eastAsia="宋体" w:cs="Times New Roman"/>
      <w:sz w:val="18"/>
      <w:szCs w:val="20"/>
    </w:rPr>
  </w:style>
  <w:style w:type="paragraph" w:customStyle="1" w:styleId="1591">
    <w:name w:val="CM18"/>
    <w:qFormat/>
    <w:uiPriority w:val="0"/>
    <w:pPr>
      <w:spacing w:line="466" w:lineRule="atLeast"/>
    </w:pPr>
    <w:rPr>
      <w:rFonts w:ascii="宋体" w:hAnsi="Times New Roman" w:eastAsia="宋体" w:cs="Times New Roman"/>
      <w:lang w:val="en-US" w:eastAsia="zh-CN" w:bidi="ar-SA"/>
    </w:rPr>
  </w:style>
  <w:style w:type="paragraph" w:customStyle="1" w:styleId="1592">
    <w:name w:val="title3"/>
    <w:basedOn w:val="1"/>
    <w:qFormat/>
    <w:uiPriority w:val="0"/>
    <w:pPr>
      <w:adjustRightInd w:val="0"/>
      <w:spacing w:before="50" w:line="480" w:lineRule="atLeast"/>
      <w:ind w:firstLine="200" w:firstLineChars="200"/>
      <w:textAlignment w:val="baseline"/>
    </w:pPr>
    <w:rPr>
      <w:rFonts w:ascii="仿宋_GB2312" w:eastAsia="仿宋_GB2312"/>
      <w:b/>
      <w:sz w:val="28"/>
      <w:szCs w:val="20"/>
    </w:rPr>
  </w:style>
  <w:style w:type="paragraph" w:customStyle="1" w:styleId="1593">
    <w:name w:val="小表左"/>
    <w:basedOn w:val="1"/>
    <w:qFormat/>
    <w:uiPriority w:val="0"/>
    <w:pPr>
      <w:keepNext/>
      <w:snapToGrid w:val="0"/>
      <w:spacing w:line="240" w:lineRule="atLeast"/>
      <w:jc w:val="center"/>
    </w:pPr>
    <w:rPr>
      <w:rFonts w:ascii="宋体" w:hAnsi="宋体"/>
      <w:kern w:val="0"/>
      <w:sz w:val="24"/>
      <w:szCs w:val="22"/>
    </w:rPr>
  </w:style>
  <w:style w:type="paragraph" w:customStyle="1" w:styleId="1594">
    <w:name w:val="表里"/>
    <w:basedOn w:val="1"/>
    <w:link w:val="1595"/>
    <w:qFormat/>
    <w:uiPriority w:val="0"/>
    <w:pPr>
      <w:adjustRightInd w:val="0"/>
      <w:snapToGrid w:val="0"/>
      <w:jc w:val="center"/>
      <w:outlineLvl w:val="8"/>
    </w:pPr>
    <w:rPr>
      <w:rFonts w:ascii="宋体" w:hAnsi="宋体"/>
      <w:kern w:val="0"/>
      <w:sz w:val="24"/>
      <w:szCs w:val="20"/>
      <w:lang w:val="zh-CN"/>
    </w:rPr>
  </w:style>
  <w:style w:type="character" w:customStyle="1" w:styleId="1595">
    <w:name w:val="表里 Char Char"/>
    <w:link w:val="1594"/>
    <w:qFormat/>
    <w:uiPriority w:val="0"/>
    <w:rPr>
      <w:rFonts w:ascii="宋体" w:hAnsi="宋体"/>
      <w:sz w:val="24"/>
      <w:lang w:val="zh-CN"/>
    </w:rPr>
  </w:style>
  <w:style w:type="paragraph" w:customStyle="1" w:styleId="1596">
    <w:name w:val="报告标3"/>
    <w:basedOn w:val="1"/>
    <w:qFormat/>
    <w:uiPriority w:val="0"/>
    <w:pPr>
      <w:adjustRightInd w:val="0"/>
      <w:snapToGrid w:val="0"/>
      <w:spacing w:line="300" w:lineRule="auto"/>
    </w:pPr>
    <w:rPr>
      <w:rFonts w:ascii="宋体"/>
      <w:sz w:val="28"/>
      <w:szCs w:val="20"/>
    </w:rPr>
  </w:style>
  <w:style w:type="paragraph" w:customStyle="1" w:styleId="1597">
    <w:name w:val="样式 正文文本缩进 + 左侧:  2 字符"/>
    <w:basedOn w:val="1"/>
    <w:qFormat/>
    <w:uiPriority w:val="0"/>
    <w:pPr>
      <w:tabs>
        <w:tab w:val="left" w:pos="0"/>
      </w:tabs>
      <w:jc w:val="left"/>
    </w:pPr>
    <w:rPr>
      <w:sz w:val="28"/>
      <w:szCs w:val="20"/>
    </w:rPr>
  </w:style>
  <w:style w:type="paragraph" w:customStyle="1" w:styleId="1598">
    <w:name w:val="项目负责人"/>
    <w:basedOn w:val="1"/>
    <w:qFormat/>
    <w:uiPriority w:val="0"/>
    <w:pPr>
      <w:keepNext/>
      <w:snapToGrid w:val="0"/>
      <w:spacing w:before="156" w:beforeLines="50" w:line="300" w:lineRule="auto"/>
      <w:jc w:val="left"/>
    </w:pPr>
    <w:rPr>
      <w:rFonts w:ascii="宋体"/>
      <w:spacing w:val="66"/>
      <w:kern w:val="0"/>
      <w:sz w:val="32"/>
      <w:szCs w:val="20"/>
    </w:rPr>
  </w:style>
  <w:style w:type="paragraph" w:customStyle="1" w:styleId="1599">
    <w:name w:val="表头样式1"/>
    <w:basedOn w:val="1"/>
    <w:link w:val="1600"/>
    <w:qFormat/>
    <w:uiPriority w:val="0"/>
    <w:pPr>
      <w:spacing w:before="120" w:line="360" w:lineRule="auto"/>
      <w:jc w:val="center"/>
    </w:pPr>
    <w:rPr>
      <w:rFonts w:ascii="仿宋_GB2312" w:eastAsia="仿宋_GB2312"/>
      <w:bCs/>
      <w:sz w:val="24"/>
      <w:szCs w:val="20"/>
    </w:rPr>
  </w:style>
  <w:style w:type="character" w:customStyle="1" w:styleId="1600">
    <w:name w:val="表头样式1 Char"/>
    <w:link w:val="1599"/>
    <w:qFormat/>
    <w:uiPriority w:val="0"/>
    <w:rPr>
      <w:rFonts w:ascii="仿宋_GB2312" w:eastAsia="仿宋_GB2312"/>
      <w:bCs/>
      <w:kern w:val="2"/>
      <w:sz w:val="24"/>
    </w:rPr>
  </w:style>
  <w:style w:type="paragraph" w:customStyle="1" w:styleId="1601">
    <w:name w:val="Char2 Char Char Char Char Char Char Char Char Char Char Char Char Char Char Char Char Char Char"/>
    <w:basedOn w:val="1"/>
    <w:qFormat/>
    <w:uiPriority w:val="0"/>
    <w:pPr>
      <w:ind w:left="-48"/>
    </w:pPr>
  </w:style>
  <w:style w:type="paragraph" w:customStyle="1" w:styleId="1602">
    <w:name w:val="CM159"/>
    <w:basedOn w:val="404"/>
    <w:next w:val="404"/>
    <w:qFormat/>
    <w:uiPriority w:val="0"/>
    <w:pPr>
      <w:spacing w:after="415"/>
    </w:pPr>
    <w:rPr>
      <w:rFonts w:ascii="宋体" w:eastAsia="宋体" w:cs="Times New Roman"/>
      <w:color w:val="auto"/>
      <w:szCs w:val="20"/>
    </w:rPr>
  </w:style>
  <w:style w:type="paragraph" w:customStyle="1" w:styleId="1603">
    <w:name w:val="Знак Знак1"/>
    <w:basedOn w:val="1"/>
    <w:qFormat/>
    <w:uiPriority w:val="0"/>
    <w:pPr>
      <w:ind w:left="-48"/>
    </w:pPr>
  </w:style>
  <w:style w:type="paragraph" w:customStyle="1" w:styleId="1604">
    <w:name w:val="样式 标题 31.1.1标题03条标题1.1.1小标题白鹤滩标题 3 + 黑体 行距: 固定值 25 磅"/>
    <w:basedOn w:val="5"/>
    <w:qFormat/>
    <w:uiPriority w:val="0"/>
    <w:pPr>
      <w:keepLines w:val="0"/>
      <w:tabs>
        <w:tab w:val="left" w:pos="786"/>
      </w:tabs>
      <w:spacing w:before="160" w:after="160" w:line="500" w:lineRule="exact"/>
      <w:ind w:left="786" w:right="-153" w:hanging="360" w:hangingChars="200"/>
    </w:pPr>
    <w:rPr>
      <w:rFonts w:ascii="黑体" w:eastAsia="黑体" w:cs="宋体"/>
      <w:color w:val="000000"/>
      <w:sz w:val="28"/>
      <w:szCs w:val="20"/>
      <w:lang w:val="zh-CN"/>
    </w:rPr>
  </w:style>
  <w:style w:type="paragraph" w:customStyle="1" w:styleId="1605">
    <w:name w:val="CM98"/>
    <w:basedOn w:val="404"/>
    <w:next w:val="404"/>
    <w:qFormat/>
    <w:uiPriority w:val="0"/>
    <w:pPr>
      <w:spacing w:line="428" w:lineRule="atLeast"/>
    </w:pPr>
    <w:rPr>
      <w:rFonts w:ascii="宋体" w:eastAsia="宋体" w:cs="Times New Roman"/>
      <w:color w:val="auto"/>
      <w:szCs w:val="20"/>
    </w:rPr>
  </w:style>
  <w:style w:type="paragraph" w:customStyle="1" w:styleId="1606">
    <w:name w:val="plaintext"/>
    <w:basedOn w:val="1"/>
    <w:qFormat/>
    <w:uiPriority w:val="0"/>
    <w:pPr>
      <w:widowControl/>
      <w:spacing w:before="100" w:beforeAutospacing="1" w:after="100" w:afterAutospacing="1"/>
      <w:jc w:val="left"/>
    </w:pPr>
    <w:rPr>
      <w:rFonts w:ascii="宋体" w:hAnsi="宋体"/>
      <w:color w:val="000000"/>
      <w:kern w:val="0"/>
      <w:sz w:val="24"/>
      <w:szCs w:val="20"/>
    </w:rPr>
  </w:style>
  <w:style w:type="paragraph" w:customStyle="1" w:styleId="1607">
    <w:name w:val="CM99"/>
    <w:basedOn w:val="404"/>
    <w:next w:val="404"/>
    <w:qFormat/>
    <w:uiPriority w:val="0"/>
    <w:pPr>
      <w:spacing w:line="438" w:lineRule="atLeast"/>
    </w:pPr>
    <w:rPr>
      <w:rFonts w:ascii="宋体" w:eastAsia="宋体" w:cs="Times New Roman"/>
      <w:color w:val="auto"/>
      <w:szCs w:val="20"/>
    </w:rPr>
  </w:style>
  <w:style w:type="paragraph" w:customStyle="1" w:styleId="1608">
    <w:name w:val="表字"/>
    <w:basedOn w:val="1"/>
    <w:qFormat/>
    <w:uiPriority w:val="0"/>
    <w:pPr>
      <w:keepNext/>
      <w:widowControl/>
      <w:spacing w:line="360" w:lineRule="exact"/>
      <w:jc w:val="left"/>
    </w:pPr>
    <w:rPr>
      <w:szCs w:val="20"/>
    </w:rPr>
  </w:style>
  <w:style w:type="paragraph" w:customStyle="1" w:styleId="1609">
    <w:name w:val="页眉1"/>
    <w:basedOn w:val="57"/>
    <w:qFormat/>
    <w:uiPriority w:val="0"/>
    <w:pPr>
      <w:pBdr>
        <w:bottom w:val="none" w:color="auto" w:sz="0" w:space="0"/>
      </w:pBdr>
      <w:tabs>
        <w:tab w:val="left" w:pos="1727"/>
        <w:tab w:val="left" w:pos="1884"/>
        <w:tab w:val="clear" w:pos="4153"/>
        <w:tab w:val="clear" w:pos="8306"/>
      </w:tabs>
      <w:spacing w:line="300" w:lineRule="auto"/>
      <w:ind w:firstLine="573"/>
      <w:outlineLvl w:val="0"/>
    </w:pPr>
    <w:rPr>
      <w:rFonts w:ascii="隶书" w:eastAsia="隶书"/>
      <w:w w:val="90"/>
      <w:sz w:val="21"/>
      <w:szCs w:val="20"/>
    </w:rPr>
  </w:style>
  <w:style w:type="paragraph" w:customStyle="1" w:styleId="1610">
    <w:name w:val="HZZH标题—3"/>
    <w:basedOn w:val="5"/>
    <w:next w:val="1570"/>
    <w:qFormat/>
    <w:uiPriority w:val="0"/>
    <w:pPr>
      <w:numPr>
        <w:ilvl w:val="2"/>
        <w:numId w:val="15"/>
      </w:numPr>
      <w:tabs>
        <w:tab w:val="left" w:pos="-1800"/>
        <w:tab w:val="left" w:pos="786"/>
        <w:tab w:val="left" w:pos="992"/>
      </w:tabs>
      <w:spacing w:before="180" w:line="240" w:lineRule="auto"/>
      <w:ind w:right="240" w:hanging="200" w:hangingChars="200"/>
      <w:jc w:val="left"/>
    </w:pPr>
    <w:rPr>
      <w:rFonts w:ascii="黑体" w:hAnsi="宋体" w:eastAsia="黑体" w:cs="宋体"/>
      <w:kern w:val="0"/>
      <w:sz w:val="28"/>
      <w:szCs w:val="28"/>
    </w:rPr>
  </w:style>
  <w:style w:type="paragraph" w:customStyle="1" w:styleId="1611">
    <w:name w:val="CM19"/>
    <w:basedOn w:val="404"/>
    <w:next w:val="404"/>
    <w:qFormat/>
    <w:uiPriority w:val="0"/>
    <w:pPr>
      <w:spacing w:line="466" w:lineRule="atLeast"/>
    </w:pPr>
    <w:rPr>
      <w:rFonts w:ascii="宋体" w:eastAsia="宋体" w:cs="Times New Roman"/>
      <w:color w:val="auto"/>
      <w:szCs w:val="20"/>
    </w:rPr>
  </w:style>
  <w:style w:type="paragraph" w:customStyle="1" w:styleId="1612">
    <w:name w:val="A标题1"/>
    <w:basedOn w:val="1"/>
    <w:qFormat/>
    <w:uiPriority w:val="0"/>
    <w:pPr>
      <w:keepNext/>
      <w:keepLines/>
      <w:numPr>
        <w:ilvl w:val="0"/>
        <w:numId w:val="16"/>
      </w:numPr>
      <w:spacing w:before="100" w:beforeAutospacing="1" w:after="100" w:afterAutospacing="1" w:line="360" w:lineRule="auto"/>
      <w:jc w:val="center"/>
      <w:outlineLvl w:val="0"/>
    </w:pPr>
    <w:rPr>
      <w:rFonts w:ascii="黑体" w:eastAsia="方正小标宋简体"/>
      <w:b/>
      <w:sz w:val="28"/>
      <w:szCs w:val="28"/>
    </w:rPr>
  </w:style>
  <w:style w:type="paragraph" w:customStyle="1" w:styleId="1613">
    <w:name w:val="点标题"/>
    <w:basedOn w:val="1"/>
    <w:qFormat/>
    <w:uiPriority w:val="0"/>
    <w:pPr>
      <w:adjustRightInd w:val="0"/>
      <w:spacing w:line="312" w:lineRule="atLeast"/>
      <w:textAlignment w:val="baseline"/>
    </w:pPr>
    <w:rPr>
      <w:kern w:val="0"/>
      <w:sz w:val="24"/>
      <w:szCs w:val="20"/>
    </w:rPr>
  </w:style>
  <w:style w:type="paragraph" w:customStyle="1" w:styleId="1614">
    <w:name w:val="表左"/>
    <w:basedOn w:val="1"/>
    <w:qFormat/>
    <w:uiPriority w:val="0"/>
    <w:pPr>
      <w:keepNext/>
      <w:adjustRightInd w:val="0"/>
      <w:snapToGrid w:val="0"/>
      <w:spacing w:line="320" w:lineRule="atLeast"/>
      <w:ind w:right="63" w:rightChars="30"/>
      <w:jc w:val="center"/>
    </w:pPr>
    <w:rPr>
      <w:rFonts w:ascii="宋体" w:hAnsi="宋体"/>
      <w:sz w:val="24"/>
      <w:szCs w:val="20"/>
    </w:rPr>
  </w:style>
  <w:style w:type="paragraph" w:customStyle="1" w:styleId="1615">
    <w:name w:val="公表注"/>
    <w:basedOn w:val="1"/>
    <w:qFormat/>
    <w:uiPriority w:val="0"/>
    <w:pPr>
      <w:adjustRightInd w:val="0"/>
      <w:snapToGrid w:val="0"/>
      <w:ind w:firstLine="200" w:firstLineChars="200"/>
    </w:pPr>
    <w:rPr>
      <w:rFonts w:ascii="宋体" w:hAnsi="宋体" w:eastAsia="楷体_GB2312"/>
    </w:rPr>
  </w:style>
  <w:style w:type="paragraph" w:customStyle="1" w:styleId="1616">
    <w:name w:val="CM88"/>
    <w:basedOn w:val="404"/>
    <w:next w:val="404"/>
    <w:qFormat/>
    <w:uiPriority w:val="0"/>
    <w:pPr>
      <w:spacing w:line="446" w:lineRule="atLeast"/>
    </w:pPr>
    <w:rPr>
      <w:rFonts w:ascii="宋体" w:eastAsia="宋体" w:cs="Times New Roman"/>
      <w:color w:val="auto"/>
      <w:szCs w:val="20"/>
    </w:rPr>
  </w:style>
  <w:style w:type="paragraph" w:customStyle="1" w:styleId="1617">
    <w:name w:val="黑体+ 四号"/>
    <w:basedOn w:val="1"/>
    <w:qFormat/>
    <w:uiPriority w:val="0"/>
    <w:rPr>
      <w:bCs/>
      <w:sz w:val="28"/>
    </w:rPr>
  </w:style>
  <w:style w:type="paragraph" w:customStyle="1" w:styleId="1618">
    <w:name w:val="!表标题(alt+h)"/>
    <w:next w:val="1"/>
    <w:qFormat/>
    <w:uiPriority w:val="0"/>
    <w:pPr>
      <w:spacing w:before="120" w:after="80" w:line="360" w:lineRule="exact"/>
      <w:jc w:val="center"/>
      <w:outlineLvl w:val="4"/>
    </w:pPr>
    <w:rPr>
      <w:rFonts w:ascii="Times New Roman" w:hAnsi="Times New Roman" w:eastAsia="黑体" w:cs="Times New Roman"/>
      <w:sz w:val="24"/>
      <w:lang w:val="en-US" w:eastAsia="zh-CN" w:bidi="ar-SA"/>
    </w:rPr>
  </w:style>
  <w:style w:type="paragraph" w:customStyle="1" w:styleId="1619">
    <w:name w:val="备注"/>
    <w:basedOn w:val="1"/>
    <w:qFormat/>
    <w:uiPriority w:val="0"/>
    <w:pPr>
      <w:keepNext/>
      <w:snapToGrid w:val="0"/>
      <w:spacing w:line="240" w:lineRule="atLeast"/>
      <w:ind w:firstLine="480" w:firstLineChars="200"/>
    </w:pPr>
    <w:rPr>
      <w:rFonts w:ascii="宋体"/>
      <w:sz w:val="24"/>
    </w:rPr>
  </w:style>
  <w:style w:type="paragraph" w:customStyle="1" w:styleId="1620">
    <w:name w:val="CM40"/>
    <w:basedOn w:val="404"/>
    <w:next w:val="404"/>
    <w:qFormat/>
    <w:uiPriority w:val="0"/>
    <w:pPr>
      <w:spacing w:line="468" w:lineRule="atLeast"/>
    </w:pPr>
    <w:rPr>
      <w:rFonts w:ascii="宋体" w:eastAsia="宋体" w:cs="Times New Roman"/>
      <w:color w:val="auto"/>
      <w:szCs w:val="20"/>
    </w:rPr>
  </w:style>
  <w:style w:type="paragraph" w:customStyle="1" w:styleId="1621">
    <w:name w:val="Знак Знак11"/>
    <w:basedOn w:val="1"/>
    <w:qFormat/>
    <w:uiPriority w:val="0"/>
    <w:pPr>
      <w:ind w:left="-48"/>
    </w:pPr>
  </w:style>
  <w:style w:type="paragraph" w:customStyle="1" w:styleId="1622">
    <w:name w:val="样式 首行缩进:  2 字符 行距: 固定值 26 磅"/>
    <w:basedOn w:val="1"/>
    <w:next w:val="21"/>
    <w:qFormat/>
    <w:uiPriority w:val="0"/>
    <w:pPr>
      <w:spacing w:line="360" w:lineRule="auto"/>
      <w:ind w:firstLine="560" w:firstLineChars="200"/>
    </w:pPr>
    <w:rPr>
      <w:rFonts w:hAnsi="宋体"/>
      <w:sz w:val="28"/>
      <w:szCs w:val="28"/>
      <w:lang w:val="zh-CN"/>
    </w:rPr>
  </w:style>
  <w:style w:type="paragraph" w:customStyle="1" w:styleId="1623">
    <w:name w:val="设计证书编号"/>
    <w:basedOn w:val="1"/>
    <w:qFormat/>
    <w:uiPriority w:val="0"/>
    <w:pPr>
      <w:keepNext/>
      <w:snapToGrid w:val="0"/>
      <w:spacing w:line="300" w:lineRule="auto"/>
      <w:jc w:val="center"/>
    </w:pPr>
    <w:rPr>
      <w:rFonts w:ascii="宋体"/>
      <w:sz w:val="32"/>
      <w:szCs w:val="20"/>
    </w:rPr>
  </w:style>
  <w:style w:type="paragraph" w:customStyle="1" w:styleId="1624">
    <w:name w:val="报告标2"/>
    <w:basedOn w:val="1"/>
    <w:next w:val="370"/>
    <w:qFormat/>
    <w:uiPriority w:val="0"/>
    <w:pPr>
      <w:adjustRightInd w:val="0"/>
      <w:snapToGrid w:val="0"/>
      <w:spacing w:line="300" w:lineRule="auto"/>
    </w:pPr>
    <w:rPr>
      <w:rFonts w:ascii="黑体" w:eastAsia="黑体"/>
      <w:sz w:val="28"/>
      <w:szCs w:val="20"/>
    </w:rPr>
  </w:style>
  <w:style w:type="paragraph" w:customStyle="1" w:styleId="1625">
    <w:name w:val="8点"/>
    <w:basedOn w:val="1"/>
    <w:qFormat/>
    <w:uiPriority w:val="0"/>
    <w:pPr>
      <w:tabs>
        <w:tab w:val="left" w:pos="988"/>
      </w:tabs>
      <w:adjustRightInd w:val="0"/>
      <w:snapToGrid w:val="0"/>
      <w:spacing w:line="300" w:lineRule="auto"/>
      <w:ind w:left="988" w:firstLine="560" w:firstLineChars="200"/>
      <w:jc w:val="center"/>
    </w:pPr>
    <w:rPr>
      <w:rFonts w:ascii="宋体"/>
      <w:sz w:val="24"/>
      <w:szCs w:val="20"/>
    </w:rPr>
  </w:style>
  <w:style w:type="paragraph" w:customStyle="1" w:styleId="1626">
    <w:name w:val="报告标1"/>
    <w:basedOn w:val="1"/>
    <w:next w:val="370"/>
    <w:qFormat/>
    <w:uiPriority w:val="0"/>
    <w:pPr>
      <w:adjustRightInd w:val="0"/>
      <w:snapToGrid w:val="0"/>
      <w:spacing w:line="300" w:lineRule="auto"/>
    </w:pPr>
    <w:rPr>
      <w:rFonts w:ascii="黑体" w:eastAsia="黑体"/>
      <w:sz w:val="28"/>
      <w:szCs w:val="20"/>
    </w:rPr>
  </w:style>
  <w:style w:type="paragraph" w:customStyle="1" w:styleId="1627">
    <w:name w:val="CM69"/>
    <w:basedOn w:val="404"/>
    <w:next w:val="404"/>
    <w:qFormat/>
    <w:uiPriority w:val="0"/>
    <w:pPr>
      <w:spacing w:line="468" w:lineRule="atLeast"/>
    </w:pPr>
    <w:rPr>
      <w:rFonts w:ascii="宋体" w:eastAsia="宋体" w:cs="Times New Roman"/>
      <w:color w:val="auto"/>
      <w:szCs w:val="20"/>
    </w:rPr>
  </w:style>
  <w:style w:type="paragraph" w:customStyle="1" w:styleId="1628">
    <w:name w:val="图片刘"/>
    <w:basedOn w:val="1"/>
    <w:qFormat/>
    <w:uiPriority w:val="0"/>
    <w:pPr>
      <w:adjustRightInd w:val="0"/>
      <w:snapToGrid w:val="0"/>
      <w:spacing w:line="360" w:lineRule="auto"/>
      <w:jc w:val="center"/>
    </w:pPr>
    <w:rPr>
      <w:bCs/>
      <w:sz w:val="24"/>
      <w:szCs w:val="20"/>
    </w:rPr>
  </w:style>
  <w:style w:type="paragraph" w:customStyle="1" w:styleId="1629">
    <w:name w:val="节名"/>
    <w:basedOn w:val="1"/>
    <w:qFormat/>
    <w:uiPriority w:val="0"/>
    <w:pPr>
      <w:adjustRightInd w:val="0"/>
      <w:snapToGrid w:val="0"/>
      <w:spacing w:line="300" w:lineRule="auto"/>
      <w:jc w:val="center"/>
    </w:pPr>
    <w:rPr>
      <w:rFonts w:ascii="黑体" w:eastAsia="黑体"/>
      <w:sz w:val="24"/>
    </w:rPr>
  </w:style>
  <w:style w:type="paragraph" w:customStyle="1" w:styleId="1630">
    <w:name w:val="正文-FS-L"/>
    <w:qFormat/>
    <w:uiPriority w:val="0"/>
    <w:pPr>
      <w:spacing w:line="360" w:lineRule="auto"/>
      <w:ind w:firstLine="567"/>
      <w:jc w:val="both"/>
    </w:pPr>
    <w:rPr>
      <w:rFonts w:ascii="Times New Roman" w:hAnsi="Times New Roman" w:eastAsia="仿宋_GB2312" w:cs="Times New Roman"/>
      <w:sz w:val="28"/>
      <w:lang w:val="en-US" w:eastAsia="zh-CN" w:bidi="ar-SA"/>
    </w:rPr>
  </w:style>
  <w:style w:type="paragraph" w:customStyle="1" w:styleId="1631">
    <w:name w:val="节内编号1"/>
    <w:basedOn w:val="1"/>
    <w:qFormat/>
    <w:uiPriority w:val="0"/>
    <w:pPr>
      <w:adjustRightInd w:val="0"/>
      <w:snapToGrid w:val="0"/>
      <w:spacing w:line="336" w:lineRule="auto"/>
      <w:ind w:right="210" w:rightChars="100" w:firstLine="528" w:firstLineChars="200"/>
      <w:jc w:val="left"/>
    </w:pPr>
    <w:rPr>
      <w:rFonts w:ascii="宋体" w:hAnsi="宋体"/>
      <w:color w:val="000000"/>
      <w:spacing w:val="-8"/>
      <w:sz w:val="28"/>
      <w:szCs w:val="20"/>
    </w:rPr>
  </w:style>
  <w:style w:type="paragraph" w:customStyle="1" w:styleId="1632">
    <w:name w:val="Char Char Char1 Char2"/>
    <w:basedOn w:val="1"/>
    <w:qFormat/>
    <w:uiPriority w:val="0"/>
    <w:pPr>
      <w:widowControl/>
      <w:jc w:val="left"/>
    </w:pPr>
    <w:rPr>
      <w:rFonts w:ascii="宋体" w:hAnsi="宋体"/>
      <w:kern w:val="0"/>
      <w:sz w:val="24"/>
    </w:rPr>
  </w:style>
  <w:style w:type="paragraph" w:customStyle="1" w:styleId="1633">
    <w:name w:val="样式 首行缩进:  2 字符 段前: 0.5 行1"/>
    <w:basedOn w:val="1"/>
    <w:qFormat/>
    <w:uiPriority w:val="0"/>
    <w:pPr>
      <w:keepNext/>
      <w:snapToGrid w:val="0"/>
      <w:spacing w:line="300" w:lineRule="auto"/>
      <w:ind w:firstLine="200" w:firstLineChars="200"/>
    </w:pPr>
    <w:rPr>
      <w:rFonts w:ascii="宋体"/>
      <w:sz w:val="28"/>
      <w:szCs w:val="20"/>
    </w:rPr>
  </w:style>
  <w:style w:type="paragraph" w:customStyle="1" w:styleId="1634">
    <w:name w:val="CM155"/>
    <w:basedOn w:val="404"/>
    <w:next w:val="404"/>
    <w:qFormat/>
    <w:uiPriority w:val="0"/>
    <w:pPr>
      <w:spacing w:after="75"/>
    </w:pPr>
    <w:rPr>
      <w:rFonts w:ascii="宋体" w:eastAsia="宋体" w:cs="Times New Roman"/>
      <w:color w:val="auto"/>
      <w:szCs w:val="20"/>
    </w:rPr>
  </w:style>
  <w:style w:type="paragraph" w:customStyle="1" w:styleId="1635">
    <w:name w:val="Char Char Char12"/>
    <w:basedOn w:val="1"/>
    <w:qFormat/>
    <w:uiPriority w:val="0"/>
    <w:pPr>
      <w:widowControl/>
      <w:jc w:val="left"/>
    </w:pPr>
    <w:rPr>
      <w:rFonts w:ascii="宋体" w:hAnsi="宋体"/>
      <w:kern w:val="0"/>
      <w:sz w:val="24"/>
    </w:rPr>
  </w:style>
  <w:style w:type="paragraph" w:customStyle="1" w:styleId="1636">
    <w:name w:val="表5号字"/>
    <w:qFormat/>
    <w:uiPriority w:val="0"/>
    <w:pPr>
      <w:keepNext/>
      <w:widowControl w:val="0"/>
      <w:adjustRightInd w:val="0"/>
      <w:spacing w:before="120" w:line="60" w:lineRule="atLeast"/>
      <w:jc w:val="center"/>
      <w:textAlignment w:val="baseline"/>
    </w:pPr>
    <w:rPr>
      <w:rFonts w:ascii="Times New Roman" w:hAnsi="Times New Roman" w:eastAsia="宋体" w:cs="Times New Roman"/>
      <w:sz w:val="21"/>
      <w:lang w:val="en-US" w:eastAsia="zh-CN" w:bidi="ar-SA"/>
    </w:rPr>
  </w:style>
  <w:style w:type="paragraph" w:customStyle="1" w:styleId="1637">
    <w:name w:val="CM31"/>
    <w:basedOn w:val="404"/>
    <w:next w:val="404"/>
    <w:qFormat/>
    <w:uiPriority w:val="0"/>
    <w:pPr>
      <w:spacing w:line="468" w:lineRule="atLeast"/>
    </w:pPr>
    <w:rPr>
      <w:rFonts w:ascii="宋体" w:eastAsia="宋体" w:cs="Times New Roman"/>
      <w:color w:val="auto"/>
      <w:szCs w:val="20"/>
    </w:rPr>
  </w:style>
  <w:style w:type="paragraph" w:customStyle="1" w:styleId="1638">
    <w:name w:val="普通2"/>
    <w:basedOn w:val="45"/>
    <w:qFormat/>
    <w:uiPriority w:val="0"/>
    <w:pPr>
      <w:jc w:val="center"/>
    </w:pPr>
    <w:rPr>
      <w:rFonts w:ascii="Times New Roman" w:hAnsi="Times New Roman"/>
      <w:snapToGrid w:val="0"/>
      <w:color w:val="000000"/>
      <w:kern w:val="0"/>
      <w:sz w:val="21"/>
      <w:szCs w:val="24"/>
    </w:rPr>
  </w:style>
  <w:style w:type="paragraph" w:customStyle="1" w:styleId="1639">
    <w:name w:val="HZZH标题—2"/>
    <w:basedOn w:val="4"/>
    <w:next w:val="1610"/>
    <w:qFormat/>
    <w:uiPriority w:val="0"/>
    <w:pPr>
      <w:numPr>
        <w:ilvl w:val="1"/>
        <w:numId w:val="15"/>
      </w:numPr>
      <w:tabs>
        <w:tab w:val="left" w:pos="0"/>
        <w:tab w:val="left" w:pos="786"/>
      </w:tabs>
      <w:spacing w:line="240" w:lineRule="auto"/>
      <w:ind w:hanging="200" w:hangingChars="200"/>
      <w:jc w:val="left"/>
    </w:pPr>
    <w:rPr>
      <w:rFonts w:ascii="黑体" w:hAnsi="黑体" w:eastAsia="黑体"/>
      <w:sz w:val="30"/>
    </w:rPr>
  </w:style>
  <w:style w:type="paragraph" w:customStyle="1" w:styleId="1640">
    <w:name w:val="假标题"/>
    <w:basedOn w:val="1"/>
    <w:qFormat/>
    <w:uiPriority w:val="0"/>
    <w:pPr>
      <w:keepNext/>
      <w:snapToGrid w:val="0"/>
      <w:spacing w:before="156" w:beforeLines="50" w:line="300" w:lineRule="auto"/>
      <w:outlineLvl w:val="2"/>
    </w:pPr>
    <w:rPr>
      <w:rFonts w:ascii="宋体"/>
      <w:b/>
      <w:sz w:val="28"/>
      <w:szCs w:val="20"/>
    </w:rPr>
  </w:style>
  <w:style w:type="paragraph" w:customStyle="1" w:styleId="1641">
    <w:name w:val="公图注"/>
    <w:basedOn w:val="520"/>
    <w:qFormat/>
    <w:uiPriority w:val="0"/>
    <w:pPr>
      <w:spacing w:before="62" w:beforeLines="20" w:after="62" w:afterLines="20" w:line="240" w:lineRule="auto"/>
      <w:ind w:firstLine="0" w:firstLineChars="0"/>
      <w:jc w:val="center"/>
    </w:pPr>
    <w:rPr>
      <w:rFonts w:eastAsia="楷体_GB2312" w:cstheme="minorBidi"/>
      <w:sz w:val="21"/>
    </w:rPr>
  </w:style>
  <w:style w:type="paragraph" w:customStyle="1" w:styleId="1642">
    <w:name w:val="CM94"/>
    <w:basedOn w:val="404"/>
    <w:next w:val="404"/>
    <w:qFormat/>
    <w:uiPriority w:val="0"/>
    <w:pPr>
      <w:spacing w:line="438" w:lineRule="atLeast"/>
    </w:pPr>
    <w:rPr>
      <w:rFonts w:ascii="宋体" w:eastAsia="宋体" w:cs="Times New Roman"/>
      <w:color w:val="auto"/>
      <w:szCs w:val="20"/>
    </w:rPr>
  </w:style>
  <w:style w:type="paragraph" w:customStyle="1" w:styleId="1643">
    <w:name w:val="图"/>
    <w:basedOn w:val="1"/>
    <w:qFormat/>
    <w:uiPriority w:val="0"/>
    <w:pPr>
      <w:autoSpaceDE w:val="0"/>
      <w:autoSpaceDN w:val="0"/>
      <w:adjustRightInd w:val="0"/>
      <w:snapToGrid w:val="0"/>
      <w:spacing w:line="360" w:lineRule="auto"/>
      <w:ind w:firstLine="200" w:firstLineChars="200"/>
    </w:pPr>
    <w:rPr>
      <w:kern w:val="0"/>
      <w:sz w:val="24"/>
      <w:szCs w:val="20"/>
    </w:rPr>
  </w:style>
  <w:style w:type="paragraph" w:customStyle="1" w:styleId="1644">
    <w:name w:val="表格内部"/>
    <w:basedOn w:val="1"/>
    <w:qFormat/>
    <w:uiPriority w:val="0"/>
    <w:pPr>
      <w:adjustRightInd w:val="0"/>
      <w:snapToGrid w:val="0"/>
      <w:spacing w:line="240" w:lineRule="atLeast"/>
      <w:jc w:val="center"/>
      <w:textAlignment w:val="baseline"/>
    </w:pPr>
    <w:rPr>
      <w:rFonts w:ascii="Arial" w:hAnsi="Arial" w:cs="Arial"/>
      <w:kern w:val="0"/>
      <w:szCs w:val="20"/>
    </w:rPr>
  </w:style>
  <w:style w:type="paragraph" w:customStyle="1" w:styleId="1645">
    <w:name w:val="续表"/>
    <w:basedOn w:val="9"/>
    <w:qFormat/>
    <w:uiPriority w:val="0"/>
    <w:pPr>
      <w:keepLines w:val="0"/>
      <w:tabs>
        <w:tab w:val="left" w:pos="786"/>
      </w:tabs>
      <w:adjustRightInd/>
      <w:snapToGrid w:val="0"/>
      <w:spacing w:before="0" w:after="0" w:line="300" w:lineRule="auto"/>
      <w:ind w:left="786"/>
      <w:jc w:val="center"/>
      <w:textAlignment w:val="auto"/>
    </w:pPr>
    <w:rPr>
      <w:rFonts w:ascii="黑体" w:eastAsia="黑体"/>
      <w:b w:val="0"/>
      <w:kern w:val="2"/>
    </w:rPr>
  </w:style>
  <w:style w:type="paragraph" w:customStyle="1" w:styleId="1646">
    <w:name w:val="9点"/>
    <w:basedOn w:val="1"/>
    <w:qFormat/>
    <w:uiPriority w:val="0"/>
    <w:pPr>
      <w:jc w:val="center"/>
    </w:pPr>
    <w:rPr>
      <w:rFonts w:ascii="宋体"/>
      <w:sz w:val="24"/>
      <w:szCs w:val="20"/>
    </w:rPr>
  </w:style>
  <w:style w:type="paragraph" w:customStyle="1" w:styleId="1647">
    <w:name w:val="专业名称"/>
    <w:basedOn w:val="1"/>
    <w:qFormat/>
    <w:uiPriority w:val="0"/>
    <w:pPr>
      <w:keepNext/>
      <w:snapToGrid w:val="0"/>
      <w:spacing w:before="156" w:beforeLines="50" w:line="300" w:lineRule="auto"/>
      <w:jc w:val="center"/>
    </w:pPr>
    <w:rPr>
      <w:rFonts w:ascii="黑体" w:eastAsia="黑体"/>
      <w:sz w:val="32"/>
      <w:szCs w:val="20"/>
    </w:rPr>
  </w:style>
  <w:style w:type="paragraph" w:customStyle="1" w:styleId="1648">
    <w:name w:val="样式 标题 2 + 首行缩进:  0.99 厘米"/>
    <w:basedOn w:val="4"/>
    <w:qFormat/>
    <w:uiPriority w:val="0"/>
    <w:pPr>
      <w:tabs>
        <w:tab w:val="left" w:pos="786"/>
      </w:tabs>
      <w:snapToGrid w:val="0"/>
      <w:spacing w:before="0" w:after="0" w:line="300" w:lineRule="auto"/>
      <w:ind w:left="786" w:hanging="360" w:hangingChars="200"/>
    </w:pPr>
    <w:rPr>
      <w:rFonts w:ascii="黑体" w:eastAsia="黑体" w:cs="宋体"/>
      <w:b w:val="0"/>
      <w:bCs w:val="0"/>
      <w:sz w:val="28"/>
      <w:szCs w:val="20"/>
    </w:rPr>
  </w:style>
  <w:style w:type="paragraph" w:customStyle="1" w:styleId="1649">
    <w:name w:val="样式 标题 7 + 两端对齐 左侧:  0 厘米 首行缩进:  0 厘米"/>
    <w:basedOn w:val="9"/>
    <w:qFormat/>
    <w:uiPriority w:val="0"/>
    <w:pPr>
      <w:keepLines w:val="0"/>
      <w:tabs>
        <w:tab w:val="left" w:pos="520"/>
        <w:tab w:val="left" w:pos="786"/>
        <w:tab w:val="left" w:pos="5106"/>
      </w:tabs>
      <w:snapToGrid w:val="0"/>
      <w:spacing w:before="0" w:after="0" w:line="360" w:lineRule="auto"/>
      <w:ind w:left="200" w:hanging="200" w:hangingChars="200"/>
      <w:textAlignment w:val="auto"/>
    </w:pPr>
    <w:rPr>
      <w:rFonts w:ascii="黑体" w:eastAsia="黑体" w:cs="宋体"/>
      <w:b w:val="0"/>
      <w:kern w:val="2"/>
    </w:rPr>
  </w:style>
  <w:style w:type="paragraph" w:customStyle="1" w:styleId="1650">
    <w:name w:val="目次"/>
    <w:basedOn w:val="1"/>
    <w:qFormat/>
    <w:uiPriority w:val="0"/>
    <w:pPr>
      <w:keepNext/>
      <w:snapToGrid w:val="0"/>
      <w:spacing w:before="156" w:beforeLines="50" w:line="300" w:lineRule="auto"/>
      <w:ind w:firstLine="1304"/>
      <w:jc w:val="center"/>
    </w:pPr>
    <w:rPr>
      <w:rFonts w:ascii="宋体" w:eastAsia="黑体"/>
      <w:spacing w:val="480"/>
      <w:sz w:val="32"/>
      <w:szCs w:val="20"/>
    </w:rPr>
  </w:style>
  <w:style w:type="paragraph" w:customStyle="1" w:styleId="1651">
    <w:name w:val="CM152"/>
    <w:basedOn w:val="404"/>
    <w:next w:val="404"/>
    <w:qFormat/>
    <w:uiPriority w:val="0"/>
    <w:pPr>
      <w:spacing w:after="285"/>
    </w:pPr>
    <w:rPr>
      <w:rFonts w:ascii="宋体" w:eastAsia="宋体" w:cs="Times New Roman"/>
      <w:color w:val="auto"/>
      <w:szCs w:val="20"/>
    </w:rPr>
  </w:style>
  <w:style w:type="paragraph" w:customStyle="1" w:styleId="1652">
    <w:name w:val="文4"/>
    <w:basedOn w:val="1"/>
    <w:qFormat/>
    <w:uiPriority w:val="0"/>
    <w:pPr>
      <w:widowControl/>
      <w:tabs>
        <w:tab w:val="left" w:pos="540"/>
        <w:tab w:val="left" w:pos="1080"/>
      </w:tabs>
      <w:adjustRightInd w:val="0"/>
      <w:spacing w:line="500" w:lineRule="atLeast"/>
      <w:ind w:left="540" w:hanging="540"/>
      <w:jc w:val="left"/>
      <w:textAlignment w:val="baseline"/>
    </w:pPr>
    <w:rPr>
      <w:rFonts w:ascii="宋体" w:hAnsi="宋体"/>
      <w:kern w:val="0"/>
      <w:sz w:val="28"/>
      <w:szCs w:val="20"/>
    </w:rPr>
  </w:style>
  <w:style w:type="paragraph" w:customStyle="1" w:styleId="1653">
    <w:name w:val="一级目录"/>
    <w:basedOn w:val="5"/>
    <w:qFormat/>
    <w:uiPriority w:val="0"/>
    <w:pPr>
      <w:tabs>
        <w:tab w:val="left" w:pos="786"/>
      </w:tabs>
      <w:ind w:left="786" w:hanging="360" w:hangingChars="200"/>
    </w:pPr>
    <w:rPr>
      <w:sz w:val="28"/>
      <w:szCs w:val="24"/>
    </w:rPr>
  </w:style>
  <w:style w:type="paragraph" w:customStyle="1" w:styleId="1654">
    <w:name w:val="CM164"/>
    <w:basedOn w:val="404"/>
    <w:next w:val="404"/>
    <w:qFormat/>
    <w:uiPriority w:val="0"/>
    <w:pPr>
      <w:spacing w:after="55"/>
    </w:pPr>
    <w:rPr>
      <w:rFonts w:ascii="宋体" w:eastAsia="宋体" w:cs="Times New Roman"/>
      <w:color w:val="auto"/>
      <w:szCs w:val="20"/>
    </w:rPr>
  </w:style>
  <w:style w:type="paragraph" w:customStyle="1" w:styleId="1655">
    <w:name w:val="正文-ST-4"/>
    <w:basedOn w:val="1"/>
    <w:qFormat/>
    <w:uiPriority w:val="0"/>
    <w:pPr>
      <w:widowControl/>
      <w:spacing w:line="360" w:lineRule="auto"/>
      <w:ind w:firstLine="567"/>
    </w:pPr>
    <w:rPr>
      <w:kern w:val="0"/>
      <w:sz w:val="28"/>
      <w:szCs w:val="20"/>
    </w:rPr>
  </w:style>
  <w:style w:type="paragraph" w:customStyle="1" w:styleId="1656">
    <w:name w:val="标题1q"/>
    <w:basedOn w:val="3"/>
    <w:qFormat/>
    <w:uiPriority w:val="0"/>
    <w:pPr>
      <w:keepNext/>
      <w:keepLines/>
      <w:tabs>
        <w:tab w:val="left" w:pos="786"/>
        <w:tab w:val="left" w:pos="2322"/>
      </w:tabs>
      <w:adjustRightInd/>
      <w:snapToGrid/>
      <w:spacing w:before="340" w:after="330" w:line="360" w:lineRule="auto"/>
      <w:ind w:left="431" w:firstLine="200" w:firstLineChars="200"/>
    </w:pPr>
    <w:rPr>
      <w:rFonts w:ascii="宋体" w:hAnsi="宋体" w:cs="宋体"/>
    </w:rPr>
  </w:style>
  <w:style w:type="paragraph" w:customStyle="1" w:styleId="1657">
    <w:name w:val="样式 目录 1 + 首行缩进:  2 字符"/>
    <w:basedOn w:val="59"/>
    <w:qFormat/>
    <w:uiPriority w:val="0"/>
    <w:pPr>
      <w:tabs>
        <w:tab w:val="right" w:leader="dot" w:pos="9060"/>
      </w:tabs>
      <w:spacing w:line="300" w:lineRule="auto"/>
    </w:pPr>
    <w:rPr>
      <w:rFonts w:ascii="宋体" w:hAnsi="宋体" w:cs="宋体"/>
      <w:b w:val="0"/>
      <w:bCs w:val="0"/>
      <w:caps w:val="0"/>
      <w:sz w:val="28"/>
      <w:szCs w:val="28"/>
    </w:rPr>
  </w:style>
  <w:style w:type="paragraph" w:customStyle="1" w:styleId="1658">
    <w:name w:val="CM157"/>
    <w:basedOn w:val="404"/>
    <w:next w:val="404"/>
    <w:qFormat/>
    <w:uiPriority w:val="0"/>
    <w:pPr>
      <w:spacing w:after="210"/>
    </w:pPr>
    <w:rPr>
      <w:rFonts w:ascii="宋体" w:eastAsia="宋体" w:cs="Times New Roman"/>
      <w:color w:val="auto"/>
      <w:szCs w:val="20"/>
    </w:rPr>
  </w:style>
  <w:style w:type="paragraph" w:customStyle="1" w:styleId="1659">
    <w:name w:val="表格文字1-小4居中"/>
    <w:basedOn w:val="1"/>
    <w:qFormat/>
    <w:uiPriority w:val="0"/>
    <w:pPr>
      <w:snapToGrid w:val="0"/>
      <w:spacing w:line="300" w:lineRule="auto"/>
      <w:jc w:val="center"/>
    </w:pPr>
    <w:rPr>
      <w:sz w:val="24"/>
    </w:rPr>
  </w:style>
  <w:style w:type="character" w:customStyle="1" w:styleId="1660">
    <w:name w:val="标题3 Char1"/>
    <w:qFormat/>
    <w:uiPriority w:val="0"/>
    <w:rPr>
      <w:rFonts w:ascii="Times New Roman" w:hAnsi="Times New Roman" w:eastAsia="黑体" w:cs="Times New Roman"/>
      <w:color w:val="000000"/>
      <w:kern w:val="0"/>
      <w:sz w:val="28"/>
      <w:szCs w:val="20"/>
    </w:rPr>
  </w:style>
  <w:style w:type="paragraph" w:customStyle="1" w:styleId="1661">
    <w:name w:val="样式 标题 1 + 段前: 0.5 行"/>
    <w:basedOn w:val="3"/>
    <w:qFormat/>
    <w:uiPriority w:val="0"/>
    <w:pPr>
      <w:keepNext/>
      <w:keepLines/>
      <w:tabs>
        <w:tab w:val="left" w:pos="360"/>
        <w:tab w:val="left" w:pos="786"/>
      </w:tabs>
      <w:adjustRightInd/>
      <w:spacing w:after="120" w:line="480" w:lineRule="auto"/>
      <w:ind w:left="2040" w:hanging="360" w:hangingChars="200"/>
      <w:jc w:val="both"/>
    </w:pPr>
    <w:rPr>
      <w:rFonts w:eastAsia="黑体"/>
      <w:b w:val="0"/>
      <w:bCs w:val="0"/>
      <w:sz w:val="28"/>
      <w:szCs w:val="20"/>
    </w:rPr>
  </w:style>
  <w:style w:type="paragraph" w:customStyle="1" w:styleId="1662">
    <w:name w:val="CM104"/>
    <w:basedOn w:val="404"/>
    <w:next w:val="404"/>
    <w:qFormat/>
    <w:uiPriority w:val="0"/>
    <w:pPr>
      <w:spacing w:line="438" w:lineRule="atLeast"/>
    </w:pPr>
    <w:rPr>
      <w:rFonts w:ascii="宋体" w:eastAsia="宋体" w:cs="Times New Roman"/>
      <w:color w:val="auto"/>
      <w:szCs w:val="20"/>
    </w:rPr>
  </w:style>
  <w:style w:type="paragraph" w:customStyle="1" w:styleId="1663">
    <w:name w:val="正文 + 宋体"/>
    <w:basedOn w:val="1"/>
    <w:qFormat/>
    <w:uiPriority w:val="0"/>
    <w:pPr>
      <w:adjustRightInd w:val="0"/>
      <w:snapToGrid w:val="0"/>
      <w:spacing w:line="360" w:lineRule="auto"/>
      <w:ind w:firstLine="420"/>
    </w:pPr>
    <w:rPr>
      <w:sz w:val="28"/>
      <w:szCs w:val="28"/>
    </w:rPr>
  </w:style>
  <w:style w:type="paragraph" w:customStyle="1" w:styleId="1664">
    <w:name w:val="HZZH表格内容"/>
    <w:basedOn w:val="1"/>
    <w:qFormat/>
    <w:uiPriority w:val="0"/>
    <w:pPr>
      <w:widowControl/>
      <w:jc w:val="center"/>
    </w:pPr>
    <w:rPr>
      <w:rFonts w:ascii="宋体" w:hAnsi="宋体" w:cs="宋体"/>
      <w:kern w:val="0"/>
      <w:sz w:val="20"/>
      <w:szCs w:val="20"/>
    </w:rPr>
  </w:style>
  <w:style w:type="paragraph" w:customStyle="1" w:styleId="1665">
    <w:name w:val="列表1"/>
    <w:basedOn w:val="66"/>
    <w:qFormat/>
    <w:uiPriority w:val="0"/>
    <w:pPr>
      <w:tabs>
        <w:tab w:val="left" w:pos="1727"/>
        <w:tab w:val="left" w:pos="1884"/>
      </w:tabs>
      <w:spacing w:line="300" w:lineRule="auto"/>
      <w:ind w:left="0" w:firstLine="0" w:firstLineChars="0"/>
      <w:jc w:val="center"/>
      <w:outlineLvl w:val="0"/>
    </w:pPr>
    <w:rPr>
      <w:rFonts w:ascii="宋体" w:hAnsiTheme="minorHAnsi" w:eastAsiaTheme="minorEastAsia" w:cstheme="minorBidi"/>
      <w:sz w:val="32"/>
      <w:szCs w:val="22"/>
    </w:rPr>
  </w:style>
  <w:style w:type="paragraph" w:customStyle="1" w:styleId="1666">
    <w:name w:val="02"/>
    <w:basedOn w:val="1"/>
    <w:qFormat/>
    <w:uiPriority w:val="0"/>
    <w:pPr>
      <w:keepNext/>
      <w:keepLines/>
      <w:adjustRightInd w:val="0"/>
      <w:spacing w:before="100" w:line="360" w:lineRule="auto"/>
      <w:textAlignment w:val="baseline"/>
    </w:pPr>
    <w:rPr>
      <w:rFonts w:eastAsia="黑体"/>
      <w:color w:val="000000"/>
      <w:sz w:val="24"/>
      <w:szCs w:val="20"/>
    </w:rPr>
  </w:style>
  <w:style w:type="paragraph" w:customStyle="1" w:styleId="1667">
    <w:name w:val="13点"/>
    <w:basedOn w:val="1"/>
    <w:qFormat/>
    <w:uiPriority w:val="0"/>
    <w:pPr>
      <w:tabs>
        <w:tab w:val="left" w:pos="0"/>
      </w:tabs>
      <w:adjustRightInd w:val="0"/>
      <w:snapToGrid w:val="0"/>
      <w:spacing w:line="300" w:lineRule="auto"/>
    </w:pPr>
    <w:rPr>
      <w:rFonts w:ascii="宋体" w:hAnsi="宋体"/>
      <w:sz w:val="24"/>
    </w:rPr>
  </w:style>
  <w:style w:type="paragraph" w:customStyle="1" w:styleId="1668">
    <w:name w:val="CM79"/>
    <w:basedOn w:val="404"/>
    <w:next w:val="404"/>
    <w:qFormat/>
    <w:uiPriority w:val="0"/>
    <w:pPr>
      <w:spacing w:line="438" w:lineRule="atLeast"/>
    </w:pPr>
    <w:rPr>
      <w:rFonts w:ascii="宋体" w:eastAsia="宋体" w:cs="Times New Roman"/>
      <w:color w:val="auto"/>
      <w:szCs w:val="20"/>
    </w:rPr>
  </w:style>
  <w:style w:type="paragraph" w:customStyle="1" w:styleId="1669">
    <w:name w:val="正5中"/>
    <w:basedOn w:val="1"/>
    <w:qFormat/>
    <w:uiPriority w:val="0"/>
    <w:pPr>
      <w:spacing w:line="380" w:lineRule="atLeast"/>
      <w:jc w:val="center"/>
    </w:pPr>
    <w:rPr>
      <w:sz w:val="18"/>
      <w:szCs w:val="20"/>
    </w:rPr>
  </w:style>
  <w:style w:type="paragraph" w:customStyle="1" w:styleId="1670">
    <w:name w:val="HZZH标题—1"/>
    <w:basedOn w:val="3"/>
    <w:next w:val="1639"/>
    <w:qFormat/>
    <w:uiPriority w:val="0"/>
    <w:pPr>
      <w:keepNext/>
      <w:keepLines/>
      <w:numPr>
        <w:ilvl w:val="0"/>
        <w:numId w:val="15"/>
      </w:numPr>
      <w:tabs>
        <w:tab w:val="left" w:pos="786"/>
        <w:tab w:val="left" w:pos="992"/>
      </w:tabs>
      <w:adjustRightInd/>
      <w:snapToGrid/>
      <w:spacing w:before="480" w:after="480" w:line="240" w:lineRule="auto"/>
      <w:ind w:hanging="200" w:hangingChars="200"/>
    </w:pPr>
    <w:rPr>
      <w:rFonts w:eastAsia="黑体"/>
      <w:color w:val="000000"/>
      <w:kern w:val="2"/>
      <w:szCs w:val="24"/>
    </w:rPr>
  </w:style>
  <w:style w:type="paragraph" w:customStyle="1" w:styleId="1671">
    <w:name w:val="密级"/>
    <w:basedOn w:val="1"/>
    <w:qFormat/>
    <w:uiPriority w:val="0"/>
    <w:pPr>
      <w:keepNext/>
      <w:snapToGrid w:val="0"/>
      <w:spacing w:line="300" w:lineRule="auto"/>
      <w:jc w:val="left"/>
    </w:pPr>
    <w:rPr>
      <w:rFonts w:ascii="宋体"/>
      <w:sz w:val="28"/>
      <w:szCs w:val="20"/>
    </w:rPr>
  </w:style>
  <w:style w:type="paragraph" w:customStyle="1" w:styleId="1672">
    <w:name w:val="签署内容"/>
    <w:basedOn w:val="1"/>
    <w:qFormat/>
    <w:uiPriority w:val="0"/>
    <w:pPr>
      <w:keepNext/>
      <w:spacing w:line="300" w:lineRule="auto"/>
      <w:ind w:firstLine="800" w:firstLineChars="250"/>
    </w:pPr>
    <w:rPr>
      <w:sz w:val="32"/>
      <w:szCs w:val="20"/>
    </w:rPr>
  </w:style>
  <w:style w:type="paragraph" w:customStyle="1" w:styleId="1673">
    <w:name w:val="公图名"/>
    <w:basedOn w:val="1615"/>
    <w:qFormat/>
    <w:uiPriority w:val="0"/>
    <w:pPr>
      <w:ind w:firstLine="0" w:firstLineChars="0"/>
      <w:jc w:val="center"/>
    </w:pPr>
    <w:rPr>
      <w:rFonts w:ascii="黑体" w:eastAsia="黑体"/>
      <w:sz w:val="24"/>
    </w:rPr>
  </w:style>
  <w:style w:type="paragraph" w:customStyle="1" w:styleId="1674">
    <w:name w:val="图文框"/>
    <w:basedOn w:val="1"/>
    <w:qFormat/>
    <w:uiPriority w:val="0"/>
    <w:pPr>
      <w:snapToGrid w:val="0"/>
      <w:spacing w:line="300" w:lineRule="auto"/>
      <w:jc w:val="center"/>
    </w:pPr>
    <w:rPr>
      <w:rFonts w:ascii="宋体"/>
      <w:sz w:val="24"/>
      <w:szCs w:val="20"/>
    </w:rPr>
  </w:style>
  <w:style w:type="paragraph" w:customStyle="1" w:styleId="1675">
    <w:name w:val="宽5中"/>
    <w:basedOn w:val="1"/>
    <w:next w:val="1"/>
    <w:qFormat/>
    <w:uiPriority w:val="0"/>
    <w:pPr>
      <w:adjustRightInd w:val="0"/>
      <w:snapToGrid w:val="0"/>
      <w:jc w:val="center"/>
    </w:pPr>
    <w:rPr>
      <w:szCs w:val="28"/>
    </w:rPr>
  </w:style>
  <w:style w:type="paragraph" w:customStyle="1" w:styleId="1676">
    <w:name w:val="CM77"/>
    <w:basedOn w:val="404"/>
    <w:next w:val="404"/>
    <w:qFormat/>
    <w:uiPriority w:val="0"/>
    <w:pPr>
      <w:spacing w:line="436" w:lineRule="atLeast"/>
    </w:pPr>
    <w:rPr>
      <w:rFonts w:ascii="宋体" w:eastAsia="宋体" w:cs="Times New Roman"/>
      <w:color w:val="auto"/>
      <w:szCs w:val="20"/>
    </w:rPr>
  </w:style>
  <w:style w:type="paragraph" w:customStyle="1" w:styleId="1677">
    <w:name w:val="样式 正文 +"/>
    <w:basedOn w:val="1"/>
    <w:qFormat/>
    <w:uiPriority w:val="0"/>
    <w:pPr>
      <w:adjustRightInd w:val="0"/>
      <w:snapToGrid w:val="0"/>
      <w:spacing w:line="300" w:lineRule="auto"/>
      <w:ind w:firstLine="560" w:firstLineChars="200"/>
    </w:pPr>
    <w:rPr>
      <w:rFonts w:ascii="宋体" w:hAnsi="宋体" w:cs="宋体"/>
      <w:sz w:val="28"/>
      <w:szCs w:val="20"/>
    </w:rPr>
  </w:style>
  <w:style w:type="paragraph" w:customStyle="1" w:styleId="1678">
    <w:name w:val="签署栏"/>
    <w:basedOn w:val="1"/>
    <w:qFormat/>
    <w:uiPriority w:val="0"/>
    <w:pPr>
      <w:keepNext/>
      <w:spacing w:line="300" w:lineRule="auto"/>
      <w:jc w:val="center"/>
    </w:pPr>
    <w:rPr>
      <w:rFonts w:ascii="黑体" w:eastAsia="黑体"/>
      <w:spacing w:val="80"/>
      <w:sz w:val="32"/>
      <w:szCs w:val="20"/>
    </w:rPr>
  </w:style>
  <w:style w:type="paragraph" w:customStyle="1" w:styleId="1679">
    <w:name w:val="Char Char Char13"/>
    <w:basedOn w:val="1"/>
    <w:qFormat/>
    <w:uiPriority w:val="0"/>
    <w:pPr>
      <w:widowControl/>
      <w:jc w:val="left"/>
    </w:pPr>
    <w:rPr>
      <w:rFonts w:ascii="宋体" w:hAnsi="宋体"/>
      <w:kern w:val="0"/>
      <w:sz w:val="24"/>
    </w:rPr>
  </w:style>
  <w:style w:type="paragraph" w:customStyle="1" w:styleId="1680">
    <w:name w:val="CM97"/>
    <w:basedOn w:val="404"/>
    <w:next w:val="404"/>
    <w:qFormat/>
    <w:uiPriority w:val="0"/>
    <w:rPr>
      <w:rFonts w:ascii="宋体" w:eastAsia="宋体" w:cs="Times New Roman"/>
      <w:color w:val="auto"/>
      <w:szCs w:val="20"/>
    </w:rPr>
  </w:style>
  <w:style w:type="paragraph" w:customStyle="1" w:styleId="1681">
    <w:name w:val="Char Char Char1 Char5"/>
    <w:basedOn w:val="1"/>
    <w:qFormat/>
    <w:uiPriority w:val="0"/>
  </w:style>
  <w:style w:type="paragraph" w:customStyle="1" w:styleId="1682">
    <w:name w:val="小表右"/>
    <w:basedOn w:val="1"/>
    <w:qFormat/>
    <w:uiPriority w:val="0"/>
    <w:pPr>
      <w:keepNext/>
      <w:snapToGrid w:val="0"/>
      <w:spacing w:line="240" w:lineRule="atLeast"/>
      <w:ind w:right="84" w:rightChars="30"/>
      <w:jc w:val="right"/>
    </w:pPr>
    <w:rPr>
      <w:rFonts w:ascii="宋体" w:hAnsi="宋体"/>
      <w:szCs w:val="22"/>
    </w:rPr>
  </w:style>
  <w:style w:type="paragraph" w:customStyle="1" w:styleId="1683">
    <w:name w:val="项目号"/>
    <w:basedOn w:val="1"/>
    <w:qFormat/>
    <w:uiPriority w:val="0"/>
    <w:pPr>
      <w:keepNext/>
      <w:snapToGrid w:val="0"/>
      <w:spacing w:before="156" w:beforeLines="50" w:line="300" w:lineRule="auto"/>
      <w:jc w:val="center"/>
    </w:pPr>
    <w:rPr>
      <w:rFonts w:ascii="宋体"/>
      <w:sz w:val="32"/>
      <w:szCs w:val="20"/>
    </w:rPr>
  </w:style>
  <w:style w:type="paragraph" w:customStyle="1" w:styleId="1684">
    <w:name w:val="Char4 Char Char Char Char Char Char"/>
    <w:basedOn w:val="1"/>
    <w:qFormat/>
    <w:uiPriority w:val="0"/>
    <w:pPr>
      <w:spacing w:line="360" w:lineRule="auto"/>
      <w:ind w:firstLine="200" w:firstLineChars="200"/>
    </w:pPr>
    <w:rPr>
      <w:rFonts w:ascii="宋体" w:hAnsi="宋体" w:cs="宋体"/>
      <w:sz w:val="24"/>
    </w:rPr>
  </w:style>
  <w:style w:type="paragraph" w:customStyle="1" w:styleId="1685">
    <w:name w:val="Char Char Char Char Char Char1 Char Char Char Char Char Char Char Char Char1 Char Char Char Char Char Char Char Char Char Char1"/>
    <w:basedOn w:val="1"/>
    <w:qFormat/>
    <w:uiPriority w:val="0"/>
  </w:style>
  <w:style w:type="paragraph" w:customStyle="1" w:styleId="1686">
    <w:name w:val="表内文"/>
    <w:basedOn w:val="1"/>
    <w:qFormat/>
    <w:uiPriority w:val="0"/>
    <w:pPr>
      <w:spacing w:line="320" w:lineRule="atLeast"/>
      <w:jc w:val="center"/>
    </w:pPr>
    <w:rPr>
      <w:szCs w:val="20"/>
    </w:rPr>
  </w:style>
  <w:style w:type="paragraph" w:customStyle="1" w:styleId="1687">
    <w:name w:val="CM102"/>
    <w:basedOn w:val="404"/>
    <w:next w:val="404"/>
    <w:qFormat/>
    <w:uiPriority w:val="0"/>
    <w:pPr>
      <w:spacing w:line="446" w:lineRule="atLeast"/>
    </w:pPr>
    <w:rPr>
      <w:rFonts w:ascii="宋体" w:eastAsia="宋体" w:cs="Times New Roman"/>
      <w:color w:val="auto"/>
      <w:szCs w:val="20"/>
    </w:rPr>
  </w:style>
  <w:style w:type="paragraph" w:customStyle="1" w:styleId="1688">
    <w:name w:val="表头2"/>
    <w:qFormat/>
    <w:uiPriority w:val="0"/>
    <w:pPr>
      <w:tabs>
        <w:tab w:val="left" w:pos="284"/>
        <w:tab w:val="center" w:pos="4253"/>
        <w:tab w:val="center" w:pos="6237"/>
        <w:tab w:val="left" w:pos="7938"/>
      </w:tabs>
    </w:pPr>
    <w:rPr>
      <w:rFonts w:ascii="Times New Roman" w:hAnsi="Times New Roman" w:eastAsia="宋体" w:cs="Times New Roman"/>
      <w:lang w:val="en-US" w:eastAsia="zh-CN" w:bidi="ar-SA"/>
    </w:rPr>
  </w:style>
  <w:style w:type="paragraph" w:customStyle="1" w:styleId="1689">
    <w:name w:val="样式 首行缩进:  2 字符 段前: 0.5 行3"/>
    <w:basedOn w:val="1"/>
    <w:qFormat/>
    <w:uiPriority w:val="0"/>
    <w:pPr>
      <w:keepNext/>
      <w:snapToGrid w:val="0"/>
      <w:spacing w:line="300" w:lineRule="auto"/>
      <w:ind w:firstLine="200" w:firstLineChars="200"/>
    </w:pPr>
    <w:rPr>
      <w:rFonts w:ascii="宋体"/>
      <w:sz w:val="28"/>
      <w:szCs w:val="20"/>
    </w:rPr>
  </w:style>
  <w:style w:type="paragraph" w:customStyle="1" w:styleId="1690">
    <w:name w:val="CM93"/>
    <w:basedOn w:val="404"/>
    <w:next w:val="404"/>
    <w:qFormat/>
    <w:uiPriority w:val="0"/>
    <w:pPr>
      <w:spacing w:line="438" w:lineRule="atLeast"/>
    </w:pPr>
    <w:rPr>
      <w:rFonts w:ascii="宋体" w:eastAsia="宋体" w:cs="Times New Roman"/>
      <w:color w:val="auto"/>
      <w:szCs w:val="20"/>
    </w:rPr>
  </w:style>
  <w:style w:type="paragraph" w:customStyle="1" w:styleId="1691">
    <w:name w:val="表1"/>
    <w:basedOn w:val="1"/>
    <w:qFormat/>
    <w:uiPriority w:val="0"/>
    <w:pPr>
      <w:adjustRightInd w:val="0"/>
      <w:snapToGrid w:val="0"/>
      <w:jc w:val="center"/>
    </w:pPr>
    <w:rPr>
      <w:rFonts w:ascii="宋体" w:hAnsi="Arial Narrow"/>
      <w:kern w:val="24"/>
      <w:szCs w:val="20"/>
    </w:rPr>
  </w:style>
  <w:style w:type="paragraph" w:customStyle="1" w:styleId="1692">
    <w:name w:val="Char Char Char Char Char Char1 Char Char Char Char Char Char Char Char Char1 Char Char Char Char Char Char Char Char Char Char Char Char Char2"/>
    <w:basedOn w:val="1"/>
    <w:qFormat/>
    <w:uiPriority w:val="0"/>
    <w:pPr>
      <w:widowControl/>
      <w:jc w:val="left"/>
    </w:pPr>
    <w:rPr>
      <w:rFonts w:ascii="宋体" w:hAnsi="宋体"/>
      <w:kern w:val="0"/>
      <w:sz w:val="24"/>
    </w:rPr>
  </w:style>
  <w:style w:type="paragraph" w:customStyle="1" w:styleId="1693">
    <w:name w:val="图章"/>
    <w:basedOn w:val="1"/>
    <w:qFormat/>
    <w:uiPriority w:val="0"/>
    <w:pPr>
      <w:tabs>
        <w:tab w:val="left" w:pos="1727"/>
        <w:tab w:val="left" w:pos="1884"/>
      </w:tabs>
      <w:adjustRightInd w:val="0"/>
      <w:snapToGrid w:val="0"/>
      <w:jc w:val="left"/>
      <w:outlineLvl w:val="0"/>
    </w:pPr>
    <w:rPr>
      <w:rFonts w:ascii="宋体"/>
      <w:snapToGrid w:val="0"/>
      <w:kern w:val="0"/>
      <w:sz w:val="18"/>
      <w:szCs w:val="20"/>
    </w:rPr>
  </w:style>
  <w:style w:type="paragraph" w:customStyle="1" w:styleId="1694">
    <w:name w:val="CM153"/>
    <w:basedOn w:val="404"/>
    <w:next w:val="404"/>
    <w:qFormat/>
    <w:uiPriority w:val="0"/>
    <w:pPr>
      <w:spacing w:after="143"/>
    </w:pPr>
    <w:rPr>
      <w:rFonts w:ascii="宋体" w:eastAsia="宋体" w:cs="Times New Roman"/>
      <w:color w:val="auto"/>
      <w:szCs w:val="20"/>
    </w:rPr>
  </w:style>
  <w:style w:type="paragraph" w:customStyle="1" w:styleId="1695">
    <w:name w:val="默认段落字体 Para Char Char Char Char Char Char Char"/>
    <w:basedOn w:val="1"/>
    <w:qFormat/>
    <w:uiPriority w:val="0"/>
    <w:pPr>
      <w:adjustRightInd w:val="0"/>
      <w:spacing w:line="360" w:lineRule="auto"/>
      <w:ind w:left="200" w:hanging="200" w:hangingChars="200"/>
      <w:jc w:val="center"/>
      <w:textAlignment w:val="baseline"/>
    </w:pPr>
    <w:rPr>
      <w:rFonts w:ascii="宋体" w:hAnsi="宋体"/>
      <w:b/>
      <w:kern w:val="0"/>
      <w:sz w:val="24"/>
    </w:rPr>
  </w:style>
  <w:style w:type="paragraph" w:customStyle="1" w:styleId="1696">
    <w:name w:val="方框"/>
    <w:basedOn w:val="1"/>
    <w:qFormat/>
    <w:uiPriority w:val="0"/>
    <w:pPr>
      <w:widowControl/>
      <w:spacing w:line="0" w:lineRule="atLeast"/>
    </w:pPr>
    <w:rPr>
      <w:rFonts w:ascii="宋体"/>
      <w:kern w:val="0"/>
      <w:sz w:val="24"/>
      <w:szCs w:val="20"/>
    </w:rPr>
  </w:style>
  <w:style w:type="paragraph" w:customStyle="1" w:styleId="1697">
    <w:name w:val="样式 首行缩进:  2 字符3"/>
    <w:basedOn w:val="1"/>
    <w:qFormat/>
    <w:uiPriority w:val="0"/>
    <w:pPr>
      <w:snapToGrid w:val="0"/>
      <w:spacing w:line="300" w:lineRule="auto"/>
      <w:ind w:firstLine="200" w:firstLineChars="200"/>
    </w:pPr>
    <w:rPr>
      <w:rFonts w:ascii="宋体" w:cs="宋体"/>
      <w:sz w:val="28"/>
      <w:szCs w:val="20"/>
    </w:rPr>
  </w:style>
  <w:style w:type="paragraph" w:customStyle="1" w:styleId="1698">
    <w:name w:val="CM163"/>
    <w:basedOn w:val="404"/>
    <w:next w:val="404"/>
    <w:qFormat/>
    <w:uiPriority w:val="0"/>
    <w:pPr>
      <w:spacing w:after="358"/>
    </w:pPr>
    <w:rPr>
      <w:rFonts w:ascii="宋体" w:eastAsia="宋体" w:cs="Times New Roman"/>
      <w:color w:val="auto"/>
      <w:szCs w:val="20"/>
    </w:rPr>
  </w:style>
  <w:style w:type="paragraph" w:customStyle="1" w:styleId="1699">
    <w:name w:val="head_3"/>
    <w:basedOn w:val="1"/>
    <w:qFormat/>
    <w:uiPriority w:val="0"/>
    <w:pPr>
      <w:keepNext/>
      <w:keepLines/>
      <w:tabs>
        <w:tab w:val="left" w:pos="114"/>
      </w:tabs>
      <w:adjustRightInd w:val="0"/>
      <w:spacing w:before="312" w:beforeLines="100" w:line="360" w:lineRule="auto"/>
      <w:ind w:left="20" w:leftChars="20" w:firstLine="57" w:firstLineChars="57"/>
      <w:jc w:val="left"/>
      <w:textAlignment w:val="baseline"/>
      <w:outlineLvl w:val="0"/>
    </w:pPr>
    <w:rPr>
      <w:b/>
      <w:kern w:val="44"/>
      <w:sz w:val="28"/>
      <w:szCs w:val="20"/>
    </w:rPr>
  </w:style>
  <w:style w:type="paragraph" w:customStyle="1" w:styleId="1700">
    <w:name w:val="假标题1"/>
    <w:basedOn w:val="1640"/>
    <w:qFormat/>
    <w:uiPriority w:val="0"/>
    <w:pPr>
      <w:keepNext w:val="0"/>
      <w:spacing w:before="0" w:beforeLines="0"/>
      <w:outlineLvl w:val="9"/>
    </w:pPr>
    <w:rPr>
      <w:rFonts w:hAnsi="宋体"/>
      <w:b w:val="0"/>
      <w:szCs w:val="24"/>
    </w:rPr>
  </w:style>
  <w:style w:type="paragraph" w:customStyle="1" w:styleId="1701">
    <w:name w:val="专业签署"/>
    <w:basedOn w:val="1"/>
    <w:qFormat/>
    <w:uiPriority w:val="0"/>
    <w:pPr>
      <w:keepNext/>
      <w:snapToGrid w:val="0"/>
      <w:spacing w:before="156" w:beforeLines="50" w:after="120" w:line="300" w:lineRule="auto"/>
      <w:jc w:val="center"/>
    </w:pPr>
    <w:rPr>
      <w:rFonts w:ascii="宋体"/>
      <w:sz w:val="32"/>
      <w:szCs w:val="20"/>
    </w:rPr>
  </w:style>
  <w:style w:type="paragraph" w:customStyle="1" w:styleId="1702">
    <w:name w:val="Char1 Char Char Char Char Char Char1"/>
    <w:basedOn w:val="1"/>
    <w:qFormat/>
    <w:uiPriority w:val="0"/>
  </w:style>
  <w:style w:type="paragraph" w:customStyle="1" w:styleId="1703">
    <w:name w:val="林宝辉 标题4"/>
    <w:basedOn w:val="1"/>
    <w:qFormat/>
    <w:uiPriority w:val="0"/>
    <w:pPr>
      <w:jc w:val="center"/>
    </w:pPr>
    <w:rPr>
      <w:rFonts w:eastAsia="新宋体"/>
      <w:b/>
      <w:kern w:val="0"/>
      <w:szCs w:val="21"/>
    </w:rPr>
  </w:style>
  <w:style w:type="paragraph" w:customStyle="1" w:styleId="1704">
    <w:name w:val="CM70"/>
    <w:basedOn w:val="404"/>
    <w:next w:val="404"/>
    <w:qFormat/>
    <w:uiPriority w:val="0"/>
    <w:pPr>
      <w:spacing w:line="468" w:lineRule="atLeast"/>
    </w:pPr>
    <w:rPr>
      <w:rFonts w:ascii="宋体" w:eastAsia="宋体" w:cs="Times New Roman"/>
      <w:color w:val="auto"/>
      <w:szCs w:val="20"/>
    </w:rPr>
  </w:style>
  <w:style w:type="paragraph" w:customStyle="1" w:styleId="1705">
    <w:name w:val="样式 样式 正文（首行缩进两字） Char Char + 段前: 0.27 行 段后: 0.27 行 + 首行缩进:  2 字符"/>
    <w:basedOn w:val="1"/>
    <w:qFormat/>
    <w:uiPriority w:val="0"/>
    <w:pPr>
      <w:autoSpaceDE w:val="0"/>
      <w:autoSpaceDN w:val="0"/>
      <w:adjustRightInd w:val="0"/>
      <w:snapToGrid w:val="0"/>
      <w:spacing w:line="440" w:lineRule="exact"/>
      <w:ind w:firstLine="200" w:firstLineChars="200"/>
      <w:jc w:val="left"/>
    </w:pPr>
    <w:rPr>
      <w:sz w:val="24"/>
      <w:szCs w:val="20"/>
    </w:rPr>
  </w:style>
  <w:style w:type="paragraph" w:customStyle="1" w:styleId="1706">
    <w:name w:val="Char Char Char1 Char Char Char Char Char Char Char Char Char Char"/>
    <w:basedOn w:val="1"/>
    <w:qFormat/>
    <w:uiPriority w:val="0"/>
  </w:style>
  <w:style w:type="paragraph" w:customStyle="1" w:styleId="1707">
    <w:name w:val="Char1 Char Char Char Char Char Char"/>
    <w:basedOn w:val="1"/>
    <w:qFormat/>
    <w:uiPriority w:val="0"/>
  </w:style>
  <w:style w:type="paragraph" w:customStyle="1" w:styleId="1708">
    <w:name w:val="注"/>
    <w:basedOn w:val="1"/>
    <w:qFormat/>
    <w:uiPriority w:val="0"/>
    <w:rPr>
      <w:rFonts w:ascii="宋体" w:hAnsi="宋体"/>
    </w:rPr>
  </w:style>
  <w:style w:type="paragraph" w:customStyle="1" w:styleId="1709">
    <w:name w:val="样式 宋体 小四 首行缩进:  0.8 厘米 段前: 7.8 磅 段后: 7.8 磅 行距: 固定值 25 磅"/>
    <w:basedOn w:val="1"/>
    <w:qFormat/>
    <w:uiPriority w:val="0"/>
    <w:pPr>
      <w:snapToGrid w:val="0"/>
      <w:spacing w:line="300" w:lineRule="auto"/>
      <w:ind w:firstLine="454"/>
    </w:pPr>
    <w:rPr>
      <w:rFonts w:ascii="宋体" w:hAnsi="宋体" w:cs="宋体"/>
      <w:sz w:val="28"/>
      <w:szCs w:val="28"/>
    </w:rPr>
  </w:style>
  <w:style w:type="paragraph" w:customStyle="1" w:styleId="1710">
    <w:name w:val="样式 正文 + 首行缩进:  3 字符"/>
    <w:basedOn w:val="1"/>
    <w:qFormat/>
    <w:uiPriority w:val="0"/>
    <w:pPr>
      <w:adjustRightInd w:val="0"/>
      <w:snapToGrid w:val="0"/>
      <w:spacing w:line="300" w:lineRule="auto"/>
      <w:ind w:firstLine="200" w:firstLineChars="200"/>
      <w:jc w:val="left"/>
    </w:pPr>
    <w:rPr>
      <w:rFonts w:ascii="宋体" w:hAnsi="宋体" w:cs="宋体"/>
      <w:sz w:val="28"/>
      <w:szCs w:val="20"/>
    </w:rPr>
  </w:style>
  <w:style w:type="paragraph" w:customStyle="1" w:styleId="1711">
    <w:name w:val="Char Char Char Char Char Char1 Char Char Char Char Char Char Char Char Char1 Char Char Char Char Char Char Char Char Char Char3"/>
    <w:basedOn w:val="1"/>
    <w:qFormat/>
    <w:uiPriority w:val="0"/>
  </w:style>
  <w:style w:type="paragraph" w:customStyle="1" w:styleId="1712">
    <w:name w:val="分标题"/>
    <w:basedOn w:val="1"/>
    <w:next w:val="1"/>
    <w:qFormat/>
    <w:uiPriority w:val="0"/>
    <w:pPr>
      <w:widowControl/>
      <w:adjustRightInd w:val="0"/>
      <w:spacing w:before="50" w:line="480" w:lineRule="atLeast"/>
      <w:ind w:firstLine="560" w:firstLineChars="200"/>
      <w:textAlignment w:val="baseline"/>
    </w:pPr>
    <w:rPr>
      <w:rFonts w:ascii="宋体" w:eastAsia="仿宋_GB2312"/>
      <w:color w:val="000000"/>
      <w:sz w:val="28"/>
      <w:szCs w:val="20"/>
    </w:rPr>
  </w:style>
  <w:style w:type="paragraph" w:customStyle="1" w:styleId="1713">
    <w:name w:val="az"/>
    <w:basedOn w:val="1"/>
    <w:qFormat/>
    <w:uiPriority w:val="0"/>
    <w:pPr>
      <w:ind w:left="420" w:leftChars="100" w:right="100" w:rightChars="100" w:firstLine="480" w:firstLineChars="200"/>
    </w:pPr>
    <w:rPr>
      <w:sz w:val="24"/>
    </w:rPr>
  </w:style>
  <w:style w:type="paragraph" w:customStyle="1" w:styleId="1714">
    <w:name w:val="CM238"/>
    <w:basedOn w:val="404"/>
    <w:next w:val="404"/>
    <w:qFormat/>
    <w:uiPriority w:val="0"/>
    <w:pPr>
      <w:spacing w:after="258"/>
    </w:pPr>
    <w:rPr>
      <w:rFonts w:ascii="宋体" w:eastAsia="宋体" w:cs="Times New Roman"/>
      <w:color w:val="auto"/>
    </w:rPr>
  </w:style>
  <w:style w:type="paragraph" w:customStyle="1" w:styleId="1715">
    <w:name w:val="CM84"/>
    <w:basedOn w:val="404"/>
    <w:next w:val="404"/>
    <w:qFormat/>
    <w:uiPriority w:val="0"/>
    <w:pPr>
      <w:spacing w:line="446" w:lineRule="atLeast"/>
    </w:pPr>
    <w:rPr>
      <w:rFonts w:ascii="宋体" w:eastAsia="宋体" w:cs="Times New Roman"/>
      <w:color w:val="auto"/>
      <w:szCs w:val="20"/>
    </w:rPr>
  </w:style>
  <w:style w:type="paragraph" w:customStyle="1" w:styleId="1716">
    <w:name w:val="居中四号"/>
    <w:qFormat/>
    <w:uiPriority w:val="0"/>
    <w:pPr>
      <w:spacing w:line="300" w:lineRule="auto"/>
      <w:jc w:val="center"/>
    </w:pPr>
    <w:rPr>
      <w:rFonts w:ascii="Times New Roman" w:hAnsi="Times New Roman" w:eastAsia="宋体" w:cs="Times New Roman"/>
      <w:sz w:val="28"/>
      <w:lang w:val="en-US" w:eastAsia="zh-CN" w:bidi="ar-SA"/>
    </w:rPr>
  </w:style>
  <w:style w:type="paragraph" w:customStyle="1" w:styleId="1717">
    <w:name w:val="CM1"/>
    <w:basedOn w:val="404"/>
    <w:next w:val="404"/>
    <w:qFormat/>
    <w:uiPriority w:val="0"/>
    <w:rPr>
      <w:rFonts w:ascii="宋体" w:eastAsia="宋体" w:cs="Times New Roman"/>
      <w:color w:val="auto"/>
      <w:szCs w:val="20"/>
    </w:rPr>
  </w:style>
  <w:style w:type="paragraph" w:customStyle="1" w:styleId="1718">
    <w:name w:val="注释"/>
    <w:basedOn w:val="1"/>
    <w:qFormat/>
    <w:uiPriority w:val="0"/>
    <w:pPr>
      <w:adjustRightInd w:val="0"/>
      <w:snapToGrid w:val="0"/>
      <w:spacing w:after="156" w:afterLines="50" w:line="288" w:lineRule="auto"/>
    </w:pPr>
  </w:style>
  <w:style w:type="paragraph" w:customStyle="1" w:styleId="1719">
    <w:name w:val="样式 标题 7 + 段前: 0.5 行"/>
    <w:basedOn w:val="9"/>
    <w:qFormat/>
    <w:uiPriority w:val="0"/>
    <w:pPr>
      <w:keepLines w:val="0"/>
      <w:tabs>
        <w:tab w:val="left" w:pos="360"/>
        <w:tab w:val="left" w:pos="786"/>
      </w:tabs>
      <w:adjustRightInd/>
      <w:snapToGrid w:val="0"/>
      <w:spacing w:before="0" w:after="0" w:line="300" w:lineRule="auto"/>
      <w:ind w:left="786"/>
      <w:jc w:val="center"/>
      <w:textAlignment w:val="auto"/>
    </w:pPr>
    <w:rPr>
      <w:rFonts w:ascii="黑体" w:eastAsia="黑体"/>
      <w:b w:val="0"/>
      <w:kern w:val="2"/>
    </w:rPr>
  </w:style>
  <w:style w:type="paragraph" w:customStyle="1" w:styleId="1720">
    <w:name w:val="CM92"/>
    <w:basedOn w:val="404"/>
    <w:next w:val="404"/>
    <w:qFormat/>
    <w:uiPriority w:val="0"/>
    <w:pPr>
      <w:spacing w:line="438" w:lineRule="atLeast"/>
    </w:pPr>
    <w:rPr>
      <w:rFonts w:ascii="宋体" w:eastAsia="宋体" w:cs="Times New Roman"/>
      <w:color w:val="auto"/>
      <w:szCs w:val="20"/>
    </w:rPr>
  </w:style>
  <w:style w:type="paragraph" w:customStyle="1" w:styleId="1721">
    <w:name w:val="样式 正文首行缩进 + 首行缩进:  2 字符1"/>
    <w:basedOn w:val="86"/>
    <w:qFormat/>
    <w:uiPriority w:val="0"/>
    <w:pPr>
      <w:spacing w:after="0" w:line="360" w:lineRule="auto"/>
      <w:ind w:firstLine="480" w:firstLineChars="200"/>
    </w:pPr>
    <w:rPr>
      <w:rFonts w:asciiTheme="minorHAnsi" w:hAnsiTheme="minorHAnsi" w:eastAsiaTheme="minorEastAsia" w:cstheme="minorBidi"/>
      <w:sz w:val="24"/>
    </w:rPr>
  </w:style>
  <w:style w:type="paragraph" w:customStyle="1" w:styleId="1722">
    <w:name w:val="Char18"/>
    <w:basedOn w:val="1"/>
    <w:qFormat/>
    <w:uiPriority w:val="0"/>
    <w:rPr>
      <w:szCs w:val="21"/>
    </w:rPr>
  </w:style>
  <w:style w:type="paragraph" w:customStyle="1" w:styleId="1723">
    <w:name w:val="Char21"/>
    <w:basedOn w:val="1"/>
    <w:qFormat/>
    <w:uiPriority w:val="0"/>
    <w:pPr>
      <w:widowControl/>
      <w:spacing w:after="160" w:line="240" w:lineRule="exact"/>
      <w:jc w:val="left"/>
    </w:pPr>
    <w:rPr>
      <w:rFonts w:ascii="Verdana" w:hAnsi="Verdana" w:eastAsia="仿宋_GB2312"/>
      <w:kern w:val="0"/>
      <w:sz w:val="24"/>
      <w:szCs w:val="30"/>
      <w:lang w:eastAsia="en-US"/>
    </w:rPr>
  </w:style>
  <w:style w:type="paragraph" w:customStyle="1" w:styleId="1724">
    <w:name w:val="CM134"/>
    <w:basedOn w:val="404"/>
    <w:next w:val="404"/>
    <w:qFormat/>
    <w:uiPriority w:val="0"/>
    <w:rPr>
      <w:rFonts w:ascii="宋体" w:eastAsia="宋体" w:cs="Times New Roman"/>
      <w:color w:val="auto"/>
    </w:rPr>
  </w:style>
  <w:style w:type="paragraph" w:customStyle="1" w:styleId="1725">
    <w:name w:val="CM64"/>
    <w:basedOn w:val="404"/>
    <w:next w:val="404"/>
    <w:qFormat/>
    <w:uiPriority w:val="0"/>
    <w:pPr>
      <w:spacing w:line="468" w:lineRule="atLeast"/>
    </w:pPr>
    <w:rPr>
      <w:rFonts w:ascii="宋体" w:eastAsia="宋体" w:cs="Times New Roman"/>
      <w:color w:val="auto"/>
      <w:szCs w:val="20"/>
    </w:rPr>
  </w:style>
  <w:style w:type="paragraph" w:customStyle="1" w:styleId="1726">
    <w:name w:val="样式 样式 首行缩进:  2 字符1 + 首行缩进:  2 字符"/>
    <w:basedOn w:val="955"/>
    <w:qFormat/>
    <w:uiPriority w:val="0"/>
    <w:pPr>
      <w:ind w:firstLine="0" w:firstLineChars="0"/>
    </w:pPr>
    <w:rPr>
      <w:rFonts w:hAnsiTheme="minorHAnsi" w:eastAsiaTheme="minorEastAsia"/>
      <w:szCs w:val="22"/>
    </w:rPr>
  </w:style>
  <w:style w:type="paragraph" w:customStyle="1" w:styleId="1727">
    <w:name w:val="Char1 Char Char Char5"/>
    <w:basedOn w:val="1"/>
    <w:qFormat/>
    <w:uiPriority w:val="0"/>
    <w:rPr>
      <w:rFonts w:ascii="宋体" w:hAnsi="宋体"/>
      <w:b/>
      <w:sz w:val="24"/>
    </w:rPr>
  </w:style>
  <w:style w:type="paragraph" w:customStyle="1" w:styleId="1728">
    <w:name w:val="12点"/>
    <w:basedOn w:val="1"/>
    <w:qFormat/>
    <w:uiPriority w:val="0"/>
    <w:pPr>
      <w:adjustRightInd w:val="0"/>
      <w:snapToGrid w:val="0"/>
      <w:spacing w:line="300" w:lineRule="auto"/>
      <w:ind w:firstLine="560" w:firstLineChars="200"/>
    </w:pPr>
    <w:rPr>
      <w:rFonts w:ascii="宋体" w:hAnsi="宋体"/>
      <w:sz w:val="28"/>
      <w:szCs w:val="28"/>
    </w:rPr>
  </w:style>
  <w:style w:type="paragraph" w:customStyle="1" w:styleId="1729">
    <w:name w:val="编制日期"/>
    <w:basedOn w:val="1"/>
    <w:qFormat/>
    <w:uiPriority w:val="0"/>
    <w:pPr>
      <w:keepNext/>
      <w:snapToGrid w:val="0"/>
      <w:spacing w:line="300" w:lineRule="auto"/>
      <w:jc w:val="center"/>
    </w:pPr>
    <w:rPr>
      <w:rFonts w:ascii="宋体"/>
      <w:sz w:val="32"/>
      <w:szCs w:val="20"/>
    </w:rPr>
  </w:style>
  <w:style w:type="paragraph" w:customStyle="1" w:styleId="1730">
    <w:name w:val="缩进正文"/>
    <w:basedOn w:val="35"/>
    <w:qFormat/>
    <w:uiPriority w:val="0"/>
    <w:pPr>
      <w:adjustRightInd w:val="0"/>
      <w:snapToGrid w:val="0"/>
      <w:spacing w:after="0" w:line="300" w:lineRule="auto"/>
      <w:ind w:left="0" w:leftChars="0" w:firstLine="200"/>
    </w:pPr>
    <w:rPr>
      <w:rFonts w:ascii="宋体"/>
      <w:snapToGrid/>
      <w:kern w:val="2"/>
      <w:szCs w:val="20"/>
    </w:rPr>
  </w:style>
  <w:style w:type="paragraph" w:customStyle="1" w:styleId="1731">
    <w:name w:val="封面标题"/>
    <w:basedOn w:val="1"/>
    <w:qFormat/>
    <w:uiPriority w:val="0"/>
    <w:pPr>
      <w:spacing w:line="300" w:lineRule="auto"/>
      <w:jc w:val="center"/>
    </w:pPr>
    <w:rPr>
      <w:rFonts w:ascii="文鼎大标宋简" w:eastAsia="文鼎大标宋简"/>
      <w:sz w:val="48"/>
      <w:szCs w:val="20"/>
    </w:rPr>
  </w:style>
  <w:style w:type="paragraph" w:customStyle="1" w:styleId="1732">
    <w:name w:val="表中"/>
    <w:basedOn w:val="1"/>
    <w:qFormat/>
    <w:uiPriority w:val="0"/>
    <w:pPr>
      <w:keepNext/>
      <w:snapToGrid w:val="0"/>
      <w:spacing w:line="200" w:lineRule="atLeast"/>
      <w:jc w:val="center"/>
    </w:pPr>
    <w:rPr>
      <w:rFonts w:ascii="宋体" w:hAnsi="宋体"/>
      <w:sz w:val="24"/>
      <w:szCs w:val="22"/>
    </w:rPr>
  </w:style>
  <w:style w:type="paragraph" w:customStyle="1" w:styleId="1733">
    <w:name w:val="居中三号"/>
    <w:basedOn w:val="1"/>
    <w:qFormat/>
    <w:uiPriority w:val="0"/>
    <w:pPr>
      <w:widowControl/>
      <w:spacing w:line="300" w:lineRule="auto"/>
      <w:jc w:val="center"/>
    </w:pPr>
    <w:rPr>
      <w:kern w:val="0"/>
      <w:sz w:val="28"/>
      <w:szCs w:val="20"/>
    </w:rPr>
  </w:style>
  <w:style w:type="paragraph" w:customStyle="1" w:styleId="1734">
    <w:name w:val="右对齐四"/>
    <w:basedOn w:val="45"/>
    <w:qFormat/>
    <w:uiPriority w:val="0"/>
    <w:pPr>
      <w:tabs>
        <w:tab w:val="right" w:leader="middleDot" w:pos="9072"/>
      </w:tabs>
      <w:spacing w:line="300" w:lineRule="auto"/>
      <w:jc w:val="right"/>
    </w:pPr>
    <w:rPr>
      <w:rFonts w:ascii="宋体"/>
    </w:rPr>
  </w:style>
  <w:style w:type="paragraph" w:customStyle="1" w:styleId="1735">
    <w:name w:val="BIG BOLD"/>
    <w:basedOn w:val="1"/>
    <w:qFormat/>
    <w:uiPriority w:val="0"/>
    <w:pPr>
      <w:tabs>
        <w:tab w:val="left" w:leader="underscore" w:pos="1134"/>
      </w:tabs>
    </w:pPr>
    <w:rPr>
      <w:szCs w:val="20"/>
    </w:rPr>
  </w:style>
  <w:style w:type="paragraph" w:customStyle="1" w:styleId="1736">
    <w:name w:val="Footnote Base"/>
    <w:basedOn w:val="34"/>
    <w:qFormat/>
    <w:uiPriority w:val="0"/>
    <w:pPr>
      <w:keepLines/>
      <w:adjustRightInd w:val="0"/>
      <w:spacing w:after="240" w:line="200" w:lineRule="atLeast"/>
      <w:textAlignment w:val="baseline"/>
    </w:pPr>
    <w:rPr>
      <w:kern w:val="0"/>
      <w:sz w:val="18"/>
      <w:szCs w:val="20"/>
    </w:rPr>
  </w:style>
  <w:style w:type="paragraph" w:customStyle="1" w:styleId="1737">
    <w:name w:val="建设（委托）单位"/>
    <w:basedOn w:val="1"/>
    <w:qFormat/>
    <w:uiPriority w:val="0"/>
    <w:pPr>
      <w:keepNext/>
      <w:snapToGrid w:val="0"/>
      <w:spacing w:line="300" w:lineRule="auto"/>
      <w:jc w:val="center"/>
    </w:pPr>
    <w:rPr>
      <w:rFonts w:ascii="宋体"/>
      <w:sz w:val="32"/>
      <w:szCs w:val="20"/>
    </w:rPr>
  </w:style>
  <w:style w:type="paragraph" w:customStyle="1" w:styleId="1738">
    <w:name w:val="样式 缩进正文 + 首行缩进:  0 字符"/>
    <w:basedOn w:val="1730"/>
    <w:qFormat/>
    <w:uiPriority w:val="0"/>
    <w:pPr>
      <w:ind w:firstLine="0"/>
    </w:pPr>
  </w:style>
  <w:style w:type="paragraph" w:customStyle="1" w:styleId="1739">
    <w:name w:val="样式 目录 2 + 加粗"/>
    <w:basedOn w:val="74"/>
    <w:qFormat/>
    <w:uiPriority w:val="0"/>
    <w:pPr>
      <w:tabs>
        <w:tab w:val="left" w:leader="dot" w:pos="9072"/>
      </w:tabs>
      <w:adjustRightInd w:val="0"/>
      <w:snapToGrid w:val="0"/>
      <w:spacing w:line="300" w:lineRule="auto"/>
      <w:ind w:firstLine="200" w:firstLineChars="200"/>
    </w:pPr>
    <w:rPr>
      <w:rFonts w:ascii="宋体"/>
      <w:b w:val="0"/>
      <w:bCs w:val="0"/>
      <w:color w:val="000000"/>
      <w:sz w:val="28"/>
    </w:rPr>
  </w:style>
  <w:style w:type="paragraph" w:customStyle="1" w:styleId="1740">
    <w:name w:val="报告名"/>
    <w:basedOn w:val="1"/>
    <w:qFormat/>
    <w:uiPriority w:val="0"/>
    <w:pPr>
      <w:keepNext/>
      <w:adjustRightInd w:val="0"/>
      <w:snapToGrid w:val="0"/>
      <w:spacing w:before="156" w:beforeLines="50"/>
      <w:jc w:val="center"/>
    </w:pPr>
    <w:rPr>
      <w:rFonts w:ascii="文鼎大标宋简" w:eastAsia="文鼎大标宋简"/>
      <w:sz w:val="56"/>
      <w:szCs w:val="20"/>
    </w:rPr>
  </w:style>
  <w:style w:type="paragraph" w:customStyle="1" w:styleId="1741">
    <w:name w:val="正文－ST4"/>
    <w:basedOn w:val="1"/>
    <w:qFormat/>
    <w:uiPriority w:val="0"/>
    <w:pPr>
      <w:snapToGrid w:val="0"/>
      <w:spacing w:line="336" w:lineRule="auto"/>
      <w:ind w:firstLine="2"/>
    </w:pPr>
    <w:rPr>
      <w:rFonts w:ascii="宋体"/>
      <w:color w:val="000000"/>
      <w:kern w:val="0"/>
      <w:sz w:val="28"/>
      <w:szCs w:val="20"/>
    </w:rPr>
  </w:style>
  <w:style w:type="paragraph" w:customStyle="1" w:styleId="1742">
    <w:name w:val="小表中"/>
    <w:basedOn w:val="1"/>
    <w:qFormat/>
    <w:uiPriority w:val="0"/>
    <w:pPr>
      <w:adjustRightInd w:val="0"/>
      <w:snapToGrid w:val="0"/>
      <w:jc w:val="center"/>
    </w:pPr>
    <w:rPr>
      <w:rFonts w:ascii="宋体" w:hAnsi="宋体"/>
    </w:rPr>
  </w:style>
  <w:style w:type="paragraph" w:customStyle="1" w:styleId="1743">
    <w:name w:val="3"/>
    <w:basedOn w:val="1"/>
    <w:next w:val="45"/>
    <w:qFormat/>
    <w:uiPriority w:val="0"/>
    <w:rPr>
      <w:rFonts w:ascii="宋体" w:hAnsi="Courier New"/>
      <w:szCs w:val="20"/>
    </w:rPr>
  </w:style>
  <w:style w:type="paragraph" w:customStyle="1" w:styleId="1744">
    <w:name w:val="样式 首行缩进:  2 字符 段前: 0.5 行"/>
    <w:basedOn w:val="1"/>
    <w:qFormat/>
    <w:uiPriority w:val="0"/>
    <w:pPr>
      <w:keepNext/>
      <w:snapToGrid w:val="0"/>
      <w:spacing w:line="300" w:lineRule="auto"/>
      <w:ind w:firstLine="200" w:firstLineChars="200"/>
    </w:pPr>
    <w:rPr>
      <w:rFonts w:ascii="宋体"/>
      <w:sz w:val="28"/>
      <w:szCs w:val="20"/>
    </w:rPr>
  </w:style>
  <w:style w:type="paragraph" w:customStyle="1" w:styleId="1745">
    <w:name w:val="编制单位"/>
    <w:basedOn w:val="1"/>
    <w:qFormat/>
    <w:uiPriority w:val="0"/>
    <w:pPr>
      <w:keepNext/>
      <w:snapToGrid w:val="0"/>
      <w:spacing w:before="156" w:beforeLines="50" w:line="300" w:lineRule="auto"/>
      <w:jc w:val="center"/>
    </w:pPr>
    <w:rPr>
      <w:rFonts w:ascii="黑体" w:eastAsia="黑体"/>
      <w:sz w:val="32"/>
      <w:szCs w:val="20"/>
    </w:rPr>
  </w:style>
  <w:style w:type="paragraph" w:customStyle="1" w:styleId="1746">
    <w:name w:val="编制人员"/>
    <w:basedOn w:val="1"/>
    <w:qFormat/>
    <w:uiPriority w:val="0"/>
    <w:pPr>
      <w:keepNext/>
      <w:snapToGrid w:val="0"/>
      <w:spacing w:line="300" w:lineRule="auto"/>
      <w:jc w:val="center"/>
    </w:pPr>
    <w:rPr>
      <w:rFonts w:ascii="黑体" w:eastAsia="黑体"/>
      <w:sz w:val="32"/>
      <w:szCs w:val="20"/>
    </w:rPr>
  </w:style>
  <w:style w:type="paragraph" w:customStyle="1" w:styleId="1747">
    <w:name w:val="表右"/>
    <w:basedOn w:val="1"/>
    <w:qFormat/>
    <w:uiPriority w:val="0"/>
    <w:pPr>
      <w:keepNext/>
      <w:spacing w:line="240" w:lineRule="atLeast"/>
      <w:ind w:right="84" w:rightChars="30"/>
      <w:jc w:val="right"/>
    </w:pPr>
    <w:rPr>
      <w:rFonts w:ascii="宋体" w:hAnsi="宋体"/>
      <w:sz w:val="24"/>
      <w:szCs w:val="20"/>
    </w:rPr>
  </w:style>
  <w:style w:type="paragraph" w:customStyle="1" w:styleId="1748">
    <w:name w:val="CM67"/>
    <w:basedOn w:val="404"/>
    <w:next w:val="404"/>
    <w:qFormat/>
    <w:uiPriority w:val="0"/>
    <w:rPr>
      <w:rFonts w:ascii="宋体" w:eastAsia="宋体" w:cs="Times New Roman"/>
      <w:color w:val="auto"/>
      <w:szCs w:val="20"/>
    </w:rPr>
  </w:style>
  <w:style w:type="paragraph" w:customStyle="1" w:styleId="1749">
    <w:name w:val="附件"/>
    <w:basedOn w:val="3"/>
    <w:qFormat/>
    <w:uiPriority w:val="0"/>
    <w:pPr>
      <w:keepNext/>
      <w:keepLines/>
      <w:tabs>
        <w:tab w:val="left" w:pos="786"/>
      </w:tabs>
      <w:adjustRightInd/>
      <w:spacing w:before="156" w:beforeLines="50" w:after="60" w:line="420" w:lineRule="auto"/>
      <w:ind w:left="2040" w:hanging="360" w:hangingChars="200"/>
      <w:jc w:val="both"/>
    </w:pPr>
    <w:rPr>
      <w:rFonts w:eastAsia="黑体"/>
      <w:b w:val="0"/>
      <w:bCs w:val="0"/>
      <w:sz w:val="30"/>
      <w:szCs w:val="20"/>
    </w:rPr>
  </w:style>
  <w:style w:type="paragraph" w:customStyle="1" w:styleId="1750">
    <w:name w:val="CM103"/>
    <w:basedOn w:val="404"/>
    <w:next w:val="404"/>
    <w:qFormat/>
    <w:uiPriority w:val="0"/>
    <w:rPr>
      <w:rFonts w:ascii="宋体" w:eastAsia="宋体" w:cs="Times New Roman"/>
      <w:color w:val="auto"/>
      <w:szCs w:val="20"/>
    </w:rPr>
  </w:style>
  <w:style w:type="paragraph" w:customStyle="1" w:styleId="1751">
    <w:name w:val="样式 样式 正文文字缩进 2 + 四号 行距: 1.5 倍行距 + (西文) 宋体 首行缩进:  2 字符"/>
    <w:basedOn w:val="1"/>
    <w:qFormat/>
    <w:uiPriority w:val="0"/>
    <w:pPr>
      <w:jc w:val="center"/>
    </w:pPr>
  </w:style>
  <w:style w:type="paragraph" w:customStyle="1" w:styleId="1752">
    <w:name w:val="河石管道 表名"/>
    <w:qFormat/>
    <w:uiPriority w:val="0"/>
    <w:pPr>
      <w:widowControl w:val="0"/>
      <w:adjustRightInd w:val="0"/>
      <w:snapToGrid w:val="0"/>
      <w:jc w:val="center"/>
    </w:pPr>
    <w:rPr>
      <w:rFonts w:ascii="黑体" w:hAnsi="Times New Roman" w:eastAsia="黑体" w:cs="Times New Roman"/>
      <w:snapToGrid w:val="0"/>
      <w:kern w:val="2"/>
      <w:sz w:val="24"/>
      <w:szCs w:val="24"/>
      <w:lang w:val="en-US" w:eastAsia="zh-CN" w:bidi="ar-SA"/>
    </w:rPr>
  </w:style>
  <w:style w:type="paragraph" w:customStyle="1" w:styleId="1753">
    <w:name w:val="小表右A"/>
    <w:basedOn w:val="1682"/>
    <w:qFormat/>
    <w:uiPriority w:val="0"/>
    <w:pPr>
      <w:ind w:right="28" w:rightChars="10"/>
    </w:pPr>
  </w:style>
  <w:style w:type="paragraph" w:customStyle="1" w:styleId="1754">
    <w:name w:val="Char Char Char Char Char Char1 Char Char Char Char Char Char Char Char Char1 Char Char Char Char Char Char Char Char Char Char2"/>
    <w:basedOn w:val="1"/>
    <w:qFormat/>
    <w:uiPriority w:val="0"/>
  </w:style>
  <w:style w:type="paragraph" w:customStyle="1" w:styleId="1755">
    <w:name w:val="MY报告正文"/>
    <w:qFormat/>
    <w:uiPriority w:val="0"/>
    <w:pPr>
      <w:widowControl w:val="0"/>
      <w:adjustRightInd w:val="0"/>
      <w:snapToGrid w:val="0"/>
      <w:spacing w:line="300" w:lineRule="auto"/>
      <w:ind w:firstLine="200" w:firstLineChars="200"/>
    </w:pPr>
    <w:rPr>
      <w:rFonts w:ascii="宋体" w:hAnsi="Times New Roman" w:eastAsia="宋体" w:cs="Times New Roman"/>
      <w:kern w:val="2"/>
      <w:sz w:val="28"/>
      <w:szCs w:val="28"/>
      <w:lang w:val="en-US" w:eastAsia="zh-CN" w:bidi="ar-SA"/>
    </w:rPr>
  </w:style>
  <w:style w:type="paragraph" w:customStyle="1" w:styleId="1756">
    <w:name w:val="样式 (中文) 宋体 加粗 行距: 1.5 倍行距"/>
    <w:basedOn w:val="1"/>
    <w:qFormat/>
    <w:uiPriority w:val="0"/>
    <w:pPr>
      <w:spacing w:line="360" w:lineRule="auto"/>
    </w:pPr>
    <w:rPr>
      <w:rFonts w:cs="宋体"/>
      <w:b/>
      <w:bCs/>
      <w:sz w:val="24"/>
      <w:szCs w:val="20"/>
    </w:rPr>
  </w:style>
  <w:style w:type="paragraph" w:customStyle="1" w:styleId="1757">
    <w:name w:val="样式 首行缩进:  2 字符 段前: 0.5 行2"/>
    <w:basedOn w:val="1"/>
    <w:qFormat/>
    <w:uiPriority w:val="0"/>
    <w:pPr>
      <w:keepNext/>
      <w:snapToGrid w:val="0"/>
      <w:spacing w:line="300" w:lineRule="auto"/>
      <w:ind w:firstLine="200" w:firstLineChars="200"/>
    </w:pPr>
    <w:rPr>
      <w:rFonts w:ascii="宋体"/>
      <w:sz w:val="28"/>
      <w:szCs w:val="20"/>
    </w:rPr>
  </w:style>
  <w:style w:type="paragraph" w:customStyle="1" w:styleId="1758">
    <w:name w:val="表中字"/>
    <w:basedOn w:val="1"/>
    <w:qFormat/>
    <w:uiPriority w:val="0"/>
    <w:pPr>
      <w:spacing w:line="240" w:lineRule="atLeast"/>
    </w:pPr>
    <w:rPr>
      <w:rFonts w:ascii="宋体" w:hAnsi="宋体"/>
      <w:sz w:val="28"/>
      <w:szCs w:val="20"/>
    </w:rPr>
  </w:style>
  <w:style w:type="paragraph" w:customStyle="1" w:styleId="1759">
    <w:name w:val="CM90"/>
    <w:basedOn w:val="404"/>
    <w:next w:val="404"/>
    <w:qFormat/>
    <w:uiPriority w:val="0"/>
    <w:pPr>
      <w:spacing w:line="438" w:lineRule="atLeast"/>
    </w:pPr>
    <w:rPr>
      <w:rFonts w:ascii="宋体" w:eastAsia="宋体" w:cs="Times New Roman"/>
      <w:color w:val="auto"/>
      <w:szCs w:val="20"/>
    </w:rPr>
  </w:style>
  <w:style w:type="paragraph" w:customStyle="1" w:styleId="1760">
    <w:name w:val="节内编号2"/>
    <w:qFormat/>
    <w:uiPriority w:val="0"/>
    <w:pPr>
      <w:adjustRightInd w:val="0"/>
      <w:snapToGrid w:val="0"/>
      <w:spacing w:line="300" w:lineRule="auto"/>
      <w:ind w:right="210" w:rightChars="100"/>
      <w:jc w:val="both"/>
    </w:pPr>
    <w:rPr>
      <w:rFonts w:ascii="宋体" w:hAnsi="宋体" w:eastAsia="宋体" w:cs="Times New Roman"/>
      <w:color w:val="000000"/>
      <w:sz w:val="28"/>
      <w:szCs w:val="28"/>
      <w:lang w:val="en-US" w:eastAsia="zh-CN" w:bidi="ar-SA"/>
    </w:rPr>
  </w:style>
  <w:style w:type="paragraph" w:customStyle="1" w:styleId="1761">
    <w:name w:val="样式 样式 正文 + + 首行缩进:  6 字符"/>
    <w:basedOn w:val="1677"/>
    <w:qFormat/>
    <w:uiPriority w:val="0"/>
  </w:style>
  <w:style w:type="paragraph" w:customStyle="1" w:styleId="1762">
    <w:name w:val="正文A"/>
    <w:basedOn w:val="1"/>
    <w:qFormat/>
    <w:uiPriority w:val="0"/>
    <w:pPr>
      <w:spacing w:before="78" w:beforeLines="25" w:line="360" w:lineRule="auto"/>
    </w:pPr>
    <w:rPr>
      <w:rFonts w:ascii="宋体"/>
      <w:snapToGrid w:val="0"/>
      <w:color w:val="008000"/>
      <w:sz w:val="24"/>
      <w:szCs w:val="20"/>
    </w:rPr>
  </w:style>
  <w:style w:type="paragraph" w:customStyle="1" w:styleId="1763">
    <w:name w:val="CM7"/>
    <w:basedOn w:val="404"/>
    <w:next w:val="404"/>
    <w:qFormat/>
    <w:uiPriority w:val="0"/>
    <w:pPr>
      <w:spacing w:line="468" w:lineRule="atLeast"/>
    </w:pPr>
    <w:rPr>
      <w:rFonts w:ascii="宋体" w:eastAsia="宋体" w:cs="Times New Roman"/>
      <w:color w:val="auto"/>
    </w:rPr>
  </w:style>
  <w:style w:type="paragraph" w:customStyle="1" w:styleId="1764">
    <w:name w:val="河石管道 表头"/>
    <w:qFormat/>
    <w:uiPriority w:val="0"/>
    <w:pPr>
      <w:jc w:val="center"/>
    </w:pPr>
    <w:rPr>
      <w:rFonts w:ascii="Times New Roman" w:hAnsi="Times New Roman" w:eastAsia="宋体" w:cs="Times New Roman"/>
      <w:bCs/>
      <w:sz w:val="24"/>
      <w:szCs w:val="24"/>
      <w:lang w:val="en-US" w:eastAsia="zh-CN" w:bidi="ar-SA"/>
    </w:rPr>
  </w:style>
  <w:style w:type="paragraph" w:customStyle="1" w:styleId="1765">
    <w:name w:val="样式 标题 3 + 非加粗"/>
    <w:basedOn w:val="5"/>
    <w:qFormat/>
    <w:uiPriority w:val="0"/>
    <w:pPr>
      <w:tabs>
        <w:tab w:val="left" w:pos="786"/>
      </w:tabs>
      <w:snapToGrid w:val="0"/>
      <w:spacing w:before="0" w:after="0" w:line="300" w:lineRule="auto"/>
      <w:ind w:left="786" w:hanging="360" w:hangingChars="200"/>
    </w:pPr>
    <w:rPr>
      <w:rFonts w:ascii="宋体"/>
      <w:b w:val="0"/>
      <w:bCs w:val="0"/>
      <w:sz w:val="28"/>
      <w:szCs w:val="28"/>
    </w:rPr>
  </w:style>
  <w:style w:type="paragraph" w:customStyle="1" w:styleId="1766">
    <w:name w:val="CM244"/>
    <w:basedOn w:val="404"/>
    <w:next w:val="404"/>
    <w:qFormat/>
    <w:uiPriority w:val="0"/>
    <w:pPr>
      <w:spacing w:after="347"/>
    </w:pPr>
    <w:rPr>
      <w:rFonts w:ascii="宋体" w:eastAsia="宋体" w:cs="Times New Roman"/>
      <w:color w:val="auto"/>
    </w:rPr>
  </w:style>
  <w:style w:type="paragraph" w:customStyle="1" w:styleId="1767">
    <w:name w:val="CM43"/>
    <w:basedOn w:val="404"/>
    <w:next w:val="404"/>
    <w:qFormat/>
    <w:uiPriority w:val="0"/>
    <w:pPr>
      <w:spacing w:line="468" w:lineRule="atLeast"/>
    </w:pPr>
    <w:rPr>
      <w:rFonts w:ascii="宋体" w:eastAsia="宋体" w:cs="Times New Roman"/>
      <w:color w:val="auto"/>
      <w:szCs w:val="20"/>
    </w:rPr>
  </w:style>
  <w:style w:type="paragraph" w:customStyle="1" w:styleId="1768">
    <w:name w:val="4级"/>
    <w:basedOn w:val="1"/>
    <w:qFormat/>
    <w:uiPriority w:val="0"/>
    <w:pPr>
      <w:widowControl/>
      <w:spacing w:line="360" w:lineRule="auto"/>
      <w:ind w:firstLine="200" w:firstLineChars="200"/>
      <w:jc w:val="left"/>
      <w:outlineLvl w:val="4"/>
    </w:pPr>
    <w:rPr>
      <w:rFonts w:eastAsia="仿宋_GB2312"/>
      <w:sz w:val="28"/>
      <w:szCs w:val="20"/>
    </w:rPr>
  </w:style>
  <w:style w:type="paragraph" w:customStyle="1" w:styleId="1769">
    <w:name w:val="MY表格后的文字"/>
    <w:next w:val="1"/>
    <w:qFormat/>
    <w:uiPriority w:val="0"/>
    <w:pPr>
      <w:adjustRightInd w:val="0"/>
      <w:snapToGrid w:val="0"/>
      <w:spacing w:before="156" w:beforeLines="50" w:line="300" w:lineRule="auto"/>
      <w:ind w:firstLine="200" w:firstLineChars="200"/>
    </w:pPr>
    <w:rPr>
      <w:rFonts w:ascii="宋体" w:hAnsi="Times New Roman" w:eastAsia="宋体" w:cs="Times New Roman"/>
      <w:kern w:val="2"/>
      <w:sz w:val="28"/>
      <w:szCs w:val="28"/>
      <w:lang w:val="en-US" w:eastAsia="zh-CN" w:bidi="ar-SA"/>
    </w:rPr>
  </w:style>
  <w:style w:type="paragraph" w:customStyle="1" w:styleId="1770">
    <w:name w:val="CM6"/>
    <w:basedOn w:val="404"/>
    <w:next w:val="404"/>
    <w:qFormat/>
    <w:uiPriority w:val="0"/>
    <w:pPr>
      <w:spacing w:line="468" w:lineRule="atLeast"/>
    </w:pPr>
    <w:rPr>
      <w:rFonts w:ascii="宋体" w:eastAsia="宋体" w:cs="Times New Roman"/>
      <w:color w:val="auto"/>
    </w:rPr>
  </w:style>
  <w:style w:type="paragraph" w:customStyle="1" w:styleId="1771">
    <w:name w:val="CM80"/>
    <w:basedOn w:val="404"/>
    <w:next w:val="404"/>
    <w:qFormat/>
    <w:uiPriority w:val="0"/>
    <w:pPr>
      <w:spacing w:line="433" w:lineRule="atLeast"/>
    </w:pPr>
    <w:rPr>
      <w:rFonts w:ascii="宋体" w:eastAsia="宋体" w:cs="Times New Roman"/>
      <w:color w:val="auto"/>
      <w:szCs w:val="20"/>
    </w:rPr>
  </w:style>
  <w:style w:type="paragraph" w:customStyle="1" w:styleId="1772">
    <w:name w:val="Char Char2"/>
    <w:basedOn w:val="1"/>
    <w:qFormat/>
    <w:uiPriority w:val="0"/>
    <w:pPr>
      <w:spacing w:line="360" w:lineRule="auto"/>
    </w:pPr>
    <w:rPr>
      <w:rFonts w:ascii="宋体" w:hAnsi="宋体" w:cs="宋体"/>
      <w:sz w:val="24"/>
    </w:rPr>
  </w:style>
  <w:style w:type="paragraph" w:customStyle="1" w:styleId="1773">
    <w:name w:val="Char Char Char Char Char Char1 Char Char Char Char Char Char Char Char Char1 Char Char Char Char Char Char Char Char Char Char Char Char Char3"/>
    <w:basedOn w:val="1"/>
    <w:qFormat/>
    <w:uiPriority w:val="0"/>
    <w:pPr>
      <w:widowControl/>
      <w:jc w:val="left"/>
    </w:pPr>
    <w:rPr>
      <w:rFonts w:ascii="宋体" w:hAnsi="宋体"/>
      <w:kern w:val="0"/>
      <w:sz w:val="24"/>
    </w:rPr>
  </w:style>
  <w:style w:type="paragraph" w:customStyle="1" w:styleId="1774">
    <w:name w:val="CM20"/>
    <w:basedOn w:val="404"/>
    <w:next w:val="404"/>
    <w:qFormat/>
    <w:uiPriority w:val="0"/>
    <w:pPr>
      <w:spacing w:line="468" w:lineRule="atLeast"/>
    </w:pPr>
    <w:rPr>
      <w:rFonts w:ascii="宋体" w:eastAsia="宋体" w:cs="Times New Roman"/>
      <w:color w:val="auto"/>
      <w:szCs w:val="20"/>
    </w:rPr>
  </w:style>
  <w:style w:type="paragraph" w:customStyle="1" w:styleId="1775">
    <w:name w:val="地方法规"/>
    <w:basedOn w:val="1"/>
    <w:qFormat/>
    <w:uiPriority w:val="0"/>
    <w:pPr>
      <w:widowControl/>
      <w:tabs>
        <w:tab w:val="left" w:pos="360"/>
        <w:tab w:val="left" w:pos="431"/>
      </w:tabs>
      <w:spacing w:before="156" w:beforeLines="50" w:after="156" w:afterLines="50"/>
      <w:jc w:val="left"/>
    </w:pPr>
    <w:rPr>
      <w:kern w:val="0"/>
      <w:sz w:val="24"/>
      <w:szCs w:val="20"/>
    </w:rPr>
  </w:style>
  <w:style w:type="paragraph" w:customStyle="1" w:styleId="1776">
    <w:name w:val="总院表格"/>
    <w:basedOn w:val="1"/>
    <w:next w:val="1"/>
    <w:qFormat/>
    <w:uiPriority w:val="0"/>
    <w:pPr>
      <w:snapToGrid w:val="0"/>
      <w:spacing w:before="46" w:beforeLines="15" w:after="31" w:afterLines="10"/>
      <w:jc w:val="center"/>
    </w:pPr>
    <w:rPr>
      <w:rFonts w:ascii="宋体" w:hAnsi="宋体"/>
      <w:color w:val="000000"/>
      <w:sz w:val="24"/>
    </w:rPr>
  </w:style>
  <w:style w:type="paragraph" w:customStyle="1" w:styleId="1777">
    <w:name w:val="表格文字左对齐"/>
    <w:basedOn w:val="1"/>
    <w:qFormat/>
    <w:uiPriority w:val="0"/>
    <w:pPr>
      <w:widowControl/>
      <w:jc w:val="left"/>
    </w:pPr>
    <w:rPr>
      <w:rFonts w:cs="宋体"/>
      <w:szCs w:val="20"/>
    </w:rPr>
  </w:style>
  <w:style w:type="paragraph" w:customStyle="1" w:styleId="1778">
    <w:name w:val="Char12"/>
    <w:basedOn w:val="1"/>
    <w:qFormat/>
    <w:uiPriority w:val="0"/>
    <w:rPr>
      <w:szCs w:val="21"/>
    </w:rPr>
  </w:style>
  <w:style w:type="paragraph" w:customStyle="1" w:styleId="1779">
    <w:name w:val="CM248"/>
    <w:basedOn w:val="404"/>
    <w:next w:val="404"/>
    <w:qFormat/>
    <w:uiPriority w:val="0"/>
    <w:pPr>
      <w:spacing w:after="185"/>
    </w:pPr>
    <w:rPr>
      <w:rFonts w:ascii="宋体" w:eastAsia="宋体" w:cs="Times New Roman"/>
      <w:color w:val="auto"/>
    </w:rPr>
  </w:style>
  <w:style w:type="paragraph" w:customStyle="1" w:styleId="1780">
    <w:name w:val="head_4"/>
    <w:basedOn w:val="1699"/>
    <w:qFormat/>
    <w:uiPriority w:val="0"/>
    <w:pPr>
      <w:spacing w:before="0" w:beforeLines="0" w:after="156" w:afterLines="50" w:line="240" w:lineRule="auto"/>
      <w:ind w:left="42" w:firstLine="160"/>
    </w:pPr>
  </w:style>
  <w:style w:type="paragraph" w:customStyle="1" w:styleId="1781">
    <w:name w:val="CM71"/>
    <w:basedOn w:val="404"/>
    <w:next w:val="404"/>
    <w:qFormat/>
    <w:uiPriority w:val="0"/>
    <w:rPr>
      <w:rFonts w:ascii="宋体" w:eastAsia="宋体" w:cs="Times New Roman"/>
      <w:color w:val="auto"/>
      <w:szCs w:val="20"/>
    </w:rPr>
  </w:style>
  <w:style w:type="paragraph" w:customStyle="1" w:styleId="1782">
    <w:name w:val="CM22"/>
    <w:basedOn w:val="404"/>
    <w:next w:val="404"/>
    <w:qFormat/>
    <w:uiPriority w:val="0"/>
    <w:pPr>
      <w:spacing w:line="466" w:lineRule="atLeast"/>
    </w:pPr>
    <w:rPr>
      <w:rFonts w:ascii="宋体" w:eastAsia="宋体" w:cs="Times New Roman"/>
      <w:color w:val="auto"/>
      <w:szCs w:val="20"/>
    </w:rPr>
  </w:style>
  <w:style w:type="paragraph" w:customStyle="1" w:styleId="1783">
    <w:name w:val="Char17"/>
    <w:basedOn w:val="1"/>
    <w:link w:val="1784"/>
    <w:qFormat/>
    <w:uiPriority w:val="0"/>
    <w:rPr>
      <w:szCs w:val="21"/>
    </w:rPr>
  </w:style>
  <w:style w:type="character" w:customStyle="1" w:styleId="1784">
    <w:name w:val="Char1 Char Char Char Char Char Char Char Char Char Char Char Char Char"/>
    <w:link w:val="1783"/>
    <w:qFormat/>
    <w:uiPriority w:val="0"/>
    <w:rPr>
      <w:kern w:val="2"/>
      <w:sz w:val="21"/>
      <w:szCs w:val="21"/>
    </w:rPr>
  </w:style>
  <w:style w:type="paragraph" w:customStyle="1" w:styleId="1785">
    <w:name w:val="CM89"/>
    <w:basedOn w:val="404"/>
    <w:next w:val="404"/>
    <w:qFormat/>
    <w:uiPriority w:val="0"/>
    <w:rPr>
      <w:rFonts w:ascii="宋体" w:eastAsia="宋体" w:cs="Times New Roman"/>
      <w:color w:val="auto"/>
      <w:szCs w:val="20"/>
    </w:rPr>
  </w:style>
  <w:style w:type="paragraph" w:customStyle="1" w:styleId="1786">
    <w:name w:val="河石管道 表格正文"/>
    <w:qFormat/>
    <w:uiPriority w:val="0"/>
    <w:pPr>
      <w:jc w:val="center"/>
    </w:pPr>
    <w:rPr>
      <w:rFonts w:ascii="Times New Roman" w:hAnsi="Times New Roman" w:eastAsia="宋体" w:cs="Times New Roman"/>
      <w:kern w:val="2"/>
      <w:sz w:val="18"/>
      <w:lang w:val="en-US" w:eastAsia="zh-CN" w:bidi="ar-SA"/>
    </w:rPr>
  </w:style>
  <w:style w:type="paragraph" w:customStyle="1" w:styleId="1787">
    <w:name w:val="CM60"/>
    <w:basedOn w:val="404"/>
    <w:next w:val="404"/>
    <w:qFormat/>
    <w:uiPriority w:val="0"/>
    <w:rPr>
      <w:rFonts w:ascii="宋体" w:eastAsia="宋体" w:cs="Times New Roman"/>
      <w:color w:val="auto"/>
      <w:szCs w:val="20"/>
    </w:rPr>
  </w:style>
  <w:style w:type="paragraph" w:customStyle="1" w:styleId="1788">
    <w:name w:val="e"/>
    <w:basedOn w:val="1"/>
    <w:qFormat/>
    <w:uiPriority w:val="0"/>
  </w:style>
  <w:style w:type="paragraph" w:customStyle="1" w:styleId="1789">
    <w:name w:val="CM11"/>
    <w:basedOn w:val="404"/>
    <w:next w:val="404"/>
    <w:qFormat/>
    <w:uiPriority w:val="0"/>
    <w:rPr>
      <w:rFonts w:ascii="宋体" w:eastAsia="宋体" w:cs="Times New Roman"/>
      <w:color w:val="auto"/>
      <w:szCs w:val="20"/>
    </w:rPr>
  </w:style>
  <w:style w:type="paragraph" w:customStyle="1" w:styleId="1790">
    <w:name w:val="Char Char Char Char Char Char Char2"/>
    <w:basedOn w:val="1"/>
    <w:qFormat/>
    <w:uiPriority w:val="0"/>
  </w:style>
  <w:style w:type="paragraph" w:customStyle="1" w:styleId="1791">
    <w:name w:val="CM85"/>
    <w:basedOn w:val="404"/>
    <w:next w:val="404"/>
    <w:qFormat/>
    <w:uiPriority w:val="0"/>
    <w:pPr>
      <w:spacing w:line="428" w:lineRule="atLeast"/>
    </w:pPr>
    <w:rPr>
      <w:rFonts w:ascii="宋体" w:eastAsia="宋体" w:cs="Times New Roman"/>
      <w:color w:val="auto"/>
      <w:szCs w:val="20"/>
    </w:rPr>
  </w:style>
  <w:style w:type="paragraph" w:customStyle="1" w:styleId="1792">
    <w:name w:val="CM128"/>
    <w:basedOn w:val="404"/>
    <w:next w:val="404"/>
    <w:qFormat/>
    <w:uiPriority w:val="0"/>
    <w:pPr>
      <w:spacing w:line="313" w:lineRule="atLeast"/>
    </w:pPr>
    <w:rPr>
      <w:rFonts w:ascii="宋体" w:eastAsia="宋体" w:cs="Times New Roman"/>
      <w:color w:val="auto"/>
    </w:rPr>
  </w:style>
  <w:style w:type="paragraph" w:customStyle="1" w:styleId="1793">
    <w:name w:val="CM17"/>
    <w:basedOn w:val="404"/>
    <w:next w:val="404"/>
    <w:qFormat/>
    <w:uiPriority w:val="0"/>
    <w:pPr>
      <w:spacing w:line="466" w:lineRule="atLeast"/>
    </w:pPr>
    <w:rPr>
      <w:rFonts w:ascii="宋体" w:eastAsia="宋体" w:cs="Times New Roman"/>
      <w:color w:val="auto"/>
      <w:szCs w:val="20"/>
    </w:rPr>
  </w:style>
  <w:style w:type="paragraph" w:customStyle="1" w:styleId="1794">
    <w:name w:val="Char1 Char Char Char Char Char Char4"/>
    <w:basedOn w:val="1"/>
    <w:qFormat/>
    <w:uiPriority w:val="0"/>
  </w:style>
  <w:style w:type="paragraph" w:customStyle="1" w:styleId="1795">
    <w:name w:val="Char Char Char Char Char Char Char3"/>
    <w:basedOn w:val="1"/>
    <w:qFormat/>
    <w:uiPriority w:val="0"/>
    <w:pPr>
      <w:adjustRightInd w:val="0"/>
      <w:snapToGrid w:val="0"/>
      <w:spacing w:line="360" w:lineRule="auto"/>
      <w:ind w:firstLine="200" w:firstLineChars="200"/>
      <w:jc w:val="left"/>
    </w:pPr>
    <w:rPr>
      <w:rFonts w:ascii="仿宋_GB2312" w:hAnsi="仿宋_GB2312" w:eastAsia="仿宋_GB2312" w:cs="宋体"/>
      <w:sz w:val="24"/>
    </w:rPr>
  </w:style>
  <w:style w:type="paragraph" w:customStyle="1" w:styleId="1796">
    <w:name w:val="扉页"/>
    <w:qFormat/>
    <w:uiPriority w:val="0"/>
    <w:rPr>
      <w:rFonts w:ascii="Times New Roman" w:hAnsi="Times New Roman" w:eastAsia="宋体" w:cs="Times New Roman"/>
      <w:kern w:val="2"/>
      <w:sz w:val="21"/>
      <w:szCs w:val="24"/>
      <w:lang w:val="en-US" w:eastAsia="zh-CN" w:bidi="ar-SA"/>
    </w:rPr>
  </w:style>
  <w:style w:type="paragraph" w:customStyle="1" w:styleId="1797">
    <w:name w:val="总院"/>
    <w:basedOn w:val="1"/>
    <w:qFormat/>
    <w:uiPriority w:val="0"/>
    <w:pPr>
      <w:adjustRightInd w:val="0"/>
      <w:snapToGrid w:val="0"/>
      <w:spacing w:line="300" w:lineRule="auto"/>
      <w:ind w:firstLine="560" w:firstLineChars="200"/>
    </w:pPr>
    <w:rPr>
      <w:rFonts w:ascii="宋体" w:hAnsi="宋体"/>
      <w:bCs/>
      <w:sz w:val="28"/>
      <w:szCs w:val="28"/>
      <w:lang w:val="ru-RU"/>
    </w:rPr>
  </w:style>
  <w:style w:type="paragraph" w:customStyle="1" w:styleId="1798">
    <w:name w:val="项目名称"/>
    <w:basedOn w:val="1"/>
    <w:qFormat/>
    <w:uiPriority w:val="0"/>
    <w:pPr>
      <w:adjustRightInd w:val="0"/>
      <w:snapToGrid w:val="0"/>
      <w:spacing w:line="360" w:lineRule="auto"/>
      <w:jc w:val="center"/>
    </w:pPr>
    <w:rPr>
      <w:rFonts w:ascii="文鼎大标宋简" w:eastAsia="文鼎大标宋简"/>
      <w:sz w:val="56"/>
      <w:szCs w:val="20"/>
    </w:rPr>
  </w:style>
  <w:style w:type="character" w:customStyle="1" w:styleId="1799">
    <w:name w:val="报告正文 Char"/>
    <w:qFormat/>
    <w:uiPriority w:val="0"/>
    <w:rPr>
      <w:rFonts w:ascii="宋体" w:hAnsi="宋体"/>
      <w:color w:val="000000"/>
      <w:kern w:val="2"/>
      <w:sz w:val="28"/>
      <w:szCs w:val="28"/>
    </w:rPr>
  </w:style>
  <w:style w:type="paragraph" w:customStyle="1" w:styleId="1800">
    <w:name w:val="我的样式（标题4）"/>
    <w:basedOn w:val="1"/>
    <w:next w:val="1"/>
    <w:qFormat/>
    <w:uiPriority w:val="0"/>
    <w:pPr>
      <w:spacing w:line="360" w:lineRule="auto"/>
    </w:pPr>
    <w:rPr>
      <w:sz w:val="24"/>
    </w:rPr>
  </w:style>
  <w:style w:type="paragraph" w:customStyle="1" w:styleId="1801">
    <w:name w:val="报告标题2"/>
    <w:basedOn w:val="4"/>
    <w:link w:val="1802"/>
    <w:qFormat/>
    <w:uiPriority w:val="0"/>
    <w:pPr>
      <w:tabs>
        <w:tab w:val="left" w:pos="700"/>
        <w:tab w:val="left" w:pos="786"/>
      </w:tabs>
      <w:adjustRightInd w:val="0"/>
      <w:snapToGrid w:val="0"/>
      <w:spacing w:before="0" w:after="0" w:line="300" w:lineRule="auto"/>
      <w:ind w:left="786" w:hanging="360" w:hangingChars="200"/>
    </w:pPr>
    <w:rPr>
      <w:rFonts w:ascii="黑体" w:eastAsia="黑体"/>
      <w:b w:val="0"/>
      <w:bCs w:val="0"/>
      <w:sz w:val="28"/>
      <w:szCs w:val="28"/>
    </w:rPr>
  </w:style>
  <w:style w:type="character" w:customStyle="1" w:styleId="1802">
    <w:name w:val="报告标题2 Char"/>
    <w:link w:val="1801"/>
    <w:qFormat/>
    <w:uiPriority w:val="0"/>
    <w:rPr>
      <w:rFonts w:ascii="黑体" w:hAnsi="Arial" w:eastAsia="黑体"/>
      <w:kern w:val="2"/>
      <w:sz w:val="28"/>
      <w:szCs w:val="28"/>
    </w:rPr>
  </w:style>
  <w:style w:type="paragraph" w:customStyle="1" w:styleId="1803">
    <w:name w:val="中等深浅网格 22"/>
    <w:qFormat/>
    <w:uiPriority w:val="1"/>
    <w:pPr>
      <w:widowControl w:val="0"/>
      <w:jc w:val="both"/>
    </w:pPr>
    <w:rPr>
      <w:rFonts w:ascii="Calibri" w:hAnsi="Calibri" w:eastAsia="宋体" w:cs="Times New Roman"/>
      <w:kern w:val="2"/>
      <w:sz w:val="28"/>
      <w:szCs w:val="24"/>
      <w:lang w:val="en-US" w:eastAsia="zh-CN" w:bidi="ar-SA"/>
    </w:rPr>
  </w:style>
  <w:style w:type="paragraph" w:customStyle="1" w:styleId="1804">
    <w:name w:val="样式 居中"/>
    <w:basedOn w:val="1"/>
    <w:qFormat/>
    <w:uiPriority w:val="0"/>
    <w:pPr>
      <w:adjustRightInd w:val="0"/>
      <w:snapToGrid w:val="0"/>
      <w:jc w:val="center"/>
    </w:pPr>
    <w:rPr>
      <w:rFonts w:ascii="Arial" w:hAnsi="Arial" w:eastAsia="楷体_GB2312"/>
      <w:snapToGrid w:val="0"/>
      <w:kern w:val="0"/>
      <w:sz w:val="24"/>
    </w:rPr>
  </w:style>
  <w:style w:type="paragraph" w:customStyle="1" w:styleId="1805">
    <w:name w:val="列出段落1"/>
    <w:basedOn w:val="1"/>
    <w:qFormat/>
    <w:uiPriority w:val="99"/>
    <w:pPr>
      <w:ind w:firstLine="420" w:firstLineChars="200"/>
    </w:pPr>
    <w:rPr>
      <w:rFonts w:ascii="Calibri" w:hAnsi="Calibri"/>
      <w:szCs w:val="22"/>
    </w:rPr>
  </w:style>
  <w:style w:type="character" w:customStyle="1" w:styleId="1806">
    <w:name w:val="cm正文 Char"/>
    <w:link w:val="1807"/>
    <w:qFormat/>
    <w:locked/>
    <w:uiPriority w:val="0"/>
    <w:rPr>
      <w:sz w:val="24"/>
      <w:szCs w:val="21"/>
      <w:lang w:val="en-GB"/>
    </w:rPr>
  </w:style>
  <w:style w:type="paragraph" w:customStyle="1" w:styleId="1807">
    <w:name w:val="cm正文"/>
    <w:basedOn w:val="1"/>
    <w:link w:val="1806"/>
    <w:qFormat/>
    <w:uiPriority w:val="0"/>
    <w:pPr>
      <w:widowControl/>
      <w:spacing w:line="360" w:lineRule="auto"/>
      <w:ind w:firstLine="200" w:firstLineChars="200"/>
    </w:pPr>
    <w:rPr>
      <w:kern w:val="0"/>
      <w:sz w:val="24"/>
      <w:szCs w:val="21"/>
      <w:lang w:val="en-GB"/>
    </w:rPr>
  </w:style>
  <w:style w:type="paragraph" w:customStyle="1" w:styleId="1808">
    <w:name w:val="M正文"/>
    <w:basedOn w:val="1"/>
    <w:qFormat/>
    <w:uiPriority w:val="99"/>
    <w:pPr>
      <w:widowControl/>
      <w:spacing w:line="360" w:lineRule="auto"/>
      <w:ind w:firstLine="200" w:firstLineChars="200"/>
      <w:jc w:val="left"/>
    </w:pPr>
    <w:rPr>
      <w:rFonts w:hint="eastAsia" w:ascii="宋体" w:hAnsi="宋体"/>
      <w:sz w:val="24"/>
      <w:lang w:val="en-GB"/>
    </w:rPr>
  </w:style>
  <w:style w:type="paragraph" w:customStyle="1" w:styleId="1809">
    <w:name w:val="Char26"/>
    <w:basedOn w:val="1"/>
    <w:qFormat/>
    <w:uiPriority w:val="99"/>
  </w:style>
  <w:style w:type="character" w:customStyle="1" w:styleId="1810">
    <w:name w:val="cm图表名 Char"/>
    <w:link w:val="1811"/>
    <w:qFormat/>
    <w:locked/>
    <w:uiPriority w:val="0"/>
    <w:rPr>
      <w:rFonts w:eastAsia="黑体"/>
      <w:sz w:val="18"/>
    </w:rPr>
  </w:style>
  <w:style w:type="paragraph" w:customStyle="1" w:styleId="1811">
    <w:name w:val="cm图表名"/>
    <w:basedOn w:val="1"/>
    <w:link w:val="1810"/>
    <w:qFormat/>
    <w:uiPriority w:val="0"/>
    <w:pPr>
      <w:jc w:val="center"/>
    </w:pPr>
    <w:rPr>
      <w:rFonts w:eastAsia="黑体"/>
      <w:kern w:val="0"/>
      <w:sz w:val="18"/>
      <w:szCs w:val="20"/>
    </w:rPr>
  </w:style>
  <w:style w:type="character" w:customStyle="1" w:styleId="1812">
    <w:name w:val="普通(网站) 字符"/>
    <w:qFormat/>
    <w:uiPriority w:val="99"/>
    <w:rPr>
      <w:rFonts w:ascii="宋体" w:hAnsi="宋体" w:eastAsia="宋体" w:cs="宋体"/>
      <w:kern w:val="0"/>
      <w:sz w:val="24"/>
      <w:szCs w:val="24"/>
    </w:rPr>
  </w:style>
  <w:style w:type="character" w:customStyle="1" w:styleId="1813">
    <w:name w:val="正文（科宏） Char1"/>
    <w:qFormat/>
    <w:uiPriority w:val="0"/>
    <w:rPr>
      <w:rFonts w:ascii="Arial" w:hAnsi="Arial" w:eastAsia="仿宋_GB2312" w:cs="Times New Roman"/>
      <w:kern w:val="0"/>
      <w:sz w:val="28"/>
      <w:szCs w:val="20"/>
    </w:rPr>
  </w:style>
  <w:style w:type="paragraph" w:customStyle="1" w:styleId="1814">
    <w:name w:val="图表名"/>
    <w:basedOn w:val="1"/>
    <w:link w:val="1815"/>
    <w:qFormat/>
    <w:uiPriority w:val="0"/>
    <w:pPr>
      <w:spacing w:line="300" w:lineRule="auto"/>
      <w:jc w:val="center"/>
    </w:pPr>
    <w:rPr>
      <w:sz w:val="24"/>
    </w:rPr>
  </w:style>
  <w:style w:type="character" w:customStyle="1" w:styleId="1815">
    <w:name w:val="图表名 Char"/>
    <w:link w:val="1814"/>
    <w:qFormat/>
    <w:uiPriority w:val="0"/>
    <w:rPr>
      <w:kern w:val="2"/>
      <w:sz w:val="24"/>
      <w:szCs w:val="24"/>
    </w:rPr>
  </w:style>
  <w:style w:type="paragraph" w:customStyle="1" w:styleId="1816">
    <w:name w:val="Char Char Char Char Char Char5"/>
    <w:basedOn w:val="1"/>
    <w:next w:val="1"/>
    <w:qFormat/>
    <w:uiPriority w:val="0"/>
    <w:pPr>
      <w:spacing w:line="360" w:lineRule="auto"/>
    </w:pPr>
    <w:rPr>
      <w:szCs w:val="20"/>
    </w:rPr>
  </w:style>
  <w:style w:type="character" w:customStyle="1" w:styleId="1817">
    <w:name w:val="style91"/>
    <w:qFormat/>
    <w:uiPriority w:val="0"/>
    <w:rPr>
      <w:b/>
      <w:color w:val="000000"/>
      <w:sz w:val="27"/>
    </w:rPr>
  </w:style>
  <w:style w:type="character" w:customStyle="1" w:styleId="1818">
    <w:name w:val="样式5 Char Char"/>
    <w:qFormat/>
    <w:uiPriority w:val="0"/>
    <w:rPr>
      <w:rFonts w:eastAsia="宋体"/>
      <w:color w:val="FF0000"/>
      <w:kern w:val="2"/>
      <w:sz w:val="24"/>
      <w:lang w:val="en-US" w:eastAsia="zh-CN"/>
    </w:rPr>
  </w:style>
  <w:style w:type="character" w:customStyle="1" w:styleId="1819">
    <w:name w:val="t141"/>
    <w:qFormat/>
    <w:uiPriority w:val="0"/>
    <w:rPr>
      <w:rFonts w:hint="default" w:ascii="ˎ̥" w:hAnsi="ˎ̥"/>
      <w:sz w:val="21"/>
    </w:rPr>
  </w:style>
  <w:style w:type="character" w:customStyle="1" w:styleId="1820">
    <w:name w:val="样式2 Char Char Char"/>
    <w:link w:val="1821"/>
    <w:qFormat/>
    <w:uiPriority w:val="0"/>
    <w:rPr>
      <w:rFonts w:ascii="黑体" w:hAnsi="宋体" w:eastAsia="黑体"/>
      <w:b/>
      <w:color w:val="0000FF"/>
      <w:sz w:val="28"/>
    </w:rPr>
  </w:style>
  <w:style w:type="paragraph" w:customStyle="1" w:styleId="1821">
    <w:name w:val="样式2 Char Char"/>
    <w:basedOn w:val="1"/>
    <w:link w:val="1820"/>
    <w:qFormat/>
    <w:uiPriority w:val="0"/>
    <w:pPr>
      <w:keepNext/>
      <w:keepLines/>
      <w:widowControl/>
      <w:adjustRightInd w:val="0"/>
      <w:snapToGrid w:val="0"/>
      <w:ind w:right="100" w:rightChars="100"/>
      <w:jc w:val="left"/>
      <w:outlineLvl w:val="1"/>
    </w:pPr>
    <w:rPr>
      <w:rFonts w:ascii="黑体" w:hAnsi="宋体" w:eastAsia="黑体"/>
      <w:b/>
      <w:color w:val="0000FF"/>
      <w:kern w:val="0"/>
      <w:sz w:val="28"/>
      <w:szCs w:val="20"/>
    </w:rPr>
  </w:style>
  <w:style w:type="character" w:customStyle="1" w:styleId="1822">
    <w:name w:val="digest1"/>
    <w:qFormat/>
    <w:uiPriority w:val="0"/>
    <w:rPr>
      <w:color w:val="393939"/>
      <w:sz w:val="16"/>
    </w:rPr>
  </w:style>
  <w:style w:type="character" w:customStyle="1" w:styleId="1823">
    <w:name w:val="linkred02"/>
    <w:qFormat/>
    <w:uiPriority w:val="0"/>
  </w:style>
  <w:style w:type="paragraph" w:customStyle="1" w:styleId="1824">
    <w:name w:val="文"/>
    <w:basedOn w:val="1"/>
    <w:qFormat/>
    <w:uiPriority w:val="0"/>
    <w:pPr>
      <w:widowControl/>
      <w:spacing w:line="360" w:lineRule="auto"/>
      <w:ind w:firstLine="480" w:firstLineChars="200"/>
      <w:jc w:val="center"/>
    </w:pPr>
    <w:rPr>
      <w:kern w:val="0"/>
      <w:sz w:val="24"/>
      <w:szCs w:val="26"/>
    </w:rPr>
  </w:style>
  <w:style w:type="paragraph" w:customStyle="1" w:styleId="1825">
    <w:name w:val="表图标题新标准"/>
    <w:basedOn w:val="1"/>
    <w:qFormat/>
    <w:uiPriority w:val="0"/>
    <w:pPr>
      <w:widowControl/>
      <w:jc w:val="center"/>
    </w:pPr>
    <w:rPr>
      <w:rFonts w:eastAsia="黑体"/>
      <w:kern w:val="0"/>
      <w:sz w:val="26"/>
      <w:szCs w:val="26"/>
    </w:rPr>
  </w:style>
  <w:style w:type="paragraph" w:customStyle="1" w:styleId="1826">
    <w:name w:val="样式 样式2 + 红色"/>
    <w:basedOn w:val="387"/>
    <w:qFormat/>
    <w:uiPriority w:val="0"/>
    <w:pPr>
      <w:widowControl/>
      <w:shd w:val="clear" w:color="auto" w:fill="auto"/>
      <w:tabs>
        <w:tab w:val="left" w:pos="786"/>
        <w:tab w:val="clear" w:pos="1000"/>
      </w:tabs>
      <w:spacing w:line="480" w:lineRule="exact"/>
      <w:ind w:left="786" w:leftChars="0" w:right="0" w:rightChars="0" w:firstLine="521"/>
      <w:jc w:val="center"/>
      <w:outlineLvl w:val="1"/>
    </w:pPr>
    <w:rPr>
      <w:rFonts w:hAnsi="Times New Roman" w:eastAsia="宋体" w:cs="Times New Roman"/>
      <w:color w:val="FF0000"/>
      <w:sz w:val="26"/>
      <w:szCs w:val="26"/>
      <w:shd w:val="clear" w:color="auto" w:fill="auto"/>
      <w:lang w:val="en-US"/>
    </w:rPr>
  </w:style>
  <w:style w:type="paragraph" w:customStyle="1" w:styleId="1827">
    <w:name w:val="样式 标题 1 + 段后: 1.5 行"/>
    <w:basedOn w:val="3"/>
    <w:qFormat/>
    <w:uiPriority w:val="0"/>
    <w:pPr>
      <w:keepNext/>
      <w:keepLines/>
      <w:widowControl/>
      <w:tabs>
        <w:tab w:val="left" w:pos="786"/>
      </w:tabs>
      <w:spacing w:before="312" w:after="100" w:line="460" w:lineRule="exact"/>
      <w:ind w:left="2040" w:hanging="360" w:hangingChars="200"/>
    </w:pPr>
    <w:rPr>
      <w:rFonts w:hAnsi="Cambria"/>
      <w:b w:val="0"/>
    </w:rPr>
  </w:style>
  <w:style w:type="paragraph" w:customStyle="1" w:styleId="1828">
    <w:name w:val="正文a"/>
    <w:basedOn w:val="1"/>
    <w:qFormat/>
    <w:uiPriority w:val="0"/>
    <w:pPr>
      <w:widowControl/>
      <w:ind w:firstLine="570"/>
      <w:jc w:val="center"/>
    </w:pPr>
    <w:rPr>
      <w:rFonts w:ascii="宋体"/>
      <w:kern w:val="0"/>
      <w:sz w:val="28"/>
      <w:szCs w:val="26"/>
    </w:rPr>
  </w:style>
  <w:style w:type="character" w:customStyle="1" w:styleId="1829">
    <w:name w:val="环评正文 Char"/>
    <w:qFormat/>
    <w:uiPriority w:val="0"/>
    <w:rPr>
      <w:rFonts w:ascii="Times New Roman" w:hAnsi="Times New Roman" w:eastAsia="仿宋_GB2312" w:cs="Times New Roman"/>
      <w:kern w:val="0"/>
      <w:sz w:val="24"/>
      <w:szCs w:val="26"/>
    </w:rPr>
  </w:style>
  <w:style w:type="paragraph" w:customStyle="1" w:styleId="1830">
    <w:name w:val="正文首行缩进:  2 字符"/>
    <w:basedOn w:val="1"/>
    <w:qFormat/>
    <w:uiPriority w:val="0"/>
    <w:pPr>
      <w:widowControl/>
      <w:spacing w:line="500" w:lineRule="exact"/>
      <w:ind w:firstLine="480" w:firstLineChars="200"/>
      <w:jc w:val="center"/>
    </w:pPr>
    <w:rPr>
      <w:kern w:val="0"/>
      <w:sz w:val="24"/>
      <w:szCs w:val="26"/>
    </w:rPr>
  </w:style>
  <w:style w:type="paragraph" w:customStyle="1" w:styleId="1831">
    <w:name w:val="A正文"/>
    <w:basedOn w:val="1"/>
    <w:qFormat/>
    <w:uiPriority w:val="0"/>
    <w:pPr>
      <w:widowControl/>
      <w:overflowPunct w:val="0"/>
      <w:autoSpaceDE w:val="0"/>
      <w:autoSpaceDN w:val="0"/>
      <w:adjustRightInd w:val="0"/>
      <w:spacing w:line="360" w:lineRule="auto"/>
      <w:ind w:firstLine="200" w:firstLineChars="200"/>
      <w:jc w:val="left"/>
      <w:textAlignment w:val="baseline"/>
    </w:pPr>
    <w:rPr>
      <w:rFonts w:eastAsia="仿宋_GB2312"/>
      <w:kern w:val="0"/>
      <w:sz w:val="24"/>
    </w:rPr>
  </w:style>
  <w:style w:type="character" w:customStyle="1" w:styleId="1832">
    <w:name w:val="正文文字缩进 2 Char Char"/>
    <w:qFormat/>
    <w:uiPriority w:val="0"/>
    <w:rPr>
      <w:rFonts w:ascii="Dutch801 Rm BT" w:hAnsi="Dutch801 Rm BT" w:eastAsia="宋体" w:cs="Dutch801 Rm BT"/>
      <w:kern w:val="2"/>
      <w:sz w:val="28"/>
      <w:szCs w:val="24"/>
      <w:lang w:val="en-US" w:eastAsia="zh-CN" w:bidi="ar-SA"/>
    </w:rPr>
  </w:style>
  <w:style w:type="paragraph" w:customStyle="1" w:styleId="1833">
    <w:name w:val="wg"/>
    <w:basedOn w:val="1"/>
    <w:qFormat/>
    <w:uiPriority w:val="0"/>
    <w:pPr>
      <w:widowControl/>
      <w:jc w:val="center"/>
    </w:pPr>
    <w:rPr>
      <w:kern w:val="0"/>
      <w:sz w:val="28"/>
      <w:szCs w:val="26"/>
    </w:rPr>
  </w:style>
  <w:style w:type="paragraph" w:customStyle="1" w:styleId="1834">
    <w:name w:val="正文文字1"/>
    <w:basedOn w:val="1"/>
    <w:next w:val="1"/>
    <w:qFormat/>
    <w:uiPriority w:val="0"/>
    <w:pPr>
      <w:widowControl/>
      <w:jc w:val="center"/>
    </w:pPr>
    <w:rPr>
      <w:kern w:val="0"/>
      <w:sz w:val="26"/>
      <w:szCs w:val="26"/>
    </w:rPr>
  </w:style>
  <w:style w:type="character" w:customStyle="1" w:styleId="1835">
    <w:name w:val="headline-content2"/>
    <w:qFormat/>
    <w:uiPriority w:val="0"/>
  </w:style>
  <w:style w:type="paragraph" w:customStyle="1" w:styleId="1836">
    <w:name w:val="Char Char Char Char Char Char1 Char Char Char Char Char Char Char Char Char Char"/>
    <w:basedOn w:val="1"/>
    <w:qFormat/>
    <w:uiPriority w:val="0"/>
    <w:pPr>
      <w:widowControl/>
      <w:jc w:val="center"/>
    </w:pPr>
    <w:rPr>
      <w:kern w:val="0"/>
      <w:sz w:val="26"/>
    </w:rPr>
  </w:style>
  <w:style w:type="paragraph" w:customStyle="1" w:styleId="1837">
    <w:name w:val="Char Char Char Char Char Char1 Char Char Char Char Char Char Char Char Char Char Char Char Char"/>
    <w:basedOn w:val="1"/>
    <w:qFormat/>
    <w:uiPriority w:val="0"/>
    <w:pPr>
      <w:widowControl/>
      <w:jc w:val="center"/>
    </w:pPr>
    <w:rPr>
      <w:kern w:val="0"/>
      <w:sz w:val="26"/>
    </w:rPr>
  </w:style>
  <w:style w:type="paragraph" w:customStyle="1" w:styleId="1838">
    <w:name w:val="Char Char Char Char Char Char Char Char Char Char Char Char Char Char Char Char Char Char Char Char Char Char Char Char Char Char Char Char Char Char Char Char Char Char Char Char Char Char Char Char Char Char Char Char Char Char"/>
    <w:basedOn w:val="1"/>
    <w:next w:val="1"/>
    <w:qFormat/>
    <w:uiPriority w:val="0"/>
    <w:pPr>
      <w:widowControl/>
      <w:pBdr>
        <w:right w:val="single" w:color="auto" w:sz="12" w:space="4"/>
      </w:pBdr>
      <w:spacing w:line="360" w:lineRule="auto"/>
      <w:ind w:firstLine="200" w:firstLineChars="200"/>
      <w:jc w:val="center"/>
    </w:pPr>
    <w:rPr>
      <w:rFonts w:ascii="宋体" w:hAnsi="宋体" w:cs="宋体"/>
      <w:kern w:val="0"/>
      <w:sz w:val="24"/>
    </w:rPr>
  </w:style>
  <w:style w:type="character" w:customStyle="1" w:styleId="1839">
    <w:name w:val="标准样式 Char1"/>
    <w:qFormat/>
    <w:uiPriority w:val="0"/>
    <w:rPr>
      <w:rFonts w:ascii="宋体" w:hAnsi="Times New Roman" w:eastAsia="宋体" w:cs="Times New Roman"/>
      <w:kern w:val="0"/>
      <w:sz w:val="28"/>
      <w:szCs w:val="26"/>
    </w:rPr>
  </w:style>
  <w:style w:type="character" w:customStyle="1" w:styleId="1840">
    <w:name w:val="zi1"/>
    <w:qFormat/>
    <w:uiPriority w:val="0"/>
    <w:rPr>
      <w:color w:val="000000"/>
      <w:sz w:val="18"/>
      <w:szCs w:val="18"/>
    </w:rPr>
  </w:style>
  <w:style w:type="character" w:customStyle="1" w:styleId="1841">
    <w:name w:val="ttitle1"/>
    <w:qFormat/>
    <w:uiPriority w:val="0"/>
    <w:rPr>
      <w:spacing w:val="120"/>
      <w:sz w:val="21"/>
      <w:szCs w:val="21"/>
    </w:rPr>
  </w:style>
  <w:style w:type="paragraph" w:customStyle="1" w:styleId="1842">
    <w:name w:val="Char Char Char Char Char Char Char Char Char Char Char Char Char4"/>
    <w:basedOn w:val="1"/>
    <w:qFormat/>
    <w:uiPriority w:val="0"/>
    <w:pPr>
      <w:widowControl/>
      <w:jc w:val="center"/>
    </w:pPr>
    <w:rPr>
      <w:kern w:val="0"/>
      <w:sz w:val="26"/>
    </w:rPr>
  </w:style>
  <w:style w:type="character" w:customStyle="1" w:styleId="1843">
    <w:name w:val="不明显强调1"/>
    <w:qFormat/>
    <w:uiPriority w:val="19"/>
    <w:rPr>
      <w:i/>
      <w:color w:val="5A5A5A"/>
    </w:rPr>
  </w:style>
  <w:style w:type="character" w:customStyle="1" w:styleId="1844">
    <w:name w:val="明显强调1"/>
    <w:qFormat/>
    <w:uiPriority w:val="21"/>
    <w:rPr>
      <w:b/>
      <w:i/>
      <w:sz w:val="24"/>
      <w:szCs w:val="24"/>
      <w:u w:val="single"/>
    </w:rPr>
  </w:style>
  <w:style w:type="character" w:customStyle="1" w:styleId="1845">
    <w:name w:val="不明显参考1"/>
    <w:qFormat/>
    <w:uiPriority w:val="31"/>
    <w:rPr>
      <w:sz w:val="24"/>
      <w:szCs w:val="24"/>
      <w:u w:val="single"/>
    </w:rPr>
  </w:style>
  <w:style w:type="character" w:customStyle="1" w:styleId="1846">
    <w:name w:val="明显参考11"/>
    <w:qFormat/>
    <w:uiPriority w:val="32"/>
    <w:rPr>
      <w:b/>
      <w:sz w:val="24"/>
      <w:u w:val="single"/>
    </w:rPr>
  </w:style>
  <w:style w:type="character" w:customStyle="1" w:styleId="1847">
    <w:name w:val="书籍标题1"/>
    <w:qFormat/>
    <w:uiPriority w:val="0"/>
    <w:rPr>
      <w:rFonts w:ascii="Cambria" w:hAnsi="Cambria" w:eastAsia="宋体"/>
      <w:b/>
      <w:i/>
      <w:sz w:val="24"/>
      <w:szCs w:val="24"/>
    </w:rPr>
  </w:style>
  <w:style w:type="paragraph" w:customStyle="1" w:styleId="1848">
    <w:name w:val="修订11"/>
    <w:hidden/>
    <w:qFormat/>
    <w:uiPriority w:val="0"/>
    <w:rPr>
      <w:rFonts w:ascii="Times New Roman" w:hAnsi="Times New Roman" w:eastAsia="宋体" w:cs="Times New Roman"/>
      <w:sz w:val="26"/>
      <w:szCs w:val="26"/>
      <w:lang w:val="en-US" w:eastAsia="zh-CN" w:bidi="ar-SA"/>
    </w:rPr>
  </w:style>
  <w:style w:type="paragraph" w:customStyle="1" w:styleId="1849">
    <w:name w:val="Char Char Char1 Char Char Char Char Char Char Char Char Char Char Char Char Char Char Char Char Char Char Char Char Char Char"/>
    <w:basedOn w:val="1"/>
    <w:qFormat/>
    <w:uiPriority w:val="0"/>
  </w:style>
  <w:style w:type="paragraph" w:customStyle="1" w:styleId="1850">
    <w:name w:val="declear"/>
    <w:basedOn w:val="1"/>
    <w:qFormat/>
    <w:uiPriority w:val="0"/>
    <w:pPr>
      <w:widowControl/>
      <w:spacing w:before="100" w:beforeAutospacing="1" w:after="100" w:afterAutospacing="1"/>
      <w:jc w:val="left"/>
    </w:pPr>
    <w:rPr>
      <w:rFonts w:ascii="宋体" w:hAnsi="宋体" w:cs="宋体"/>
      <w:kern w:val="0"/>
      <w:sz w:val="24"/>
    </w:rPr>
  </w:style>
  <w:style w:type="character" w:customStyle="1" w:styleId="1851">
    <w:name w:val="title10"/>
    <w:qFormat/>
    <w:uiPriority w:val="0"/>
  </w:style>
  <w:style w:type="character" w:customStyle="1" w:styleId="1852">
    <w:name w:val="Char Char11"/>
    <w:qFormat/>
    <w:uiPriority w:val="0"/>
    <w:rPr>
      <w:rFonts w:eastAsia="宋体"/>
      <w:kern w:val="2"/>
      <w:sz w:val="18"/>
      <w:szCs w:val="18"/>
      <w:lang w:val="en-US" w:eastAsia="zh-CN" w:bidi="ar-SA"/>
    </w:rPr>
  </w:style>
  <w:style w:type="character" w:customStyle="1" w:styleId="1853">
    <w:name w:val="！正文 Char"/>
    <w:qFormat/>
    <w:uiPriority w:val="0"/>
    <w:rPr>
      <w:rFonts w:ascii="宋体" w:hAnsi="Arial" w:eastAsia="宋体" w:cs="宋体"/>
      <w:sz w:val="28"/>
      <w:szCs w:val="28"/>
    </w:rPr>
  </w:style>
  <w:style w:type="character" w:customStyle="1" w:styleId="1854">
    <w:name w:val="正文（首行缩进两字） Char Char Char Char Char Char Char Char Char Char Char Char"/>
    <w:qFormat/>
    <w:locked/>
    <w:uiPriority w:val="0"/>
    <w:rPr>
      <w:rFonts w:ascii="楷体_GB2312" w:eastAsia="楷体_GB2312"/>
      <w:kern w:val="2"/>
      <w:sz w:val="28"/>
    </w:rPr>
  </w:style>
  <w:style w:type="paragraph" w:customStyle="1" w:styleId="1855">
    <w:name w:val="样式 (符号) 宋体 首行缩进:  2 字符"/>
    <w:basedOn w:val="1"/>
    <w:qFormat/>
    <w:uiPriority w:val="0"/>
    <w:pPr>
      <w:adjustRightInd w:val="0"/>
      <w:snapToGrid w:val="0"/>
      <w:spacing w:line="480" w:lineRule="atLeast"/>
      <w:ind w:firstLine="200" w:firstLineChars="200"/>
    </w:pPr>
    <w:rPr>
      <w:rFonts w:hAnsi="宋体" w:cs="宋体"/>
      <w:color w:val="000000"/>
      <w:sz w:val="26"/>
      <w:szCs w:val="20"/>
    </w:rPr>
  </w:style>
  <w:style w:type="paragraph" w:customStyle="1" w:styleId="1856">
    <w:name w:val="页脚居中"/>
    <w:qFormat/>
    <w:uiPriority w:val="0"/>
    <w:pPr>
      <w:pBdr>
        <w:top w:val="single" w:color="auto" w:sz="4" w:space="1"/>
      </w:pBdr>
      <w:jc w:val="center"/>
    </w:pPr>
    <w:rPr>
      <w:rFonts w:ascii="Arial" w:hAnsi="Arial" w:eastAsia="宋体" w:cs="Times New Roman"/>
      <w:b/>
      <w:kern w:val="2"/>
      <w:sz w:val="21"/>
      <w:lang w:val="en-US" w:eastAsia="zh-CN" w:bidi="ar-SA"/>
    </w:rPr>
  </w:style>
  <w:style w:type="paragraph" w:customStyle="1" w:styleId="1857">
    <w:name w:val="中煤表头"/>
    <w:basedOn w:val="1"/>
    <w:qFormat/>
    <w:uiPriority w:val="0"/>
    <w:pPr>
      <w:adjustRightInd w:val="0"/>
      <w:snapToGrid w:val="0"/>
      <w:spacing w:line="460" w:lineRule="exact"/>
      <w:ind w:firstLine="200" w:firstLineChars="200"/>
    </w:pPr>
    <w:rPr>
      <w:rFonts w:ascii="黑体" w:hAnsi="黑体" w:eastAsia="黑体"/>
      <w:sz w:val="26"/>
      <w:szCs w:val="26"/>
      <w:lang w:val="zh-CN"/>
    </w:rPr>
  </w:style>
  <w:style w:type="paragraph" w:customStyle="1" w:styleId="1858">
    <w:name w:val="间隔"/>
    <w:next w:val="34"/>
    <w:qFormat/>
    <w:uiPriority w:val="0"/>
    <w:pPr>
      <w:widowControl w:val="0"/>
      <w:spacing w:line="200" w:lineRule="atLeast"/>
      <w:ind w:firstLine="105" w:firstLineChars="50"/>
    </w:pPr>
    <w:rPr>
      <w:rFonts w:ascii="宋体" w:hAnsi="宋体" w:eastAsia="宋体" w:cs="Times New Roman"/>
      <w:color w:val="000000"/>
      <w:kern w:val="2"/>
      <w:sz w:val="21"/>
      <w:szCs w:val="21"/>
      <w:lang w:val="en-US" w:eastAsia="zh-CN" w:bidi="ar-SA"/>
    </w:rPr>
  </w:style>
  <w:style w:type="paragraph" w:customStyle="1" w:styleId="1859">
    <w:name w:val="王志臣"/>
    <w:basedOn w:val="1"/>
    <w:qFormat/>
    <w:uiPriority w:val="0"/>
    <w:pPr>
      <w:spacing w:line="500" w:lineRule="exact"/>
      <w:ind w:firstLine="556"/>
    </w:pPr>
    <w:rPr>
      <w:rFonts w:ascii="楷体_GB2312" w:eastAsia="楷体_GB2312"/>
      <w:sz w:val="28"/>
      <w:szCs w:val="20"/>
    </w:rPr>
  </w:style>
  <w:style w:type="character" w:customStyle="1" w:styleId="1860">
    <w:name w:val="Bullet - Sub Char Char"/>
    <w:qFormat/>
    <w:uiPriority w:val="0"/>
    <w:rPr>
      <w:rFonts w:ascii="Times New Roman" w:hAnsi="Times New Roman"/>
      <w:spacing w:val="-3"/>
      <w:sz w:val="22"/>
      <w:szCs w:val="22"/>
      <w:lang w:val="en-US" w:eastAsia="en-US" w:bidi="ar-SA"/>
    </w:rPr>
  </w:style>
  <w:style w:type="character" w:customStyle="1" w:styleId="1861">
    <w:name w:val="样式 正文 首行缩进:  2 字符 SL CON + 首行缩进:  2 字符 Char"/>
    <w:qFormat/>
    <w:uiPriority w:val="0"/>
    <w:rPr>
      <w:rFonts w:eastAsia="宋体" w:cs="宋体"/>
      <w:sz w:val="24"/>
      <w:lang w:val="en-US" w:eastAsia="zh-CN" w:bidi="ar-SA"/>
    </w:rPr>
  </w:style>
  <w:style w:type="character" w:customStyle="1" w:styleId="1862">
    <w:name w:val="样式 表（或图）标题 样式 宋体 五号 居中 SL CON + 非加粗 Char"/>
    <w:link w:val="1863"/>
    <w:qFormat/>
    <w:uiPriority w:val="0"/>
    <w:rPr>
      <w:rFonts w:ascii="宋体" w:hAnsi="宋体" w:cs="宋体"/>
      <w:b/>
    </w:rPr>
  </w:style>
  <w:style w:type="paragraph" w:customStyle="1" w:styleId="1863">
    <w:name w:val="样式 表（或图）标题 样式 宋体 五号 居中 SL CON + 非加粗"/>
    <w:basedOn w:val="1"/>
    <w:link w:val="1862"/>
    <w:qFormat/>
    <w:uiPriority w:val="0"/>
    <w:pPr>
      <w:widowControl/>
      <w:tabs>
        <w:tab w:val="left" w:pos="377"/>
      </w:tabs>
      <w:jc w:val="center"/>
    </w:pPr>
    <w:rPr>
      <w:rFonts w:ascii="宋体" w:hAnsi="宋体" w:cs="宋体"/>
      <w:b/>
      <w:kern w:val="0"/>
      <w:sz w:val="20"/>
      <w:szCs w:val="20"/>
    </w:rPr>
  </w:style>
  <w:style w:type="paragraph" w:customStyle="1" w:styleId="1864">
    <w:name w:val="图表内容"/>
    <w:next w:val="34"/>
    <w:qFormat/>
    <w:uiPriority w:val="0"/>
    <w:pPr>
      <w:widowControl w:val="0"/>
      <w:adjustRightInd w:val="0"/>
      <w:snapToGrid w:val="0"/>
      <w:spacing w:line="276" w:lineRule="auto"/>
    </w:pPr>
    <w:rPr>
      <w:rFonts w:ascii="Times New Roman" w:hAnsi="Times New Roman" w:eastAsia="宋体" w:cs="Times New Roman"/>
      <w:kern w:val="2"/>
      <w:sz w:val="24"/>
      <w:szCs w:val="24"/>
      <w:lang w:val="en-US" w:eastAsia="zh-CN" w:bidi="ar-SA"/>
    </w:rPr>
  </w:style>
  <w:style w:type="paragraph" w:customStyle="1" w:styleId="1865">
    <w:name w:val="页岩气标题2"/>
    <w:basedOn w:val="1"/>
    <w:link w:val="1866"/>
    <w:qFormat/>
    <w:uiPriority w:val="0"/>
    <w:pPr>
      <w:adjustRightInd w:val="0"/>
      <w:snapToGrid w:val="0"/>
      <w:spacing w:line="300" w:lineRule="auto"/>
      <w:textAlignment w:val="baseline"/>
      <w:outlineLvl w:val="1"/>
    </w:pPr>
    <w:rPr>
      <w:rFonts w:ascii="黑体" w:hAnsi="黑体" w:eastAsia="黑体"/>
      <w:sz w:val="28"/>
      <w:szCs w:val="28"/>
      <w:lang w:val="zh-CN"/>
    </w:rPr>
  </w:style>
  <w:style w:type="character" w:customStyle="1" w:styleId="1866">
    <w:name w:val="页岩气标题2 Char"/>
    <w:link w:val="1865"/>
    <w:qFormat/>
    <w:uiPriority w:val="0"/>
    <w:rPr>
      <w:rFonts w:ascii="黑体" w:hAnsi="黑体" w:eastAsia="黑体"/>
      <w:kern w:val="2"/>
      <w:sz w:val="28"/>
      <w:szCs w:val="28"/>
      <w:lang w:val="zh-CN"/>
    </w:rPr>
  </w:style>
  <w:style w:type="paragraph" w:customStyle="1" w:styleId="1867">
    <w:name w:val="中煤1.1.1"/>
    <w:basedOn w:val="1"/>
    <w:qFormat/>
    <w:uiPriority w:val="0"/>
    <w:pPr>
      <w:keepNext/>
      <w:keepLines/>
      <w:adjustRightInd w:val="0"/>
      <w:snapToGrid w:val="0"/>
      <w:spacing w:line="460" w:lineRule="exact"/>
      <w:ind w:firstLine="200" w:firstLineChars="200"/>
      <w:outlineLvl w:val="2"/>
    </w:pPr>
    <w:rPr>
      <w:rFonts w:ascii="宋体" w:hAnsi="宋体"/>
      <w:b/>
      <w:bCs/>
      <w:kern w:val="0"/>
      <w:sz w:val="26"/>
      <w:szCs w:val="26"/>
      <w:lang w:bidi="en-US"/>
    </w:rPr>
  </w:style>
  <w:style w:type="paragraph" w:customStyle="1" w:styleId="1868">
    <w:name w:val="表芯"/>
    <w:basedOn w:val="1"/>
    <w:next w:val="1"/>
    <w:qFormat/>
    <w:uiPriority w:val="0"/>
    <w:pPr>
      <w:keepNext/>
      <w:adjustRightInd w:val="0"/>
      <w:spacing w:before="20" w:line="0" w:lineRule="atLeast"/>
      <w:jc w:val="center"/>
      <w:textAlignment w:val="baseline"/>
    </w:pPr>
    <w:rPr>
      <w:kern w:val="21"/>
      <w:szCs w:val="20"/>
    </w:rPr>
  </w:style>
  <w:style w:type="paragraph" w:customStyle="1" w:styleId="1869">
    <w:name w:val="正文 + arial"/>
    <w:basedOn w:val="1"/>
    <w:qFormat/>
    <w:uiPriority w:val="0"/>
    <w:pPr>
      <w:jc w:val="center"/>
    </w:pPr>
    <w:rPr>
      <w:rFonts w:ascii="宋体" w:hAnsi="宋体" w:cs="Arial"/>
    </w:rPr>
  </w:style>
  <w:style w:type="character" w:customStyle="1" w:styleId="1870">
    <w:name w:val="节标题 Char3"/>
    <w:qFormat/>
    <w:uiPriority w:val="0"/>
    <w:rPr>
      <w:rFonts w:eastAsia="黑体"/>
      <w:b/>
      <w:bCs/>
      <w:kern w:val="2"/>
      <w:sz w:val="32"/>
      <w:szCs w:val="32"/>
      <w:lang w:val="zh-CN" w:eastAsia="zh-CN" w:bidi="ar-SA"/>
    </w:rPr>
  </w:style>
  <w:style w:type="paragraph" w:customStyle="1" w:styleId="1871">
    <w:name w:val="小四正文"/>
    <w:link w:val="1872"/>
    <w:qFormat/>
    <w:uiPriority w:val="0"/>
    <w:pPr>
      <w:widowControl w:val="0"/>
      <w:spacing w:before="120" w:beforeLines="50" w:line="360" w:lineRule="auto"/>
      <w:ind w:firstLine="422"/>
      <w:jc w:val="distribute"/>
    </w:pPr>
    <w:rPr>
      <w:rFonts w:ascii="Times New Roman" w:hAnsi="Times New Roman" w:eastAsia="宋体" w:cs="Times New Roman"/>
      <w:b/>
      <w:kern w:val="2"/>
      <w:sz w:val="21"/>
      <w:szCs w:val="21"/>
      <w:lang w:val="en-US" w:eastAsia="zh-CN" w:bidi="ar-SA"/>
    </w:rPr>
  </w:style>
  <w:style w:type="character" w:customStyle="1" w:styleId="1872">
    <w:name w:val="小四正文 Char"/>
    <w:link w:val="1871"/>
    <w:qFormat/>
    <w:uiPriority w:val="0"/>
    <w:rPr>
      <w:b/>
      <w:kern w:val="2"/>
      <w:sz w:val="21"/>
      <w:szCs w:val="21"/>
    </w:rPr>
  </w:style>
  <w:style w:type="paragraph" w:customStyle="1" w:styleId="1873">
    <w:name w:val="偶的正文"/>
    <w:basedOn w:val="86"/>
    <w:link w:val="1874"/>
    <w:qFormat/>
    <w:uiPriority w:val="0"/>
    <w:pPr>
      <w:spacing w:after="0" w:line="360" w:lineRule="auto"/>
      <w:ind w:left="1469" w:right="1469" w:firstLine="0" w:firstLineChars="0"/>
      <w:jc w:val="center"/>
    </w:pPr>
    <w:rPr>
      <w:rFonts w:asciiTheme="minorHAnsi" w:hAnsiTheme="minorHAnsi" w:eastAsiaTheme="minorEastAsia" w:cstheme="minorBidi"/>
      <w:color w:val="FF0000"/>
      <w:kern w:val="0"/>
      <w:sz w:val="24"/>
      <w:szCs w:val="21"/>
      <w:lang w:val="zh-CN"/>
    </w:rPr>
  </w:style>
  <w:style w:type="character" w:customStyle="1" w:styleId="1874">
    <w:name w:val="偶的正文 Char Char"/>
    <w:link w:val="1873"/>
    <w:qFormat/>
    <w:uiPriority w:val="0"/>
    <w:rPr>
      <w:rFonts w:asciiTheme="minorHAnsi" w:hAnsiTheme="minorHAnsi" w:eastAsiaTheme="minorEastAsia" w:cstheme="minorBidi"/>
      <w:color w:val="FF0000"/>
      <w:sz w:val="24"/>
      <w:szCs w:val="21"/>
      <w:lang w:val="zh-CN"/>
    </w:rPr>
  </w:style>
  <w:style w:type="character" w:customStyle="1" w:styleId="1875">
    <w:name w:val="yxNone"/>
    <w:qFormat/>
    <w:uiPriority w:val="0"/>
  </w:style>
  <w:style w:type="character" w:customStyle="1" w:styleId="1876">
    <w:name w:val="yxExternal"/>
    <w:qFormat/>
    <w:uiPriority w:val="0"/>
    <w:rPr>
      <w:rFonts w:ascii="Courier New" w:hAnsi="Courier New"/>
      <w:color w:val="808080"/>
      <w:sz w:val="32"/>
      <w:szCs w:val="32"/>
    </w:rPr>
  </w:style>
  <w:style w:type="character" w:customStyle="1" w:styleId="1877">
    <w:name w:val="yxPopup"/>
    <w:qFormat/>
    <w:uiPriority w:val="0"/>
    <w:rPr>
      <w:rFonts w:ascii="Courier New" w:hAnsi="Courier New"/>
      <w:color w:val="008000"/>
      <w:sz w:val="32"/>
      <w:szCs w:val="32"/>
    </w:rPr>
  </w:style>
  <w:style w:type="character" w:customStyle="1" w:styleId="1878">
    <w:name w:val="yxJump"/>
    <w:qFormat/>
    <w:uiPriority w:val="0"/>
    <w:rPr>
      <w:rFonts w:ascii="Courier New" w:hAnsi="Courier New"/>
      <w:color w:val="008080"/>
      <w:sz w:val="32"/>
      <w:szCs w:val="32"/>
    </w:rPr>
  </w:style>
  <w:style w:type="character" w:customStyle="1" w:styleId="1879">
    <w:name w:val="yxInternal"/>
    <w:qFormat/>
    <w:uiPriority w:val="0"/>
    <w:rPr>
      <w:rFonts w:ascii="Courier New" w:hAnsi="Courier New"/>
      <w:color w:val="FF0000"/>
      <w:sz w:val="32"/>
      <w:szCs w:val="32"/>
    </w:rPr>
  </w:style>
  <w:style w:type="character" w:customStyle="1" w:styleId="1880">
    <w:name w:val="yxMark"/>
    <w:qFormat/>
    <w:uiPriority w:val="0"/>
    <w:rPr>
      <w:rFonts w:ascii="Courier New" w:hAnsi="Courier New"/>
      <w:vanish/>
      <w:color w:val="800000"/>
      <w:sz w:val="32"/>
      <w:szCs w:val="32"/>
      <w:vertAlign w:val="subscript"/>
    </w:rPr>
  </w:style>
  <w:style w:type="paragraph" w:customStyle="1" w:styleId="1881">
    <w:name w:val="Char4 Char Char Char Char Char Char1"/>
    <w:basedOn w:val="1"/>
    <w:qFormat/>
    <w:uiPriority w:val="0"/>
    <w:pPr>
      <w:spacing w:line="360" w:lineRule="auto"/>
      <w:ind w:firstLine="200" w:firstLineChars="200"/>
    </w:pPr>
    <w:rPr>
      <w:rFonts w:ascii="宋体" w:hAnsi="宋体" w:cs="宋体"/>
      <w:sz w:val="24"/>
    </w:rPr>
  </w:style>
  <w:style w:type="paragraph" w:customStyle="1" w:styleId="1882">
    <w:name w:val="正文-使用"/>
    <w:basedOn w:val="1"/>
    <w:qFormat/>
    <w:uiPriority w:val="0"/>
    <w:pPr>
      <w:spacing w:line="360" w:lineRule="auto"/>
      <w:ind w:firstLine="482"/>
    </w:pPr>
    <w:rPr>
      <w:sz w:val="24"/>
      <w:szCs w:val="20"/>
    </w:rPr>
  </w:style>
  <w:style w:type="paragraph" w:customStyle="1" w:styleId="1883">
    <w:name w:val="正文缩"/>
    <w:basedOn w:val="1"/>
    <w:qFormat/>
    <w:uiPriority w:val="0"/>
    <w:pPr>
      <w:adjustRightInd w:val="0"/>
      <w:snapToGrid w:val="0"/>
      <w:spacing w:line="360" w:lineRule="auto"/>
      <w:ind w:firstLine="567"/>
      <w:textAlignment w:val="baseline"/>
    </w:pPr>
    <w:rPr>
      <w:rFonts w:ascii="宋体"/>
      <w:spacing w:val="6"/>
      <w:kern w:val="0"/>
      <w:sz w:val="28"/>
      <w:szCs w:val="20"/>
    </w:rPr>
  </w:style>
  <w:style w:type="paragraph" w:customStyle="1" w:styleId="1884">
    <w:name w:val="样式 正文缩进 + (西文) 宋体 四号"/>
    <w:basedOn w:val="21"/>
    <w:link w:val="1885"/>
    <w:qFormat/>
    <w:uiPriority w:val="0"/>
    <w:pPr>
      <w:adjustRightInd w:val="0"/>
      <w:spacing w:line="500" w:lineRule="exact"/>
      <w:ind w:firstLine="480" w:firstLineChars="200"/>
      <w:textAlignment w:val="baseline"/>
    </w:pPr>
    <w:rPr>
      <w:color w:val="000000"/>
      <w:sz w:val="24"/>
      <w:szCs w:val="24"/>
      <w:lang w:val="zh-CN"/>
    </w:rPr>
  </w:style>
  <w:style w:type="character" w:customStyle="1" w:styleId="1885">
    <w:name w:val="样式 正文缩进 + (西文) 宋体 四号 Char"/>
    <w:link w:val="1884"/>
    <w:qFormat/>
    <w:uiPriority w:val="0"/>
    <w:rPr>
      <w:color w:val="000000"/>
      <w:kern w:val="2"/>
      <w:sz w:val="24"/>
      <w:szCs w:val="24"/>
      <w:lang w:val="zh-CN"/>
    </w:rPr>
  </w:style>
  <w:style w:type="paragraph" w:customStyle="1" w:styleId="1886">
    <w:name w:val="正文新标准"/>
    <w:basedOn w:val="70"/>
    <w:qFormat/>
    <w:uiPriority w:val="0"/>
    <w:pPr>
      <w:tabs>
        <w:tab w:val="left" w:pos="5940"/>
      </w:tabs>
      <w:spacing w:after="0" w:line="560" w:lineRule="exact"/>
      <w:ind w:left="0" w:leftChars="0" w:firstLine="200" w:firstLineChars="200"/>
      <w:jc w:val="left"/>
    </w:pPr>
    <w:rPr>
      <w:rFonts w:hAnsiTheme="minorHAnsi" w:eastAsiaTheme="minorEastAsia" w:cstheme="minorBidi"/>
      <w:kern w:val="0"/>
      <w:sz w:val="28"/>
      <w:szCs w:val="24"/>
      <w:lang w:val="zh-CN"/>
    </w:rPr>
  </w:style>
  <w:style w:type="paragraph" w:customStyle="1" w:styleId="1887">
    <w:name w:val="CM62"/>
    <w:basedOn w:val="1"/>
    <w:next w:val="1"/>
    <w:qFormat/>
    <w:uiPriority w:val="0"/>
    <w:pPr>
      <w:autoSpaceDE w:val="0"/>
      <w:autoSpaceDN w:val="0"/>
      <w:adjustRightInd w:val="0"/>
      <w:spacing w:after="198"/>
      <w:jc w:val="left"/>
    </w:pPr>
    <w:rPr>
      <w:rFonts w:ascii="Arial" w:hAnsi="Arial"/>
      <w:kern w:val="0"/>
      <w:sz w:val="24"/>
    </w:rPr>
  </w:style>
  <w:style w:type="character" w:customStyle="1" w:styleId="1888">
    <w:name w:val="tpc_content1"/>
    <w:qFormat/>
    <w:uiPriority w:val="0"/>
    <w:rPr>
      <w:sz w:val="20"/>
      <w:szCs w:val="20"/>
    </w:rPr>
  </w:style>
  <w:style w:type="paragraph" w:customStyle="1" w:styleId="1889">
    <w:name w:val="Char Char Char Char Char Char2 Char Char Char Char Char Char1 Char Char Char Char"/>
    <w:basedOn w:val="1"/>
    <w:qFormat/>
    <w:uiPriority w:val="0"/>
    <w:pPr>
      <w:spacing w:before="300" w:after="300" w:line="560" w:lineRule="exact"/>
    </w:pPr>
    <w:rPr>
      <w:rFonts w:eastAsia="黑体"/>
      <w:sz w:val="36"/>
      <w:szCs w:val="36"/>
    </w:rPr>
  </w:style>
  <w:style w:type="character" w:customStyle="1" w:styleId="1890">
    <w:name w:val="表格内字体 Char"/>
    <w:qFormat/>
    <w:uiPriority w:val="0"/>
    <w:rPr>
      <w:rFonts w:ascii="宋体" w:eastAsia="宋体" w:cs="宋体"/>
      <w:kern w:val="2"/>
      <w:sz w:val="21"/>
      <w:szCs w:val="21"/>
      <w:lang w:val="en-US" w:eastAsia="zh-CN" w:bidi="ar-SA"/>
    </w:rPr>
  </w:style>
  <w:style w:type="paragraph" w:customStyle="1" w:styleId="1891">
    <w:name w:val="Par1"/>
    <w:basedOn w:val="1"/>
    <w:qFormat/>
    <w:uiPriority w:val="0"/>
    <w:pPr>
      <w:widowControl/>
      <w:spacing w:after="180"/>
      <w:ind w:left="709" w:hanging="709"/>
    </w:pPr>
    <w:rPr>
      <w:rFonts w:ascii="Arial" w:hAnsi="Arial"/>
      <w:kern w:val="0"/>
      <w:sz w:val="22"/>
      <w:szCs w:val="20"/>
      <w:lang w:val="en-GB"/>
    </w:rPr>
  </w:style>
  <w:style w:type="paragraph" w:customStyle="1" w:styleId="1892">
    <w:name w:val="偶的正文 Char Char Char"/>
    <w:basedOn w:val="86"/>
    <w:link w:val="1893"/>
    <w:qFormat/>
    <w:uiPriority w:val="0"/>
    <w:pPr>
      <w:spacing w:after="0" w:line="440" w:lineRule="exact"/>
      <w:ind w:firstLine="480" w:firstLineChars="200"/>
    </w:pPr>
    <w:rPr>
      <w:rFonts w:ascii="宋体" w:cs="Arial" w:hAnsiTheme="minorHAnsi" w:eastAsiaTheme="minorEastAsia"/>
      <w:color w:val="FF0000"/>
      <w:kern w:val="0"/>
      <w:sz w:val="24"/>
      <w:szCs w:val="21"/>
    </w:rPr>
  </w:style>
  <w:style w:type="character" w:customStyle="1" w:styleId="1893">
    <w:name w:val="偶的正文 Char Char Char Char"/>
    <w:link w:val="1892"/>
    <w:qFormat/>
    <w:uiPriority w:val="0"/>
    <w:rPr>
      <w:rFonts w:ascii="宋体" w:cs="Arial" w:hAnsiTheme="minorHAnsi" w:eastAsiaTheme="minorEastAsia"/>
      <w:color w:val="FF0000"/>
      <w:sz w:val="24"/>
      <w:szCs w:val="21"/>
    </w:rPr>
  </w:style>
  <w:style w:type="paragraph" w:customStyle="1" w:styleId="1894">
    <w:name w:val="我的图表标题"/>
    <w:basedOn w:val="35"/>
    <w:link w:val="1895"/>
    <w:qFormat/>
    <w:uiPriority w:val="0"/>
    <w:pPr>
      <w:spacing w:after="0"/>
      <w:ind w:left="0" w:leftChars="0"/>
      <w:jc w:val="center"/>
    </w:pPr>
    <w:rPr>
      <w:b/>
      <w:bCs/>
      <w:snapToGrid/>
      <w:kern w:val="2"/>
      <w:sz w:val="21"/>
      <w:szCs w:val="21"/>
    </w:rPr>
  </w:style>
  <w:style w:type="character" w:customStyle="1" w:styleId="1895">
    <w:name w:val="我的图表标题 Char"/>
    <w:link w:val="1894"/>
    <w:qFormat/>
    <w:uiPriority w:val="0"/>
    <w:rPr>
      <w:b/>
      <w:bCs/>
      <w:kern w:val="2"/>
      <w:sz w:val="21"/>
      <w:szCs w:val="21"/>
    </w:rPr>
  </w:style>
  <w:style w:type="paragraph" w:customStyle="1" w:styleId="1896">
    <w:name w:val="样式 标题2 + 行距: 固定值 30 磅"/>
    <w:basedOn w:val="1"/>
    <w:qFormat/>
    <w:uiPriority w:val="0"/>
    <w:pPr>
      <w:spacing w:before="240" w:after="120" w:line="360" w:lineRule="auto"/>
      <w:outlineLvl w:val="1"/>
    </w:pPr>
    <w:rPr>
      <w:rFonts w:ascii="黑体" w:hAnsi="宋体" w:eastAsia="黑体"/>
      <w:sz w:val="30"/>
      <w:szCs w:val="30"/>
    </w:rPr>
  </w:style>
  <w:style w:type="paragraph" w:customStyle="1" w:styleId="1897">
    <w:name w:val="样式 正文文字 21 + 小四 首行缩进:  2 字符 行距: 1.5 倍行距"/>
    <w:basedOn w:val="1"/>
    <w:qFormat/>
    <w:uiPriority w:val="0"/>
    <w:pPr>
      <w:spacing w:line="360" w:lineRule="auto"/>
      <w:ind w:firstLine="480" w:firstLineChars="200"/>
    </w:pPr>
    <w:rPr>
      <w:rFonts w:cs="宋体"/>
      <w:sz w:val="24"/>
    </w:rPr>
  </w:style>
  <w:style w:type="paragraph" w:customStyle="1" w:styleId="1898">
    <w:name w:val="样式 标题3 + 小三"/>
    <w:basedOn w:val="1"/>
    <w:qFormat/>
    <w:uiPriority w:val="0"/>
    <w:pPr>
      <w:spacing w:line="360" w:lineRule="auto"/>
    </w:pPr>
    <w:rPr>
      <w:rFonts w:ascii="宋体" w:hAnsi="宋体"/>
      <w:bCs/>
      <w:sz w:val="28"/>
      <w:szCs w:val="28"/>
    </w:rPr>
  </w:style>
  <w:style w:type="paragraph" w:customStyle="1" w:styleId="1899">
    <w:name w:val="样式 标题1 + 行距: 固定值 24 磅"/>
    <w:basedOn w:val="297"/>
    <w:qFormat/>
    <w:uiPriority w:val="0"/>
    <w:pPr>
      <w:tabs>
        <w:tab w:val="left" w:pos="786"/>
        <w:tab w:val="right" w:leader="dot" w:pos="9016"/>
      </w:tabs>
      <w:adjustRightInd/>
      <w:snapToGrid/>
      <w:spacing w:before="360" w:beforeLines="0" w:after="240" w:afterLines="0"/>
      <w:ind w:left="786" w:hanging="360" w:hangingChars="200"/>
      <w:jc w:val="center"/>
    </w:pPr>
    <w:rPr>
      <w:rFonts w:eastAsia="黑体" w:cs="宋体"/>
      <w:caps/>
      <w:sz w:val="32"/>
      <w:szCs w:val="32"/>
    </w:rPr>
  </w:style>
  <w:style w:type="paragraph" w:customStyle="1" w:styleId="1900">
    <w:name w:val="样式 样式 样式1 + 首行缩进:  1.92 字符 + 首行缩进:  1.92 字符"/>
    <w:basedOn w:val="1"/>
    <w:qFormat/>
    <w:uiPriority w:val="0"/>
    <w:pPr>
      <w:snapToGrid w:val="0"/>
      <w:spacing w:line="360" w:lineRule="auto"/>
      <w:ind w:firstLine="461" w:firstLineChars="192"/>
      <w:jc w:val="left"/>
    </w:pPr>
    <w:rPr>
      <w:rFonts w:ascii="Arial" w:hAnsi="Arial" w:cs="宋体"/>
      <w:kern w:val="30"/>
      <w:sz w:val="24"/>
      <w:szCs w:val="20"/>
    </w:rPr>
  </w:style>
  <w:style w:type="paragraph" w:customStyle="1" w:styleId="1901">
    <w:name w:val="样式 (符号) 宋体 五号 黑色 行距: 固定值 12 磅"/>
    <w:basedOn w:val="1"/>
    <w:qFormat/>
    <w:uiPriority w:val="0"/>
    <w:pPr>
      <w:spacing w:line="240" w:lineRule="exact"/>
    </w:pPr>
    <w:rPr>
      <w:rFonts w:ascii="Arial" w:hAnsi="Arial" w:cs="宋体"/>
      <w:color w:val="000000"/>
      <w:kern w:val="30"/>
      <w:szCs w:val="20"/>
    </w:rPr>
  </w:style>
  <w:style w:type="paragraph" w:customStyle="1" w:styleId="1902">
    <w:name w:val="图表正文"/>
    <w:basedOn w:val="1"/>
    <w:qFormat/>
    <w:uiPriority w:val="0"/>
    <w:pPr>
      <w:spacing w:line="0" w:lineRule="atLeast"/>
      <w:jc w:val="center"/>
      <w:textAlignment w:val="center"/>
    </w:pPr>
  </w:style>
  <w:style w:type="character" w:customStyle="1" w:styleId="1903">
    <w:name w:val="style211"/>
    <w:qFormat/>
    <w:uiPriority w:val="0"/>
    <w:rPr>
      <w:rFonts w:hint="eastAsia" w:ascii="宋体" w:hAnsi="宋体" w:eastAsia="宋体"/>
      <w:sz w:val="18"/>
      <w:szCs w:val="18"/>
    </w:rPr>
  </w:style>
  <w:style w:type="paragraph" w:customStyle="1" w:styleId="1904">
    <w:name w:val="样式 小五 居中 底端: (单实线 自动设置  0.75 磅 行宽) 行距: 固定值 12 磅1"/>
    <w:basedOn w:val="1"/>
    <w:next w:val="1"/>
    <w:qFormat/>
    <w:uiPriority w:val="0"/>
    <w:pPr>
      <w:spacing w:line="240" w:lineRule="exact"/>
      <w:jc w:val="center"/>
    </w:pPr>
    <w:rPr>
      <w:rFonts w:cs="宋体"/>
      <w:sz w:val="18"/>
      <w:szCs w:val="20"/>
    </w:rPr>
  </w:style>
  <w:style w:type="paragraph" w:customStyle="1" w:styleId="1905">
    <w:name w:val="图题注"/>
    <w:basedOn w:val="22"/>
    <w:qFormat/>
    <w:uiPriority w:val="0"/>
    <w:pPr>
      <w:spacing w:line="240" w:lineRule="auto"/>
      <w:ind w:firstLine="0" w:firstLineChars="0"/>
      <w:jc w:val="center"/>
    </w:pPr>
    <w:rPr>
      <w:rFonts w:ascii="宋体" w:hAnsi="Arial" w:cs="宋体" w:eastAsiaTheme="minorEastAsia"/>
      <w:bCs/>
      <w:caps w:val="0"/>
      <w:spacing w:val="0"/>
      <w:sz w:val="21"/>
      <w:szCs w:val="21"/>
    </w:rPr>
  </w:style>
  <w:style w:type="character" w:customStyle="1" w:styleId="1906">
    <w:name w:val="标题 21"/>
    <w:qFormat/>
    <w:uiPriority w:val="0"/>
    <w:rPr>
      <w:rFonts w:ascii="Arial" w:hAnsi="Arial" w:eastAsia="宋体"/>
      <w:b/>
      <w:bCs/>
      <w:kern w:val="2"/>
      <w:sz w:val="28"/>
      <w:szCs w:val="28"/>
      <w:lang w:val="en-US" w:eastAsia="zh-CN" w:bidi="ar-SA"/>
    </w:rPr>
  </w:style>
  <w:style w:type="paragraph" w:customStyle="1" w:styleId="1907">
    <w:name w:val="标题 2（用）"/>
    <w:basedOn w:val="4"/>
    <w:qFormat/>
    <w:uiPriority w:val="0"/>
    <w:pPr>
      <w:tabs>
        <w:tab w:val="left" w:pos="785"/>
      </w:tabs>
      <w:adjustRightInd w:val="0"/>
      <w:snapToGrid w:val="0"/>
      <w:spacing w:before="50" w:beforeLines="50" w:after="25" w:afterLines="25" w:line="336" w:lineRule="auto"/>
      <w:ind w:left="57" w:leftChars="111" w:right="210" w:rightChars="100" w:firstLine="520" w:firstLineChars="185"/>
      <w:jc w:val="center"/>
    </w:pPr>
    <w:rPr>
      <w:rFonts w:ascii="黑体" w:hAnsi="宋体" w:eastAsia="黑体"/>
      <w:bCs w:val="0"/>
      <w:color w:val="000000"/>
      <w:sz w:val="28"/>
      <w:szCs w:val="28"/>
      <w:lang w:val="zh-CN"/>
    </w:rPr>
  </w:style>
  <w:style w:type="paragraph" w:customStyle="1" w:styleId="1908">
    <w:name w:val="007"/>
    <w:basedOn w:val="1"/>
    <w:qFormat/>
    <w:uiPriority w:val="0"/>
  </w:style>
  <w:style w:type="paragraph" w:customStyle="1" w:styleId="1909">
    <w:name w:val="图题"/>
    <w:basedOn w:val="73"/>
    <w:next w:val="1"/>
    <w:link w:val="1910"/>
    <w:qFormat/>
    <w:uiPriority w:val="0"/>
    <w:pPr>
      <w:spacing w:line="360" w:lineRule="auto"/>
      <w:ind w:left="0" w:leftChars="0" w:firstLine="0" w:firstLineChars="0"/>
      <w:jc w:val="center"/>
    </w:pPr>
    <w:rPr>
      <w:rFonts w:ascii="黑体" w:eastAsia="黑体"/>
      <w:b/>
      <w:sz w:val="24"/>
    </w:rPr>
  </w:style>
  <w:style w:type="character" w:customStyle="1" w:styleId="1910">
    <w:name w:val="图题 Char"/>
    <w:link w:val="1909"/>
    <w:qFormat/>
    <w:uiPriority w:val="0"/>
    <w:rPr>
      <w:rFonts w:ascii="黑体" w:eastAsia="黑体"/>
      <w:b/>
      <w:kern w:val="2"/>
      <w:sz w:val="24"/>
      <w:szCs w:val="24"/>
    </w:rPr>
  </w:style>
  <w:style w:type="paragraph" w:customStyle="1" w:styleId="1911">
    <w:name w:val="p1"/>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1912">
    <w:name w:val="CM25"/>
    <w:basedOn w:val="1"/>
    <w:next w:val="1"/>
    <w:qFormat/>
    <w:uiPriority w:val="0"/>
    <w:pPr>
      <w:autoSpaceDE w:val="0"/>
      <w:autoSpaceDN w:val="0"/>
      <w:adjustRightInd w:val="0"/>
      <w:spacing w:line="453" w:lineRule="atLeast"/>
      <w:jc w:val="left"/>
    </w:pPr>
    <w:rPr>
      <w:rFonts w:ascii="宋体"/>
      <w:kern w:val="0"/>
      <w:sz w:val="24"/>
    </w:rPr>
  </w:style>
  <w:style w:type="paragraph" w:customStyle="1" w:styleId="1913">
    <w:name w:val="CM72"/>
    <w:basedOn w:val="1"/>
    <w:next w:val="1"/>
    <w:qFormat/>
    <w:uiPriority w:val="0"/>
    <w:pPr>
      <w:autoSpaceDE w:val="0"/>
      <w:autoSpaceDN w:val="0"/>
      <w:adjustRightInd w:val="0"/>
      <w:spacing w:after="183"/>
      <w:jc w:val="left"/>
    </w:pPr>
    <w:rPr>
      <w:rFonts w:ascii="宋体"/>
      <w:kern w:val="0"/>
      <w:sz w:val="24"/>
    </w:rPr>
  </w:style>
  <w:style w:type="paragraph" w:customStyle="1" w:styleId="1914">
    <w:name w:val="CM2"/>
    <w:basedOn w:val="404"/>
    <w:next w:val="404"/>
    <w:qFormat/>
    <w:uiPriority w:val="0"/>
    <w:rPr>
      <w:rFonts w:ascii="宋体" w:eastAsia="宋体" w:cs="宋体"/>
      <w:color w:val="auto"/>
    </w:rPr>
  </w:style>
  <w:style w:type="paragraph" w:customStyle="1" w:styleId="1915">
    <w:name w:val="CM14"/>
    <w:basedOn w:val="404"/>
    <w:next w:val="404"/>
    <w:qFormat/>
    <w:uiPriority w:val="0"/>
    <w:pPr>
      <w:spacing w:line="443" w:lineRule="atLeast"/>
    </w:pPr>
    <w:rPr>
      <w:rFonts w:ascii="宋体" w:eastAsia="宋体" w:cs="宋体"/>
      <w:color w:val="auto"/>
    </w:rPr>
  </w:style>
  <w:style w:type="paragraph" w:customStyle="1" w:styleId="1916">
    <w:name w:val="CM21"/>
    <w:basedOn w:val="404"/>
    <w:next w:val="404"/>
    <w:qFormat/>
    <w:uiPriority w:val="0"/>
    <w:pPr>
      <w:spacing w:line="443" w:lineRule="atLeast"/>
    </w:pPr>
    <w:rPr>
      <w:rFonts w:ascii="宋体" w:eastAsia="宋体" w:cs="宋体"/>
      <w:color w:val="auto"/>
    </w:rPr>
  </w:style>
  <w:style w:type="paragraph" w:customStyle="1" w:styleId="1917">
    <w:name w:val="样式 小四 首行缩进:  1.01 厘米 行距: 1.5 倍行距"/>
    <w:basedOn w:val="1"/>
    <w:qFormat/>
    <w:uiPriority w:val="0"/>
    <w:pPr>
      <w:spacing w:line="360" w:lineRule="auto"/>
      <w:ind w:firstLine="570"/>
    </w:pPr>
    <w:rPr>
      <w:rFonts w:cs="宋体"/>
      <w:sz w:val="24"/>
      <w:szCs w:val="20"/>
    </w:rPr>
  </w:style>
  <w:style w:type="paragraph" w:customStyle="1" w:styleId="1918">
    <w:name w:val="表内字体"/>
    <w:basedOn w:val="1"/>
    <w:qFormat/>
    <w:uiPriority w:val="0"/>
    <w:pPr>
      <w:adjustRightInd w:val="0"/>
      <w:snapToGrid w:val="0"/>
      <w:jc w:val="center"/>
      <w:textAlignment w:val="baseline"/>
    </w:pPr>
    <w:rPr>
      <w:rFonts w:ascii="宋体" w:hAnsi="宋体" w:cs="宋体"/>
      <w:kern w:val="0"/>
      <w:szCs w:val="20"/>
    </w:rPr>
  </w:style>
  <w:style w:type="paragraph" w:customStyle="1" w:styleId="1919">
    <w:name w:val="Char Char Char Char Char Char2 Char Char Char Char Char Char1 Char"/>
    <w:basedOn w:val="1"/>
    <w:qFormat/>
    <w:uiPriority w:val="0"/>
    <w:pPr>
      <w:spacing w:before="300" w:after="300" w:line="560" w:lineRule="exact"/>
    </w:pPr>
    <w:rPr>
      <w:rFonts w:eastAsia="黑体"/>
      <w:sz w:val="36"/>
      <w:szCs w:val="36"/>
    </w:rPr>
  </w:style>
  <w:style w:type="paragraph" w:customStyle="1" w:styleId="1920">
    <w:name w:val="福建正文缩进"/>
    <w:basedOn w:val="21"/>
    <w:qFormat/>
    <w:uiPriority w:val="0"/>
    <w:pPr>
      <w:autoSpaceDE w:val="0"/>
      <w:autoSpaceDN w:val="0"/>
      <w:adjustRightInd w:val="0"/>
      <w:snapToGrid w:val="0"/>
      <w:spacing w:line="360" w:lineRule="auto"/>
      <w:ind w:firstLine="567"/>
    </w:pPr>
    <w:rPr>
      <w:rFonts w:ascii="宋体" w:hAnsi="宋体"/>
      <w:snapToGrid w:val="0"/>
      <w:kern w:val="0"/>
      <w:sz w:val="24"/>
      <w:szCs w:val="24"/>
    </w:rPr>
  </w:style>
  <w:style w:type="paragraph" w:customStyle="1" w:styleId="1921">
    <w:name w:val="字元 字元 字元"/>
    <w:basedOn w:val="1"/>
    <w:qFormat/>
    <w:uiPriority w:val="0"/>
    <w:pPr>
      <w:spacing w:line="360" w:lineRule="auto"/>
      <w:ind w:firstLine="200" w:firstLineChars="200"/>
    </w:pPr>
    <w:rPr>
      <w:rFonts w:ascii="宋体" w:hAnsi="宋体" w:cs="宋体"/>
      <w:sz w:val="24"/>
    </w:rPr>
  </w:style>
  <w:style w:type="paragraph" w:customStyle="1" w:styleId="1922">
    <w:name w:val="表格文本L"/>
    <w:basedOn w:val="1"/>
    <w:qFormat/>
    <w:uiPriority w:val="0"/>
    <w:pPr>
      <w:autoSpaceDE w:val="0"/>
      <w:autoSpaceDN w:val="0"/>
      <w:adjustRightInd w:val="0"/>
      <w:spacing w:line="240" w:lineRule="atLeast"/>
      <w:jc w:val="left"/>
    </w:pPr>
    <w:rPr>
      <w:rFonts w:ascii="Book Antiqua" w:hAnsi="Book Antiqua"/>
      <w:kern w:val="0"/>
      <w:szCs w:val="20"/>
    </w:rPr>
  </w:style>
  <w:style w:type="paragraph" w:customStyle="1" w:styleId="1923">
    <w:name w:val="样式 标题 31.1.1标题03Level 3 HeadH3level_3PIM 3h333rd level..."/>
    <w:basedOn w:val="5"/>
    <w:link w:val="1924"/>
    <w:qFormat/>
    <w:uiPriority w:val="0"/>
    <w:pPr>
      <w:keepLines w:val="0"/>
      <w:tabs>
        <w:tab w:val="left" w:pos="786"/>
      </w:tabs>
      <w:spacing w:before="0" w:after="0" w:line="360" w:lineRule="auto"/>
      <w:ind w:left="786" w:hanging="360" w:hangingChars="200"/>
    </w:pPr>
    <w:rPr>
      <w:rFonts w:ascii="Arial" w:hAnsi="Arial"/>
      <w:b w:val="0"/>
      <w:bCs w:val="0"/>
      <w:snapToGrid w:val="0"/>
      <w:kern w:val="0"/>
      <w:sz w:val="24"/>
      <w:szCs w:val="24"/>
      <w:lang w:val="zh-CN"/>
    </w:rPr>
  </w:style>
  <w:style w:type="character" w:customStyle="1" w:styleId="1924">
    <w:name w:val="样式 标题 31.1.1标题03Level 3 HeadH3level_3PIM 3h333rd level... Char"/>
    <w:link w:val="1923"/>
    <w:qFormat/>
    <w:uiPriority w:val="0"/>
    <w:rPr>
      <w:rFonts w:ascii="Arial" w:hAnsi="Arial"/>
      <w:snapToGrid w:val="0"/>
      <w:sz w:val="24"/>
      <w:szCs w:val="24"/>
      <w:lang w:val="zh-CN"/>
    </w:rPr>
  </w:style>
  <w:style w:type="paragraph" w:customStyle="1" w:styleId="1925">
    <w:name w:val="z-窗体底端111"/>
    <w:basedOn w:val="1"/>
    <w:next w:val="1"/>
    <w:link w:val="1926"/>
    <w:qFormat/>
    <w:uiPriority w:val="0"/>
    <w:pPr>
      <w:widowControl/>
      <w:pBdr>
        <w:top w:val="single" w:color="auto" w:sz="6" w:space="1"/>
      </w:pBdr>
      <w:jc w:val="center"/>
    </w:pPr>
    <w:rPr>
      <w:rFonts w:ascii="Arial" w:hAnsi="Arial"/>
      <w:vanish/>
      <w:kern w:val="0"/>
      <w:sz w:val="16"/>
      <w:szCs w:val="16"/>
      <w:lang w:val="zh-CN"/>
    </w:rPr>
  </w:style>
  <w:style w:type="character" w:customStyle="1" w:styleId="1926">
    <w:name w:val="z-窗体底端 Char"/>
    <w:basedOn w:val="97"/>
    <w:link w:val="1925"/>
    <w:qFormat/>
    <w:uiPriority w:val="0"/>
    <w:rPr>
      <w:rFonts w:ascii="Arial" w:hAnsi="Arial"/>
      <w:vanish/>
      <w:sz w:val="16"/>
      <w:szCs w:val="16"/>
      <w:lang w:val="zh-CN"/>
    </w:rPr>
  </w:style>
  <w:style w:type="character" w:customStyle="1" w:styleId="1927">
    <w:name w:val="1.1 Char3"/>
    <w:qFormat/>
    <w:uiPriority w:val="0"/>
    <w:rPr>
      <w:rFonts w:ascii="Arial" w:hAnsi="Arial" w:eastAsia="黑体"/>
      <w:b/>
      <w:bCs/>
      <w:kern w:val="2"/>
      <w:sz w:val="32"/>
      <w:szCs w:val="32"/>
      <w:lang w:val="en-US" w:eastAsia="zh-CN" w:bidi="ar-SA"/>
    </w:rPr>
  </w:style>
  <w:style w:type="paragraph" w:customStyle="1" w:styleId="1928">
    <w:name w:val="Bullet"/>
    <w:qFormat/>
    <w:uiPriority w:val="0"/>
    <w:pPr>
      <w:numPr>
        <w:ilvl w:val="0"/>
        <w:numId w:val="17"/>
      </w:numPr>
      <w:spacing w:before="180" w:after="60"/>
    </w:pPr>
    <w:rPr>
      <w:rFonts w:ascii="Times New Roman" w:hAnsi="Times New Roman" w:eastAsia="宋体" w:cs="Times New Roman"/>
      <w:sz w:val="22"/>
      <w:lang w:val="en-US" w:eastAsia="en-US" w:bidi="ar-SA"/>
    </w:rPr>
  </w:style>
  <w:style w:type="paragraph" w:customStyle="1" w:styleId="1929">
    <w:name w:val="Bullet - Sub"/>
    <w:link w:val="1930"/>
    <w:qFormat/>
    <w:uiPriority w:val="0"/>
    <w:pPr>
      <w:numPr>
        <w:ilvl w:val="1"/>
        <w:numId w:val="18"/>
      </w:numPr>
      <w:tabs>
        <w:tab w:val="left" w:pos="720"/>
      </w:tabs>
      <w:spacing w:before="120" w:after="60" w:line="280" w:lineRule="atLeast"/>
      <w:ind w:left="720"/>
    </w:pPr>
    <w:rPr>
      <w:rFonts w:ascii="Times New Roman" w:hAnsi="Times New Roman" w:eastAsia="宋体" w:cs="Times New Roman"/>
      <w:spacing w:val="-3"/>
      <w:sz w:val="22"/>
      <w:szCs w:val="22"/>
      <w:lang w:val="en-US" w:eastAsia="en-US" w:bidi="ar-SA"/>
    </w:rPr>
  </w:style>
  <w:style w:type="character" w:customStyle="1" w:styleId="1930">
    <w:name w:val="Bullet - Sub Char"/>
    <w:link w:val="1929"/>
    <w:qFormat/>
    <w:uiPriority w:val="0"/>
    <w:rPr>
      <w:spacing w:val="-3"/>
      <w:sz w:val="22"/>
      <w:szCs w:val="22"/>
      <w:lang w:eastAsia="en-US"/>
    </w:rPr>
  </w:style>
  <w:style w:type="paragraph" w:customStyle="1" w:styleId="1931">
    <w:name w:val="Table Head"/>
    <w:next w:val="1"/>
    <w:qFormat/>
    <w:uiPriority w:val="0"/>
    <w:pPr>
      <w:spacing w:before="80" w:after="80"/>
      <w:jc w:val="center"/>
    </w:pPr>
    <w:rPr>
      <w:rFonts w:ascii="Arial Bold" w:hAnsi="Arial Bold" w:eastAsia="宋体" w:cs="Sendnya"/>
      <w:b/>
      <w:bCs/>
      <w:color w:val="FFFFFF"/>
      <w:sz w:val="18"/>
      <w:szCs w:val="18"/>
      <w:lang w:val="en-US" w:eastAsia="en-US" w:bidi="ar-SA"/>
    </w:rPr>
  </w:style>
  <w:style w:type="paragraph" w:customStyle="1" w:styleId="1932">
    <w:name w:val="Table Text"/>
    <w:basedOn w:val="1"/>
    <w:qFormat/>
    <w:uiPriority w:val="0"/>
    <w:pPr>
      <w:widowControl/>
      <w:spacing w:before="40" w:after="40"/>
      <w:contextualSpacing/>
      <w:jc w:val="left"/>
    </w:pPr>
    <w:rPr>
      <w:rFonts w:ascii="Arial" w:hAnsi="Arial" w:cs="Sendnya"/>
      <w:kern w:val="0"/>
      <w:sz w:val="18"/>
      <w:szCs w:val="18"/>
      <w:lang w:eastAsia="en-US"/>
    </w:rPr>
  </w:style>
  <w:style w:type="paragraph" w:customStyle="1" w:styleId="1933">
    <w:name w:val="Caption - Table"/>
    <w:next w:val="1"/>
    <w:link w:val="1934"/>
    <w:qFormat/>
    <w:uiPriority w:val="0"/>
    <w:pPr>
      <w:spacing w:before="360" w:after="120"/>
    </w:pPr>
    <w:rPr>
      <w:rFonts w:ascii="Arial Bold" w:hAnsi="Arial Bold" w:eastAsia="宋体" w:cs="Times New Roman"/>
      <w:b/>
      <w:bCs/>
      <w:sz w:val="18"/>
      <w:lang w:val="en-US" w:eastAsia="en-US" w:bidi="ar-SA"/>
    </w:rPr>
  </w:style>
  <w:style w:type="character" w:customStyle="1" w:styleId="1934">
    <w:name w:val="Caption - Table Char"/>
    <w:link w:val="1933"/>
    <w:qFormat/>
    <w:uiPriority w:val="0"/>
    <w:rPr>
      <w:rFonts w:ascii="Arial Bold" w:hAnsi="Arial Bold"/>
      <w:b/>
      <w:bCs/>
      <w:sz w:val="18"/>
      <w:lang w:eastAsia="en-US"/>
    </w:rPr>
  </w:style>
  <w:style w:type="paragraph" w:customStyle="1" w:styleId="1935">
    <w:name w:val="样式 宋体 小四 行距: 固定值 24 磅"/>
    <w:basedOn w:val="1"/>
    <w:qFormat/>
    <w:uiPriority w:val="0"/>
    <w:pPr>
      <w:spacing w:line="360" w:lineRule="auto"/>
      <w:ind w:right="-24" w:rightChars="-24" w:firstLine="200" w:firstLineChars="200"/>
    </w:pPr>
    <w:rPr>
      <w:sz w:val="24"/>
      <w:szCs w:val="20"/>
    </w:rPr>
  </w:style>
  <w:style w:type="paragraph" w:customStyle="1" w:styleId="1936">
    <w:name w:val="CM8"/>
    <w:basedOn w:val="404"/>
    <w:next w:val="404"/>
    <w:qFormat/>
    <w:uiPriority w:val="0"/>
    <w:pPr>
      <w:spacing w:line="466" w:lineRule="atLeast"/>
    </w:pPr>
    <w:rPr>
      <w:rFonts w:ascii="宋体" w:eastAsia="宋体" w:cs="Times New Roman"/>
      <w:color w:val="auto"/>
    </w:rPr>
  </w:style>
  <w:style w:type="paragraph" w:customStyle="1" w:styleId="1937">
    <w:name w:val="CM12"/>
    <w:basedOn w:val="404"/>
    <w:next w:val="404"/>
    <w:qFormat/>
    <w:uiPriority w:val="0"/>
    <w:pPr>
      <w:spacing w:line="466" w:lineRule="atLeast"/>
    </w:pPr>
    <w:rPr>
      <w:rFonts w:ascii="宋体" w:eastAsia="宋体" w:cs="Times New Roman"/>
      <w:color w:val="auto"/>
    </w:rPr>
  </w:style>
  <w:style w:type="paragraph" w:customStyle="1" w:styleId="1938">
    <w:name w:val="CM10"/>
    <w:basedOn w:val="404"/>
    <w:next w:val="404"/>
    <w:qFormat/>
    <w:uiPriority w:val="0"/>
    <w:pPr>
      <w:spacing w:line="468" w:lineRule="atLeast"/>
    </w:pPr>
    <w:rPr>
      <w:rFonts w:ascii="宋体" w:eastAsia="宋体" w:cs="Times New Roman"/>
      <w:color w:val="auto"/>
    </w:rPr>
  </w:style>
  <w:style w:type="paragraph" w:customStyle="1" w:styleId="1939">
    <w:name w:val="CM83"/>
    <w:basedOn w:val="404"/>
    <w:next w:val="404"/>
    <w:qFormat/>
    <w:uiPriority w:val="0"/>
    <w:pPr>
      <w:spacing w:after="615"/>
    </w:pPr>
    <w:rPr>
      <w:rFonts w:ascii="宋体" w:eastAsia="宋体" w:cs="Times New Roman"/>
      <w:color w:val="auto"/>
    </w:rPr>
  </w:style>
  <w:style w:type="paragraph" w:customStyle="1" w:styleId="1940">
    <w:name w:val="CM3"/>
    <w:basedOn w:val="404"/>
    <w:next w:val="404"/>
    <w:qFormat/>
    <w:uiPriority w:val="0"/>
    <w:pPr>
      <w:spacing w:line="503" w:lineRule="atLeast"/>
    </w:pPr>
    <w:rPr>
      <w:rFonts w:ascii="宋体" w:eastAsia="宋体" w:cs="Times New Roman"/>
      <w:color w:val="auto"/>
    </w:rPr>
  </w:style>
  <w:style w:type="paragraph" w:customStyle="1" w:styleId="1941">
    <w:name w:val="CM5"/>
    <w:basedOn w:val="404"/>
    <w:next w:val="404"/>
    <w:qFormat/>
    <w:uiPriority w:val="0"/>
    <w:pPr>
      <w:spacing w:line="408" w:lineRule="atLeast"/>
    </w:pPr>
    <w:rPr>
      <w:rFonts w:ascii="宋体" w:eastAsia="宋体" w:cs="Times New Roman"/>
      <w:color w:val="auto"/>
    </w:rPr>
  </w:style>
  <w:style w:type="paragraph" w:customStyle="1" w:styleId="1942">
    <w:name w:val="CM13"/>
    <w:basedOn w:val="404"/>
    <w:next w:val="404"/>
    <w:qFormat/>
    <w:uiPriority w:val="0"/>
    <w:pPr>
      <w:spacing w:line="468" w:lineRule="atLeast"/>
    </w:pPr>
    <w:rPr>
      <w:rFonts w:ascii="宋体" w:eastAsia="宋体" w:cs="Times New Roman"/>
      <w:color w:val="auto"/>
    </w:rPr>
  </w:style>
  <w:style w:type="paragraph" w:customStyle="1" w:styleId="1943">
    <w:name w:val="CM9"/>
    <w:basedOn w:val="404"/>
    <w:next w:val="404"/>
    <w:qFormat/>
    <w:uiPriority w:val="0"/>
    <w:pPr>
      <w:spacing w:line="436" w:lineRule="atLeast"/>
    </w:pPr>
    <w:rPr>
      <w:rFonts w:ascii="宋体" w:eastAsia="宋体" w:cs="Times New Roman"/>
      <w:color w:val="auto"/>
    </w:rPr>
  </w:style>
  <w:style w:type="paragraph" w:customStyle="1" w:styleId="1944">
    <w:name w:val="CM28"/>
    <w:basedOn w:val="404"/>
    <w:next w:val="404"/>
    <w:qFormat/>
    <w:uiPriority w:val="0"/>
    <w:pPr>
      <w:spacing w:line="466" w:lineRule="atLeast"/>
    </w:pPr>
    <w:rPr>
      <w:rFonts w:ascii="宋体" w:eastAsia="宋体" w:cs="Times New Roman"/>
      <w:color w:val="auto"/>
    </w:rPr>
  </w:style>
  <w:style w:type="paragraph" w:customStyle="1" w:styleId="1945">
    <w:name w:val="CM29"/>
    <w:basedOn w:val="404"/>
    <w:next w:val="404"/>
    <w:qFormat/>
    <w:uiPriority w:val="0"/>
    <w:pPr>
      <w:spacing w:line="468" w:lineRule="atLeast"/>
    </w:pPr>
    <w:rPr>
      <w:rFonts w:ascii="宋体" w:eastAsia="宋体" w:cs="Times New Roman"/>
      <w:color w:val="auto"/>
    </w:rPr>
  </w:style>
  <w:style w:type="paragraph" w:customStyle="1" w:styleId="1946">
    <w:name w:val="CM86"/>
    <w:basedOn w:val="404"/>
    <w:next w:val="404"/>
    <w:qFormat/>
    <w:uiPriority w:val="0"/>
    <w:pPr>
      <w:spacing w:after="348"/>
    </w:pPr>
    <w:rPr>
      <w:rFonts w:ascii="宋体" w:eastAsia="宋体" w:cs="Times New Roman"/>
      <w:color w:val="auto"/>
    </w:rPr>
  </w:style>
  <w:style w:type="paragraph" w:customStyle="1" w:styleId="1947">
    <w:name w:val="CM32"/>
    <w:basedOn w:val="404"/>
    <w:next w:val="404"/>
    <w:qFormat/>
    <w:uiPriority w:val="0"/>
    <w:pPr>
      <w:spacing w:line="438" w:lineRule="atLeast"/>
    </w:pPr>
    <w:rPr>
      <w:rFonts w:ascii="宋体" w:eastAsia="宋体" w:cs="Times New Roman"/>
      <w:color w:val="auto"/>
    </w:rPr>
  </w:style>
  <w:style w:type="paragraph" w:customStyle="1" w:styleId="1948">
    <w:name w:val="CM33"/>
    <w:basedOn w:val="404"/>
    <w:next w:val="404"/>
    <w:qFormat/>
    <w:uiPriority w:val="0"/>
    <w:rPr>
      <w:rFonts w:ascii="宋体" w:eastAsia="宋体" w:cs="Times New Roman"/>
      <w:color w:val="auto"/>
    </w:rPr>
  </w:style>
  <w:style w:type="paragraph" w:customStyle="1" w:styleId="1949">
    <w:name w:val="CM34"/>
    <w:basedOn w:val="404"/>
    <w:next w:val="404"/>
    <w:qFormat/>
    <w:uiPriority w:val="0"/>
    <w:pPr>
      <w:spacing w:line="468" w:lineRule="atLeast"/>
    </w:pPr>
    <w:rPr>
      <w:rFonts w:ascii="宋体" w:eastAsia="宋体" w:cs="Times New Roman"/>
      <w:color w:val="auto"/>
    </w:rPr>
  </w:style>
  <w:style w:type="paragraph" w:customStyle="1" w:styleId="1950">
    <w:name w:val="CM35"/>
    <w:basedOn w:val="404"/>
    <w:next w:val="404"/>
    <w:qFormat/>
    <w:uiPriority w:val="0"/>
    <w:pPr>
      <w:spacing w:line="438" w:lineRule="atLeast"/>
    </w:pPr>
    <w:rPr>
      <w:rFonts w:ascii="宋体" w:eastAsia="宋体" w:cs="Times New Roman"/>
      <w:color w:val="auto"/>
    </w:rPr>
  </w:style>
  <w:style w:type="paragraph" w:customStyle="1" w:styleId="1951">
    <w:name w:val="CM101"/>
    <w:basedOn w:val="404"/>
    <w:next w:val="404"/>
    <w:qFormat/>
    <w:uiPriority w:val="0"/>
    <w:pPr>
      <w:spacing w:after="733"/>
    </w:pPr>
    <w:rPr>
      <w:rFonts w:ascii="宋体" w:eastAsia="宋体" w:cs="Times New Roman"/>
      <w:color w:val="auto"/>
    </w:rPr>
  </w:style>
  <w:style w:type="paragraph" w:customStyle="1" w:styleId="1952">
    <w:name w:val="CM36"/>
    <w:basedOn w:val="404"/>
    <w:next w:val="404"/>
    <w:qFormat/>
    <w:uiPriority w:val="0"/>
    <w:rPr>
      <w:rFonts w:ascii="宋体" w:eastAsia="宋体" w:cs="Times New Roman"/>
      <w:color w:val="auto"/>
    </w:rPr>
  </w:style>
  <w:style w:type="paragraph" w:customStyle="1" w:styleId="1953">
    <w:name w:val="CM37"/>
    <w:basedOn w:val="404"/>
    <w:next w:val="404"/>
    <w:qFormat/>
    <w:uiPriority w:val="0"/>
    <w:pPr>
      <w:spacing w:line="463" w:lineRule="atLeast"/>
    </w:pPr>
    <w:rPr>
      <w:rFonts w:ascii="宋体" w:eastAsia="宋体" w:cs="Times New Roman"/>
      <w:color w:val="auto"/>
    </w:rPr>
  </w:style>
  <w:style w:type="paragraph" w:customStyle="1" w:styleId="1954">
    <w:name w:val="CM87"/>
    <w:basedOn w:val="404"/>
    <w:next w:val="404"/>
    <w:qFormat/>
    <w:uiPriority w:val="0"/>
    <w:pPr>
      <w:spacing w:after="500"/>
    </w:pPr>
    <w:rPr>
      <w:rFonts w:ascii="宋体" w:eastAsia="宋体" w:cs="Times New Roman"/>
      <w:color w:val="auto"/>
    </w:rPr>
  </w:style>
  <w:style w:type="paragraph" w:customStyle="1" w:styleId="1955">
    <w:name w:val="CM38"/>
    <w:basedOn w:val="404"/>
    <w:next w:val="404"/>
    <w:qFormat/>
    <w:uiPriority w:val="0"/>
    <w:rPr>
      <w:rFonts w:ascii="宋体" w:eastAsia="宋体" w:cs="Times New Roman"/>
      <w:color w:val="auto"/>
    </w:rPr>
  </w:style>
  <w:style w:type="paragraph" w:customStyle="1" w:styleId="1956">
    <w:name w:val="CM39"/>
    <w:basedOn w:val="404"/>
    <w:next w:val="404"/>
    <w:qFormat/>
    <w:uiPriority w:val="0"/>
    <w:pPr>
      <w:spacing w:line="468" w:lineRule="atLeast"/>
    </w:pPr>
    <w:rPr>
      <w:rFonts w:ascii="宋体" w:eastAsia="宋体" w:cs="Times New Roman"/>
      <w:color w:val="auto"/>
    </w:rPr>
  </w:style>
  <w:style w:type="paragraph" w:customStyle="1" w:styleId="1957">
    <w:name w:val="CM41"/>
    <w:basedOn w:val="404"/>
    <w:next w:val="404"/>
    <w:qFormat/>
    <w:uiPriority w:val="0"/>
    <w:pPr>
      <w:spacing w:line="456" w:lineRule="atLeast"/>
    </w:pPr>
    <w:rPr>
      <w:rFonts w:ascii="宋体" w:eastAsia="宋体" w:cs="Times New Roman"/>
      <w:color w:val="auto"/>
    </w:rPr>
  </w:style>
  <w:style w:type="paragraph" w:customStyle="1" w:styleId="1958">
    <w:name w:val="CM42"/>
    <w:basedOn w:val="404"/>
    <w:next w:val="404"/>
    <w:qFormat/>
    <w:uiPriority w:val="0"/>
    <w:pPr>
      <w:spacing w:line="436" w:lineRule="atLeast"/>
    </w:pPr>
    <w:rPr>
      <w:rFonts w:ascii="宋体" w:eastAsia="宋体" w:cs="Times New Roman"/>
      <w:color w:val="auto"/>
    </w:rPr>
  </w:style>
  <w:style w:type="paragraph" w:customStyle="1" w:styleId="1959">
    <w:name w:val="CM44"/>
    <w:basedOn w:val="404"/>
    <w:next w:val="404"/>
    <w:qFormat/>
    <w:uiPriority w:val="0"/>
    <w:pPr>
      <w:spacing w:line="468" w:lineRule="atLeast"/>
    </w:pPr>
    <w:rPr>
      <w:rFonts w:ascii="宋体" w:eastAsia="宋体" w:cs="Times New Roman"/>
      <w:color w:val="auto"/>
    </w:rPr>
  </w:style>
  <w:style w:type="paragraph" w:customStyle="1" w:styleId="1960">
    <w:name w:val="CM46"/>
    <w:basedOn w:val="404"/>
    <w:next w:val="404"/>
    <w:qFormat/>
    <w:uiPriority w:val="0"/>
    <w:pPr>
      <w:spacing w:line="440" w:lineRule="atLeast"/>
    </w:pPr>
    <w:rPr>
      <w:rFonts w:ascii="宋体" w:eastAsia="宋体" w:cs="Times New Roman"/>
      <w:color w:val="auto"/>
    </w:rPr>
  </w:style>
  <w:style w:type="paragraph" w:customStyle="1" w:styleId="1961">
    <w:name w:val="CM47"/>
    <w:basedOn w:val="404"/>
    <w:next w:val="404"/>
    <w:qFormat/>
    <w:uiPriority w:val="0"/>
    <w:pPr>
      <w:spacing w:line="440" w:lineRule="atLeast"/>
    </w:pPr>
    <w:rPr>
      <w:rFonts w:ascii="宋体" w:eastAsia="宋体" w:cs="Times New Roman"/>
      <w:color w:val="auto"/>
    </w:rPr>
  </w:style>
  <w:style w:type="paragraph" w:customStyle="1" w:styleId="1962">
    <w:name w:val="CM48"/>
    <w:basedOn w:val="404"/>
    <w:next w:val="404"/>
    <w:qFormat/>
    <w:uiPriority w:val="0"/>
    <w:pPr>
      <w:spacing w:line="468" w:lineRule="atLeast"/>
    </w:pPr>
    <w:rPr>
      <w:rFonts w:ascii="宋体" w:eastAsia="宋体" w:cs="Times New Roman"/>
      <w:color w:val="auto"/>
    </w:rPr>
  </w:style>
  <w:style w:type="paragraph" w:customStyle="1" w:styleId="1963">
    <w:name w:val="CM50"/>
    <w:basedOn w:val="404"/>
    <w:next w:val="404"/>
    <w:qFormat/>
    <w:uiPriority w:val="0"/>
    <w:pPr>
      <w:spacing w:line="468" w:lineRule="atLeast"/>
    </w:pPr>
    <w:rPr>
      <w:rFonts w:ascii="宋体" w:eastAsia="宋体" w:cs="Times New Roman"/>
      <w:color w:val="auto"/>
    </w:rPr>
  </w:style>
  <w:style w:type="paragraph" w:customStyle="1" w:styleId="1964">
    <w:name w:val="CM51"/>
    <w:basedOn w:val="404"/>
    <w:next w:val="404"/>
    <w:qFormat/>
    <w:uiPriority w:val="0"/>
    <w:pPr>
      <w:spacing w:line="460" w:lineRule="atLeast"/>
    </w:pPr>
    <w:rPr>
      <w:rFonts w:ascii="宋体" w:eastAsia="宋体" w:cs="Times New Roman"/>
      <w:color w:val="auto"/>
    </w:rPr>
  </w:style>
  <w:style w:type="paragraph" w:customStyle="1" w:styleId="1965">
    <w:name w:val="CM52"/>
    <w:basedOn w:val="404"/>
    <w:next w:val="404"/>
    <w:qFormat/>
    <w:uiPriority w:val="0"/>
    <w:pPr>
      <w:spacing w:line="496" w:lineRule="atLeast"/>
    </w:pPr>
    <w:rPr>
      <w:rFonts w:ascii="宋体" w:eastAsia="宋体" w:cs="Times New Roman"/>
      <w:color w:val="auto"/>
    </w:rPr>
  </w:style>
  <w:style w:type="paragraph" w:customStyle="1" w:styleId="1966">
    <w:name w:val="CM53"/>
    <w:basedOn w:val="404"/>
    <w:next w:val="404"/>
    <w:qFormat/>
    <w:uiPriority w:val="0"/>
    <w:pPr>
      <w:spacing w:line="463" w:lineRule="atLeast"/>
    </w:pPr>
    <w:rPr>
      <w:rFonts w:ascii="宋体" w:eastAsia="宋体" w:cs="Times New Roman"/>
      <w:color w:val="auto"/>
    </w:rPr>
  </w:style>
  <w:style w:type="paragraph" w:customStyle="1" w:styleId="1967">
    <w:name w:val="CM55"/>
    <w:basedOn w:val="404"/>
    <w:next w:val="404"/>
    <w:qFormat/>
    <w:uiPriority w:val="0"/>
    <w:pPr>
      <w:spacing w:line="440" w:lineRule="atLeast"/>
    </w:pPr>
    <w:rPr>
      <w:rFonts w:ascii="宋体" w:eastAsia="宋体" w:cs="Times New Roman"/>
      <w:color w:val="auto"/>
    </w:rPr>
  </w:style>
  <w:style w:type="paragraph" w:customStyle="1" w:styleId="1968">
    <w:name w:val="CM56"/>
    <w:basedOn w:val="404"/>
    <w:next w:val="404"/>
    <w:qFormat/>
    <w:uiPriority w:val="0"/>
    <w:pPr>
      <w:spacing w:line="440" w:lineRule="atLeast"/>
    </w:pPr>
    <w:rPr>
      <w:rFonts w:ascii="宋体" w:eastAsia="宋体" w:cs="Times New Roman"/>
      <w:color w:val="auto"/>
    </w:rPr>
  </w:style>
  <w:style w:type="paragraph" w:customStyle="1" w:styleId="1969">
    <w:name w:val="CM105"/>
    <w:basedOn w:val="404"/>
    <w:next w:val="404"/>
    <w:qFormat/>
    <w:uiPriority w:val="0"/>
    <w:pPr>
      <w:spacing w:after="72"/>
    </w:pPr>
    <w:rPr>
      <w:rFonts w:ascii="宋体" w:eastAsia="宋体" w:cs="Times New Roman"/>
      <w:color w:val="auto"/>
    </w:rPr>
  </w:style>
  <w:style w:type="paragraph" w:customStyle="1" w:styleId="1970">
    <w:name w:val="CM106"/>
    <w:basedOn w:val="404"/>
    <w:next w:val="404"/>
    <w:qFormat/>
    <w:uiPriority w:val="0"/>
    <w:pPr>
      <w:spacing w:after="395"/>
    </w:pPr>
    <w:rPr>
      <w:rFonts w:ascii="宋体" w:eastAsia="宋体" w:cs="Times New Roman"/>
      <w:color w:val="auto"/>
    </w:rPr>
  </w:style>
  <w:style w:type="paragraph" w:customStyle="1" w:styleId="1971">
    <w:name w:val="CM58"/>
    <w:basedOn w:val="404"/>
    <w:next w:val="404"/>
    <w:qFormat/>
    <w:uiPriority w:val="0"/>
    <w:pPr>
      <w:spacing w:line="440" w:lineRule="atLeast"/>
    </w:pPr>
    <w:rPr>
      <w:rFonts w:ascii="宋体" w:eastAsia="宋体" w:cs="Times New Roman"/>
      <w:color w:val="auto"/>
    </w:rPr>
  </w:style>
  <w:style w:type="paragraph" w:customStyle="1" w:styleId="1972">
    <w:name w:val="CM59"/>
    <w:basedOn w:val="404"/>
    <w:next w:val="404"/>
    <w:qFormat/>
    <w:uiPriority w:val="0"/>
    <w:pPr>
      <w:spacing w:line="440" w:lineRule="atLeast"/>
    </w:pPr>
    <w:rPr>
      <w:rFonts w:ascii="宋体" w:eastAsia="宋体" w:cs="Times New Roman"/>
      <w:color w:val="auto"/>
    </w:rPr>
  </w:style>
  <w:style w:type="paragraph" w:customStyle="1" w:styleId="1973">
    <w:name w:val="CM61"/>
    <w:basedOn w:val="404"/>
    <w:next w:val="404"/>
    <w:qFormat/>
    <w:uiPriority w:val="0"/>
    <w:pPr>
      <w:spacing w:line="468" w:lineRule="atLeast"/>
    </w:pPr>
    <w:rPr>
      <w:rFonts w:ascii="宋体" w:eastAsia="宋体" w:cs="Times New Roman"/>
      <w:color w:val="auto"/>
    </w:rPr>
  </w:style>
  <w:style w:type="paragraph" w:customStyle="1" w:styleId="1974">
    <w:name w:val="CM95"/>
    <w:basedOn w:val="404"/>
    <w:next w:val="404"/>
    <w:qFormat/>
    <w:uiPriority w:val="0"/>
    <w:pPr>
      <w:spacing w:after="445"/>
    </w:pPr>
    <w:rPr>
      <w:rFonts w:ascii="宋体" w:eastAsia="宋体" w:cs="Times New Roman"/>
      <w:color w:val="auto"/>
    </w:rPr>
  </w:style>
  <w:style w:type="paragraph" w:customStyle="1" w:styleId="1975">
    <w:name w:val="CM66"/>
    <w:basedOn w:val="404"/>
    <w:next w:val="404"/>
    <w:qFormat/>
    <w:uiPriority w:val="0"/>
    <w:pPr>
      <w:spacing w:line="323" w:lineRule="atLeast"/>
    </w:pPr>
    <w:rPr>
      <w:rFonts w:ascii="宋体" w:eastAsia="宋体" w:cs="Times New Roman"/>
      <w:color w:val="auto"/>
    </w:rPr>
  </w:style>
  <w:style w:type="paragraph" w:customStyle="1" w:styleId="1976">
    <w:name w:val="CM68"/>
    <w:basedOn w:val="404"/>
    <w:next w:val="404"/>
    <w:qFormat/>
    <w:uiPriority w:val="0"/>
    <w:pPr>
      <w:spacing w:line="468" w:lineRule="atLeast"/>
    </w:pPr>
    <w:rPr>
      <w:rFonts w:ascii="宋体" w:eastAsia="宋体" w:cs="Times New Roman"/>
      <w:color w:val="auto"/>
    </w:rPr>
  </w:style>
  <w:style w:type="paragraph" w:customStyle="1" w:styleId="1977">
    <w:name w:val="CM73"/>
    <w:basedOn w:val="404"/>
    <w:next w:val="404"/>
    <w:qFormat/>
    <w:uiPriority w:val="0"/>
    <w:pPr>
      <w:spacing w:line="468" w:lineRule="atLeast"/>
    </w:pPr>
    <w:rPr>
      <w:rFonts w:ascii="宋体" w:eastAsia="宋体" w:cs="Times New Roman"/>
      <w:color w:val="auto"/>
    </w:rPr>
  </w:style>
  <w:style w:type="paragraph" w:customStyle="1" w:styleId="1978">
    <w:name w:val="CM75"/>
    <w:basedOn w:val="404"/>
    <w:next w:val="404"/>
    <w:qFormat/>
    <w:uiPriority w:val="0"/>
    <w:pPr>
      <w:spacing w:line="468" w:lineRule="atLeast"/>
    </w:pPr>
    <w:rPr>
      <w:rFonts w:ascii="宋体" w:eastAsia="宋体" w:cs="Times New Roman"/>
      <w:color w:val="auto"/>
    </w:rPr>
  </w:style>
  <w:style w:type="paragraph" w:customStyle="1" w:styleId="1979">
    <w:name w:val="CM81"/>
    <w:basedOn w:val="404"/>
    <w:next w:val="404"/>
    <w:qFormat/>
    <w:uiPriority w:val="0"/>
    <w:pPr>
      <w:spacing w:line="466" w:lineRule="atLeast"/>
    </w:pPr>
    <w:rPr>
      <w:rFonts w:ascii="宋体" w:eastAsia="宋体" w:cs="Times New Roman"/>
      <w:color w:val="auto"/>
    </w:rPr>
  </w:style>
  <w:style w:type="paragraph" w:customStyle="1" w:styleId="1980">
    <w:name w:val="CM82"/>
    <w:basedOn w:val="404"/>
    <w:next w:val="404"/>
    <w:qFormat/>
    <w:uiPriority w:val="0"/>
    <w:pPr>
      <w:spacing w:line="620" w:lineRule="atLeast"/>
    </w:pPr>
    <w:rPr>
      <w:rFonts w:ascii="宋体" w:eastAsia="宋体" w:cs="Times New Roman"/>
      <w:color w:val="auto"/>
    </w:rPr>
  </w:style>
  <w:style w:type="paragraph" w:customStyle="1" w:styleId="1981">
    <w:name w:val="Table Head_8pt"/>
    <w:basedOn w:val="1"/>
    <w:qFormat/>
    <w:uiPriority w:val="0"/>
    <w:pPr>
      <w:widowControl/>
      <w:spacing w:before="40" w:after="40"/>
      <w:contextualSpacing/>
      <w:jc w:val="center"/>
    </w:pPr>
    <w:rPr>
      <w:rFonts w:ascii="Arial Bold" w:hAnsi="Arial Bold" w:cs="Sendnya"/>
      <w:b/>
      <w:color w:val="FFFFFF"/>
      <w:kern w:val="0"/>
      <w:sz w:val="16"/>
      <w:szCs w:val="18"/>
      <w:lang w:eastAsia="en-US"/>
    </w:rPr>
  </w:style>
  <w:style w:type="paragraph" w:customStyle="1" w:styleId="1982">
    <w:name w:val="Table Text_8pt"/>
    <w:basedOn w:val="1"/>
    <w:link w:val="1983"/>
    <w:qFormat/>
    <w:uiPriority w:val="0"/>
    <w:pPr>
      <w:widowControl/>
      <w:spacing w:before="40" w:after="40"/>
      <w:contextualSpacing/>
      <w:jc w:val="left"/>
    </w:pPr>
    <w:rPr>
      <w:rFonts w:ascii="Arial" w:hAnsi="Arial" w:cs="Sendnya"/>
      <w:kern w:val="0"/>
      <w:sz w:val="16"/>
      <w:szCs w:val="18"/>
      <w:lang w:eastAsia="en-US"/>
    </w:rPr>
  </w:style>
  <w:style w:type="character" w:customStyle="1" w:styleId="1983">
    <w:name w:val="Table Text_8pt Char"/>
    <w:link w:val="1982"/>
    <w:qFormat/>
    <w:uiPriority w:val="0"/>
    <w:rPr>
      <w:rFonts w:ascii="Arial" w:hAnsi="Arial" w:cs="Sendnya"/>
      <w:sz w:val="16"/>
      <w:szCs w:val="18"/>
      <w:lang w:eastAsia="en-US"/>
    </w:rPr>
  </w:style>
  <w:style w:type="paragraph" w:customStyle="1" w:styleId="1984">
    <w:name w:val="Body Text_sqz"/>
    <w:basedOn w:val="1"/>
    <w:qFormat/>
    <w:uiPriority w:val="0"/>
    <w:pPr>
      <w:widowControl/>
      <w:jc w:val="left"/>
    </w:pPr>
    <w:rPr>
      <w:kern w:val="0"/>
      <w:sz w:val="22"/>
      <w:szCs w:val="20"/>
      <w:lang w:eastAsia="en-US"/>
    </w:rPr>
  </w:style>
  <w:style w:type="paragraph" w:customStyle="1" w:styleId="1985">
    <w:name w:val="Caption - Figure"/>
    <w:basedOn w:val="22"/>
    <w:link w:val="1986"/>
    <w:qFormat/>
    <w:uiPriority w:val="0"/>
    <w:pPr>
      <w:widowControl/>
      <w:spacing w:before="120" w:after="360" w:line="240" w:lineRule="auto"/>
      <w:ind w:firstLine="0" w:firstLineChars="0"/>
      <w:jc w:val="left"/>
    </w:pPr>
    <w:rPr>
      <w:rFonts w:ascii="Arial Bold" w:hAnsi="Arial Bold" w:eastAsiaTheme="minorEastAsia" w:cstheme="minorBidi"/>
      <w:b/>
      <w:bCs/>
      <w:caps w:val="0"/>
      <w:spacing w:val="0"/>
      <w:kern w:val="0"/>
      <w:lang w:eastAsia="en-US"/>
    </w:rPr>
  </w:style>
  <w:style w:type="character" w:customStyle="1" w:styleId="1986">
    <w:name w:val="Caption - Figure Char"/>
    <w:link w:val="1985"/>
    <w:qFormat/>
    <w:uiPriority w:val="0"/>
    <w:rPr>
      <w:rFonts w:ascii="Arial Bold" w:hAnsi="Arial Bold" w:eastAsiaTheme="minorEastAsia" w:cstheme="minorBidi"/>
      <w:b/>
      <w:bCs/>
      <w:sz w:val="18"/>
      <w:szCs w:val="18"/>
      <w:lang w:eastAsia="en-US"/>
    </w:rPr>
  </w:style>
  <w:style w:type="paragraph" w:customStyle="1" w:styleId="1987">
    <w:name w:val="Body Text_figure"/>
    <w:basedOn w:val="1"/>
    <w:qFormat/>
    <w:uiPriority w:val="0"/>
    <w:pPr>
      <w:keepNext/>
      <w:widowControl/>
      <w:spacing w:before="180" w:after="120" w:line="240" w:lineRule="atLeast"/>
      <w:jc w:val="left"/>
    </w:pPr>
    <w:rPr>
      <w:kern w:val="0"/>
      <w:sz w:val="22"/>
      <w:szCs w:val="20"/>
      <w:lang w:eastAsia="en-US"/>
    </w:rPr>
  </w:style>
  <w:style w:type="character" w:customStyle="1" w:styleId="1988">
    <w:name w:val="font10b1"/>
    <w:qFormat/>
    <w:uiPriority w:val="0"/>
    <w:rPr>
      <w:color w:val="000000"/>
      <w:sz w:val="20"/>
      <w:szCs w:val="20"/>
    </w:rPr>
  </w:style>
  <w:style w:type="character" w:customStyle="1" w:styleId="1989">
    <w:name w:val="trans"/>
    <w:qFormat/>
    <w:uiPriority w:val="0"/>
  </w:style>
  <w:style w:type="paragraph" w:customStyle="1" w:styleId="1990">
    <w:name w:val="copyright"/>
    <w:basedOn w:val="1"/>
    <w:qFormat/>
    <w:uiPriority w:val="0"/>
    <w:pPr>
      <w:widowControl/>
      <w:numPr>
        <w:ilvl w:val="0"/>
        <w:numId w:val="19"/>
      </w:numPr>
      <w:tabs>
        <w:tab w:val="clear" w:pos="360"/>
      </w:tabs>
      <w:spacing w:before="11000" w:after="160" w:line="240" w:lineRule="atLeast"/>
      <w:ind w:left="0" w:firstLine="0"/>
      <w:contextualSpacing/>
      <w:jc w:val="left"/>
    </w:pPr>
    <w:rPr>
      <w:kern w:val="0"/>
      <w:sz w:val="22"/>
      <w:szCs w:val="20"/>
      <w:lang w:eastAsia="en-US"/>
    </w:rPr>
  </w:style>
  <w:style w:type="paragraph" w:customStyle="1" w:styleId="1991">
    <w:name w:val="字元 字元 字元5"/>
    <w:basedOn w:val="1"/>
    <w:qFormat/>
    <w:uiPriority w:val="0"/>
    <w:pPr>
      <w:spacing w:line="360" w:lineRule="auto"/>
      <w:ind w:firstLine="200" w:firstLineChars="200"/>
    </w:pPr>
    <w:rPr>
      <w:rFonts w:ascii="宋体" w:hAnsi="宋体" w:cs="宋体"/>
      <w:sz w:val="24"/>
    </w:rPr>
  </w:style>
  <w:style w:type="character" w:customStyle="1" w:styleId="1992">
    <w:name w:val="tw4winMark"/>
    <w:qFormat/>
    <w:uiPriority w:val="0"/>
    <w:rPr>
      <w:rFonts w:ascii="Courier New" w:hAnsi="Courier New" w:cs="Courier New"/>
      <w:vanish/>
      <w:color w:val="800080"/>
      <w:vertAlign w:val="subscript"/>
    </w:rPr>
  </w:style>
  <w:style w:type="paragraph" w:customStyle="1" w:styleId="1993">
    <w:name w:val="表、图名"/>
    <w:basedOn w:val="1"/>
    <w:link w:val="1994"/>
    <w:qFormat/>
    <w:uiPriority w:val="0"/>
    <w:pPr>
      <w:adjustRightInd w:val="0"/>
      <w:snapToGrid w:val="0"/>
      <w:spacing w:line="360" w:lineRule="auto"/>
      <w:jc w:val="center"/>
    </w:pPr>
    <w:rPr>
      <w:rFonts w:ascii="宋体" w:hAnsi="宋体"/>
      <w:b/>
      <w:sz w:val="24"/>
      <w:lang w:val="zh-CN"/>
    </w:rPr>
  </w:style>
  <w:style w:type="character" w:customStyle="1" w:styleId="1994">
    <w:name w:val="表、图名 Char"/>
    <w:link w:val="1993"/>
    <w:qFormat/>
    <w:uiPriority w:val="0"/>
    <w:rPr>
      <w:rFonts w:ascii="宋体" w:hAnsi="宋体"/>
      <w:b/>
      <w:kern w:val="2"/>
      <w:sz w:val="24"/>
      <w:szCs w:val="24"/>
      <w:lang w:val="zh-CN"/>
    </w:rPr>
  </w:style>
  <w:style w:type="character" w:customStyle="1" w:styleId="1995">
    <w:name w:val="节标题 Char2"/>
    <w:qFormat/>
    <w:uiPriority w:val="0"/>
    <w:rPr>
      <w:rFonts w:ascii="Arial" w:hAnsi="Arial" w:eastAsia="黑体"/>
      <w:b/>
      <w:bCs/>
      <w:kern w:val="2"/>
      <w:sz w:val="32"/>
      <w:szCs w:val="32"/>
      <w:lang w:val="en-US" w:eastAsia="zh-CN" w:bidi="ar-SA"/>
    </w:rPr>
  </w:style>
  <w:style w:type="character" w:customStyle="1" w:styleId="1996">
    <w:name w:val="表题注 Char Char"/>
    <w:qFormat/>
    <w:uiPriority w:val="0"/>
    <w:rPr>
      <w:rFonts w:hAnsi="宋体" w:eastAsia="宋体"/>
      <w:b/>
      <w:kern w:val="2"/>
      <w:sz w:val="21"/>
      <w:szCs w:val="21"/>
      <w:lang w:val="en-US" w:eastAsia="zh-CN" w:bidi="ar-SA"/>
    </w:rPr>
  </w:style>
  <w:style w:type="paragraph" w:customStyle="1" w:styleId="1997">
    <w:name w:val="Style Body Text + 宋体 小四"/>
    <w:basedOn w:val="34"/>
    <w:qFormat/>
    <w:uiPriority w:val="0"/>
    <w:pPr>
      <w:spacing w:line="360" w:lineRule="auto"/>
      <w:ind w:firstLine="200" w:firstLineChars="200"/>
    </w:pPr>
    <w:rPr>
      <w:rFonts w:ascii="宋体" w:hAnsi="宋体"/>
      <w:sz w:val="24"/>
    </w:rPr>
  </w:style>
  <w:style w:type="paragraph" w:customStyle="1" w:styleId="1998">
    <w:name w:val="Bullet 2 - Sub"/>
    <w:link w:val="1999"/>
    <w:qFormat/>
    <w:uiPriority w:val="0"/>
    <w:pPr>
      <w:tabs>
        <w:tab w:val="left" w:pos="1620"/>
        <w:tab w:val="left" w:pos="2880"/>
      </w:tabs>
      <w:spacing w:before="120" w:after="60" w:line="240" w:lineRule="exact"/>
      <w:ind w:left="2880" w:hanging="360"/>
    </w:pPr>
    <w:rPr>
      <w:rFonts w:ascii="Times New Roman" w:hAnsi="Times New Roman" w:eastAsia="宋体" w:cs="Times New Roman"/>
      <w:sz w:val="22"/>
      <w:szCs w:val="22"/>
      <w:lang w:val="en-US" w:eastAsia="en-US" w:bidi="ar-SA"/>
    </w:rPr>
  </w:style>
  <w:style w:type="character" w:customStyle="1" w:styleId="1999">
    <w:name w:val="Bullet 2 - Sub Char"/>
    <w:link w:val="1998"/>
    <w:qFormat/>
    <w:uiPriority w:val="0"/>
    <w:rPr>
      <w:sz w:val="22"/>
      <w:szCs w:val="22"/>
      <w:lang w:eastAsia="en-US"/>
    </w:rPr>
  </w:style>
  <w:style w:type="paragraph" w:customStyle="1" w:styleId="2000">
    <w:name w:val="Pa2"/>
    <w:basedOn w:val="1"/>
    <w:next w:val="1"/>
    <w:qFormat/>
    <w:uiPriority w:val="0"/>
    <w:pPr>
      <w:widowControl/>
      <w:autoSpaceDE w:val="0"/>
      <w:autoSpaceDN w:val="0"/>
      <w:adjustRightInd w:val="0"/>
      <w:spacing w:line="181" w:lineRule="atLeast"/>
      <w:jc w:val="left"/>
    </w:pPr>
    <w:rPr>
      <w:rFonts w:ascii="Interstate" w:eastAsia="Interstate"/>
      <w:kern w:val="0"/>
      <w:sz w:val="24"/>
    </w:rPr>
  </w:style>
  <w:style w:type="paragraph" w:customStyle="1" w:styleId="2001">
    <w:name w:val="Pa0"/>
    <w:basedOn w:val="1"/>
    <w:next w:val="1"/>
    <w:qFormat/>
    <w:uiPriority w:val="0"/>
    <w:pPr>
      <w:widowControl/>
      <w:autoSpaceDE w:val="0"/>
      <w:autoSpaceDN w:val="0"/>
      <w:adjustRightInd w:val="0"/>
      <w:spacing w:line="181" w:lineRule="atLeast"/>
      <w:jc w:val="left"/>
    </w:pPr>
    <w:rPr>
      <w:rFonts w:ascii="Interstate" w:eastAsia="Interstate"/>
      <w:kern w:val="0"/>
      <w:sz w:val="24"/>
    </w:rPr>
  </w:style>
  <w:style w:type="character" w:customStyle="1" w:styleId="2002">
    <w:name w:val="A1"/>
    <w:qFormat/>
    <w:uiPriority w:val="0"/>
    <w:rPr>
      <w:rFonts w:cs="Interstate"/>
      <w:color w:val="000000"/>
      <w:sz w:val="28"/>
      <w:szCs w:val="28"/>
    </w:rPr>
  </w:style>
  <w:style w:type="character" w:customStyle="1" w:styleId="2003">
    <w:name w:val="A11"/>
    <w:qFormat/>
    <w:uiPriority w:val="0"/>
    <w:rPr>
      <w:rFonts w:cs="Interstate"/>
      <w:color w:val="000000"/>
    </w:rPr>
  </w:style>
  <w:style w:type="paragraph" w:customStyle="1" w:styleId="2004">
    <w:name w:val="表图正文"/>
    <w:basedOn w:val="45"/>
    <w:qFormat/>
    <w:uiPriority w:val="0"/>
    <w:pPr>
      <w:jc w:val="center"/>
    </w:pPr>
    <w:rPr>
      <w:rFonts w:ascii="Times New Roman" w:hAnsi="Times New Roman" w:cs="Courier New"/>
      <w:sz w:val="21"/>
      <w:szCs w:val="21"/>
    </w:rPr>
  </w:style>
  <w:style w:type="paragraph" w:customStyle="1" w:styleId="2005">
    <w:name w:val="回注1"/>
    <w:basedOn w:val="1"/>
    <w:qFormat/>
    <w:uiPriority w:val="0"/>
    <w:pPr>
      <w:spacing w:line="500" w:lineRule="exact"/>
      <w:ind w:firstLine="480" w:firstLineChars="200"/>
    </w:pPr>
    <w:rPr>
      <w:szCs w:val="21"/>
    </w:rPr>
  </w:style>
  <w:style w:type="paragraph" w:customStyle="1" w:styleId="2006">
    <w:name w:val="川1"/>
    <w:basedOn w:val="1"/>
    <w:qFormat/>
    <w:uiPriority w:val="0"/>
    <w:pPr>
      <w:spacing w:line="400" w:lineRule="exact"/>
      <w:jc w:val="center"/>
    </w:pPr>
    <w:rPr>
      <w:rFonts w:ascii="黑体" w:eastAsia="黑体"/>
      <w:szCs w:val="21"/>
    </w:rPr>
  </w:style>
  <w:style w:type="paragraph" w:customStyle="1" w:styleId="2007">
    <w:name w:val="川2"/>
    <w:basedOn w:val="1"/>
    <w:qFormat/>
    <w:uiPriority w:val="0"/>
    <w:pPr>
      <w:widowControl/>
      <w:adjustRightInd w:val="0"/>
      <w:spacing w:line="500" w:lineRule="exact"/>
      <w:ind w:firstLine="482" w:firstLineChars="200"/>
    </w:pPr>
    <w:rPr>
      <w:b/>
      <w:sz w:val="24"/>
      <w:szCs w:val="20"/>
    </w:rPr>
  </w:style>
  <w:style w:type="paragraph" w:customStyle="1" w:styleId="2008">
    <w:name w:val="标题2新标准"/>
    <w:basedOn w:val="4"/>
    <w:qFormat/>
    <w:uiPriority w:val="0"/>
    <w:pPr>
      <w:tabs>
        <w:tab w:val="left" w:pos="785"/>
      </w:tabs>
      <w:spacing w:before="120" w:after="120" w:line="560" w:lineRule="exact"/>
      <w:jc w:val="center"/>
    </w:pPr>
    <w:rPr>
      <w:rFonts w:ascii="Times New Roman" w:hAnsi="Times New Roman" w:eastAsia="宋体"/>
      <w:b w:val="0"/>
      <w:sz w:val="28"/>
      <w:lang w:val="zh-CN"/>
    </w:rPr>
  </w:style>
  <w:style w:type="character" w:customStyle="1" w:styleId="2009">
    <w:name w:val="标题2 Char Char"/>
    <w:qFormat/>
    <w:uiPriority w:val="0"/>
    <w:rPr>
      <w:rFonts w:ascii="Arial" w:hAnsi="Arial" w:eastAsia="宋体"/>
      <w:b/>
      <w:bCs/>
      <w:kern w:val="2"/>
      <w:sz w:val="32"/>
      <w:szCs w:val="32"/>
      <w:lang w:val="en-US" w:eastAsia="zh-CN" w:bidi="ar-SA"/>
    </w:rPr>
  </w:style>
  <w:style w:type="paragraph" w:customStyle="1" w:styleId="2010">
    <w:name w:val="表内标题"/>
    <w:basedOn w:val="1"/>
    <w:qFormat/>
    <w:uiPriority w:val="0"/>
    <w:pPr>
      <w:jc w:val="center"/>
    </w:pPr>
    <w:rPr>
      <w:rFonts w:ascii="Arial" w:hAnsi="Arial" w:cs="Arial"/>
      <w:szCs w:val="21"/>
    </w:rPr>
  </w:style>
  <w:style w:type="paragraph" w:customStyle="1" w:styleId="2011">
    <w:name w:val="罗2"/>
    <w:basedOn w:val="76"/>
    <w:qFormat/>
    <w:uiPriority w:val="0"/>
    <w:pPr>
      <w:adjustRightInd w:val="0"/>
      <w:snapToGrid w:val="0"/>
      <w:spacing w:after="0" w:line="500" w:lineRule="exact"/>
      <w:ind w:firstLine="480" w:firstLineChars="200"/>
    </w:pPr>
    <w:rPr>
      <w:rFonts w:eastAsiaTheme="minorEastAsia" w:cstheme="minorBidi"/>
      <w:sz w:val="24"/>
      <w:lang w:val="zh-CN"/>
    </w:rPr>
  </w:style>
  <w:style w:type="paragraph" w:customStyle="1" w:styleId="2012">
    <w:name w:val="罗3"/>
    <w:basedOn w:val="76"/>
    <w:qFormat/>
    <w:uiPriority w:val="0"/>
    <w:pPr>
      <w:spacing w:after="0" w:line="300" w:lineRule="auto"/>
      <w:ind w:firstLine="482" w:firstLineChars="200"/>
      <w:jc w:val="left"/>
    </w:pPr>
    <w:rPr>
      <w:rFonts w:ascii="Times New Roman" w:hAnsiTheme="minorHAnsi" w:eastAsiaTheme="minorEastAsia" w:cstheme="minorBidi"/>
      <w:b/>
      <w:bCs/>
      <w:sz w:val="24"/>
      <w:szCs w:val="20"/>
      <w:lang w:val="zh-CN"/>
    </w:rPr>
  </w:style>
  <w:style w:type="paragraph" w:customStyle="1" w:styleId="2013">
    <w:name w:val="八角图表名"/>
    <w:basedOn w:val="1"/>
    <w:qFormat/>
    <w:uiPriority w:val="0"/>
    <w:pPr>
      <w:spacing w:line="260" w:lineRule="exact"/>
      <w:jc w:val="center"/>
    </w:pPr>
    <w:rPr>
      <w:szCs w:val="21"/>
    </w:rPr>
  </w:style>
  <w:style w:type="paragraph" w:customStyle="1" w:styleId="2014">
    <w:name w:val="八角正文"/>
    <w:basedOn w:val="1"/>
    <w:qFormat/>
    <w:uiPriority w:val="0"/>
    <w:pPr>
      <w:adjustRightInd w:val="0"/>
      <w:spacing w:line="500" w:lineRule="exact"/>
      <w:jc w:val="center"/>
      <w:textAlignment w:val="baseline"/>
    </w:pPr>
    <w:rPr>
      <w:rFonts w:eastAsia="黑体"/>
      <w:szCs w:val="21"/>
    </w:rPr>
  </w:style>
  <w:style w:type="character" w:customStyle="1" w:styleId="2015">
    <w:name w:val="标题1 Char Char"/>
    <w:qFormat/>
    <w:uiPriority w:val="0"/>
    <w:rPr>
      <w:rFonts w:ascii="黑体" w:eastAsia="黑体"/>
      <w:spacing w:val="-10"/>
      <w:kern w:val="44"/>
      <w:sz w:val="36"/>
      <w:szCs w:val="36"/>
      <w:lang w:val="en-US" w:eastAsia="zh-CN" w:bidi="ar-SA"/>
    </w:rPr>
  </w:style>
  <w:style w:type="paragraph" w:customStyle="1" w:styleId="2016">
    <w:name w:val="八角1"/>
    <w:basedOn w:val="1"/>
    <w:qFormat/>
    <w:uiPriority w:val="0"/>
    <w:pPr>
      <w:spacing w:before="240"/>
      <w:jc w:val="center"/>
    </w:pPr>
    <w:rPr>
      <w:rFonts w:eastAsia="楷体_GB2312"/>
      <w:sz w:val="44"/>
      <w:szCs w:val="21"/>
    </w:rPr>
  </w:style>
  <w:style w:type="paragraph" w:customStyle="1" w:styleId="2017">
    <w:name w:val="标题1新标准"/>
    <w:basedOn w:val="3"/>
    <w:qFormat/>
    <w:uiPriority w:val="0"/>
    <w:pPr>
      <w:keepNext/>
      <w:keepLines/>
      <w:tabs>
        <w:tab w:val="left" w:pos="786"/>
      </w:tabs>
      <w:adjustRightInd/>
      <w:snapToGrid/>
      <w:spacing w:before="120" w:after="480" w:line="360" w:lineRule="auto"/>
    </w:pPr>
    <w:rPr>
      <w:rFonts w:ascii="黑体" w:eastAsia="黑体"/>
      <w:b w:val="0"/>
      <w:sz w:val="44"/>
      <w:szCs w:val="44"/>
      <w:lang w:val="zh-CN"/>
    </w:rPr>
  </w:style>
  <w:style w:type="character" w:customStyle="1" w:styleId="2018">
    <w:name w:val="图表标题 Char"/>
    <w:qFormat/>
    <w:uiPriority w:val="0"/>
    <w:rPr>
      <w:rFonts w:ascii="Times New Roman" w:hAnsi="Times New Roman" w:eastAsia="黑体" w:cs="Times New Roman"/>
      <w:szCs w:val="21"/>
      <w:lang w:val="zh-CN"/>
    </w:rPr>
  </w:style>
  <w:style w:type="paragraph" w:customStyle="1" w:styleId="2019">
    <w:name w:val="标题3新标准"/>
    <w:basedOn w:val="5"/>
    <w:qFormat/>
    <w:uiPriority w:val="0"/>
    <w:pPr>
      <w:spacing w:before="0" w:after="0" w:line="560" w:lineRule="exact"/>
      <w:ind w:firstLine="567"/>
    </w:pPr>
    <w:rPr>
      <w:rFonts w:eastAsia="楷体_GB2312"/>
      <w:b w:val="0"/>
      <w:bCs w:val="0"/>
      <w:sz w:val="28"/>
      <w:szCs w:val="28"/>
      <w:lang w:val="zh-CN"/>
    </w:rPr>
  </w:style>
  <w:style w:type="paragraph" w:customStyle="1" w:styleId="2020">
    <w:name w:val="回注3"/>
    <w:basedOn w:val="45"/>
    <w:qFormat/>
    <w:uiPriority w:val="0"/>
    <w:pPr>
      <w:adjustRightInd w:val="0"/>
      <w:snapToGrid w:val="0"/>
      <w:spacing w:line="0" w:lineRule="atLeast"/>
      <w:jc w:val="center"/>
    </w:pPr>
    <w:rPr>
      <w:rFonts w:ascii="宋体"/>
      <w:sz w:val="24"/>
    </w:rPr>
  </w:style>
  <w:style w:type="paragraph" w:customStyle="1" w:styleId="2021">
    <w:name w:val="标题二"/>
    <w:basedOn w:val="1"/>
    <w:next w:val="5"/>
    <w:qFormat/>
    <w:uiPriority w:val="0"/>
    <w:pPr>
      <w:keepNext/>
      <w:keepLines/>
      <w:adjustRightInd w:val="0"/>
      <w:spacing w:before="240" w:after="240" w:line="560" w:lineRule="exact"/>
      <w:jc w:val="left"/>
      <w:textAlignment w:val="baseline"/>
      <w:outlineLvl w:val="1"/>
    </w:pPr>
    <w:rPr>
      <w:rFonts w:eastAsia="黑体"/>
      <w:kern w:val="0"/>
      <w:sz w:val="30"/>
      <w:szCs w:val="32"/>
    </w:rPr>
  </w:style>
  <w:style w:type="paragraph" w:customStyle="1" w:styleId="2022">
    <w:name w:val="样式 标题 2标题 2 Char Char标题 2 Char Char Char标题 2 Char标题 2 Char C..."/>
    <w:basedOn w:val="4"/>
    <w:qFormat/>
    <w:uiPriority w:val="0"/>
    <w:pPr>
      <w:tabs>
        <w:tab w:val="left" w:pos="785"/>
      </w:tabs>
      <w:spacing w:before="240" w:after="240" w:line="560" w:lineRule="exact"/>
      <w:jc w:val="center"/>
    </w:pPr>
    <w:rPr>
      <w:rFonts w:ascii="Times New Roman" w:hAnsi="Times New Roman" w:eastAsia="宋体"/>
      <w:b w:val="0"/>
      <w:kern w:val="0"/>
      <w:lang w:val="zh-CN"/>
    </w:rPr>
  </w:style>
  <w:style w:type="paragraph" w:customStyle="1" w:styleId="2023">
    <w:name w:val="Char Char Char Char Char Char1 Char Char Char Char"/>
    <w:basedOn w:val="1"/>
    <w:qFormat/>
    <w:uiPriority w:val="0"/>
    <w:pPr>
      <w:spacing w:before="300" w:after="300" w:line="560" w:lineRule="exact"/>
    </w:pPr>
    <w:rPr>
      <w:rFonts w:eastAsia="黑体"/>
      <w:sz w:val="36"/>
      <w:szCs w:val="36"/>
    </w:rPr>
  </w:style>
  <w:style w:type="paragraph" w:customStyle="1" w:styleId="2024">
    <w:name w:val="样式"/>
    <w:qFormat/>
    <w:uiPriority w:val="0"/>
    <w:pPr>
      <w:widowControl w:val="0"/>
      <w:adjustRightInd w:val="0"/>
      <w:jc w:val="both"/>
      <w:textAlignment w:val="baseline"/>
    </w:pPr>
    <w:rPr>
      <w:rFonts w:ascii="Times New Roman" w:hAnsi="Times New Roman" w:eastAsia="宋体" w:cs="Times New Roman"/>
      <w:kern w:val="2"/>
      <w:sz w:val="21"/>
      <w:lang w:val="en-US" w:eastAsia="zh-CN" w:bidi="ar-SA"/>
    </w:rPr>
  </w:style>
  <w:style w:type="paragraph" w:customStyle="1" w:styleId="2025">
    <w:name w:val="Char1 Char Char Char Char Char1 Char"/>
    <w:basedOn w:val="1"/>
    <w:qFormat/>
    <w:uiPriority w:val="0"/>
    <w:pPr>
      <w:spacing w:line="560" w:lineRule="exact"/>
      <w:ind w:firstLine="200" w:firstLineChars="200"/>
    </w:pPr>
    <w:rPr>
      <w:sz w:val="24"/>
      <w:szCs w:val="28"/>
    </w:rPr>
  </w:style>
  <w:style w:type="paragraph" w:customStyle="1" w:styleId="2026">
    <w:name w:val="样式 小四"/>
    <w:basedOn w:val="1"/>
    <w:link w:val="2027"/>
    <w:qFormat/>
    <w:uiPriority w:val="0"/>
    <w:pPr>
      <w:spacing w:line="560" w:lineRule="exact"/>
      <w:ind w:firstLine="480" w:firstLineChars="200"/>
      <w:jc w:val="left"/>
    </w:pPr>
    <w:rPr>
      <w:sz w:val="24"/>
      <w:szCs w:val="20"/>
      <w:lang w:val="zh-CN"/>
    </w:rPr>
  </w:style>
  <w:style w:type="character" w:customStyle="1" w:styleId="2027">
    <w:name w:val="样式 小四 Char"/>
    <w:link w:val="2026"/>
    <w:qFormat/>
    <w:uiPriority w:val="0"/>
    <w:rPr>
      <w:kern w:val="2"/>
      <w:sz w:val="24"/>
      <w:lang w:val="zh-CN"/>
    </w:rPr>
  </w:style>
  <w:style w:type="paragraph" w:customStyle="1" w:styleId="2028">
    <w:name w:val="Char Char Char Char Char Char2 Char Char Char Char Char Char1"/>
    <w:basedOn w:val="1"/>
    <w:qFormat/>
    <w:uiPriority w:val="0"/>
    <w:pPr>
      <w:spacing w:before="300" w:after="300" w:line="560" w:lineRule="exact"/>
    </w:pPr>
    <w:rPr>
      <w:rFonts w:eastAsia="黑体"/>
      <w:sz w:val="36"/>
      <w:szCs w:val="36"/>
    </w:rPr>
  </w:style>
  <w:style w:type="paragraph" w:customStyle="1" w:styleId="2029">
    <w:name w:val="Body"/>
    <w:qFormat/>
    <w:uiPriority w:val="0"/>
    <w:pPr>
      <w:tabs>
        <w:tab w:val="left" w:pos="-720"/>
      </w:tabs>
      <w:suppressAutoHyphens/>
      <w:jc w:val="both"/>
    </w:pPr>
    <w:rPr>
      <w:rFonts w:ascii="Helvetica" w:hAnsi="Helvetica" w:eastAsia="宋体" w:cs="Times New Roman"/>
      <w:spacing w:val="-3"/>
      <w:sz w:val="24"/>
      <w:lang w:val="en-US" w:eastAsia="en-US" w:bidi="ar-SA"/>
    </w:rPr>
  </w:style>
  <w:style w:type="paragraph" w:customStyle="1" w:styleId="2030">
    <w:name w:val="TAB"/>
    <w:qFormat/>
    <w:uiPriority w:val="0"/>
    <w:pPr>
      <w:tabs>
        <w:tab w:val="left" w:pos="-720"/>
      </w:tabs>
      <w:suppressAutoHyphens/>
    </w:pPr>
    <w:rPr>
      <w:rFonts w:ascii="Helvetica" w:hAnsi="Helvetica" w:eastAsia="宋体" w:cs="Times New Roman"/>
      <w:sz w:val="18"/>
      <w:lang w:val="en-US" w:eastAsia="zh-CN" w:bidi="ar-SA"/>
    </w:rPr>
  </w:style>
  <w:style w:type="paragraph" w:customStyle="1" w:styleId="2031">
    <w:name w:val="正文缩进2"/>
    <w:basedOn w:val="1"/>
    <w:qFormat/>
    <w:uiPriority w:val="0"/>
    <w:pPr>
      <w:ind w:firstLine="420" w:firstLineChars="200"/>
    </w:pPr>
  </w:style>
  <w:style w:type="paragraph" w:customStyle="1" w:styleId="2032">
    <w:name w:val="样式 标题 2hseHeading 2SeHead wsa2h2H2Heading 2 PEPb 2标题 2 C..."/>
    <w:basedOn w:val="4"/>
    <w:link w:val="2033"/>
    <w:qFormat/>
    <w:uiPriority w:val="0"/>
    <w:pPr>
      <w:pageBreakBefore/>
      <w:tabs>
        <w:tab w:val="left" w:pos="785"/>
      </w:tabs>
      <w:spacing w:before="0" w:after="0" w:line="415" w:lineRule="auto"/>
      <w:jc w:val="center"/>
    </w:pPr>
    <w:rPr>
      <w:rFonts w:ascii="宋体" w:hAnsi="宋体" w:eastAsia="宋体"/>
      <w:b w:val="0"/>
      <w:lang w:val="zh-CN"/>
    </w:rPr>
  </w:style>
  <w:style w:type="character" w:customStyle="1" w:styleId="2033">
    <w:name w:val="样式 标题 2hseHeading 2SeHead wsa2h2H2Heading 2 PEPb 2标题 2 C... Char"/>
    <w:link w:val="2032"/>
    <w:qFormat/>
    <w:uiPriority w:val="0"/>
    <w:rPr>
      <w:rFonts w:ascii="宋体" w:hAnsi="宋体"/>
      <w:bCs/>
      <w:kern w:val="2"/>
      <w:sz w:val="32"/>
      <w:szCs w:val="32"/>
      <w:lang w:val="zh-CN"/>
    </w:rPr>
  </w:style>
  <w:style w:type="paragraph" w:customStyle="1" w:styleId="2034">
    <w:name w:val="PP 行"/>
    <w:basedOn w:val="58"/>
    <w:qFormat/>
    <w:uiPriority w:val="0"/>
    <w:pPr>
      <w:spacing w:line="240" w:lineRule="auto"/>
      <w:ind w:firstLine="0" w:firstLineChars="0"/>
    </w:pPr>
    <w:rPr>
      <w:rFonts w:ascii="Times New Roman"/>
      <w:sz w:val="21"/>
      <w:szCs w:val="20"/>
      <w:lang w:val="zh-CN"/>
    </w:rPr>
  </w:style>
  <w:style w:type="paragraph" w:customStyle="1" w:styleId="2035">
    <w:name w:val="样式 正文首行缩进正文首行缩进 Char + 首行缩进:  2 字符"/>
    <w:basedOn w:val="86"/>
    <w:qFormat/>
    <w:uiPriority w:val="0"/>
    <w:pPr>
      <w:snapToGrid w:val="0"/>
      <w:spacing w:after="0" w:line="500" w:lineRule="exact"/>
      <w:ind w:firstLine="608" w:firstLineChars="200"/>
    </w:pPr>
    <w:rPr>
      <w:rFonts w:cs="宋体" w:asciiTheme="minorHAnsi" w:hAnsiTheme="minorHAnsi" w:eastAsiaTheme="minorEastAsia"/>
      <w:color w:val="000000"/>
      <w:spacing w:val="12"/>
      <w:kern w:val="24"/>
      <w:sz w:val="28"/>
      <w:szCs w:val="28"/>
      <w:lang w:val="zh-CN"/>
    </w:rPr>
  </w:style>
  <w:style w:type="paragraph" w:customStyle="1" w:styleId="2036">
    <w:name w:val="Char Char Char1 Char Char Char Char Char Char Char Char Char Char5"/>
    <w:basedOn w:val="1"/>
    <w:qFormat/>
    <w:uiPriority w:val="0"/>
    <w:pPr>
      <w:widowControl/>
      <w:jc w:val="left"/>
    </w:pPr>
    <w:rPr>
      <w:rFonts w:ascii="宋体" w:hAnsi="宋体" w:cs="宋体"/>
      <w:kern w:val="0"/>
      <w:sz w:val="24"/>
    </w:rPr>
  </w:style>
  <w:style w:type="paragraph" w:customStyle="1" w:styleId="2037">
    <w:name w:val="Char Char Char Char Char Char Char Char1 Char Char Char Char"/>
    <w:basedOn w:val="1"/>
    <w:qFormat/>
    <w:uiPriority w:val="0"/>
  </w:style>
  <w:style w:type="paragraph" w:customStyle="1" w:styleId="2038">
    <w:name w:val="Char Char Char Char Char Char2 Char Char Char Char Char Char1 Char Char Char"/>
    <w:basedOn w:val="1"/>
    <w:qFormat/>
    <w:uiPriority w:val="0"/>
    <w:pPr>
      <w:spacing w:before="300" w:after="300" w:line="560" w:lineRule="exact"/>
    </w:pPr>
    <w:rPr>
      <w:rFonts w:eastAsia="黑体"/>
      <w:sz w:val="36"/>
      <w:szCs w:val="36"/>
    </w:rPr>
  </w:style>
  <w:style w:type="paragraph" w:customStyle="1" w:styleId="2039">
    <w:name w:val="普通 (Web)"/>
    <w:basedOn w:val="1"/>
    <w:qFormat/>
    <w:uiPriority w:val="0"/>
    <w:pPr>
      <w:widowControl/>
      <w:spacing w:before="100" w:after="100"/>
      <w:jc w:val="left"/>
    </w:pPr>
    <w:rPr>
      <w:rFonts w:ascii="宋体" w:hAnsi="宋体"/>
      <w:kern w:val="0"/>
      <w:sz w:val="24"/>
      <w:szCs w:val="20"/>
    </w:rPr>
  </w:style>
  <w:style w:type="paragraph" w:customStyle="1" w:styleId="2040">
    <w:name w:val="样式 标题 3 + (中文) 黑体 四号 非加粗 段前: 0 磅 段后: 0 磅 行距: 固定值 28 磅"/>
    <w:basedOn w:val="5"/>
    <w:qFormat/>
    <w:uiPriority w:val="0"/>
    <w:pPr>
      <w:spacing w:before="0" w:after="0" w:line="360" w:lineRule="auto"/>
    </w:pPr>
    <w:rPr>
      <w:rFonts w:eastAsia="黑体" w:cs="宋体"/>
      <w:b w:val="0"/>
      <w:bCs w:val="0"/>
      <w:sz w:val="28"/>
      <w:szCs w:val="20"/>
      <w:lang w:val="zh-CN"/>
    </w:rPr>
  </w:style>
  <w:style w:type="paragraph" w:customStyle="1" w:styleId="2041">
    <w:name w:val="样式 标题 2 + (中文) 宋体"/>
    <w:basedOn w:val="4"/>
    <w:link w:val="2042"/>
    <w:qFormat/>
    <w:uiPriority w:val="0"/>
    <w:pPr>
      <w:tabs>
        <w:tab w:val="left" w:pos="785"/>
      </w:tabs>
      <w:spacing w:before="240" w:after="240" w:line="560" w:lineRule="exact"/>
      <w:jc w:val="center"/>
    </w:pPr>
    <w:rPr>
      <w:rFonts w:ascii="宋体" w:hAnsi="宋体" w:eastAsia="宋体"/>
      <w:b w:val="0"/>
      <w:bCs w:val="0"/>
    </w:rPr>
  </w:style>
  <w:style w:type="character" w:customStyle="1" w:styleId="2042">
    <w:name w:val="样式 标题 2 + (中文) 宋体 Char"/>
    <w:link w:val="2041"/>
    <w:qFormat/>
    <w:uiPriority w:val="0"/>
    <w:rPr>
      <w:rFonts w:ascii="宋体" w:hAnsi="宋体"/>
      <w:kern w:val="2"/>
      <w:sz w:val="32"/>
      <w:szCs w:val="32"/>
    </w:rPr>
  </w:style>
  <w:style w:type="character" w:customStyle="1" w:styleId="2043">
    <w:name w:val="content1"/>
    <w:qFormat/>
    <w:uiPriority w:val="0"/>
    <w:rPr>
      <w:sz w:val="14"/>
      <w:szCs w:val="14"/>
    </w:rPr>
  </w:style>
  <w:style w:type="paragraph" w:customStyle="1" w:styleId="2044">
    <w:name w:val="样式 正文111 + 首行缩进:  2 字符"/>
    <w:basedOn w:val="1"/>
    <w:qFormat/>
    <w:uiPriority w:val="0"/>
    <w:pPr>
      <w:keepNext/>
      <w:adjustRightInd w:val="0"/>
      <w:snapToGrid w:val="0"/>
      <w:spacing w:line="300" w:lineRule="auto"/>
      <w:ind w:firstLine="560" w:firstLineChars="200"/>
    </w:pPr>
    <w:rPr>
      <w:rFonts w:ascii="Arial" w:hAnsi="宋体" w:cs="Arial"/>
      <w:sz w:val="28"/>
      <w:szCs w:val="28"/>
    </w:rPr>
  </w:style>
  <w:style w:type="paragraph" w:customStyle="1" w:styleId="2045">
    <w:name w:val="样式 标题 2标题 2 Char1标题 2 Char Char标题 2 Char1 Char Char Char标题 2..."/>
    <w:basedOn w:val="4"/>
    <w:qFormat/>
    <w:uiPriority w:val="0"/>
    <w:pPr>
      <w:tabs>
        <w:tab w:val="left" w:pos="785"/>
        <w:tab w:val="left" w:pos="5880"/>
      </w:tabs>
      <w:spacing w:before="0" w:after="0" w:line="240" w:lineRule="auto"/>
    </w:pPr>
    <w:rPr>
      <w:rFonts w:ascii="Times New Roman" w:hAnsi="Times New Roman" w:eastAsia="宋体" w:cs="Arial"/>
      <w:sz w:val="28"/>
      <w:szCs w:val="28"/>
      <w:lang w:val="zh-CN"/>
    </w:rPr>
  </w:style>
  <w:style w:type="character" w:customStyle="1" w:styleId="2046">
    <w:name w:val="zhengwen Char"/>
    <w:qFormat/>
    <w:uiPriority w:val="0"/>
    <w:rPr>
      <w:rFonts w:ascii="Arial" w:hAnsi="Arial" w:eastAsia="宋体" w:cs="Arial"/>
      <w:kern w:val="2"/>
      <w:sz w:val="24"/>
      <w:szCs w:val="24"/>
      <w:lang w:val="en-US" w:eastAsia="zh-CN" w:bidi="ar-SA"/>
    </w:rPr>
  </w:style>
  <w:style w:type="paragraph" w:customStyle="1" w:styleId="2047">
    <w:name w:val="wengzi"/>
    <w:basedOn w:val="1"/>
    <w:qFormat/>
    <w:uiPriority w:val="0"/>
    <w:pPr>
      <w:spacing w:line="360" w:lineRule="auto"/>
      <w:ind w:firstLine="200" w:firstLineChars="200"/>
    </w:pPr>
    <w:rPr>
      <w:rFonts w:ascii="Arial" w:hAnsi="Arial" w:cs="Arial"/>
      <w:snapToGrid w:val="0"/>
      <w:kern w:val="0"/>
      <w:sz w:val="24"/>
    </w:rPr>
  </w:style>
  <w:style w:type="paragraph" w:customStyle="1" w:styleId="2048">
    <w:name w:val="样式 小四 加粗 段后: 6 磅 行距: 1.5 倍行距"/>
    <w:basedOn w:val="1"/>
    <w:qFormat/>
    <w:uiPriority w:val="0"/>
    <w:pPr>
      <w:keepNext/>
      <w:spacing w:line="360" w:lineRule="auto"/>
      <w:jc w:val="center"/>
    </w:pPr>
    <w:rPr>
      <w:rFonts w:ascii="黑体" w:hAnsi="宋体" w:eastAsia="黑体"/>
      <w:bCs/>
      <w:sz w:val="24"/>
      <w:szCs w:val="20"/>
    </w:rPr>
  </w:style>
  <w:style w:type="paragraph" w:customStyle="1" w:styleId="2049">
    <w:name w:val="表的标题"/>
    <w:basedOn w:val="1"/>
    <w:qFormat/>
    <w:uiPriority w:val="0"/>
    <w:pPr>
      <w:spacing w:line="360" w:lineRule="auto"/>
      <w:jc w:val="center"/>
    </w:pPr>
    <w:rPr>
      <w:rFonts w:ascii="Arial" w:hAnsi="Arial" w:cs="Arial"/>
      <w:szCs w:val="21"/>
    </w:rPr>
  </w:style>
  <w:style w:type="paragraph" w:customStyle="1" w:styleId="2050">
    <w:name w:val="table bullet_8pt"/>
    <w:basedOn w:val="1"/>
    <w:qFormat/>
    <w:uiPriority w:val="0"/>
    <w:pPr>
      <w:widowControl/>
      <w:tabs>
        <w:tab w:val="left" w:pos="132"/>
        <w:tab w:val="left" w:pos="720"/>
      </w:tabs>
      <w:spacing w:before="60" w:after="60"/>
      <w:ind w:left="132" w:hanging="156"/>
      <w:jc w:val="left"/>
    </w:pPr>
    <w:rPr>
      <w:rFonts w:ascii="Arial" w:hAnsi="Arial"/>
      <w:spacing w:val="-3"/>
      <w:kern w:val="0"/>
      <w:sz w:val="16"/>
      <w:szCs w:val="20"/>
      <w:lang w:eastAsia="en-US"/>
    </w:rPr>
  </w:style>
  <w:style w:type="paragraph" w:customStyle="1" w:styleId="2051">
    <w:name w:val="样式 标题 3hseHeading 3ReHead 3 WSAH3H31H32H33H311Heading 3..."/>
    <w:basedOn w:val="5"/>
    <w:link w:val="2052"/>
    <w:qFormat/>
    <w:uiPriority w:val="0"/>
    <w:pPr>
      <w:spacing w:before="156" w:beforeLines="50" w:after="156" w:afterLines="50" w:line="288" w:lineRule="auto"/>
    </w:pPr>
    <w:rPr>
      <w:rFonts w:ascii="Arial" w:hAnsi="Arial"/>
      <w:b w:val="0"/>
      <w:sz w:val="24"/>
      <w:szCs w:val="24"/>
      <w:lang w:val="zh-CN"/>
    </w:rPr>
  </w:style>
  <w:style w:type="character" w:customStyle="1" w:styleId="2052">
    <w:name w:val="样式 标题 3hseHeading 3ReHead 3 WSAH3H31H32H33H311Heading 3... Char"/>
    <w:link w:val="2051"/>
    <w:qFormat/>
    <w:uiPriority w:val="0"/>
    <w:rPr>
      <w:rFonts w:ascii="Arial" w:hAnsi="Arial"/>
      <w:bCs/>
      <w:kern w:val="2"/>
      <w:sz w:val="24"/>
      <w:szCs w:val="24"/>
      <w:lang w:val="zh-CN"/>
    </w:rPr>
  </w:style>
  <w:style w:type="paragraph" w:customStyle="1" w:styleId="2053">
    <w:name w:val="列表2"/>
    <w:basedOn w:val="1"/>
    <w:next w:val="21"/>
    <w:qFormat/>
    <w:uiPriority w:val="0"/>
    <w:pPr>
      <w:numPr>
        <w:ilvl w:val="0"/>
        <w:numId w:val="20"/>
      </w:numPr>
      <w:tabs>
        <w:tab w:val="left" w:pos="484"/>
        <w:tab w:val="clear" w:pos="198"/>
      </w:tabs>
      <w:spacing w:before="100" w:beforeAutospacing="1" w:after="100" w:afterAutospacing="1" w:line="360" w:lineRule="auto"/>
      <w:ind w:left="909"/>
    </w:pPr>
    <w:rPr>
      <w:rFonts w:ascii="宋体" w:hAnsi="宋体"/>
      <w:b/>
      <w:sz w:val="24"/>
    </w:rPr>
  </w:style>
  <w:style w:type="paragraph" w:customStyle="1" w:styleId="2054">
    <w:name w:val="note"/>
    <w:basedOn w:val="1"/>
    <w:next w:val="1"/>
    <w:qFormat/>
    <w:uiPriority w:val="0"/>
    <w:pPr>
      <w:keepLines/>
      <w:widowControl/>
      <w:numPr>
        <w:ilvl w:val="0"/>
        <w:numId w:val="21"/>
      </w:numPr>
      <w:tabs>
        <w:tab w:val="left" w:pos="2381"/>
        <w:tab w:val="clear" w:pos="360"/>
      </w:tabs>
      <w:spacing w:before="120" w:after="120"/>
      <w:ind w:left="2381" w:hanging="737"/>
      <w:jc w:val="left"/>
    </w:pPr>
    <w:rPr>
      <w:kern w:val="0"/>
      <w:sz w:val="22"/>
    </w:rPr>
  </w:style>
  <w:style w:type="paragraph" w:customStyle="1" w:styleId="2055">
    <w:name w:val="table list"/>
    <w:qFormat/>
    <w:uiPriority w:val="0"/>
    <w:pPr>
      <w:numPr>
        <w:ilvl w:val="0"/>
        <w:numId w:val="22"/>
      </w:numPr>
      <w:tabs>
        <w:tab w:val="left" w:pos="0"/>
        <w:tab w:val="clear" w:pos="720"/>
      </w:tabs>
      <w:ind w:left="284" w:hanging="284"/>
    </w:pPr>
    <w:rPr>
      <w:rFonts w:ascii="Times New Roman" w:hAnsi="Times New Roman" w:eastAsia="宋体" w:cs="Times New Roman"/>
      <w:lang w:val="en-US" w:eastAsia="zh-CN" w:bidi="ar-SA"/>
    </w:rPr>
  </w:style>
  <w:style w:type="paragraph" w:customStyle="1" w:styleId="2056">
    <w:name w:val="table normal"/>
    <w:basedOn w:val="1"/>
    <w:qFormat/>
    <w:uiPriority w:val="0"/>
    <w:pPr>
      <w:widowControl/>
      <w:numPr>
        <w:ilvl w:val="0"/>
        <w:numId w:val="23"/>
      </w:numPr>
      <w:tabs>
        <w:tab w:val="clear" w:pos="360"/>
      </w:tabs>
      <w:spacing w:before="60" w:after="60"/>
      <w:ind w:left="0" w:firstLine="0"/>
      <w:jc w:val="left"/>
    </w:pPr>
    <w:rPr>
      <w:kern w:val="0"/>
      <w:sz w:val="20"/>
    </w:rPr>
  </w:style>
  <w:style w:type="paragraph" w:customStyle="1" w:styleId="2057">
    <w:name w:val="Bullet 1"/>
    <w:basedOn w:val="1"/>
    <w:qFormat/>
    <w:uiPriority w:val="0"/>
    <w:pPr>
      <w:widowControl/>
      <w:numPr>
        <w:ilvl w:val="0"/>
        <w:numId w:val="24"/>
      </w:numPr>
      <w:tabs>
        <w:tab w:val="left" w:pos="360"/>
        <w:tab w:val="left" w:pos="72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clear" w:pos="2160"/>
      </w:tabs>
      <w:ind w:left="360"/>
      <w:jc w:val="left"/>
    </w:pPr>
    <w:rPr>
      <w:rFonts w:ascii="Palatino" w:hAnsi="Palatino"/>
      <w:kern w:val="0"/>
      <w:sz w:val="20"/>
    </w:rPr>
  </w:style>
  <w:style w:type="paragraph" w:customStyle="1" w:styleId="2058">
    <w:name w:val="Point"/>
    <w:qFormat/>
    <w:uiPriority w:val="0"/>
    <w:pPr>
      <w:numPr>
        <w:ilvl w:val="0"/>
        <w:numId w:val="25"/>
      </w:numPr>
      <w:tabs>
        <w:tab w:val="left" w:pos="720"/>
        <w:tab w:val="clear" w:pos="360"/>
      </w:tabs>
      <w:spacing w:before="40" w:after="40"/>
      <w:ind w:left="720"/>
    </w:pPr>
    <w:rPr>
      <w:rFonts w:ascii="Times New Roman" w:hAnsi="Times New Roman" w:eastAsia="宋体" w:cs="Times New Roman"/>
      <w:sz w:val="22"/>
      <w:lang w:val="en-US" w:eastAsia="zh-CN" w:bidi="ar-SA"/>
    </w:rPr>
  </w:style>
  <w:style w:type="paragraph" w:customStyle="1" w:styleId="2059">
    <w:name w:val="bullets"/>
    <w:basedOn w:val="1"/>
    <w:qFormat/>
    <w:uiPriority w:val="0"/>
    <w:pPr>
      <w:widowControl/>
      <w:numPr>
        <w:ilvl w:val="0"/>
        <w:numId w:val="26"/>
      </w:numPr>
      <w:tabs>
        <w:tab w:val="left" w:pos="360"/>
      </w:tabs>
      <w:spacing w:before="120"/>
      <w:jc w:val="left"/>
    </w:pPr>
    <w:rPr>
      <w:snapToGrid w:val="0"/>
      <w:kern w:val="0"/>
      <w:sz w:val="20"/>
    </w:rPr>
  </w:style>
  <w:style w:type="paragraph" w:customStyle="1" w:styleId="2060">
    <w:name w:val="Proposal Bullet"/>
    <w:qFormat/>
    <w:uiPriority w:val="0"/>
    <w:pPr>
      <w:tabs>
        <w:tab w:val="left" w:pos="360"/>
      </w:tabs>
      <w:spacing w:before="80" w:after="80"/>
      <w:ind w:left="360" w:hanging="360"/>
    </w:pPr>
    <w:rPr>
      <w:rFonts w:ascii="Times New Roman" w:hAnsi="Times New Roman" w:eastAsia="宋体" w:cs="Times New Roman"/>
      <w:sz w:val="24"/>
      <w:lang w:val="en-US" w:eastAsia="zh-CN" w:bidi="ar-SA"/>
    </w:rPr>
  </w:style>
  <w:style w:type="paragraph" w:customStyle="1" w:styleId="2061">
    <w:name w:val="Tab1"/>
    <w:basedOn w:val="1"/>
    <w:qFormat/>
    <w:uiPriority w:val="0"/>
    <w:pPr>
      <w:keepLines/>
      <w:widowControl/>
      <w:tabs>
        <w:tab w:val="left" w:pos="1800"/>
      </w:tabs>
      <w:spacing w:before="40" w:after="40"/>
      <w:ind w:left="1800" w:hanging="360"/>
      <w:jc w:val="left"/>
    </w:pPr>
    <w:rPr>
      <w:rFonts w:ascii="Garamond" w:hAnsi="Garamond"/>
      <w:snapToGrid w:val="0"/>
      <w:kern w:val="0"/>
      <w:sz w:val="22"/>
    </w:rPr>
  </w:style>
  <w:style w:type="paragraph" w:customStyle="1" w:styleId="2062">
    <w:name w:val="NumList"/>
    <w:basedOn w:val="2029"/>
    <w:qFormat/>
    <w:uiPriority w:val="0"/>
    <w:pPr>
      <w:tabs>
        <w:tab w:val="left" w:pos="432"/>
        <w:tab w:val="clear" w:pos="-720"/>
      </w:tabs>
      <w:suppressAutoHyphens w:val="0"/>
      <w:spacing w:before="60"/>
      <w:ind w:left="1800" w:hanging="432"/>
      <w:jc w:val="left"/>
    </w:pPr>
    <w:rPr>
      <w:rFonts w:ascii="Times New Roman" w:hAnsi="Times New Roman"/>
      <w:spacing w:val="0"/>
      <w:sz w:val="22"/>
      <w:szCs w:val="24"/>
      <w:lang w:eastAsia="zh-CN"/>
    </w:rPr>
  </w:style>
  <w:style w:type="character" w:customStyle="1" w:styleId="2063">
    <w:name w:val="lijuyuanxing"/>
    <w:qFormat/>
    <w:uiPriority w:val="0"/>
  </w:style>
  <w:style w:type="character" w:customStyle="1" w:styleId="2064">
    <w:name w:val="brief2"/>
    <w:qFormat/>
    <w:uiPriority w:val="0"/>
    <w:rPr>
      <w:b/>
      <w:bCs/>
      <w:color w:val="000000"/>
      <w:sz w:val="18"/>
      <w:szCs w:val="18"/>
    </w:rPr>
  </w:style>
  <w:style w:type="paragraph" w:customStyle="1" w:styleId="2065">
    <w:name w:val="Char1 Char Char Char Char Char Char1 Char Char Char"/>
    <w:basedOn w:val="1"/>
    <w:qFormat/>
    <w:uiPriority w:val="0"/>
    <w:pPr>
      <w:spacing w:line="360" w:lineRule="auto"/>
      <w:ind w:firstLine="200" w:firstLineChars="200"/>
    </w:pPr>
    <w:rPr>
      <w:rFonts w:ascii="宋体" w:hAnsi="宋体" w:cs="宋体"/>
      <w:sz w:val="24"/>
      <w:szCs w:val="28"/>
    </w:rPr>
  </w:style>
  <w:style w:type="paragraph" w:customStyle="1" w:styleId="2066">
    <w:name w:val="Body Text 1"/>
    <w:basedOn w:val="1"/>
    <w:qFormat/>
    <w:uiPriority w:val="0"/>
    <w:pPr>
      <w:widowControl/>
      <w:spacing w:before="240"/>
      <w:ind w:left="1008"/>
    </w:pPr>
    <w:rPr>
      <w:rFonts w:eastAsia="Times New Roman"/>
      <w:kern w:val="0"/>
      <w:sz w:val="24"/>
      <w:szCs w:val="20"/>
      <w:lang w:eastAsia="en-US"/>
    </w:rPr>
  </w:style>
  <w:style w:type="paragraph" w:customStyle="1" w:styleId="2067">
    <w:name w:val="样式 (中文) 宋体 小四 黑色 行距: 1.5 倍行距"/>
    <w:basedOn w:val="1"/>
    <w:qFormat/>
    <w:uiPriority w:val="0"/>
    <w:pPr>
      <w:spacing w:line="360" w:lineRule="auto"/>
      <w:ind w:right="210" w:rightChars="100" w:firstLine="480" w:firstLineChars="200"/>
    </w:pPr>
    <w:rPr>
      <w:rFonts w:ascii="Arial" w:hAnsi="宋体" w:cs="Arial"/>
      <w:color w:val="FF0000"/>
      <w:sz w:val="24"/>
      <w:szCs w:val="20"/>
    </w:rPr>
  </w:style>
  <w:style w:type="paragraph" w:customStyle="1" w:styleId="2068">
    <w:name w:val="CSI  Body 2"/>
    <w:basedOn w:val="1"/>
    <w:link w:val="2069"/>
    <w:qFormat/>
    <w:uiPriority w:val="0"/>
    <w:pPr>
      <w:widowControl/>
      <w:spacing w:after="240"/>
      <w:ind w:left="1440"/>
      <w:jc w:val="left"/>
    </w:pPr>
    <w:rPr>
      <w:rFonts w:ascii="Arial" w:hAnsi="Arial" w:eastAsia="Batang"/>
      <w:kern w:val="0"/>
      <w:sz w:val="24"/>
      <w:lang w:eastAsia="ko-KR"/>
    </w:rPr>
  </w:style>
  <w:style w:type="character" w:customStyle="1" w:styleId="2069">
    <w:name w:val="CSI  Body 2 Char"/>
    <w:link w:val="2068"/>
    <w:qFormat/>
    <w:uiPriority w:val="0"/>
    <w:rPr>
      <w:rFonts w:ascii="Arial" w:hAnsi="Arial" w:eastAsia="Batang"/>
      <w:sz w:val="24"/>
      <w:szCs w:val="24"/>
      <w:lang w:eastAsia="ko-KR"/>
    </w:rPr>
  </w:style>
  <w:style w:type="paragraph" w:customStyle="1" w:styleId="2070">
    <w:name w:val="CSI  Reference"/>
    <w:basedOn w:val="1"/>
    <w:qFormat/>
    <w:uiPriority w:val="0"/>
    <w:pPr>
      <w:widowControl/>
      <w:ind w:left="720"/>
      <w:jc w:val="left"/>
    </w:pPr>
    <w:rPr>
      <w:rFonts w:ascii="Arial" w:hAnsi="Arial" w:eastAsia="Batang"/>
      <w:kern w:val="1"/>
      <w:sz w:val="24"/>
      <w:lang w:eastAsia="ko-KR"/>
    </w:rPr>
  </w:style>
  <w:style w:type="character" w:customStyle="1" w:styleId="2071">
    <w:name w:val="Char Char110"/>
    <w:qFormat/>
    <w:uiPriority w:val="0"/>
    <w:rPr>
      <w:rFonts w:ascii="Arial" w:hAnsi="Arial" w:eastAsia="黑体"/>
      <w:b/>
      <w:bCs/>
      <w:kern w:val="2"/>
      <w:sz w:val="32"/>
      <w:szCs w:val="32"/>
      <w:lang w:val="en-US" w:eastAsia="zh-CN" w:bidi="ar-SA"/>
    </w:rPr>
  </w:style>
  <w:style w:type="character" w:customStyle="1" w:styleId="2072">
    <w:name w:val="正文（首行缩进两字） Char1"/>
    <w:qFormat/>
    <w:uiPriority w:val="0"/>
    <w:rPr>
      <w:rFonts w:eastAsia="宋体"/>
      <w:kern w:val="2"/>
      <w:sz w:val="21"/>
      <w:szCs w:val="24"/>
      <w:lang w:val="en-US" w:eastAsia="zh-CN" w:bidi="ar-SA"/>
    </w:rPr>
  </w:style>
  <w:style w:type="paragraph" w:customStyle="1" w:styleId="2073">
    <w:name w:val="Table and figure name"/>
    <w:basedOn w:val="1"/>
    <w:link w:val="2074"/>
    <w:qFormat/>
    <w:uiPriority w:val="0"/>
    <w:pPr>
      <w:keepNext/>
      <w:keepLines/>
      <w:spacing w:before="120" w:beforeLines="50" w:after="240" w:afterLines="100" w:line="360" w:lineRule="auto"/>
      <w:jc w:val="center"/>
    </w:pPr>
    <w:rPr>
      <w:b/>
      <w:bCs/>
      <w:szCs w:val="21"/>
    </w:rPr>
  </w:style>
  <w:style w:type="character" w:customStyle="1" w:styleId="2074">
    <w:name w:val="Table and figure name Char"/>
    <w:link w:val="2073"/>
    <w:qFormat/>
    <w:uiPriority w:val="0"/>
    <w:rPr>
      <w:b/>
      <w:bCs/>
      <w:kern w:val="2"/>
      <w:sz w:val="21"/>
      <w:szCs w:val="21"/>
    </w:rPr>
  </w:style>
  <w:style w:type="paragraph" w:customStyle="1" w:styleId="2075">
    <w:name w:val="清"/>
    <w:basedOn w:val="1"/>
    <w:qFormat/>
    <w:uiPriority w:val="0"/>
    <w:pPr>
      <w:spacing w:line="360" w:lineRule="auto"/>
      <w:ind w:firstLine="420" w:firstLineChars="200"/>
      <w:jc w:val="left"/>
    </w:pPr>
    <w:rPr>
      <w:szCs w:val="21"/>
    </w:rPr>
  </w:style>
  <w:style w:type="paragraph" w:customStyle="1" w:styleId="2076">
    <w:name w:val="Style1"/>
    <w:basedOn w:val="1"/>
    <w:link w:val="2077"/>
    <w:qFormat/>
    <w:uiPriority w:val="0"/>
    <w:pPr>
      <w:spacing w:line="360" w:lineRule="auto"/>
      <w:ind w:firstLine="200" w:firstLineChars="200"/>
    </w:pPr>
    <w:rPr>
      <w:sz w:val="24"/>
      <w:szCs w:val="22"/>
    </w:rPr>
  </w:style>
  <w:style w:type="character" w:customStyle="1" w:styleId="2077">
    <w:name w:val="Style1 Char"/>
    <w:link w:val="2076"/>
    <w:qFormat/>
    <w:uiPriority w:val="0"/>
    <w:rPr>
      <w:kern w:val="2"/>
      <w:sz w:val="24"/>
      <w:szCs w:val="22"/>
    </w:rPr>
  </w:style>
  <w:style w:type="paragraph" w:customStyle="1" w:styleId="2078">
    <w:name w:val="List Bullet text"/>
    <w:basedOn w:val="1"/>
    <w:qFormat/>
    <w:uiPriority w:val="0"/>
    <w:pPr>
      <w:widowControl/>
      <w:tabs>
        <w:tab w:val="left" w:pos="576"/>
      </w:tabs>
      <w:spacing w:after="200"/>
      <w:ind w:left="576"/>
      <w:jc w:val="left"/>
    </w:pPr>
    <w:rPr>
      <w:kern w:val="0"/>
      <w:sz w:val="22"/>
      <w:szCs w:val="20"/>
      <w:lang w:eastAsia="en-US"/>
    </w:rPr>
  </w:style>
  <w:style w:type="paragraph" w:customStyle="1" w:styleId="2079">
    <w:name w:val="bart fog alt4 dash end"/>
    <w:basedOn w:val="1"/>
    <w:qFormat/>
    <w:uiPriority w:val="0"/>
    <w:pPr>
      <w:widowControl/>
      <w:numPr>
        <w:ilvl w:val="1"/>
        <w:numId w:val="27"/>
      </w:numPr>
      <w:overflowPunct w:val="0"/>
      <w:autoSpaceDE w:val="0"/>
      <w:autoSpaceDN w:val="0"/>
      <w:spacing w:after="60"/>
      <w:ind w:left="720"/>
      <w:jc w:val="left"/>
    </w:pPr>
    <w:rPr>
      <w:rFonts w:ascii="Arial" w:hAnsi="Arial" w:cs="Arial"/>
      <w:color w:val="000000"/>
      <w:sz w:val="18"/>
      <w:szCs w:val="18"/>
      <w:lang w:eastAsia="en-US"/>
    </w:rPr>
  </w:style>
  <w:style w:type="paragraph" w:customStyle="1" w:styleId="2080">
    <w:name w:val="fog alt6 lev4 bullet"/>
    <w:basedOn w:val="1"/>
    <w:qFormat/>
    <w:uiPriority w:val="0"/>
    <w:pPr>
      <w:widowControl/>
      <w:numPr>
        <w:ilvl w:val="2"/>
        <w:numId w:val="27"/>
      </w:numPr>
      <w:overflowPunct w:val="0"/>
      <w:autoSpaceDE w:val="0"/>
      <w:autoSpaceDN w:val="0"/>
      <w:spacing w:after="60"/>
      <w:ind w:left="1260" w:hanging="270"/>
      <w:jc w:val="left"/>
    </w:pPr>
    <w:rPr>
      <w:rFonts w:ascii="Arial" w:hAnsi="Arial" w:cs="Arial"/>
      <w:color w:val="000000"/>
      <w:sz w:val="18"/>
      <w:szCs w:val="18"/>
      <w:lang w:eastAsia="en-US"/>
    </w:rPr>
  </w:style>
  <w:style w:type="paragraph" w:customStyle="1" w:styleId="2081">
    <w:name w:val="CTOP FOG alt7 small square bullet"/>
    <w:basedOn w:val="1"/>
    <w:qFormat/>
    <w:uiPriority w:val="0"/>
    <w:pPr>
      <w:widowControl/>
      <w:numPr>
        <w:ilvl w:val="0"/>
        <w:numId w:val="27"/>
      </w:numPr>
      <w:overflowPunct w:val="0"/>
      <w:autoSpaceDE w:val="0"/>
      <w:autoSpaceDN w:val="0"/>
      <w:spacing w:after="60"/>
      <w:jc w:val="left"/>
    </w:pPr>
    <w:rPr>
      <w:rFonts w:ascii="宋体" w:hAnsi="宋体" w:cs="宋体"/>
      <w:color w:val="000000"/>
      <w:sz w:val="18"/>
      <w:szCs w:val="18"/>
      <w:lang w:eastAsia="en-US"/>
    </w:rPr>
  </w:style>
  <w:style w:type="paragraph" w:customStyle="1" w:styleId="2082">
    <w:name w:val="列出段落2"/>
    <w:basedOn w:val="1"/>
    <w:qFormat/>
    <w:uiPriority w:val="0"/>
    <w:pPr>
      <w:widowControl/>
      <w:spacing w:after="200" w:line="276" w:lineRule="auto"/>
      <w:ind w:left="720"/>
      <w:contextualSpacing/>
      <w:jc w:val="left"/>
    </w:pPr>
    <w:rPr>
      <w:rFonts w:ascii="Calibri" w:hAnsi="Calibri"/>
      <w:kern w:val="0"/>
      <w:sz w:val="22"/>
      <w:szCs w:val="22"/>
    </w:rPr>
  </w:style>
  <w:style w:type="paragraph" w:customStyle="1" w:styleId="2083">
    <w:name w:val="Char Char1 Char Char Char Char Char Char Char Char Char Char Char Char"/>
    <w:basedOn w:val="1"/>
    <w:qFormat/>
    <w:uiPriority w:val="0"/>
  </w:style>
  <w:style w:type="paragraph" w:customStyle="1" w:styleId="2084">
    <w:name w:val="Char Char Char Char Char Char Char Char Char1 Char"/>
    <w:basedOn w:val="1"/>
    <w:qFormat/>
    <w:uiPriority w:val="0"/>
    <w:pPr>
      <w:adjustRightInd w:val="0"/>
      <w:snapToGrid w:val="0"/>
      <w:spacing w:line="360" w:lineRule="auto"/>
      <w:ind w:firstLine="567"/>
    </w:pPr>
    <w:rPr>
      <w:snapToGrid w:val="0"/>
      <w:kern w:val="0"/>
      <w:sz w:val="24"/>
    </w:rPr>
  </w:style>
  <w:style w:type="paragraph" w:customStyle="1" w:styleId="2085">
    <w:name w:val="图表题"/>
    <w:basedOn w:val="1110"/>
    <w:next w:val="1110"/>
    <w:link w:val="2086"/>
    <w:qFormat/>
    <w:uiPriority w:val="0"/>
    <w:pPr>
      <w:ind w:firstLine="0"/>
      <w:jc w:val="center"/>
    </w:pPr>
    <w:rPr>
      <w:rFonts w:ascii="黑体" w:eastAsia="黑体" w:cs="宋体"/>
      <w:b/>
      <w:bCs/>
      <w:kern w:val="2"/>
    </w:rPr>
  </w:style>
  <w:style w:type="character" w:customStyle="1" w:styleId="2086">
    <w:name w:val="图表题 Char"/>
    <w:link w:val="2085"/>
    <w:qFormat/>
    <w:uiPriority w:val="0"/>
    <w:rPr>
      <w:rFonts w:ascii="黑体" w:hAnsi="宋体" w:eastAsia="黑体" w:cs="宋体"/>
      <w:b/>
      <w:bCs/>
      <w:kern w:val="2"/>
      <w:sz w:val="24"/>
      <w:szCs w:val="24"/>
    </w:rPr>
  </w:style>
  <w:style w:type="paragraph" w:customStyle="1" w:styleId="2087">
    <w:name w:val="Table Caption"/>
    <w:next w:val="34"/>
    <w:qFormat/>
    <w:uiPriority w:val="0"/>
    <w:pPr>
      <w:keepNext/>
      <w:numPr>
        <w:ilvl w:val="0"/>
        <w:numId w:val="28"/>
      </w:numPr>
      <w:tabs>
        <w:tab w:val="left" w:pos="1008"/>
      </w:tabs>
      <w:spacing w:before="40" w:after="80" w:line="260" w:lineRule="atLeast"/>
    </w:pPr>
    <w:rPr>
      <w:rFonts w:ascii="Verdana" w:hAnsi="Verdana" w:eastAsia="宋体" w:cs="Angsana New"/>
      <w:b/>
      <w:sz w:val="18"/>
      <w:szCs w:val="18"/>
      <w:lang w:val="en-US" w:eastAsia="en-US" w:bidi="ar-SA"/>
    </w:rPr>
  </w:style>
  <w:style w:type="paragraph" w:customStyle="1" w:styleId="2088">
    <w:name w:val="Table Head_left"/>
    <w:basedOn w:val="1"/>
    <w:qFormat/>
    <w:uiPriority w:val="0"/>
    <w:pPr>
      <w:widowControl/>
      <w:spacing w:before="80" w:after="80"/>
      <w:jc w:val="left"/>
    </w:pPr>
    <w:rPr>
      <w:rFonts w:ascii="Verdana" w:hAnsi="Verdana" w:cs="Sendnya"/>
      <w:b/>
      <w:bCs/>
      <w:color w:val="FFFFFF"/>
      <w:kern w:val="0"/>
      <w:sz w:val="20"/>
      <w:szCs w:val="18"/>
      <w:lang w:eastAsia="en-US"/>
    </w:rPr>
  </w:style>
  <w:style w:type="paragraph" w:customStyle="1" w:styleId="2089">
    <w:name w:val="CSI  Body 0"/>
    <w:basedOn w:val="1"/>
    <w:qFormat/>
    <w:uiPriority w:val="0"/>
    <w:pPr>
      <w:widowControl/>
      <w:spacing w:after="240"/>
      <w:ind w:left="432"/>
      <w:jc w:val="left"/>
    </w:pPr>
    <w:rPr>
      <w:rFonts w:ascii="Arial" w:hAnsi="Arial" w:eastAsia="Batang"/>
      <w:sz w:val="24"/>
      <w:lang w:eastAsia="ko-KR"/>
    </w:rPr>
  </w:style>
  <w:style w:type="paragraph" w:customStyle="1" w:styleId="2090">
    <w:name w:val="CSI  Body 3"/>
    <w:basedOn w:val="1"/>
    <w:qFormat/>
    <w:uiPriority w:val="0"/>
    <w:pPr>
      <w:widowControl/>
      <w:spacing w:after="240"/>
      <w:ind w:left="2160"/>
      <w:jc w:val="left"/>
    </w:pPr>
    <w:rPr>
      <w:rFonts w:ascii="Arial" w:hAnsi="Arial" w:eastAsia="Batang"/>
      <w:kern w:val="0"/>
      <w:sz w:val="24"/>
      <w:lang w:eastAsia="ko-KR"/>
    </w:rPr>
  </w:style>
  <w:style w:type="character" w:customStyle="1" w:styleId="2091">
    <w:name w:val="XFootNote"/>
    <w:qFormat/>
    <w:uiPriority w:val="0"/>
    <w:rPr>
      <w:rFonts w:hint="default" w:ascii="Book Antiqua" w:hAnsi="Book Antiqua"/>
      <w:position w:val="6"/>
      <w:sz w:val="14"/>
      <w:vertAlign w:val="baseline"/>
    </w:rPr>
  </w:style>
  <w:style w:type="character" w:customStyle="1" w:styleId="2092">
    <w:name w:val=".X.X Char Char"/>
    <w:qFormat/>
    <w:uiPriority w:val="0"/>
    <w:rPr>
      <w:rFonts w:eastAsia="宋体"/>
      <w:b/>
      <w:bCs/>
      <w:kern w:val="2"/>
      <w:sz w:val="32"/>
      <w:szCs w:val="32"/>
      <w:lang w:val="en-US" w:eastAsia="zh-CN" w:bidi="ar-SA"/>
    </w:rPr>
  </w:style>
  <w:style w:type="character" w:customStyle="1" w:styleId="2093">
    <w:name w:val="?????¨¬???????¨¬?o? ??????¨¬??? D???"/>
    <w:qFormat/>
    <w:uiPriority w:val="0"/>
    <w:rPr>
      <w:rFonts w:ascii="Arial" w:hAnsi="Arial" w:eastAsia="宋体"/>
      <w:sz w:val="24"/>
    </w:rPr>
  </w:style>
  <w:style w:type="character" w:customStyle="1" w:styleId="2094">
    <w:name w:val="样式 宋体 小四"/>
    <w:qFormat/>
    <w:uiPriority w:val="0"/>
    <w:rPr>
      <w:rFonts w:ascii="Arial" w:hAnsi="Arial" w:eastAsia="宋体"/>
      <w:sz w:val="24"/>
      <w:szCs w:val="24"/>
    </w:rPr>
  </w:style>
  <w:style w:type="paragraph" w:customStyle="1" w:styleId="2095">
    <w:name w:val="p15"/>
    <w:basedOn w:val="1"/>
    <w:qFormat/>
    <w:uiPriority w:val="0"/>
    <w:pPr>
      <w:widowControl/>
      <w:spacing w:before="62" w:after="62"/>
      <w:ind w:firstLine="420"/>
      <w:jc w:val="left"/>
    </w:pPr>
    <w:rPr>
      <w:kern w:val="0"/>
      <w:szCs w:val="21"/>
    </w:rPr>
  </w:style>
  <w:style w:type="paragraph" w:customStyle="1" w:styleId="2096">
    <w:name w:val="tgt2"/>
    <w:basedOn w:val="1"/>
    <w:qFormat/>
    <w:uiPriority w:val="0"/>
    <w:pPr>
      <w:widowControl/>
      <w:spacing w:after="120"/>
      <w:jc w:val="left"/>
    </w:pPr>
    <w:rPr>
      <w:rFonts w:ascii="宋体" w:hAnsi="宋体" w:cs="宋体"/>
      <w:kern w:val="0"/>
      <w:sz w:val="24"/>
    </w:rPr>
  </w:style>
  <w:style w:type="paragraph" w:customStyle="1" w:styleId="2097">
    <w:name w:val="Char4 Char Char Char Char Char Char14"/>
    <w:basedOn w:val="1"/>
    <w:qFormat/>
    <w:uiPriority w:val="0"/>
    <w:pPr>
      <w:spacing w:line="360" w:lineRule="auto"/>
      <w:ind w:firstLine="200" w:firstLineChars="200"/>
    </w:pPr>
    <w:rPr>
      <w:rFonts w:ascii="宋体" w:hAnsi="宋体" w:cs="宋体"/>
      <w:sz w:val="24"/>
    </w:rPr>
  </w:style>
  <w:style w:type="paragraph" w:customStyle="1" w:styleId="2098">
    <w:name w:val="Char Char Char Char Char Char2 Char Char Char Char Char Char1 Char Char Char Char4"/>
    <w:basedOn w:val="1"/>
    <w:qFormat/>
    <w:uiPriority w:val="0"/>
    <w:pPr>
      <w:spacing w:before="300" w:after="300" w:line="560" w:lineRule="exact"/>
    </w:pPr>
    <w:rPr>
      <w:rFonts w:eastAsia="黑体"/>
      <w:sz w:val="36"/>
      <w:szCs w:val="36"/>
    </w:rPr>
  </w:style>
  <w:style w:type="paragraph" w:customStyle="1" w:styleId="2099">
    <w:name w:val="Char Char Char Char Char Char2 Char Char Char Char Char Char1 Char4"/>
    <w:basedOn w:val="1"/>
    <w:qFormat/>
    <w:uiPriority w:val="0"/>
    <w:pPr>
      <w:spacing w:before="300" w:after="300" w:line="560" w:lineRule="exact"/>
    </w:pPr>
    <w:rPr>
      <w:rFonts w:eastAsia="黑体"/>
      <w:sz w:val="36"/>
      <w:szCs w:val="36"/>
    </w:rPr>
  </w:style>
  <w:style w:type="paragraph" w:customStyle="1" w:styleId="2100">
    <w:name w:val="Char54"/>
    <w:basedOn w:val="1"/>
    <w:qFormat/>
    <w:uiPriority w:val="0"/>
  </w:style>
  <w:style w:type="paragraph" w:customStyle="1" w:styleId="2101">
    <w:name w:val="Char Char Char Char Char Char Char 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2102">
    <w:name w:val="Char Char Char Char Char Char1 Char Char Char Char4"/>
    <w:basedOn w:val="1"/>
    <w:qFormat/>
    <w:uiPriority w:val="0"/>
    <w:pPr>
      <w:spacing w:before="300" w:after="300" w:line="560" w:lineRule="exact"/>
    </w:pPr>
    <w:rPr>
      <w:rFonts w:eastAsia="黑体"/>
      <w:sz w:val="36"/>
      <w:szCs w:val="36"/>
    </w:rPr>
  </w:style>
  <w:style w:type="paragraph" w:customStyle="1" w:styleId="2103">
    <w:name w:val="Char Char Char Char Char Char2 Char Char Char Char Char Char14"/>
    <w:basedOn w:val="1"/>
    <w:qFormat/>
    <w:uiPriority w:val="0"/>
    <w:pPr>
      <w:spacing w:before="300" w:after="300" w:line="560" w:lineRule="exact"/>
    </w:pPr>
    <w:rPr>
      <w:rFonts w:eastAsia="黑体"/>
      <w:sz w:val="36"/>
      <w:szCs w:val="36"/>
    </w:rPr>
  </w:style>
  <w:style w:type="paragraph" w:customStyle="1" w:styleId="2104">
    <w:name w:val="Char Char Char Char Char Char Char Char1 Char Char Char Char4"/>
    <w:basedOn w:val="1"/>
    <w:qFormat/>
    <w:uiPriority w:val="0"/>
  </w:style>
  <w:style w:type="paragraph" w:customStyle="1" w:styleId="2105">
    <w:name w:val="Char Char Char Char Char Char2 Char Char Char Char Char Char1 Char Char Char4"/>
    <w:basedOn w:val="1"/>
    <w:qFormat/>
    <w:uiPriority w:val="0"/>
    <w:pPr>
      <w:spacing w:before="300" w:after="300" w:line="560" w:lineRule="exact"/>
    </w:pPr>
    <w:rPr>
      <w:rFonts w:eastAsia="黑体"/>
      <w:sz w:val="36"/>
      <w:szCs w:val="36"/>
    </w:rPr>
  </w:style>
  <w:style w:type="paragraph" w:customStyle="1" w:styleId="2106">
    <w:name w:val="Char1 Char Char Char Char Char Char1 Char Char Char4"/>
    <w:basedOn w:val="1"/>
    <w:qFormat/>
    <w:uiPriority w:val="0"/>
    <w:pPr>
      <w:spacing w:line="360" w:lineRule="auto"/>
      <w:ind w:firstLine="200" w:firstLineChars="200"/>
    </w:pPr>
    <w:rPr>
      <w:rFonts w:ascii="宋体" w:hAnsi="宋体" w:cs="宋体"/>
      <w:sz w:val="24"/>
      <w:szCs w:val="28"/>
    </w:rPr>
  </w:style>
  <w:style w:type="paragraph" w:customStyle="1" w:styleId="2107">
    <w:name w:val="修订12"/>
    <w:hidden/>
    <w:qFormat/>
    <w:uiPriority w:val="0"/>
    <w:rPr>
      <w:rFonts w:ascii="Times New Roman" w:hAnsi="Times New Roman" w:eastAsia="宋体" w:cs="Times New Roman"/>
      <w:kern w:val="2"/>
      <w:sz w:val="21"/>
      <w:szCs w:val="24"/>
      <w:lang w:val="en-US" w:eastAsia="zh-CN" w:bidi="ar-SA"/>
    </w:rPr>
  </w:style>
  <w:style w:type="paragraph" w:customStyle="1" w:styleId="2108">
    <w:name w:val="Char Char1 Char Char Char Char Char Char Char Char Char Char Char Char4"/>
    <w:basedOn w:val="1"/>
    <w:qFormat/>
    <w:uiPriority w:val="0"/>
  </w:style>
  <w:style w:type="character" w:customStyle="1" w:styleId="2109">
    <w:name w:val="short_text"/>
    <w:qFormat/>
    <w:uiPriority w:val="0"/>
  </w:style>
  <w:style w:type="paragraph" w:customStyle="1" w:styleId="2110">
    <w:name w:val="ERMBullets"/>
    <w:basedOn w:val="1"/>
    <w:qFormat/>
    <w:uiPriority w:val="0"/>
    <w:pPr>
      <w:widowControl/>
      <w:numPr>
        <w:ilvl w:val="0"/>
        <w:numId w:val="29"/>
      </w:numPr>
      <w:overflowPunct w:val="0"/>
      <w:autoSpaceDE w:val="0"/>
      <w:autoSpaceDN w:val="0"/>
      <w:adjustRightInd w:val="0"/>
      <w:spacing w:line="264" w:lineRule="auto"/>
      <w:jc w:val="left"/>
      <w:textAlignment w:val="baseline"/>
    </w:pPr>
    <w:rPr>
      <w:rFonts w:ascii="Book Antiqua" w:hAnsi="Book Antiqua"/>
      <w:kern w:val="0"/>
      <w:sz w:val="22"/>
      <w:szCs w:val="20"/>
      <w:lang w:val="en-GB"/>
    </w:rPr>
  </w:style>
  <w:style w:type="character" w:customStyle="1" w:styleId="2111">
    <w:name w:val="俺的图表标题 Char1"/>
    <w:link w:val="2112"/>
    <w:qFormat/>
    <w:locked/>
    <w:uiPriority w:val="0"/>
    <w:rPr>
      <w:rFonts w:ascii="黑体" w:hAnsi="黑体" w:eastAsia="黑体"/>
      <w:bCs/>
      <w:sz w:val="24"/>
      <w:szCs w:val="24"/>
    </w:rPr>
  </w:style>
  <w:style w:type="paragraph" w:customStyle="1" w:styleId="2112">
    <w:name w:val="俺的图表标题"/>
    <w:basedOn w:val="1"/>
    <w:link w:val="2111"/>
    <w:qFormat/>
    <w:uiPriority w:val="0"/>
    <w:pPr>
      <w:spacing w:line="360" w:lineRule="auto"/>
      <w:jc w:val="center"/>
    </w:pPr>
    <w:rPr>
      <w:rFonts w:ascii="黑体" w:hAnsi="黑体" w:eastAsia="黑体"/>
      <w:bCs/>
      <w:kern w:val="0"/>
      <w:sz w:val="24"/>
    </w:rPr>
  </w:style>
  <w:style w:type="paragraph" w:customStyle="1" w:styleId="2113">
    <w:name w:val="rpt_表项"/>
    <w:basedOn w:val="1"/>
    <w:qFormat/>
    <w:uiPriority w:val="0"/>
    <w:pPr>
      <w:spacing w:before="60" w:after="60"/>
      <w:jc w:val="center"/>
    </w:pPr>
    <w:rPr>
      <w:rFonts w:cs="宋体"/>
      <w:sz w:val="22"/>
      <w:szCs w:val="20"/>
    </w:rPr>
  </w:style>
  <w:style w:type="paragraph" w:customStyle="1" w:styleId="2114">
    <w:name w:val="rpt_正文"/>
    <w:link w:val="2115"/>
    <w:qFormat/>
    <w:uiPriority w:val="0"/>
    <w:pPr>
      <w:spacing w:line="400" w:lineRule="exact"/>
      <w:ind w:firstLine="480" w:firstLineChars="200"/>
    </w:pPr>
    <w:rPr>
      <w:rFonts w:ascii="Times New Roman" w:hAnsi="Times New Roman" w:eastAsia="宋体" w:cs="Times New Roman"/>
      <w:sz w:val="24"/>
      <w:lang w:val="en-US" w:eastAsia="zh-CN" w:bidi="ar-SA"/>
    </w:rPr>
  </w:style>
  <w:style w:type="character" w:customStyle="1" w:styleId="2115">
    <w:name w:val="rpt_正文 Char"/>
    <w:link w:val="2114"/>
    <w:qFormat/>
    <w:uiPriority w:val="0"/>
    <w:rPr>
      <w:sz w:val="24"/>
    </w:rPr>
  </w:style>
  <w:style w:type="character" w:customStyle="1" w:styleId="2116">
    <w:name w:val="表题注 Char Char1"/>
    <w:qFormat/>
    <w:uiPriority w:val="0"/>
    <w:rPr>
      <w:rFonts w:eastAsia="宋体"/>
      <w:b/>
      <w:kern w:val="2"/>
      <w:sz w:val="21"/>
      <w:szCs w:val="21"/>
      <w:lang w:val="en-US" w:eastAsia="zh-CN" w:bidi="ar-SA"/>
    </w:rPr>
  </w:style>
  <w:style w:type="paragraph" w:customStyle="1" w:styleId="2117">
    <w:name w:val="表格目录"/>
    <w:basedOn w:val="1"/>
    <w:next w:val="1"/>
    <w:qFormat/>
    <w:uiPriority w:val="0"/>
    <w:pPr>
      <w:spacing w:line="440" w:lineRule="exact"/>
      <w:jc w:val="center"/>
    </w:pPr>
    <w:rPr>
      <w:rFonts w:ascii="宋体" w:hAnsi="宋体"/>
      <w:b/>
      <w:bCs/>
      <w:iCs/>
    </w:rPr>
  </w:style>
  <w:style w:type="paragraph" w:customStyle="1" w:styleId="2118">
    <w:name w:val="符号后文字"/>
    <w:basedOn w:val="21"/>
    <w:qFormat/>
    <w:uiPriority w:val="0"/>
    <w:pPr>
      <w:spacing w:line="440" w:lineRule="exact"/>
      <w:ind w:firstLine="482" w:firstLineChars="200"/>
    </w:pPr>
    <w:rPr>
      <w:rFonts w:ascii="宋体" w:hAnsi="宋体"/>
      <w:b/>
      <w:color w:val="0000FF"/>
      <w:sz w:val="24"/>
      <w:szCs w:val="24"/>
      <w:u w:val="wave"/>
    </w:rPr>
  </w:style>
  <w:style w:type="paragraph" w:customStyle="1" w:styleId="2119">
    <w:name w:val="索引"/>
    <w:basedOn w:val="83"/>
    <w:next w:val="21"/>
    <w:qFormat/>
    <w:uiPriority w:val="0"/>
    <w:pPr>
      <w:keepNext/>
      <w:keepLines/>
      <w:tabs>
        <w:tab w:val="left" w:pos="0"/>
        <w:tab w:val="left" w:pos="360"/>
      </w:tabs>
      <w:spacing w:line="400" w:lineRule="exact"/>
      <w:ind w:left="340" w:leftChars="0" w:hanging="340" w:firstLineChars="0"/>
    </w:pPr>
    <w:rPr>
      <w:rFonts w:ascii="Times New Roman"/>
      <w:sz w:val="24"/>
      <w:szCs w:val="20"/>
    </w:rPr>
  </w:style>
  <w:style w:type="character" w:customStyle="1" w:styleId="2120">
    <w:name w:val="unnamednews1"/>
    <w:qFormat/>
    <w:uiPriority w:val="0"/>
    <w:rPr>
      <w:rFonts w:hint="default"/>
      <w:color w:val="000000"/>
      <w:sz w:val="28"/>
      <w:szCs w:val="28"/>
      <w:u w:val="none"/>
    </w:rPr>
  </w:style>
  <w:style w:type="paragraph" w:customStyle="1" w:styleId="2121">
    <w:name w:val="Style Heading 1 + Times New Roman Justified Before:  0.5 line"/>
    <w:basedOn w:val="3"/>
    <w:qFormat/>
    <w:uiPriority w:val="0"/>
    <w:pPr>
      <w:keepNext/>
      <w:keepLines/>
      <w:tabs>
        <w:tab w:val="left" w:pos="786"/>
        <w:tab w:val="left" w:pos="900"/>
      </w:tabs>
      <w:adjustRightInd/>
      <w:snapToGrid/>
      <w:spacing w:before="156" w:beforeLines="50" w:after="240" w:line="480" w:lineRule="auto"/>
      <w:ind w:left="900" w:hanging="420"/>
      <w:jc w:val="both"/>
    </w:pPr>
    <w:rPr>
      <w:sz w:val="28"/>
      <w:szCs w:val="20"/>
    </w:rPr>
  </w:style>
  <w:style w:type="paragraph" w:customStyle="1" w:styleId="2122">
    <w:name w:val="标题3，小四黑体，6磅"/>
    <w:basedOn w:val="1"/>
    <w:qFormat/>
    <w:uiPriority w:val="0"/>
    <w:pPr>
      <w:keepNext/>
      <w:keepLines/>
      <w:spacing w:before="120" w:after="120" w:line="415" w:lineRule="auto"/>
      <w:outlineLvl w:val="2"/>
    </w:pPr>
    <w:rPr>
      <w:rFonts w:ascii="黑体" w:eastAsia="黑体"/>
      <w:b/>
      <w:bCs/>
      <w:sz w:val="24"/>
      <w:szCs w:val="32"/>
    </w:rPr>
  </w:style>
  <w:style w:type="paragraph" w:customStyle="1" w:styleId="2123">
    <w:name w:val="标题2，四号黑体，13磅，"/>
    <w:basedOn w:val="4"/>
    <w:qFormat/>
    <w:uiPriority w:val="0"/>
    <w:pPr>
      <w:tabs>
        <w:tab w:val="left" w:pos="785"/>
      </w:tabs>
      <w:spacing w:before="0" w:after="0" w:line="360" w:lineRule="auto"/>
    </w:pPr>
    <w:rPr>
      <w:rFonts w:ascii="黑体" w:hAnsi="Times New Roman" w:eastAsia="黑体"/>
      <w:color w:val="FF00FF"/>
      <w:sz w:val="28"/>
    </w:rPr>
  </w:style>
  <w:style w:type="paragraph" w:customStyle="1" w:styleId="2124">
    <w:name w:val="标题1，三号黑体，居中，"/>
    <w:basedOn w:val="3"/>
    <w:qFormat/>
    <w:uiPriority w:val="0"/>
    <w:pPr>
      <w:keepNext/>
      <w:keepLines/>
      <w:tabs>
        <w:tab w:val="left" w:pos="786"/>
      </w:tabs>
      <w:adjustRightInd/>
      <w:snapToGrid/>
      <w:spacing w:before="340" w:after="330" w:line="578" w:lineRule="auto"/>
    </w:pPr>
    <w:rPr>
      <w:rFonts w:ascii="黑体" w:hAnsi="宋体" w:eastAsia="黑体"/>
      <w:szCs w:val="44"/>
    </w:rPr>
  </w:style>
  <w:style w:type="paragraph" w:customStyle="1" w:styleId="2125">
    <w:name w:val="样式 宋体 小四 左 行距: 固定值 22 磅"/>
    <w:basedOn w:val="1"/>
    <w:qFormat/>
    <w:uiPriority w:val="0"/>
    <w:pPr>
      <w:spacing w:line="440" w:lineRule="exact"/>
      <w:ind w:firstLine="200" w:firstLineChars="200"/>
      <w:jc w:val="left"/>
    </w:pPr>
    <w:rPr>
      <w:rFonts w:ascii="宋体" w:hAnsi="宋体" w:cs="宋体"/>
      <w:sz w:val="24"/>
      <w:szCs w:val="20"/>
    </w:rPr>
  </w:style>
  <w:style w:type="paragraph" w:customStyle="1" w:styleId="2126">
    <w:name w:val="样式 样式 样式1 + 首行缩进:  2 字符 + 首行缩进:  2 字符"/>
    <w:basedOn w:val="1"/>
    <w:qFormat/>
    <w:uiPriority w:val="0"/>
    <w:pPr>
      <w:spacing w:line="0" w:lineRule="atLeast"/>
      <w:jc w:val="left"/>
    </w:pPr>
    <w:rPr>
      <w:rFonts w:hAnsi="宋体" w:cs="宋体"/>
      <w:bCs/>
      <w:color w:val="FF0000"/>
      <w:sz w:val="24"/>
    </w:rPr>
  </w:style>
  <w:style w:type="paragraph" w:customStyle="1" w:styleId="2127">
    <w:name w:val="Style Heading 2 Char标题 2 Char节(C+F2) + Left:  0 cm First line:..."/>
    <w:basedOn w:val="4"/>
    <w:qFormat/>
    <w:uiPriority w:val="0"/>
    <w:pPr>
      <w:tabs>
        <w:tab w:val="left" w:pos="576"/>
        <w:tab w:val="left" w:pos="785"/>
      </w:tabs>
      <w:spacing w:before="0" w:after="120" w:line="500" w:lineRule="exact"/>
      <w:ind w:left="576" w:hanging="576"/>
    </w:pPr>
    <w:rPr>
      <w:rFonts w:ascii="Times New Roman" w:hAnsi="Times New Roman" w:eastAsia="宋体"/>
      <w:sz w:val="24"/>
      <w:szCs w:val="20"/>
    </w:rPr>
  </w:style>
  <w:style w:type="paragraph" w:customStyle="1" w:styleId="2128">
    <w:name w:val="Style Heading 3小节标题4(C+F3) + 宋体 Bold Before:  0.5 line"/>
    <w:basedOn w:val="5"/>
    <w:qFormat/>
    <w:uiPriority w:val="0"/>
    <w:pPr>
      <w:spacing w:before="120" w:beforeLines="50" w:after="0" w:line="400" w:lineRule="exact"/>
    </w:pPr>
    <w:rPr>
      <w:rFonts w:ascii="宋体" w:hAnsi="宋体"/>
      <w:sz w:val="24"/>
      <w:szCs w:val="20"/>
    </w:rPr>
  </w:style>
  <w:style w:type="paragraph" w:customStyle="1" w:styleId="2129">
    <w:name w:val="Style Style Heading 3小节标题4(C+F3) + 宋体 Bold Before:  0.5 line + Befo..."/>
    <w:basedOn w:val="2128"/>
    <w:qFormat/>
    <w:uiPriority w:val="0"/>
    <w:pPr>
      <w:tabs>
        <w:tab w:val="left" w:pos="720"/>
      </w:tabs>
      <w:spacing w:before="156"/>
      <w:ind w:left="720" w:hanging="720"/>
    </w:pPr>
  </w:style>
  <w:style w:type="paragraph" w:customStyle="1" w:styleId="2130">
    <w:name w:val="Style Heading 1 + Left Before:  0.5 line"/>
    <w:basedOn w:val="3"/>
    <w:next w:val="3"/>
    <w:link w:val="2131"/>
    <w:qFormat/>
    <w:uiPriority w:val="0"/>
    <w:pPr>
      <w:keepNext/>
      <w:keepLines/>
      <w:tabs>
        <w:tab w:val="left" w:pos="786"/>
        <w:tab w:val="left" w:pos="927"/>
      </w:tabs>
      <w:adjustRightInd/>
      <w:snapToGrid/>
      <w:spacing w:before="156" w:beforeLines="50" w:after="240" w:line="480" w:lineRule="auto"/>
      <w:ind w:left="711" w:hanging="144"/>
      <w:jc w:val="left"/>
    </w:pPr>
    <w:rPr>
      <w:rFonts w:ascii="Arial" w:hAnsi="Arial"/>
      <w:sz w:val="28"/>
      <w:szCs w:val="20"/>
    </w:rPr>
  </w:style>
  <w:style w:type="character" w:customStyle="1" w:styleId="2131">
    <w:name w:val="Style Heading 1 + Left Before:  0.5 line Char"/>
    <w:link w:val="2130"/>
    <w:qFormat/>
    <w:uiPriority w:val="0"/>
    <w:rPr>
      <w:rFonts w:ascii="Arial" w:hAnsi="Arial"/>
      <w:b/>
      <w:bCs/>
      <w:kern w:val="44"/>
      <w:sz w:val="28"/>
    </w:rPr>
  </w:style>
  <w:style w:type="paragraph" w:customStyle="1" w:styleId="2132">
    <w:name w:val="Style Heading 2 Char标题 2 Char节(C+F2)节，一宋三标题 2-王鹏节标题 1.11.1..."/>
    <w:basedOn w:val="4"/>
    <w:qFormat/>
    <w:uiPriority w:val="0"/>
    <w:pPr>
      <w:tabs>
        <w:tab w:val="left" w:pos="785"/>
      </w:tabs>
      <w:spacing w:before="120" w:after="120" w:line="300" w:lineRule="auto"/>
      <w:jc w:val="left"/>
    </w:pPr>
    <w:rPr>
      <w:rFonts w:ascii="宋体" w:hAnsi="宋体" w:eastAsia="宋体"/>
      <w:smallCaps/>
      <w:kern w:val="28"/>
      <w:sz w:val="24"/>
      <w:szCs w:val="20"/>
    </w:rPr>
  </w:style>
  <w:style w:type="paragraph" w:customStyle="1" w:styleId="2133">
    <w:name w:val="Style Style Heading 2 Char标题 2 Char节(C+F2)节，一宋三标题 2-王鹏节标题 1.11.1......"/>
    <w:basedOn w:val="2132"/>
    <w:qFormat/>
    <w:uiPriority w:val="0"/>
    <w:pPr>
      <w:tabs>
        <w:tab w:val="left" w:pos="851"/>
      </w:tabs>
      <w:ind w:left="567" w:hanging="567"/>
    </w:pPr>
    <w:rPr>
      <w:sz w:val="28"/>
    </w:rPr>
  </w:style>
  <w:style w:type="paragraph" w:customStyle="1" w:styleId="2134">
    <w:name w:val="Style Heading 1H1标题 1-王鹏章标题 1-*+h11st levelSection Headl1b..."/>
    <w:basedOn w:val="3"/>
    <w:qFormat/>
    <w:uiPriority w:val="0"/>
    <w:pPr>
      <w:keepNext/>
      <w:keepLines/>
      <w:tabs>
        <w:tab w:val="left" w:pos="567"/>
        <w:tab w:val="left" w:pos="786"/>
      </w:tabs>
      <w:adjustRightInd/>
      <w:snapToGrid/>
      <w:spacing w:before="120" w:beforeLines="50" w:after="120" w:line="300" w:lineRule="auto"/>
      <w:ind w:left="432" w:hanging="432"/>
      <w:jc w:val="left"/>
    </w:pPr>
    <w:rPr>
      <w:rFonts w:ascii="宋体" w:hAnsi="宋体"/>
      <w:caps/>
      <w:kern w:val="28"/>
      <w:sz w:val="30"/>
      <w:szCs w:val="20"/>
    </w:rPr>
  </w:style>
  <w:style w:type="character" w:customStyle="1" w:styleId="2135">
    <w:name w:val="表文字 Char2"/>
    <w:qFormat/>
    <w:uiPriority w:val="0"/>
    <w:rPr>
      <w:rFonts w:ascii="黑体" w:hAnsi="宋体" w:eastAsia="黑体" w:cs="宋体"/>
      <w:color w:val="000000"/>
      <w:sz w:val="21"/>
      <w:szCs w:val="18"/>
      <w:lang w:val="en-US" w:eastAsia="zh-CN" w:bidi="ar-SA"/>
    </w:rPr>
  </w:style>
  <w:style w:type="paragraph" w:customStyle="1" w:styleId="2136">
    <w:name w:val="封面工程项目名称"/>
    <w:basedOn w:val="1"/>
    <w:qFormat/>
    <w:uiPriority w:val="0"/>
    <w:pPr>
      <w:spacing w:line="360" w:lineRule="auto"/>
      <w:jc w:val="center"/>
    </w:pPr>
    <w:rPr>
      <w:rFonts w:eastAsia="楷体_GB2312" w:cs="宋体"/>
      <w:b/>
      <w:bCs/>
      <w:spacing w:val="24"/>
      <w:sz w:val="52"/>
      <w:szCs w:val="20"/>
    </w:rPr>
  </w:style>
  <w:style w:type="paragraph" w:customStyle="1" w:styleId="2137">
    <w:name w:val="环境影响报告书"/>
    <w:basedOn w:val="1"/>
    <w:next w:val="1"/>
    <w:qFormat/>
    <w:uiPriority w:val="0"/>
    <w:pPr>
      <w:jc w:val="center"/>
    </w:pPr>
    <w:rPr>
      <w:rFonts w:eastAsia="黑体" w:cs="宋体"/>
      <w:b/>
      <w:bCs/>
      <w:spacing w:val="30"/>
      <w:sz w:val="52"/>
      <w:szCs w:val="20"/>
    </w:rPr>
  </w:style>
  <w:style w:type="character" w:customStyle="1" w:styleId="2138">
    <w:name w:val="表格备注"/>
    <w:qFormat/>
    <w:uiPriority w:val="0"/>
    <w:rPr>
      <w:rFonts w:ascii="华文楷体" w:hAnsi="华文楷体" w:eastAsia="楷体_GB2312"/>
      <w:kern w:val="0"/>
      <w:sz w:val="21"/>
    </w:rPr>
  </w:style>
  <w:style w:type="paragraph" w:customStyle="1" w:styleId="2139">
    <w:name w:val="送审/报批稿"/>
    <w:basedOn w:val="1"/>
    <w:next w:val="1"/>
    <w:qFormat/>
    <w:uiPriority w:val="0"/>
    <w:pPr>
      <w:jc w:val="center"/>
    </w:pPr>
    <w:rPr>
      <w:rFonts w:ascii="华文新魏" w:eastAsia="华文新魏" w:cs="宋体"/>
      <w:sz w:val="44"/>
      <w:szCs w:val="20"/>
    </w:rPr>
  </w:style>
  <w:style w:type="paragraph" w:customStyle="1" w:styleId="2140">
    <w:name w:val="环科院名称"/>
    <w:basedOn w:val="1"/>
    <w:qFormat/>
    <w:uiPriority w:val="0"/>
    <w:pPr>
      <w:ind w:left="-7" w:leftChars="-10" w:hanging="14" w:hangingChars="4"/>
      <w:jc w:val="center"/>
    </w:pPr>
    <w:rPr>
      <w:rFonts w:ascii="楷体_GB2312" w:hAnsi="华文楷体" w:eastAsia="楷体_GB2312" w:cs="宋体"/>
      <w:b/>
      <w:bCs/>
      <w:spacing w:val="20"/>
      <w:sz w:val="32"/>
      <w:szCs w:val="20"/>
    </w:rPr>
  </w:style>
  <w:style w:type="paragraph" w:customStyle="1" w:styleId="2141">
    <w:name w:val="环科院英文名称"/>
    <w:basedOn w:val="1"/>
    <w:qFormat/>
    <w:uiPriority w:val="0"/>
    <w:pPr>
      <w:pBdr>
        <w:top w:val="single" w:color="auto" w:sz="4" w:space="1"/>
        <w:between w:val="single" w:color="auto" w:sz="4" w:space="1"/>
      </w:pBdr>
      <w:ind w:firstLine="21" w:firstLineChars="10"/>
      <w:jc w:val="center"/>
    </w:pPr>
    <w:rPr>
      <w:rFonts w:cs="宋体"/>
      <w:szCs w:val="20"/>
    </w:rPr>
  </w:style>
  <w:style w:type="paragraph" w:customStyle="1" w:styleId="2142">
    <w:name w:val="AnnexLetter"/>
    <w:basedOn w:val="1"/>
    <w:qFormat/>
    <w:uiPriority w:val="0"/>
    <w:pPr>
      <w:widowControl/>
      <w:overflowPunct w:val="0"/>
      <w:autoSpaceDE w:val="0"/>
      <w:autoSpaceDN w:val="0"/>
      <w:adjustRightInd w:val="0"/>
      <w:spacing w:before="2400" w:line="264" w:lineRule="auto"/>
      <w:ind w:left="1418" w:right="1418"/>
      <w:jc w:val="left"/>
      <w:textAlignment w:val="baseline"/>
    </w:pPr>
    <w:rPr>
      <w:rFonts w:ascii="Book Antiqua" w:hAnsi="Book Antiqua"/>
      <w:kern w:val="0"/>
      <w:sz w:val="22"/>
      <w:szCs w:val="20"/>
      <w:lang w:val="en-GB"/>
    </w:rPr>
  </w:style>
  <w:style w:type="paragraph" w:customStyle="1" w:styleId="2143">
    <w:name w:val="AnnexTitle"/>
    <w:basedOn w:val="1"/>
    <w:next w:val="1"/>
    <w:qFormat/>
    <w:uiPriority w:val="0"/>
    <w:pPr>
      <w:widowControl/>
      <w:overflowPunct w:val="0"/>
      <w:autoSpaceDE w:val="0"/>
      <w:autoSpaceDN w:val="0"/>
      <w:adjustRightInd w:val="0"/>
      <w:spacing w:before="720" w:after="16000" w:line="264" w:lineRule="auto"/>
      <w:ind w:left="1418" w:right="1418"/>
      <w:jc w:val="left"/>
      <w:textAlignment w:val="baseline"/>
    </w:pPr>
    <w:rPr>
      <w:rFonts w:ascii="Book Antiqua" w:hAnsi="Book Antiqua"/>
      <w:kern w:val="0"/>
      <w:sz w:val="36"/>
      <w:szCs w:val="20"/>
      <w:lang w:val="en-GB"/>
    </w:rPr>
  </w:style>
  <w:style w:type="paragraph" w:customStyle="1" w:styleId="2144">
    <w:name w:val="CoverClientName"/>
    <w:basedOn w:val="1"/>
    <w:next w:val="1"/>
    <w:qFormat/>
    <w:uiPriority w:val="0"/>
    <w:pPr>
      <w:widowControl/>
      <w:overflowPunct w:val="0"/>
      <w:autoSpaceDE w:val="0"/>
      <w:autoSpaceDN w:val="0"/>
      <w:adjustRightInd w:val="0"/>
      <w:spacing w:after="480" w:line="264" w:lineRule="auto"/>
      <w:jc w:val="left"/>
      <w:textAlignment w:val="baseline"/>
    </w:pPr>
    <w:rPr>
      <w:rFonts w:ascii="Book Antiqua" w:hAnsi="Book Antiqua"/>
      <w:kern w:val="0"/>
      <w:sz w:val="22"/>
      <w:szCs w:val="20"/>
      <w:lang w:val="en-GB"/>
    </w:rPr>
  </w:style>
  <w:style w:type="paragraph" w:customStyle="1" w:styleId="2145">
    <w:name w:val="CoverDate"/>
    <w:basedOn w:val="1"/>
    <w:qFormat/>
    <w:uiPriority w:val="0"/>
    <w:pPr>
      <w:widowControl/>
      <w:overflowPunct w:val="0"/>
      <w:autoSpaceDE w:val="0"/>
      <w:autoSpaceDN w:val="0"/>
      <w:adjustRightInd w:val="0"/>
      <w:spacing w:before="1200" w:line="264" w:lineRule="auto"/>
      <w:jc w:val="left"/>
      <w:textAlignment w:val="baseline"/>
    </w:pPr>
    <w:rPr>
      <w:rFonts w:ascii="Book Antiqua" w:hAnsi="Book Antiqua"/>
      <w:kern w:val="0"/>
      <w:sz w:val="22"/>
      <w:szCs w:val="20"/>
      <w:lang w:val="en-GB"/>
    </w:rPr>
  </w:style>
  <w:style w:type="paragraph" w:customStyle="1" w:styleId="2146">
    <w:name w:val="CoverMainTitle"/>
    <w:basedOn w:val="1"/>
    <w:next w:val="1"/>
    <w:qFormat/>
    <w:uiPriority w:val="0"/>
    <w:pPr>
      <w:widowControl/>
      <w:overflowPunct w:val="0"/>
      <w:autoSpaceDE w:val="0"/>
      <w:autoSpaceDN w:val="0"/>
      <w:adjustRightInd w:val="0"/>
      <w:spacing w:before="480" w:line="264" w:lineRule="auto"/>
      <w:jc w:val="left"/>
      <w:textAlignment w:val="baseline"/>
    </w:pPr>
    <w:rPr>
      <w:rFonts w:ascii="Book Antiqua" w:hAnsi="Book Antiqua"/>
      <w:kern w:val="0"/>
      <w:sz w:val="28"/>
      <w:szCs w:val="20"/>
      <w:lang w:val="en-GB"/>
    </w:rPr>
  </w:style>
  <w:style w:type="paragraph" w:customStyle="1" w:styleId="2147">
    <w:name w:val="CoverReverseHeader"/>
    <w:basedOn w:val="1"/>
    <w:next w:val="2144"/>
    <w:qFormat/>
    <w:uiPriority w:val="0"/>
    <w:pPr>
      <w:widowControl/>
      <w:pBdr>
        <w:top w:val="single" w:color="auto" w:sz="6" w:space="0"/>
        <w:left w:val="single" w:color="auto" w:sz="6" w:space="0"/>
        <w:bottom w:val="single" w:color="auto" w:sz="6" w:space="0"/>
        <w:right w:val="single" w:color="auto" w:sz="6" w:space="0"/>
      </w:pBdr>
      <w:shd w:val="pct90" w:color="000000" w:fill="000000"/>
      <w:overflowPunct w:val="0"/>
      <w:autoSpaceDE w:val="0"/>
      <w:autoSpaceDN w:val="0"/>
      <w:adjustRightInd w:val="0"/>
      <w:spacing w:after="2280" w:line="264" w:lineRule="auto"/>
      <w:jc w:val="center"/>
      <w:textAlignment w:val="baseline"/>
    </w:pPr>
    <w:rPr>
      <w:rFonts w:ascii="Book Antiqua" w:hAnsi="Book Antiqua"/>
      <w:caps/>
      <w:color w:val="FFFFFF"/>
      <w:kern w:val="0"/>
      <w:sz w:val="22"/>
      <w:szCs w:val="20"/>
      <w:lang w:val="en-GB"/>
    </w:rPr>
  </w:style>
  <w:style w:type="paragraph" w:customStyle="1" w:styleId="2148">
    <w:name w:val="Graphics Text"/>
    <w:basedOn w:val="1"/>
    <w:qFormat/>
    <w:uiPriority w:val="0"/>
    <w:pPr>
      <w:widowControl/>
      <w:overflowPunct w:val="0"/>
      <w:autoSpaceDE w:val="0"/>
      <w:autoSpaceDN w:val="0"/>
      <w:adjustRightInd w:val="0"/>
      <w:spacing w:line="264" w:lineRule="auto"/>
      <w:jc w:val="left"/>
      <w:textAlignment w:val="baseline"/>
    </w:pPr>
    <w:rPr>
      <w:rFonts w:ascii="Arial Narrow" w:hAnsi="Arial Narrow"/>
      <w:kern w:val="0"/>
      <w:sz w:val="18"/>
      <w:szCs w:val="20"/>
      <w:lang w:val="en-GB"/>
    </w:rPr>
  </w:style>
  <w:style w:type="paragraph" w:customStyle="1" w:styleId="2149">
    <w:name w:val="Heading4"/>
    <w:basedOn w:val="1"/>
    <w:qFormat/>
    <w:uiPriority w:val="0"/>
    <w:pPr>
      <w:widowControl/>
      <w:overflowPunct w:val="0"/>
      <w:autoSpaceDE w:val="0"/>
      <w:autoSpaceDN w:val="0"/>
      <w:adjustRightInd w:val="0"/>
      <w:spacing w:after="240" w:line="264" w:lineRule="auto"/>
      <w:jc w:val="left"/>
      <w:textAlignment w:val="baseline"/>
    </w:pPr>
    <w:rPr>
      <w:rFonts w:ascii="Book Antiqua" w:hAnsi="Book Antiqua"/>
      <w:i/>
      <w:kern w:val="0"/>
      <w:sz w:val="22"/>
      <w:szCs w:val="20"/>
      <w:lang w:val="en-GB"/>
    </w:rPr>
  </w:style>
  <w:style w:type="paragraph" w:customStyle="1" w:styleId="2150">
    <w:name w:val="MarginRelease"/>
    <w:basedOn w:val="1"/>
    <w:next w:val="1"/>
    <w:qFormat/>
    <w:uiPriority w:val="0"/>
    <w:pPr>
      <w:widowControl/>
      <w:overflowPunct w:val="0"/>
      <w:autoSpaceDE w:val="0"/>
      <w:autoSpaceDN w:val="0"/>
      <w:adjustRightInd w:val="0"/>
      <w:spacing w:line="264" w:lineRule="auto"/>
      <w:ind w:hanging="1418"/>
      <w:jc w:val="left"/>
      <w:textAlignment w:val="baseline"/>
    </w:pPr>
    <w:rPr>
      <w:rFonts w:ascii="Book Antiqua" w:hAnsi="Book Antiqua"/>
      <w:kern w:val="0"/>
      <w:sz w:val="22"/>
      <w:szCs w:val="20"/>
      <w:lang w:val="en-GB"/>
    </w:rPr>
  </w:style>
  <w:style w:type="paragraph" w:customStyle="1" w:styleId="2151">
    <w:name w:val="OtherHeader"/>
    <w:basedOn w:val="57"/>
    <w:next w:val="1"/>
    <w:qFormat/>
    <w:uiPriority w:val="0"/>
    <w:pPr>
      <w:widowControl/>
      <w:pBdr>
        <w:bottom w:val="none" w:color="auto" w:sz="0" w:space="0"/>
      </w:pBdr>
      <w:tabs>
        <w:tab w:val="left" w:pos="4153"/>
        <w:tab w:val="right" w:pos="7655"/>
      </w:tabs>
      <w:overflowPunct w:val="0"/>
      <w:autoSpaceDE w:val="0"/>
      <w:autoSpaceDN w:val="0"/>
      <w:adjustRightInd w:val="0"/>
      <w:snapToGrid/>
      <w:spacing w:before="360" w:after="240" w:line="264" w:lineRule="auto"/>
      <w:jc w:val="left"/>
      <w:textAlignment w:val="baseline"/>
    </w:pPr>
    <w:rPr>
      <w:rFonts w:ascii="Book Antiqua" w:hAnsi="Book Antiqua"/>
      <w:b/>
      <w:i/>
      <w:caps/>
      <w:kern w:val="0"/>
      <w:sz w:val="22"/>
      <w:szCs w:val="20"/>
      <w:lang w:val="en-GB"/>
    </w:rPr>
  </w:style>
  <w:style w:type="paragraph" w:customStyle="1" w:styleId="2152">
    <w:name w:val="Subtext"/>
    <w:basedOn w:val="1"/>
    <w:qFormat/>
    <w:uiPriority w:val="0"/>
    <w:pPr>
      <w:widowControl/>
      <w:overflowPunct w:val="0"/>
      <w:autoSpaceDE w:val="0"/>
      <w:autoSpaceDN w:val="0"/>
      <w:adjustRightInd w:val="0"/>
      <w:spacing w:line="264" w:lineRule="auto"/>
      <w:jc w:val="left"/>
      <w:textAlignment w:val="baseline"/>
    </w:pPr>
    <w:rPr>
      <w:rFonts w:ascii="Book Antiqua" w:hAnsi="Book Antiqua"/>
      <w:kern w:val="0"/>
      <w:sz w:val="18"/>
      <w:szCs w:val="20"/>
      <w:lang w:val="en-GB"/>
    </w:rPr>
  </w:style>
  <w:style w:type="paragraph" w:customStyle="1" w:styleId="2153">
    <w:name w:val="XecSumm"/>
    <w:basedOn w:val="1"/>
    <w:qFormat/>
    <w:uiPriority w:val="0"/>
    <w:pPr>
      <w:widowControl/>
      <w:overflowPunct w:val="0"/>
      <w:autoSpaceDE w:val="0"/>
      <w:autoSpaceDN w:val="0"/>
      <w:adjustRightInd w:val="0"/>
      <w:spacing w:line="264" w:lineRule="auto"/>
      <w:jc w:val="left"/>
      <w:textAlignment w:val="baseline"/>
    </w:pPr>
    <w:rPr>
      <w:rFonts w:ascii="Book Antiqua" w:hAnsi="Book Antiqua"/>
      <w:i/>
      <w:kern w:val="0"/>
      <w:sz w:val="22"/>
      <w:szCs w:val="20"/>
      <w:lang w:val="en-GB"/>
    </w:rPr>
  </w:style>
  <w:style w:type="character" w:customStyle="1" w:styleId="2154">
    <w:name w:val="XFootNoteText"/>
    <w:qFormat/>
    <w:uiPriority w:val="0"/>
    <w:rPr>
      <w:rFonts w:ascii="Book Antiqua" w:hAnsi="Book Antiqua"/>
      <w:position w:val="0"/>
      <w:sz w:val="14"/>
      <w:vertAlign w:val="baseline"/>
    </w:rPr>
  </w:style>
  <w:style w:type="paragraph" w:customStyle="1" w:styleId="2155">
    <w:name w:val="Style Heading 2§1.1§1.1.H21标题 2 Char Char节标题 1.1（一）Underrub...3"/>
    <w:basedOn w:val="4"/>
    <w:qFormat/>
    <w:uiPriority w:val="0"/>
    <w:pPr>
      <w:tabs>
        <w:tab w:val="left" w:pos="-1418"/>
        <w:tab w:val="left" w:pos="785"/>
        <w:tab w:val="left" w:pos="2835"/>
      </w:tabs>
      <w:spacing w:before="0" w:after="0" w:line="360" w:lineRule="auto"/>
      <w:ind w:hanging="1412"/>
    </w:pPr>
    <w:rPr>
      <w:rFonts w:ascii="宋体" w:hAnsi="宋体" w:eastAsia="宋体"/>
      <w:iCs/>
      <w:smallCaps/>
      <w:kern w:val="28"/>
      <w:sz w:val="28"/>
      <w:szCs w:val="28"/>
    </w:rPr>
  </w:style>
  <w:style w:type="paragraph" w:customStyle="1" w:styleId="2156">
    <w:name w:val="Style Heading 3§1.1.1.H3标题 3zym条标题1.1.1标题 3 Charh3level_3PI..."/>
    <w:basedOn w:val="5"/>
    <w:qFormat/>
    <w:uiPriority w:val="0"/>
    <w:pPr>
      <w:tabs>
        <w:tab w:val="left" w:pos="-1418"/>
        <w:tab w:val="left" w:pos="851"/>
      </w:tabs>
      <w:spacing w:before="0" w:after="0" w:line="360" w:lineRule="auto"/>
      <w:ind w:left="720" w:hanging="720"/>
    </w:pPr>
    <w:rPr>
      <w:rFonts w:ascii="黑体" w:eastAsia="黑体"/>
      <w:iCs/>
      <w:kern w:val="28"/>
      <w:sz w:val="24"/>
      <w:szCs w:val="24"/>
    </w:rPr>
  </w:style>
  <w:style w:type="paragraph" w:customStyle="1" w:styleId="2157">
    <w:name w:val="报告1"/>
    <w:basedOn w:val="1"/>
    <w:qFormat/>
    <w:uiPriority w:val="0"/>
    <w:pPr>
      <w:spacing w:line="360" w:lineRule="auto"/>
      <w:ind w:firstLine="505"/>
    </w:pPr>
    <w:rPr>
      <w:kern w:val="24"/>
      <w:sz w:val="24"/>
    </w:rPr>
  </w:style>
  <w:style w:type="paragraph" w:customStyle="1" w:styleId="2158">
    <w:name w:val="South Sulige Main Text"/>
    <w:basedOn w:val="21"/>
    <w:qFormat/>
    <w:uiPriority w:val="0"/>
    <w:pPr>
      <w:widowControl/>
      <w:spacing w:before="120" w:beforeLines="50" w:after="120" w:afterLines="50" w:line="360" w:lineRule="auto"/>
      <w:ind w:firstLine="480" w:firstLineChars="200"/>
    </w:pPr>
    <w:rPr>
      <w:snapToGrid w:val="0"/>
      <w:kern w:val="28"/>
      <w:sz w:val="24"/>
    </w:rPr>
  </w:style>
  <w:style w:type="paragraph" w:customStyle="1" w:styleId="2159">
    <w:name w:val="报告表格"/>
    <w:basedOn w:val="1"/>
    <w:qFormat/>
    <w:uiPriority w:val="0"/>
    <w:pPr>
      <w:spacing w:before="40" w:after="40"/>
      <w:jc w:val="center"/>
      <w:textAlignment w:val="bottom"/>
    </w:pPr>
  </w:style>
  <w:style w:type="character" w:customStyle="1" w:styleId="2160">
    <w:name w:val="论文正文文字 Char"/>
    <w:link w:val="2161"/>
    <w:qFormat/>
    <w:uiPriority w:val="0"/>
    <w:rPr>
      <w:rFonts w:cs="宋体"/>
      <w:sz w:val="24"/>
      <w:szCs w:val="24"/>
    </w:rPr>
  </w:style>
  <w:style w:type="paragraph" w:customStyle="1" w:styleId="2161">
    <w:name w:val="论文正文文字"/>
    <w:basedOn w:val="1"/>
    <w:link w:val="2160"/>
    <w:qFormat/>
    <w:uiPriority w:val="0"/>
    <w:pPr>
      <w:spacing w:line="400" w:lineRule="exact"/>
      <w:ind w:firstLine="200" w:firstLineChars="200"/>
    </w:pPr>
    <w:rPr>
      <w:rFonts w:cs="宋体"/>
      <w:kern w:val="0"/>
      <w:sz w:val="24"/>
    </w:rPr>
  </w:style>
  <w:style w:type="character" w:customStyle="1" w:styleId="2162">
    <w:name w:val="cn1"/>
    <w:qFormat/>
    <w:uiPriority w:val="0"/>
    <w:rPr>
      <w:sz w:val="21"/>
      <w:szCs w:val="21"/>
    </w:rPr>
  </w:style>
  <w:style w:type="character" w:customStyle="1" w:styleId="2163">
    <w:name w:val="正文首行缩进 Char1 Char Char3"/>
    <w:qFormat/>
    <w:uiPriority w:val="0"/>
    <w:rPr>
      <w:rFonts w:eastAsia="宋体"/>
      <w:kern w:val="2"/>
      <w:sz w:val="21"/>
      <w:szCs w:val="24"/>
      <w:lang w:val="en-US" w:eastAsia="zh-CN" w:bidi="ar-SA"/>
    </w:rPr>
  </w:style>
  <w:style w:type="paragraph" w:customStyle="1" w:styleId="2164">
    <w:name w:val="样式 标题 3 + 段前: 0.3 行"/>
    <w:basedOn w:val="5"/>
    <w:qFormat/>
    <w:uiPriority w:val="0"/>
    <w:pPr>
      <w:keepNext w:val="0"/>
      <w:spacing w:before="120" w:beforeLines="50" w:after="120" w:line="440" w:lineRule="exact"/>
      <w:ind w:firstLine="493"/>
    </w:pPr>
    <w:rPr>
      <w:rFonts w:ascii="Arial" w:hAnsi="Arial" w:eastAsia="黑体"/>
      <w:b w:val="0"/>
      <w:bCs w:val="0"/>
      <w:spacing w:val="16"/>
      <w:w w:val="95"/>
      <w:kern w:val="0"/>
      <w:sz w:val="26"/>
      <w:szCs w:val="24"/>
    </w:rPr>
  </w:style>
  <w:style w:type="character" w:customStyle="1" w:styleId="2165">
    <w:name w:val="正文首行缩进1 Char"/>
    <w:qFormat/>
    <w:uiPriority w:val="0"/>
    <w:rPr>
      <w:rFonts w:eastAsia="宋体"/>
      <w:snapToGrid w:val="0"/>
      <w:spacing w:val="10"/>
      <w:kern w:val="24"/>
      <w:sz w:val="28"/>
      <w:szCs w:val="28"/>
      <w:lang w:val="en-US" w:eastAsia="zh-CN" w:bidi="ar-SA"/>
    </w:rPr>
  </w:style>
  <w:style w:type="paragraph" w:customStyle="1" w:styleId="2166">
    <w:name w:val="标题2，第二标题"/>
    <w:basedOn w:val="86"/>
    <w:next w:val="86"/>
    <w:qFormat/>
    <w:uiPriority w:val="0"/>
    <w:pPr>
      <w:tabs>
        <w:tab w:val="left" w:pos="628"/>
        <w:tab w:val="left" w:pos="1727"/>
        <w:tab w:val="left" w:pos="1884"/>
        <w:tab w:val="left" w:pos="2660"/>
        <w:tab w:val="left" w:pos="5460"/>
      </w:tabs>
      <w:snapToGrid w:val="0"/>
      <w:spacing w:before="93" w:beforeLines="30" w:after="93" w:afterLines="30" w:line="440" w:lineRule="exact"/>
      <w:ind w:firstLine="0" w:firstLineChars="0"/>
      <w:outlineLvl w:val="1"/>
    </w:pPr>
    <w:rPr>
      <w:rFonts w:eastAsia="黑体" w:asciiTheme="minorHAnsi" w:hAnsiTheme="minorHAnsi" w:cstheme="minorBidi"/>
      <w:sz w:val="28"/>
      <w:szCs w:val="20"/>
    </w:rPr>
  </w:style>
  <w:style w:type="paragraph" w:customStyle="1" w:styleId="2167">
    <w:name w:val="样式 标题 3 + 左侧:  0 厘米 首行缩进:  0 厘米"/>
    <w:basedOn w:val="5"/>
    <w:qFormat/>
    <w:uiPriority w:val="0"/>
    <w:pPr>
      <w:spacing w:before="120" w:after="120" w:line="300" w:lineRule="auto"/>
    </w:pPr>
    <w:rPr>
      <w:rFonts w:ascii="Arial" w:hAnsi="Arial" w:eastAsia="黑体" w:cs="宋体"/>
      <w:b w:val="0"/>
      <w:bCs w:val="0"/>
      <w:sz w:val="30"/>
      <w:szCs w:val="24"/>
    </w:rPr>
  </w:style>
  <w:style w:type="paragraph" w:customStyle="1" w:styleId="2168">
    <w:name w:val="样式 表头 + Times New Roman 两端对齐 段前: 7.8 磅 段后: 6 磅 行距: 固定值 22 磅"/>
    <w:basedOn w:val="7"/>
    <w:qFormat/>
    <w:uiPriority w:val="0"/>
    <w:pPr>
      <w:keepLines w:val="0"/>
      <w:adjustRightInd/>
      <w:spacing w:before="156" w:after="120" w:line="440" w:lineRule="exact"/>
      <w:ind w:firstLine="945" w:firstLineChars="418"/>
      <w:textAlignment w:val="auto"/>
      <w:outlineLvl w:val="9"/>
    </w:pPr>
    <w:rPr>
      <w:rFonts w:eastAsia="黑体" w:cs="宋体"/>
      <w:b w:val="0"/>
      <w:spacing w:val="8"/>
      <w:kern w:val="21"/>
      <w:sz w:val="21"/>
    </w:rPr>
  </w:style>
  <w:style w:type="paragraph" w:customStyle="1" w:styleId="2169">
    <w:name w:val="样式 报告正文 + 行距: 多倍行距 1.4 字行"/>
    <w:basedOn w:val="1"/>
    <w:qFormat/>
    <w:uiPriority w:val="0"/>
    <w:pPr>
      <w:adjustRightInd w:val="0"/>
      <w:snapToGrid w:val="0"/>
      <w:spacing w:line="336" w:lineRule="auto"/>
      <w:ind w:firstLine="200" w:firstLineChars="200"/>
    </w:pPr>
    <w:rPr>
      <w:rFonts w:ascii="宋体" w:cs="宋体"/>
      <w:sz w:val="28"/>
      <w:szCs w:val="20"/>
    </w:rPr>
  </w:style>
  <w:style w:type="paragraph" w:customStyle="1" w:styleId="2170">
    <w:name w:val="表内"/>
    <w:basedOn w:val="1"/>
    <w:link w:val="2171"/>
    <w:qFormat/>
    <w:uiPriority w:val="0"/>
    <w:pPr>
      <w:spacing w:line="340" w:lineRule="exact"/>
      <w:jc w:val="center"/>
    </w:pPr>
    <w:rPr>
      <w:rFonts w:ascii="Arial" w:hAnsi="Arial" w:eastAsia="楷体_GB2312"/>
      <w:szCs w:val="21"/>
    </w:rPr>
  </w:style>
  <w:style w:type="character" w:customStyle="1" w:styleId="2171">
    <w:name w:val="表内 Char"/>
    <w:link w:val="2170"/>
    <w:qFormat/>
    <w:uiPriority w:val="0"/>
    <w:rPr>
      <w:rFonts w:ascii="Arial" w:hAnsi="Arial" w:eastAsia="楷体_GB2312"/>
      <w:kern w:val="2"/>
      <w:sz w:val="21"/>
      <w:szCs w:val="21"/>
    </w:rPr>
  </w:style>
  <w:style w:type="paragraph" w:customStyle="1" w:styleId="2172">
    <w:name w:val="Plain Text1"/>
    <w:basedOn w:val="1"/>
    <w:qFormat/>
    <w:uiPriority w:val="0"/>
    <w:pPr>
      <w:adjustRightInd w:val="0"/>
      <w:textAlignment w:val="baseline"/>
    </w:pPr>
    <w:rPr>
      <w:rFonts w:ascii="宋体" w:hAnsi="Courier New"/>
      <w:szCs w:val="20"/>
    </w:rPr>
  </w:style>
  <w:style w:type="paragraph" w:customStyle="1" w:styleId="2173">
    <w:name w:val="列表项目"/>
    <w:basedOn w:val="24"/>
    <w:qFormat/>
    <w:uiPriority w:val="0"/>
    <w:pPr>
      <w:tabs>
        <w:tab w:val="clear" w:pos="360"/>
      </w:tabs>
      <w:spacing w:before="120" w:line="360" w:lineRule="auto"/>
      <w:ind w:left="0" w:firstLine="210" w:firstLineChars="0"/>
      <w:jc w:val="center"/>
    </w:pPr>
    <w:rPr>
      <w:b/>
      <w:sz w:val="30"/>
      <w:szCs w:val="20"/>
    </w:rPr>
  </w:style>
  <w:style w:type="paragraph" w:customStyle="1" w:styleId="2174">
    <w:name w:val="表前文字"/>
    <w:basedOn w:val="1"/>
    <w:qFormat/>
    <w:uiPriority w:val="0"/>
    <w:pPr>
      <w:jc w:val="center"/>
    </w:pPr>
    <w:rPr>
      <w:rFonts w:ascii="黑体" w:hAnsi="宋体" w:eastAsia="黑体"/>
      <w:bCs/>
      <w:kern w:val="0"/>
      <w:sz w:val="24"/>
    </w:rPr>
  </w:style>
  <w:style w:type="paragraph" w:customStyle="1" w:styleId="2175">
    <w:name w:val="表格样式"/>
    <w:basedOn w:val="1"/>
    <w:qFormat/>
    <w:uiPriority w:val="0"/>
    <w:pPr>
      <w:adjustRightInd w:val="0"/>
      <w:snapToGrid w:val="0"/>
      <w:jc w:val="center"/>
      <w:textAlignment w:val="baseline"/>
    </w:pPr>
    <w:rPr>
      <w:rFonts w:ascii="宋体"/>
      <w:snapToGrid w:val="0"/>
      <w:color w:val="000000"/>
      <w:kern w:val="0"/>
      <w:sz w:val="24"/>
      <w:szCs w:val="20"/>
    </w:rPr>
  </w:style>
  <w:style w:type="paragraph" w:customStyle="1" w:styleId="2176">
    <w:name w:val="居中正文"/>
    <w:basedOn w:val="86"/>
    <w:qFormat/>
    <w:uiPriority w:val="0"/>
    <w:pPr>
      <w:adjustRightInd w:val="0"/>
      <w:spacing w:before="120" w:after="0" w:line="360" w:lineRule="auto"/>
      <w:ind w:firstLine="0" w:firstLineChars="0"/>
      <w:jc w:val="center"/>
      <w:textAlignment w:val="baseline"/>
    </w:pPr>
    <w:rPr>
      <w:rFonts w:ascii="宋体" w:hAnsiTheme="minorHAnsi" w:eastAsiaTheme="minorEastAsia" w:cstheme="minorBidi"/>
      <w:kern w:val="28"/>
      <w:sz w:val="24"/>
      <w:szCs w:val="20"/>
    </w:rPr>
  </w:style>
  <w:style w:type="paragraph" w:customStyle="1" w:styleId="2177">
    <w:name w:val="流程图文字"/>
    <w:basedOn w:val="1"/>
    <w:qFormat/>
    <w:uiPriority w:val="0"/>
    <w:pPr>
      <w:spacing w:before="100" w:after="40"/>
      <w:jc w:val="center"/>
    </w:pPr>
    <w:rPr>
      <w:szCs w:val="20"/>
    </w:rPr>
  </w:style>
  <w:style w:type="paragraph" w:customStyle="1" w:styleId="2178">
    <w:name w:val="Body Text First Indent1"/>
    <w:basedOn w:val="34"/>
    <w:qFormat/>
    <w:uiPriority w:val="0"/>
    <w:pPr>
      <w:tabs>
        <w:tab w:val="left" w:pos="7840"/>
      </w:tabs>
      <w:adjustRightInd w:val="0"/>
      <w:spacing w:line="360" w:lineRule="auto"/>
      <w:ind w:firstLine="567"/>
      <w:textAlignment w:val="baseline"/>
    </w:pPr>
    <w:rPr>
      <w:kern w:val="28"/>
      <w:sz w:val="28"/>
      <w:szCs w:val="20"/>
    </w:rPr>
  </w:style>
  <w:style w:type="paragraph" w:customStyle="1" w:styleId="2179">
    <w:name w:val="下标"/>
    <w:basedOn w:val="86"/>
    <w:qFormat/>
    <w:uiPriority w:val="0"/>
    <w:pPr>
      <w:tabs>
        <w:tab w:val="left" w:pos="0"/>
      </w:tabs>
      <w:autoSpaceDE w:val="0"/>
      <w:autoSpaceDN w:val="0"/>
      <w:spacing w:before="60" w:after="60" w:line="360" w:lineRule="auto"/>
      <w:ind w:firstLine="567" w:firstLineChars="0"/>
    </w:pPr>
    <w:rPr>
      <w:rFonts w:ascii="宋体" w:hAnsiTheme="minorHAnsi" w:eastAsiaTheme="minorEastAsia" w:cstheme="minorBidi"/>
      <w:spacing w:val="20"/>
      <w:sz w:val="24"/>
      <w:vertAlign w:val="subscript"/>
    </w:rPr>
  </w:style>
  <w:style w:type="paragraph" w:customStyle="1" w:styleId="2180">
    <w:name w:val="页面标题2"/>
    <w:basedOn w:val="1"/>
    <w:qFormat/>
    <w:uiPriority w:val="0"/>
    <w:pPr>
      <w:overflowPunct w:val="0"/>
      <w:topLinePunct/>
      <w:adjustRightInd w:val="0"/>
      <w:spacing w:line="360" w:lineRule="auto"/>
      <w:ind w:firstLine="480" w:firstLineChars="200"/>
      <w:jc w:val="center"/>
      <w:textAlignment w:val="baseline"/>
    </w:pPr>
    <w:rPr>
      <w:rFonts w:ascii="黑体" w:hAnsi="宋体" w:eastAsia="黑体"/>
      <w:b/>
      <w:kern w:val="24"/>
      <w:sz w:val="44"/>
      <w:szCs w:val="20"/>
    </w:rPr>
  </w:style>
  <w:style w:type="paragraph" w:customStyle="1" w:styleId="2181">
    <w:name w:val="格式"/>
    <w:basedOn w:val="1"/>
    <w:qFormat/>
    <w:uiPriority w:val="0"/>
    <w:pPr>
      <w:widowControl/>
      <w:snapToGrid w:val="0"/>
      <w:spacing w:line="400" w:lineRule="atLeast"/>
      <w:ind w:firstLine="567"/>
      <w:jc w:val="center"/>
    </w:pPr>
    <w:rPr>
      <w:rFonts w:eastAsia="仿宋_GB2312"/>
      <w:kern w:val="0"/>
      <w:sz w:val="24"/>
      <w:szCs w:val="20"/>
    </w:rPr>
  </w:style>
  <w:style w:type="paragraph" w:customStyle="1" w:styleId="2182">
    <w:name w:val="样式 两端对齐 首行缩进:  0.74 厘米 段后: 1 行"/>
    <w:basedOn w:val="1"/>
    <w:qFormat/>
    <w:uiPriority w:val="0"/>
    <w:pPr>
      <w:widowControl/>
      <w:spacing w:line="360" w:lineRule="auto"/>
      <w:ind w:firstLine="420"/>
    </w:pPr>
    <w:rPr>
      <w:rFonts w:ascii="Arial" w:hAnsi="Arial"/>
      <w:kern w:val="0"/>
      <w:sz w:val="24"/>
      <w:szCs w:val="20"/>
      <w:lang w:val="zh-CN"/>
    </w:rPr>
  </w:style>
  <w:style w:type="paragraph" w:customStyle="1" w:styleId="2183">
    <w:name w:val="1111"/>
    <w:basedOn w:val="1"/>
    <w:qFormat/>
    <w:uiPriority w:val="0"/>
    <w:pPr>
      <w:adjustRightInd w:val="0"/>
      <w:spacing w:line="360" w:lineRule="exact"/>
      <w:jc w:val="center"/>
      <w:textAlignment w:val="baseline"/>
    </w:pPr>
    <w:rPr>
      <w:rFonts w:ascii="宋体" w:hAnsi="宋体"/>
      <w:bCs/>
      <w:kern w:val="0"/>
    </w:rPr>
  </w:style>
  <w:style w:type="paragraph" w:customStyle="1" w:styleId="2184">
    <w:name w:val="样式 样式 正文首行缩进 + 首行缩进:  2 字符 + 首行缩进:  2 字符"/>
    <w:basedOn w:val="1"/>
    <w:qFormat/>
    <w:uiPriority w:val="0"/>
    <w:pPr>
      <w:topLinePunct/>
      <w:adjustRightInd w:val="0"/>
      <w:snapToGrid w:val="0"/>
      <w:spacing w:line="360" w:lineRule="auto"/>
      <w:ind w:firstLine="480" w:firstLineChars="200"/>
      <w:textAlignment w:val="baseline"/>
    </w:pPr>
    <w:rPr>
      <w:rFonts w:hAnsi="宋体" w:eastAsia="Times New Roman"/>
      <w:kern w:val="0"/>
      <w:sz w:val="24"/>
    </w:rPr>
  </w:style>
  <w:style w:type="paragraph" w:customStyle="1" w:styleId="2185">
    <w:name w:val="样式 标题 4 + 段后: 1 行"/>
    <w:basedOn w:val="6"/>
    <w:qFormat/>
    <w:uiPriority w:val="0"/>
    <w:pPr>
      <w:keepLines w:val="0"/>
      <w:tabs>
        <w:tab w:val="left" w:pos="1931"/>
      </w:tabs>
      <w:spacing w:before="0" w:after="312" w:afterLines="100" w:line="360" w:lineRule="auto"/>
      <w:ind w:left="1559"/>
    </w:pPr>
    <w:rPr>
      <w:rFonts w:ascii="Times New Roman" w:hAnsi="Times New Roman" w:eastAsia="宋体"/>
      <w:color w:val="FF0000"/>
      <w:sz w:val="24"/>
      <w:szCs w:val="24"/>
      <w:lang w:val="zh-CN"/>
    </w:rPr>
  </w:style>
  <w:style w:type="paragraph" w:customStyle="1" w:styleId="2186">
    <w:name w:val="首行缩进:  2 字符"/>
    <w:basedOn w:val="1"/>
    <w:qFormat/>
    <w:uiPriority w:val="0"/>
    <w:pPr>
      <w:spacing w:line="300" w:lineRule="auto"/>
      <w:ind w:firstLine="480" w:firstLineChars="200"/>
    </w:pPr>
    <w:rPr>
      <w:sz w:val="24"/>
      <w:szCs w:val="20"/>
    </w:rPr>
  </w:style>
  <w:style w:type="character" w:customStyle="1" w:styleId="2187">
    <w:name w:val="Normal Char Char"/>
    <w:qFormat/>
    <w:uiPriority w:val="0"/>
    <w:rPr>
      <w:rFonts w:ascii="Times New Roman" w:hAnsi="Times New Roman" w:eastAsia="宋体" w:cs="Times New Roman"/>
      <w:kern w:val="0"/>
      <w:sz w:val="28"/>
      <w:szCs w:val="20"/>
      <w:lang w:val="zh-CN"/>
    </w:rPr>
  </w:style>
  <w:style w:type="paragraph" w:customStyle="1" w:styleId="2188">
    <w:name w:val="样式 正文首行缩进 + 首行缩进:  1 字符"/>
    <w:basedOn w:val="86"/>
    <w:qFormat/>
    <w:uiPriority w:val="0"/>
    <w:pPr>
      <w:spacing w:after="0" w:line="360" w:lineRule="auto"/>
      <w:ind w:firstLine="480" w:firstLineChars="200"/>
    </w:pPr>
    <w:rPr>
      <w:rFonts w:cs="宋体" w:asciiTheme="minorHAnsi" w:hAnsiTheme="minorHAnsi" w:eastAsiaTheme="minorEastAsia"/>
      <w:bCs/>
      <w:sz w:val="24"/>
    </w:rPr>
  </w:style>
  <w:style w:type="paragraph" w:customStyle="1" w:styleId="2189">
    <w:name w:val="条目"/>
    <w:basedOn w:val="982"/>
    <w:qFormat/>
    <w:uiPriority w:val="0"/>
    <w:pPr>
      <w:widowControl/>
      <w:tabs>
        <w:tab w:val="left" w:pos="1134"/>
      </w:tabs>
      <w:overflowPunct w:val="0"/>
      <w:adjustRightInd/>
      <w:spacing w:before="60" w:after="60" w:line="400" w:lineRule="atLeast"/>
      <w:ind w:firstLine="482"/>
      <w:jc w:val="both"/>
      <w:textAlignment w:val="auto"/>
    </w:pPr>
    <w:rPr>
      <w:kern w:val="2"/>
      <w:szCs w:val="24"/>
    </w:rPr>
  </w:style>
  <w:style w:type="paragraph" w:customStyle="1" w:styleId="2190">
    <w:name w:val="样式 表头 + 黑色 行距: 固定值 25 磅"/>
    <w:basedOn w:val="7"/>
    <w:qFormat/>
    <w:uiPriority w:val="0"/>
    <w:pPr>
      <w:keepNext w:val="0"/>
      <w:keepLines w:val="0"/>
      <w:widowControl/>
      <w:adjustRightInd/>
      <w:snapToGrid w:val="0"/>
      <w:spacing w:before="0" w:after="0" w:line="240" w:lineRule="auto"/>
      <w:jc w:val="center"/>
      <w:textAlignment w:val="auto"/>
      <w:outlineLvl w:val="9"/>
    </w:pPr>
    <w:rPr>
      <w:rFonts w:ascii="黑体" w:eastAsia="黑体"/>
      <w:b w:val="0"/>
      <w:bCs/>
      <w:color w:val="000000"/>
      <w:sz w:val="21"/>
      <w:szCs w:val="21"/>
    </w:rPr>
  </w:style>
  <w:style w:type="paragraph" w:customStyle="1" w:styleId="2191">
    <w:name w:val="－正文"/>
    <w:basedOn w:val="1"/>
    <w:qFormat/>
    <w:uiPriority w:val="0"/>
    <w:pPr>
      <w:spacing w:line="540" w:lineRule="atLeast"/>
      <w:ind w:firstLine="200" w:firstLineChars="200"/>
      <w:jc w:val="left"/>
    </w:pPr>
    <w:rPr>
      <w:spacing w:val="8"/>
      <w:sz w:val="28"/>
      <w:szCs w:val="28"/>
    </w:rPr>
  </w:style>
  <w:style w:type="paragraph" w:customStyle="1" w:styleId="2192">
    <w:name w:val="wenjian"/>
    <w:basedOn w:val="1078"/>
    <w:qFormat/>
    <w:uiPriority w:val="0"/>
    <w:pPr>
      <w:snapToGrid/>
      <w:ind w:firstLine="512"/>
      <w:jc w:val="left"/>
    </w:pPr>
    <w:rPr>
      <w:rFonts w:ascii="Times" w:hAnsi="Times" w:cs="Times New Roman"/>
      <w:spacing w:val="8"/>
      <w:kern w:val="2"/>
      <w:sz w:val="21"/>
    </w:rPr>
  </w:style>
  <w:style w:type="paragraph" w:customStyle="1" w:styleId="2193">
    <w:name w:val="shu 表题"/>
    <w:basedOn w:val="1"/>
    <w:qFormat/>
    <w:uiPriority w:val="0"/>
    <w:pPr>
      <w:autoSpaceDE w:val="0"/>
      <w:autoSpaceDN w:val="0"/>
      <w:adjustRightInd w:val="0"/>
      <w:jc w:val="center"/>
    </w:pPr>
    <w:rPr>
      <w:rFonts w:ascii="Times" w:hAnsi="Times"/>
      <w:b/>
      <w:spacing w:val="20"/>
      <w:kern w:val="0"/>
      <w:sz w:val="24"/>
      <w:szCs w:val="23"/>
    </w:rPr>
  </w:style>
  <w:style w:type="paragraph" w:customStyle="1" w:styleId="2194">
    <w:name w:val="shu表文"/>
    <w:basedOn w:val="1"/>
    <w:qFormat/>
    <w:uiPriority w:val="0"/>
    <w:pPr>
      <w:autoSpaceDE w:val="0"/>
      <w:autoSpaceDN w:val="0"/>
      <w:adjustRightInd w:val="0"/>
      <w:jc w:val="center"/>
    </w:pPr>
    <w:rPr>
      <w:rFonts w:ascii="Times" w:hAnsi="Times"/>
      <w:spacing w:val="20"/>
      <w:kern w:val="0"/>
      <w:szCs w:val="23"/>
    </w:rPr>
  </w:style>
  <w:style w:type="paragraph" w:customStyle="1" w:styleId="2195">
    <w:name w:val="+标题3"/>
    <w:basedOn w:val="5"/>
    <w:qFormat/>
    <w:uiPriority w:val="0"/>
    <w:pPr>
      <w:keepNext w:val="0"/>
      <w:tabs>
        <w:tab w:val="left" w:pos="709"/>
      </w:tabs>
      <w:spacing w:before="0" w:after="0" w:line="360" w:lineRule="auto"/>
    </w:pPr>
    <w:rPr>
      <w:rFonts w:ascii="黑体" w:hAnsi="宋体" w:eastAsia="黑体"/>
      <w:kern w:val="0"/>
      <w:sz w:val="24"/>
      <w:szCs w:val="28"/>
    </w:rPr>
  </w:style>
  <w:style w:type="paragraph" w:customStyle="1" w:styleId="2196">
    <w:name w:val="样式 表头 + 行距: 固定值 25 磅"/>
    <w:basedOn w:val="7"/>
    <w:qFormat/>
    <w:uiPriority w:val="0"/>
    <w:pPr>
      <w:keepNext w:val="0"/>
      <w:keepLines w:val="0"/>
      <w:widowControl/>
      <w:adjustRightInd/>
      <w:snapToGrid w:val="0"/>
      <w:spacing w:before="0" w:after="0" w:line="240" w:lineRule="auto"/>
      <w:ind w:left="539"/>
      <w:jc w:val="center"/>
      <w:textAlignment w:val="auto"/>
      <w:outlineLvl w:val="9"/>
    </w:pPr>
    <w:rPr>
      <w:rFonts w:cs="宋体"/>
      <w:b w:val="0"/>
      <w:bCs/>
      <w:sz w:val="24"/>
    </w:rPr>
  </w:style>
  <w:style w:type="paragraph" w:customStyle="1" w:styleId="2197">
    <w:name w:val="表问"/>
    <w:basedOn w:val="1"/>
    <w:qFormat/>
    <w:uiPriority w:val="0"/>
    <w:pPr>
      <w:spacing w:line="240" w:lineRule="atLeast"/>
      <w:jc w:val="center"/>
    </w:pPr>
    <w:rPr>
      <w:szCs w:val="28"/>
    </w:rPr>
  </w:style>
  <w:style w:type="paragraph" w:customStyle="1" w:styleId="2198">
    <w:name w:val="xl428"/>
    <w:basedOn w:val="1"/>
    <w:qFormat/>
    <w:uiPriority w:val="0"/>
    <w:pPr>
      <w:widowControl/>
      <w:spacing w:before="100" w:beforeAutospacing="1" w:after="100" w:afterAutospacing="1" w:line="360" w:lineRule="auto"/>
      <w:ind w:firstLine="200" w:firstLineChars="200"/>
      <w:jc w:val="center"/>
      <w:textAlignment w:val="center"/>
    </w:pPr>
    <w:rPr>
      <w:rFonts w:hint="eastAsia" w:ascii="宋体" w:hAnsi="宋体"/>
      <w:kern w:val="0"/>
      <w:sz w:val="24"/>
    </w:rPr>
  </w:style>
  <w:style w:type="paragraph" w:customStyle="1" w:styleId="2199">
    <w:name w:val="样式 左  0 字符"/>
    <w:basedOn w:val="1"/>
    <w:qFormat/>
    <w:uiPriority w:val="0"/>
    <w:pPr>
      <w:spacing w:line="360" w:lineRule="auto"/>
      <w:ind w:firstLine="225" w:firstLineChars="225"/>
    </w:pPr>
    <w:rPr>
      <w:rFonts w:cs="宋体"/>
      <w:sz w:val="24"/>
      <w:szCs w:val="20"/>
    </w:rPr>
  </w:style>
  <w:style w:type="paragraph" w:customStyle="1" w:styleId="2200">
    <w:name w:val="页面标题1"/>
    <w:basedOn w:val="1"/>
    <w:qFormat/>
    <w:uiPriority w:val="0"/>
    <w:pPr>
      <w:overflowPunct w:val="0"/>
      <w:topLinePunct/>
      <w:adjustRightInd w:val="0"/>
      <w:spacing w:line="360" w:lineRule="auto"/>
      <w:ind w:left="200" w:leftChars="200" w:firstLine="480" w:firstLineChars="200"/>
      <w:jc w:val="center"/>
      <w:textAlignment w:val="baseline"/>
    </w:pPr>
    <w:rPr>
      <w:rFonts w:ascii="黑体" w:hAnsi="宋体" w:eastAsia="黑体"/>
      <w:b/>
      <w:kern w:val="24"/>
      <w:sz w:val="52"/>
      <w:szCs w:val="20"/>
    </w:rPr>
  </w:style>
  <w:style w:type="paragraph" w:customStyle="1" w:styleId="2201">
    <w:name w:val="依据文字"/>
    <w:basedOn w:val="87"/>
    <w:qFormat/>
    <w:uiPriority w:val="0"/>
    <w:pPr>
      <w:tabs>
        <w:tab w:val="left" w:pos="420"/>
        <w:tab w:val="left" w:pos="870"/>
        <w:tab w:val="left" w:pos="3150"/>
      </w:tabs>
      <w:autoSpaceDE w:val="0"/>
      <w:autoSpaceDN w:val="0"/>
      <w:adjustRightInd w:val="0"/>
      <w:spacing w:before="60" w:beforeLines="25" w:after="0" w:line="336" w:lineRule="auto"/>
      <w:ind w:left="0" w:leftChars="0" w:firstLine="527" w:firstLineChars="0"/>
      <w:textAlignment w:val="baseline"/>
    </w:pPr>
    <w:rPr>
      <w:rFonts w:ascii="宋体" w:hAnsiTheme="minorHAnsi" w:eastAsiaTheme="minorEastAsia" w:cstheme="minorBidi"/>
      <w:snapToGrid/>
      <w:sz w:val="24"/>
      <w:szCs w:val="28"/>
      <w:lang w:val="zh-CN"/>
    </w:rPr>
  </w:style>
  <w:style w:type="paragraph" w:customStyle="1" w:styleId="2202">
    <w:name w:val="总标题"/>
    <w:basedOn w:val="1"/>
    <w:qFormat/>
    <w:uiPriority w:val="0"/>
    <w:pPr>
      <w:adjustRightInd w:val="0"/>
      <w:spacing w:line="360" w:lineRule="auto"/>
      <w:ind w:left="85" w:right="-488"/>
      <w:jc w:val="center"/>
      <w:textAlignment w:val="baseline"/>
    </w:pPr>
    <w:rPr>
      <w:rFonts w:ascii="方正魏碑简体" w:hAnsi="Bookman Old Style" w:eastAsia="方正魏碑简体"/>
      <w:b/>
      <w:spacing w:val="5"/>
      <w:kern w:val="44"/>
      <w:sz w:val="32"/>
      <w:szCs w:val="21"/>
    </w:rPr>
  </w:style>
  <w:style w:type="paragraph" w:customStyle="1" w:styleId="2203">
    <w:name w:val="样式 正文首行缩进 2 + 段前: 0.25 行1"/>
    <w:basedOn w:val="87"/>
    <w:qFormat/>
    <w:uiPriority w:val="0"/>
    <w:pPr>
      <w:tabs>
        <w:tab w:val="left" w:pos="420"/>
        <w:tab w:val="left" w:pos="870"/>
        <w:tab w:val="left" w:pos="3150"/>
      </w:tabs>
      <w:autoSpaceDE w:val="0"/>
      <w:autoSpaceDN w:val="0"/>
      <w:adjustRightInd w:val="0"/>
      <w:spacing w:before="25" w:beforeLines="25" w:after="0" w:line="336" w:lineRule="auto"/>
      <w:ind w:left="0" w:leftChars="0" w:firstLine="527" w:firstLineChars="0"/>
      <w:textAlignment w:val="baseline"/>
    </w:pPr>
    <w:rPr>
      <w:rFonts w:ascii="宋体" w:hAnsiTheme="minorHAnsi" w:eastAsiaTheme="minorEastAsia" w:cstheme="minorBidi"/>
      <w:snapToGrid/>
      <w:sz w:val="24"/>
      <w:szCs w:val="20"/>
      <w:lang w:val="zh-CN"/>
    </w:rPr>
  </w:style>
  <w:style w:type="paragraph" w:customStyle="1" w:styleId="2204">
    <w:name w:val="123"/>
    <w:basedOn w:val="1"/>
    <w:qFormat/>
    <w:uiPriority w:val="0"/>
    <w:pPr>
      <w:spacing w:line="360" w:lineRule="auto"/>
      <w:ind w:firstLine="454"/>
    </w:pPr>
    <w:rPr>
      <w:sz w:val="24"/>
      <w:szCs w:val="21"/>
    </w:rPr>
  </w:style>
  <w:style w:type="paragraph" w:customStyle="1" w:styleId="2205">
    <w:name w:val="正文中对齐"/>
    <w:basedOn w:val="1"/>
    <w:qFormat/>
    <w:uiPriority w:val="0"/>
    <w:pPr>
      <w:snapToGrid w:val="0"/>
      <w:spacing w:before="60" w:after="60" w:line="60" w:lineRule="atLeast"/>
      <w:jc w:val="center"/>
    </w:pPr>
    <w:rPr>
      <w:sz w:val="24"/>
      <w:szCs w:val="21"/>
    </w:rPr>
  </w:style>
  <w:style w:type="paragraph" w:customStyle="1" w:styleId="2206">
    <w:name w:val="宏福正文-2"/>
    <w:basedOn w:val="86"/>
    <w:qFormat/>
    <w:uiPriority w:val="0"/>
    <w:pPr>
      <w:snapToGrid w:val="0"/>
      <w:spacing w:before="240" w:after="0" w:line="400" w:lineRule="atLeast"/>
      <w:ind w:firstLine="567" w:firstLineChars="0"/>
    </w:pPr>
    <w:rPr>
      <w:rFonts w:asciiTheme="minorHAnsi" w:hAnsiTheme="minorHAnsi" w:eastAsiaTheme="minorEastAsia" w:cstheme="minorBidi"/>
      <w:sz w:val="28"/>
      <w:szCs w:val="28"/>
    </w:rPr>
  </w:style>
  <w:style w:type="paragraph" w:customStyle="1" w:styleId="2207">
    <w:name w:val="宏福4"/>
    <w:basedOn w:val="2206"/>
    <w:qFormat/>
    <w:uiPriority w:val="0"/>
    <w:pPr>
      <w:spacing w:before="0"/>
    </w:pPr>
  </w:style>
  <w:style w:type="paragraph" w:customStyle="1" w:styleId="2208">
    <w:name w:val="图文"/>
    <w:basedOn w:val="223"/>
    <w:qFormat/>
    <w:uiPriority w:val="0"/>
    <w:pPr>
      <w:overflowPunct w:val="0"/>
      <w:autoSpaceDE w:val="0"/>
      <w:autoSpaceDN w:val="0"/>
      <w:adjustRightInd w:val="0"/>
      <w:spacing w:line="160" w:lineRule="atLeast"/>
      <w:textAlignment w:val="bottom"/>
    </w:pPr>
    <w:rPr>
      <w:rFonts w:cstheme="minorBidi"/>
      <w:iCs/>
      <w:szCs w:val="24"/>
    </w:rPr>
  </w:style>
  <w:style w:type="paragraph" w:customStyle="1" w:styleId="2209">
    <w:name w:val="样式 样式 正文首行缩进 + Times New Roman + 首行缩进:  2 字符"/>
    <w:basedOn w:val="1"/>
    <w:qFormat/>
    <w:uiPriority w:val="0"/>
    <w:pPr>
      <w:tabs>
        <w:tab w:val="left" w:pos="0"/>
      </w:tabs>
      <w:autoSpaceDE w:val="0"/>
      <w:autoSpaceDN w:val="0"/>
      <w:adjustRightInd w:val="0"/>
      <w:spacing w:line="360" w:lineRule="auto"/>
      <w:ind w:firstLine="200" w:firstLineChars="200"/>
      <w:textAlignment w:val="baseline"/>
    </w:pPr>
    <w:rPr>
      <w:sz w:val="24"/>
      <w:szCs w:val="20"/>
    </w:rPr>
  </w:style>
  <w:style w:type="paragraph" w:customStyle="1" w:styleId="2210">
    <w:name w:val="基准标题"/>
    <w:basedOn w:val="34"/>
    <w:next w:val="34"/>
    <w:qFormat/>
    <w:uiPriority w:val="0"/>
    <w:pPr>
      <w:spacing w:after="0"/>
    </w:pPr>
    <w:rPr>
      <w:rFonts w:hint="eastAsia" w:ascii="宋体"/>
      <w:szCs w:val="20"/>
    </w:rPr>
  </w:style>
  <w:style w:type="paragraph" w:customStyle="1" w:styleId="2211">
    <w:name w:val="表格2"/>
    <w:basedOn w:val="1"/>
    <w:qFormat/>
    <w:uiPriority w:val="0"/>
    <w:pPr>
      <w:adjustRightInd w:val="0"/>
      <w:ind w:firstLine="59"/>
      <w:jc w:val="center"/>
      <w:textAlignment w:val="baseline"/>
    </w:pPr>
    <w:rPr>
      <w:rFonts w:ascii="宋体"/>
      <w:kern w:val="0"/>
      <w:szCs w:val="20"/>
    </w:rPr>
  </w:style>
  <w:style w:type="paragraph" w:customStyle="1" w:styleId="2212">
    <w:name w:val="In Table"/>
    <w:basedOn w:val="1"/>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2213">
    <w:name w:val="基准篇眉"/>
    <w:basedOn w:val="1"/>
    <w:qFormat/>
    <w:uiPriority w:val="0"/>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2214">
    <w:name w:val="首页脚注"/>
    <w:basedOn w:val="55"/>
    <w:qFormat/>
    <w:uiPriority w:val="0"/>
    <w:pPr>
      <w:keepLines/>
      <w:tabs>
        <w:tab w:val="center" w:pos="4320"/>
        <w:tab w:val="clear" w:pos="4153"/>
        <w:tab w:val="clear" w:pos="8306"/>
      </w:tabs>
      <w:snapToGrid/>
      <w:spacing w:line="360" w:lineRule="auto"/>
      <w:jc w:val="center"/>
    </w:pPr>
    <w:rPr>
      <w:sz w:val="28"/>
      <w:szCs w:val="28"/>
    </w:rPr>
  </w:style>
  <w:style w:type="paragraph" w:customStyle="1" w:styleId="2215">
    <w:name w:val="样式 左侧:  2 字符"/>
    <w:basedOn w:val="1"/>
    <w:qFormat/>
    <w:uiPriority w:val="0"/>
    <w:pPr>
      <w:spacing w:line="360" w:lineRule="auto"/>
      <w:ind w:firstLine="480" w:firstLineChars="200"/>
    </w:pPr>
    <w:rPr>
      <w:sz w:val="24"/>
      <w:szCs w:val="20"/>
    </w:rPr>
  </w:style>
  <w:style w:type="paragraph" w:customStyle="1" w:styleId="2216">
    <w:name w:val="图片"/>
    <w:basedOn w:val="1"/>
    <w:next w:val="22"/>
    <w:qFormat/>
    <w:uiPriority w:val="0"/>
    <w:pPr>
      <w:overflowPunct w:val="0"/>
      <w:adjustRightInd w:val="0"/>
      <w:snapToGrid w:val="0"/>
      <w:spacing w:line="500" w:lineRule="exact"/>
    </w:pPr>
    <w:rPr>
      <w:rFonts w:ascii="宋体" w:hAnsi="Arial"/>
      <w:snapToGrid w:val="0"/>
      <w:color w:val="000000"/>
      <w:kern w:val="0"/>
      <w:sz w:val="28"/>
      <w:szCs w:val="20"/>
    </w:rPr>
  </w:style>
  <w:style w:type="paragraph" w:customStyle="1" w:styleId="2217">
    <w:name w:val="Body Text 21"/>
    <w:basedOn w:val="1"/>
    <w:qFormat/>
    <w:uiPriority w:val="0"/>
    <w:pPr>
      <w:overflowPunct w:val="0"/>
      <w:autoSpaceDE w:val="0"/>
      <w:autoSpaceDN w:val="0"/>
      <w:adjustRightInd w:val="0"/>
      <w:spacing w:after="120" w:line="360" w:lineRule="auto"/>
      <w:textAlignment w:val="baseline"/>
    </w:pPr>
    <w:rPr>
      <w:sz w:val="24"/>
      <w:szCs w:val="20"/>
    </w:rPr>
  </w:style>
  <w:style w:type="paragraph" w:customStyle="1" w:styleId="2218">
    <w:name w:val="页面标题3"/>
    <w:basedOn w:val="2180"/>
    <w:qFormat/>
    <w:uiPriority w:val="0"/>
    <w:pPr>
      <w:ind w:left="200" w:leftChars="200"/>
    </w:pPr>
    <w:rPr>
      <w:sz w:val="32"/>
    </w:rPr>
  </w:style>
  <w:style w:type="paragraph" w:customStyle="1" w:styleId="2219">
    <w:name w:val="样式 标题 1 + Times New Roman"/>
    <w:basedOn w:val="3"/>
    <w:next w:val="51"/>
    <w:qFormat/>
    <w:uiPriority w:val="0"/>
    <w:pPr>
      <w:keepNext/>
      <w:keepLines/>
      <w:tabs>
        <w:tab w:val="left" w:pos="786"/>
      </w:tabs>
      <w:adjustRightInd/>
      <w:snapToGrid/>
      <w:spacing w:line="312" w:lineRule="auto"/>
      <w:jc w:val="both"/>
    </w:pPr>
    <w:rPr>
      <w:szCs w:val="21"/>
    </w:rPr>
  </w:style>
  <w:style w:type="paragraph" w:customStyle="1" w:styleId="2220">
    <w:name w:val="样式 标题 2 + 段后: 6 磅"/>
    <w:basedOn w:val="4"/>
    <w:next w:val="87"/>
    <w:qFormat/>
    <w:uiPriority w:val="0"/>
    <w:pPr>
      <w:tabs>
        <w:tab w:val="left" w:pos="785"/>
      </w:tabs>
      <w:spacing w:before="100" w:beforeAutospacing="1" w:after="120" w:afterLines="50" w:line="360" w:lineRule="auto"/>
    </w:pPr>
    <w:rPr>
      <w:rFonts w:ascii="Times New Roman" w:hAnsi="Times New Roman" w:eastAsia="宋体"/>
      <w:smallCaps/>
      <w:sz w:val="28"/>
      <w:szCs w:val="24"/>
    </w:rPr>
  </w:style>
  <w:style w:type="paragraph" w:customStyle="1" w:styleId="2221">
    <w:name w:val="样式 样式 正文文字缩进 + 行距: 1.5 倍行距 首行缩进:  2.18 字符 + 首行缩进:  2.18 字符"/>
    <w:basedOn w:val="1"/>
    <w:qFormat/>
    <w:uiPriority w:val="0"/>
    <w:pPr>
      <w:spacing w:line="360" w:lineRule="auto"/>
      <w:ind w:firstLine="523" w:firstLineChars="218"/>
    </w:pPr>
    <w:rPr>
      <w:sz w:val="24"/>
      <w:szCs w:val="20"/>
    </w:rPr>
  </w:style>
  <w:style w:type="paragraph" w:customStyle="1" w:styleId="2222">
    <w:name w:val="样式 正文文字缩进 + 紧缩量  0.5 磅 行距: 1.5 倍行距"/>
    <w:basedOn w:val="35"/>
    <w:qFormat/>
    <w:uiPriority w:val="0"/>
    <w:pPr>
      <w:spacing w:after="0" w:line="360" w:lineRule="auto"/>
      <w:ind w:left="0" w:leftChars="0" w:firstLine="567" w:firstLineChars="218"/>
    </w:pPr>
    <w:rPr>
      <w:snapToGrid/>
      <w:spacing w:val="-10"/>
      <w:kern w:val="2"/>
      <w:sz w:val="24"/>
      <w:szCs w:val="20"/>
      <w:lang w:val="zh-CN"/>
    </w:rPr>
  </w:style>
  <w:style w:type="paragraph" w:customStyle="1" w:styleId="2223">
    <w:name w:val="样式 正文文字缩进 + 行距: 1.5 倍行距 首行缩进:  4.37 字符"/>
    <w:basedOn w:val="35"/>
    <w:qFormat/>
    <w:uiPriority w:val="0"/>
    <w:pPr>
      <w:spacing w:after="0" w:line="360" w:lineRule="auto"/>
      <w:ind w:left="0" w:leftChars="0" w:firstLine="1224" w:firstLineChars="437"/>
    </w:pPr>
    <w:rPr>
      <w:snapToGrid/>
      <w:kern w:val="2"/>
      <w:sz w:val="24"/>
      <w:szCs w:val="20"/>
      <w:lang w:val="zh-CN"/>
    </w:rPr>
  </w:style>
  <w:style w:type="paragraph" w:customStyle="1" w:styleId="2224">
    <w:name w:val="样式 样式 标题 3 + 段前: 0.5 行 段后: 0.5 行 + 段前: 0.5 行 段后: 0.5 行"/>
    <w:basedOn w:val="1"/>
    <w:qFormat/>
    <w:uiPriority w:val="0"/>
    <w:rPr>
      <w:szCs w:val="21"/>
    </w:rPr>
  </w:style>
  <w:style w:type="paragraph" w:customStyle="1" w:styleId="2225">
    <w:name w:val="样式 标题 2 + 段后: 0.5 行"/>
    <w:basedOn w:val="4"/>
    <w:next w:val="87"/>
    <w:qFormat/>
    <w:uiPriority w:val="0"/>
    <w:pPr>
      <w:tabs>
        <w:tab w:val="left" w:pos="785"/>
        <w:tab w:val="left" w:pos="1200"/>
      </w:tabs>
      <w:spacing w:before="50" w:beforeLines="50" w:after="50" w:afterLines="50" w:line="360" w:lineRule="auto"/>
      <w:ind w:left="1200" w:hanging="720"/>
    </w:pPr>
    <w:rPr>
      <w:rFonts w:ascii="Times New Roman" w:hAnsi="Times New Roman" w:eastAsia="宋体"/>
      <w:smallCaps/>
      <w:sz w:val="28"/>
      <w:szCs w:val="24"/>
    </w:rPr>
  </w:style>
  <w:style w:type="paragraph" w:customStyle="1" w:styleId="2226">
    <w:name w:val="样式 正文文本缩进 2 + 首行缩进:  2 字符 段前: 0.5 行 段后: 0.5 行"/>
    <w:basedOn w:val="51"/>
    <w:qFormat/>
    <w:uiPriority w:val="0"/>
    <w:pPr>
      <w:spacing w:after="0" w:line="348" w:lineRule="auto"/>
      <w:ind w:left="0" w:leftChars="0" w:firstLine="200" w:firstLineChars="200"/>
    </w:pPr>
    <w:rPr>
      <w:sz w:val="24"/>
      <w:szCs w:val="20"/>
    </w:rPr>
  </w:style>
  <w:style w:type="paragraph" w:customStyle="1" w:styleId="2227">
    <w:name w:val="样式 题注 + (中文) 黑体 加粗"/>
    <w:basedOn w:val="22"/>
    <w:qFormat/>
    <w:uiPriority w:val="0"/>
    <w:pPr>
      <w:spacing w:before="100" w:beforeAutospacing="1" w:line="240" w:lineRule="auto"/>
      <w:ind w:firstLine="2087" w:firstLineChars="990"/>
      <w:jc w:val="center"/>
    </w:pPr>
    <w:rPr>
      <w:rFonts w:ascii="Arial" w:hAnsi="Arial" w:eastAsiaTheme="minorEastAsia" w:cstheme="minorBidi"/>
      <w:b/>
      <w:bCs/>
      <w:caps w:val="0"/>
      <w:spacing w:val="0"/>
      <w:sz w:val="21"/>
      <w:szCs w:val="20"/>
    </w:rPr>
  </w:style>
  <w:style w:type="paragraph" w:customStyle="1" w:styleId="2228">
    <w:name w:val="样式 题注 + (中文) 黑体"/>
    <w:basedOn w:val="22"/>
    <w:qFormat/>
    <w:uiPriority w:val="0"/>
    <w:pPr>
      <w:spacing w:before="100" w:beforeAutospacing="1" w:line="240" w:lineRule="auto"/>
      <w:ind w:firstLine="2087" w:firstLineChars="990"/>
      <w:jc w:val="center"/>
    </w:pPr>
    <w:rPr>
      <w:rFonts w:ascii="Arial" w:hAnsi="Arial" w:eastAsiaTheme="minorEastAsia" w:cstheme="minorBidi"/>
      <w:caps w:val="0"/>
      <w:spacing w:val="0"/>
      <w:sz w:val="21"/>
      <w:szCs w:val="20"/>
    </w:rPr>
  </w:style>
  <w:style w:type="paragraph" w:customStyle="1" w:styleId="2229">
    <w:name w:val="8"/>
    <w:basedOn w:val="1"/>
    <w:next w:val="51"/>
    <w:qFormat/>
    <w:uiPriority w:val="0"/>
    <w:pPr>
      <w:spacing w:line="348" w:lineRule="auto"/>
      <w:ind w:firstLine="480" w:firstLineChars="200"/>
    </w:pPr>
    <w:rPr>
      <w:sz w:val="24"/>
      <w:szCs w:val="21"/>
    </w:rPr>
  </w:style>
  <w:style w:type="paragraph" w:customStyle="1" w:styleId="2230">
    <w:name w:val="样式 标题 1章标题章ChChapter HeadingIBM Section Head标题 1 Char Char..."/>
    <w:basedOn w:val="3"/>
    <w:qFormat/>
    <w:uiPriority w:val="0"/>
    <w:pPr>
      <w:keepNext/>
      <w:keepLines/>
      <w:tabs>
        <w:tab w:val="left" w:pos="532"/>
        <w:tab w:val="left" w:pos="786"/>
      </w:tabs>
      <w:adjustRightInd/>
      <w:snapToGrid/>
      <w:spacing w:before="240" w:beforeLines="100" w:line="360" w:lineRule="auto"/>
      <w:ind w:left="532" w:hanging="432"/>
      <w:jc w:val="both"/>
    </w:pPr>
    <w:rPr>
      <w:rFonts w:ascii="宋体" w:hAnsi="宋体" w:eastAsia="黑体" w:cs="宋体"/>
      <w:sz w:val="44"/>
      <w:szCs w:val="24"/>
    </w:rPr>
  </w:style>
  <w:style w:type="paragraph" w:customStyle="1" w:styleId="2231">
    <w:name w:val="密级编号"/>
    <w:basedOn w:val="1"/>
    <w:qFormat/>
    <w:uiPriority w:val="0"/>
    <w:pPr>
      <w:adjustRightInd w:val="0"/>
      <w:jc w:val="center"/>
      <w:textAlignment w:val="baseline"/>
    </w:pPr>
    <w:rPr>
      <w:rFonts w:ascii="仿宋_GB2312" w:eastAsia="仿宋_GB2312"/>
      <w:kern w:val="0"/>
      <w:sz w:val="24"/>
      <w:szCs w:val="20"/>
    </w:rPr>
  </w:style>
  <w:style w:type="paragraph" w:customStyle="1" w:styleId="2232">
    <w:name w:val="文3"/>
    <w:basedOn w:val="1"/>
    <w:qFormat/>
    <w:uiPriority w:val="0"/>
    <w:pPr>
      <w:tabs>
        <w:tab w:val="left" w:pos="425"/>
      </w:tabs>
      <w:adjustRightInd w:val="0"/>
      <w:spacing w:line="500" w:lineRule="atLeast"/>
      <w:ind w:left="425" w:hanging="425"/>
      <w:textAlignment w:val="baseline"/>
    </w:pPr>
    <w:rPr>
      <w:kern w:val="0"/>
      <w:sz w:val="28"/>
      <w:szCs w:val="20"/>
    </w:rPr>
  </w:style>
  <w:style w:type="paragraph" w:customStyle="1" w:styleId="2233">
    <w:name w:val="样式3 Char Char"/>
    <w:basedOn w:val="21"/>
    <w:qFormat/>
    <w:uiPriority w:val="0"/>
    <w:pPr>
      <w:widowControl/>
      <w:overflowPunct w:val="0"/>
      <w:autoSpaceDE w:val="0"/>
      <w:autoSpaceDN w:val="0"/>
      <w:adjustRightInd w:val="0"/>
      <w:spacing w:line="360" w:lineRule="auto"/>
      <w:ind w:firstLine="491" w:firstLineChars="200"/>
      <w:textAlignment w:val="baseline"/>
    </w:pPr>
    <w:rPr>
      <w:kern w:val="0"/>
      <w:sz w:val="24"/>
      <w:szCs w:val="24"/>
    </w:rPr>
  </w:style>
  <w:style w:type="paragraph" w:customStyle="1" w:styleId="2234">
    <w:name w:val="样式 Char Char Char Char Char Char Char Char Char Char Char Char Char Char Char Char Char"/>
    <w:basedOn w:val="21"/>
    <w:qFormat/>
    <w:uiPriority w:val="0"/>
    <w:pPr>
      <w:widowControl/>
      <w:overflowPunct w:val="0"/>
      <w:autoSpaceDE w:val="0"/>
      <w:autoSpaceDN w:val="0"/>
      <w:adjustRightInd w:val="0"/>
      <w:ind w:firstLine="491" w:firstLineChars="200"/>
      <w:textAlignment w:val="baseline"/>
    </w:pPr>
    <w:rPr>
      <w:kern w:val="0"/>
      <w:sz w:val="24"/>
      <w:szCs w:val="24"/>
    </w:rPr>
  </w:style>
  <w:style w:type="paragraph" w:customStyle="1" w:styleId="2235">
    <w:name w:val="样式 正文缩进 + 五号"/>
    <w:basedOn w:val="21"/>
    <w:qFormat/>
    <w:uiPriority w:val="0"/>
    <w:pPr>
      <w:widowControl/>
      <w:overflowPunct w:val="0"/>
      <w:autoSpaceDE w:val="0"/>
      <w:autoSpaceDN w:val="0"/>
      <w:adjustRightInd w:val="0"/>
      <w:jc w:val="left"/>
      <w:textAlignment w:val="baseline"/>
    </w:pPr>
    <w:rPr>
      <w:kern w:val="0"/>
      <w:sz w:val="24"/>
    </w:rPr>
  </w:style>
  <w:style w:type="paragraph" w:customStyle="1" w:styleId="2236">
    <w:name w:val="样式3 Char Char Char"/>
    <w:basedOn w:val="21"/>
    <w:qFormat/>
    <w:uiPriority w:val="0"/>
    <w:pPr>
      <w:widowControl/>
      <w:overflowPunct w:val="0"/>
      <w:autoSpaceDE w:val="0"/>
      <w:autoSpaceDN w:val="0"/>
      <w:adjustRightInd w:val="0"/>
      <w:spacing w:line="360" w:lineRule="auto"/>
      <w:ind w:firstLine="491" w:firstLineChars="200"/>
      <w:textAlignment w:val="baseline"/>
    </w:pPr>
    <w:rPr>
      <w:kern w:val="0"/>
      <w:sz w:val="24"/>
      <w:szCs w:val="24"/>
    </w:rPr>
  </w:style>
  <w:style w:type="paragraph" w:customStyle="1" w:styleId="2237">
    <w:name w:val="样式 Char Char Char Char Char Char Char Char Char Char Char Char Char Char Char Char"/>
    <w:basedOn w:val="21"/>
    <w:qFormat/>
    <w:uiPriority w:val="0"/>
    <w:pPr>
      <w:widowControl/>
      <w:overflowPunct w:val="0"/>
      <w:autoSpaceDE w:val="0"/>
      <w:autoSpaceDN w:val="0"/>
      <w:adjustRightInd w:val="0"/>
      <w:ind w:firstLine="491" w:firstLineChars="200"/>
      <w:textAlignment w:val="baseline"/>
    </w:pPr>
    <w:rPr>
      <w:sz w:val="24"/>
      <w:szCs w:val="24"/>
    </w:rPr>
  </w:style>
  <w:style w:type="paragraph" w:customStyle="1" w:styleId="2238">
    <w:name w:val="样式 Char Char Char Char Char Char Char Char Char Char Char Char Char Char Char"/>
    <w:basedOn w:val="21"/>
    <w:qFormat/>
    <w:uiPriority w:val="0"/>
    <w:pPr>
      <w:widowControl/>
      <w:overflowPunct w:val="0"/>
      <w:autoSpaceDE w:val="0"/>
      <w:autoSpaceDN w:val="0"/>
      <w:adjustRightInd w:val="0"/>
      <w:ind w:firstLine="491" w:firstLineChars="200"/>
      <w:textAlignment w:val="baseline"/>
    </w:pPr>
    <w:rPr>
      <w:kern w:val="0"/>
      <w:sz w:val="24"/>
      <w:szCs w:val="24"/>
    </w:rPr>
  </w:style>
  <w:style w:type="paragraph" w:customStyle="1" w:styleId="2239">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21"/>
    <w:qFormat/>
    <w:uiPriority w:val="0"/>
    <w:pPr>
      <w:widowControl/>
      <w:overflowPunct w:val="0"/>
      <w:autoSpaceDE w:val="0"/>
      <w:autoSpaceDN w:val="0"/>
      <w:adjustRightInd w:val="0"/>
      <w:ind w:firstLine="491" w:firstLineChars="200"/>
      <w:textAlignment w:val="baseline"/>
    </w:pPr>
    <w:rPr>
      <w:kern w:val="0"/>
      <w:sz w:val="24"/>
    </w:rPr>
  </w:style>
  <w:style w:type="paragraph" w:customStyle="1" w:styleId="2240">
    <w:name w:val="表格居中"/>
    <w:next w:val="1"/>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2241">
    <w:name w:val="新表格"/>
    <w:basedOn w:val="1"/>
    <w:qFormat/>
    <w:uiPriority w:val="0"/>
    <w:pPr>
      <w:ind w:left="420"/>
      <w:jc w:val="center"/>
    </w:pPr>
    <w:rPr>
      <w:b/>
      <w:bCs/>
      <w:sz w:val="24"/>
    </w:rPr>
  </w:style>
  <w:style w:type="paragraph" w:customStyle="1" w:styleId="2242">
    <w:name w:val="样式 标题（3）新 + 首行缩进:  0.71 字符 段后: 0.5 行1 + 首行缩进:  0.71 字符 段后: 0.5 行"/>
    <w:basedOn w:val="1"/>
    <w:qFormat/>
    <w:uiPriority w:val="0"/>
    <w:pPr>
      <w:keepNext/>
      <w:keepLines/>
      <w:spacing w:before="120" w:afterLines="50"/>
      <w:ind w:firstLine="213" w:firstLineChars="71"/>
      <w:outlineLvl w:val="2"/>
    </w:pPr>
    <w:rPr>
      <w:rFonts w:hint="eastAsia" w:ascii="宋体" w:hAnsi="宋体"/>
      <w:b/>
      <w:bCs/>
      <w:sz w:val="30"/>
      <w:szCs w:val="20"/>
    </w:rPr>
  </w:style>
  <w:style w:type="paragraph" w:customStyle="1" w:styleId="2243">
    <w:name w:val="样式 标题 3头小标题 + 自动设置"/>
    <w:basedOn w:val="5"/>
    <w:qFormat/>
    <w:uiPriority w:val="0"/>
    <w:pPr>
      <w:spacing w:before="120" w:after="0" w:line="360" w:lineRule="auto"/>
      <w:ind w:firstLine="213" w:firstLineChars="71"/>
    </w:pPr>
    <w:rPr>
      <w:rFonts w:ascii="宋体" w:hAnsi="宋体"/>
      <w:sz w:val="30"/>
      <w:szCs w:val="24"/>
    </w:rPr>
  </w:style>
  <w:style w:type="paragraph" w:customStyle="1" w:styleId="2244">
    <w:name w:val="方程式"/>
    <w:basedOn w:val="1"/>
    <w:qFormat/>
    <w:uiPriority w:val="0"/>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2245">
    <w:name w:val="样式 标题 1-*+章标题 1 + (中文) 宋体 三号 加粗 首行缩进:  0.31 字符 段前: 6 磅 行距..."/>
    <w:basedOn w:val="3"/>
    <w:qFormat/>
    <w:uiPriority w:val="0"/>
    <w:pPr>
      <w:keepNext/>
      <w:tabs>
        <w:tab w:val="left" w:pos="532"/>
        <w:tab w:val="left" w:pos="786"/>
      </w:tabs>
      <w:adjustRightInd/>
      <w:snapToGrid/>
      <w:spacing w:before="120" w:line="360" w:lineRule="auto"/>
      <w:ind w:left="532" w:hanging="432"/>
      <w:jc w:val="both"/>
    </w:pPr>
    <w:rPr>
      <w:rFonts w:eastAsia="黑体" w:cs="宋体"/>
      <w:kern w:val="2"/>
      <w:sz w:val="44"/>
      <w:szCs w:val="44"/>
    </w:rPr>
  </w:style>
  <w:style w:type="paragraph" w:customStyle="1" w:styleId="2246">
    <w:name w:val="样式 标题 2节标题 1.1 + 小三 加粗 段前: 0 磅 段后: 0 磅 行距: 1.5 倍行距"/>
    <w:basedOn w:val="4"/>
    <w:qFormat/>
    <w:uiPriority w:val="0"/>
    <w:pPr>
      <w:tabs>
        <w:tab w:val="left" w:pos="-426"/>
        <w:tab w:val="left" w:pos="360"/>
        <w:tab w:val="left" w:pos="785"/>
      </w:tabs>
      <w:spacing w:before="0" w:after="0" w:line="360" w:lineRule="auto"/>
      <w:ind w:left="-426" w:hanging="357"/>
    </w:pPr>
    <w:rPr>
      <w:rFonts w:ascii="Times New Roman" w:hAnsi="Times New Roman" w:eastAsia="黑体" w:cs="宋体"/>
      <w:sz w:val="30"/>
      <w:szCs w:val="24"/>
    </w:rPr>
  </w:style>
  <w:style w:type="paragraph" w:customStyle="1" w:styleId="2247">
    <w:name w:val="样式 标题 3条标题1.1.13h33rd levelH3l3CT头小标题 + 段前: 3 磅 段后: 3 ..."/>
    <w:basedOn w:val="5"/>
    <w:qFormat/>
    <w:uiPriority w:val="0"/>
    <w:pPr>
      <w:tabs>
        <w:tab w:val="left" w:pos="0"/>
      </w:tabs>
      <w:spacing w:before="60" w:after="60" w:line="360" w:lineRule="auto"/>
    </w:pPr>
    <w:rPr>
      <w:rFonts w:cs="宋体"/>
      <w:sz w:val="24"/>
      <w:szCs w:val="24"/>
    </w:rPr>
  </w:style>
  <w:style w:type="paragraph" w:customStyle="1" w:styleId="2248">
    <w:name w:val="样式 标题 4款标题1.1.1.1 + 段前: 7.8 磅 段后: 7.8 磅"/>
    <w:basedOn w:val="6"/>
    <w:qFormat/>
    <w:uiPriority w:val="0"/>
    <w:pPr>
      <w:keepNext w:val="0"/>
      <w:keepLines w:val="0"/>
      <w:tabs>
        <w:tab w:val="left" w:pos="964"/>
      </w:tabs>
      <w:spacing w:before="156" w:after="156" w:line="360" w:lineRule="auto"/>
      <w:ind w:left="964" w:hanging="864"/>
    </w:pPr>
    <w:rPr>
      <w:rFonts w:ascii="Times New Roman" w:hAnsi="Times New Roman" w:eastAsia="宋体" w:cs="宋体"/>
      <w:color w:val="FF0000"/>
      <w:sz w:val="24"/>
      <w:szCs w:val="24"/>
    </w:rPr>
  </w:style>
  <w:style w:type="paragraph" w:customStyle="1" w:styleId="2249">
    <w:name w:val="样式 标题 2节标题 1.1节标题节SeMajor HeadingIBM Subhead 2h2标题 2 Cha..."/>
    <w:basedOn w:val="4"/>
    <w:qFormat/>
    <w:uiPriority w:val="0"/>
    <w:pPr>
      <w:keepNext w:val="0"/>
      <w:keepLines w:val="0"/>
      <w:tabs>
        <w:tab w:val="left" w:pos="576"/>
        <w:tab w:val="left" w:pos="785"/>
        <w:tab w:val="left" w:pos="851"/>
      </w:tabs>
      <w:snapToGrid w:val="0"/>
      <w:spacing w:before="120" w:after="120" w:line="360" w:lineRule="auto"/>
      <w:ind w:left="578" w:hanging="578"/>
    </w:pPr>
    <w:rPr>
      <w:rFonts w:ascii="Times New Roman" w:hAnsi="Times New Roman" w:eastAsia="黑体" w:cs="宋体"/>
      <w:sz w:val="30"/>
      <w:szCs w:val="24"/>
    </w:rPr>
  </w:style>
  <w:style w:type="paragraph" w:customStyle="1" w:styleId="2250">
    <w:name w:val="样式 标题 3条标题1.1.13h33rd levelH3l3CT头小标题小节标题头 Char标题 31..."/>
    <w:basedOn w:val="5"/>
    <w:qFormat/>
    <w:uiPriority w:val="0"/>
    <w:pPr>
      <w:keepNext w:val="0"/>
      <w:keepLines w:val="0"/>
      <w:tabs>
        <w:tab w:val="left" w:pos="720"/>
        <w:tab w:val="left" w:pos="851"/>
        <w:tab w:val="left" w:pos="907"/>
      </w:tabs>
      <w:spacing w:before="120" w:after="120" w:line="360" w:lineRule="auto"/>
      <w:ind w:left="720" w:hanging="720"/>
    </w:pPr>
    <w:rPr>
      <w:rFonts w:eastAsia="黑体" w:cs="宋体"/>
      <w:sz w:val="24"/>
      <w:szCs w:val="24"/>
    </w:rPr>
  </w:style>
  <w:style w:type="paragraph" w:customStyle="1" w:styleId="2251">
    <w:name w:val="样式 标题 2节标题 1.1 + 加粗 行距: 1.5 倍行距"/>
    <w:basedOn w:val="4"/>
    <w:qFormat/>
    <w:uiPriority w:val="0"/>
    <w:pPr>
      <w:tabs>
        <w:tab w:val="left" w:pos="576"/>
        <w:tab w:val="left" w:pos="785"/>
        <w:tab w:val="left" w:pos="851"/>
      </w:tabs>
      <w:spacing w:before="0" w:after="0" w:line="360" w:lineRule="auto"/>
    </w:pPr>
    <w:rPr>
      <w:rFonts w:ascii="Times New Roman" w:hAnsi="Times New Roman" w:eastAsia="黑体" w:cs="宋体"/>
      <w:sz w:val="30"/>
      <w:szCs w:val="24"/>
    </w:rPr>
  </w:style>
  <w:style w:type="paragraph" w:customStyle="1" w:styleId="2252">
    <w:name w:val="样式 标题 3条标题1.1.13h33rd levelH3l3CT头小标题 + 段后: 3 磅 行距: 1...."/>
    <w:basedOn w:val="5"/>
    <w:qFormat/>
    <w:uiPriority w:val="0"/>
    <w:pPr>
      <w:tabs>
        <w:tab w:val="left" w:pos="1"/>
        <w:tab w:val="left" w:pos="851"/>
        <w:tab w:val="left" w:pos="907"/>
      </w:tabs>
      <w:spacing w:before="120" w:after="60" w:line="360" w:lineRule="auto"/>
      <w:ind w:left="1" w:hanging="720"/>
    </w:pPr>
    <w:rPr>
      <w:rFonts w:cs="宋体"/>
      <w:sz w:val="24"/>
      <w:szCs w:val="24"/>
    </w:rPr>
  </w:style>
  <w:style w:type="paragraph" w:customStyle="1" w:styleId="2253">
    <w:name w:val="样式 首行缩进:  0.95 厘米 段前: 3 磅 行距: 固定值 23 磅"/>
    <w:basedOn w:val="1"/>
    <w:qFormat/>
    <w:uiPriority w:val="0"/>
    <w:pPr>
      <w:adjustRightInd w:val="0"/>
      <w:spacing w:line="360" w:lineRule="auto"/>
      <w:ind w:firstLine="539"/>
      <w:textAlignment w:val="baseline"/>
    </w:pPr>
    <w:rPr>
      <w:rFonts w:cs="宋体"/>
      <w:kern w:val="0"/>
      <w:sz w:val="24"/>
    </w:rPr>
  </w:style>
  <w:style w:type="paragraph" w:customStyle="1" w:styleId="2254">
    <w:name w:val="样式 标题 3小标题小节标题头 Char标题 31小标题1小节标题1小节标题1 Char Char头 Char ..."/>
    <w:basedOn w:val="5"/>
    <w:qFormat/>
    <w:uiPriority w:val="0"/>
    <w:pPr>
      <w:tabs>
        <w:tab w:val="left" w:pos="720"/>
        <w:tab w:val="left" w:pos="851"/>
        <w:tab w:val="left" w:pos="907"/>
      </w:tabs>
      <w:spacing w:before="0" w:after="0" w:line="360" w:lineRule="auto"/>
      <w:ind w:left="720" w:hanging="720"/>
    </w:pPr>
    <w:rPr>
      <w:rFonts w:cs="宋体"/>
      <w:bCs w:val="0"/>
      <w:kern w:val="0"/>
      <w:sz w:val="24"/>
      <w:szCs w:val="24"/>
    </w:rPr>
  </w:style>
  <w:style w:type="paragraph" w:customStyle="1" w:styleId="2255">
    <w:name w:val="首行缩进 Char Char"/>
    <w:basedOn w:val="1"/>
    <w:qFormat/>
    <w:uiPriority w:val="0"/>
    <w:pPr>
      <w:snapToGrid w:val="0"/>
      <w:spacing w:line="360" w:lineRule="auto"/>
      <w:ind w:firstLine="499"/>
    </w:pPr>
    <w:rPr>
      <w:rFonts w:ascii="宋体"/>
      <w:sz w:val="24"/>
      <w:szCs w:val="20"/>
    </w:rPr>
  </w:style>
  <w:style w:type="paragraph" w:customStyle="1" w:styleId="2256">
    <w:name w:val="样式 标题 4L4Minor Heading + Times New Roman"/>
    <w:basedOn w:val="6"/>
    <w:next w:val="51"/>
    <w:qFormat/>
    <w:uiPriority w:val="0"/>
    <w:pPr>
      <w:tabs>
        <w:tab w:val="left" w:pos="964"/>
      </w:tabs>
      <w:spacing w:before="60" w:beforeLines="25" w:after="0" w:afterLines="50" w:line="240" w:lineRule="auto"/>
      <w:ind w:left="964" w:hanging="864"/>
    </w:pPr>
    <w:rPr>
      <w:rFonts w:ascii="Times New Roman" w:hAnsi="Times New Roman" w:eastAsia="宋体"/>
      <w:color w:val="FF0000"/>
      <w:sz w:val="24"/>
    </w:rPr>
  </w:style>
  <w:style w:type="paragraph" w:customStyle="1" w:styleId="2257">
    <w:name w:val="样式 标题"/>
    <w:basedOn w:val="6"/>
    <w:qFormat/>
    <w:uiPriority w:val="0"/>
    <w:pPr>
      <w:tabs>
        <w:tab w:val="left" w:pos="964"/>
      </w:tabs>
      <w:spacing w:before="60" w:beforeLines="25" w:after="0" w:afterLines="50" w:line="240" w:lineRule="auto"/>
      <w:ind w:left="964" w:hanging="864"/>
    </w:pPr>
    <w:rPr>
      <w:rFonts w:ascii="Times New Roman" w:hAnsi="Times New Roman"/>
      <w:color w:val="FF0000"/>
      <w:sz w:val="24"/>
    </w:rPr>
  </w:style>
  <w:style w:type="paragraph" w:customStyle="1" w:styleId="2258">
    <w:name w:val="样式 图表目录 + 左侧:  2 字符"/>
    <w:basedOn w:val="73"/>
    <w:qFormat/>
    <w:uiPriority w:val="0"/>
    <w:pPr>
      <w:spacing w:line="300" w:lineRule="auto"/>
      <w:ind w:left="0" w:leftChars="0" w:firstLine="0" w:firstLineChars="0"/>
    </w:pPr>
    <w:rPr>
      <w:rFonts w:cs="宋体"/>
      <w:sz w:val="24"/>
      <w:szCs w:val="20"/>
    </w:rPr>
  </w:style>
  <w:style w:type="paragraph" w:customStyle="1" w:styleId="2259">
    <w:name w:val="样式 样式 标题 3标题 13标题 3 Char + (中文) 黑体 小三 加粗 段前: 0.5 行 段后: 0.5 行 + 宋..."/>
    <w:basedOn w:val="1"/>
    <w:qFormat/>
    <w:uiPriority w:val="0"/>
    <w:pPr>
      <w:keepNext/>
      <w:keepLines/>
      <w:tabs>
        <w:tab w:val="left" w:pos="1080"/>
      </w:tabs>
      <w:spacing w:before="50" w:beforeLines="50" w:after="50" w:afterLines="50" w:line="500" w:lineRule="exact"/>
      <w:ind w:left="625" w:leftChars="200" w:hanging="425"/>
      <w:jc w:val="left"/>
      <w:outlineLvl w:val="2"/>
    </w:pPr>
    <w:rPr>
      <w:rFonts w:ascii="宋体" w:hAnsi="宋体" w:cs="宋体"/>
      <w:b/>
      <w:bCs/>
      <w:sz w:val="24"/>
      <w:szCs w:val="20"/>
    </w:rPr>
  </w:style>
  <w:style w:type="paragraph" w:customStyle="1" w:styleId="2260">
    <w:name w:val="样式 正文首行缩进 2 + 首行缩进:  2 字符"/>
    <w:basedOn w:val="87"/>
    <w:qFormat/>
    <w:uiPriority w:val="0"/>
    <w:pPr>
      <w:widowControl/>
      <w:spacing w:after="0" w:line="460" w:lineRule="exact"/>
      <w:ind w:left="0" w:leftChars="0" w:firstLine="480"/>
    </w:pPr>
    <w:rPr>
      <w:rFonts w:asciiTheme="minorHAnsi" w:hAnsiTheme="minorHAnsi" w:eastAsiaTheme="minorEastAsia" w:cstheme="minorBidi"/>
      <w:snapToGrid/>
      <w:kern w:val="0"/>
      <w:sz w:val="24"/>
      <w:lang w:val="zh-CN"/>
    </w:rPr>
  </w:style>
  <w:style w:type="paragraph" w:customStyle="1" w:styleId="2261">
    <w:name w:val="样式 标题 4L4Minor Heading标题 4 Char Char款标题1.1.1.1 + 左侧:  0 厘米 ..."/>
    <w:basedOn w:val="6"/>
    <w:qFormat/>
    <w:uiPriority w:val="0"/>
    <w:pPr>
      <w:spacing w:before="0" w:after="0" w:line="376" w:lineRule="atLeast"/>
      <w:ind w:left="864" w:hanging="864"/>
    </w:pPr>
    <w:rPr>
      <w:rFonts w:ascii="Times New Roman" w:hAnsi="Times New Roman" w:cs="宋体"/>
      <w:color w:val="FF0000"/>
      <w:sz w:val="24"/>
      <w:szCs w:val="24"/>
    </w:rPr>
  </w:style>
  <w:style w:type="paragraph" w:customStyle="1" w:styleId="2262">
    <w:name w:val="表注"/>
    <w:basedOn w:val="223"/>
    <w:link w:val="2263"/>
    <w:qFormat/>
    <w:uiPriority w:val="0"/>
    <w:pPr>
      <w:adjustRightInd w:val="0"/>
      <w:spacing w:before="120" w:after="40" w:line="320" w:lineRule="exact"/>
      <w:ind w:firstLine="425"/>
      <w:jc w:val="both"/>
      <w:textAlignment w:val="baseline"/>
    </w:pPr>
    <w:rPr>
      <w:rFonts w:cstheme="minorBidi"/>
    </w:rPr>
  </w:style>
  <w:style w:type="character" w:customStyle="1" w:styleId="2263">
    <w:name w:val="表注 Char"/>
    <w:link w:val="2262"/>
    <w:qFormat/>
    <w:uiPriority w:val="0"/>
    <w:rPr>
      <w:rFonts w:cstheme="minorBidi"/>
      <w:kern w:val="2"/>
      <w:sz w:val="21"/>
    </w:rPr>
  </w:style>
  <w:style w:type="paragraph" w:customStyle="1" w:styleId="2264">
    <w:name w:val="宝钢正文"/>
    <w:basedOn w:val="1"/>
    <w:qFormat/>
    <w:uiPriority w:val="0"/>
    <w:pPr>
      <w:tabs>
        <w:tab w:val="left" w:pos="3060"/>
      </w:tabs>
      <w:spacing w:before="50" w:beforeLines="50" w:after="50" w:afterLines="50" w:line="440" w:lineRule="exact"/>
      <w:ind w:firstLine="480" w:firstLineChars="200"/>
      <w:outlineLvl w:val="3"/>
    </w:pPr>
    <w:rPr>
      <w:rFonts w:ascii="宋体" w:hAnsi="宋体" w:cs="宋体"/>
      <w:b/>
      <w:kern w:val="0"/>
      <w:szCs w:val="20"/>
    </w:rPr>
  </w:style>
  <w:style w:type="paragraph" w:customStyle="1" w:styleId="2265">
    <w:name w:val="正文正文正文正文"/>
    <w:basedOn w:val="1"/>
    <w:next w:val="1"/>
    <w:qFormat/>
    <w:uiPriority w:val="0"/>
    <w:pPr>
      <w:keepNext/>
      <w:keepLines/>
      <w:widowControl/>
      <w:adjustRightInd w:val="0"/>
      <w:spacing w:before="40" w:after="40" w:line="360" w:lineRule="auto"/>
      <w:ind w:firstLine="200" w:firstLineChars="200"/>
      <w:jc w:val="left"/>
      <w:textAlignment w:val="baseline"/>
    </w:pPr>
    <w:rPr>
      <w:rFonts w:cs="宋体"/>
      <w:bCs/>
      <w:kern w:val="0"/>
      <w:sz w:val="24"/>
      <w:szCs w:val="28"/>
    </w:rPr>
  </w:style>
  <w:style w:type="paragraph" w:customStyle="1" w:styleId="2266">
    <w:name w:val="TABLE2"/>
    <w:basedOn w:val="1"/>
    <w:qFormat/>
    <w:uiPriority w:val="0"/>
    <w:pPr>
      <w:adjustRightInd w:val="0"/>
      <w:spacing w:line="240" w:lineRule="atLeast"/>
      <w:jc w:val="center"/>
      <w:textAlignment w:val="baseline"/>
    </w:pPr>
    <w:rPr>
      <w:kern w:val="0"/>
      <w:sz w:val="24"/>
    </w:rPr>
  </w:style>
  <w:style w:type="paragraph" w:customStyle="1" w:styleId="2267">
    <w:name w:val="LNG－表格"/>
    <w:basedOn w:val="1"/>
    <w:qFormat/>
    <w:uiPriority w:val="0"/>
    <w:pPr>
      <w:spacing w:line="360" w:lineRule="auto"/>
      <w:jc w:val="center"/>
    </w:pPr>
    <w:rPr>
      <w:kern w:val="0"/>
      <w:szCs w:val="21"/>
    </w:rPr>
  </w:style>
  <w:style w:type="character" w:customStyle="1" w:styleId="2268">
    <w:name w:val="标题 32"/>
    <w:qFormat/>
    <w:uiPriority w:val="0"/>
    <w:rPr>
      <w:rFonts w:eastAsia="宋体"/>
      <w:b/>
      <w:snapToGrid w:val="0"/>
      <w:color w:val="000000"/>
      <w:kern w:val="24"/>
      <w:sz w:val="24"/>
      <w:lang w:val="en-US" w:eastAsia="zh-CN" w:bidi="ar-SA"/>
    </w:rPr>
  </w:style>
  <w:style w:type="character" w:customStyle="1" w:styleId="2269">
    <w:name w:val="正文首行缩进 Char1 Char Char"/>
    <w:qFormat/>
    <w:uiPriority w:val="0"/>
    <w:rPr>
      <w:rFonts w:ascii="宋体" w:eastAsia="宋体"/>
      <w:kern w:val="2"/>
      <w:sz w:val="28"/>
      <w:szCs w:val="28"/>
      <w:lang w:val="en-US" w:eastAsia="zh-CN" w:bidi="ar-SA"/>
    </w:rPr>
  </w:style>
  <w:style w:type="character" w:customStyle="1" w:styleId="2270">
    <w:name w:val="Hyperlink1"/>
    <w:qFormat/>
    <w:uiPriority w:val="0"/>
    <w:rPr>
      <w:color w:val="0000FF"/>
      <w:u w:val="single"/>
    </w:rPr>
  </w:style>
  <w:style w:type="character" w:customStyle="1" w:styleId="2271">
    <w:name w:val="c1"/>
    <w:qFormat/>
    <w:uiPriority w:val="0"/>
    <w:rPr>
      <w:sz w:val="28"/>
      <w:szCs w:val="28"/>
    </w:rPr>
  </w:style>
  <w:style w:type="character" w:customStyle="1" w:styleId="2272">
    <w:name w:val="fieldlabel1"/>
    <w:qFormat/>
    <w:uiPriority w:val="0"/>
    <w:rPr>
      <w:rFonts w:hint="default" w:ascii="Verdana" w:hAnsi="Verdana"/>
      <w:b/>
      <w:bCs/>
      <w:color w:val="000000"/>
      <w:sz w:val="24"/>
      <w:szCs w:val="24"/>
    </w:rPr>
  </w:style>
  <w:style w:type="character" w:customStyle="1" w:styleId="2273">
    <w:name w:val="fieldcontents1"/>
    <w:qFormat/>
    <w:uiPriority w:val="0"/>
    <w:rPr>
      <w:rFonts w:hint="default" w:ascii="Verdana" w:hAnsi="Verdana"/>
      <w:color w:val="000000"/>
      <w:sz w:val="24"/>
      <w:szCs w:val="24"/>
    </w:rPr>
  </w:style>
  <w:style w:type="character" w:customStyle="1" w:styleId="2274">
    <w:name w:val="题注 Char Char Char Char Char"/>
    <w:qFormat/>
    <w:uiPriority w:val="0"/>
    <w:rPr>
      <w:rFonts w:ascii="Arial" w:hAnsi="Arial" w:eastAsia="黑体" w:cs="Arial"/>
      <w:kern w:val="2"/>
      <w:lang w:val="en-US" w:eastAsia="zh-CN" w:bidi="ar-SA"/>
    </w:rPr>
  </w:style>
  <w:style w:type="character" w:customStyle="1" w:styleId="2275">
    <w:name w:val="样式 题注 + (中文) 黑体 加粗 Char"/>
    <w:qFormat/>
    <w:uiPriority w:val="0"/>
    <w:rPr>
      <w:rFonts w:ascii="Arial" w:hAnsi="Arial" w:eastAsia="宋体" w:cs="Arial"/>
      <w:b/>
      <w:bCs/>
      <w:kern w:val="2"/>
      <w:sz w:val="24"/>
      <w:lang w:val="en-US" w:eastAsia="zh-CN" w:bidi="ar-SA"/>
    </w:rPr>
  </w:style>
  <w:style w:type="character" w:customStyle="1" w:styleId="2276">
    <w:name w:val="样式 题注 + (中文) 黑体 Char"/>
    <w:qFormat/>
    <w:uiPriority w:val="0"/>
    <w:rPr>
      <w:rFonts w:ascii="Arial" w:hAnsi="Arial" w:eastAsia="宋体" w:cs="Arial"/>
      <w:kern w:val="2"/>
      <w:sz w:val="24"/>
      <w:szCs w:val="21"/>
      <w:lang w:val="en-US" w:eastAsia="zh-CN" w:bidi="ar-SA"/>
    </w:rPr>
  </w:style>
  <w:style w:type="character" w:customStyle="1" w:styleId="2277">
    <w:name w:val="yangshi-h41"/>
    <w:qFormat/>
    <w:uiPriority w:val="0"/>
    <w:rPr>
      <w:rFonts w:ascii="黑体" w:eastAsia="黑体"/>
      <w:b/>
      <w:bCs/>
      <w:color w:val="000000"/>
      <w:sz w:val="24"/>
      <w:szCs w:val="24"/>
    </w:rPr>
  </w:style>
  <w:style w:type="character" w:customStyle="1" w:styleId="2278">
    <w:name w:val="正文缩进 Char1 Char Char Char"/>
    <w:qFormat/>
    <w:uiPriority w:val="0"/>
    <w:rPr>
      <w:rFonts w:eastAsia="宋体"/>
      <w:lang w:val="en-US" w:eastAsia="zh-CN"/>
    </w:rPr>
  </w:style>
  <w:style w:type="character" w:customStyle="1" w:styleId="2279">
    <w:name w:val="样式3 Char Char Char Char Char"/>
    <w:qFormat/>
    <w:uiPriority w:val="0"/>
    <w:rPr>
      <w:rFonts w:eastAsia="宋体"/>
      <w:sz w:val="24"/>
      <w:szCs w:val="24"/>
      <w:lang w:val="en-US" w:eastAsia="zh-CN" w:bidi="ar-SA"/>
    </w:rPr>
  </w:style>
  <w:style w:type="character" w:customStyle="1" w:styleId="2280">
    <w:name w:val="样式3 Char Char Char Char Char Char"/>
    <w:qFormat/>
    <w:uiPriority w:val="0"/>
    <w:rPr>
      <w:rFonts w:eastAsia="宋体"/>
      <w:sz w:val="24"/>
      <w:szCs w:val="24"/>
      <w:lang w:val="en-US" w:eastAsia="zh-CN" w:bidi="ar-SA"/>
    </w:rPr>
  </w:style>
  <w:style w:type="character" w:customStyle="1" w:styleId="2281">
    <w:name w:val="样式 Char Char Char Char Char Char Char Char Char Char Char Char Char Char Char Char Char Char"/>
    <w:qFormat/>
    <w:uiPriority w:val="0"/>
    <w:rPr>
      <w:rFonts w:eastAsia="宋体"/>
      <w:sz w:val="24"/>
      <w:szCs w:val="24"/>
      <w:lang w:val="en-US" w:eastAsia="zh-CN" w:bidi="ar-SA"/>
    </w:rPr>
  </w:style>
  <w:style w:type="character" w:customStyle="1" w:styleId="2282">
    <w:name w:val="样式3 Char Char Char Char"/>
    <w:qFormat/>
    <w:uiPriority w:val="0"/>
    <w:rPr>
      <w:rFonts w:eastAsia="宋体"/>
      <w:sz w:val="24"/>
      <w:szCs w:val="24"/>
      <w:lang w:val="en-US" w:eastAsia="zh-CN" w:bidi="ar-SA"/>
    </w:rPr>
  </w:style>
  <w:style w:type="character" w:customStyle="1" w:styleId="2283">
    <w:name w:val="样式 Char Char Char Char Char Char Char Char Char Char Char Char Char Char Char Char Char1"/>
    <w:qFormat/>
    <w:uiPriority w:val="0"/>
    <w:rPr>
      <w:rFonts w:eastAsia="宋体"/>
      <w:kern w:val="2"/>
      <w:sz w:val="24"/>
      <w:szCs w:val="24"/>
      <w:lang w:val="en-US" w:eastAsia="zh-CN" w:bidi="ar-SA"/>
    </w:rPr>
  </w:style>
  <w:style w:type="character" w:customStyle="1" w:styleId="2284">
    <w:name w:val="特点标题 Char Char"/>
    <w:qFormat/>
    <w:uiPriority w:val="0"/>
    <w:rPr>
      <w:rFonts w:eastAsia="宋体"/>
      <w:kern w:val="2"/>
      <w:sz w:val="28"/>
      <w:lang w:val="en-US" w:eastAsia="zh-CN" w:bidi="ar-SA"/>
    </w:rPr>
  </w:style>
  <w:style w:type="character" w:customStyle="1" w:styleId="2285">
    <w:name w:val="样式 紧缩量  0.2 磅"/>
    <w:qFormat/>
    <w:uiPriority w:val="0"/>
    <w:rPr>
      <w:spacing w:val="-4"/>
      <w:sz w:val="24"/>
    </w:rPr>
  </w:style>
  <w:style w:type="character" w:customStyle="1" w:styleId="2286">
    <w:name w:val="Small"/>
    <w:qFormat/>
    <w:uiPriority w:val="0"/>
    <w:rPr>
      <w:rFonts w:ascii="Book Antiqua" w:hAnsi="Book Antiqua"/>
      <w:b/>
      <w:i/>
      <w:smallCaps/>
      <w:sz w:val="18"/>
    </w:rPr>
  </w:style>
  <w:style w:type="paragraph" w:customStyle="1" w:styleId="2287">
    <w:name w:val="样式 正文首行缩进 + 黑色"/>
    <w:basedOn w:val="86"/>
    <w:link w:val="2288"/>
    <w:qFormat/>
    <w:uiPriority w:val="0"/>
    <w:pPr>
      <w:widowControl/>
      <w:topLinePunct/>
      <w:snapToGrid w:val="0"/>
      <w:spacing w:after="0" w:line="420" w:lineRule="exact"/>
      <w:ind w:firstLine="480" w:firstLineChars="200"/>
      <w:jc w:val="left"/>
    </w:pPr>
    <w:rPr>
      <w:rFonts w:cs="宋体" w:asciiTheme="minorHAnsi" w:hAnsiTheme="minorHAnsi" w:eastAsiaTheme="minorEastAsia"/>
      <w:color w:val="000000"/>
      <w:kern w:val="0"/>
      <w:sz w:val="24"/>
    </w:rPr>
  </w:style>
  <w:style w:type="character" w:customStyle="1" w:styleId="2288">
    <w:name w:val="样式 正文首行缩进 + 黑色 Char"/>
    <w:link w:val="2287"/>
    <w:qFormat/>
    <w:uiPriority w:val="0"/>
    <w:rPr>
      <w:rFonts w:cs="宋体" w:asciiTheme="minorHAnsi" w:hAnsiTheme="minorHAnsi" w:eastAsiaTheme="minorEastAsia"/>
      <w:color w:val="000000"/>
      <w:sz w:val="24"/>
      <w:szCs w:val="24"/>
    </w:rPr>
  </w:style>
  <w:style w:type="paragraph" w:customStyle="1" w:styleId="2289">
    <w:name w:val="中远正文"/>
    <w:basedOn w:val="1"/>
    <w:link w:val="2290"/>
    <w:qFormat/>
    <w:uiPriority w:val="0"/>
    <w:pPr>
      <w:adjustRightInd w:val="0"/>
      <w:spacing w:line="360" w:lineRule="auto"/>
      <w:ind w:right="-21" w:rightChars="-10" w:firstLine="720" w:firstLineChars="300"/>
      <w:textAlignment w:val="baseline"/>
    </w:pPr>
    <w:rPr>
      <w:snapToGrid w:val="0"/>
      <w:kern w:val="24"/>
      <w:sz w:val="24"/>
      <w:szCs w:val="20"/>
    </w:rPr>
  </w:style>
  <w:style w:type="character" w:customStyle="1" w:styleId="2290">
    <w:name w:val="中远正文 Char"/>
    <w:link w:val="2289"/>
    <w:qFormat/>
    <w:uiPriority w:val="0"/>
    <w:rPr>
      <w:snapToGrid w:val="0"/>
      <w:kern w:val="24"/>
      <w:sz w:val="24"/>
    </w:rPr>
  </w:style>
  <w:style w:type="paragraph" w:customStyle="1" w:styleId="2291">
    <w:name w:val="table1"/>
    <w:basedOn w:val="1"/>
    <w:qFormat/>
    <w:uiPriority w:val="0"/>
    <w:pPr>
      <w:adjustRightInd w:val="0"/>
      <w:spacing w:line="240" w:lineRule="atLeast"/>
      <w:jc w:val="center"/>
      <w:textAlignment w:val="baseline"/>
    </w:pPr>
    <w:rPr>
      <w:rFonts w:eastAsia="黑体"/>
      <w:kern w:val="0"/>
      <w:sz w:val="24"/>
    </w:rPr>
  </w:style>
  <w:style w:type="paragraph" w:customStyle="1" w:styleId="2292">
    <w:name w:val="表格题注"/>
    <w:basedOn w:val="1"/>
    <w:link w:val="2293"/>
    <w:qFormat/>
    <w:uiPriority w:val="0"/>
    <w:pPr>
      <w:adjustRightInd w:val="0"/>
      <w:spacing w:line="360" w:lineRule="auto"/>
      <w:jc w:val="center"/>
      <w:textAlignment w:val="baseline"/>
    </w:pPr>
    <w:rPr>
      <w:b/>
      <w:snapToGrid w:val="0"/>
      <w:kern w:val="24"/>
      <w:szCs w:val="21"/>
    </w:rPr>
  </w:style>
  <w:style w:type="character" w:customStyle="1" w:styleId="2293">
    <w:name w:val="表格题注 Char"/>
    <w:link w:val="2292"/>
    <w:qFormat/>
    <w:uiPriority w:val="0"/>
    <w:rPr>
      <w:b/>
      <w:snapToGrid w:val="0"/>
      <w:kern w:val="24"/>
      <w:sz w:val="21"/>
      <w:szCs w:val="21"/>
    </w:rPr>
  </w:style>
  <w:style w:type="paragraph" w:customStyle="1" w:styleId="2294">
    <w:name w:val="表中文字居中"/>
    <w:basedOn w:val="1"/>
    <w:link w:val="2295"/>
    <w:qFormat/>
    <w:uiPriority w:val="0"/>
    <w:pPr>
      <w:shd w:val="clear" w:color="auto" w:fill="FFFFFF"/>
      <w:tabs>
        <w:tab w:val="left" w:pos="360"/>
        <w:tab w:val="left" w:pos="1727"/>
        <w:tab w:val="left" w:pos="1884"/>
        <w:tab w:val="right" w:leader="middleDot" w:pos="9072"/>
      </w:tabs>
      <w:adjustRightInd w:val="0"/>
      <w:snapToGrid w:val="0"/>
      <w:spacing w:line="0" w:lineRule="atLeast"/>
      <w:ind w:left="1" w:leftChars="-34" w:right="-101" w:rightChars="-36" w:hanging="96" w:hangingChars="40"/>
      <w:jc w:val="center"/>
      <w:outlineLvl w:val="0"/>
    </w:pPr>
    <w:rPr>
      <w:rFonts w:ascii="宋体"/>
      <w:sz w:val="24"/>
      <w:szCs w:val="20"/>
    </w:rPr>
  </w:style>
  <w:style w:type="character" w:customStyle="1" w:styleId="2295">
    <w:name w:val="表中文字居中 Char"/>
    <w:link w:val="2294"/>
    <w:qFormat/>
    <w:uiPriority w:val="0"/>
    <w:rPr>
      <w:rFonts w:ascii="宋体"/>
      <w:kern w:val="2"/>
      <w:sz w:val="24"/>
      <w:shd w:val="clear" w:color="auto" w:fill="FFFFFF"/>
    </w:rPr>
  </w:style>
  <w:style w:type="paragraph" w:customStyle="1" w:styleId="2296">
    <w:name w:val="样式 报告正文 + 行距: 多倍行距 1.4 字行1"/>
    <w:basedOn w:val="370"/>
    <w:qFormat/>
    <w:uiPriority w:val="0"/>
    <w:pPr>
      <w:spacing w:line="336" w:lineRule="auto"/>
      <w:ind w:firstLine="560"/>
    </w:pPr>
    <w:rPr>
      <w:rFonts w:cs="宋体" w:hAnsiTheme="minorHAnsi" w:eastAsiaTheme="minorEastAsia"/>
      <w:sz w:val="28"/>
      <w:szCs w:val="28"/>
    </w:rPr>
  </w:style>
  <w:style w:type="paragraph" w:customStyle="1" w:styleId="2297">
    <w:name w:val="燕山正文"/>
    <w:basedOn w:val="1"/>
    <w:link w:val="2298"/>
    <w:qFormat/>
    <w:uiPriority w:val="0"/>
    <w:pPr>
      <w:tabs>
        <w:tab w:val="left" w:pos="4680"/>
      </w:tabs>
      <w:adjustRightInd w:val="0"/>
      <w:snapToGrid w:val="0"/>
      <w:spacing w:line="360" w:lineRule="auto"/>
      <w:ind w:firstLine="560" w:firstLineChars="200"/>
    </w:pPr>
    <w:rPr>
      <w:rFonts w:ascii="宋体" w:hAnsi="宋体"/>
      <w:color w:val="000000"/>
      <w:sz w:val="24"/>
      <w:szCs w:val="28"/>
    </w:rPr>
  </w:style>
  <w:style w:type="character" w:customStyle="1" w:styleId="2298">
    <w:name w:val="燕山正文 Char"/>
    <w:link w:val="2297"/>
    <w:qFormat/>
    <w:uiPriority w:val="0"/>
    <w:rPr>
      <w:rFonts w:ascii="宋体" w:hAnsi="宋体"/>
      <w:color w:val="000000"/>
      <w:kern w:val="2"/>
      <w:sz w:val="24"/>
      <w:szCs w:val="28"/>
    </w:rPr>
  </w:style>
  <w:style w:type="paragraph" w:customStyle="1" w:styleId="2299">
    <w:name w:val="样式 样式 样式 正文首行缩进 2 + 首行缩进:  2 字符 + 首行缩进:  2 字符 + 首行缩进:  2 字符"/>
    <w:basedOn w:val="1"/>
    <w:qFormat/>
    <w:uiPriority w:val="0"/>
    <w:pPr>
      <w:spacing w:line="440" w:lineRule="exact"/>
      <w:ind w:firstLine="200" w:firstLineChars="200"/>
    </w:pPr>
    <w:rPr>
      <w:rFonts w:cs="宋体"/>
      <w:sz w:val="24"/>
      <w:szCs w:val="20"/>
    </w:rPr>
  </w:style>
  <w:style w:type="paragraph" w:customStyle="1" w:styleId="2300">
    <w:name w:val="表中文字中"/>
    <w:basedOn w:val="1"/>
    <w:next w:val="1"/>
    <w:qFormat/>
    <w:uiPriority w:val="0"/>
    <w:pPr>
      <w:overflowPunct w:val="0"/>
      <w:autoSpaceDE w:val="0"/>
      <w:autoSpaceDN w:val="0"/>
      <w:adjustRightInd w:val="0"/>
      <w:snapToGrid w:val="0"/>
      <w:spacing w:line="0" w:lineRule="atLeast"/>
    </w:pPr>
    <w:rPr>
      <w:rFonts w:ascii="仿宋_GB2312" w:eastAsia="仿宋_GB2312"/>
      <w:sz w:val="24"/>
      <w:lang w:val="zh-CN"/>
    </w:rPr>
  </w:style>
  <w:style w:type="paragraph" w:customStyle="1" w:styleId="2301">
    <w:name w:val="样式 标题 1章标题 1文章标题h11st levelSection Headl1章b1H1章节标题1标题..."/>
    <w:basedOn w:val="3"/>
    <w:qFormat/>
    <w:uiPriority w:val="0"/>
    <w:pPr>
      <w:keepNext/>
      <w:keepLines/>
      <w:tabs>
        <w:tab w:val="left" w:pos="786"/>
      </w:tabs>
      <w:adjustRightInd/>
      <w:snapToGrid/>
      <w:spacing w:before="50" w:beforeLines="50" w:after="50" w:afterLines="50" w:line="360" w:lineRule="auto"/>
      <w:jc w:val="both"/>
    </w:pPr>
    <w:rPr>
      <w:rFonts w:eastAsia="黑体"/>
      <w:b w:val="0"/>
      <w:bCs w:val="0"/>
      <w:color w:val="000000"/>
    </w:rPr>
  </w:style>
  <w:style w:type="paragraph" w:customStyle="1" w:styleId="2302">
    <w:name w:val="1级样式."/>
    <w:basedOn w:val="1"/>
    <w:qFormat/>
    <w:uiPriority w:val="0"/>
    <w:pPr>
      <w:keepNext/>
      <w:keepLines/>
      <w:spacing w:before="30" w:beforeLines="30" w:after="30" w:afterLines="30" w:line="300" w:lineRule="auto"/>
      <w:jc w:val="left"/>
      <w:outlineLvl w:val="0"/>
    </w:pPr>
    <w:rPr>
      <w:rFonts w:eastAsia="黑体" w:cs="宋体"/>
      <w:color w:val="000000"/>
      <w:kern w:val="44"/>
      <w:sz w:val="32"/>
      <w:szCs w:val="20"/>
    </w:rPr>
  </w:style>
  <w:style w:type="paragraph" w:customStyle="1" w:styleId="2303">
    <w:name w:val="样式 标题 22级样式 + 段前: 0.3 行 段后: 0.3 行"/>
    <w:basedOn w:val="4"/>
    <w:qFormat/>
    <w:uiPriority w:val="0"/>
    <w:pPr>
      <w:tabs>
        <w:tab w:val="left" w:pos="785"/>
      </w:tabs>
      <w:spacing w:before="93" w:beforeLines="30" w:after="93" w:afterLines="30" w:line="360" w:lineRule="auto"/>
    </w:pPr>
    <w:rPr>
      <w:rFonts w:ascii="Times New Roman" w:hAnsi="Times New Roman" w:eastAsia="黑体" w:cs="宋体"/>
      <w:b w:val="0"/>
      <w:bCs w:val="0"/>
      <w:color w:val="003300"/>
      <w:sz w:val="30"/>
      <w:szCs w:val="30"/>
    </w:rPr>
  </w:style>
  <w:style w:type="paragraph" w:customStyle="1" w:styleId="2304">
    <w:name w:val="4级样式"/>
    <w:basedOn w:val="6"/>
    <w:link w:val="2305"/>
    <w:qFormat/>
    <w:uiPriority w:val="0"/>
    <w:pPr>
      <w:numPr>
        <w:ilvl w:val="2"/>
        <w:numId w:val="30"/>
      </w:numPr>
      <w:tabs>
        <w:tab w:val="left" w:pos="786"/>
      </w:tabs>
      <w:spacing w:before="80" w:after="80" w:line="360" w:lineRule="auto"/>
    </w:pPr>
    <w:rPr>
      <w:rFonts w:ascii="Times New Roman" w:hAnsi="Times New Roman"/>
      <w:b w:val="0"/>
      <w:color w:val="339966"/>
      <w:sz w:val="24"/>
      <w:szCs w:val="24"/>
      <w:lang w:val="zh-CN"/>
    </w:rPr>
  </w:style>
  <w:style w:type="character" w:customStyle="1" w:styleId="2305">
    <w:name w:val="4级样式 Char"/>
    <w:link w:val="2304"/>
    <w:qFormat/>
    <w:uiPriority w:val="0"/>
    <w:rPr>
      <w:rFonts w:eastAsia="黑体"/>
      <w:bCs/>
      <w:color w:val="339966"/>
      <w:kern w:val="2"/>
      <w:sz w:val="24"/>
      <w:szCs w:val="24"/>
      <w:lang w:val="zh-CN"/>
    </w:rPr>
  </w:style>
  <w:style w:type="paragraph" w:customStyle="1" w:styleId="2306">
    <w:name w:val="3 级样式"/>
    <w:basedOn w:val="5"/>
    <w:qFormat/>
    <w:uiPriority w:val="0"/>
    <w:pPr>
      <w:spacing w:before="62" w:beforeLines="20" w:after="93" w:afterLines="30" w:line="300" w:lineRule="auto"/>
    </w:pPr>
    <w:rPr>
      <w:rFonts w:eastAsia="黑体" w:cs="宋体"/>
      <w:b w:val="0"/>
      <w:bCs w:val="0"/>
      <w:color w:val="339966"/>
      <w:kern w:val="28"/>
      <w:sz w:val="28"/>
      <w:szCs w:val="28"/>
    </w:rPr>
  </w:style>
  <w:style w:type="paragraph" w:customStyle="1" w:styleId="2307">
    <w:name w:val="2 级样式"/>
    <w:basedOn w:val="4"/>
    <w:qFormat/>
    <w:uiPriority w:val="0"/>
    <w:pPr>
      <w:tabs>
        <w:tab w:val="left" w:pos="785"/>
      </w:tabs>
      <w:spacing w:before="93" w:beforeLines="30" w:after="93" w:afterLines="30" w:line="300" w:lineRule="auto"/>
    </w:pPr>
    <w:rPr>
      <w:rFonts w:ascii="Times New Roman" w:hAnsi="Times New Roman" w:eastAsia="黑体" w:cs="宋体"/>
      <w:b w:val="0"/>
      <w:bCs w:val="0"/>
      <w:color w:val="003300"/>
      <w:sz w:val="30"/>
      <w:szCs w:val="30"/>
    </w:rPr>
  </w:style>
  <w:style w:type="paragraph" w:customStyle="1" w:styleId="2308">
    <w:name w:val="首选正文"/>
    <w:basedOn w:val="1"/>
    <w:qFormat/>
    <w:uiPriority w:val="0"/>
    <w:pPr>
      <w:spacing w:line="460" w:lineRule="exact"/>
      <w:ind w:firstLine="200" w:firstLineChars="200"/>
    </w:pPr>
    <w:rPr>
      <w:rFonts w:cs="宋体"/>
      <w:sz w:val="24"/>
    </w:rPr>
  </w:style>
  <w:style w:type="paragraph" w:customStyle="1" w:styleId="2309">
    <w:name w:val="大写标题"/>
    <w:basedOn w:val="1"/>
    <w:qFormat/>
    <w:uiPriority w:val="0"/>
    <w:pPr>
      <w:spacing w:before="50" w:beforeLines="50" w:after="100" w:afterLines="100" w:line="360" w:lineRule="auto"/>
      <w:jc w:val="center"/>
    </w:pPr>
    <w:rPr>
      <w:rFonts w:eastAsia="黑体" w:cs="宋体"/>
      <w:sz w:val="32"/>
      <w:szCs w:val="32"/>
      <w14:shadow w14:blurRad="50800" w14:dist="38100" w14:dir="2700000" w14:sx="100000" w14:sy="100000" w14:kx="0" w14:ky="0" w14:algn="tl">
        <w14:srgbClr w14:val="000000">
          <w14:alpha w14:val="60000"/>
        </w14:srgbClr>
      </w14:shadow>
    </w:rPr>
  </w:style>
  <w:style w:type="paragraph" w:customStyle="1" w:styleId="2310">
    <w:name w:val="大 写 标 题"/>
    <w:basedOn w:val="2309"/>
    <w:qFormat/>
    <w:uiPriority w:val="0"/>
    <w:pPr>
      <w:spacing w:before="156" w:after="312"/>
    </w:pPr>
    <w:rPr>
      <w:sz w:val="36"/>
      <w:szCs w:val="20"/>
    </w:rPr>
  </w:style>
  <w:style w:type="paragraph" w:customStyle="1" w:styleId="2311">
    <w:name w:val="表格 文字"/>
    <w:basedOn w:val="86"/>
    <w:qFormat/>
    <w:uiPriority w:val="0"/>
    <w:pPr>
      <w:tabs>
        <w:tab w:val="left" w:pos="628"/>
        <w:tab w:val="left" w:pos="1727"/>
        <w:tab w:val="left" w:pos="1884"/>
      </w:tabs>
      <w:snapToGrid w:val="0"/>
      <w:spacing w:after="0"/>
      <w:ind w:firstLine="0" w:firstLineChars="0"/>
      <w:jc w:val="center"/>
    </w:pPr>
    <w:rPr>
      <w:rFonts w:asciiTheme="minorHAnsi" w:hAnsiTheme="minorHAnsi" w:eastAsiaTheme="minorEastAsia" w:cstheme="minorBidi"/>
      <w:bCs/>
      <w:sz w:val="18"/>
      <w:szCs w:val="18"/>
    </w:rPr>
  </w:style>
  <w:style w:type="character" w:customStyle="1" w:styleId="2312">
    <w:name w:val="正文首行缩进 Char1 Char Char2"/>
    <w:qFormat/>
    <w:uiPriority w:val="0"/>
    <w:rPr>
      <w:rFonts w:eastAsia="宋体"/>
      <w:kern w:val="2"/>
      <w:sz w:val="21"/>
      <w:szCs w:val="24"/>
      <w:lang w:val="en-US" w:eastAsia="zh-CN" w:bidi="ar-SA"/>
    </w:rPr>
  </w:style>
  <w:style w:type="paragraph" w:customStyle="1" w:styleId="2313">
    <w:name w:val="表格中的文字"/>
    <w:basedOn w:val="2311"/>
    <w:qFormat/>
    <w:uiPriority w:val="0"/>
    <w:rPr>
      <w:bCs w:val="0"/>
    </w:rPr>
  </w:style>
  <w:style w:type="paragraph" w:customStyle="1" w:styleId="2314">
    <w:name w:val="前言正文"/>
    <w:basedOn w:val="2310"/>
    <w:qFormat/>
    <w:uiPriority w:val="0"/>
    <w:pPr>
      <w:spacing w:before="0" w:beforeLines="0" w:after="0" w:afterLines="0" w:line="300" w:lineRule="auto"/>
      <w:ind w:firstLine="200" w:firstLineChars="200"/>
      <w:jc w:val="both"/>
    </w:pPr>
    <w:rPr>
      <w:rFonts w:eastAsia="华文楷体"/>
      <w:sz w:val="24"/>
    </w:rPr>
  </w:style>
  <w:style w:type="paragraph" w:customStyle="1" w:styleId="2315">
    <w:name w:val="首行缩进正文"/>
    <w:basedOn w:val="86"/>
    <w:qFormat/>
    <w:uiPriority w:val="0"/>
    <w:pPr>
      <w:spacing w:after="0" w:line="460" w:lineRule="exact"/>
      <w:ind w:firstLine="480" w:firstLineChars="200"/>
    </w:pPr>
    <w:rPr>
      <w:rFonts w:cs="宋体" w:asciiTheme="minorHAnsi" w:hAnsiTheme="minorHAnsi" w:eastAsiaTheme="minorEastAsia"/>
      <w:color w:val="339966"/>
      <w:sz w:val="24"/>
      <w:szCs w:val="18"/>
    </w:rPr>
  </w:style>
  <w:style w:type="paragraph" w:customStyle="1" w:styleId="2316">
    <w:name w:val="样式 表头 + 海绿 段前: 7.8 磅 段后: 7.8 磅"/>
    <w:basedOn w:val="7"/>
    <w:qFormat/>
    <w:uiPriority w:val="0"/>
    <w:pPr>
      <w:keepLines w:val="0"/>
      <w:adjustRightInd/>
      <w:spacing w:before="120" w:after="120" w:line="440" w:lineRule="exact"/>
      <w:jc w:val="center"/>
      <w:textAlignment w:val="auto"/>
      <w:outlineLvl w:val="9"/>
    </w:pPr>
    <w:rPr>
      <w:rFonts w:eastAsia="黑体"/>
      <w:b w:val="0"/>
      <w:color w:val="339966"/>
      <w:spacing w:val="8"/>
      <w:kern w:val="21"/>
      <w:sz w:val="21"/>
    </w:rPr>
  </w:style>
  <w:style w:type="paragraph" w:customStyle="1" w:styleId="2317">
    <w:name w:val="表格内容（新）"/>
    <w:basedOn w:val="1"/>
    <w:qFormat/>
    <w:uiPriority w:val="0"/>
    <w:pPr>
      <w:jc w:val="center"/>
    </w:pPr>
    <w:rPr>
      <w:rFonts w:cs="宋体"/>
      <w:color w:val="339966"/>
      <w:sz w:val="18"/>
      <w:szCs w:val="18"/>
    </w:rPr>
  </w:style>
  <w:style w:type="paragraph" w:customStyle="1" w:styleId="2318">
    <w:name w:val="样式 燕山正文 + 首行缩进:  3.5 字符2"/>
    <w:basedOn w:val="2297"/>
    <w:qFormat/>
    <w:uiPriority w:val="0"/>
    <w:pPr>
      <w:spacing w:line="460" w:lineRule="exact"/>
      <w:ind w:firstLine="480"/>
    </w:pPr>
    <w:rPr>
      <w:rFonts w:ascii="Times New Roman" w:hAnsi="Times New Roman"/>
      <w:color w:val="auto"/>
      <w:szCs w:val="24"/>
    </w:rPr>
  </w:style>
  <w:style w:type="paragraph" w:customStyle="1" w:styleId="2319">
    <w:name w:val="样式 首行缩进正文 + 小四"/>
    <w:basedOn w:val="2315"/>
    <w:qFormat/>
    <w:uiPriority w:val="0"/>
    <w:rPr>
      <w:rFonts w:cs="Times New Roman"/>
      <w:color w:val="auto"/>
      <w:szCs w:val="24"/>
    </w:rPr>
  </w:style>
  <w:style w:type="paragraph" w:customStyle="1" w:styleId="2320">
    <w:name w:val="Char Char Char1 Char Char Char Char Char Char Char Char Char Char6"/>
    <w:basedOn w:val="1"/>
    <w:qFormat/>
    <w:uiPriority w:val="0"/>
    <w:rPr>
      <w:szCs w:val="21"/>
    </w:rPr>
  </w:style>
  <w:style w:type="paragraph" w:customStyle="1" w:styleId="2321">
    <w:name w:val="段落文字"/>
    <w:basedOn w:val="1"/>
    <w:link w:val="2322"/>
    <w:qFormat/>
    <w:uiPriority w:val="0"/>
    <w:pPr>
      <w:adjustRightInd w:val="0"/>
      <w:snapToGrid w:val="0"/>
      <w:spacing w:line="520" w:lineRule="exact"/>
      <w:ind w:firstLine="560" w:firstLineChars="200"/>
    </w:pPr>
    <w:rPr>
      <w:kern w:val="0"/>
      <w:sz w:val="28"/>
    </w:rPr>
  </w:style>
  <w:style w:type="character" w:customStyle="1" w:styleId="2322">
    <w:name w:val="段落文字 Char"/>
    <w:link w:val="2321"/>
    <w:qFormat/>
    <w:uiPriority w:val="0"/>
    <w:rPr>
      <w:sz w:val="28"/>
      <w:szCs w:val="24"/>
    </w:rPr>
  </w:style>
  <w:style w:type="paragraph" w:customStyle="1" w:styleId="2323">
    <w:name w:val="王秀中"/>
    <w:basedOn w:val="1"/>
    <w:qFormat/>
    <w:uiPriority w:val="0"/>
    <w:pPr>
      <w:autoSpaceDE w:val="0"/>
      <w:autoSpaceDN w:val="0"/>
      <w:adjustRightInd w:val="0"/>
      <w:snapToGrid w:val="0"/>
      <w:spacing w:line="312" w:lineRule="auto"/>
      <w:ind w:firstLine="567"/>
    </w:pPr>
    <w:rPr>
      <w:kern w:val="0"/>
      <w:sz w:val="28"/>
      <w:szCs w:val="20"/>
    </w:rPr>
  </w:style>
  <w:style w:type="paragraph" w:customStyle="1" w:styleId="2324">
    <w:name w:val="正文（1）"/>
    <w:basedOn w:val="21"/>
    <w:next w:val="86"/>
    <w:qFormat/>
    <w:uiPriority w:val="0"/>
    <w:pPr>
      <w:widowControl/>
      <w:adjustRightInd w:val="0"/>
      <w:snapToGrid w:val="0"/>
      <w:spacing w:line="360" w:lineRule="auto"/>
      <w:ind w:firstLine="520" w:firstLineChars="200"/>
    </w:pPr>
    <w:rPr>
      <w:spacing w:val="10"/>
      <w:kern w:val="0"/>
      <w:sz w:val="24"/>
      <w:szCs w:val="24"/>
    </w:rPr>
  </w:style>
  <w:style w:type="paragraph" w:customStyle="1" w:styleId="2325">
    <w:name w:val="Char Char Char1 Char Char Char"/>
    <w:basedOn w:val="5"/>
    <w:qFormat/>
    <w:uiPriority w:val="0"/>
    <w:pPr>
      <w:tabs>
        <w:tab w:val="left" w:pos="360"/>
        <w:tab w:val="left" w:pos="900"/>
      </w:tabs>
      <w:snapToGrid w:val="0"/>
      <w:spacing w:before="120" w:after="120" w:line="360" w:lineRule="auto"/>
      <w:ind w:left="542" w:leftChars="-12" w:firstLine="200" w:firstLineChars="200"/>
    </w:pPr>
    <w:rPr>
      <w:rFonts w:ascii="Verdana" w:hAnsi="Verdana"/>
      <w:b w:val="0"/>
      <w:bCs w:val="0"/>
      <w:kern w:val="0"/>
      <w:sz w:val="20"/>
      <w:szCs w:val="24"/>
      <w:lang w:eastAsia="en-US"/>
    </w:rPr>
  </w:style>
  <w:style w:type="character" w:customStyle="1" w:styleId="2326">
    <w:name w:val="四号 正文 Char"/>
    <w:link w:val="2327"/>
    <w:qFormat/>
    <w:uiPriority w:val="0"/>
    <w:rPr>
      <w:rFonts w:cs="宋体"/>
      <w:spacing w:val="6"/>
      <w:sz w:val="28"/>
    </w:rPr>
  </w:style>
  <w:style w:type="paragraph" w:customStyle="1" w:styleId="2327">
    <w:name w:val="四号 正文"/>
    <w:basedOn w:val="1"/>
    <w:link w:val="2326"/>
    <w:qFormat/>
    <w:uiPriority w:val="0"/>
    <w:pPr>
      <w:ind w:firstLine="584" w:firstLineChars="200"/>
    </w:pPr>
    <w:rPr>
      <w:rFonts w:cs="宋体"/>
      <w:spacing w:val="6"/>
      <w:kern w:val="0"/>
      <w:sz w:val="28"/>
      <w:szCs w:val="20"/>
    </w:rPr>
  </w:style>
  <w:style w:type="paragraph" w:customStyle="1" w:styleId="2328">
    <w:name w:val="表小4"/>
    <w:basedOn w:val="1"/>
    <w:link w:val="2329"/>
    <w:qFormat/>
    <w:uiPriority w:val="0"/>
    <w:pPr>
      <w:adjustRightInd w:val="0"/>
      <w:snapToGrid w:val="0"/>
      <w:jc w:val="center"/>
    </w:pPr>
    <w:rPr>
      <w:rFonts w:ascii="宋体" w:hAnsi="宋体"/>
      <w:kern w:val="0"/>
      <w:sz w:val="24"/>
      <w:szCs w:val="21"/>
    </w:rPr>
  </w:style>
  <w:style w:type="character" w:customStyle="1" w:styleId="2329">
    <w:name w:val="表小4 Char"/>
    <w:link w:val="2328"/>
    <w:qFormat/>
    <w:locked/>
    <w:uiPriority w:val="0"/>
    <w:rPr>
      <w:rFonts w:ascii="宋体" w:hAnsi="宋体"/>
      <w:sz w:val="24"/>
      <w:szCs w:val="21"/>
    </w:rPr>
  </w:style>
  <w:style w:type="paragraph" w:customStyle="1" w:styleId="2330">
    <w:name w:val="表格文字局中"/>
    <w:basedOn w:val="1"/>
    <w:next w:val="1"/>
    <w:qFormat/>
    <w:uiPriority w:val="0"/>
    <w:pPr>
      <w:jc w:val="center"/>
    </w:pPr>
  </w:style>
  <w:style w:type="paragraph" w:customStyle="1" w:styleId="2331">
    <w:name w:val="正文首行缩进-修改"/>
    <w:basedOn w:val="1"/>
    <w:qFormat/>
    <w:uiPriority w:val="0"/>
    <w:pPr>
      <w:spacing w:line="360" w:lineRule="auto"/>
      <w:ind w:firstLine="480" w:firstLineChars="200"/>
    </w:pPr>
    <w:rPr>
      <w:sz w:val="24"/>
    </w:rPr>
  </w:style>
  <w:style w:type="paragraph" w:customStyle="1" w:styleId="2332">
    <w:name w:val="gb1"/>
    <w:basedOn w:val="1"/>
    <w:qFormat/>
    <w:uiPriority w:val="0"/>
    <w:pPr>
      <w:widowControl/>
      <w:tabs>
        <w:tab w:val="left" w:pos="227"/>
      </w:tabs>
      <w:overflowPunct w:val="0"/>
      <w:autoSpaceDE w:val="0"/>
      <w:autoSpaceDN w:val="0"/>
      <w:adjustRightInd w:val="0"/>
      <w:spacing w:before="120" w:after="120"/>
      <w:jc w:val="left"/>
      <w:textAlignment w:val="baseline"/>
    </w:pPr>
    <w:rPr>
      <w:rFonts w:ascii="Arial" w:hAnsi="Arial" w:eastAsia="仿宋体"/>
      <w:kern w:val="0"/>
      <w:sz w:val="24"/>
      <w:szCs w:val="20"/>
    </w:rPr>
  </w:style>
  <w:style w:type="paragraph" w:customStyle="1" w:styleId="2333">
    <w:name w:val="graphicstext"/>
    <w:basedOn w:val="1"/>
    <w:qFormat/>
    <w:uiPriority w:val="0"/>
    <w:pPr>
      <w:widowControl/>
      <w:overflowPunct w:val="0"/>
      <w:autoSpaceDE w:val="0"/>
      <w:autoSpaceDN w:val="0"/>
      <w:spacing w:line="264" w:lineRule="auto"/>
      <w:jc w:val="left"/>
    </w:pPr>
    <w:rPr>
      <w:rFonts w:ascii="Arial Narrow" w:hAnsi="Arial Narrow" w:cs="宋体"/>
      <w:kern w:val="0"/>
      <w:sz w:val="18"/>
      <w:szCs w:val="18"/>
    </w:rPr>
  </w:style>
  <w:style w:type="paragraph" w:customStyle="1" w:styleId="2334">
    <w:name w:val="Char Char23 Char Char Char Char Char Char Char Char Char Char Char Char Char Char Char Char Char Char"/>
    <w:basedOn w:val="1"/>
    <w:qFormat/>
    <w:uiPriority w:val="0"/>
    <w:rPr>
      <w:rFonts w:ascii="宋体" w:hAnsi="宋体" w:cs="宋体"/>
      <w:sz w:val="24"/>
    </w:rPr>
  </w:style>
  <w:style w:type="paragraph" w:customStyle="1" w:styleId="2335">
    <w:name w:val="我的表格标题"/>
    <w:basedOn w:val="1259"/>
    <w:next w:val="1259"/>
    <w:qFormat/>
    <w:uiPriority w:val="0"/>
    <w:pPr>
      <w:ind w:firstLine="0" w:firstLineChars="0"/>
      <w:jc w:val="center"/>
    </w:pPr>
    <w:rPr>
      <w:rFonts w:ascii="黑体" w:hAnsi="黑体" w:eastAsia="黑体" w:cs="Times New Roman"/>
      <w:b/>
      <w:lang w:val="zh-CN"/>
    </w:rPr>
  </w:style>
  <w:style w:type="paragraph" w:customStyle="1" w:styleId="2336">
    <w:name w:val="我的备注文字"/>
    <w:basedOn w:val="1284"/>
    <w:link w:val="2337"/>
    <w:qFormat/>
    <w:uiPriority w:val="0"/>
    <w:pPr>
      <w:adjustRightInd/>
      <w:snapToGrid/>
      <w:spacing w:line="280" w:lineRule="exact"/>
      <w:jc w:val="left"/>
      <w:textAlignment w:val="auto"/>
    </w:pPr>
    <w:rPr>
      <w:rFonts w:ascii="Times New Roman" w:hAnsi="Times New Roman" w:cs="Times New Roman"/>
      <w:bCs/>
    </w:rPr>
  </w:style>
  <w:style w:type="character" w:customStyle="1" w:styleId="2337">
    <w:name w:val="我的备注文字 Char"/>
    <w:link w:val="2336"/>
    <w:qFormat/>
    <w:uiPriority w:val="0"/>
    <w:rPr>
      <w:bCs/>
      <w:kern w:val="2"/>
      <w:sz w:val="21"/>
      <w:szCs w:val="21"/>
    </w:rPr>
  </w:style>
  <w:style w:type="paragraph" w:customStyle="1" w:styleId="2338">
    <w:name w:val="前言的标题"/>
    <w:basedOn w:val="3"/>
    <w:qFormat/>
    <w:uiPriority w:val="0"/>
    <w:pPr>
      <w:keepNext/>
      <w:keepLines/>
      <w:tabs>
        <w:tab w:val="left" w:pos="432"/>
        <w:tab w:val="left" w:pos="786"/>
      </w:tabs>
      <w:adjustRightInd/>
      <w:snapToGrid/>
      <w:spacing w:before="340" w:after="330" w:line="578" w:lineRule="auto"/>
      <w:ind w:left="432" w:hanging="432" w:hangingChars="200"/>
      <w:jc w:val="both"/>
    </w:pPr>
    <w:rPr>
      <w:rFonts w:ascii="黑体" w:hAnsi="黑体" w:eastAsia="黑体"/>
      <w:bCs w:val="0"/>
      <w:sz w:val="44"/>
      <w:szCs w:val="44"/>
    </w:rPr>
  </w:style>
  <w:style w:type="paragraph" w:customStyle="1" w:styleId="2339">
    <w:name w:val="正文正文"/>
    <w:basedOn w:val="1"/>
    <w:link w:val="2340"/>
    <w:qFormat/>
    <w:uiPriority w:val="0"/>
    <w:pPr>
      <w:adjustRightInd w:val="0"/>
      <w:snapToGrid w:val="0"/>
      <w:spacing w:line="440" w:lineRule="exact"/>
      <w:ind w:firstLine="200" w:firstLineChars="200"/>
      <w:textAlignment w:val="baseline"/>
    </w:pPr>
    <w:rPr>
      <w:kern w:val="0"/>
      <w:sz w:val="24"/>
      <w:szCs w:val="28"/>
      <w:lang w:val="zh-CN"/>
    </w:rPr>
  </w:style>
  <w:style w:type="character" w:customStyle="1" w:styleId="2340">
    <w:name w:val="正文正文 Char"/>
    <w:link w:val="2339"/>
    <w:qFormat/>
    <w:uiPriority w:val="0"/>
    <w:rPr>
      <w:sz w:val="24"/>
      <w:szCs w:val="28"/>
      <w:lang w:val="zh-CN"/>
    </w:rPr>
  </w:style>
  <w:style w:type="paragraph" w:customStyle="1" w:styleId="2341">
    <w:name w:val="磨溪正文"/>
    <w:basedOn w:val="1"/>
    <w:link w:val="2342"/>
    <w:qFormat/>
    <w:uiPriority w:val="0"/>
    <w:pPr>
      <w:spacing w:line="360" w:lineRule="auto"/>
      <w:ind w:firstLine="200" w:firstLineChars="200"/>
    </w:pPr>
    <w:rPr>
      <w:sz w:val="24"/>
      <w:lang w:val="zh-CN"/>
    </w:rPr>
  </w:style>
  <w:style w:type="character" w:customStyle="1" w:styleId="2342">
    <w:name w:val="磨溪正文 Char"/>
    <w:link w:val="2341"/>
    <w:qFormat/>
    <w:uiPriority w:val="0"/>
    <w:rPr>
      <w:kern w:val="2"/>
      <w:sz w:val="24"/>
      <w:szCs w:val="24"/>
      <w:lang w:val="zh-CN"/>
    </w:rPr>
  </w:style>
  <w:style w:type="character" w:customStyle="1" w:styleId="2343">
    <w:name w:val="表头[858D7CFB-ED40-4347-BF05-701D383B685F]"/>
    <w:qFormat/>
    <w:uiPriority w:val="0"/>
    <w:rPr>
      <w:rFonts w:eastAsia="宋体"/>
      <w:b/>
      <w:kern w:val="2"/>
      <w:sz w:val="21"/>
      <w:szCs w:val="21"/>
      <w:lang w:val="en-US" w:eastAsia="zh-CN" w:bidi="ar-SA"/>
    </w:rPr>
  </w:style>
  <w:style w:type="paragraph" w:customStyle="1" w:styleId="2344">
    <w:name w:val="索引 11"/>
    <w:basedOn w:val="1"/>
    <w:next w:val="1"/>
    <w:qFormat/>
    <w:uiPriority w:val="0"/>
    <w:pPr>
      <w:jc w:val="center"/>
    </w:pPr>
  </w:style>
  <w:style w:type="paragraph" w:customStyle="1" w:styleId="2345">
    <w:name w:val="报告书表格"/>
    <w:basedOn w:val="1"/>
    <w:qFormat/>
    <w:uiPriority w:val="0"/>
    <w:pPr>
      <w:adjustRightInd w:val="0"/>
      <w:spacing w:before="60" w:after="60" w:line="240" w:lineRule="atLeast"/>
      <w:jc w:val="center"/>
    </w:pPr>
    <w:rPr>
      <w:kern w:val="0"/>
      <w:szCs w:val="20"/>
    </w:rPr>
  </w:style>
  <w:style w:type="character" w:customStyle="1" w:styleId="2346">
    <w:name w:val="00915 正文 Char Char"/>
    <w:link w:val="2347"/>
    <w:qFormat/>
    <w:uiPriority w:val="0"/>
    <w:rPr>
      <w:rFonts w:ascii="Arial" w:hAnsi="Arial"/>
      <w:sz w:val="24"/>
    </w:rPr>
  </w:style>
  <w:style w:type="paragraph" w:customStyle="1" w:styleId="2347">
    <w:name w:val="00915 正文"/>
    <w:basedOn w:val="1"/>
    <w:link w:val="2346"/>
    <w:qFormat/>
    <w:uiPriority w:val="0"/>
    <w:pPr>
      <w:spacing w:line="360" w:lineRule="auto"/>
      <w:ind w:left="50" w:leftChars="50" w:right="50" w:rightChars="50" w:firstLine="200" w:firstLineChars="200"/>
      <w:jc w:val="left"/>
    </w:pPr>
    <w:rPr>
      <w:rFonts w:ascii="Arial" w:hAnsi="Arial"/>
      <w:kern w:val="0"/>
      <w:sz w:val="24"/>
      <w:szCs w:val="20"/>
    </w:rPr>
  </w:style>
  <w:style w:type="paragraph" w:customStyle="1" w:styleId="2348">
    <w:name w:val="Char Char23 Char Char Char Char Char Char Char Char Char Char Char Char Char Char Char Char Char Char Char Char Char Char Char Char"/>
    <w:basedOn w:val="1"/>
    <w:qFormat/>
    <w:uiPriority w:val="0"/>
    <w:rPr>
      <w:rFonts w:ascii="宋体" w:hAnsi="宋体" w:cs="宋体"/>
      <w:sz w:val="24"/>
    </w:rPr>
  </w:style>
  <w:style w:type="character" w:customStyle="1" w:styleId="2349">
    <w:name w:val="磨溪正文 Char Char"/>
    <w:qFormat/>
    <w:uiPriority w:val="0"/>
    <w:rPr>
      <w:kern w:val="2"/>
      <w:sz w:val="24"/>
      <w:szCs w:val="24"/>
      <w:lang w:bidi="en-US"/>
    </w:rPr>
  </w:style>
  <w:style w:type="paragraph" w:customStyle="1" w:styleId="2350">
    <w:name w:val="Char Char Char Char Char Char Char Char Char Char Char Char Char Char"/>
    <w:basedOn w:val="1"/>
    <w:qFormat/>
    <w:uiPriority w:val="0"/>
    <w:pPr>
      <w:spacing w:line="360" w:lineRule="auto"/>
      <w:ind w:firstLine="200" w:firstLineChars="200"/>
    </w:pPr>
    <w:rPr>
      <w:rFonts w:ascii="Arial" w:hAnsi="Arial" w:eastAsia="Times New Roman"/>
      <w:kern w:val="0"/>
      <w:sz w:val="24"/>
      <w:szCs w:val="21"/>
    </w:rPr>
  </w:style>
  <w:style w:type="character" w:customStyle="1" w:styleId="2351">
    <w:name w:val="标题 4 Char2"/>
    <w:qFormat/>
    <w:uiPriority w:val="0"/>
    <w:rPr>
      <w:rFonts w:ascii="仿宋_GB2312" w:hAnsi="Arial" w:eastAsia="仿宋_GB2312"/>
      <w:b/>
      <w:bCs/>
      <w:kern w:val="2"/>
      <w:sz w:val="28"/>
      <w:szCs w:val="28"/>
      <w:lang w:val="en-US" w:eastAsia="zh-CN" w:bidi="ar-SA"/>
    </w:rPr>
  </w:style>
  <w:style w:type="paragraph" w:customStyle="1" w:styleId="2352">
    <w:name w:val="gxj"/>
    <w:basedOn w:val="1"/>
    <w:next w:val="1"/>
    <w:qFormat/>
    <w:uiPriority w:val="0"/>
    <w:pPr>
      <w:widowControl/>
      <w:spacing w:line="360" w:lineRule="auto"/>
      <w:ind w:left="-84" w:leftChars="-30" w:right="-76" w:rightChars="-27" w:firstLine="560" w:firstLineChars="200"/>
      <w:jc w:val="left"/>
    </w:pPr>
    <w:rPr>
      <w:rFonts w:ascii="Arial" w:hAnsi="Arial" w:cs="Arial"/>
      <w:kern w:val="0"/>
      <w:sz w:val="28"/>
      <w:szCs w:val="28"/>
    </w:rPr>
  </w:style>
  <w:style w:type="paragraph" w:customStyle="1" w:styleId="2353">
    <w:name w:val="p19"/>
    <w:basedOn w:val="1"/>
    <w:qFormat/>
    <w:uiPriority w:val="0"/>
    <w:pPr>
      <w:widowControl/>
      <w:spacing w:line="460" w:lineRule="atLeast"/>
      <w:ind w:firstLine="420"/>
      <w:jc w:val="left"/>
    </w:pPr>
    <w:rPr>
      <w:rFonts w:ascii="宋体" w:hAnsi="宋体" w:cs="宋体"/>
      <w:kern w:val="0"/>
      <w:sz w:val="24"/>
    </w:rPr>
  </w:style>
  <w:style w:type="paragraph" w:customStyle="1" w:styleId="2354">
    <w:name w:val="表格内容（中）"/>
    <w:basedOn w:val="1"/>
    <w:next w:val="1"/>
    <w:link w:val="2355"/>
    <w:qFormat/>
    <w:uiPriority w:val="0"/>
    <w:pPr>
      <w:widowControl/>
      <w:adjustRightInd w:val="0"/>
      <w:snapToGrid w:val="0"/>
      <w:jc w:val="center"/>
    </w:pPr>
    <w:rPr>
      <w:rFonts w:ascii="宋体" w:hAnsi="宋体"/>
      <w:kern w:val="0"/>
      <w:sz w:val="24"/>
      <w:lang w:val="zh-CN"/>
    </w:rPr>
  </w:style>
  <w:style w:type="character" w:customStyle="1" w:styleId="2355">
    <w:name w:val="表格内容（中） Char"/>
    <w:link w:val="2354"/>
    <w:qFormat/>
    <w:uiPriority w:val="0"/>
    <w:rPr>
      <w:rFonts w:ascii="宋体" w:hAnsi="宋体"/>
      <w:sz w:val="24"/>
      <w:szCs w:val="24"/>
      <w:lang w:val="zh-CN"/>
    </w:rPr>
  </w:style>
  <w:style w:type="character" w:customStyle="1" w:styleId="2356">
    <w:name w:val="z正文 Char"/>
    <w:link w:val="2357"/>
    <w:qFormat/>
    <w:uiPriority w:val="0"/>
    <w:rPr>
      <w:sz w:val="24"/>
    </w:rPr>
  </w:style>
  <w:style w:type="paragraph" w:customStyle="1" w:styleId="2357">
    <w:name w:val="z正文"/>
    <w:basedOn w:val="1"/>
    <w:link w:val="2356"/>
    <w:qFormat/>
    <w:uiPriority w:val="0"/>
    <w:pPr>
      <w:widowControl/>
      <w:spacing w:before="156" w:beforeLines="50" w:after="156" w:afterLines="50" w:line="360" w:lineRule="auto"/>
      <w:ind w:firstLine="480" w:firstLineChars="200"/>
      <w:jc w:val="left"/>
    </w:pPr>
    <w:rPr>
      <w:kern w:val="0"/>
      <w:sz w:val="24"/>
      <w:szCs w:val="20"/>
    </w:rPr>
  </w:style>
  <w:style w:type="character" w:customStyle="1" w:styleId="2358">
    <w:name w:val="表格两端 Char"/>
    <w:link w:val="2359"/>
    <w:qFormat/>
    <w:uiPriority w:val="0"/>
    <w:rPr>
      <w:szCs w:val="24"/>
    </w:rPr>
  </w:style>
  <w:style w:type="paragraph" w:customStyle="1" w:styleId="2359">
    <w:name w:val="表格两端"/>
    <w:link w:val="2358"/>
    <w:qFormat/>
    <w:uiPriority w:val="0"/>
    <w:pPr>
      <w:tabs>
        <w:tab w:val="center" w:pos="0"/>
        <w:tab w:val="center" w:pos="240"/>
      </w:tabs>
      <w:spacing w:line="240" w:lineRule="exact"/>
      <w:ind w:firstLine="200" w:firstLineChars="200"/>
      <w:jc w:val="both"/>
    </w:pPr>
    <w:rPr>
      <w:rFonts w:ascii="Times New Roman" w:hAnsi="Times New Roman" w:eastAsia="宋体" w:cs="Times New Roman"/>
      <w:szCs w:val="24"/>
      <w:lang w:val="en-US" w:eastAsia="zh-CN" w:bidi="ar-SA"/>
    </w:rPr>
  </w:style>
  <w:style w:type="character" w:customStyle="1" w:styleId="2360">
    <w:name w:val="Char Char21"/>
    <w:qFormat/>
    <w:uiPriority w:val="0"/>
    <w:rPr>
      <w:kern w:val="2"/>
      <w:sz w:val="21"/>
      <w:szCs w:val="24"/>
    </w:rPr>
  </w:style>
  <w:style w:type="character" w:customStyle="1" w:styleId="2361">
    <w:name w:val="Char Char25"/>
    <w:qFormat/>
    <w:uiPriority w:val="0"/>
    <w:rPr>
      <w:kern w:val="2"/>
      <w:sz w:val="18"/>
    </w:rPr>
  </w:style>
  <w:style w:type="character" w:customStyle="1" w:styleId="2362">
    <w:name w:val="表格后备注文字 Char"/>
    <w:link w:val="2363"/>
    <w:qFormat/>
    <w:uiPriority w:val="0"/>
    <w:rPr>
      <w:rFonts w:ascii="宋体"/>
      <w:szCs w:val="21"/>
    </w:rPr>
  </w:style>
  <w:style w:type="paragraph" w:customStyle="1" w:styleId="2363">
    <w:name w:val="表格后备注文字"/>
    <w:basedOn w:val="370"/>
    <w:link w:val="2362"/>
    <w:qFormat/>
    <w:uiPriority w:val="0"/>
    <w:pPr>
      <w:spacing w:line="240" w:lineRule="auto"/>
      <w:ind w:firstLine="0" w:firstLineChars="0"/>
      <w:jc w:val="left"/>
    </w:pPr>
    <w:rPr>
      <w:kern w:val="0"/>
      <w:sz w:val="20"/>
      <w:szCs w:val="21"/>
    </w:rPr>
  </w:style>
  <w:style w:type="character" w:customStyle="1" w:styleId="2364">
    <w:name w:val="页脚 Char2"/>
    <w:qFormat/>
    <w:uiPriority w:val="0"/>
    <w:rPr>
      <w:rFonts w:eastAsia="宋体"/>
      <w:kern w:val="2"/>
      <w:sz w:val="18"/>
      <w:szCs w:val="18"/>
      <w:lang w:val="en-US" w:eastAsia="zh-CN" w:bidi="ar-SA"/>
    </w:rPr>
  </w:style>
  <w:style w:type="character" w:customStyle="1" w:styleId="2365">
    <w:name w:val="科研报告正文 Char"/>
    <w:link w:val="2366"/>
    <w:qFormat/>
    <w:uiPriority w:val="0"/>
    <w:rPr>
      <w:rFonts w:ascii="宋体" w:hAnsi="宋体" w:cs="宋体"/>
      <w:sz w:val="24"/>
    </w:rPr>
  </w:style>
  <w:style w:type="paragraph" w:customStyle="1" w:styleId="2366">
    <w:name w:val="科研报告正文"/>
    <w:basedOn w:val="1"/>
    <w:link w:val="2365"/>
    <w:qFormat/>
    <w:uiPriority w:val="0"/>
    <w:pPr>
      <w:spacing w:line="520" w:lineRule="exact"/>
      <w:ind w:firstLine="200" w:firstLineChars="200"/>
    </w:pPr>
    <w:rPr>
      <w:rFonts w:ascii="宋体" w:hAnsi="宋体" w:cs="宋体"/>
      <w:kern w:val="0"/>
      <w:sz w:val="24"/>
      <w:szCs w:val="20"/>
    </w:rPr>
  </w:style>
  <w:style w:type="character" w:customStyle="1" w:styleId="2367">
    <w:name w:val="样式 标题 3标题 三三级标题标题3H3h33rd level第二层条ReHead 3 WSA标题03三级... Char"/>
    <w:link w:val="2368"/>
    <w:qFormat/>
    <w:uiPriority w:val="0"/>
    <w:rPr>
      <w:rFonts w:ascii="黑体" w:eastAsia="黑体"/>
      <w:b/>
      <w:bCs/>
      <w:sz w:val="28"/>
      <w:szCs w:val="32"/>
      <w:lang w:val="zh-CN"/>
    </w:rPr>
  </w:style>
  <w:style w:type="paragraph" w:customStyle="1" w:styleId="2368">
    <w:name w:val="样式 标题 3标题 三三级标题标题3H3h33rd level第二层条ReHead 3 WSA标题03三级..."/>
    <w:basedOn w:val="5"/>
    <w:link w:val="2367"/>
    <w:qFormat/>
    <w:uiPriority w:val="0"/>
    <w:pPr>
      <w:tabs>
        <w:tab w:val="left" w:pos="720"/>
      </w:tabs>
      <w:spacing w:before="120" w:after="60" w:line="520" w:lineRule="exact"/>
      <w:ind w:left="720" w:hanging="720"/>
    </w:pPr>
    <w:rPr>
      <w:rFonts w:ascii="黑体" w:eastAsia="黑体"/>
      <w:kern w:val="0"/>
      <w:sz w:val="28"/>
      <w:lang w:val="zh-CN"/>
    </w:rPr>
  </w:style>
  <w:style w:type="character" w:customStyle="1" w:styleId="2369">
    <w:name w:val="偶的正文 Char"/>
    <w:qFormat/>
    <w:uiPriority w:val="0"/>
    <w:rPr>
      <w:rFonts w:eastAsia="宋体" w:cs="Arial"/>
      <w:color w:val="FF0000"/>
      <w:sz w:val="24"/>
      <w:szCs w:val="21"/>
      <w:lang w:val="en-US" w:eastAsia="zh-CN" w:bidi="ar-SA"/>
    </w:rPr>
  </w:style>
  <w:style w:type="character" w:customStyle="1" w:styleId="2370">
    <w:name w:val="14-6/6-2题"/>
    <w:qFormat/>
    <w:uiPriority w:val="0"/>
    <w:rPr>
      <w:spacing w:val="0"/>
      <w:kern w:val="28"/>
      <w:position w:val="-4"/>
      <w:sz w:val="15"/>
    </w:rPr>
  </w:style>
  <w:style w:type="character" w:customStyle="1" w:styleId="2371">
    <w:name w:val="textcontents"/>
    <w:qFormat/>
    <w:uiPriority w:val="0"/>
  </w:style>
  <w:style w:type="character" w:customStyle="1" w:styleId="2372">
    <w:name w:val="燕山正文 Char Char Char"/>
    <w:link w:val="2373"/>
    <w:qFormat/>
    <w:uiPriority w:val="0"/>
    <w:rPr>
      <w:snapToGrid w:val="0"/>
      <w:color w:val="000000"/>
      <w:sz w:val="24"/>
      <w:szCs w:val="24"/>
    </w:rPr>
  </w:style>
  <w:style w:type="paragraph" w:customStyle="1" w:styleId="2373">
    <w:name w:val="燕山正文 Char Char"/>
    <w:basedOn w:val="1"/>
    <w:link w:val="2372"/>
    <w:qFormat/>
    <w:uiPriority w:val="0"/>
    <w:pPr>
      <w:tabs>
        <w:tab w:val="left" w:pos="4680"/>
      </w:tabs>
      <w:adjustRightInd w:val="0"/>
      <w:snapToGrid w:val="0"/>
      <w:spacing w:before="156" w:beforeLines="50" w:after="156" w:afterLines="50" w:line="560" w:lineRule="exact"/>
      <w:ind w:firstLine="480" w:firstLineChars="200"/>
    </w:pPr>
    <w:rPr>
      <w:snapToGrid w:val="0"/>
      <w:color w:val="000000"/>
      <w:kern w:val="0"/>
      <w:sz w:val="24"/>
    </w:rPr>
  </w:style>
  <w:style w:type="character" w:customStyle="1" w:styleId="2374">
    <w:name w:val="偶的标题 Char Char"/>
    <w:qFormat/>
    <w:uiPriority w:val="0"/>
    <w:rPr>
      <w:rFonts w:eastAsia="宋体"/>
      <w:b/>
      <w:bCs/>
      <w:kern w:val="2"/>
      <w:sz w:val="28"/>
      <w:szCs w:val="28"/>
      <w:lang w:val="en-US" w:eastAsia="zh-CN" w:bidi="ar-SA"/>
    </w:rPr>
  </w:style>
  <w:style w:type="character" w:customStyle="1" w:styleId="2375">
    <w:name w:val="俺的图表标题 Char"/>
    <w:qFormat/>
    <w:uiPriority w:val="0"/>
    <w:rPr>
      <w:rFonts w:ascii="黑体" w:hAnsi="黑体" w:eastAsia="黑体"/>
      <w:b/>
      <w:bCs/>
      <w:kern w:val="2"/>
      <w:sz w:val="24"/>
      <w:szCs w:val="24"/>
      <w:lang w:val="en-US" w:eastAsia="zh-CN" w:bidi="ar-SA"/>
    </w:rPr>
  </w:style>
  <w:style w:type="paragraph" w:customStyle="1" w:styleId="2376">
    <w:name w:val="俺的标题4"/>
    <w:basedOn w:val="6"/>
    <w:qFormat/>
    <w:uiPriority w:val="0"/>
    <w:pPr>
      <w:tabs>
        <w:tab w:val="left" w:pos="864"/>
      </w:tabs>
      <w:spacing w:before="40" w:after="0" w:line="360" w:lineRule="auto"/>
      <w:ind w:hanging="851"/>
    </w:pPr>
    <w:rPr>
      <w:rFonts w:ascii="楷体_GB2312" w:hAnsi="Times New Roman" w:eastAsia="仿宋_GB2312" w:cs="宋体"/>
      <w:color w:val="FF0000"/>
      <w:kern w:val="0"/>
      <w:szCs w:val="20"/>
    </w:rPr>
  </w:style>
  <w:style w:type="paragraph" w:customStyle="1" w:styleId="2377">
    <w:name w:val="前言、引言标题"/>
    <w:next w:val="1"/>
    <w:qFormat/>
    <w:uiPriority w:val="0"/>
    <w:pPr>
      <w:shd w:val="clear" w:color="FFFFFF" w:fill="FFFFFF"/>
      <w:tabs>
        <w:tab w:val="left" w:pos="425"/>
      </w:tabs>
      <w:spacing w:before="640" w:after="560"/>
      <w:ind w:left="425" w:hanging="425"/>
      <w:jc w:val="center"/>
      <w:outlineLvl w:val="0"/>
    </w:pPr>
    <w:rPr>
      <w:rFonts w:ascii="黑体" w:hAnsi="Times New Roman" w:eastAsia="黑体" w:cs="Times New Roman"/>
      <w:sz w:val="32"/>
      <w:lang w:val="en-US" w:eastAsia="zh-CN" w:bidi="ar-SA"/>
    </w:rPr>
  </w:style>
  <w:style w:type="paragraph" w:customStyle="1" w:styleId="2378">
    <w:name w:val="样式 标题 41.1.1.1 + 左侧:  0 厘米 首行缩进:  0 厘米"/>
    <w:basedOn w:val="6"/>
    <w:qFormat/>
    <w:uiPriority w:val="0"/>
    <w:pPr>
      <w:keepNext w:val="0"/>
      <w:keepLines w:val="0"/>
      <w:widowControl/>
      <w:tabs>
        <w:tab w:val="left" w:pos="786"/>
        <w:tab w:val="left" w:pos="864"/>
      </w:tabs>
      <w:adjustRightInd w:val="0"/>
      <w:spacing w:before="0" w:after="0" w:line="360" w:lineRule="auto"/>
      <w:ind w:left="786" w:firstLine="7" w:firstLineChars="7"/>
    </w:pPr>
    <w:rPr>
      <w:rFonts w:ascii="Times New Roman" w:hAnsi="Times New Roman"/>
      <w:b w:val="0"/>
      <w:bCs w:val="0"/>
      <w:color w:val="00CCFF"/>
      <w:kern w:val="28"/>
      <w:sz w:val="24"/>
      <w:szCs w:val="20"/>
    </w:rPr>
  </w:style>
  <w:style w:type="paragraph" w:customStyle="1" w:styleId="2379">
    <w:name w:val="样式 首行缩进:  0.77 厘米 行距: 固定值 20 磅415"/>
    <w:basedOn w:val="1"/>
    <w:qFormat/>
    <w:uiPriority w:val="0"/>
    <w:pPr>
      <w:spacing w:line="360" w:lineRule="auto"/>
      <w:ind w:firstLine="540" w:firstLineChars="225"/>
      <w:jc w:val="left"/>
    </w:pPr>
    <w:rPr>
      <w:rFonts w:ascii="宋体" w:hAnsi="宋体" w:cs="宋体"/>
      <w:sz w:val="24"/>
      <w:szCs w:val="20"/>
    </w:rPr>
  </w:style>
  <w:style w:type="paragraph" w:customStyle="1" w:styleId="2380">
    <w:name w:val="样式 标题 3标题 三三级标题标题3H3h33rd level第二层条ReHead 3 WSA标题03三级...1"/>
    <w:basedOn w:val="5"/>
    <w:qFormat/>
    <w:uiPriority w:val="0"/>
    <w:pPr>
      <w:tabs>
        <w:tab w:val="left" w:pos="720"/>
      </w:tabs>
      <w:spacing w:before="120" w:after="60" w:line="520" w:lineRule="exact"/>
      <w:ind w:left="720" w:hanging="720"/>
    </w:pPr>
    <w:rPr>
      <w:rFonts w:ascii="黑体" w:eastAsia="黑体"/>
      <w:kern w:val="0"/>
      <w:sz w:val="28"/>
    </w:rPr>
  </w:style>
  <w:style w:type="paragraph" w:customStyle="1" w:styleId="2381">
    <w:name w:val="表格图表标题"/>
    <w:basedOn w:val="983"/>
    <w:qFormat/>
    <w:uiPriority w:val="0"/>
    <w:pPr>
      <w:spacing w:line="460" w:lineRule="exact"/>
      <w:ind w:left="0" w:right="0" w:firstLine="482" w:firstLineChars="200"/>
      <w:jc w:val="center"/>
    </w:pPr>
    <w:rPr>
      <w:rFonts w:ascii="黑体" w:eastAsia="黑体"/>
      <w:b/>
      <w:bCs/>
      <w:lang w:val="zh-CN"/>
    </w:rPr>
  </w:style>
  <w:style w:type="paragraph" w:customStyle="1" w:styleId="2382">
    <w:name w:val="Char Char28 Char Char1 Char Char"/>
    <w:basedOn w:val="1"/>
    <w:qFormat/>
    <w:uiPriority w:val="0"/>
    <w:pPr>
      <w:spacing w:before="300" w:after="300" w:line="560" w:lineRule="exact"/>
    </w:pPr>
    <w:rPr>
      <w:rFonts w:eastAsia="黑体"/>
      <w:sz w:val="36"/>
      <w:szCs w:val="36"/>
    </w:rPr>
  </w:style>
  <w:style w:type="paragraph" w:customStyle="1" w:styleId="2383">
    <w:name w:val="p18"/>
    <w:basedOn w:val="1"/>
    <w:qFormat/>
    <w:uiPriority w:val="0"/>
    <w:pPr>
      <w:widowControl/>
      <w:spacing w:after="120"/>
      <w:ind w:left="420"/>
    </w:pPr>
    <w:rPr>
      <w:kern w:val="0"/>
      <w:sz w:val="24"/>
    </w:rPr>
  </w:style>
  <w:style w:type="paragraph" w:customStyle="1" w:styleId="2384">
    <w:name w:val="样式 首行缩进:  0.77 厘米 行距: 固定值 20 磅"/>
    <w:basedOn w:val="1"/>
    <w:qFormat/>
    <w:uiPriority w:val="0"/>
    <w:pPr>
      <w:spacing w:line="360" w:lineRule="auto"/>
      <w:ind w:firstLine="482"/>
    </w:pPr>
    <w:rPr>
      <w:rFonts w:ascii="宋体" w:cs="宋体"/>
      <w:sz w:val="24"/>
    </w:rPr>
  </w:style>
  <w:style w:type="paragraph" w:customStyle="1" w:styleId="2385">
    <w:name w:val="样式 样式 样式 样式 正文文字缩进 2 + 行距: 固定值 24 磅 + 首行缩进:  2 字符 + 首行缩进:  2 字符 ..."/>
    <w:basedOn w:val="1"/>
    <w:qFormat/>
    <w:uiPriority w:val="0"/>
    <w:pPr>
      <w:spacing w:line="480" w:lineRule="auto"/>
      <w:ind w:firstLine="560" w:firstLineChars="200"/>
    </w:pPr>
    <w:rPr>
      <w:sz w:val="30"/>
      <w:szCs w:val="20"/>
    </w:rPr>
  </w:style>
  <w:style w:type="paragraph" w:customStyle="1" w:styleId="2386">
    <w:name w:val="王海兰"/>
    <w:basedOn w:val="1"/>
    <w:next w:val="1"/>
    <w:qFormat/>
    <w:uiPriority w:val="0"/>
    <w:pPr>
      <w:spacing w:line="360" w:lineRule="auto"/>
      <w:ind w:left="-84" w:leftChars="-30" w:right="-76" w:rightChars="-27" w:firstLine="560" w:firstLineChars="200"/>
      <w:jc w:val="left"/>
    </w:pPr>
    <w:rPr>
      <w:rFonts w:ascii="Arial" w:hAnsi="Arial" w:cs="Arial"/>
      <w:sz w:val="28"/>
      <w:szCs w:val="28"/>
    </w:rPr>
  </w:style>
  <w:style w:type="paragraph" w:customStyle="1" w:styleId="2387">
    <w:name w:val="页脚(科宏)"/>
    <w:qFormat/>
    <w:uiPriority w:val="0"/>
    <w:pPr>
      <w:jc w:val="center"/>
    </w:pPr>
    <w:rPr>
      <w:rFonts w:ascii="Arial" w:hAnsi="Arial" w:eastAsia="仿宋_GB2312" w:cs="Times New Roman"/>
      <w:sz w:val="21"/>
      <w:lang w:val="en-US" w:eastAsia="zh-CN" w:bidi="ar-SA"/>
    </w:rPr>
  </w:style>
  <w:style w:type="paragraph" w:customStyle="1" w:styleId="2388">
    <w:name w:val="table bullet"/>
    <w:basedOn w:val="1"/>
    <w:qFormat/>
    <w:uiPriority w:val="0"/>
    <w:pPr>
      <w:widowControl/>
      <w:tabs>
        <w:tab w:val="left" w:pos="293"/>
        <w:tab w:val="left" w:pos="648"/>
      </w:tabs>
      <w:spacing w:before="60" w:after="60" w:line="280" w:lineRule="exact"/>
      <w:ind w:left="293" w:hanging="293"/>
      <w:jc w:val="left"/>
    </w:pPr>
    <w:rPr>
      <w:rFonts w:ascii="Arial" w:hAnsi="Arial"/>
      <w:spacing w:val="-3"/>
      <w:kern w:val="0"/>
      <w:sz w:val="18"/>
      <w:szCs w:val="20"/>
      <w:lang w:eastAsia="en-US"/>
    </w:rPr>
  </w:style>
  <w:style w:type="paragraph" w:customStyle="1" w:styleId="2389">
    <w:name w:val="Char3 Char Char Char"/>
    <w:basedOn w:val="1"/>
    <w:qFormat/>
    <w:uiPriority w:val="0"/>
  </w:style>
  <w:style w:type="paragraph" w:customStyle="1" w:styleId="2390">
    <w:name w:val="字元 字元 字元1"/>
    <w:basedOn w:val="1"/>
    <w:qFormat/>
    <w:uiPriority w:val="0"/>
    <w:pPr>
      <w:spacing w:line="360" w:lineRule="auto"/>
      <w:ind w:firstLine="200" w:firstLineChars="200"/>
    </w:pPr>
    <w:rPr>
      <w:rFonts w:ascii="宋体" w:hAnsi="宋体" w:cs="宋体"/>
      <w:sz w:val="24"/>
    </w:rPr>
  </w:style>
  <w:style w:type="paragraph" w:customStyle="1" w:styleId="2391">
    <w:name w:val="五级条标题"/>
    <w:next w:val="1"/>
    <w:qFormat/>
    <w:uiPriority w:val="0"/>
    <w:pPr>
      <w:tabs>
        <w:tab w:val="left" w:pos="1134"/>
        <w:tab w:val="left" w:pos="1276"/>
      </w:tabs>
      <w:ind w:left="1276" w:hanging="1276"/>
      <w:outlineLvl w:val="6"/>
    </w:pPr>
    <w:rPr>
      <w:rFonts w:ascii="Times New Roman" w:hAnsi="Times New Roman" w:eastAsia="宋体" w:cs="Times New Roman"/>
      <w:lang w:val="en-US" w:eastAsia="zh-CN" w:bidi="ar-SA"/>
    </w:rPr>
  </w:style>
  <w:style w:type="paragraph" w:customStyle="1" w:styleId="2392">
    <w:name w:val="俺的标题2"/>
    <w:basedOn w:val="4"/>
    <w:qFormat/>
    <w:uiPriority w:val="0"/>
    <w:pPr>
      <w:tabs>
        <w:tab w:val="left" w:pos="0"/>
        <w:tab w:val="left" w:pos="786"/>
      </w:tabs>
      <w:spacing w:before="300" w:after="100" w:line="360" w:lineRule="auto"/>
      <w:ind w:left="786" w:hanging="360" w:hangingChars="200"/>
      <w:jc w:val="left"/>
    </w:pPr>
    <w:rPr>
      <w:rFonts w:ascii="Times New Roman" w:hAnsi="Times New Roman" w:eastAsia="黑体" w:cs="宋体"/>
    </w:rPr>
  </w:style>
  <w:style w:type="paragraph" w:customStyle="1" w:styleId="2393">
    <w:name w:val="p17"/>
    <w:basedOn w:val="1"/>
    <w:qFormat/>
    <w:uiPriority w:val="0"/>
    <w:pPr>
      <w:widowControl/>
      <w:jc w:val="center"/>
    </w:pPr>
    <w:rPr>
      <w:kern w:val="0"/>
      <w:szCs w:val="21"/>
    </w:rPr>
  </w:style>
  <w:style w:type="paragraph" w:customStyle="1" w:styleId="2394">
    <w:name w:val="样式 样式 样式 样式 样式 样式 样式 正文文字缩进 2 + 行距: 固定值 24 磅 + 首行缩进:  2 字符 + 首行缩..."/>
    <w:basedOn w:val="1"/>
    <w:qFormat/>
    <w:uiPriority w:val="0"/>
    <w:pPr>
      <w:spacing w:line="360" w:lineRule="auto"/>
      <w:ind w:firstLine="720" w:firstLineChars="200"/>
    </w:pPr>
    <w:rPr>
      <w:sz w:val="44"/>
      <w:szCs w:val="20"/>
    </w:rPr>
  </w:style>
  <w:style w:type="paragraph" w:customStyle="1" w:styleId="2395">
    <w:name w:val="俺的标题5"/>
    <w:basedOn w:val="7"/>
    <w:qFormat/>
    <w:uiPriority w:val="0"/>
    <w:pPr>
      <w:tabs>
        <w:tab w:val="left" w:pos="0"/>
        <w:tab w:val="left" w:pos="1008"/>
      </w:tabs>
      <w:adjustRightInd/>
      <w:spacing w:before="0" w:after="0" w:line="360" w:lineRule="auto"/>
      <w:ind w:left="992" w:hanging="992"/>
      <w:jc w:val="left"/>
      <w:textAlignment w:val="auto"/>
    </w:pPr>
    <w:rPr>
      <w:rFonts w:cs="宋体"/>
      <w:bCs/>
      <w:kern w:val="2"/>
      <w:sz w:val="24"/>
    </w:rPr>
  </w:style>
  <w:style w:type="paragraph" w:customStyle="1" w:styleId="2396">
    <w:name w:val="样式 标题 3标题 三三级标题标题3H3h33rd level第二层条ReHead 3 WSA标题03三级...2"/>
    <w:basedOn w:val="5"/>
    <w:qFormat/>
    <w:uiPriority w:val="0"/>
    <w:pPr>
      <w:tabs>
        <w:tab w:val="left" w:pos="720"/>
      </w:tabs>
      <w:spacing w:before="240" w:after="360" w:line="520" w:lineRule="exact"/>
      <w:ind w:left="720" w:hanging="720"/>
    </w:pPr>
    <w:rPr>
      <w:rFonts w:ascii="黑体" w:eastAsia="黑体" w:cs="宋体"/>
      <w:sz w:val="28"/>
      <w:szCs w:val="20"/>
    </w:rPr>
  </w:style>
  <w:style w:type="paragraph" w:customStyle="1" w:styleId="2397">
    <w:name w:val="俺的标题3"/>
    <w:basedOn w:val="5"/>
    <w:qFormat/>
    <w:uiPriority w:val="0"/>
    <w:pPr>
      <w:tabs>
        <w:tab w:val="left" w:pos="720"/>
      </w:tabs>
      <w:spacing w:before="120" w:after="60" w:line="360" w:lineRule="auto"/>
      <w:ind w:left="709" w:hanging="709"/>
      <w:jc w:val="left"/>
    </w:pPr>
    <w:rPr>
      <w:rFonts w:ascii="黑体" w:eastAsia="黑体" w:cs="宋体"/>
      <w:sz w:val="30"/>
      <w:szCs w:val="20"/>
    </w:rPr>
  </w:style>
  <w:style w:type="paragraph" w:customStyle="1" w:styleId="2398">
    <w:name w:val="Body Text_table"/>
    <w:basedOn w:val="1987"/>
    <w:qFormat/>
    <w:uiPriority w:val="0"/>
    <w:pPr>
      <w:keepNext w:val="0"/>
    </w:pPr>
  </w:style>
  <w:style w:type="paragraph" w:customStyle="1" w:styleId="2399">
    <w:name w:val="俺的新标题1（终）"/>
    <w:basedOn w:val="3"/>
    <w:qFormat/>
    <w:uiPriority w:val="0"/>
    <w:pPr>
      <w:keepNext/>
      <w:keepLines/>
      <w:tabs>
        <w:tab w:val="left" w:pos="360"/>
        <w:tab w:val="left" w:pos="786"/>
      </w:tabs>
      <w:adjustRightInd/>
      <w:snapToGrid/>
      <w:spacing w:before="360" w:after="240" w:line="360" w:lineRule="auto"/>
    </w:pPr>
    <w:rPr>
      <w:rFonts w:eastAsia="黑体" w:cs="宋体"/>
      <w:sz w:val="44"/>
      <w:szCs w:val="36"/>
    </w:rPr>
  </w:style>
  <w:style w:type="paragraph" w:customStyle="1" w:styleId="2400">
    <w:name w:val="Char Char Char1 Char Char Char Char Char Char Char Char Char Char1"/>
    <w:basedOn w:val="1"/>
    <w:qFormat/>
    <w:uiPriority w:val="0"/>
  </w:style>
  <w:style w:type="paragraph" w:customStyle="1" w:styleId="2401">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2402">
    <w:name w:val="15"/>
    <w:qFormat/>
    <w:uiPriority w:val="0"/>
    <w:rPr>
      <w:rFonts w:hint="default" w:ascii="Times New Roman" w:hAnsi="Times New Roman" w:cs="Times New Roman"/>
      <w:b/>
      <w:bCs/>
      <w:sz w:val="20"/>
      <w:szCs w:val="20"/>
    </w:rPr>
  </w:style>
  <w:style w:type="paragraph" w:customStyle="1" w:styleId="2403">
    <w:name w:val="p16"/>
    <w:basedOn w:val="1"/>
    <w:qFormat/>
    <w:uiPriority w:val="0"/>
    <w:pPr>
      <w:widowControl/>
    </w:pPr>
    <w:rPr>
      <w:rFonts w:ascii="宋体" w:hAnsi="宋体" w:cs="宋体"/>
      <w:kern w:val="0"/>
      <w:sz w:val="28"/>
      <w:szCs w:val="28"/>
    </w:rPr>
  </w:style>
  <w:style w:type="paragraph" w:customStyle="1" w:styleId="2404">
    <w:name w:val="标题5"/>
    <w:basedOn w:val="1"/>
    <w:next w:val="1"/>
    <w:qFormat/>
    <w:uiPriority w:val="0"/>
    <w:rPr>
      <w:rFonts w:ascii="宋体" w:hAnsi="Courier New"/>
      <w:sz w:val="24"/>
      <w:szCs w:val="20"/>
    </w:rPr>
  </w:style>
  <w:style w:type="paragraph" w:customStyle="1" w:styleId="2405">
    <w:name w:val="论文大标题"/>
    <w:basedOn w:val="1"/>
    <w:qFormat/>
    <w:uiPriority w:val="0"/>
    <w:pPr>
      <w:jc w:val="center"/>
    </w:pPr>
    <w:rPr>
      <w:rFonts w:ascii="黑体" w:hAnsi="Courier New" w:eastAsia="黑体"/>
      <w:sz w:val="32"/>
      <w:szCs w:val="20"/>
    </w:rPr>
  </w:style>
  <w:style w:type="paragraph" w:customStyle="1" w:styleId="2406">
    <w:name w:val="参考文献"/>
    <w:basedOn w:val="1212"/>
    <w:next w:val="1212"/>
    <w:qFormat/>
    <w:uiPriority w:val="0"/>
    <w:pPr>
      <w:spacing w:line="360" w:lineRule="auto"/>
    </w:pPr>
    <w:rPr>
      <w:rFonts w:ascii="Times New Roman" w:hAnsi="Courier New" w:cs="Times New Roman"/>
      <w:color w:val="3366FF"/>
      <w:kern w:val="2"/>
      <w:sz w:val="24"/>
      <w:szCs w:val="20"/>
      <w:vertAlign w:val="superscript"/>
    </w:rPr>
  </w:style>
  <w:style w:type="character" w:customStyle="1" w:styleId="2407">
    <w:name w:val="bold1"/>
    <w:qFormat/>
    <w:uiPriority w:val="0"/>
    <w:rPr>
      <w:b/>
      <w:bCs/>
    </w:rPr>
  </w:style>
  <w:style w:type="paragraph" w:customStyle="1" w:styleId="2408">
    <w:name w:val="京唐秦正文2"/>
    <w:basedOn w:val="1"/>
    <w:next w:val="1"/>
    <w:qFormat/>
    <w:uiPriority w:val="0"/>
    <w:pPr>
      <w:tabs>
        <w:tab w:val="left" w:pos="700"/>
      </w:tabs>
      <w:snapToGrid w:val="0"/>
      <w:spacing w:before="190" w:beforeLines="50" w:line="360" w:lineRule="auto"/>
      <w:ind w:firstLine="424" w:firstLineChars="200"/>
      <w:jc w:val="left"/>
    </w:pPr>
    <w:rPr>
      <w:bCs/>
      <w:kern w:val="0"/>
      <w:sz w:val="24"/>
      <w:lang w:eastAsia="en-US"/>
    </w:rPr>
  </w:style>
  <w:style w:type="character" w:customStyle="1" w:styleId="2409">
    <w:name w:val="干标题(a) Char Char"/>
    <w:qFormat/>
    <w:uiPriority w:val="0"/>
    <w:rPr>
      <w:rFonts w:ascii="Arial" w:hAnsi="Arial" w:eastAsia="黑体"/>
      <w:kern w:val="2"/>
      <w:sz w:val="21"/>
      <w:szCs w:val="21"/>
      <w:lang w:val="zh-CN" w:eastAsia="zh-CN"/>
    </w:rPr>
  </w:style>
  <w:style w:type="character" w:customStyle="1" w:styleId="2410">
    <w:name w:val="Char Char36"/>
    <w:qFormat/>
    <w:uiPriority w:val="0"/>
    <w:rPr>
      <w:rFonts w:ascii="仿宋_GB2312" w:hAnsi="Arial" w:eastAsia="仿宋_GB2312"/>
      <w:b/>
      <w:bCs/>
      <w:kern w:val="2"/>
      <w:sz w:val="28"/>
      <w:szCs w:val="28"/>
      <w:lang w:val="en-US" w:eastAsia="zh-CN" w:bidi="ar-SA"/>
    </w:rPr>
  </w:style>
  <w:style w:type="paragraph" w:customStyle="1" w:styleId="2411">
    <w:name w:val="p22"/>
    <w:basedOn w:val="1"/>
    <w:qFormat/>
    <w:uiPriority w:val="0"/>
    <w:pPr>
      <w:widowControl/>
      <w:spacing w:after="240"/>
      <w:ind w:left="432"/>
      <w:jc w:val="left"/>
    </w:pPr>
    <w:rPr>
      <w:rFonts w:ascii="Arial" w:hAnsi="Arial" w:cs="Arial"/>
      <w:kern w:val="0"/>
      <w:sz w:val="24"/>
    </w:rPr>
  </w:style>
  <w:style w:type="character" w:customStyle="1" w:styleId="2412">
    <w:name w:val="bt Char Char"/>
    <w:qFormat/>
    <w:uiPriority w:val="0"/>
    <w:rPr>
      <w:rFonts w:ascii="宋体" w:eastAsia="宋体"/>
      <w:kern w:val="2"/>
      <w:sz w:val="18"/>
      <w:lang w:val="en-US" w:eastAsia="zh-CN" w:bidi="ar-SA"/>
    </w:rPr>
  </w:style>
  <w:style w:type="character" w:customStyle="1" w:styleId="2413">
    <w:name w:val="样式1 Char Char"/>
    <w:qFormat/>
    <w:uiPriority w:val="0"/>
    <w:rPr>
      <w:rFonts w:eastAsia="宋体"/>
      <w:b/>
      <w:kern w:val="2"/>
      <w:sz w:val="32"/>
      <w:lang w:val="en-US" w:eastAsia="zh-CN" w:bidi="ar-SA"/>
    </w:rPr>
  </w:style>
  <w:style w:type="paragraph" w:customStyle="1" w:styleId="2414">
    <w:name w:val="CM112"/>
    <w:basedOn w:val="404"/>
    <w:next w:val="404"/>
    <w:qFormat/>
    <w:uiPriority w:val="0"/>
    <w:pPr>
      <w:spacing w:after="195"/>
    </w:pPr>
    <w:rPr>
      <w:rFonts w:ascii="宋体" w:eastAsia="宋体" w:cs="Times New Roman"/>
      <w:color w:val="auto"/>
    </w:rPr>
  </w:style>
  <w:style w:type="paragraph" w:customStyle="1" w:styleId="2415">
    <w:name w:val="CM23"/>
    <w:basedOn w:val="404"/>
    <w:next w:val="404"/>
    <w:qFormat/>
    <w:uiPriority w:val="0"/>
    <w:pPr>
      <w:spacing w:line="503" w:lineRule="atLeast"/>
    </w:pPr>
    <w:rPr>
      <w:rFonts w:ascii="宋体" w:eastAsia="宋体" w:cs="Times New Roman"/>
      <w:color w:val="auto"/>
    </w:rPr>
  </w:style>
  <w:style w:type="paragraph" w:customStyle="1" w:styleId="2416">
    <w:name w:val="CM24"/>
    <w:basedOn w:val="404"/>
    <w:next w:val="404"/>
    <w:qFormat/>
    <w:uiPriority w:val="0"/>
    <w:pPr>
      <w:spacing w:line="500" w:lineRule="atLeast"/>
    </w:pPr>
    <w:rPr>
      <w:rFonts w:ascii="宋体" w:eastAsia="宋体" w:cs="Times New Roman"/>
      <w:color w:val="auto"/>
    </w:rPr>
  </w:style>
  <w:style w:type="paragraph" w:customStyle="1" w:styleId="2417">
    <w:name w:val="封面标准号2"/>
    <w:basedOn w:val="1"/>
    <w:qFormat/>
    <w:uiPriority w:val="0"/>
    <w:pPr>
      <w:framePr w:w="9138" w:h="1244" w:hRule="exact" w:wrap="around" w:vAnchor="page" w:hAnchor="margin" w:y="2908" w:anchorLock="1"/>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2418">
    <w:name w:val="样式 标题 1 + 黑体 非加粗 段前: 3.9 磅 段后: 3.9 磅 行距: 固定值 21 磅"/>
    <w:basedOn w:val="3"/>
    <w:qFormat/>
    <w:uiPriority w:val="0"/>
    <w:pPr>
      <w:tabs>
        <w:tab w:val="left" w:pos="786"/>
      </w:tabs>
      <w:spacing w:before="60" w:beforeLines="25" w:after="60" w:afterLines="25" w:line="360" w:lineRule="auto"/>
      <w:jc w:val="both"/>
    </w:pPr>
    <w:rPr>
      <w:rFonts w:eastAsia="黑体"/>
      <w:b w:val="0"/>
      <w:bCs w:val="0"/>
      <w:snapToGrid w:val="0"/>
      <w:color w:val="FF0000"/>
      <w:kern w:val="0"/>
      <w:sz w:val="28"/>
      <w:szCs w:val="28"/>
    </w:rPr>
  </w:style>
  <w:style w:type="paragraph" w:customStyle="1" w:styleId="2419">
    <w:name w:val="默认段落字体 Para Char Char Char Char Char Char Char Char Char Char Char"/>
    <w:basedOn w:val="1"/>
    <w:qFormat/>
    <w:uiPriority w:val="0"/>
    <w:pPr>
      <w:spacing w:line="360" w:lineRule="auto"/>
    </w:pPr>
    <w:rPr>
      <w:sz w:val="24"/>
    </w:rPr>
  </w:style>
  <w:style w:type="paragraph" w:customStyle="1" w:styleId="2420">
    <w:name w:val="Char Char Char Char Char Char2 Char Char Char Char"/>
    <w:basedOn w:val="1"/>
    <w:qFormat/>
    <w:uiPriority w:val="0"/>
    <w:pPr>
      <w:spacing w:before="20" w:beforeLines="20" w:after="20" w:afterLines="20" w:line="336" w:lineRule="auto"/>
      <w:ind w:firstLine="200" w:firstLineChars="200"/>
    </w:pPr>
    <w:rPr>
      <w:sz w:val="28"/>
      <w:szCs w:val="21"/>
    </w:rPr>
  </w:style>
  <w:style w:type="paragraph" w:customStyle="1" w:styleId="2421">
    <w:name w:val="正文缩进1 Char Char"/>
    <w:basedOn w:val="1"/>
    <w:qFormat/>
    <w:uiPriority w:val="0"/>
    <w:pPr>
      <w:widowControl/>
      <w:adjustRightInd w:val="0"/>
      <w:snapToGrid w:val="0"/>
      <w:spacing w:before="156" w:beforeLines="50" w:after="156" w:afterLines="50" w:line="300" w:lineRule="auto"/>
      <w:jc w:val="left"/>
    </w:pPr>
    <w:rPr>
      <w:rFonts w:ascii="宋体" w:hAnsi="宋体" w:cs="宋体"/>
      <w:kern w:val="0"/>
      <w:sz w:val="28"/>
    </w:rPr>
  </w:style>
  <w:style w:type="character" w:customStyle="1" w:styleId="2422">
    <w:name w:val="样式6 Char Char"/>
    <w:qFormat/>
    <w:uiPriority w:val="0"/>
    <w:rPr>
      <w:kern w:val="2"/>
      <w:sz w:val="24"/>
    </w:rPr>
  </w:style>
  <w:style w:type="paragraph" w:customStyle="1" w:styleId="2423">
    <w:name w:val="Formatvorlage Arial 11 pt Block Zeilenabstand:  15 Zeilen"/>
    <w:basedOn w:val="1"/>
    <w:qFormat/>
    <w:uiPriority w:val="0"/>
    <w:pPr>
      <w:widowControl/>
      <w:spacing w:line="360" w:lineRule="auto"/>
    </w:pPr>
    <w:rPr>
      <w:rFonts w:ascii="Arial" w:hAnsi="Arial"/>
      <w:kern w:val="0"/>
      <w:sz w:val="22"/>
      <w:szCs w:val="20"/>
      <w:lang w:val="fr-FR"/>
    </w:rPr>
  </w:style>
  <w:style w:type="paragraph" w:customStyle="1" w:styleId="2424">
    <w:name w:val="表格格式"/>
    <w:next w:val="1"/>
    <w:qFormat/>
    <w:uiPriority w:val="0"/>
    <w:pPr>
      <w:adjustRightInd w:val="0"/>
      <w:snapToGrid w:val="0"/>
      <w:jc w:val="center"/>
    </w:pPr>
    <w:rPr>
      <w:rFonts w:ascii="Times New Roman" w:hAnsi="Times New Roman" w:eastAsia="宋体" w:cs="Times New Roman"/>
      <w:sz w:val="21"/>
      <w:lang w:val="en-US" w:eastAsia="zh-CN" w:bidi="ar-SA"/>
    </w:rPr>
  </w:style>
  <w:style w:type="paragraph" w:customStyle="1" w:styleId="2425">
    <w:name w:val="样式 正文文本缩进 + 宋体 五号 两端对齐 首行缩进:  0 厘米 行距: 固定值 15 磅"/>
    <w:basedOn w:val="35"/>
    <w:qFormat/>
    <w:uiPriority w:val="0"/>
    <w:pPr>
      <w:snapToGrid w:val="0"/>
      <w:spacing w:after="0" w:line="300" w:lineRule="exact"/>
      <w:ind w:left="0" w:leftChars="0"/>
    </w:pPr>
    <w:rPr>
      <w:rFonts w:ascii="宋体" w:hAnsi="宋体" w:cs="宋体"/>
      <w:snapToGrid/>
      <w:kern w:val="2"/>
      <w:sz w:val="21"/>
      <w:szCs w:val="20"/>
      <w:lang w:val="zh-CN"/>
    </w:rPr>
  </w:style>
  <w:style w:type="paragraph" w:customStyle="1" w:styleId="2426">
    <w:name w:val="样式 标题 3 + 首行缩进:  2 字符1"/>
    <w:basedOn w:val="5"/>
    <w:qFormat/>
    <w:uiPriority w:val="0"/>
    <w:pPr>
      <w:spacing w:before="0" w:after="0" w:line="360" w:lineRule="auto"/>
    </w:pPr>
    <w:rPr>
      <w:rFonts w:cs="宋体"/>
      <w:sz w:val="24"/>
      <w:szCs w:val="20"/>
    </w:rPr>
  </w:style>
  <w:style w:type="paragraph" w:customStyle="1" w:styleId="2427">
    <w:name w:val="一级2"/>
    <w:basedOn w:val="4"/>
    <w:qFormat/>
    <w:uiPriority w:val="0"/>
    <w:pPr>
      <w:adjustRightInd w:val="0"/>
      <w:spacing w:before="40" w:after="40" w:line="360" w:lineRule="auto"/>
      <w:jc w:val="left"/>
      <w:textAlignment w:val="baseline"/>
    </w:pPr>
    <w:rPr>
      <w:rFonts w:ascii="Times New Roman" w:hAnsi="Times New Roman" w:eastAsia="黑体"/>
      <w:kern w:val="0"/>
      <w:sz w:val="30"/>
      <w:szCs w:val="20"/>
    </w:rPr>
  </w:style>
  <w:style w:type="paragraph" w:customStyle="1" w:styleId="2428">
    <w:name w:val="样式 标题 1 + (中文) 黑体 小三"/>
    <w:basedOn w:val="3"/>
    <w:link w:val="2429"/>
    <w:qFormat/>
    <w:uiPriority w:val="0"/>
    <w:pPr>
      <w:keepNext/>
      <w:keepLines/>
      <w:tabs>
        <w:tab w:val="left" w:pos="786"/>
      </w:tabs>
      <w:snapToGrid/>
      <w:spacing w:before="340" w:after="330" w:line="578" w:lineRule="atLeast"/>
      <w:jc w:val="left"/>
      <w:textAlignment w:val="baseline"/>
    </w:pPr>
    <w:rPr>
      <w:rFonts w:eastAsia="黑体"/>
      <w:b w:val="0"/>
      <w:bCs w:val="0"/>
      <w:sz w:val="30"/>
      <w:szCs w:val="44"/>
      <w:lang w:val="zh-CN"/>
    </w:rPr>
  </w:style>
  <w:style w:type="character" w:customStyle="1" w:styleId="2429">
    <w:name w:val="样式 标题 1 + (中文) 黑体 小三 Char"/>
    <w:link w:val="2428"/>
    <w:qFormat/>
    <w:uiPriority w:val="0"/>
    <w:rPr>
      <w:rFonts w:eastAsia="黑体"/>
      <w:kern w:val="44"/>
      <w:sz w:val="30"/>
      <w:szCs w:val="44"/>
      <w:lang w:val="zh-CN"/>
    </w:rPr>
  </w:style>
  <w:style w:type="paragraph" w:customStyle="1" w:styleId="2430">
    <w:name w:val="一级"/>
    <w:basedOn w:val="3"/>
    <w:qFormat/>
    <w:uiPriority w:val="0"/>
    <w:pPr>
      <w:keepNext/>
      <w:keepLines/>
      <w:tabs>
        <w:tab w:val="left" w:pos="786"/>
      </w:tabs>
      <w:snapToGrid/>
      <w:spacing w:before="120" w:after="120" w:line="360" w:lineRule="auto"/>
      <w:ind w:left="200" w:leftChars="200" w:right="200" w:rightChars="200"/>
      <w:jc w:val="left"/>
      <w:textAlignment w:val="baseline"/>
    </w:pPr>
    <w:rPr>
      <w:rFonts w:cs="宋体"/>
      <w:sz w:val="44"/>
      <w:szCs w:val="20"/>
    </w:rPr>
  </w:style>
  <w:style w:type="paragraph" w:customStyle="1" w:styleId="2431">
    <w:name w:val="样式 一级 + 左侧:  2 字符 右侧:  2 字符"/>
    <w:basedOn w:val="2430"/>
    <w:qFormat/>
    <w:uiPriority w:val="0"/>
    <w:pPr>
      <w:ind w:left="420" w:right="420"/>
    </w:pPr>
    <w:rPr>
      <w:rFonts w:eastAsia="黑体"/>
      <w:sz w:val="30"/>
    </w:rPr>
  </w:style>
  <w:style w:type="paragraph" w:customStyle="1" w:styleId="2432">
    <w:name w:val="2级"/>
    <w:basedOn w:val="3"/>
    <w:qFormat/>
    <w:uiPriority w:val="0"/>
    <w:pPr>
      <w:keepNext/>
      <w:keepLines/>
      <w:tabs>
        <w:tab w:val="left" w:pos="360"/>
        <w:tab w:val="left" w:pos="567"/>
        <w:tab w:val="left" w:pos="786"/>
      </w:tabs>
      <w:snapToGrid/>
      <w:spacing w:before="120" w:after="120" w:line="360" w:lineRule="auto"/>
      <w:ind w:firstLine="737"/>
      <w:jc w:val="left"/>
      <w:textAlignment w:val="baseline"/>
    </w:pPr>
    <w:rPr>
      <w:bCs w:val="0"/>
      <w:sz w:val="30"/>
      <w:szCs w:val="20"/>
    </w:rPr>
  </w:style>
  <w:style w:type="paragraph" w:customStyle="1" w:styleId="2433">
    <w:name w:val="样式19"/>
    <w:basedOn w:val="2427"/>
    <w:qFormat/>
    <w:uiPriority w:val="0"/>
  </w:style>
  <w:style w:type="paragraph" w:customStyle="1" w:styleId="2434">
    <w:name w:val="样式21"/>
    <w:basedOn w:val="4"/>
    <w:qFormat/>
    <w:uiPriority w:val="0"/>
    <w:pPr>
      <w:tabs>
        <w:tab w:val="left" w:pos="786"/>
      </w:tabs>
      <w:adjustRightInd w:val="0"/>
      <w:spacing w:before="40" w:after="40" w:line="360" w:lineRule="auto"/>
      <w:ind w:left="786" w:hanging="360" w:hangingChars="200"/>
      <w:jc w:val="left"/>
      <w:textAlignment w:val="baseline"/>
    </w:pPr>
    <w:rPr>
      <w:rFonts w:ascii="Times New Roman" w:hAnsi="Times New Roman" w:eastAsia="宋体"/>
      <w:bCs w:val="0"/>
      <w:kern w:val="0"/>
      <w:sz w:val="28"/>
      <w:szCs w:val="20"/>
    </w:rPr>
  </w:style>
  <w:style w:type="paragraph" w:customStyle="1" w:styleId="2435">
    <w:name w:val="样式22"/>
    <w:basedOn w:val="4"/>
    <w:qFormat/>
    <w:uiPriority w:val="0"/>
    <w:pPr>
      <w:tabs>
        <w:tab w:val="left" w:pos="786"/>
      </w:tabs>
      <w:adjustRightInd w:val="0"/>
      <w:spacing w:before="40" w:after="40" w:line="360" w:lineRule="auto"/>
      <w:ind w:left="786" w:hanging="360" w:hangingChars="200"/>
      <w:jc w:val="left"/>
      <w:textAlignment w:val="baseline"/>
    </w:pPr>
    <w:rPr>
      <w:rFonts w:ascii="Times New Roman" w:hAnsi="Times New Roman" w:eastAsia="宋体"/>
      <w:bCs w:val="0"/>
      <w:kern w:val="0"/>
      <w:sz w:val="28"/>
      <w:szCs w:val="20"/>
    </w:rPr>
  </w:style>
  <w:style w:type="paragraph" w:customStyle="1" w:styleId="2436">
    <w:name w:val="我的标题1"/>
    <w:basedOn w:val="3"/>
    <w:next w:val="300"/>
    <w:qFormat/>
    <w:uiPriority w:val="0"/>
    <w:pPr>
      <w:keepNext/>
      <w:keepLines/>
      <w:tabs>
        <w:tab w:val="left" w:pos="0"/>
        <w:tab w:val="left" w:pos="360"/>
        <w:tab w:val="left" w:pos="786"/>
      </w:tabs>
      <w:adjustRightInd/>
      <w:snapToGrid/>
      <w:spacing w:before="100" w:beforeLines="100" w:after="50" w:afterLines="50" w:line="480" w:lineRule="auto"/>
      <w:ind w:firstLine="567"/>
      <w:jc w:val="both"/>
    </w:pPr>
    <w:rPr>
      <w:sz w:val="30"/>
      <w:szCs w:val="44"/>
    </w:rPr>
  </w:style>
  <w:style w:type="paragraph" w:customStyle="1" w:styleId="2437">
    <w:name w:val="我的标题4"/>
    <w:basedOn w:val="6"/>
    <w:qFormat/>
    <w:uiPriority w:val="0"/>
    <w:pPr>
      <w:tabs>
        <w:tab w:val="left" w:pos="1680"/>
      </w:tabs>
      <w:spacing w:before="50" w:beforeLines="50" w:after="50" w:afterLines="50" w:line="360" w:lineRule="auto"/>
      <w:ind w:left="1680" w:hanging="420"/>
    </w:pPr>
    <w:rPr>
      <w:rFonts w:ascii="Times New Roman" w:hAnsi="Times New Roman" w:eastAsia="宋体"/>
      <w:color w:val="FF0000"/>
      <w:sz w:val="24"/>
    </w:rPr>
  </w:style>
  <w:style w:type="paragraph" w:customStyle="1" w:styleId="2438">
    <w:name w:val="样式 我的标题2 + 段前: 0.5 行 段后: 0.5 行"/>
    <w:basedOn w:val="1"/>
    <w:qFormat/>
    <w:uiPriority w:val="0"/>
    <w:pPr>
      <w:keepNext/>
      <w:keepLines/>
      <w:tabs>
        <w:tab w:val="left" w:pos="840"/>
      </w:tabs>
      <w:spacing w:before="120" w:beforeLines="50" w:after="120" w:afterLines="50" w:line="360" w:lineRule="auto"/>
      <w:ind w:left="840" w:hanging="420"/>
      <w:outlineLvl w:val="1"/>
    </w:pPr>
    <w:rPr>
      <w:rFonts w:ascii="Arial" w:hAnsi="Arial" w:cs="宋体"/>
      <w:b/>
      <w:bCs/>
      <w:sz w:val="24"/>
      <w:szCs w:val="20"/>
    </w:rPr>
  </w:style>
  <w:style w:type="paragraph" w:customStyle="1" w:styleId="2439">
    <w:name w:val="样式 我的标题3 + 段前: 0.5 行 段后: 0.5 行1"/>
    <w:basedOn w:val="1"/>
    <w:qFormat/>
    <w:uiPriority w:val="0"/>
    <w:pPr>
      <w:keepNext/>
      <w:keepLines/>
      <w:tabs>
        <w:tab w:val="left" w:pos="1260"/>
      </w:tabs>
      <w:spacing w:before="120" w:beforeLines="50" w:after="120" w:afterLines="50" w:line="360" w:lineRule="auto"/>
      <w:ind w:left="1260" w:hanging="420"/>
      <w:outlineLvl w:val="2"/>
    </w:pPr>
    <w:rPr>
      <w:rFonts w:cs="宋体"/>
      <w:b/>
      <w:bCs/>
      <w:sz w:val="24"/>
      <w:szCs w:val="20"/>
    </w:rPr>
  </w:style>
  <w:style w:type="paragraph" w:customStyle="1" w:styleId="2440">
    <w:name w:val="样式 我的标题 2 + 段前: 0.5 行2"/>
    <w:basedOn w:val="1"/>
    <w:qFormat/>
    <w:uiPriority w:val="0"/>
    <w:pPr>
      <w:keepNext/>
      <w:keepLines/>
      <w:tabs>
        <w:tab w:val="left" w:pos="567"/>
        <w:tab w:val="left" w:pos="1260"/>
      </w:tabs>
      <w:spacing w:before="120" w:beforeLines="50" w:line="360" w:lineRule="auto"/>
      <w:ind w:left="567" w:hanging="567"/>
      <w:outlineLvl w:val="1"/>
    </w:pPr>
    <w:rPr>
      <w:rFonts w:ascii="宋体" w:hAnsi="宋体" w:cs="宋体"/>
      <w:b/>
      <w:bCs/>
      <w:kern w:val="0"/>
      <w:sz w:val="24"/>
      <w:szCs w:val="20"/>
    </w:rPr>
  </w:style>
  <w:style w:type="paragraph" w:customStyle="1" w:styleId="2441">
    <w:name w:val="7111我的标题3"/>
    <w:basedOn w:val="5"/>
    <w:qFormat/>
    <w:uiPriority w:val="0"/>
    <w:pPr>
      <w:tabs>
        <w:tab w:val="left" w:pos="1260"/>
      </w:tabs>
      <w:spacing w:before="0" w:after="0" w:line="360" w:lineRule="auto"/>
      <w:ind w:left="1260" w:hanging="420"/>
    </w:pPr>
    <w:rPr>
      <w:sz w:val="24"/>
    </w:rPr>
  </w:style>
  <w:style w:type="paragraph" w:customStyle="1" w:styleId="2442">
    <w:name w:val="91我的标题2"/>
    <w:basedOn w:val="4"/>
    <w:qFormat/>
    <w:uiPriority w:val="0"/>
    <w:pPr>
      <w:tabs>
        <w:tab w:val="left" w:pos="567"/>
      </w:tabs>
      <w:spacing w:before="120" w:beforeLines="50" w:after="0" w:line="360" w:lineRule="auto"/>
      <w:ind w:left="567" w:hanging="567"/>
    </w:pPr>
    <w:rPr>
      <w:rFonts w:ascii="宋体" w:hAnsi="宋体" w:eastAsia="宋体" w:cs="宋体"/>
      <w:kern w:val="0"/>
      <w:sz w:val="24"/>
      <w:szCs w:val="30"/>
    </w:rPr>
  </w:style>
  <w:style w:type="paragraph" w:customStyle="1" w:styleId="2443">
    <w:name w:val="样式 标题 3 + (西文) Arial (中文) 宋体 小四 段前: 0 磅 段后: 0 磅 行距: 单倍行距"/>
    <w:basedOn w:val="5"/>
    <w:qFormat/>
    <w:uiPriority w:val="0"/>
    <w:pPr>
      <w:keepNext w:val="0"/>
      <w:keepLines w:val="0"/>
      <w:adjustRightInd w:val="0"/>
      <w:snapToGrid w:val="0"/>
      <w:spacing w:before="0" w:after="0" w:line="240" w:lineRule="atLeast"/>
      <w:jc w:val="center"/>
      <w:outlineLvl w:val="9"/>
    </w:pPr>
    <w:rPr>
      <w:rFonts w:ascii="宋体" w:hAnsi="宋体"/>
      <w:b w:val="0"/>
      <w:bCs w:val="0"/>
      <w:spacing w:val="20"/>
      <w:sz w:val="21"/>
      <w:szCs w:val="24"/>
    </w:rPr>
  </w:style>
  <w:style w:type="paragraph" w:customStyle="1" w:styleId="2444">
    <w:name w:val="Char Char Знак Знак"/>
    <w:basedOn w:val="1"/>
    <w:qFormat/>
    <w:uiPriority w:val="0"/>
    <w:pPr>
      <w:widowControl/>
      <w:spacing w:after="160" w:line="240" w:lineRule="exact"/>
      <w:jc w:val="left"/>
    </w:pPr>
    <w:rPr>
      <w:b/>
      <w:kern w:val="0"/>
      <w:sz w:val="28"/>
      <w:lang w:eastAsia="en-US"/>
    </w:rPr>
  </w:style>
  <w:style w:type="paragraph" w:customStyle="1" w:styleId="2445">
    <w:name w:val="Char25"/>
    <w:basedOn w:val="1"/>
    <w:qFormat/>
    <w:uiPriority w:val="0"/>
    <w:rPr>
      <w:szCs w:val="21"/>
    </w:rPr>
  </w:style>
  <w:style w:type="character" w:customStyle="1" w:styleId="2446">
    <w:name w:val="test1"/>
    <w:qFormat/>
    <w:uiPriority w:val="0"/>
    <w:rPr>
      <w:color w:val="000000"/>
      <w:sz w:val="21"/>
      <w:szCs w:val="21"/>
      <w:u w:val="none"/>
    </w:rPr>
  </w:style>
  <w:style w:type="character" w:customStyle="1" w:styleId="2447">
    <w:name w:val="a Char"/>
    <w:qFormat/>
    <w:uiPriority w:val="0"/>
    <w:rPr>
      <w:rFonts w:eastAsia="宋体"/>
      <w:b/>
      <w:kern w:val="2"/>
      <w:sz w:val="24"/>
      <w:szCs w:val="24"/>
      <w:lang w:val="en-US" w:eastAsia="zh-CN" w:bidi="ar-SA"/>
    </w:rPr>
  </w:style>
  <w:style w:type="character" w:customStyle="1" w:styleId="2448">
    <w:name w:val="p91"/>
    <w:qFormat/>
    <w:uiPriority w:val="0"/>
    <w:rPr>
      <w:color w:val="000000"/>
      <w:sz w:val="18"/>
      <w:szCs w:val="18"/>
      <w:u w:val="none"/>
    </w:rPr>
  </w:style>
  <w:style w:type="paragraph" w:customStyle="1" w:styleId="2449">
    <w:name w:val="样式 样式 首行缩进:  2 字符2 + 首行缩进:  2 字符"/>
    <w:basedOn w:val="1"/>
    <w:qFormat/>
    <w:uiPriority w:val="0"/>
    <w:pPr>
      <w:widowControl/>
      <w:tabs>
        <w:tab w:val="left" w:pos="1620"/>
        <w:tab w:val="left" w:pos="7740"/>
      </w:tabs>
      <w:spacing w:before="120" w:beforeLines="50" w:after="120" w:afterLines="50" w:line="360" w:lineRule="auto"/>
      <w:ind w:left="600" w:leftChars="600" w:firstLine="560" w:firstLineChars="200"/>
      <w:jc w:val="left"/>
    </w:pPr>
    <w:rPr>
      <w:rFonts w:ascii="宋体" w:hAnsi="宋体" w:cs="宋体"/>
      <w:color w:val="000000"/>
      <w:kern w:val="0"/>
      <w:sz w:val="28"/>
      <w:szCs w:val="28"/>
    </w:rPr>
  </w:style>
  <w:style w:type="paragraph" w:customStyle="1" w:styleId="2450">
    <w:name w:val="no"/>
    <w:basedOn w:val="34"/>
    <w:link w:val="2451"/>
    <w:qFormat/>
    <w:uiPriority w:val="0"/>
    <w:pPr>
      <w:adjustRightInd w:val="0"/>
      <w:snapToGrid w:val="0"/>
      <w:spacing w:after="0" w:line="360" w:lineRule="auto"/>
      <w:ind w:firstLine="454"/>
    </w:pPr>
    <w:rPr>
      <w:bCs/>
      <w:color w:val="000000"/>
      <w:kern w:val="24"/>
      <w:sz w:val="28"/>
      <w:szCs w:val="28"/>
      <w:lang w:val="zh-CN"/>
    </w:rPr>
  </w:style>
  <w:style w:type="character" w:customStyle="1" w:styleId="2451">
    <w:name w:val="no Char"/>
    <w:link w:val="2450"/>
    <w:qFormat/>
    <w:uiPriority w:val="0"/>
    <w:rPr>
      <w:bCs/>
      <w:color w:val="000000"/>
      <w:kern w:val="24"/>
      <w:sz w:val="28"/>
      <w:szCs w:val="28"/>
      <w:lang w:val="zh-CN"/>
    </w:rPr>
  </w:style>
  <w:style w:type="paragraph" w:customStyle="1" w:styleId="2452">
    <w:name w:val="标题 1 + 宋体 小四 居中"/>
    <w:basedOn w:val="3"/>
    <w:qFormat/>
    <w:uiPriority w:val="0"/>
    <w:pPr>
      <w:keepNext/>
      <w:keepLines/>
      <w:tabs>
        <w:tab w:val="left" w:pos="360"/>
        <w:tab w:val="left" w:pos="786"/>
      </w:tabs>
      <w:adjustRightInd/>
      <w:snapToGrid/>
      <w:spacing w:before="34" w:beforeLines="10" w:after="34" w:afterLines="10" w:line="360" w:lineRule="auto"/>
      <w:textAlignment w:val="baseline"/>
    </w:pPr>
    <w:rPr>
      <w:rFonts w:ascii="宋体" w:hAnsi="宋体" w:cs="宋体"/>
      <w:kern w:val="24"/>
      <w:sz w:val="24"/>
      <w:szCs w:val="20"/>
    </w:rPr>
  </w:style>
  <w:style w:type="paragraph" w:customStyle="1" w:styleId="2453">
    <w:name w:val="A样式 样式 正文首行缩进 2 + 宋体 + 首行缩进:  2 字符"/>
    <w:basedOn w:val="1"/>
    <w:qFormat/>
    <w:uiPriority w:val="0"/>
    <w:pPr>
      <w:adjustRightInd w:val="0"/>
      <w:snapToGrid w:val="0"/>
      <w:spacing w:line="360" w:lineRule="auto"/>
      <w:ind w:firstLine="560" w:firstLineChars="200"/>
      <w:jc w:val="left"/>
    </w:pPr>
    <w:rPr>
      <w:rFonts w:ascii="宋体" w:hAnsi="宋体" w:cs="宋体"/>
      <w:sz w:val="24"/>
    </w:rPr>
  </w:style>
  <w:style w:type="paragraph" w:customStyle="1" w:styleId="2454">
    <w:name w:val="样式 标题 1Part§1.my标题1 + 段前: 0.5 行 段后: 0.5 行"/>
    <w:basedOn w:val="3"/>
    <w:qFormat/>
    <w:uiPriority w:val="0"/>
    <w:pPr>
      <w:numPr>
        <w:ilvl w:val="0"/>
        <w:numId w:val="31"/>
      </w:numPr>
      <w:tabs>
        <w:tab w:val="left" w:pos="786"/>
      </w:tabs>
      <w:spacing w:before="50" w:beforeLines="50" w:after="50" w:afterLines="50" w:line="480" w:lineRule="auto"/>
      <w:ind w:left="0" w:firstLine="0"/>
    </w:pPr>
    <w:rPr>
      <w:rFonts w:cs="宋体"/>
      <w:caps/>
      <w:color w:val="000000"/>
      <w:kern w:val="2"/>
      <w:sz w:val="24"/>
      <w:szCs w:val="20"/>
      <w:lang w:val="en-GB"/>
    </w:rPr>
  </w:style>
  <w:style w:type="paragraph" w:customStyle="1" w:styleId="2455">
    <w:name w:val="样式 标题 2 + 段前: 0.5 行 段后: 0.5 行"/>
    <w:basedOn w:val="4"/>
    <w:qFormat/>
    <w:uiPriority w:val="0"/>
    <w:pPr>
      <w:tabs>
        <w:tab w:val="left" w:pos="786"/>
        <w:tab w:val="left" w:pos="4995"/>
      </w:tabs>
      <w:adjustRightInd w:val="0"/>
      <w:spacing w:before="50" w:beforeLines="50" w:after="50" w:afterLines="50" w:line="360" w:lineRule="auto"/>
      <w:ind w:left="4995" w:hanging="567" w:hangingChars="200"/>
      <w:jc w:val="center"/>
      <w:textAlignment w:val="baseline"/>
    </w:pPr>
    <w:rPr>
      <w:rFonts w:ascii="宋体" w:hAnsi="宋体" w:eastAsia="宋体" w:cs="宋体"/>
      <w:kern w:val="24"/>
      <w:sz w:val="24"/>
      <w:szCs w:val="20"/>
    </w:rPr>
  </w:style>
  <w:style w:type="paragraph" w:customStyle="1" w:styleId="2456">
    <w:name w:val="题目1"/>
    <w:qFormat/>
    <w:uiPriority w:val="0"/>
    <w:pPr>
      <w:spacing w:before="50" w:beforeLines="50" w:after="50" w:afterLines="50"/>
      <w:jc w:val="center"/>
    </w:pPr>
    <w:rPr>
      <w:rFonts w:ascii="黑体" w:hAnsi="Times New Roman" w:eastAsia="黑体" w:cs="Times New Roman"/>
      <w:sz w:val="30"/>
      <w:szCs w:val="30"/>
      <w:lang w:val="en-US" w:eastAsia="zh-CN" w:bidi="ar-SA"/>
    </w:rPr>
  </w:style>
  <w:style w:type="paragraph" w:customStyle="1" w:styleId="2457">
    <w:name w:val="页眉标题"/>
    <w:basedOn w:val="12"/>
    <w:qFormat/>
    <w:uiPriority w:val="0"/>
    <w:pPr>
      <w:adjustRightInd w:val="0"/>
      <w:snapToGrid w:val="0"/>
      <w:spacing w:line="240" w:lineRule="auto"/>
      <w:ind w:left="0" w:leftChars="0" w:firstLine="0" w:firstLineChars="0"/>
      <w:jc w:val="center"/>
    </w:pPr>
    <w:rPr>
      <w:rFonts w:ascii="Arial" w:hAnsi="Arial" w:eastAsia="黑体"/>
      <w:b/>
      <w:bCs/>
      <w:spacing w:val="10"/>
      <w:sz w:val="21"/>
      <w:szCs w:val="21"/>
    </w:rPr>
  </w:style>
  <w:style w:type="paragraph" w:customStyle="1" w:styleId="2458">
    <w:name w:val="表格左"/>
    <w:basedOn w:val="223"/>
    <w:qFormat/>
    <w:uiPriority w:val="0"/>
    <w:pPr>
      <w:adjustRightInd w:val="0"/>
      <w:snapToGrid w:val="0"/>
      <w:spacing w:line="240" w:lineRule="auto"/>
      <w:jc w:val="left"/>
      <w:textAlignment w:val="auto"/>
    </w:pPr>
    <w:rPr>
      <w:rFonts w:cstheme="minorBidi"/>
      <w:szCs w:val="21"/>
    </w:rPr>
  </w:style>
  <w:style w:type="paragraph" w:customStyle="1" w:styleId="2459">
    <w:name w:val="正本"/>
    <w:basedOn w:val="1"/>
    <w:qFormat/>
    <w:uiPriority w:val="0"/>
    <w:pPr>
      <w:adjustRightInd w:val="0"/>
      <w:snapToGrid w:val="0"/>
      <w:jc w:val="center"/>
    </w:pPr>
    <w:rPr>
      <w:rFonts w:ascii="Arial" w:hAnsi="Arial"/>
      <w:b/>
      <w:bCs/>
      <w:spacing w:val="10"/>
      <w:kern w:val="0"/>
      <w:sz w:val="32"/>
      <w:szCs w:val="32"/>
    </w:rPr>
  </w:style>
  <w:style w:type="paragraph" w:customStyle="1" w:styleId="2460">
    <w:name w:val="2倍行距"/>
    <w:basedOn w:val="35"/>
    <w:qFormat/>
    <w:uiPriority w:val="0"/>
    <w:pPr>
      <w:spacing w:after="0" w:line="480" w:lineRule="auto"/>
      <w:ind w:left="0" w:leftChars="0" w:firstLine="480"/>
    </w:pPr>
    <w:rPr>
      <w:rFonts w:ascii="Arial" w:hAnsi="Arial"/>
      <w:snapToGrid/>
      <w:spacing w:val="10"/>
      <w:kern w:val="2"/>
      <w:sz w:val="24"/>
      <w:lang w:val="zh-CN"/>
    </w:rPr>
  </w:style>
  <w:style w:type="paragraph" w:customStyle="1" w:styleId="2461">
    <w:name w:val="5号字"/>
    <w:basedOn w:val="223"/>
    <w:qFormat/>
    <w:uiPriority w:val="0"/>
    <w:pPr>
      <w:adjustRightInd w:val="0"/>
      <w:snapToGrid w:val="0"/>
      <w:spacing w:line="240" w:lineRule="auto"/>
      <w:ind w:left="50" w:leftChars="50"/>
      <w:jc w:val="left"/>
      <w:textAlignment w:val="auto"/>
    </w:pPr>
    <w:rPr>
      <w:rFonts w:cstheme="minorBidi"/>
      <w:szCs w:val="21"/>
    </w:rPr>
  </w:style>
  <w:style w:type="paragraph" w:customStyle="1" w:styleId="2462">
    <w:name w:val="附图"/>
    <w:basedOn w:val="2458"/>
    <w:qFormat/>
    <w:uiPriority w:val="0"/>
    <w:rPr>
      <w:sz w:val="24"/>
      <w:szCs w:val="24"/>
    </w:rPr>
  </w:style>
  <w:style w:type="paragraph" w:customStyle="1" w:styleId="2463">
    <w:name w:val="样式 标题 3标题 3 Char + 宋体 段前: 0 磅 段后: 0 磅 行距: 多倍行距 1.73 字行"/>
    <w:basedOn w:val="5"/>
    <w:qFormat/>
    <w:uiPriority w:val="0"/>
    <w:pPr>
      <w:snapToGrid w:val="0"/>
      <w:spacing w:before="0" w:beforeLines="50" w:after="0" w:line="412" w:lineRule="auto"/>
      <w:ind w:left="560" w:leftChars="200"/>
    </w:pPr>
    <w:rPr>
      <w:rFonts w:ascii="宋体" w:hAnsi="宋体"/>
      <w:b w:val="0"/>
      <w:sz w:val="28"/>
      <w:szCs w:val="28"/>
    </w:rPr>
  </w:style>
  <w:style w:type="paragraph" w:customStyle="1" w:styleId="2464">
    <w:name w:val="传真正文"/>
    <w:basedOn w:val="1"/>
    <w:qFormat/>
    <w:uiPriority w:val="0"/>
    <w:pPr>
      <w:adjustRightInd w:val="0"/>
      <w:spacing w:line="312" w:lineRule="auto"/>
      <w:ind w:left="50" w:right="50" w:firstLine="200"/>
      <w:textAlignment w:val="baseline"/>
    </w:pPr>
    <w:rPr>
      <w:rFonts w:ascii="Arial" w:eastAsia="仿宋_GB2312"/>
      <w:color w:val="000000"/>
      <w:kern w:val="0"/>
      <w:sz w:val="26"/>
      <w:szCs w:val="26"/>
    </w:rPr>
  </w:style>
  <w:style w:type="character" w:customStyle="1" w:styleId="2465">
    <w:name w:val="111"/>
    <w:qFormat/>
    <w:uiPriority w:val="0"/>
    <w:rPr>
      <w:color w:val="000000"/>
      <w:sz w:val="28"/>
      <w:szCs w:val="28"/>
      <w:u w:val="none"/>
    </w:rPr>
  </w:style>
  <w:style w:type="paragraph" w:customStyle="1" w:styleId="2466">
    <w:name w:val="xwh"/>
    <w:basedOn w:val="1"/>
    <w:qFormat/>
    <w:uiPriority w:val="0"/>
    <w:pPr>
      <w:textAlignment w:val="bottom"/>
    </w:pPr>
    <w:rPr>
      <w:szCs w:val="21"/>
    </w:rPr>
  </w:style>
  <w:style w:type="paragraph" w:customStyle="1" w:styleId="2467">
    <w:name w:val="样式 标题 2 + 居中 左侧:  0 厘米 首行缩进:  0 厘米"/>
    <w:basedOn w:val="4"/>
    <w:qFormat/>
    <w:uiPriority w:val="0"/>
    <w:pPr>
      <w:spacing w:before="0" w:after="0" w:line="480" w:lineRule="auto"/>
      <w:jc w:val="center"/>
    </w:pPr>
    <w:rPr>
      <w:rFonts w:ascii="宋体" w:hAnsi="Times New Roman" w:eastAsia="宋体"/>
      <w:sz w:val="24"/>
      <w:szCs w:val="24"/>
    </w:rPr>
  </w:style>
  <w:style w:type="paragraph" w:customStyle="1" w:styleId="2468">
    <w:name w:val="样式 样式 标题 2 + 居中 左侧:  0 厘米 首行缩进:  0 厘米 + (符号) 宋体"/>
    <w:basedOn w:val="2467"/>
    <w:qFormat/>
    <w:uiPriority w:val="0"/>
    <w:pPr>
      <w:spacing w:line="720" w:lineRule="auto"/>
    </w:pPr>
  </w:style>
  <w:style w:type="paragraph" w:customStyle="1" w:styleId="2469">
    <w:name w:val="样式 标题 1 + 右侧:  -0.19 厘米 段后: 1 行"/>
    <w:basedOn w:val="3"/>
    <w:qFormat/>
    <w:uiPriority w:val="0"/>
    <w:pPr>
      <w:widowControl/>
      <w:tabs>
        <w:tab w:val="left" w:pos="540"/>
        <w:tab w:val="left" w:pos="786"/>
        <w:tab w:val="left" w:pos="880"/>
        <w:tab w:val="left" w:pos="1260"/>
        <w:tab w:val="left" w:pos="2170"/>
      </w:tabs>
      <w:spacing w:before="240" w:after="312" w:afterLines="100" w:line="360" w:lineRule="auto"/>
      <w:ind w:hanging="360"/>
    </w:pPr>
    <w:rPr>
      <w:rFonts w:ascii="宋体" w:hAnsi="宋体" w:eastAsia="黑体"/>
      <w:color w:val="0000FF"/>
      <w:sz w:val="28"/>
      <w:szCs w:val="28"/>
      <w:lang w:val="zh-CN"/>
    </w:rPr>
  </w:style>
  <w:style w:type="paragraph" w:customStyle="1" w:styleId="2470">
    <w:name w:val="文字不缩进"/>
    <w:basedOn w:val="21"/>
    <w:qFormat/>
    <w:uiPriority w:val="0"/>
    <w:pPr>
      <w:tabs>
        <w:tab w:val="left" w:pos="2170"/>
      </w:tabs>
      <w:adjustRightInd w:val="0"/>
      <w:snapToGrid w:val="0"/>
      <w:ind w:left="20" w:leftChars="20" w:firstLine="0"/>
    </w:pPr>
    <w:rPr>
      <w:rFonts w:ascii="宋体" w:hAnsi="宋体"/>
      <w:sz w:val="18"/>
      <w:szCs w:val="18"/>
      <w:lang w:val="zh-CN"/>
    </w:rPr>
  </w:style>
  <w:style w:type="character" w:customStyle="1" w:styleId="2471">
    <w:name w:val="txt11"/>
    <w:qFormat/>
    <w:uiPriority w:val="0"/>
    <w:rPr>
      <w:rFonts w:hint="eastAsia" w:ascii="ΟGB2312" w:eastAsia="ΟGB2312"/>
      <w:sz w:val="24"/>
      <w:szCs w:val="24"/>
    </w:rPr>
  </w:style>
  <w:style w:type="paragraph" w:customStyle="1" w:styleId="2472">
    <w:name w:val="表内容xxq"/>
    <w:basedOn w:val="1"/>
    <w:qFormat/>
    <w:uiPriority w:val="0"/>
    <w:pPr>
      <w:adjustRightInd w:val="0"/>
      <w:snapToGrid w:val="0"/>
      <w:jc w:val="center"/>
    </w:pPr>
    <w:rPr>
      <w:rFonts w:hAnsi="宋体"/>
      <w:snapToGrid w:val="0"/>
      <w:color w:val="000000"/>
      <w:kern w:val="0"/>
      <w:szCs w:val="21"/>
    </w:rPr>
  </w:style>
  <w:style w:type="character" w:customStyle="1" w:styleId="2473">
    <w:name w:val="txt1"/>
    <w:qFormat/>
    <w:uiPriority w:val="0"/>
  </w:style>
  <w:style w:type="character" w:customStyle="1" w:styleId="2474">
    <w:name w:val="no Char1"/>
    <w:qFormat/>
    <w:uiPriority w:val="0"/>
    <w:rPr>
      <w:rFonts w:ascii="宋体" w:hAnsi="宋体" w:eastAsia="宋体"/>
      <w:bCs/>
      <w:spacing w:val="10"/>
      <w:kern w:val="24"/>
      <w:sz w:val="24"/>
      <w:szCs w:val="24"/>
      <w:lang w:val="en-US" w:eastAsia="zh-CN" w:bidi="ar-SA"/>
    </w:rPr>
  </w:style>
  <w:style w:type="paragraph" w:customStyle="1" w:styleId="2475">
    <w:name w:val="本册报告名称"/>
    <w:basedOn w:val="1798"/>
    <w:qFormat/>
    <w:uiPriority w:val="0"/>
    <w:rPr>
      <w:sz w:val="48"/>
    </w:rPr>
  </w:style>
  <w:style w:type="paragraph" w:customStyle="1" w:styleId="2476">
    <w:name w:val="标题 4 宋体"/>
    <w:basedOn w:val="6"/>
    <w:next w:val="1"/>
    <w:qFormat/>
    <w:uiPriority w:val="0"/>
    <w:pPr>
      <w:tabs>
        <w:tab w:val="left" w:pos="786"/>
        <w:tab w:val="left" w:pos="1064"/>
        <w:tab w:val="left" w:pos="3018"/>
      </w:tabs>
      <w:adjustRightInd w:val="0"/>
      <w:snapToGrid w:val="0"/>
      <w:spacing w:before="0" w:after="0" w:line="360" w:lineRule="auto"/>
      <w:ind w:left="540" w:hanging="540" w:hangingChars="200"/>
    </w:pPr>
    <w:rPr>
      <w:rFonts w:ascii="宋体" w:hAnsi="Times New Roman" w:eastAsia="宋体"/>
      <w:b w:val="0"/>
      <w:bCs w:val="0"/>
      <w:color w:val="FF0000"/>
      <w:sz w:val="24"/>
      <w:szCs w:val="24"/>
    </w:rPr>
  </w:style>
  <w:style w:type="paragraph" w:customStyle="1" w:styleId="2477">
    <w:name w:val="S/par2"/>
    <w:basedOn w:val="1"/>
    <w:qFormat/>
    <w:uiPriority w:val="0"/>
    <w:pPr>
      <w:widowControl/>
      <w:spacing w:after="240"/>
      <w:ind w:left="1843" w:hanging="425"/>
    </w:pPr>
    <w:rPr>
      <w:rFonts w:ascii="Arial" w:hAnsi="Arial"/>
      <w:kern w:val="0"/>
      <w:sz w:val="22"/>
      <w:szCs w:val="20"/>
      <w:lang w:val="fr-FR"/>
    </w:rPr>
  </w:style>
  <w:style w:type="paragraph" w:customStyle="1" w:styleId="2478">
    <w:name w:val="内容1"/>
    <w:basedOn w:val="1"/>
    <w:qFormat/>
    <w:uiPriority w:val="0"/>
    <w:pPr>
      <w:ind w:left="100" w:leftChars="100" w:right="100" w:rightChars="100" w:firstLine="200" w:firstLineChars="200"/>
    </w:pPr>
    <w:rPr>
      <w:rFonts w:eastAsia="仿宋_GB2312"/>
      <w:sz w:val="28"/>
      <w:szCs w:val="20"/>
    </w:rPr>
  </w:style>
  <w:style w:type="character" w:customStyle="1" w:styleId="2479">
    <w:name w:val="b3"/>
    <w:qFormat/>
    <w:uiPriority w:val="0"/>
  </w:style>
  <w:style w:type="paragraph" w:customStyle="1" w:styleId="2480">
    <w:name w:val="宋体，小四"/>
    <w:basedOn w:val="1"/>
    <w:link w:val="2481"/>
    <w:qFormat/>
    <w:uiPriority w:val="0"/>
    <w:pPr>
      <w:spacing w:before="100" w:line="360" w:lineRule="auto"/>
      <w:ind w:firstLine="482"/>
    </w:pPr>
    <w:rPr>
      <w:rFonts w:ascii="宋体" w:hAnsi="宋体"/>
      <w:sz w:val="24"/>
      <w:lang w:val="zh-CN"/>
    </w:rPr>
  </w:style>
  <w:style w:type="character" w:customStyle="1" w:styleId="2481">
    <w:name w:val="宋体，小四 Char1"/>
    <w:link w:val="2480"/>
    <w:qFormat/>
    <w:uiPriority w:val="0"/>
    <w:rPr>
      <w:rFonts w:ascii="宋体" w:hAnsi="宋体"/>
      <w:kern w:val="2"/>
      <w:sz w:val="24"/>
      <w:szCs w:val="24"/>
      <w:lang w:val="zh-CN"/>
    </w:rPr>
  </w:style>
  <w:style w:type="character" w:customStyle="1" w:styleId="2482">
    <w:name w:val="标题 1 宋体 三号 Char Char Char"/>
    <w:link w:val="2483"/>
    <w:qFormat/>
    <w:uiPriority w:val="0"/>
    <w:rPr>
      <w:rFonts w:ascii="宋体" w:hAnsi="宋体"/>
      <w:b/>
      <w:kern w:val="44"/>
      <w:sz w:val="32"/>
    </w:rPr>
  </w:style>
  <w:style w:type="paragraph" w:customStyle="1" w:styleId="2483">
    <w:name w:val="标题 1 宋体 三号 Char Char"/>
    <w:basedOn w:val="3"/>
    <w:link w:val="2482"/>
    <w:qFormat/>
    <w:uiPriority w:val="0"/>
    <w:pPr>
      <w:keepNext/>
      <w:keepLines/>
      <w:tabs>
        <w:tab w:val="left" w:pos="425"/>
        <w:tab w:val="left" w:pos="786"/>
      </w:tabs>
      <w:adjustRightInd/>
      <w:snapToGrid/>
      <w:spacing w:before="340" w:after="330" w:line="360" w:lineRule="auto"/>
      <w:ind w:left="425" w:hanging="425"/>
    </w:pPr>
    <w:rPr>
      <w:rFonts w:ascii="宋体" w:hAnsi="宋体"/>
      <w:bCs w:val="0"/>
      <w:szCs w:val="20"/>
    </w:rPr>
  </w:style>
  <w:style w:type="paragraph" w:customStyle="1" w:styleId="2484">
    <w:name w:val="Char Char Char1 Char Char Char Char Char Char Char Char Char Char Char Char Char1"/>
    <w:basedOn w:val="1"/>
    <w:next w:val="1"/>
    <w:qFormat/>
    <w:uiPriority w:val="0"/>
    <w:pPr>
      <w:spacing w:line="360" w:lineRule="auto"/>
      <w:ind w:left="-84" w:leftChars="-30" w:right="-76" w:rightChars="-27" w:firstLine="560" w:firstLineChars="200"/>
      <w:jc w:val="left"/>
    </w:pPr>
    <w:rPr>
      <w:rFonts w:ascii="Arial" w:hAnsi="Arial" w:cs="Arial"/>
      <w:sz w:val="28"/>
      <w:szCs w:val="28"/>
    </w:rPr>
  </w:style>
  <w:style w:type="paragraph" w:customStyle="1" w:styleId="2485">
    <w:name w:val="Char Char1 Char Char Char Char Char Char1 Char Char Char Char"/>
    <w:basedOn w:val="1"/>
    <w:qFormat/>
    <w:uiPriority w:val="0"/>
    <w:rPr>
      <w:szCs w:val="21"/>
    </w:rPr>
  </w:style>
  <w:style w:type="character" w:customStyle="1" w:styleId="2486">
    <w:name w:val="test"/>
    <w:qFormat/>
    <w:uiPriority w:val="0"/>
  </w:style>
  <w:style w:type="paragraph" w:customStyle="1" w:styleId="2487">
    <w:name w:val="样式 (中文) 楷体_GB2312 四号 行距: 1.5 倍行距"/>
    <w:basedOn w:val="1"/>
    <w:qFormat/>
    <w:uiPriority w:val="0"/>
    <w:pPr>
      <w:jc w:val="center"/>
    </w:pPr>
    <w:rPr>
      <w:color w:val="000000"/>
      <w:sz w:val="24"/>
    </w:rPr>
  </w:style>
  <w:style w:type="paragraph" w:customStyle="1" w:styleId="2488">
    <w:name w:val="样式 AA正文首行缩进 2 + 首行缩进:  2 字符 Char Char Char Char Char Char Char Char Char"/>
    <w:basedOn w:val="1"/>
    <w:qFormat/>
    <w:uiPriority w:val="0"/>
    <w:pPr>
      <w:spacing w:after="120"/>
      <w:ind w:firstLine="560" w:firstLineChars="200"/>
    </w:pPr>
    <w:rPr>
      <w:rFonts w:eastAsia="仿宋_GB2312"/>
      <w:kern w:val="28"/>
      <w:sz w:val="28"/>
      <w:szCs w:val="28"/>
    </w:rPr>
  </w:style>
  <w:style w:type="paragraph" w:customStyle="1" w:styleId="2489">
    <w:name w:val="样式 首行缩进:  0.77 厘米 行距: 固定值 20 磅41"/>
    <w:basedOn w:val="1"/>
    <w:qFormat/>
    <w:uiPriority w:val="0"/>
    <w:pPr>
      <w:spacing w:line="360" w:lineRule="auto"/>
      <w:ind w:right="26" w:firstLine="540" w:firstLineChars="225"/>
      <w:jc w:val="left"/>
    </w:pPr>
    <w:rPr>
      <w:rFonts w:ascii="宋体" w:hAnsi="宋体" w:cs="宋体"/>
      <w:kern w:val="0"/>
      <w:sz w:val="24"/>
    </w:rPr>
  </w:style>
  <w:style w:type="paragraph" w:customStyle="1" w:styleId="2490">
    <w:name w:val="插表内容(M)"/>
    <w:basedOn w:val="45"/>
    <w:qFormat/>
    <w:uiPriority w:val="0"/>
    <w:pPr>
      <w:tabs>
        <w:tab w:val="center" w:pos="5288"/>
        <w:tab w:val="right" w:pos="8306"/>
      </w:tabs>
      <w:suppressAutoHyphens/>
      <w:wordWrap w:val="0"/>
      <w:autoSpaceDE w:val="0"/>
      <w:autoSpaceDN w:val="0"/>
      <w:snapToGrid w:val="0"/>
      <w:jc w:val="center"/>
    </w:pPr>
    <w:rPr>
      <w:rFonts w:ascii="Times New Roman" w:hAnsi="Times New Roman" w:eastAsia="仿宋_GB2312" w:cs="Courier New"/>
      <w:sz w:val="21"/>
      <w:szCs w:val="21"/>
    </w:rPr>
  </w:style>
  <w:style w:type="paragraph" w:customStyle="1" w:styleId="2491">
    <w:name w:val="正文1.5倍行距"/>
    <w:basedOn w:val="45"/>
    <w:qFormat/>
    <w:uiPriority w:val="0"/>
    <w:pPr>
      <w:suppressAutoHyphens/>
      <w:wordWrap w:val="0"/>
      <w:autoSpaceDE w:val="0"/>
      <w:autoSpaceDN w:val="0"/>
      <w:spacing w:line="360" w:lineRule="auto"/>
      <w:ind w:firstLine="480" w:firstLineChars="200"/>
      <w:jc w:val="left"/>
    </w:pPr>
    <w:rPr>
      <w:rFonts w:ascii="Times New Roman" w:hAnsi="Times New Roman" w:eastAsia="仿宋_GB2312"/>
      <w:kern w:val="0"/>
      <w:sz w:val="24"/>
      <w:szCs w:val="24"/>
    </w:rPr>
  </w:style>
  <w:style w:type="character" w:customStyle="1" w:styleId="2492">
    <w:name w:val="style191"/>
    <w:qFormat/>
    <w:uiPriority w:val="0"/>
    <w:rPr>
      <w:rFonts w:hint="eastAsia" w:ascii="宋体" w:hAnsi="宋体" w:eastAsia="宋体"/>
      <w:color w:val="000000"/>
      <w:sz w:val="18"/>
      <w:szCs w:val="18"/>
    </w:rPr>
  </w:style>
  <w:style w:type="character" w:customStyle="1" w:styleId="2493">
    <w:name w:val="px141"/>
    <w:qFormat/>
    <w:uiPriority w:val="0"/>
    <w:rPr>
      <w:sz w:val="21"/>
      <w:szCs w:val="21"/>
    </w:rPr>
  </w:style>
  <w:style w:type="character" w:customStyle="1" w:styleId="2494">
    <w:name w:val="样式 ˎ̥"/>
    <w:qFormat/>
    <w:uiPriority w:val="0"/>
    <w:rPr>
      <w:rFonts w:ascii="ˎ̥" w:hAnsi="ˎ̥" w:eastAsia="宋体"/>
      <w:kern w:val="2"/>
      <w:sz w:val="24"/>
      <w:lang w:val="en-US" w:eastAsia="zh-CN" w:bidi="ar-SA"/>
    </w:rPr>
  </w:style>
  <w:style w:type="paragraph" w:customStyle="1" w:styleId="2495">
    <w:name w:val="样式 小五 居中 底端: (单实线 自动设置  0.75 磅 行宽) 行距: 固定值 12 磅"/>
    <w:basedOn w:val="1"/>
    <w:qFormat/>
    <w:uiPriority w:val="0"/>
    <w:pPr>
      <w:framePr w:wrap="notBeside" w:vAnchor="text" w:hAnchor="text" w:y="1"/>
      <w:spacing w:line="240" w:lineRule="exact"/>
      <w:jc w:val="center"/>
    </w:pPr>
    <w:rPr>
      <w:rFonts w:cs="宋体"/>
      <w:sz w:val="18"/>
      <w:szCs w:val="20"/>
    </w:rPr>
  </w:style>
  <w:style w:type="paragraph" w:customStyle="1" w:styleId="2496">
    <w:name w:val="1 Char Char Char Char Char Char Char Char Char1 Char"/>
    <w:basedOn w:val="1"/>
    <w:qFormat/>
    <w:uiPriority w:val="0"/>
  </w:style>
  <w:style w:type="paragraph" w:customStyle="1" w:styleId="2497">
    <w:name w:val="样式 正文缩进 + 宋体 黑色 首行缩进:  2 字符"/>
    <w:basedOn w:val="21"/>
    <w:qFormat/>
    <w:uiPriority w:val="0"/>
    <w:pPr>
      <w:spacing w:line="360" w:lineRule="auto"/>
      <w:ind w:firstLine="480" w:firstLineChars="200"/>
      <w:jc w:val="left"/>
    </w:pPr>
    <w:rPr>
      <w:rFonts w:ascii="宋体" w:hAnsi="宋体" w:cs="宋体"/>
      <w:color w:val="000000"/>
      <w:sz w:val="24"/>
    </w:rPr>
  </w:style>
  <w:style w:type="paragraph" w:customStyle="1" w:styleId="2498">
    <w:name w:val="样式 正文缩进 + 宋体 黑色 首行缩进:  2 字符 右侧:  0.06 厘米"/>
    <w:basedOn w:val="21"/>
    <w:qFormat/>
    <w:uiPriority w:val="0"/>
    <w:pPr>
      <w:spacing w:line="360" w:lineRule="auto"/>
      <w:ind w:right="32" w:firstLine="562" w:firstLineChars="200"/>
      <w:jc w:val="left"/>
    </w:pPr>
    <w:rPr>
      <w:rFonts w:ascii="楷体_GB2312" w:hAnsi="宋体" w:eastAsia="楷体_GB2312" w:cs="宋体"/>
      <w:b/>
      <w:szCs w:val="28"/>
    </w:rPr>
  </w:style>
  <w:style w:type="paragraph" w:customStyle="1" w:styleId="2499">
    <w:name w:val="正文格式1"/>
    <w:basedOn w:val="1"/>
    <w:qFormat/>
    <w:uiPriority w:val="0"/>
    <w:pPr>
      <w:spacing w:line="360" w:lineRule="auto"/>
      <w:ind w:firstLine="482"/>
    </w:pPr>
    <w:rPr>
      <w:rFonts w:ascii="宋体" w:cs="宋体"/>
      <w:sz w:val="24"/>
    </w:rPr>
  </w:style>
  <w:style w:type="character" w:customStyle="1" w:styleId="2500">
    <w:name w:val="表中文字 Char1"/>
    <w:qFormat/>
    <w:uiPriority w:val="0"/>
    <w:rPr>
      <w:rFonts w:eastAsia="宋体"/>
      <w:snapToGrid w:val="0"/>
      <w:sz w:val="18"/>
      <w:szCs w:val="21"/>
      <w:lang w:val="en-US" w:eastAsia="zh-TW" w:bidi="ar-SA"/>
    </w:rPr>
  </w:style>
  <w:style w:type="paragraph" w:customStyle="1" w:styleId="2501">
    <w:name w:val="表格内字体11"/>
    <w:basedOn w:val="1"/>
    <w:qFormat/>
    <w:uiPriority w:val="0"/>
    <w:pPr>
      <w:jc w:val="center"/>
    </w:pPr>
    <w:rPr>
      <w:rFonts w:ascii="宋体" w:cs="宋体"/>
      <w:szCs w:val="20"/>
    </w:rPr>
  </w:style>
  <w:style w:type="character" w:customStyle="1" w:styleId="2502">
    <w:name w:val="1.1.1.1 Char Char"/>
    <w:qFormat/>
    <w:uiPriority w:val="0"/>
    <w:rPr>
      <w:rFonts w:ascii="Arial" w:hAnsi="Arial" w:eastAsia="黑体"/>
      <w:b/>
      <w:bCs/>
      <w:kern w:val="2"/>
      <w:sz w:val="28"/>
      <w:szCs w:val="28"/>
      <w:lang w:val="en-US" w:eastAsia="zh-CN" w:bidi="ar-SA"/>
    </w:rPr>
  </w:style>
  <w:style w:type="paragraph" w:customStyle="1" w:styleId="2503">
    <w:name w:val="默认段落字体11 Char"/>
    <w:basedOn w:val="1"/>
    <w:qFormat/>
    <w:uiPriority w:val="0"/>
  </w:style>
  <w:style w:type="character" w:customStyle="1" w:styleId="2504">
    <w:name w:val="表题 Char Char"/>
    <w:qFormat/>
    <w:uiPriority w:val="0"/>
    <w:rPr>
      <w:rFonts w:eastAsia="宋体"/>
      <w:b/>
      <w:bCs/>
      <w:kern w:val="2"/>
      <w:sz w:val="28"/>
      <w:szCs w:val="28"/>
      <w:lang w:val="en-US" w:eastAsia="zh-CN" w:bidi="ar-SA"/>
    </w:rPr>
  </w:style>
  <w:style w:type="paragraph" w:customStyle="1" w:styleId="2505">
    <w:name w:val="tu"/>
    <w:basedOn w:val="1"/>
    <w:qFormat/>
    <w:uiPriority w:val="0"/>
    <w:pPr>
      <w:widowControl/>
      <w:spacing w:before="120" w:after="120"/>
      <w:ind w:left="120" w:right="120"/>
      <w:jc w:val="left"/>
    </w:pPr>
    <w:rPr>
      <w:rFonts w:ascii="宋体" w:hAnsi="宋体" w:cs="宋体"/>
      <w:kern w:val="0"/>
      <w:sz w:val="24"/>
    </w:rPr>
  </w:style>
  <w:style w:type="paragraph" w:customStyle="1" w:styleId="2506">
    <w:name w:val="段落首行缩进"/>
    <w:basedOn w:val="1"/>
    <w:qFormat/>
    <w:uiPriority w:val="0"/>
    <w:pPr>
      <w:spacing w:line="360" w:lineRule="auto"/>
      <w:ind w:firstLine="480" w:firstLineChars="200"/>
    </w:pPr>
    <w:rPr>
      <w:rFonts w:cs="宋体"/>
      <w:sz w:val="24"/>
      <w:szCs w:val="20"/>
    </w:rPr>
  </w:style>
  <w:style w:type="character" w:customStyle="1" w:styleId="2507">
    <w:name w:val="repeat-item"/>
    <w:qFormat/>
    <w:uiPriority w:val="0"/>
  </w:style>
  <w:style w:type="paragraph" w:customStyle="1" w:styleId="2508">
    <w:name w:val="储气库3级标题"/>
    <w:basedOn w:val="5"/>
    <w:qFormat/>
    <w:uiPriority w:val="0"/>
    <w:pPr>
      <w:adjustRightInd w:val="0"/>
      <w:spacing w:before="0" w:after="0" w:line="360" w:lineRule="auto"/>
      <w:ind w:firstLine="280" w:firstLineChars="100"/>
      <w:jc w:val="left"/>
      <w:textAlignment w:val="baseline"/>
    </w:pPr>
    <w:rPr>
      <w:b w:val="0"/>
      <w:kern w:val="0"/>
      <w:sz w:val="28"/>
    </w:rPr>
  </w:style>
  <w:style w:type="paragraph" w:customStyle="1" w:styleId="2509">
    <w:name w:val="储气库 正文"/>
    <w:basedOn w:val="1"/>
    <w:qFormat/>
    <w:uiPriority w:val="0"/>
    <w:pPr>
      <w:adjustRightInd w:val="0"/>
      <w:spacing w:line="360" w:lineRule="auto"/>
      <w:ind w:left="280" w:leftChars="100" w:firstLine="475" w:firstLineChars="198"/>
      <w:jc w:val="left"/>
      <w:textAlignment w:val="baseline"/>
    </w:pPr>
    <w:rPr>
      <w:rFonts w:ascii="Arial" w:hAnsi="Arial" w:cs="Arial"/>
      <w:kern w:val="0"/>
      <w:sz w:val="24"/>
      <w:szCs w:val="20"/>
      <w:lang w:bidi="en-US"/>
    </w:rPr>
  </w:style>
  <w:style w:type="paragraph" w:customStyle="1" w:styleId="2510">
    <w:name w:val="储气库正文新版"/>
    <w:basedOn w:val="1"/>
    <w:qFormat/>
    <w:uiPriority w:val="0"/>
    <w:pPr>
      <w:adjustRightInd w:val="0"/>
      <w:spacing w:line="360" w:lineRule="auto"/>
      <w:ind w:left="280" w:leftChars="100" w:firstLine="475" w:firstLineChars="198"/>
      <w:jc w:val="left"/>
      <w:textAlignment w:val="baseline"/>
    </w:pPr>
    <w:rPr>
      <w:rFonts w:hAnsi="宋体"/>
      <w:kern w:val="0"/>
      <w:sz w:val="24"/>
      <w:szCs w:val="20"/>
      <w:lang w:bidi="en-US"/>
    </w:rPr>
  </w:style>
  <w:style w:type="paragraph" w:customStyle="1" w:styleId="2511">
    <w:name w:val="表头一"/>
    <w:basedOn w:val="1"/>
    <w:link w:val="2512"/>
    <w:qFormat/>
    <w:uiPriority w:val="0"/>
    <w:pPr>
      <w:autoSpaceDE w:val="0"/>
      <w:autoSpaceDN w:val="0"/>
      <w:adjustRightInd w:val="0"/>
      <w:spacing w:before="120" w:beforeLines="50" w:line="360" w:lineRule="auto"/>
      <w:jc w:val="center"/>
    </w:pPr>
    <w:rPr>
      <w:rFonts w:ascii="Arial" w:hAnsi="Arial"/>
      <w:b/>
      <w:bCs/>
      <w:kern w:val="0"/>
      <w:sz w:val="24"/>
      <w:lang w:val="zh-CN"/>
    </w:rPr>
  </w:style>
  <w:style w:type="character" w:customStyle="1" w:styleId="2512">
    <w:name w:val="表头一 Char"/>
    <w:link w:val="2511"/>
    <w:qFormat/>
    <w:uiPriority w:val="0"/>
    <w:rPr>
      <w:rFonts w:ascii="Arial" w:hAnsi="Arial"/>
      <w:b/>
      <w:bCs/>
      <w:sz w:val="24"/>
      <w:szCs w:val="24"/>
      <w:lang w:val="zh-CN"/>
    </w:rPr>
  </w:style>
  <w:style w:type="character" w:customStyle="1" w:styleId="2513">
    <w:name w:val="style31"/>
    <w:qFormat/>
    <w:uiPriority w:val="0"/>
    <w:rPr>
      <w:b/>
      <w:bCs/>
      <w:sz w:val="21"/>
      <w:szCs w:val="21"/>
    </w:rPr>
  </w:style>
  <w:style w:type="character" w:customStyle="1" w:styleId="2514">
    <w:name w:val="font222"/>
    <w:qFormat/>
    <w:uiPriority w:val="0"/>
  </w:style>
  <w:style w:type="character" w:customStyle="1" w:styleId="2515">
    <w:name w:val="black_1"/>
    <w:qFormat/>
    <w:uiPriority w:val="0"/>
    <w:rPr>
      <w:color w:val="333333"/>
      <w:sz w:val="21"/>
      <w:szCs w:val="21"/>
    </w:rPr>
  </w:style>
  <w:style w:type="paragraph" w:customStyle="1" w:styleId="2516">
    <w:name w:val="p20"/>
    <w:basedOn w:val="1"/>
    <w:qFormat/>
    <w:uiPriority w:val="0"/>
    <w:pPr>
      <w:widowControl/>
      <w:snapToGrid w:val="0"/>
      <w:ind w:left="-38" w:right="-108" w:firstLine="38"/>
      <w:jc w:val="center"/>
    </w:pPr>
    <w:rPr>
      <w:rFonts w:ascii="Arial" w:hAnsi="Arial" w:cs="Arial"/>
      <w:kern w:val="0"/>
      <w:sz w:val="24"/>
    </w:rPr>
  </w:style>
  <w:style w:type="paragraph" w:customStyle="1" w:styleId="2517">
    <w:name w:val="Char Char Char Char Char Char Char Char Char Char Char Char Char Char Char Char Char Char Char3"/>
    <w:basedOn w:val="1"/>
    <w:qFormat/>
    <w:uiPriority w:val="0"/>
  </w:style>
  <w:style w:type="paragraph" w:customStyle="1" w:styleId="2518">
    <w:name w:val="样式 行距: 最小值 12 磅"/>
    <w:basedOn w:val="1"/>
    <w:qFormat/>
    <w:uiPriority w:val="0"/>
    <w:pPr>
      <w:adjustRightInd w:val="0"/>
      <w:snapToGrid w:val="0"/>
      <w:spacing w:before="120" w:beforeLines="50" w:line="360" w:lineRule="auto"/>
      <w:ind w:firstLine="480" w:firstLineChars="200"/>
    </w:pPr>
    <w:rPr>
      <w:color w:val="FF0000"/>
      <w:kern w:val="0"/>
      <w:sz w:val="24"/>
      <w:szCs w:val="20"/>
    </w:rPr>
  </w:style>
  <w:style w:type="paragraph" w:customStyle="1" w:styleId="2519">
    <w:name w:val="陕西，正文"/>
    <w:basedOn w:val="1"/>
    <w:qFormat/>
    <w:uiPriority w:val="0"/>
    <w:pPr>
      <w:spacing w:line="360" w:lineRule="auto"/>
      <w:ind w:firstLine="560" w:firstLineChars="200"/>
    </w:pPr>
    <w:rPr>
      <w:rFonts w:cs="宋体"/>
      <w:sz w:val="28"/>
      <w:szCs w:val="20"/>
    </w:rPr>
  </w:style>
  <w:style w:type="character" w:customStyle="1" w:styleId="2520">
    <w:name w:val="列表编号 Char"/>
    <w:qFormat/>
    <w:uiPriority w:val="0"/>
    <w:rPr>
      <w:rFonts w:eastAsia="宋体"/>
      <w:kern w:val="2"/>
      <w:sz w:val="21"/>
      <w:szCs w:val="24"/>
      <w:lang w:val="en-US" w:eastAsia="zh-CN" w:bidi="ar-SA"/>
    </w:rPr>
  </w:style>
  <w:style w:type="paragraph" w:customStyle="1" w:styleId="2521">
    <w:name w:val="样式 标题 3.X.X1.1.1标题03Level 3 HeadH3level_3PIM 3h333rd l..."/>
    <w:basedOn w:val="5"/>
    <w:qFormat/>
    <w:uiPriority w:val="0"/>
    <w:pPr>
      <w:numPr>
        <w:ilvl w:val="2"/>
        <w:numId w:val="32"/>
      </w:numPr>
      <w:tabs>
        <w:tab w:val="left" w:pos="786"/>
      </w:tabs>
      <w:spacing w:before="120" w:after="0" w:line="440" w:lineRule="exact"/>
      <w:ind w:firstLine="0"/>
    </w:pPr>
    <w:rPr>
      <w:rFonts w:ascii="Arial" w:cs="宋体"/>
      <w:spacing w:val="2"/>
      <w:sz w:val="30"/>
      <w:szCs w:val="20"/>
    </w:rPr>
  </w:style>
  <w:style w:type="character" w:customStyle="1" w:styleId="2522">
    <w:name w:val="表头 Char2"/>
    <w:qFormat/>
    <w:uiPriority w:val="0"/>
    <w:rPr>
      <w:rFonts w:ascii="Arial" w:hAnsi="Arial" w:eastAsia="宋体" w:cs="Arial"/>
      <w:b/>
      <w:bCs/>
      <w:kern w:val="30"/>
      <w:sz w:val="21"/>
      <w:szCs w:val="30"/>
      <w:lang w:val="en-US" w:eastAsia="zh-CN" w:bidi="ar-SA"/>
    </w:rPr>
  </w:style>
  <w:style w:type="character" w:customStyle="1" w:styleId="2523">
    <w:name w:val="样式 首行缩进:  2 字符 Char"/>
    <w:qFormat/>
    <w:uiPriority w:val="0"/>
    <w:rPr>
      <w:rFonts w:ascii="Arial" w:hAnsi="Arial"/>
      <w:kern w:val="2"/>
      <w:sz w:val="24"/>
    </w:rPr>
  </w:style>
  <w:style w:type="paragraph" w:customStyle="1" w:styleId="2524">
    <w:name w:val="自动A"/>
    <w:basedOn w:val="1"/>
    <w:link w:val="2525"/>
    <w:qFormat/>
    <w:uiPriority w:val="0"/>
    <w:pPr>
      <w:spacing w:before="120" w:after="120" w:line="360" w:lineRule="auto"/>
      <w:ind w:firstLine="480" w:firstLineChars="200"/>
    </w:pPr>
    <w:rPr>
      <w:color w:val="000000"/>
      <w:kern w:val="0"/>
      <w:sz w:val="24"/>
      <w:szCs w:val="20"/>
      <w:lang w:val="zh-CN"/>
    </w:rPr>
  </w:style>
  <w:style w:type="character" w:customStyle="1" w:styleId="2525">
    <w:name w:val="自动A Char"/>
    <w:link w:val="2524"/>
    <w:qFormat/>
    <w:uiPriority w:val="0"/>
    <w:rPr>
      <w:color w:val="000000"/>
      <w:sz w:val="24"/>
      <w:lang w:val="zh-CN"/>
    </w:rPr>
  </w:style>
  <w:style w:type="paragraph" w:customStyle="1" w:styleId="2526">
    <w:name w:val="样式42"/>
    <w:basedOn w:val="336"/>
    <w:qFormat/>
    <w:uiPriority w:val="0"/>
    <w:pPr>
      <w:spacing w:line="360" w:lineRule="auto"/>
      <w:ind w:firstLine="480"/>
    </w:pPr>
    <w:rPr>
      <w:rFonts w:ascii="宋体" w:hAnsiTheme="minorHAnsi" w:eastAsiaTheme="minorEastAsia" w:cstheme="minorBidi"/>
      <w:sz w:val="24"/>
      <w:szCs w:val="24"/>
      <w:lang w:val="zh-CN"/>
    </w:rPr>
  </w:style>
  <w:style w:type="paragraph" w:customStyle="1" w:styleId="2527">
    <w:name w:val="样式37"/>
    <w:basedOn w:val="1"/>
    <w:link w:val="2528"/>
    <w:qFormat/>
    <w:uiPriority w:val="0"/>
    <w:pPr>
      <w:widowControl/>
      <w:spacing w:before="120" w:beforeLines="50" w:after="120" w:afterLines="50" w:line="360" w:lineRule="auto"/>
      <w:ind w:firstLine="480" w:firstLineChars="200"/>
      <w:jc w:val="left"/>
    </w:pPr>
    <w:rPr>
      <w:rFonts w:ascii="宋体" w:hAnsi="宋体"/>
      <w:color w:val="000000"/>
      <w:kern w:val="0"/>
      <w:sz w:val="24"/>
      <w:lang w:val="zh-CN"/>
    </w:rPr>
  </w:style>
  <w:style w:type="character" w:customStyle="1" w:styleId="2528">
    <w:name w:val="样式37 Char"/>
    <w:link w:val="2527"/>
    <w:qFormat/>
    <w:uiPriority w:val="0"/>
    <w:rPr>
      <w:rFonts w:ascii="宋体" w:hAnsi="宋体"/>
      <w:color w:val="000000"/>
      <w:sz w:val="24"/>
      <w:szCs w:val="24"/>
      <w:lang w:val="zh-CN"/>
    </w:rPr>
  </w:style>
  <w:style w:type="character" w:customStyle="1" w:styleId="2529">
    <w:name w:val="样式40 Char Char"/>
    <w:link w:val="2530"/>
    <w:qFormat/>
    <w:uiPriority w:val="0"/>
    <w:rPr>
      <w:rFonts w:ascii="宋体" w:hAnsi="宋体" w:cs="Arial Unicode MS"/>
      <w:b/>
      <w:sz w:val="24"/>
      <w:szCs w:val="24"/>
    </w:rPr>
  </w:style>
  <w:style w:type="paragraph" w:customStyle="1" w:styleId="2530">
    <w:name w:val="样式40"/>
    <w:basedOn w:val="5"/>
    <w:link w:val="2529"/>
    <w:qFormat/>
    <w:uiPriority w:val="0"/>
    <w:pPr>
      <w:tabs>
        <w:tab w:val="left" w:pos="720"/>
      </w:tabs>
      <w:spacing w:before="0" w:after="0" w:line="360" w:lineRule="auto"/>
      <w:jc w:val="left"/>
    </w:pPr>
    <w:rPr>
      <w:rFonts w:ascii="宋体" w:hAnsi="宋体" w:cs="Arial Unicode MS"/>
      <w:bCs w:val="0"/>
      <w:kern w:val="0"/>
      <w:sz w:val="24"/>
      <w:szCs w:val="24"/>
    </w:rPr>
  </w:style>
  <w:style w:type="paragraph" w:customStyle="1" w:styleId="2531">
    <w:name w:val="样式51"/>
    <w:basedOn w:val="1"/>
    <w:qFormat/>
    <w:uiPriority w:val="0"/>
    <w:pPr>
      <w:spacing w:line="360" w:lineRule="auto"/>
      <w:ind w:firstLine="1890" w:firstLineChars="900"/>
    </w:pPr>
    <w:rPr>
      <w:rFonts w:ascii="黑体" w:eastAsia="黑体"/>
      <w:szCs w:val="21"/>
    </w:rPr>
  </w:style>
  <w:style w:type="paragraph" w:customStyle="1" w:styleId="2532">
    <w:name w:val="CM16"/>
    <w:basedOn w:val="404"/>
    <w:next w:val="404"/>
    <w:qFormat/>
    <w:uiPriority w:val="0"/>
    <w:pPr>
      <w:spacing w:line="560" w:lineRule="atLeast"/>
    </w:pPr>
    <w:rPr>
      <w:rFonts w:ascii="宋体" w:eastAsia="宋体" w:cs="Times New Roman"/>
      <w:color w:val="auto"/>
    </w:rPr>
  </w:style>
  <w:style w:type="paragraph" w:customStyle="1" w:styleId="2533">
    <w:name w:val="CM15"/>
    <w:basedOn w:val="404"/>
    <w:next w:val="404"/>
    <w:qFormat/>
    <w:uiPriority w:val="0"/>
    <w:pPr>
      <w:spacing w:line="560" w:lineRule="atLeast"/>
    </w:pPr>
    <w:rPr>
      <w:rFonts w:ascii="宋体" w:eastAsia="宋体" w:cs="Times New Roman"/>
      <w:color w:val="auto"/>
    </w:rPr>
  </w:style>
  <w:style w:type="character" w:customStyle="1" w:styleId="2534">
    <w:name w:val="正文 + 首行缩进:  2 字符 Char Char"/>
    <w:link w:val="2535"/>
    <w:qFormat/>
    <w:uiPriority w:val="0"/>
    <w:rPr>
      <w:rFonts w:cs="宋体"/>
      <w:sz w:val="24"/>
    </w:rPr>
  </w:style>
  <w:style w:type="paragraph" w:customStyle="1" w:styleId="2535">
    <w:name w:val="正文 + 首行缩进:  2 字符"/>
    <w:basedOn w:val="1"/>
    <w:link w:val="2534"/>
    <w:qFormat/>
    <w:uiPriority w:val="0"/>
    <w:pPr>
      <w:spacing w:line="360" w:lineRule="auto"/>
      <w:ind w:firstLine="480" w:firstLineChars="200"/>
    </w:pPr>
    <w:rPr>
      <w:rFonts w:cs="宋体"/>
      <w:kern w:val="0"/>
      <w:sz w:val="24"/>
      <w:szCs w:val="20"/>
    </w:rPr>
  </w:style>
  <w:style w:type="character" w:customStyle="1" w:styleId="2536">
    <w:name w:val="样式37 Char Char"/>
    <w:qFormat/>
    <w:uiPriority w:val="0"/>
    <w:rPr>
      <w:rFonts w:ascii="宋体" w:hAnsi="宋体" w:eastAsia="宋体" w:cs="宋体"/>
      <w:color w:val="000000"/>
      <w:sz w:val="24"/>
      <w:szCs w:val="24"/>
      <w:lang w:val="en-US" w:eastAsia="zh-CN" w:bidi="ar-SA"/>
    </w:rPr>
  </w:style>
  <w:style w:type="character" w:customStyle="1" w:styleId="2537">
    <w:name w:val="表题注 Char Char Char"/>
    <w:qFormat/>
    <w:uiPriority w:val="0"/>
    <w:rPr>
      <w:rFonts w:ascii="Arial" w:hAnsi="Arial" w:eastAsia="黑体" w:cs="Arial"/>
      <w:kern w:val="2"/>
      <w:lang w:val="en-US" w:eastAsia="zh-CN" w:bidi="ar-SA"/>
    </w:rPr>
  </w:style>
  <w:style w:type="character" w:customStyle="1" w:styleId="2538">
    <w:name w:val="Char Char27"/>
    <w:qFormat/>
    <w:uiPriority w:val="0"/>
    <w:rPr>
      <w:rFonts w:ascii="Arial" w:hAnsi="Arial" w:eastAsia="黑体"/>
      <w:b/>
      <w:bCs/>
      <w:kern w:val="2"/>
      <w:sz w:val="24"/>
      <w:szCs w:val="24"/>
      <w:lang w:val="en-US" w:eastAsia="zh-CN" w:bidi="ar-SA"/>
    </w:rPr>
  </w:style>
  <w:style w:type="character" w:customStyle="1" w:styleId="2539">
    <w:name w:val="正文文字 Char Char Char"/>
    <w:qFormat/>
    <w:uiPriority w:val="0"/>
    <w:rPr>
      <w:rFonts w:eastAsia="宋体"/>
      <w:kern w:val="2"/>
      <w:sz w:val="21"/>
      <w:szCs w:val="24"/>
      <w:lang w:val="en-US" w:eastAsia="zh-CN" w:bidi="ar-SA"/>
    </w:rPr>
  </w:style>
  <w:style w:type="character" w:customStyle="1" w:styleId="2540">
    <w:name w:val="ul0k5m"/>
    <w:qFormat/>
    <w:uiPriority w:val="0"/>
  </w:style>
  <w:style w:type="character" w:customStyle="1" w:styleId="2541">
    <w:name w:val="偶的正文 Char Char Char Char Char"/>
    <w:qFormat/>
    <w:uiPriority w:val="0"/>
    <w:rPr>
      <w:rFonts w:ascii="宋体" w:eastAsia="宋体" w:cs="Arial"/>
      <w:color w:val="FF0000"/>
      <w:sz w:val="24"/>
      <w:szCs w:val="21"/>
      <w:lang w:val="en-US" w:eastAsia="zh-CN" w:bidi="ar-SA"/>
    </w:rPr>
  </w:style>
  <w:style w:type="character" w:customStyle="1" w:styleId="2542">
    <w:name w:val="uhn5dty"/>
    <w:qFormat/>
    <w:uiPriority w:val="0"/>
  </w:style>
  <w:style w:type="character" w:customStyle="1" w:styleId="2543">
    <w:name w:val="正文文字缩进 3 Char Char1"/>
    <w:qFormat/>
    <w:uiPriority w:val="0"/>
    <w:rPr>
      <w:rFonts w:eastAsia="宋体"/>
      <w:kern w:val="2"/>
      <w:sz w:val="16"/>
      <w:szCs w:val="16"/>
      <w:lang w:val="en-US" w:eastAsia="zh-CN" w:bidi="ar-SA"/>
    </w:rPr>
  </w:style>
  <w:style w:type="character" w:customStyle="1" w:styleId="2544">
    <w:name w:val="小四正文 Char Char"/>
    <w:qFormat/>
    <w:uiPriority w:val="0"/>
    <w:rPr>
      <w:rFonts w:ascii="黑体" w:hAnsi="宋体" w:eastAsia="黑体"/>
      <w:kern w:val="2"/>
      <w:sz w:val="24"/>
      <w:szCs w:val="24"/>
      <w:lang w:val="en-US" w:eastAsia="zh-CN" w:bidi="ar-SA"/>
    </w:rPr>
  </w:style>
  <w:style w:type="character" w:customStyle="1" w:styleId="2545">
    <w:name w:val="Char Char26"/>
    <w:qFormat/>
    <w:uiPriority w:val="0"/>
    <w:rPr>
      <w:rFonts w:eastAsia="宋体"/>
      <w:b/>
      <w:bCs/>
      <w:kern w:val="2"/>
      <w:sz w:val="24"/>
      <w:szCs w:val="24"/>
      <w:lang w:val="en-US" w:eastAsia="zh-CN" w:bidi="ar-SA"/>
    </w:rPr>
  </w:style>
  <w:style w:type="character" w:customStyle="1" w:styleId="2546">
    <w:name w:val="样式 正文缩进 + (西文) 宋体 四号 Char Char"/>
    <w:qFormat/>
    <w:uiPriority w:val="0"/>
    <w:rPr>
      <w:rFonts w:eastAsia="宋体"/>
      <w:color w:val="000000"/>
      <w:kern w:val="2"/>
      <w:sz w:val="24"/>
      <w:szCs w:val="24"/>
      <w:lang w:val="zh-CN" w:eastAsia="zh-CN" w:bidi="ar-SA"/>
    </w:rPr>
  </w:style>
  <w:style w:type="character" w:customStyle="1" w:styleId="2547">
    <w:name w:val="我的图表标题 Char Char"/>
    <w:qFormat/>
    <w:uiPriority w:val="0"/>
    <w:rPr>
      <w:rFonts w:ascii="黑体" w:hAnsi="宋体" w:eastAsia="黑体" w:cs="宋体"/>
      <w:b/>
      <w:bCs/>
      <w:kern w:val="2"/>
      <w:sz w:val="24"/>
      <w:szCs w:val="32"/>
      <w:lang w:val="en-US" w:eastAsia="zh-CN" w:bidi="ar-SA"/>
    </w:rPr>
  </w:style>
  <w:style w:type="character" w:customStyle="1" w:styleId="2548">
    <w:name w:val="样式 样式 标题 2节Char Char Char Char Char标题 21Char Char1二级标题单位名二级标...1... Char"/>
    <w:link w:val="2549"/>
    <w:qFormat/>
    <w:uiPriority w:val="0"/>
    <w:rPr>
      <w:rFonts w:ascii="Arial" w:hAnsi="Arial" w:eastAsia="黑体" w:cs="宋体"/>
      <w:b/>
      <w:bCs/>
      <w:snapToGrid w:val="0"/>
      <w:sz w:val="30"/>
      <w:szCs w:val="30"/>
    </w:rPr>
  </w:style>
  <w:style w:type="paragraph" w:customStyle="1" w:styleId="2549">
    <w:name w:val="样式 样式 标题 2节Char Char Char Char Char标题 21Char Char1二级标题单位名二级标...1..."/>
    <w:basedOn w:val="1"/>
    <w:link w:val="2548"/>
    <w:qFormat/>
    <w:uiPriority w:val="0"/>
    <w:pPr>
      <w:keepNext/>
      <w:keepLines/>
      <w:widowControl/>
      <w:tabs>
        <w:tab w:val="left" w:pos="0"/>
        <w:tab w:val="left" w:pos="576"/>
      </w:tabs>
      <w:spacing w:before="120" w:after="120" w:line="360" w:lineRule="auto"/>
      <w:ind w:left="576" w:hanging="576"/>
      <w:outlineLvl w:val="1"/>
    </w:pPr>
    <w:rPr>
      <w:rFonts w:ascii="Arial" w:hAnsi="Arial" w:eastAsia="黑体" w:cs="宋体"/>
      <w:b/>
      <w:bCs/>
      <w:snapToGrid w:val="0"/>
      <w:kern w:val="0"/>
      <w:sz w:val="30"/>
      <w:szCs w:val="30"/>
    </w:rPr>
  </w:style>
  <w:style w:type="paragraph" w:customStyle="1" w:styleId="2550">
    <w:name w:val="样式 宋体 左侧:  0.21 厘米 右侧:  0.21 厘米 行距: 1.5 倍行距"/>
    <w:basedOn w:val="1"/>
    <w:qFormat/>
    <w:uiPriority w:val="0"/>
    <w:pPr>
      <w:spacing w:line="360" w:lineRule="auto"/>
      <w:ind w:left="119" w:right="119" w:firstLine="480" w:firstLineChars="200"/>
    </w:pPr>
    <w:rPr>
      <w:rFonts w:ascii="宋体" w:hAnsi="宋体" w:cs="宋体"/>
      <w:b/>
      <w:sz w:val="24"/>
      <w:szCs w:val="20"/>
    </w:rPr>
  </w:style>
  <w:style w:type="paragraph" w:customStyle="1" w:styleId="2551">
    <w:name w:val="0"/>
    <w:basedOn w:val="1"/>
    <w:qFormat/>
    <w:uiPriority w:val="0"/>
    <w:pPr>
      <w:widowControl/>
      <w:snapToGrid w:val="0"/>
      <w:jc w:val="left"/>
    </w:pPr>
    <w:rPr>
      <w:b/>
      <w:kern w:val="0"/>
      <w:sz w:val="32"/>
      <w:szCs w:val="21"/>
    </w:rPr>
  </w:style>
  <w:style w:type="paragraph" w:customStyle="1" w:styleId="2552">
    <w:name w:val="表格内字体1"/>
    <w:basedOn w:val="1110"/>
    <w:qFormat/>
    <w:uiPriority w:val="0"/>
    <w:pPr>
      <w:spacing w:line="240" w:lineRule="auto"/>
      <w:ind w:firstLine="0"/>
      <w:jc w:val="center"/>
    </w:pPr>
    <w:rPr>
      <w:rFonts w:hAnsi="Times New Roman" w:cs="宋体"/>
      <w:b/>
      <w:kern w:val="2"/>
      <w:sz w:val="21"/>
      <w:szCs w:val="20"/>
    </w:rPr>
  </w:style>
  <w:style w:type="paragraph" w:customStyle="1" w:styleId="2553">
    <w:name w:val="样式 标题 2 + (西文) Times New Roman (中文) 宋体 四号 非加粗 居中 段前: 0 磅 段..."/>
    <w:basedOn w:val="4"/>
    <w:qFormat/>
    <w:uiPriority w:val="0"/>
    <w:pPr>
      <w:tabs>
        <w:tab w:val="left" w:pos="0"/>
        <w:tab w:val="left" w:pos="786"/>
      </w:tabs>
      <w:adjustRightInd w:val="0"/>
      <w:spacing w:before="0" w:after="0" w:line="360" w:lineRule="auto"/>
      <w:ind w:left="140" w:leftChars="50" w:right="140" w:rightChars="50" w:hanging="360" w:hangingChars="200"/>
      <w:jc w:val="center"/>
      <w:textAlignment w:val="baseline"/>
    </w:pPr>
    <w:rPr>
      <w:rFonts w:ascii="Times New Roman" w:hAnsi="Times New Roman" w:eastAsia="宋体" w:cs="宋体"/>
      <w:bCs w:val="0"/>
      <w:kern w:val="0"/>
      <w:sz w:val="28"/>
      <w:szCs w:val="20"/>
    </w:rPr>
  </w:style>
  <w:style w:type="character" w:customStyle="1" w:styleId="2554">
    <w:name w:val="info1"/>
    <w:qFormat/>
    <w:uiPriority w:val="0"/>
    <w:rPr>
      <w:spacing w:val="15"/>
      <w:sz w:val="21"/>
      <w:szCs w:val="21"/>
    </w:rPr>
  </w:style>
  <w:style w:type="paragraph" w:customStyle="1" w:styleId="2555">
    <w:name w:val="样式 标题 3 + 宋体 小四 非加粗"/>
    <w:basedOn w:val="5"/>
    <w:qFormat/>
    <w:uiPriority w:val="0"/>
    <w:pPr>
      <w:numPr>
        <w:ilvl w:val="2"/>
        <w:numId w:val="33"/>
      </w:numPr>
      <w:tabs>
        <w:tab w:val="left" w:pos="786"/>
      </w:tabs>
      <w:spacing w:before="120" w:after="120"/>
      <w:ind w:firstLine="0"/>
    </w:pPr>
    <w:rPr>
      <w:rFonts w:ascii="宋体" w:hAnsi="宋体"/>
      <w:b w:val="0"/>
      <w:bCs w:val="0"/>
      <w:sz w:val="24"/>
    </w:rPr>
  </w:style>
  <w:style w:type="paragraph" w:customStyle="1" w:styleId="2556">
    <w:name w:val="样式 标题 1 + 黑体 小三 非加粗"/>
    <w:basedOn w:val="3"/>
    <w:link w:val="2557"/>
    <w:qFormat/>
    <w:uiPriority w:val="0"/>
    <w:pPr>
      <w:keepNext/>
      <w:keepLines/>
      <w:numPr>
        <w:ilvl w:val="0"/>
        <w:numId w:val="33"/>
      </w:numPr>
      <w:tabs>
        <w:tab w:val="left" w:pos="786"/>
      </w:tabs>
      <w:adjustRightInd/>
      <w:snapToGrid/>
      <w:spacing w:before="340" w:after="330" w:line="578" w:lineRule="auto"/>
      <w:ind w:firstLine="0"/>
      <w:jc w:val="both"/>
    </w:pPr>
    <w:rPr>
      <w:rFonts w:ascii="黑体" w:hAnsi="黑体" w:eastAsia="黑体"/>
      <w:b w:val="0"/>
      <w:bCs w:val="0"/>
      <w:sz w:val="30"/>
      <w:szCs w:val="44"/>
      <w:lang w:val="zh-CN"/>
    </w:rPr>
  </w:style>
  <w:style w:type="character" w:customStyle="1" w:styleId="2557">
    <w:name w:val="样式 标题 1 + 黑体 小三 非加粗 Char"/>
    <w:link w:val="2556"/>
    <w:qFormat/>
    <w:locked/>
    <w:uiPriority w:val="0"/>
    <w:rPr>
      <w:rFonts w:ascii="黑体" w:hAnsi="黑体" w:eastAsia="黑体"/>
      <w:kern w:val="44"/>
      <w:sz w:val="30"/>
      <w:szCs w:val="44"/>
      <w:lang w:val="zh-CN"/>
    </w:rPr>
  </w:style>
  <w:style w:type="paragraph" w:customStyle="1" w:styleId="2558">
    <w:name w:val="样式 标题 2标题 21标题 121节H2SeHead wsa2标题 1.1 + 黑体 四号 非加粗"/>
    <w:basedOn w:val="4"/>
    <w:link w:val="2559"/>
    <w:qFormat/>
    <w:uiPriority w:val="0"/>
    <w:pPr>
      <w:numPr>
        <w:ilvl w:val="1"/>
        <w:numId w:val="34"/>
      </w:numPr>
      <w:spacing w:before="0" w:after="0"/>
      <w:ind w:firstLine="0"/>
    </w:pPr>
    <w:rPr>
      <w:rFonts w:ascii="黑体" w:hAnsi="黑体" w:eastAsia="黑体"/>
      <w:b w:val="0"/>
      <w:bCs w:val="0"/>
      <w:sz w:val="28"/>
      <w:lang w:val="zh-CN"/>
    </w:rPr>
  </w:style>
  <w:style w:type="character" w:customStyle="1" w:styleId="2559">
    <w:name w:val="样式 标题 2标题 21标题 121节H2SeHead wsa2标题 1.1 + 黑体 四号 非加粗 Char"/>
    <w:link w:val="2558"/>
    <w:qFormat/>
    <w:uiPriority w:val="0"/>
    <w:rPr>
      <w:rFonts w:ascii="黑体" w:hAnsi="黑体" w:eastAsia="黑体"/>
      <w:kern w:val="2"/>
      <w:sz w:val="28"/>
      <w:szCs w:val="32"/>
      <w:lang w:val="zh-CN"/>
    </w:rPr>
  </w:style>
  <w:style w:type="paragraph" w:customStyle="1" w:styleId="2560">
    <w:name w:val="正文修改样式"/>
    <w:basedOn w:val="70"/>
    <w:qFormat/>
    <w:uiPriority w:val="0"/>
    <w:pPr>
      <w:spacing w:after="0" w:line="360" w:lineRule="auto"/>
      <w:ind w:left="0" w:leftChars="0" w:firstLine="480" w:firstLineChars="200"/>
    </w:pPr>
    <w:rPr>
      <w:rFonts w:hAnsiTheme="minorHAnsi" w:eastAsiaTheme="minorEastAsia" w:cstheme="minorBidi"/>
      <w:sz w:val="24"/>
      <w:szCs w:val="24"/>
    </w:rPr>
  </w:style>
  <w:style w:type="paragraph" w:customStyle="1" w:styleId="2561">
    <w:name w:val="小表"/>
    <w:basedOn w:val="1"/>
    <w:qFormat/>
    <w:uiPriority w:val="0"/>
    <w:pPr>
      <w:widowControl/>
      <w:overflowPunct w:val="0"/>
      <w:autoSpaceDE w:val="0"/>
      <w:autoSpaceDN w:val="0"/>
      <w:adjustRightInd w:val="0"/>
      <w:jc w:val="center"/>
      <w:textAlignment w:val="bottom"/>
    </w:pPr>
    <w:rPr>
      <w:rFonts w:ascii="宋体"/>
      <w:kern w:val="0"/>
      <w:sz w:val="28"/>
      <w:szCs w:val="20"/>
    </w:rPr>
  </w:style>
  <w:style w:type="paragraph" w:customStyle="1" w:styleId="2562">
    <w:name w:val="样式 标题 4 + 宋体 小四 非加粗"/>
    <w:basedOn w:val="6"/>
    <w:qFormat/>
    <w:uiPriority w:val="0"/>
    <w:pPr>
      <w:tabs>
        <w:tab w:val="left" w:pos="786"/>
        <w:tab w:val="left" w:pos="1080"/>
        <w:tab w:val="left" w:pos="1248"/>
      </w:tabs>
      <w:ind w:left="1248" w:hanging="708" w:hangingChars="200"/>
    </w:pPr>
    <w:rPr>
      <w:rFonts w:ascii="宋体" w:hAnsi="宋体" w:eastAsia="宋体"/>
      <w:b w:val="0"/>
      <w:bCs w:val="0"/>
      <w:color w:val="FF0000"/>
      <w:sz w:val="24"/>
    </w:rPr>
  </w:style>
  <w:style w:type="paragraph" w:customStyle="1" w:styleId="2563">
    <w:name w:val="表格内容格式"/>
    <w:basedOn w:val="1"/>
    <w:qFormat/>
    <w:uiPriority w:val="0"/>
    <w:pPr>
      <w:adjustRightInd w:val="0"/>
      <w:ind w:left="-82" w:leftChars="-40" w:right="-105" w:rightChars="-50" w:hanging="2" w:hangingChars="1"/>
      <w:textAlignment w:val="baseline"/>
    </w:pPr>
    <w:rPr>
      <w:rFonts w:ascii="宋体" w:hAnsi="宋体"/>
      <w:snapToGrid w:val="0"/>
      <w:color w:val="000000"/>
      <w:kern w:val="0"/>
      <w:szCs w:val="20"/>
    </w:rPr>
  </w:style>
  <w:style w:type="paragraph" w:customStyle="1" w:styleId="2564">
    <w:name w:val="一"/>
    <w:basedOn w:val="1"/>
    <w:qFormat/>
    <w:uiPriority w:val="0"/>
    <w:pPr>
      <w:widowControl/>
      <w:spacing w:before="100" w:beforeAutospacing="1" w:after="100" w:afterAutospacing="1"/>
    </w:pPr>
    <w:rPr>
      <w:b/>
      <w:bCs/>
      <w:kern w:val="0"/>
      <w:sz w:val="24"/>
      <w:szCs w:val="20"/>
    </w:rPr>
  </w:style>
  <w:style w:type="paragraph" w:customStyle="1" w:styleId="2565">
    <w:name w:val="文章正文"/>
    <w:basedOn w:val="1"/>
    <w:qFormat/>
    <w:uiPriority w:val="0"/>
    <w:pPr>
      <w:spacing w:before="156" w:beforeLines="50" w:after="156" w:afterLines="50" w:line="360" w:lineRule="auto"/>
      <w:ind w:firstLine="480" w:firstLineChars="200"/>
    </w:pPr>
    <w:rPr>
      <w:rFonts w:ascii="宋体" w:hAnsi="宋体"/>
      <w:sz w:val="24"/>
      <w:lang w:val="zh-CN"/>
    </w:rPr>
  </w:style>
  <w:style w:type="paragraph" w:customStyle="1" w:styleId="2566">
    <w:name w:val="可研-正文"/>
    <w:basedOn w:val="1"/>
    <w:qFormat/>
    <w:uiPriority w:val="0"/>
    <w:pPr>
      <w:ind w:firstLine="200" w:firstLineChars="200"/>
    </w:pPr>
    <w:rPr>
      <w:rFonts w:ascii="宋体"/>
      <w:sz w:val="28"/>
    </w:rPr>
  </w:style>
  <w:style w:type="paragraph" w:customStyle="1" w:styleId="2567">
    <w:name w:val="样式 纯文本 + 黑体"/>
    <w:basedOn w:val="45"/>
    <w:qFormat/>
    <w:uiPriority w:val="0"/>
    <w:pPr>
      <w:tabs>
        <w:tab w:val="left" w:pos="1620"/>
      </w:tabs>
    </w:pPr>
    <w:rPr>
      <w:rFonts w:ascii="黑体" w:hAnsi="黑体"/>
      <w:bCs/>
      <w:kern w:val="0"/>
      <w:sz w:val="24"/>
    </w:rPr>
  </w:style>
  <w:style w:type="paragraph" w:customStyle="1" w:styleId="2568">
    <w:name w:val="样式 标题 2标题 21标题 121标题 2 Char1 Char节H2节标题 1.1节标题 1.1 Char..."/>
    <w:basedOn w:val="4"/>
    <w:link w:val="2569"/>
    <w:qFormat/>
    <w:uiPriority w:val="0"/>
    <w:pPr>
      <w:keepNext w:val="0"/>
      <w:keepLines w:val="0"/>
      <w:widowControl/>
      <w:tabs>
        <w:tab w:val="left" w:pos="576"/>
        <w:tab w:val="left" w:pos="786"/>
      </w:tabs>
      <w:adjustRightInd w:val="0"/>
      <w:spacing w:before="120" w:after="120" w:line="360" w:lineRule="auto"/>
      <w:ind w:left="576" w:hanging="576" w:hangingChars="200"/>
      <w:jc w:val="left"/>
      <w:textAlignment w:val="baseline"/>
    </w:pPr>
    <w:rPr>
      <w:rFonts w:ascii="黑体" w:hAnsi="Times New Roman" w:eastAsia="黑体"/>
      <w:color w:val="000000"/>
      <w:kern w:val="0"/>
      <w:sz w:val="28"/>
      <w:szCs w:val="20"/>
      <w:lang w:val="zh-CN"/>
    </w:rPr>
  </w:style>
  <w:style w:type="character" w:customStyle="1" w:styleId="2569">
    <w:name w:val="样式 标题 2标题 21标题 121标题 2 Char1 Char节H2节标题 1.1节标题 1.1 Char... Char"/>
    <w:link w:val="2568"/>
    <w:qFormat/>
    <w:uiPriority w:val="0"/>
    <w:rPr>
      <w:rFonts w:ascii="黑体" w:eastAsia="黑体"/>
      <w:b/>
      <w:bCs/>
      <w:color w:val="000000"/>
      <w:sz w:val="28"/>
      <w:lang w:val="zh-CN"/>
    </w:rPr>
  </w:style>
  <w:style w:type="paragraph" w:customStyle="1" w:styleId="2570">
    <w:name w:val="样式 标题 3 + 小四"/>
    <w:basedOn w:val="5"/>
    <w:link w:val="2571"/>
    <w:qFormat/>
    <w:uiPriority w:val="0"/>
    <w:pPr>
      <w:tabs>
        <w:tab w:val="left" w:pos="720"/>
        <w:tab w:val="left" w:pos="786"/>
      </w:tabs>
      <w:adjustRightInd w:val="0"/>
      <w:snapToGrid w:val="0"/>
      <w:spacing w:before="156" w:beforeLines="50" w:after="156" w:afterLines="50" w:line="360" w:lineRule="auto"/>
      <w:ind w:left="786" w:hanging="360" w:hangingChars="200"/>
    </w:pPr>
    <w:rPr>
      <w:sz w:val="24"/>
      <w:szCs w:val="24"/>
      <w:lang w:val="zh-CN"/>
    </w:rPr>
  </w:style>
  <w:style w:type="character" w:customStyle="1" w:styleId="2571">
    <w:name w:val="样式 标题 3 + 小四 Char"/>
    <w:link w:val="2570"/>
    <w:qFormat/>
    <w:uiPriority w:val="0"/>
    <w:rPr>
      <w:b/>
      <w:bCs/>
      <w:kern w:val="2"/>
      <w:sz w:val="24"/>
      <w:szCs w:val="24"/>
      <w:lang w:val="zh-CN"/>
    </w:rPr>
  </w:style>
  <w:style w:type="paragraph" w:customStyle="1" w:styleId="2572">
    <w:name w:val="正文标准样式"/>
    <w:basedOn w:val="1"/>
    <w:qFormat/>
    <w:uiPriority w:val="0"/>
    <w:pPr>
      <w:adjustRightInd w:val="0"/>
      <w:spacing w:line="300" w:lineRule="auto"/>
      <w:ind w:firstLine="482"/>
      <w:textAlignment w:val="baseline"/>
    </w:pPr>
    <w:rPr>
      <w:kern w:val="0"/>
      <w:sz w:val="24"/>
      <w:szCs w:val="20"/>
    </w:rPr>
  </w:style>
  <w:style w:type="paragraph" w:customStyle="1" w:styleId="2573">
    <w:name w:val="a封面－项目名称"/>
    <w:basedOn w:val="1"/>
    <w:next w:val="1"/>
    <w:qFormat/>
    <w:uiPriority w:val="0"/>
    <w:pPr>
      <w:spacing w:before="120" w:beforeLines="50" w:after="120" w:afterLines="50" w:line="360" w:lineRule="auto"/>
      <w:jc w:val="center"/>
    </w:pPr>
    <w:rPr>
      <w:rFonts w:eastAsia="黑体"/>
      <w:b/>
      <w:sz w:val="48"/>
    </w:rPr>
  </w:style>
  <w:style w:type="paragraph" w:customStyle="1" w:styleId="2574">
    <w:name w:val="样式 样式 样式 样式 样式 样式 样式 123 + 自动设置 首行缩进:  2 字符 + 首行缩进:  2 字符 + 黑色 首..."/>
    <w:basedOn w:val="1"/>
    <w:qFormat/>
    <w:uiPriority w:val="0"/>
    <w:pPr>
      <w:widowControl/>
      <w:tabs>
        <w:tab w:val="left" w:pos="352"/>
      </w:tabs>
      <w:overflowPunct w:val="0"/>
      <w:autoSpaceDE w:val="0"/>
      <w:autoSpaceDN w:val="0"/>
      <w:adjustRightInd w:val="0"/>
      <w:snapToGrid w:val="0"/>
      <w:spacing w:line="460" w:lineRule="exact"/>
      <w:ind w:firstLine="560" w:firstLineChars="200"/>
      <w:textAlignment w:val="bottom"/>
    </w:pPr>
    <w:rPr>
      <w:rFonts w:cs="宋体"/>
      <w:kern w:val="0"/>
      <w:sz w:val="28"/>
      <w:szCs w:val="28"/>
    </w:rPr>
  </w:style>
  <w:style w:type="paragraph" w:customStyle="1" w:styleId="2575">
    <w:name w:val="1标题1级"/>
    <w:basedOn w:val="1"/>
    <w:qFormat/>
    <w:uiPriority w:val="0"/>
    <w:pPr>
      <w:keepNext/>
      <w:snapToGrid w:val="0"/>
      <w:spacing w:line="360" w:lineRule="auto"/>
      <w:outlineLvl w:val="0"/>
    </w:pPr>
    <w:rPr>
      <w:rFonts w:ascii="黑体" w:eastAsia="黑体"/>
      <w:bCs/>
      <w:sz w:val="44"/>
    </w:rPr>
  </w:style>
  <w:style w:type="paragraph" w:customStyle="1" w:styleId="2576">
    <w:name w:val="正文(首行缩进2字)"/>
    <w:basedOn w:val="1"/>
    <w:next w:val="1"/>
    <w:qFormat/>
    <w:uiPriority w:val="0"/>
    <w:pPr>
      <w:adjustRightInd w:val="0"/>
      <w:spacing w:line="360" w:lineRule="auto"/>
      <w:ind w:firstLine="560" w:firstLineChars="200"/>
      <w:jc w:val="left"/>
      <w:textAlignment w:val="baseline"/>
    </w:pPr>
    <w:rPr>
      <w:kern w:val="0"/>
      <w:sz w:val="28"/>
      <w:szCs w:val="20"/>
    </w:rPr>
  </w:style>
  <w:style w:type="paragraph" w:customStyle="1" w:styleId="2577">
    <w:name w:val="表格 2"/>
    <w:basedOn w:val="1"/>
    <w:qFormat/>
    <w:uiPriority w:val="0"/>
    <w:pPr>
      <w:autoSpaceDE w:val="0"/>
      <w:autoSpaceDN w:val="0"/>
      <w:adjustRightInd w:val="0"/>
      <w:jc w:val="center"/>
      <w:textAlignment w:val="baseline"/>
    </w:pPr>
    <w:rPr>
      <w:kern w:val="0"/>
      <w:sz w:val="24"/>
      <w:szCs w:val="20"/>
    </w:rPr>
  </w:style>
  <w:style w:type="paragraph" w:customStyle="1" w:styleId="2578">
    <w:name w:val="表题 2"/>
    <w:basedOn w:val="1"/>
    <w:qFormat/>
    <w:uiPriority w:val="0"/>
    <w:pPr>
      <w:adjustRightInd w:val="0"/>
      <w:spacing w:before="120" w:after="120"/>
      <w:jc w:val="center"/>
      <w:textAlignment w:val="baseline"/>
    </w:pPr>
    <w:rPr>
      <w:kern w:val="0"/>
      <w:sz w:val="28"/>
      <w:szCs w:val="20"/>
    </w:rPr>
  </w:style>
  <w:style w:type="paragraph" w:customStyle="1" w:styleId="2579">
    <w:name w:val="表格 3"/>
    <w:basedOn w:val="1"/>
    <w:qFormat/>
    <w:uiPriority w:val="0"/>
    <w:pPr>
      <w:autoSpaceDE w:val="0"/>
      <w:autoSpaceDN w:val="0"/>
      <w:adjustRightInd w:val="0"/>
      <w:jc w:val="center"/>
    </w:pPr>
    <w:rPr>
      <w:kern w:val="0"/>
      <w:szCs w:val="20"/>
    </w:rPr>
  </w:style>
  <w:style w:type="paragraph" w:customStyle="1" w:styleId="2580">
    <w:name w:val="样式 表头 + 段前: 0.5 行 行距: 1.5 倍行距"/>
    <w:basedOn w:val="7"/>
    <w:qFormat/>
    <w:uiPriority w:val="0"/>
    <w:pPr>
      <w:keepNext w:val="0"/>
      <w:keepLines w:val="0"/>
      <w:widowControl/>
      <w:overflowPunct w:val="0"/>
      <w:autoSpaceDE w:val="0"/>
      <w:autoSpaceDN w:val="0"/>
      <w:spacing w:before="156" w:beforeLines="50" w:after="0" w:line="360" w:lineRule="auto"/>
      <w:ind w:firstLine="422" w:firstLineChars="200"/>
      <w:textAlignment w:val="bottom"/>
      <w:outlineLvl w:val="9"/>
    </w:pPr>
    <w:rPr>
      <w:rFonts w:ascii="黑体" w:hAnsi="宋体" w:eastAsia="黑体"/>
      <w:bCs/>
      <w:kern w:val="2"/>
      <w:sz w:val="21"/>
    </w:rPr>
  </w:style>
  <w:style w:type="paragraph" w:customStyle="1" w:styleId="2581">
    <w:name w:val="样式 (符号) 宋体 首行缩进:  0.93 厘米 段前: 6 磅 段后: 6 磅 行距: 固定值 18 磅1"/>
    <w:basedOn w:val="1"/>
    <w:qFormat/>
    <w:uiPriority w:val="0"/>
    <w:pPr>
      <w:spacing w:before="160" w:after="160" w:line="320" w:lineRule="exact"/>
      <w:ind w:firstLine="527"/>
    </w:pPr>
    <w:rPr>
      <w:rFonts w:hAnsi="宋体"/>
      <w:sz w:val="24"/>
      <w:szCs w:val="20"/>
    </w:rPr>
  </w:style>
  <w:style w:type="paragraph" w:customStyle="1" w:styleId="2582">
    <w:name w:val="样式 纯文本 + 黑体 首行缩进:  2 字符"/>
    <w:basedOn w:val="45"/>
    <w:qFormat/>
    <w:uiPriority w:val="0"/>
    <w:pPr>
      <w:tabs>
        <w:tab w:val="left" w:pos="900"/>
        <w:tab w:val="left" w:pos="1620"/>
      </w:tabs>
      <w:ind w:left="538" w:firstLine="480" w:firstLineChars="200"/>
    </w:pPr>
    <w:rPr>
      <w:rFonts w:ascii="黑体" w:cs="宋体"/>
      <w:b/>
      <w:bCs/>
      <w:kern w:val="0"/>
      <w:sz w:val="24"/>
    </w:rPr>
  </w:style>
  <w:style w:type="paragraph" w:customStyle="1" w:styleId="2583">
    <w:name w:val="样式 正文文本缩进 3 + 小四 段前: 6 磅 段后: 6 磅 行距: 1.5 倍行距"/>
    <w:basedOn w:val="70"/>
    <w:qFormat/>
    <w:uiPriority w:val="0"/>
    <w:pPr>
      <w:adjustRightInd w:val="0"/>
      <w:snapToGrid w:val="0"/>
      <w:spacing w:before="120" w:line="360" w:lineRule="auto"/>
      <w:ind w:left="0" w:leftChars="0" w:firstLine="480" w:firstLineChars="200"/>
    </w:pPr>
    <w:rPr>
      <w:rFonts w:cs="宋体" w:hAnsiTheme="minorHAnsi" w:eastAsiaTheme="minorEastAsia"/>
      <w:sz w:val="24"/>
      <w:szCs w:val="20"/>
    </w:rPr>
  </w:style>
  <w:style w:type="paragraph" w:customStyle="1" w:styleId="2584">
    <w:name w:val="样式 宋体 10 磅 左"/>
    <w:basedOn w:val="1"/>
    <w:qFormat/>
    <w:uiPriority w:val="0"/>
    <w:pPr>
      <w:spacing w:line="460" w:lineRule="exact"/>
      <w:ind w:firstLine="360" w:firstLineChars="150"/>
      <w:jc w:val="left"/>
    </w:pPr>
    <w:rPr>
      <w:rFonts w:ascii="宋体" w:hAnsi="宋体"/>
      <w:kern w:val="0"/>
      <w:sz w:val="24"/>
      <w:szCs w:val="20"/>
    </w:rPr>
  </w:style>
  <w:style w:type="paragraph" w:customStyle="1" w:styleId="2585">
    <w:name w:val="自动表头"/>
    <w:basedOn w:val="7"/>
    <w:link w:val="2586"/>
    <w:qFormat/>
    <w:uiPriority w:val="0"/>
    <w:pPr>
      <w:keepNext w:val="0"/>
      <w:keepLines w:val="0"/>
      <w:autoSpaceDE w:val="0"/>
      <w:autoSpaceDN w:val="0"/>
      <w:spacing w:before="120" w:beforeLines="50" w:after="120" w:afterLines="50" w:line="240" w:lineRule="auto"/>
      <w:jc w:val="center"/>
      <w:textAlignment w:val="auto"/>
      <w:outlineLvl w:val="9"/>
    </w:pPr>
    <w:rPr>
      <w:rFonts w:eastAsia="黑体"/>
      <w:b w:val="0"/>
      <w:color w:val="000000"/>
      <w:kern w:val="2"/>
      <w:sz w:val="21"/>
      <w:szCs w:val="21"/>
      <w:lang w:val="zh-CN"/>
    </w:rPr>
  </w:style>
  <w:style w:type="character" w:customStyle="1" w:styleId="2586">
    <w:name w:val="自动表头 Char"/>
    <w:link w:val="2585"/>
    <w:qFormat/>
    <w:uiPriority w:val="0"/>
    <w:rPr>
      <w:rFonts w:eastAsia="黑体"/>
      <w:color w:val="000000"/>
      <w:kern w:val="2"/>
      <w:sz w:val="21"/>
      <w:szCs w:val="21"/>
      <w:lang w:val="zh-CN"/>
    </w:rPr>
  </w:style>
  <w:style w:type="paragraph" w:customStyle="1" w:styleId="2587">
    <w:name w:val="样式 首行缩进:  1.01 厘米"/>
    <w:basedOn w:val="1"/>
    <w:link w:val="2588"/>
    <w:qFormat/>
    <w:uiPriority w:val="0"/>
    <w:pPr>
      <w:spacing w:line="460" w:lineRule="exact"/>
      <w:jc w:val="center"/>
    </w:pPr>
    <w:rPr>
      <w:rFonts w:ascii="黑体" w:eastAsia="黑体"/>
      <w:color w:val="000000"/>
      <w:sz w:val="28"/>
      <w:szCs w:val="28"/>
      <w:lang w:val="zh-CN"/>
    </w:rPr>
  </w:style>
  <w:style w:type="character" w:customStyle="1" w:styleId="2588">
    <w:name w:val="样式 首行缩进:  1.01 厘米 Char"/>
    <w:link w:val="2587"/>
    <w:qFormat/>
    <w:uiPriority w:val="0"/>
    <w:rPr>
      <w:rFonts w:ascii="黑体" w:eastAsia="黑体"/>
      <w:color w:val="000000"/>
      <w:kern w:val="2"/>
      <w:sz w:val="28"/>
      <w:szCs w:val="28"/>
      <w:lang w:val="zh-CN"/>
    </w:rPr>
  </w:style>
  <w:style w:type="paragraph" w:customStyle="1" w:styleId="2589">
    <w:name w:val="样式 样式 标题 4标题 14 + 自动设置 + 无下划线"/>
    <w:qFormat/>
    <w:uiPriority w:val="0"/>
    <w:pPr>
      <w:tabs>
        <w:tab w:val="left" w:pos="786"/>
        <w:tab w:val="left" w:pos="1080"/>
        <w:tab w:val="left" w:pos="1248"/>
      </w:tabs>
      <w:ind w:left="1248" w:hanging="708"/>
    </w:pPr>
    <w:rPr>
      <w:rFonts w:ascii="Times New Roman" w:hAnsi="Times New Roman" w:eastAsia="宋体" w:cs="Times New Roman"/>
      <w:lang w:val="en-US" w:eastAsia="zh-CN" w:bidi="ar-SA"/>
    </w:rPr>
  </w:style>
  <w:style w:type="paragraph" w:customStyle="1" w:styleId="2590">
    <w:name w:val="样式 标题 4标题 14 + 自动设置"/>
    <w:basedOn w:val="6"/>
    <w:qFormat/>
    <w:uiPriority w:val="0"/>
    <w:pPr>
      <w:keepLines w:val="0"/>
      <w:tabs>
        <w:tab w:val="left" w:pos="786"/>
        <w:tab w:val="left" w:pos="1080"/>
      </w:tabs>
      <w:adjustRightInd w:val="0"/>
      <w:snapToGrid w:val="0"/>
      <w:spacing w:before="0" w:after="0" w:line="240" w:lineRule="auto"/>
      <w:ind w:left="851" w:hanging="851" w:hangingChars="200"/>
    </w:pPr>
    <w:rPr>
      <w:rFonts w:ascii="Times New Roman" w:hAnsi="Times New Roman"/>
      <w:b w:val="0"/>
      <w:bCs w:val="0"/>
      <w:color w:val="FF0000"/>
      <w:sz w:val="24"/>
      <w:szCs w:val="24"/>
      <w:u w:val="single"/>
    </w:rPr>
  </w:style>
  <w:style w:type="paragraph" w:customStyle="1" w:styleId="2591">
    <w:name w:val="样式 标题 4标题 14 + 加粗 无下划线 自动设置 段前: 3 磅 段后: 10 磅4"/>
    <w:basedOn w:val="6"/>
    <w:qFormat/>
    <w:uiPriority w:val="0"/>
    <w:pPr>
      <w:keepLines w:val="0"/>
      <w:tabs>
        <w:tab w:val="left" w:pos="786"/>
        <w:tab w:val="left" w:pos="1080"/>
        <w:tab w:val="left" w:pos="1248"/>
      </w:tabs>
      <w:adjustRightInd w:val="0"/>
      <w:snapToGrid w:val="0"/>
      <w:spacing w:before="60" w:after="200" w:line="240" w:lineRule="auto"/>
      <w:ind w:left="1248" w:hanging="708" w:hangingChars="200"/>
    </w:pPr>
    <w:rPr>
      <w:rFonts w:ascii="Times New Roman" w:hAnsi="Times New Roman" w:eastAsia="宋体"/>
      <w:color w:val="FF0000"/>
      <w:sz w:val="24"/>
      <w:szCs w:val="20"/>
    </w:rPr>
  </w:style>
  <w:style w:type="character" w:customStyle="1" w:styleId="2592">
    <w:name w:val="a141"/>
    <w:qFormat/>
    <w:uiPriority w:val="0"/>
    <w:rPr>
      <w:sz w:val="21"/>
      <w:szCs w:val="21"/>
    </w:rPr>
  </w:style>
  <w:style w:type="character" w:customStyle="1" w:styleId="2593">
    <w:name w:val="linkred021"/>
    <w:qFormat/>
    <w:uiPriority w:val="0"/>
    <w:rPr>
      <w:color w:val="A20010"/>
    </w:rPr>
  </w:style>
  <w:style w:type="character" w:customStyle="1" w:styleId="2594">
    <w:name w:val="link14pp1"/>
    <w:qFormat/>
    <w:uiPriority w:val="0"/>
    <w:rPr>
      <w:color w:val="000000"/>
      <w:sz w:val="21"/>
      <w:szCs w:val="21"/>
    </w:rPr>
  </w:style>
  <w:style w:type="paragraph" w:customStyle="1" w:styleId="2595">
    <w:name w:val="自动表格内部"/>
    <w:basedOn w:val="1"/>
    <w:qFormat/>
    <w:uiPriority w:val="0"/>
    <w:pPr>
      <w:adjustRightInd w:val="0"/>
      <w:snapToGrid w:val="0"/>
      <w:jc w:val="center"/>
    </w:pPr>
    <w:rPr>
      <w:szCs w:val="21"/>
    </w:rPr>
  </w:style>
  <w:style w:type="paragraph" w:customStyle="1" w:styleId="2596">
    <w:name w:val="样式 标题2YHY + 黑色 段前: 0.5 行 段后: 0.5 行"/>
    <w:basedOn w:val="1"/>
    <w:qFormat/>
    <w:uiPriority w:val="0"/>
    <w:pPr>
      <w:keepNext/>
      <w:keepLines/>
      <w:spacing w:before="120" w:beforeLines="50" w:after="120" w:afterLines="50" w:line="360" w:lineRule="auto"/>
      <w:outlineLvl w:val="1"/>
    </w:pPr>
    <w:rPr>
      <w:rFonts w:ascii="Arial" w:hAnsi="Arial" w:eastAsia="黑体" w:cs="宋体"/>
      <w:b/>
      <w:bCs/>
      <w:color w:val="000000"/>
      <w:sz w:val="28"/>
      <w:szCs w:val="20"/>
    </w:rPr>
  </w:style>
  <w:style w:type="paragraph" w:customStyle="1" w:styleId="2597">
    <w:name w:val="样式 标题3YHY + 黑色 段前: 0.5 行 段后: 0.5 行"/>
    <w:basedOn w:val="1"/>
    <w:link w:val="2598"/>
    <w:qFormat/>
    <w:uiPriority w:val="0"/>
    <w:pPr>
      <w:keepNext/>
      <w:keepLines/>
      <w:spacing w:before="120" w:beforeLines="50" w:after="120" w:afterLines="50" w:line="360" w:lineRule="auto"/>
      <w:outlineLvl w:val="2"/>
    </w:pPr>
    <w:rPr>
      <w:b/>
      <w:bCs/>
      <w:color w:val="000000"/>
      <w:sz w:val="24"/>
      <w:szCs w:val="20"/>
      <w:lang w:val="zh-CN"/>
    </w:rPr>
  </w:style>
  <w:style w:type="character" w:customStyle="1" w:styleId="2598">
    <w:name w:val="样式 标题3YHY + 黑色 段前: 0.5 行 段后: 0.5 行 Char"/>
    <w:link w:val="2597"/>
    <w:qFormat/>
    <w:uiPriority w:val="0"/>
    <w:rPr>
      <w:b/>
      <w:bCs/>
      <w:color w:val="000000"/>
      <w:kern w:val="2"/>
      <w:sz w:val="24"/>
      <w:lang w:val="zh-CN"/>
    </w:rPr>
  </w:style>
  <w:style w:type="paragraph" w:customStyle="1" w:styleId="2599">
    <w:name w:val="表头HYL"/>
    <w:basedOn w:val="1"/>
    <w:qFormat/>
    <w:uiPriority w:val="0"/>
    <w:pPr>
      <w:widowControl/>
      <w:spacing w:line="360" w:lineRule="auto"/>
      <w:jc w:val="center"/>
    </w:pPr>
    <w:rPr>
      <w:rFonts w:ascii="黑体" w:hAnsi="宋体" w:eastAsia="黑体" w:cs="宋体"/>
      <w:kern w:val="0"/>
      <w:szCs w:val="21"/>
    </w:rPr>
  </w:style>
  <w:style w:type="paragraph" w:customStyle="1" w:styleId="2600">
    <w:name w:val="样式28"/>
    <w:basedOn w:val="1"/>
    <w:link w:val="2601"/>
    <w:qFormat/>
    <w:uiPriority w:val="0"/>
    <w:pPr>
      <w:spacing w:line="360" w:lineRule="auto"/>
      <w:ind w:firstLine="480" w:firstLineChars="200"/>
    </w:pPr>
    <w:rPr>
      <w:sz w:val="24"/>
      <w:lang w:val="zh-CN"/>
    </w:rPr>
  </w:style>
  <w:style w:type="character" w:customStyle="1" w:styleId="2601">
    <w:name w:val="样式28 Char"/>
    <w:link w:val="2600"/>
    <w:qFormat/>
    <w:uiPriority w:val="0"/>
    <w:rPr>
      <w:kern w:val="2"/>
      <w:sz w:val="24"/>
      <w:szCs w:val="24"/>
      <w:lang w:val="zh-CN"/>
    </w:rPr>
  </w:style>
  <w:style w:type="paragraph" w:customStyle="1" w:styleId="2602">
    <w:name w:val="_Style 49"/>
    <w:basedOn w:val="1"/>
    <w:next w:val="21"/>
    <w:uiPriority w:val="0"/>
    <w:pPr>
      <w:spacing w:line="440" w:lineRule="exact"/>
      <w:ind w:firstLine="420" w:firstLineChars="200"/>
    </w:pPr>
    <w:rPr>
      <w:sz w:val="24"/>
      <w:szCs w:val="20"/>
    </w:rPr>
  </w:style>
  <w:style w:type="paragraph" w:customStyle="1" w:styleId="2603">
    <w:name w:val="我的标题3"/>
    <w:basedOn w:val="1"/>
    <w:qFormat/>
    <w:uiPriority w:val="0"/>
    <w:rPr>
      <w:rFonts w:eastAsia="黑体"/>
      <w:sz w:val="28"/>
      <w:szCs w:val="20"/>
    </w:rPr>
  </w:style>
  <w:style w:type="paragraph" w:customStyle="1" w:styleId="2604">
    <w:name w:val="赵正文"/>
    <w:basedOn w:val="1"/>
    <w:qFormat/>
    <w:uiPriority w:val="0"/>
    <w:pPr>
      <w:ind w:firstLine="200" w:firstLineChars="200"/>
      <w:jc w:val="left"/>
    </w:pPr>
    <w:rPr>
      <w:bCs/>
      <w:sz w:val="24"/>
    </w:rPr>
  </w:style>
  <w:style w:type="paragraph" w:customStyle="1" w:styleId="2605">
    <w:name w:val="标题3YHY"/>
    <w:basedOn w:val="5"/>
    <w:next w:val="6"/>
    <w:link w:val="2606"/>
    <w:qFormat/>
    <w:uiPriority w:val="0"/>
    <w:pPr>
      <w:tabs>
        <w:tab w:val="left" w:pos="720"/>
        <w:tab w:val="left" w:pos="786"/>
      </w:tabs>
      <w:spacing w:before="50" w:beforeLines="50" w:after="50" w:afterLines="50" w:line="360" w:lineRule="auto"/>
      <w:ind w:left="786" w:hanging="360" w:hangingChars="200"/>
    </w:pPr>
    <w:rPr>
      <w:bCs w:val="0"/>
      <w:sz w:val="24"/>
      <w:szCs w:val="24"/>
      <w:lang w:val="zh-CN"/>
    </w:rPr>
  </w:style>
  <w:style w:type="character" w:customStyle="1" w:styleId="2606">
    <w:name w:val="标题3YHY Char"/>
    <w:link w:val="2605"/>
    <w:qFormat/>
    <w:uiPriority w:val="0"/>
    <w:rPr>
      <w:b/>
      <w:kern w:val="2"/>
      <w:sz w:val="24"/>
      <w:szCs w:val="24"/>
      <w:lang w:val="zh-CN"/>
    </w:rPr>
  </w:style>
  <w:style w:type="paragraph" w:customStyle="1" w:styleId="2607">
    <w:name w:val="样式 标准正文 + 首行缩进:  2 字符"/>
    <w:basedOn w:val="1"/>
    <w:qFormat/>
    <w:uiPriority w:val="0"/>
    <w:pPr>
      <w:spacing w:line="500" w:lineRule="exact"/>
      <w:ind w:firstLine="200" w:firstLineChars="200"/>
    </w:pPr>
    <w:rPr>
      <w:rFonts w:ascii="宋体" w:hAnsi="宋体" w:cs="宋体"/>
      <w:snapToGrid w:val="0"/>
      <w:color w:val="000000"/>
      <w:kern w:val="0"/>
      <w:sz w:val="28"/>
      <w:szCs w:val="20"/>
    </w:rPr>
  </w:style>
  <w:style w:type="character" w:customStyle="1" w:styleId="2608">
    <w:name w:val="g1"/>
    <w:qFormat/>
    <w:uiPriority w:val="0"/>
    <w:rPr>
      <w:rFonts w:hint="default" w:ascii="ˎ̥" w:hAnsi="ˎ̥"/>
      <w:color w:val="000000"/>
      <w:sz w:val="21"/>
      <w:szCs w:val="21"/>
      <w:u w:val="none"/>
    </w:rPr>
  </w:style>
  <w:style w:type="character" w:customStyle="1" w:styleId="2609">
    <w:name w:val="标题 14 Char"/>
    <w:qFormat/>
    <w:uiPriority w:val="0"/>
    <w:rPr>
      <w:rFonts w:ascii="Arial" w:hAnsi="Arial" w:eastAsia="黑体"/>
      <w:b/>
      <w:bCs/>
      <w:kern w:val="2"/>
      <w:sz w:val="28"/>
      <w:szCs w:val="28"/>
      <w:lang w:val="en-US" w:eastAsia="zh-CN" w:bidi="ar-SA"/>
    </w:rPr>
  </w:style>
  <w:style w:type="paragraph" w:customStyle="1" w:styleId="2610">
    <w:name w:val="样式 正文缩进 + 首行缩进:  2 字符"/>
    <w:basedOn w:val="21"/>
    <w:qFormat/>
    <w:uiPriority w:val="0"/>
    <w:pPr>
      <w:tabs>
        <w:tab w:val="left" w:pos="0"/>
      </w:tabs>
      <w:overflowPunct w:val="0"/>
      <w:autoSpaceDE w:val="0"/>
      <w:autoSpaceDN w:val="0"/>
      <w:spacing w:line="360" w:lineRule="auto"/>
      <w:ind w:left="-50" w:firstLine="480" w:firstLineChars="200"/>
      <w:jc w:val="left"/>
      <w:textAlignment w:val="bottom"/>
    </w:pPr>
    <w:rPr>
      <w:rFonts w:cs="宋体"/>
      <w:kern w:val="0"/>
      <w:sz w:val="24"/>
      <w:szCs w:val="24"/>
    </w:rPr>
  </w:style>
  <w:style w:type="paragraph" w:customStyle="1" w:styleId="2611">
    <w:name w:val="小节标题"/>
    <w:basedOn w:val="1"/>
    <w:qFormat/>
    <w:uiPriority w:val="0"/>
    <w:pPr>
      <w:spacing w:before="175" w:after="102" w:line="351" w:lineRule="atLeast"/>
      <w:textAlignment w:val="baseline"/>
    </w:pPr>
    <w:rPr>
      <w:rFonts w:eastAsia="黑体"/>
      <w:szCs w:val="20"/>
      <w:u w:color="000000"/>
    </w:rPr>
  </w:style>
  <w:style w:type="paragraph" w:customStyle="1" w:styleId="2612">
    <w:name w:val="WPS Plain"/>
    <w:qFormat/>
    <w:uiPriority w:val="0"/>
    <w:rPr>
      <w:rFonts w:ascii="Times New Roman" w:hAnsi="Times New Roman" w:eastAsia="宋体" w:cs="Times New Roman"/>
      <w:lang w:val="en-US" w:eastAsia="zh-CN" w:bidi="ar-SA"/>
    </w:rPr>
  </w:style>
  <w:style w:type="paragraph" w:customStyle="1" w:styleId="2613">
    <w:name w:val="样式  + 宋体"/>
    <w:basedOn w:val="1"/>
    <w:qFormat/>
    <w:uiPriority w:val="0"/>
    <w:rPr>
      <w:sz w:val="24"/>
      <w:szCs w:val="20"/>
    </w:rPr>
  </w:style>
  <w:style w:type="paragraph" w:customStyle="1" w:styleId="2614">
    <w:name w:val="1文章"/>
    <w:basedOn w:val="1"/>
    <w:qFormat/>
    <w:uiPriority w:val="0"/>
    <w:pPr>
      <w:snapToGrid w:val="0"/>
      <w:spacing w:line="360" w:lineRule="auto"/>
      <w:ind w:firstLine="567"/>
    </w:pPr>
    <w:rPr>
      <w:rFonts w:eastAsia="楷体_GB2312"/>
      <w:sz w:val="28"/>
      <w:szCs w:val="20"/>
    </w:rPr>
  </w:style>
  <w:style w:type="paragraph" w:customStyle="1" w:styleId="2615">
    <w:name w:val="T正文"/>
    <w:qFormat/>
    <w:uiPriority w:val="0"/>
    <w:pPr>
      <w:widowControl w:val="0"/>
      <w:adjustRightInd w:val="0"/>
      <w:snapToGrid w:val="0"/>
      <w:spacing w:line="360" w:lineRule="auto"/>
      <w:ind w:firstLine="200" w:firstLineChars="200"/>
      <w:jc w:val="both"/>
    </w:pPr>
    <w:rPr>
      <w:rFonts w:ascii="Times New Roman" w:hAnsi="Times New Roman" w:eastAsia="仿宋_GB2312" w:cs="Times New Roman"/>
      <w:sz w:val="28"/>
      <w:lang w:val="en-US" w:eastAsia="zh-CN" w:bidi="ar-SA"/>
    </w:rPr>
  </w:style>
  <w:style w:type="character" w:customStyle="1" w:styleId="2616">
    <w:name w:val="bodyfont"/>
    <w:qFormat/>
    <w:uiPriority w:val="0"/>
  </w:style>
  <w:style w:type="paragraph" w:customStyle="1" w:styleId="2617">
    <w:name w:val="样式 Table Content + 宋体 五号"/>
    <w:basedOn w:val="1"/>
    <w:qFormat/>
    <w:uiPriority w:val="0"/>
    <w:pPr>
      <w:autoSpaceDE w:val="0"/>
      <w:autoSpaceDN w:val="0"/>
      <w:adjustRightInd w:val="0"/>
      <w:snapToGrid w:val="0"/>
      <w:jc w:val="center"/>
    </w:pPr>
    <w:rPr>
      <w:szCs w:val="28"/>
    </w:rPr>
  </w:style>
  <w:style w:type="paragraph" w:customStyle="1" w:styleId="2618">
    <w:name w:val="表头名称"/>
    <w:basedOn w:val="21"/>
    <w:link w:val="2619"/>
    <w:qFormat/>
    <w:uiPriority w:val="0"/>
    <w:pPr>
      <w:autoSpaceDE w:val="0"/>
      <w:autoSpaceDN w:val="0"/>
      <w:adjustRightInd w:val="0"/>
      <w:spacing w:line="240" w:lineRule="atLeast"/>
      <w:ind w:firstLine="0"/>
      <w:jc w:val="center"/>
    </w:pPr>
    <w:rPr>
      <w:kern w:val="0"/>
      <w:sz w:val="21"/>
      <w:szCs w:val="21"/>
      <w:lang w:val="zh-CN"/>
    </w:rPr>
  </w:style>
  <w:style w:type="character" w:customStyle="1" w:styleId="2619">
    <w:name w:val="表头名称 Char"/>
    <w:link w:val="2618"/>
    <w:qFormat/>
    <w:uiPriority w:val="0"/>
    <w:rPr>
      <w:sz w:val="21"/>
      <w:szCs w:val="21"/>
      <w:lang w:val="zh-CN"/>
    </w:rPr>
  </w:style>
  <w:style w:type="paragraph" w:customStyle="1" w:styleId="2620">
    <w:name w:val="样式 标题 3 + 宋体 四号 段前: 0 磅 段后: 0 磅 行距: 单倍行距"/>
    <w:basedOn w:val="5"/>
    <w:qFormat/>
    <w:uiPriority w:val="0"/>
    <w:pPr>
      <w:tabs>
        <w:tab w:val="left" w:pos="720"/>
        <w:tab w:val="left" w:pos="786"/>
      </w:tabs>
      <w:spacing w:before="0" w:after="0" w:line="240" w:lineRule="auto"/>
      <w:ind w:left="786" w:hanging="360" w:hangingChars="200"/>
    </w:pPr>
    <w:rPr>
      <w:rFonts w:ascii="宋体" w:hAnsi="宋体" w:cs="宋体"/>
      <w:b w:val="0"/>
      <w:bCs w:val="0"/>
      <w:sz w:val="28"/>
      <w:szCs w:val="28"/>
    </w:rPr>
  </w:style>
  <w:style w:type="paragraph" w:customStyle="1" w:styleId="2621">
    <w:name w:val="样式 样式 标题 1标题 11一、 + 自动设置 + 段前: 0.1 行 段后: 0.1 行"/>
    <w:basedOn w:val="1"/>
    <w:qFormat/>
    <w:uiPriority w:val="0"/>
    <w:pPr>
      <w:keepNext/>
      <w:keepLines/>
      <w:tabs>
        <w:tab w:val="left" w:pos="360"/>
      </w:tabs>
      <w:spacing w:before="120" w:beforeLines="50" w:after="120" w:afterLines="50" w:line="360" w:lineRule="auto"/>
      <w:outlineLvl w:val="0"/>
    </w:pPr>
    <w:rPr>
      <w:rFonts w:ascii="黑体" w:hAnsi="宋体" w:eastAsia="黑体" w:cs="宋体"/>
      <w:bCs/>
      <w:kern w:val="44"/>
      <w:sz w:val="30"/>
      <w:szCs w:val="20"/>
    </w:rPr>
  </w:style>
  <w:style w:type="paragraph" w:customStyle="1" w:styleId="2622">
    <w:name w:val="标题 22"/>
    <w:basedOn w:val="1"/>
    <w:next w:val="1"/>
    <w:qFormat/>
    <w:uiPriority w:val="0"/>
    <w:pPr>
      <w:keepNext/>
      <w:keepLines/>
      <w:spacing w:before="200" w:after="200"/>
      <w:outlineLvl w:val="1"/>
    </w:pPr>
    <w:rPr>
      <w:rFonts w:ascii="Arial" w:hAnsi="Arial" w:eastAsia="黑体"/>
      <w:bCs/>
      <w:sz w:val="28"/>
      <w:szCs w:val="32"/>
    </w:rPr>
  </w:style>
  <w:style w:type="paragraph" w:customStyle="1" w:styleId="2623">
    <w:name w:val="样式 标题 4标题 14 + 左侧:  0 厘米 首行缩进:  0 厘米"/>
    <w:basedOn w:val="6"/>
    <w:qFormat/>
    <w:uiPriority w:val="0"/>
    <w:pPr>
      <w:tabs>
        <w:tab w:val="left" w:pos="786"/>
        <w:tab w:val="left" w:pos="1080"/>
      </w:tabs>
      <w:spacing w:before="80" w:after="160" w:line="240" w:lineRule="auto"/>
      <w:ind w:left="786" w:hanging="360" w:hangingChars="200"/>
    </w:pPr>
    <w:rPr>
      <w:rFonts w:ascii="宋体" w:hAnsi="宋体" w:eastAsia="宋体" w:cs="宋体"/>
      <w:bCs w:val="0"/>
      <w:color w:val="FF0000"/>
      <w:sz w:val="24"/>
      <w:szCs w:val="20"/>
    </w:rPr>
  </w:style>
  <w:style w:type="paragraph" w:customStyle="1" w:styleId="2624">
    <w:name w:val="样式 标题 4标题 14 + 宋体 小四 非加粗 黑色"/>
    <w:basedOn w:val="6"/>
    <w:qFormat/>
    <w:uiPriority w:val="0"/>
    <w:pPr>
      <w:tabs>
        <w:tab w:val="left" w:pos="786"/>
        <w:tab w:val="left" w:pos="1080"/>
      </w:tabs>
      <w:spacing w:before="80" w:after="160" w:line="240" w:lineRule="auto"/>
      <w:ind w:left="851" w:hanging="851" w:hangingChars="200"/>
    </w:pPr>
    <w:rPr>
      <w:rFonts w:ascii="宋体" w:hAnsi="宋体" w:eastAsia="宋体"/>
      <w:color w:val="000000"/>
      <w:sz w:val="24"/>
    </w:rPr>
  </w:style>
  <w:style w:type="paragraph" w:customStyle="1" w:styleId="2625">
    <w:name w:val="样式 标题 4标题 14 + 宋体 小四 非加粗 黑色1"/>
    <w:basedOn w:val="6"/>
    <w:qFormat/>
    <w:uiPriority w:val="0"/>
    <w:pPr>
      <w:tabs>
        <w:tab w:val="left" w:pos="786"/>
        <w:tab w:val="left" w:pos="1080"/>
      </w:tabs>
      <w:spacing w:before="80" w:after="160" w:line="240" w:lineRule="auto"/>
      <w:ind w:left="851" w:hanging="851" w:hangingChars="200"/>
    </w:pPr>
    <w:rPr>
      <w:rFonts w:ascii="宋体" w:hAnsi="宋体" w:eastAsia="宋体"/>
      <w:color w:val="000000"/>
      <w:sz w:val="24"/>
    </w:rPr>
  </w:style>
  <w:style w:type="paragraph" w:customStyle="1" w:styleId="2626">
    <w:name w:val="样式 正文缩进ÕýÎÄ1正文1文本正文（首行缩进两字）s4 Chars4表正文正文非缩进图标题特点正文（首..."/>
    <w:basedOn w:val="21"/>
    <w:qFormat/>
    <w:uiPriority w:val="0"/>
    <w:pPr>
      <w:overflowPunct w:val="0"/>
      <w:autoSpaceDE w:val="0"/>
      <w:autoSpaceDN w:val="0"/>
      <w:spacing w:before="50" w:beforeLines="50" w:after="50" w:afterLines="50" w:line="360" w:lineRule="auto"/>
      <w:ind w:left="-50" w:firstLine="200" w:firstLineChars="200"/>
      <w:jc w:val="left"/>
      <w:textAlignment w:val="bottom"/>
    </w:pPr>
    <w:rPr>
      <w:rFonts w:cs="宋体"/>
      <w:color w:val="000000"/>
      <w:kern w:val="0"/>
      <w:sz w:val="24"/>
    </w:rPr>
  </w:style>
  <w:style w:type="paragraph" w:customStyle="1" w:styleId="2627">
    <w:name w:val="样式 样式 正文缩进ÕýÎÄ1正文1文本正文（首行缩进两字）s4 Chars4表正文正文非缩进图标题特点正文（首... + 首行..."/>
    <w:basedOn w:val="2626"/>
    <w:qFormat/>
    <w:uiPriority w:val="0"/>
    <w:pPr>
      <w:spacing w:before="120" w:after="120"/>
      <w:ind w:firstLine="0" w:firstLineChars="0"/>
      <w:jc w:val="center"/>
    </w:pPr>
    <w:rPr>
      <w:rFonts w:ascii="宋体" w:hAnsi="宋体" w:cs="Times New Roman"/>
      <w:b/>
      <w:bCs/>
      <w:caps/>
      <w:color w:val="auto"/>
      <w:kern w:val="2"/>
      <w:sz w:val="28"/>
      <w:szCs w:val="28"/>
    </w:rPr>
  </w:style>
  <w:style w:type="paragraph" w:customStyle="1" w:styleId="2628">
    <w:name w:val="样式 左 行距: 1.5 倍行距"/>
    <w:basedOn w:val="1"/>
    <w:qFormat/>
    <w:uiPriority w:val="0"/>
    <w:pPr>
      <w:spacing w:before="50" w:beforeLines="50" w:after="50" w:afterLines="50" w:line="360" w:lineRule="auto"/>
      <w:ind w:firstLine="200" w:firstLineChars="200"/>
      <w:jc w:val="left"/>
    </w:pPr>
    <w:rPr>
      <w:rFonts w:cs="宋体"/>
      <w:szCs w:val="20"/>
    </w:rPr>
  </w:style>
  <w:style w:type="paragraph" w:customStyle="1" w:styleId="2629">
    <w:name w:val="样式 小四 左 右侧:  0.19 厘米 行距: 1.5 倍行距"/>
    <w:basedOn w:val="1"/>
    <w:qFormat/>
    <w:uiPriority w:val="0"/>
    <w:pPr>
      <w:numPr>
        <w:ilvl w:val="1"/>
        <w:numId w:val="35"/>
      </w:numPr>
      <w:tabs>
        <w:tab w:val="clear" w:pos="576"/>
      </w:tabs>
      <w:spacing w:before="50" w:beforeLines="50" w:after="50" w:afterLines="50" w:line="360" w:lineRule="auto"/>
      <w:ind w:left="0" w:firstLine="200" w:firstLineChars="200"/>
    </w:pPr>
    <w:rPr>
      <w:rFonts w:cs="宋体"/>
      <w:sz w:val="24"/>
      <w:szCs w:val="20"/>
    </w:rPr>
  </w:style>
  <w:style w:type="paragraph" w:customStyle="1" w:styleId="2630">
    <w:name w:val="样式 样式 正文缩进 + 首行缩进:  2 字符 + 首行缩进:  2 字符"/>
    <w:basedOn w:val="2610"/>
    <w:qFormat/>
    <w:uiPriority w:val="0"/>
    <w:rPr>
      <w:rFonts w:ascii="宋体" w:hAnsi="宋体"/>
    </w:rPr>
  </w:style>
  <w:style w:type="paragraph" w:customStyle="1" w:styleId="2631">
    <w:name w:val="样式 标题 2标题 121标题 21节节标题 1.1节标题 + 黑体 加粗 自动设置 段前: 12 磅 段后..."/>
    <w:basedOn w:val="1"/>
    <w:qFormat/>
    <w:uiPriority w:val="0"/>
    <w:pPr>
      <w:tabs>
        <w:tab w:val="left" w:pos="794"/>
      </w:tabs>
      <w:ind w:left="567" w:hanging="567"/>
    </w:pPr>
    <w:rPr>
      <w:rFonts w:ascii="宋体" w:hAnsi="宋体"/>
      <w:color w:val="000000"/>
      <w:szCs w:val="21"/>
    </w:rPr>
  </w:style>
  <w:style w:type="paragraph" w:customStyle="1" w:styleId="2632">
    <w:name w:val="样式 标题 4标题 14 + 左侧:  0.51 厘米 首行缩进:  0 厘米"/>
    <w:basedOn w:val="1"/>
    <w:qFormat/>
    <w:uiPriority w:val="0"/>
    <w:rPr>
      <w:rFonts w:ascii="宋体" w:hAnsi="宋体"/>
      <w:color w:val="000000"/>
      <w:szCs w:val="21"/>
    </w:rPr>
  </w:style>
  <w:style w:type="paragraph" w:customStyle="1" w:styleId="2633">
    <w:name w:val="样式 标题 1标题 11一、 + 段前: 0.1 行 段后: 0.1 行"/>
    <w:basedOn w:val="3"/>
    <w:qFormat/>
    <w:uiPriority w:val="0"/>
    <w:pPr>
      <w:keepNext/>
      <w:keepLines/>
      <w:tabs>
        <w:tab w:val="left" w:pos="425"/>
        <w:tab w:val="left" w:pos="786"/>
      </w:tabs>
      <w:adjustRightInd/>
      <w:snapToGrid/>
      <w:spacing w:before="50" w:beforeLines="50" w:after="50" w:afterLines="50" w:line="360" w:lineRule="auto"/>
      <w:ind w:left="425" w:hanging="425"/>
      <w:jc w:val="both"/>
    </w:pPr>
    <w:rPr>
      <w:rFonts w:ascii="黑体" w:hAnsi="宋体" w:eastAsia="黑体" w:cs="宋体"/>
      <w:b w:val="0"/>
      <w:bCs w:val="0"/>
      <w:color w:val="000000"/>
      <w:sz w:val="30"/>
      <w:szCs w:val="20"/>
    </w:rPr>
  </w:style>
  <w:style w:type="character" w:customStyle="1" w:styleId="2634">
    <w:name w:val="正文 + 首行缩进:  2 字符 Char"/>
    <w:qFormat/>
    <w:uiPriority w:val="0"/>
    <w:rPr>
      <w:rFonts w:eastAsia="宋体" w:cs="宋体"/>
      <w:kern w:val="2"/>
      <w:sz w:val="24"/>
      <w:lang w:val="en-US" w:eastAsia="zh-CN" w:bidi="ar-SA"/>
    </w:rPr>
  </w:style>
  <w:style w:type="character" w:customStyle="1" w:styleId="2635">
    <w:name w:val="blue161"/>
    <w:qFormat/>
    <w:uiPriority w:val="0"/>
    <w:rPr>
      <w:rFonts w:hint="default" w:ascii="ˎ̥" w:hAnsi="ˎ̥"/>
      <w:color w:val="333333"/>
      <w:sz w:val="23"/>
      <w:szCs w:val="23"/>
    </w:rPr>
  </w:style>
  <w:style w:type="paragraph" w:customStyle="1" w:styleId="2636">
    <w:name w:val="样式 标题 1标题 11一、 + 自动设置"/>
    <w:basedOn w:val="3"/>
    <w:qFormat/>
    <w:uiPriority w:val="0"/>
    <w:pPr>
      <w:keepNext/>
      <w:keepLines/>
      <w:tabs>
        <w:tab w:val="left" w:pos="425"/>
        <w:tab w:val="left" w:pos="786"/>
      </w:tabs>
      <w:adjustRightInd/>
      <w:snapToGrid/>
      <w:spacing w:before="31" w:beforeLines="10" w:after="31" w:afterLines="10" w:line="240" w:lineRule="auto"/>
      <w:ind w:left="425" w:hanging="425"/>
      <w:jc w:val="both"/>
    </w:pPr>
    <w:rPr>
      <w:rFonts w:ascii="黑体" w:hAnsi="宋体" w:eastAsia="黑体"/>
      <w:b w:val="0"/>
      <w:sz w:val="30"/>
      <w:szCs w:val="30"/>
    </w:rPr>
  </w:style>
  <w:style w:type="paragraph" w:customStyle="1" w:styleId="2637">
    <w:name w:val="样式 标题 4标题 14 + 小四 加粗 左侧:  0.51 厘米 首行缩进:  0 厘米"/>
    <w:basedOn w:val="6"/>
    <w:qFormat/>
    <w:uiPriority w:val="0"/>
    <w:pPr>
      <w:tabs>
        <w:tab w:val="left" w:pos="360"/>
        <w:tab w:val="left" w:pos="1080"/>
        <w:tab w:val="left" w:pos="2160"/>
      </w:tabs>
      <w:spacing w:before="80" w:after="160" w:line="240" w:lineRule="auto"/>
      <w:ind w:left="288"/>
    </w:pPr>
    <w:rPr>
      <w:rFonts w:ascii="宋体" w:hAnsi="宋体" w:eastAsia="宋体" w:cs="宋体"/>
      <w:b w:val="0"/>
      <w:color w:val="000000"/>
      <w:sz w:val="24"/>
      <w:szCs w:val="20"/>
    </w:rPr>
  </w:style>
  <w:style w:type="paragraph" w:customStyle="1" w:styleId="2638">
    <w:name w:val="样式 样式 标题 4 + 宋体 小四 非加粗 + 黑色 段前: 0 磅 段后: 0 磅 行距: 1.5 倍行距"/>
    <w:basedOn w:val="2562"/>
    <w:qFormat/>
    <w:uiPriority w:val="0"/>
    <w:pPr>
      <w:tabs>
        <w:tab w:val="left" w:pos="1620"/>
      </w:tabs>
      <w:spacing w:before="0" w:after="0" w:line="360" w:lineRule="auto"/>
      <w:ind w:left="1620" w:hanging="360"/>
    </w:pPr>
    <w:rPr>
      <w:rFonts w:cs="宋体"/>
      <w:color w:val="000000"/>
      <w:szCs w:val="20"/>
    </w:rPr>
  </w:style>
  <w:style w:type="paragraph" w:customStyle="1" w:styleId="2639">
    <w:name w:val="样式 行距: 多倍行距 1.3 字行"/>
    <w:basedOn w:val="1"/>
    <w:qFormat/>
    <w:uiPriority w:val="0"/>
    <w:pPr>
      <w:spacing w:line="360" w:lineRule="auto"/>
      <w:ind w:firstLine="200" w:firstLineChars="200"/>
    </w:pPr>
    <w:rPr>
      <w:rFonts w:ascii="宋体" w:hAnsi="宋体" w:cs="宋体"/>
      <w:color w:val="000000"/>
      <w:szCs w:val="20"/>
    </w:rPr>
  </w:style>
  <w:style w:type="paragraph" w:customStyle="1" w:styleId="2640">
    <w:name w:val="样式 样式 行距: 多倍行距 1.3 字行 + 首行缩进:  2 字符"/>
    <w:basedOn w:val="2639"/>
    <w:qFormat/>
    <w:uiPriority w:val="0"/>
    <w:rPr>
      <w:sz w:val="24"/>
    </w:rPr>
  </w:style>
  <w:style w:type="paragraph" w:customStyle="1" w:styleId="2641">
    <w:name w:val="正正文"/>
    <w:basedOn w:val="1"/>
    <w:qFormat/>
    <w:uiPriority w:val="0"/>
    <w:pPr>
      <w:adjustRightInd w:val="0"/>
      <w:snapToGrid w:val="0"/>
      <w:spacing w:line="360" w:lineRule="auto"/>
      <w:ind w:firstLine="200" w:firstLineChars="200"/>
    </w:pPr>
    <w:rPr>
      <w:sz w:val="28"/>
    </w:rPr>
  </w:style>
  <w:style w:type="paragraph" w:customStyle="1" w:styleId="2642">
    <w:name w:val="正文-1"/>
    <w:basedOn w:val="1"/>
    <w:qFormat/>
    <w:uiPriority w:val="0"/>
    <w:pPr>
      <w:spacing w:line="580" w:lineRule="exact"/>
      <w:ind w:firstLine="560" w:firstLineChars="200"/>
    </w:pPr>
    <w:rPr>
      <w:bCs/>
      <w:sz w:val="28"/>
    </w:rPr>
  </w:style>
  <w:style w:type="paragraph" w:customStyle="1" w:styleId="2643">
    <w:name w:val="样式 样式 正文缩进 + 首行缩进:  2 字符 + 首行缩进:  2.5 字符"/>
    <w:basedOn w:val="2610"/>
    <w:qFormat/>
    <w:uiPriority w:val="0"/>
    <w:pPr>
      <w:spacing w:before="120" w:beforeLines="50" w:after="120" w:afterLines="50"/>
    </w:pPr>
    <w:rPr>
      <w:rFonts w:ascii="宋体" w:hAnsi="宋体"/>
      <w:szCs w:val="20"/>
    </w:rPr>
  </w:style>
  <w:style w:type="paragraph" w:customStyle="1" w:styleId="2644">
    <w:name w:val="样式 正文 + 首行缩进:  2 字符 + 宋体 四号 首行缩进:  2 字符"/>
    <w:basedOn w:val="1"/>
    <w:qFormat/>
    <w:uiPriority w:val="0"/>
    <w:pPr>
      <w:spacing w:line="480" w:lineRule="exact"/>
      <w:ind w:firstLine="200" w:firstLineChars="200"/>
    </w:pPr>
    <w:rPr>
      <w:rFonts w:ascii="宋体" w:hAnsi="宋体" w:cs="宋体"/>
      <w:sz w:val="28"/>
      <w:szCs w:val="20"/>
    </w:rPr>
  </w:style>
  <w:style w:type="character" w:customStyle="1" w:styleId="2645">
    <w:name w:val="a61"/>
    <w:qFormat/>
    <w:uiPriority w:val="0"/>
    <w:rPr>
      <w:rFonts w:hint="eastAsia" w:ascii="宋体" w:hAnsi="宋体" w:eastAsia="宋体"/>
      <w:sz w:val="23"/>
      <w:szCs w:val="23"/>
    </w:rPr>
  </w:style>
  <w:style w:type="character" w:customStyle="1" w:styleId="2646">
    <w:name w:val="文章正文 Char2"/>
    <w:qFormat/>
    <w:uiPriority w:val="0"/>
    <w:rPr>
      <w:rFonts w:ascii="宋体" w:hAnsi="宋体" w:eastAsia="宋体"/>
      <w:kern w:val="2"/>
      <w:sz w:val="24"/>
      <w:szCs w:val="24"/>
      <w:lang w:val="en-US" w:eastAsia="zh-CN" w:bidi="ar-SA"/>
    </w:rPr>
  </w:style>
  <w:style w:type="paragraph" w:customStyle="1" w:styleId="2647">
    <w:name w:val="样式 首行缩进:  0.85 厘米"/>
    <w:basedOn w:val="1"/>
    <w:qFormat/>
    <w:uiPriority w:val="0"/>
    <w:pPr>
      <w:spacing w:line="560" w:lineRule="exact"/>
      <w:ind w:firstLine="480"/>
    </w:pPr>
    <w:rPr>
      <w:sz w:val="24"/>
    </w:rPr>
  </w:style>
  <w:style w:type="character" w:customStyle="1" w:styleId="2648">
    <w:name w:val="文章正文 Char1"/>
    <w:qFormat/>
    <w:uiPriority w:val="0"/>
    <w:rPr>
      <w:rFonts w:ascii="宋体" w:hAnsi="宋体" w:eastAsia="宋体"/>
      <w:kern w:val="2"/>
      <w:sz w:val="24"/>
      <w:szCs w:val="24"/>
      <w:lang w:val="en-US" w:eastAsia="zh-CN" w:bidi="ar-SA"/>
    </w:rPr>
  </w:style>
  <w:style w:type="paragraph" w:customStyle="1" w:styleId="2649">
    <w:name w:val="**"/>
    <w:basedOn w:val="1"/>
    <w:uiPriority w:val="0"/>
    <w:pPr>
      <w:overflowPunct w:val="0"/>
      <w:autoSpaceDE w:val="0"/>
      <w:autoSpaceDN w:val="0"/>
      <w:adjustRightInd w:val="0"/>
      <w:spacing w:before="120"/>
      <w:ind w:left="567"/>
      <w:textAlignment w:val="baseline"/>
    </w:pPr>
    <w:rPr>
      <w:rFonts w:ascii="楷体" w:eastAsia="楷体"/>
      <w:sz w:val="24"/>
    </w:rPr>
  </w:style>
  <w:style w:type="paragraph" w:customStyle="1" w:styleId="2650">
    <w:name w:val="样式 小四 段前: 7.8 磅 段后: 7.8 磅 行距: 1.5 倍行距"/>
    <w:basedOn w:val="1"/>
    <w:link w:val="2651"/>
    <w:qFormat/>
    <w:uiPriority w:val="0"/>
    <w:pPr>
      <w:spacing w:before="156" w:after="156" w:line="360" w:lineRule="auto"/>
      <w:ind w:right="300" w:rightChars="300" w:firstLine="200" w:firstLineChars="200"/>
    </w:pPr>
    <w:rPr>
      <w:sz w:val="24"/>
      <w:szCs w:val="20"/>
      <w:lang w:val="zh-CN"/>
    </w:rPr>
  </w:style>
  <w:style w:type="character" w:customStyle="1" w:styleId="2651">
    <w:name w:val="样式 小四 段前: 7.8 磅 段后: 7.8 磅 行距: 1.5 倍行距 Char"/>
    <w:link w:val="2650"/>
    <w:qFormat/>
    <w:uiPriority w:val="0"/>
    <w:rPr>
      <w:kern w:val="2"/>
      <w:sz w:val="24"/>
      <w:lang w:val="zh-CN"/>
    </w:rPr>
  </w:style>
  <w:style w:type="paragraph" w:customStyle="1" w:styleId="2652">
    <w:name w:val="样式 样式 小四 段前: 7.8 磅 段后: 7.8 磅 行距: 1.5 倍行距 + 宋体"/>
    <w:basedOn w:val="1"/>
    <w:link w:val="2653"/>
    <w:qFormat/>
    <w:uiPriority w:val="0"/>
    <w:pPr>
      <w:spacing w:before="156" w:after="156" w:line="360" w:lineRule="auto"/>
      <w:ind w:right="300" w:rightChars="300" w:firstLine="200" w:firstLineChars="200"/>
    </w:pPr>
    <w:rPr>
      <w:rFonts w:ascii="宋体" w:hAnsi="宋体"/>
      <w:sz w:val="24"/>
      <w:szCs w:val="20"/>
      <w:lang w:val="zh-CN"/>
    </w:rPr>
  </w:style>
  <w:style w:type="character" w:customStyle="1" w:styleId="2653">
    <w:name w:val="样式 样式 小四 段前: 7.8 磅 段后: 7.8 磅 行距: 1.5 倍行距 + 宋体 Char"/>
    <w:link w:val="2652"/>
    <w:qFormat/>
    <w:uiPriority w:val="0"/>
    <w:rPr>
      <w:rFonts w:ascii="宋体" w:hAnsi="宋体"/>
      <w:kern w:val="2"/>
      <w:sz w:val="24"/>
      <w:lang w:val="zh-CN"/>
    </w:rPr>
  </w:style>
  <w:style w:type="paragraph" w:customStyle="1" w:styleId="2654">
    <w:name w:val="样式 表头名称 + (西文) 宋体"/>
    <w:basedOn w:val="1"/>
    <w:link w:val="2655"/>
    <w:qFormat/>
    <w:uiPriority w:val="0"/>
    <w:pPr>
      <w:autoSpaceDE w:val="0"/>
      <w:autoSpaceDN w:val="0"/>
      <w:adjustRightInd w:val="0"/>
      <w:spacing w:before="50" w:beforeLines="50" w:after="100" w:afterAutospacing="1" w:line="360" w:lineRule="auto"/>
      <w:jc w:val="center"/>
    </w:pPr>
    <w:rPr>
      <w:rFonts w:ascii="宋体" w:hAnsi="宋体" w:eastAsia="黑体"/>
      <w:color w:val="FF0000"/>
      <w:sz w:val="24"/>
      <w:lang w:val="zh-CN"/>
    </w:rPr>
  </w:style>
  <w:style w:type="character" w:customStyle="1" w:styleId="2655">
    <w:name w:val="样式 表头名称 + (西文) 宋体 Char"/>
    <w:link w:val="2654"/>
    <w:qFormat/>
    <w:uiPriority w:val="0"/>
    <w:rPr>
      <w:rFonts w:ascii="宋体" w:hAnsi="宋体" w:eastAsia="黑体"/>
      <w:color w:val="FF0000"/>
      <w:kern w:val="2"/>
      <w:sz w:val="24"/>
      <w:szCs w:val="24"/>
      <w:lang w:val="zh-CN"/>
    </w:rPr>
  </w:style>
  <w:style w:type="character" w:customStyle="1" w:styleId="2656">
    <w:name w:val="文字 Char"/>
    <w:qFormat/>
    <w:uiPriority w:val="0"/>
    <w:rPr>
      <w:rFonts w:ascii="宋体" w:hAnsi="宋体"/>
      <w:color w:val="000000"/>
      <w:kern w:val="2"/>
      <w:sz w:val="24"/>
      <w:szCs w:val="24"/>
    </w:rPr>
  </w:style>
  <w:style w:type="paragraph" w:customStyle="1" w:styleId="2657">
    <w:name w:val="样式 段前: 7.8 磅 段后: 7.8 磅"/>
    <w:basedOn w:val="1"/>
    <w:link w:val="2658"/>
    <w:qFormat/>
    <w:uiPriority w:val="0"/>
    <w:pPr>
      <w:spacing w:before="50" w:beforeLines="50" w:after="50" w:afterLines="50"/>
    </w:pPr>
    <w:rPr>
      <w:b/>
      <w:sz w:val="28"/>
      <w:szCs w:val="20"/>
      <w:lang w:val="zh-CN"/>
    </w:rPr>
  </w:style>
  <w:style w:type="character" w:customStyle="1" w:styleId="2658">
    <w:name w:val="样式 段前: 7.8 磅 段后: 7.8 磅 Char"/>
    <w:link w:val="2657"/>
    <w:qFormat/>
    <w:uiPriority w:val="0"/>
    <w:rPr>
      <w:b/>
      <w:kern w:val="2"/>
      <w:sz w:val="28"/>
      <w:lang w:val="zh-CN"/>
    </w:rPr>
  </w:style>
  <w:style w:type="paragraph" w:customStyle="1" w:styleId="2659">
    <w:name w:val="样式 样式 段前: 7.8 磅 段后: 7.8 磅 + 段前: 0.5 行 段后: 0.5 行1"/>
    <w:basedOn w:val="2657"/>
    <w:link w:val="2660"/>
    <w:qFormat/>
    <w:uiPriority w:val="0"/>
    <w:pPr>
      <w:spacing w:before="156" w:after="156"/>
    </w:pPr>
    <w:rPr>
      <w:bCs/>
      <w:sz w:val="24"/>
    </w:rPr>
  </w:style>
  <w:style w:type="character" w:customStyle="1" w:styleId="2660">
    <w:name w:val="样式 样式 段前: 7.8 磅 段后: 7.8 磅 + 段前: 0.5 行 段后: 0.5 行1 Char"/>
    <w:link w:val="2659"/>
    <w:qFormat/>
    <w:uiPriority w:val="0"/>
    <w:rPr>
      <w:b/>
      <w:bCs/>
      <w:kern w:val="2"/>
      <w:sz w:val="24"/>
      <w:lang w:val="zh-CN"/>
    </w:rPr>
  </w:style>
  <w:style w:type="paragraph" w:customStyle="1" w:styleId="2661">
    <w:name w:val="样式 样式 样式 段前: 7.8 磅 段后: 7.8 磅 + 段前: 0.5 行 段后: 0.5 行1 + 宋体"/>
    <w:basedOn w:val="2659"/>
    <w:link w:val="2662"/>
    <w:qFormat/>
    <w:uiPriority w:val="0"/>
    <w:rPr>
      <w:rFonts w:ascii="宋体" w:hAnsi="宋体"/>
    </w:rPr>
  </w:style>
  <w:style w:type="character" w:customStyle="1" w:styleId="2662">
    <w:name w:val="样式 样式 样式 段前: 7.8 磅 段后: 7.8 磅 + 段前: 0.5 行 段后: 0.5 行1 + 宋体 Char"/>
    <w:link w:val="2661"/>
    <w:qFormat/>
    <w:uiPriority w:val="0"/>
    <w:rPr>
      <w:rFonts w:ascii="宋体" w:hAnsi="宋体"/>
      <w:b/>
      <w:bCs/>
      <w:kern w:val="2"/>
      <w:sz w:val="24"/>
      <w:lang w:val="zh-CN"/>
    </w:rPr>
  </w:style>
  <w:style w:type="paragraph" w:customStyle="1" w:styleId="2663">
    <w:name w:val="样式33"/>
    <w:basedOn w:val="1"/>
    <w:link w:val="2664"/>
    <w:qFormat/>
    <w:uiPriority w:val="0"/>
    <w:pPr>
      <w:keepNext/>
      <w:keepLines/>
      <w:tabs>
        <w:tab w:val="left" w:pos="720"/>
      </w:tabs>
      <w:spacing w:before="50" w:after="50" w:line="360" w:lineRule="auto"/>
      <w:ind w:left="720" w:hanging="720"/>
      <w:outlineLvl w:val="2"/>
    </w:pPr>
    <w:rPr>
      <w:rFonts w:ascii="宋体" w:hAnsi="宋体"/>
      <w:b/>
      <w:color w:val="000000"/>
      <w:sz w:val="24"/>
      <w:lang w:val="zh-CN"/>
    </w:rPr>
  </w:style>
  <w:style w:type="character" w:customStyle="1" w:styleId="2664">
    <w:name w:val="样式33 Char"/>
    <w:link w:val="2663"/>
    <w:qFormat/>
    <w:uiPriority w:val="0"/>
    <w:rPr>
      <w:rFonts w:ascii="宋体" w:hAnsi="宋体"/>
      <w:b/>
      <w:color w:val="000000"/>
      <w:kern w:val="2"/>
      <w:sz w:val="24"/>
      <w:szCs w:val="24"/>
      <w:lang w:val="zh-CN"/>
    </w:rPr>
  </w:style>
  <w:style w:type="character" w:customStyle="1" w:styleId="2665">
    <w:name w:val="三级标题 Char1"/>
    <w:qFormat/>
    <w:locked/>
    <w:uiPriority w:val="0"/>
    <w:rPr>
      <w:rFonts w:ascii="宋体" w:hAnsi="宋体" w:eastAsia="宋体" w:cs="Arial Unicode MS"/>
      <w:b/>
      <w:kern w:val="2"/>
      <w:sz w:val="24"/>
      <w:szCs w:val="24"/>
      <w:lang w:val="en-US" w:eastAsia="zh-CN" w:bidi="ar-SA"/>
    </w:rPr>
  </w:style>
  <w:style w:type="character" w:customStyle="1" w:styleId="2666">
    <w:name w:val="样式40 Char"/>
    <w:qFormat/>
    <w:locked/>
    <w:uiPriority w:val="0"/>
  </w:style>
  <w:style w:type="character" w:customStyle="1" w:styleId="2667">
    <w:name w:val="正文YHY Char"/>
    <w:link w:val="2668"/>
    <w:qFormat/>
    <w:locked/>
    <w:uiPriority w:val="0"/>
    <w:rPr>
      <w:rFonts w:ascii="宋体" w:hAnsi="宋体"/>
      <w:sz w:val="24"/>
      <w:szCs w:val="24"/>
    </w:rPr>
  </w:style>
  <w:style w:type="paragraph" w:customStyle="1" w:styleId="2668">
    <w:name w:val="正文YHY"/>
    <w:basedOn w:val="1"/>
    <w:link w:val="2667"/>
    <w:qFormat/>
    <w:uiPriority w:val="0"/>
    <w:pPr>
      <w:spacing w:beforeLines="50" w:afterLines="50" w:line="360" w:lineRule="auto"/>
      <w:ind w:firstLine="200" w:firstLineChars="200"/>
    </w:pPr>
    <w:rPr>
      <w:rFonts w:ascii="宋体" w:hAnsi="宋体"/>
      <w:kern w:val="0"/>
      <w:sz w:val="24"/>
    </w:rPr>
  </w:style>
  <w:style w:type="paragraph" w:customStyle="1" w:styleId="2669">
    <w:name w:val="表头YHY"/>
    <w:basedOn w:val="1"/>
    <w:link w:val="2670"/>
    <w:qFormat/>
    <w:uiPriority w:val="0"/>
    <w:pPr>
      <w:widowControl/>
      <w:jc w:val="center"/>
      <w:outlineLvl w:val="4"/>
    </w:pPr>
    <w:rPr>
      <w:rFonts w:eastAsia="黑体"/>
      <w:color w:val="000000"/>
      <w:kern w:val="0"/>
      <w:szCs w:val="20"/>
      <w:lang w:val="zh-CN"/>
    </w:rPr>
  </w:style>
  <w:style w:type="character" w:customStyle="1" w:styleId="2670">
    <w:name w:val="表头YHY Char"/>
    <w:link w:val="2669"/>
    <w:qFormat/>
    <w:uiPriority w:val="0"/>
    <w:rPr>
      <w:rFonts w:eastAsia="黑体"/>
      <w:color w:val="000000"/>
      <w:sz w:val="21"/>
      <w:lang w:val="zh-CN"/>
    </w:rPr>
  </w:style>
  <w:style w:type="paragraph" w:customStyle="1" w:styleId="2671">
    <w:name w:val="标题 2YHY"/>
    <w:basedOn w:val="4"/>
    <w:next w:val="1"/>
    <w:link w:val="2672"/>
    <w:qFormat/>
    <w:uiPriority w:val="0"/>
    <w:pPr>
      <w:keepNext w:val="0"/>
      <w:keepLines w:val="0"/>
      <w:widowControl/>
      <w:tabs>
        <w:tab w:val="left" w:pos="651"/>
        <w:tab w:val="left" w:pos="786"/>
      </w:tabs>
      <w:spacing w:before="50" w:beforeLines="50" w:after="50" w:afterLines="50" w:line="360" w:lineRule="auto"/>
      <w:ind w:left="651" w:hanging="567" w:hangingChars="200"/>
    </w:pPr>
    <w:rPr>
      <w:rFonts w:ascii="Times New Roman" w:hAnsi="Times New Roman" w:eastAsia="黑体"/>
      <w:color w:val="000000"/>
      <w:kern w:val="0"/>
      <w:sz w:val="28"/>
      <w:szCs w:val="28"/>
      <w:lang w:val="zh-CN"/>
    </w:rPr>
  </w:style>
  <w:style w:type="character" w:customStyle="1" w:styleId="2672">
    <w:name w:val="标题 2YHY Char"/>
    <w:link w:val="2671"/>
    <w:qFormat/>
    <w:uiPriority w:val="0"/>
    <w:rPr>
      <w:rFonts w:eastAsia="黑体"/>
      <w:b/>
      <w:bCs/>
      <w:color w:val="000000"/>
      <w:sz w:val="28"/>
      <w:szCs w:val="28"/>
      <w:lang w:val="zh-CN"/>
    </w:rPr>
  </w:style>
  <w:style w:type="paragraph" w:customStyle="1" w:styleId="2673">
    <w:name w:val="样式36"/>
    <w:basedOn w:val="1"/>
    <w:link w:val="2674"/>
    <w:qFormat/>
    <w:uiPriority w:val="0"/>
    <w:pPr>
      <w:widowControl/>
      <w:overflowPunct w:val="0"/>
      <w:autoSpaceDE w:val="0"/>
      <w:autoSpaceDN w:val="0"/>
      <w:adjustRightInd w:val="0"/>
      <w:spacing w:after="48" w:afterLines="20"/>
      <w:ind w:firstLine="628" w:firstLineChars="298"/>
      <w:textAlignment w:val="bottom"/>
    </w:pPr>
    <w:rPr>
      <w:b/>
      <w:snapToGrid w:val="0"/>
      <w:szCs w:val="21"/>
      <w:lang w:val="zh-CN"/>
    </w:rPr>
  </w:style>
  <w:style w:type="character" w:customStyle="1" w:styleId="2674">
    <w:name w:val="样式36 Char"/>
    <w:link w:val="2673"/>
    <w:qFormat/>
    <w:uiPriority w:val="0"/>
    <w:rPr>
      <w:b/>
      <w:snapToGrid w:val="0"/>
      <w:kern w:val="2"/>
      <w:sz w:val="21"/>
      <w:szCs w:val="21"/>
      <w:lang w:val="zh-CN"/>
    </w:rPr>
  </w:style>
  <w:style w:type="paragraph" w:customStyle="1" w:styleId="2675">
    <w:name w:val="样式 正文修改样式 + 首行缩进:  2 字符"/>
    <w:basedOn w:val="1"/>
    <w:qFormat/>
    <w:uiPriority w:val="0"/>
    <w:pPr>
      <w:tabs>
        <w:tab w:val="left" w:pos="3960"/>
      </w:tabs>
      <w:spacing w:after="120" w:afterLines="50" w:line="360" w:lineRule="auto"/>
      <w:ind w:firstLine="480" w:firstLineChars="200"/>
    </w:pPr>
    <w:rPr>
      <w:rFonts w:hAnsi="宋体"/>
      <w:sz w:val="24"/>
      <w:szCs w:val="20"/>
      <w:u w:val="single"/>
    </w:rPr>
  </w:style>
  <w:style w:type="paragraph" w:customStyle="1" w:styleId="2676">
    <w:name w:val="标题1lql"/>
    <w:basedOn w:val="1"/>
    <w:qFormat/>
    <w:uiPriority w:val="0"/>
    <w:pPr>
      <w:keepNext/>
      <w:keepLines/>
      <w:spacing w:before="120" w:beforeLines="50" w:after="120" w:afterLines="50" w:line="360" w:lineRule="auto"/>
      <w:ind w:firstLine="200" w:firstLineChars="200"/>
      <w:outlineLvl w:val="0"/>
    </w:pPr>
    <w:rPr>
      <w:rFonts w:ascii="宋体" w:eastAsia="黑体" w:cs="宋体"/>
      <w:kern w:val="44"/>
      <w:sz w:val="30"/>
      <w:szCs w:val="20"/>
    </w:rPr>
  </w:style>
  <w:style w:type="paragraph" w:customStyle="1" w:styleId="2677">
    <w:name w:val="样式43"/>
    <w:basedOn w:val="1"/>
    <w:link w:val="2678"/>
    <w:qFormat/>
    <w:uiPriority w:val="0"/>
    <w:pPr>
      <w:tabs>
        <w:tab w:val="left" w:pos="465"/>
      </w:tabs>
      <w:spacing w:line="360" w:lineRule="auto"/>
      <w:ind w:firstLine="420" w:firstLineChars="200"/>
    </w:pPr>
    <w:rPr>
      <w:rFonts w:ascii="宋体" w:hAnsi="宋体"/>
      <w:snapToGrid w:val="0"/>
      <w:color w:val="000000"/>
      <w:kern w:val="0"/>
      <w:szCs w:val="21"/>
      <w:lang w:val="zh-CN"/>
    </w:rPr>
  </w:style>
  <w:style w:type="character" w:customStyle="1" w:styleId="2678">
    <w:name w:val="样式43 Char"/>
    <w:link w:val="2677"/>
    <w:qFormat/>
    <w:uiPriority w:val="0"/>
    <w:rPr>
      <w:rFonts w:ascii="宋体" w:hAnsi="宋体"/>
      <w:snapToGrid w:val="0"/>
      <w:color w:val="000000"/>
      <w:sz w:val="21"/>
      <w:szCs w:val="21"/>
      <w:lang w:val="zh-CN"/>
    </w:rPr>
  </w:style>
  <w:style w:type="character" w:customStyle="1" w:styleId="2679">
    <w:name w:val="样式8 Char"/>
    <w:qFormat/>
    <w:uiPriority w:val="0"/>
    <w:rPr>
      <w:rFonts w:ascii="Arial" w:hAnsi="Arial"/>
      <w:b/>
      <w:bCs/>
      <w:kern w:val="44"/>
      <w:sz w:val="30"/>
      <w:lang w:val="en-US" w:eastAsia="zh-CN" w:bidi="ar-SA"/>
    </w:rPr>
  </w:style>
  <w:style w:type="character" w:customStyle="1" w:styleId="2680">
    <w:name w:val="自动1 Char"/>
    <w:qFormat/>
    <w:uiPriority w:val="0"/>
    <w:rPr>
      <w:rFonts w:ascii="黑体" w:hAnsi="Arial Unicode MS" w:eastAsia="黑体" w:cs="Arial Unicode MS"/>
      <w:b/>
      <w:bCs/>
      <w:color w:val="000000"/>
      <w:kern w:val="44"/>
      <w:sz w:val="30"/>
      <w:szCs w:val="30"/>
      <w:lang w:val="en-US" w:eastAsia="zh-CN" w:bidi="ar-SA"/>
    </w:rPr>
  </w:style>
  <w:style w:type="paragraph" w:customStyle="1" w:styleId="2681">
    <w:name w:val="自动4"/>
    <w:basedOn w:val="1"/>
    <w:link w:val="2682"/>
    <w:qFormat/>
    <w:uiPriority w:val="0"/>
    <w:pPr>
      <w:keepNext/>
      <w:keepLines/>
      <w:tabs>
        <w:tab w:val="left" w:pos="864"/>
      </w:tabs>
      <w:spacing w:before="120" w:beforeLines="50" w:after="120" w:afterLines="50" w:line="360" w:lineRule="auto"/>
      <w:ind w:left="864" w:hanging="864"/>
      <w:outlineLvl w:val="3"/>
    </w:pPr>
    <w:rPr>
      <w:rFonts w:ascii="宋体" w:hAnsi="宋体"/>
      <w:bCs/>
      <w:color w:val="000000"/>
      <w:sz w:val="24"/>
      <w:lang w:val="zh-CN"/>
    </w:rPr>
  </w:style>
  <w:style w:type="character" w:customStyle="1" w:styleId="2682">
    <w:name w:val="自动4 Char"/>
    <w:link w:val="2681"/>
    <w:qFormat/>
    <w:uiPriority w:val="0"/>
    <w:rPr>
      <w:rFonts w:ascii="宋体" w:hAnsi="宋体"/>
      <w:bCs/>
      <w:color w:val="000000"/>
      <w:kern w:val="2"/>
      <w:sz w:val="24"/>
      <w:szCs w:val="24"/>
      <w:lang w:val="zh-CN"/>
    </w:rPr>
  </w:style>
  <w:style w:type="paragraph" w:customStyle="1" w:styleId="2683">
    <w:name w:val="样式 标题 1 + 段前: 0.5 行 段后: 0.5 行"/>
    <w:basedOn w:val="3"/>
    <w:qFormat/>
    <w:uiPriority w:val="0"/>
    <w:pPr>
      <w:keepNext/>
      <w:keepLines/>
      <w:numPr>
        <w:ilvl w:val="2"/>
        <w:numId w:val="36"/>
      </w:numPr>
      <w:tabs>
        <w:tab w:val="left" w:pos="786"/>
      </w:tabs>
      <w:adjustRightInd/>
      <w:snapToGrid/>
      <w:spacing w:before="50" w:beforeLines="50" w:after="50" w:afterLines="50" w:line="360" w:lineRule="auto"/>
      <w:ind w:firstLine="0"/>
      <w:jc w:val="left"/>
    </w:pPr>
    <w:rPr>
      <w:rFonts w:eastAsia="黑体" w:cs="宋体"/>
      <w:b w:val="0"/>
      <w:bCs w:val="0"/>
      <w:sz w:val="30"/>
      <w:szCs w:val="20"/>
    </w:rPr>
  </w:style>
  <w:style w:type="paragraph" w:customStyle="1" w:styleId="2684">
    <w:name w:val="样式50"/>
    <w:basedOn w:val="2526"/>
    <w:qFormat/>
    <w:uiPriority w:val="0"/>
    <w:pPr>
      <w:ind w:firstLine="1365" w:firstLineChars="650"/>
    </w:pPr>
    <w:rPr>
      <w:rFonts w:ascii="黑体" w:eastAsia="黑体"/>
      <w:sz w:val="21"/>
      <w:szCs w:val="21"/>
    </w:rPr>
  </w:style>
  <w:style w:type="paragraph" w:customStyle="1" w:styleId="2685">
    <w:name w:val="正文1111"/>
    <w:basedOn w:val="1"/>
    <w:qFormat/>
    <w:uiPriority w:val="0"/>
    <w:pPr>
      <w:adjustRightInd w:val="0"/>
      <w:snapToGrid w:val="0"/>
      <w:spacing w:line="360" w:lineRule="auto"/>
      <w:ind w:firstLine="200" w:firstLineChars="200"/>
      <w:jc w:val="left"/>
      <w:textAlignment w:val="baseline"/>
    </w:pPr>
    <w:rPr>
      <w:kern w:val="0"/>
      <w:sz w:val="24"/>
    </w:rPr>
  </w:style>
  <w:style w:type="character" w:customStyle="1" w:styleId="2686">
    <w:name w:val="question-title2"/>
    <w:qFormat/>
    <w:uiPriority w:val="0"/>
  </w:style>
  <w:style w:type="paragraph" w:customStyle="1" w:styleId="2687">
    <w:name w:val="样式57"/>
    <w:basedOn w:val="1"/>
    <w:qFormat/>
    <w:uiPriority w:val="0"/>
    <w:pPr>
      <w:spacing w:line="360" w:lineRule="auto"/>
      <w:ind w:firstLine="1365" w:firstLineChars="650"/>
    </w:pPr>
    <w:rPr>
      <w:rFonts w:ascii="黑体" w:eastAsia="黑体"/>
      <w:szCs w:val="21"/>
    </w:rPr>
  </w:style>
  <w:style w:type="paragraph" w:customStyle="1" w:styleId="2688">
    <w:name w:val="Char Char18 Char Char Char Char"/>
    <w:basedOn w:val="1"/>
    <w:qFormat/>
    <w:uiPriority w:val="0"/>
    <w:pPr>
      <w:spacing w:line="420" w:lineRule="exact"/>
      <w:ind w:left="200" w:leftChars="200" w:right="100" w:rightChars="100" w:firstLine="200" w:firstLineChars="200"/>
    </w:pPr>
    <w:rPr>
      <w:rFonts w:ascii="宋体"/>
      <w:sz w:val="28"/>
      <w:szCs w:val="28"/>
    </w:rPr>
  </w:style>
  <w:style w:type="paragraph" w:customStyle="1" w:styleId="2689">
    <w:name w:val="Char9"/>
    <w:basedOn w:val="1"/>
    <w:qFormat/>
    <w:uiPriority w:val="0"/>
    <w:rPr>
      <w:sz w:val="24"/>
      <w:szCs w:val="20"/>
    </w:rPr>
  </w:style>
  <w:style w:type="character" w:customStyle="1" w:styleId="2690">
    <w:name w:val="总院正文 Char"/>
    <w:qFormat/>
    <w:uiPriority w:val="0"/>
    <w:rPr>
      <w:rFonts w:ascii="宋体" w:hAnsi="宋体"/>
      <w:color w:val="000000"/>
      <w:kern w:val="2"/>
      <w:sz w:val="28"/>
      <w:szCs w:val="24"/>
    </w:rPr>
  </w:style>
  <w:style w:type="paragraph" w:customStyle="1" w:styleId="2691">
    <w:name w:val="Char Char1 Char Char Char Char"/>
    <w:basedOn w:val="1"/>
    <w:next w:val="1"/>
    <w:qFormat/>
    <w:uiPriority w:val="0"/>
    <w:pPr>
      <w:spacing w:line="360" w:lineRule="auto"/>
      <w:ind w:firstLine="200" w:firstLineChars="200"/>
      <w:jc w:val="left"/>
    </w:pPr>
    <w:rPr>
      <w:sz w:val="24"/>
    </w:rPr>
  </w:style>
  <w:style w:type="character" w:customStyle="1" w:styleId="2692">
    <w:name w:val="Char Char30"/>
    <w:qFormat/>
    <w:uiPriority w:val="0"/>
    <w:rPr>
      <w:rFonts w:eastAsia="宋体"/>
      <w:kern w:val="2"/>
      <w:sz w:val="16"/>
      <w:szCs w:val="16"/>
      <w:lang w:val="en-US" w:eastAsia="zh-CN" w:bidi="ar-SA"/>
    </w:rPr>
  </w:style>
  <w:style w:type="character" w:customStyle="1" w:styleId="2693">
    <w:name w:val="Char Char31"/>
    <w:qFormat/>
    <w:uiPriority w:val="0"/>
    <w:rPr>
      <w:rFonts w:eastAsia="宋体"/>
      <w:kern w:val="2"/>
      <w:sz w:val="21"/>
      <w:szCs w:val="24"/>
      <w:lang w:val="en-US" w:eastAsia="zh-CN" w:bidi="ar-SA"/>
    </w:rPr>
  </w:style>
  <w:style w:type="character" w:customStyle="1" w:styleId="2694">
    <w:name w:val="Char Char38"/>
    <w:qFormat/>
    <w:uiPriority w:val="0"/>
    <w:rPr>
      <w:rFonts w:ascii="仿宋_GB2312" w:hAnsi="Arial" w:eastAsia="仿宋_GB2312"/>
      <w:bCs/>
      <w:kern w:val="2"/>
      <w:sz w:val="28"/>
      <w:szCs w:val="28"/>
      <w:lang w:val="en-US" w:eastAsia="zh-CN" w:bidi="ar-SA"/>
    </w:rPr>
  </w:style>
  <w:style w:type="character" w:customStyle="1" w:styleId="2695">
    <w:name w:val="正文（科宏） Char Char"/>
    <w:qFormat/>
    <w:uiPriority w:val="0"/>
    <w:rPr>
      <w:rFonts w:ascii="Arial" w:hAnsi="Arial" w:eastAsia="仿宋_GB2312"/>
      <w:sz w:val="21"/>
      <w:lang w:val="en-US" w:eastAsia="zh-CN" w:bidi="ar-SA"/>
    </w:rPr>
  </w:style>
  <w:style w:type="character" w:customStyle="1" w:styleId="2696">
    <w:name w:val="表内文字3 Char Char"/>
    <w:link w:val="2697"/>
    <w:qFormat/>
    <w:uiPriority w:val="0"/>
    <w:rPr>
      <w:rFonts w:cs="宋体"/>
    </w:rPr>
  </w:style>
  <w:style w:type="paragraph" w:customStyle="1" w:styleId="2697">
    <w:name w:val="表内文字3"/>
    <w:basedOn w:val="1"/>
    <w:link w:val="2696"/>
    <w:qFormat/>
    <w:uiPriority w:val="0"/>
    <w:pPr>
      <w:spacing w:line="0" w:lineRule="atLeast"/>
      <w:jc w:val="center"/>
    </w:pPr>
    <w:rPr>
      <w:rFonts w:cs="宋体"/>
      <w:kern w:val="0"/>
      <w:sz w:val="20"/>
      <w:szCs w:val="20"/>
    </w:rPr>
  </w:style>
  <w:style w:type="character" w:customStyle="1" w:styleId="2698">
    <w:name w:val="样式 正文 首行缩进:  2 字符 SL CON + 首行缩进:  2 字符 Char Char"/>
    <w:qFormat/>
    <w:uiPriority w:val="0"/>
    <w:rPr>
      <w:rFonts w:eastAsia="宋体" w:cs="宋体"/>
      <w:sz w:val="24"/>
      <w:lang w:val="en-US" w:eastAsia="zh-CN" w:bidi="ar-SA"/>
    </w:rPr>
  </w:style>
  <w:style w:type="character" w:customStyle="1" w:styleId="2699">
    <w:name w:val="样式 样式 正文 首行缩进:  2 字符 SL CON + 首行缩进:  2 字符 + 首行缩进:  2 字符 Char Char"/>
    <w:link w:val="2700"/>
    <w:qFormat/>
    <w:uiPriority w:val="0"/>
    <w:rPr>
      <w:rFonts w:cs="宋体"/>
      <w:sz w:val="24"/>
    </w:rPr>
  </w:style>
  <w:style w:type="paragraph" w:customStyle="1" w:styleId="2700">
    <w:name w:val="样式 样式 正文 首行缩进:  2 字符 SL CON + 首行缩进:  2 字符 + 首行缩进:  2 字符"/>
    <w:basedOn w:val="1043"/>
    <w:link w:val="2699"/>
    <w:qFormat/>
    <w:uiPriority w:val="0"/>
    <w:pPr>
      <w:adjustRightInd w:val="0"/>
      <w:ind w:firstLine="200"/>
      <w:textAlignment w:val="baseline"/>
    </w:pPr>
    <w:rPr>
      <w:rFonts w:cs="宋体"/>
      <w:kern w:val="0"/>
      <w:szCs w:val="20"/>
    </w:rPr>
  </w:style>
  <w:style w:type="paragraph" w:customStyle="1" w:styleId="2701">
    <w:name w:val="样式 样式 样式 样式 正文 首行缩进:  2 字符 SL CON + 首行缩进:  2 字符 + 首行缩进:  2 字符 + ..."/>
    <w:basedOn w:val="1"/>
    <w:qFormat/>
    <w:uiPriority w:val="0"/>
    <w:pPr>
      <w:widowControl/>
      <w:adjustRightInd w:val="0"/>
      <w:spacing w:line="360" w:lineRule="auto"/>
      <w:ind w:firstLine="200" w:firstLineChars="200"/>
      <w:textAlignment w:val="baseline"/>
    </w:pPr>
    <w:rPr>
      <w:rFonts w:cs="宋体"/>
      <w:color w:val="000000"/>
      <w:sz w:val="24"/>
    </w:rPr>
  </w:style>
  <w:style w:type="character" w:customStyle="1" w:styleId="2702">
    <w:name w:val="样式 样式 样式 正文 首行缩进:  2 字符 SL CON + 首行缩进:  2 字符 + 首行缩进:  2 字符 + 黑色 Char Char"/>
    <w:link w:val="2703"/>
    <w:qFormat/>
    <w:uiPriority w:val="0"/>
    <w:rPr>
      <w:rFonts w:cs="宋体"/>
      <w:color w:val="000000"/>
      <w:sz w:val="24"/>
    </w:rPr>
  </w:style>
  <w:style w:type="paragraph" w:customStyle="1" w:styleId="2703">
    <w:name w:val="样式 样式 样式 正文 首行缩进:  2 字符 SL CON + 首行缩进:  2 字符 + 首行缩进:  2 字符 + 黑色"/>
    <w:basedOn w:val="2700"/>
    <w:link w:val="2702"/>
    <w:qFormat/>
    <w:uiPriority w:val="0"/>
    <w:pPr>
      <w:tabs>
        <w:tab w:val="clear" w:pos="377"/>
      </w:tabs>
    </w:pPr>
    <w:rPr>
      <w:color w:val="000000"/>
    </w:rPr>
  </w:style>
  <w:style w:type="character" w:customStyle="1" w:styleId="2704">
    <w:name w:val="样式 样式 标题ljm + 首行缩进:  2 字符 + 首行缩进:  2 字符1 Char Char"/>
    <w:link w:val="2705"/>
    <w:qFormat/>
    <w:uiPriority w:val="0"/>
    <w:rPr>
      <w:rFonts w:cs="宋体"/>
      <w:b/>
      <w:bCs/>
      <w:sz w:val="24"/>
    </w:rPr>
  </w:style>
  <w:style w:type="paragraph" w:customStyle="1" w:styleId="2705">
    <w:name w:val="样式 样式 标题ljm + 首行缩进:  2 字符 + 首行缩进:  2 字符1"/>
    <w:basedOn w:val="1"/>
    <w:link w:val="2704"/>
    <w:qFormat/>
    <w:uiPriority w:val="0"/>
    <w:pPr>
      <w:spacing w:line="360" w:lineRule="auto"/>
      <w:ind w:firstLine="482" w:firstLineChars="200"/>
      <w:outlineLvl w:val="0"/>
    </w:pPr>
    <w:rPr>
      <w:rFonts w:cs="宋体"/>
      <w:b/>
      <w:bCs/>
      <w:kern w:val="0"/>
      <w:sz w:val="24"/>
      <w:szCs w:val="20"/>
    </w:rPr>
  </w:style>
  <w:style w:type="character" w:customStyle="1" w:styleId="2706">
    <w:name w:val="样式 表内文字 + 黑色 Char Char"/>
    <w:link w:val="2707"/>
    <w:qFormat/>
    <w:uiPriority w:val="0"/>
    <w:rPr>
      <w:rFonts w:cs="宋体"/>
      <w:color w:val="000000"/>
      <w:szCs w:val="24"/>
    </w:rPr>
  </w:style>
  <w:style w:type="paragraph" w:customStyle="1" w:styleId="2707">
    <w:name w:val="样式 表内文字 + 黑色"/>
    <w:basedOn w:val="309"/>
    <w:link w:val="2706"/>
    <w:qFormat/>
    <w:uiPriority w:val="0"/>
    <w:pPr>
      <w:adjustRightInd/>
      <w:spacing w:before="0" w:line="0" w:lineRule="atLeast"/>
      <w:textAlignment w:val="auto"/>
    </w:pPr>
    <w:rPr>
      <w:rFonts w:cs="宋体"/>
      <w:color w:val="000000"/>
      <w:sz w:val="20"/>
      <w:szCs w:val="24"/>
    </w:rPr>
  </w:style>
  <w:style w:type="character" w:customStyle="1" w:styleId="2708">
    <w:name w:val="样式 样式 正文 首行缩进:  2 字符 SL CON + 首行缩进:  2 字符 + 宋体 Char Char Char"/>
    <w:qFormat/>
    <w:uiPriority w:val="0"/>
    <w:rPr>
      <w:rFonts w:eastAsia="宋体" w:cs="宋体"/>
      <w:kern w:val="2"/>
      <w:sz w:val="24"/>
      <w:szCs w:val="21"/>
      <w:lang w:val="en-US" w:eastAsia="zh-CN" w:bidi="ar-SA"/>
    </w:rPr>
  </w:style>
  <w:style w:type="paragraph" w:customStyle="1" w:styleId="2709">
    <w:name w:val="常用表格样式"/>
    <w:basedOn w:val="1"/>
    <w:next w:val="1"/>
    <w:link w:val="2710"/>
    <w:qFormat/>
    <w:uiPriority w:val="0"/>
    <w:pPr>
      <w:jc w:val="center"/>
    </w:pPr>
    <w:rPr>
      <w:rFonts w:ascii="宋体" w:hAnsi="新宋体" w:eastAsia="仿宋_GB2312"/>
      <w:spacing w:val="2"/>
      <w:kern w:val="0"/>
      <w:sz w:val="18"/>
      <w:lang w:val="zh-CN"/>
    </w:rPr>
  </w:style>
  <w:style w:type="character" w:customStyle="1" w:styleId="2710">
    <w:name w:val="常用表格样式 Char1"/>
    <w:link w:val="2709"/>
    <w:qFormat/>
    <w:uiPriority w:val="0"/>
    <w:rPr>
      <w:rFonts w:ascii="宋体" w:hAnsi="新宋体" w:eastAsia="仿宋_GB2312"/>
      <w:spacing w:val="2"/>
      <w:sz w:val="18"/>
      <w:szCs w:val="24"/>
      <w:lang w:val="zh-CN"/>
    </w:rPr>
  </w:style>
  <w:style w:type="character" w:customStyle="1" w:styleId="2711">
    <w:name w:val="表内文字3 Char"/>
    <w:qFormat/>
    <w:uiPriority w:val="0"/>
    <w:rPr>
      <w:rFonts w:eastAsia="宋体" w:cs="宋体"/>
      <w:sz w:val="21"/>
      <w:lang w:val="en-US" w:eastAsia="zh-CN" w:bidi="ar-SA"/>
    </w:rPr>
  </w:style>
  <w:style w:type="paragraph" w:customStyle="1" w:styleId="2712">
    <w:name w:val="样式 样式 标题ljm + 首行缩进:  2 字符 + 宋体 居中 首行缩进:  2 字符 段前: 3 磅1"/>
    <w:basedOn w:val="1"/>
    <w:link w:val="2713"/>
    <w:qFormat/>
    <w:uiPriority w:val="0"/>
    <w:pPr>
      <w:adjustRightInd w:val="0"/>
      <w:spacing w:line="360" w:lineRule="auto"/>
      <w:ind w:firstLine="482" w:firstLineChars="200"/>
      <w:jc w:val="left"/>
      <w:textAlignment w:val="baseline"/>
      <w:outlineLvl w:val="0"/>
    </w:pPr>
    <w:rPr>
      <w:b/>
      <w:bCs/>
      <w:sz w:val="24"/>
      <w:lang w:val="zh-CN"/>
    </w:rPr>
  </w:style>
  <w:style w:type="character" w:customStyle="1" w:styleId="2713">
    <w:name w:val="样式 样式 标题ljm + 首行缩进:  2 字符 + 宋体 居中 首行缩进:  2 字符 段前: 3 磅1 Char Char"/>
    <w:link w:val="2712"/>
    <w:qFormat/>
    <w:uiPriority w:val="0"/>
    <w:rPr>
      <w:b/>
      <w:bCs/>
      <w:kern w:val="2"/>
      <w:sz w:val="24"/>
      <w:szCs w:val="24"/>
      <w:lang w:val="zh-CN"/>
    </w:rPr>
  </w:style>
  <w:style w:type="character" w:customStyle="1" w:styleId="2714">
    <w:name w:val="图题表题 Char"/>
    <w:qFormat/>
    <w:uiPriority w:val="0"/>
    <w:rPr>
      <w:rFonts w:ascii="Times New Roman" w:hAnsi="Times New Roman" w:eastAsia="宋体" w:cs="宋体"/>
      <w:b/>
      <w:bCs/>
      <w:szCs w:val="20"/>
    </w:rPr>
  </w:style>
  <w:style w:type="character" w:customStyle="1" w:styleId="2715">
    <w:name w:val="文本一 Char Char"/>
    <w:qFormat/>
    <w:uiPriority w:val="0"/>
    <w:rPr>
      <w:kern w:val="2"/>
      <w:sz w:val="24"/>
      <w:szCs w:val="24"/>
      <w:lang w:bidi="ar-SA"/>
    </w:rPr>
  </w:style>
  <w:style w:type="character" w:customStyle="1" w:styleId="2716">
    <w:name w:val="样式 标题ljm + 首行缩进:  2 字符 Char"/>
    <w:qFormat/>
    <w:uiPriority w:val="0"/>
    <w:rPr>
      <w:b/>
      <w:bCs/>
      <w:sz w:val="24"/>
      <w:lang w:val="zh-CN" w:eastAsia="zh-CN"/>
    </w:rPr>
  </w:style>
  <w:style w:type="paragraph" w:customStyle="1" w:styleId="2717">
    <w:name w:val="pic-info"/>
    <w:basedOn w:val="1"/>
    <w:qFormat/>
    <w:uiPriority w:val="0"/>
    <w:pPr>
      <w:widowControl/>
      <w:spacing w:before="100" w:beforeAutospacing="1" w:after="100" w:afterAutospacing="1"/>
      <w:jc w:val="left"/>
    </w:pPr>
    <w:rPr>
      <w:rFonts w:ascii="宋体" w:hAnsi="宋体" w:cs="宋体"/>
      <w:kern w:val="0"/>
      <w:sz w:val="24"/>
    </w:rPr>
  </w:style>
  <w:style w:type="paragraph" w:customStyle="1" w:styleId="2718">
    <w:name w:val="CJ 文本111"/>
    <w:basedOn w:val="35"/>
    <w:link w:val="2719"/>
    <w:qFormat/>
    <w:uiPriority w:val="0"/>
    <w:pPr>
      <w:spacing w:after="0" w:line="360" w:lineRule="auto"/>
      <w:ind w:left="0" w:leftChars="0" w:firstLine="200" w:firstLineChars="200"/>
      <w:jc w:val="left"/>
    </w:pPr>
    <w:rPr>
      <w:snapToGrid/>
      <w:sz w:val="24"/>
      <w:lang w:val="zh-CN"/>
    </w:rPr>
  </w:style>
  <w:style w:type="character" w:customStyle="1" w:styleId="2719">
    <w:name w:val="CJ 文本111 Char"/>
    <w:link w:val="2718"/>
    <w:qFormat/>
    <w:uiPriority w:val="0"/>
    <w:rPr>
      <w:sz w:val="24"/>
      <w:szCs w:val="24"/>
      <w:lang w:val="zh-CN"/>
    </w:rPr>
  </w:style>
  <w:style w:type="paragraph" w:customStyle="1" w:styleId="2720">
    <w:name w:val="封面文字2"/>
    <w:qFormat/>
    <w:uiPriority w:val="0"/>
    <w:pPr>
      <w:widowControl w:val="0"/>
      <w:spacing w:line="360" w:lineRule="auto"/>
      <w:jc w:val="center"/>
    </w:pPr>
    <w:rPr>
      <w:rFonts w:ascii="Arial" w:hAnsi="Arial" w:eastAsia="宋体" w:cs="宋体"/>
      <w:b/>
      <w:bCs/>
      <w:spacing w:val="20"/>
      <w:kern w:val="2"/>
      <w:sz w:val="52"/>
      <w:lang w:val="en-US" w:eastAsia="zh-CN" w:bidi="ar-SA"/>
    </w:rPr>
  </w:style>
  <w:style w:type="paragraph" w:customStyle="1" w:styleId="2721">
    <w:name w:val="样式 样式 环评正文 + (西文) 仿宋_GB2312 (中文) 宋体 10.5 磅 首行缩进:  2 字符 + 首行缩进:  ..."/>
    <w:basedOn w:val="1"/>
    <w:qFormat/>
    <w:uiPriority w:val="0"/>
    <w:pPr>
      <w:spacing w:line="400" w:lineRule="exact"/>
      <w:ind w:firstLine="200" w:firstLineChars="200"/>
    </w:pPr>
    <w:rPr>
      <w:rFonts w:ascii="仿宋_GB2312" w:hAnsi="仿宋_GB2312"/>
      <w:spacing w:val="10"/>
      <w:sz w:val="24"/>
      <w:szCs w:val="20"/>
    </w:rPr>
  </w:style>
  <w:style w:type="paragraph" w:customStyle="1" w:styleId="2722">
    <w:name w:val="样式 宋体 小四 居中"/>
    <w:basedOn w:val="1"/>
    <w:qFormat/>
    <w:uiPriority w:val="0"/>
    <w:pPr>
      <w:spacing w:line="0" w:lineRule="atLeast"/>
      <w:jc w:val="center"/>
    </w:pPr>
    <w:rPr>
      <w:rFonts w:cs="宋体"/>
      <w:sz w:val="24"/>
      <w:szCs w:val="20"/>
    </w:rPr>
  </w:style>
  <w:style w:type="paragraph" w:customStyle="1" w:styleId="2723">
    <w:name w:val="样式 宋体 小四 居中1"/>
    <w:basedOn w:val="1"/>
    <w:qFormat/>
    <w:uiPriority w:val="0"/>
    <w:pPr>
      <w:spacing w:line="0" w:lineRule="atLeast"/>
      <w:ind w:right="-107" w:rightChars="-51"/>
      <w:jc w:val="center"/>
    </w:pPr>
    <w:rPr>
      <w:rFonts w:cs="宋体"/>
      <w:sz w:val="24"/>
      <w:szCs w:val="20"/>
    </w:rPr>
  </w:style>
  <w:style w:type="paragraph" w:customStyle="1" w:styleId="2724">
    <w:name w:val="样式 宋体 小四 居中 左侧:  -0.09 厘米 右侧:  -0.09 厘米 行距: 固定值 15 磅"/>
    <w:basedOn w:val="1"/>
    <w:qFormat/>
    <w:uiPriority w:val="0"/>
    <w:pPr>
      <w:spacing w:line="300" w:lineRule="exact"/>
      <w:ind w:left="-51" w:right="-51"/>
      <w:jc w:val="center"/>
    </w:pPr>
    <w:rPr>
      <w:sz w:val="24"/>
      <w:szCs w:val="20"/>
    </w:rPr>
  </w:style>
  <w:style w:type="paragraph" w:customStyle="1" w:styleId="2725">
    <w:name w:val="样式 宋体 小四 居中 悬挂缩进: 0.01 字符 行距: 固定值 15 磅"/>
    <w:basedOn w:val="1"/>
    <w:qFormat/>
    <w:uiPriority w:val="0"/>
    <w:pPr>
      <w:spacing w:line="300" w:lineRule="exact"/>
      <w:ind w:left="-106" w:leftChars="-51" w:right="-107" w:rightChars="-51" w:hanging="1"/>
      <w:jc w:val="center"/>
    </w:pPr>
    <w:rPr>
      <w:rFonts w:cs="宋体"/>
      <w:sz w:val="24"/>
      <w:szCs w:val="20"/>
    </w:rPr>
  </w:style>
  <w:style w:type="paragraph" w:customStyle="1" w:styleId="2726">
    <w:name w:val="样式 宋体 小四 行距: 1.5 倍行距1"/>
    <w:basedOn w:val="1"/>
    <w:link w:val="2727"/>
    <w:qFormat/>
    <w:uiPriority w:val="0"/>
    <w:pPr>
      <w:spacing w:line="360" w:lineRule="auto"/>
      <w:ind w:firstLine="480" w:firstLineChars="200"/>
    </w:pPr>
    <w:rPr>
      <w:rFonts w:ascii="宋体" w:hAnsi="宋体"/>
      <w:kern w:val="0"/>
      <w:sz w:val="24"/>
      <w:szCs w:val="20"/>
      <w:lang w:val="zh-CN"/>
    </w:rPr>
  </w:style>
  <w:style w:type="character" w:customStyle="1" w:styleId="2727">
    <w:name w:val="样式 宋体 小四 行距: 1.5 倍行距1 Char"/>
    <w:link w:val="2726"/>
    <w:qFormat/>
    <w:uiPriority w:val="0"/>
    <w:rPr>
      <w:rFonts w:ascii="宋体" w:hAnsi="宋体"/>
      <w:sz w:val="24"/>
      <w:lang w:val="zh-CN"/>
    </w:rPr>
  </w:style>
  <w:style w:type="paragraph" w:customStyle="1" w:styleId="2728">
    <w:name w:val="样式 宋体 小四 行距: 1.5 倍行距"/>
    <w:basedOn w:val="1"/>
    <w:link w:val="2729"/>
    <w:qFormat/>
    <w:uiPriority w:val="0"/>
    <w:pPr>
      <w:spacing w:line="360" w:lineRule="auto"/>
      <w:ind w:firstLine="480" w:firstLineChars="200"/>
    </w:pPr>
    <w:rPr>
      <w:rFonts w:ascii="宋体" w:hAnsi="宋体"/>
      <w:kern w:val="0"/>
      <w:sz w:val="24"/>
      <w:szCs w:val="20"/>
      <w:lang w:val="zh-CN"/>
    </w:rPr>
  </w:style>
  <w:style w:type="character" w:customStyle="1" w:styleId="2729">
    <w:name w:val="样式 宋体 小四 行距: 1.5 倍行距 Char"/>
    <w:link w:val="2728"/>
    <w:qFormat/>
    <w:uiPriority w:val="0"/>
    <w:rPr>
      <w:rFonts w:ascii="宋体" w:hAnsi="宋体"/>
      <w:sz w:val="24"/>
      <w:lang w:val="zh-CN"/>
    </w:rPr>
  </w:style>
  <w:style w:type="paragraph" w:customStyle="1" w:styleId="2730">
    <w:name w:val="标题 2 SL CON"/>
    <w:basedOn w:val="1"/>
    <w:next w:val="1"/>
    <w:qFormat/>
    <w:uiPriority w:val="0"/>
    <w:pPr>
      <w:widowControl/>
      <w:tabs>
        <w:tab w:val="left" w:pos="377"/>
        <w:tab w:val="left" w:pos="858"/>
      </w:tabs>
      <w:spacing w:before="100" w:beforeAutospacing="1" w:line="360" w:lineRule="auto"/>
      <w:ind w:left="856" w:hanging="680"/>
      <w:outlineLvl w:val="1"/>
    </w:pPr>
    <w:rPr>
      <w:rFonts w:eastAsia="黑体" w:cs="宋体"/>
      <w:kern w:val="0"/>
      <w:sz w:val="28"/>
      <w:szCs w:val="28"/>
    </w:rPr>
  </w:style>
  <w:style w:type="paragraph" w:customStyle="1" w:styleId="2731">
    <w:name w:val="标题 3 SL CON"/>
    <w:basedOn w:val="1"/>
    <w:next w:val="1"/>
    <w:qFormat/>
    <w:uiPriority w:val="0"/>
    <w:pPr>
      <w:keepNext/>
      <w:keepLines/>
      <w:widowControl/>
      <w:tabs>
        <w:tab w:val="left" w:pos="377"/>
        <w:tab w:val="left" w:pos="850"/>
        <w:tab w:val="left" w:pos="960"/>
      </w:tabs>
      <w:spacing w:before="100" w:beforeAutospacing="1" w:line="360" w:lineRule="auto"/>
      <w:ind w:left="850" w:hanging="681"/>
      <w:outlineLvl w:val="2"/>
    </w:pPr>
    <w:rPr>
      <w:rFonts w:eastAsia="黑体" w:cs="宋体"/>
      <w:kern w:val="0"/>
      <w:sz w:val="24"/>
    </w:rPr>
  </w:style>
  <w:style w:type="paragraph" w:customStyle="1" w:styleId="2732">
    <w:name w:val="表内文字 样式 五号 居中 行距: 单倍行距 SL CON"/>
    <w:basedOn w:val="1"/>
    <w:link w:val="2733"/>
    <w:qFormat/>
    <w:uiPriority w:val="0"/>
    <w:pPr>
      <w:widowControl/>
      <w:tabs>
        <w:tab w:val="left" w:pos="377"/>
      </w:tabs>
      <w:jc w:val="center"/>
    </w:pPr>
    <w:rPr>
      <w:rFonts w:ascii="宋体"/>
      <w:kern w:val="0"/>
      <w:szCs w:val="21"/>
      <w:lang w:val="zh-CN"/>
    </w:rPr>
  </w:style>
  <w:style w:type="character" w:customStyle="1" w:styleId="2733">
    <w:name w:val="表内文字 样式 五号 居中 行距: 单倍行距 SL CON Char Char"/>
    <w:link w:val="2732"/>
    <w:qFormat/>
    <w:uiPriority w:val="0"/>
    <w:rPr>
      <w:rFonts w:ascii="宋体"/>
      <w:sz w:val="21"/>
      <w:szCs w:val="21"/>
      <w:lang w:val="zh-CN"/>
    </w:rPr>
  </w:style>
  <w:style w:type="paragraph" w:customStyle="1" w:styleId="2734">
    <w:name w:val="标题ljm"/>
    <w:basedOn w:val="1"/>
    <w:qFormat/>
    <w:uiPriority w:val="0"/>
    <w:pPr>
      <w:spacing w:line="360" w:lineRule="auto"/>
      <w:ind w:firstLine="200" w:firstLineChars="200"/>
    </w:pPr>
    <w:rPr>
      <w:b/>
      <w:sz w:val="24"/>
    </w:rPr>
  </w:style>
  <w:style w:type="paragraph" w:customStyle="1" w:styleId="2735">
    <w:name w:val="列出段落22"/>
    <w:basedOn w:val="1"/>
    <w:qFormat/>
    <w:uiPriority w:val="0"/>
    <w:pPr>
      <w:ind w:firstLine="420" w:firstLineChars="200"/>
    </w:pPr>
    <w:rPr>
      <w:rFonts w:ascii="Calibri" w:hAnsi="Calibri"/>
      <w:szCs w:val="22"/>
    </w:rPr>
  </w:style>
  <w:style w:type="paragraph" w:customStyle="1" w:styleId="2736">
    <w:name w:val="Char Char Char Char Char Char1 Char Char Char Char Char Char Char Char Char Char Char Char Char Char Char Char"/>
    <w:basedOn w:val="1"/>
    <w:qFormat/>
    <w:uiPriority w:val="0"/>
    <w:pPr>
      <w:spacing w:line="0" w:lineRule="atLeast"/>
    </w:pPr>
  </w:style>
  <w:style w:type="paragraph" w:customStyle="1" w:styleId="2737">
    <w:name w:val="Char Char Char Char Char Char Char Char Char Char Char Char Char Char Char Char Char Char Char Char Char Char4"/>
    <w:basedOn w:val="1"/>
    <w:qFormat/>
    <w:uiPriority w:val="0"/>
    <w:pPr>
      <w:spacing w:line="0" w:lineRule="atLeast"/>
    </w:pPr>
  </w:style>
  <w:style w:type="character" w:customStyle="1" w:styleId="2738">
    <w:name w:val="style2"/>
    <w:qFormat/>
    <w:uiPriority w:val="0"/>
  </w:style>
  <w:style w:type="paragraph" w:customStyle="1" w:styleId="2739">
    <w:name w:val="样式 首行缩进:  0.77 厘米 行距: 固定值 20 磅4"/>
    <w:basedOn w:val="1"/>
    <w:link w:val="2740"/>
    <w:qFormat/>
    <w:uiPriority w:val="0"/>
    <w:pPr>
      <w:spacing w:line="360" w:lineRule="auto"/>
      <w:ind w:firstLine="480" w:firstLineChars="200"/>
    </w:pPr>
    <w:rPr>
      <w:color w:val="FF0000"/>
      <w:sz w:val="24"/>
      <w:szCs w:val="20"/>
      <w:lang w:val="zh-CN"/>
    </w:rPr>
  </w:style>
  <w:style w:type="character" w:customStyle="1" w:styleId="2740">
    <w:name w:val="样式 首行缩进:  0.77 厘米 行距: 固定值 20 磅4 Char"/>
    <w:link w:val="2739"/>
    <w:qFormat/>
    <w:uiPriority w:val="0"/>
    <w:rPr>
      <w:color w:val="FF0000"/>
      <w:kern w:val="2"/>
      <w:sz w:val="24"/>
      <w:lang w:val="zh-CN"/>
    </w:rPr>
  </w:style>
  <w:style w:type="character" w:customStyle="1" w:styleId="2741">
    <w:name w:val="样式 样式 正文 首行缩进:  2 字符 SL CON + 首行缩进:  2 字符 + 宋体 Char"/>
    <w:qFormat/>
    <w:uiPriority w:val="0"/>
    <w:rPr>
      <w:kern w:val="2"/>
      <w:sz w:val="24"/>
      <w:szCs w:val="21"/>
      <w:lang w:bidi="ar-SA"/>
    </w:rPr>
  </w:style>
  <w:style w:type="character" w:customStyle="1" w:styleId="2742">
    <w:name w:val="表中文字 Char"/>
    <w:qFormat/>
    <w:uiPriority w:val="0"/>
    <w:rPr>
      <w:rFonts w:eastAsia="宋体"/>
      <w:snapToGrid w:val="0"/>
      <w:sz w:val="21"/>
      <w:szCs w:val="21"/>
      <w:lang w:val="en-US" w:eastAsia="zh-TW" w:bidi="ar-SA"/>
    </w:rPr>
  </w:style>
  <w:style w:type="paragraph" w:customStyle="1" w:styleId="2743">
    <w:name w:val="Char Char23 Char Char"/>
    <w:basedOn w:val="1"/>
    <w:qFormat/>
    <w:uiPriority w:val="0"/>
    <w:rPr>
      <w:rFonts w:ascii="宋体" w:hAnsi="宋体" w:cs="宋体"/>
      <w:sz w:val="24"/>
    </w:rPr>
  </w:style>
  <w:style w:type="character" w:customStyle="1" w:styleId="2744">
    <w:name w:val="样式 标题ljm + 首行缩进:  2 字符 Char Char"/>
    <w:qFormat/>
    <w:uiPriority w:val="0"/>
    <w:rPr>
      <w:rFonts w:cs="宋体"/>
      <w:b/>
      <w:bCs/>
      <w:kern w:val="2"/>
      <w:sz w:val="24"/>
    </w:rPr>
  </w:style>
  <w:style w:type="character" w:customStyle="1" w:styleId="2745">
    <w:name w:val="样式 表内文字 + 黑色 Char"/>
    <w:qFormat/>
    <w:uiPriority w:val="0"/>
    <w:rPr>
      <w:rFonts w:ascii="宋体" w:hAnsi="宋体" w:eastAsia="宋体" w:cs="宋体"/>
      <w:color w:val="000000"/>
      <w:kern w:val="2"/>
      <w:sz w:val="21"/>
      <w:szCs w:val="24"/>
      <w:lang w:val="en-US" w:eastAsia="zh-CN" w:bidi="ar-SA"/>
    </w:rPr>
  </w:style>
  <w:style w:type="character" w:customStyle="1" w:styleId="2746">
    <w:name w:val="font21"/>
    <w:qFormat/>
    <w:uiPriority w:val="0"/>
    <w:rPr>
      <w:rFonts w:hint="default" w:ascii="Times New Roman" w:hAnsi="Times New Roman" w:cs="Times New Roman"/>
      <w:color w:val="0000FF"/>
      <w:sz w:val="18"/>
      <w:szCs w:val="18"/>
      <w:u w:val="none"/>
    </w:rPr>
  </w:style>
  <w:style w:type="character" w:customStyle="1" w:styleId="2747">
    <w:name w:val="splatinname"/>
    <w:qFormat/>
    <w:uiPriority w:val="0"/>
  </w:style>
  <w:style w:type="character" w:customStyle="1" w:styleId="2748">
    <w:name w:val="splatinnamesauthor"/>
    <w:qFormat/>
    <w:uiPriority w:val="0"/>
  </w:style>
  <w:style w:type="character" w:customStyle="1" w:styleId="2749">
    <w:name w:val="foundword"/>
    <w:qFormat/>
    <w:uiPriority w:val="0"/>
  </w:style>
  <w:style w:type="paragraph" w:customStyle="1" w:styleId="2750">
    <w:name w:val="album-div1"/>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2751">
    <w:name w:val="Char Char23"/>
    <w:basedOn w:val="1"/>
    <w:qFormat/>
    <w:uiPriority w:val="0"/>
    <w:rPr>
      <w:rFonts w:ascii="宋体" w:hAnsi="宋体" w:cs="宋体"/>
      <w:sz w:val="24"/>
    </w:rPr>
  </w:style>
  <w:style w:type="paragraph" w:customStyle="1" w:styleId="2752">
    <w:name w:val="Char Char23 Char Char Char Char Char Char Char Char"/>
    <w:basedOn w:val="1"/>
    <w:qFormat/>
    <w:uiPriority w:val="0"/>
    <w:rPr>
      <w:rFonts w:ascii="宋体" w:hAnsi="宋体" w:cs="宋体"/>
      <w:sz w:val="24"/>
    </w:rPr>
  </w:style>
  <w:style w:type="paragraph" w:customStyle="1" w:styleId="2753">
    <w:name w:val="默认段落字体11"/>
    <w:basedOn w:val="1"/>
    <w:qFormat/>
    <w:uiPriority w:val="0"/>
    <w:pPr>
      <w:widowControl/>
      <w:spacing w:after="160" w:line="240" w:lineRule="exact"/>
      <w:jc w:val="left"/>
    </w:pPr>
    <w:rPr>
      <w:rFonts w:ascii="Verdana" w:hAnsi="Verdana"/>
      <w:kern w:val="0"/>
      <w:sz w:val="20"/>
      <w:szCs w:val="20"/>
      <w:lang w:eastAsia="en-US"/>
    </w:rPr>
  </w:style>
  <w:style w:type="paragraph" w:customStyle="1" w:styleId="2754">
    <w:name w:val="标题4-rw"/>
    <w:basedOn w:val="6"/>
    <w:qFormat/>
    <w:uiPriority w:val="0"/>
    <w:pPr>
      <w:tabs>
        <w:tab w:val="left" w:pos="786"/>
        <w:tab w:val="left" w:pos="864"/>
      </w:tabs>
      <w:spacing w:before="80" w:beforeLines="50" w:after="80" w:afterLines="50" w:line="360" w:lineRule="auto"/>
      <w:ind w:left="864" w:hanging="864" w:hangingChars="200"/>
    </w:pPr>
    <w:rPr>
      <w:rFonts w:ascii="Times New Roman" w:hAnsi="Times New Roman" w:eastAsia="楷体_GB2312"/>
      <w:color w:val="FF0000"/>
      <w:sz w:val="24"/>
      <w:lang w:val="zh-CN"/>
    </w:rPr>
  </w:style>
  <w:style w:type="paragraph" w:customStyle="1" w:styleId="2755">
    <w:name w:val="zxz5"/>
    <w:next w:val="1"/>
    <w:qFormat/>
    <w:uiPriority w:val="0"/>
    <w:pPr>
      <w:tabs>
        <w:tab w:val="left" w:pos="0"/>
      </w:tabs>
      <w:jc w:val="center"/>
    </w:pPr>
    <w:rPr>
      <w:rFonts w:ascii="Times New Roman" w:hAnsi="Times New Roman" w:eastAsia="宋体" w:cs="Times New Roman"/>
      <w:lang w:val="en-US" w:eastAsia="zh-CN" w:bidi="ar-SA"/>
    </w:rPr>
  </w:style>
  <w:style w:type="paragraph" w:customStyle="1" w:styleId="2756">
    <w:name w:val="目录 31"/>
    <w:basedOn w:val="1"/>
    <w:next w:val="1"/>
    <w:qFormat/>
    <w:uiPriority w:val="0"/>
    <w:pPr>
      <w:tabs>
        <w:tab w:val="right" w:leader="middleDot" w:pos="9061"/>
      </w:tabs>
      <w:spacing w:line="360" w:lineRule="auto"/>
      <w:ind w:left="420"/>
      <w:jc w:val="left"/>
    </w:pPr>
    <w:rPr>
      <w:i/>
      <w:iCs/>
      <w:sz w:val="28"/>
      <w:szCs w:val="20"/>
    </w:rPr>
  </w:style>
  <w:style w:type="character" w:customStyle="1" w:styleId="2757">
    <w:name w:val="b31"/>
    <w:qFormat/>
    <w:uiPriority w:val="0"/>
    <w:rPr>
      <w:rFonts w:hint="eastAsia" w:ascii="ΟGB2312" w:eastAsia="ΟGB2312"/>
      <w:spacing w:val="20"/>
      <w:sz w:val="28"/>
      <w:szCs w:val="28"/>
    </w:rPr>
  </w:style>
  <w:style w:type="paragraph" w:customStyle="1" w:styleId="2758">
    <w:name w:val="cjh"/>
    <w:basedOn w:val="1"/>
    <w:next w:val="1"/>
    <w:qFormat/>
    <w:uiPriority w:val="0"/>
    <w:pPr>
      <w:keepLines/>
      <w:suppressLineNumbers/>
      <w:suppressAutoHyphens/>
      <w:jc w:val="center"/>
      <w:outlineLvl w:val="0"/>
    </w:pPr>
    <w:rPr>
      <w:rFonts w:ascii="宋体"/>
      <w:kern w:val="24"/>
      <w:szCs w:val="20"/>
    </w:rPr>
  </w:style>
  <w:style w:type="paragraph" w:customStyle="1" w:styleId="2759">
    <w:name w:val="样式 宋体 小四 段前: 7.8 磅 段后: 7.8 磅 行距: 固定值 20 磅"/>
    <w:basedOn w:val="1"/>
    <w:qFormat/>
    <w:uiPriority w:val="0"/>
    <w:pPr>
      <w:spacing w:before="156" w:after="156" w:line="400" w:lineRule="exact"/>
      <w:ind w:left="100" w:leftChars="100" w:firstLine="200" w:firstLineChars="200"/>
    </w:pPr>
    <w:rPr>
      <w:rFonts w:ascii="宋体" w:hAnsi="宋体"/>
      <w:sz w:val="24"/>
      <w:szCs w:val="20"/>
    </w:rPr>
  </w:style>
  <w:style w:type="paragraph" w:customStyle="1" w:styleId="2760">
    <w:name w:val="样式 标题 2 + 黑体 四号 段前: 24 磅 段后: 24 磅 行距: 单倍行距"/>
    <w:basedOn w:val="4"/>
    <w:qFormat/>
    <w:uiPriority w:val="0"/>
    <w:pPr>
      <w:keepNext w:val="0"/>
      <w:keepLines w:val="0"/>
      <w:spacing w:before="120" w:after="120" w:line="240" w:lineRule="auto"/>
    </w:pPr>
    <w:rPr>
      <w:rFonts w:ascii="黑体" w:hAnsi="黑体" w:eastAsia="黑体"/>
      <w:b w:val="0"/>
      <w:sz w:val="24"/>
      <w:szCs w:val="20"/>
    </w:rPr>
  </w:style>
  <w:style w:type="character" w:customStyle="1" w:styleId="2761">
    <w:name w:val="1.1.1标题"/>
    <w:qFormat/>
    <w:uiPriority w:val="0"/>
    <w:rPr>
      <w:rFonts w:ascii="宋体" w:hAnsi="宋体" w:eastAsia="宋体"/>
      <w:color w:val="000000"/>
    </w:rPr>
  </w:style>
  <w:style w:type="character" w:customStyle="1" w:styleId="2762">
    <w:name w:val="标题t"/>
    <w:qFormat/>
    <w:uiPriority w:val="0"/>
  </w:style>
  <w:style w:type="paragraph" w:customStyle="1" w:styleId="2763">
    <w:name w:val="标题 1.1"/>
    <w:basedOn w:val="3"/>
    <w:qFormat/>
    <w:uiPriority w:val="0"/>
    <w:pPr>
      <w:keepNext/>
      <w:keepLines/>
      <w:tabs>
        <w:tab w:val="left" w:pos="786"/>
      </w:tabs>
      <w:adjustRightInd/>
      <w:snapToGrid/>
      <w:spacing w:before="340" w:after="330" w:line="578" w:lineRule="auto"/>
      <w:jc w:val="both"/>
    </w:pPr>
    <w:rPr>
      <w:sz w:val="44"/>
      <w:szCs w:val="44"/>
      <w:lang w:val="zh-CN"/>
    </w:rPr>
  </w:style>
  <w:style w:type="paragraph" w:customStyle="1" w:styleId="2764">
    <w:name w:val="标题 1.1.1"/>
    <w:basedOn w:val="2763"/>
    <w:qFormat/>
    <w:uiPriority w:val="0"/>
  </w:style>
  <w:style w:type="paragraph" w:customStyle="1" w:styleId="2765">
    <w:name w:val="正文文本 21"/>
    <w:basedOn w:val="1"/>
    <w:qFormat/>
    <w:uiPriority w:val="0"/>
    <w:pPr>
      <w:adjustRightInd w:val="0"/>
      <w:ind w:firstLine="560"/>
      <w:jc w:val="left"/>
      <w:textAlignment w:val="baseline"/>
    </w:pPr>
    <w:rPr>
      <w:sz w:val="28"/>
      <w:szCs w:val="20"/>
    </w:rPr>
  </w:style>
  <w:style w:type="paragraph" w:customStyle="1" w:styleId="2766">
    <w:name w:val="TESTO"/>
    <w:basedOn w:val="1"/>
    <w:qFormat/>
    <w:uiPriority w:val="0"/>
    <w:pPr>
      <w:widowControl/>
      <w:tabs>
        <w:tab w:val="left" w:pos="1418"/>
        <w:tab w:val="left" w:pos="1701"/>
        <w:tab w:val="left" w:pos="2424"/>
        <w:tab w:val="left" w:pos="3024"/>
        <w:tab w:val="left" w:pos="3624"/>
        <w:tab w:val="left" w:pos="4224"/>
        <w:tab w:val="left" w:pos="4824"/>
        <w:tab w:val="left" w:pos="5424"/>
        <w:tab w:val="left" w:pos="6024"/>
        <w:tab w:val="left" w:pos="6624"/>
        <w:tab w:val="left" w:pos="7224"/>
      </w:tabs>
      <w:overflowPunct w:val="0"/>
      <w:autoSpaceDE w:val="0"/>
      <w:autoSpaceDN w:val="0"/>
      <w:adjustRightInd w:val="0"/>
      <w:spacing w:line="240" w:lineRule="atLeast"/>
      <w:ind w:left="1247" w:right="851" w:hanging="851"/>
      <w:textAlignment w:val="baseline"/>
    </w:pPr>
    <w:rPr>
      <w:rFonts w:ascii="Arial" w:hAnsi="Arial"/>
      <w:kern w:val="0"/>
      <w:sz w:val="22"/>
      <w:szCs w:val="20"/>
      <w:lang w:val="en-GB"/>
    </w:rPr>
  </w:style>
  <w:style w:type="character" w:customStyle="1" w:styleId="2767">
    <w:name w:val="EmailStyle149"/>
    <w:qFormat/>
    <w:uiPriority w:val="0"/>
    <w:rPr>
      <w:rFonts w:ascii="Arial" w:hAnsi="Arial" w:eastAsia="宋体" w:cs="Arial"/>
      <w:color w:val="auto"/>
      <w:sz w:val="20"/>
    </w:rPr>
  </w:style>
  <w:style w:type="paragraph" w:customStyle="1" w:styleId="2768">
    <w:name w:val="标准书眉一"/>
    <w:qFormat/>
    <w:uiPriority w:val="0"/>
    <w:pPr>
      <w:jc w:val="both"/>
    </w:pPr>
    <w:rPr>
      <w:rFonts w:ascii="Times New Roman" w:hAnsi="Times New Roman" w:eastAsia="宋体" w:cs="Times New Roman"/>
      <w:lang w:val="en-US" w:eastAsia="zh-CN" w:bidi="ar-SA"/>
    </w:rPr>
  </w:style>
  <w:style w:type="paragraph" w:customStyle="1" w:styleId="2769">
    <w:name w:val="순서 순서 설명1"/>
    <w:basedOn w:val="1"/>
    <w:qFormat/>
    <w:uiPriority w:val="0"/>
    <w:pPr>
      <w:tabs>
        <w:tab w:val="left" w:pos="900"/>
      </w:tabs>
      <w:ind w:left="900" w:hanging="420"/>
      <w:jc w:val="left"/>
    </w:pPr>
    <w:rPr>
      <w:szCs w:val="20"/>
    </w:rPr>
  </w:style>
  <w:style w:type="paragraph" w:customStyle="1" w:styleId="2770">
    <w:name w:val="表名、图名"/>
    <w:basedOn w:val="1"/>
    <w:qFormat/>
    <w:uiPriority w:val="0"/>
    <w:pPr>
      <w:spacing w:line="360" w:lineRule="auto"/>
      <w:jc w:val="center"/>
    </w:pPr>
    <w:rPr>
      <w:rFonts w:ascii="宋体"/>
    </w:rPr>
  </w:style>
  <w:style w:type="paragraph" w:customStyle="1" w:styleId="2771">
    <w:name w:val="List Alpha"/>
    <w:basedOn w:val="51"/>
    <w:qFormat/>
    <w:uiPriority w:val="0"/>
    <w:pPr>
      <w:tabs>
        <w:tab w:val="left" w:pos="720"/>
      </w:tabs>
      <w:autoSpaceDE w:val="0"/>
      <w:autoSpaceDN w:val="0"/>
      <w:adjustRightInd w:val="0"/>
      <w:spacing w:after="0" w:line="240" w:lineRule="auto"/>
      <w:ind w:left="720" w:leftChars="0" w:hanging="360"/>
    </w:pPr>
    <w:rPr>
      <w:rFonts w:ascii="Arial" w:hAnsi="Arial" w:cs="Arial"/>
      <w:kern w:val="0"/>
      <w:sz w:val="22"/>
      <w:szCs w:val="22"/>
      <w:lang w:val="zh-CN" w:eastAsia="en-US"/>
    </w:rPr>
  </w:style>
  <w:style w:type="paragraph" w:customStyle="1" w:styleId="2772">
    <w:name w:val="样式 标题 2一级条 + 宋体 小四 行距: 1.5 倍行距1"/>
    <w:basedOn w:val="4"/>
    <w:qFormat/>
    <w:uiPriority w:val="0"/>
    <w:pPr>
      <w:tabs>
        <w:tab w:val="left" w:pos="576"/>
      </w:tabs>
      <w:adjustRightInd w:val="0"/>
      <w:spacing w:before="360" w:after="120" w:line="240" w:lineRule="auto"/>
      <w:ind w:left="576" w:hanging="576"/>
      <w:jc w:val="left"/>
      <w:textAlignment w:val="baseline"/>
    </w:pPr>
    <w:rPr>
      <w:rFonts w:ascii="黑体" w:hAnsi="黑体" w:eastAsia="黑体"/>
      <w:sz w:val="28"/>
      <w:szCs w:val="20"/>
    </w:rPr>
  </w:style>
  <w:style w:type="paragraph" w:customStyle="1" w:styleId="2773">
    <w:name w:val="附录表标题"/>
    <w:next w:val="1"/>
    <w:qFormat/>
    <w:uiPriority w:val="0"/>
    <w:pPr>
      <w:tabs>
        <w:tab w:val="left" w:pos="315"/>
      </w:tabs>
      <w:ind w:left="315" w:hanging="315"/>
      <w:jc w:val="center"/>
      <w:textAlignment w:val="baseline"/>
    </w:pPr>
    <w:rPr>
      <w:rFonts w:ascii="黑体" w:hAnsi="Times New Roman" w:eastAsia="黑体" w:cs="Times New Roman"/>
      <w:kern w:val="21"/>
      <w:sz w:val="21"/>
      <w:szCs w:val="21"/>
      <w:lang w:val="en-US" w:eastAsia="zh-CN" w:bidi="ar-SA"/>
    </w:rPr>
  </w:style>
  <w:style w:type="paragraph" w:customStyle="1" w:styleId="2774">
    <w:name w:val="一级条标题 Char"/>
    <w:next w:val="1108"/>
    <w:qFormat/>
    <w:uiPriority w:val="0"/>
    <w:pPr>
      <w:tabs>
        <w:tab w:val="left" w:pos="360"/>
      </w:tabs>
      <w:ind w:left="360" w:hanging="360"/>
      <w:outlineLvl w:val="2"/>
    </w:pPr>
    <w:rPr>
      <w:rFonts w:ascii="Times New Roman" w:hAnsi="Times New Roman" w:eastAsia="黑体" w:cs="Times New Roman"/>
      <w:kern w:val="2"/>
      <w:sz w:val="21"/>
      <w:szCs w:val="21"/>
      <w:lang w:val="en-US" w:eastAsia="zh-CN" w:bidi="ar-SA"/>
    </w:rPr>
  </w:style>
  <w:style w:type="paragraph" w:customStyle="1" w:styleId="2775">
    <w:name w:val="实施日期"/>
    <w:basedOn w:val="1"/>
    <w:qFormat/>
    <w:uiPriority w:val="0"/>
    <w:pPr>
      <w:framePr w:w="4000" w:h="473" w:hRule="exact" w:vSpace="180" w:wrap="around" w:vAnchor="margin" w:hAnchor="margin" w:xAlign="right" w:y="13511" w:anchorLock="1"/>
      <w:widowControl/>
      <w:tabs>
        <w:tab w:val="left" w:pos="360"/>
      </w:tabs>
      <w:ind w:left="360" w:hanging="360"/>
      <w:jc w:val="right"/>
    </w:pPr>
    <w:rPr>
      <w:rFonts w:eastAsia="黑体"/>
      <w:kern w:val="0"/>
      <w:sz w:val="28"/>
      <w:szCs w:val="28"/>
    </w:rPr>
  </w:style>
  <w:style w:type="paragraph" w:customStyle="1" w:styleId="2776">
    <w:name w:val="图表脚注"/>
    <w:next w:val="1108"/>
    <w:qFormat/>
    <w:uiPriority w:val="0"/>
    <w:pPr>
      <w:tabs>
        <w:tab w:val="left" w:pos="360"/>
      </w:tabs>
      <w:ind w:left="360" w:hanging="360"/>
      <w:jc w:val="both"/>
    </w:pPr>
    <w:rPr>
      <w:rFonts w:ascii="宋体" w:hAnsi="Times New Roman" w:eastAsia="宋体" w:cs="Times New Roman"/>
      <w:sz w:val="18"/>
      <w:szCs w:val="18"/>
      <w:lang w:val="en-US" w:eastAsia="zh-CN" w:bidi="ar-SA"/>
    </w:rPr>
  </w:style>
  <w:style w:type="paragraph" w:customStyle="1" w:styleId="2777">
    <w:name w:val="我的标题2"/>
    <w:basedOn w:val="4"/>
    <w:qFormat/>
    <w:uiPriority w:val="0"/>
    <w:pPr>
      <w:spacing w:before="0" w:after="0" w:line="360" w:lineRule="auto"/>
      <w:jc w:val="left"/>
    </w:pPr>
    <w:rPr>
      <w:rFonts w:ascii="宋体" w:hAnsi="Times New Roman" w:eastAsia="宋体"/>
      <w:b w:val="0"/>
      <w:color w:val="000000"/>
      <w:sz w:val="28"/>
      <w:szCs w:val="20"/>
    </w:rPr>
  </w:style>
  <w:style w:type="paragraph" w:customStyle="1" w:styleId="2778">
    <w:name w:val="正文文本 22"/>
    <w:basedOn w:val="1"/>
    <w:qFormat/>
    <w:uiPriority w:val="0"/>
    <w:pPr>
      <w:adjustRightInd w:val="0"/>
      <w:ind w:firstLine="560"/>
      <w:jc w:val="left"/>
      <w:textAlignment w:val="baseline"/>
    </w:pPr>
    <w:rPr>
      <w:sz w:val="28"/>
      <w:szCs w:val="20"/>
    </w:rPr>
  </w:style>
  <w:style w:type="paragraph" w:customStyle="1" w:styleId="2779">
    <w:name w:val="封面大"/>
    <w:basedOn w:val="21"/>
    <w:qFormat/>
    <w:uiPriority w:val="0"/>
    <w:pPr>
      <w:adjustRightInd w:val="0"/>
      <w:snapToGrid w:val="0"/>
      <w:spacing w:line="360" w:lineRule="auto"/>
      <w:ind w:firstLine="0"/>
      <w:jc w:val="center"/>
    </w:pPr>
    <w:rPr>
      <w:rFonts w:ascii="黑体" w:hAnsi="宋体" w:eastAsia="黑体"/>
      <w:b/>
      <w:kern w:val="0"/>
      <w:sz w:val="52"/>
      <w:szCs w:val="24"/>
      <w:lang w:val="zh-CN"/>
    </w:rPr>
  </w:style>
  <w:style w:type="paragraph" w:customStyle="1" w:styleId="2780">
    <w:name w:val="表中小五"/>
    <w:basedOn w:val="1"/>
    <w:qFormat/>
    <w:uiPriority w:val="0"/>
    <w:pPr>
      <w:snapToGrid w:val="0"/>
      <w:jc w:val="center"/>
    </w:pPr>
    <w:rPr>
      <w:sz w:val="18"/>
      <w:szCs w:val="20"/>
    </w:rPr>
  </w:style>
  <w:style w:type="paragraph" w:customStyle="1" w:styleId="2781">
    <w:name w:val="封面小"/>
    <w:basedOn w:val="45"/>
    <w:qFormat/>
    <w:uiPriority w:val="0"/>
    <w:pPr>
      <w:spacing w:line="360" w:lineRule="auto"/>
      <w:jc w:val="center"/>
    </w:pPr>
    <w:rPr>
      <w:rFonts w:ascii="宋体" w:hAnsi="华文细黑"/>
      <w:kern w:val="0"/>
      <w:sz w:val="24"/>
    </w:rPr>
  </w:style>
  <w:style w:type="paragraph" w:customStyle="1" w:styleId="2782">
    <w:name w:val="内封大"/>
    <w:basedOn w:val="45"/>
    <w:qFormat/>
    <w:uiPriority w:val="0"/>
    <w:pPr>
      <w:spacing w:line="360" w:lineRule="auto"/>
      <w:jc w:val="center"/>
    </w:pPr>
    <w:rPr>
      <w:rFonts w:ascii="黑体" w:hAnsi="华文细黑" w:eastAsia="黑体"/>
      <w:b/>
      <w:bCs/>
      <w:kern w:val="0"/>
      <w:sz w:val="48"/>
    </w:rPr>
  </w:style>
  <w:style w:type="paragraph" w:customStyle="1" w:styleId="2783">
    <w:name w:val="图名1"/>
    <w:basedOn w:val="1"/>
    <w:qFormat/>
    <w:uiPriority w:val="0"/>
    <w:rPr>
      <w:rFonts w:ascii="Arial" w:hAnsi="Arial" w:eastAsia="黑体"/>
      <w:snapToGrid w:val="0"/>
      <w:kern w:val="0"/>
    </w:rPr>
  </w:style>
  <w:style w:type="paragraph" w:customStyle="1" w:styleId="2784">
    <w:name w:val="内封小"/>
    <w:basedOn w:val="45"/>
    <w:qFormat/>
    <w:uiPriority w:val="0"/>
    <w:pPr>
      <w:jc w:val="left"/>
    </w:pPr>
    <w:rPr>
      <w:rFonts w:ascii="宋体" w:hAnsi="宋体"/>
      <w:kern w:val="0"/>
    </w:rPr>
  </w:style>
  <w:style w:type="paragraph" w:customStyle="1" w:styleId="2785">
    <w:name w:val="表2"/>
    <w:basedOn w:val="1"/>
    <w:qFormat/>
    <w:uiPriority w:val="0"/>
    <w:pPr>
      <w:jc w:val="center"/>
    </w:pPr>
    <w:rPr>
      <w:rFonts w:ascii="宋体" w:hAnsi="宋体"/>
      <w:szCs w:val="20"/>
    </w:rPr>
  </w:style>
  <w:style w:type="paragraph" w:customStyle="1" w:styleId="2786">
    <w:name w:val="附录标识 Char"/>
    <w:basedOn w:val="1"/>
    <w:qFormat/>
    <w:uiPriority w:val="0"/>
    <w:pPr>
      <w:widowControl/>
      <w:shd w:val="clear" w:color="FFFFFF" w:fill="FFFFFF"/>
      <w:tabs>
        <w:tab w:val="left" w:pos="315"/>
        <w:tab w:val="left" w:pos="789"/>
        <w:tab w:val="left" w:pos="6405"/>
      </w:tabs>
      <w:spacing w:before="640" w:after="200"/>
      <w:ind w:left="789" w:hanging="264"/>
      <w:jc w:val="center"/>
      <w:outlineLvl w:val="0"/>
    </w:pPr>
    <w:rPr>
      <w:rFonts w:ascii="黑体" w:eastAsia="黑体"/>
      <w:szCs w:val="21"/>
    </w:rPr>
  </w:style>
  <w:style w:type="paragraph" w:customStyle="1" w:styleId="2787">
    <w:name w:val="4级标题"/>
    <w:basedOn w:val="1"/>
    <w:qFormat/>
    <w:uiPriority w:val="0"/>
  </w:style>
  <w:style w:type="paragraph" w:customStyle="1" w:styleId="2788">
    <w:name w:val="biao-2"/>
    <w:basedOn w:val="1"/>
    <w:qFormat/>
    <w:uiPriority w:val="0"/>
    <w:pPr>
      <w:snapToGrid w:val="0"/>
      <w:spacing w:line="360" w:lineRule="exact"/>
    </w:pPr>
    <w:rPr>
      <w:sz w:val="24"/>
      <w:szCs w:val="28"/>
    </w:rPr>
  </w:style>
  <w:style w:type="paragraph" w:customStyle="1" w:styleId="2789">
    <w:name w:val="表格（居中）"/>
    <w:basedOn w:val="1"/>
    <w:next w:val="1"/>
    <w:qFormat/>
    <w:uiPriority w:val="0"/>
    <w:pPr>
      <w:jc w:val="center"/>
    </w:pPr>
    <w:rPr>
      <w:sz w:val="24"/>
    </w:rPr>
  </w:style>
  <w:style w:type="paragraph" w:customStyle="1" w:styleId="2790">
    <w:name w:val="标题 4() + 宋体 小三 非加粗 居中 段前: 12 磅 段后: ..."/>
    <w:basedOn w:val="6"/>
    <w:qFormat/>
    <w:uiPriority w:val="0"/>
    <w:pPr>
      <w:spacing w:before="240" w:beforeLines="50" w:after="240" w:afterLines="50" w:line="440" w:lineRule="exact"/>
      <w:jc w:val="center"/>
    </w:pPr>
    <w:rPr>
      <w:rFonts w:ascii="宋体" w:hAnsi="宋体" w:eastAsia="宋体"/>
      <w:b w:val="0"/>
      <w:bCs w:val="0"/>
      <w:color w:val="FF0000"/>
      <w:sz w:val="30"/>
      <w:szCs w:val="20"/>
    </w:rPr>
  </w:style>
  <w:style w:type="paragraph" w:customStyle="1" w:styleId="2791">
    <w:name w:val="wislin正文"/>
    <w:basedOn w:val="1"/>
    <w:qFormat/>
    <w:uiPriority w:val="0"/>
    <w:pPr>
      <w:spacing w:line="300" w:lineRule="auto"/>
      <w:ind w:firstLine="454"/>
    </w:pPr>
    <w:rPr>
      <w:sz w:val="24"/>
    </w:rPr>
  </w:style>
  <w:style w:type="paragraph" w:customStyle="1" w:styleId="2792">
    <w:name w:val="标题 5 + 黑体 四号 首行缩进:  0 厘米 段前: 0.5 行 段后: 0.5 行 行距: 固定值 22 磅"/>
    <w:basedOn w:val="7"/>
    <w:qFormat/>
    <w:uiPriority w:val="0"/>
    <w:pPr>
      <w:tabs>
        <w:tab w:val="left" w:pos="360"/>
      </w:tabs>
      <w:spacing w:beforeLines="50" w:afterLines="50" w:line="440" w:lineRule="exact"/>
      <w:ind w:left="360"/>
      <w:textAlignment w:val="auto"/>
    </w:pPr>
    <w:rPr>
      <w:rFonts w:ascii="黑体" w:eastAsia="黑体"/>
      <w:b w:val="0"/>
      <w:kern w:val="2"/>
    </w:rPr>
  </w:style>
  <w:style w:type="paragraph" w:customStyle="1" w:styleId="2793">
    <w:name w:val="３标题"/>
    <w:basedOn w:val="5"/>
    <w:next w:val="34"/>
    <w:qFormat/>
    <w:uiPriority w:val="0"/>
    <w:pPr>
      <w:spacing w:before="120" w:beforeLines="50" w:after="50" w:afterLines="50" w:line="240" w:lineRule="auto"/>
    </w:pPr>
    <w:rPr>
      <w:rFonts w:hAnsi="Arial" w:eastAsia="黑体"/>
      <w:color w:val="000000"/>
      <w:spacing w:val="2"/>
      <w:kern w:val="44"/>
      <w:sz w:val="28"/>
      <w:szCs w:val="28"/>
      <w:lang w:val="zh-CN"/>
    </w:rPr>
  </w:style>
  <w:style w:type="paragraph" w:customStyle="1" w:styleId="2794">
    <w:name w:val="ZHY正文"/>
    <w:basedOn w:val="1"/>
    <w:qFormat/>
    <w:uiPriority w:val="0"/>
    <w:pPr>
      <w:tabs>
        <w:tab w:val="left" w:pos="1890"/>
      </w:tabs>
      <w:spacing w:line="440" w:lineRule="exact"/>
      <w:ind w:firstLine="200" w:firstLineChars="200"/>
    </w:pPr>
    <w:rPr>
      <w:rFonts w:ascii="宋体"/>
      <w:bCs/>
      <w:sz w:val="24"/>
    </w:rPr>
  </w:style>
  <w:style w:type="paragraph" w:customStyle="1" w:styleId="2795">
    <w:name w:val="标图名"/>
    <w:basedOn w:val="1"/>
    <w:qFormat/>
    <w:uiPriority w:val="0"/>
    <w:pPr>
      <w:keepNext/>
      <w:keepLines/>
      <w:spacing w:beforeLines="30" w:afterLines="30" w:line="440" w:lineRule="exact"/>
      <w:ind w:firstLine="538" w:firstLineChars="192"/>
    </w:pPr>
    <w:rPr>
      <w:rFonts w:ascii="仿宋_GB2312" w:hAnsi="Arial" w:eastAsia="黑体"/>
      <w:bCs/>
      <w:szCs w:val="28"/>
    </w:rPr>
  </w:style>
  <w:style w:type="paragraph" w:customStyle="1" w:styleId="2796">
    <w:name w:val="表格新"/>
    <w:basedOn w:val="1"/>
    <w:qFormat/>
    <w:uiPriority w:val="0"/>
    <w:pPr>
      <w:spacing w:line="400" w:lineRule="exact"/>
      <w:jc w:val="center"/>
    </w:pPr>
    <w:rPr>
      <w:sz w:val="18"/>
    </w:rPr>
  </w:style>
  <w:style w:type="paragraph" w:customStyle="1" w:styleId="2797">
    <w:name w:val="图头"/>
    <w:basedOn w:val="1"/>
    <w:qFormat/>
    <w:uiPriority w:val="0"/>
    <w:pPr>
      <w:spacing w:line="360" w:lineRule="auto"/>
      <w:ind w:firstLine="480" w:firstLineChars="200"/>
    </w:pPr>
    <w:rPr>
      <w:rFonts w:ascii="宋体" w:hAnsi="宋体"/>
      <w:bCs/>
      <w:kern w:val="0"/>
      <w:sz w:val="24"/>
    </w:rPr>
  </w:style>
  <w:style w:type="character" w:customStyle="1" w:styleId="2798">
    <w:name w:val="text-s1"/>
    <w:qFormat/>
    <w:uiPriority w:val="0"/>
    <w:rPr>
      <w:sz w:val="18"/>
      <w:szCs w:val="18"/>
    </w:rPr>
  </w:style>
  <w:style w:type="paragraph" w:customStyle="1" w:styleId="2799">
    <w:name w:val="表格表头"/>
    <w:basedOn w:val="1"/>
    <w:qFormat/>
    <w:uiPriority w:val="0"/>
    <w:pPr>
      <w:widowControl/>
      <w:spacing w:line="360" w:lineRule="auto"/>
      <w:jc w:val="center"/>
    </w:pPr>
    <w:rPr>
      <w:rFonts w:ascii="宋体" w:hAnsi="宋体"/>
      <w:sz w:val="24"/>
      <w:szCs w:val="20"/>
    </w:rPr>
  </w:style>
  <w:style w:type="paragraph" w:customStyle="1" w:styleId="2800">
    <w:name w:val="二级条"/>
    <w:next w:val="6"/>
    <w:qFormat/>
    <w:uiPriority w:val="0"/>
    <w:pPr>
      <w:tabs>
        <w:tab w:val="left" w:pos="315"/>
      </w:tabs>
      <w:spacing w:line="440" w:lineRule="exact"/>
      <w:ind w:left="315" w:hanging="315"/>
    </w:pPr>
    <w:rPr>
      <w:rFonts w:ascii="宋体" w:hAnsi="Times New Roman" w:eastAsia="宋体" w:cs="Times New Roman"/>
      <w:sz w:val="24"/>
      <w:lang w:val="en-US" w:eastAsia="zh-CN" w:bidi="ar-SA"/>
    </w:rPr>
  </w:style>
  <w:style w:type="paragraph" w:customStyle="1" w:styleId="2801">
    <w:name w:val="图和表标题"/>
    <w:next w:val="6"/>
    <w:qFormat/>
    <w:uiPriority w:val="0"/>
    <w:pPr>
      <w:widowControl w:val="0"/>
      <w:spacing w:line="440" w:lineRule="exact"/>
      <w:jc w:val="center"/>
    </w:pPr>
    <w:rPr>
      <w:rFonts w:ascii="黑体" w:hAnsi="Times New Roman" w:eastAsia="黑体" w:cs="Times New Roman"/>
      <w:sz w:val="24"/>
      <w:lang w:val="en-US" w:eastAsia="zh-CN" w:bidi="ar-SA"/>
    </w:rPr>
  </w:style>
  <w:style w:type="paragraph" w:customStyle="1" w:styleId="2802">
    <w:name w:val="main"/>
    <w:basedOn w:val="1"/>
    <w:qFormat/>
    <w:uiPriority w:val="0"/>
    <w:pPr>
      <w:spacing w:line="300" w:lineRule="auto"/>
      <w:ind w:firstLine="200" w:firstLineChars="200"/>
    </w:pPr>
    <w:rPr>
      <w:sz w:val="24"/>
    </w:rPr>
  </w:style>
  <w:style w:type="paragraph" w:customStyle="1" w:styleId="2803">
    <w:name w:val="wislin正文 Char"/>
    <w:basedOn w:val="1"/>
    <w:qFormat/>
    <w:uiPriority w:val="0"/>
    <w:pPr>
      <w:spacing w:line="300" w:lineRule="auto"/>
      <w:ind w:firstLine="454"/>
    </w:pPr>
    <w:rPr>
      <w:sz w:val="24"/>
    </w:rPr>
  </w:style>
  <w:style w:type="character" w:customStyle="1" w:styleId="2804">
    <w:name w:val="wislin正文 Char Char"/>
    <w:qFormat/>
    <w:uiPriority w:val="0"/>
    <w:rPr>
      <w:rFonts w:eastAsia="宋体"/>
      <w:kern w:val="2"/>
      <w:sz w:val="24"/>
      <w:szCs w:val="24"/>
      <w:lang w:val="en-US" w:eastAsia="zh-CN" w:bidi="ar-SA"/>
    </w:rPr>
  </w:style>
  <w:style w:type="paragraph" w:customStyle="1" w:styleId="2805">
    <w:name w:val="ZHY正文文字"/>
    <w:basedOn w:val="1"/>
    <w:qFormat/>
    <w:uiPriority w:val="0"/>
    <w:pPr>
      <w:spacing w:line="460" w:lineRule="exact"/>
      <w:ind w:firstLine="200" w:firstLineChars="200"/>
    </w:pPr>
    <w:rPr>
      <w:sz w:val="28"/>
      <w:szCs w:val="28"/>
    </w:rPr>
  </w:style>
  <w:style w:type="paragraph" w:customStyle="1" w:styleId="2806">
    <w:name w:val="c"/>
    <w:basedOn w:val="35"/>
    <w:qFormat/>
    <w:uiPriority w:val="0"/>
    <w:pPr>
      <w:spacing w:after="0" w:line="440" w:lineRule="exact"/>
      <w:ind w:left="0" w:leftChars="0"/>
    </w:pPr>
    <w:rPr>
      <w:rFonts w:ascii="宋体" w:hAnsi="宋体"/>
      <w:snapToGrid/>
      <w:kern w:val="2"/>
      <w:sz w:val="24"/>
      <w:lang w:val="zh-CN"/>
    </w:rPr>
  </w:style>
  <w:style w:type="paragraph" w:customStyle="1" w:styleId="2807">
    <w:name w:val="附录二级条标题"/>
    <w:next w:val="1"/>
    <w:qFormat/>
    <w:uiPriority w:val="0"/>
    <w:pPr>
      <w:tabs>
        <w:tab w:val="left" w:pos="360"/>
        <w:tab w:val="left" w:pos="576"/>
        <w:tab w:val="left" w:pos="720"/>
        <w:tab w:val="left" w:pos="864"/>
        <w:tab w:val="left" w:pos="1260"/>
        <w:tab w:val="left" w:pos="1680"/>
      </w:tabs>
      <w:ind w:left="1680"/>
      <w:outlineLvl w:val="3"/>
    </w:pPr>
    <w:rPr>
      <w:rFonts w:ascii="Times New Roman" w:hAnsi="Times New Roman" w:eastAsia="宋体" w:cs="Times New Roman"/>
      <w:lang w:val="en-US" w:eastAsia="zh-CN" w:bidi="ar-SA"/>
    </w:rPr>
  </w:style>
  <w:style w:type="paragraph" w:customStyle="1" w:styleId="2808">
    <w:name w:val="附录一级条标题"/>
    <w:next w:val="1"/>
    <w:qFormat/>
    <w:uiPriority w:val="0"/>
    <w:pPr>
      <w:tabs>
        <w:tab w:val="left" w:pos="360"/>
        <w:tab w:val="left" w:pos="576"/>
        <w:tab w:val="left" w:pos="720"/>
        <w:tab w:val="left" w:pos="1260"/>
      </w:tabs>
      <w:autoSpaceDN w:val="0"/>
      <w:ind w:left="1260" w:hanging="420"/>
      <w:outlineLvl w:val="2"/>
    </w:pPr>
    <w:rPr>
      <w:rFonts w:ascii="Times New Roman" w:hAnsi="Times New Roman" w:eastAsia="宋体" w:cs="Times New Roman"/>
      <w:lang w:val="en-US" w:eastAsia="zh-CN" w:bidi="ar-SA"/>
    </w:rPr>
  </w:style>
  <w:style w:type="paragraph" w:customStyle="1" w:styleId="2809">
    <w:name w:val="附录章标题"/>
    <w:next w:val="1"/>
    <w:qFormat/>
    <w:uiPriority w:val="0"/>
    <w:pPr>
      <w:tabs>
        <w:tab w:val="left" w:pos="360"/>
        <w:tab w:val="left" w:pos="576"/>
      </w:tabs>
      <w:wordWrap w:val="0"/>
      <w:overflowPunct w:val="0"/>
      <w:autoSpaceDE w:val="0"/>
      <w:spacing w:beforeLines="50" w:afterLines="50"/>
      <w:ind w:left="576" w:hanging="576"/>
      <w:jc w:val="both"/>
      <w:textAlignment w:val="baseline"/>
      <w:outlineLvl w:val="1"/>
    </w:pPr>
    <w:rPr>
      <w:rFonts w:ascii="黑体" w:hAnsi="Times New Roman" w:eastAsia="黑体" w:cs="Times New Roman"/>
      <w:kern w:val="21"/>
      <w:sz w:val="21"/>
      <w:lang w:val="en-US" w:eastAsia="zh-CN" w:bidi="ar-SA"/>
    </w:rPr>
  </w:style>
  <w:style w:type="character" w:customStyle="1" w:styleId="2810">
    <w:name w:val="正文缩进 Char Char Char Char Char"/>
    <w:qFormat/>
    <w:uiPriority w:val="0"/>
    <w:rPr>
      <w:rFonts w:ascii="宋体" w:hAnsi="宋体" w:eastAsia="宋体"/>
      <w:kern w:val="2"/>
      <w:sz w:val="24"/>
      <w:lang w:val="en-US" w:eastAsia="zh-CN" w:bidi="ar-SA"/>
    </w:rPr>
  </w:style>
  <w:style w:type="paragraph" w:customStyle="1" w:styleId="2811">
    <w:name w:val="附录三级条标题"/>
    <w:basedOn w:val="2807"/>
    <w:next w:val="1"/>
    <w:qFormat/>
    <w:uiPriority w:val="0"/>
    <w:pPr>
      <w:tabs>
        <w:tab w:val="left" w:pos="1008"/>
        <w:tab w:val="left" w:pos="2100"/>
      </w:tabs>
      <w:ind w:left="2100"/>
      <w:outlineLvl w:val="4"/>
    </w:pPr>
  </w:style>
  <w:style w:type="paragraph" w:customStyle="1" w:styleId="2812">
    <w:name w:val="附录四级条标题"/>
    <w:basedOn w:val="2811"/>
    <w:next w:val="1"/>
    <w:qFormat/>
    <w:uiPriority w:val="0"/>
    <w:pPr>
      <w:tabs>
        <w:tab w:val="left" w:pos="1152"/>
        <w:tab w:val="left" w:pos="2520"/>
      </w:tabs>
      <w:ind w:left="2520"/>
      <w:outlineLvl w:val="5"/>
    </w:pPr>
  </w:style>
  <w:style w:type="paragraph" w:customStyle="1" w:styleId="2813">
    <w:name w:val="附录五级条标题"/>
    <w:basedOn w:val="2812"/>
    <w:next w:val="1"/>
    <w:qFormat/>
    <w:uiPriority w:val="0"/>
    <w:pPr>
      <w:tabs>
        <w:tab w:val="left" w:pos="1296"/>
        <w:tab w:val="left" w:pos="2940"/>
      </w:tabs>
      <w:ind w:left="2940"/>
      <w:outlineLvl w:val="6"/>
    </w:pPr>
  </w:style>
  <w:style w:type="paragraph" w:customStyle="1" w:styleId="2814">
    <w:name w:val="样式 正文（首行缩进两字） Char Char + 段前: 0.27 行 段后: 0.27 行"/>
    <w:basedOn w:val="21"/>
    <w:qFormat/>
    <w:uiPriority w:val="0"/>
    <w:pPr>
      <w:autoSpaceDE w:val="0"/>
      <w:autoSpaceDN w:val="0"/>
      <w:adjustRightInd w:val="0"/>
      <w:snapToGrid w:val="0"/>
      <w:spacing w:line="440" w:lineRule="exact"/>
      <w:ind w:firstLine="200" w:firstLineChars="200"/>
      <w:jc w:val="left"/>
    </w:pPr>
    <w:rPr>
      <w:sz w:val="24"/>
    </w:rPr>
  </w:style>
  <w:style w:type="paragraph" w:customStyle="1" w:styleId="2815">
    <w:name w:val="样式 标题 4段H4h4 sub sub heading段标题1.1.1.1标题 4.1.1.1.1标题 4 Ch..."/>
    <w:basedOn w:val="6"/>
    <w:qFormat/>
    <w:uiPriority w:val="0"/>
    <w:pPr>
      <w:widowControl/>
      <w:spacing w:before="0" w:beforeLines="50" w:after="0" w:afterLines="50" w:line="440" w:lineRule="exact"/>
    </w:pPr>
    <w:rPr>
      <w:rFonts w:ascii="Times New Roman" w:hAnsi="Times New Roman" w:eastAsia="楷体_GB2312"/>
      <w:b w:val="0"/>
      <w:color w:val="FF0000"/>
      <w:kern w:val="0"/>
      <w:sz w:val="24"/>
      <w:szCs w:val="24"/>
    </w:rPr>
  </w:style>
  <w:style w:type="paragraph" w:customStyle="1" w:styleId="2816">
    <w:name w:val="样式 样式 标题 3条节标题1.1.1标题2三级标题Alt+C标题 3 Char Char标题 3 Char三级标题... + ..."/>
    <w:basedOn w:val="1"/>
    <w:qFormat/>
    <w:uiPriority w:val="0"/>
    <w:pPr>
      <w:keepNext/>
      <w:keepLines/>
      <w:widowControl/>
      <w:spacing w:before="120" w:after="120" w:line="440" w:lineRule="exact"/>
      <w:jc w:val="left"/>
      <w:outlineLvl w:val="2"/>
    </w:pPr>
    <w:rPr>
      <w:rFonts w:eastAsia="黑体"/>
      <w:bCs/>
      <w:kern w:val="0"/>
      <w:sz w:val="28"/>
      <w:szCs w:val="28"/>
    </w:rPr>
  </w:style>
  <w:style w:type="paragraph" w:customStyle="1" w:styleId="2817">
    <w:name w:val="样式 样式 标题 4段H4h4 sub sub heading段标题1.1.1.1标题 4.1.1.1.1标题 4 Ch... ..."/>
    <w:basedOn w:val="2815"/>
    <w:qFormat/>
    <w:uiPriority w:val="0"/>
    <w:rPr>
      <w:bCs w:val="0"/>
      <w:szCs w:val="20"/>
    </w:rPr>
  </w:style>
  <w:style w:type="paragraph" w:customStyle="1" w:styleId="2818">
    <w:name w:val="目录标题"/>
    <w:basedOn w:val="1"/>
    <w:qFormat/>
    <w:uiPriority w:val="0"/>
    <w:pPr>
      <w:autoSpaceDE w:val="0"/>
      <w:autoSpaceDN w:val="0"/>
      <w:adjustRightInd w:val="0"/>
      <w:snapToGrid w:val="0"/>
      <w:spacing w:line="360" w:lineRule="auto"/>
      <w:ind w:left="1380" w:firstLine="676" w:firstLineChars="225"/>
    </w:pPr>
    <w:rPr>
      <w:b/>
      <w:bCs/>
      <w:sz w:val="30"/>
      <w:szCs w:val="30"/>
    </w:rPr>
  </w:style>
  <w:style w:type="paragraph" w:customStyle="1" w:styleId="2819">
    <w:name w:val="目录标题2"/>
    <w:basedOn w:val="2818"/>
    <w:qFormat/>
    <w:uiPriority w:val="0"/>
    <w:pPr>
      <w:ind w:firstLine="602" w:firstLineChars="200"/>
      <w:jc w:val="left"/>
    </w:pPr>
    <w:rPr>
      <w:sz w:val="24"/>
      <w:szCs w:val="24"/>
    </w:rPr>
  </w:style>
  <w:style w:type="paragraph" w:customStyle="1" w:styleId="2820">
    <w:name w:val="目录文字"/>
    <w:basedOn w:val="27"/>
    <w:qFormat/>
    <w:uiPriority w:val="0"/>
    <w:pPr>
      <w:autoSpaceDE w:val="0"/>
      <w:autoSpaceDN w:val="0"/>
      <w:adjustRightInd w:val="0"/>
      <w:snapToGrid w:val="0"/>
      <w:spacing w:before="0"/>
      <w:ind w:firstLine="225" w:firstLineChars="225"/>
    </w:pPr>
    <w:rPr>
      <w:rFonts w:cs="Arial"/>
    </w:rPr>
  </w:style>
  <w:style w:type="paragraph" w:customStyle="1" w:styleId="2821">
    <w:name w:val="正文文字缩进 32"/>
    <w:basedOn w:val="1"/>
    <w:qFormat/>
    <w:uiPriority w:val="0"/>
    <w:pPr>
      <w:autoSpaceDE w:val="0"/>
      <w:autoSpaceDN w:val="0"/>
      <w:adjustRightInd w:val="0"/>
      <w:snapToGrid w:val="0"/>
      <w:spacing w:after="120" w:line="360" w:lineRule="auto"/>
      <w:ind w:left="420" w:leftChars="200" w:firstLine="540" w:firstLineChars="225"/>
    </w:pPr>
    <w:rPr>
      <w:sz w:val="16"/>
      <w:szCs w:val="16"/>
    </w:rPr>
  </w:style>
  <w:style w:type="character" w:customStyle="1" w:styleId="2822">
    <w:name w:val="标题5 Char Char"/>
    <w:qFormat/>
    <w:uiPriority w:val="0"/>
    <w:rPr>
      <w:rFonts w:ascii="宋体" w:hAnsi="宋体" w:eastAsia="宋体" w:cs="宋体"/>
      <w:b/>
      <w:bCs/>
      <w:kern w:val="2"/>
      <w:sz w:val="24"/>
      <w:szCs w:val="24"/>
      <w:lang w:val="en-US" w:eastAsia="zh-CN"/>
    </w:rPr>
  </w:style>
  <w:style w:type="paragraph" w:customStyle="1" w:styleId="2823">
    <w:name w:val="五号仿宋"/>
    <w:basedOn w:val="1"/>
    <w:qFormat/>
    <w:uiPriority w:val="0"/>
    <w:pPr>
      <w:autoSpaceDE w:val="0"/>
      <w:autoSpaceDN w:val="0"/>
      <w:adjustRightInd w:val="0"/>
      <w:snapToGrid w:val="0"/>
      <w:ind w:firstLine="540" w:firstLineChars="225"/>
      <w:jc w:val="center"/>
    </w:pPr>
    <w:rPr>
      <w:spacing w:val="20"/>
      <w:szCs w:val="21"/>
    </w:rPr>
  </w:style>
  <w:style w:type="paragraph" w:customStyle="1" w:styleId="2824">
    <w:name w:val="表-lgh"/>
    <w:basedOn w:val="21"/>
    <w:qFormat/>
    <w:uiPriority w:val="0"/>
    <w:pPr>
      <w:autoSpaceDE w:val="0"/>
      <w:autoSpaceDN w:val="0"/>
      <w:adjustRightInd w:val="0"/>
      <w:snapToGrid w:val="0"/>
      <w:spacing w:line="360" w:lineRule="exact"/>
      <w:ind w:firstLine="0"/>
    </w:pPr>
    <w:rPr>
      <w:sz w:val="24"/>
      <w:szCs w:val="24"/>
      <w:lang w:val="zh-CN"/>
    </w:rPr>
  </w:style>
  <w:style w:type="paragraph" w:customStyle="1" w:styleId="2825">
    <w:name w:val="biao-00"/>
    <w:basedOn w:val="1"/>
    <w:qFormat/>
    <w:uiPriority w:val="0"/>
    <w:pPr>
      <w:tabs>
        <w:tab w:val="left" w:pos="5580"/>
      </w:tabs>
      <w:autoSpaceDE w:val="0"/>
      <w:autoSpaceDN w:val="0"/>
      <w:adjustRightInd w:val="0"/>
      <w:snapToGrid w:val="0"/>
      <w:spacing w:line="360" w:lineRule="exact"/>
    </w:pPr>
    <w:rPr>
      <w:w w:val="80"/>
      <w:szCs w:val="21"/>
    </w:rPr>
  </w:style>
  <w:style w:type="paragraph" w:customStyle="1" w:styleId="2826">
    <w:name w:val="标准小四"/>
    <w:basedOn w:val="1"/>
    <w:qFormat/>
    <w:uiPriority w:val="0"/>
    <w:pPr>
      <w:spacing w:line="360" w:lineRule="auto"/>
      <w:ind w:firstLine="480" w:firstLineChars="200"/>
    </w:pPr>
    <w:rPr>
      <w:sz w:val="24"/>
    </w:rPr>
  </w:style>
  <w:style w:type="paragraph" w:customStyle="1" w:styleId="2827">
    <w:name w:val="作者姓名"/>
    <w:next w:val="1"/>
    <w:qFormat/>
    <w:uiPriority w:val="0"/>
    <w:pPr>
      <w:widowControl w:val="0"/>
      <w:adjustRightInd w:val="0"/>
      <w:snapToGrid w:val="0"/>
      <w:jc w:val="center"/>
    </w:pPr>
    <w:rPr>
      <w:rFonts w:ascii="方正隶变简体" w:hAnsi="Times New Roman" w:eastAsia="方正隶变简体" w:cs="Times New Roman"/>
      <w:kern w:val="2"/>
      <w:sz w:val="28"/>
      <w:lang w:val="en-US" w:eastAsia="zh-CN" w:bidi="ar-SA"/>
    </w:rPr>
  </w:style>
  <w:style w:type="paragraph" w:customStyle="1" w:styleId="2828">
    <w:name w:val="Char1 Char Char1 Char"/>
    <w:basedOn w:val="1"/>
    <w:qFormat/>
    <w:uiPriority w:val="0"/>
  </w:style>
  <w:style w:type="paragraph" w:customStyle="1" w:styleId="2829">
    <w:name w:val="Char1 Char Char1 Char Char Char Char Char Char"/>
    <w:basedOn w:val="1"/>
    <w:qFormat/>
    <w:uiPriority w:val="0"/>
  </w:style>
  <w:style w:type="paragraph" w:customStyle="1" w:styleId="2830">
    <w:name w:val="Char1 Char Char1"/>
    <w:basedOn w:val="1"/>
    <w:qFormat/>
    <w:uiPriority w:val="0"/>
  </w:style>
  <w:style w:type="paragraph" w:customStyle="1" w:styleId="2831">
    <w:name w:val="回信地址"/>
    <w:basedOn w:val="1"/>
    <w:qFormat/>
    <w:uiPriority w:val="0"/>
    <w:pPr>
      <w:keepLines/>
      <w:framePr w:w="2635" w:h="1138" w:wrap="notBeside" w:vAnchor="page" w:hAnchor="margin" w:xAlign="right" w:y="678" w:anchorLock="1"/>
      <w:widowControl/>
      <w:spacing w:line="200" w:lineRule="atLeast"/>
      <w:ind w:right="-120"/>
      <w:jc w:val="left"/>
    </w:pPr>
    <w:rPr>
      <w:kern w:val="0"/>
      <w:sz w:val="16"/>
      <w:szCs w:val="20"/>
    </w:rPr>
  </w:style>
  <w:style w:type="character" w:customStyle="1" w:styleId="2832">
    <w:name w:val="样式 正文（首行缩进两字） Char Char + 宋体 Char"/>
    <w:qFormat/>
    <w:uiPriority w:val="0"/>
    <w:rPr>
      <w:rFonts w:ascii="宋体" w:hAnsi="宋体" w:eastAsia="宋体"/>
      <w:kern w:val="2"/>
      <w:sz w:val="24"/>
      <w:szCs w:val="24"/>
      <w:lang w:val="en-US" w:eastAsia="zh-CN" w:bidi="ar-SA"/>
    </w:rPr>
  </w:style>
  <w:style w:type="paragraph" w:customStyle="1" w:styleId="2833">
    <w:name w:val="样式 正文（首行缩进两字） Char Char + 宋体"/>
    <w:basedOn w:val="21"/>
    <w:qFormat/>
    <w:uiPriority w:val="0"/>
    <w:pPr>
      <w:autoSpaceDE w:val="0"/>
      <w:autoSpaceDN w:val="0"/>
      <w:adjustRightInd w:val="0"/>
      <w:snapToGrid w:val="0"/>
      <w:spacing w:line="440" w:lineRule="exact"/>
      <w:ind w:firstLine="482"/>
    </w:pPr>
    <w:rPr>
      <w:rFonts w:ascii="宋体" w:hAnsi="宋体"/>
      <w:sz w:val="24"/>
      <w:szCs w:val="24"/>
    </w:rPr>
  </w:style>
  <w:style w:type="character" w:customStyle="1" w:styleId="2834">
    <w:name w:val="Char Char13"/>
    <w:qFormat/>
    <w:uiPriority w:val="0"/>
    <w:rPr>
      <w:rFonts w:ascii="Arial" w:hAnsi="Arial" w:eastAsia="黑体"/>
      <w:b/>
      <w:kern w:val="2"/>
      <w:sz w:val="24"/>
      <w:lang w:val="en-US" w:eastAsia="zh-CN" w:bidi="ar-SA"/>
    </w:rPr>
  </w:style>
  <w:style w:type="character" w:customStyle="1" w:styleId="2835">
    <w:name w:val="Char Char12"/>
    <w:qFormat/>
    <w:uiPriority w:val="0"/>
    <w:rPr>
      <w:rFonts w:eastAsia="宋体"/>
      <w:b/>
      <w:kern w:val="2"/>
      <w:sz w:val="24"/>
      <w:lang w:val="en-US" w:eastAsia="zh-CN" w:bidi="ar-SA"/>
    </w:rPr>
  </w:style>
  <w:style w:type="character" w:customStyle="1" w:styleId="2836">
    <w:name w:val="Char Char10"/>
    <w:qFormat/>
    <w:uiPriority w:val="0"/>
    <w:rPr>
      <w:rFonts w:ascii="Arial" w:hAnsi="Arial" w:eastAsia="黑体"/>
      <w:kern w:val="2"/>
      <w:sz w:val="21"/>
      <w:lang w:val="en-US" w:eastAsia="zh-CN" w:bidi="ar-SA"/>
    </w:rPr>
  </w:style>
  <w:style w:type="character" w:customStyle="1" w:styleId="2837">
    <w:name w:val="正文缩进2 Char Char"/>
    <w:qFormat/>
    <w:uiPriority w:val="0"/>
    <w:rPr>
      <w:rFonts w:eastAsia="宋体"/>
      <w:kern w:val="2"/>
      <w:sz w:val="24"/>
      <w:lang w:val="en-US" w:eastAsia="zh-CN" w:bidi="ar-SA"/>
    </w:rPr>
  </w:style>
  <w:style w:type="character" w:customStyle="1" w:styleId="2838">
    <w:name w:val="Char Char84"/>
    <w:qFormat/>
    <w:uiPriority w:val="0"/>
    <w:rPr>
      <w:rFonts w:eastAsia="宋体"/>
      <w:spacing w:val="-20"/>
      <w:kern w:val="2"/>
      <w:lang w:val="en-US" w:eastAsia="zh-CN" w:bidi="ar-SA"/>
    </w:rPr>
  </w:style>
  <w:style w:type="character" w:customStyle="1" w:styleId="2839">
    <w:name w:val="Char Char7"/>
    <w:qFormat/>
    <w:uiPriority w:val="0"/>
    <w:rPr>
      <w:rFonts w:ascii="Arial" w:hAnsi="Arial" w:eastAsia="宋体" w:cs="Arial"/>
      <w:b/>
      <w:bCs/>
      <w:kern w:val="2"/>
      <w:sz w:val="32"/>
      <w:szCs w:val="32"/>
      <w:lang w:val="en-US" w:eastAsia="zh-CN" w:bidi="ar-SA"/>
    </w:rPr>
  </w:style>
  <w:style w:type="character" w:customStyle="1" w:styleId="2840">
    <w:name w:val="Char Char6"/>
    <w:qFormat/>
    <w:uiPriority w:val="0"/>
    <w:rPr>
      <w:rFonts w:ascii="宋体" w:hAnsi="宋体" w:eastAsia="宋体"/>
      <w:b/>
      <w:bCs/>
      <w:kern w:val="2"/>
      <w:sz w:val="21"/>
      <w:szCs w:val="24"/>
      <w:lang w:val="en-US" w:eastAsia="zh-CN" w:bidi="ar-SA"/>
    </w:rPr>
  </w:style>
  <w:style w:type="character" w:customStyle="1" w:styleId="2841">
    <w:name w:val="Char Char3"/>
    <w:qFormat/>
    <w:uiPriority w:val="0"/>
    <w:rPr>
      <w:rFonts w:eastAsia="宋体"/>
      <w:kern w:val="2"/>
      <w:sz w:val="18"/>
      <w:szCs w:val="18"/>
      <w:lang w:val="en-US" w:eastAsia="zh-CN" w:bidi="ar-SA"/>
    </w:rPr>
  </w:style>
  <w:style w:type="character" w:customStyle="1" w:styleId="2842">
    <w:name w:val="EmailStyle306"/>
    <w:qFormat/>
    <w:uiPriority w:val="0"/>
    <w:rPr>
      <w:rFonts w:ascii="Arial" w:hAnsi="Arial" w:eastAsia="宋体" w:cs="Arial"/>
      <w:color w:val="auto"/>
      <w:sz w:val="20"/>
    </w:rPr>
  </w:style>
  <w:style w:type="paragraph" w:customStyle="1" w:styleId="2843">
    <w:name w:val="正文文本 221"/>
    <w:basedOn w:val="1"/>
    <w:qFormat/>
    <w:uiPriority w:val="0"/>
    <w:pPr>
      <w:adjustRightInd w:val="0"/>
      <w:ind w:firstLine="560"/>
      <w:jc w:val="left"/>
      <w:textAlignment w:val="baseline"/>
    </w:pPr>
    <w:rPr>
      <w:sz w:val="28"/>
      <w:szCs w:val="20"/>
    </w:rPr>
  </w:style>
  <w:style w:type="paragraph" w:customStyle="1" w:styleId="2844">
    <w:name w:val="Char1 Char Char1 Char1"/>
    <w:basedOn w:val="1"/>
    <w:qFormat/>
    <w:uiPriority w:val="0"/>
  </w:style>
  <w:style w:type="paragraph" w:customStyle="1" w:styleId="2845">
    <w:name w:val="Char1 Char Char1 Char Char Char Char Char Char1"/>
    <w:basedOn w:val="1"/>
    <w:qFormat/>
    <w:uiPriority w:val="0"/>
  </w:style>
  <w:style w:type="paragraph" w:customStyle="1" w:styleId="2846">
    <w:name w:val="Char1 Char Char11"/>
    <w:basedOn w:val="1"/>
    <w:qFormat/>
    <w:uiPriority w:val="0"/>
  </w:style>
  <w:style w:type="paragraph" w:customStyle="1" w:styleId="2847">
    <w:name w:val="Bullet - Sub 2"/>
    <w:basedOn w:val="1929"/>
    <w:qFormat/>
    <w:uiPriority w:val="0"/>
    <w:pPr>
      <w:numPr>
        <w:ilvl w:val="0"/>
        <w:numId w:val="0"/>
      </w:numPr>
      <w:tabs>
        <w:tab w:val="left" w:pos="315"/>
        <w:tab w:val="left" w:pos="1080"/>
      </w:tabs>
      <w:ind w:left="1080" w:hanging="315"/>
    </w:pPr>
  </w:style>
  <w:style w:type="paragraph" w:customStyle="1" w:styleId="2848">
    <w:name w:val="0002"/>
    <w:basedOn w:val="1"/>
    <w:qFormat/>
    <w:uiPriority w:val="0"/>
    <w:pPr>
      <w:adjustRightInd w:val="0"/>
      <w:spacing w:line="380" w:lineRule="exact"/>
      <w:ind w:firstLine="420" w:firstLineChars="200"/>
      <w:textAlignment w:val="baseline"/>
    </w:pPr>
    <w:rPr>
      <w:rFonts w:eastAsia="方正书宋简体"/>
    </w:rPr>
  </w:style>
  <w:style w:type="character" w:customStyle="1" w:styleId="2849">
    <w:name w:val="tw4winJump"/>
    <w:qFormat/>
    <w:uiPriority w:val="0"/>
    <w:rPr>
      <w:rFonts w:ascii="Courier New" w:hAnsi="Courier New" w:cs="Courier New"/>
      <w:color w:val="008080"/>
    </w:rPr>
  </w:style>
  <w:style w:type="paragraph" w:customStyle="1" w:styleId="2850">
    <w:name w:val="Char1 Char Char1 Char Char Char Char Char Char Char"/>
    <w:basedOn w:val="1"/>
    <w:qFormat/>
    <w:uiPriority w:val="0"/>
  </w:style>
  <w:style w:type="paragraph" w:customStyle="1" w:styleId="2851">
    <w:name w:val="Char Char2 Char Char Char Char"/>
    <w:basedOn w:val="1"/>
    <w:qFormat/>
    <w:uiPriority w:val="0"/>
  </w:style>
  <w:style w:type="paragraph" w:customStyle="1" w:styleId="2852">
    <w:name w:val="Char Char28 Char Char1"/>
    <w:basedOn w:val="1"/>
    <w:qFormat/>
    <w:uiPriority w:val="0"/>
    <w:pPr>
      <w:spacing w:before="300" w:after="300" w:line="560" w:lineRule="exact"/>
    </w:pPr>
    <w:rPr>
      <w:rFonts w:eastAsia="黑体"/>
      <w:sz w:val="36"/>
      <w:szCs w:val="36"/>
    </w:rPr>
  </w:style>
  <w:style w:type="paragraph" w:customStyle="1" w:styleId="2853">
    <w:name w:val="Style2"/>
    <w:basedOn w:val="1"/>
    <w:link w:val="2854"/>
    <w:qFormat/>
    <w:uiPriority w:val="0"/>
    <w:pPr>
      <w:tabs>
        <w:tab w:val="left" w:pos="0"/>
      </w:tabs>
      <w:adjustRightInd w:val="0"/>
      <w:jc w:val="center"/>
      <w:textAlignment w:val="baseline"/>
    </w:pPr>
    <w:rPr>
      <w:rFonts w:ascii="宋体" w:hAnsi="宋体" w:eastAsia="黑体"/>
      <w:kern w:val="0"/>
      <w:szCs w:val="21"/>
      <w:lang w:val="zh-CN"/>
    </w:rPr>
  </w:style>
  <w:style w:type="character" w:customStyle="1" w:styleId="2854">
    <w:name w:val="Style2 Char"/>
    <w:link w:val="2853"/>
    <w:qFormat/>
    <w:uiPriority w:val="0"/>
    <w:rPr>
      <w:rFonts w:ascii="宋体" w:hAnsi="宋体" w:eastAsia="黑体"/>
      <w:sz w:val="21"/>
      <w:szCs w:val="21"/>
      <w:lang w:val="zh-CN"/>
    </w:rPr>
  </w:style>
  <w:style w:type="paragraph" w:customStyle="1" w:styleId="2855">
    <w:name w:val="Char Char2 Char Char Char Char Char Char Char Char Char"/>
    <w:basedOn w:val="1"/>
    <w:qFormat/>
    <w:uiPriority w:val="0"/>
  </w:style>
  <w:style w:type="character" w:customStyle="1" w:styleId="2856">
    <w:name w:val="正文文字缩进 33 Char1"/>
    <w:qFormat/>
    <w:uiPriority w:val="0"/>
    <w:rPr>
      <w:rFonts w:eastAsia="宋体"/>
      <w:spacing w:val="2"/>
      <w:kern w:val="2"/>
      <w:sz w:val="24"/>
      <w:lang w:val="en-US" w:eastAsia="zh-CN" w:bidi="ar-SA"/>
    </w:rPr>
  </w:style>
  <w:style w:type="character" w:customStyle="1" w:styleId="2857">
    <w:name w:val="Char Char47"/>
    <w:qFormat/>
    <w:uiPriority w:val="0"/>
    <w:rPr>
      <w:kern w:val="2"/>
      <w:sz w:val="18"/>
      <w:szCs w:val="18"/>
    </w:rPr>
  </w:style>
  <w:style w:type="character" w:customStyle="1" w:styleId="2858">
    <w:name w:val="Char Char46"/>
    <w:qFormat/>
    <w:uiPriority w:val="0"/>
    <w:rPr>
      <w:rFonts w:ascii="宋体" w:hAnsi="Courier New"/>
      <w:kern w:val="2"/>
      <w:sz w:val="28"/>
    </w:rPr>
  </w:style>
  <w:style w:type="paragraph" w:customStyle="1" w:styleId="2859">
    <w:name w:val="样式 标题 2章标题刘二级标题单位名1.1标题 2 Char报告－节1.1标题 2节二级标题 Chartí..."/>
    <w:basedOn w:val="4"/>
    <w:qFormat/>
    <w:uiPriority w:val="0"/>
    <w:pPr>
      <w:tabs>
        <w:tab w:val="left" w:pos="786"/>
      </w:tabs>
      <w:spacing w:before="300" w:after="40" w:line="360" w:lineRule="auto"/>
      <w:ind w:left="786" w:hanging="360" w:hangingChars="200"/>
      <w:jc w:val="left"/>
    </w:pPr>
    <w:rPr>
      <w:rFonts w:ascii="宋体" w:hAnsi="宋体" w:eastAsia="宋体"/>
      <w:b w:val="0"/>
      <w:sz w:val="30"/>
      <w:szCs w:val="20"/>
    </w:rPr>
  </w:style>
  <w:style w:type="paragraph" w:customStyle="1" w:styleId="2860">
    <w:name w:val="自定义标题1"/>
    <w:basedOn w:val="3"/>
    <w:next w:val="1"/>
    <w:qFormat/>
    <w:uiPriority w:val="0"/>
    <w:pPr>
      <w:keepNext/>
      <w:keepLines/>
      <w:tabs>
        <w:tab w:val="left" w:pos="425"/>
        <w:tab w:val="left" w:pos="786"/>
      </w:tabs>
      <w:adjustRightInd/>
      <w:snapToGrid/>
      <w:spacing w:line="360" w:lineRule="auto"/>
      <w:ind w:left="425" w:hanging="425"/>
      <w:jc w:val="both"/>
    </w:pPr>
    <w:rPr>
      <w:rFonts w:ascii="宋体" w:hAnsi="宋体" w:eastAsia="黑体"/>
      <w:bCs w:val="0"/>
      <w:snapToGrid w:val="0"/>
      <w:kern w:val="0"/>
      <w:lang w:val="zh-CN"/>
    </w:rPr>
  </w:style>
  <w:style w:type="paragraph" w:customStyle="1" w:styleId="2861">
    <w:name w:val="目录1"/>
    <w:basedOn w:val="1"/>
    <w:next w:val="1"/>
    <w:qFormat/>
    <w:uiPriority w:val="0"/>
    <w:pPr>
      <w:tabs>
        <w:tab w:val="left" w:pos="480"/>
      </w:tabs>
      <w:adjustRightInd w:val="0"/>
      <w:snapToGrid w:val="0"/>
      <w:spacing w:line="480" w:lineRule="auto"/>
      <w:ind w:left="480" w:hanging="480"/>
      <w:jc w:val="left"/>
    </w:pPr>
    <w:rPr>
      <w:rFonts w:ascii="宋体"/>
      <w:b/>
      <w:bCs/>
      <w:sz w:val="32"/>
    </w:rPr>
  </w:style>
  <w:style w:type="paragraph" w:customStyle="1" w:styleId="2862">
    <w:name w:val="目录2"/>
    <w:basedOn w:val="1"/>
    <w:qFormat/>
    <w:uiPriority w:val="0"/>
    <w:pPr>
      <w:tabs>
        <w:tab w:val="left" w:pos="480"/>
      </w:tabs>
      <w:adjustRightInd w:val="0"/>
      <w:snapToGrid w:val="0"/>
      <w:spacing w:before="50" w:beforeLines="50" w:line="420" w:lineRule="auto"/>
      <w:ind w:left="680" w:hanging="680"/>
    </w:pPr>
    <w:rPr>
      <w:rFonts w:ascii="宋体"/>
      <w:b/>
      <w:sz w:val="28"/>
    </w:rPr>
  </w:style>
  <w:style w:type="paragraph" w:customStyle="1" w:styleId="2863">
    <w:name w:val="目录3"/>
    <w:basedOn w:val="1"/>
    <w:qFormat/>
    <w:uiPriority w:val="0"/>
    <w:pPr>
      <w:tabs>
        <w:tab w:val="left" w:pos="720"/>
      </w:tabs>
      <w:adjustRightInd w:val="0"/>
      <w:snapToGrid w:val="0"/>
      <w:spacing w:before="50" w:beforeLines="50" w:line="360" w:lineRule="auto"/>
      <w:ind w:left="720" w:hanging="720"/>
    </w:pPr>
    <w:rPr>
      <w:rFonts w:ascii="宋体"/>
      <w:sz w:val="24"/>
    </w:rPr>
  </w:style>
  <w:style w:type="paragraph" w:customStyle="1" w:styleId="2864">
    <w:name w:val="目录4"/>
    <w:basedOn w:val="1"/>
    <w:qFormat/>
    <w:uiPriority w:val="0"/>
    <w:pPr>
      <w:tabs>
        <w:tab w:val="left" w:pos="1492"/>
      </w:tabs>
      <w:adjustRightInd w:val="0"/>
      <w:snapToGrid w:val="0"/>
      <w:spacing w:line="360" w:lineRule="auto"/>
      <w:ind w:left="1132" w:hanging="720"/>
    </w:pPr>
    <w:rPr>
      <w:rFonts w:ascii="宋体"/>
      <w:sz w:val="24"/>
    </w:rPr>
  </w:style>
  <w:style w:type="paragraph" w:customStyle="1" w:styleId="2865">
    <w:name w:val="样式 标题 2hseHeading 2SeHead wsa2h2H2Heading 2 PEPb 2标题 2 C...6"/>
    <w:basedOn w:val="4"/>
    <w:link w:val="2866"/>
    <w:qFormat/>
    <w:uiPriority w:val="0"/>
    <w:pPr>
      <w:tabs>
        <w:tab w:val="left" w:pos="5880"/>
      </w:tabs>
      <w:adjustRightInd w:val="0"/>
      <w:snapToGrid w:val="0"/>
      <w:spacing w:before="0" w:after="0" w:line="360" w:lineRule="auto"/>
    </w:pPr>
    <w:rPr>
      <w:rFonts w:ascii="宋体" w:hAnsi="宋体" w:eastAsia="宋体"/>
      <w:b w:val="0"/>
      <w:bCs w:val="0"/>
      <w:snapToGrid w:val="0"/>
      <w:kern w:val="0"/>
      <w:sz w:val="24"/>
      <w:szCs w:val="30"/>
      <w:lang w:val="zh-CN"/>
    </w:rPr>
  </w:style>
  <w:style w:type="character" w:customStyle="1" w:styleId="2866">
    <w:name w:val="样式 标题 2hseHeading 2SeHead wsa2h2H2Heading 2 PEPb 2标题 2 C...6 Char"/>
    <w:link w:val="2865"/>
    <w:qFormat/>
    <w:uiPriority w:val="0"/>
    <w:rPr>
      <w:rFonts w:ascii="宋体" w:hAnsi="宋体"/>
      <w:snapToGrid w:val="0"/>
      <w:sz w:val="24"/>
      <w:szCs w:val="30"/>
      <w:lang w:val="zh-CN"/>
    </w:rPr>
  </w:style>
  <w:style w:type="paragraph" w:customStyle="1" w:styleId="2867">
    <w:name w:val="样式 标题 1h1Heading 1 PEPHead 1wsa1st levelSection Headl1标题 ..."/>
    <w:basedOn w:val="3"/>
    <w:qFormat/>
    <w:uiPriority w:val="0"/>
    <w:pPr>
      <w:keepNext/>
      <w:keepLines/>
      <w:tabs>
        <w:tab w:val="left" w:pos="786"/>
      </w:tabs>
      <w:adjustRightInd/>
      <w:snapToGrid/>
      <w:spacing w:before="31" w:beforeLines="10" w:after="31" w:afterLines="10" w:line="360" w:lineRule="auto"/>
      <w:jc w:val="left"/>
    </w:pPr>
    <w:rPr>
      <w:rFonts w:ascii="宋体" w:hAnsi="宋体" w:eastAsia="黑体"/>
      <w:b w:val="0"/>
      <w:color w:val="000000"/>
      <w:sz w:val="28"/>
      <w:szCs w:val="28"/>
      <w:lang w:val="zh-CN"/>
    </w:rPr>
  </w:style>
  <w:style w:type="character" w:customStyle="1" w:styleId="2868">
    <w:name w:val="样式 (西文) 黑体 (中文) 黑体 小四 黑色"/>
    <w:qFormat/>
    <w:uiPriority w:val="0"/>
    <w:rPr>
      <w:rFonts w:ascii="黑体" w:eastAsia="黑体" w:cs="宋体"/>
      <w:color w:val="auto"/>
      <w:sz w:val="24"/>
      <w:szCs w:val="24"/>
      <w:lang w:val="en-US" w:eastAsia="zh-CN" w:bidi="ar-SA"/>
    </w:rPr>
  </w:style>
  <w:style w:type="paragraph" w:customStyle="1" w:styleId="2869">
    <w:name w:val="样式 标题 2hseHeading 2SeHead wsa2h2H2Heading 2 PEPb 2标题 2 C...1"/>
    <w:basedOn w:val="4"/>
    <w:link w:val="2870"/>
    <w:qFormat/>
    <w:uiPriority w:val="0"/>
    <w:pPr>
      <w:tabs>
        <w:tab w:val="left" w:pos="5880"/>
      </w:tabs>
      <w:adjustRightInd w:val="0"/>
      <w:snapToGrid w:val="0"/>
      <w:spacing w:before="0" w:after="0" w:line="360" w:lineRule="auto"/>
    </w:pPr>
    <w:rPr>
      <w:rFonts w:ascii="宋体" w:hAnsi="宋体" w:eastAsia="宋体"/>
      <w:b w:val="0"/>
      <w:bCs w:val="0"/>
      <w:snapToGrid w:val="0"/>
      <w:kern w:val="0"/>
      <w:sz w:val="24"/>
      <w:szCs w:val="30"/>
      <w:lang w:val="zh-CN"/>
    </w:rPr>
  </w:style>
  <w:style w:type="character" w:customStyle="1" w:styleId="2870">
    <w:name w:val="样式 标题 2hseHeading 2SeHead wsa2h2H2Heading 2 PEPb 2标题 2 C...1 Char"/>
    <w:link w:val="2869"/>
    <w:qFormat/>
    <w:uiPriority w:val="0"/>
    <w:rPr>
      <w:rFonts w:ascii="宋体" w:hAnsi="宋体"/>
      <w:snapToGrid w:val="0"/>
      <w:sz w:val="24"/>
      <w:szCs w:val="30"/>
      <w:lang w:val="zh-CN"/>
    </w:rPr>
  </w:style>
  <w:style w:type="paragraph" w:customStyle="1" w:styleId="2871">
    <w:name w:val="样式 标题 2hseHeading 2SeHead wsa2h2H2Heading 2 PEPb 2标题 2 C...2"/>
    <w:basedOn w:val="4"/>
    <w:link w:val="2872"/>
    <w:qFormat/>
    <w:uiPriority w:val="0"/>
    <w:pPr>
      <w:tabs>
        <w:tab w:val="left" w:pos="5880"/>
      </w:tabs>
      <w:adjustRightInd w:val="0"/>
      <w:snapToGrid w:val="0"/>
      <w:spacing w:before="0" w:after="0" w:line="360" w:lineRule="auto"/>
    </w:pPr>
    <w:rPr>
      <w:rFonts w:ascii="宋体" w:hAnsi="宋体" w:eastAsia="宋体"/>
      <w:b w:val="0"/>
      <w:bCs w:val="0"/>
      <w:snapToGrid w:val="0"/>
      <w:kern w:val="0"/>
      <w:sz w:val="24"/>
      <w:szCs w:val="30"/>
      <w:lang w:val="zh-CN"/>
    </w:rPr>
  </w:style>
  <w:style w:type="character" w:customStyle="1" w:styleId="2872">
    <w:name w:val="样式 标题 2hseHeading 2SeHead wsa2h2H2Heading 2 PEPb 2标题 2 C...2 Char"/>
    <w:link w:val="2871"/>
    <w:qFormat/>
    <w:uiPriority w:val="0"/>
    <w:rPr>
      <w:rFonts w:ascii="宋体" w:hAnsi="宋体"/>
      <w:snapToGrid w:val="0"/>
      <w:sz w:val="24"/>
      <w:szCs w:val="30"/>
      <w:lang w:val="zh-CN"/>
    </w:rPr>
  </w:style>
  <w:style w:type="paragraph" w:customStyle="1" w:styleId="2873">
    <w:name w:val="样式 标题 2hseHeading 2SeHead wsa2h2H2Heading 2 PEPb 2标题 2 C...3"/>
    <w:basedOn w:val="4"/>
    <w:link w:val="2874"/>
    <w:qFormat/>
    <w:uiPriority w:val="0"/>
    <w:pPr>
      <w:tabs>
        <w:tab w:val="left" w:pos="5880"/>
      </w:tabs>
      <w:adjustRightInd w:val="0"/>
      <w:snapToGrid w:val="0"/>
      <w:spacing w:before="0" w:after="0" w:line="360" w:lineRule="auto"/>
    </w:pPr>
    <w:rPr>
      <w:rFonts w:ascii="宋体" w:hAnsi="宋体" w:eastAsia="宋体"/>
      <w:b w:val="0"/>
      <w:bCs w:val="0"/>
      <w:snapToGrid w:val="0"/>
      <w:kern w:val="0"/>
      <w:sz w:val="24"/>
      <w:szCs w:val="30"/>
      <w:lang w:val="zh-CN"/>
    </w:rPr>
  </w:style>
  <w:style w:type="character" w:customStyle="1" w:styleId="2874">
    <w:name w:val="样式 标题 2hseHeading 2SeHead wsa2h2H2Heading 2 PEPb 2标题 2 C...3 Char"/>
    <w:link w:val="2873"/>
    <w:qFormat/>
    <w:uiPriority w:val="0"/>
    <w:rPr>
      <w:rFonts w:ascii="宋体" w:hAnsi="宋体"/>
      <w:snapToGrid w:val="0"/>
      <w:sz w:val="24"/>
      <w:szCs w:val="30"/>
      <w:lang w:val="zh-CN"/>
    </w:rPr>
  </w:style>
  <w:style w:type="paragraph" w:customStyle="1" w:styleId="2875">
    <w:name w:val="样式 标题 2hseHeading 2SeHead wsa2h2H2Heading 2 PEPb 2标题 2 C...4"/>
    <w:basedOn w:val="4"/>
    <w:link w:val="2876"/>
    <w:qFormat/>
    <w:uiPriority w:val="0"/>
    <w:pPr>
      <w:tabs>
        <w:tab w:val="left" w:pos="5880"/>
      </w:tabs>
      <w:adjustRightInd w:val="0"/>
      <w:snapToGrid w:val="0"/>
      <w:spacing w:before="0" w:after="0" w:line="360" w:lineRule="auto"/>
    </w:pPr>
    <w:rPr>
      <w:rFonts w:ascii="宋体" w:hAnsi="宋体" w:eastAsia="宋体"/>
      <w:b w:val="0"/>
      <w:bCs w:val="0"/>
      <w:snapToGrid w:val="0"/>
      <w:kern w:val="0"/>
      <w:sz w:val="24"/>
      <w:szCs w:val="30"/>
      <w:lang w:val="zh-CN"/>
    </w:rPr>
  </w:style>
  <w:style w:type="character" w:customStyle="1" w:styleId="2876">
    <w:name w:val="样式 标题 2hseHeading 2SeHead wsa2h2H2Heading 2 PEPb 2标题 2 C...4 Char"/>
    <w:link w:val="2875"/>
    <w:qFormat/>
    <w:uiPriority w:val="0"/>
    <w:rPr>
      <w:rFonts w:ascii="宋体" w:hAnsi="宋体"/>
      <w:snapToGrid w:val="0"/>
      <w:sz w:val="24"/>
      <w:szCs w:val="30"/>
      <w:lang w:val="zh-CN"/>
    </w:rPr>
  </w:style>
  <w:style w:type="paragraph" w:customStyle="1" w:styleId="2877">
    <w:name w:val="样式 标题 2hseHeading 2SeHead wsa2h2H2Heading 2 PEPb 2标题 2 C...5"/>
    <w:basedOn w:val="4"/>
    <w:link w:val="2878"/>
    <w:qFormat/>
    <w:uiPriority w:val="0"/>
    <w:pPr>
      <w:tabs>
        <w:tab w:val="left" w:pos="5880"/>
      </w:tabs>
      <w:adjustRightInd w:val="0"/>
      <w:snapToGrid w:val="0"/>
      <w:spacing w:before="0" w:after="0" w:line="360" w:lineRule="auto"/>
    </w:pPr>
    <w:rPr>
      <w:rFonts w:ascii="宋体" w:hAnsi="宋体" w:eastAsia="宋体"/>
      <w:b w:val="0"/>
      <w:bCs w:val="0"/>
      <w:snapToGrid w:val="0"/>
      <w:kern w:val="0"/>
      <w:sz w:val="24"/>
      <w:szCs w:val="24"/>
      <w:lang w:val="zh-CN"/>
    </w:rPr>
  </w:style>
  <w:style w:type="character" w:customStyle="1" w:styleId="2878">
    <w:name w:val="样式 标题 2hseHeading 2SeHead wsa2h2H2Heading 2 PEPb 2标题 2 C...5 Char"/>
    <w:link w:val="2877"/>
    <w:qFormat/>
    <w:uiPriority w:val="0"/>
    <w:rPr>
      <w:rFonts w:ascii="宋体" w:hAnsi="宋体"/>
      <w:snapToGrid w:val="0"/>
      <w:sz w:val="24"/>
      <w:szCs w:val="24"/>
      <w:lang w:val="zh-CN"/>
    </w:rPr>
  </w:style>
  <w:style w:type="paragraph" w:customStyle="1" w:styleId="2879">
    <w:name w:val="正文文字（首行缩进2字）"/>
    <w:basedOn w:val="1"/>
    <w:qFormat/>
    <w:uiPriority w:val="0"/>
    <w:pPr>
      <w:spacing w:line="360" w:lineRule="auto"/>
      <w:ind w:firstLine="200" w:firstLineChars="200"/>
    </w:pPr>
    <w:rPr>
      <w:rFonts w:ascii="Arial" w:hAnsi="Arial"/>
      <w:position w:val="-30"/>
      <w:sz w:val="28"/>
    </w:rPr>
  </w:style>
  <w:style w:type="paragraph" w:customStyle="1" w:styleId="2880">
    <w:name w:val="CM122"/>
    <w:basedOn w:val="404"/>
    <w:next w:val="404"/>
    <w:qFormat/>
    <w:uiPriority w:val="0"/>
    <w:pPr>
      <w:spacing w:after="312"/>
    </w:pPr>
    <w:rPr>
      <w:rFonts w:ascii="黑体" w:eastAsia="黑体" w:cs="Times New Roman"/>
      <w:color w:val="auto"/>
    </w:rPr>
  </w:style>
  <w:style w:type="paragraph" w:customStyle="1" w:styleId="2881">
    <w:name w:val="CM120"/>
    <w:basedOn w:val="404"/>
    <w:next w:val="404"/>
    <w:qFormat/>
    <w:uiPriority w:val="0"/>
    <w:pPr>
      <w:spacing w:after="107"/>
    </w:pPr>
    <w:rPr>
      <w:rFonts w:ascii="黑体" w:eastAsia="黑体" w:cs="Times New Roman"/>
      <w:color w:val="auto"/>
    </w:rPr>
  </w:style>
  <w:style w:type="paragraph" w:customStyle="1" w:styleId="2882">
    <w:name w:val="CM125"/>
    <w:basedOn w:val="404"/>
    <w:next w:val="404"/>
    <w:qFormat/>
    <w:uiPriority w:val="0"/>
    <w:pPr>
      <w:spacing w:after="65"/>
    </w:pPr>
    <w:rPr>
      <w:rFonts w:ascii="黑体" w:eastAsia="黑体" w:cs="Times New Roman"/>
      <w:color w:val="auto"/>
    </w:rPr>
  </w:style>
  <w:style w:type="paragraph" w:customStyle="1" w:styleId="2883">
    <w:name w:val="001"/>
    <w:basedOn w:val="1"/>
    <w:qFormat/>
    <w:uiPriority w:val="0"/>
    <w:pPr>
      <w:widowControl/>
      <w:spacing w:before="100" w:beforeAutospacing="1" w:after="100" w:afterAutospacing="1"/>
      <w:jc w:val="left"/>
    </w:pPr>
    <w:rPr>
      <w:rFonts w:ascii="宋体" w:hAnsi="宋体" w:cs="宋体"/>
      <w:kern w:val="0"/>
      <w:sz w:val="24"/>
    </w:rPr>
  </w:style>
  <w:style w:type="paragraph" w:customStyle="1" w:styleId="2884">
    <w:name w:val="样式  Char + 宋体"/>
    <w:basedOn w:val="274"/>
    <w:link w:val="2885"/>
    <w:qFormat/>
    <w:uiPriority w:val="0"/>
    <w:pPr>
      <w:ind w:firstLine="480" w:firstLineChars="200"/>
    </w:pPr>
    <w:rPr>
      <w:rFonts w:ascii="Times New Roman" w:hAnsi="Times New Roman" w:eastAsia="宋体"/>
      <w:sz w:val="24"/>
      <w:szCs w:val="24"/>
      <w:lang w:val="zh-CN"/>
    </w:rPr>
  </w:style>
  <w:style w:type="character" w:customStyle="1" w:styleId="2885">
    <w:name w:val="样式  Char + 宋体 Char"/>
    <w:link w:val="2884"/>
    <w:qFormat/>
    <w:uiPriority w:val="0"/>
    <w:rPr>
      <w:kern w:val="2"/>
      <w:sz w:val="24"/>
      <w:szCs w:val="24"/>
      <w:lang w:val="zh-CN"/>
    </w:rPr>
  </w:style>
  <w:style w:type="character" w:customStyle="1" w:styleId="2886">
    <w:name w:val="123YJ Char3"/>
    <w:qFormat/>
    <w:uiPriority w:val="0"/>
    <w:rPr>
      <w:kern w:val="2"/>
      <w:sz w:val="18"/>
    </w:rPr>
  </w:style>
  <w:style w:type="character" w:customStyle="1" w:styleId="2887">
    <w:name w:val="Char Char48"/>
    <w:qFormat/>
    <w:uiPriority w:val="0"/>
    <w:rPr>
      <w:kern w:val="2"/>
      <w:sz w:val="21"/>
      <w:szCs w:val="24"/>
      <w:shd w:val="clear" w:color="auto" w:fill="000080"/>
    </w:rPr>
  </w:style>
  <w:style w:type="character" w:customStyle="1" w:styleId="2888">
    <w:name w:val="Char Char44"/>
    <w:qFormat/>
    <w:uiPriority w:val="0"/>
    <w:rPr>
      <w:rFonts w:ascii="Arial" w:hAnsi="Arial" w:cs="Arial"/>
      <w:b/>
      <w:bCs/>
      <w:kern w:val="2"/>
      <w:sz w:val="32"/>
      <w:szCs w:val="32"/>
    </w:rPr>
  </w:style>
  <w:style w:type="character" w:customStyle="1" w:styleId="2889">
    <w:name w:val="Char Char45"/>
    <w:qFormat/>
    <w:uiPriority w:val="0"/>
    <w:rPr>
      <w:rFonts w:ascii="宋体" w:hAnsi="Courier New"/>
      <w:color w:val="000000"/>
      <w:kern w:val="2"/>
      <w:sz w:val="21"/>
    </w:rPr>
  </w:style>
  <w:style w:type="character" w:customStyle="1" w:styleId="2890">
    <w:name w:val="Char Char42"/>
    <w:qFormat/>
    <w:uiPriority w:val="0"/>
    <w:rPr>
      <w:rFonts w:ascii="Courier New" w:hAnsi="Courier New" w:cs="Courier New"/>
      <w:kern w:val="2"/>
    </w:rPr>
  </w:style>
  <w:style w:type="character" w:customStyle="1" w:styleId="2891">
    <w:name w:val="Char Char24"/>
    <w:qFormat/>
    <w:uiPriority w:val="0"/>
    <w:rPr>
      <w:rFonts w:ascii="Arial" w:hAnsi="Arial" w:cs="Arial"/>
      <w:b/>
      <w:bCs/>
      <w:kern w:val="28"/>
      <w:sz w:val="32"/>
      <w:szCs w:val="32"/>
    </w:rPr>
  </w:style>
  <w:style w:type="paragraph" w:customStyle="1" w:styleId="2892">
    <w:name w:val="Tablehead"/>
    <w:basedOn w:val="1932"/>
    <w:link w:val="2893"/>
    <w:qFormat/>
    <w:uiPriority w:val="0"/>
    <w:pPr>
      <w:spacing w:before="60" w:after="60"/>
      <w:contextualSpacing w:val="0"/>
    </w:pPr>
    <w:rPr>
      <w:rFonts w:ascii="Arial Bold" w:hAnsi="Arial Bold" w:cs="Times New Roman"/>
      <w:b/>
      <w:sz w:val="20"/>
      <w:szCs w:val="20"/>
      <w:lang w:val="zh-CN"/>
    </w:rPr>
  </w:style>
  <w:style w:type="character" w:customStyle="1" w:styleId="2893">
    <w:name w:val="Tablehead Char"/>
    <w:link w:val="2892"/>
    <w:qFormat/>
    <w:uiPriority w:val="0"/>
    <w:rPr>
      <w:rFonts w:ascii="Arial Bold" w:hAnsi="Arial Bold"/>
      <w:b/>
      <w:lang w:val="zh-CN" w:eastAsia="en-US"/>
    </w:rPr>
  </w:style>
  <w:style w:type="character" w:customStyle="1" w:styleId="2894">
    <w:name w:val="标题 6 Char1"/>
    <w:qFormat/>
    <w:uiPriority w:val="0"/>
    <w:rPr>
      <w:rFonts w:ascii="Cambria" w:hAnsi="Cambria" w:eastAsia="宋体" w:cs="Times New Roman"/>
      <w:b/>
      <w:bCs/>
      <w:kern w:val="2"/>
      <w:sz w:val="24"/>
      <w:szCs w:val="24"/>
    </w:rPr>
  </w:style>
  <w:style w:type="character" w:customStyle="1" w:styleId="2895">
    <w:name w:val="标题 7 Char1"/>
    <w:qFormat/>
    <w:uiPriority w:val="0"/>
    <w:rPr>
      <w:b/>
      <w:bCs/>
      <w:kern w:val="2"/>
      <w:sz w:val="24"/>
      <w:szCs w:val="24"/>
    </w:rPr>
  </w:style>
  <w:style w:type="character" w:customStyle="1" w:styleId="2896">
    <w:name w:val="标题 8 Char1"/>
    <w:qFormat/>
    <w:uiPriority w:val="0"/>
    <w:rPr>
      <w:rFonts w:ascii="Cambria" w:hAnsi="Cambria" w:eastAsia="宋体" w:cs="Times New Roman"/>
      <w:kern w:val="2"/>
      <w:sz w:val="24"/>
      <w:szCs w:val="24"/>
    </w:rPr>
  </w:style>
  <w:style w:type="character" w:customStyle="1" w:styleId="2897">
    <w:name w:val="标题 9 Char1"/>
    <w:qFormat/>
    <w:uiPriority w:val="0"/>
    <w:rPr>
      <w:rFonts w:ascii="Cambria" w:hAnsi="Cambria" w:eastAsia="宋体" w:cs="Times New Roman"/>
      <w:kern w:val="2"/>
      <w:sz w:val="21"/>
      <w:szCs w:val="21"/>
    </w:rPr>
  </w:style>
  <w:style w:type="paragraph" w:customStyle="1" w:styleId="2898">
    <w:name w:val="Char1 Char Char1 Char Char Char Char Char Char Char4"/>
    <w:basedOn w:val="1"/>
    <w:qFormat/>
    <w:uiPriority w:val="0"/>
  </w:style>
  <w:style w:type="character" w:customStyle="1" w:styleId="2899">
    <w:name w:val="Char Char14"/>
    <w:qFormat/>
    <w:uiPriority w:val="0"/>
    <w:rPr>
      <w:rFonts w:hint="eastAsia" w:ascii="宋体" w:hAnsi="宋体" w:eastAsia="宋体"/>
      <w:kern w:val="2"/>
      <w:sz w:val="15"/>
      <w:szCs w:val="24"/>
      <w:lang w:val="en-US" w:eastAsia="zh-CN" w:bidi="ar-SA"/>
    </w:rPr>
  </w:style>
  <w:style w:type="character" w:customStyle="1" w:styleId="2900">
    <w:name w:val="t"/>
    <w:qFormat/>
    <w:uiPriority w:val="0"/>
  </w:style>
  <w:style w:type="paragraph" w:customStyle="1" w:styleId="2901">
    <w:name w:val="标题33"/>
    <w:basedOn w:val="5"/>
    <w:qFormat/>
    <w:uiPriority w:val="0"/>
    <w:pPr>
      <w:adjustRightInd w:val="0"/>
      <w:snapToGrid w:val="0"/>
      <w:spacing w:before="50" w:beforeLines="50" w:after="0" w:afterLines="50" w:line="360" w:lineRule="auto"/>
    </w:pPr>
    <w:rPr>
      <w:rFonts w:eastAsia="黑体"/>
      <w:b w:val="0"/>
      <w:bCs w:val="0"/>
      <w:spacing w:val="2"/>
      <w:sz w:val="28"/>
      <w:szCs w:val="20"/>
    </w:rPr>
  </w:style>
  <w:style w:type="paragraph" w:customStyle="1" w:styleId="2902">
    <w:name w:val="样式 标题 2标题 2 Char Char标题 2 Char Char Char标题 2 Char标题 2 Char C...1"/>
    <w:basedOn w:val="4"/>
    <w:qFormat/>
    <w:uiPriority w:val="0"/>
    <w:pPr>
      <w:spacing w:before="240" w:after="240" w:line="560" w:lineRule="exact"/>
    </w:pPr>
    <w:rPr>
      <w:rFonts w:ascii="Times New Roman" w:hAnsi="Times New Roman" w:eastAsia="宋体" w:cs="宋体"/>
      <w:bCs w:val="0"/>
      <w:color w:val="000000"/>
      <w:sz w:val="30"/>
      <w:szCs w:val="20"/>
    </w:rPr>
  </w:style>
  <w:style w:type="paragraph" w:customStyle="1" w:styleId="2903">
    <w:name w:val="Char44"/>
    <w:basedOn w:val="1"/>
    <w:qFormat/>
    <w:uiPriority w:val="0"/>
    <w:pPr>
      <w:widowControl/>
      <w:jc w:val="left"/>
    </w:pPr>
    <w:rPr>
      <w:rFonts w:ascii="宋体" w:hAnsi="宋体" w:cs="宋体"/>
      <w:kern w:val="0"/>
      <w:sz w:val="24"/>
    </w:rPr>
  </w:style>
  <w:style w:type="paragraph" w:customStyle="1" w:styleId="2904">
    <w:name w:val="样式 黑体 小二 加粗 居中 段前: 7.8 磅 段后: 7.8 磅 行距: 固定值 25 磅"/>
    <w:basedOn w:val="1"/>
    <w:qFormat/>
    <w:uiPriority w:val="0"/>
    <w:pPr>
      <w:spacing w:before="156" w:after="156" w:line="500" w:lineRule="exact"/>
      <w:jc w:val="center"/>
    </w:pPr>
    <w:rPr>
      <w:rFonts w:ascii="黑体" w:eastAsia="黑体" w:cs="宋体"/>
      <w:b/>
      <w:bCs/>
      <w:sz w:val="36"/>
      <w:szCs w:val="20"/>
    </w:rPr>
  </w:style>
  <w:style w:type="character" w:customStyle="1" w:styleId="2905">
    <w:name w:val="正文文字缩进 Char2"/>
    <w:qFormat/>
    <w:uiPriority w:val="0"/>
    <w:rPr>
      <w:rFonts w:hAnsi="宋体" w:eastAsia="楷体_GB2312"/>
      <w:color w:val="000000"/>
      <w:kern w:val="2"/>
      <w:sz w:val="18"/>
      <w:szCs w:val="18"/>
      <w:lang w:val="en-US" w:eastAsia="zh-CN" w:bidi="ar-SA"/>
    </w:rPr>
  </w:style>
  <w:style w:type="character" w:customStyle="1" w:styleId="2906">
    <w:name w:val="图名 Char"/>
    <w:qFormat/>
    <w:uiPriority w:val="0"/>
    <w:rPr>
      <w:kern w:val="2"/>
      <w:sz w:val="21"/>
    </w:rPr>
  </w:style>
  <w:style w:type="paragraph" w:customStyle="1" w:styleId="2907">
    <w:name w:val="文本1"/>
    <w:basedOn w:val="34"/>
    <w:qFormat/>
    <w:uiPriority w:val="0"/>
    <w:pPr>
      <w:widowControl/>
      <w:tabs>
        <w:tab w:val="left" w:pos="525"/>
      </w:tabs>
      <w:spacing w:after="0" w:line="360" w:lineRule="auto"/>
      <w:ind w:firstLine="567"/>
    </w:pPr>
    <w:rPr>
      <w:rFonts w:ascii="宋体"/>
      <w:sz w:val="28"/>
      <w:szCs w:val="20"/>
      <w:lang w:val="zh-CN"/>
    </w:rPr>
  </w:style>
  <w:style w:type="paragraph" w:customStyle="1" w:styleId="2908">
    <w:name w:val="标题4czh"/>
    <w:basedOn w:val="6"/>
    <w:next w:val="1"/>
    <w:qFormat/>
    <w:uiPriority w:val="0"/>
    <w:pPr>
      <w:spacing w:before="0" w:beforeLines="50" w:after="0" w:afterLines="50" w:line="500" w:lineRule="exact"/>
      <w:ind w:firstLine="482"/>
    </w:pPr>
    <w:rPr>
      <w:rFonts w:ascii="Times New Roman" w:hAnsi="Times New Roman" w:eastAsia="宋体"/>
      <w:color w:val="FF0000"/>
      <w:sz w:val="24"/>
      <w:lang w:val="zh-CN"/>
    </w:rPr>
  </w:style>
  <w:style w:type="paragraph" w:customStyle="1" w:styleId="2909">
    <w:name w:val="T-1"/>
    <w:basedOn w:val="1"/>
    <w:qFormat/>
    <w:uiPriority w:val="0"/>
    <w:pPr>
      <w:spacing w:before="156" w:beforeLines="50" w:after="156" w:afterLines="50" w:line="480" w:lineRule="auto"/>
      <w:jc w:val="center"/>
      <w:outlineLvl w:val="0"/>
    </w:pPr>
    <w:rPr>
      <w:rFonts w:ascii="Arial" w:hAnsi="Arial" w:eastAsia="仿宋_GB2312" w:cs="Arial"/>
      <w:b/>
      <w:bCs/>
      <w:sz w:val="32"/>
      <w:szCs w:val="28"/>
    </w:rPr>
  </w:style>
  <w:style w:type="paragraph" w:customStyle="1" w:styleId="2910">
    <w:name w:val="T-2"/>
    <w:basedOn w:val="2909"/>
    <w:qFormat/>
    <w:uiPriority w:val="0"/>
    <w:pPr>
      <w:outlineLvl w:val="1"/>
    </w:pPr>
    <w:rPr>
      <w:color w:val="000000"/>
      <w:sz w:val="30"/>
    </w:rPr>
  </w:style>
  <w:style w:type="paragraph" w:customStyle="1" w:styleId="2911">
    <w:name w:val="T-3"/>
    <w:basedOn w:val="2910"/>
    <w:qFormat/>
    <w:uiPriority w:val="0"/>
    <w:pPr>
      <w:spacing w:before="0" w:beforeLines="0" w:after="0" w:afterLines="0"/>
      <w:jc w:val="left"/>
      <w:outlineLvl w:val="2"/>
    </w:pPr>
    <w:rPr>
      <w:b w:val="0"/>
      <w:sz w:val="28"/>
    </w:rPr>
  </w:style>
  <w:style w:type="character" w:customStyle="1" w:styleId="2912">
    <w:name w:val="正文文字缩进小4 Char Char"/>
    <w:qFormat/>
    <w:uiPriority w:val="0"/>
    <w:rPr>
      <w:rFonts w:eastAsia="宋体"/>
      <w:kern w:val="2"/>
      <w:sz w:val="21"/>
      <w:szCs w:val="21"/>
      <w:lang w:val="en-US" w:eastAsia="zh-CN" w:bidi="ar-SA"/>
    </w:rPr>
  </w:style>
  <w:style w:type="paragraph" w:customStyle="1" w:styleId="2913">
    <w:name w:val="Char Char1 Char Char Char Char Char Char Char Char Char4"/>
    <w:basedOn w:val="1"/>
    <w:qFormat/>
    <w:uiPriority w:val="0"/>
  </w:style>
  <w:style w:type="paragraph" w:customStyle="1" w:styleId="2914">
    <w:name w:val="经正"/>
    <w:basedOn w:val="1"/>
    <w:qFormat/>
    <w:uiPriority w:val="0"/>
    <w:pPr>
      <w:adjustRightInd w:val="0"/>
      <w:snapToGrid w:val="0"/>
      <w:spacing w:line="460" w:lineRule="exact"/>
      <w:ind w:firstLine="496" w:firstLineChars="200"/>
    </w:pPr>
    <w:rPr>
      <w:spacing w:val="4"/>
      <w:sz w:val="24"/>
    </w:rPr>
  </w:style>
  <w:style w:type="character" w:customStyle="1" w:styleId="2915">
    <w:name w:val="样式 标题 1 Char + (西文) Arial (中文) 宋体 三号 加粗 黑色"/>
    <w:qFormat/>
    <w:uiPriority w:val="0"/>
    <w:rPr>
      <w:rFonts w:ascii="Times New Roman" w:hAnsi="Times New Roman" w:eastAsia="黑体"/>
      <w:bCs/>
      <w:color w:val="000000"/>
      <w:kern w:val="44"/>
      <w:sz w:val="36"/>
      <w:szCs w:val="44"/>
      <w:lang w:val="en-US" w:eastAsia="zh-CN" w:bidi="ar-SA"/>
    </w:rPr>
  </w:style>
  <w:style w:type="paragraph" w:customStyle="1" w:styleId="2916">
    <w:name w:val="00正文"/>
    <w:qFormat/>
    <w:uiPriority w:val="0"/>
    <w:pPr>
      <w:spacing w:line="560" w:lineRule="exact"/>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2917">
    <w:name w:val="00四级标题"/>
    <w:qFormat/>
    <w:uiPriority w:val="0"/>
    <w:pPr>
      <w:spacing w:line="560" w:lineRule="exact"/>
      <w:ind w:right="-58" w:rightChars="-58"/>
      <w:jc w:val="both"/>
      <w:outlineLvl w:val="3"/>
    </w:pPr>
    <w:rPr>
      <w:rFonts w:ascii="Times New Roman" w:hAnsi="Times New Roman" w:eastAsia="宋体" w:cs="Times New Roman"/>
      <w:kern w:val="2"/>
      <w:sz w:val="24"/>
      <w:szCs w:val="24"/>
      <w:lang w:val="en-US" w:eastAsia="zh-CN" w:bidi="ar-SA"/>
    </w:rPr>
  </w:style>
  <w:style w:type="paragraph" w:customStyle="1" w:styleId="2918">
    <w:name w:val="00915 表头"/>
    <w:basedOn w:val="1"/>
    <w:qFormat/>
    <w:uiPriority w:val="0"/>
    <w:pPr>
      <w:ind w:left="50" w:leftChars="50" w:right="50" w:rightChars="50"/>
      <w:jc w:val="center"/>
    </w:pPr>
    <w:rPr>
      <w:rFonts w:ascii="Arial" w:hAnsi="Arial"/>
    </w:rPr>
  </w:style>
  <w:style w:type="character" w:customStyle="1" w:styleId="2919">
    <w:name w:val="Font Style130"/>
    <w:qFormat/>
    <w:uiPriority w:val="0"/>
    <w:rPr>
      <w:rFonts w:ascii="宋体" w:eastAsia="宋体" w:cs="宋体"/>
      <w:b/>
      <w:bCs/>
      <w:spacing w:val="30"/>
      <w:sz w:val="42"/>
      <w:szCs w:val="42"/>
    </w:rPr>
  </w:style>
  <w:style w:type="paragraph" w:customStyle="1" w:styleId="2920">
    <w:name w:val="00表"/>
    <w:qFormat/>
    <w:uiPriority w:val="0"/>
    <w:pPr>
      <w:jc w:val="center"/>
    </w:pPr>
    <w:rPr>
      <w:rFonts w:ascii="Times New Roman" w:hAnsi="Times New Roman" w:eastAsia="宋体" w:cs="Times New Roman"/>
      <w:kern w:val="2"/>
      <w:sz w:val="21"/>
      <w:szCs w:val="21"/>
      <w:lang w:val="en-US" w:eastAsia="zh-CN" w:bidi="ar-SA"/>
    </w:rPr>
  </w:style>
  <w:style w:type="paragraph" w:customStyle="1" w:styleId="2921">
    <w:name w:val="自作-正文"/>
    <w:basedOn w:val="1"/>
    <w:qFormat/>
    <w:uiPriority w:val="0"/>
    <w:pPr>
      <w:spacing w:line="500" w:lineRule="exact"/>
      <w:ind w:firstLine="200" w:firstLineChars="200"/>
    </w:pPr>
    <w:rPr>
      <w:sz w:val="24"/>
    </w:rPr>
  </w:style>
  <w:style w:type="character" w:customStyle="1" w:styleId="2922">
    <w:name w:val="dim_small_icon"/>
    <w:qFormat/>
    <w:uiPriority w:val="0"/>
  </w:style>
  <w:style w:type="paragraph" w:customStyle="1" w:styleId="2923">
    <w:name w:val="样式 标题 2标题 2 Char Char标题 2 Char Char Char标题 2 Char标题 2 Char C...2"/>
    <w:basedOn w:val="4"/>
    <w:qFormat/>
    <w:uiPriority w:val="0"/>
    <w:pPr>
      <w:spacing w:before="240" w:after="240" w:line="360" w:lineRule="auto"/>
    </w:pPr>
    <w:rPr>
      <w:rFonts w:ascii="Times New Roman" w:hAnsi="Times New Roman" w:eastAsia="宋体"/>
      <w:color w:val="000000"/>
      <w:sz w:val="30"/>
      <w:szCs w:val="30"/>
    </w:rPr>
  </w:style>
  <w:style w:type="character" w:customStyle="1" w:styleId="2924">
    <w:name w:val="Char Char43"/>
    <w:qFormat/>
    <w:uiPriority w:val="0"/>
    <w:rPr>
      <w:i/>
      <w:iCs/>
      <w:kern w:val="2"/>
      <w:sz w:val="21"/>
      <w:szCs w:val="24"/>
    </w:rPr>
  </w:style>
  <w:style w:type="character" w:customStyle="1" w:styleId="2925">
    <w:name w:val="Char Char41"/>
    <w:qFormat/>
    <w:uiPriority w:val="0"/>
    <w:rPr>
      <w:kern w:val="2"/>
      <w:sz w:val="21"/>
      <w:szCs w:val="24"/>
    </w:rPr>
  </w:style>
  <w:style w:type="character" w:customStyle="1" w:styleId="2926">
    <w:name w:val="Char Char40"/>
    <w:qFormat/>
    <w:uiPriority w:val="0"/>
    <w:rPr>
      <w:kern w:val="2"/>
      <w:sz w:val="21"/>
      <w:szCs w:val="24"/>
    </w:rPr>
  </w:style>
  <w:style w:type="paragraph" w:customStyle="1" w:styleId="2927">
    <w:name w:val="_Style 53"/>
    <w:basedOn w:val="1"/>
    <w:next w:val="51"/>
    <w:uiPriority w:val="0"/>
    <w:pPr>
      <w:spacing w:line="500" w:lineRule="exact"/>
      <w:ind w:firstLine="480" w:firstLineChars="200"/>
    </w:pPr>
    <w:rPr>
      <w:rFonts w:ascii="宋体" w:hAnsi="宋体"/>
      <w:sz w:val="24"/>
    </w:rPr>
  </w:style>
  <w:style w:type="paragraph" w:customStyle="1" w:styleId="2928">
    <w:name w:val="w样小4正文"/>
    <w:basedOn w:val="1"/>
    <w:qFormat/>
    <w:uiPriority w:val="0"/>
    <w:pPr>
      <w:adjustRightInd w:val="0"/>
      <w:snapToGrid w:val="0"/>
      <w:spacing w:line="360" w:lineRule="auto"/>
      <w:ind w:firstLine="480" w:firstLineChars="200"/>
    </w:pPr>
    <w:rPr>
      <w:sz w:val="24"/>
    </w:rPr>
  </w:style>
  <w:style w:type="paragraph" w:customStyle="1" w:styleId="2929">
    <w:name w:val="楷体"/>
    <w:qFormat/>
    <w:uiPriority w:val="0"/>
    <w:pPr>
      <w:widowControl w:val="0"/>
      <w:adjustRightInd w:val="0"/>
      <w:snapToGrid w:val="0"/>
      <w:spacing w:line="360" w:lineRule="auto"/>
      <w:ind w:firstLine="200" w:firstLineChars="200"/>
      <w:jc w:val="both"/>
    </w:pPr>
    <w:rPr>
      <w:rFonts w:ascii="Times New Roman" w:hAnsi="Times New Roman" w:eastAsia="楷体_GB2312" w:cs="Times New Roman"/>
      <w:sz w:val="32"/>
      <w:lang w:val="en-US" w:eastAsia="zh-CN" w:bidi="ar-SA"/>
    </w:rPr>
  </w:style>
  <w:style w:type="paragraph" w:customStyle="1" w:styleId="2930">
    <w:name w:val="6表格"/>
    <w:basedOn w:val="1"/>
    <w:qFormat/>
    <w:uiPriority w:val="0"/>
    <w:pPr>
      <w:adjustRightInd w:val="0"/>
      <w:snapToGrid w:val="0"/>
      <w:spacing w:before="60" w:line="240" w:lineRule="atLeast"/>
      <w:jc w:val="center"/>
    </w:pPr>
    <w:rPr>
      <w:snapToGrid w:val="0"/>
      <w:kern w:val="0"/>
      <w:szCs w:val="20"/>
    </w:rPr>
  </w:style>
  <w:style w:type="paragraph" w:customStyle="1" w:styleId="2931">
    <w:name w:val="丹的表格文字"/>
    <w:basedOn w:val="1"/>
    <w:qFormat/>
    <w:uiPriority w:val="0"/>
    <w:pPr>
      <w:jc w:val="center"/>
    </w:pPr>
    <w:rPr>
      <w:rFonts w:cs="宋体"/>
      <w:spacing w:val="2"/>
      <w:szCs w:val="20"/>
    </w:rPr>
  </w:style>
  <w:style w:type="paragraph" w:customStyle="1" w:styleId="2932">
    <w:name w:val="正文  说明书格式"/>
    <w:basedOn w:val="1"/>
    <w:link w:val="2933"/>
    <w:qFormat/>
    <w:uiPriority w:val="0"/>
    <w:pPr>
      <w:spacing w:line="500" w:lineRule="exact"/>
      <w:ind w:left="126" w:leftChars="60" w:right="147" w:firstLine="480" w:firstLineChars="200"/>
    </w:pPr>
    <w:rPr>
      <w:rFonts w:ascii="宋体" w:hAnsi="宋体"/>
      <w:bCs/>
      <w:sz w:val="24"/>
      <w:lang w:val="zh-CN"/>
    </w:rPr>
  </w:style>
  <w:style w:type="character" w:customStyle="1" w:styleId="2933">
    <w:name w:val="正文  说明书格式 Char"/>
    <w:link w:val="2932"/>
    <w:qFormat/>
    <w:uiPriority w:val="0"/>
    <w:rPr>
      <w:rFonts w:ascii="宋体" w:hAnsi="宋体"/>
      <w:bCs/>
      <w:kern w:val="2"/>
      <w:sz w:val="24"/>
      <w:szCs w:val="24"/>
      <w:lang w:val="zh-CN"/>
    </w:rPr>
  </w:style>
  <w:style w:type="paragraph" w:customStyle="1" w:styleId="2934">
    <w:name w:val="偶的标题2"/>
    <w:basedOn w:val="1"/>
    <w:next w:val="1"/>
    <w:qFormat/>
    <w:uiPriority w:val="0"/>
    <w:pPr>
      <w:keepNext/>
      <w:keepLines/>
      <w:tabs>
        <w:tab w:val="left" w:pos="576"/>
      </w:tabs>
      <w:spacing w:before="260" w:after="260" w:line="408" w:lineRule="auto"/>
      <w:ind w:left="578" w:hanging="578"/>
      <w:jc w:val="left"/>
      <w:outlineLvl w:val="1"/>
    </w:pPr>
    <w:rPr>
      <w:rFonts w:eastAsia="黑体"/>
      <w:b/>
      <w:bCs/>
      <w:sz w:val="32"/>
      <w:szCs w:val="32"/>
    </w:rPr>
  </w:style>
  <w:style w:type="paragraph" w:customStyle="1" w:styleId="2935">
    <w:name w:val="rpt_盖章-监测"/>
    <w:basedOn w:val="1"/>
    <w:qFormat/>
    <w:uiPriority w:val="0"/>
    <w:pPr>
      <w:jc w:val="center"/>
    </w:pPr>
    <w:rPr>
      <w:rFonts w:ascii="黑体" w:hAnsi="黑体" w:eastAsia="黑体" w:cs="宋体"/>
      <w:sz w:val="28"/>
      <w:szCs w:val="20"/>
    </w:rPr>
  </w:style>
  <w:style w:type="paragraph" w:customStyle="1" w:styleId="2936">
    <w:name w:val="rpt_无正文"/>
    <w:basedOn w:val="1"/>
    <w:qFormat/>
    <w:uiPriority w:val="0"/>
    <w:pPr>
      <w:spacing w:line="400" w:lineRule="atLeast"/>
      <w:jc w:val="center"/>
    </w:pPr>
    <w:rPr>
      <w:rFonts w:ascii="宋体" w:hAnsi="宋体" w:cs="宋体"/>
      <w:sz w:val="24"/>
      <w:szCs w:val="20"/>
    </w:rPr>
  </w:style>
  <w:style w:type="character" w:customStyle="1" w:styleId="2937">
    <w:name w:val="Table Head Char"/>
    <w:qFormat/>
    <w:uiPriority w:val="0"/>
    <w:rPr>
      <w:rFonts w:ascii="Arial Bold" w:hAnsi="Arial Bold" w:eastAsia="宋体" w:cs="Sendnya"/>
      <w:b/>
      <w:bCs/>
      <w:color w:val="FFFFFF"/>
      <w:sz w:val="18"/>
      <w:szCs w:val="18"/>
      <w:lang w:val="en-US" w:eastAsia="en-US" w:bidi="ar-SA"/>
    </w:rPr>
  </w:style>
  <w:style w:type="paragraph" w:customStyle="1" w:styleId="2938">
    <w:name w:val="table text"/>
    <w:basedOn w:val="1"/>
    <w:qFormat/>
    <w:uiPriority w:val="0"/>
    <w:pPr>
      <w:widowControl/>
      <w:spacing w:before="80" w:after="80"/>
      <w:jc w:val="left"/>
    </w:pPr>
    <w:rPr>
      <w:rFonts w:cs="Sendnya"/>
      <w:kern w:val="0"/>
      <w:sz w:val="22"/>
      <w:szCs w:val="18"/>
      <w:lang w:eastAsia="en-US"/>
    </w:rPr>
  </w:style>
  <w:style w:type="character" w:customStyle="1" w:styleId="2939">
    <w:name w:val="table text Char"/>
    <w:qFormat/>
    <w:uiPriority w:val="0"/>
    <w:rPr>
      <w:rFonts w:eastAsia="宋体" w:cs="Sendnya"/>
      <w:sz w:val="22"/>
      <w:szCs w:val="18"/>
      <w:lang w:val="en-US" w:eastAsia="en-US"/>
    </w:rPr>
  </w:style>
  <w:style w:type="paragraph" w:customStyle="1" w:styleId="2940">
    <w:name w:val="內文"/>
    <w:basedOn w:val="1"/>
    <w:next w:val="1"/>
    <w:qFormat/>
    <w:uiPriority w:val="0"/>
    <w:pPr>
      <w:autoSpaceDE w:val="0"/>
      <w:autoSpaceDN w:val="0"/>
      <w:adjustRightInd w:val="0"/>
      <w:jc w:val="left"/>
    </w:pPr>
    <w:rPr>
      <w:rFonts w:ascii="DF Kai Shu" w:eastAsia="DF Kai Shu"/>
      <w:kern w:val="0"/>
      <w:sz w:val="20"/>
    </w:rPr>
  </w:style>
  <w:style w:type="paragraph" w:customStyle="1" w:styleId="2941">
    <w:name w:val="丹的图表标题"/>
    <w:basedOn w:val="1"/>
    <w:qFormat/>
    <w:uiPriority w:val="0"/>
    <w:pPr>
      <w:spacing w:before="62" w:after="62" w:line="480" w:lineRule="exact"/>
      <w:ind w:firstLine="482" w:firstLineChars="200"/>
      <w:jc w:val="center"/>
    </w:pPr>
    <w:rPr>
      <w:rFonts w:ascii="黑体" w:eastAsia="黑体" w:cs="宋体"/>
      <w:b/>
      <w:bCs/>
      <w:sz w:val="24"/>
      <w:szCs w:val="20"/>
    </w:rPr>
  </w:style>
  <w:style w:type="character" w:customStyle="1" w:styleId="2942">
    <w:name w:val="正文小四 Char1"/>
    <w:qFormat/>
    <w:uiPriority w:val="0"/>
    <w:rPr>
      <w:rFonts w:ascii="宋体" w:hAnsi="宋体" w:cs="宋体"/>
      <w:kern w:val="2"/>
      <w:sz w:val="24"/>
    </w:rPr>
  </w:style>
  <w:style w:type="paragraph" w:customStyle="1" w:styleId="2943">
    <w:name w:val="标题2-rw"/>
    <w:basedOn w:val="4"/>
    <w:next w:val="1"/>
    <w:link w:val="2944"/>
    <w:qFormat/>
    <w:uiPriority w:val="0"/>
    <w:pPr>
      <w:tabs>
        <w:tab w:val="left" w:pos="680"/>
      </w:tabs>
      <w:spacing w:before="240" w:after="240" w:line="360" w:lineRule="auto"/>
      <w:ind w:left="680" w:hanging="680"/>
    </w:pPr>
    <w:rPr>
      <w:rFonts w:ascii="Times New Roman" w:hAnsi="Times New Roman" w:eastAsia="黑体"/>
      <w:b w:val="0"/>
      <w:szCs w:val="18"/>
      <w:lang w:val="zh-CN"/>
    </w:rPr>
  </w:style>
  <w:style w:type="character" w:customStyle="1" w:styleId="2944">
    <w:name w:val="标题2-rw Char Char"/>
    <w:link w:val="2943"/>
    <w:qFormat/>
    <w:uiPriority w:val="0"/>
    <w:rPr>
      <w:rFonts w:eastAsia="黑体"/>
      <w:bCs/>
      <w:kern w:val="2"/>
      <w:sz w:val="32"/>
      <w:szCs w:val="18"/>
      <w:lang w:val="zh-CN"/>
    </w:rPr>
  </w:style>
  <w:style w:type="paragraph" w:customStyle="1" w:styleId="2945">
    <w:name w:val="标题1-rw"/>
    <w:basedOn w:val="3"/>
    <w:next w:val="1"/>
    <w:qFormat/>
    <w:uiPriority w:val="0"/>
    <w:pPr>
      <w:keepNext/>
      <w:keepLines/>
      <w:tabs>
        <w:tab w:val="left" w:pos="200"/>
        <w:tab w:val="left" w:pos="786"/>
      </w:tabs>
      <w:adjustRightInd/>
      <w:snapToGrid/>
      <w:spacing w:before="320" w:after="320" w:line="360" w:lineRule="auto"/>
      <w:ind w:left="200" w:hanging="200"/>
      <w:jc w:val="both"/>
    </w:pPr>
    <w:rPr>
      <w:rFonts w:eastAsia="黑体" w:cs="宋体"/>
      <w:sz w:val="44"/>
      <w:szCs w:val="20"/>
    </w:rPr>
  </w:style>
  <w:style w:type="character" w:customStyle="1" w:styleId="2946">
    <w:name w:val="ca-210"/>
    <w:qFormat/>
    <w:uiPriority w:val="0"/>
    <w:rPr>
      <w:rFonts w:hint="eastAsia" w:ascii="宋体" w:hAnsi="宋体" w:eastAsia="宋体"/>
      <w:sz w:val="28"/>
      <w:szCs w:val="28"/>
    </w:rPr>
  </w:style>
  <w:style w:type="paragraph" w:customStyle="1" w:styleId="2947">
    <w:name w:val="样式 标题 31.1.1条标题 3 Char Char标题 3 Char三级标题，黑粗，四号，序号Heading 3...1"/>
    <w:basedOn w:val="5"/>
    <w:qFormat/>
    <w:uiPriority w:val="0"/>
    <w:pPr>
      <w:spacing w:before="120" w:beforeLines="50" w:after="120" w:afterLines="50" w:line="360" w:lineRule="auto"/>
      <w:ind w:left="50" w:leftChars="50" w:right="284"/>
    </w:pPr>
    <w:rPr>
      <w:rFonts w:ascii="宋体" w:hAnsi="宋体" w:eastAsia="黑体" w:cs="宋体"/>
      <w:sz w:val="24"/>
      <w:szCs w:val="20"/>
    </w:rPr>
  </w:style>
  <w:style w:type="paragraph" w:customStyle="1" w:styleId="2948">
    <w:name w:val="样式 样式1 + 首行缩进:  1 字符"/>
    <w:basedOn w:val="1"/>
    <w:qFormat/>
    <w:uiPriority w:val="0"/>
    <w:pPr>
      <w:keepNext/>
      <w:keepLines/>
      <w:snapToGrid w:val="0"/>
      <w:spacing w:line="360" w:lineRule="auto"/>
      <w:ind w:left="50" w:leftChars="50" w:right="50" w:rightChars="50"/>
      <w:outlineLvl w:val="0"/>
    </w:pPr>
    <w:rPr>
      <w:rFonts w:ascii="Arial" w:hAnsi="Arial" w:eastAsia="黑体" w:cs="宋体"/>
      <w:kern w:val="44"/>
      <w:sz w:val="28"/>
      <w:szCs w:val="20"/>
    </w:rPr>
  </w:style>
  <w:style w:type="paragraph" w:customStyle="1" w:styleId="2949">
    <w:name w:val="样式 标题 41.1.1.1河石管道4H4H41小小节河石管道41H42H411小小节1河石管道42H43..."/>
    <w:basedOn w:val="6"/>
    <w:qFormat/>
    <w:uiPriority w:val="0"/>
    <w:pPr>
      <w:tabs>
        <w:tab w:val="left" w:pos="0"/>
      </w:tabs>
      <w:spacing w:before="60" w:beforeLines="50" w:after="60" w:afterLines="50" w:line="360" w:lineRule="auto"/>
    </w:pPr>
    <w:rPr>
      <w:rFonts w:ascii="Times New Roman" w:hAnsi="Times New Roman" w:cs="宋体"/>
      <w:color w:val="FF0000"/>
      <w:sz w:val="24"/>
      <w:szCs w:val="20"/>
    </w:rPr>
  </w:style>
  <w:style w:type="paragraph" w:customStyle="1" w:styleId="2950">
    <w:name w:val="样式 标题 3.X.X1.1.1标题03Level 3 HeadH3level_3PIM 3h333rd l...2"/>
    <w:basedOn w:val="5"/>
    <w:qFormat/>
    <w:uiPriority w:val="0"/>
    <w:pPr>
      <w:tabs>
        <w:tab w:val="left" w:pos="0"/>
        <w:tab w:val="left" w:pos="786"/>
        <w:tab w:val="left" w:pos="2700"/>
      </w:tabs>
      <w:spacing w:before="120" w:beforeLines="50" w:after="120" w:afterLines="50" w:line="240" w:lineRule="auto"/>
      <w:ind w:left="2700" w:hanging="720" w:hangingChars="200"/>
    </w:pPr>
    <w:rPr>
      <w:rFonts w:hAnsi="宋体" w:eastAsia="黑体" w:cs="宋体"/>
      <w:sz w:val="28"/>
      <w:szCs w:val="20"/>
    </w:rPr>
  </w:style>
  <w:style w:type="character" w:customStyle="1" w:styleId="2951">
    <w:name w:val="标题 2[858D7CFB-ED40-4347-BF05-701D383B685F]"/>
    <w:qFormat/>
    <w:uiPriority w:val="0"/>
    <w:rPr>
      <w:rFonts w:ascii="Arial" w:hAnsi="Arial" w:eastAsia="黑体"/>
      <w:bCs/>
      <w:sz w:val="24"/>
      <w:szCs w:val="32"/>
    </w:rPr>
  </w:style>
  <w:style w:type="character" w:customStyle="1" w:styleId="2952">
    <w:name w:val="样式 标题 3标题 三三级标题标题3H3h33rd level第二层条ReHead 3 WSA标题03三级... Char Char"/>
    <w:qFormat/>
    <w:uiPriority w:val="0"/>
    <w:rPr>
      <w:rFonts w:ascii="黑体" w:eastAsia="黑体"/>
      <w:b/>
      <w:bCs/>
      <w:sz w:val="28"/>
      <w:szCs w:val="32"/>
    </w:rPr>
  </w:style>
  <w:style w:type="character" w:customStyle="1" w:styleId="2953">
    <w:name w:val="a1 Char Char"/>
    <w:qFormat/>
    <w:uiPriority w:val="0"/>
    <w:rPr>
      <w:rFonts w:eastAsia="宋体"/>
      <w:b/>
      <w:kern w:val="2"/>
      <w:sz w:val="24"/>
      <w:szCs w:val="24"/>
      <w:lang w:val="en-US" w:eastAsia="zh-CN" w:bidi="ar-SA"/>
    </w:rPr>
  </w:style>
  <w:style w:type="character" w:customStyle="1" w:styleId="2954">
    <w:name w:val="科研报告正文 Char Char"/>
    <w:qFormat/>
    <w:uiPriority w:val="0"/>
    <w:rPr>
      <w:rFonts w:ascii="宋体" w:hAnsi="宋体" w:eastAsia="宋体" w:cs="宋体"/>
      <w:kern w:val="2"/>
      <w:sz w:val="24"/>
      <w:lang w:val="en-US" w:eastAsia="zh-CN" w:bidi="ar-SA"/>
    </w:rPr>
  </w:style>
  <w:style w:type="character" w:customStyle="1" w:styleId="2955">
    <w:name w:val="正文1 Char Char"/>
    <w:qFormat/>
    <w:uiPriority w:val="0"/>
    <w:rPr>
      <w:rFonts w:eastAsia="宋体"/>
      <w:spacing w:val="8"/>
      <w:kern w:val="21"/>
      <w:sz w:val="21"/>
      <w:lang w:val="en-US" w:eastAsia="zh-CN" w:bidi="ar-SA"/>
    </w:rPr>
  </w:style>
  <w:style w:type="character" w:customStyle="1" w:styleId="2956">
    <w:name w:val="z正文 Char Char"/>
    <w:qFormat/>
    <w:uiPriority w:val="0"/>
    <w:rPr>
      <w:sz w:val="24"/>
      <w:lang w:bidi="ar-SA"/>
    </w:rPr>
  </w:style>
  <w:style w:type="character" w:customStyle="1" w:styleId="2957">
    <w:name w:val="报告表正文 Char Char"/>
    <w:qFormat/>
    <w:uiPriority w:val="0"/>
    <w:rPr>
      <w:rFonts w:ascii="宋体" w:hAnsi="宋体" w:eastAsia="宋体" w:cs="宋体"/>
      <w:sz w:val="24"/>
      <w:lang w:val="en-US" w:eastAsia="zh-CN" w:bidi="ar-SA"/>
    </w:rPr>
  </w:style>
  <w:style w:type="character" w:customStyle="1" w:styleId="2958">
    <w:name w:val="图表题 Char Char"/>
    <w:qFormat/>
    <w:uiPriority w:val="0"/>
    <w:rPr>
      <w:rFonts w:ascii="黑体" w:hAnsi="宋体" w:eastAsia="黑体" w:cs="宋体"/>
      <w:b/>
      <w:bCs/>
      <w:kern w:val="2"/>
      <w:sz w:val="24"/>
      <w:szCs w:val="24"/>
      <w:lang w:val="en-US" w:eastAsia="zh-CN" w:bidi="ar-SA"/>
    </w:rPr>
  </w:style>
  <w:style w:type="character" w:customStyle="1" w:styleId="2959">
    <w:name w:val="燕山正文 Char Char Char Char"/>
    <w:qFormat/>
    <w:uiPriority w:val="0"/>
    <w:rPr>
      <w:snapToGrid w:val="0"/>
      <w:color w:val="000000"/>
      <w:kern w:val="2"/>
      <w:sz w:val="24"/>
      <w:szCs w:val="24"/>
    </w:rPr>
  </w:style>
  <w:style w:type="character" w:customStyle="1" w:styleId="2960">
    <w:name w:val="表格内容（中） Char Char"/>
    <w:qFormat/>
    <w:uiPriority w:val="0"/>
    <w:rPr>
      <w:rFonts w:ascii="宋体" w:hAnsi="宋体" w:eastAsia="宋体" w:cs="Arial"/>
      <w:sz w:val="24"/>
      <w:szCs w:val="24"/>
      <w:lang w:val="en-US" w:eastAsia="zh-CN" w:bidi="ar-SA"/>
    </w:rPr>
  </w:style>
  <w:style w:type="character" w:customStyle="1" w:styleId="2961">
    <w:name w:val="表格后备注文字 Char Char"/>
    <w:qFormat/>
    <w:uiPriority w:val="0"/>
    <w:rPr>
      <w:kern w:val="2"/>
      <w:sz w:val="21"/>
      <w:szCs w:val="21"/>
    </w:rPr>
  </w:style>
  <w:style w:type="character" w:customStyle="1" w:styleId="2962">
    <w:name w:val="CSI  Body 2 Char Char"/>
    <w:qFormat/>
    <w:uiPriority w:val="0"/>
    <w:rPr>
      <w:rFonts w:ascii="Arial" w:hAnsi="Arial" w:eastAsia="Batang"/>
      <w:sz w:val="24"/>
      <w:szCs w:val="24"/>
      <w:lang w:val="en-US" w:eastAsia="ko-KR" w:bidi="ar-SA"/>
    </w:rPr>
  </w:style>
  <w:style w:type="character" w:customStyle="1" w:styleId="2963">
    <w:name w:val="表格两端 Char Char"/>
    <w:qFormat/>
    <w:uiPriority w:val="0"/>
    <w:rPr>
      <w:kern w:val="2"/>
      <w:sz w:val="21"/>
      <w:szCs w:val="24"/>
    </w:rPr>
  </w:style>
  <w:style w:type="character" w:customStyle="1" w:styleId="2964">
    <w:name w:val="图表标题 Char Char"/>
    <w:qFormat/>
    <w:uiPriority w:val="0"/>
    <w:rPr>
      <w:rFonts w:ascii="黑体" w:eastAsia="黑体"/>
      <w:kern w:val="2"/>
      <w:sz w:val="32"/>
      <w:szCs w:val="24"/>
    </w:rPr>
  </w:style>
  <w:style w:type="character" w:customStyle="1" w:styleId="2965">
    <w:name w:val="样式4 Char Char"/>
    <w:qFormat/>
    <w:uiPriority w:val="0"/>
    <w:rPr>
      <w:rFonts w:ascii="仿宋_GB2312" w:hAnsi="Arial" w:eastAsia="仿宋_GB2312" w:cs="Arial"/>
      <w:b/>
      <w:bCs/>
      <w:kern w:val="2"/>
      <w:sz w:val="21"/>
      <w:szCs w:val="21"/>
      <w:lang w:val="en-US" w:eastAsia="zh-CN" w:bidi="ar-SA"/>
    </w:rPr>
  </w:style>
  <w:style w:type="character" w:customStyle="1" w:styleId="2966">
    <w:name w:val="样式 标题 1 + (中文) 黑体 小三 Char Char"/>
    <w:qFormat/>
    <w:uiPriority w:val="0"/>
    <w:rPr>
      <w:rFonts w:eastAsia="黑体"/>
      <w:kern w:val="44"/>
      <w:sz w:val="30"/>
      <w:szCs w:val="44"/>
      <w:lang w:val="en-US" w:eastAsia="zh-CN" w:bidi="ar-SA"/>
    </w:rPr>
  </w:style>
  <w:style w:type="character" w:customStyle="1" w:styleId="2967">
    <w:name w:val="zhengwen Char Char"/>
    <w:qFormat/>
    <w:uiPriority w:val="0"/>
    <w:rPr>
      <w:rFonts w:ascii="Arial" w:hAnsi="Arial" w:eastAsia="宋体" w:cs="Arial"/>
      <w:kern w:val="2"/>
      <w:sz w:val="24"/>
      <w:szCs w:val="24"/>
      <w:lang w:val="en-US" w:eastAsia="zh-CN" w:bidi="ar-SA"/>
    </w:rPr>
  </w:style>
  <w:style w:type="character" w:customStyle="1" w:styleId="2968">
    <w:name w:val="列表编号 Char Char"/>
    <w:qFormat/>
    <w:uiPriority w:val="0"/>
    <w:rPr>
      <w:rFonts w:eastAsia="宋体"/>
      <w:kern w:val="2"/>
      <w:sz w:val="21"/>
      <w:szCs w:val="24"/>
      <w:lang w:val="en-US" w:eastAsia="zh-CN" w:bidi="ar-SA"/>
    </w:rPr>
  </w:style>
  <w:style w:type="character" w:customStyle="1" w:styleId="2969">
    <w:name w:val="no Char Char"/>
    <w:qFormat/>
    <w:uiPriority w:val="0"/>
    <w:rPr>
      <w:rFonts w:eastAsia="宋体"/>
      <w:bCs/>
      <w:color w:val="000000"/>
      <w:kern w:val="24"/>
      <w:sz w:val="28"/>
      <w:szCs w:val="28"/>
      <w:lang w:val="en-US" w:eastAsia="zh-CN" w:bidi="ar-SA"/>
    </w:rPr>
  </w:style>
  <w:style w:type="character" w:customStyle="1" w:styleId="2970">
    <w:name w:val="样式10 Char Char"/>
    <w:qFormat/>
    <w:uiPriority w:val="0"/>
    <w:rPr>
      <w:rFonts w:ascii="宋体" w:hAnsi="宋体" w:eastAsia="宋体"/>
      <w:color w:val="000000"/>
      <w:kern w:val="2"/>
      <w:sz w:val="24"/>
      <w:szCs w:val="24"/>
      <w:lang w:val="en-US" w:eastAsia="zh-CN" w:bidi="ar-SA"/>
    </w:rPr>
  </w:style>
  <w:style w:type="character" w:customStyle="1" w:styleId="2971">
    <w:name w:val="俺的图表标题 Char Char"/>
    <w:qFormat/>
    <w:uiPriority w:val="0"/>
    <w:rPr>
      <w:rFonts w:ascii="黑体" w:hAnsi="黑体" w:eastAsia="黑体"/>
      <w:b/>
      <w:bCs/>
      <w:kern w:val="2"/>
      <w:sz w:val="24"/>
      <w:szCs w:val="24"/>
      <w:lang w:val="en-US" w:eastAsia="zh-CN" w:bidi="ar-SA"/>
    </w:rPr>
  </w:style>
  <w:style w:type="character" w:customStyle="1" w:styleId="2972">
    <w:name w:val="Style1 Char Char"/>
    <w:qFormat/>
    <w:uiPriority w:val="0"/>
    <w:rPr>
      <w:rFonts w:eastAsia="宋体"/>
      <w:sz w:val="24"/>
      <w:szCs w:val="22"/>
      <w:lang w:val="en-US" w:eastAsia="zh-CN" w:bidi="ar-SA"/>
    </w:rPr>
  </w:style>
  <w:style w:type="character" w:customStyle="1" w:styleId="2973">
    <w:name w:val="Caption - Table Char Char"/>
    <w:qFormat/>
    <w:uiPriority w:val="0"/>
    <w:rPr>
      <w:rFonts w:ascii="Arial Bold" w:hAnsi="Arial Bold"/>
      <w:b/>
      <w:bCs/>
      <w:sz w:val="18"/>
      <w:lang w:eastAsia="en-US"/>
    </w:rPr>
  </w:style>
  <w:style w:type="character" w:customStyle="1" w:styleId="2974">
    <w:name w:val="标题 4 Char Char"/>
    <w:qFormat/>
    <w:uiPriority w:val="0"/>
    <w:rPr>
      <w:rFonts w:ascii="Arial" w:hAnsi="Arial" w:eastAsia="黑体"/>
      <w:b/>
      <w:kern w:val="2"/>
      <w:sz w:val="28"/>
      <w:lang w:val="en-US" w:eastAsia="zh-CN" w:bidi="ar-SA"/>
    </w:rPr>
  </w:style>
  <w:style w:type="character" w:customStyle="1" w:styleId="2975">
    <w:name w:val="Caption - Figure Char Char"/>
    <w:qFormat/>
    <w:uiPriority w:val="0"/>
    <w:rPr>
      <w:rFonts w:ascii="Arial Bold" w:hAnsi="Arial Bold" w:eastAsia="宋体"/>
      <w:b/>
      <w:bCs/>
      <w:sz w:val="18"/>
      <w:szCs w:val="18"/>
      <w:lang w:val="en-US" w:eastAsia="en-US" w:bidi="ar-SA"/>
    </w:rPr>
  </w:style>
  <w:style w:type="character" w:customStyle="1" w:styleId="2976">
    <w:name w:val="标题 1 宋体 三号 Char Char Char Char"/>
    <w:qFormat/>
    <w:uiPriority w:val="0"/>
    <w:rPr>
      <w:rFonts w:ascii="宋体" w:hAnsi="宋体" w:eastAsia="宋体"/>
      <w:b/>
      <w:kern w:val="44"/>
      <w:sz w:val="32"/>
      <w:lang w:val="en-US" w:eastAsia="zh-CN" w:bidi="ar-SA"/>
    </w:rPr>
  </w:style>
  <w:style w:type="character" w:customStyle="1" w:styleId="2977">
    <w:name w:val="Table Text_8pt Char Char"/>
    <w:qFormat/>
    <w:uiPriority w:val="0"/>
    <w:rPr>
      <w:rFonts w:ascii="Arial" w:hAnsi="Arial" w:eastAsia="宋体" w:cs="Sendnya"/>
      <w:sz w:val="16"/>
      <w:szCs w:val="18"/>
      <w:lang w:val="en-US" w:eastAsia="en-US" w:bidi="ar-SA"/>
    </w:rPr>
  </w:style>
  <w:style w:type="character" w:customStyle="1" w:styleId="2978">
    <w:name w:val="a Char Char"/>
    <w:qFormat/>
    <w:uiPriority w:val="0"/>
    <w:rPr>
      <w:rFonts w:eastAsia="宋体"/>
      <w:b/>
      <w:kern w:val="2"/>
      <w:sz w:val="24"/>
      <w:szCs w:val="24"/>
      <w:lang w:val="en-US" w:eastAsia="zh-CN" w:bidi="ar-SA"/>
    </w:rPr>
  </w:style>
  <w:style w:type="character" w:customStyle="1" w:styleId="2979">
    <w:name w:val="Table and figure name Char Char"/>
    <w:qFormat/>
    <w:uiPriority w:val="0"/>
    <w:rPr>
      <w:rFonts w:eastAsia="宋体"/>
      <w:b/>
      <w:bCs/>
      <w:kern w:val="2"/>
      <w:sz w:val="21"/>
      <w:szCs w:val="21"/>
      <w:lang w:val="en-US" w:eastAsia="zh-CN" w:bidi="ar-SA"/>
    </w:rPr>
  </w:style>
  <w:style w:type="character" w:customStyle="1" w:styleId="2980">
    <w:name w:val="Bullet 2 - Sub Char Char"/>
    <w:qFormat/>
    <w:uiPriority w:val="0"/>
    <w:rPr>
      <w:sz w:val="22"/>
      <w:szCs w:val="22"/>
      <w:lang w:val="en-US" w:eastAsia="en-US" w:bidi="ar-SA"/>
    </w:rPr>
  </w:style>
  <w:style w:type="character" w:customStyle="1" w:styleId="2981">
    <w:name w:val="表头一 Char Char"/>
    <w:qFormat/>
    <w:uiPriority w:val="0"/>
    <w:rPr>
      <w:rFonts w:ascii="Arial" w:hAnsi="Arial" w:eastAsia="宋体" w:cs="Arial"/>
      <w:b/>
      <w:bCs/>
      <w:sz w:val="24"/>
      <w:szCs w:val="24"/>
      <w:lang w:val="en-US" w:eastAsia="zh-CN" w:bidi="ar-SA"/>
    </w:rPr>
  </w:style>
  <w:style w:type="character" w:customStyle="1" w:styleId="2982">
    <w:name w:val="xl26 Char Char"/>
    <w:qFormat/>
    <w:uiPriority w:val="0"/>
    <w:rPr>
      <w:rFonts w:ascii="Arial Unicode MS" w:hAnsi="Arial Unicode MS" w:eastAsia="Arial Unicode MS"/>
      <w:sz w:val="24"/>
      <w:szCs w:val="24"/>
      <w:lang w:val="en-US" w:eastAsia="zh-CN" w:bidi="ar-SA"/>
    </w:rPr>
  </w:style>
  <w:style w:type="character" w:customStyle="1" w:styleId="2983">
    <w:name w:val="正文(首缩进) Char Char"/>
    <w:qFormat/>
    <w:uiPriority w:val="0"/>
    <w:rPr>
      <w:kern w:val="2"/>
      <w:sz w:val="28"/>
    </w:rPr>
  </w:style>
  <w:style w:type="character" w:customStyle="1" w:styleId="2984">
    <w:name w:val="Char Char Char Char Char Char Char Char Char2"/>
    <w:qFormat/>
    <w:uiPriority w:val="0"/>
    <w:rPr>
      <w:rFonts w:ascii="宋体" w:hAnsi="Courier New" w:eastAsia="宋体"/>
      <w:kern w:val="2"/>
      <w:sz w:val="21"/>
      <w:szCs w:val="21"/>
      <w:lang w:val="en-US" w:eastAsia="zh-CN" w:bidi="ar-SA"/>
    </w:rPr>
  </w:style>
  <w:style w:type="character" w:customStyle="1" w:styleId="2985">
    <w:name w:val="样式 标题 2 + (中文) 宋体 Char Char"/>
    <w:qFormat/>
    <w:uiPriority w:val="0"/>
    <w:rPr>
      <w:rFonts w:ascii="宋体" w:hAnsi="宋体" w:eastAsia="宋体"/>
      <w:kern w:val="2"/>
      <w:sz w:val="32"/>
      <w:szCs w:val="32"/>
      <w:lang w:val="en-US" w:eastAsia="zh-CN" w:bidi="ar-SA"/>
    </w:rPr>
  </w:style>
  <w:style w:type="character" w:customStyle="1" w:styleId="2986">
    <w:name w:val="Table Head Char Char"/>
    <w:qFormat/>
    <w:uiPriority w:val="0"/>
    <w:rPr>
      <w:rFonts w:ascii="Arial Bold" w:hAnsi="Arial Bold" w:eastAsia="宋体" w:cs="Sendnya"/>
      <w:b/>
      <w:bCs/>
      <w:color w:val="FFFFFF"/>
      <w:sz w:val="18"/>
      <w:szCs w:val="18"/>
      <w:lang w:val="en-US" w:eastAsia="en-US" w:bidi="ar-SA"/>
    </w:rPr>
  </w:style>
  <w:style w:type="character" w:customStyle="1" w:styleId="2987">
    <w:name w:val="table text Char Char"/>
    <w:qFormat/>
    <w:uiPriority w:val="0"/>
    <w:rPr>
      <w:rFonts w:eastAsia="宋体" w:cs="Sendnya"/>
      <w:sz w:val="22"/>
      <w:szCs w:val="18"/>
      <w:lang w:val="en-US" w:eastAsia="en-US"/>
    </w:rPr>
  </w:style>
  <w:style w:type="character" w:customStyle="1" w:styleId="2988">
    <w:name w:val="正文  说明书格式 Char Char"/>
    <w:qFormat/>
    <w:uiPriority w:val="0"/>
    <w:rPr>
      <w:rFonts w:ascii="宋体" w:hAnsi="宋体" w:eastAsia="宋体" w:cs="Courier New"/>
      <w:bCs/>
      <w:kern w:val="2"/>
      <w:sz w:val="24"/>
      <w:szCs w:val="24"/>
      <w:lang w:val="en-US" w:eastAsia="zh-CN" w:bidi="ar-SA"/>
    </w:rPr>
  </w:style>
  <w:style w:type="character" w:customStyle="1" w:styleId="2989">
    <w:name w:val="Char Char29"/>
    <w:qFormat/>
    <w:uiPriority w:val="0"/>
    <w:rPr>
      <w:rFonts w:eastAsia="宋体"/>
      <w:kern w:val="2"/>
      <w:sz w:val="21"/>
      <w:szCs w:val="24"/>
      <w:lang w:val="en-US" w:eastAsia="zh-CN" w:bidi="ar-SA"/>
    </w:rPr>
  </w:style>
  <w:style w:type="character" w:customStyle="1" w:styleId="2990">
    <w:name w:val="rpt_正文 Char Char"/>
    <w:qFormat/>
    <w:uiPriority w:val="0"/>
    <w:rPr>
      <w:rFonts w:eastAsia="宋体"/>
      <w:sz w:val="24"/>
      <w:lang w:bidi="ar-SA"/>
    </w:rPr>
  </w:style>
  <w:style w:type="character" w:customStyle="1" w:styleId="2991">
    <w:name w:val="Char Char39"/>
    <w:qFormat/>
    <w:uiPriority w:val="0"/>
    <w:rPr>
      <w:rFonts w:ascii="Arial" w:hAnsi="Arial" w:eastAsia="黑体"/>
      <w:b/>
      <w:bCs/>
      <w:kern w:val="2"/>
      <w:sz w:val="32"/>
      <w:szCs w:val="32"/>
      <w:lang w:val="en-US" w:eastAsia="zh-CN" w:bidi="ar-SA"/>
    </w:rPr>
  </w:style>
  <w:style w:type="character" w:customStyle="1" w:styleId="2992">
    <w:name w:val="偶的正文 Char Char Char Char Char Char"/>
    <w:qFormat/>
    <w:uiPriority w:val="0"/>
    <w:rPr>
      <w:rFonts w:ascii="宋体" w:eastAsia="宋体" w:cs="Arial"/>
      <w:color w:val="FF0000"/>
      <w:sz w:val="24"/>
      <w:szCs w:val="21"/>
      <w:lang w:val="en-US" w:eastAsia="zh-CN" w:bidi="ar-SA"/>
    </w:rPr>
  </w:style>
  <w:style w:type="character" w:customStyle="1" w:styleId="2993">
    <w:name w:val="Char Char37"/>
    <w:qFormat/>
    <w:uiPriority w:val="0"/>
    <w:rPr>
      <w:rFonts w:ascii="Arial" w:hAnsi="Arial" w:eastAsia="黑体"/>
      <w:b/>
      <w:bCs/>
      <w:kern w:val="2"/>
      <w:sz w:val="28"/>
      <w:szCs w:val="28"/>
      <w:lang w:val="en-US" w:eastAsia="zh-CN" w:bidi="ar-SA"/>
    </w:rPr>
  </w:style>
  <w:style w:type="character" w:customStyle="1" w:styleId="2994">
    <w:name w:val="表头[858D7CFB-ED40-4347-BF05-701D383B685F]1"/>
    <w:qFormat/>
    <w:uiPriority w:val="0"/>
    <w:rPr>
      <w:rFonts w:ascii="宋体" w:hAnsi="宋体" w:eastAsia="宋体" w:cs="Arial"/>
      <w:b/>
      <w:snapToGrid w:val="0"/>
      <w:sz w:val="21"/>
      <w:szCs w:val="21"/>
      <w:lang w:val="en-US" w:eastAsia="zh-CN" w:bidi="ar-SA"/>
    </w:rPr>
  </w:style>
  <w:style w:type="character" w:customStyle="1" w:styleId="2995">
    <w:name w:val="Char Char35"/>
    <w:qFormat/>
    <w:uiPriority w:val="0"/>
    <w:rPr>
      <w:rFonts w:eastAsia="宋体"/>
      <w:b/>
      <w:bCs/>
      <w:kern w:val="2"/>
      <w:sz w:val="28"/>
      <w:szCs w:val="28"/>
      <w:lang w:val="en-US" w:eastAsia="zh-CN" w:bidi="ar-SA"/>
    </w:rPr>
  </w:style>
  <w:style w:type="character" w:customStyle="1" w:styleId="2996">
    <w:name w:val="Char Char32"/>
    <w:qFormat/>
    <w:uiPriority w:val="0"/>
    <w:rPr>
      <w:rFonts w:ascii="Arial" w:hAnsi="Arial" w:eastAsia="黑体"/>
      <w:kern w:val="2"/>
      <w:sz w:val="24"/>
      <w:szCs w:val="24"/>
      <w:lang w:val="en-US" w:eastAsia="zh-CN" w:bidi="ar-SA"/>
    </w:rPr>
  </w:style>
  <w:style w:type="character" w:customStyle="1" w:styleId="2997">
    <w:name w:val="Char Char33"/>
    <w:qFormat/>
    <w:uiPriority w:val="0"/>
    <w:rPr>
      <w:rFonts w:eastAsia="宋体"/>
      <w:b/>
      <w:bCs/>
      <w:kern w:val="2"/>
      <w:sz w:val="24"/>
      <w:szCs w:val="24"/>
      <w:lang w:val="en-US" w:eastAsia="zh-CN" w:bidi="ar-SA"/>
    </w:rPr>
  </w:style>
  <w:style w:type="character" w:customStyle="1" w:styleId="2998">
    <w:name w:val="Char Char34"/>
    <w:qFormat/>
    <w:uiPriority w:val="0"/>
    <w:rPr>
      <w:rFonts w:ascii="Arial" w:hAnsi="Arial" w:eastAsia="黑体"/>
      <w:b/>
      <w:bCs/>
      <w:kern w:val="2"/>
      <w:sz w:val="24"/>
      <w:szCs w:val="24"/>
      <w:lang w:val="en-US" w:eastAsia="zh-CN" w:bidi="ar-SA"/>
    </w:rPr>
  </w:style>
  <w:style w:type="character" w:customStyle="1" w:styleId="2999">
    <w:name w:val="标题 2[858D7CFB-ED40-4347-BF05-701D383B685F]1"/>
    <w:qFormat/>
    <w:uiPriority w:val="0"/>
    <w:rPr>
      <w:rFonts w:ascii="Arial" w:hAnsi="Arial" w:eastAsia="黑体"/>
      <w:bCs/>
      <w:sz w:val="24"/>
      <w:szCs w:val="32"/>
    </w:rPr>
  </w:style>
  <w:style w:type="paragraph" w:customStyle="1" w:styleId="3000">
    <w:name w:val="样式 标题 2 + 宋体 居中"/>
    <w:basedOn w:val="1"/>
    <w:qFormat/>
    <w:uiPriority w:val="0"/>
    <w:pPr>
      <w:tabs>
        <w:tab w:val="left" w:pos="2446"/>
      </w:tabs>
      <w:ind w:left="2446"/>
    </w:pPr>
    <w:rPr>
      <w:szCs w:val="21"/>
    </w:rPr>
  </w:style>
  <w:style w:type="paragraph" w:customStyle="1" w:styleId="3001">
    <w:name w:val="样式 标题 3 + 段后: 0 磅 行距: 1.5 倍行距1"/>
    <w:basedOn w:val="1"/>
    <w:qFormat/>
    <w:uiPriority w:val="0"/>
    <w:pPr>
      <w:tabs>
        <w:tab w:val="left" w:pos="709"/>
      </w:tabs>
      <w:ind w:left="709" w:hanging="709"/>
    </w:pPr>
    <w:rPr>
      <w:sz w:val="24"/>
      <w:szCs w:val="21"/>
    </w:rPr>
  </w:style>
  <w:style w:type="paragraph" w:customStyle="1" w:styleId="3002">
    <w:name w:val="样式 标题 4 + (符号) 宋体 小四 非加粗 两端对齐 Char Char Char"/>
    <w:basedOn w:val="1"/>
    <w:qFormat/>
    <w:uiPriority w:val="0"/>
    <w:pPr>
      <w:tabs>
        <w:tab w:val="left" w:pos="425"/>
      </w:tabs>
      <w:ind w:left="360" w:hanging="360"/>
    </w:pPr>
    <w:rPr>
      <w:szCs w:val="21"/>
    </w:rPr>
  </w:style>
  <w:style w:type="paragraph" w:customStyle="1" w:styleId="3003">
    <w:name w:val="标题2 说明书格式"/>
    <w:basedOn w:val="1"/>
    <w:link w:val="3004"/>
    <w:qFormat/>
    <w:uiPriority w:val="0"/>
    <w:pPr>
      <w:keepNext/>
      <w:keepLines/>
      <w:adjustRightInd w:val="0"/>
      <w:snapToGrid w:val="0"/>
      <w:spacing w:before="240" w:line="360" w:lineRule="auto"/>
      <w:ind w:left="104" w:leftChars="37"/>
      <w:outlineLvl w:val="1"/>
    </w:pPr>
    <w:rPr>
      <w:b/>
      <w:bCs/>
      <w:kern w:val="0"/>
      <w:sz w:val="28"/>
      <w:szCs w:val="28"/>
      <w:lang w:val="zh-CN"/>
    </w:rPr>
  </w:style>
  <w:style w:type="character" w:customStyle="1" w:styleId="3004">
    <w:name w:val="标题2 说明书格式 Char"/>
    <w:link w:val="3003"/>
    <w:qFormat/>
    <w:uiPriority w:val="0"/>
    <w:rPr>
      <w:b/>
      <w:bCs/>
      <w:sz w:val="28"/>
      <w:szCs w:val="28"/>
      <w:lang w:val="zh-CN"/>
    </w:rPr>
  </w:style>
  <w:style w:type="character" w:customStyle="1" w:styleId="3005">
    <w:name w:val="xygk11"/>
    <w:qFormat/>
    <w:uiPriority w:val="0"/>
    <w:rPr>
      <w:rFonts w:hint="default" w:eastAsia="宋体" w:cs="宋体"/>
      <w:b/>
      <w:bCs/>
      <w:spacing w:val="420"/>
      <w:kern w:val="44"/>
      <w:sz w:val="21"/>
      <w:szCs w:val="21"/>
      <w:lang w:val="en-US" w:eastAsia="zh-CN"/>
    </w:rPr>
  </w:style>
  <w:style w:type="character" w:customStyle="1" w:styleId="3006">
    <w:name w:val="weby1"/>
    <w:qFormat/>
    <w:uiPriority w:val="0"/>
    <w:rPr>
      <w:color w:val="003300"/>
      <w:sz w:val="18"/>
      <w:szCs w:val="18"/>
    </w:rPr>
  </w:style>
  <w:style w:type="character" w:customStyle="1" w:styleId="3007">
    <w:name w:val="style121"/>
    <w:qFormat/>
    <w:uiPriority w:val="0"/>
    <w:rPr>
      <w:b/>
      <w:bCs/>
      <w:color w:val="FF0000"/>
    </w:rPr>
  </w:style>
  <w:style w:type="character" w:customStyle="1" w:styleId="3008">
    <w:name w:val="111111 Char Char"/>
    <w:link w:val="3009"/>
    <w:qFormat/>
    <w:uiPriority w:val="0"/>
    <w:rPr>
      <w:rFonts w:eastAsia="黑体"/>
      <w:b/>
      <w:bCs/>
      <w:kern w:val="44"/>
      <w:sz w:val="44"/>
      <w:szCs w:val="44"/>
      <w:lang w:val="zh-CN"/>
    </w:rPr>
  </w:style>
  <w:style w:type="paragraph" w:customStyle="1" w:styleId="3009">
    <w:name w:val="111111"/>
    <w:basedOn w:val="3"/>
    <w:link w:val="3008"/>
    <w:qFormat/>
    <w:uiPriority w:val="0"/>
    <w:pPr>
      <w:keepNext/>
      <w:keepLines/>
      <w:widowControl/>
      <w:tabs>
        <w:tab w:val="left" w:pos="780"/>
      </w:tabs>
      <w:adjustRightInd/>
      <w:snapToGrid/>
      <w:spacing w:line="520" w:lineRule="exact"/>
      <w:ind w:left="425" w:leftChars="200" w:hanging="425" w:hangingChars="200"/>
    </w:pPr>
    <w:rPr>
      <w:rFonts w:eastAsia="黑体"/>
      <w:sz w:val="44"/>
      <w:szCs w:val="44"/>
      <w:lang w:val="zh-CN"/>
    </w:rPr>
  </w:style>
  <w:style w:type="character" w:customStyle="1" w:styleId="3010">
    <w:name w:val="表文 Char Char Char"/>
    <w:qFormat/>
    <w:uiPriority w:val="0"/>
    <w:rPr>
      <w:rFonts w:eastAsia="宋体"/>
      <w:kern w:val="2"/>
      <w:sz w:val="24"/>
      <w:lang w:val="en-US" w:eastAsia="zh-CN"/>
    </w:rPr>
  </w:style>
  <w:style w:type="character" w:customStyle="1" w:styleId="3011">
    <w:name w:val="样式（ 正文） Char Char"/>
    <w:link w:val="3012"/>
    <w:qFormat/>
    <w:uiPriority w:val="0"/>
    <w:rPr>
      <w:rFonts w:ascii="宋体" w:hAnsi="宋体"/>
      <w:color w:val="000000"/>
      <w:sz w:val="24"/>
      <w:szCs w:val="32"/>
    </w:rPr>
  </w:style>
  <w:style w:type="paragraph" w:customStyle="1" w:styleId="3012">
    <w:name w:val="样式（ 正文）"/>
    <w:basedOn w:val="834"/>
    <w:link w:val="3011"/>
    <w:qFormat/>
    <w:uiPriority w:val="0"/>
    <w:pPr>
      <w:widowControl w:val="0"/>
      <w:snapToGrid w:val="0"/>
      <w:spacing w:line="360" w:lineRule="auto"/>
      <w:ind w:firstLine="480"/>
      <w:jc w:val="both"/>
    </w:pPr>
    <w:rPr>
      <w:rFonts w:ascii="宋体" w:hAnsi="宋体"/>
      <w:color w:val="000000"/>
      <w:kern w:val="0"/>
      <w:szCs w:val="32"/>
    </w:rPr>
  </w:style>
  <w:style w:type="character" w:customStyle="1" w:styleId="3013">
    <w:name w:val="样式 样式 样式 正文缩进s4 + 首行缩进:  2 字符 + 首行缩进:  2 字符 + Char Char"/>
    <w:qFormat/>
    <w:uiPriority w:val="0"/>
    <w:rPr>
      <w:rFonts w:ascii="宋体" w:hAnsi="宋体" w:eastAsia="仿宋_GB2312" w:cs="宋体"/>
      <w:b/>
      <w:bCs/>
      <w:color w:val="000000"/>
      <w:kern w:val="2"/>
      <w:sz w:val="28"/>
      <w:szCs w:val="28"/>
      <w:lang w:val="en-US" w:eastAsia="zh-CN"/>
    </w:rPr>
  </w:style>
  <w:style w:type="character" w:customStyle="1" w:styleId="3014">
    <w:name w:val="表内文字（居中）-wd Char Char"/>
    <w:link w:val="3015"/>
    <w:qFormat/>
    <w:uiPriority w:val="0"/>
    <w:rPr>
      <w:rFonts w:eastAsia="仿宋_GB2312"/>
      <w:sz w:val="24"/>
      <w:szCs w:val="24"/>
    </w:rPr>
  </w:style>
  <w:style w:type="paragraph" w:customStyle="1" w:styleId="3015">
    <w:name w:val="表内文字（居中）-wd"/>
    <w:link w:val="3014"/>
    <w:qFormat/>
    <w:uiPriority w:val="0"/>
    <w:pPr>
      <w:spacing w:line="360" w:lineRule="auto"/>
      <w:jc w:val="center"/>
    </w:pPr>
    <w:rPr>
      <w:rFonts w:ascii="Times New Roman" w:hAnsi="Times New Roman" w:eastAsia="仿宋_GB2312" w:cs="Times New Roman"/>
      <w:sz w:val="24"/>
      <w:szCs w:val="24"/>
      <w:lang w:val="en-US" w:eastAsia="zh-CN" w:bidi="ar-SA"/>
    </w:rPr>
  </w:style>
  <w:style w:type="character" w:customStyle="1" w:styleId="3016">
    <w:name w:val="333333 Char Char"/>
    <w:link w:val="3017"/>
    <w:qFormat/>
    <w:uiPriority w:val="0"/>
    <w:rPr>
      <w:sz w:val="30"/>
      <w:szCs w:val="30"/>
      <w:lang w:val="zh-CN"/>
    </w:rPr>
  </w:style>
  <w:style w:type="paragraph" w:customStyle="1" w:styleId="3017">
    <w:name w:val="333333"/>
    <w:basedOn w:val="5"/>
    <w:link w:val="3016"/>
    <w:qFormat/>
    <w:uiPriority w:val="0"/>
    <w:pPr>
      <w:widowControl/>
      <w:tabs>
        <w:tab w:val="left" w:pos="360"/>
        <w:tab w:val="left" w:pos="425"/>
        <w:tab w:val="left" w:pos="709"/>
        <w:tab w:val="left" w:pos="1200"/>
      </w:tabs>
      <w:spacing w:before="50" w:beforeLines="50" w:after="0" w:afterLines="50" w:line="360" w:lineRule="auto"/>
      <w:ind w:hanging="200" w:hangingChars="200"/>
      <w:jc w:val="left"/>
    </w:pPr>
    <w:rPr>
      <w:b w:val="0"/>
      <w:bCs w:val="0"/>
      <w:kern w:val="0"/>
      <w:sz w:val="30"/>
      <w:szCs w:val="30"/>
      <w:lang w:val="zh-CN"/>
    </w:rPr>
  </w:style>
  <w:style w:type="character" w:customStyle="1" w:styleId="3018">
    <w:name w:val="正文＋西文 Char Char"/>
    <w:link w:val="3019"/>
    <w:qFormat/>
    <w:uiPriority w:val="0"/>
    <w:rPr>
      <w:rFonts w:hAnsi="宋体" w:eastAsia="仿宋_GB2312"/>
      <w:color w:val="000000"/>
      <w:sz w:val="28"/>
      <w:szCs w:val="24"/>
    </w:rPr>
  </w:style>
  <w:style w:type="paragraph" w:customStyle="1" w:styleId="3019">
    <w:name w:val="正文＋西文"/>
    <w:basedOn w:val="1"/>
    <w:link w:val="3018"/>
    <w:qFormat/>
    <w:uiPriority w:val="0"/>
    <w:pPr>
      <w:spacing w:line="490" w:lineRule="exact"/>
      <w:ind w:firstLine="240" w:firstLineChars="100"/>
    </w:pPr>
    <w:rPr>
      <w:rFonts w:hAnsi="宋体" w:eastAsia="仿宋_GB2312"/>
      <w:color w:val="000000"/>
      <w:kern w:val="0"/>
      <w:sz w:val="28"/>
    </w:rPr>
  </w:style>
  <w:style w:type="character" w:customStyle="1" w:styleId="3020">
    <w:name w:val="style111"/>
    <w:qFormat/>
    <w:uiPriority w:val="0"/>
    <w:rPr>
      <w:b/>
      <w:bCs/>
      <w:color w:val="FF0000"/>
    </w:rPr>
  </w:style>
  <w:style w:type="character" w:customStyle="1" w:styleId="3021">
    <w:name w:val="2222222 Char Char"/>
    <w:link w:val="3022"/>
    <w:qFormat/>
    <w:uiPriority w:val="0"/>
    <w:rPr>
      <w:rFonts w:ascii="Cambria" w:hAnsi="Cambria" w:eastAsia="黑体"/>
      <w:sz w:val="32"/>
      <w:szCs w:val="32"/>
      <w:lang w:val="zh-CN"/>
    </w:rPr>
  </w:style>
  <w:style w:type="paragraph" w:customStyle="1" w:styleId="3022">
    <w:name w:val="2222222"/>
    <w:basedOn w:val="4"/>
    <w:link w:val="3021"/>
    <w:qFormat/>
    <w:uiPriority w:val="0"/>
    <w:pPr>
      <w:widowControl/>
      <w:tabs>
        <w:tab w:val="left" w:pos="360"/>
        <w:tab w:val="left" w:pos="425"/>
        <w:tab w:val="left" w:pos="567"/>
      </w:tabs>
      <w:spacing w:before="0" w:after="0" w:line="360" w:lineRule="auto"/>
      <w:ind w:left="360" w:hanging="360" w:hangingChars="200"/>
      <w:jc w:val="left"/>
    </w:pPr>
    <w:rPr>
      <w:rFonts w:ascii="Cambria" w:hAnsi="Cambria" w:eastAsia="黑体"/>
      <w:b w:val="0"/>
      <w:bCs w:val="0"/>
      <w:kern w:val="0"/>
      <w:lang w:val="zh-CN"/>
    </w:rPr>
  </w:style>
  <w:style w:type="character" w:customStyle="1" w:styleId="3023">
    <w:name w:val="duan1"/>
    <w:qFormat/>
    <w:uiPriority w:val="0"/>
    <w:rPr>
      <w:rFonts w:hint="default" w:ascii="ˎ̥" w:hAnsi="ˎ̥"/>
      <w:sz w:val="20"/>
      <w:szCs w:val="20"/>
    </w:rPr>
  </w:style>
  <w:style w:type="character" w:customStyle="1" w:styleId="3024">
    <w:name w:val="页码1"/>
    <w:qFormat/>
    <w:uiPriority w:val="0"/>
  </w:style>
  <w:style w:type="character" w:customStyle="1" w:styleId="3025">
    <w:name w:val="样式 正文缩进s4 + 首行缩进:  2 字符 Char Char"/>
    <w:qFormat/>
    <w:uiPriority w:val="0"/>
    <w:rPr>
      <w:rFonts w:ascii="宋体" w:hAnsi="宋体" w:eastAsia="宋体" w:cs="宋体"/>
      <w:b/>
      <w:bCs/>
      <w:kern w:val="2"/>
      <w:sz w:val="24"/>
      <w:szCs w:val="32"/>
      <w:lang w:val="en-US" w:eastAsia="zh-CN"/>
    </w:rPr>
  </w:style>
  <w:style w:type="character" w:customStyle="1" w:styleId="3026">
    <w:name w:val="样式12q Char Char"/>
    <w:link w:val="3027"/>
    <w:qFormat/>
    <w:uiPriority w:val="0"/>
    <w:rPr>
      <w:sz w:val="28"/>
      <w:szCs w:val="28"/>
    </w:rPr>
  </w:style>
  <w:style w:type="paragraph" w:customStyle="1" w:styleId="3027">
    <w:name w:val="样式12q"/>
    <w:basedOn w:val="1"/>
    <w:link w:val="3026"/>
    <w:qFormat/>
    <w:uiPriority w:val="0"/>
    <w:pPr>
      <w:spacing w:line="360" w:lineRule="auto"/>
      <w:ind w:firstLine="560" w:firstLineChars="200"/>
    </w:pPr>
    <w:rPr>
      <w:kern w:val="0"/>
      <w:sz w:val="28"/>
      <w:szCs w:val="28"/>
    </w:rPr>
  </w:style>
  <w:style w:type="character" w:customStyle="1" w:styleId="3028">
    <w:name w:val="line21"/>
    <w:qFormat/>
    <w:uiPriority w:val="0"/>
    <w:rPr>
      <w:spacing w:val="240"/>
    </w:rPr>
  </w:style>
  <w:style w:type="character" w:customStyle="1" w:styleId="3029">
    <w:name w:val="批注引用1"/>
    <w:qFormat/>
    <w:uiPriority w:val="0"/>
    <w:rPr>
      <w:sz w:val="21"/>
      <w:szCs w:val="21"/>
    </w:rPr>
  </w:style>
  <w:style w:type="character" w:customStyle="1" w:styleId="3030">
    <w:name w:val="标题 41"/>
    <w:qFormat/>
    <w:uiPriority w:val="0"/>
    <w:rPr>
      <w:rFonts w:eastAsia="宋体"/>
      <w:sz w:val="24"/>
      <w:lang w:val="en-US" w:eastAsia="zh-CN"/>
    </w:rPr>
  </w:style>
  <w:style w:type="character" w:customStyle="1" w:styleId="3031">
    <w:name w:val="行号1"/>
    <w:qFormat/>
    <w:uiPriority w:val="0"/>
  </w:style>
  <w:style w:type="character" w:customStyle="1" w:styleId="3032">
    <w:name w:val="Message Header Label"/>
    <w:qFormat/>
    <w:uiPriority w:val="0"/>
    <w:rPr>
      <w:rFonts w:ascii="Arial Black" w:hAnsi="Arial Black"/>
      <w:sz w:val="18"/>
    </w:rPr>
  </w:style>
  <w:style w:type="character" w:customStyle="1" w:styleId="3033">
    <w:name w:val="表 Char Char"/>
    <w:qFormat/>
    <w:uiPriority w:val="0"/>
    <w:rPr>
      <w:rFonts w:ascii="宋体"/>
      <w:color w:val="000000"/>
    </w:rPr>
  </w:style>
  <w:style w:type="character" w:customStyle="1" w:styleId="3034">
    <w:name w:val="正文22 Char Char"/>
    <w:link w:val="3035"/>
    <w:qFormat/>
    <w:uiPriority w:val="0"/>
    <w:rPr>
      <w:sz w:val="24"/>
      <w:szCs w:val="24"/>
    </w:rPr>
  </w:style>
  <w:style w:type="paragraph" w:customStyle="1" w:styleId="3035">
    <w:name w:val="正文22"/>
    <w:basedOn w:val="1"/>
    <w:link w:val="3034"/>
    <w:qFormat/>
    <w:uiPriority w:val="0"/>
    <w:pPr>
      <w:adjustRightInd w:val="0"/>
      <w:spacing w:line="360" w:lineRule="auto"/>
      <w:ind w:firstLine="510"/>
      <w:jc w:val="left"/>
      <w:textAlignment w:val="center"/>
    </w:pPr>
    <w:rPr>
      <w:kern w:val="0"/>
      <w:sz w:val="24"/>
    </w:rPr>
  </w:style>
  <w:style w:type="character" w:customStyle="1" w:styleId="3036">
    <w:name w:val="样式 标题 1 Char Char"/>
    <w:link w:val="3037"/>
    <w:qFormat/>
    <w:uiPriority w:val="0"/>
    <w:rPr>
      <w:rFonts w:ascii="Calibri" w:hAnsi="Calibri" w:eastAsia="黑体"/>
      <w:bCs/>
      <w:kern w:val="44"/>
      <w:sz w:val="32"/>
    </w:rPr>
  </w:style>
  <w:style w:type="paragraph" w:customStyle="1" w:styleId="3037">
    <w:name w:val="样式 标题 1"/>
    <w:basedOn w:val="3"/>
    <w:link w:val="3036"/>
    <w:qFormat/>
    <w:uiPriority w:val="0"/>
    <w:pPr>
      <w:keepNext/>
      <w:keepLines/>
      <w:tabs>
        <w:tab w:val="left" w:pos="786"/>
      </w:tabs>
      <w:adjustRightInd/>
      <w:spacing w:line="360" w:lineRule="auto"/>
      <w:jc w:val="both"/>
    </w:pPr>
    <w:rPr>
      <w:rFonts w:ascii="Calibri" w:hAnsi="Calibri" w:eastAsia="黑体"/>
      <w:b w:val="0"/>
      <w:szCs w:val="20"/>
    </w:rPr>
  </w:style>
  <w:style w:type="character" w:customStyle="1" w:styleId="3038">
    <w:name w:val="样式 样式 左侧:  0.98 厘米 + 首行缩进:  2 字符 Char1"/>
    <w:link w:val="3039"/>
    <w:qFormat/>
    <w:uiPriority w:val="0"/>
    <w:rPr>
      <w:rFonts w:ascii="宋体" w:hAnsi="宋体"/>
      <w:sz w:val="24"/>
    </w:rPr>
  </w:style>
  <w:style w:type="paragraph" w:customStyle="1" w:styleId="3039">
    <w:name w:val="样式 样式 左侧:  0.98 厘米 + 首行缩进:  2 字符"/>
    <w:basedOn w:val="1"/>
    <w:link w:val="3038"/>
    <w:qFormat/>
    <w:uiPriority w:val="0"/>
    <w:pPr>
      <w:adjustRightInd w:val="0"/>
      <w:snapToGrid w:val="0"/>
      <w:spacing w:line="490" w:lineRule="exact"/>
      <w:ind w:firstLine="480" w:firstLineChars="200"/>
    </w:pPr>
    <w:rPr>
      <w:rFonts w:ascii="宋体" w:hAnsi="宋体"/>
      <w:kern w:val="0"/>
      <w:sz w:val="24"/>
      <w:szCs w:val="20"/>
    </w:rPr>
  </w:style>
  <w:style w:type="character" w:customStyle="1" w:styleId="3040">
    <w:name w:val="pt121"/>
    <w:qFormat/>
    <w:uiPriority w:val="0"/>
    <w:rPr>
      <w:rFonts w:hint="eastAsia" w:ascii="宋体" w:hAnsi="宋体" w:eastAsia="宋体"/>
      <w:sz w:val="24"/>
      <w:szCs w:val="24"/>
    </w:rPr>
  </w:style>
  <w:style w:type="character" w:customStyle="1" w:styleId="3041">
    <w:name w:val="222222 Char Char"/>
    <w:link w:val="3042"/>
    <w:qFormat/>
    <w:uiPriority w:val="0"/>
    <w:rPr>
      <w:rFonts w:ascii="Cambria" w:hAnsi="Cambria" w:eastAsia="黑体"/>
      <w:b/>
      <w:sz w:val="32"/>
      <w:szCs w:val="32"/>
    </w:rPr>
  </w:style>
  <w:style w:type="paragraph" w:customStyle="1" w:styleId="3042">
    <w:name w:val="222222"/>
    <w:basedOn w:val="3022"/>
    <w:link w:val="3041"/>
    <w:qFormat/>
    <w:uiPriority w:val="0"/>
    <w:rPr>
      <w:b/>
      <w:lang w:val="en-US"/>
    </w:rPr>
  </w:style>
  <w:style w:type="character" w:customStyle="1" w:styleId="3043">
    <w:name w:val="hxq正文 Char Char"/>
    <w:link w:val="3044"/>
    <w:qFormat/>
    <w:uiPriority w:val="0"/>
    <w:rPr>
      <w:sz w:val="24"/>
    </w:rPr>
  </w:style>
  <w:style w:type="paragraph" w:customStyle="1" w:styleId="3044">
    <w:name w:val="hxq正文"/>
    <w:basedOn w:val="1"/>
    <w:link w:val="3043"/>
    <w:qFormat/>
    <w:uiPriority w:val="0"/>
    <w:pPr>
      <w:spacing w:line="360" w:lineRule="auto"/>
      <w:ind w:firstLine="200" w:firstLineChars="200"/>
    </w:pPr>
    <w:rPr>
      <w:kern w:val="0"/>
      <w:sz w:val="24"/>
      <w:szCs w:val="20"/>
    </w:rPr>
  </w:style>
  <w:style w:type="character" w:customStyle="1" w:styleId="3045">
    <w:name w:val="blue"/>
    <w:qFormat/>
    <w:uiPriority w:val="0"/>
  </w:style>
  <w:style w:type="character" w:customStyle="1" w:styleId="3046">
    <w:name w:val="普通文字 Char Char Char Char Char Char Char Char Char Char Char"/>
    <w:qFormat/>
    <w:uiPriority w:val="0"/>
    <w:rPr>
      <w:rFonts w:ascii="宋体" w:hAnsi="Courier New" w:eastAsia="宋体"/>
      <w:kern w:val="2"/>
      <w:sz w:val="21"/>
      <w:lang w:val="en-US" w:eastAsia="zh-CN"/>
    </w:rPr>
  </w:style>
  <w:style w:type="character" w:customStyle="1" w:styleId="3047">
    <w:name w:val="a21"/>
    <w:qFormat/>
    <w:uiPriority w:val="0"/>
    <w:rPr>
      <w:rFonts w:hint="default" w:ascii="Geneva" w:hAnsi="Geneva"/>
      <w:color w:val="000000"/>
      <w:sz w:val="23"/>
      <w:szCs w:val="23"/>
      <w:u w:val="none"/>
    </w:rPr>
  </w:style>
  <w:style w:type="character" w:customStyle="1" w:styleId="3048">
    <w:name w:val="xiaodong1"/>
    <w:qFormat/>
    <w:uiPriority w:val="0"/>
    <w:rPr>
      <w:sz w:val="22"/>
      <w:szCs w:val="22"/>
    </w:rPr>
  </w:style>
  <w:style w:type="character" w:customStyle="1" w:styleId="3049">
    <w:name w:val="style101"/>
    <w:qFormat/>
    <w:uiPriority w:val="0"/>
    <w:rPr>
      <w:sz w:val="21"/>
      <w:szCs w:val="21"/>
    </w:rPr>
  </w:style>
  <w:style w:type="character" w:customStyle="1" w:styleId="3050">
    <w:name w:val="style131"/>
    <w:qFormat/>
    <w:uiPriority w:val="0"/>
    <w:rPr>
      <w:color w:val="FF0000"/>
    </w:rPr>
  </w:style>
  <w:style w:type="character" w:customStyle="1" w:styleId="3051">
    <w:name w:val="批注主题 Char1"/>
    <w:qFormat/>
    <w:uiPriority w:val="0"/>
    <w:rPr>
      <w:rFonts w:ascii="Times New Roman" w:hAnsi="Times New Roman" w:eastAsia="宋体" w:cs="Times New Roman"/>
      <w:b/>
      <w:bCs/>
      <w:szCs w:val="20"/>
    </w:rPr>
  </w:style>
  <w:style w:type="character" w:customStyle="1" w:styleId="3052">
    <w:name w:val="style141"/>
    <w:qFormat/>
    <w:uiPriority w:val="0"/>
    <w:rPr>
      <w:sz w:val="27"/>
      <w:szCs w:val="27"/>
    </w:rPr>
  </w:style>
  <w:style w:type="character" w:customStyle="1" w:styleId="3053">
    <w:name w:val="样式 样式 正文缩进s4 + 首行缩进:  2 字符 + 首行缩进:  2 字符 Char Char"/>
    <w:qFormat/>
    <w:uiPriority w:val="0"/>
    <w:rPr>
      <w:rFonts w:ascii="宋体" w:hAnsi="宋体" w:eastAsia="仿宋_GB2312" w:cs="宋体"/>
      <w:b/>
      <w:bCs/>
      <w:kern w:val="2"/>
      <w:sz w:val="28"/>
      <w:szCs w:val="32"/>
      <w:lang w:val="en-US" w:eastAsia="zh-CN"/>
    </w:rPr>
  </w:style>
  <w:style w:type="character" w:customStyle="1" w:styleId="3054">
    <w:name w:val="pt11"/>
    <w:qFormat/>
    <w:uiPriority w:val="0"/>
    <w:rPr>
      <w:rFonts w:ascii="宋体" w:hAnsi="宋体" w:eastAsia="宋体" w:cs="宋体"/>
      <w:b/>
      <w:bCs/>
      <w:kern w:val="44"/>
      <w:sz w:val="32"/>
      <w:szCs w:val="32"/>
      <w:lang w:val="en-US" w:eastAsia="zh-CN"/>
    </w:rPr>
  </w:style>
  <w:style w:type="character" w:customStyle="1" w:styleId="3055">
    <w:name w:val="pt10-2"/>
    <w:qFormat/>
    <w:uiPriority w:val="0"/>
    <w:rPr>
      <w:rFonts w:ascii="宋体" w:hAnsi="宋体" w:eastAsia="宋体" w:cs="宋体"/>
      <w:b/>
      <w:bCs/>
      <w:kern w:val="44"/>
      <w:sz w:val="32"/>
      <w:szCs w:val="32"/>
      <w:lang w:val="en-US" w:eastAsia="zh-CN"/>
    </w:rPr>
  </w:style>
  <w:style w:type="character" w:customStyle="1" w:styleId="3056">
    <w:name w:val="docpro"/>
    <w:qFormat/>
    <w:uiPriority w:val="0"/>
  </w:style>
  <w:style w:type="character" w:customStyle="1" w:styleId="3057">
    <w:name w:val="样式 表格 + Times New Roman Char Char"/>
    <w:link w:val="3058"/>
    <w:qFormat/>
    <w:uiPriority w:val="0"/>
    <w:rPr>
      <w:rFonts w:ascii="Arial" w:hAnsi="Arial"/>
      <w:snapToGrid w:val="0"/>
      <w:szCs w:val="21"/>
    </w:rPr>
  </w:style>
  <w:style w:type="paragraph" w:customStyle="1" w:styleId="3058">
    <w:name w:val="样式 表格 + Times New Roman"/>
    <w:basedOn w:val="1"/>
    <w:link w:val="3057"/>
    <w:qFormat/>
    <w:uiPriority w:val="0"/>
    <w:pPr>
      <w:adjustRightInd w:val="0"/>
      <w:snapToGrid w:val="0"/>
      <w:spacing w:before="100" w:beforeAutospacing="1" w:after="100" w:afterAutospacing="1"/>
      <w:jc w:val="center"/>
    </w:pPr>
    <w:rPr>
      <w:rFonts w:ascii="Arial" w:hAnsi="Arial"/>
      <w:snapToGrid w:val="0"/>
      <w:kern w:val="0"/>
      <w:sz w:val="20"/>
      <w:szCs w:val="21"/>
    </w:rPr>
  </w:style>
  <w:style w:type="character" w:customStyle="1" w:styleId="3059">
    <w:name w:val="style51"/>
    <w:qFormat/>
    <w:uiPriority w:val="0"/>
    <w:rPr>
      <w:b/>
      <w:bCs/>
      <w:color w:val="000066"/>
      <w:sz w:val="40"/>
      <w:szCs w:val="40"/>
    </w:rPr>
  </w:style>
  <w:style w:type="character" w:customStyle="1" w:styleId="3060">
    <w:name w:val="HTML 引文1"/>
    <w:qFormat/>
    <w:uiPriority w:val="0"/>
    <w:rPr>
      <w:i/>
      <w:iCs/>
    </w:rPr>
  </w:style>
  <w:style w:type="character" w:customStyle="1" w:styleId="3061">
    <w:name w:val="33333 Char Char"/>
    <w:link w:val="3062"/>
    <w:qFormat/>
    <w:uiPriority w:val="0"/>
    <w:rPr>
      <w:sz w:val="30"/>
      <w:szCs w:val="30"/>
      <w:lang w:val="zh-CN"/>
    </w:rPr>
  </w:style>
  <w:style w:type="paragraph" w:customStyle="1" w:styleId="3062">
    <w:name w:val="33333"/>
    <w:basedOn w:val="5"/>
    <w:link w:val="3061"/>
    <w:qFormat/>
    <w:uiPriority w:val="0"/>
    <w:pPr>
      <w:widowControl/>
      <w:tabs>
        <w:tab w:val="left" w:pos="425"/>
        <w:tab w:val="left" w:pos="709"/>
        <w:tab w:val="left" w:pos="1200"/>
      </w:tabs>
      <w:spacing w:before="50" w:beforeLines="50" w:after="0" w:afterLines="50" w:line="360" w:lineRule="auto"/>
      <w:ind w:left="567" w:hanging="567"/>
    </w:pPr>
    <w:rPr>
      <w:b w:val="0"/>
      <w:bCs w:val="0"/>
      <w:kern w:val="0"/>
      <w:sz w:val="30"/>
      <w:szCs w:val="30"/>
      <w:lang w:val="zh-CN"/>
    </w:rPr>
  </w:style>
  <w:style w:type="character" w:customStyle="1" w:styleId="3063">
    <w:name w:val="Char Char3 Char Char Char Char Char Char4"/>
    <w:link w:val="3064"/>
    <w:qFormat/>
    <w:uiPriority w:val="0"/>
    <w:rPr>
      <w:rFonts w:ascii="Calibri" w:hAnsi="Calibri"/>
      <w:sz w:val="24"/>
      <w:szCs w:val="24"/>
    </w:rPr>
  </w:style>
  <w:style w:type="paragraph" w:customStyle="1" w:styleId="3064">
    <w:name w:val="Char Char3 Char Char Char Char4"/>
    <w:basedOn w:val="1"/>
    <w:link w:val="3063"/>
    <w:qFormat/>
    <w:uiPriority w:val="0"/>
    <w:pPr>
      <w:spacing w:line="360" w:lineRule="auto"/>
      <w:ind w:firstLine="200" w:firstLineChars="200"/>
    </w:pPr>
    <w:rPr>
      <w:rFonts w:ascii="Calibri" w:hAnsi="Calibri"/>
      <w:kern w:val="0"/>
      <w:sz w:val="24"/>
    </w:rPr>
  </w:style>
  <w:style w:type="character" w:customStyle="1" w:styleId="3065">
    <w:name w:val="style-content"/>
    <w:qFormat/>
    <w:uiPriority w:val="0"/>
  </w:style>
  <w:style w:type="character" w:customStyle="1" w:styleId="3066">
    <w:name w:val="hseHeading 3 Char1"/>
    <w:qFormat/>
    <w:uiPriority w:val="0"/>
    <w:rPr>
      <w:rFonts w:ascii="Arial" w:hAnsi="Arial" w:eastAsia="宋体"/>
      <w:color w:val="000000"/>
      <w:kern w:val="2"/>
      <w:sz w:val="24"/>
      <w:lang w:val="en-US" w:eastAsia="zh-CN"/>
    </w:rPr>
  </w:style>
  <w:style w:type="paragraph" w:customStyle="1" w:styleId="3067">
    <w:name w:val="正文(首行缩进2字）"/>
    <w:basedOn w:val="1"/>
    <w:qFormat/>
    <w:uiPriority w:val="0"/>
    <w:pPr>
      <w:spacing w:line="360" w:lineRule="auto"/>
      <w:ind w:firstLine="480" w:firstLineChars="200"/>
    </w:pPr>
    <w:rPr>
      <w:rFonts w:ascii="Arial" w:hAnsi="Arial" w:cs="Arial"/>
      <w:sz w:val="24"/>
    </w:rPr>
  </w:style>
  <w:style w:type="paragraph" w:customStyle="1" w:styleId="3068">
    <w:name w:val="样式 标题 4L4款标题款标题1.1.1.1 + (西文) Times New Roman (中文) 宋体 加粗 段...1"/>
    <w:basedOn w:val="6"/>
    <w:qFormat/>
    <w:uiPriority w:val="0"/>
    <w:pPr>
      <w:tabs>
        <w:tab w:val="left" w:pos="578"/>
      </w:tabs>
      <w:adjustRightInd w:val="0"/>
      <w:snapToGrid w:val="0"/>
      <w:spacing w:before="60" w:beforeLines="50" w:after="60" w:afterLines="50" w:line="500" w:lineRule="atLeast"/>
    </w:pPr>
    <w:rPr>
      <w:rFonts w:ascii="Calibri" w:hAnsi="Calibri" w:eastAsia="宋体" w:cs="宋体"/>
      <w:snapToGrid w:val="0"/>
      <w:color w:val="FF0000"/>
      <w:szCs w:val="20"/>
      <w:lang w:val="zh-CN"/>
    </w:rPr>
  </w:style>
  <w:style w:type="paragraph" w:customStyle="1" w:styleId="3069">
    <w:name w:val="样式 表格 + 居中 左侧:  0.98 厘米"/>
    <w:basedOn w:val="223"/>
    <w:qFormat/>
    <w:uiPriority w:val="0"/>
    <w:pPr>
      <w:adjustRightInd w:val="0"/>
      <w:snapToGrid w:val="0"/>
      <w:spacing w:before="100" w:beforeAutospacing="1" w:after="100" w:afterAutospacing="1" w:line="240" w:lineRule="atLeast"/>
      <w:ind w:left="560" w:leftChars="200"/>
      <w:textAlignment w:val="auto"/>
    </w:pPr>
    <w:rPr>
      <w:rFonts w:ascii="Arial" w:hAnsi="Arial" w:cstheme="minorBidi"/>
      <w:sz w:val="20"/>
      <w:lang w:val="zh-CN"/>
    </w:rPr>
  </w:style>
  <w:style w:type="paragraph" w:customStyle="1" w:styleId="3070">
    <w:name w:val="_Style 392"/>
    <w:next w:val="1"/>
    <w:uiPriority w:val="0"/>
    <w:pPr>
      <w:widowControl w:val="0"/>
      <w:jc w:val="both"/>
    </w:pPr>
    <w:rPr>
      <w:rFonts w:ascii="Times New Roman" w:hAnsi="Times New Roman" w:eastAsia="宋体" w:cs="Times New Roman"/>
      <w:lang w:val="en-US" w:eastAsia="zh-CN" w:bidi="ar-SA"/>
    </w:rPr>
  </w:style>
  <w:style w:type="paragraph" w:customStyle="1" w:styleId="3071">
    <w:name w:val="正文首行缩进1"/>
    <w:basedOn w:val="34"/>
    <w:qFormat/>
    <w:uiPriority w:val="0"/>
    <w:pPr>
      <w:adjustRightInd w:val="0"/>
      <w:spacing w:line="312" w:lineRule="atLeast"/>
      <w:ind w:firstLine="420"/>
      <w:textAlignment w:val="baseline"/>
    </w:pPr>
    <w:rPr>
      <w:kern w:val="0"/>
      <w:sz w:val="24"/>
      <w:szCs w:val="20"/>
      <w:lang w:val="zh-CN"/>
    </w:rPr>
  </w:style>
  <w:style w:type="paragraph" w:customStyle="1" w:styleId="3072">
    <w:name w:val="6 Char Char Char Char Char Char"/>
    <w:basedOn w:val="1"/>
    <w:qFormat/>
    <w:uiPriority w:val="0"/>
  </w:style>
  <w:style w:type="paragraph" w:customStyle="1" w:styleId="3073">
    <w:name w:val="Char1 Char Char Char Char Char Char Char Char Char"/>
    <w:basedOn w:val="1"/>
    <w:qFormat/>
    <w:uiPriority w:val="0"/>
    <w:pPr>
      <w:spacing w:line="360" w:lineRule="auto"/>
    </w:pPr>
    <w:rPr>
      <w:rFonts w:ascii="宋体" w:hAnsi="宋体" w:cs="宋体"/>
      <w:sz w:val="24"/>
    </w:rPr>
  </w:style>
  <w:style w:type="paragraph" w:customStyle="1" w:styleId="3074">
    <w:name w:val="正文首行缩进 21"/>
    <w:basedOn w:val="893"/>
    <w:qFormat/>
    <w:uiPriority w:val="0"/>
    <w:pPr>
      <w:ind w:firstLine="420" w:firstLineChars="200"/>
      <w:jc w:val="left"/>
    </w:pPr>
    <w:rPr>
      <w:rFonts w:asciiTheme="minorHAnsi" w:hAnsiTheme="minorHAnsi" w:eastAsiaTheme="minorEastAsia" w:cstheme="minorBidi"/>
      <w:kern w:val="2"/>
      <w:sz w:val="21"/>
      <w:szCs w:val="22"/>
    </w:rPr>
  </w:style>
  <w:style w:type="paragraph" w:customStyle="1" w:styleId="3075">
    <w:name w:val="文档结构图1"/>
    <w:basedOn w:val="1"/>
    <w:qFormat/>
    <w:uiPriority w:val="0"/>
    <w:pPr>
      <w:shd w:val="clear" w:color="auto" w:fill="000080"/>
    </w:pPr>
    <w:rPr>
      <w:rFonts w:eastAsia="Times New Roman"/>
      <w:szCs w:val="20"/>
      <w:shd w:val="clear" w:color="auto" w:fill="000080"/>
    </w:rPr>
  </w:style>
  <w:style w:type="paragraph" w:customStyle="1" w:styleId="3076">
    <w:name w:val="注释标题1"/>
    <w:basedOn w:val="1"/>
    <w:next w:val="1"/>
    <w:qFormat/>
    <w:uiPriority w:val="0"/>
    <w:pPr>
      <w:jc w:val="center"/>
    </w:pPr>
    <w:rPr>
      <w:kern w:val="0"/>
      <w:sz w:val="20"/>
      <w:lang w:val="zh-CN"/>
    </w:rPr>
  </w:style>
  <w:style w:type="paragraph" w:customStyle="1" w:styleId="3077">
    <w:name w:val="批注主题1"/>
    <w:basedOn w:val="28"/>
    <w:next w:val="28"/>
    <w:qFormat/>
    <w:uiPriority w:val="0"/>
    <w:rPr>
      <w:b/>
      <w:bCs/>
      <w:kern w:val="0"/>
      <w:sz w:val="24"/>
      <w:szCs w:val="20"/>
      <w:lang w:val="zh-CN"/>
    </w:rPr>
  </w:style>
  <w:style w:type="paragraph" w:customStyle="1" w:styleId="3078">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lang w:val="zh-CN"/>
    </w:rPr>
  </w:style>
  <w:style w:type="paragraph" w:customStyle="1" w:styleId="3079">
    <w:name w:val="正文文本 31"/>
    <w:basedOn w:val="1"/>
    <w:qFormat/>
    <w:uiPriority w:val="0"/>
    <w:pPr>
      <w:adjustRightInd w:val="0"/>
      <w:spacing w:after="120" w:line="460" w:lineRule="exact"/>
      <w:ind w:firstLine="510"/>
      <w:jc w:val="left"/>
      <w:textAlignment w:val="baseline"/>
    </w:pPr>
    <w:rPr>
      <w:kern w:val="0"/>
      <w:sz w:val="16"/>
      <w:szCs w:val="16"/>
      <w:lang w:val="zh-CN"/>
    </w:rPr>
  </w:style>
  <w:style w:type="paragraph" w:customStyle="1" w:styleId="3080">
    <w:name w:val="表号文字"/>
    <w:basedOn w:val="1"/>
    <w:qFormat/>
    <w:uiPriority w:val="0"/>
    <w:pPr>
      <w:adjustRightInd w:val="0"/>
      <w:snapToGrid w:val="0"/>
      <w:spacing w:before="120" w:line="300" w:lineRule="auto"/>
      <w:jc w:val="left"/>
    </w:pPr>
    <w:rPr>
      <w:rFonts w:eastAsia="黑体"/>
      <w:sz w:val="24"/>
    </w:rPr>
  </w:style>
  <w:style w:type="paragraph" w:customStyle="1" w:styleId="3081">
    <w:name w:val="信息标题1"/>
    <w:basedOn w:val="34"/>
    <w:qFormat/>
    <w:uiPriority w:val="0"/>
    <w:pPr>
      <w:keepLines/>
      <w:widowControl/>
      <w:tabs>
        <w:tab w:val="left" w:pos="720"/>
        <w:tab w:val="left" w:pos="4320"/>
        <w:tab w:val="left" w:pos="5040"/>
        <w:tab w:val="right" w:pos="8640"/>
      </w:tabs>
      <w:spacing w:after="40" w:line="440" w:lineRule="atLeast"/>
      <w:ind w:left="720" w:hanging="720"/>
      <w:jc w:val="left"/>
    </w:pPr>
    <w:rPr>
      <w:rFonts w:ascii="Arial" w:hAnsi="Arial"/>
      <w:spacing w:val="-5"/>
      <w:kern w:val="0"/>
      <w:sz w:val="20"/>
      <w:szCs w:val="20"/>
      <w:lang w:val="zh-CN"/>
    </w:rPr>
  </w:style>
  <w:style w:type="paragraph" w:customStyle="1" w:styleId="3082">
    <w:name w:val="节标题（科宏）"/>
    <w:next w:val="1"/>
    <w:qFormat/>
    <w:uiPriority w:val="0"/>
    <w:pPr>
      <w:widowControl w:val="0"/>
      <w:spacing w:before="156" w:beforeLines="50" w:after="156" w:afterLines="50" w:line="360" w:lineRule="auto"/>
      <w:jc w:val="center"/>
      <w:outlineLvl w:val="1"/>
    </w:pPr>
    <w:rPr>
      <w:rFonts w:ascii="Arial" w:hAnsi="Arial" w:eastAsia="仿宋_GB2312" w:cs="Times New Roman"/>
      <w:b/>
      <w:sz w:val="30"/>
      <w:lang w:val="en-US" w:eastAsia="zh-CN" w:bidi="ar-SA"/>
    </w:rPr>
  </w:style>
  <w:style w:type="paragraph" w:customStyle="1" w:styleId="3083">
    <w:name w:val="style8"/>
    <w:basedOn w:val="1"/>
    <w:qFormat/>
    <w:uiPriority w:val="0"/>
    <w:pPr>
      <w:widowControl/>
      <w:spacing w:before="100" w:beforeAutospacing="1" w:after="100" w:afterAutospacing="1"/>
      <w:ind w:firstLine="480"/>
      <w:jc w:val="left"/>
    </w:pPr>
    <w:rPr>
      <w:rFonts w:ascii="宋体" w:hAnsi="宋体" w:cs="宋体"/>
      <w:kern w:val="0"/>
      <w:sz w:val="24"/>
    </w:rPr>
  </w:style>
  <w:style w:type="paragraph" w:customStyle="1" w:styleId="3084">
    <w:name w:val="正文110"/>
    <w:basedOn w:val="1"/>
    <w:qFormat/>
    <w:uiPriority w:val="0"/>
    <w:pPr>
      <w:adjustRightInd w:val="0"/>
      <w:spacing w:line="360" w:lineRule="auto"/>
      <w:ind w:firstLine="480" w:firstLineChars="200"/>
      <w:jc w:val="left"/>
    </w:pPr>
    <w:rPr>
      <w:sz w:val="24"/>
    </w:rPr>
  </w:style>
  <w:style w:type="paragraph" w:customStyle="1" w:styleId="3085">
    <w:name w:val="样式 Times New Roman 行距: 1.5 倍行距"/>
    <w:basedOn w:val="1"/>
    <w:qFormat/>
    <w:uiPriority w:val="0"/>
    <w:pPr>
      <w:spacing w:line="360" w:lineRule="auto"/>
      <w:ind w:firstLine="480" w:firstLineChars="200"/>
    </w:pPr>
    <w:rPr>
      <w:rFonts w:cs="宋体"/>
      <w:kern w:val="24"/>
      <w:sz w:val="28"/>
      <w:szCs w:val="28"/>
    </w:rPr>
  </w:style>
  <w:style w:type="paragraph" w:customStyle="1" w:styleId="3086">
    <w:name w:val="样式 标题 2节标题 1.1 + 非加粗"/>
    <w:basedOn w:val="5"/>
    <w:next w:val="5"/>
    <w:qFormat/>
    <w:uiPriority w:val="0"/>
    <w:pPr>
      <w:tabs>
        <w:tab w:val="left" w:pos="709"/>
      </w:tabs>
      <w:snapToGrid w:val="0"/>
      <w:spacing w:before="120" w:beforeLines="50" w:after="0" w:afterLines="50" w:line="520" w:lineRule="exact"/>
      <w:ind w:left="709" w:hanging="709"/>
    </w:pPr>
    <w:rPr>
      <w:rFonts w:eastAsia="仿宋_GB2312"/>
      <w:snapToGrid w:val="0"/>
      <w:kern w:val="0"/>
      <w:sz w:val="28"/>
      <w:szCs w:val="28"/>
      <w:lang w:val="zh-CN"/>
    </w:rPr>
  </w:style>
  <w:style w:type="paragraph" w:customStyle="1" w:styleId="3087">
    <w:name w:val="表小四左"/>
    <w:basedOn w:val="1"/>
    <w:qFormat/>
    <w:uiPriority w:val="0"/>
    <w:pPr>
      <w:tabs>
        <w:tab w:val="left" w:pos="0"/>
      </w:tabs>
      <w:overflowPunct w:val="0"/>
      <w:topLinePunct/>
      <w:adjustRightInd w:val="0"/>
      <w:snapToGrid w:val="0"/>
      <w:spacing w:after="60" w:line="400" w:lineRule="exact"/>
      <w:jc w:val="left"/>
      <w:textAlignment w:val="center"/>
    </w:pPr>
    <w:rPr>
      <w:rFonts w:ascii="楷体_GB2312" w:hAnsi="Arial" w:eastAsia="仿宋_GB2312"/>
      <w:szCs w:val="21"/>
    </w:rPr>
  </w:style>
  <w:style w:type="paragraph" w:customStyle="1" w:styleId="3088">
    <w:name w:val="表左_小四"/>
    <w:basedOn w:val="1732"/>
    <w:qFormat/>
    <w:uiPriority w:val="0"/>
    <w:pPr>
      <w:keepNext w:val="0"/>
      <w:spacing w:line="160" w:lineRule="atLeast"/>
      <w:ind w:hanging="23"/>
      <w:jc w:val="left"/>
      <w:textAlignment w:val="top"/>
    </w:pPr>
    <w:rPr>
      <w:rFonts w:cs="宋体"/>
      <w:b/>
      <w:spacing w:val="20"/>
      <w:position w:val="-12"/>
      <w:szCs w:val="20"/>
    </w:rPr>
  </w:style>
  <w:style w:type="paragraph" w:customStyle="1" w:styleId="3089">
    <w:name w:val="Char8 Char Char Char"/>
    <w:basedOn w:val="1"/>
    <w:qFormat/>
    <w:uiPriority w:val="0"/>
    <w:pPr>
      <w:spacing w:line="360" w:lineRule="auto"/>
      <w:ind w:firstLine="200" w:firstLineChars="200"/>
    </w:pPr>
    <w:rPr>
      <w:rFonts w:ascii="宋体" w:hAnsi="宋体" w:cs="宋体"/>
      <w:sz w:val="24"/>
    </w:rPr>
  </w:style>
  <w:style w:type="paragraph" w:customStyle="1" w:styleId="3090">
    <w:name w:val="图表目录1"/>
    <w:basedOn w:val="1"/>
    <w:next w:val="1"/>
    <w:qFormat/>
    <w:uiPriority w:val="0"/>
    <w:pPr>
      <w:tabs>
        <w:tab w:val="left" w:pos="510"/>
      </w:tabs>
      <w:adjustRightInd w:val="0"/>
      <w:spacing w:line="240" w:lineRule="atLeast"/>
      <w:jc w:val="left"/>
      <w:textAlignment w:val="baseline"/>
    </w:pPr>
    <w:rPr>
      <w:kern w:val="0"/>
      <w:sz w:val="24"/>
      <w:szCs w:val="20"/>
    </w:rPr>
  </w:style>
  <w:style w:type="paragraph" w:customStyle="1" w:styleId="3091">
    <w:name w:val="列表3"/>
    <w:basedOn w:val="1"/>
    <w:qFormat/>
    <w:uiPriority w:val="0"/>
    <w:pPr>
      <w:ind w:left="420" w:hanging="420"/>
    </w:pPr>
    <w:rPr>
      <w:szCs w:val="20"/>
    </w:rPr>
  </w:style>
  <w:style w:type="paragraph" w:customStyle="1" w:styleId="3092">
    <w:name w:val="列表 31"/>
    <w:basedOn w:val="1"/>
    <w:qFormat/>
    <w:uiPriority w:val="0"/>
    <w:pPr>
      <w:ind w:left="1260" w:hanging="420"/>
    </w:pPr>
    <w:rPr>
      <w:sz w:val="28"/>
      <w:szCs w:val="20"/>
    </w:rPr>
  </w:style>
  <w:style w:type="paragraph" w:customStyle="1" w:styleId="3093">
    <w:name w:val="列表接续 31"/>
    <w:basedOn w:val="1"/>
    <w:qFormat/>
    <w:uiPriority w:val="0"/>
    <w:pPr>
      <w:spacing w:after="120"/>
      <w:ind w:left="1260"/>
    </w:pPr>
    <w:rPr>
      <w:sz w:val="28"/>
      <w:szCs w:val="20"/>
    </w:rPr>
  </w:style>
  <w:style w:type="paragraph" w:customStyle="1" w:styleId="3094">
    <w:name w:val="索引标题1"/>
    <w:basedOn w:val="1"/>
    <w:next w:val="2344"/>
    <w:qFormat/>
    <w:uiPriority w:val="0"/>
    <w:pPr>
      <w:adjustRightInd w:val="0"/>
      <w:spacing w:line="460" w:lineRule="exact"/>
      <w:ind w:firstLine="510"/>
      <w:jc w:val="left"/>
      <w:textAlignment w:val="baseline"/>
    </w:pPr>
    <w:rPr>
      <w:kern w:val="0"/>
      <w:sz w:val="24"/>
    </w:rPr>
  </w:style>
  <w:style w:type="paragraph" w:customStyle="1" w:styleId="3095">
    <w:name w:val="6 Char Char Char Char Char Char1 Char Char Char Char Char Char Char Char Char Char"/>
    <w:basedOn w:val="1"/>
    <w:qFormat/>
    <w:uiPriority w:val="0"/>
  </w:style>
  <w:style w:type="paragraph" w:customStyle="1" w:styleId="3096">
    <w:name w:val="支标题 a)"/>
    <w:basedOn w:val="1"/>
    <w:next w:val="1"/>
    <w:qFormat/>
    <w:uiPriority w:val="0"/>
    <w:pPr>
      <w:tabs>
        <w:tab w:val="left" w:pos="510"/>
        <w:tab w:val="left" w:pos="1097"/>
      </w:tabs>
      <w:adjustRightInd w:val="0"/>
      <w:spacing w:before="120" w:after="120" w:line="460" w:lineRule="exact"/>
      <w:ind w:left="284" w:firstLine="453"/>
      <w:textAlignment w:val="baseline"/>
    </w:pPr>
    <w:rPr>
      <w:kern w:val="0"/>
      <w:sz w:val="24"/>
      <w:szCs w:val="20"/>
    </w:rPr>
  </w:style>
  <w:style w:type="paragraph" w:customStyle="1" w:styleId="3097">
    <w:name w:val="?y??"/>
    <w:uiPriority w:val="0"/>
    <w:pPr>
      <w:widowControl w:val="0"/>
      <w:overflowPunct w:val="0"/>
      <w:autoSpaceDE w:val="0"/>
      <w:autoSpaceDN w:val="0"/>
      <w:adjustRightInd w:val="0"/>
      <w:spacing w:line="357" w:lineRule="atLeast"/>
      <w:jc w:val="both"/>
      <w:textAlignment w:val="baseline"/>
    </w:pPr>
    <w:rPr>
      <w:rFonts w:ascii="Times New Roman" w:hAnsi="Times New Roman" w:eastAsia="宋体" w:cs="Times New Roman"/>
      <w:color w:val="000000"/>
      <w:lang w:val="en-US" w:eastAsia="zh-CN" w:bidi="ar-SA"/>
    </w:rPr>
  </w:style>
  <w:style w:type="paragraph" w:customStyle="1" w:styleId="3098">
    <w:name w:val="表中窄行"/>
    <w:qFormat/>
    <w:uiPriority w:val="0"/>
    <w:pPr>
      <w:widowControl w:val="0"/>
      <w:spacing w:before="156" w:beforeLines="50" w:after="156" w:afterLines="50" w:line="240" w:lineRule="exact"/>
      <w:jc w:val="center"/>
    </w:pPr>
    <w:rPr>
      <w:rFonts w:ascii="Arial" w:hAnsi="Arial" w:eastAsia="宋体" w:cs="Arial"/>
      <w:szCs w:val="21"/>
      <w:lang w:val="en-US" w:eastAsia="zh-CN" w:bidi="ar-SA"/>
    </w:rPr>
  </w:style>
  <w:style w:type="paragraph" w:customStyle="1" w:styleId="3099">
    <w:name w:val="6 Char 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3100">
    <w:name w:val="6 Char Char Char Char Char Char1 Char Char Char Char Char Char Char"/>
    <w:basedOn w:val="1"/>
    <w:qFormat/>
    <w:uiPriority w:val="0"/>
  </w:style>
  <w:style w:type="paragraph" w:customStyle="1" w:styleId="3101">
    <w:name w:val="样式 样式 标题 2节标题 1.1h2l22nd levelTitre22Header 2 + 段前: 0 磅 段后:... +..."/>
    <w:basedOn w:val="1"/>
    <w:qFormat/>
    <w:uiPriority w:val="0"/>
    <w:pPr>
      <w:keepNext/>
      <w:keepLines/>
      <w:tabs>
        <w:tab w:val="left" w:pos="720"/>
        <w:tab w:val="left" w:pos="1060"/>
      </w:tabs>
      <w:snapToGrid w:val="0"/>
      <w:spacing w:before="312" w:beforeLines="100" w:after="312" w:afterLines="100"/>
      <w:ind w:firstLine="510"/>
      <w:jc w:val="left"/>
      <w:outlineLvl w:val="1"/>
    </w:pPr>
    <w:rPr>
      <w:rFonts w:ascii="Arial" w:hAnsi="Arial" w:cs="宋体"/>
      <w:b/>
      <w:bCs/>
      <w:sz w:val="28"/>
      <w:szCs w:val="20"/>
    </w:rPr>
  </w:style>
  <w:style w:type="paragraph" w:customStyle="1" w:styleId="3102">
    <w:name w:val="样式 左侧:  0.49 厘米 首行缩进:  2 字符 右侧:  0.49 厘米"/>
    <w:basedOn w:val="1"/>
    <w:qFormat/>
    <w:uiPriority w:val="0"/>
    <w:pPr>
      <w:adjustRightInd w:val="0"/>
      <w:snapToGrid w:val="0"/>
      <w:spacing w:line="490" w:lineRule="exact"/>
      <w:ind w:firstLine="480" w:firstLineChars="200"/>
    </w:pPr>
    <w:rPr>
      <w:rFonts w:ascii="宋体" w:hAnsi="宋体"/>
      <w:sz w:val="24"/>
      <w:szCs w:val="20"/>
    </w:rPr>
  </w:style>
  <w:style w:type="paragraph" w:customStyle="1" w:styleId="3103">
    <w:name w:val="PA"/>
    <w:basedOn w:val="1"/>
    <w:qFormat/>
    <w:uiPriority w:val="0"/>
    <w:pPr>
      <w:widowControl/>
      <w:spacing w:after="120"/>
      <w:ind w:left="1134"/>
    </w:pPr>
    <w:rPr>
      <w:rFonts w:ascii="Arial" w:hAnsi="Arial"/>
      <w:kern w:val="0"/>
      <w:sz w:val="22"/>
      <w:szCs w:val="20"/>
    </w:rPr>
  </w:style>
  <w:style w:type="paragraph" w:customStyle="1" w:styleId="3104">
    <w:name w:val="样式 左侧:  1 字符 右侧:  1 字符1"/>
    <w:basedOn w:val="1"/>
    <w:qFormat/>
    <w:uiPriority w:val="0"/>
    <w:pPr>
      <w:tabs>
        <w:tab w:val="left" w:pos="6660"/>
        <w:tab w:val="left" w:pos="8370"/>
      </w:tabs>
      <w:adjustRightInd w:val="0"/>
      <w:spacing w:line="360" w:lineRule="auto"/>
      <w:ind w:right="210" w:rightChars="100" w:firstLine="598" w:firstLineChars="187"/>
    </w:pPr>
    <w:rPr>
      <w:rFonts w:ascii="方正仿宋简体" w:eastAsia="方正仿宋简体" w:cs="宋体"/>
      <w:color w:val="000000"/>
      <w:sz w:val="32"/>
      <w:szCs w:val="32"/>
    </w:rPr>
  </w:style>
  <w:style w:type="paragraph" w:customStyle="1" w:styleId="3105">
    <w:name w:val="日期14"/>
    <w:basedOn w:val="1"/>
    <w:next w:val="1"/>
    <w:qFormat/>
    <w:uiPriority w:val="0"/>
    <w:pPr>
      <w:adjustRightInd w:val="0"/>
    </w:pPr>
    <w:rPr>
      <w:sz w:val="28"/>
      <w:szCs w:val="20"/>
    </w:rPr>
  </w:style>
  <w:style w:type="paragraph" w:customStyle="1" w:styleId="3106">
    <w:name w:val="样式 四号 行距: 固定值 26 磅"/>
    <w:basedOn w:val="1"/>
    <w:qFormat/>
    <w:uiPriority w:val="0"/>
    <w:pPr>
      <w:spacing w:before="60" w:line="520" w:lineRule="exact"/>
      <w:ind w:firstLine="594" w:firstLineChars="200"/>
    </w:pPr>
    <w:rPr>
      <w:rFonts w:ascii="仿宋_GB2312" w:hAnsi="宋体" w:eastAsia="仿宋_GB2312"/>
      <w:kern w:val="0"/>
      <w:sz w:val="28"/>
      <w:szCs w:val="28"/>
    </w:rPr>
  </w:style>
  <w:style w:type="paragraph" w:customStyle="1" w:styleId="3107">
    <w:name w:val="样式 标题 4L4款标题款标题1.1.1.1 + (西文) Times New Roman (中文) 宋体 加粗 段..."/>
    <w:basedOn w:val="6"/>
    <w:qFormat/>
    <w:uiPriority w:val="0"/>
    <w:pPr>
      <w:tabs>
        <w:tab w:val="left" w:pos="578"/>
      </w:tabs>
      <w:adjustRightInd w:val="0"/>
      <w:snapToGrid w:val="0"/>
      <w:spacing w:before="60" w:beforeLines="50" w:after="60" w:afterLines="50" w:line="500" w:lineRule="atLeast"/>
    </w:pPr>
    <w:rPr>
      <w:rFonts w:ascii="Calibri" w:hAnsi="Calibri" w:eastAsia="宋体" w:cs="宋体"/>
      <w:snapToGrid w:val="0"/>
      <w:color w:val="FF0000"/>
      <w:kern w:val="0"/>
      <w:lang w:val="zh-CN"/>
    </w:rPr>
  </w:style>
  <w:style w:type="paragraph" w:customStyle="1" w:styleId="3108">
    <w:name w:val="Char Char Char1 Char Char Char Char Char Char Char Char Char"/>
    <w:basedOn w:val="1"/>
    <w:qFormat/>
    <w:uiPriority w:val="0"/>
    <w:pPr>
      <w:adjustRightInd w:val="0"/>
      <w:snapToGrid w:val="0"/>
      <w:spacing w:line="360" w:lineRule="auto"/>
      <w:jc w:val="left"/>
    </w:pPr>
    <w:rPr>
      <w:rFonts w:ascii="宋体" w:hAnsi="宋体" w:cs="宋体"/>
      <w:sz w:val="24"/>
    </w:rPr>
  </w:style>
  <w:style w:type="paragraph" w:customStyle="1" w:styleId="3109">
    <w:name w:val="样式 正文文本 + 左侧:  0.98 厘米"/>
    <w:basedOn w:val="34"/>
    <w:qFormat/>
    <w:uiPriority w:val="0"/>
    <w:pPr>
      <w:widowControl/>
      <w:tabs>
        <w:tab w:val="left" w:pos="3720"/>
      </w:tabs>
      <w:autoSpaceDE w:val="0"/>
      <w:autoSpaceDN w:val="0"/>
      <w:adjustRightInd w:val="0"/>
      <w:snapToGrid w:val="0"/>
      <w:spacing w:after="0" w:line="360" w:lineRule="auto"/>
      <w:ind w:firstLine="200" w:firstLineChars="200"/>
      <w:jc w:val="left"/>
      <w:textAlignment w:val="bottom"/>
    </w:pPr>
    <w:rPr>
      <w:rFonts w:ascii="仿宋_GB2312" w:eastAsia="仿宋_GB2312"/>
      <w:kern w:val="0"/>
      <w:sz w:val="28"/>
      <w:szCs w:val="20"/>
      <w:lang w:val="zh-CN"/>
    </w:rPr>
  </w:style>
  <w:style w:type="paragraph" w:customStyle="1" w:styleId="3110">
    <w:name w:val="列表 41"/>
    <w:basedOn w:val="1"/>
    <w:qFormat/>
    <w:uiPriority w:val="0"/>
    <w:pPr>
      <w:spacing w:before="46" w:beforeLines="15" w:after="46" w:afterLines="15"/>
      <w:ind w:left="1680" w:hanging="420" w:firstLineChars="200"/>
      <w:jc w:val="left"/>
      <w:textAlignment w:val="baseline"/>
    </w:pPr>
    <w:rPr>
      <w:kern w:val="0"/>
      <w:sz w:val="28"/>
      <w:szCs w:val="20"/>
    </w:rPr>
  </w:style>
  <w:style w:type="paragraph" w:customStyle="1" w:styleId="3111">
    <w:name w:val="样式 左侧:  0.98 厘米1"/>
    <w:basedOn w:val="1"/>
    <w:qFormat/>
    <w:uiPriority w:val="0"/>
    <w:pPr>
      <w:adjustRightInd w:val="0"/>
      <w:snapToGrid w:val="0"/>
      <w:spacing w:line="360" w:lineRule="auto"/>
      <w:ind w:firstLine="200" w:firstLineChars="200"/>
    </w:pPr>
    <w:rPr>
      <w:rFonts w:eastAsia="仿宋_GB2312"/>
      <w:kern w:val="0"/>
      <w:sz w:val="28"/>
      <w:szCs w:val="20"/>
    </w:rPr>
  </w:style>
  <w:style w:type="paragraph" w:customStyle="1" w:styleId="3112">
    <w:name w:val="Char Char Char Char Char Char Char Char Char Char Char Char Char Char Char Char Char Char"/>
    <w:basedOn w:val="1"/>
    <w:qFormat/>
    <w:uiPriority w:val="0"/>
  </w:style>
  <w:style w:type="paragraph" w:customStyle="1" w:styleId="3113">
    <w:name w:val="样式 标题 3 + 段前: 0 磅 段后: 0 磅 行距: 1.5 倍行距"/>
    <w:basedOn w:val="5"/>
    <w:qFormat/>
    <w:uiPriority w:val="0"/>
    <w:pPr>
      <w:adjustRightInd w:val="0"/>
      <w:snapToGrid w:val="0"/>
      <w:spacing w:before="50" w:beforeLines="50" w:after="0" w:afterLines="50" w:line="360" w:lineRule="auto"/>
    </w:pPr>
    <w:rPr>
      <w:rFonts w:cs="宋体"/>
      <w:color w:val="000000"/>
      <w:kern w:val="0"/>
      <w:sz w:val="28"/>
      <w:lang w:val="zh-CN"/>
    </w:rPr>
  </w:style>
  <w:style w:type="paragraph" w:customStyle="1" w:styleId="3114">
    <w:name w:val="样式 宋体 四号 加粗 行距: 1.5 倍行距"/>
    <w:basedOn w:val="1"/>
    <w:qFormat/>
    <w:uiPriority w:val="0"/>
    <w:pPr>
      <w:adjustRightInd w:val="0"/>
      <w:snapToGrid w:val="0"/>
      <w:spacing w:line="360" w:lineRule="auto"/>
      <w:ind w:firstLine="200" w:firstLineChars="200"/>
    </w:pPr>
    <w:rPr>
      <w:rFonts w:ascii="仿宋_GB2312" w:hAnsi="宋体" w:eastAsia="仿宋_GB2312" w:cs="宋体"/>
      <w:bCs/>
      <w:sz w:val="28"/>
      <w:szCs w:val="20"/>
    </w:rPr>
  </w:style>
  <w:style w:type="paragraph" w:customStyle="1" w:styleId="3115">
    <w:name w:val="样式 样式 四号 行距: 固定值 26 磅 + 首行缩进:  2 字符"/>
    <w:basedOn w:val="1"/>
    <w:qFormat/>
    <w:uiPriority w:val="0"/>
    <w:pPr>
      <w:spacing w:before="60" w:line="530" w:lineRule="atLeast"/>
      <w:ind w:firstLine="594" w:firstLineChars="200"/>
    </w:pPr>
    <w:rPr>
      <w:rFonts w:ascii="仿宋_GB2312" w:hAnsi="宋体" w:eastAsia="仿宋_GB2312"/>
      <w:kern w:val="0"/>
      <w:sz w:val="28"/>
      <w:szCs w:val="28"/>
    </w:rPr>
  </w:style>
  <w:style w:type="paragraph" w:customStyle="1" w:styleId="3116">
    <w:name w:val="6 Char Char Char Char"/>
    <w:basedOn w:val="1"/>
    <w:qFormat/>
    <w:uiPriority w:val="0"/>
  </w:style>
  <w:style w:type="paragraph" w:customStyle="1" w:styleId="3117">
    <w:name w:val="样式 四号 首行缩进:  1 厘米 行距: 1.5 倍行距"/>
    <w:basedOn w:val="1"/>
    <w:qFormat/>
    <w:uiPriority w:val="0"/>
    <w:pPr>
      <w:spacing w:line="360" w:lineRule="auto"/>
      <w:ind w:firstLine="200" w:firstLineChars="200"/>
    </w:pPr>
    <w:rPr>
      <w:rFonts w:ascii="宋体" w:cs="宋体"/>
      <w:sz w:val="28"/>
      <w:szCs w:val="20"/>
    </w:rPr>
  </w:style>
  <w:style w:type="paragraph" w:customStyle="1" w:styleId="3118">
    <w:name w:val="样式 标题 1 + 宋体 四号 非倾斜 行距: 最小值 28 磅"/>
    <w:basedOn w:val="3"/>
    <w:qFormat/>
    <w:uiPriority w:val="0"/>
    <w:pPr>
      <w:tabs>
        <w:tab w:val="left" w:pos="786"/>
      </w:tabs>
      <w:spacing w:line="560" w:lineRule="atLeast"/>
      <w:jc w:val="both"/>
    </w:pPr>
    <w:rPr>
      <w:rFonts w:ascii="黑体" w:hAnsi="宋体" w:eastAsia="黑体" w:cs="宋体"/>
      <w:bCs w:val="0"/>
      <w:kern w:val="0"/>
      <w:sz w:val="28"/>
      <w:szCs w:val="28"/>
      <w:lang w:val="zh-CN"/>
    </w:rPr>
  </w:style>
  <w:style w:type="paragraph" w:customStyle="1" w:styleId="3119">
    <w:name w:val="表格（六号）"/>
    <w:basedOn w:val="1"/>
    <w:next w:val="834"/>
    <w:qFormat/>
    <w:uiPriority w:val="0"/>
    <w:pPr>
      <w:spacing w:line="315" w:lineRule="exact"/>
      <w:jc w:val="center"/>
    </w:pPr>
    <w:rPr>
      <w:rFonts w:ascii="宋体" w:hAnsi="宋体"/>
      <w:kern w:val="0"/>
      <w:sz w:val="15"/>
      <w:szCs w:val="20"/>
    </w:rPr>
  </w:style>
  <w:style w:type="paragraph" w:customStyle="1" w:styleId="3120">
    <w:name w:val="样式 标题 3条标题1.1.1条标题BSH-3W3 + 非加粗 段前: 0.5 行 段后: 0.5 行 行距: 单..."/>
    <w:basedOn w:val="5"/>
    <w:qFormat/>
    <w:uiPriority w:val="0"/>
    <w:pPr>
      <w:keepNext w:val="0"/>
      <w:keepLines w:val="0"/>
      <w:adjustRightInd w:val="0"/>
      <w:snapToGrid w:val="0"/>
      <w:spacing w:before="156" w:beforeLines="50" w:after="156" w:afterLines="50" w:line="360" w:lineRule="auto"/>
    </w:pPr>
    <w:rPr>
      <w:rFonts w:ascii="宋体" w:hAnsi="宋体" w:cs="宋体"/>
      <w:snapToGrid w:val="0"/>
      <w:color w:val="000000"/>
      <w:kern w:val="0"/>
      <w:szCs w:val="24"/>
      <w:lang w:val="zh-CN"/>
    </w:rPr>
  </w:style>
  <w:style w:type="paragraph" w:customStyle="1" w:styleId="3121">
    <w:name w:val="表中1"/>
    <w:basedOn w:val="1732"/>
    <w:qFormat/>
    <w:uiPriority w:val="0"/>
    <w:pPr>
      <w:keepNext w:val="0"/>
      <w:adjustRightInd w:val="0"/>
      <w:spacing w:line="360" w:lineRule="atLeast"/>
    </w:pPr>
    <w:rPr>
      <w:rFonts w:cs="宋体"/>
      <w:snapToGrid w:val="0"/>
      <w:kern w:val="0"/>
      <w:sz w:val="21"/>
      <w:szCs w:val="21"/>
    </w:rPr>
  </w:style>
  <w:style w:type="paragraph" w:customStyle="1" w:styleId="3122">
    <w:name w:val="样式 样式 段前: 0.5 行 段后: 0.5 行 + 首行缩进:  2 字符 段前: 0.5 行 段后: 0.5 行"/>
    <w:basedOn w:val="1"/>
    <w:next w:val="1"/>
    <w:qFormat/>
    <w:uiPriority w:val="0"/>
    <w:pPr>
      <w:tabs>
        <w:tab w:val="left" w:pos="1060"/>
      </w:tabs>
      <w:snapToGrid w:val="0"/>
      <w:spacing w:line="360" w:lineRule="auto"/>
      <w:ind w:firstLine="560" w:firstLineChars="200"/>
      <w:jc w:val="left"/>
    </w:pPr>
    <w:rPr>
      <w:rFonts w:ascii="仿宋_GB2312" w:hAnsi="宋体" w:eastAsia="仿宋_GB2312"/>
      <w:bCs/>
      <w:sz w:val="28"/>
      <w:szCs w:val="28"/>
    </w:rPr>
  </w:style>
  <w:style w:type="paragraph" w:customStyle="1" w:styleId="3123">
    <w:name w:val="表正文中对齐"/>
    <w:basedOn w:val="1"/>
    <w:qFormat/>
    <w:uiPriority w:val="0"/>
    <w:pPr>
      <w:adjustRightInd w:val="0"/>
      <w:snapToGrid w:val="0"/>
      <w:spacing w:line="360" w:lineRule="auto"/>
      <w:jc w:val="center"/>
    </w:pPr>
    <w:rPr>
      <w:rFonts w:ascii="宋体" w:hAnsi="宋体"/>
      <w:bCs/>
      <w:sz w:val="28"/>
      <w:szCs w:val="28"/>
    </w:rPr>
  </w:style>
  <w:style w:type="paragraph" w:customStyle="1" w:styleId="3124">
    <w:name w:val="样式 标题 3条标题1.1.1 + 段前: 0.5 行 段后: 0.5 行"/>
    <w:basedOn w:val="5"/>
    <w:qFormat/>
    <w:uiPriority w:val="0"/>
    <w:pPr>
      <w:keepNext w:val="0"/>
      <w:keepLines w:val="0"/>
      <w:tabs>
        <w:tab w:val="left" w:pos="1080"/>
      </w:tabs>
      <w:adjustRightInd w:val="0"/>
      <w:snapToGrid w:val="0"/>
      <w:spacing w:before="156" w:beforeLines="50" w:after="156" w:afterLines="50" w:line="520" w:lineRule="exact"/>
      <w:jc w:val="left"/>
      <w:textAlignment w:val="baseline"/>
    </w:pPr>
    <w:rPr>
      <w:rFonts w:ascii="宋体" w:hAnsi="宋体" w:cs="宋体"/>
      <w:kern w:val="0"/>
      <w:sz w:val="28"/>
      <w:lang w:val="zh-CN"/>
    </w:rPr>
  </w:style>
  <w:style w:type="paragraph" w:customStyle="1" w:styleId="3125">
    <w:name w:val="样式 标题 4款标题1.1.1.1 + 段前: 0.5 行 段后: 0.5 行"/>
    <w:basedOn w:val="6"/>
    <w:qFormat/>
    <w:uiPriority w:val="0"/>
    <w:pPr>
      <w:keepNext w:val="0"/>
      <w:keepLines w:val="0"/>
      <w:tabs>
        <w:tab w:val="left" w:pos="864"/>
      </w:tabs>
      <w:adjustRightInd w:val="0"/>
      <w:snapToGrid w:val="0"/>
      <w:spacing w:before="50" w:beforeLines="50" w:after="0" w:afterLines="50" w:line="360" w:lineRule="auto"/>
      <w:ind w:firstLine="560" w:firstLineChars="200"/>
      <w:textAlignment w:val="baseline"/>
    </w:pPr>
    <w:rPr>
      <w:rFonts w:ascii="仿宋_GB2312" w:hAnsi="Calibri" w:eastAsia="仿宋_GB2312"/>
      <w:b w:val="0"/>
      <w:color w:val="FF0000"/>
      <w:lang w:val="zh-CN"/>
    </w:rPr>
  </w:style>
  <w:style w:type="paragraph" w:customStyle="1" w:styleId="3126">
    <w:name w:val="样式 标题 1 + 宋体 20 磅 非加粗 居中 段前: 35 磅 段后: 18 磅 行距: 固定值 26.5 磅"/>
    <w:basedOn w:val="3"/>
    <w:qFormat/>
    <w:uiPriority w:val="0"/>
    <w:pPr>
      <w:keepNext/>
      <w:keepLines/>
      <w:pageBreakBefore/>
      <w:tabs>
        <w:tab w:val="left" w:pos="435"/>
        <w:tab w:val="left" w:pos="600"/>
        <w:tab w:val="left" w:pos="786"/>
        <w:tab w:val="left" w:pos="1060"/>
      </w:tabs>
      <w:overflowPunct w:val="0"/>
      <w:topLinePunct/>
      <w:spacing w:before="156" w:beforeLines="50" w:after="156" w:afterLines="50" w:line="520" w:lineRule="exact"/>
      <w:ind w:left="435" w:hanging="435"/>
      <w:jc w:val="left"/>
      <w:textAlignment w:val="center"/>
    </w:pPr>
    <w:rPr>
      <w:rFonts w:ascii="黑体" w:hAnsi="Arial" w:eastAsia="黑体" w:cs="宋体"/>
      <w:color w:val="000000"/>
      <w:kern w:val="0"/>
      <w:lang w:val="zh-CN"/>
    </w:rPr>
  </w:style>
  <w:style w:type="paragraph" w:customStyle="1" w:styleId="3127">
    <w:name w:val="样式 标题 3条标题1.1.1条标题BSH-3W3 + 仿宋_GB2312 非加粗"/>
    <w:basedOn w:val="5"/>
    <w:qFormat/>
    <w:uiPriority w:val="0"/>
    <w:pPr>
      <w:tabs>
        <w:tab w:val="left" w:pos="578"/>
      </w:tabs>
      <w:adjustRightInd w:val="0"/>
      <w:snapToGrid w:val="0"/>
      <w:spacing w:before="50" w:beforeLines="50" w:after="0" w:afterLines="50" w:line="360" w:lineRule="auto"/>
    </w:pPr>
    <w:rPr>
      <w:rFonts w:ascii="宋体" w:hAnsi="宋体" w:cs="Arial Unicode MS"/>
      <w:color w:val="000000"/>
      <w:kern w:val="0"/>
      <w:sz w:val="28"/>
      <w:lang w:val="zh-CN"/>
    </w:rPr>
  </w:style>
  <w:style w:type="paragraph" w:customStyle="1" w:styleId="3128">
    <w:name w:val="章标题（科宏）"/>
    <w:next w:val="1"/>
    <w:qFormat/>
    <w:uiPriority w:val="0"/>
    <w:pPr>
      <w:pageBreakBefore/>
      <w:widowControl w:val="0"/>
      <w:spacing w:before="156" w:beforeLines="50" w:after="156" w:afterLines="50" w:line="360" w:lineRule="auto"/>
      <w:jc w:val="center"/>
      <w:outlineLvl w:val="0"/>
    </w:pPr>
    <w:rPr>
      <w:rFonts w:ascii="Arial" w:hAnsi="Arial" w:eastAsia="仿宋_GB2312" w:cs="Times New Roman"/>
      <w:b/>
      <w:sz w:val="32"/>
      <w:lang w:val="en-US" w:eastAsia="zh-CN" w:bidi="ar-SA"/>
    </w:rPr>
  </w:style>
  <w:style w:type="paragraph" w:customStyle="1" w:styleId="3129">
    <w:name w:val="样式 表格 + 左侧:  0.98 厘米 行距: 固定值 12 磅"/>
    <w:basedOn w:val="223"/>
    <w:qFormat/>
    <w:uiPriority w:val="0"/>
    <w:pPr>
      <w:adjustRightInd w:val="0"/>
      <w:snapToGrid w:val="0"/>
      <w:spacing w:before="100" w:beforeAutospacing="1" w:after="100" w:afterAutospacing="1" w:line="240" w:lineRule="exact"/>
      <w:ind w:left="560" w:leftChars="200"/>
      <w:textAlignment w:val="auto"/>
    </w:pPr>
    <w:rPr>
      <w:rFonts w:ascii="Arial" w:hAnsi="Arial" w:cstheme="minorBidi"/>
      <w:sz w:val="20"/>
      <w:lang w:val="zh-CN"/>
    </w:rPr>
  </w:style>
  <w:style w:type="paragraph" w:customStyle="1" w:styleId="3130">
    <w:name w:val="样式 题注 + 段前: 0.5 行"/>
    <w:basedOn w:val="22"/>
    <w:qFormat/>
    <w:uiPriority w:val="0"/>
    <w:pPr>
      <w:keepNext/>
      <w:adjustRightInd w:val="0"/>
      <w:snapToGrid w:val="0"/>
      <w:spacing w:before="156" w:line="240" w:lineRule="auto"/>
      <w:ind w:left="560" w:leftChars="200" w:firstLine="0" w:firstLineChars="0"/>
      <w:jc w:val="left"/>
    </w:pPr>
    <w:rPr>
      <w:rFonts w:ascii="Arial" w:hAnsi="Arial" w:cstheme="minorBidi"/>
      <w:bCs/>
      <w:caps w:val="0"/>
      <w:snapToGrid w:val="0"/>
      <w:spacing w:val="0"/>
      <w:kern w:val="0"/>
      <w:sz w:val="21"/>
      <w:szCs w:val="20"/>
      <w:lang w:val="zh-CN"/>
    </w:rPr>
  </w:style>
  <w:style w:type="paragraph" w:customStyle="1" w:styleId="3131">
    <w:name w:val="样式 表格 + 加粗 居中 左侧:  0.98 厘米"/>
    <w:basedOn w:val="223"/>
    <w:qFormat/>
    <w:uiPriority w:val="0"/>
    <w:pPr>
      <w:adjustRightInd w:val="0"/>
      <w:snapToGrid w:val="0"/>
      <w:spacing w:before="100" w:beforeAutospacing="1" w:after="100" w:afterAutospacing="1" w:line="240" w:lineRule="atLeast"/>
      <w:ind w:left="560" w:leftChars="200"/>
      <w:textAlignment w:val="auto"/>
    </w:pPr>
    <w:rPr>
      <w:rFonts w:ascii="Arial" w:hAnsi="Arial" w:cstheme="minorBidi"/>
      <w:b/>
      <w:bCs/>
      <w:sz w:val="20"/>
      <w:lang w:val="zh-CN"/>
    </w:rPr>
  </w:style>
  <w:style w:type="paragraph" w:customStyle="1" w:styleId="3132">
    <w:name w:val="样式 正文缩进s4标题4 + 左侧:  0.98 厘米 首行缩进:  2 字符"/>
    <w:basedOn w:val="834"/>
    <w:qFormat/>
    <w:uiPriority w:val="0"/>
    <w:pPr>
      <w:widowControl w:val="0"/>
      <w:snapToGrid w:val="0"/>
      <w:spacing w:line="360" w:lineRule="auto"/>
      <w:ind w:firstLine="560"/>
      <w:jc w:val="both"/>
    </w:pPr>
    <w:rPr>
      <w:rFonts w:eastAsia="仿宋_GB2312"/>
      <w:sz w:val="28"/>
      <w:szCs w:val="20"/>
      <w:lang w:val="zh-CN"/>
    </w:rPr>
  </w:style>
  <w:style w:type="paragraph" w:customStyle="1" w:styleId="3133">
    <w:name w:val="样式 表格 + 两端对齐"/>
    <w:basedOn w:val="223"/>
    <w:qFormat/>
    <w:uiPriority w:val="0"/>
    <w:pPr>
      <w:adjustRightInd w:val="0"/>
      <w:snapToGrid w:val="0"/>
      <w:spacing w:before="100" w:beforeAutospacing="1" w:after="100" w:afterAutospacing="1" w:line="240" w:lineRule="atLeast"/>
      <w:ind w:left="560" w:leftChars="200"/>
      <w:textAlignment w:val="auto"/>
    </w:pPr>
    <w:rPr>
      <w:rFonts w:ascii="Arial" w:hAnsi="Arial" w:cstheme="minorBidi"/>
      <w:sz w:val="20"/>
      <w:lang w:val="zh-CN"/>
    </w:rPr>
  </w:style>
  <w:style w:type="paragraph" w:customStyle="1" w:styleId="3134">
    <w:name w:val="样式 正文文本缩进 + 左侧:  0.98 厘米 首行缩进:  2 字符"/>
    <w:basedOn w:val="893"/>
    <w:qFormat/>
    <w:uiPriority w:val="0"/>
    <w:pPr>
      <w:snapToGrid w:val="0"/>
      <w:spacing w:line="360" w:lineRule="auto"/>
      <w:ind w:firstLine="560" w:firstLineChars="200"/>
    </w:pPr>
    <w:rPr>
      <w:rFonts w:eastAsia="仿宋_GB2312" w:asciiTheme="minorHAnsi" w:hAnsiTheme="minorHAnsi" w:cstheme="minorBidi"/>
      <w:kern w:val="2"/>
      <w:sz w:val="28"/>
      <w:szCs w:val="22"/>
    </w:rPr>
  </w:style>
  <w:style w:type="paragraph" w:customStyle="1" w:styleId="3135">
    <w:name w:val="样式 正文缩进s4标题4 + 左侧:  0.98 厘米 首行缩进:  2 字符1"/>
    <w:basedOn w:val="834"/>
    <w:qFormat/>
    <w:uiPriority w:val="0"/>
    <w:pPr>
      <w:widowControl w:val="0"/>
      <w:snapToGrid w:val="0"/>
      <w:spacing w:line="360" w:lineRule="auto"/>
      <w:ind w:firstLine="560"/>
      <w:jc w:val="both"/>
    </w:pPr>
    <w:rPr>
      <w:rFonts w:eastAsia="仿宋_GB2312"/>
      <w:kern w:val="0"/>
      <w:sz w:val="28"/>
      <w:szCs w:val="20"/>
      <w:lang w:val="zh-CN"/>
    </w:rPr>
  </w:style>
  <w:style w:type="paragraph" w:customStyle="1" w:styleId="3136">
    <w:name w:val="样式 表格 + 左侧:  0.98 厘米 字符缩放: 90%"/>
    <w:basedOn w:val="223"/>
    <w:qFormat/>
    <w:uiPriority w:val="0"/>
    <w:pPr>
      <w:adjustRightInd w:val="0"/>
      <w:snapToGrid w:val="0"/>
      <w:spacing w:before="100" w:beforeAutospacing="1" w:after="100" w:afterAutospacing="1" w:line="240" w:lineRule="atLeast"/>
      <w:ind w:left="560" w:leftChars="200"/>
      <w:textAlignment w:val="auto"/>
    </w:pPr>
    <w:rPr>
      <w:rFonts w:ascii="Arial" w:hAnsi="Arial" w:cstheme="minorBidi"/>
      <w:w w:val="90"/>
      <w:sz w:val="20"/>
      <w:lang w:val="zh-CN"/>
    </w:rPr>
  </w:style>
  <w:style w:type="paragraph" w:customStyle="1" w:styleId="3137">
    <w:name w:val="样式 表 + 首行缩进:  2 字符"/>
    <w:basedOn w:val="45"/>
    <w:qFormat/>
    <w:uiPriority w:val="0"/>
    <w:pPr>
      <w:adjustRightInd w:val="0"/>
      <w:snapToGrid w:val="0"/>
      <w:spacing w:line="300" w:lineRule="auto"/>
    </w:pPr>
    <w:rPr>
      <w:rFonts w:ascii="仿宋_GB2312" w:hAnsi="Times New Roman"/>
      <w:snapToGrid w:val="0"/>
      <w:kern w:val="0"/>
      <w:sz w:val="20"/>
    </w:rPr>
  </w:style>
  <w:style w:type="paragraph" w:customStyle="1" w:styleId="3138">
    <w:name w:val="样式 正文缩进s4 + 首行缩进:  2 字符"/>
    <w:basedOn w:val="834"/>
    <w:qFormat/>
    <w:uiPriority w:val="0"/>
    <w:pPr>
      <w:widowControl w:val="0"/>
      <w:snapToGrid w:val="0"/>
      <w:spacing w:line="360" w:lineRule="auto"/>
      <w:ind w:firstLine="560"/>
      <w:jc w:val="both"/>
    </w:pPr>
    <w:rPr>
      <w:szCs w:val="20"/>
      <w:lang w:val="zh-CN"/>
    </w:rPr>
  </w:style>
  <w:style w:type="paragraph" w:customStyle="1" w:styleId="3139">
    <w:name w:val="样式 样式 样式 正文缩进s4 + 首行缩进:  2 字符 + 首行缩进:  2 字符 +"/>
    <w:basedOn w:val="801"/>
    <w:qFormat/>
    <w:uiPriority w:val="0"/>
    <w:pPr>
      <w:spacing w:line="490" w:lineRule="exact"/>
      <w:ind w:firstLine="538" w:firstLineChars="192"/>
    </w:pPr>
    <w:rPr>
      <w:rFonts w:ascii="宋体" w:hAnsi="宋体"/>
      <w:color w:val="000000"/>
      <w:kern w:val="0"/>
      <w:szCs w:val="28"/>
    </w:rPr>
  </w:style>
  <w:style w:type="paragraph" w:customStyle="1" w:styleId="3140">
    <w:name w:val="样式 表格 + 左侧:  0.98 厘米 字距调整8 磅"/>
    <w:basedOn w:val="223"/>
    <w:qFormat/>
    <w:uiPriority w:val="0"/>
    <w:pPr>
      <w:adjustRightInd w:val="0"/>
      <w:snapToGrid w:val="0"/>
      <w:spacing w:before="100" w:beforeAutospacing="1" w:after="100" w:afterAutospacing="1" w:line="240" w:lineRule="atLeast"/>
      <w:ind w:left="560" w:leftChars="200"/>
      <w:textAlignment w:val="auto"/>
    </w:pPr>
    <w:rPr>
      <w:rFonts w:ascii="Arial" w:hAnsi="Arial" w:cstheme="minorBidi"/>
      <w:kern w:val="16"/>
      <w:sz w:val="20"/>
      <w:lang w:val="zh-CN"/>
    </w:rPr>
  </w:style>
  <w:style w:type="paragraph" w:customStyle="1" w:styleId="3141">
    <w:name w:val="样式 左 左侧:  0.98 厘米"/>
    <w:basedOn w:val="1"/>
    <w:qFormat/>
    <w:uiPriority w:val="0"/>
    <w:pPr>
      <w:adjustRightInd w:val="0"/>
      <w:snapToGrid w:val="0"/>
      <w:spacing w:line="360" w:lineRule="auto"/>
      <w:ind w:firstLine="200" w:firstLineChars="200"/>
      <w:jc w:val="left"/>
    </w:pPr>
    <w:rPr>
      <w:rFonts w:eastAsia="仿宋_GB2312"/>
      <w:sz w:val="28"/>
      <w:szCs w:val="20"/>
    </w:rPr>
  </w:style>
  <w:style w:type="paragraph" w:customStyle="1" w:styleId="3142">
    <w:name w:val="样式 (西文) 宋体 左侧:  0.98 厘米"/>
    <w:basedOn w:val="1"/>
    <w:qFormat/>
    <w:uiPriority w:val="0"/>
    <w:pPr>
      <w:adjustRightInd w:val="0"/>
      <w:snapToGrid w:val="0"/>
      <w:spacing w:line="360" w:lineRule="auto"/>
      <w:ind w:firstLine="200" w:firstLineChars="200"/>
    </w:pPr>
    <w:rPr>
      <w:rFonts w:ascii="宋体" w:eastAsia="仿宋_GB2312"/>
      <w:sz w:val="28"/>
      <w:szCs w:val="20"/>
    </w:rPr>
  </w:style>
  <w:style w:type="paragraph" w:customStyle="1" w:styleId="3143">
    <w:name w:val="Char7"/>
    <w:basedOn w:val="1"/>
    <w:qFormat/>
    <w:uiPriority w:val="0"/>
    <w:pPr>
      <w:adjustRightInd w:val="0"/>
      <w:snapToGrid w:val="0"/>
      <w:spacing w:line="360" w:lineRule="auto"/>
      <w:ind w:firstLine="200" w:firstLineChars="200"/>
    </w:pPr>
    <w:rPr>
      <w:rFonts w:ascii="宋体" w:hAnsi="宋体" w:cs="宋体"/>
      <w:sz w:val="24"/>
    </w:rPr>
  </w:style>
  <w:style w:type="paragraph" w:customStyle="1" w:styleId="3144">
    <w:name w:val="样式 左侧:  0.98 厘米 字距调整小四"/>
    <w:basedOn w:val="1"/>
    <w:qFormat/>
    <w:uiPriority w:val="0"/>
    <w:pPr>
      <w:adjustRightInd w:val="0"/>
      <w:snapToGrid w:val="0"/>
      <w:spacing w:line="360" w:lineRule="auto"/>
      <w:ind w:firstLine="200" w:firstLineChars="200"/>
    </w:pPr>
    <w:rPr>
      <w:rFonts w:eastAsia="仿宋_GB2312"/>
      <w:kern w:val="24"/>
      <w:sz w:val="28"/>
      <w:szCs w:val="20"/>
    </w:rPr>
  </w:style>
  <w:style w:type="paragraph" w:customStyle="1" w:styleId="3145">
    <w:name w:val="批注框文本 Char Char"/>
    <w:basedOn w:val="1"/>
    <w:qFormat/>
    <w:uiPriority w:val="0"/>
    <w:rPr>
      <w:rFonts w:ascii="仿宋_GB2312" w:eastAsia="仿宋_GB2312"/>
      <w:kern w:val="30"/>
      <w:sz w:val="18"/>
      <w:szCs w:val="20"/>
    </w:rPr>
  </w:style>
  <w:style w:type="paragraph" w:customStyle="1" w:styleId="3146">
    <w:name w:val="样式 左侧:  0.98 厘米 首行缩进:  2.25 字符"/>
    <w:basedOn w:val="1"/>
    <w:qFormat/>
    <w:uiPriority w:val="0"/>
    <w:pPr>
      <w:adjustRightInd w:val="0"/>
      <w:snapToGrid w:val="0"/>
      <w:spacing w:line="360" w:lineRule="auto"/>
      <w:ind w:firstLine="200" w:firstLineChars="200"/>
    </w:pPr>
    <w:rPr>
      <w:rFonts w:eastAsia="仿宋_GB2312"/>
      <w:sz w:val="28"/>
      <w:szCs w:val="20"/>
    </w:rPr>
  </w:style>
  <w:style w:type="paragraph" w:customStyle="1" w:styleId="3147">
    <w:name w:val="样式 (西文) 仿宋_GB2312 左侧:  0.98 厘米"/>
    <w:basedOn w:val="1"/>
    <w:qFormat/>
    <w:uiPriority w:val="0"/>
    <w:pPr>
      <w:adjustRightInd w:val="0"/>
      <w:snapToGrid w:val="0"/>
      <w:spacing w:line="360" w:lineRule="auto"/>
      <w:ind w:firstLine="200" w:firstLineChars="200"/>
    </w:pPr>
    <w:rPr>
      <w:rFonts w:ascii="仿宋_GB2312" w:eastAsia="仿宋_GB2312"/>
      <w:sz w:val="28"/>
      <w:szCs w:val="20"/>
    </w:rPr>
  </w:style>
  <w:style w:type="paragraph" w:customStyle="1" w:styleId="3148">
    <w:name w:val="列表 21"/>
    <w:basedOn w:val="1"/>
    <w:qFormat/>
    <w:uiPriority w:val="0"/>
    <w:pPr>
      <w:ind w:left="100" w:leftChars="200" w:hanging="200" w:hangingChars="200"/>
      <w:contextualSpacing/>
    </w:pPr>
    <w:rPr>
      <w:szCs w:val="20"/>
    </w:rPr>
  </w:style>
  <w:style w:type="paragraph" w:customStyle="1" w:styleId="3149">
    <w:name w:val="样式 表中 + 首行缩进:  2 字符 段前: 0.5 行 段后: 0.5 行"/>
    <w:basedOn w:val="1732"/>
    <w:qFormat/>
    <w:uiPriority w:val="0"/>
    <w:pPr>
      <w:keepNext w:val="0"/>
      <w:tabs>
        <w:tab w:val="left" w:pos="1060"/>
      </w:tabs>
      <w:spacing w:line="240" w:lineRule="auto"/>
    </w:pPr>
    <w:rPr>
      <w:rFonts w:ascii="仿宋_GB2312" w:eastAsia="仿宋_GB2312" w:cs="宋体"/>
      <w:b/>
      <w:bCs/>
      <w:szCs w:val="20"/>
    </w:rPr>
  </w:style>
  <w:style w:type="paragraph" w:customStyle="1" w:styleId="3150">
    <w:name w:val="特性表"/>
    <w:basedOn w:val="1"/>
    <w:qFormat/>
    <w:uiPriority w:val="0"/>
    <w:pPr>
      <w:adjustRightInd w:val="0"/>
      <w:snapToGrid w:val="0"/>
      <w:spacing w:line="360" w:lineRule="auto"/>
      <w:jc w:val="center"/>
    </w:pPr>
    <w:rPr>
      <w:rFonts w:ascii="黑体" w:hAnsi="宋体" w:eastAsia="黑体"/>
      <w:sz w:val="30"/>
      <w:szCs w:val="20"/>
    </w:rPr>
  </w:style>
  <w:style w:type="paragraph" w:customStyle="1" w:styleId="3151">
    <w:name w:val="特性表注"/>
    <w:basedOn w:val="1"/>
    <w:qFormat/>
    <w:uiPriority w:val="0"/>
    <w:pPr>
      <w:adjustRightInd w:val="0"/>
      <w:snapToGrid w:val="0"/>
      <w:spacing w:line="360" w:lineRule="auto"/>
    </w:pPr>
    <w:rPr>
      <w:rFonts w:ascii="黑体" w:hAnsi="宋体"/>
      <w:snapToGrid w:val="0"/>
      <w:kern w:val="0"/>
    </w:rPr>
  </w:style>
  <w:style w:type="paragraph" w:customStyle="1" w:styleId="3152">
    <w:name w:val="表格文字（小五）"/>
    <w:basedOn w:val="172"/>
    <w:next w:val="834"/>
    <w:qFormat/>
    <w:uiPriority w:val="0"/>
    <w:pPr>
      <w:tabs>
        <w:tab w:val="left" w:pos="3720"/>
      </w:tabs>
      <w:autoSpaceDE w:val="0"/>
      <w:autoSpaceDN w:val="0"/>
      <w:snapToGrid/>
      <w:spacing w:line="315" w:lineRule="exact"/>
      <w:jc w:val="both"/>
      <w:textAlignment w:val="bottom"/>
    </w:pPr>
    <w:rPr>
      <w:rFonts w:ascii="宋体" w:hAnsi="宋体" w:eastAsiaTheme="minorEastAsia" w:cstheme="minorBidi"/>
      <w:kern w:val="0"/>
      <w:sz w:val="18"/>
      <w:lang w:val="zh-CN"/>
    </w:rPr>
  </w:style>
  <w:style w:type="paragraph" w:customStyle="1" w:styleId="3153">
    <w:name w:val="样式 小表 + 两端对齐"/>
    <w:basedOn w:val="2561"/>
    <w:qFormat/>
    <w:uiPriority w:val="0"/>
    <w:pPr>
      <w:widowControl w:val="0"/>
      <w:overflowPunct/>
      <w:autoSpaceDE/>
      <w:autoSpaceDN/>
      <w:snapToGrid w:val="0"/>
      <w:spacing w:line="331" w:lineRule="auto"/>
      <w:jc w:val="both"/>
      <w:textAlignment w:val="auto"/>
    </w:pPr>
    <w:rPr>
      <w:rFonts w:hAnsi="宋体"/>
      <w:snapToGrid w:val="0"/>
      <w:kern w:val="2"/>
      <w:sz w:val="18"/>
    </w:rPr>
  </w:style>
  <w:style w:type="paragraph" w:customStyle="1" w:styleId="3154">
    <w:name w:val="Char2 Char Char Char4"/>
    <w:basedOn w:val="1"/>
    <w:qFormat/>
    <w:uiPriority w:val="0"/>
    <w:pPr>
      <w:spacing w:line="360" w:lineRule="auto"/>
      <w:ind w:firstLine="200" w:firstLineChars="200"/>
    </w:pPr>
    <w:rPr>
      <w:rFonts w:cs="宋体"/>
      <w:sz w:val="24"/>
    </w:rPr>
  </w:style>
  <w:style w:type="paragraph" w:customStyle="1" w:styleId="3155">
    <w:name w:val="修订2"/>
    <w:qFormat/>
    <w:uiPriority w:val="0"/>
    <w:rPr>
      <w:rFonts w:ascii="Times New Roman" w:hAnsi="Times New Roman" w:eastAsia="宋体" w:cs="Times New Roman"/>
      <w:sz w:val="24"/>
      <w:lang w:val="en-US" w:eastAsia="zh-CN" w:bidi="ar-SA"/>
    </w:rPr>
  </w:style>
  <w:style w:type="paragraph" w:customStyle="1" w:styleId="3156">
    <w:name w:val="Char74"/>
    <w:basedOn w:val="1"/>
    <w:qFormat/>
    <w:uiPriority w:val="0"/>
    <w:pPr>
      <w:adjustRightInd w:val="0"/>
      <w:snapToGrid w:val="0"/>
      <w:spacing w:line="360" w:lineRule="auto"/>
      <w:ind w:firstLine="200" w:firstLineChars="200"/>
    </w:pPr>
    <w:rPr>
      <w:rFonts w:ascii="宋体" w:hAnsi="宋体" w:cs="宋体"/>
      <w:sz w:val="24"/>
    </w:rPr>
  </w:style>
  <w:style w:type="paragraph" w:customStyle="1" w:styleId="3157">
    <w:name w:val="Normal I"/>
    <w:basedOn w:val="1"/>
    <w:qFormat/>
    <w:uiPriority w:val="0"/>
    <w:pPr>
      <w:ind w:firstLine="420" w:firstLineChars="200"/>
    </w:pPr>
    <w:rPr>
      <w:szCs w:val="21"/>
    </w:rPr>
  </w:style>
  <w:style w:type="paragraph" w:customStyle="1" w:styleId="3158">
    <w:name w:val="文本块1"/>
    <w:basedOn w:val="1"/>
    <w:qFormat/>
    <w:uiPriority w:val="0"/>
    <w:pPr>
      <w:ind w:left="113" w:right="113"/>
      <w:jc w:val="center"/>
    </w:pPr>
    <w:rPr>
      <w:b/>
      <w:bCs/>
      <w:sz w:val="18"/>
    </w:rPr>
  </w:style>
  <w:style w:type="paragraph" w:customStyle="1" w:styleId="3159">
    <w:name w:val="样式 小四 黑色 行距: 固定值 26 磅"/>
    <w:basedOn w:val="1"/>
    <w:qFormat/>
    <w:uiPriority w:val="0"/>
    <w:pPr>
      <w:spacing w:line="480" w:lineRule="exact"/>
      <w:ind w:firstLine="200" w:firstLineChars="200"/>
    </w:pPr>
    <w:rPr>
      <w:rFonts w:cs="宋体"/>
      <w:color w:val="000000"/>
      <w:sz w:val="24"/>
      <w:szCs w:val="20"/>
    </w:rPr>
  </w:style>
  <w:style w:type="paragraph" w:customStyle="1" w:styleId="3160">
    <w:name w:val="样式 小四 行距: 固定值 26 磅"/>
    <w:basedOn w:val="1"/>
    <w:qFormat/>
    <w:uiPriority w:val="0"/>
    <w:pPr>
      <w:adjustRightInd w:val="0"/>
      <w:snapToGrid w:val="0"/>
      <w:spacing w:line="360" w:lineRule="auto"/>
    </w:pPr>
    <w:rPr>
      <w:color w:val="000000"/>
      <w:sz w:val="28"/>
      <w:szCs w:val="28"/>
    </w:rPr>
  </w:style>
  <w:style w:type="paragraph" w:customStyle="1" w:styleId="3161">
    <w:name w:val="表小四中"/>
    <w:basedOn w:val="1"/>
    <w:qFormat/>
    <w:uiPriority w:val="0"/>
    <w:pPr>
      <w:tabs>
        <w:tab w:val="left" w:pos="580"/>
      </w:tabs>
      <w:adjustRightInd w:val="0"/>
      <w:snapToGrid w:val="0"/>
      <w:jc w:val="center"/>
    </w:pPr>
    <w:rPr>
      <w:bCs/>
      <w:sz w:val="24"/>
    </w:rPr>
  </w:style>
  <w:style w:type="paragraph" w:customStyle="1" w:styleId="3162">
    <w:name w:val="样式 样式 正文缩进 + 行距: 1.5 倍行距 + 首行缩进:  2 字符"/>
    <w:basedOn w:val="1"/>
    <w:qFormat/>
    <w:uiPriority w:val="0"/>
    <w:pPr>
      <w:widowControl/>
      <w:adjustRightInd w:val="0"/>
      <w:snapToGrid w:val="0"/>
      <w:spacing w:line="360" w:lineRule="auto"/>
      <w:ind w:firstLine="200" w:firstLineChars="200"/>
    </w:pPr>
    <w:rPr>
      <w:kern w:val="0"/>
      <w:sz w:val="28"/>
      <w:szCs w:val="20"/>
    </w:rPr>
  </w:style>
  <w:style w:type="paragraph" w:customStyle="1" w:styleId="3163">
    <w:name w:val="Char6"/>
    <w:basedOn w:val="1"/>
    <w:qFormat/>
    <w:uiPriority w:val="0"/>
    <w:pPr>
      <w:spacing w:line="360" w:lineRule="auto"/>
      <w:ind w:firstLine="200" w:firstLineChars="200"/>
    </w:pPr>
    <w:rPr>
      <w:rFonts w:ascii="宋体" w:hAnsi="宋体" w:cs="宋体"/>
      <w:sz w:val="24"/>
    </w:rPr>
  </w:style>
  <w:style w:type="paragraph" w:customStyle="1" w:styleId="3164">
    <w:name w:val="索引 61"/>
    <w:basedOn w:val="1"/>
    <w:next w:val="1"/>
    <w:qFormat/>
    <w:uiPriority w:val="0"/>
    <w:pPr>
      <w:ind w:left="1000" w:leftChars="1000"/>
    </w:pPr>
    <w:rPr>
      <w:rFonts w:ascii="仿宋_GB2312" w:eastAsia="仿宋_GB2312"/>
      <w:kern w:val="30"/>
      <w:sz w:val="30"/>
      <w:szCs w:val="20"/>
    </w:rPr>
  </w:style>
  <w:style w:type="paragraph" w:customStyle="1" w:styleId="3165">
    <w:name w:val="样式 样式 正文 +1 + 首行缩进:  2 字符"/>
    <w:basedOn w:val="1"/>
    <w:qFormat/>
    <w:uiPriority w:val="0"/>
    <w:pPr>
      <w:ind w:firstLine="560" w:firstLineChars="200"/>
      <w:jc w:val="left"/>
    </w:pPr>
    <w:rPr>
      <w:rFonts w:cs="宋体"/>
      <w:kern w:val="0"/>
      <w:sz w:val="28"/>
      <w:szCs w:val="20"/>
    </w:rPr>
  </w:style>
  <w:style w:type="paragraph" w:customStyle="1" w:styleId="3166">
    <w:name w:val="Char8"/>
    <w:basedOn w:val="1"/>
    <w:qFormat/>
    <w:uiPriority w:val="0"/>
    <w:pPr>
      <w:spacing w:line="360" w:lineRule="auto"/>
      <w:ind w:firstLine="200" w:firstLineChars="200"/>
    </w:pPr>
    <w:rPr>
      <w:rFonts w:ascii="宋体" w:hAnsi="宋体" w:cs="宋体"/>
      <w:sz w:val="24"/>
    </w:rPr>
  </w:style>
  <w:style w:type="paragraph" w:customStyle="1" w:styleId="3167">
    <w:name w:val="样式 正文缩进正文（首行缩进两字） Char正文（首行缩进两字） Char Chars4正文缩进 Chars4 Cha...1"/>
    <w:basedOn w:val="834"/>
    <w:qFormat/>
    <w:uiPriority w:val="0"/>
    <w:pPr>
      <w:widowControl w:val="0"/>
      <w:spacing w:line="360" w:lineRule="auto"/>
      <w:ind w:firstLine="200"/>
      <w:jc w:val="both"/>
    </w:pPr>
    <w:rPr>
      <w:rFonts w:cs="宋体"/>
      <w:szCs w:val="20"/>
      <w:lang w:val="zh-CN"/>
    </w:rPr>
  </w:style>
  <w:style w:type="paragraph" w:customStyle="1" w:styleId="3168">
    <w:name w:val="Char Char Char1 Char Char1 Char Char Char"/>
    <w:basedOn w:val="1"/>
    <w:qFormat/>
    <w:uiPriority w:val="0"/>
    <w:pPr>
      <w:spacing w:line="360" w:lineRule="auto"/>
      <w:ind w:firstLine="200" w:firstLineChars="200"/>
    </w:pPr>
    <w:rPr>
      <w:rFonts w:ascii="宋体" w:hAnsi="宋体" w:cs="宋体"/>
      <w:sz w:val="24"/>
    </w:rPr>
  </w:style>
  <w:style w:type="paragraph" w:customStyle="1" w:styleId="3169">
    <w:name w:val="Char8 Char Char Char4"/>
    <w:basedOn w:val="1"/>
    <w:qFormat/>
    <w:uiPriority w:val="0"/>
    <w:pPr>
      <w:spacing w:line="360" w:lineRule="auto"/>
      <w:ind w:firstLine="200" w:firstLineChars="200"/>
    </w:pPr>
    <w:rPr>
      <w:rFonts w:ascii="宋体" w:hAnsi="宋体" w:cs="宋体"/>
      <w:sz w:val="24"/>
    </w:rPr>
  </w:style>
  <w:style w:type="paragraph" w:customStyle="1" w:styleId="3170">
    <w:name w:val="TOC 标题14"/>
    <w:basedOn w:val="3"/>
    <w:next w:val="1"/>
    <w:qFormat/>
    <w:uiPriority w:val="39"/>
    <w:pPr>
      <w:keepNext/>
      <w:keepLines/>
      <w:widowControl/>
      <w:tabs>
        <w:tab w:val="left" w:pos="786"/>
      </w:tabs>
      <w:adjustRightInd/>
      <w:snapToGrid/>
      <w:spacing w:before="480" w:line="276" w:lineRule="auto"/>
      <w:jc w:val="left"/>
      <w:outlineLvl w:val="9"/>
    </w:pPr>
    <w:rPr>
      <w:rFonts w:ascii="Cambria" w:hAnsi="Cambria"/>
      <w:color w:val="365F91"/>
      <w:kern w:val="0"/>
      <w:sz w:val="28"/>
      <w:szCs w:val="28"/>
      <w:lang w:val="zh-CN"/>
    </w:rPr>
  </w:style>
  <w:style w:type="paragraph" w:customStyle="1" w:styleId="3171">
    <w:name w:val="Char Char Char Char Char Char Char Char Char Char Char Char Char Char Char Char Char Char4"/>
    <w:basedOn w:val="1"/>
    <w:qFormat/>
    <w:uiPriority w:val="0"/>
  </w:style>
  <w:style w:type="paragraph" w:customStyle="1" w:styleId="3172">
    <w:name w:val="Char64"/>
    <w:basedOn w:val="1"/>
    <w:qFormat/>
    <w:uiPriority w:val="0"/>
    <w:pPr>
      <w:spacing w:line="360" w:lineRule="auto"/>
      <w:ind w:firstLine="200" w:firstLineChars="200"/>
    </w:pPr>
    <w:rPr>
      <w:rFonts w:ascii="宋体" w:hAnsi="宋体" w:cs="宋体"/>
      <w:sz w:val="24"/>
    </w:rPr>
  </w:style>
  <w:style w:type="paragraph" w:customStyle="1" w:styleId="3173">
    <w:name w:val="Char4 Char Char Char Char Char Char5"/>
    <w:basedOn w:val="1"/>
    <w:qFormat/>
    <w:uiPriority w:val="0"/>
    <w:pPr>
      <w:spacing w:line="360" w:lineRule="auto"/>
    </w:pPr>
    <w:rPr>
      <w:rFonts w:ascii="宋体" w:hAnsi="宋体" w:cs="宋体"/>
      <w:sz w:val="24"/>
    </w:rPr>
  </w:style>
  <w:style w:type="paragraph" w:customStyle="1" w:styleId="3174">
    <w:name w:val="Char84"/>
    <w:basedOn w:val="1"/>
    <w:qFormat/>
    <w:uiPriority w:val="0"/>
    <w:pPr>
      <w:spacing w:line="360" w:lineRule="auto"/>
      <w:ind w:firstLine="200" w:firstLineChars="200"/>
    </w:pPr>
    <w:rPr>
      <w:rFonts w:ascii="宋体" w:hAnsi="宋体" w:cs="宋体"/>
      <w:sz w:val="24"/>
    </w:rPr>
  </w:style>
  <w:style w:type="paragraph" w:customStyle="1" w:styleId="3175">
    <w:name w:val="Char Char Char1 Char Char1 Char Char Char4"/>
    <w:basedOn w:val="1"/>
    <w:qFormat/>
    <w:uiPriority w:val="0"/>
    <w:pPr>
      <w:spacing w:line="360" w:lineRule="auto"/>
      <w:ind w:firstLine="200" w:firstLineChars="200"/>
    </w:pPr>
    <w:rPr>
      <w:rFonts w:ascii="宋体" w:hAnsi="宋体" w:cs="宋体"/>
      <w:sz w:val="24"/>
    </w:rPr>
  </w:style>
  <w:style w:type="paragraph" w:customStyle="1" w:styleId="3176">
    <w:name w:val="索引 51"/>
    <w:basedOn w:val="1"/>
    <w:next w:val="1"/>
    <w:qFormat/>
    <w:uiPriority w:val="0"/>
    <w:pPr>
      <w:ind w:left="800" w:leftChars="800"/>
    </w:pPr>
    <w:rPr>
      <w:rFonts w:ascii="仿宋_GB2312" w:eastAsia="仿宋_GB2312"/>
      <w:kern w:val="30"/>
      <w:sz w:val="30"/>
      <w:szCs w:val="20"/>
    </w:rPr>
  </w:style>
  <w:style w:type="paragraph" w:customStyle="1" w:styleId="3177">
    <w:name w:val="样式 样式 左侧:  -0.15 厘米 + 左侧:  -0.17 厘米"/>
    <w:basedOn w:val="1"/>
    <w:qFormat/>
    <w:uiPriority w:val="0"/>
    <w:pPr>
      <w:adjustRightInd w:val="0"/>
      <w:snapToGrid w:val="0"/>
      <w:spacing w:line="360" w:lineRule="auto"/>
      <w:ind w:left="-96" w:firstLine="504"/>
      <w:textAlignment w:val="baseline"/>
    </w:pPr>
    <w:rPr>
      <w:rFonts w:ascii="Arial" w:hAnsi="Arial"/>
      <w:sz w:val="24"/>
      <w:szCs w:val="20"/>
    </w:rPr>
  </w:style>
  <w:style w:type="paragraph" w:customStyle="1" w:styleId="3178">
    <w:name w:val="索引 71"/>
    <w:basedOn w:val="1"/>
    <w:next w:val="1"/>
    <w:qFormat/>
    <w:uiPriority w:val="0"/>
    <w:pPr>
      <w:ind w:left="1200" w:leftChars="1200"/>
    </w:pPr>
    <w:rPr>
      <w:rFonts w:ascii="仿宋_GB2312" w:eastAsia="仿宋_GB2312"/>
      <w:kern w:val="30"/>
      <w:sz w:val="30"/>
      <w:szCs w:val="20"/>
    </w:rPr>
  </w:style>
  <w:style w:type="paragraph" w:customStyle="1" w:styleId="3179">
    <w:name w:val="索引 31"/>
    <w:basedOn w:val="1"/>
    <w:next w:val="1"/>
    <w:qFormat/>
    <w:uiPriority w:val="0"/>
    <w:pPr>
      <w:ind w:left="400" w:leftChars="400"/>
    </w:pPr>
    <w:rPr>
      <w:rFonts w:ascii="仿宋_GB2312" w:eastAsia="仿宋_GB2312"/>
      <w:kern w:val="30"/>
      <w:sz w:val="30"/>
      <w:szCs w:val="20"/>
    </w:rPr>
  </w:style>
  <w:style w:type="paragraph" w:customStyle="1" w:styleId="3180">
    <w:name w:val="仿宋体"/>
    <w:basedOn w:val="1"/>
    <w:qFormat/>
    <w:uiPriority w:val="0"/>
    <w:pPr>
      <w:widowControl/>
      <w:spacing w:line="844" w:lineRule="atLeast"/>
      <w:ind w:firstLine="419"/>
      <w:textAlignment w:val="baseline"/>
    </w:pPr>
    <w:rPr>
      <w:rFonts w:eastAsia="仿宋_GB2312"/>
      <w:color w:val="000000"/>
      <w:kern w:val="0"/>
      <w:sz w:val="31"/>
      <w:szCs w:val="20"/>
      <w:u w:color="000000"/>
    </w:rPr>
  </w:style>
  <w:style w:type="paragraph" w:customStyle="1" w:styleId="3181">
    <w:name w:val="引文目录1"/>
    <w:basedOn w:val="1"/>
    <w:next w:val="1"/>
    <w:qFormat/>
    <w:uiPriority w:val="0"/>
    <w:pPr>
      <w:ind w:left="420" w:leftChars="200"/>
    </w:pPr>
    <w:rPr>
      <w:szCs w:val="20"/>
    </w:rPr>
  </w:style>
  <w:style w:type="paragraph" w:customStyle="1" w:styleId="3182">
    <w:name w:val="索引 41"/>
    <w:basedOn w:val="1"/>
    <w:next w:val="1"/>
    <w:qFormat/>
    <w:uiPriority w:val="0"/>
    <w:pPr>
      <w:ind w:left="600" w:leftChars="600"/>
    </w:pPr>
    <w:rPr>
      <w:szCs w:val="20"/>
    </w:rPr>
  </w:style>
  <w:style w:type="paragraph" w:customStyle="1" w:styleId="3183">
    <w:name w:val="索引 21"/>
    <w:basedOn w:val="1"/>
    <w:next w:val="1"/>
    <w:qFormat/>
    <w:uiPriority w:val="0"/>
    <w:pPr>
      <w:ind w:left="200" w:leftChars="200"/>
    </w:pPr>
    <w:rPr>
      <w:rFonts w:ascii="仿宋_GB2312" w:eastAsia="仿宋_GB2312"/>
      <w:kern w:val="30"/>
      <w:sz w:val="30"/>
      <w:szCs w:val="20"/>
    </w:rPr>
  </w:style>
  <w:style w:type="paragraph" w:customStyle="1" w:styleId="3184">
    <w:name w:val="缩五"/>
    <w:basedOn w:val="1"/>
    <w:qFormat/>
    <w:uiPriority w:val="0"/>
    <w:pPr>
      <w:tabs>
        <w:tab w:val="right" w:pos="8320"/>
      </w:tabs>
      <w:spacing w:line="360" w:lineRule="auto"/>
      <w:ind w:firstLine="480" w:firstLineChars="200"/>
    </w:pPr>
    <w:rPr>
      <w:color w:val="000000"/>
      <w:sz w:val="24"/>
      <w:szCs w:val="20"/>
    </w:rPr>
  </w:style>
  <w:style w:type="paragraph" w:customStyle="1" w:styleId="3185">
    <w:name w:val="样式 样式 宋体 小四 行距: 1.5 倍行距 + 首行缩进:  2 字符"/>
    <w:basedOn w:val="1"/>
    <w:qFormat/>
    <w:uiPriority w:val="0"/>
    <w:pPr>
      <w:spacing w:line="360" w:lineRule="auto"/>
      <w:ind w:firstLine="560" w:firstLineChars="200"/>
    </w:pPr>
    <w:rPr>
      <w:rFonts w:ascii="宋体" w:hAnsi="宋体" w:eastAsia="仿宋_GB2312" w:cs="宋体"/>
      <w:sz w:val="28"/>
      <w:szCs w:val="20"/>
    </w:rPr>
  </w:style>
  <w:style w:type="paragraph" w:customStyle="1" w:styleId="3186">
    <w:name w:val="标题 5 + 黑体"/>
    <w:basedOn w:val="5"/>
    <w:qFormat/>
    <w:uiPriority w:val="0"/>
    <w:pPr>
      <w:spacing w:before="50" w:beforeLines="50" w:after="0" w:afterLines="50" w:line="420" w:lineRule="atLeast"/>
    </w:pPr>
    <w:rPr>
      <w:rFonts w:ascii="黑体" w:hAnsi="宋体" w:eastAsia="黑体"/>
      <w:b w:val="0"/>
      <w:kern w:val="0"/>
      <w:sz w:val="24"/>
      <w:szCs w:val="24"/>
      <w:lang w:val="zh-CN"/>
    </w:rPr>
  </w:style>
  <w:style w:type="character" w:customStyle="1" w:styleId="3187">
    <w:name w:val="纯文本 Char2"/>
    <w:qFormat/>
    <w:uiPriority w:val="0"/>
    <w:rPr>
      <w:rFonts w:ascii="宋体" w:hAnsi="Courier New" w:cs="Courier New"/>
      <w:kern w:val="2"/>
      <w:sz w:val="21"/>
      <w:szCs w:val="21"/>
    </w:rPr>
  </w:style>
  <w:style w:type="character" w:customStyle="1" w:styleId="3188">
    <w:name w:val="表文 Char"/>
    <w:qFormat/>
    <w:uiPriority w:val="0"/>
    <w:rPr>
      <w:rFonts w:ascii="Times New Roman" w:hAnsi="Times New Roman" w:eastAsia="宋体" w:cs="Times New Roman"/>
      <w:sz w:val="24"/>
      <w:szCs w:val="20"/>
    </w:rPr>
  </w:style>
  <w:style w:type="character" w:customStyle="1" w:styleId="3189">
    <w:name w:val="Header Char"/>
    <w:qFormat/>
    <w:locked/>
    <w:uiPriority w:val="0"/>
    <w:rPr>
      <w:rFonts w:cs="Times New Roman"/>
      <w:sz w:val="18"/>
      <w:szCs w:val="18"/>
    </w:rPr>
  </w:style>
  <w:style w:type="character" w:customStyle="1" w:styleId="3190">
    <w:name w:val="Footer Char"/>
    <w:qFormat/>
    <w:locked/>
    <w:uiPriority w:val="0"/>
    <w:rPr>
      <w:rFonts w:cs="Times New Roman"/>
      <w:sz w:val="18"/>
      <w:szCs w:val="18"/>
    </w:rPr>
  </w:style>
  <w:style w:type="character" w:customStyle="1" w:styleId="3191">
    <w:name w:val="Page Number1"/>
    <w:qFormat/>
    <w:uiPriority w:val="0"/>
    <w:rPr>
      <w:rFonts w:cs="Times New Roman"/>
    </w:rPr>
  </w:style>
  <w:style w:type="character" w:customStyle="1" w:styleId="3192">
    <w:name w:val="样式 表（或图）标题 样式 宋体 五号 居中 SL CON + 非加粗 Char Char"/>
    <w:qFormat/>
    <w:uiPriority w:val="0"/>
    <w:rPr>
      <w:b/>
      <w:sz w:val="21"/>
    </w:rPr>
  </w:style>
  <w:style w:type="character" w:customStyle="1" w:styleId="3193">
    <w:name w:val="样式 样式 标题ljm + 首行缩进:  2 字符 + 首行缩进:  2 字符1 Char"/>
    <w:qFormat/>
    <w:uiPriority w:val="0"/>
    <w:rPr>
      <w:rFonts w:cs="宋体"/>
      <w:b/>
      <w:bCs/>
      <w:kern w:val="2"/>
      <w:sz w:val="24"/>
    </w:rPr>
  </w:style>
  <w:style w:type="paragraph" w:customStyle="1" w:styleId="3194">
    <w:name w:val="正文文本1"/>
    <w:basedOn w:val="1"/>
    <w:qFormat/>
    <w:uiPriority w:val="0"/>
    <w:pPr>
      <w:spacing w:after="120"/>
    </w:pPr>
    <w:rPr>
      <w:sz w:val="15"/>
    </w:rPr>
  </w:style>
  <w:style w:type="character" w:customStyle="1" w:styleId="3195">
    <w:name w:val="H7 Char Char"/>
    <w:qFormat/>
    <w:uiPriority w:val="0"/>
    <w:rPr>
      <w:rFonts w:eastAsia="宋体"/>
      <w:b/>
      <w:kern w:val="2"/>
      <w:sz w:val="24"/>
      <w:lang w:val="en-US" w:eastAsia="zh-CN" w:bidi="ar-SA"/>
    </w:rPr>
  </w:style>
  <w:style w:type="character" w:customStyle="1" w:styleId="3196">
    <w:name w:val="Char Char76"/>
    <w:qFormat/>
    <w:uiPriority w:val="0"/>
    <w:rPr>
      <w:rFonts w:ascii="Times New Roman" w:hAnsi="Times New Roman" w:eastAsia="宋体" w:cs="Times New Roman"/>
      <w:sz w:val="18"/>
      <w:szCs w:val="20"/>
    </w:rPr>
  </w:style>
  <w:style w:type="character" w:customStyle="1" w:styleId="3197">
    <w:name w:val="Char Char15"/>
    <w:qFormat/>
    <w:uiPriority w:val="0"/>
    <w:rPr>
      <w:rFonts w:eastAsia="宋体"/>
      <w:kern w:val="2"/>
      <w:sz w:val="21"/>
      <w:szCs w:val="24"/>
      <w:lang w:val="en-US" w:eastAsia="zh-CN" w:bidi="ar-SA"/>
    </w:rPr>
  </w:style>
  <w:style w:type="character" w:customStyle="1" w:styleId="3198">
    <w:name w:val="Char Char144"/>
    <w:qFormat/>
    <w:uiPriority w:val="0"/>
    <w:rPr>
      <w:rFonts w:eastAsia="宋体"/>
      <w:kern w:val="2"/>
      <w:sz w:val="21"/>
      <w:szCs w:val="24"/>
      <w:lang w:val="en-US" w:eastAsia="zh-CN" w:bidi="ar-SA"/>
    </w:rPr>
  </w:style>
  <w:style w:type="character" w:customStyle="1" w:styleId="3199">
    <w:name w:val="Char Char16"/>
    <w:qFormat/>
    <w:uiPriority w:val="0"/>
    <w:rPr>
      <w:rFonts w:ascii="Courier New" w:hAnsi="Courier New" w:eastAsia="宋体" w:cs="Courier New"/>
      <w:kern w:val="2"/>
      <w:lang w:val="en-US" w:eastAsia="zh-CN" w:bidi="ar-SA"/>
    </w:rPr>
  </w:style>
  <w:style w:type="character" w:customStyle="1" w:styleId="3200">
    <w:name w:val="Char Char612"/>
    <w:qFormat/>
    <w:uiPriority w:val="0"/>
    <w:rPr>
      <w:rFonts w:eastAsia="宋体"/>
      <w:kern w:val="2"/>
      <w:sz w:val="21"/>
      <w:szCs w:val="24"/>
      <w:lang w:val="en-US" w:eastAsia="zh-CN" w:bidi="ar-SA"/>
    </w:rPr>
  </w:style>
  <w:style w:type="character" w:customStyle="1" w:styleId="3201">
    <w:name w:val="二级标题 Char5"/>
    <w:qFormat/>
    <w:uiPriority w:val="0"/>
    <w:rPr>
      <w:rFonts w:ascii="黑体" w:hAnsi="Arial" w:eastAsia="黑体"/>
      <w:b/>
      <w:bCs/>
      <w:kern w:val="2"/>
      <w:sz w:val="32"/>
      <w:szCs w:val="32"/>
      <w:lang w:val="en-US" w:eastAsia="zh-CN" w:bidi="ar-SA"/>
    </w:rPr>
  </w:style>
  <w:style w:type="character" w:customStyle="1" w:styleId="3202">
    <w:name w:val="Char Char124"/>
    <w:qFormat/>
    <w:uiPriority w:val="0"/>
    <w:rPr>
      <w:rFonts w:ascii="Arial" w:hAnsi="Arial" w:eastAsia="黑体" w:cs="Arial"/>
      <w:kern w:val="2"/>
      <w:lang w:val="en-US" w:eastAsia="zh-CN" w:bidi="ar-SA"/>
    </w:rPr>
  </w:style>
  <w:style w:type="paragraph" w:customStyle="1" w:styleId="3203">
    <w:name w:val="_Style 7"/>
    <w:basedOn w:val="1"/>
    <w:uiPriority w:val="0"/>
    <w:rPr>
      <w:rFonts w:ascii="Arial" w:hAnsi="Arial" w:eastAsia="仿宋_GB2312" w:cs="Courier New"/>
      <w:bCs/>
      <w:sz w:val="28"/>
      <w:szCs w:val="21"/>
    </w:rPr>
  </w:style>
  <w:style w:type="paragraph" w:customStyle="1" w:styleId="3204">
    <w:name w:val="Char Char23 Char Char Char Char Char Char Char Char Char Char Char Char Char Char Char Char"/>
    <w:basedOn w:val="1"/>
    <w:qFormat/>
    <w:uiPriority w:val="0"/>
    <w:rPr>
      <w:rFonts w:ascii="宋体" w:hAnsi="宋体" w:cs="宋体"/>
      <w:sz w:val="24"/>
    </w:rPr>
  </w:style>
  <w:style w:type="paragraph" w:customStyle="1" w:styleId="3205">
    <w:name w:val="Char Char23 Char Char Char Char Char Char Char Char Char Char Char Char Char Char Char Char Char Char Char Char"/>
    <w:basedOn w:val="1"/>
    <w:qFormat/>
    <w:uiPriority w:val="0"/>
    <w:rPr>
      <w:rFonts w:ascii="宋体" w:hAnsi="宋体" w:cs="宋体"/>
      <w:sz w:val="24"/>
    </w:rPr>
  </w:style>
  <w:style w:type="paragraph" w:customStyle="1" w:styleId="3206">
    <w:name w:val="font2"/>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3207">
    <w:name w:val="font3"/>
    <w:basedOn w:val="1"/>
    <w:qFormat/>
    <w:uiPriority w:val="0"/>
    <w:pPr>
      <w:widowControl/>
      <w:spacing w:before="100" w:beforeAutospacing="1" w:after="100" w:afterAutospacing="1"/>
      <w:jc w:val="left"/>
    </w:pPr>
    <w:rPr>
      <w:color w:val="000000"/>
      <w:kern w:val="0"/>
      <w:sz w:val="18"/>
      <w:szCs w:val="18"/>
      <w:vertAlign w:val="superscript"/>
    </w:rPr>
  </w:style>
  <w:style w:type="paragraph" w:customStyle="1" w:styleId="3208">
    <w:name w:val="et10"/>
    <w:basedOn w:val="1"/>
    <w:qFormat/>
    <w:uiPriority w:val="0"/>
    <w:pPr>
      <w:widowControl/>
      <w:pBdr>
        <w:left w:val="single" w:color="000000" w:sz="4" w:space="0"/>
        <w:bottom w:val="single" w:color="000000" w:sz="18" w:space="0"/>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09">
    <w:name w:val="et11"/>
    <w:basedOn w:val="1"/>
    <w:qFormat/>
    <w:uiPriority w:val="0"/>
    <w:pPr>
      <w:widowControl/>
      <w:pBdr>
        <w:left w:val="single" w:color="000000" w:sz="4" w:space="0"/>
        <w:bottom w:val="single" w:color="000000" w:sz="12" w:space="0"/>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10">
    <w:name w:val="et12"/>
    <w:basedOn w:val="1"/>
    <w:qFormat/>
    <w:uiPriority w:val="0"/>
    <w:pPr>
      <w:widowControl/>
      <w:pBdr>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11">
    <w:name w:val="et13"/>
    <w:basedOn w:val="1"/>
    <w:qFormat/>
    <w:uiPriority w:val="0"/>
    <w:pPr>
      <w:widowControl/>
      <w:pBdr>
        <w:top w:val="single" w:color="000000" w:sz="18" w:space="0"/>
        <w:left w:val="single" w:color="000000" w:sz="4" w:space="0"/>
        <w:bottom w:val="single" w:color="000000" w:sz="12" w:space="0"/>
        <w:right w:val="single" w:color="000000" w:sz="12" w:space="0"/>
      </w:pBdr>
      <w:spacing w:before="100" w:beforeAutospacing="1" w:after="100" w:afterAutospacing="1"/>
      <w:jc w:val="center"/>
      <w:textAlignment w:val="bottom"/>
    </w:pPr>
    <w:rPr>
      <w:rFonts w:ascii="宋体" w:hAnsi="宋体" w:cs="宋体"/>
      <w:color w:val="000000"/>
      <w:kern w:val="0"/>
      <w:sz w:val="18"/>
      <w:szCs w:val="18"/>
    </w:rPr>
  </w:style>
  <w:style w:type="paragraph" w:customStyle="1" w:styleId="3212">
    <w:name w:val="et14"/>
    <w:basedOn w:val="1"/>
    <w:qFormat/>
    <w:uiPriority w:val="0"/>
    <w:pPr>
      <w:widowControl/>
      <w:pBdr>
        <w:top w:val="single" w:color="000000" w:sz="4" w:space="0"/>
        <w:left w:val="single" w:color="000000" w:sz="4" w:space="0"/>
        <w:bottom w:val="single" w:color="000000" w:sz="12" w:space="0"/>
        <w:right w:val="single" w:color="000000"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13">
    <w:name w:val="et15"/>
    <w:basedOn w:val="1"/>
    <w:qFormat/>
    <w:uiPriority w:val="0"/>
    <w:pPr>
      <w:widowControl/>
      <w:pBdr>
        <w:top w:val="single" w:color="000000" w:sz="18" w:space="0"/>
        <w:left w:val="single" w:color="000000" w:sz="4" w:space="0"/>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14">
    <w:name w:val="et16"/>
    <w:basedOn w:val="1"/>
    <w:qFormat/>
    <w:uiPriority w:val="0"/>
    <w:pPr>
      <w:widowControl/>
      <w:pBdr>
        <w:top w:val="single" w:color="000000" w:sz="18" w:space="0"/>
        <w:bottom w:val="single" w:color="000000" w:sz="12" w:space="0"/>
        <w:right w:val="single" w:color="000000" w:sz="12" w:space="0"/>
      </w:pBdr>
      <w:spacing w:before="100" w:beforeAutospacing="1" w:after="100" w:afterAutospacing="1"/>
      <w:jc w:val="center"/>
      <w:textAlignment w:val="bottom"/>
    </w:pPr>
    <w:rPr>
      <w:rFonts w:ascii="宋体" w:hAnsi="宋体" w:cs="宋体"/>
      <w:color w:val="000000"/>
      <w:kern w:val="0"/>
      <w:sz w:val="18"/>
      <w:szCs w:val="18"/>
    </w:rPr>
  </w:style>
  <w:style w:type="paragraph" w:customStyle="1" w:styleId="3215">
    <w:name w:val="et17"/>
    <w:basedOn w:val="1"/>
    <w:qFormat/>
    <w:uiPriority w:val="0"/>
    <w:pPr>
      <w:widowControl/>
      <w:pBdr>
        <w:top w:val="single" w:color="000000" w:sz="18" w:space="0"/>
        <w:bottom w:val="single" w:color="000000" w:sz="12" w:space="0"/>
        <w:right w:val="single" w:color="000000" w:sz="4" w:space="0"/>
      </w:pBdr>
      <w:spacing w:before="100" w:beforeAutospacing="1" w:after="100" w:afterAutospacing="1"/>
      <w:jc w:val="center"/>
      <w:textAlignment w:val="bottom"/>
    </w:pPr>
    <w:rPr>
      <w:rFonts w:ascii="宋体" w:hAnsi="宋体" w:cs="宋体"/>
      <w:color w:val="000000"/>
      <w:kern w:val="0"/>
      <w:sz w:val="18"/>
      <w:szCs w:val="18"/>
    </w:rPr>
  </w:style>
  <w:style w:type="paragraph" w:customStyle="1" w:styleId="3216">
    <w:name w:val="et18"/>
    <w:basedOn w:val="1"/>
    <w:qFormat/>
    <w:uiPriority w:val="0"/>
    <w:pPr>
      <w:widowControl/>
      <w:pBdr>
        <w:left w:val="single" w:color="000000" w:sz="4" w:space="0"/>
        <w:bottom w:val="single" w:color="000000" w:sz="18" w:space="0"/>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17">
    <w:name w:val="et19"/>
    <w:basedOn w:val="1"/>
    <w:qFormat/>
    <w:uiPriority w:val="0"/>
    <w:pPr>
      <w:widowControl/>
      <w:pBdr>
        <w:left w:val="single" w:color="000000" w:sz="4" w:space="0"/>
        <w:bottom w:val="single" w:color="000000" w:sz="12" w:space="0"/>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18">
    <w:name w:val="et20"/>
    <w:basedOn w:val="1"/>
    <w:qFormat/>
    <w:uiPriority w:val="0"/>
    <w:pPr>
      <w:widowControl/>
      <w:pBdr>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19">
    <w:name w:val="et21"/>
    <w:basedOn w:val="1"/>
    <w:qFormat/>
    <w:uiPriority w:val="0"/>
    <w:pPr>
      <w:widowControl/>
      <w:pBdr>
        <w:top w:val="single" w:color="000000" w:sz="4" w:space="0"/>
        <w:left w:val="single" w:color="000000" w:sz="4" w:space="0"/>
        <w:bottom w:val="single" w:color="000000" w:sz="12" w:space="0"/>
        <w:right w:val="single" w:color="000000"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20">
    <w:name w:val="et22"/>
    <w:basedOn w:val="1"/>
    <w:qFormat/>
    <w:uiPriority w:val="0"/>
    <w:pPr>
      <w:widowControl/>
      <w:pBdr>
        <w:top w:val="single" w:color="000000" w:sz="18" w:space="0"/>
        <w:left w:val="single" w:color="000000" w:sz="4" w:space="0"/>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21">
    <w:name w:val="et23"/>
    <w:basedOn w:val="1"/>
    <w:qFormat/>
    <w:uiPriority w:val="0"/>
    <w:pPr>
      <w:widowControl/>
      <w:pBdr>
        <w:left w:val="single" w:color="000000" w:sz="4" w:space="0"/>
        <w:bottom w:val="single" w:color="000000" w:sz="18" w:space="0"/>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22">
    <w:name w:val="et24"/>
    <w:basedOn w:val="1"/>
    <w:qFormat/>
    <w:uiPriority w:val="0"/>
    <w:pPr>
      <w:widowControl/>
      <w:pBdr>
        <w:left w:val="single" w:color="000000" w:sz="4" w:space="0"/>
        <w:bottom w:val="single" w:color="000000" w:sz="12" w:space="0"/>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23">
    <w:name w:val="et25"/>
    <w:basedOn w:val="1"/>
    <w:qFormat/>
    <w:uiPriority w:val="0"/>
    <w:pPr>
      <w:widowControl/>
      <w:pBdr>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24">
    <w:name w:val="et26"/>
    <w:basedOn w:val="1"/>
    <w:qFormat/>
    <w:uiPriority w:val="0"/>
    <w:pPr>
      <w:widowControl/>
      <w:pBdr>
        <w:top w:val="single" w:color="000000" w:sz="4" w:space="0"/>
        <w:left w:val="single" w:color="000000" w:sz="4" w:space="0"/>
        <w:bottom w:val="single" w:color="000000" w:sz="12" w:space="0"/>
        <w:right w:val="single" w:color="000000"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25">
    <w:name w:val="et27"/>
    <w:basedOn w:val="1"/>
    <w:qFormat/>
    <w:uiPriority w:val="0"/>
    <w:pPr>
      <w:widowControl/>
      <w:pBdr>
        <w:top w:val="single" w:color="000000" w:sz="18" w:space="0"/>
        <w:left w:val="single" w:color="000000" w:sz="4" w:space="0"/>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26">
    <w:name w:val="et28"/>
    <w:basedOn w:val="1"/>
    <w:qFormat/>
    <w:uiPriority w:val="0"/>
    <w:pPr>
      <w:widowControl/>
      <w:pBdr>
        <w:left w:val="single" w:color="000000" w:sz="4" w:space="0"/>
        <w:bottom w:val="single" w:color="000000" w:sz="18" w:space="0"/>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27">
    <w:name w:val="et29"/>
    <w:basedOn w:val="1"/>
    <w:qFormat/>
    <w:uiPriority w:val="0"/>
    <w:pPr>
      <w:widowControl/>
      <w:pBdr>
        <w:left w:val="single" w:color="000000" w:sz="4" w:space="0"/>
        <w:bottom w:val="single" w:color="000000" w:sz="12" w:space="0"/>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28">
    <w:name w:val="et30"/>
    <w:basedOn w:val="1"/>
    <w:qFormat/>
    <w:uiPriority w:val="0"/>
    <w:pPr>
      <w:widowControl/>
      <w:pBdr>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29">
    <w:name w:val="et31"/>
    <w:basedOn w:val="1"/>
    <w:qFormat/>
    <w:uiPriority w:val="0"/>
    <w:pPr>
      <w:widowControl/>
      <w:pBdr>
        <w:top w:val="single" w:color="000000" w:sz="4" w:space="0"/>
        <w:left w:val="single" w:color="000000" w:sz="4" w:space="0"/>
        <w:bottom w:val="single" w:color="000000" w:sz="12" w:space="0"/>
        <w:right w:val="single" w:color="000000"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30">
    <w:name w:val="et32"/>
    <w:basedOn w:val="1"/>
    <w:qFormat/>
    <w:uiPriority w:val="0"/>
    <w:pPr>
      <w:widowControl/>
      <w:pBdr>
        <w:top w:val="single" w:color="000000" w:sz="18" w:space="0"/>
        <w:left w:val="single" w:color="000000" w:sz="4" w:space="0"/>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31">
    <w:name w:val="et33"/>
    <w:basedOn w:val="1"/>
    <w:qFormat/>
    <w:uiPriority w:val="0"/>
    <w:pPr>
      <w:widowControl/>
      <w:pBdr>
        <w:top w:val="single" w:color="000000" w:sz="18" w:space="0"/>
        <w:bottom w:val="single" w:color="000000" w:sz="12" w:space="0"/>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32">
    <w:name w:val="et34"/>
    <w:basedOn w:val="1"/>
    <w:qFormat/>
    <w:uiPriority w:val="0"/>
    <w:pPr>
      <w:widowControl/>
      <w:pBdr>
        <w:top w:val="single" w:color="000000" w:sz="18" w:space="0"/>
        <w:bottom w:val="single" w:color="000000" w:sz="12" w:space="0"/>
        <w:right w:val="single" w:color="000000" w:sz="12" w:space="0"/>
      </w:pBdr>
      <w:spacing w:before="100" w:beforeAutospacing="1" w:after="100" w:afterAutospacing="1"/>
      <w:jc w:val="center"/>
      <w:textAlignment w:val="bottom"/>
    </w:pPr>
    <w:rPr>
      <w:color w:val="000000"/>
      <w:kern w:val="0"/>
      <w:sz w:val="18"/>
      <w:szCs w:val="18"/>
    </w:rPr>
  </w:style>
  <w:style w:type="paragraph" w:customStyle="1" w:styleId="3233">
    <w:name w:val="et35"/>
    <w:basedOn w:val="1"/>
    <w:qFormat/>
    <w:uiPriority w:val="0"/>
    <w:pPr>
      <w:widowControl/>
      <w:pBdr>
        <w:top w:val="single" w:color="000000" w:sz="18" w:space="0"/>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34">
    <w:name w:val="et36"/>
    <w:basedOn w:val="1"/>
    <w:qFormat/>
    <w:uiPriority w:val="0"/>
    <w:pPr>
      <w:widowControl/>
      <w:pBdr>
        <w:top w:val="single" w:color="000000" w:sz="18" w:space="0"/>
        <w:bottom w:val="single" w:color="000000" w:sz="12" w:space="0"/>
        <w:right w:val="single" w:color="000000"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35">
    <w:name w:val="et37"/>
    <w:basedOn w:val="1"/>
    <w:qFormat/>
    <w:uiPriority w:val="0"/>
    <w:pPr>
      <w:widowControl/>
      <w:pBdr>
        <w:top w:val="single" w:color="000000" w:sz="18" w:space="0"/>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36">
    <w:name w:val="et38"/>
    <w:basedOn w:val="1"/>
    <w:qFormat/>
    <w:uiPriority w:val="0"/>
    <w:pPr>
      <w:widowControl/>
      <w:pBdr>
        <w:top w:val="single" w:color="000000" w:sz="18" w:space="0"/>
        <w:bottom w:val="single" w:color="000000" w:sz="12" w:space="0"/>
        <w:right w:val="single" w:color="000000"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37">
    <w:name w:val="et39"/>
    <w:basedOn w:val="1"/>
    <w:qFormat/>
    <w:uiPriority w:val="0"/>
    <w:pPr>
      <w:widowControl/>
      <w:pBdr>
        <w:top w:val="single" w:color="000000" w:sz="18" w:space="0"/>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38">
    <w:name w:val="et40"/>
    <w:basedOn w:val="1"/>
    <w:qFormat/>
    <w:uiPriority w:val="0"/>
    <w:pPr>
      <w:widowControl/>
      <w:pBdr>
        <w:top w:val="single" w:color="000000" w:sz="18" w:space="0"/>
        <w:bottom w:val="single" w:color="000000" w:sz="12" w:space="0"/>
        <w:right w:val="single" w:color="000000"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39">
    <w:name w:val="et41"/>
    <w:basedOn w:val="1"/>
    <w:qFormat/>
    <w:uiPriority w:val="0"/>
    <w:pPr>
      <w:widowControl/>
      <w:pBdr>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40">
    <w:name w:val="et42"/>
    <w:basedOn w:val="1"/>
    <w:qFormat/>
    <w:uiPriority w:val="0"/>
    <w:pPr>
      <w:widowControl/>
      <w:pBdr>
        <w:bottom w:val="single" w:color="000000" w:sz="12" w:space="0"/>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41">
    <w:name w:val="et43"/>
    <w:basedOn w:val="1"/>
    <w:qFormat/>
    <w:uiPriority w:val="0"/>
    <w:pPr>
      <w:widowControl/>
      <w:pBdr>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42">
    <w:name w:val="et44"/>
    <w:basedOn w:val="1"/>
    <w:qFormat/>
    <w:uiPriority w:val="0"/>
    <w:pPr>
      <w:widowControl/>
      <w:pBdr>
        <w:bottom w:val="single" w:color="000000" w:sz="12" w:space="0"/>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43">
    <w:name w:val="et45"/>
    <w:basedOn w:val="1"/>
    <w:qFormat/>
    <w:uiPriority w:val="0"/>
    <w:pPr>
      <w:widowControl/>
      <w:pBdr>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44">
    <w:name w:val="et46"/>
    <w:basedOn w:val="1"/>
    <w:qFormat/>
    <w:uiPriority w:val="0"/>
    <w:pPr>
      <w:widowControl/>
      <w:pBdr>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45">
    <w:name w:val="et47"/>
    <w:basedOn w:val="1"/>
    <w:qFormat/>
    <w:uiPriority w:val="0"/>
    <w:pPr>
      <w:widowControl/>
      <w:pBdr>
        <w:bottom w:val="single" w:color="000000" w:sz="12" w:space="0"/>
        <w:right w:val="single" w:color="000000" w:sz="12"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46">
    <w:name w:val="et48"/>
    <w:basedOn w:val="1"/>
    <w:qFormat/>
    <w:uiPriority w:val="0"/>
    <w:pPr>
      <w:widowControl/>
      <w:pBdr>
        <w:bottom w:val="single" w:color="000000" w:sz="12" w:space="0"/>
        <w:right w:val="single" w:color="000000" w:sz="12" w:space="0"/>
      </w:pBdr>
      <w:spacing w:before="100" w:beforeAutospacing="1" w:after="100" w:afterAutospacing="1"/>
      <w:jc w:val="center"/>
      <w:textAlignment w:val="center"/>
    </w:pPr>
    <w:rPr>
      <w:color w:val="000000"/>
      <w:kern w:val="0"/>
      <w:sz w:val="18"/>
      <w:szCs w:val="18"/>
    </w:rPr>
  </w:style>
  <w:style w:type="paragraph" w:customStyle="1" w:styleId="3247">
    <w:name w:val="et49"/>
    <w:basedOn w:val="1"/>
    <w:qFormat/>
    <w:uiPriority w:val="0"/>
    <w:pPr>
      <w:widowControl/>
      <w:pBdr>
        <w:bottom w:val="single" w:color="000000" w:sz="12" w:space="0"/>
        <w:right w:val="single" w:color="000000" w:sz="12" w:space="0"/>
      </w:pBdr>
      <w:spacing w:before="100" w:beforeAutospacing="1" w:after="100" w:afterAutospacing="1"/>
      <w:jc w:val="center"/>
      <w:textAlignment w:val="center"/>
    </w:pPr>
    <w:rPr>
      <w:color w:val="000000"/>
      <w:kern w:val="0"/>
      <w:sz w:val="18"/>
      <w:szCs w:val="18"/>
    </w:rPr>
  </w:style>
  <w:style w:type="character" w:customStyle="1" w:styleId="3248">
    <w:name w:val="font31"/>
    <w:qFormat/>
    <w:uiPriority w:val="0"/>
    <w:rPr>
      <w:rFonts w:hint="default" w:ascii="Times New Roman" w:hAnsi="Times New Roman" w:cs="Times New Roman"/>
      <w:color w:val="000000"/>
      <w:sz w:val="18"/>
      <w:szCs w:val="18"/>
      <w:u w:val="none"/>
      <w:vertAlign w:val="superscript"/>
    </w:rPr>
  </w:style>
  <w:style w:type="paragraph" w:customStyle="1" w:styleId="3249">
    <w:name w:val="3 Char Char Char Char Char Char Char Char Char3 Char Char Char Char Char Char Char Char Char Char"/>
    <w:basedOn w:val="1"/>
    <w:qFormat/>
    <w:uiPriority w:val="0"/>
    <w:pPr>
      <w:snapToGrid w:val="0"/>
      <w:spacing w:line="360" w:lineRule="auto"/>
      <w:ind w:firstLine="200" w:firstLineChars="200"/>
    </w:pPr>
    <w:rPr>
      <w:szCs w:val="20"/>
    </w:rPr>
  </w:style>
  <w:style w:type="character" w:customStyle="1" w:styleId="3250">
    <w:name w:val="样式28 Char Char"/>
    <w:qFormat/>
    <w:uiPriority w:val="0"/>
    <w:rPr>
      <w:kern w:val="2"/>
      <w:sz w:val="24"/>
      <w:szCs w:val="24"/>
    </w:rPr>
  </w:style>
  <w:style w:type="character" w:customStyle="1" w:styleId="3251">
    <w:name w:val="样式 标题 2hseHeading 2SeHead wsa2h2H2Heading 2 PEPb 2标题 2 C...4 Char Char"/>
    <w:qFormat/>
    <w:uiPriority w:val="0"/>
    <w:rPr>
      <w:rFonts w:ascii="宋体" w:hAnsi="宋体"/>
      <w:b/>
      <w:bCs/>
      <w:snapToGrid w:val="0"/>
      <w:kern w:val="2"/>
      <w:sz w:val="24"/>
      <w:szCs w:val="30"/>
      <w:lang w:val="en-US" w:eastAsia="zh-CN"/>
    </w:rPr>
  </w:style>
  <w:style w:type="character" w:customStyle="1" w:styleId="3252">
    <w:name w:val="表格内容 Char Char Char Char"/>
    <w:qFormat/>
    <w:uiPriority w:val="0"/>
    <w:rPr>
      <w:kern w:val="2"/>
      <w:sz w:val="21"/>
      <w:szCs w:val="24"/>
    </w:rPr>
  </w:style>
  <w:style w:type="character" w:customStyle="1" w:styleId="3253">
    <w:name w:val="书籍标题14"/>
    <w:qFormat/>
    <w:uiPriority w:val="0"/>
    <w:rPr>
      <w:b/>
      <w:bCs/>
      <w:smallCaps/>
      <w:spacing w:val="5"/>
    </w:rPr>
  </w:style>
  <w:style w:type="character" w:customStyle="1" w:styleId="3254">
    <w:name w:val="样式7 Char Char"/>
    <w:qFormat/>
    <w:uiPriority w:val="0"/>
    <w:rPr>
      <w:rFonts w:ascii="Arial" w:hAnsi="Arial" w:eastAsia="Times New Roman"/>
      <w:b/>
      <w:bCs/>
      <w:sz w:val="30"/>
    </w:rPr>
  </w:style>
  <w:style w:type="character" w:customStyle="1" w:styleId="3255">
    <w:name w:val="样式 题注 + (中文) 黑体 加粗 Char Char"/>
    <w:qFormat/>
    <w:uiPriority w:val="0"/>
    <w:rPr>
      <w:rFonts w:ascii="Arial" w:hAnsi="Arial" w:eastAsia="宋体" w:cs="Arial"/>
      <w:b/>
      <w:bCs/>
      <w:kern w:val="2"/>
      <w:sz w:val="24"/>
      <w:lang w:val="en-US" w:eastAsia="zh-CN"/>
    </w:rPr>
  </w:style>
  <w:style w:type="character" w:customStyle="1" w:styleId="3256">
    <w:name w:val="样式 样式 标题 2节Char Char Char Char Char标题 21Char Char1二级标题单位名二级标...1... Char Char"/>
    <w:qFormat/>
    <w:uiPriority w:val="0"/>
    <w:rPr>
      <w:rFonts w:ascii="Arial" w:hAnsi="Arial" w:eastAsia="黑体" w:cs="宋体"/>
      <w:b/>
      <w:bCs/>
      <w:snapToGrid w:val="0"/>
      <w:kern w:val="2"/>
      <w:sz w:val="30"/>
      <w:szCs w:val="30"/>
    </w:rPr>
  </w:style>
  <w:style w:type="character" w:customStyle="1" w:styleId="3257">
    <w:name w:val="燕山正文 Char Char Char Char Char"/>
    <w:qFormat/>
    <w:uiPriority w:val="0"/>
    <w:rPr>
      <w:snapToGrid w:val="0"/>
      <w:color w:val="000000"/>
      <w:kern w:val="2"/>
      <w:sz w:val="24"/>
      <w:szCs w:val="24"/>
    </w:rPr>
  </w:style>
  <w:style w:type="character" w:customStyle="1" w:styleId="3258">
    <w:name w:val="Style2 Char Char"/>
    <w:qFormat/>
    <w:uiPriority w:val="0"/>
    <w:rPr>
      <w:rFonts w:ascii="宋体" w:hAnsi="宋体" w:eastAsia="黑体"/>
      <w:sz w:val="21"/>
      <w:szCs w:val="21"/>
      <w:lang w:val="en-US" w:eastAsia="zh-CN"/>
    </w:rPr>
  </w:style>
  <w:style w:type="character" w:customStyle="1" w:styleId="3259">
    <w:name w:val="样式 Char Char Char Char Char Char Char Char Char Char Char Char Char Char Char Char Char Char Char Char Char"/>
    <w:qFormat/>
    <w:uiPriority w:val="0"/>
    <w:rPr>
      <w:rFonts w:eastAsia="宋体"/>
      <w:sz w:val="24"/>
      <w:szCs w:val="24"/>
      <w:lang w:val="en-US" w:eastAsia="zh-CN"/>
    </w:rPr>
  </w:style>
  <w:style w:type="character" w:customStyle="1" w:styleId="3260">
    <w:name w:val="样式9 Char Char"/>
    <w:qFormat/>
    <w:uiPriority w:val="0"/>
    <w:rPr>
      <w:kern w:val="2"/>
      <w:sz w:val="24"/>
      <w:szCs w:val="21"/>
    </w:rPr>
  </w:style>
  <w:style w:type="character" w:customStyle="1" w:styleId="3261">
    <w:name w:val="样式 标题 2hseHeading 2SeHead wsa2h2H2Heading 2 PEPb 2标题 2 C... Char Char"/>
    <w:qFormat/>
    <w:uiPriority w:val="0"/>
    <w:rPr>
      <w:rFonts w:ascii="宋体" w:hAnsi="宋体"/>
      <w:b/>
      <w:bCs/>
      <w:kern w:val="2"/>
      <w:sz w:val="32"/>
      <w:szCs w:val="32"/>
      <w:lang w:val="en-US" w:eastAsia="zh-CN"/>
    </w:rPr>
  </w:style>
  <w:style w:type="character" w:customStyle="1" w:styleId="3262">
    <w:name w:val="自动表头 Char Char"/>
    <w:qFormat/>
    <w:uiPriority w:val="0"/>
    <w:rPr>
      <w:rFonts w:eastAsia="黑体"/>
      <w:b/>
      <w:bCs/>
      <w:color w:val="000000"/>
      <w:kern w:val="2"/>
      <w:sz w:val="21"/>
      <w:szCs w:val="21"/>
    </w:rPr>
  </w:style>
  <w:style w:type="character" w:customStyle="1" w:styleId="3263">
    <w:name w:val="样式11 Char Char"/>
    <w:qFormat/>
    <w:uiPriority w:val="0"/>
    <w:rPr>
      <w:rFonts w:ascii="黑体" w:hAnsi="宋体" w:eastAsia="黑体"/>
      <w:b/>
      <w:bCs/>
      <w:kern w:val="2"/>
      <w:sz w:val="21"/>
      <w:szCs w:val="24"/>
    </w:rPr>
  </w:style>
  <w:style w:type="character" w:customStyle="1" w:styleId="3264">
    <w:name w:val="样式24 Char Char"/>
    <w:qFormat/>
    <w:uiPriority w:val="0"/>
    <w:rPr>
      <w:color w:val="000000"/>
      <w:sz w:val="24"/>
    </w:rPr>
  </w:style>
  <w:style w:type="character" w:customStyle="1" w:styleId="3265">
    <w:name w:val="样式 标题 2hseHeading 2SeHead wsa2h2H2Heading 2 PEPb 2标题 2 C...2 Char Char"/>
    <w:qFormat/>
    <w:uiPriority w:val="0"/>
    <w:rPr>
      <w:rFonts w:ascii="宋体" w:hAnsi="宋体"/>
      <w:b/>
      <w:bCs/>
      <w:snapToGrid w:val="0"/>
      <w:kern w:val="2"/>
      <w:sz w:val="24"/>
      <w:szCs w:val="30"/>
      <w:lang w:val="en-US" w:eastAsia="zh-CN"/>
    </w:rPr>
  </w:style>
  <w:style w:type="character" w:customStyle="1" w:styleId="3266">
    <w:name w:val="样式 正文首行缩进 + 黑色 Char Char"/>
    <w:qFormat/>
    <w:uiPriority w:val="0"/>
    <w:rPr>
      <w:rFonts w:cs="宋体"/>
      <w:color w:val="000000"/>
      <w:sz w:val="24"/>
      <w:szCs w:val="24"/>
    </w:rPr>
  </w:style>
  <w:style w:type="character" w:customStyle="1" w:styleId="3267">
    <w:name w:val="样式20 Char Char"/>
    <w:qFormat/>
    <w:uiPriority w:val="0"/>
    <w:rPr>
      <w:rFonts w:ascii="Arial" w:hAnsi="Arial"/>
      <w:b/>
      <w:sz w:val="28"/>
    </w:rPr>
  </w:style>
  <w:style w:type="character" w:customStyle="1" w:styleId="3268">
    <w:name w:val="样式 标题 3hseHeading 3ReHead 3 WSAH3H31H32H33H311Heading 3... Char Char"/>
    <w:qFormat/>
    <w:uiPriority w:val="0"/>
    <w:rPr>
      <w:rFonts w:ascii="Arial" w:hAnsi="Arial" w:cs="Arial"/>
      <w:b/>
      <w:bCs/>
      <w:kern w:val="2"/>
      <w:sz w:val="24"/>
      <w:szCs w:val="24"/>
      <w:lang w:val="en-US" w:eastAsia="zh-CN"/>
    </w:rPr>
  </w:style>
  <w:style w:type="character" w:customStyle="1" w:styleId="3269">
    <w:name w:val="表中文字居中 Char Char"/>
    <w:qFormat/>
    <w:uiPriority w:val="0"/>
    <w:rPr>
      <w:rFonts w:ascii="宋体"/>
      <w:kern w:val="2"/>
      <w:sz w:val="24"/>
      <w:shd w:val="clear" w:color="auto" w:fill="FFFFFF"/>
    </w:rPr>
  </w:style>
  <w:style w:type="character" w:customStyle="1" w:styleId="3270">
    <w:name w:val="表格题注 Char Char"/>
    <w:qFormat/>
    <w:uiPriority w:val="0"/>
    <w:rPr>
      <w:b/>
      <w:snapToGrid w:val="0"/>
      <w:kern w:val="24"/>
      <w:sz w:val="21"/>
      <w:szCs w:val="21"/>
    </w:rPr>
  </w:style>
  <w:style w:type="character" w:customStyle="1" w:styleId="3271">
    <w:name w:val="样式6 Char Char Char Char"/>
    <w:qFormat/>
    <w:uiPriority w:val="0"/>
    <w:rPr>
      <w:kern w:val="2"/>
      <w:sz w:val="24"/>
    </w:rPr>
  </w:style>
  <w:style w:type="character" w:customStyle="1" w:styleId="3272">
    <w:name w:val="标题3YHY Char Char"/>
    <w:qFormat/>
    <w:uiPriority w:val="0"/>
    <w:rPr>
      <w:b/>
      <w:kern w:val="2"/>
      <w:sz w:val="24"/>
      <w:szCs w:val="24"/>
    </w:rPr>
  </w:style>
  <w:style w:type="character" w:customStyle="1" w:styleId="3273">
    <w:name w:val="CJ 文本111 Char Char"/>
    <w:qFormat/>
    <w:uiPriority w:val="0"/>
    <w:rPr>
      <w:sz w:val="24"/>
      <w:szCs w:val="24"/>
      <w:lang w:val="en-US" w:eastAsia="zh-CN"/>
    </w:rPr>
  </w:style>
  <w:style w:type="character" w:customStyle="1" w:styleId="3274">
    <w:name w:val="样式 宋体 小四 行距: 1.5 倍行距1 Char Char"/>
    <w:qFormat/>
    <w:uiPriority w:val="0"/>
    <w:rPr>
      <w:rFonts w:ascii="宋体" w:hAnsi="宋体"/>
      <w:sz w:val="24"/>
      <w:lang w:val="en-US" w:eastAsia="zh-CN"/>
    </w:rPr>
  </w:style>
  <w:style w:type="character" w:customStyle="1" w:styleId="3275">
    <w:name w:val="样式 小四 Char Char"/>
    <w:qFormat/>
    <w:uiPriority w:val="0"/>
    <w:rPr>
      <w:rFonts w:cs="宋体"/>
      <w:kern w:val="2"/>
      <w:sz w:val="24"/>
    </w:rPr>
  </w:style>
  <w:style w:type="character" w:customStyle="1" w:styleId="3276">
    <w:name w:val="Tablehead Char Char"/>
    <w:qFormat/>
    <w:uiPriority w:val="0"/>
    <w:rPr>
      <w:rFonts w:ascii="Arial Bold" w:hAnsi="Arial Bold"/>
      <w:b/>
      <w:lang w:val="en-US" w:eastAsia="en-US"/>
    </w:rPr>
  </w:style>
  <w:style w:type="character" w:customStyle="1" w:styleId="3277">
    <w:name w:val="段落文字 Char Char"/>
    <w:qFormat/>
    <w:uiPriority w:val="0"/>
    <w:rPr>
      <w:sz w:val="28"/>
      <w:szCs w:val="24"/>
    </w:rPr>
  </w:style>
  <w:style w:type="character" w:customStyle="1" w:styleId="3278">
    <w:name w:val="表头名称 Char Char"/>
    <w:qFormat/>
    <w:uiPriority w:val="0"/>
    <w:rPr>
      <w:sz w:val="21"/>
      <w:szCs w:val="21"/>
    </w:rPr>
  </w:style>
  <w:style w:type="character" w:customStyle="1" w:styleId="3279">
    <w:name w:val="表、图名 Char Char"/>
    <w:qFormat/>
    <w:uiPriority w:val="0"/>
    <w:rPr>
      <w:rFonts w:ascii="宋体" w:hAnsi="宋体"/>
      <w:b/>
      <w:kern w:val="2"/>
      <w:sz w:val="24"/>
      <w:szCs w:val="24"/>
    </w:rPr>
  </w:style>
  <w:style w:type="character" w:customStyle="1" w:styleId="3280">
    <w:name w:val="占位符文本1"/>
    <w:qFormat/>
    <w:uiPriority w:val="0"/>
    <w:rPr>
      <w:color w:val="808080"/>
    </w:rPr>
  </w:style>
  <w:style w:type="character" w:customStyle="1" w:styleId="3281">
    <w:name w:val="正文小四首缩1.3行距 Char Char"/>
    <w:qFormat/>
    <w:uiPriority w:val="0"/>
    <w:rPr>
      <w:kern w:val="2"/>
      <w:sz w:val="24"/>
      <w:szCs w:val="24"/>
    </w:rPr>
  </w:style>
  <w:style w:type="character" w:customStyle="1" w:styleId="3282">
    <w:name w:val="样式 首行缩进:  0.77 厘米 行距: 固定值 20 磅4 Char Char"/>
    <w:qFormat/>
    <w:uiPriority w:val="0"/>
    <w:rPr>
      <w:rFonts w:cs="宋体"/>
      <w:color w:val="FF0000"/>
      <w:kern w:val="2"/>
      <w:sz w:val="24"/>
    </w:rPr>
  </w:style>
  <w:style w:type="character" w:customStyle="1" w:styleId="3283">
    <w:name w:val="我的报告正文 Char Char"/>
    <w:qFormat/>
    <w:uiPriority w:val="0"/>
    <w:rPr>
      <w:kern w:val="2"/>
      <w:sz w:val="24"/>
      <w:szCs w:val="24"/>
    </w:rPr>
  </w:style>
  <w:style w:type="character" w:customStyle="1" w:styleId="3284">
    <w:name w:val="HTML 打字机1"/>
    <w:qFormat/>
    <w:uiPriority w:val="0"/>
    <w:rPr>
      <w:rFonts w:ascii="Courier New" w:hAnsi="Courier New" w:cs="Courier New"/>
      <w:sz w:val="20"/>
      <w:szCs w:val="20"/>
    </w:rPr>
  </w:style>
  <w:style w:type="character" w:customStyle="1" w:styleId="3285">
    <w:name w:val="我的表格文字 Char Char"/>
    <w:qFormat/>
    <w:uiPriority w:val="0"/>
    <w:rPr>
      <w:kern w:val="2"/>
      <w:sz w:val="21"/>
      <w:szCs w:val="21"/>
      <w:shd w:val="clear" w:color="auto" w:fill="FFFFFF"/>
    </w:rPr>
  </w:style>
  <w:style w:type="character" w:customStyle="1" w:styleId="3286">
    <w:name w:val="样式 小四 段前: 7.8 磅 段后: 7.8 磅 行距: 1.5 倍行距 Char Char"/>
    <w:qFormat/>
    <w:uiPriority w:val="0"/>
    <w:rPr>
      <w:rFonts w:cs="宋体"/>
      <w:kern w:val="2"/>
      <w:sz w:val="24"/>
    </w:rPr>
  </w:style>
  <w:style w:type="character" w:customStyle="1" w:styleId="3287">
    <w:name w:val="HTML 定义1"/>
    <w:qFormat/>
    <w:uiPriority w:val="0"/>
    <w:rPr>
      <w:i/>
      <w:iCs/>
    </w:rPr>
  </w:style>
  <w:style w:type="character" w:customStyle="1" w:styleId="3288">
    <w:name w:val="我的备注文字 Char Char"/>
    <w:qFormat/>
    <w:uiPriority w:val="0"/>
    <w:rPr>
      <w:kern w:val="2"/>
      <w:sz w:val="21"/>
      <w:szCs w:val="21"/>
    </w:rPr>
  </w:style>
  <w:style w:type="character" w:customStyle="1" w:styleId="3289">
    <w:name w:val="样式 表头名称 + (西文) 宋体 Char Char"/>
    <w:qFormat/>
    <w:uiPriority w:val="0"/>
    <w:rPr>
      <w:rFonts w:ascii="宋体" w:hAnsi="宋体" w:eastAsia="黑体"/>
      <w:color w:val="FF0000"/>
      <w:kern w:val="2"/>
      <w:sz w:val="24"/>
      <w:szCs w:val="24"/>
    </w:rPr>
  </w:style>
  <w:style w:type="character" w:customStyle="1" w:styleId="3290">
    <w:name w:val="HTML 样本1"/>
    <w:qFormat/>
    <w:uiPriority w:val="0"/>
    <w:rPr>
      <w:rFonts w:ascii="Courier New" w:hAnsi="Courier New" w:cs="Courier New"/>
    </w:rPr>
  </w:style>
  <w:style w:type="character" w:customStyle="1" w:styleId="3291">
    <w:name w:val="样式 样式 段前: 7.8 磅 段后: 7.8 磅 + 段前: 0.5 行 段后: 0.5 行1 Char Char"/>
    <w:qFormat/>
    <w:uiPriority w:val="0"/>
    <w:rPr>
      <w:rFonts w:cs="宋体"/>
      <w:b/>
      <w:bCs/>
      <w:kern w:val="2"/>
      <w:sz w:val="24"/>
    </w:rPr>
  </w:style>
  <w:style w:type="character" w:customStyle="1" w:styleId="3292">
    <w:name w:val="方案正文样式 Char Char"/>
    <w:qFormat/>
    <w:uiPriority w:val="0"/>
    <w:rPr>
      <w:snapToGrid w:val="0"/>
      <w:sz w:val="24"/>
      <w:szCs w:val="24"/>
    </w:rPr>
  </w:style>
  <w:style w:type="character" w:customStyle="1" w:styleId="3293">
    <w:name w:val="正文YHY Char Char"/>
    <w:qFormat/>
    <w:uiPriority w:val="0"/>
    <w:rPr>
      <w:rFonts w:ascii="宋体" w:hAnsi="宋体"/>
      <w:kern w:val="2"/>
      <w:sz w:val="24"/>
      <w:szCs w:val="24"/>
    </w:rPr>
  </w:style>
  <w:style w:type="character" w:customStyle="1" w:styleId="3294">
    <w:name w:val="正文首行缩进 2 + Times New Roman Char Char"/>
    <w:qFormat/>
    <w:uiPriority w:val="0"/>
    <w:rPr>
      <w:rFonts w:ascii="Book Antiqua" w:hAnsi="Arial" w:cs="Arial"/>
      <w:sz w:val="24"/>
      <w:szCs w:val="21"/>
    </w:rPr>
  </w:style>
  <w:style w:type="character" w:customStyle="1" w:styleId="3295">
    <w:name w:val="样式36 Char Char"/>
    <w:qFormat/>
    <w:uiPriority w:val="0"/>
    <w:rPr>
      <w:b/>
      <w:snapToGrid w:val="0"/>
      <w:kern w:val="2"/>
      <w:sz w:val="21"/>
      <w:szCs w:val="21"/>
    </w:rPr>
  </w:style>
  <w:style w:type="character" w:customStyle="1" w:styleId="3296">
    <w:name w:val="标题 2YHY Char Char"/>
    <w:qFormat/>
    <w:uiPriority w:val="0"/>
    <w:rPr>
      <w:rFonts w:eastAsia="黑体" w:cs="Arial Unicode MS"/>
      <w:b/>
      <w:bCs/>
      <w:color w:val="000000"/>
      <w:sz w:val="28"/>
      <w:szCs w:val="28"/>
    </w:rPr>
  </w:style>
  <w:style w:type="character" w:customStyle="1" w:styleId="3297">
    <w:name w:val="论文正文文字 Char Char"/>
    <w:qFormat/>
    <w:uiPriority w:val="0"/>
    <w:rPr>
      <w:rFonts w:cs="宋体"/>
      <w:sz w:val="24"/>
      <w:szCs w:val="24"/>
    </w:rPr>
  </w:style>
  <w:style w:type="character" w:customStyle="1" w:styleId="3298">
    <w:name w:val="样式43 Char Char"/>
    <w:qFormat/>
    <w:uiPriority w:val="0"/>
    <w:rPr>
      <w:rFonts w:ascii="宋体" w:hAnsi="宋体"/>
      <w:snapToGrid w:val="0"/>
      <w:color w:val="000000"/>
      <w:sz w:val="21"/>
      <w:szCs w:val="21"/>
      <w:lang w:val="zh-CN"/>
    </w:rPr>
  </w:style>
  <w:style w:type="character" w:customStyle="1" w:styleId="3299">
    <w:name w:val="样式 正文（首行缩进两字） Char Char + 宋体 Char Char"/>
    <w:qFormat/>
    <w:uiPriority w:val="0"/>
    <w:rPr>
      <w:rFonts w:ascii="宋体" w:hAnsi="宋体" w:eastAsia="宋体"/>
      <w:kern w:val="2"/>
      <w:sz w:val="24"/>
      <w:szCs w:val="24"/>
      <w:lang w:val="en-US" w:eastAsia="zh-CN"/>
    </w:rPr>
  </w:style>
  <w:style w:type="character" w:customStyle="1" w:styleId="3300">
    <w:name w:val="自动4 Char Char"/>
    <w:qFormat/>
    <w:uiPriority w:val="0"/>
    <w:rPr>
      <w:rFonts w:ascii="宋体" w:hAnsi="宋体"/>
      <w:bCs/>
      <w:color w:val="000000"/>
      <w:kern w:val="2"/>
      <w:sz w:val="24"/>
      <w:szCs w:val="24"/>
    </w:rPr>
  </w:style>
  <w:style w:type="character" w:customStyle="1" w:styleId="3301">
    <w:name w:val="样式 题注 + (中文) 黑体 Char Char"/>
    <w:qFormat/>
    <w:uiPriority w:val="0"/>
    <w:rPr>
      <w:rFonts w:ascii="Arial" w:hAnsi="Arial" w:eastAsia="宋体" w:cs="Arial"/>
      <w:kern w:val="2"/>
      <w:sz w:val="24"/>
      <w:szCs w:val="21"/>
      <w:lang w:val="en-US" w:eastAsia="zh-CN"/>
    </w:rPr>
  </w:style>
  <w:style w:type="character" w:customStyle="1" w:styleId="3302">
    <w:name w:val="样式14 Char Char"/>
    <w:qFormat/>
    <w:uiPriority w:val="0"/>
    <w:rPr>
      <w:rFonts w:ascii="Arial" w:hAnsi="Arial" w:eastAsia="黑体"/>
      <w:b/>
      <w:bCs/>
      <w:sz w:val="32"/>
    </w:rPr>
  </w:style>
  <w:style w:type="character" w:customStyle="1" w:styleId="3303">
    <w:name w:val="样式 标题 3 + 小四 Char Char"/>
    <w:qFormat/>
    <w:uiPriority w:val="0"/>
    <w:rPr>
      <w:b/>
      <w:bCs/>
      <w:kern w:val="2"/>
      <w:sz w:val="24"/>
      <w:szCs w:val="24"/>
    </w:rPr>
  </w:style>
  <w:style w:type="character" w:customStyle="1" w:styleId="3304">
    <w:name w:val="标题2 说明书格式 Char Char"/>
    <w:qFormat/>
    <w:uiPriority w:val="0"/>
    <w:rPr>
      <w:rFonts w:cs="Arial"/>
      <w:b/>
      <w:bCs/>
      <w:sz w:val="28"/>
      <w:szCs w:val="28"/>
    </w:rPr>
  </w:style>
  <w:style w:type="character" w:customStyle="1" w:styleId="3305">
    <w:name w:val="表内文字3 Char Char Char"/>
    <w:qFormat/>
    <w:uiPriority w:val="0"/>
    <w:rPr>
      <w:rFonts w:eastAsia="宋体" w:cs="宋体"/>
      <w:sz w:val="21"/>
      <w:lang w:val="en-US" w:eastAsia="zh-CN"/>
    </w:rPr>
  </w:style>
  <w:style w:type="character" w:customStyle="1" w:styleId="3306">
    <w:name w:val="样式 标题 2hseHeading 2SeHead wsa2h2H2Heading 2 PEPb 2标题 2 C...1 Char Char"/>
    <w:qFormat/>
    <w:uiPriority w:val="0"/>
    <w:rPr>
      <w:rFonts w:ascii="宋体" w:hAnsi="宋体"/>
      <w:b/>
      <w:bCs/>
      <w:snapToGrid w:val="0"/>
      <w:kern w:val="2"/>
      <w:sz w:val="24"/>
      <w:szCs w:val="30"/>
      <w:lang w:val="en-US" w:eastAsia="zh-CN"/>
    </w:rPr>
  </w:style>
  <w:style w:type="character" w:customStyle="1" w:styleId="3307">
    <w:name w:val="样式 标题3YHY + 黑色 段前: 0.5 行 段后: 0.5 行 Char Char"/>
    <w:qFormat/>
    <w:uiPriority w:val="0"/>
    <w:rPr>
      <w:rFonts w:cs="宋体"/>
      <w:b/>
      <w:bCs/>
      <w:color w:val="000000"/>
      <w:kern w:val="2"/>
      <w:sz w:val="24"/>
    </w:rPr>
  </w:style>
  <w:style w:type="character" w:customStyle="1" w:styleId="3308">
    <w:name w:val="图题表题 Char Char Char"/>
    <w:qFormat/>
    <w:uiPriority w:val="0"/>
    <w:rPr>
      <w:rFonts w:ascii="Times New Roman" w:hAnsi="Times New Roman" w:eastAsia="宋体" w:cs="宋体"/>
      <w:b/>
      <w:bCs/>
      <w:szCs w:val="20"/>
    </w:rPr>
  </w:style>
  <w:style w:type="character" w:customStyle="1" w:styleId="3309">
    <w:name w:val="样式 标题 2hseHeading 2SeHead wsa2h2H2Heading 2 PEPb 2标题 2 C...3 Char Char"/>
    <w:qFormat/>
    <w:uiPriority w:val="0"/>
    <w:rPr>
      <w:rFonts w:ascii="宋体" w:hAnsi="宋体"/>
      <w:b/>
      <w:bCs/>
      <w:snapToGrid w:val="0"/>
      <w:kern w:val="2"/>
      <w:sz w:val="24"/>
      <w:szCs w:val="30"/>
      <w:lang w:val="en-US" w:eastAsia="zh-CN"/>
    </w:rPr>
  </w:style>
  <w:style w:type="character" w:customStyle="1" w:styleId="3310">
    <w:name w:val="样式25 Char Char"/>
    <w:qFormat/>
    <w:uiPriority w:val="0"/>
    <w:rPr>
      <w:kern w:val="2"/>
      <w:sz w:val="24"/>
      <w:szCs w:val="24"/>
    </w:rPr>
  </w:style>
  <w:style w:type="character" w:customStyle="1" w:styleId="3311">
    <w:name w:val="表内文字 Char Char Char"/>
    <w:qFormat/>
    <w:uiPriority w:val="0"/>
    <w:rPr>
      <w:rFonts w:ascii="Times New Roman" w:hAnsi="Times New Roman" w:eastAsia="宋体" w:cs="宋体"/>
      <w:szCs w:val="20"/>
    </w:rPr>
  </w:style>
  <w:style w:type="character" w:customStyle="1" w:styleId="3312">
    <w:name w:val="样式 标题 2hseHeading 2SeHead wsa2h2H2Heading 2 PEPb 2标题 2 C...5 Char Char"/>
    <w:qFormat/>
    <w:uiPriority w:val="0"/>
    <w:rPr>
      <w:rFonts w:ascii="宋体" w:hAnsi="宋体"/>
      <w:b/>
      <w:bCs/>
      <w:snapToGrid w:val="0"/>
      <w:kern w:val="2"/>
      <w:sz w:val="24"/>
      <w:szCs w:val="24"/>
      <w:lang w:val="en-US" w:eastAsia="zh-CN"/>
    </w:rPr>
  </w:style>
  <w:style w:type="character" w:customStyle="1" w:styleId="3313">
    <w:name w:val="中远正文 Char Char"/>
    <w:qFormat/>
    <w:uiPriority w:val="0"/>
    <w:rPr>
      <w:snapToGrid w:val="0"/>
      <w:kern w:val="24"/>
      <w:sz w:val="24"/>
    </w:rPr>
  </w:style>
  <w:style w:type="character" w:customStyle="1" w:styleId="3314">
    <w:name w:val="样式  Char + 宋体 Char Char"/>
    <w:qFormat/>
    <w:uiPriority w:val="0"/>
    <w:rPr>
      <w:kern w:val="2"/>
      <w:sz w:val="24"/>
      <w:szCs w:val="24"/>
      <w:lang w:val="en-US" w:eastAsia="zh-CN"/>
    </w:rPr>
  </w:style>
  <w:style w:type="character" w:customStyle="1" w:styleId="3315">
    <w:name w:val="4级样式 Char Char"/>
    <w:qFormat/>
    <w:uiPriority w:val="0"/>
    <w:rPr>
      <w:rFonts w:ascii="Arial" w:hAnsi="Arial" w:eastAsia="黑体" w:cs="宋体"/>
      <w:b/>
      <w:bCs/>
      <w:color w:val="339966"/>
      <w:kern w:val="2"/>
      <w:sz w:val="24"/>
      <w:szCs w:val="24"/>
    </w:rPr>
  </w:style>
  <w:style w:type="character" w:customStyle="1" w:styleId="3316">
    <w:name w:val="样式 左 首行缩进:  1.01 厘米 Char Char"/>
    <w:qFormat/>
    <w:uiPriority w:val="0"/>
    <w:rPr>
      <w:sz w:val="26"/>
      <w:szCs w:val="26"/>
      <w:lang w:val="en-US" w:eastAsia="zh-CN"/>
    </w:rPr>
  </w:style>
  <w:style w:type="character" w:customStyle="1" w:styleId="3317">
    <w:name w:val="四号 正文 Char Char"/>
    <w:qFormat/>
    <w:uiPriority w:val="0"/>
    <w:rPr>
      <w:rFonts w:cs="宋体"/>
      <w:spacing w:val="6"/>
      <w:kern w:val="2"/>
      <w:sz w:val="28"/>
    </w:rPr>
  </w:style>
  <w:style w:type="character" w:customStyle="1" w:styleId="3318">
    <w:name w:val="文章 Char Char"/>
    <w:qFormat/>
    <w:uiPriority w:val="0"/>
    <w:rPr>
      <w:sz w:val="24"/>
      <w:szCs w:val="24"/>
    </w:rPr>
  </w:style>
  <w:style w:type="character" w:customStyle="1" w:styleId="3319">
    <w:name w:val="样式 样式 正文 首行缩进:  2 字符 SL CON + 首行缩进:  2 字符 + 宋体 Char Char Char Char"/>
    <w:qFormat/>
    <w:uiPriority w:val="0"/>
    <w:rPr>
      <w:kern w:val="2"/>
      <w:sz w:val="24"/>
      <w:szCs w:val="21"/>
    </w:rPr>
  </w:style>
  <w:style w:type="character" w:customStyle="1" w:styleId="3320">
    <w:name w:val="HTML 缩写1"/>
    <w:qFormat/>
    <w:uiPriority w:val="0"/>
  </w:style>
  <w:style w:type="character" w:customStyle="1" w:styleId="3321">
    <w:name w:val="正文正文 Char Char"/>
    <w:qFormat/>
    <w:uiPriority w:val="0"/>
    <w:rPr>
      <w:sz w:val="24"/>
      <w:szCs w:val="28"/>
      <w:lang w:val="en-US" w:eastAsia="zh-CN"/>
    </w:rPr>
  </w:style>
  <w:style w:type="character" w:customStyle="1" w:styleId="3322">
    <w:name w:val="样式 段前: 7.8 磅 段后: 7.8 磅 Char Char"/>
    <w:qFormat/>
    <w:uiPriority w:val="0"/>
    <w:rPr>
      <w:rFonts w:cs="宋体"/>
      <w:b/>
      <w:kern w:val="2"/>
      <w:sz w:val="28"/>
    </w:rPr>
  </w:style>
  <w:style w:type="character" w:customStyle="1" w:styleId="3323">
    <w:name w:val="表格tdh Char Char"/>
    <w:qFormat/>
    <w:uiPriority w:val="0"/>
    <w:rPr>
      <w:rFonts w:ascii="Calibri" w:hAnsi="宋体"/>
      <w:color w:val="000000"/>
      <w:sz w:val="21"/>
      <w:szCs w:val="21"/>
    </w:rPr>
  </w:style>
  <w:style w:type="character" w:customStyle="1" w:styleId="3324">
    <w:name w:val="样式 样式 样式 段前: 7.8 磅 段后: 7.8 磅 + 段前: 0.5 行 段后: 0.5 行1 + 宋体 Char Char"/>
    <w:qFormat/>
    <w:uiPriority w:val="0"/>
    <w:rPr>
      <w:rFonts w:ascii="宋体" w:hAnsi="宋体" w:cs="宋体"/>
      <w:b/>
      <w:bCs/>
      <w:kern w:val="2"/>
      <w:sz w:val="24"/>
    </w:rPr>
  </w:style>
  <w:style w:type="character" w:customStyle="1" w:styleId="3325">
    <w:name w:val="Char1 Char Char"/>
    <w:qFormat/>
    <w:uiPriority w:val="0"/>
    <w:rPr>
      <w:kern w:val="2"/>
      <w:sz w:val="21"/>
      <w:szCs w:val="24"/>
    </w:rPr>
  </w:style>
  <w:style w:type="character" w:customStyle="1" w:styleId="3326">
    <w:name w:val="样式33 Char Char"/>
    <w:qFormat/>
    <w:uiPriority w:val="0"/>
    <w:rPr>
      <w:rFonts w:ascii="宋体" w:hAnsi="宋体" w:cs="Arial Unicode MS"/>
      <w:b/>
      <w:color w:val="000000"/>
      <w:kern w:val="2"/>
      <w:sz w:val="24"/>
      <w:szCs w:val="24"/>
    </w:rPr>
  </w:style>
  <w:style w:type="character" w:customStyle="1" w:styleId="3327">
    <w:name w:val="样式40 Char Char Char"/>
    <w:qFormat/>
    <w:uiPriority w:val="0"/>
  </w:style>
  <w:style w:type="character" w:customStyle="1" w:styleId="3328">
    <w:name w:val="Style Heading 1 + Left Before:  0.5 line Char Char"/>
    <w:qFormat/>
    <w:uiPriority w:val="0"/>
    <w:rPr>
      <w:rFonts w:ascii="Arial" w:hAnsi="Arial"/>
      <w:b/>
      <w:bCs/>
      <w:kern w:val="44"/>
      <w:sz w:val="28"/>
      <w:szCs w:val="44"/>
    </w:rPr>
  </w:style>
  <w:style w:type="character" w:customStyle="1" w:styleId="3329">
    <w:name w:val="表头YHY Char Char"/>
    <w:qFormat/>
    <w:uiPriority w:val="0"/>
    <w:rPr>
      <w:rFonts w:eastAsia="黑体" w:cs="宋体"/>
      <w:color w:val="000000"/>
      <w:sz w:val="21"/>
    </w:rPr>
  </w:style>
  <w:style w:type="character" w:customStyle="1" w:styleId="3330">
    <w:name w:val="样式13 Char Char"/>
    <w:qFormat/>
    <w:uiPriority w:val="0"/>
    <w:rPr>
      <w:rFonts w:ascii="宋体" w:hAnsi="宋体" w:eastAsia="黑体"/>
      <w:b/>
      <w:kern w:val="2"/>
      <w:sz w:val="21"/>
      <w:szCs w:val="24"/>
    </w:rPr>
  </w:style>
  <w:style w:type="character" w:customStyle="1" w:styleId="3331">
    <w:name w:val="自动A Char Char"/>
    <w:qFormat/>
    <w:uiPriority w:val="0"/>
    <w:rPr>
      <w:color w:val="000000"/>
      <w:sz w:val="24"/>
    </w:rPr>
  </w:style>
  <w:style w:type="character" w:customStyle="1" w:styleId="3332">
    <w:name w:val="HTML 代码1"/>
    <w:qFormat/>
    <w:uiPriority w:val="0"/>
    <w:rPr>
      <w:rFonts w:ascii="Courier New" w:hAnsi="Courier New" w:cs="Courier New"/>
      <w:sz w:val="20"/>
      <w:szCs w:val="20"/>
    </w:rPr>
  </w:style>
  <w:style w:type="character" w:customStyle="1" w:styleId="3333">
    <w:name w:val="样式 样式 小四 段前: 7.8 磅 段后: 7.8 磅 行距: 1.5 倍行距 + 宋体 Char Char"/>
    <w:qFormat/>
    <w:uiPriority w:val="0"/>
    <w:rPr>
      <w:rFonts w:ascii="宋体" w:hAnsi="宋体" w:cs="宋体"/>
      <w:kern w:val="2"/>
      <w:sz w:val="24"/>
    </w:rPr>
  </w:style>
  <w:style w:type="character" w:customStyle="1" w:styleId="3334">
    <w:name w:val="tdh表格标题 Char Char"/>
    <w:qFormat/>
    <w:uiPriority w:val="0"/>
    <w:rPr>
      <w:b/>
      <w:kern w:val="2"/>
      <w:sz w:val="21"/>
      <w:szCs w:val="24"/>
    </w:rPr>
  </w:style>
  <w:style w:type="character" w:customStyle="1" w:styleId="3335">
    <w:name w:val="表格文字2 Char Char"/>
    <w:qFormat/>
    <w:uiPriority w:val="0"/>
    <w:rPr>
      <w:sz w:val="21"/>
      <w:szCs w:val="21"/>
    </w:rPr>
  </w:style>
  <w:style w:type="character" w:customStyle="1" w:styleId="3336">
    <w:name w:val="样式 标题 2标题 21标题 121节H2SeHead wsa2标题 1.1 + 黑体 四号 非加粗 Char Char"/>
    <w:qFormat/>
    <w:uiPriority w:val="0"/>
    <w:rPr>
      <w:rFonts w:ascii="黑体" w:hAnsi="黑体" w:eastAsia="黑体"/>
      <w:b/>
      <w:bCs/>
      <w:kern w:val="2"/>
      <w:sz w:val="28"/>
      <w:szCs w:val="32"/>
    </w:rPr>
  </w:style>
  <w:style w:type="character" w:customStyle="1" w:styleId="3337">
    <w:name w:val="样式3 Char Char Char Char Char Char Char"/>
    <w:qFormat/>
    <w:uiPriority w:val="0"/>
    <w:rPr>
      <w:kern w:val="2"/>
      <w:sz w:val="24"/>
      <w:szCs w:val="24"/>
    </w:rPr>
  </w:style>
  <w:style w:type="character" w:customStyle="1" w:styleId="3338">
    <w:name w:val="样式 标题 2标题 21标题 121标题 2 Char1 Char节H2节标题 1.1节标题 1.1 Char... Char Char"/>
    <w:qFormat/>
    <w:uiPriority w:val="0"/>
    <w:rPr>
      <w:rFonts w:ascii="黑体" w:eastAsia="黑体" w:cs="宋体"/>
      <w:b/>
      <w:bCs/>
      <w:color w:val="000000"/>
      <w:sz w:val="28"/>
    </w:rPr>
  </w:style>
  <w:style w:type="character" w:customStyle="1" w:styleId="3339">
    <w:name w:val="样式 标题 31.1.1标题03Level 3 HeadH3level_3PIM 3h333rd level... Char Char"/>
    <w:qFormat/>
    <w:uiPriority w:val="0"/>
    <w:rPr>
      <w:rFonts w:ascii="Arial" w:hAnsi="Arial" w:cs="Arial"/>
      <w:snapToGrid w:val="0"/>
      <w:sz w:val="24"/>
      <w:szCs w:val="24"/>
      <w:lang w:val="en-US" w:eastAsia="zh-CN"/>
    </w:rPr>
  </w:style>
  <w:style w:type="character" w:customStyle="1" w:styleId="3340">
    <w:name w:val="表文 Char Char Char Char"/>
    <w:qFormat/>
    <w:uiPriority w:val="0"/>
    <w:rPr>
      <w:rFonts w:ascii="Times New Roman" w:hAnsi="Times New Roman" w:eastAsia="宋体" w:cs="Times New Roman"/>
      <w:sz w:val="24"/>
      <w:szCs w:val="20"/>
    </w:rPr>
  </w:style>
  <w:style w:type="character" w:customStyle="1" w:styleId="3341">
    <w:name w:val="表头样式1 Char Char"/>
    <w:qFormat/>
    <w:uiPriority w:val="0"/>
    <w:rPr>
      <w:rFonts w:eastAsia="黑体"/>
      <w:b/>
      <w:sz w:val="24"/>
      <w:lang w:val="en-US" w:eastAsia="zh-CN"/>
    </w:rPr>
  </w:style>
  <w:style w:type="character" w:customStyle="1" w:styleId="3342">
    <w:name w:val="样式 样式 标题ljm + 首行缩进:  2 字符 + 首行缩进:  2 字符1 Char Char Char"/>
    <w:qFormat/>
    <w:uiPriority w:val="0"/>
    <w:rPr>
      <w:rFonts w:cs="宋体"/>
      <w:b/>
      <w:bCs/>
      <w:kern w:val="2"/>
      <w:sz w:val="24"/>
    </w:rPr>
  </w:style>
  <w:style w:type="character" w:customStyle="1" w:styleId="3343">
    <w:name w:val="样式 宋体 小四 行距: 1.5 倍行距 Char Char"/>
    <w:qFormat/>
    <w:uiPriority w:val="0"/>
    <w:rPr>
      <w:rFonts w:ascii="宋体" w:hAnsi="宋体"/>
      <w:sz w:val="24"/>
      <w:lang w:val="en-US" w:eastAsia="zh-CN"/>
    </w:rPr>
  </w:style>
  <w:style w:type="character" w:customStyle="1" w:styleId="3344">
    <w:name w:val="表小4 Char Char"/>
    <w:qFormat/>
    <w:uiPriority w:val="0"/>
    <w:rPr>
      <w:rFonts w:ascii="宋体" w:hAnsi="宋体"/>
      <w:sz w:val="24"/>
      <w:szCs w:val="21"/>
    </w:rPr>
  </w:style>
  <w:style w:type="character" w:customStyle="1" w:styleId="3345">
    <w:name w:val="正文 + 首行缩进:  2 字符 Char Char Char"/>
    <w:qFormat/>
    <w:uiPriority w:val="0"/>
    <w:rPr>
      <w:rFonts w:eastAsia="宋体" w:cs="宋体"/>
      <w:kern w:val="2"/>
      <w:sz w:val="24"/>
      <w:lang w:val="en-US" w:eastAsia="zh-CN"/>
    </w:rPr>
  </w:style>
  <w:style w:type="character" w:customStyle="1" w:styleId="3346">
    <w:name w:val="样式 标题 1 + 黑体 小三 非加粗 Char Char"/>
    <w:qFormat/>
    <w:uiPriority w:val="0"/>
    <w:rPr>
      <w:rFonts w:ascii="黑体" w:hAnsi="黑体" w:eastAsia="黑体"/>
      <w:b/>
      <w:bCs/>
      <w:kern w:val="44"/>
      <w:sz w:val="30"/>
      <w:szCs w:val="44"/>
    </w:rPr>
  </w:style>
  <w:style w:type="character" w:customStyle="1" w:styleId="3347">
    <w:name w:val="样式18 Char Char"/>
    <w:qFormat/>
    <w:uiPriority w:val="0"/>
    <w:rPr>
      <w:rFonts w:ascii="Arial" w:hAnsi="Arial"/>
      <w:b/>
      <w:sz w:val="24"/>
    </w:rPr>
  </w:style>
  <w:style w:type="character" w:customStyle="1" w:styleId="3348">
    <w:name w:val="样式 首行缩进:  1.01 厘米 Char Char"/>
    <w:qFormat/>
    <w:uiPriority w:val="0"/>
    <w:rPr>
      <w:rFonts w:ascii="黑体" w:eastAsia="黑体"/>
      <w:color w:val="000000"/>
      <w:kern w:val="2"/>
      <w:sz w:val="28"/>
      <w:szCs w:val="28"/>
    </w:rPr>
  </w:style>
  <w:style w:type="character" w:customStyle="1" w:styleId="3349">
    <w:name w:val="样式 标题 2hseHeading 2SeHead wsa2h2H2Heading 2 PEPb 2标题 2 C...6 Char Char"/>
    <w:qFormat/>
    <w:uiPriority w:val="0"/>
    <w:rPr>
      <w:rFonts w:ascii="宋体" w:hAnsi="宋体"/>
      <w:b/>
      <w:bCs/>
      <w:snapToGrid w:val="0"/>
      <w:kern w:val="2"/>
      <w:sz w:val="24"/>
      <w:szCs w:val="30"/>
      <w:lang w:val="en-US" w:eastAsia="zh-CN"/>
    </w:rPr>
  </w:style>
  <w:style w:type="character" w:customStyle="1" w:styleId="3350">
    <w:name w:val="HTML 变量1"/>
    <w:qFormat/>
    <w:uiPriority w:val="0"/>
    <w:rPr>
      <w:i/>
      <w:iCs/>
    </w:rPr>
  </w:style>
  <w:style w:type="character" w:customStyle="1" w:styleId="3351">
    <w:name w:val="样式 表内文字 + 黑色 Char Char Char"/>
    <w:qFormat/>
    <w:uiPriority w:val="0"/>
    <w:rPr>
      <w:rFonts w:ascii="宋体" w:hAnsi="宋体" w:eastAsia="宋体" w:cs="宋体"/>
      <w:color w:val="000000"/>
      <w:kern w:val="2"/>
      <w:sz w:val="21"/>
      <w:szCs w:val="24"/>
      <w:lang w:val="en-US" w:eastAsia="zh-CN"/>
    </w:rPr>
  </w:style>
  <w:style w:type="character" w:customStyle="1" w:styleId="3352">
    <w:name w:val="HTML 键盘1"/>
    <w:qFormat/>
    <w:uiPriority w:val="0"/>
    <w:rPr>
      <w:rFonts w:ascii="Courier New" w:hAnsi="Courier New" w:cs="Courier New"/>
      <w:sz w:val="20"/>
      <w:szCs w:val="20"/>
    </w:rPr>
  </w:style>
  <w:style w:type="character" w:customStyle="1" w:styleId="3353">
    <w:name w:val="正文小四 Char Char"/>
    <w:qFormat/>
    <w:uiPriority w:val="0"/>
    <w:rPr>
      <w:kern w:val="2"/>
      <w:sz w:val="24"/>
      <w:szCs w:val="24"/>
    </w:rPr>
  </w:style>
  <w:style w:type="character" w:customStyle="1" w:styleId="3354">
    <w:name w:val="标题4 Char Char"/>
    <w:qFormat/>
    <w:uiPriority w:val="0"/>
    <w:rPr>
      <w:rFonts w:ascii="宋体" w:hAnsi="宋体" w:eastAsia="宋体" w:cs="宋体"/>
      <w:b/>
      <w:bCs/>
      <w:sz w:val="28"/>
      <w:szCs w:val="28"/>
      <w:lang w:val="en-US" w:eastAsia="zh-CN"/>
    </w:rPr>
  </w:style>
  <w:style w:type="paragraph" w:customStyle="1" w:styleId="3355">
    <w:name w:val="HTML 地址1"/>
    <w:basedOn w:val="1"/>
    <w:qFormat/>
    <w:uiPriority w:val="0"/>
    <w:rPr>
      <w:i/>
      <w:iCs/>
    </w:rPr>
  </w:style>
  <w:style w:type="paragraph" w:customStyle="1" w:styleId="3356">
    <w:name w:val="列表接续 51"/>
    <w:basedOn w:val="1"/>
    <w:qFormat/>
    <w:uiPriority w:val="0"/>
    <w:pPr>
      <w:spacing w:after="120"/>
      <w:ind w:left="2100" w:leftChars="1000"/>
    </w:pPr>
  </w:style>
  <w:style w:type="paragraph" w:customStyle="1" w:styleId="3357">
    <w:name w:val="寄信人地址1"/>
    <w:basedOn w:val="1"/>
    <w:qFormat/>
    <w:uiPriority w:val="0"/>
    <w:pPr>
      <w:snapToGrid w:val="0"/>
    </w:pPr>
    <w:rPr>
      <w:rFonts w:ascii="Arial" w:hAnsi="Arial" w:cs="Arial"/>
    </w:rPr>
  </w:style>
  <w:style w:type="paragraph" w:customStyle="1" w:styleId="3358">
    <w:name w:val="列表接续 21"/>
    <w:basedOn w:val="1"/>
    <w:qFormat/>
    <w:uiPriority w:val="0"/>
    <w:pPr>
      <w:spacing w:after="120"/>
      <w:ind w:left="840" w:leftChars="400"/>
    </w:pPr>
  </w:style>
  <w:style w:type="paragraph" w:customStyle="1" w:styleId="3359">
    <w:name w:val="列表 51"/>
    <w:basedOn w:val="1"/>
    <w:qFormat/>
    <w:uiPriority w:val="0"/>
    <w:pPr>
      <w:ind w:left="100" w:leftChars="800" w:hanging="200" w:hangingChars="200"/>
    </w:pPr>
  </w:style>
  <w:style w:type="paragraph" w:customStyle="1" w:styleId="3360">
    <w:name w:val="签名1"/>
    <w:basedOn w:val="1"/>
    <w:qFormat/>
    <w:uiPriority w:val="0"/>
    <w:pPr>
      <w:ind w:left="100" w:leftChars="2100"/>
    </w:pPr>
  </w:style>
  <w:style w:type="paragraph" w:customStyle="1" w:styleId="3361">
    <w:name w:val="结束语1"/>
    <w:basedOn w:val="1"/>
    <w:qFormat/>
    <w:uiPriority w:val="0"/>
    <w:pPr>
      <w:ind w:left="100" w:leftChars="2100"/>
    </w:pPr>
  </w:style>
  <w:style w:type="paragraph" w:customStyle="1" w:styleId="3362">
    <w:name w:val="索引 81"/>
    <w:basedOn w:val="1"/>
    <w:next w:val="1"/>
    <w:qFormat/>
    <w:uiPriority w:val="0"/>
    <w:pPr>
      <w:ind w:left="1400" w:leftChars="1400"/>
    </w:pPr>
    <w:rPr>
      <w:rFonts w:ascii="仿宋_GB2312" w:eastAsia="仿宋_GB2312"/>
      <w:kern w:val="30"/>
      <w:sz w:val="30"/>
      <w:szCs w:val="30"/>
    </w:rPr>
  </w:style>
  <w:style w:type="paragraph" w:customStyle="1" w:styleId="3363">
    <w:name w:val="列表编号 51"/>
    <w:basedOn w:val="1"/>
    <w:qFormat/>
    <w:uiPriority w:val="0"/>
    <w:pPr>
      <w:numPr>
        <w:ilvl w:val="0"/>
        <w:numId w:val="37"/>
      </w:numPr>
      <w:tabs>
        <w:tab w:val="left" w:pos="2040"/>
      </w:tabs>
    </w:pPr>
  </w:style>
  <w:style w:type="paragraph" w:customStyle="1" w:styleId="3364">
    <w:name w:val="称呼1"/>
    <w:basedOn w:val="1"/>
    <w:next w:val="1"/>
    <w:qFormat/>
    <w:uiPriority w:val="0"/>
  </w:style>
  <w:style w:type="paragraph" w:customStyle="1" w:styleId="3365">
    <w:name w:val="列表接续1"/>
    <w:basedOn w:val="1"/>
    <w:qFormat/>
    <w:uiPriority w:val="0"/>
    <w:pPr>
      <w:spacing w:after="120"/>
      <w:ind w:left="420" w:leftChars="200"/>
    </w:pPr>
  </w:style>
  <w:style w:type="paragraph" w:customStyle="1" w:styleId="3366">
    <w:name w:val="收信人地址1"/>
    <w:basedOn w:val="1"/>
    <w:qFormat/>
    <w:uiPriority w:val="0"/>
    <w:pPr>
      <w:snapToGrid w:val="0"/>
      <w:ind w:left="100" w:leftChars="1400"/>
    </w:pPr>
    <w:rPr>
      <w:rFonts w:ascii="Arial" w:hAnsi="Arial" w:cs="Arial"/>
    </w:rPr>
  </w:style>
  <w:style w:type="paragraph" w:customStyle="1" w:styleId="3367">
    <w:name w:val="列表编号 31"/>
    <w:basedOn w:val="1"/>
    <w:qFormat/>
    <w:uiPriority w:val="0"/>
    <w:pPr>
      <w:tabs>
        <w:tab w:val="left" w:pos="1200"/>
      </w:tabs>
      <w:ind w:left="1200" w:leftChars="400" w:hanging="360" w:hangingChars="200"/>
    </w:pPr>
  </w:style>
  <w:style w:type="paragraph" w:customStyle="1" w:styleId="3368">
    <w:name w:val="电子邮件签名1"/>
    <w:basedOn w:val="1"/>
    <w:qFormat/>
    <w:uiPriority w:val="0"/>
  </w:style>
  <w:style w:type="paragraph" w:customStyle="1" w:styleId="3369">
    <w:name w:val="列表接续 41"/>
    <w:basedOn w:val="1"/>
    <w:qFormat/>
    <w:uiPriority w:val="0"/>
    <w:pPr>
      <w:spacing w:after="120"/>
      <w:ind w:left="1680" w:leftChars="800"/>
    </w:pPr>
  </w:style>
  <w:style w:type="paragraph" w:customStyle="1" w:styleId="3370">
    <w:name w:val="列表编号 41"/>
    <w:basedOn w:val="1"/>
    <w:qFormat/>
    <w:uiPriority w:val="0"/>
    <w:pPr>
      <w:tabs>
        <w:tab w:val="left" w:pos="1200"/>
        <w:tab w:val="left" w:pos="1620"/>
      </w:tabs>
      <w:ind w:left="1200" w:leftChars="400" w:hanging="360" w:hangingChars="200"/>
    </w:pPr>
  </w:style>
  <w:style w:type="paragraph" w:customStyle="1" w:styleId="3371">
    <w:name w:val="列表编号 21"/>
    <w:basedOn w:val="1"/>
    <w:qFormat/>
    <w:uiPriority w:val="0"/>
    <w:pPr>
      <w:tabs>
        <w:tab w:val="left" w:pos="780"/>
        <w:tab w:val="left" w:pos="1620"/>
      </w:tabs>
      <w:ind w:left="1620" w:leftChars="600" w:hanging="360" w:hangingChars="200"/>
    </w:pPr>
  </w:style>
  <w:style w:type="paragraph" w:customStyle="1" w:styleId="3372">
    <w:name w:val="宏文本1"/>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customStyle="1" w:styleId="3373">
    <w:name w:val="索引 91"/>
    <w:basedOn w:val="1"/>
    <w:next w:val="1"/>
    <w:qFormat/>
    <w:uiPriority w:val="0"/>
    <w:pPr>
      <w:ind w:left="1600" w:leftChars="1600"/>
    </w:pPr>
    <w:rPr>
      <w:rFonts w:ascii="仿宋_GB2312" w:eastAsia="仿宋_GB2312"/>
      <w:kern w:val="30"/>
      <w:sz w:val="30"/>
      <w:szCs w:val="30"/>
    </w:rPr>
  </w:style>
  <w:style w:type="paragraph" w:customStyle="1" w:styleId="3374">
    <w:name w:val="z-窗体底端14"/>
    <w:basedOn w:val="1"/>
    <w:next w:val="1"/>
    <w:qFormat/>
    <w:uiPriority w:val="0"/>
    <w:pPr>
      <w:widowControl/>
      <w:pBdr>
        <w:top w:val="single" w:color="auto" w:sz="6" w:space="1"/>
      </w:pBdr>
      <w:jc w:val="center"/>
    </w:pPr>
    <w:rPr>
      <w:rFonts w:ascii="Arial" w:hAnsi="Arial"/>
      <w:vanish/>
      <w:sz w:val="16"/>
      <w:szCs w:val="16"/>
    </w:rPr>
  </w:style>
  <w:style w:type="paragraph" w:customStyle="1" w:styleId="3375">
    <w:name w:val="z-窗体顶端14"/>
    <w:basedOn w:val="1"/>
    <w:next w:val="1"/>
    <w:qFormat/>
    <w:uiPriority w:val="0"/>
    <w:pPr>
      <w:widowControl/>
      <w:pBdr>
        <w:bottom w:val="single" w:color="auto" w:sz="6" w:space="1"/>
      </w:pBdr>
      <w:jc w:val="center"/>
    </w:pPr>
    <w:rPr>
      <w:rFonts w:ascii="Arial" w:hAnsi="Arial"/>
      <w:vanish/>
      <w:sz w:val="16"/>
      <w:szCs w:val="16"/>
    </w:rPr>
  </w:style>
  <w:style w:type="paragraph" w:customStyle="1" w:styleId="3376">
    <w:name w:val="引文目录标题1"/>
    <w:basedOn w:val="1"/>
    <w:next w:val="1"/>
    <w:qFormat/>
    <w:uiPriority w:val="0"/>
    <w:pPr>
      <w:spacing w:before="120"/>
    </w:pPr>
    <w:rPr>
      <w:rFonts w:ascii="Arial" w:hAnsi="Arial" w:cs="Arial"/>
      <w:sz w:val="24"/>
    </w:rPr>
  </w:style>
  <w:style w:type="paragraph" w:customStyle="1" w:styleId="3377">
    <w:name w:val="xl13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378">
    <w:name w:val="其他标准称谓"/>
    <w:qFormat/>
    <w:uiPriority w:val="0"/>
    <w:pPr>
      <w:spacing w:line="0" w:lineRule="atLeast"/>
      <w:jc w:val="distribute"/>
    </w:pPr>
    <w:rPr>
      <w:rFonts w:ascii="黑体" w:hAnsi="宋体" w:eastAsia="黑体" w:cs="Times New Roman"/>
      <w:sz w:val="52"/>
      <w:lang w:val="en-US" w:eastAsia="zh-CN" w:bidi="ar-SA"/>
    </w:rPr>
  </w:style>
  <w:style w:type="character" w:customStyle="1" w:styleId="3379">
    <w:name w:val="批注主题 Char2"/>
    <w:qFormat/>
    <w:uiPriority w:val="0"/>
    <w:rPr>
      <w:b/>
      <w:bCs/>
      <w:kern w:val="2"/>
      <w:sz w:val="21"/>
      <w:szCs w:val="24"/>
    </w:rPr>
  </w:style>
  <w:style w:type="character" w:customStyle="1" w:styleId="3380">
    <w:name w:val="文档结构图 Char3"/>
    <w:qFormat/>
    <w:uiPriority w:val="0"/>
    <w:rPr>
      <w:rFonts w:ascii="宋体"/>
      <w:kern w:val="2"/>
      <w:sz w:val="18"/>
      <w:szCs w:val="18"/>
    </w:rPr>
  </w:style>
  <w:style w:type="character" w:customStyle="1" w:styleId="3381">
    <w:name w:val="正文文本 3 Char2"/>
    <w:qFormat/>
    <w:uiPriority w:val="0"/>
    <w:rPr>
      <w:kern w:val="2"/>
      <w:sz w:val="16"/>
      <w:szCs w:val="16"/>
    </w:rPr>
  </w:style>
  <w:style w:type="paragraph" w:customStyle="1" w:styleId="3382">
    <w:name w:val="Char Char23 Char Char Char Char Char Char Char Char Char Char Char Char Char Char Char Char Char Char Char Char Char Char"/>
    <w:basedOn w:val="1"/>
    <w:qFormat/>
    <w:uiPriority w:val="0"/>
    <w:rPr>
      <w:rFonts w:ascii="宋体" w:hAnsi="宋体" w:cs="宋体"/>
      <w:sz w:val="24"/>
    </w:rPr>
  </w:style>
  <w:style w:type="paragraph" w:customStyle="1" w:styleId="3383">
    <w:name w:val="题注1"/>
    <w:basedOn w:val="1"/>
    <w:next w:val="1"/>
    <w:qFormat/>
    <w:uiPriority w:val="0"/>
    <w:pPr>
      <w:jc w:val="center"/>
    </w:pPr>
    <w:rPr>
      <w:bCs/>
      <w:szCs w:val="20"/>
    </w:rPr>
  </w:style>
  <w:style w:type="paragraph" w:customStyle="1" w:styleId="3384">
    <w:name w:val="yyp"/>
    <w:basedOn w:val="86"/>
    <w:link w:val="3385"/>
    <w:qFormat/>
    <w:uiPriority w:val="0"/>
    <w:pPr>
      <w:spacing w:line="360" w:lineRule="auto"/>
      <w:ind w:firstLine="480" w:firstLineChars="200"/>
    </w:pPr>
    <w:rPr>
      <w:rFonts w:asciiTheme="minorHAnsi" w:hAnsiTheme="minorHAnsi" w:eastAsiaTheme="minorEastAsia" w:cstheme="minorBidi"/>
      <w:sz w:val="24"/>
      <w:lang w:val="zh-CN"/>
    </w:rPr>
  </w:style>
  <w:style w:type="character" w:customStyle="1" w:styleId="3385">
    <w:name w:val="yyp Char"/>
    <w:link w:val="3384"/>
    <w:qFormat/>
    <w:uiPriority w:val="0"/>
    <w:rPr>
      <w:rFonts w:asciiTheme="minorHAnsi" w:hAnsiTheme="minorHAnsi" w:eastAsiaTheme="minorEastAsia" w:cstheme="minorBidi"/>
      <w:kern w:val="2"/>
      <w:sz w:val="24"/>
      <w:szCs w:val="24"/>
      <w:lang w:val="zh-CN"/>
    </w:rPr>
  </w:style>
  <w:style w:type="paragraph" w:customStyle="1" w:styleId="3386">
    <w:name w:val="a-图名"/>
    <w:link w:val="3387"/>
    <w:qFormat/>
    <w:uiPriority w:val="0"/>
    <w:pPr>
      <w:adjustRightInd w:val="0"/>
      <w:snapToGrid w:val="0"/>
      <w:spacing w:line="480" w:lineRule="auto"/>
      <w:jc w:val="center"/>
    </w:pPr>
    <w:rPr>
      <w:rFonts w:ascii="Times New Roman" w:hAnsi="Times New Roman" w:eastAsia="仿宋" w:cs="Times New Roman"/>
      <w:b/>
      <w:color w:val="000000"/>
      <w:kern w:val="2"/>
      <w:sz w:val="24"/>
      <w:szCs w:val="21"/>
      <w:lang w:val="en-US" w:eastAsia="zh-CN" w:bidi="ar-SA"/>
    </w:rPr>
  </w:style>
  <w:style w:type="character" w:customStyle="1" w:styleId="3387">
    <w:name w:val="a-图名 Char"/>
    <w:link w:val="3386"/>
    <w:qFormat/>
    <w:uiPriority w:val="0"/>
    <w:rPr>
      <w:rFonts w:eastAsia="仿宋"/>
      <w:b/>
      <w:color w:val="000000"/>
      <w:kern w:val="2"/>
      <w:sz w:val="24"/>
      <w:szCs w:val="21"/>
    </w:rPr>
  </w:style>
  <w:style w:type="paragraph" w:customStyle="1" w:styleId="3388">
    <w:name w:val="a-表内"/>
    <w:link w:val="3389"/>
    <w:qFormat/>
    <w:uiPriority w:val="0"/>
    <w:pPr>
      <w:adjustRightInd w:val="0"/>
      <w:snapToGrid w:val="0"/>
      <w:spacing w:line="0" w:lineRule="atLeast"/>
      <w:jc w:val="center"/>
    </w:pPr>
    <w:rPr>
      <w:rFonts w:ascii="Times New Roman" w:hAnsi="Times New Roman" w:eastAsia="仿宋" w:cs="Times New Roman"/>
      <w:color w:val="000000"/>
      <w:kern w:val="2"/>
      <w:sz w:val="21"/>
      <w:szCs w:val="21"/>
      <w:lang w:val="en-US" w:eastAsia="zh-CN" w:bidi="ar-SA"/>
    </w:rPr>
  </w:style>
  <w:style w:type="character" w:customStyle="1" w:styleId="3389">
    <w:name w:val="a-表内 Char"/>
    <w:link w:val="3388"/>
    <w:qFormat/>
    <w:uiPriority w:val="0"/>
    <w:rPr>
      <w:rFonts w:eastAsia="仿宋"/>
      <w:color w:val="000000"/>
      <w:kern w:val="2"/>
      <w:sz w:val="21"/>
      <w:szCs w:val="21"/>
    </w:rPr>
  </w:style>
  <w:style w:type="paragraph" w:customStyle="1" w:styleId="3390">
    <w:name w:val="a-图件"/>
    <w:link w:val="3391"/>
    <w:qFormat/>
    <w:uiPriority w:val="0"/>
    <w:pPr>
      <w:adjustRightInd w:val="0"/>
      <w:snapToGrid w:val="0"/>
      <w:spacing w:line="360" w:lineRule="auto"/>
      <w:jc w:val="center"/>
    </w:pPr>
    <w:rPr>
      <w:rFonts w:ascii="Times New Roman" w:hAnsi="Times New Roman" w:eastAsia="仿宋" w:cs="Times New Roman"/>
      <w:b/>
      <w:color w:val="000000"/>
      <w:kern w:val="2"/>
      <w:sz w:val="24"/>
      <w:szCs w:val="21"/>
      <w:lang w:val="en-US" w:eastAsia="zh-CN" w:bidi="ar-SA"/>
    </w:rPr>
  </w:style>
  <w:style w:type="character" w:customStyle="1" w:styleId="3391">
    <w:name w:val="a-图件 Char"/>
    <w:link w:val="3390"/>
    <w:qFormat/>
    <w:uiPriority w:val="0"/>
    <w:rPr>
      <w:rFonts w:eastAsia="仿宋"/>
      <w:b/>
      <w:color w:val="000000"/>
      <w:kern w:val="2"/>
      <w:sz w:val="24"/>
      <w:szCs w:val="21"/>
    </w:rPr>
  </w:style>
  <w:style w:type="paragraph" w:customStyle="1" w:styleId="3392">
    <w:name w:val="a-文本缩2"/>
    <w:qFormat/>
    <w:uiPriority w:val="0"/>
    <w:pPr>
      <w:adjustRightInd w:val="0"/>
      <w:snapToGrid w:val="0"/>
      <w:spacing w:line="360" w:lineRule="auto"/>
      <w:ind w:firstLine="200" w:firstLineChars="200"/>
      <w:jc w:val="both"/>
    </w:pPr>
    <w:rPr>
      <w:rFonts w:ascii="Times New Roman" w:hAnsi="Times New Roman" w:eastAsia="宋体" w:cs="Times New Roman"/>
      <w:color w:val="000000"/>
      <w:kern w:val="2"/>
      <w:sz w:val="24"/>
      <w:szCs w:val="21"/>
      <w:lang w:val="en-US" w:eastAsia="zh-CN" w:bidi="ar-SA"/>
    </w:rPr>
  </w:style>
  <w:style w:type="character" w:customStyle="1" w:styleId="3393">
    <w:name w:val="yyp Char Char"/>
    <w:qFormat/>
    <w:locked/>
    <w:uiPriority w:val="0"/>
    <w:rPr>
      <w:sz w:val="24"/>
    </w:rPr>
  </w:style>
  <w:style w:type="character" w:customStyle="1" w:styleId="3394">
    <w:name w:val="正文文本缩进 2 Char Char"/>
    <w:link w:val="3395"/>
    <w:qFormat/>
    <w:uiPriority w:val="0"/>
    <w:rPr>
      <w:rFonts w:ascii="宋体" w:hAnsi="宋体"/>
      <w:sz w:val="28"/>
      <w:szCs w:val="30"/>
    </w:rPr>
  </w:style>
  <w:style w:type="paragraph" w:customStyle="1" w:styleId="3395">
    <w:name w:val="正文文本缩进 214"/>
    <w:basedOn w:val="1"/>
    <w:link w:val="3394"/>
    <w:qFormat/>
    <w:uiPriority w:val="0"/>
    <w:pPr>
      <w:adjustRightInd w:val="0"/>
      <w:snapToGrid w:val="0"/>
      <w:spacing w:line="580" w:lineRule="exact"/>
      <w:ind w:firstLine="560" w:firstLineChars="200"/>
    </w:pPr>
    <w:rPr>
      <w:rFonts w:ascii="宋体" w:hAnsi="宋体"/>
      <w:kern w:val="0"/>
      <w:sz w:val="28"/>
      <w:szCs w:val="30"/>
    </w:rPr>
  </w:style>
  <w:style w:type="character" w:customStyle="1" w:styleId="3396">
    <w:name w:val="正文(首行缩进) Char1"/>
    <w:qFormat/>
    <w:uiPriority w:val="0"/>
    <w:rPr>
      <w:bCs/>
      <w:color w:val="000000"/>
      <w:kern w:val="2"/>
      <w:sz w:val="24"/>
      <w:szCs w:val="24"/>
    </w:rPr>
  </w:style>
  <w:style w:type="character" w:customStyle="1" w:styleId="3397">
    <w:name w:val="四级磨溪 Char Char"/>
    <w:link w:val="3398"/>
    <w:qFormat/>
    <w:uiPriority w:val="0"/>
    <w:rPr>
      <w:rFonts w:ascii="Arial" w:hAnsi="Arial"/>
      <w:sz w:val="24"/>
    </w:rPr>
  </w:style>
  <w:style w:type="paragraph" w:customStyle="1" w:styleId="3398">
    <w:name w:val="四级磨溪"/>
    <w:basedOn w:val="2347"/>
    <w:link w:val="3397"/>
    <w:qFormat/>
    <w:uiPriority w:val="0"/>
    <w:pPr>
      <w:ind w:left="0" w:leftChars="0" w:right="105" w:firstLine="0" w:firstLineChars="0"/>
      <w:outlineLvl w:val="3"/>
    </w:pPr>
  </w:style>
  <w:style w:type="paragraph" w:customStyle="1" w:styleId="3399">
    <w:name w:val="CM147"/>
    <w:basedOn w:val="404"/>
    <w:next w:val="404"/>
    <w:qFormat/>
    <w:uiPriority w:val="0"/>
    <w:pPr>
      <w:spacing w:after="183"/>
    </w:pPr>
    <w:rPr>
      <w:rFonts w:ascii="黑体" w:hAnsi="Calibri" w:eastAsia="黑体" w:cs="Times New Roman"/>
      <w:color w:val="auto"/>
    </w:rPr>
  </w:style>
  <w:style w:type="paragraph" w:customStyle="1" w:styleId="3400">
    <w:name w:val="正文1 Char Char Char"/>
    <w:basedOn w:val="1"/>
    <w:qFormat/>
    <w:uiPriority w:val="0"/>
    <w:pPr>
      <w:spacing w:line="560" w:lineRule="exact"/>
      <w:ind w:firstLine="200" w:firstLineChars="200"/>
    </w:pPr>
  </w:style>
  <w:style w:type="paragraph" w:customStyle="1" w:styleId="3401">
    <w:name w:val="CM27"/>
    <w:basedOn w:val="1"/>
    <w:next w:val="1"/>
    <w:qFormat/>
    <w:uiPriority w:val="0"/>
    <w:pPr>
      <w:autoSpaceDE w:val="0"/>
      <w:autoSpaceDN w:val="0"/>
      <w:adjustRightInd w:val="0"/>
      <w:jc w:val="left"/>
    </w:pPr>
    <w:rPr>
      <w:rFonts w:ascii="黑体" w:hAnsi="Calibri" w:eastAsia="黑体"/>
      <w:kern w:val="0"/>
      <w:sz w:val="24"/>
    </w:rPr>
  </w:style>
  <w:style w:type="paragraph" w:customStyle="1" w:styleId="3402">
    <w:name w:val="Char Char3 Char Char"/>
    <w:basedOn w:val="1"/>
    <w:qFormat/>
    <w:uiPriority w:val="0"/>
    <w:rPr>
      <w:rFonts w:ascii="Calibri" w:hAnsi="Calibri"/>
      <w:szCs w:val="22"/>
    </w:rPr>
  </w:style>
  <w:style w:type="paragraph" w:customStyle="1" w:styleId="3403">
    <w:name w:val="CM45"/>
    <w:basedOn w:val="1"/>
    <w:next w:val="1"/>
    <w:qFormat/>
    <w:uiPriority w:val="0"/>
    <w:pPr>
      <w:autoSpaceDE w:val="0"/>
      <w:autoSpaceDN w:val="0"/>
      <w:adjustRightInd w:val="0"/>
      <w:spacing w:line="468" w:lineRule="atLeast"/>
      <w:jc w:val="left"/>
    </w:pPr>
    <w:rPr>
      <w:rFonts w:ascii="黑体" w:hAnsi="Calibri" w:eastAsia="黑体"/>
      <w:kern w:val="0"/>
      <w:sz w:val="24"/>
    </w:rPr>
  </w:style>
  <w:style w:type="paragraph" w:customStyle="1" w:styleId="3404">
    <w:name w:val="正文文本缩进 22"/>
    <w:basedOn w:val="1"/>
    <w:qFormat/>
    <w:uiPriority w:val="0"/>
    <w:pPr>
      <w:adjustRightInd w:val="0"/>
      <w:snapToGrid w:val="0"/>
      <w:spacing w:line="580" w:lineRule="exact"/>
      <w:ind w:firstLine="560" w:firstLineChars="200"/>
    </w:pPr>
    <w:rPr>
      <w:rFonts w:ascii="宋体" w:hAnsi="宋体"/>
      <w:sz w:val="28"/>
      <w:szCs w:val="30"/>
    </w:rPr>
  </w:style>
  <w:style w:type="paragraph" w:customStyle="1" w:styleId="3405">
    <w:name w:val="a-表名"/>
    <w:link w:val="3406"/>
    <w:qFormat/>
    <w:uiPriority w:val="0"/>
    <w:pPr>
      <w:adjustRightInd w:val="0"/>
      <w:snapToGrid w:val="0"/>
      <w:spacing w:line="360" w:lineRule="auto"/>
      <w:jc w:val="center"/>
    </w:pPr>
    <w:rPr>
      <w:rFonts w:ascii="Times New Roman" w:hAnsi="Times New Roman" w:eastAsia="仿宋" w:cs="Times New Roman"/>
      <w:b/>
      <w:color w:val="000000"/>
      <w:kern w:val="2"/>
      <w:sz w:val="24"/>
      <w:szCs w:val="21"/>
      <w:lang w:val="en-US" w:eastAsia="zh-CN" w:bidi="ar-SA"/>
    </w:rPr>
  </w:style>
  <w:style w:type="character" w:customStyle="1" w:styleId="3406">
    <w:name w:val="a-表名 Char"/>
    <w:link w:val="3405"/>
    <w:qFormat/>
    <w:uiPriority w:val="0"/>
    <w:rPr>
      <w:rFonts w:eastAsia="仿宋"/>
      <w:b/>
      <w:color w:val="000000"/>
      <w:kern w:val="2"/>
      <w:sz w:val="24"/>
      <w:szCs w:val="21"/>
    </w:rPr>
  </w:style>
  <w:style w:type="paragraph" w:customStyle="1" w:styleId="3407">
    <w:name w:val="a-目录标题"/>
    <w:link w:val="3408"/>
    <w:qFormat/>
    <w:uiPriority w:val="0"/>
    <w:pPr>
      <w:adjustRightInd w:val="0"/>
      <w:snapToGrid w:val="0"/>
      <w:spacing w:line="480" w:lineRule="auto"/>
      <w:jc w:val="center"/>
    </w:pPr>
    <w:rPr>
      <w:rFonts w:ascii="Times New Roman" w:hAnsi="Times New Roman" w:eastAsia="仿宋" w:cs="Times New Roman"/>
      <w:b/>
      <w:color w:val="000000"/>
      <w:kern w:val="2"/>
      <w:sz w:val="28"/>
      <w:szCs w:val="21"/>
      <w:lang w:val="en-US" w:eastAsia="zh-CN" w:bidi="ar-SA"/>
    </w:rPr>
  </w:style>
  <w:style w:type="character" w:customStyle="1" w:styleId="3408">
    <w:name w:val="a-目录标题 Char"/>
    <w:link w:val="3407"/>
    <w:qFormat/>
    <w:uiPriority w:val="0"/>
    <w:rPr>
      <w:rFonts w:eastAsia="仿宋"/>
      <w:b/>
      <w:color w:val="000000"/>
      <w:kern w:val="2"/>
      <w:sz w:val="28"/>
      <w:szCs w:val="21"/>
    </w:rPr>
  </w:style>
  <w:style w:type="paragraph" w:customStyle="1" w:styleId="3409">
    <w:name w:val="a-目录正文"/>
    <w:link w:val="3410"/>
    <w:qFormat/>
    <w:uiPriority w:val="0"/>
    <w:pPr>
      <w:adjustRightInd w:val="0"/>
      <w:snapToGrid w:val="0"/>
      <w:spacing w:line="360" w:lineRule="auto"/>
      <w:jc w:val="both"/>
    </w:pPr>
    <w:rPr>
      <w:rFonts w:ascii="Times New Roman" w:hAnsi="Times New Roman" w:eastAsia="仿宋" w:cs="Times New Roman"/>
      <w:color w:val="000000"/>
      <w:kern w:val="2"/>
      <w:sz w:val="24"/>
      <w:szCs w:val="21"/>
      <w:lang w:val="en-US" w:eastAsia="zh-CN" w:bidi="ar-SA"/>
    </w:rPr>
  </w:style>
  <w:style w:type="character" w:customStyle="1" w:styleId="3410">
    <w:name w:val="a-目录正文 Char"/>
    <w:link w:val="3409"/>
    <w:qFormat/>
    <w:uiPriority w:val="0"/>
    <w:rPr>
      <w:rFonts w:eastAsia="仿宋"/>
      <w:color w:val="000000"/>
      <w:kern w:val="2"/>
      <w:sz w:val="24"/>
      <w:szCs w:val="21"/>
    </w:rPr>
  </w:style>
  <w:style w:type="paragraph" w:customStyle="1" w:styleId="3411">
    <w:name w:val="a-附图名"/>
    <w:link w:val="3412"/>
    <w:qFormat/>
    <w:uiPriority w:val="0"/>
    <w:pPr>
      <w:adjustRightInd w:val="0"/>
      <w:snapToGrid w:val="0"/>
      <w:spacing w:line="480" w:lineRule="auto"/>
      <w:jc w:val="center"/>
    </w:pPr>
    <w:rPr>
      <w:rFonts w:ascii="Times New Roman" w:hAnsi="Times New Roman" w:eastAsia="仿宋" w:cs="Times New Roman"/>
      <w:b/>
      <w:color w:val="000000"/>
      <w:kern w:val="2"/>
      <w:sz w:val="36"/>
      <w:szCs w:val="21"/>
      <w:lang w:val="en-US" w:eastAsia="zh-CN" w:bidi="ar-SA"/>
    </w:rPr>
  </w:style>
  <w:style w:type="character" w:customStyle="1" w:styleId="3412">
    <w:name w:val="a-附图名 Char"/>
    <w:link w:val="3411"/>
    <w:qFormat/>
    <w:uiPriority w:val="0"/>
    <w:rPr>
      <w:rFonts w:eastAsia="仿宋"/>
      <w:b/>
      <w:color w:val="000000"/>
      <w:kern w:val="2"/>
      <w:sz w:val="36"/>
      <w:szCs w:val="21"/>
    </w:rPr>
  </w:style>
  <w:style w:type="paragraph" w:customStyle="1" w:styleId="3413">
    <w:name w:val="a-附表名"/>
    <w:link w:val="3414"/>
    <w:qFormat/>
    <w:uiPriority w:val="0"/>
    <w:pPr>
      <w:adjustRightInd w:val="0"/>
      <w:snapToGrid w:val="0"/>
      <w:spacing w:line="360" w:lineRule="auto"/>
      <w:jc w:val="center"/>
    </w:pPr>
    <w:rPr>
      <w:rFonts w:ascii="Times New Roman" w:hAnsi="Times New Roman" w:eastAsia="仿宋" w:cs="Times New Roman"/>
      <w:b/>
      <w:color w:val="000000"/>
      <w:kern w:val="2"/>
      <w:sz w:val="24"/>
      <w:szCs w:val="21"/>
      <w:lang w:val="en-US" w:eastAsia="zh-CN" w:bidi="ar-SA"/>
    </w:rPr>
  </w:style>
  <w:style w:type="character" w:customStyle="1" w:styleId="3414">
    <w:name w:val="a-附表名 Char"/>
    <w:link w:val="3413"/>
    <w:qFormat/>
    <w:uiPriority w:val="0"/>
    <w:rPr>
      <w:rFonts w:eastAsia="仿宋"/>
      <w:b/>
      <w:color w:val="000000"/>
      <w:kern w:val="2"/>
      <w:sz w:val="24"/>
      <w:szCs w:val="21"/>
    </w:rPr>
  </w:style>
  <w:style w:type="paragraph" w:customStyle="1" w:styleId="3415">
    <w:name w:val="a-附件名"/>
    <w:link w:val="3416"/>
    <w:qFormat/>
    <w:uiPriority w:val="0"/>
    <w:pPr>
      <w:adjustRightInd w:val="0"/>
      <w:snapToGrid w:val="0"/>
      <w:spacing w:line="480" w:lineRule="auto"/>
    </w:pPr>
    <w:rPr>
      <w:rFonts w:ascii="Times New Roman" w:hAnsi="Times New Roman" w:eastAsia="仿宋" w:cs="Times New Roman"/>
      <w:b/>
      <w:color w:val="000000"/>
      <w:kern w:val="2"/>
      <w:sz w:val="32"/>
      <w:szCs w:val="21"/>
      <w:lang w:val="en-US" w:eastAsia="zh-CN" w:bidi="ar-SA"/>
    </w:rPr>
  </w:style>
  <w:style w:type="character" w:customStyle="1" w:styleId="3416">
    <w:name w:val="a-附件名 Char"/>
    <w:link w:val="3415"/>
    <w:qFormat/>
    <w:uiPriority w:val="0"/>
    <w:rPr>
      <w:rFonts w:eastAsia="仿宋"/>
      <w:b/>
      <w:color w:val="000000"/>
      <w:kern w:val="2"/>
      <w:sz w:val="32"/>
      <w:szCs w:val="21"/>
    </w:rPr>
  </w:style>
  <w:style w:type="paragraph" w:customStyle="1" w:styleId="3417">
    <w:name w:val="a-备注"/>
    <w:link w:val="3418"/>
    <w:qFormat/>
    <w:uiPriority w:val="0"/>
    <w:pPr>
      <w:adjustRightInd w:val="0"/>
      <w:snapToGrid w:val="0"/>
      <w:spacing w:line="360" w:lineRule="auto"/>
    </w:pPr>
    <w:rPr>
      <w:rFonts w:ascii="Cambria" w:hAnsi="Cambria" w:eastAsia="宋体" w:cs="Times New Roman"/>
      <w:bCs/>
      <w:color w:val="000000"/>
      <w:kern w:val="2"/>
      <w:sz w:val="21"/>
      <w:szCs w:val="32"/>
      <w:lang w:val="en-US" w:eastAsia="zh-CN" w:bidi="ar-SA"/>
    </w:rPr>
  </w:style>
  <w:style w:type="character" w:customStyle="1" w:styleId="3418">
    <w:name w:val="a-备注 Char"/>
    <w:link w:val="3417"/>
    <w:qFormat/>
    <w:uiPriority w:val="0"/>
    <w:rPr>
      <w:rFonts w:ascii="Cambria" w:hAnsi="Cambria"/>
      <w:bCs/>
      <w:color w:val="000000"/>
      <w:kern w:val="2"/>
      <w:sz w:val="21"/>
      <w:szCs w:val="32"/>
    </w:rPr>
  </w:style>
  <w:style w:type="character" w:customStyle="1" w:styleId="3419">
    <w:name w:val="a-图名 Char Char"/>
    <w:qFormat/>
    <w:uiPriority w:val="0"/>
    <w:rPr>
      <w:rFonts w:eastAsia="仿宋_GB2312"/>
      <w:b/>
      <w:color w:val="000000"/>
      <w:kern w:val="2"/>
      <w:sz w:val="24"/>
      <w:szCs w:val="21"/>
      <w:lang w:bidi="ar-SA"/>
    </w:rPr>
  </w:style>
  <w:style w:type="paragraph" w:customStyle="1" w:styleId="3420">
    <w:name w:val="标题 31"/>
    <w:basedOn w:val="1"/>
    <w:next w:val="1"/>
    <w:qFormat/>
    <w:uiPriority w:val="0"/>
    <w:pPr>
      <w:keepNext/>
      <w:keepLines/>
      <w:spacing w:line="360" w:lineRule="auto"/>
      <w:outlineLvl w:val="2"/>
    </w:pPr>
    <w:rPr>
      <w:rFonts w:ascii="宋体" w:hAnsi="宋体"/>
      <w:bCs/>
      <w:sz w:val="28"/>
      <w:szCs w:val="32"/>
    </w:rPr>
  </w:style>
  <w:style w:type="paragraph" w:customStyle="1" w:styleId="3421">
    <w:name w:val="Char Char294"/>
    <w:basedOn w:val="1"/>
    <w:qFormat/>
    <w:uiPriority w:val="0"/>
    <w:pPr>
      <w:spacing w:line="360" w:lineRule="auto"/>
    </w:pPr>
    <w:rPr>
      <w:sz w:val="24"/>
    </w:rPr>
  </w:style>
  <w:style w:type="character" w:customStyle="1" w:styleId="3422">
    <w:name w:val="文档结构图 Char4"/>
    <w:qFormat/>
    <w:uiPriority w:val="0"/>
    <w:rPr>
      <w:kern w:val="2"/>
      <w:sz w:val="21"/>
      <w:szCs w:val="24"/>
      <w:shd w:val="clear" w:color="auto" w:fill="000080"/>
    </w:rPr>
  </w:style>
  <w:style w:type="character" w:customStyle="1" w:styleId="3423">
    <w:name w:val=".X.X Char2"/>
    <w:uiPriority w:val="0"/>
    <w:rPr>
      <w:b/>
      <w:bCs/>
      <w:kern w:val="2"/>
      <w:sz w:val="32"/>
      <w:szCs w:val="32"/>
    </w:rPr>
  </w:style>
  <w:style w:type="character" w:customStyle="1" w:styleId="3424">
    <w:name w:val="Normal Indent Char"/>
    <w:qFormat/>
    <w:locked/>
    <w:uiPriority w:val="0"/>
  </w:style>
  <w:style w:type="character" w:customStyle="1" w:styleId="3425">
    <w:name w:val="Char Char163"/>
    <w:qFormat/>
    <w:uiPriority w:val="0"/>
    <w:rPr>
      <w:rFonts w:ascii="Courier New" w:hAnsi="Courier New" w:eastAsia="宋体" w:cs="Courier New"/>
      <w:kern w:val="2"/>
      <w:lang w:val="en-US" w:eastAsia="zh-CN" w:bidi="ar-SA"/>
    </w:rPr>
  </w:style>
  <w:style w:type="character" w:customStyle="1" w:styleId="3426">
    <w:name w:val="Char Char121"/>
    <w:qFormat/>
    <w:uiPriority w:val="0"/>
    <w:rPr>
      <w:rFonts w:ascii="Arial" w:hAnsi="Arial" w:eastAsia="黑体" w:cs="Arial"/>
      <w:kern w:val="2"/>
      <w:lang w:val="en-US" w:eastAsia="zh-CN" w:bidi="ar-SA"/>
    </w:rPr>
  </w:style>
  <w:style w:type="character" w:customStyle="1" w:styleId="3427">
    <w:name w:val="Char Char393"/>
    <w:qFormat/>
    <w:uiPriority w:val="0"/>
    <w:rPr>
      <w:rFonts w:ascii="Arial" w:hAnsi="Arial" w:eastAsia="黑体"/>
      <w:b/>
      <w:bCs/>
      <w:kern w:val="2"/>
      <w:sz w:val="32"/>
      <w:szCs w:val="32"/>
      <w:lang w:val="en-US" w:eastAsia="zh-CN" w:bidi="ar-SA"/>
    </w:rPr>
  </w:style>
  <w:style w:type="character" w:customStyle="1" w:styleId="3428">
    <w:name w:val="Char Char283"/>
    <w:qFormat/>
    <w:uiPriority w:val="0"/>
    <w:rPr>
      <w:rFonts w:eastAsia="宋体"/>
      <w:b/>
      <w:bCs/>
      <w:kern w:val="2"/>
      <w:sz w:val="28"/>
      <w:szCs w:val="28"/>
      <w:lang w:val="en-US" w:eastAsia="zh-CN" w:bidi="ar-SA"/>
    </w:rPr>
  </w:style>
  <w:style w:type="character" w:customStyle="1" w:styleId="3429">
    <w:name w:val="标题 6 Char2"/>
    <w:qFormat/>
    <w:uiPriority w:val="0"/>
    <w:rPr>
      <w:rFonts w:ascii="Arial" w:hAnsi="Arial" w:eastAsia="黑体"/>
      <w:b/>
      <w:bCs/>
      <w:kern w:val="2"/>
      <w:sz w:val="24"/>
      <w:szCs w:val="24"/>
      <w:lang w:bidi="ar-SA"/>
    </w:rPr>
  </w:style>
  <w:style w:type="character" w:customStyle="1" w:styleId="3430">
    <w:name w:val="Char Char323"/>
    <w:qFormat/>
    <w:uiPriority w:val="0"/>
    <w:rPr>
      <w:rFonts w:ascii="Arial" w:hAnsi="Arial" w:eastAsia="黑体"/>
      <w:kern w:val="2"/>
      <w:sz w:val="24"/>
      <w:szCs w:val="24"/>
      <w:lang w:val="en-US" w:eastAsia="zh-CN" w:bidi="ar-SA"/>
    </w:rPr>
  </w:style>
  <w:style w:type="character" w:customStyle="1" w:styleId="3431">
    <w:name w:val="Char Char453"/>
    <w:qFormat/>
    <w:uiPriority w:val="0"/>
    <w:rPr>
      <w:rFonts w:ascii="宋体" w:hAnsi="Courier New"/>
      <w:color w:val="000000"/>
      <w:kern w:val="2"/>
      <w:sz w:val="21"/>
    </w:rPr>
  </w:style>
  <w:style w:type="character" w:customStyle="1" w:styleId="3432">
    <w:name w:val="Char Char483"/>
    <w:qFormat/>
    <w:uiPriority w:val="0"/>
    <w:rPr>
      <w:kern w:val="2"/>
      <w:sz w:val="21"/>
      <w:szCs w:val="24"/>
      <w:shd w:val="clear" w:color="auto" w:fill="000080"/>
    </w:rPr>
  </w:style>
  <w:style w:type="character" w:customStyle="1" w:styleId="3433">
    <w:name w:val="Char Char473"/>
    <w:qFormat/>
    <w:uiPriority w:val="0"/>
    <w:rPr>
      <w:kern w:val="2"/>
      <w:sz w:val="18"/>
      <w:szCs w:val="18"/>
    </w:rPr>
  </w:style>
  <w:style w:type="character" w:customStyle="1" w:styleId="3434">
    <w:name w:val="Char Char383"/>
    <w:qFormat/>
    <w:uiPriority w:val="0"/>
    <w:rPr>
      <w:rFonts w:ascii="仿宋_GB2312" w:hAnsi="Arial" w:eastAsia="仿宋_GB2312"/>
      <w:bCs/>
      <w:kern w:val="2"/>
      <w:sz w:val="28"/>
      <w:szCs w:val="28"/>
      <w:lang w:val="en-US" w:eastAsia="zh-CN" w:bidi="ar-SA"/>
    </w:rPr>
  </w:style>
  <w:style w:type="character" w:customStyle="1" w:styleId="3435">
    <w:name w:val="HTML 打字机13"/>
    <w:qFormat/>
    <w:uiPriority w:val="0"/>
    <w:rPr>
      <w:rFonts w:ascii="Courier New" w:hAnsi="Courier New" w:cs="Courier New"/>
      <w:sz w:val="20"/>
      <w:szCs w:val="20"/>
    </w:rPr>
  </w:style>
  <w:style w:type="character" w:customStyle="1" w:styleId="3436">
    <w:name w:val="HTML 键盘13"/>
    <w:qFormat/>
    <w:uiPriority w:val="0"/>
    <w:rPr>
      <w:rFonts w:ascii="Courier New" w:hAnsi="Courier New" w:cs="Courier New"/>
      <w:sz w:val="20"/>
      <w:szCs w:val="20"/>
    </w:rPr>
  </w:style>
  <w:style w:type="character" w:customStyle="1" w:styleId="3437">
    <w:name w:val="Char Char373"/>
    <w:qFormat/>
    <w:uiPriority w:val="0"/>
    <w:rPr>
      <w:rFonts w:ascii="Arial" w:hAnsi="Arial" w:eastAsia="黑体"/>
      <w:b/>
      <w:bCs/>
      <w:kern w:val="2"/>
      <w:sz w:val="28"/>
      <w:szCs w:val="28"/>
      <w:lang w:val="en-US" w:eastAsia="zh-CN" w:bidi="ar-SA"/>
    </w:rPr>
  </w:style>
  <w:style w:type="character" w:customStyle="1" w:styleId="3438">
    <w:name w:val="正文缩进 Char1 Char Char Char3"/>
    <w:qFormat/>
    <w:uiPriority w:val="0"/>
    <w:rPr>
      <w:rFonts w:eastAsia="宋体"/>
      <w:lang w:val="en-US" w:eastAsia="zh-CN"/>
    </w:rPr>
  </w:style>
  <w:style w:type="character" w:customStyle="1" w:styleId="3439">
    <w:name w:val="HTML 变量13"/>
    <w:qFormat/>
    <w:uiPriority w:val="0"/>
    <w:rPr>
      <w:i/>
      <w:iCs/>
    </w:rPr>
  </w:style>
  <w:style w:type="character" w:customStyle="1" w:styleId="3440">
    <w:name w:val="Char Char71"/>
    <w:qFormat/>
    <w:uiPriority w:val="0"/>
    <w:rPr>
      <w:rFonts w:ascii="Times New Roman" w:hAnsi="Times New Roman" w:eastAsia="宋体" w:cs="Times New Roman"/>
      <w:sz w:val="18"/>
      <w:szCs w:val="20"/>
    </w:rPr>
  </w:style>
  <w:style w:type="character" w:customStyle="1" w:styleId="3441">
    <w:name w:val="标题 7 Char2"/>
    <w:qFormat/>
    <w:uiPriority w:val="0"/>
    <w:rPr>
      <w:rFonts w:eastAsia="宋体"/>
      <w:b/>
      <w:bCs/>
      <w:kern w:val="2"/>
      <w:sz w:val="24"/>
      <w:szCs w:val="24"/>
      <w:lang w:bidi="ar-SA"/>
    </w:rPr>
  </w:style>
  <w:style w:type="character" w:customStyle="1" w:styleId="3442">
    <w:name w:val="标题 5 Char2"/>
    <w:qFormat/>
    <w:uiPriority w:val="0"/>
    <w:rPr>
      <w:rFonts w:eastAsia="宋体"/>
      <w:b/>
      <w:bCs/>
      <w:kern w:val="2"/>
      <w:sz w:val="28"/>
      <w:szCs w:val="28"/>
      <w:lang w:bidi="ar-SA"/>
    </w:rPr>
  </w:style>
  <w:style w:type="character" w:customStyle="1" w:styleId="3443">
    <w:name w:val="标题 8 Char2"/>
    <w:qFormat/>
    <w:uiPriority w:val="0"/>
    <w:rPr>
      <w:rFonts w:ascii="Arial" w:hAnsi="Arial" w:eastAsia="黑体"/>
      <w:kern w:val="2"/>
      <w:sz w:val="24"/>
      <w:szCs w:val="24"/>
      <w:lang w:bidi="ar-SA"/>
    </w:rPr>
  </w:style>
  <w:style w:type="character" w:customStyle="1" w:styleId="3444">
    <w:name w:val="标题 9 Char2"/>
    <w:qFormat/>
    <w:uiPriority w:val="0"/>
    <w:rPr>
      <w:rFonts w:ascii="Arial" w:hAnsi="Arial" w:eastAsia="黑体"/>
      <w:kern w:val="2"/>
      <w:sz w:val="21"/>
      <w:szCs w:val="21"/>
      <w:lang w:bidi="ar-SA"/>
    </w:rPr>
  </w:style>
  <w:style w:type="character" w:customStyle="1" w:styleId="3445">
    <w:name w:val="Char Char273"/>
    <w:qFormat/>
    <w:uiPriority w:val="0"/>
    <w:rPr>
      <w:rFonts w:ascii="Arial" w:hAnsi="Arial" w:eastAsia="黑体"/>
      <w:b/>
      <w:bCs/>
      <w:kern w:val="2"/>
      <w:sz w:val="24"/>
      <w:szCs w:val="24"/>
      <w:lang w:val="en-US" w:eastAsia="zh-CN" w:bidi="ar-SA"/>
    </w:rPr>
  </w:style>
  <w:style w:type="character" w:customStyle="1" w:styleId="3446">
    <w:name w:val="Char Char263"/>
    <w:qFormat/>
    <w:uiPriority w:val="0"/>
    <w:rPr>
      <w:rFonts w:eastAsia="宋体"/>
      <w:b/>
      <w:bCs/>
      <w:kern w:val="2"/>
      <w:sz w:val="24"/>
      <w:szCs w:val="24"/>
      <w:lang w:val="en-US" w:eastAsia="zh-CN" w:bidi="ar-SA"/>
    </w:rPr>
  </w:style>
  <w:style w:type="character" w:customStyle="1" w:styleId="3447">
    <w:name w:val="Char Char403"/>
    <w:qFormat/>
    <w:uiPriority w:val="0"/>
    <w:rPr>
      <w:kern w:val="2"/>
      <w:sz w:val="21"/>
      <w:szCs w:val="24"/>
    </w:rPr>
  </w:style>
  <w:style w:type="character" w:customStyle="1" w:styleId="3448">
    <w:name w:val="Char Char303"/>
    <w:qFormat/>
    <w:uiPriority w:val="0"/>
    <w:rPr>
      <w:rFonts w:eastAsia="宋体"/>
      <w:kern w:val="2"/>
      <w:sz w:val="16"/>
      <w:szCs w:val="16"/>
      <w:lang w:val="en-US" w:eastAsia="zh-CN" w:bidi="ar-SA"/>
    </w:rPr>
  </w:style>
  <w:style w:type="character" w:customStyle="1" w:styleId="3449">
    <w:name w:val="Char Char153"/>
    <w:qFormat/>
    <w:uiPriority w:val="0"/>
    <w:rPr>
      <w:rFonts w:eastAsia="宋体"/>
      <w:kern w:val="2"/>
      <w:sz w:val="21"/>
      <w:szCs w:val="24"/>
      <w:lang w:val="en-US" w:eastAsia="zh-CN" w:bidi="ar-SA"/>
    </w:rPr>
  </w:style>
  <w:style w:type="character" w:customStyle="1" w:styleId="3450">
    <w:name w:val="书籍标题13"/>
    <w:qFormat/>
    <w:uiPriority w:val="0"/>
    <w:rPr>
      <w:b/>
      <w:bCs/>
      <w:smallCaps/>
      <w:spacing w:val="5"/>
    </w:rPr>
  </w:style>
  <w:style w:type="character" w:customStyle="1" w:styleId="3451">
    <w:name w:val="占位符文本13"/>
    <w:qFormat/>
    <w:uiPriority w:val="0"/>
    <w:rPr>
      <w:color w:val="808080"/>
    </w:rPr>
  </w:style>
  <w:style w:type="character" w:customStyle="1" w:styleId="3452">
    <w:name w:val="Char Char443"/>
    <w:qFormat/>
    <w:uiPriority w:val="0"/>
    <w:rPr>
      <w:rFonts w:ascii="Arial" w:hAnsi="Arial" w:cs="Arial"/>
      <w:b/>
      <w:bCs/>
      <w:kern w:val="2"/>
      <w:sz w:val="32"/>
      <w:szCs w:val="32"/>
    </w:rPr>
  </w:style>
  <w:style w:type="character" w:customStyle="1" w:styleId="3453">
    <w:name w:val="Char Char243"/>
    <w:qFormat/>
    <w:uiPriority w:val="0"/>
    <w:rPr>
      <w:rFonts w:ascii="Arial" w:hAnsi="Arial" w:cs="Arial"/>
      <w:b/>
      <w:bCs/>
      <w:kern w:val="28"/>
      <w:sz w:val="32"/>
      <w:szCs w:val="32"/>
    </w:rPr>
  </w:style>
  <w:style w:type="character" w:customStyle="1" w:styleId="3454">
    <w:name w:val="Char Char433"/>
    <w:qFormat/>
    <w:uiPriority w:val="0"/>
    <w:rPr>
      <w:i/>
      <w:iCs/>
      <w:kern w:val="2"/>
      <w:sz w:val="21"/>
      <w:szCs w:val="24"/>
    </w:rPr>
  </w:style>
  <w:style w:type="character" w:customStyle="1" w:styleId="3455">
    <w:name w:val="Char Char61"/>
    <w:qFormat/>
    <w:uiPriority w:val="0"/>
    <w:rPr>
      <w:rFonts w:eastAsia="宋体"/>
      <w:kern w:val="2"/>
      <w:sz w:val="21"/>
      <w:szCs w:val="24"/>
      <w:lang w:val="en-US" w:eastAsia="zh-CN" w:bidi="ar-SA"/>
    </w:rPr>
  </w:style>
  <w:style w:type="character" w:customStyle="1" w:styleId="3456">
    <w:name w:val="Char Char183"/>
    <w:qFormat/>
    <w:uiPriority w:val="0"/>
    <w:rPr>
      <w:rFonts w:eastAsia="宋体"/>
      <w:kern w:val="2"/>
      <w:sz w:val="21"/>
      <w:szCs w:val="24"/>
      <w:lang w:val="en-US" w:eastAsia="zh-CN" w:bidi="ar-SA"/>
    </w:rPr>
  </w:style>
  <w:style w:type="character" w:customStyle="1" w:styleId="3457">
    <w:name w:val="Char Char91"/>
    <w:qFormat/>
    <w:uiPriority w:val="0"/>
    <w:rPr>
      <w:rFonts w:eastAsia="宋体"/>
      <w:kern w:val="2"/>
      <w:sz w:val="18"/>
      <w:szCs w:val="18"/>
      <w:lang w:val="en-US" w:eastAsia="zh-CN" w:bidi="ar-SA"/>
    </w:rPr>
  </w:style>
  <w:style w:type="character" w:customStyle="1" w:styleId="3458">
    <w:name w:val="Char Char353"/>
    <w:qFormat/>
    <w:uiPriority w:val="0"/>
    <w:rPr>
      <w:rFonts w:eastAsia="宋体"/>
      <w:b/>
      <w:bCs/>
      <w:kern w:val="2"/>
      <w:sz w:val="28"/>
      <w:szCs w:val="28"/>
      <w:lang w:val="en-US" w:eastAsia="zh-CN" w:bidi="ar-SA"/>
    </w:rPr>
  </w:style>
  <w:style w:type="character" w:customStyle="1" w:styleId="3459">
    <w:name w:val="页码13"/>
    <w:qFormat/>
    <w:uiPriority w:val="0"/>
  </w:style>
  <w:style w:type="character" w:customStyle="1" w:styleId="3460">
    <w:name w:val="Char Char223"/>
    <w:qFormat/>
    <w:uiPriority w:val="0"/>
    <w:rPr>
      <w:kern w:val="2"/>
      <w:sz w:val="18"/>
      <w:szCs w:val="18"/>
    </w:rPr>
  </w:style>
  <w:style w:type="character" w:customStyle="1" w:styleId="3461">
    <w:name w:val="Char Char213"/>
    <w:qFormat/>
    <w:uiPriority w:val="0"/>
    <w:rPr>
      <w:kern w:val="2"/>
      <w:sz w:val="21"/>
      <w:szCs w:val="24"/>
    </w:rPr>
  </w:style>
  <w:style w:type="character" w:customStyle="1" w:styleId="3462">
    <w:name w:val="Char Char253"/>
    <w:qFormat/>
    <w:uiPriority w:val="0"/>
    <w:rPr>
      <w:kern w:val="2"/>
      <w:sz w:val="18"/>
    </w:rPr>
  </w:style>
  <w:style w:type="character" w:customStyle="1" w:styleId="3463">
    <w:name w:val="Char Char363"/>
    <w:qFormat/>
    <w:uiPriority w:val="0"/>
    <w:rPr>
      <w:rFonts w:ascii="仿宋_GB2312" w:hAnsi="Arial" w:eastAsia="仿宋_GB2312"/>
      <w:b/>
      <w:bCs/>
      <w:kern w:val="2"/>
      <w:sz w:val="28"/>
      <w:szCs w:val="28"/>
      <w:lang w:val="en-US" w:eastAsia="zh-CN" w:bidi="ar-SA"/>
    </w:rPr>
  </w:style>
  <w:style w:type="character" w:customStyle="1" w:styleId="3464">
    <w:name w:val="Char Char313"/>
    <w:qFormat/>
    <w:uiPriority w:val="0"/>
    <w:rPr>
      <w:rFonts w:eastAsia="宋体"/>
      <w:kern w:val="2"/>
      <w:sz w:val="21"/>
      <w:szCs w:val="24"/>
      <w:lang w:val="en-US" w:eastAsia="zh-CN" w:bidi="ar-SA"/>
    </w:rPr>
  </w:style>
  <w:style w:type="character" w:customStyle="1" w:styleId="3465">
    <w:name w:val="Char Char463"/>
    <w:qFormat/>
    <w:uiPriority w:val="0"/>
    <w:rPr>
      <w:rFonts w:ascii="宋体" w:hAnsi="Courier New"/>
      <w:kern w:val="2"/>
      <w:sz w:val="28"/>
    </w:rPr>
  </w:style>
  <w:style w:type="character" w:customStyle="1" w:styleId="3466">
    <w:name w:val="Char Char423"/>
    <w:qFormat/>
    <w:uiPriority w:val="0"/>
    <w:rPr>
      <w:rFonts w:ascii="Courier New" w:hAnsi="Courier New" w:cs="Courier New"/>
      <w:kern w:val="2"/>
    </w:rPr>
  </w:style>
  <w:style w:type="character" w:customStyle="1" w:styleId="3467">
    <w:name w:val="Char Char413"/>
    <w:qFormat/>
    <w:uiPriority w:val="0"/>
    <w:rPr>
      <w:kern w:val="2"/>
      <w:sz w:val="21"/>
      <w:szCs w:val="24"/>
    </w:rPr>
  </w:style>
  <w:style w:type="character" w:customStyle="1" w:styleId="3468">
    <w:name w:val="Char Char333"/>
    <w:qFormat/>
    <w:uiPriority w:val="0"/>
    <w:rPr>
      <w:rFonts w:eastAsia="宋体"/>
      <w:b/>
      <w:bCs/>
      <w:kern w:val="2"/>
      <w:sz w:val="24"/>
      <w:szCs w:val="24"/>
      <w:lang w:val="en-US" w:eastAsia="zh-CN" w:bidi="ar-SA"/>
    </w:rPr>
  </w:style>
  <w:style w:type="character" w:customStyle="1" w:styleId="3469">
    <w:name w:val="Char Char343"/>
    <w:qFormat/>
    <w:uiPriority w:val="0"/>
    <w:rPr>
      <w:rFonts w:ascii="Arial" w:hAnsi="Arial" w:eastAsia="黑体"/>
      <w:b/>
      <w:bCs/>
      <w:kern w:val="2"/>
      <w:sz w:val="24"/>
      <w:szCs w:val="24"/>
      <w:lang w:val="en-US" w:eastAsia="zh-CN" w:bidi="ar-SA"/>
    </w:rPr>
  </w:style>
  <w:style w:type="character" w:customStyle="1" w:styleId="3470">
    <w:name w:val="批注引用13"/>
    <w:qFormat/>
    <w:uiPriority w:val="0"/>
    <w:rPr>
      <w:sz w:val="21"/>
      <w:szCs w:val="21"/>
    </w:rPr>
  </w:style>
  <w:style w:type="character" w:customStyle="1" w:styleId="3471">
    <w:name w:val="行号13"/>
    <w:qFormat/>
    <w:uiPriority w:val="0"/>
  </w:style>
  <w:style w:type="character" w:customStyle="1" w:styleId="3472">
    <w:name w:val="HTML 引文13"/>
    <w:qFormat/>
    <w:uiPriority w:val="0"/>
    <w:rPr>
      <w:i/>
      <w:iCs/>
    </w:rPr>
  </w:style>
  <w:style w:type="character" w:customStyle="1" w:styleId="3473">
    <w:name w:val="Char Char141"/>
    <w:qFormat/>
    <w:uiPriority w:val="0"/>
    <w:rPr>
      <w:rFonts w:eastAsia="宋体"/>
      <w:kern w:val="2"/>
      <w:sz w:val="21"/>
      <w:szCs w:val="24"/>
      <w:lang w:val="en-US" w:eastAsia="zh-CN" w:bidi="ar-SA"/>
    </w:rPr>
  </w:style>
  <w:style w:type="character" w:customStyle="1" w:styleId="3474">
    <w:name w:val="Char Char81"/>
    <w:qFormat/>
    <w:uiPriority w:val="0"/>
    <w:rPr>
      <w:rFonts w:eastAsia="宋体"/>
      <w:kern w:val="2"/>
      <w:sz w:val="18"/>
      <w:szCs w:val="18"/>
      <w:lang w:val="en-US" w:eastAsia="zh-CN" w:bidi="ar-SA"/>
    </w:rPr>
  </w:style>
  <w:style w:type="character" w:customStyle="1" w:styleId="3475">
    <w:name w:val="HTML 定义13"/>
    <w:qFormat/>
    <w:uiPriority w:val="0"/>
    <w:rPr>
      <w:i/>
      <w:iCs/>
    </w:rPr>
  </w:style>
  <w:style w:type="character" w:customStyle="1" w:styleId="3476">
    <w:name w:val="HTML 样本13"/>
    <w:qFormat/>
    <w:uiPriority w:val="0"/>
    <w:rPr>
      <w:rFonts w:ascii="Courier New" w:hAnsi="Courier New" w:cs="Courier New"/>
    </w:rPr>
  </w:style>
  <w:style w:type="character" w:customStyle="1" w:styleId="3477">
    <w:name w:val="HTML 缩写13"/>
    <w:qFormat/>
    <w:uiPriority w:val="0"/>
  </w:style>
  <w:style w:type="character" w:customStyle="1" w:styleId="3478">
    <w:name w:val="Char1 Char Char4"/>
    <w:qFormat/>
    <w:uiPriority w:val="0"/>
    <w:rPr>
      <w:kern w:val="2"/>
      <w:sz w:val="21"/>
      <w:szCs w:val="24"/>
    </w:rPr>
  </w:style>
  <w:style w:type="character" w:customStyle="1" w:styleId="3479">
    <w:name w:val="HTML 代码13"/>
    <w:qFormat/>
    <w:uiPriority w:val="0"/>
    <w:rPr>
      <w:rFonts w:ascii="Courier New" w:hAnsi="Courier New" w:cs="Courier New"/>
      <w:sz w:val="20"/>
      <w:szCs w:val="20"/>
    </w:rPr>
  </w:style>
  <w:style w:type="paragraph" w:customStyle="1" w:styleId="3480">
    <w:name w:val="正文文本缩进 313"/>
    <w:basedOn w:val="1"/>
    <w:qFormat/>
    <w:uiPriority w:val="0"/>
    <w:pPr>
      <w:adjustRightInd w:val="0"/>
      <w:spacing w:line="360" w:lineRule="atLeast"/>
      <w:ind w:firstLine="525"/>
      <w:textAlignment w:val="baseline"/>
    </w:pPr>
    <w:rPr>
      <w:rFonts w:ascii="宋体" w:hAnsi="宋体"/>
      <w:kern w:val="0"/>
      <w:sz w:val="24"/>
      <w:szCs w:val="20"/>
    </w:rPr>
  </w:style>
  <w:style w:type="paragraph" w:customStyle="1" w:styleId="3481">
    <w:name w:val="列表编号 413"/>
    <w:basedOn w:val="1"/>
    <w:qFormat/>
    <w:uiPriority w:val="0"/>
    <w:pPr>
      <w:tabs>
        <w:tab w:val="left" w:pos="1200"/>
        <w:tab w:val="left" w:pos="1620"/>
      </w:tabs>
      <w:ind w:left="1200" w:leftChars="400" w:hanging="360" w:hangingChars="200"/>
    </w:pPr>
  </w:style>
  <w:style w:type="paragraph" w:customStyle="1" w:styleId="3482">
    <w:name w:val="Char81"/>
    <w:basedOn w:val="1"/>
    <w:qFormat/>
    <w:uiPriority w:val="0"/>
    <w:pPr>
      <w:spacing w:line="360" w:lineRule="auto"/>
      <w:ind w:firstLine="200" w:firstLineChars="200"/>
    </w:pPr>
    <w:rPr>
      <w:rFonts w:ascii="宋体" w:hAnsi="宋体" w:cs="宋体"/>
      <w:sz w:val="24"/>
    </w:rPr>
  </w:style>
  <w:style w:type="paragraph" w:customStyle="1" w:styleId="3483">
    <w:name w:val="HTML 地址13"/>
    <w:basedOn w:val="1"/>
    <w:qFormat/>
    <w:uiPriority w:val="0"/>
    <w:rPr>
      <w:i/>
      <w:iCs/>
    </w:rPr>
  </w:style>
  <w:style w:type="paragraph" w:customStyle="1" w:styleId="3484">
    <w:name w:val="HTML 预设格式13"/>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customStyle="1" w:styleId="3485">
    <w:name w:val="Char1 Char Char Char2"/>
    <w:basedOn w:val="1"/>
    <w:qFormat/>
    <w:uiPriority w:val="0"/>
  </w:style>
  <w:style w:type="paragraph" w:customStyle="1" w:styleId="3486">
    <w:name w:val="Char Char Char1 Char Char Char Char Char Char Char Char Char Char Char Char Char13"/>
    <w:basedOn w:val="1"/>
    <w:next w:val="1"/>
    <w:qFormat/>
    <w:uiPriority w:val="0"/>
    <w:pPr>
      <w:spacing w:line="360" w:lineRule="auto"/>
      <w:ind w:left="-84" w:leftChars="-30" w:right="-76" w:rightChars="-27" w:firstLine="560" w:firstLineChars="200"/>
      <w:jc w:val="left"/>
    </w:pPr>
    <w:rPr>
      <w:rFonts w:ascii="Arial" w:hAnsi="Arial" w:cs="Arial"/>
      <w:sz w:val="28"/>
      <w:szCs w:val="28"/>
    </w:rPr>
  </w:style>
  <w:style w:type="paragraph" w:customStyle="1" w:styleId="3487">
    <w:name w:val="Char Char1 Char Char Char Char Char Char Char Char Char Char Char Char1"/>
    <w:basedOn w:val="1"/>
    <w:qFormat/>
    <w:uiPriority w:val="0"/>
  </w:style>
  <w:style w:type="paragraph" w:customStyle="1" w:styleId="3488">
    <w:name w:val="Char93"/>
    <w:basedOn w:val="1"/>
    <w:qFormat/>
    <w:uiPriority w:val="0"/>
    <w:rPr>
      <w:sz w:val="24"/>
      <w:szCs w:val="20"/>
    </w:rPr>
  </w:style>
  <w:style w:type="paragraph" w:customStyle="1" w:styleId="3489">
    <w:name w:val="_Style 1478"/>
    <w:next w:val="1"/>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90">
    <w:name w:val="索引标题13"/>
    <w:basedOn w:val="1"/>
    <w:qFormat/>
    <w:uiPriority w:val="0"/>
    <w:pPr>
      <w:adjustRightInd w:val="0"/>
      <w:spacing w:line="460" w:lineRule="exact"/>
      <w:ind w:firstLine="510"/>
      <w:jc w:val="left"/>
      <w:textAlignment w:val="baseline"/>
    </w:pPr>
    <w:rPr>
      <w:kern w:val="0"/>
      <w:sz w:val="24"/>
    </w:rPr>
  </w:style>
  <w:style w:type="paragraph" w:customStyle="1" w:styleId="3491">
    <w:name w:val="索引 113"/>
    <w:basedOn w:val="1"/>
    <w:next w:val="1"/>
    <w:qFormat/>
    <w:uiPriority w:val="0"/>
    <w:pPr>
      <w:jc w:val="center"/>
    </w:pPr>
  </w:style>
  <w:style w:type="paragraph" w:customStyle="1" w:styleId="3492">
    <w:name w:val="Char Char23 Char Char3"/>
    <w:basedOn w:val="1"/>
    <w:qFormat/>
    <w:uiPriority w:val="0"/>
    <w:rPr>
      <w:rFonts w:ascii="宋体" w:hAnsi="宋体" w:cs="宋体"/>
      <w:sz w:val="24"/>
    </w:rPr>
  </w:style>
  <w:style w:type="paragraph" w:customStyle="1" w:styleId="3493">
    <w:name w:val="字元 字元 字元2"/>
    <w:basedOn w:val="1"/>
    <w:qFormat/>
    <w:uiPriority w:val="0"/>
    <w:pPr>
      <w:spacing w:line="360" w:lineRule="auto"/>
      <w:ind w:firstLine="200" w:firstLineChars="200"/>
    </w:pPr>
    <w:rPr>
      <w:rFonts w:ascii="宋体" w:hAnsi="宋体" w:cs="宋体"/>
      <w:sz w:val="24"/>
    </w:rPr>
  </w:style>
  <w:style w:type="paragraph" w:customStyle="1" w:styleId="3494">
    <w:name w:val="Char Char Char Char Char Char1 Char Char Char Char1"/>
    <w:basedOn w:val="1"/>
    <w:qFormat/>
    <w:uiPriority w:val="0"/>
    <w:pPr>
      <w:spacing w:before="300" w:after="300" w:line="560" w:lineRule="exact"/>
    </w:pPr>
    <w:rPr>
      <w:rFonts w:eastAsia="黑体"/>
      <w:sz w:val="36"/>
      <w:szCs w:val="36"/>
    </w:rPr>
  </w:style>
  <w:style w:type="paragraph" w:customStyle="1" w:styleId="3495">
    <w:name w:val="索引 913"/>
    <w:basedOn w:val="1"/>
    <w:next w:val="1"/>
    <w:qFormat/>
    <w:uiPriority w:val="0"/>
    <w:pPr>
      <w:ind w:left="1600" w:leftChars="1600"/>
    </w:pPr>
    <w:rPr>
      <w:rFonts w:ascii="仿宋_GB2312" w:eastAsia="仿宋_GB2312"/>
      <w:kern w:val="30"/>
      <w:sz w:val="30"/>
      <w:szCs w:val="30"/>
    </w:rPr>
  </w:style>
  <w:style w:type="paragraph" w:customStyle="1" w:styleId="3496">
    <w:name w:val="列表编号 313"/>
    <w:basedOn w:val="1"/>
    <w:qFormat/>
    <w:uiPriority w:val="0"/>
    <w:pPr>
      <w:tabs>
        <w:tab w:val="left" w:pos="1200"/>
      </w:tabs>
      <w:ind w:left="1200" w:leftChars="400" w:hanging="360" w:hangingChars="200"/>
    </w:pPr>
  </w:style>
  <w:style w:type="paragraph" w:customStyle="1" w:styleId="3497">
    <w:name w:val="Char Char Char1 Char Char1 Char Char Char1"/>
    <w:basedOn w:val="1"/>
    <w:qFormat/>
    <w:uiPriority w:val="0"/>
    <w:pPr>
      <w:spacing w:line="360" w:lineRule="auto"/>
      <w:ind w:firstLine="200" w:firstLineChars="200"/>
    </w:pPr>
    <w:rPr>
      <w:rFonts w:ascii="宋体" w:hAnsi="宋体" w:cs="宋体"/>
      <w:sz w:val="24"/>
    </w:rPr>
  </w:style>
  <w:style w:type="paragraph" w:customStyle="1" w:styleId="3498">
    <w:name w:val="Char71"/>
    <w:basedOn w:val="1"/>
    <w:qFormat/>
    <w:uiPriority w:val="0"/>
    <w:pPr>
      <w:adjustRightInd w:val="0"/>
      <w:snapToGrid w:val="0"/>
      <w:spacing w:line="360" w:lineRule="auto"/>
      <w:ind w:firstLine="200" w:firstLineChars="200"/>
    </w:pPr>
    <w:rPr>
      <w:rFonts w:ascii="宋体" w:hAnsi="宋体" w:cs="宋体"/>
      <w:sz w:val="24"/>
    </w:rPr>
  </w:style>
  <w:style w:type="paragraph" w:customStyle="1" w:styleId="3499">
    <w:name w:val="正文文本缩进 211"/>
    <w:basedOn w:val="1"/>
    <w:qFormat/>
    <w:uiPriority w:val="0"/>
    <w:pPr>
      <w:adjustRightInd w:val="0"/>
      <w:snapToGrid w:val="0"/>
      <w:spacing w:line="580" w:lineRule="exact"/>
      <w:ind w:firstLine="560" w:firstLineChars="200"/>
    </w:pPr>
    <w:rPr>
      <w:rFonts w:ascii="宋体" w:hAnsi="宋体"/>
      <w:kern w:val="0"/>
      <w:sz w:val="28"/>
      <w:szCs w:val="30"/>
    </w:rPr>
  </w:style>
  <w:style w:type="paragraph" w:customStyle="1" w:styleId="3500">
    <w:name w:val="图表目录13"/>
    <w:basedOn w:val="1"/>
    <w:next w:val="1"/>
    <w:qFormat/>
    <w:uiPriority w:val="0"/>
    <w:pPr>
      <w:tabs>
        <w:tab w:val="left" w:pos="510"/>
      </w:tabs>
      <w:adjustRightInd w:val="0"/>
      <w:spacing w:line="240" w:lineRule="atLeast"/>
      <w:jc w:val="left"/>
      <w:textAlignment w:val="baseline"/>
    </w:pPr>
    <w:rPr>
      <w:kern w:val="0"/>
      <w:sz w:val="24"/>
      <w:szCs w:val="20"/>
    </w:rPr>
  </w:style>
  <w:style w:type="paragraph" w:customStyle="1" w:styleId="3501">
    <w:name w:val="列表接续 413"/>
    <w:basedOn w:val="1"/>
    <w:qFormat/>
    <w:uiPriority w:val="0"/>
    <w:pPr>
      <w:spacing w:after="120"/>
      <w:ind w:left="1680" w:leftChars="800"/>
    </w:pPr>
  </w:style>
  <w:style w:type="paragraph" w:customStyle="1" w:styleId="3502">
    <w:name w:val="结束语13"/>
    <w:basedOn w:val="1"/>
    <w:qFormat/>
    <w:uiPriority w:val="0"/>
    <w:pPr>
      <w:ind w:left="100" w:leftChars="2100"/>
    </w:pPr>
  </w:style>
  <w:style w:type="paragraph" w:customStyle="1" w:styleId="3503">
    <w:name w:val="Char Char Char Char Char Char2 Char Char Char Char Char Char1 Char1"/>
    <w:basedOn w:val="1"/>
    <w:qFormat/>
    <w:uiPriority w:val="0"/>
    <w:pPr>
      <w:spacing w:before="300" w:after="300" w:line="560" w:lineRule="exact"/>
    </w:pPr>
    <w:rPr>
      <w:rFonts w:eastAsia="黑体"/>
      <w:sz w:val="36"/>
      <w:szCs w:val="36"/>
    </w:rPr>
  </w:style>
  <w:style w:type="paragraph" w:customStyle="1" w:styleId="3504">
    <w:name w:val="Char Char291"/>
    <w:basedOn w:val="1"/>
    <w:qFormat/>
    <w:uiPriority w:val="0"/>
    <w:pPr>
      <w:spacing w:line="360" w:lineRule="auto"/>
    </w:pPr>
    <w:rPr>
      <w:sz w:val="24"/>
    </w:rPr>
  </w:style>
  <w:style w:type="paragraph" w:customStyle="1" w:styleId="3505">
    <w:name w:val="引文目录标题13"/>
    <w:basedOn w:val="1"/>
    <w:next w:val="1"/>
    <w:qFormat/>
    <w:uiPriority w:val="0"/>
    <w:pPr>
      <w:spacing w:before="120"/>
    </w:pPr>
    <w:rPr>
      <w:rFonts w:ascii="Arial" w:hAnsi="Arial" w:cs="Arial"/>
      <w:sz w:val="24"/>
    </w:rPr>
  </w:style>
  <w:style w:type="paragraph" w:customStyle="1" w:styleId="3506">
    <w:name w:val="列表编号 513"/>
    <w:basedOn w:val="1"/>
    <w:qFormat/>
    <w:uiPriority w:val="0"/>
    <w:pPr>
      <w:tabs>
        <w:tab w:val="left" w:pos="425"/>
        <w:tab w:val="left" w:pos="2040"/>
      </w:tabs>
      <w:ind w:left="425" w:hanging="425"/>
    </w:pPr>
  </w:style>
  <w:style w:type="paragraph" w:customStyle="1" w:styleId="3507">
    <w:name w:val="正文首行缩进 213"/>
    <w:qFormat/>
    <w:uiPriority w:val="0"/>
    <w:pPr>
      <w:ind w:firstLine="420" w:firstLineChars="200"/>
    </w:pPr>
    <w:rPr>
      <w:rFonts w:ascii="Times New Roman" w:hAnsi="Times New Roman" w:eastAsia="宋体" w:cs="Times New Roman"/>
      <w:lang w:val="en-US" w:eastAsia="zh-CN" w:bidi="ar-SA"/>
    </w:rPr>
  </w:style>
  <w:style w:type="paragraph" w:customStyle="1" w:styleId="3508">
    <w:name w:val="正文文本缩进13"/>
    <w:basedOn w:val="1"/>
    <w:qFormat/>
    <w:uiPriority w:val="0"/>
    <w:pPr>
      <w:spacing w:after="120"/>
      <w:ind w:left="420" w:leftChars="200"/>
    </w:pPr>
  </w:style>
  <w:style w:type="paragraph" w:customStyle="1" w:styleId="3509">
    <w:name w:val="Char Char23 Char Char Char Char Char Char Char Char Char Char Char Char Char Char Char Char Char Char Char Char Char Char3"/>
    <w:basedOn w:val="1"/>
    <w:qFormat/>
    <w:uiPriority w:val="0"/>
    <w:rPr>
      <w:rFonts w:ascii="宋体" w:hAnsi="宋体" w:cs="宋体"/>
      <w:sz w:val="24"/>
    </w:rPr>
  </w:style>
  <w:style w:type="paragraph" w:customStyle="1" w:styleId="3510">
    <w:name w:val="索引 513"/>
    <w:basedOn w:val="1"/>
    <w:next w:val="1"/>
    <w:qFormat/>
    <w:uiPriority w:val="0"/>
    <w:pPr>
      <w:ind w:left="800" w:leftChars="800"/>
    </w:pPr>
    <w:rPr>
      <w:rFonts w:ascii="仿宋_GB2312" w:eastAsia="仿宋_GB2312"/>
      <w:kern w:val="30"/>
      <w:sz w:val="30"/>
      <w:szCs w:val="20"/>
    </w:rPr>
  </w:style>
  <w:style w:type="paragraph" w:customStyle="1" w:styleId="3511">
    <w:name w:val="Char Char Char Char Char1"/>
    <w:basedOn w:val="1"/>
    <w:qFormat/>
    <w:uiPriority w:val="0"/>
  </w:style>
  <w:style w:type="paragraph" w:customStyle="1" w:styleId="3512">
    <w:name w:val="Char8 Char Char Char1"/>
    <w:basedOn w:val="1"/>
    <w:qFormat/>
    <w:uiPriority w:val="0"/>
    <w:pPr>
      <w:spacing w:line="360" w:lineRule="auto"/>
      <w:ind w:firstLine="200" w:firstLineChars="200"/>
    </w:pPr>
    <w:rPr>
      <w:rFonts w:ascii="宋体" w:hAnsi="宋体" w:cs="宋体"/>
      <w:sz w:val="24"/>
    </w:rPr>
  </w:style>
  <w:style w:type="paragraph" w:customStyle="1" w:styleId="3513">
    <w:name w:val="Char Char23 Char Char Char Char Char Char Char Char Char Char Char Char Char Char Char Char3"/>
    <w:basedOn w:val="1"/>
    <w:qFormat/>
    <w:uiPriority w:val="0"/>
    <w:rPr>
      <w:rFonts w:ascii="宋体" w:hAnsi="宋体" w:cs="宋体"/>
      <w:sz w:val="24"/>
    </w:rPr>
  </w:style>
  <w:style w:type="paragraph" w:customStyle="1" w:styleId="3514">
    <w:name w:val="Char Char23 Char Char Char Char Char Char Char Char3"/>
    <w:basedOn w:val="1"/>
    <w:qFormat/>
    <w:uiPriority w:val="0"/>
    <w:rPr>
      <w:rFonts w:ascii="宋体" w:hAnsi="宋体" w:cs="宋体"/>
      <w:sz w:val="24"/>
    </w:rPr>
  </w:style>
  <w:style w:type="paragraph" w:customStyle="1" w:styleId="3515">
    <w:name w:val="列表 313"/>
    <w:basedOn w:val="1"/>
    <w:qFormat/>
    <w:uiPriority w:val="0"/>
    <w:pPr>
      <w:ind w:left="1260" w:hanging="420"/>
    </w:pPr>
    <w:rPr>
      <w:sz w:val="28"/>
      <w:szCs w:val="20"/>
    </w:rPr>
  </w:style>
  <w:style w:type="paragraph" w:customStyle="1" w:styleId="3516">
    <w:name w:val="列表 213"/>
    <w:basedOn w:val="1"/>
    <w:qFormat/>
    <w:uiPriority w:val="0"/>
    <w:pPr>
      <w:ind w:left="100" w:leftChars="200" w:hanging="200" w:hangingChars="200"/>
      <w:contextualSpacing/>
    </w:pPr>
    <w:rPr>
      <w:szCs w:val="20"/>
    </w:rPr>
  </w:style>
  <w:style w:type="paragraph" w:customStyle="1" w:styleId="3517">
    <w:name w:val="Char Char18 Char Char Char Char3"/>
    <w:basedOn w:val="1"/>
    <w:qFormat/>
    <w:uiPriority w:val="0"/>
    <w:pPr>
      <w:spacing w:line="420" w:lineRule="exact"/>
      <w:ind w:left="200" w:leftChars="200" w:right="100" w:rightChars="100" w:firstLine="200" w:firstLineChars="200"/>
    </w:pPr>
    <w:rPr>
      <w:rFonts w:ascii="宋体"/>
      <w:sz w:val="28"/>
      <w:szCs w:val="28"/>
    </w:rPr>
  </w:style>
  <w:style w:type="paragraph" w:customStyle="1" w:styleId="3518">
    <w:name w:val="Char Char1 Char Char Char Char3"/>
    <w:basedOn w:val="1"/>
    <w:next w:val="1"/>
    <w:qFormat/>
    <w:uiPriority w:val="0"/>
    <w:pPr>
      <w:spacing w:line="360" w:lineRule="auto"/>
      <w:ind w:firstLine="200" w:firstLineChars="200"/>
      <w:jc w:val="left"/>
    </w:pPr>
    <w:rPr>
      <w:sz w:val="24"/>
    </w:rPr>
  </w:style>
  <w:style w:type="paragraph" w:customStyle="1" w:styleId="3519">
    <w:name w:val="索引 413"/>
    <w:basedOn w:val="1"/>
    <w:next w:val="1"/>
    <w:qFormat/>
    <w:uiPriority w:val="0"/>
    <w:pPr>
      <w:ind w:left="600" w:leftChars="600"/>
    </w:pPr>
    <w:rPr>
      <w:szCs w:val="20"/>
    </w:rPr>
  </w:style>
  <w:style w:type="paragraph" w:customStyle="1" w:styleId="3520">
    <w:name w:val="列表编号 213"/>
    <w:basedOn w:val="1"/>
    <w:qFormat/>
    <w:uiPriority w:val="0"/>
    <w:pPr>
      <w:tabs>
        <w:tab w:val="left" w:pos="780"/>
        <w:tab w:val="left" w:pos="1620"/>
      </w:tabs>
      <w:ind w:left="1620" w:leftChars="600" w:hanging="360" w:hangingChars="200"/>
    </w:pPr>
  </w:style>
  <w:style w:type="paragraph" w:customStyle="1" w:styleId="3521">
    <w:name w:val="日期11"/>
    <w:basedOn w:val="1"/>
    <w:next w:val="1"/>
    <w:qFormat/>
    <w:uiPriority w:val="0"/>
    <w:pPr>
      <w:adjustRightInd w:val="0"/>
    </w:pPr>
    <w:rPr>
      <w:sz w:val="28"/>
      <w:szCs w:val="20"/>
    </w:rPr>
  </w:style>
  <w:style w:type="paragraph" w:customStyle="1" w:styleId="3522">
    <w:name w:val="收信人地址13"/>
    <w:basedOn w:val="1"/>
    <w:qFormat/>
    <w:uiPriority w:val="0"/>
    <w:pPr>
      <w:snapToGrid w:val="0"/>
      <w:ind w:left="100" w:leftChars="1400"/>
    </w:pPr>
    <w:rPr>
      <w:rFonts w:ascii="Arial" w:hAnsi="Arial" w:cs="Arial"/>
    </w:rPr>
  </w:style>
  <w:style w:type="paragraph" w:customStyle="1" w:styleId="3523">
    <w:name w:val="Char10"/>
    <w:basedOn w:val="1"/>
    <w:qFormat/>
    <w:uiPriority w:val="0"/>
  </w:style>
  <w:style w:type="paragraph" w:customStyle="1" w:styleId="3524">
    <w:name w:val="Char1 Char Char Char Char Char Char1 Char Char Char1"/>
    <w:basedOn w:val="1"/>
    <w:qFormat/>
    <w:uiPriority w:val="0"/>
    <w:pPr>
      <w:spacing w:line="360" w:lineRule="auto"/>
      <w:ind w:firstLine="200" w:firstLineChars="200"/>
    </w:pPr>
    <w:rPr>
      <w:rFonts w:ascii="宋体" w:hAnsi="宋体" w:cs="宋体"/>
      <w:sz w:val="24"/>
      <w:szCs w:val="28"/>
    </w:rPr>
  </w:style>
  <w:style w:type="paragraph" w:customStyle="1" w:styleId="3525">
    <w:name w:val="列表 513"/>
    <w:basedOn w:val="1"/>
    <w:qFormat/>
    <w:uiPriority w:val="0"/>
    <w:pPr>
      <w:ind w:left="100" w:leftChars="800" w:hanging="200" w:hangingChars="200"/>
    </w:pPr>
  </w:style>
  <w:style w:type="paragraph" w:customStyle="1" w:styleId="3526">
    <w:name w:val="签名13"/>
    <w:basedOn w:val="1"/>
    <w:qFormat/>
    <w:uiPriority w:val="0"/>
    <w:pPr>
      <w:ind w:left="100" w:leftChars="2100"/>
    </w:pPr>
  </w:style>
  <w:style w:type="paragraph" w:customStyle="1" w:styleId="3527">
    <w:name w:val="列表33"/>
    <w:basedOn w:val="1"/>
    <w:qFormat/>
    <w:uiPriority w:val="0"/>
    <w:pPr>
      <w:ind w:left="420" w:hanging="420"/>
    </w:pPr>
    <w:rPr>
      <w:szCs w:val="20"/>
    </w:rPr>
  </w:style>
  <w:style w:type="paragraph" w:customStyle="1" w:styleId="3528">
    <w:name w:val="Char Char Char Char4"/>
    <w:basedOn w:val="1"/>
    <w:qFormat/>
    <w:uiPriority w:val="0"/>
  </w:style>
  <w:style w:type="paragraph" w:customStyle="1" w:styleId="3529">
    <w:name w:val="Char Char Char2"/>
    <w:basedOn w:val="1"/>
    <w:qFormat/>
    <w:uiPriority w:val="0"/>
    <w:pPr>
      <w:spacing w:before="300" w:after="300" w:line="560" w:lineRule="exact"/>
    </w:pPr>
    <w:rPr>
      <w:rFonts w:eastAsia="黑体"/>
      <w:sz w:val="36"/>
      <w:szCs w:val="36"/>
    </w:rPr>
  </w:style>
  <w:style w:type="paragraph" w:customStyle="1" w:styleId="3530">
    <w:name w:val="Char4 Char Char Char Char Char Char11"/>
    <w:basedOn w:val="1"/>
    <w:qFormat/>
    <w:uiPriority w:val="0"/>
    <w:pPr>
      <w:spacing w:line="360" w:lineRule="auto"/>
      <w:ind w:firstLine="200" w:firstLineChars="200"/>
    </w:pPr>
    <w:rPr>
      <w:rFonts w:ascii="宋体" w:hAnsi="宋体" w:cs="宋体"/>
      <w:sz w:val="24"/>
    </w:rPr>
  </w:style>
  <w:style w:type="paragraph" w:customStyle="1" w:styleId="3531">
    <w:name w:val="Char Char Char Char Char Char2 Char Char Char Char Char Char1 Char Char Char Char1"/>
    <w:basedOn w:val="1"/>
    <w:qFormat/>
    <w:uiPriority w:val="0"/>
    <w:pPr>
      <w:spacing w:before="300" w:after="300" w:line="560" w:lineRule="exact"/>
    </w:pPr>
    <w:rPr>
      <w:rFonts w:eastAsia="黑体"/>
      <w:sz w:val="36"/>
      <w:szCs w:val="36"/>
    </w:rPr>
  </w:style>
  <w:style w:type="paragraph" w:customStyle="1" w:styleId="3532">
    <w:name w:val="Char51"/>
    <w:basedOn w:val="1"/>
    <w:qFormat/>
    <w:uiPriority w:val="0"/>
  </w:style>
  <w:style w:type="paragraph" w:customStyle="1" w:styleId="3533">
    <w:name w:val="Char Char Char Char Char Char2 Char Char Char Char Char Char11"/>
    <w:basedOn w:val="1"/>
    <w:qFormat/>
    <w:uiPriority w:val="0"/>
    <w:pPr>
      <w:spacing w:before="300" w:after="300" w:line="560" w:lineRule="exact"/>
    </w:pPr>
    <w:rPr>
      <w:rFonts w:eastAsia="黑体"/>
      <w:sz w:val="36"/>
      <w:szCs w:val="36"/>
    </w:rPr>
  </w:style>
  <w:style w:type="paragraph" w:customStyle="1" w:styleId="3534">
    <w:name w:val="列表接续13"/>
    <w:basedOn w:val="1"/>
    <w:qFormat/>
    <w:uiPriority w:val="0"/>
    <w:pPr>
      <w:spacing w:after="120"/>
      <w:ind w:left="420" w:leftChars="200"/>
    </w:pPr>
  </w:style>
  <w:style w:type="paragraph" w:customStyle="1" w:styleId="3535">
    <w:name w:val="Char Char Char Char Char Char Char Char Char Char Char Char Char Char Char Char Char Char1"/>
    <w:basedOn w:val="1"/>
    <w:qFormat/>
    <w:uiPriority w:val="0"/>
  </w:style>
  <w:style w:type="paragraph" w:customStyle="1" w:styleId="3536">
    <w:name w:val="Char Char Char1 Char Char Char Char Char Char Char Char Char Char2"/>
    <w:basedOn w:val="1"/>
    <w:qFormat/>
    <w:uiPriority w:val="0"/>
    <w:pPr>
      <w:widowControl/>
      <w:jc w:val="left"/>
    </w:pPr>
    <w:rPr>
      <w:rFonts w:ascii="宋体" w:hAnsi="宋体" w:cs="宋体"/>
      <w:kern w:val="0"/>
      <w:sz w:val="24"/>
    </w:rPr>
  </w:style>
  <w:style w:type="paragraph" w:customStyle="1" w:styleId="3537">
    <w:name w:val="Char Char Char Char Char Char Char Char1 Char Char Char Char1"/>
    <w:basedOn w:val="1"/>
    <w:qFormat/>
    <w:uiPriority w:val="0"/>
  </w:style>
  <w:style w:type="paragraph" w:customStyle="1" w:styleId="3538">
    <w:name w:val="寄信人地址13"/>
    <w:basedOn w:val="1"/>
    <w:qFormat/>
    <w:uiPriority w:val="0"/>
    <w:pPr>
      <w:snapToGrid w:val="0"/>
    </w:pPr>
    <w:rPr>
      <w:rFonts w:ascii="Arial" w:hAnsi="Arial" w:cs="Arial"/>
    </w:rPr>
  </w:style>
  <w:style w:type="paragraph" w:customStyle="1" w:styleId="3539">
    <w:name w:val="索引 613"/>
    <w:basedOn w:val="1"/>
    <w:next w:val="1"/>
    <w:qFormat/>
    <w:uiPriority w:val="0"/>
    <w:pPr>
      <w:ind w:left="1000" w:leftChars="1000"/>
    </w:pPr>
    <w:rPr>
      <w:rFonts w:ascii="仿宋_GB2312" w:eastAsia="仿宋_GB2312"/>
      <w:kern w:val="30"/>
      <w:sz w:val="30"/>
      <w:szCs w:val="20"/>
    </w:rPr>
  </w:style>
  <w:style w:type="paragraph" w:customStyle="1" w:styleId="3540">
    <w:name w:val="Char Char Char Char Char Char2 Char Char Char Char Char Char1 Char Char Char1"/>
    <w:basedOn w:val="1"/>
    <w:qFormat/>
    <w:uiPriority w:val="0"/>
    <w:pPr>
      <w:spacing w:before="300" w:after="300" w:line="560" w:lineRule="exact"/>
    </w:pPr>
    <w:rPr>
      <w:rFonts w:eastAsia="黑体"/>
      <w:sz w:val="36"/>
      <w:szCs w:val="36"/>
    </w:rPr>
  </w:style>
  <w:style w:type="paragraph" w:customStyle="1" w:styleId="3541">
    <w:name w:val="Char Char Char1 Char Char Char3"/>
    <w:basedOn w:val="5"/>
    <w:qFormat/>
    <w:uiPriority w:val="0"/>
    <w:pPr>
      <w:tabs>
        <w:tab w:val="left" w:pos="360"/>
        <w:tab w:val="left" w:pos="786"/>
        <w:tab w:val="left" w:pos="900"/>
      </w:tabs>
      <w:snapToGrid w:val="0"/>
      <w:spacing w:before="120" w:after="120" w:line="360" w:lineRule="auto"/>
      <w:ind w:left="542" w:leftChars="-12" w:firstLine="200" w:firstLineChars="200"/>
    </w:pPr>
    <w:rPr>
      <w:rFonts w:ascii="Verdana" w:hAnsi="Verdana"/>
      <w:b w:val="0"/>
      <w:bCs w:val="0"/>
      <w:kern w:val="0"/>
      <w:sz w:val="20"/>
      <w:szCs w:val="24"/>
      <w:lang w:eastAsia="en-US"/>
    </w:rPr>
  </w:style>
  <w:style w:type="paragraph" w:customStyle="1" w:styleId="3542">
    <w:name w:val="Char Char23 Char Char Char Char Char Char Char Char Char Char Char Char Char Char Char Char Char Char3"/>
    <w:basedOn w:val="1"/>
    <w:qFormat/>
    <w:uiPriority w:val="0"/>
    <w:rPr>
      <w:rFonts w:ascii="宋体" w:hAnsi="宋体" w:cs="宋体"/>
      <w:sz w:val="24"/>
    </w:rPr>
  </w:style>
  <w:style w:type="paragraph" w:customStyle="1" w:styleId="3543">
    <w:name w:val="Char Char23 Char Char Char Char Char Char Char Char Char Char Char Char Char Char Char Char Char Char Char Char Char Char Char Char3"/>
    <w:basedOn w:val="1"/>
    <w:qFormat/>
    <w:uiPriority w:val="0"/>
    <w:rPr>
      <w:rFonts w:ascii="宋体" w:hAnsi="宋体" w:cs="宋体"/>
      <w:sz w:val="24"/>
    </w:rPr>
  </w:style>
  <w:style w:type="paragraph" w:customStyle="1" w:styleId="3544">
    <w:name w:val="Char Char Знак Знак3"/>
    <w:basedOn w:val="1"/>
    <w:qFormat/>
    <w:uiPriority w:val="0"/>
    <w:pPr>
      <w:widowControl/>
      <w:spacing w:after="160" w:line="240" w:lineRule="exact"/>
      <w:jc w:val="left"/>
    </w:pPr>
    <w:rPr>
      <w:b/>
      <w:kern w:val="0"/>
      <w:sz w:val="28"/>
      <w:lang w:eastAsia="en-US"/>
    </w:rPr>
  </w:style>
  <w:style w:type="paragraph" w:customStyle="1" w:styleId="3545">
    <w:name w:val="Char22"/>
    <w:basedOn w:val="1"/>
    <w:qFormat/>
    <w:uiPriority w:val="0"/>
    <w:rPr>
      <w:szCs w:val="21"/>
    </w:rPr>
  </w:style>
  <w:style w:type="paragraph" w:customStyle="1" w:styleId="3546">
    <w:name w:val="Char Char1 Char Char Char Char Char Char1 Char Char Char Char3"/>
    <w:basedOn w:val="1"/>
    <w:qFormat/>
    <w:uiPriority w:val="0"/>
    <w:rPr>
      <w:szCs w:val="21"/>
    </w:rPr>
  </w:style>
  <w:style w:type="paragraph" w:customStyle="1" w:styleId="3547">
    <w:name w:val="纯文本2"/>
    <w:basedOn w:val="1"/>
    <w:qFormat/>
    <w:uiPriority w:val="0"/>
    <w:rPr>
      <w:rFonts w:ascii="宋体" w:hAnsi="Courier New"/>
      <w:sz w:val="28"/>
      <w:szCs w:val="20"/>
    </w:rPr>
  </w:style>
  <w:style w:type="paragraph" w:customStyle="1" w:styleId="3548">
    <w:name w:val="Char61"/>
    <w:basedOn w:val="1"/>
    <w:qFormat/>
    <w:uiPriority w:val="0"/>
    <w:pPr>
      <w:spacing w:line="360" w:lineRule="auto"/>
      <w:ind w:firstLine="200" w:firstLineChars="200"/>
    </w:pPr>
    <w:rPr>
      <w:rFonts w:ascii="宋体" w:hAnsi="宋体" w:cs="宋体"/>
      <w:sz w:val="24"/>
    </w:rPr>
  </w:style>
  <w:style w:type="paragraph" w:customStyle="1" w:styleId="3549">
    <w:name w:val="Char Char Char Char Char Char Char Char Char Char Char Char Char Char Char Char Char Char Char Char Char Char1"/>
    <w:basedOn w:val="1"/>
    <w:qFormat/>
    <w:uiPriority w:val="0"/>
    <w:pPr>
      <w:spacing w:line="0" w:lineRule="atLeast"/>
    </w:pPr>
  </w:style>
  <w:style w:type="paragraph" w:customStyle="1" w:styleId="3550">
    <w:name w:val="Char Char1 Char Char Char Char Char Char Char3"/>
    <w:basedOn w:val="1"/>
    <w:qFormat/>
    <w:uiPriority w:val="0"/>
  </w:style>
  <w:style w:type="paragraph" w:customStyle="1" w:styleId="3551">
    <w:name w:val="Char Char Char Char Char Char Char Char Char Char Char Char Char Char Char Char3"/>
    <w:basedOn w:val="1"/>
    <w:qFormat/>
    <w:uiPriority w:val="0"/>
    <w:rPr>
      <w:rFonts w:ascii="宋体" w:hAnsi="宋体" w:cs="宋体"/>
      <w:sz w:val="24"/>
    </w:rPr>
  </w:style>
  <w:style w:type="paragraph" w:customStyle="1" w:styleId="3552">
    <w:name w:val="列表接续 213"/>
    <w:basedOn w:val="1"/>
    <w:qFormat/>
    <w:uiPriority w:val="0"/>
    <w:pPr>
      <w:spacing w:after="120"/>
      <w:ind w:left="840" w:leftChars="400"/>
    </w:pPr>
  </w:style>
  <w:style w:type="paragraph" w:customStyle="1" w:styleId="3553">
    <w:name w:val="正文首行缩进13"/>
    <w:basedOn w:val="34"/>
    <w:qFormat/>
    <w:uiPriority w:val="0"/>
    <w:pPr>
      <w:adjustRightInd w:val="0"/>
      <w:spacing w:line="312" w:lineRule="atLeast"/>
      <w:ind w:firstLine="420"/>
      <w:textAlignment w:val="baseline"/>
    </w:pPr>
    <w:rPr>
      <w:kern w:val="0"/>
      <w:sz w:val="24"/>
      <w:szCs w:val="20"/>
    </w:rPr>
  </w:style>
  <w:style w:type="paragraph" w:customStyle="1" w:styleId="3554">
    <w:name w:val="Char Char233"/>
    <w:basedOn w:val="1"/>
    <w:qFormat/>
    <w:uiPriority w:val="0"/>
    <w:rPr>
      <w:rFonts w:ascii="宋体" w:hAnsi="宋体" w:cs="宋体"/>
      <w:sz w:val="24"/>
    </w:rPr>
  </w:style>
  <w:style w:type="paragraph" w:customStyle="1" w:styleId="3555">
    <w:name w:val="Char Char28 Char Char13"/>
    <w:basedOn w:val="1"/>
    <w:qFormat/>
    <w:uiPriority w:val="0"/>
    <w:pPr>
      <w:spacing w:before="300" w:after="300" w:line="560" w:lineRule="exact"/>
    </w:pPr>
    <w:rPr>
      <w:rFonts w:eastAsia="黑体"/>
      <w:sz w:val="36"/>
      <w:szCs w:val="36"/>
    </w:rPr>
  </w:style>
  <w:style w:type="paragraph" w:customStyle="1" w:styleId="3556">
    <w:name w:val="Char1 Char Char1 Char Char Char Char Char Char Char1"/>
    <w:basedOn w:val="1"/>
    <w:qFormat/>
    <w:uiPriority w:val="0"/>
  </w:style>
  <w:style w:type="paragraph" w:customStyle="1" w:styleId="3557">
    <w:name w:val="Char Char1 Char Char Char Char Char Char Char Char Char1"/>
    <w:basedOn w:val="1"/>
    <w:qFormat/>
    <w:uiPriority w:val="0"/>
  </w:style>
  <w:style w:type="paragraph" w:customStyle="1" w:styleId="3558">
    <w:name w:val="无间隔13"/>
    <w:qFormat/>
    <w:uiPriority w:val="0"/>
    <w:pPr>
      <w:spacing w:line="360" w:lineRule="auto"/>
    </w:pPr>
    <w:rPr>
      <w:rFonts w:ascii="Calibri" w:hAnsi="Calibri" w:eastAsia="宋体" w:cs="Times New Roman"/>
      <w:sz w:val="22"/>
      <w:lang w:val="en-US" w:eastAsia="zh-CN" w:bidi="ar-SA"/>
    </w:rPr>
  </w:style>
  <w:style w:type="paragraph" w:customStyle="1" w:styleId="3559">
    <w:name w:val="文档结构图13"/>
    <w:basedOn w:val="1"/>
    <w:link w:val="3560"/>
    <w:qFormat/>
    <w:uiPriority w:val="0"/>
    <w:pPr>
      <w:shd w:val="clear" w:color="auto" w:fill="000080"/>
    </w:pPr>
    <w:rPr>
      <w:rFonts w:eastAsia="Times New Roman"/>
      <w:szCs w:val="20"/>
      <w:shd w:val="clear" w:color="auto" w:fill="000080"/>
    </w:rPr>
  </w:style>
  <w:style w:type="character" w:customStyle="1" w:styleId="3560">
    <w:name w:val="文档结构图 Char Char"/>
    <w:link w:val="3559"/>
    <w:qFormat/>
    <w:uiPriority w:val="0"/>
    <w:rPr>
      <w:rFonts w:eastAsia="Times New Roman"/>
      <w:kern w:val="2"/>
      <w:sz w:val="21"/>
      <w:shd w:val="clear" w:color="auto" w:fill="000080"/>
    </w:rPr>
  </w:style>
  <w:style w:type="paragraph" w:customStyle="1" w:styleId="3561">
    <w:name w:val="注释标题13"/>
    <w:basedOn w:val="1"/>
    <w:next w:val="1"/>
    <w:qFormat/>
    <w:uiPriority w:val="0"/>
    <w:pPr>
      <w:jc w:val="center"/>
    </w:pPr>
    <w:rPr>
      <w:kern w:val="0"/>
      <w:sz w:val="20"/>
    </w:rPr>
  </w:style>
  <w:style w:type="paragraph" w:customStyle="1" w:styleId="3562">
    <w:name w:val="批注主题13"/>
    <w:basedOn w:val="28"/>
    <w:next w:val="28"/>
    <w:qFormat/>
    <w:uiPriority w:val="0"/>
    <w:rPr>
      <w:b/>
      <w:bCs/>
      <w:kern w:val="0"/>
      <w:sz w:val="24"/>
      <w:szCs w:val="20"/>
    </w:rPr>
  </w:style>
  <w:style w:type="paragraph" w:customStyle="1" w:styleId="3563">
    <w:name w:val="TOC 标题13"/>
    <w:basedOn w:val="3"/>
    <w:next w:val="1"/>
    <w:qFormat/>
    <w:uiPriority w:val="0"/>
    <w:pPr>
      <w:keepNext/>
      <w:keepLines/>
      <w:widowControl/>
      <w:tabs>
        <w:tab w:val="left" w:pos="432"/>
        <w:tab w:val="left" w:pos="786"/>
      </w:tabs>
      <w:adjustRightInd/>
      <w:snapToGrid/>
      <w:spacing w:before="480" w:line="276" w:lineRule="auto"/>
      <w:jc w:val="left"/>
      <w:outlineLvl w:val="9"/>
    </w:pPr>
    <w:rPr>
      <w:rFonts w:ascii="Cambria" w:hAnsi="Cambria"/>
      <w:color w:val="365F91"/>
      <w:kern w:val="0"/>
      <w:sz w:val="28"/>
      <w:szCs w:val="28"/>
    </w:rPr>
  </w:style>
  <w:style w:type="paragraph" w:customStyle="1" w:styleId="3564">
    <w:name w:val="正文文本 313"/>
    <w:basedOn w:val="1"/>
    <w:qFormat/>
    <w:uiPriority w:val="0"/>
    <w:pPr>
      <w:adjustRightInd w:val="0"/>
      <w:spacing w:after="120" w:line="460" w:lineRule="exact"/>
      <w:ind w:firstLine="510"/>
      <w:jc w:val="left"/>
      <w:textAlignment w:val="baseline"/>
    </w:pPr>
    <w:rPr>
      <w:kern w:val="0"/>
      <w:sz w:val="16"/>
      <w:szCs w:val="16"/>
    </w:rPr>
  </w:style>
  <w:style w:type="paragraph" w:customStyle="1" w:styleId="3565">
    <w:name w:val="信息标题13"/>
    <w:basedOn w:val="34"/>
    <w:qFormat/>
    <w:uiPriority w:val="0"/>
    <w:pPr>
      <w:keepLines/>
      <w:widowControl/>
      <w:tabs>
        <w:tab w:val="left" w:pos="720"/>
        <w:tab w:val="left" w:pos="4320"/>
        <w:tab w:val="left" w:pos="5040"/>
        <w:tab w:val="right" w:pos="8640"/>
      </w:tabs>
      <w:spacing w:after="40" w:line="440" w:lineRule="atLeast"/>
      <w:ind w:left="720" w:hanging="720"/>
      <w:jc w:val="left"/>
    </w:pPr>
    <w:rPr>
      <w:rFonts w:ascii="Arial" w:hAnsi="Arial"/>
      <w:spacing w:val="-5"/>
      <w:kern w:val="0"/>
      <w:sz w:val="20"/>
      <w:szCs w:val="20"/>
    </w:rPr>
  </w:style>
  <w:style w:type="paragraph" w:customStyle="1" w:styleId="3566">
    <w:name w:val="列表接续 313"/>
    <w:basedOn w:val="1"/>
    <w:qFormat/>
    <w:uiPriority w:val="0"/>
    <w:pPr>
      <w:spacing w:after="120"/>
      <w:ind w:left="1260"/>
    </w:pPr>
    <w:rPr>
      <w:sz w:val="28"/>
      <w:szCs w:val="20"/>
    </w:rPr>
  </w:style>
  <w:style w:type="paragraph" w:customStyle="1" w:styleId="3567">
    <w:name w:val="普通(网站)13"/>
    <w:basedOn w:val="1"/>
    <w:qFormat/>
    <w:uiPriority w:val="0"/>
    <w:pPr>
      <w:widowControl/>
      <w:spacing w:before="100" w:beforeAutospacing="1" w:after="100" w:afterAutospacing="1"/>
      <w:jc w:val="left"/>
    </w:pPr>
    <w:rPr>
      <w:rFonts w:ascii="宋体" w:hAnsi="宋体" w:cs="宋体"/>
      <w:kern w:val="0"/>
      <w:sz w:val="24"/>
    </w:rPr>
  </w:style>
  <w:style w:type="paragraph" w:customStyle="1" w:styleId="3568">
    <w:name w:val="列表 413"/>
    <w:basedOn w:val="1"/>
    <w:qFormat/>
    <w:uiPriority w:val="0"/>
    <w:pPr>
      <w:spacing w:beforeLines="15" w:afterLines="15"/>
      <w:ind w:left="1680" w:hanging="420" w:firstLineChars="200"/>
      <w:jc w:val="left"/>
      <w:textAlignment w:val="baseline"/>
    </w:pPr>
    <w:rPr>
      <w:kern w:val="0"/>
      <w:sz w:val="28"/>
      <w:szCs w:val="20"/>
    </w:rPr>
  </w:style>
  <w:style w:type="paragraph" w:customStyle="1" w:styleId="3569">
    <w:name w:val="修订23"/>
    <w:qFormat/>
    <w:uiPriority w:val="0"/>
    <w:rPr>
      <w:rFonts w:ascii="Times New Roman" w:hAnsi="Times New Roman" w:eastAsia="宋体" w:cs="Times New Roman"/>
      <w:sz w:val="24"/>
      <w:lang w:val="en-US" w:eastAsia="zh-CN" w:bidi="ar-SA"/>
    </w:rPr>
  </w:style>
  <w:style w:type="paragraph" w:customStyle="1" w:styleId="3570">
    <w:name w:val="正文43"/>
    <w:qFormat/>
    <w:uiPriority w:val="0"/>
    <w:pPr>
      <w:widowControl w:val="0"/>
      <w:adjustRightInd w:val="0"/>
      <w:spacing w:line="360" w:lineRule="auto"/>
      <w:jc w:val="center"/>
      <w:textAlignment w:val="baseline"/>
    </w:pPr>
    <w:rPr>
      <w:rFonts w:ascii="Times New Roman" w:hAnsi="Times New Roman" w:eastAsia="仿宋_GB2312" w:cs="Times New Roman"/>
      <w:sz w:val="28"/>
      <w:lang w:val="en-US" w:eastAsia="zh-CN" w:bidi="ar-SA"/>
    </w:rPr>
  </w:style>
  <w:style w:type="paragraph" w:customStyle="1" w:styleId="3571">
    <w:name w:val="文本块13"/>
    <w:basedOn w:val="1"/>
    <w:qFormat/>
    <w:uiPriority w:val="0"/>
    <w:pPr>
      <w:ind w:left="113" w:right="113"/>
      <w:jc w:val="center"/>
    </w:pPr>
    <w:rPr>
      <w:b/>
      <w:bCs/>
      <w:sz w:val="18"/>
    </w:rPr>
  </w:style>
  <w:style w:type="paragraph" w:customStyle="1" w:styleId="3572">
    <w:name w:val="Char4 Char Char Char Char Char Char2"/>
    <w:basedOn w:val="1"/>
    <w:qFormat/>
    <w:uiPriority w:val="0"/>
    <w:pPr>
      <w:spacing w:line="360" w:lineRule="auto"/>
    </w:pPr>
    <w:rPr>
      <w:rFonts w:ascii="宋体" w:hAnsi="宋体" w:cs="宋体"/>
      <w:sz w:val="24"/>
    </w:rPr>
  </w:style>
  <w:style w:type="paragraph" w:customStyle="1" w:styleId="3573">
    <w:name w:val="索引 713"/>
    <w:basedOn w:val="1"/>
    <w:next w:val="1"/>
    <w:qFormat/>
    <w:uiPriority w:val="0"/>
    <w:pPr>
      <w:ind w:left="1200" w:leftChars="1200"/>
    </w:pPr>
    <w:rPr>
      <w:rFonts w:ascii="仿宋_GB2312" w:eastAsia="仿宋_GB2312"/>
      <w:kern w:val="30"/>
      <w:sz w:val="30"/>
      <w:szCs w:val="20"/>
    </w:rPr>
  </w:style>
  <w:style w:type="paragraph" w:customStyle="1" w:styleId="3574">
    <w:name w:val="索引 313"/>
    <w:basedOn w:val="1"/>
    <w:next w:val="1"/>
    <w:qFormat/>
    <w:uiPriority w:val="0"/>
    <w:pPr>
      <w:ind w:left="400" w:leftChars="400"/>
    </w:pPr>
    <w:rPr>
      <w:rFonts w:ascii="仿宋_GB2312" w:eastAsia="仿宋_GB2312"/>
      <w:kern w:val="30"/>
      <w:sz w:val="30"/>
      <w:szCs w:val="20"/>
    </w:rPr>
  </w:style>
  <w:style w:type="paragraph" w:customStyle="1" w:styleId="3575">
    <w:name w:val="引文目录13"/>
    <w:basedOn w:val="1"/>
    <w:next w:val="1"/>
    <w:qFormat/>
    <w:uiPriority w:val="0"/>
    <w:pPr>
      <w:ind w:left="420" w:leftChars="200"/>
    </w:pPr>
    <w:rPr>
      <w:szCs w:val="20"/>
    </w:rPr>
  </w:style>
  <w:style w:type="paragraph" w:customStyle="1" w:styleId="3576">
    <w:name w:val="索引 213"/>
    <w:basedOn w:val="1"/>
    <w:next w:val="1"/>
    <w:qFormat/>
    <w:uiPriority w:val="0"/>
    <w:pPr>
      <w:ind w:left="200" w:leftChars="200"/>
    </w:pPr>
    <w:rPr>
      <w:rFonts w:ascii="仿宋_GB2312" w:eastAsia="仿宋_GB2312"/>
      <w:kern w:val="30"/>
      <w:sz w:val="30"/>
      <w:szCs w:val="20"/>
    </w:rPr>
  </w:style>
  <w:style w:type="paragraph" w:customStyle="1" w:styleId="3577">
    <w:name w:val="Char Char23 Char Char Char Char Char Char Char Char Char Char Char Char Char Char Char Char Char Char Char Char3"/>
    <w:basedOn w:val="1"/>
    <w:qFormat/>
    <w:uiPriority w:val="0"/>
    <w:rPr>
      <w:rFonts w:ascii="宋体" w:hAnsi="宋体" w:cs="宋体"/>
      <w:sz w:val="24"/>
    </w:rPr>
  </w:style>
  <w:style w:type="paragraph" w:customStyle="1" w:styleId="3578">
    <w:name w:val="列表接续 513"/>
    <w:basedOn w:val="1"/>
    <w:qFormat/>
    <w:uiPriority w:val="0"/>
    <w:pPr>
      <w:spacing w:after="120"/>
      <w:ind w:left="2100" w:leftChars="1000"/>
    </w:pPr>
  </w:style>
  <w:style w:type="paragraph" w:customStyle="1" w:styleId="3579">
    <w:name w:val="索引 813"/>
    <w:basedOn w:val="1"/>
    <w:next w:val="1"/>
    <w:qFormat/>
    <w:uiPriority w:val="0"/>
    <w:pPr>
      <w:ind w:left="1400" w:leftChars="1400"/>
    </w:pPr>
    <w:rPr>
      <w:rFonts w:ascii="仿宋_GB2312" w:eastAsia="仿宋_GB2312"/>
      <w:kern w:val="30"/>
      <w:sz w:val="30"/>
      <w:szCs w:val="30"/>
    </w:rPr>
  </w:style>
  <w:style w:type="paragraph" w:customStyle="1" w:styleId="3580">
    <w:name w:val="称呼13"/>
    <w:basedOn w:val="1"/>
    <w:next w:val="1"/>
    <w:qFormat/>
    <w:uiPriority w:val="0"/>
  </w:style>
  <w:style w:type="paragraph" w:customStyle="1" w:styleId="3581">
    <w:name w:val="电子邮件签名13"/>
    <w:basedOn w:val="1"/>
    <w:qFormat/>
    <w:uiPriority w:val="0"/>
  </w:style>
  <w:style w:type="paragraph" w:customStyle="1" w:styleId="3582">
    <w:name w:val="宏文本13"/>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customStyle="1" w:styleId="3583">
    <w:name w:val="z-窗体底端13"/>
    <w:basedOn w:val="1"/>
    <w:next w:val="1"/>
    <w:qFormat/>
    <w:uiPriority w:val="0"/>
    <w:pPr>
      <w:widowControl/>
      <w:pBdr>
        <w:top w:val="single" w:color="auto" w:sz="6" w:space="1"/>
      </w:pBdr>
      <w:jc w:val="center"/>
    </w:pPr>
    <w:rPr>
      <w:rFonts w:ascii="Arial" w:hAnsi="Arial"/>
      <w:vanish/>
      <w:sz w:val="16"/>
      <w:szCs w:val="16"/>
    </w:rPr>
  </w:style>
  <w:style w:type="paragraph" w:customStyle="1" w:styleId="3584">
    <w:name w:val="z-窗体顶端13"/>
    <w:basedOn w:val="1"/>
    <w:next w:val="1"/>
    <w:qFormat/>
    <w:uiPriority w:val="0"/>
    <w:pPr>
      <w:widowControl/>
      <w:pBdr>
        <w:bottom w:val="single" w:color="auto" w:sz="6" w:space="1"/>
      </w:pBdr>
      <w:jc w:val="center"/>
    </w:pPr>
    <w:rPr>
      <w:rFonts w:ascii="Arial" w:hAnsi="Arial"/>
      <w:vanish/>
      <w:sz w:val="16"/>
      <w:szCs w:val="16"/>
    </w:rPr>
  </w:style>
  <w:style w:type="paragraph" w:customStyle="1" w:styleId="3585">
    <w:name w:val="五级标题"/>
    <w:basedOn w:val="6"/>
    <w:link w:val="3586"/>
    <w:qFormat/>
    <w:uiPriority w:val="0"/>
    <w:pPr>
      <w:spacing w:before="0" w:after="0" w:line="360" w:lineRule="auto"/>
    </w:pPr>
    <w:rPr>
      <w:rFonts w:ascii="Times New Roman" w:hAnsi="Times New Roman"/>
      <w:color w:val="FF0000"/>
      <w:sz w:val="24"/>
      <w:szCs w:val="24"/>
      <w:lang w:val="zh-CN"/>
    </w:rPr>
  </w:style>
  <w:style w:type="character" w:customStyle="1" w:styleId="3586">
    <w:name w:val="五级标题 Char"/>
    <w:link w:val="3585"/>
    <w:qFormat/>
    <w:uiPriority w:val="0"/>
    <w:rPr>
      <w:rFonts w:eastAsia="黑体"/>
      <w:b/>
      <w:bCs/>
      <w:color w:val="FF0000"/>
      <w:kern w:val="2"/>
      <w:sz w:val="24"/>
      <w:szCs w:val="24"/>
      <w:lang w:val="zh-CN"/>
    </w:rPr>
  </w:style>
  <w:style w:type="paragraph" w:customStyle="1" w:styleId="3587">
    <w:name w:val="图解"/>
    <w:basedOn w:val="393"/>
    <w:link w:val="3588"/>
    <w:qFormat/>
    <w:uiPriority w:val="0"/>
    <w:pPr>
      <w:spacing w:line="360" w:lineRule="auto"/>
      <w:ind w:firstLine="0" w:firstLineChars="0"/>
      <w:jc w:val="left"/>
    </w:pPr>
    <w:rPr>
      <w:color w:val="auto"/>
      <w:sz w:val="18"/>
      <w:szCs w:val="21"/>
      <w:lang w:val="zh-CN"/>
    </w:rPr>
  </w:style>
  <w:style w:type="character" w:customStyle="1" w:styleId="3588">
    <w:name w:val="图解 Char"/>
    <w:link w:val="3587"/>
    <w:qFormat/>
    <w:uiPriority w:val="0"/>
    <w:rPr>
      <w:kern w:val="2"/>
      <w:sz w:val="18"/>
      <w:szCs w:val="21"/>
      <w:lang w:val="zh-CN"/>
    </w:rPr>
  </w:style>
  <w:style w:type="paragraph" w:customStyle="1" w:styleId="3589">
    <w:name w:val="1级标题"/>
    <w:basedOn w:val="3"/>
    <w:qFormat/>
    <w:uiPriority w:val="0"/>
    <w:pPr>
      <w:keepNext/>
      <w:keepLines/>
      <w:tabs>
        <w:tab w:val="left" w:pos="360"/>
        <w:tab w:val="left" w:pos="786"/>
      </w:tabs>
      <w:adjustRightInd/>
      <w:snapToGrid/>
      <w:spacing w:before="340" w:after="330" w:line="578" w:lineRule="auto"/>
      <w:ind w:left="360" w:hanging="360" w:hangingChars="200"/>
      <w:jc w:val="both"/>
    </w:pPr>
    <w:rPr>
      <w:rFonts w:eastAsia="黑体"/>
      <w:sz w:val="44"/>
      <w:szCs w:val="44"/>
    </w:rPr>
  </w:style>
  <w:style w:type="paragraph" w:customStyle="1" w:styleId="3590">
    <w:name w:val="电镀正文"/>
    <w:basedOn w:val="21"/>
    <w:qFormat/>
    <w:uiPriority w:val="0"/>
    <w:pPr>
      <w:spacing w:line="400" w:lineRule="exact"/>
      <w:ind w:firstLine="200" w:firstLineChars="200"/>
    </w:pPr>
    <w:rPr>
      <w:sz w:val="24"/>
      <w:szCs w:val="24"/>
    </w:rPr>
  </w:style>
  <w:style w:type="character" w:customStyle="1" w:styleId="3591">
    <w:name w:val="样式 样式 样式 正文 首行缩进:  2 字符 SL CON + 首行缩进:  2 字符 + 首行缩进:  2 字符 + 黑色 Char"/>
    <w:qFormat/>
    <w:locked/>
    <w:uiPriority w:val="0"/>
    <w:rPr>
      <w:rFonts w:eastAsia="宋体"/>
      <w:color w:val="000000"/>
      <w:kern w:val="2"/>
      <w:sz w:val="24"/>
      <w:szCs w:val="24"/>
      <w:lang w:val="en-US" w:eastAsia="zh-CN"/>
    </w:rPr>
  </w:style>
  <w:style w:type="character" w:customStyle="1" w:styleId="3592">
    <w:name w:val="Char Char49"/>
    <w:qFormat/>
    <w:uiPriority w:val="0"/>
    <w:rPr>
      <w:rFonts w:eastAsia="宋体"/>
      <w:kern w:val="2"/>
      <w:sz w:val="21"/>
      <w:szCs w:val="24"/>
      <w:lang w:val="en-US" w:eastAsia="zh-CN" w:bidi="ar-SA"/>
    </w:rPr>
  </w:style>
  <w:style w:type="character" w:customStyle="1" w:styleId="3593">
    <w:name w:val="标题3-rw Char"/>
    <w:qFormat/>
    <w:locked/>
    <w:uiPriority w:val="0"/>
    <w:rPr>
      <w:rFonts w:ascii="Times New Roman" w:hAnsi="Times New Roman" w:eastAsia="黑体" w:cs="Times New Roman"/>
      <w:b/>
      <w:bCs/>
      <w:sz w:val="28"/>
      <w:szCs w:val="28"/>
    </w:rPr>
  </w:style>
  <w:style w:type="paragraph" w:customStyle="1" w:styleId="3594">
    <w:name w:val="Char14"/>
    <w:basedOn w:val="1"/>
    <w:qFormat/>
    <w:uiPriority w:val="0"/>
  </w:style>
  <w:style w:type="paragraph" w:customStyle="1" w:styleId="3595">
    <w:name w:val="Char Char Char Char5"/>
    <w:basedOn w:val="1"/>
    <w:qFormat/>
    <w:uiPriority w:val="0"/>
  </w:style>
  <w:style w:type="paragraph" w:customStyle="1" w:styleId="3596">
    <w:name w:val="字元 字元 字元3"/>
    <w:basedOn w:val="1"/>
    <w:qFormat/>
    <w:uiPriority w:val="0"/>
    <w:pPr>
      <w:spacing w:line="360" w:lineRule="auto"/>
      <w:ind w:firstLine="200" w:firstLineChars="200"/>
    </w:pPr>
    <w:rPr>
      <w:rFonts w:ascii="宋体" w:hAnsi="宋体" w:cs="宋体"/>
      <w:sz w:val="24"/>
    </w:rPr>
  </w:style>
  <w:style w:type="paragraph" w:customStyle="1" w:styleId="3597">
    <w:name w:val="Char13"/>
    <w:basedOn w:val="1"/>
    <w:qFormat/>
    <w:uiPriority w:val="0"/>
  </w:style>
  <w:style w:type="paragraph" w:customStyle="1" w:styleId="3598">
    <w:name w:val="Char Char Char3"/>
    <w:basedOn w:val="1"/>
    <w:qFormat/>
    <w:uiPriority w:val="0"/>
    <w:pPr>
      <w:spacing w:before="300" w:after="300" w:line="560" w:lineRule="exact"/>
    </w:pPr>
    <w:rPr>
      <w:rFonts w:eastAsia="黑体"/>
      <w:sz w:val="36"/>
      <w:szCs w:val="36"/>
    </w:rPr>
  </w:style>
  <w:style w:type="paragraph" w:customStyle="1" w:styleId="3599">
    <w:name w:val="Char Char Char Char Char2"/>
    <w:basedOn w:val="1"/>
    <w:qFormat/>
    <w:uiPriority w:val="0"/>
  </w:style>
  <w:style w:type="paragraph" w:customStyle="1" w:styleId="3600">
    <w:name w:val="Char4 Char Char Char Char Char Char12"/>
    <w:basedOn w:val="1"/>
    <w:qFormat/>
    <w:uiPriority w:val="0"/>
    <w:pPr>
      <w:spacing w:line="360" w:lineRule="auto"/>
      <w:ind w:firstLine="200" w:firstLineChars="200"/>
    </w:pPr>
    <w:rPr>
      <w:rFonts w:ascii="宋体" w:hAnsi="宋体" w:cs="宋体"/>
      <w:sz w:val="24"/>
    </w:rPr>
  </w:style>
  <w:style w:type="paragraph" w:customStyle="1" w:styleId="3601">
    <w:name w:val="Char Char Char Char Char Char2 Char Char Char Char Char Char1 Char Char Char Char2"/>
    <w:basedOn w:val="1"/>
    <w:qFormat/>
    <w:uiPriority w:val="0"/>
    <w:pPr>
      <w:spacing w:before="300" w:after="300" w:line="560" w:lineRule="exact"/>
    </w:pPr>
    <w:rPr>
      <w:rFonts w:eastAsia="黑体"/>
      <w:sz w:val="36"/>
      <w:szCs w:val="36"/>
    </w:rPr>
  </w:style>
  <w:style w:type="paragraph" w:customStyle="1" w:styleId="3602">
    <w:name w:val="Char Char Char Char Char Char2 Char Char Char Char Char Char1 Char2"/>
    <w:basedOn w:val="1"/>
    <w:qFormat/>
    <w:uiPriority w:val="0"/>
    <w:pPr>
      <w:spacing w:before="300" w:after="300" w:line="560" w:lineRule="exact"/>
    </w:pPr>
    <w:rPr>
      <w:rFonts w:eastAsia="黑体"/>
      <w:sz w:val="36"/>
      <w:szCs w:val="36"/>
    </w:rPr>
  </w:style>
  <w:style w:type="paragraph" w:customStyle="1" w:styleId="3603">
    <w:name w:val="Char1 Char Char Char Char Char Char2"/>
    <w:basedOn w:val="1"/>
    <w:qFormat/>
    <w:uiPriority w:val="0"/>
  </w:style>
  <w:style w:type="paragraph" w:customStyle="1" w:styleId="3604">
    <w:name w:val="Char52"/>
    <w:basedOn w:val="1"/>
    <w:qFormat/>
    <w:uiPriority w:val="0"/>
  </w:style>
  <w:style w:type="paragraph" w:customStyle="1" w:styleId="3605">
    <w:name w:val="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3606">
    <w:name w:val="Char Char Char Char Char Char1 Char Char Char Char2"/>
    <w:basedOn w:val="1"/>
    <w:qFormat/>
    <w:uiPriority w:val="0"/>
    <w:pPr>
      <w:spacing w:before="300" w:after="300" w:line="560" w:lineRule="exact"/>
    </w:pPr>
    <w:rPr>
      <w:rFonts w:eastAsia="黑体"/>
      <w:sz w:val="36"/>
      <w:szCs w:val="36"/>
    </w:rPr>
  </w:style>
  <w:style w:type="paragraph" w:customStyle="1" w:styleId="3607">
    <w:name w:val="Char Char Char Char Char Char2 Char Char Char Char Char Char12"/>
    <w:basedOn w:val="1"/>
    <w:qFormat/>
    <w:uiPriority w:val="0"/>
    <w:pPr>
      <w:spacing w:before="300" w:after="300" w:line="560" w:lineRule="exact"/>
    </w:pPr>
    <w:rPr>
      <w:rFonts w:eastAsia="黑体"/>
      <w:sz w:val="36"/>
      <w:szCs w:val="36"/>
    </w:rPr>
  </w:style>
  <w:style w:type="paragraph" w:customStyle="1" w:styleId="3608">
    <w:name w:val="Char Char Char1 Char Char Char Char Char Char Char Char Char Char3"/>
    <w:basedOn w:val="1"/>
    <w:qFormat/>
    <w:uiPriority w:val="0"/>
    <w:pPr>
      <w:widowControl/>
      <w:jc w:val="left"/>
    </w:pPr>
    <w:rPr>
      <w:rFonts w:ascii="宋体" w:hAnsi="宋体" w:cs="宋体"/>
      <w:kern w:val="0"/>
      <w:sz w:val="24"/>
    </w:rPr>
  </w:style>
  <w:style w:type="paragraph" w:customStyle="1" w:styleId="3609">
    <w:name w:val="Char Char Char Char Char Char Char Char1 Char Char Char Char2"/>
    <w:basedOn w:val="1"/>
    <w:qFormat/>
    <w:uiPriority w:val="0"/>
  </w:style>
  <w:style w:type="paragraph" w:customStyle="1" w:styleId="3610">
    <w:name w:val="Char Char Char Char Char Char2 Char Char Char Char Char Char1 Char Char Char2"/>
    <w:basedOn w:val="1"/>
    <w:qFormat/>
    <w:uiPriority w:val="0"/>
    <w:pPr>
      <w:spacing w:before="300" w:after="300" w:line="560" w:lineRule="exact"/>
    </w:pPr>
    <w:rPr>
      <w:rFonts w:eastAsia="黑体"/>
      <w:sz w:val="36"/>
      <w:szCs w:val="36"/>
    </w:rPr>
  </w:style>
  <w:style w:type="paragraph" w:customStyle="1" w:styleId="3611">
    <w:name w:val="Char1 Char Char Char Char Char Char1 Char Char Char2"/>
    <w:basedOn w:val="1"/>
    <w:qFormat/>
    <w:uiPriority w:val="0"/>
    <w:pPr>
      <w:spacing w:line="360" w:lineRule="auto"/>
      <w:ind w:firstLine="200" w:firstLineChars="200"/>
    </w:pPr>
    <w:rPr>
      <w:rFonts w:ascii="宋体" w:hAnsi="宋体" w:cs="宋体"/>
      <w:sz w:val="24"/>
      <w:szCs w:val="28"/>
    </w:rPr>
  </w:style>
  <w:style w:type="paragraph" w:customStyle="1" w:styleId="3612">
    <w:name w:val="列出段落12"/>
    <w:basedOn w:val="1"/>
    <w:qFormat/>
    <w:uiPriority w:val="0"/>
    <w:pPr>
      <w:widowControl/>
      <w:spacing w:after="200" w:line="276" w:lineRule="auto"/>
      <w:ind w:left="720"/>
      <w:contextualSpacing/>
      <w:jc w:val="left"/>
    </w:pPr>
    <w:rPr>
      <w:rFonts w:ascii="Calibri" w:hAnsi="Calibri"/>
      <w:kern w:val="0"/>
      <w:sz w:val="22"/>
      <w:szCs w:val="22"/>
      <w:lang w:eastAsia="en-US"/>
    </w:rPr>
  </w:style>
  <w:style w:type="paragraph" w:customStyle="1" w:styleId="3613">
    <w:name w:val="Char Char1 Char Char Char Char Char Char Char Char Char Char Char Char2"/>
    <w:basedOn w:val="1"/>
    <w:qFormat/>
    <w:uiPriority w:val="0"/>
  </w:style>
  <w:style w:type="character" w:customStyle="1" w:styleId="3614">
    <w:name w:val="正文缩进 Char1 Char Char Char1"/>
    <w:qFormat/>
    <w:uiPriority w:val="0"/>
    <w:rPr>
      <w:rFonts w:eastAsia="宋体"/>
      <w:lang w:val="en-US" w:eastAsia="zh-CN"/>
    </w:rPr>
  </w:style>
  <w:style w:type="character" w:customStyle="1" w:styleId="3615">
    <w:name w:val="标题6"/>
    <w:qFormat/>
    <w:uiPriority w:val="0"/>
  </w:style>
  <w:style w:type="paragraph" w:customStyle="1" w:styleId="3616">
    <w:name w:val="Char23"/>
    <w:basedOn w:val="1"/>
    <w:qFormat/>
    <w:uiPriority w:val="0"/>
    <w:rPr>
      <w:szCs w:val="21"/>
    </w:rPr>
  </w:style>
  <w:style w:type="paragraph" w:customStyle="1" w:styleId="3617">
    <w:name w:val="纯文本3"/>
    <w:basedOn w:val="1"/>
    <w:qFormat/>
    <w:uiPriority w:val="0"/>
    <w:rPr>
      <w:rFonts w:ascii="宋体" w:hAnsi="Courier New"/>
      <w:sz w:val="28"/>
      <w:szCs w:val="20"/>
    </w:rPr>
  </w:style>
  <w:style w:type="paragraph" w:customStyle="1" w:styleId="3618">
    <w:name w:val="Char Char Char Char Char Char Char Char Char Char Char Char Char Char Char Char Char Char Char Char Char Char2"/>
    <w:basedOn w:val="1"/>
    <w:qFormat/>
    <w:uiPriority w:val="0"/>
    <w:pPr>
      <w:spacing w:line="0" w:lineRule="atLeast"/>
    </w:pPr>
  </w:style>
  <w:style w:type="paragraph" w:customStyle="1" w:styleId="3619">
    <w:name w:val="Char Char Char Char Char Char Char Char Char Char Char Char Char2"/>
    <w:basedOn w:val="1"/>
    <w:qFormat/>
    <w:uiPriority w:val="0"/>
    <w:pPr>
      <w:spacing w:line="240" w:lineRule="atLeast"/>
      <w:ind w:left="420" w:firstLine="420"/>
    </w:pPr>
    <w:rPr>
      <w:kern w:val="0"/>
      <w:szCs w:val="21"/>
    </w:rPr>
  </w:style>
  <w:style w:type="paragraph" w:customStyle="1" w:styleId="3620">
    <w:name w:val="Char1 Char Char Char3"/>
    <w:basedOn w:val="1"/>
    <w:qFormat/>
    <w:uiPriority w:val="0"/>
  </w:style>
  <w:style w:type="paragraph" w:customStyle="1" w:styleId="3621">
    <w:name w:val="Char Char Char1 Char3"/>
    <w:basedOn w:val="1"/>
    <w:qFormat/>
    <w:uiPriority w:val="0"/>
  </w:style>
  <w:style w:type="paragraph" w:customStyle="1" w:styleId="3622">
    <w:name w:val="Char1 Char Char1 Char Char Char Char Char Char Char2"/>
    <w:basedOn w:val="1"/>
    <w:qFormat/>
    <w:uiPriority w:val="0"/>
  </w:style>
  <w:style w:type="paragraph" w:customStyle="1" w:styleId="3623">
    <w:name w:val="Char42"/>
    <w:basedOn w:val="1"/>
    <w:qFormat/>
    <w:uiPriority w:val="0"/>
    <w:pPr>
      <w:widowControl/>
      <w:jc w:val="left"/>
    </w:pPr>
    <w:rPr>
      <w:rFonts w:ascii="宋体" w:hAnsi="宋体" w:cs="宋体"/>
      <w:kern w:val="0"/>
      <w:sz w:val="24"/>
    </w:rPr>
  </w:style>
  <w:style w:type="paragraph" w:customStyle="1" w:styleId="3624">
    <w:name w:val="Char Char1 Char Char Char Char Char Char Char Char Char2"/>
    <w:basedOn w:val="1"/>
    <w:qFormat/>
    <w:uiPriority w:val="0"/>
  </w:style>
  <w:style w:type="character" w:customStyle="1" w:styleId="3625">
    <w:name w:val="Char Char3 Char Char Char Char Char Char2"/>
    <w:link w:val="3626"/>
    <w:qFormat/>
    <w:uiPriority w:val="0"/>
    <w:rPr>
      <w:rFonts w:ascii="Calibri" w:hAnsi="Calibri"/>
      <w:sz w:val="24"/>
      <w:szCs w:val="24"/>
    </w:rPr>
  </w:style>
  <w:style w:type="paragraph" w:customStyle="1" w:styleId="3626">
    <w:name w:val="Char Char3 Char Char Char Char2"/>
    <w:basedOn w:val="1"/>
    <w:link w:val="3625"/>
    <w:qFormat/>
    <w:uiPriority w:val="0"/>
    <w:pPr>
      <w:spacing w:line="360" w:lineRule="auto"/>
      <w:ind w:firstLine="200" w:firstLineChars="200"/>
    </w:pPr>
    <w:rPr>
      <w:rFonts w:ascii="Calibri" w:hAnsi="Calibri"/>
      <w:kern w:val="0"/>
      <w:sz w:val="24"/>
    </w:rPr>
  </w:style>
  <w:style w:type="paragraph" w:customStyle="1" w:styleId="3627">
    <w:name w:val="日期12"/>
    <w:basedOn w:val="1"/>
    <w:next w:val="1"/>
    <w:qFormat/>
    <w:uiPriority w:val="0"/>
    <w:pPr>
      <w:adjustRightInd w:val="0"/>
    </w:pPr>
    <w:rPr>
      <w:sz w:val="28"/>
      <w:szCs w:val="20"/>
    </w:rPr>
  </w:style>
  <w:style w:type="paragraph" w:customStyle="1" w:styleId="3628">
    <w:name w:val="Char2 Char Char Char2"/>
    <w:basedOn w:val="1"/>
    <w:qFormat/>
    <w:uiPriority w:val="0"/>
    <w:pPr>
      <w:spacing w:line="360" w:lineRule="auto"/>
      <w:ind w:firstLine="200" w:firstLineChars="200"/>
    </w:pPr>
    <w:rPr>
      <w:rFonts w:cs="宋体"/>
      <w:sz w:val="24"/>
    </w:rPr>
  </w:style>
  <w:style w:type="paragraph" w:customStyle="1" w:styleId="3629">
    <w:name w:val="Char72"/>
    <w:basedOn w:val="1"/>
    <w:qFormat/>
    <w:uiPriority w:val="0"/>
    <w:pPr>
      <w:adjustRightInd w:val="0"/>
      <w:snapToGrid w:val="0"/>
      <w:spacing w:line="360" w:lineRule="auto"/>
      <w:ind w:firstLine="200" w:firstLineChars="200"/>
    </w:pPr>
    <w:rPr>
      <w:rFonts w:ascii="宋体" w:hAnsi="宋体" w:cs="宋体"/>
      <w:sz w:val="24"/>
    </w:rPr>
  </w:style>
  <w:style w:type="paragraph" w:customStyle="1" w:styleId="3630">
    <w:name w:val="Char8 Char Char Char2"/>
    <w:basedOn w:val="1"/>
    <w:qFormat/>
    <w:uiPriority w:val="0"/>
    <w:pPr>
      <w:spacing w:line="360" w:lineRule="auto"/>
      <w:ind w:firstLine="200" w:firstLineChars="200"/>
    </w:pPr>
    <w:rPr>
      <w:rFonts w:ascii="宋体" w:hAnsi="宋体" w:cs="宋体"/>
      <w:sz w:val="24"/>
    </w:rPr>
  </w:style>
  <w:style w:type="paragraph" w:customStyle="1" w:styleId="3631">
    <w:name w:val="Char Char Char Char Char Char Char Char Char Char Char Char Char Char Char Char Char Char2"/>
    <w:basedOn w:val="1"/>
    <w:qFormat/>
    <w:uiPriority w:val="0"/>
  </w:style>
  <w:style w:type="paragraph" w:customStyle="1" w:styleId="3632">
    <w:name w:val="Char62"/>
    <w:basedOn w:val="1"/>
    <w:qFormat/>
    <w:uiPriority w:val="0"/>
    <w:pPr>
      <w:spacing w:line="360" w:lineRule="auto"/>
      <w:ind w:firstLine="200" w:firstLineChars="200"/>
    </w:pPr>
    <w:rPr>
      <w:rFonts w:ascii="宋体" w:hAnsi="宋体" w:cs="宋体"/>
      <w:sz w:val="24"/>
    </w:rPr>
  </w:style>
  <w:style w:type="paragraph" w:customStyle="1" w:styleId="3633">
    <w:name w:val="Char4 Char Char Char Char Char Char3"/>
    <w:basedOn w:val="1"/>
    <w:qFormat/>
    <w:uiPriority w:val="0"/>
    <w:pPr>
      <w:spacing w:line="360" w:lineRule="auto"/>
    </w:pPr>
    <w:rPr>
      <w:rFonts w:ascii="宋体" w:hAnsi="宋体" w:cs="宋体"/>
      <w:sz w:val="24"/>
    </w:rPr>
  </w:style>
  <w:style w:type="paragraph" w:customStyle="1" w:styleId="3634">
    <w:name w:val="Char82"/>
    <w:basedOn w:val="1"/>
    <w:qFormat/>
    <w:uiPriority w:val="0"/>
    <w:pPr>
      <w:spacing w:line="360" w:lineRule="auto"/>
      <w:ind w:firstLine="200" w:firstLineChars="200"/>
    </w:pPr>
    <w:rPr>
      <w:rFonts w:ascii="宋体" w:hAnsi="宋体" w:cs="宋体"/>
      <w:sz w:val="24"/>
    </w:rPr>
  </w:style>
  <w:style w:type="paragraph" w:customStyle="1" w:styleId="3635">
    <w:name w:val="Char Char Char1 Char Char1 Char Char Char2"/>
    <w:basedOn w:val="1"/>
    <w:qFormat/>
    <w:uiPriority w:val="0"/>
    <w:pPr>
      <w:spacing w:line="360" w:lineRule="auto"/>
      <w:ind w:firstLine="200" w:firstLineChars="200"/>
    </w:pPr>
    <w:rPr>
      <w:rFonts w:ascii="宋体" w:hAnsi="宋体" w:cs="宋体"/>
      <w:sz w:val="24"/>
    </w:rPr>
  </w:style>
  <w:style w:type="character" w:customStyle="1" w:styleId="3636">
    <w:name w:val="Char Char72"/>
    <w:qFormat/>
    <w:uiPriority w:val="0"/>
    <w:rPr>
      <w:rFonts w:ascii="Times New Roman" w:hAnsi="Times New Roman" w:eastAsia="宋体" w:cs="Times New Roman"/>
      <w:sz w:val="18"/>
      <w:szCs w:val="20"/>
    </w:rPr>
  </w:style>
  <w:style w:type="character" w:customStyle="1" w:styleId="3637">
    <w:name w:val="Char Char142"/>
    <w:qFormat/>
    <w:uiPriority w:val="0"/>
    <w:rPr>
      <w:rFonts w:eastAsia="宋体"/>
      <w:kern w:val="2"/>
      <w:sz w:val="21"/>
      <w:szCs w:val="24"/>
      <w:lang w:val="en-US" w:eastAsia="zh-CN" w:bidi="ar-SA"/>
    </w:rPr>
  </w:style>
  <w:style w:type="character" w:customStyle="1" w:styleId="3638">
    <w:name w:val="Char Char82"/>
    <w:qFormat/>
    <w:uiPriority w:val="0"/>
    <w:rPr>
      <w:rFonts w:eastAsia="宋体"/>
      <w:kern w:val="2"/>
      <w:sz w:val="18"/>
      <w:szCs w:val="18"/>
      <w:lang w:val="en-US" w:eastAsia="zh-CN" w:bidi="ar-SA"/>
    </w:rPr>
  </w:style>
  <w:style w:type="character" w:customStyle="1" w:styleId="3639">
    <w:name w:val="Char Char62"/>
    <w:qFormat/>
    <w:uiPriority w:val="0"/>
    <w:rPr>
      <w:rFonts w:eastAsia="宋体"/>
      <w:kern w:val="2"/>
      <w:sz w:val="21"/>
      <w:szCs w:val="24"/>
      <w:lang w:val="en-US" w:eastAsia="zh-CN" w:bidi="ar-SA"/>
    </w:rPr>
  </w:style>
  <w:style w:type="character" w:customStyle="1" w:styleId="3640">
    <w:name w:val="Char Char92"/>
    <w:qFormat/>
    <w:uiPriority w:val="0"/>
    <w:rPr>
      <w:rFonts w:eastAsia="宋体"/>
      <w:kern w:val="2"/>
      <w:sz w:val="18"/>
      <w:szCs w:val="18"/>
      <w:lang w:val="en-US" w:eastAsia="zh-CN" w:bidi="ar-SA"/>
    </w:rPr>
  </w:style>
  <w:style w:type="character" w:customStyle="1" w:styleId="3641">
    <w:name w:val="Char Char122"/>
    <w:qFormat/>
    <w:uiPriority w:val="0"/>
    <w:rPr>
      <w:rFonts w:ascii="Arial" w:hAnsi="Arial" w:eastAsia="黑体" w:cs="Arial"/>
      <w:kern w:val="2"/>
      <w:lang w:val="en-US" w:eastAsia="zh-CN" w:bidi="ar-SA"/>
    </w:rPr>
  </w:style>
  <w:style w:type="paragraph" w:customStyle="1" w:styleId="3642">
    <w:name w:val="正文文本缩进 212"/>
    <w:basedOn w:val="1"/>
    <w:qFormat/>
    <w:uiPriority w:val="0"/>
    <w:pPr>
      <w:adjustRightInd w:val="0"/>
      <w:snapToGrid w:val="0"/>
      <w:spacing w:line="580" w:lineRule="exact"/>
      <w:ind w:firstLine="560" w:firstLineChars="200"/>
    </w:pPr>
    <w:rPr>
      <w:rFonts w:ascii="宋体" w:hAnsi="宋体"/>
      <w:sz w:val="28"/>
      <w:szCs w:val="30"/>
    </w:rPr>
  </w:style>
  <w:style w:type="paragraph" w:customStyle="1" w:styleId="3643">
    <w:name w:val="Char Char292"/>
    <w:basedOn w:val="1"/>
    <w:qFormat/>
    <w:uiPriority w:val="0"/>
    <w:pPr>
      <w:spacing w:line="360" w:lineRule="auto"/>
    </w:pPr>
    <w:rPr>
      <w:sz w:val="24"/>
    </w:rPr>
  </w:style>
  <w:style w:type="character" w:customStyle="1" w:styleId="3644">
    <w:name w:val="Char Char161"/>
    <w:qFormat/>
    <w:uiPriority w:val="0"/>
    <w:rPr>
      <w:rFonts w:ascii="Courier New" w:hAnsi="Courier New" w:eastAsia="宋体" w:cs="Courier New"/>
      <w:kern w:val="2"/>
      <w:lang w:val="en-US" w:eastAsia="zh-CN" w:bidi="ar-SA"/>
    </w:rPr>
  </w:style>
  <w:style w:type="character" w:customStyle="1" w:styleId="3645">
    <w:name w:val="Char Char391"/>
    <w:qFormat/>
    <w:uiPriority w:val="0"/>
    <w:rPr>
      <w:rFonts w:ascii="Arial" w:hAnsi="Arial" w:eastAsia="黑体"/>
      <w:b/>
      <w:bCs/>
      <w:kern w:val="2"/>
      <w:sz w:val="32"/>
      <w:szCs w:val="32"/>
      <w:lang w:val="en-US" w:eastAsia="zh-CN" w:bidi="ar-SA"/>
    </w:rPr>
  </w:style>
  <w:style w:type="character" w:customStyle="1" w:styleId="3646">
    <w:name w:val="Char Char321"/>
    <w:qFormat/>
    <w:uiPriority w:val="0"/>
    <w:rPr>
      <w:rFonts w:ascii="Arial" w:hAnsi="Arial" w:eastAsia="黑体"/>
      <w:kern w:val="2"/>
      <w:sz w:val="24"/>
      <w:szCs w:val="24"/>
      <w:lang w:val="en-US" w:eastAsia="zh-CN" w:bidi="ar-SA"/>
    </w:rPr>
  </w:style>
  <w:style w:type="character" w:customStyle="1" w:styleId="3647">
    <w:name w:val="Char Char451"/>
    <w:qFormat/>
    <w:uiPriority w:val="0"/>
    <w:rPr>
      <w:rFonts w:ascii="宋体" w:hAnsi="Courier New"/>
      <w:color w:val="000000"/>
      <w:kern w:val="2"/>
      <w:sz w:val="21"/>
    </w:rPr>
  </w:style>
  <w:style w:type="character" w:customStyle="1" w:styleId="3648">
    <w:name w:val="Char Char481"/>
    <w:qFormat/>
    <w:uiPriority w:val="0"/>
    <w:rPr>
      <w:kern w:val="2"/>
      <w:sz w:val="21"/>
      <w:szCs w:val="24"/>
      <w:shd w:val="clear" w:color="auto" w:fill="000080"/>
    </w:rPr>
  </w:style>
  <w:style w:type="character" w:customStyle="1" w:styleId="3649">
    <w:name w:val="Char Char471"/>
    <w:qFormat/>
    <w:uiPriority w:val="0"/>
    <w:rPr>
      <w:kern w:val="2"/>
      <w:sz w:val="18"/>
      <w:szCs w:val="18"/>
    </w:rPr>
  </w:style>
  <w:style w:type="character" w:customStyle="1" w:styleId="3650">
    <w:name w:val="Char Char381"/>
    <w:qFormat/>
    <w:uiPriority w:val="0"/>
    <w:rPr>
      <w:rFonts w:ascii="仿宋_GB2312" w:hAnsi="Arial" w:eastAsia="仿宋_GB2312"/>
      <w:bCs/>
      <w:kern w:val="2"/>
      <w:sz w:val="28"/>
      <w:szCs w:val="28"/>
      <w:lang w:val="en-US" w:eastAsia="zh-CN" w:bidi="ar-SA"/>
    </w:rPr>
  </w:style>
  <w:style w:type="character" w:customStyle="1" w:styleId="3651">
    <w:name w:val="HTML 打字机11"/>
    <w:qFormat/>
    <w:uiPriority w:val="0"/>
    <w:rPr>
      <w:rFonts w:ascii="Courier New" w:hAnsi="Courier New" w:cs="Courier New"/>
      <w:sz w:val="20"/>
      <w:szCs w:val="20"/>
    </w:rPr>
  </w:style>
  <w:style w:type="character" w:customStyle="1" w:styleId="3652">
    <w:name w:val="HTML 键盘11"/>
    <w:qFormat/>
    <w:uiPriority w:val="0"/>
    <w:rPr>
      <w:rFonts w:ascii="Courier New" w:hAnsi="Courier New" w:cs="Courier New"/>
      <w:sz w:val="20"/>
      <w:szCs w:val="20"/>
    </w:rPr>
  </w:style>
  <w:style w:type="character" w:customStyle="1" w:styleId="3653">
    <w:name w:val="Char Char371"/>
    <w:qFormat/>
    <w:uiPriority w:val="0"/>
    <w:rPr>
      <w:rFonts w:ascii="Arial" w:hAnsi="Arial" w:eastAsia="黑体"/>
      <w:b/>
      <w:bCs/>
      <w:kern w:val="2"/>
      <w:sz w:val="28"/>
      <w:szCs w:val="28"/>
      <w:lang w:val="en-US" w:eastAsia="zh-CN" w:bidi="ar-SA"/>
    </w:rPr>
  </w:style>
  <w:style w:type="character" w:customStyle="1" w:styleId="3654">
    <w:name w:val="HTML 变量11"/>
    <w:qFormat/>
    <w:uiPriority w:val="0"/>
    <w:rPr>
      <w:i/>
      <w:iCs/>
    </w:rPr>
  </w:style>
  <w:style w:type="character" w:customStyle="1" w:styleId="3655">
    <w:name w:val="Char Char271"/>
    <w:qFormat/>
    <w:uiPriority w:val="0"/>
    <w:rPr>
      <w:rFonts w:ascii="Arial" w:hAnsi="Arial" w:eastAsia="黑体"/>
      <w:b/>
      <w:bCs/>
      <w:kern w:val="2"/>
      <w:sz w:val="24"/>
      <w:szCs w:val="24"/>
      <w:lang w:val="en-US" w:eastAsia="zh-CN" w:bidi="ar-SA"/>
    </w:rPr>
  </w:style>
  <w:style w:type="character" w:customStyle="1" w:styleId="3656">
    <w:name w:val="Char Char261"/>
    <w:qFormat/>
    <w:uiPriority w:val="0"/>
    <w:rPr>
      <w:rFonts w:eastAsia="宋体"/>
      <w:b/>
      <w:bCs/>
      <w:kern w:val="2"/>
      <w:sz w:val="24"/>
      <w:szCs w:val="24"/>
      <w:lang w:val="en-US" w:eastAsia="zh-CN" w:bidi="ar-SA"/>
    </w:rPr>
  </w:style>
  <w:style w:type="character" w:customStyle="1" w:styleId="3657">
    <w:name w:val="Char Char401"/>
    <w:qFormat/>
    <w:uiPriority w:val="0"/>
    <w:rPr>
      <w:kern w:val="2"/>
      <w:sz w:val="21"/>
      <w:szCs w:val="24"/>
    </w:rPr>
  </w:style>
  <w:style w:type="character" w:customStyle="1" w:styleId="3658">
    <w:name w:val="Char Char301"/>
    <w:qFormat/>
    <w:uiPriority w:val="0"/>
    <w:rPr>
      <w:rFonts w:eastAsia="宋体"/>
      <w:kern w:val="2"/>
      <w:sz w:val="16"/>
      <w:szCs w:val="16"/>
      <w:lang w:val="en-US" w:eastAsia="zh-CN" w:bidi="ar-SA"/>
    </w:rPr>
  </w:style>
  <w:style w:type="character" w:customStyle="1" w:styleId="3659">
    <w:name w:val="Char Char151"/>
    <w:qFormat/>
    <w:uiPriority w:val="0"/>
    <w:rPr>
      <w:rFonts w:eastAsia="宋体"/>
      <w:kern w:val="2"/>
      <w:sz w:val="21"/>
      <w:szCs w:val="24"/>
      <w:lang w:val="en-US" w:eastAsia="zh-CN" w:bidi="ar-SA"/>
    </w:rPr>
  </w:style>
  <w:style w:type="character" w:customStyle="1" w:styleId="3660">
    <w:name w:val="书籍标题11"/>
    <w:qFormat/>
    <w:uiPriority w:val="0"/>
    <w:rPr>
      <w:b/>
      <w:bCs/>
      <w:smallCaps/>
      <w:spacing w:val="5"/>
    </w:rPr>
  </w:style>
  <w:style w:type="character" w:customStyle="1" w:styleId="3661">
    <w:name w:val="占位符文本11"/>
    <w:qFormat/>
    <w:uiPriority w:val="0"/>
    <w:rPr>
      <w:color w:val="808080"/>
    </w:rPr>
  </w:style>
  <w:style w:type="character" w:customStyle="1" w:styleId="3662">
    <w:name w:val="Char Char441"/>
    <w:qFormat/>
    <w:uiPriority w:val="0"/>
    <w:rPr>
      <w:rFonts w:ascii="Arial" w:hAnsi="Arial" w:cs="Arial"/>
      <w:b/>
      <w:bCs/>
      <w:kern w:val="2"/>
      <w:sz w:val="32"/>
      <w:szCs w:val="32"/>
    </w:rPr>
  </w:style>
  <w:style w:type="character" w:customStyle="1" w:styleId="3663">
    <w:name w:val="Char Char241"/>
    <w:qFormat/>
    <w:uiPriority w:val="0"/>
    <w:rPr>
      <w:rFonts w:ascii="Arial" w:hAnsi="Arial" w:cs="Arial"/>
      <w:b/>
      <w:bCs/>
      <w:kern w:val="28"/>
      <w:sz w:val="32"/>
      <w:szCs w:val="32"/>
    </w:rPr>
  </w:style>
  <w:style w:type="character" w:customStyle="1" w:styleId="3664">
    <w:name w:val="Char Char431"/>
    <w:qFormat/>
    <w:uiPriority w:val="0"/>
    <w:rPr>
      <w:i/>
      <w:iCs/>
      <w:kern w:val="2"/>
      <w:sz w:val="21"/>
      <w:szCs w:val="24"/>
    </w:rPr>
  </w:style>
  <w:style w:type="character" w:customStyle="1" w:styleId="3665">
    <w:name w:val="Char Char351"/>
    <w:qFormat/>
    <w:uiPriority w:val="0"/>
    <w:rPr>
      <w:rFonts w:eastAsia="宋体"/>
      <w:b/>
      <w:bCs/>
      <w:kern w:val="2"/>
      <w:sz w:val="28"/>
      <w:szCs w:val="28"/>
      <w:lang w:val="en-US" w:eastAsia="zh-CN" w:bidi="ar-SA"/>
    </w:rPr>
  </w:style>
  <w:style w:type="character" w:customStyle="1" w:styleId="3666">
    <w:name w:val="页码11"/>
    <w:qFormat/>
    <w:uiPriority w:val="0"/>
  </w:style>
  <w:style w:type="character" w:customStyle="1" w:styleId="3667">
    <w:name w:val="Char Char211"/>
    <w:qFormat/>
    <w:uiPriority w:val="0"/>
    <w:rPr>
      <w:kern w:val="2"/>
      <w:sz w:val="21"/>
      <w:szCs w:val="24"/>
    </w:rPr>
  </w:style>
  <w:style w:type="character" w:customStyle="1" w:styleId="3668">
    <w:name w:val="Char Char251"/>
    <w:qFormat/>
    <w:uiPriority w:val="0"/>
    <w:rPr>
      <w:kern w:val="2"/>
      <w:sz w:val="18"/>
    </w:rPr>
  </w:style>
  <w:style w:type="character" w:customStyle="1" w:styleId="3669">
    <w:name w:val="Char Char361"/>
    <w:qFormat/>
    <w:uiPriority w:val="0"/>
    <w:rPr>
      <w:rFonts w:ascii="仿宋_GB2312" w:hAnsi="Arial" w:eastAsia="仿宋_GB2312"/>
      <w:b/>
      <w:bCs/>
      <w:kern w:val="2"/>
      <w:sz w:val="28"/>
      <w:szCs w:val="28"/>
      <w:lang w:val="en-US" w:eastAsia="zh-CN" w:bidi="ar-SA"/>
    </w:rPr>
  </w:style>
  <w:style w:type="character" w:customStyle="1" w:styleId="3670">
    <w:name w:val="Char Char311"/>
    <w:qFormat/>
    <w:uiPriority w:val="0"/>
    <w:rPr>
      <w:rFonts w:eastAsia="宋体"/>
      <w:kern w:val="2"/>
      <w:sz w:val="21"/>
      <w:szCs w:val="24"/>
      <w:lang w:val="en-US" w:eastAsia="zh-CN" w:bidi="ar-SA"/>
    </w:rPr>
  </w:style>
  <w:style w:type="character" w:customStyle="1" w:styleId="3671">
    <w:name w:val="Char Char461"/>
    <w:qFormat/>
    <w:uiPriority w:val="0"/>
    <w:rPr>
      <w:rFonts w:ascii="宋体" w:hAnsi="Courier New"/>
      <w:kern w:val="2"/>
      <w:sz w:val="28"/>
    </w:rPr>
  </w:style>
  <w:style w:type="character" w:customStyle="1" w:styleId="3672">
    <w:name w:val="Char Char421"/>
    <w:qFormat/>
    <w:uiPriority w:val="0"/>
    <w:rPr>
      <w:rFonts w:ascii="Courier New" w:hAnsi="Courier New" w:cs="Courier New"/>
      <w:kern w:val="2"/>
    </w:rPr>
  </w:style>
  <w:style w:type="character" w:customStyle="1" w:styleId="3673">
    <w:name w:val="Char1 Char1"/>
    <w:qFormat/>
    <w:uiPriority w:val="0"/>
    <w:rPr>
      <w:szCs w:val="24"/>
    </w:rPr>
  </w:style>
  <w:style w:type="character" w:customStyle="1" w:styleId="3674">
    <w:name w:val="Char Char411"/>
    <w:qFormat/>
    <w:uiPriority w:val="0"/>
    <w:rPr>
      <w:kern w:val="2"/>
      <w:sz w:val="21"/>
      <w:szCs w:val="24"/>
    </w:rPr>
  </w:style>
  <w:style w:type="character" w:customStyle="1" w:styleId="3675">
    <w:name w:val="Char Char331"/>
    <w:qFormat/>
    <w:uiPriority w:val="0"/>
    <w:rPr>
      <w:rFonts w:eastAsia="宋体"/>
      <w:b/>
      <w:bCs/>
      <w:kern w:val="2"/>
      <w:sz w:val="24"/>
      <w:szCs w:val="24"/>
      <w:lang w:val="en-US" w:eastAsia="zh-CN" w:bidi="ar-SA"/>
    </w:rPr>
  </w:style>
  <w:style w:type="character" w:customStyle="1" w:styleId="3676">
    <w:name w:val="Char Char341"/>
    <w:qFormat/>
    <w:uiPriority w:val="0"/>
    <w:rPr>
      <w:rFonts w:ascii="Arial" w:hAnsi="Arial" w:eastAsia="黑体"/>
      <w:b/>
      <w:bCs/>
      <w:kern w:val="2"/>
      <w:sz w:val="24"/>
      <w:szCs w:val="24"/>
      <w:lang w:val="en-US" w:eastAsia="zh-CN" w:bidi="ar-SA"/>
    </w:rPr>
  </w:style>
  <w:style w:type="character" w:customStyle="1" w:styleId="3677">
    <w:name w:val="批注引用11"/>
    <w:qFormat/>
    <w:uiPriority w:val="0"/>
    <w:rPr>
      <w:sz w:val="21"/>
      <w:szCs w:val="21"/>
    </w:rPr>
  </w:style>
  <w:style w:type="character" w:customStyle="1" w:styleId="3678">
    <w:name w:val="行号11"/>
    <w:qFormat/>
    <w:uiPriority w:val="0"/>
  </w:style>
  <w:style w:type="character" w:customStyle="1" w:styleId="3679">
    <w:name w:val="HTML 引文11"/>
    <w:qFormat/>
    <w:uiPriority w:val="0"/>
    <w:rPr>
      <w:i/>
      <w:iCs/>
    </w:rPr>
  </w:style>
  <w:style w:type="character" w:customStyle="1" w:styleId="3680">
    <w:name w:val="HTML 定义11"/>
    <w:qFormat/>
    <w:uiPriority w:val="0"/>
    <w:rPr>
      <w:i/>
      <w:iCs/>
    </w:rPr>
  </w:style>
  <w:style w:type="character" w:customStyle="1" w:styleId="3681">
    <w:name w:val="HTML 样本11"/>
    <w:qFormat/>
    <w:uiPriority w:val="0"/>
    <w:rPr>
      <w:rFonts w:ascii="Courier New" w:hAnsi="Courier New" w:cs="Courier New"/>
    </w:rPr>
  </w:style>
  <w:style w:type="character" w:customStyle="1" w:styleId="3682">
    <w:name w:val="HTML 缩写11"/>
    <w:qFormat/>
    <w:uiPriority w:val="0"/>
  </w:style>
  <w:style w:type="character" w:customStyle="1" w:styleId="3683">
    <w:name w:val="Char1 Char Char2"/>
    <w:qFormat/>
    <w:uiPriority w:val="0"/>
    <w:rPr>
      <w:kern w:val="2"/>
      <w:sz w:val="21"/>
      <w:szCs w:val="24"/>
    </w:rPr>
  </w:style>
  <w:style w:type="character" w:customStyle="1" w:styleId="3684">
    <w:name w:val="HTML 代码11"/>
    <w:qFormat/>
    <w:uiPriority w:val="0"/>
    <w:rPr>
      <w:rFonts w:ascii="Courier New" w:hAnsi="Courier New" w:cs="Courier New"/>
      <w:sz w:val="20"/>
      <w:szCs w:val="20"/>
    </w:rPr>
  </w:style>
  <w:style w:type="paragraph" w:customStyle="1" w:styleId="3685">
    <w:name w:val="列表编号 411"/>
    <w:basedOn w:val="1"/>
    <w:qFormat/>
    <w:uiPriority w:val="0"/>
    <w:pPr>
      <w:tabs>
        <w:tab w:val="left" w:pos="1200"/>
        <w:tab w:val="left" w:pos="1620"/>
      </w:tabs>
      <w:ind w:left="1200" w:leftChars="400" w:hanging="360" w:hangingChars="200"/>
    </w:pPr>
  </w:style>
  <w:style w:type="paragraph" w:customStyle="1" w:styleId="3686">
    <w:name w:val="HTML 地址11"/>
    <w:basedOn w:val="1"/>
    <w:qFormat/>
    <w:uiPriority w:val="0"/>
    <w:rPr>
      <w:i/>
      <w:iCs/>
    </w:rPr>
  </w:style>
  <w:style w:type="paragraph" w:customStyle="1" w:styleId="3687">
    <w:name w:val="HTML 预设格式1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customStyle="1" w:styleId="3688">
    <w:name w:val="Char Char Char1 Char Char Char Char Char Char Char Char Char Char Char Char Char11"/>
    <w:basedOn w:val="1"/>
    <w:next w:val="1"/>
    <w:qFormat/>
    <w:uiPriority w:val="0"/>
    <w:pPr>
      <w:spacing w:line="360" w:lineRule="auto"/>
      <w:ind w:left="-84" w:leftChars="-30" w:right="-76" w:rightChars="-27" w:firstLine="560" w:firstLineChars="200"/>
      <w:jc w:val="left"/>
    </w:pPr>
    <w:rPr>
      <w:rFonts w:ascii="Arial" w:hAnsi="Arial" w:cs="Arial"/>
      <w:sz w:val="28"/>
      <w:szCs w:val="28"/>
    </w:rPr>
  </w:style>
  <w:style w:type="paragraph" w:customStyle="1" w:styleId="3689">
    <w:name w:val="Char91"/>
    <w:basedOn w:val="1"/>
    <w:qFormat/>
    <w:uiPriority w:val="0"/>
    <w:rPr>
      <w:sz w:val="24"/>
      <w:szCs w:val="20"/>
    </w:rPr>
  </w:style>
  <w:style w:type="paragraph" w:customStyle="1" w:styleId="3690">
    <w:name w:val="索引标题11"/>
    <w:basedOn w:val="1"/>
    <w:qFormat/>
    <w:uiPriority w:val="0"/>
    <w:pPr>
      <w:adjustRightInd w:val="0"/>
      <w:spacing w:line="460" w:lineRule="exact"/>
      <w:ind w:firstLine="510"/>
      <w:jc w:val="left"/>
      <w:textAlignment w:val="baseline"/>
    </w:pPr>
    <w:rPr>
      <w:kern w:val="0"/>
      <w:sz w:val="24"/>
    </w:rPr>
  </w:style>
  <w:style w:type="paragraph" w:customStyle="1" w:styleId="3691">
    <w:name w:val="索引 111"/>
    <w:basedOn w:val="1"/>
    <w:next w:val="1"/>
    <w:qFormat/>
    <w:uiPriority w:val="0"/>
    <w:pPr>
      <w:jc w:val="center"/>
    </w:pPr>
  </w:style>
  <w:style w:type="paragraph" w:customStyle="1" w:styleId="3692">
    <w:name w:val="Char Char23 Char Char1"/>
    <w:basedOn w:val="1"/>
    <w:qFormat/>
    <w:uiPriority w:val="0"/>
    <w:rPr>
      <w:rFonts w:ascii="宋体" w:hAnsi="宋体" w:cs="宋体"/>
      <w:sz w:val="24"/>
    </w:rPr>
  </w:style>
  <w:style w:type="paragraph" w:customStyle="1" w:styleId="3693">
    <w:name w:val="索引 911"/>
    <w:basedOn w:val="1"/>
    <w:next w:val="1"/>
    <w:qFormat/>
    <w:uiPriority w:val="0"/>
    <w:pPr>
      <w:ind w:left="1600" w:leftChars="1600"/>
    </w:pPr>
    <w:rPr>
      <w:rFonts w:ascii="仿宋_GB2312" w:eastAsia="仿宋_GB2312"/>
      <w:kern w:val="30"/>
      <w:sz w:val="30"/>
      <w:szCs w:val="30"/>
    </w:rPr>
  </w:style>
  <w:style w:type="paragraph" w:customStyle="1" w:styleId="3694">
    <w:name w:val="列表编号 311"/>
    <w:basedOn w:val="1"/>
    <w:qFormat/>
    <w:uiPriority w:val="0"/>
    <w:pPr>
      <w:tabs>
        <w:tab w:val="left" w:pos="1200"/>
      </w:tabs>
      <w:ind w:left="1200" w:leftChars="400" w:hanging="360" w:hangingChars="200"/>
    </w:pPr>
  </w:style>
  <w:style w:type="paragraph" w:customStyle="1" w:styleId="3695">
    <w:name w:val="图表目录11"/>
    <w:basedOn w:val="1"/>
    <w:next w:val="1"/>
    <w:qFormat/>
    <w:uiPriority w:val="0"/>
    <w:pPr>
      <w:tabs>
        <w:tab w:val="left" w:pos="510"/>
      </w:tabs>
      <w:adjustRightInd w:val="0"/>
      <w:spacing w:line="240" w:lineRule="atLeast"/>
      <w:jc w:val="left"/>
      <w:textAlignment w:val="baseline"/>
    </w:pPr>
    <w:rPr>
      <w:kern w:val="0"/>
      <w:sz w:val="24"/>
      <w:szCs w:val="20"/>
    </w:rPr>
  </w:style>
  <w:style w:type="paragraph" w:customStyle="1" w:styleId="3696">
    <w:name w:val="列表接续 411"/>
    <w:basedOn w:val="1"/>
    <w:qFormat/>
    <w:uiPriority w:val="0"/>
    <w:pPr>
      <w:spacing w:after="120"/>
      <w:ind w:left="1680" w:leftChars="800"/>
    </w:pPr>
  </w:style>
  <w:style w:type="paragraph" w:customStyle="1" w:styleId="3697">
    <w:name w:val="结束语11"/>
    <w:basedOn w:val="1"/>
    <w:qFormat/>
    <w:uiPriority w:val="0"/>
    <w:pPr>
      <w:ind w:left="100" w:leftChars="2100"/>
    </w:pPr>
  </w:style>
  <w:style w:type="paragraph" w:customStyle="1" w:styleId="3698">
    <w:name w:val="引文目录标题11"/>
    <w:basedOn w:val="1"/>
    <w:next w:val="1"/>
    <w:qFormat/>
    <w:uiPriority w:val="0"/>
    <w:pPr>
      <w:spacing w:before="120"/>
    </w:pPr>
    <w:rPr>
      <w:rFonts w:ascii="Arial" w:hAnsi="Arial" w:cs="Arial"/>
      <w:sz w:val="24"/>
    </w:rPr>
  </w:style>
  <w:style w:type="paragraph" w:customStyle="1" w:styleId="3699">
    <w:name w:val="列表编号 511"/>
    <w:basedOn w:val="1"/>
    <w:qFormat/>
    <w:uiPriority w:val="0"/>
    <w:pPr>
      <w:tabs>
        <w:tab w:val="left" w:pos="425"/>
        <w:tab w:val="left" w:pos="2040"/>
      </w:tabs>
      <w:ind w:left="425" w:hanging="425"/>
    </w:pPr>
  </w:style>
  <w:style w:type="paragraph" w:customStyle="1" w:styleId="3700">
    <w:name w:val="正文首行缩进 211"/>
    <w:qFormat/>
    <w:uiPriority w:val="0"/>
    <w:pPr>
      <w:ind w:firstLine="420" w:firstLineChars="200"/>
    </w:pPr>
    <w:rPr>
      <w:rFonts w:ascii="Times New Roman" w:hAnsi="Times New Roman" w:eastAsia="宋体" w:cs="Times New Roman"/>
      <w:lang w:val="en-US" w:eastAsia="zh-CN" w:bidi="ar-SA"/>
    </w:rPr>
  </w:style>
  <w:style w:type="paragraph" w:customStyle="1" w:styleId="3701">
    <w:name w:val="正文文本缩进11"/>
    <w:basedOn w:val="1"/>
    <w:qFormat/>
    <w:uiPriority w:val="0"/>
    <w:pPr>
      <w:spacing w:after="120"/>
      <w:ind w:left="420" w:leftChars="200"/>
    </w:pPr>
  </w:style>
  <w:style w:type="paragraph" w:customStyle="1" w:styleId="3702">
    <w:name w:val="Char Char23 Char Char Char Char Char Char Char Char Char Char Char Char Char Char Char Char Char Char Char Char Char Char1"/>
    <w:basedOn w:val="1"/>
    <w:qFormat/>
    <w:uiPriority w:val="0"/>
    <w:rPr>
      <w:rFonts w:ascii="宋体" w:hAnsi="宋体" w:cs="宋体"/>
      <w:sz w:val="24"/>
    </w:rPr>
  </w:style>
  <w:style w:type="paragraph" w:customStyle="1" w:styleId="3703">
    <w:name w:val="索引 511"/>
    <w:basedOn w:val="1"/>
    <w:next w:val="1"/>
    <w:qFormat/>
    <w:uiPriority w:val="0"/>
    <w:pPr>
      <w:ind w:left="800" w:leftChars="800"/>
    </w:pPr>
    <w:rPr>
      <w:rFonts w:ascii="仿宋_GB2312" w:eastAsia="仿宋_GB2312"/>
      <w:kern w:val="30"/>
      <w:sz w:val="30"/>
      <w:szCs w:val="20"/>
    </w:rPr>
  </w:style>
  <w:style w:type="paragraph" w:customStyle="1" w:styleId="3704">
    <w:name w:val="Char Char23 Char Char Char Char Char Char Char Char Char Char Char Char Char Char Char Char1"/>
    <w:basedOn w:val="1"/>
    <w:qFormat/>
    <w:uiPriority w:val="0"/>
    <w:rPr>
      <w:rFonts w:ascii="宋体" w:hAnsi="宋体" w:cs="宋体"/>
      <w:sz w:val="24"/>
    </w:rPr>
  </w:style>
  <w:style w:type="paragraph" w:customStyle="1" w:styleId="3705">
    <w:name w:val="Char Char23 Char Char Char Char Char Char Char Char1"/>
    <w:basedOn w:val="1"/>
    <w:qFormat/>
    <w:uiPriority w:val="0"/>
    <w:rPr>
      <w:rFonts w:ascii="宋体" w:hAnsi="宋体" w:cs="宋体"/>
      <w:sz w:val="24"/>
    </w:rPr>
  </w:style>
  <w:style w:type="paragraph" w:customStyle="1" w:styleId="3706">
    <w:name w:val="列表 311"/>
    <w:basedOn w:val="1"/>
    <w:qFormat/>
    <w:uiPriority w:val="0"/>
    <w:pPr>
      <w:ind w:left="1260" w:hanging="420"/>
    </w:pPr>
    <w:rPr>
      <w:sz w:val="28"/>
      <w:szCs w:val="20"/>
    </w:rPr>
  </w:style>
  <w:style w:type="paragraph" w:customStyle="1" w:styleId="3707">
    <w:name w:val="列表 211"/>
    <w:basedOn w:val="1"/>
    <w:qFormat/>
    <w:uiPriority w:val="0"/>
    <w:pPr>
      <w:ind w:left="100" w:leftChars="200" w:hanging="200" w:hangingChars="200"/>
      <w:contextualSpacing/>
    </w:pPr>
    <w:rPr>
      <w:szCs w:val="20"/>
    </w:rPr>
  </w:style>
  <w:style w:type="paragraph" w:customStyle="1" w:styleId="3708">
    <w:name w:val="Char Char18 Char Char Char Char1"/>
    <w:basedOn w:val="1"/>
    <w:qFormat/>
    <w:uiPriority w:val="0"/>
    <w:pPr>
      <w:spacing w:line="420" w:lineRule="exact"/>
      <w:ind w:left="200" w:leftChars="200" w:right="100" w:rightChars="100" w:firstLine="200" w:firstLineChars="200"/>
    </w:pPr>
    <w:rPr>
      <w:rFonts w:ascii="宋体"/>
      <w:sz w:val="28"/>
      <w:szCs w:val="28"/>
    </w:rPr>
  </w:style>
  <w:style w:type="paragraph" w:customStyle="1" w:styleId="3709">
    <w:name w:val="Char Char1 Char Char Char Char1"/>
    <w:basedOn w:val="1"/>
    <w:next w:val="1"/>
    <w:qFormat/>
    <w:uiPriority w:val="0"/>
    <w:pPr>
      <w:spacing w:line="360" w:lineRule="auto"/>
      <w:ind w:firstLine="200" w:firstLineChars="200"/>
      <w:jc w:val="left"/>
    </w:pPr>
    <w:rPr>
      <w:sz w:val="24"/>
    </w:rPr>
  </w:style>
  <w:style w:type="paragraph" w:customStyle="1" w:styleId="3710">
    <w:name w:val="索引 411"/>
    <w:basedOn w:val="1"/>
    <w:next w:val="1"/>
    <w:qFormat/>
    <w:uiPriority w:val="0"/>
    <w:pPr>
      <w:ind w:left="600" w:leftChars="600"/>
    </w:pPr>
    <w:rPr>
      <w:szCs w:val="20"/>
    </w:rPr>
  </w:style>
  <w:style w:type="paragraph" w:customStyle="1" w:styleId="3711">
    <w:name w:val="列表编号 211"/>
    <w:basedOn w:val="1"/>
    <w:qFormat/>
    <w:uiPriority w:val="0"/>
    <w:pPr>
      <w:tabs>
        <w:tab w:val="left" w:pos="780"/>
        <w:tab w:val="left" w:pos="1620"/>
      </w:tabs>
      <w:ind w:left="1620" w:leftChars="600" w:hanging="360" w:hangingChars="200"/>
    </w:pPr>
  </w:style>
  <w:style w:type="paragraph" w:customStyle="1" w:styleId="3712">
    <w:name w:val="收信人地址11"/>
    <w:basedOn w:val="1"/>
    <w:qFormat/>
    <w:uiPriority w:val="0"/>
    <w:pPr>
      <w:snapToGrid w:val="0"/>
      <w:ind w:left="100" w:leftChars="1400"/>
    </w:pPr>
    <w:rPr>
      <w:rFonts w:ascii="Arial" w:hAnsi="Arial" w:cs="Arial"/>
    </w:rPr>
  </w:style>
  <w:style w:type="paragraph" w:customStyle="1" w:styleId="3713">
    <w:name w:val="列表 511"/>
    <w:basedOn w:val="1"/>
    <w:qFormat/>
    <w:uiPriority w:val="0"/>
    <w:pPr>
      <w:ind w:left="100" w:leftChars="800" w:hanging="200" w:hangingChars="200"/>
    </w:pPr>
  </w:style>
  <w:style w:type="paragraph" w:customStyle="1" w:styleId="3714">
    <w:name w:val="签名11"/>
    <w:basedOn w:val="1"/>
    <w:qFormat/>
    <w:uiPriority w:val="0"/>
    <w:pPr>
      <w:ind w:left="100" w:leftChars="2100"/>
    </w:pPr>
  </w:style>
  <w:style w:type="paragraph" w:customStyle="1" w:styleId="3715">
    <w:name w:val="列表31"/>
    <w:basedOn w:val="1"/>
    <w:qFormat/>
    <w:uiPriority w:val="0"/>
    <w:pPr>
      <w:ind w:left="420" w:hanging="420"/>
    </w:pPr>
    <w:rPr>
      <w:szCs w:val="20"/>
    </w:rPr>
  </w:style>
  <w:style w:type="paragraph" w:customStyle="1" w:styleId="3716">
    <w:name w:val="列表接续11"/>
    <w:basedOn w:val="1"/>
    <w:qFormat/>
    <w:uiPriority w:val="0"/>
    <w:pPr>
      <w:spacing w:after="120"/>
      <w:ind w:left="420" w:leftChars="200"/>
    </w:pPr>
  </w:style>
  <w:style w:type="paragraph" w:customStyle="1" w:styleId="3717">
    <w:name w:val="寄信人地址11"/>
    <w:basedOn w:val="1"/>
    <w:qFormat/>
    <w:uiPriority w:val="0"/>
    <w:pPr>
      <w:snapToGrid w:val="0"/>
    </w:pPr>
    <w:rPr>
      <w:rFonts w:ascii="Arial" w:hAnsi="Arial" w:cs="Arial"/>
    </w:rPr>
  </w:style>
  <w:style w:type="paragraph" w:customStyle="1" w:styleId="3718">
    <w:name w:val="索引 611"/>
    <w:basedOn w:val="1"/>
    <w:next w:val="1"/>
    <w:qFormat/>
    <w:uiPriority w:val="0"/>
    <w:pPr>
      <w:ind w:left="1000" w:leftChars="1000"/>
    </w:pPr>
    <w:rPr>
      <w:rFonts w:ascii="仿宋_GB2312" w:eastAsia="仿宋_GB2312"/>
      <w:kern w:val="30"/>
      <w:sz w:val="30"/>
      <w:szCs w:val="20"/>
    </w:rPr>
  </w:style>
  <w:style w:type="paragraph" w:customStyle="1" w:styleId="3719">
    <w:name w:val="Char Char Char1 Char Char Char1"/>
    <w:basedOn w:val="5"/>
    <w:qFormat/>
    <w:uiPriority w:val="0"/>
    <w:pPr>
      <w:tabs>
        <w:tab w:val="left" w:pos="360"/>
        <w:tab w:val="left" w:pos="786"/>
        <w:tab w:val="left" w:pos="900"/>
      </w:tabs>
      <w:snapToGrid w:val="0"/>
      <w:spacing w:before="120" w:after="120" w:line="360" w:lineRule="auto"/>
      <w:ind w:left="542" w:leftChars="-12" w:firstLine="200" w:firstLineChars="200"/>
    </w:pPr>
    <w:rPr>
      <w:rFonts w:ascii="Verdana" w:hAnsi="Verdana"/>
      <w:b w:val="0"/>
      <w:bCs w:val="0"/>
      <w:kern w:val="0"/>
      <w:sz w:val="20"/>
      <w:szCs w:val="24"/>
      <w:lang w:eastAsia="en-US"/>
    </w:rPr>
  </w:style>
  <w:style w:type="paragraph" w:customStyle="1" w:styleId="3720">
    <w:name w:val="Char Char23 Char Char Char Char Char Char Char Char Char Char Char Char Char Char Char Char Char Char1"/>
    <w:basedOn w:val="1"/>
    <w:qFormat/>
    <w:uiPriority w:val="0"/>
    <w:rPr>
      <w:rFonts w:ascii="宋体" w:hAnsi="宋体" w:cs="宋体"/>
      <w:sz w:val="24"/>
    </w:rPr>
  </w:style>
  <w:style w:type="paragraph" w:customStyle="1" w:styleId="3721">
    <w:name w:val="Char Char23 Char Char Char Char Char Char Char Char Char Char Char Char Char Char Char Char Char Char Char Char Char Char Char Char1"/>
    <w:basedOn w:val="1"/>
    <w:qFormat/>
    <w:uiPriority w:val="0"/>
    <w:rPr>
      <w:rFonts w:ascii="宋体" w:hAnsi="宋体" w:cs="宋体"/>
      <w:sz w:val="24"/>
    </w:rPr>
  </w:style>
  <w:style w:type="paragraph" w:customStyle="1" w:styleId="3722">
    <w:name w:val="Char Char Знак Знак1"/>
    <w:basedOn w:val="1"/>
    <w:qFormat/>
    <w:uiPriority w:val="0"/>
    <w:pPr>
      <w:widowControl/>
      <w:spacing w:after="160" w:line="240" w:lineRule="exact"/>
      <w:jc w:val="left"/>
    </w:pPr>
    <w:rPr>
      <w:b/>
      <w:kern w:val="0"/>
      <w:sz w:val="28"/>
      <w:lang w:eastAsia="en-US"/>
    </w:rPr>
  </w:style>
  <w:style w:type="paragraph" w:customStyle="1" w:styleId="3723">
    <w:name w:val="Char Char1 Char Char Char Char Char Char1 Char Char Char Char1"/>
    <w:basedOn w:val="1"/>
    <w:qFormat/>
    <w:uiPriority w:val="0"/>
    <w:rPr>
      <w:szCs w:val="21"/>
    </w:rPr>
  </w:style>
  <w:style w:type="paragraph" w:customStyle="1" w:styleId="3724">
    <w:name w:val="Char Char Char Char Char Char Char Char Char Char Char Char Char Char Char Char Char Char Char1"/>
    <w:basedOn w:val="1"/>
    <w:qFormat/>
    <w:uiPriority w:val="0"/>
  </w:style>
  <w:style w:type="paragraph" w:customStyle="1" w:styleId="3725">
    <w:name w:val="Char Char1 Char Char Char Char Char Char Char1"/>
    <w:basedOn w:val="1"/>
    <w:qFormat/>
    <w:uiPriority w:val="0"/>
  </w:style>
  <w:style w:type="paragraph" w:customStyle="1" w:styleId="3726">
    <w:name w:val="Char Char Char Char Char Char Char Char Char Char Char Char Char Char Char Char1"/>
    <w:basedOn w:val="1"/>
    <w:qFormat/>
    <w:uiPriority w:val="0"/>
    <w:rPr>
      <w:rFonts w:ascii="宋体" w:hAnsi="宋体" w:cs="宋体"/>
      <w:sz w:val="24"/>
    </w:rPr>
  </w:style>
  <w:style w:type="paragraph" w:customStyle="1" w:styleId="3727">
    <w:name w:val="列表接续 211"/>
    <w:basedOn w:val="1"/>
    <w:qFormat/>
    <w:uiPriority w:val="0"/>
    <w:pPr>
      <w:spacing w:after="120"/>
      <w:ind w:left="840" w:leftChars="400"/>
    </w:pPr>
  </w:style>
  <w:style w:type="paragraph" w:customStyle="1" w:styleId="3728">
    <w:name w:val="正文首行缩进11"/>
    <w:basedOn w:val="34"/>
    <w:qFormat/>
    <w:uiPriority w:val="0"/>
    <w:pPr>
      <w:adjustRightInd w:val="0"/>
      <w:spacing w:line="312" w:lineRule="atLeast"/>
      <w:ind w:firstLine="420"/>
      <w:textAlignment w:val="baseline"/>
    </w:pPr>
    <w:rPr>
      <w:kern w:val="0"/>
      <w:sz w:val="24"/>
      <w:szCs w:val="20"/>
    </w:rPr>
  </w:style>
  <w:style w:type="paragraph" w:customStyle="1" w:styleId="3729">
    <w:name w:val="Char Char231"/>
    <w:basedOn w:val="1"/>
    <w:qFormat/>
    <w:uiPriority w:val="0"/>
    <w:rPr>
      <w:rFonts w:ascii="宋体" w:hAnsi="宋体" w:cs="宋体"/>
      <w:sz w:val="24"/>
    </w:rPr>
  </w:style>
  <w:style w:type="paragraph" w:customStyle="1" w:styleId="3730">
    <w:name w:val="Char Char28 Char Char11"/>
    <w:basedOn w:val="1"/>
    <w:qFormat/>
    <w:uiPriority w:val="0"/>
    <w:pPr>
      <w:spacing w:before="300" w:after="300" w:line="560" w:lineRule="exact"/>
    </w:pPr>
    <w:rPr>
      <w:rFonts w:eastAsia="黑体"/>
      <w:sz w:val="36"/>
      <w:szCs w:val="36"/>
    </w:rPr>
  </w:style>
  <w:style w:type="paragraph" w:customStyle="1" w:styleId="3731">
    <w:name w:val="无间隔11"/>
    <w:qFormat/>
    <w:uiPriority w:val="0"/>
    <w:pPr>
      <w:spacing w:line="360" w:lineRule="auto"/>
    </w:pPr>
    <w:rPr>
      <w:rFonts w:ascii="Calibri" w:hAnsi="Calibri" w:eastAsia="宋体" w:cs="Times New Roman"/>
      <w:sz w:val="22"/>
      <w:lang w:val="en-US" w:eastAsia="zh-CN" w:bidi="ar-SA"/>
    </w:rPr>
  </w:style>
  <w:style w:type="paragraph" w:customStyle="1" w:styleId="3732">
    <w:name w:val="文档结构图11"/>
    <w:basedOn w:val="1"/>
    <w:qFormat/>
    <w:uiPriority w:val="0"/>
    <w:pPr>
      <w:shd w:val="clear" w:color="auto" w:fill="000080"/>
    </w:pPr>
    <w:rPr>
      <w:rFonts w:eastAsia="Times New Roman"/>
      <w:szCs w:val="20"/>
      <w:shd w:val="clear" w:color="auto" w:fill="000080"/>
    </w:rPr>
  </w:style>
  <w:style w:type="paragraph" w:customStyle="1" w:styleId="3733">
    <w:name w:val="注释标题11"/>
    <w:basedOn w:val="1"/>
    <w:next w:val="1"/>
    <w:qFormat/>
    <w:uiPriority w:val="0"/>
    <w:pPr>
      <w:jc w:val="center"/>
    </w:pPr>
    <w:rPr>
      <w:kern w:val="0"/>
      <w:sz w:val="20"/>
    </w:rPr>
  </w:style>
  <w:style w:type="paragraph" w:customStyle="1" w:styleId="3734">
    <w:name w:val="批注主题11"/>
    <w:basedOn w:val="28"/>
    <w:next w:val="28"/>
    <w:qFormat/>
    <w:uiPriority w:val="0"/>
    <w:rPr>
      <w:b/>
      <w:bCs/>
      <w:kern w:val="0"/>
      <w:sz w:val="24"/>
      <w:szCs w:val="20"/>
    </w:rPr>
  </w:style>
  <w:style w:type="paragraph" w:customStyle="1" w:styleId="3735">
    <w:name w:val="TOC 标题11"/>
    <w:basedOn w:val="3"/>
    <w:next w:val="1"/>
    <w:qFormat/>
    <w:uiPriority w:val="0"/>
    <w:pPr>
      <w:keepNext/>
      <w:keepLines/>
      <w:widowControl/>
      <w:tabs>
        <w:tab w:val="left" w:pos="432"/>
        <w:tab w:val="left" w:pos="786"/>
      </w:tabs>
      <w:adjustRightInd/>
      <w:snapToGrid/>
      <w:spacing w:before="480" w:line="276" w:lineRule="auto"/>
      <w:jc w:val="left"/>
      <w:outlineLvl w:val="9"/>
    </w:pPr>
    <w:rPr>
      <w:rFonts w:ascii="Cambria" w:hAnsi="Cambria"/>
      <w:color w:val="365F91"/>
      <w:kern w:val="0"/>
      <w:sz w:val="28"/>
      <w:szCs w:val="28"/>
    </w:rPr>
  </w:style>
  <w:style w:type="paragraph" w:customStyle="1" w:styleId="3736">
    <w:name w:val="正文文本 311"/>
    <w:basedOn w:val="1"/>
    <w:qFormat/>
    <w:uiPriority w:val="0"/>
    <w:pPr>
      <w:adjustRightInd w:val="0"/>
      <w:spacing w:after="120" w:line="460" w:lineRule="exact"/>
      <w:ind w:firstLine="510"/>
      <w:jc w:val="left"/>
      <w:textAlignment w:val="baseline"/>
    </w:pPr>
    <w:rPr>
      <w:kern w:val="0"/>
      <w:sz w:val="16"/>
      <w:szCs w:val="16"/>
    </w:rPr>
  </w:style>
  <w:style w:type="paragraph" w:customStyle="1" w:styleId="3737">
    <w:name w:val="信息标题11"/>
    <w:basedOn w:val="34"/>
    <w:qFormat/>
    <w:uiPriority w:val="0"/>
    <w:pPr>
      <w:keepLines/>
      <w:widowControl/>
      <w:tabs>
        <w:tab w:val="left" w:pos="720"/>
        <w:tab w:val="left" w:pos="4320"/>
        <w:tab w:val="left" w:pos="5040"/>
        <w:tab w:val="right" w:pos="8640"/>
      </w:tabs>
      <w:spacing w:after="40" w:line="440" w:lineRule="atLeast"/>
      <w:ind w:left="720" w:hanging="720"/>
      <w:jc w:val="left"/>
    </w:pPr>
    <w:rPr>
      <w:rFonts w:ascii="Arial" w:hAnsi="Arial"/>
      <w:spacing w:val="-5"/>
      <w:kern w:val="0"/>
      <w:sz w:val="20"/>
      <w:szCs w:val="20"/>
    </w:rPr>
  </w:style>
  <w:style w:type="paragraph" w:customStyle="1" w:styleId="3738">
    <w:name w:val="列表接续 311"/>
    <w:basedOn w:val="1"/>
    <w:qFormat/>
    <w:uiPriority w:val="0"/>
    <w:pPr>
      <w:spacing w:after="120"/>
      <w:ind w:left="1260"/>
    </w:pPr>
    <w:rPr>
      <w:sz w:val="28"/>
      <w:szCs w:val="20"/>
    </w:rPr>
  </w:style>
  <w:style w:type="paragraph" w:customStyle="1" w:styleId="3739">
    <w:name w:val="普通(网站)11"/>
    <w:basedOn w:val="1"/>
    <w:qFormat/>
    <w:uiPriority w:val="0"/>
    <w:pPr>
      <w:widowControl/>
      <w:spacing w:before="100" w:beforeAutospacing="1" w:after="100" w:afterAutospacing="1"/>
      <w:jc w:val="left"/>
    </w:pPr>
    <w:rPr>
      <w:rFonts w:ascii="宋体" w:hAnsi="宋体" w:cs="宋体"/>
      <w:kern w:val="0"/>
      <w:sz w:val="24"/>
    </w:rPr>
  </w:style>
  <w:style w:type="paragraph" w:customStyle="1" w:styleId="3740">
    <w:name w:val="列表 411"/>
    <w:basedOn w:val="1"/>
    <w:qFormat/>
    <w:uiPriority w:val="0"/>
    <w:pPr>
      <w:spacing w:beforeLines="15" w:afterLines="15"/>
      <w:ind w:left="1680" w:hanging="420" w:firstLineChars="200"/>
      <w:jc w:val="left"/>
      <w:textAlignment w:val="baseline"/>
    </w:pPr>
    <w:rPr>
      <w:kern w:val="0"/>
      <w:sz w:val="28"/>
      <w:szCs w:val="20"/>
    </w:rPr>
  </w:style>
  <w:style w:type="paragraph" w:customStyle="1" w:styleId="3741">
    <w:name w:val="修订21"/>
    <w:qFormat/>
    <w:uiPriority w:val="0"/>
    <w:rPr>
      <w:rFonts w:ascii="Times New Roman" w:hAnsi="Times New Roman" w:eastAsia="宋体" w:cs="Times New Roman"/>
      <w:sz w:val="24"/>
      <w:lang w:val="en-US" w:eastAsia="zh-CN" w:bidi="ar-SA"/>
    </w:rPr>
  </w:style>
  <w:style w:type="paragraph" w:customStyle="1" w:styleId="3742">
    <w:name w:val="正文41"/>
    <w:qFormat/>
    <w:uiPriority w:val="0"/>
    <w:pPr>
      <w:widowControl w:val="0"/>
      <w:adjustRightInd w:val="0"/>
      <w:spacing w:line="360" w:lineRule="auto"/>
      <w:jc w:val="center"/>
      <w:textAlignment w:val="baseline"/>
    </w:pPr>
    <w:rPr>
      <w:rFonts w:ascii="Times New Roman" w:hAnsi="Times New Roman" w:eastAsia="仿宋_GB2312" w:cs="Times New Roman"/>
      <w:sz w:val="28"/>
      <w:lang w:val="en-US" w:eastAsia="zh-CN" w:bidi="ar-SA"/>
    </w:rPr>
  </w:style>
  <w:style w:type="paragraph" w:customStyle="1" w:styleId="3743">
    <w:name w:val="文本块11"/>
    <w:basedOn w:val="1"/>
    <w:qFormat/>
    <w:uiPriority w:val="0"/>
    <w:pPr>
      <w:ind w:left="113" w:right="113"/>
      <w:jc w:val="center"/>
    </w:pPr>
    <w:rPr>
      <w:b/>
      <w:bCs/>
      <w:sz w:val="18"/>
    </w:rPr>
  </w:style>
  <w:style w:type="paragraph" w:customStyle="1" w:styleId="3744">
    <w:name w:val="索引 711"/>
    <w:basedOn w:val="1"/>
    <w:next w:val="1"/>
    <w:qFormat/>
    <w:uiPriority w:val="0"/>
    <w:pPr>
      <w:ind w:left="1200" w:leftChars="1200"/>
    </w:pPr>
    <w:rPr>
      <w:rFonts w:ascii="仿宋_GB2312" w:eastAsia="仿宋_GB2312"/>
      <w:kern w:val="30"/>
      <w:sz w:val="30"/>
      <w:szCs w:val="20"/>
    </w:rPr>
  </w:style>
  <w:style w:type="paragraph" w:customStyle="1" w:styleId="3745">
    <w:name w:val="索引 311"/>
    <w:basedOn w:val="1"/>
    <w:next w:val="1"/>
    <w:qFormat/>
    <w:uiPriority w:val="0"/>
    <w:pPr>
      <w:ind w:left="400" w:leftChars="400"/>
    </w:pPr>
    <w:rPr>
      <w:rFonts w:ascii="仿宋_GB2312" w:eastAsia="仿宋_GB2312"/>
      <w:kern w:val="30"/>
      <w:sz w:val="30"/>
      <w:szCs w:val="20"/>
    </w:rPr>
  </w:style>
  <w:style w:type="paragraph" w:customStyle="1" w:styleId="3746">
    <w:name w:val="引文目录11"/>
    <w:basedOn w:val="1"/>
    <w:next w:val="1"/>
    <w:qFormat/>
    <w:uiPriority w:val="0"/>
    <w:pPr>
      <w:ind w:left="420" w:leftChars="200"/>
    </w:pPr>
    <w:rPr>
      <w:szCs w:val="20"/>
    </w:rPr>
  </w:style>
  <w:style w:type="paragraph" w:customStyle="1" w:styleId="3747">
    <w:name w:val="索引 211"/>
    <w:basedOn w:val="1"/>
    <w:next w:val="1"/>
    <w:qFormat/>
    <w:uiPriority w:val="0"/>
    <w:pPr>
      <w:ind w:left="200" w:leftChars="200"/>
    </w:pPr>
    <w:rPr>
      <w:rFonts w:ascii="仿宋_GB2312" w:eastAsia="仿宋_GB2312"/>
      <w:kern w:val="30"/>
      <w:sz w:val="30"/>
      <w:szCs w:val="20"/>
    </w:rPr>
  </w:style>
  <w:style w:type="paragraph" w:customStyle="1" w:styleId="3748">
    <w:name w:val="Char Char23 Char Char Char Char Char Char Char Char Char Char Char Char Char Char Char Char Char Char Char Char1"/>
    <w:basedOn w:val="1"/>
    <w:qFormat/>
    <w:uiPriority w:val="0"/>
    <w:rPr>
      <w:rFonts w:ascii="宋体" w:hAnsi="宋体" w:cs="宋体"/>
      <w:sz w:val="24"/>
    </w:rPr>
  </w:style>
  <w:style w:type="paragraph" w:customStyle="1" w:styleId="3749">
    <w:name w:val="列表接续 511"/>
    <w:basedOn w:val="1"/>
    <w:qFormat/>
    <w:uiPriority w:val="0"/>
    <w:pPr>
      <w:spacing w:after="120"/>
      <w:ind w:left="2100" w:leftChars="1000"/>
    </w:pPr>
  </w:style>
  <w:style w:type="paragraph" w:customStyle="1" w:styleId="3750">
    <w:name w:val="索引 811"/>
    <w:basedOn w:val="1"/>
    <w:next w:val="1"/>
    <w:qFormat/>
    <w:uiPriority w:val="0"/>
    <w:pPr>
      <w:ind w:left="1400" w:leftChars="1400"/>
    </w:pPr>
    <w:rPr>
      <w:rFonts w:ascii="仿宋_GB2312" w:eastAsia="仿宋_GB2312"/>
      <w:kern w:val="30"/>
      <w:sz w:val="30"/>
      <w:szCs w:val="30"/>
    </w:rPr>
  </w:style>
  <w:style w:type="paragraph" w:customStyle="1" w:styleId="3751">
    <w:name w:val="称呼11"/>
    <w:basedOn w:val="1"/>
    <w:next w:val="1"/>
    <w:qFormat/>
    <w:uiPriority w:val="0"/>
  </w:style>
  <w:style w:type="paragraph" w:customStyle="1" w:styleId="3752">
    <w:name w:val="电子邮件签名11"/>
    <w:basedOn w:val="1"/>
    <w:qFormat/>
    <w:uiPriority w:val="0"/>
  </w:style>
  <w:style w:type="paragraph" w:customStyle="1" w:styleId="3753">
    <w:name w:val="宏文本11"/>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customStyle="1" w:styleId="3754">
    <w:name w:val="z-窗体底端11"/>
    <w:basedOn w:val="1"/>
    <w:next w:val="1"/>
    <w:qFormat/>
    <w:uiPriority w:val="0"/>
    <w:pPr>
      <w:widowControl/>
      <w:pBdr>
        <w:top w:val="single" w:color="auto" w:sz="6" w:space="1"/>
      </w:pBdr>
      <w:jc w:val="center"/>
    </w:pPr>
    <w:rPr>
      <w:rFonts w:ascii="Arial" w:hAnsi="Arial"/>
      <w:vanish/>
      <w:sz w:val="16"/>
      <w:szCs w:val="16"/>
    </w:rPr>
  </w:style>
  <w:style w:type="paragraph" w:customStyle="1" w:styleId="3755">
    <w:name w:val="z-窗体顶端11"/>
    <w:basedOn w:val="1"/>
    <w:next w:val="1"/>
    <w:qFormat/>
    <w:uiPriority w:val="0"/>
    <w:pPr>
      <w:widowControl/>
      <w:pBdr>
        <w:bottom w:val="single" w:color="auto" w:sz="6" w:space="1"/>
      </w:pBdr>
      <w:jc w:val="center"/>
    </w:pPr>
    <w:rPr>
      <w:rFonts w:ascii="Arial" w:hAnsi="Arial"/>
      <w:vanish/>
      <w:sz w:val="16"/>
      <w:szCs w:val="16"/>
    </w:rPr>
  </w:style>
  <w:style w:type="character" w:customStyle="1" w:styleId="3756">
    <w:name w:val="【图片】 Char Char"/>
    <w:link w:val="3757"/>
    <w:qFormat/>
    <w:uiPriority w:val="0"/>
    <w:rPr>
      <w:rFonts w:ascii="宋体" w:hAnsi="宋体"/>
      <w:sz w:val="24"/>
    </w:rPr>
  </w:style>
  <w:style w:type="paragraph" w:customStyle="1" w:styleId="3757">
    <w:name w:val="【图片】"/>
    <w:next w:val="3553"/>
    <w:link w:val="3756"/>
    <w:uiPriority w:val="0"/>
    <w:pPr>
      <w:jc w:val="center"/>
    </w:pPr>
    <w:rPr>
      <w:rFonts w:ascii="宋体" w:hAnsi="宋体" w:eastAsia="宋体" w:cs="Times New Roman"/>
      <w:sz w:val="24"/>
      <w:lang w:val="en-US" w:eastAsia="zh-CN" w:bidi="ar-SA"/>
    </w:rPr>
  </w:style>
  <w:style w:type="character" w:customStyle="1" w:styleId="3758">
    <w:name w:val="Char Char70"/>
    <w:qFormat/>
    <w:uiPriority w:val="0"/>
    <w:rPr>
      <w:rFonts w:ascii="Arial" w:hAnsi="Arial"/>
      <w:b/>
      <w:bCs/>
      <w:sz w:val="24"/>
      <w:szCs w:val="28"/>
    </w:rPr>
  </w:style>
  <w:style w:type="character" w:customStyle="1" w:styleId="3759">
    <w:name w:val="正文＋黑体 Char"/>
    <w:link w:val="3760"/>
    <w:qFormat/>
    <w:uiPriority w:val="0"/>
    <w:rPr>
      <w:rFonts w:ascii="Arial" w:hAnsi="Arial" w:eastAsia="黑体"/>
      <w:sz w:val="24"/>
      <w:szCs w:val="24"/>
    </w:rPr>
  </w:style>
  <w:style w:type="paragraph" w:customStyle="1" w:styleId="3760">
    <w:name w:val="正文＋黑体"/>
    <w:basedOn w:val="1"/>
    <w:link w:val="3759"/>
    <w:qFormat/>
    <w:uiPriority w:val="0"/>
    <w:pPr>
      <w:spacing w:beforeLines="50" w:afterLines="50"/>
      <w:ind w:firstLine="480" w:firstLineChars="200"/>
      <w:jc w:val="left"/>
    </w:pPr>
    <w:rPr>
      <w:rFonts w:ascii="Arial" w:hAnsi="Arial" w:eastAsia="黑体"/>
      <w:kern w:val="0"/>
      <w:sz w:val="24"/>
    </w:rPr>
  </w:style>
  <w:style w:type="character" w:customStyle="1" w:styleId="3761">
    <w:name w:val="【图片】 Char Char Char"/>
    <w:uiPriority w:val="0"/>
    <w:rPr>
      <w:rFonts w:ascii="宋体" w:hAnsi="宋体" w:eastAsia="Times New Roman"/>
      <w:sz w:val="24"/>
    </w:rPr>
  </w:style>
  <w:style w:type="character" w:customStyle="1" w:styleId="3762">
    <w:name w:val="Char Char65"/>
    <w:qFormat/>
    <w:uiPriority w:val="0"/>
    <w:rPr>
      <w:color w:val="000000"/>
      <w:kern w:val="2"/>
      <w:sz w:val="24"/>
      <w:szCs w:val="21"/>
    </w:rPr>
  </w:style>
  <w:style w:type="character" w:customStyle="1" w:styleId="3763">
    <w:name w:val="a-标题5 Char"/>
    <w:link w:val="3764"/>
    <w:qFormat/>
    <w:uiPriority w:val="0"/>
    <w:rPr>
      <w:b/>
      <w:bCs/>
      <w:smallCaps/>
      <w:color w:val="000000"/>
      <w:sz w:val="24"/>
      <w:szCs w:val="24"/>
    </w:rPr>
  </w:style>
  <w:style w:type="paragraph" w:customStyle="1" w:styleId="3764">
    <w:name w:val="a-标题5"/>
    <w:basedOn w:val="6"/>
    <w:link w:val="3763"/>
    <w:qFormat/>
    <w:uiPriority w:val="0"/>
    <w:pPr>
      <w:keepNext w:val="0"/>
      <w:keepLines w:val="0"/>
      <w:widowControl/>
      <w:tabs>
        <w:tab w:val="left" w:pos="360"/>
        <w:tab w:val="left" w:pos="2160"/>
      </w:tabs>
      <w:adjustRightInd w:val="0"/>
      <w:snapToGrid w:val="0"/>
      <w:spacing w:before="0" w:after="0" w:line="360" w:lineRule="auto"/>
      <w:ind w:left="360"/>
      <w:jc w:val="left"/>
      <w:textAlignment w:val="baseline"/>
      <w:outlineLvl w:val="4"/>
    </w:pPr>
    <w:rPr>
      <w:rFonts w:ascii="Times New Roman" w:hAnsi="Times New Roman" w:eastAsia="宋体"/>
      <w:smallCaps/>
      <w:color w:val="000000"/>
      <w:kern w:val="0"/>
      <w:sz w:val="24"/>
      <w:szCs w:val="24"/>
    </w:rPr>
  </w:style>
  <w:style w:type="character" w:customStyle="1" w:styleId="3765">
    <w:name w:val="Char Char74"/>
    <w:qFormat/>
    <w:uiPriority w:val="0"/>
    <w:rPr>
      <w:rFonts w:eastAsia="宋体"/>
      <w:b/>
      <w:color w:val="000000"/>
      <w:kern w:val="44"/>
      <w:sz w:val="30"/>
      <w:szCs w:val="21"/>
      <w:lang w:bidi="ar-SA"/>
    </w:rPr>
  </w:style>
  <w:style w:type="character" w:customStyle="1" w:styleId="3766">
    <w:name w:val="Char Char722"/>
    <w:qFormat/>
    <w:uiPriority w:val="0"/>
    <w:rPr>
      <w:rFonts w:eastAsia="宋体"/>
      <w:b/>
      <w:bCs/>
      <w:kern w:val="2"/>
      <w:sz w:val="24"/>
      <w:szCs w:val="21"/>
      <w:lang w:val="en-US" w:eastAsia="zh-CN" w:bidi="ar-SA"/>
    </w:rPr>
  </w:style>
  <w:style w:type="character" w:customStyle="1" w:styleId="3767">
    <w:name w:val="Char Char69"/>
    <w:qFormat/>
    <w:uiPriority w:val="0"/>
    <w:rPr>
      <w:rFonts w:ascii="Cambria" w:hAnsi="Cambria"/>
      <w:b/>
      <w:bCs/>
      <w:color w:val="000000"/>
      <w:kern w:val="2"/>
      <w:sz w:val="24"/>
      <w:szCs w:val="24"/>
    </w:rPr>
  </w:style>
  <w:style w:type="character" w:customStyle="1" w:styleId="3768">
    <w:name w:val="Char Char66"/>
    <w:qFormat/>
    <w:uiPriority w:val="0"/>
    <w:rPr>
      <w:rFonts w:ascii="Arial" w:hAnsi="Arial" w:eastAsia="黑体"/>
      <w:kern w:val="2"/>
      <w:sz w:val="21"/>
      <w:szCs w:val="21"/>
      <w:lang w:bidi="ar-SA"/>
    </w:rPr>
  </w:style>
  <w:style w:type="character" w:customStyle="1" w:styleId="3769">
    <w:name w:val="Char Char63"/>
    <w:qFormat/>
    <w:uiPriority w:val="0"/>
    <w:rPr>
      <w:rFonts w:ascii="宋体"/>
      <w:kern w:val="2"/>
      <w:sz w:val="18"/>
      <w:szCs w:val="18"/>
    </w:rPr>
  </w:style>
  <w:style w:type="character" w:customStyle="1" w:styleId="3770">
    <w:name w:val="st"/>
    <w:qFormat/>
    <w:uiPriority w:val="0"/>
  </w:style>
  <w:style w:type="character" w:customStyle="1" w:styleId="3771">
    <w:name w:val="preview1"/>
    <w:qFormat/>
    <w:uiPriority w:val="0"/>
    <w:rPr>
      <w:rFonts w:hint="default"/>
      <w:color w:val="003366"/>
      <w:spacing w:val="300"/>
      <w:sz w:val="21"/>
      <w:szCs w:val="21"/>
      <w:u w:val="none"/>
    </w:rPr>
  </w:style>
  <w:style w:type="character" w:customStyle="1" w:styleId="3772">
    <w:name w:val="Char Char67"/>
    <w:qFormat/>
    <w:uiPriority w:val="0"/>
    <w:rPr>
      <w:rFonts w:ascii="Arial" w:hAnsi="Arial" w:eastAsia="黑体"/>
      <w:kern w:val="2"/>
      <w:sz w:val="24"/>
      <w:szCs w:val="24"/>
      <w:lang w:bidi="ar-SA"/>
    </w:rPr>
  </w:style>
  <w:style w:type="character" w:customStyle="1" w:styleId="3773">
    <w:name w:val="Char Char68"/>
    <w:qFormat/>
    <w:uiPriority w:val="0"/>
    <w:rPr>
      <w:rFonts w:eastAsia="宋体"/>
      <w:b/>
      <w:bCs/>
      <w:kern w:val="2"/>
      <w:sz w:val="24"/>
      <w:szCs w:val="24"/>
      <w:lang w:bidi="ar-SA"/>
    </w:rPr>
  </w:style>
  <w:style w:type="character" w:customStyle="1" w:styleId="3774">
    <w:name w:val="Char Char64"/>
    <w:qFormat/>
    <w:uiPriority w:val="0"/>
    <w:rPr>
      <w:rFonts w:eastAsia="宋体"/>
      <w:kern w:val="2"/>
      <w:sz w:val="21"/>
      <w:szCs w:val="24"/>
      <w:lang w:bidi="ar-SA"/>
    </w:rPr>
  </w:style>
  <w:style w:type="character" w:customStyle="1" w:styleId="3775">
    <w:name w:val="Char Char73"/>
    <w:qFormat/>
    <w:uiPriority w:val="0"/>
    <w:rPr>
      <w:rFonts w:eastAsia="宋体"/>
      <w:b/>
      <w:bCs/>
      <w:smallCaps/>
      <w:color w:val="000000"/>
      <w:kern w:val="2"/>
      <w:sz w:val="28"/>
      <w:szCs w:val="28"/>
      <w:lang w:bidi="ar-SA"/>
    </w:rPr>
  </w:style>
  <w:style w:type="character" w:customStyle="1" w:styleId="3776">
    <w:name w:val="Char Char712"/>
    <w:qFormat/>
    <w:uiPriority w:val="0"/>
    <w:rPr>
      <w:b/>
      <w:bCs/>
      <w:smallCaps/>
      <w:color w:val="000000"/>
      <w:kern w:val="2"/>
      <w:sz w:val="24"/>
      <w:szCs w:val="24"/>
      <w:lang w:val="en-US" w:eastAsia="zh-CN" w:bidi="ar-SA"/>
    </w:rPr>
  </w:style>
  <w:style w:type="character" w:customStyle="1" w:styleId="3777">
    <w:name w:val="dxj正文 Char Char"/>
    <w:link w:val="3778"/>
    <w:qFormat/>
    <w:uiPriority w:val="0"/>
    <w:rPr>
      <w:sz w:val="24"/>
      <w:szCs w:val="24"/>
    </w:rPr>
  </w:style>
  <w:style w:type="paragraph" w:customStyle="1" w:styleId="3778">
    <w:name w:val="dxj正文"/>
    <w:basedOn w:val="1"/>
    <w:link w:val="3777"/>
    <w:qFormat/>
    <w:uiPriority w:val="0"/>
    <w:pPr>
      <w:adjustRightInd w:val="0"/>
      <w:snapToGrid w:val="0"/>
      <w:spacing w:line="360" w:lineRule="auto"/>
      <w:ind w:firstLine="200" w:firstLineChars="200"/>
    </w:pPr>
    <w:rPr>
      <w:kern w:val="0"/>
      <w:sz w:val="24"/>
    </w:rPr>
  </w:style>
  <w:style w:type="character" w:customStyle="1" w:styleId="3779">
    <w:name w:val="【图片】 Char"/>
    <w:locked/>
    <w:uiPriority w:val="0"/>
    <w:rPr>
      <w:rFonts w:ascii="宋体" w:hAnsi="宋体" w:eastAsia="Times New Roman"/>
      <w:sz w:val="24"/>
      <w:lang w:val="en-US" w:eastAsia="zh-CN" w:bidi="ar-SA"/>
    </w:rPr>
  </w:style>
  <w:style w:type="character" w:customStyle="1" w:styleId="3780">
    <w:name w:val="宁扬 Char"/>
    <w:link w:val="3781"/>
    <w:qFormat/>
    <w:locked/>
    <w:uiPriority w:val="0"/>
    <w:rPr>
      <w:rFonts w:ascii="仿宋_GB2312" w:eastAsia="仿宋_GB2312"/>
      <w:sz w:val="28"/>
      <w:szCs w:val="24"/>
    </w:rPr>
  </w:style>
  <w:style w:type="paragraph" w:customStyle="1" w:styleId="3781">
    <w:name w:val="宁扬"/>
    <w:basedOn w:val="1"/>
    <w:link w:val="3780"/>
    <w:qFormat/>
    <w:uiPriority w:val="0"/>
    <w:pPr>
      <w:spacing w:line="500" w:lineRule="exact"/>
      <w:ind w:firstLine="200" w:firstLineChars="200"/>
    </w:pPr>
    <w:rPr>
      <w:rFonts w:ascii="仿宋_GB2312" w:eastAsia="仿宋_GB2312"/>
      <w:kern w:val="0"/>
      <w:sz w:val="28"/>
    </w:rPr>
  </w:style>
  <w:style w:type="character" w:customStyle="1" w:styleId="3782">
    <w:name w:val="我的表格 Char"/>
    <w:qFormat/>
    <w:uiPriority w:val="0"/>
    <w:rPr>
      <w:sz w:val="21"/>
      <w:szCs w:val="21"/>
      <w:lang w:bidi="ar-SA"/>
    </w:rPr>
  </w:style>
  <w:style w:type="character" w:customStyle="1" w:styleId="3783">
    <w:name w:val="a-页脚 Char Char1"/>
    <w:qFormat/>
    <w:uiPriority w:val="0"/>
    <w:rPr>
      <w:b/>
      <w:color w:val="000000"/>
      <w:kern w:val="2"/>
      <w:sz w:val="21"/>
      <w:szCs w:val="18"/>
    </w:rPr>
  </w:style>
  <w:style w:type="character" w:customStyle="1" w:styleId="3784">
    <w:name w:val="font01"/>
    <w:qFormat/>
    <w:uiPriority w:val="0"/>
    <w:rPr>
      <w:rFonts w:hint="eastAsia" w:ascii="宋体" w:hAnsi="宋体" w:eastAsia="宋体"/>
      <w:color w:val="000000"/>
      <w:sz w:val="24"/>
      <w:szCs w:val="24"/>
      <w:u w:val="none"/>
    </w:rPr>
  </w:style>
  <w:style w:type="character" w:customStyle="1" w:styleId="3785">
    <w:name w:val="Char Char59"/>
    <w:qFormat/>
    <w:uiPriority w:val="0"/>
    <w:rPr>
      <w:rFonts w:eastAsia="宋体"/>
      <w:kern w:val="2"/>
      <w:sz w:val="18"/>
      <w:szCs w:val="18"/>
      <w:lang w:bidi="ar-SA"/>
    </w:rPr>
  </w:style>
  <w:style w:type="character" w:customStyle="1" w:styleId="3786">
    <w:name w:val="Char Char58"/>
    <w:qFormat/>
    <w:uiPriority w:val="0"/>
    <w:rPr>
      <w:rFonts w:ascii="宋体" w:hAnsi="Courier New" w:eastAsia="宋体"/>
      <w:kern w:val="2"/>
      <w:sz w:val="28"/>
      <w:lang w:bidi="ar-SA"/>
    </w:rPr>
  </w:style>
  <w:style w:type="character" w:customStyle="1" w:styleId="3787">
    <w:name w:val="Char Char56"/>
    <w:qFormat/>
    <w:uiPriority w:val="0"/>
    <w:rPr>
      <w:rFonts w:ascii="Arial" w:hAnsi="Arial" w:eastAsia="宋体"/>
      <w:b/>
      <w:bCs/>
      <w:kern w:val="2"/>
      <w:sz w:val="32"/>
      <w:szCs w:val="32"/>
      <w:lang w:bidi="ar-SA"/>
    </w:rPr>
  </w:style>
  <w:style w:type="character" w:customStyle="1" w:styleId="3788">
    <w:name w:val="批注引用2"/>
    <w:qFormat/>
    <w:uiPriority w:val="0"/>
    <w:rPr>
      <w:sz w:val="21"/>
      <w:szCs w:val="21"/>
    </w:rPr>
  </w:style>
  <w:style w:type="character" w:customStyle="1" w:styleId="3789">
    <w:name w:val="Char Char611"/>
    <w:qFormat/>
    <w:uiPriority w:val="0"/>
    <w:rPr>
      <w:rFonts w:eastAsia="宋体"/>
      <w:kern w:val="2"/>
      <w:sz w:val="21"/>
      <w:szCs w:val="24"/>
      <w:lang w:val="en-US" w:eastAsia="zh-CN" w:bidi="ar-SA"/>
    </w:rPr>
  </w:style>
  <w:style w:type="character" w:customStyle="1" w:styleId="3790">
    <w:name w:val="Char Char51"/>
    <w:qFormat/>
    <w:uiPriority w:val="0"/>
    <w:rPr>
      <w:rFonts w:ascii="Arial" w:hAnsi="Arial" w:eastAsia="黑体"/>
      <w:sz w:val="24"/>
      <w:lang w:val="en-US" w:eastAsia="zh-CN" w:bidi="ar-SA"/>
    </w:rPr>
  </w:style>
  <w:style w:type="character" w:customStyle="1" w:styleId="3791">
    <w:name w:val="Char Char20"/>
    <w:qFormat/>
    <w:uiPriority w:val="0"/>
    <w:rPr>
      <w:b/>
      <w:color w:val="000000"/>
      <w:kern w:val="44"/>
      <w:sz w:val="30"/>
      <w:szCs w:val="21"/>
    </w:rPr>
  </w:style>
  <w:style w:type="character" w:customStyle="1" w:styleId="3792">
    <w:name w:val="Char Char52"/>
    <w:qFormat/>
    <w:locked/>
    <w:uiPriority w:val="0"/>
    <w:rPr>
      <w:rFonts w:ascii="Cambria" w:hAnsi="Cambria" w:eastAsia="宋体"/>
      <w:b/>
      <w:bCs/>
      <w:color w:val="000000"/>
      <w:kern w:val="2"/>
      <w:sz w:val="30"/>
      <w:szCs w:val="32"/>
      <w:lang w:val="en-US" w:eastAsia="zh-CN" w:bidi="ar-SA"/>
    </w:rPr>
  </w:style>
  <w:style w:type="paragraph" w:customStyle="1" w:styleId="3793">
    <w:name w:val="表3"/>
    <w:basedOn w:val="1"/>
    <w:qFormat/>
    <w:uiPriority w:val="0"/>
    <w:pPr>
      <w:adjustRightInd w:val="0"/>
      <w:snapToGrid w:val="0"/>
      <w:spacing w:line="420" w:lineRule="atLeast"/>
      <w:jc w:val="center"/>
    </w:pPr>
    <w:rPr>
      <w:kern w:val="0"/>
      <w:szCs w:val="21"/>
    </w:rPr>
  </w:style>
  <w:style w:type="paragraph" w:customStyle="1" w:styleId="3794">
    <w:name w:val="Char Char3 Char Char2"/>
    <w:basedOn w:val="1"/>
    <w:qFormat/>
    <w:uiPriority w:val="0"/>
    <w:rPr>
      <w:rFonts w:ascii="Calibri" w:hAnsi="Calibri"/>
      <w:szCs w:val="22"/>
    </w:rPr>
  </w:style>
  <w:style w:type="paragraph" w:customStyle="1" w:styleId="3795">
    <w:name w:val="a-文本"/>
    <w:qFormat/>
    <w:uiPriority w:val="0"/>
    <w:pPr>
      <w:adjustRightInd w:val="0"/>
      <w:snapToGrid w:val="0"/>
      <w:spacing w:line="360" w:lineRule="auto"/>
      <w:ind w:firstLine="200" w:firstLineChars="200"/>
    </w:pPr>
    <w:rPr>
      <w:rFonts w:ascii="Times New Roman" w:hAnsi="Times New Roman" w:eastAsia="宋体" w:cs="Times New Roman"/>
      <w:kern w:val="2"/>
      <w:sz w:val="24"/>
      <w:szCs w:val="24"/>
      <w:lang w:val="en-US" w:eastAsia="zh-CN" w:bidi="ar-SA"/>
    </w:rPr>
  </w:style>
  <w:style w:type="paragraph" w:customStyle="1" w:styleId="3796">
    <w:name w:val="Char Char3 Char Char3"/>
    <w:basedOn w:val="1"/>
    <w:qFormat/>
    <w:uiPriority w:val="0"/>
    <w:rPr>
      <w:rFonts w:ascii="Calibri" w:hAnsi="Calibri"/>
      <w:szCs w:val="22"/>
    </w:rPr>
  </w:style>
  <w:style w:type="paragraph" w:customStyle="1" w:styleId="3797">
    <w:name w:val="表格02"/>
    <w:basedOn w:val="1"/>
    <w:qFormat/>
    <w:uiPriority w:val="0"/>
    <w:pPr>
      <w:spacing w:line="400" w:lineRule="exact"/>
      <w:jc w:val="center"/>
    </w:pPr>
    <w:rPr>
      <w:kern w:val="0"/>
      <w:sz w:val="24"/>
      <w:szCs w:val="20"/>
      <w:lang w:val="en-GB"/>
    </w:rPr>
  </w:style>
  <w:style w:type="paragraph" w:customStyle="1" w:styleId="3798">
    <w:name w:val="CM49"/>
    <w:basedOn w:val="1"/>
    <w:next w:val="1"/>
    <w:qFormat/>
    <w:uiPriority w:val="0"/>
    <w:pPr>
      <w:autoSpaceDE w:val="0"/>
      <w:autoSpaceDN w:val="0"/>
      <w:adjustRightInd w:val="0"/>
      <w:spacing w:line="503" w:lineRule="atLeast"/>
      <w:jc w:val="left"/>
    </w:pPr>
    <w:rPr>
      <w:rFonts w:ascii="宋体" w:hAnsi="Calibri"/>
      <w:kern w:val="0"/>
      <w:sz w:val="24"/>
    </w:rPr>
  </w:style>
  <w:style w:type="paragraph" w:customStyle="1" w:styleId="3799">
    <w:name w:val="奉读大示，心折殊深。"/>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800">
    <w:name w:val="Char Char3 Char Char1"/>
    <w:basedOn w:val="1"/>
    <w:qFormat/>
    <w:uiPriority w:val="0"/>
    <w:rPr>
      <w:rFonts w:ascii="Calibri" w:hAnsi="Calibri"/>
      <w:szCs w:val="22"/>
    </w:rPr>
  </w:style>
  <w:style w:type="paragraph" w:customStyle="1" w:styleId="3801">
    <w:name w:val="000"/>
    <w:basedOn w:val="3386"/>
    <w:qFormat/>
    <w:uiPriority w:val="0"/>
    <w:pPr>
      <w:widowControl w:val="0"/>
      <w:spacing w:line="360" w:lineRule="auto"/>
    </w:pPr>
    <w:rPr>
      <w:rFonts w:eastAsia="仿宋_GB2312"/>
    </w:rPr>
  </w:style>
  <w:style w:type="paragraph" w:customStyle="1" w:styleId="3802">
    <w:name w:val="表头格式"/>
    <w:basedOn w:val="1"/>
    <w:qFormat/>
    <w:uiPriority w:val="0"/>
    <w:pPr>
      <w:adjustRightInd w:val="0"/>
      <w:snapToGrid w:val="0"/>
      <w:spacing w:line="440" w:lineRule="atLeast"/>
      <w:ind w:firstLine="482"/>
    </w:pPr>
    <w:rPr>
      <w:rFonts w:ascii="黑体" w:hAnsi="宋体" w:eastAsia="黑体" w:cs="宋体"/>
      <w:kern w:val="0"/>
      <w:sz w:val="24"/>
    </w:rPr>
  </w:style>
  <w:style w:type="paragraph" w:customStyle="1" w:styleId="3803">
    <w:name w:val="Char Char3 Char Char6"/>
    <w:basedOn w:val="1"/>
    <w:qFormat/>
    <w:uiPriority w:val="0"/>
    <w:rPr>
      <w:rFonts w:ascii="Calibri" w:hAnsi="Calibri"/>
      <w:szCs w:val="22"/>
    </w:rPr>
  </w:style>
  <w:style w:type="paragraph" w:customStyle="1" w:styleId="3804">
    <w:name w:val="正文缩进3"/>
    <w:basedOn w:val="1"/>
    <w:qFormat/>
    <w:uiPriority w:val="0"/>
    <w:pPr>
      <w:ind w:firstLine="420" w:firstLineChars="200"/>
    </w:pPr>
  </w:style>
  <w:style w:type="paragraph" w:customStyle="1" w:styleId="3805">
    <w:name w:val="正文首行缩进3"/>
    <w:basedOn w:val="34"/>
    <w:qFormat/>
    <w:uiPriority w:val="0"/>
    <w:pPr>
      <w:adjustRightInd w:val="0"/>
      <w:spacing w:line="312" w:lineRule="atLeast"/>
      <w:ind w:firstLine="420"/>
      <w:textAlignment w:val="baseline"/>
    </w:pPr>
    <w:rPr>
      <w:rFonts w:ascii="Calibri" w:hAnsi="Calibri"/>
      <w:kern w:val="0"/>
      <w:sz w:val="24"/>
      <w:szCs w:val="20"/>
    </w:rPr>
  </w:style>
  <w:style w:type="paragraph" w:customStyle="1" w:styleId="3806">
    <w:name w:val="TOC 标题2"/>
    <w:basedOn w:val="3"/>
    <w:next w:val="1"/>
    <w:qFormat/>
    <w:uiPriority w:val="0"/>
    <w:pPr>
      <w:keepNext/>
      <w:keepLines/>
      <w:widowControl/>
      <w:tabs>
        <w:tab w:val="left" w:pos="786"/>
      </w:tabs>
      <w:adjustRightInd/>
      <w:snapToGrid/>
      <w:spacing w:before="480" w:line="276" w:lineRule="auto"/>
      <w:jc w:val="left"/>
      <w:outlineLvl w:val="9"/>
    </w:pPr>
    <w:rPr>
      <w:rFonts w:ascii="Cambria" w:hAnsi="Cambria"/>
      <w:color w:val="365F91"/>
      <w:kern w:val="0"/>
      <w:sz w:val="28"/>
      <w:szCs w:val="28"/>
    </w:rPr>
  </w:style>
  <w:style w:type="paragraph" w:customStyle="1" w:styleId="3807">
    <w:name w:val="列出段落21"/>
    <w:basedOn w:val="1"/>
    <w:qFormat/>
    <w:uiPriority w:val="0"/>
    <w:pPr>
      <w:ind w:firstLine="420" w:firstLineChars="200"/>
    </w:pPr>
    <w:rPr>
      <w:rFonts w:ascii="Calibri" w:hAnsi="Calibri"/>
      <w:szCs w:val="22"/>
    </w:rPr>
  </w:style>
  <w:style w:type="paragraph" w:customStyle="1" w:styleId="3808">
    <w:name w:val="文档结构图2"/>
    <w:basedOn w:val="1"/>
    <w:qFormat/>
    <w:uiPriority w:val="0"/>
    <w:pPr>
      <w:shd w:val="clear" w:color="auto" w:fill="000080"/>
    </w:pPr>
    <w:rPr>
      <w:rFonts w:eastAsia="Times New Roman"/>
      <w:szCs w:val="20"/>
      <w:shd w:val="clear" w:color="auto" w:fill="000080"/>
    </w:rPr>
  </w:style>
  <w:style w:type="paragraph" w:customStyle="1" w:styleId="3809">
    <w:name w:val="Char Char3 Char Char4"/>
    <w:basedOn w:val="1"/>
    <w:qFormat/>
    <w:uiPriority w:val="0"/>
    <w:rPr>
      <w:rFonts w:ascii="Calibri" w:hAnsi="Calibri"/>
      <w:szCs w:val="22"/>
    </w:rPr>
  </w:style>
  <w:style w:type="paragraph" w:customStyle="1" w:styleId="3810">
    <w:name w:val="日期2"/>
    <w:basedOn w:val="1"/>
    <w:next w:val="1"/>
    <w:qFormat/>
    <w:uiPriority w:val="0"/>
    <w:pPr>
      <w:autoSpaceDE w:val="0"/>
      <w:autoSpaceDN w:val="0"/>
      <w:adjustRightInd w:val="0"/>
      <w:textAlignment w:val="baseline"/>
    </w:pPr>
    <w:rPr>
      <w:spacing w:val="5"/>
      <w:kern w:val="0"/>
      <w:sz w:val="24"/>
      <w:szCs w:val="20"/>
    </w:rPr>
  </w:style>
  <w:style w:type="paragraph" w:customStyle="1" w:styleId="3811">
    <w:name w:val="纯文本21"/>
    <w:basedOn w:val="1"/>
    <w:qFormat/>
    <w:uiPriority w:val="0"/>
    <w:rPr>
      <w:rFonts w:ascii="宋体" w:hAnsi="Courier New"/>
      <w:sz w:val="28"/>
      <w:szCs w:val="20"/>
    </w:rPr>
  </w:style>
  <w:style w:type="character" w:customStyle="1" w:styleId="3812">
    <w:name w:val="no7"/>
    <w:qFormat/>
    <w:uiPriority w:val="0"/>
  </w:style>
  <w:style w:type="paragraph" w:customStyle="1" w:styleId="3813">
    <w:name w:val="Char Char Char Char Char Char Char Char Char Char Char Char Char Char Char Char Char Char Char Char Char Char Char Char"/>
    <w:basedOn w:val="1"/>
    <w:qFormat/>
    <w:uiPriority w:val="0"/>
  </w:style>
  <w:style w:type="character" w:customStyle="1" w:styleId="3814">
    <w:name w:val="文档结构图 Char5"/>
    <w:qFormat/>
    <w:uiPriority w:val="0"/>
    <w:rPr>
      <w:kern w:val="2"/>
      <w:sz w:val="21"/>
      <w:szCs w:val="24"/>
      <w:shd w:val="clear" w:color="auto" w:fill="000080"/>
    </w:rPr>
  </w:style>
  <w:style w:type="character" w:customStyle="1" w:styleId="3815">
    <w:name w:val="日期 Char4"/>
    <w:qFormat/>
    <w:uiPriority w:val="0"/>
    <w:rPr>
      <w:rFonts w:ascii="宋体" w:hAnsi="Courier New"/>
      <w:kern w:val="2"/>
      <w:sz w:val="28"/>
    </w:rPr>
  </w:style>
  <w:style w:type="character" w:customStyle="1" w:styleId="3816">
    <w:name w:val="正文文本 3 Char3"/>
    <w:qFormat/>
    <w:uiPriority w:val="0"/>
    <w:rPr>
      <w:rFonts w:ascii="宋体" w:hAnsi="Courier New"/>
      <w:color w:val="000000"/>
      <w:kern w:val="2"/>
      <w:sz w:val="21"/>
    </w:rPr>
  </w:style>
  <w:style w:type="character" w:customStyle="1" w:styleId="3817">
    <w:name w:val="HTML 地址 Char2"/>
    <w:qFormat/>
    <w:uiPriority w:val="0"/>
    <w:rPr>
      <w:i/>
      <w:iCs/>
      <w:kern w:val="2"/>
      <w:sz w:val="21"/>
      <w:szCs w:val="24"/>
    </w:rPr>
  </w:style>
  <w:style w:type="character" w:customStyle="1" w:styleId="3818">
    <w:name w:val="HTML 预设格式 Char3"/>
    <w:qFormat/>
    <w:uiPriority w:val="99"/>
    <w:rPr>
      <w:rFonts w:ascii="Courier New" w:hAnsi="Courier New" w:cs="Courier New"/>
      <w:kern w:val="2"/>
    </w:rPr>
  </w:style>
  <w:style w:type="character" w:customStyle="1" w:styleId="3819">
    <w:name w:val="称呼 Char2"/>
    <w:qFormat/>
    <w:uiPriority w:val="0"/>
    <w:rPr>
      <w:kern w:val="2"/>
      <w:sz w:val="21"/>
      <w:szCs w:val="24"/>
    </w:rPr>
  </w:style>
  <w:style w:type="character" w:customStyle="1" w:styleId="3820">
    <w:name w:val="电子邮件签名 Char2"/>
    <w:qFormat/>
    <w:uiPriority w:val="0"/>
    <w:rPr>
      <w:kern w:val="2"/>
      <w:sz w:val="21"/>
      <w:szCs w:val="24"/>
    </w:rPr>
  </w:style>
  <w:style w:type="character" w:customStyle="1" w:styleId="3821">
    <w:name w:val="结束语 Char2"/>
    <w:qFormat/>
    <w:uiPriority w:val="0"/>
    <w:rPr>
      <w:kern w:val="2"/>
      <w:sz w:val="21"/>
      <w:szCs w:val="24"/>
    </w:rPr>
  </w:style>
  <w:style w:type="character" w:customStyle="1" w:styleId="3822">
    <w:name w:val="签名 Char2"/>
    <w:qFormat/>
    <w:uiPriority w:val="0"/>
    <w:rPr>
      <w:kern w:val="2"/>
      <w:sz w:val="21"/>
      <w:szCs w:val="24"/>
    </w:rPr>
  </w:style>
  <w:style w:type="character" w:customStyle="1" w:styleId="3823">
    <w:name w:val="信息标题 Char2"/>
    <w:qFormat/>
    <w:uiPriority w:val="0"/>
    <w:rPr>
      <w:rFonts w:ascii="Arial" w:hAnsi="Arial" w:cs="Arial"/>
      <w:kern w:val="2"/>
      <w:sz w:val="21"/>
      <w:szCs w:val="24"/>
      <w:shd w:val="pct20" w:color="auto" w:fill="auto"/>
    </w:rPr>
  </w:style>
  <w:style w:type="character" w:customStyle="1" w:styleId="3824">
    <w:name w:val="正文首行缩进 2 Char3"/>
    <w:qFormat/>
    <w:uiPriority w:val="0"/>
  </w:style>
  <w:style w:type="character" w:customStyle="1" w:styleId="3825">
    <w:name w:val="正文文本 2 Char3"/>
    <w:qFormat/>
    <w:uiPriority w:val="0"/>
    <w:rPr>
      <w:kern w:val="2"/>
      <w:sz w:val="21"/>
      <w:szCs w:val="24"/>
    </w:rPr>
  </w:style>
  <w:style w:type="character" w:customStyle="1" w:styleId="3826">
    <w:name w:val="注释标题 Char2"/>
    <w:qFormat/>
    <w:uiPriority w:val="0"/>
    <w:rPr>
      <w:kern w:val="2"/>
      <w:sz w:val="21"/>
      <w:szCs w:val="24"/>
    </w:rPr>
  </w:style>
  <w:style w:type="character" w:customStyle="1" w:styleId="3827">
    <w:name w:val="批注主题 Char3"/>
    <w:qFormat/>
    <w:uiPriority w:val="0"/>
    <w:rPr>
      <w:b/>
      <w:bCs/>
      <w:kern w:val="2"/>
      <w:sz w:val="21"/>
      <w:szCs w:val="24"/>
    </w:rPr>
  </w:style>
  <w:style w:type="character" w:customStyle="1" w:styleId="3828">
    <w:name w:val="z-窗体顶端 Char2"/>
    <w:qFormat/>
    <w:uiPriority w:val="0"/>
    <w:rPr>
      <w:rFonts w:ascii="Arial" w:hAnsi="Arial" w:cs="Arial"/>
      <w:vanish/>
      <w:sz w:val="16"/>
      <w:szCs w:val="16"/>
    </w:rPr>
  </w:style>
  <w:style w:type="character" w:customStyle="1" w:styleId="3829">
    <w:name w:val="z-窗体底端 Char2"/>
    <w:qFormat/>
    <w:uiPriority w:val="0"/>
    <w:rPr>
      <w:rFonts w:ascii="Arial" w:hAnsi="Arial" w:cs="Arial"/>
      <w:vanish/>
      <w:sz w:val="16"/>
      <w:szCs w:val="16"/>
    </w:rPr>
  </w:style>
  <w:style w:type="character" w:customStyle="1" w:styleId="3830">
    <w:name w:val="脚注文本 Char2"/>
    <w:qFormat/>
    <w:uiPriority w:val="0"/>
    <w:rPr>
      <w:lang w:eastAsia="en-US"/>
    </w:rPr>
  </w:style>
  <w:style w:type="character" w:customStyle="1" w:styleId="3831">
    <w:name w:val="尾注文本 Char2"/>
    <w:qFormat/>
    <w:uiPriority w:val="0"/>
    <w:rPr>
      <w:rFonts w:ascii="Arial" w:hAnsi="Arial" w:eastAsia="楷体_GB2312"/>
      <w:kern w:val="2"/>
      <w:sz w:val="24"/>
    </w:rPr>
  </w:style>
  <w:style w:type="character" w:customStyle="1" w:styleId="3832">
    <w:name w:val="列表编号 Char2"/>
    <w:qFormat/>
    <w:uiPriority w:val="0"/>
    <w:rPr>
      <w:rFonts w:eastAsia="宋体"/>
      <w:kern w:val="2"/>
      <w:sz w:val="21"/>
      <w:szCs w:val="24"/>
      <w:lang w:val="zh-CN" w:eastAsia="zh-CN" w:bidi="ar-SA"/>
    </w:rPr>
  </w:style>
  <w:style w:type="character" w:customStyle="1" w:styleId="3833">
    <w:name w:val="宏文本 Char2"/>
    <w:qFormat/>
    <w:uiPriority w:val="0"/>
    <w:rPr>
      <w:rFonts w:ascii="Courier New" w:hAnsi="Courier New"/>
      <w:kern w:val="2"/>
      <w:sz w:val="24"/>
      <w:szCs w:val="24"/>
      <w:lang w:bidi="ar-SA"/>
    </w:rPr>
  </w:style>
  <w:style w:type="character" w:customStyle="1" w:styleId="3834">
    <w:name w:val="HTML 引文12"/>
    <w:qFormat/>
    <w:uiPriority w:val="0"/>
    <w:rPr>
      <w:i/>
      <w:iCs/>
    </w:rPr>
  </w:style>
  <w:style w:type="character" w:customStyle="1" w:styleId="3835">
    <w:name w:val="页码12"/>
    <w:qFormat/>
    <w:uiPriority w:val="0"/>
  </w:style>
  <w:style w:type="character" w:customStyle="1" w:styleId="3836">
    <w:name w:val="Char Char651"/>
    <w:qFormat/>
    <w:uiPriority w:val="0"/>
    <w:rPr>
      <w:color w:val="000000"/>
      <w:kern w:val="2"/>
      <w:sz w:val="24"/>
      <w:szCs w:val="21"/>
    </w:rPr>
  </w:style>
  <w:style w:type="character" w:customStyle="1" w:styleId="3837">
    <w:name w:val="书籍标题2"/>
    <w:qFormat/>
    <w:uiPriority w:val="0"/>
    <w:rPr>
      <w:b/>
      <w:bCs/>
      <w:smallCaps/>
      <w:spacing w:val="5"/>
    </w:rPr>
  </w:style>
  <w:style w:type="character" w:customStyle="1" w:styleId="3838">
    <w:name w:val="HTML 变量12"/>
    <w:qFormat/>
    <w:uiPriority w:val="0"/>
    <w:rPr>
      <w:i/>
      <w:iCs/>
    </w:rPr>
  </w:style>
  <w:style w:type="character" w:customStyle="1" w:styleId="3839">
    <w:name w:val="表内 Char Char"/>
    <w:qFormat/>
    <w:uiPriority w:val="0"/>
    <w:rPr>
      <w:rFonts w:ascii="Arial" w:hAnsi="Arial" w:eastAsia="楷体_GB2312" w:cs="Times New Roman"/>
      <w:szCs w:val="21"/>
    </w:rPr>
  </w:style>
  <w:style w:type="character" w:customStyle="1" w:styleId="3840">
    <w:name w:val="表注 Char Char"/>
    <w:qFormat/>
    <w:uiPriority w:val="0"/>
    <w:rPr>
      <w:rFonts w:ascii="Times New Roman" w:hAnsi="Times New Roman" w:eastAsia="宋体" w:cs="Times New Roman"/>
      <w:kern w:val="0"/>
      <w:szCs w:val="20"/>
    </w:rPr>
  </w:style>
  <w:style w:type="character" w:customStyle="1" w:styleId="3841">
    <w:name w:val="Char Char402"/>
    <w:qFormat/>
    <w:uiPriority w:val="0"/>
    <w:rPr>
      <w:kern w:val="2"/>
      <w:sz w:val="21"/>
      <w:szCs w:val="24"/>
    </w:rPr>
  </w:style>
  <w:style w:type="character" w:customStyle="1" w:styleId="3842">
    <w:name w:val="Char Char681"/>
    <w:qFormat/>
    <w:uiPriority w:val="0"/>
    <w:rPr>
      <w:rFonts w:eastAsia="宋体"/>
      <w:b/>
      <w:bCs/>
      <w:kern w:val="2"/>
      <w:sz w:val="24"/>
      <w:szCs w:val="24"/>
    </w:rPr>
  </w:style>
  <w:style w:type="character" w:customStyle="1" w:styleId="3843">
    <w:name w:val="页码2"/>
    <w:qFormat/>
    <w:uiPriority w:val="0"/>
  </w:style>
  <w:style w:type="character" w:customStyle="1" w:styleId="3844">
    <w:name w:val="zwb-正文 Char Char Char"/>
    <w:qFormat/>
    <w:uiPriority w:val="0"/>
    <w:rPr>
      <w:kern w:val="2"/>
      <w:sz w:val="24"/>
      <w:szCs w:val="24"/>
    </w:rPr>
  </w:style>
  <w:style w:type="character" w:customStyle="1" w:styleId="3845">
    <w:name w:val="HTML 缩写2"/>
    <w:qFormat/>
    <w:uiPriority w:val="0"/>
  </w:style>
  <w:style w:type="character" w:customStyle="1" w:styleId="3846">
    <w:name w:val="样式 样式 样式 正文 首行缩进:  2 字符 SL CON + 首行缩进:  2 字符 + 首行缩进:  2 字符 + 黑色 Char Char Char"/>
    <w:qFormat/>
    <w:uiPriority w:val="0"/>
    <w:rPr>
      <w:rFonts w:eastAsia="宋体"/>
      <w:color w:val="000000"/>
      <w:kern w:val="2"/>
      <w:sz w:val="24"/>
      <w:szCs w:val="24"/>
      <w:lang w:val="en-US" w:eastAsia="zh-CN"/>
    </w:rPr>
  </w:style>
  <w:style w:type="character" w:customStyle="1" w:styleId="3847">
    <w:name w:val="Char Char432"/>
    <w:qFormat/>
    <w:uiPriority w:val="0"/>
    <w:rPr>
      <w:i/>
      <w:iCs/>
      <w:kern w:val="2"/>
      <w:sz w:val="21"/>
      <w:szCs w:val="24"/>
    </w:rPr>
  </w:style>
  <w:style w:type="character" w:customStyle="1" w:styleId="3848">
    <w:name w:val="Char Char152"/>
    <w:qFormat/>
    <w:uiPriority w:val="0"/>
    <w:rPr>
      <w:rFonts w:eastAsia="宋体"/>
      <w:kern w:val="2"/>
      <w:sz w:val="21"/>
      <w:szCs w:val="24"/>
      <w:lang w:val="en-US" w:eastAsia="zh-CN"/>
    </w:rPr>
  </w:style>
  <w:style w:type="character" w:customStyle="1" w:styleId="3849">
    <w:name w:val="Char Char222"/>
    <w:qFormat/>
    <w:uiPriority w:val="0"/>
    <w:rPr>
      <w:kern w:val="2"/>
      <w:sz w:val="18"/>
      <w:szCs w:val="18"/>
    </w:rPr>
  </w:style>
  <w:style w:type="character" w:customStyle="1" w:styleId="3850">
    <w:name w:val="Char Char322"/>
    <w:qFormat/>
    <w:uiPriority w:val="0"/>
    <w:rPr>
      <w:rFonts w:ascii="Arial" w:hAnsi="Arial" w:eastAsia="黑体"/>
      <w:kern w:val="2"/>
      <w:sz w:val="24"/>
      <w:szCs w:val="24"/>
      <w:lang w:val="en-US" w:eastAsia="zh-CN"/>
    </w:rPr>
  </w:style>
  <w:style w:type="character" w:customStyle="1" w:styleId="3851">
    <w:name w:val="HTML 打字机12"/>
    <w:qFormat/>
    <w:uiPriority w:val="0"/>
    <w:rPr>
      <w:rFonts w:ascii="Courier New" w:hAnsi="Courier New" w:cs="Courier New"/>
      <w:sz w:val="20"/>
      <w:szCs w:val="20"/>
    </w:rPr>
  </w:style>
  <w:style w:type="character" w:customStyle="1" w:styleId="3852">
    <w:name w:val="标题61"/>
    <w:qFormat/>
    <w:uiPriority w:val="0"/>
  </w:style>
  <w:style w:type="character" w:customStyle="1" w:styleId="3853">
    <w:name w:val="HTML 样本2"/>
    <w:qFormat/>
    <w:uiPriority w:val="0"/>
    <w:rPr>
      <w:rFonts w:ascii="Courier New" w:hAnsi="Courier New" w:cs="Courier New"/>
    </w:rPr>
  </w:style>
  <w:style w:type="character" w:customStyle="1" w:styleId="3854">
    <w:name w:val="Char Char282"/>
    <w:qFormat/>
    <w:uiPriority w:val="0"/>
    <w:rPr>
      <w:rFonts w:eastAsia="宋体"/>
      <w:b/>
      <w:bCs/>
      <w:kern w:val="2"/>
      <w:sz w:val="28"/>
      <w:szCs w:val="28"/>
      <w:lang w:val="en-US" w:eastAsia="zh-CN"/>
    </w:rPr>
  </w:style>
  <w:style w:type="character" w:customStyle="1" w:styleId="3855">
    <w:name w:val="Char Char Char Char Char Char Char Char Char Char Char Char Char Char Char Char Char Char Char Char Char Char Char Char Char Char Char Char Char Char Char Char Char Char Char"/>
    <w:qFormat/>
    <w:uiPriority w:val="0"/>
    <w:rPr>
      <w:rFonts w:eastAsia="宋体"/>
      <w:kern w:val="2"/>
      <w:sz w:val="21"/>
      <w:szCs w:val="24"/>
      <w:lang w:val="en-US" w:eastAsia="zh-CN"/>
    </w:rPr>
  </w:style>
  <w:style w:type="character" w:customStyle="1" w:styleId="3856">
    <w:name w:val="标题7"/>
    <w:qFormat/>
    <w:uiPriority w:val="0"/>
  </w:style>
  <w:style w:type="character" w:customStyle="1" w:styleId="3857">
    <w:name w:val="Char Char412"/>
    <w:qFormat/>
    <w:uiPriority w:val="0"/>
    <w:rPr>
      <w:kern w:val="2"/>
      <w:sz w:val="21"/>
      <w:szCs w:val="24"/>
    </w:rPr>
  </w:style>
  <w:style w:type="character" w:customStyle="1" w:styleId="3858">
    <w:name w:val="批注引用3"/>
    <w:qFormat/>
    <w:uiPriority w:val="0"/>
    <w:rPr>
      <w:sz w:val="21"/>
      <w:szCs w:val="21"/>
    </w:rPr>
  </w:style>
  <w:style w:type="character" w:customStyle="1" w:styleId="3859">
    <w:name w:val="Char1 Char Char Char Char Char Char Char Char Char Char Char Char"/>
    <w:qFormat/>
    <w:uiPriority w:val="0"/>
    <w:rPr>
      <w:kern w:val="2"/>
      <w:sz w:val="21"/>
      <w:szCs w:val="24"/>
    </w:rPr>
  </w:style>
  <w:style w:type="character" w:customStyle="1" w:styleId="3860">
    <w:name w:val="占位符文本2"/>
    <w:qFormat/>
    <w:uiPriority w:val="0"/>
    <w:rPr>
      <w:color w:val="808080"/>
    </w:rPr>
  </w:style>
  <w:style w:type="character" w:customStyle="1" w:styleId="3861">
    <w:name w:val="占位符文本12"/>
    <w:qFormat/>
    <w:uiPriority w:val="0"/>
    <w:rPr>
      <w:color w:val="808080"/>
    </w:rPr>
  </w:style>
  <w:style w:type="character" w:customStyle="1" w:styleId="3862">
    <w:name w:val="书籍标题12"/>
    <w:qFormat/>
    <w:uiPriority w:val="0"/>
    <w:rPr>
      <w:b/>
      <w:bCs/>
      <w:smallCaps/>
      <w:spacing w:val="5"/>
    </w:rPr>
  </w:style>
  <w:style w:type="character" w:customStyle="1" w:styleId="3863">
    <w:name w:val="Char Char75"/>
    <w:qFormat/>
    <w:uiPriority w:val="0"/>
    <w:rPr>
      <w:rFonts w:ascii="Times New Roman" w:hAnsi="Times New Roman" w:eastAsia="宋体" w:cs="Times New Roman"/>
      <w:sz w:val="18"/>
      <w:szCs w:val="20"/>
    </w:rPr>
  </w:style>
  <w:style w:type="character" w:customStyle="1" w:styleId="3864">
    <w:name w:val="Char Char83"/>
    <w:qFormat/>
    <w:uiPriority w:val="0"/>
    <w:rPr>
      <w:rFonts w:eastAsia="宋体"/>
      <w:kern w:val="2"/>
      <w:sz w:val="18"/>
      <w:szCs w:val="18"/>
      <w:lang w:val="en-US" w:eastAsia="zh-CN"/>
    </w:rPr>
  </w:style>
  <w:style w:type="character" w:customStyle="1" w:styleId="3865">
    <w:name w:val="HTML 代码2"/>
    <w:qFormat/>
    <w:uiPriority w:val="0"/>
    <w:rPr>
      <w:rFonts w:ascii="Courier New" w:hAnsi="Courier New" w:cs="Courier New"/>
      <w:sz w:val="20"/>
      <w:szCs w:val="20"/>
    </w:rPr>
  </w:style>
  <w:style w:type="character" w:customStyle="1" w:styleId="3866">
    <w:name w:val="Char Char610"/>
    <w:qFormat/>
    <w:uiPriority w:val="0"/>
    <w:rPr>
      <w:rFonts w:eastAsia="宋体"/>
      <w:kern w:val="2"/>
      <w:sz w:val="21"/>
      <w:szCs w:val="24"/>
      <w:lang w:val="en-US" w:eastAsia="zh-CN"/>
    </w:rPr>
  </w:style>
  <w:style w:type="character" w:customStyle="1" w:styleId="3867">
    <w:name w:val="Char Char252"/>
    <w:qFormat/>
    <w:uiPriority w:val="0"/>
    <w:rPr>
      <w:kern w:val="2"/>
      <w:sz w:val="18"/>
    </w:rPr>
  </w:style>
  <w:style w:type="character" w:customStyle="1" w:styleId="3868">
    <w:name w:val="Char Char741"/>
    <w:qFormat/>
    <w:uiPriority w:val="0"/>
    <w:rPr>
      <w:rFonts w:eastAsia="宋体"/>
      <w:b/>
      <w:color w:val="000000"/>
      <w:kern w:val="44"/>
      <w:sz w:val="30"/>
      <w:szCs w:val="21"/>
    </w:rPr>
  </w:style>
  <w:style w:type="character" w:customStyle="1" w:styleId="3869">
    <w:name w:val="正文首行缩进1 Char Char"/>
    <w:qFormat/>
    <w:uiPriority w:val="0"/>
    <w:rPr>
      <w:rFonts w:eastAsia="宋体"/>
      <w:snapToGrid w:val="0"/>
      <w:spacing w:val="10"/>
      <w:kern w:val="24"/>
      <w:sz w:val="28"/>
      <w:szCs w:val="28"/>
      <w:lang w:val="en-US" w:eastAsia="zh-CN"/>
    </w:rPr>
  </w:style>
  <w:style w:type="character" w:customStyle="1" w:styleId="3870">
    <w:name w:val="Char Char19"/>
    <w:qFormat/>
    <w:uiPriority w:val="0"/>
    <w:rPr>
      <w:rFonts w:ascii="Arial" w:hAnsi="Arial" w:eastAsia="黑体"/>
      <w:b/>
      <w:bCs/>
      <w:kern w:val="2"/>
      <w:sz w:val="32"/>
      <w:szCs w:val="32"/>
      <w:lang w:val="en-US" w:eastAsia="zh-CN"/>
    </w:rPr>
  </w:style>
  <w:style w:type="character" w:customStyle="1" w:styleId="3871">
    <w:name w:val="Char Char Char Char Char Char Char Char Char Char Char Char Char Char Char Char Char Char Char Char Char Char Char Char Char Char Char Char Char Char Char Char Char Char"/>
    <w:qFormat/>
    <w:uiPriority w:val="0"/>
    <w:rPr>
      <w:rFonts w:ascii="宋体" w:hAnsi="Courier New" w:eastAsia="宋体"/>
      <w:kern w:val="2"/>
      <w:sz w:val="21"/>
      <w:szCs w:val="21"/>
      <w:lang w:val="en-US" w:eastAsia="zh-CN"/>
    </w:rPr>
  </w:style>
  <w:style w:type="character" w:customStyle="1" w:styleId="3872">
    <w:name w:val="Char Char93"/>
    <w:qFormat/>
    <w:uiPriority w:val="0"/>
    <w:rPr>
      <w:rFonts w:eastAsia="宋体"/>
      <w:kern w:val="2"/>
      <w:sz w:val="18"/>
      <w:szCs w:val="18"/>
      <w:lang w:val="en-US" w:eastAsia="zh-CN"/>
    </w:rPr>
  </w:style>
  <w:style w:type="character" w:customStyle="1" w:styleId="3873">
    <w:name w:val="Char Char123"/>
    <w:qFormat/>
    <w:uiPriority w:val="0"/>
    <w:rPr>
      <w:rFonts w:ascii="Arial" w:hAnsi="Arial" w:eastAsia="黑体" w:cs="Arial"/>
      <w:kern w:val="2"/>
      <w:lang w:val="en-US" w:eastAsia="zh-CN"/>
    </w:rPr>
  </w:style>
  <w:style w:type="character" w:customStyle="1" w:styleId="3874">
    <w:name w:val="Char Char17"/>
    <w:qFormat/>
    <w:uiPriority w:val="0"/>
    <w:rPr>
      <w:rFonts w:eastAsia="宋体"/>
      <w:kern w:val="2"/>
      <w:sz w:val="21"/>
      <w:szCs w:val="24"/>
      <w:lang w:val="en-US" w:eastAsia="zh-CN"/>
    </w:rPr>
  </w:style>
  <w:style w:type="character" w:customStyle="1" w:styleId="3875">
    <w:name w:val="Char Char701"/>
    <w:qFormat/>
    <w:uiPriority w:val="0"/>
    <w:rPr>
      <w:rFonts w:ascii="Arial" w:hAnsi="Arial"/>
      <w:b/>
      <w:bCs/>
      <w:sz w:val="24"/>
      <w:szCs w:val="28"/>
    </w:rPr>
  </w:style>
  <w:style w:type="character" w:customStyle="1" w:styleId="3876">
    <w:name w:val="正文＋黑体 Char Char"/>
    <w:qFormat/>
    <w:uiPriority w:val="0"/>
    <w:rPr>
      <w:rFonts w:ascii="Arial" w:hAnsi="Arial" w:eastAsia="黑体"/>
      <w:sz w:val="24"/>
      <w:szCs w:val="24"/>
    </w:rPr>
  </w:style>
  <w:style w:type="character" w:customStyle="1" w:styleId="3877">
    <w:name w:val="HTML 变量2"/>
    <w:qFormat/>
    <w:uiPriority w:val="0"/>
    <w:rPr>
      <w:i/>
      <w:iCs/>
    </w:rPr>
  </w:style>
  <w:style w:type="character" w:customStyle="1" w:styleId="3878">
    <w:name w:val="Char Char721"/>
    <w:qFormat/>
    <w:uiPriority w:val="0"/>
    <w:rPr>
      <w:rFonts w:eastAsia="宋体"/>
      <w:b/>
      <w:bCs/>
      <w:kern w:val="2"/>
      <w:sz w:val="24"/>
      <w:szCs w:val="21"/>
      <w:lang w:val="en-US" w:eastAsia="zh-CN"/>
    </w:rPr>
  </w:style>
  <w:style w:type="character" w:customStyle="1" w:styleId="3879">
    <w:name w:val="a-目录正文 Char Char"/>
    <w:qFormat/>
    <w:uiPriority w:val="0"/>
    <w:rPr>
      <w:rFonts w:ascii="Times New Roman" w:hAnsi="Times New Roman" w:eastAsia="仿宋" w:cs="Times New Roman"/>
      <w:color w:val="000000"/>
      <w:sz w:val="24"/>
      <w:szCs w:val="21"/>
    </w:rPr>
  </w:style>
  <w:style w:type="character" w:customStyle="1" w:styleId="3880">
    <w:name w:val="正式文本 Char Char"/>
    <w:qFormat/>
    <w:uiPriority w:val="0"/>
    <w:rPr>
      <w:rFonts w:ascii="宋体" w:hAnsi="Arial Narrow"/>
      <w:sz w:val="28"/>
      <w:szCs w:val="24"/>
    </w:rPr>
  </w:style>
  <w:style w:type="character" w:customStyle="1" w:styleId="3881">
    <w:name w:val="a-附图名 Char Char"/>
    <w:qFormat/>
    <w:uiPriority w:val="0"/>
    <w:rPr>
      <w:rFonts w:ascii="Times New Roman" w:hAnsi="Times New Roman" w:eastAsia="仿宋" w:cs="Times New Roman"/>
      <w:b/>
      <w:color w:val="000000"/>
      <w:sz w:val="36"/>
      <w:szCs w:val="21"/>
    </w:rPr>
  </w:style>
  <w:style w:type="character" w:customStyle="1" w:styleId="3882">
    <w:name w:val="Char Char661"/>
    <w:qFormat/>
    <w:uiPriority w:val="0"/>
    <w:rPr>
      <w:rFonts w:ascii="Arial" w:hAnsi="Arial" w:eastAsia="黑体"/>
      <w:kern w:val="2"/>
      <w:sz w:val="21"/>
      <w:szCs w:val="21"/>
    </w:rPr>
  </w:style>
  <w:style w:type="character" w:customStyle="1" w:styleId="3883">
    <w:name w:val="a-附表名 Char Char"/>
    <w:qFormat/>
    <w:uiPriority w:val="0"/>
    <w:rPr>
      <w:rFonts w:ascii="Times New Roman" w:hAnsi="Times New Roman" w:eastAsia="仿宋" w:cs="Times New Roman"/>
      <w:b/>
      <w:color w:val="000000"/>
      <w:sz w:val="24"/>
      <w:szCs w:val="21"/>
    </w:rPr>
  </w:style>
  <w:style w:type="character" w:customStyle="1" w:styleId="3884">
    <w:name w:val="Char Char631"/>
    <w:qFormat/>
    <w:uiPriority w:val="0"/>
    <w:rPr>
      <w:rFonts w:ascii="宋体"/>
      <w:kern w:val="2"/>
      <w:sz w:val="18"/>
      <w:szCs w:val="18"/>
    </w:rPr>
  </w:style>
  <w:style w:type="character" w:customStyle="1" w:styleId="3885">
    <w:name w:val="a-附件名 Char Char"/>
    <w:qFormat/>
    <w:uiPriority w:val="0"/>
    <w:rPr>
      <w:rFonts w:ascii="Times New Roman" w:hAnsi="Times New Roman" w:eastAsia="仿宋" w:cs="Times New Roman"/>
      <w:b/>
      <w:color w:val="000000"/>
      <w:sz w:val="32"/>
      <w:szCs w:val="21"/>
    </w:rPr>
  </w:style>
  <w:style w:type="character" w:customStyle="1" w:styleId="3886">
    <w:name w:val="a-备注 Char Char"/>
    <w:qFormat/>
    <w:uiPriority w:val="0"/>
    <w:rPr>
      <w:rFonts w:ascii="Cambria" w:hAnsi="Cambria" w:eastAsia="宋体" w:cs="Times New Roman"/>
      <w:bCs/>
      <w:color w:val="000000"/>
      <w:szCs w:val="32"/>
    </w:rPr>
  </w:style>
  <w:style w:type="character" w:customStyle="1" w:styleId="3887">
    <w:name w:val="Char Char671"/>
    <w:qFormat/>
    <w:uiPriority w:val="0"/>
    <w:rPr>
      <w:rFonts w:ascii="Arial" w:hAnsi="Arial" w:eastAsia="黑体"/>
      <w:kern w:val="2"/>
      <w:sz w:val="24"/>
      <w:szCs w:val="24"/>
    </w:rPr>
  </w:style>
  <w:style w:type="character" w:customStyle="1" w:styleId="3888">
    <w:name w:val="Char1 Char Char Char Char Char Char Char Char Char Char Char"/>
    <w:link w:val="3889"/>
    <w:qFormat/>
    <w:uiPriority w:val="0"/>
    <w:rPr>
      <w:szCs w:val="24"/>
    </w:rPr>
  </w:style>
  <w:style w:type="paragraph" w:customStyle="1" w:styleId="3889">
    <w:name w:val="Char15"/>
    <w:basedOn w:val="1"/>
    <w:link w:val="3888"/>
    <w:qFormat/>
    <w:uiPriority w:val="0"/>
    <w:rPr>
      <w:kern w:val="0"/>
      <w:sz w:val="20"/>
    </w:rPr>
  </w:style>
  <w:style w:type="character" w:customStyle="1" w:styleId="3890">
    <w:name w:val="Char Char162"/>
    <w:qFormat/>
    <w:uiPriority w:val="0"/>
    <w:rPr>
      <w:rFonts w:ascii="Courier New" w:hAnsi="Courier New" w:eastAsia="宋体" w:cs="Courier New"/>
      <w:kern w:val="2"/>
      <w:lang w:val="en-US" w:eastAsia="zh-CN"/>
    </w:rPr>
  </w:style>
  <w:style w:type="character" w:customStyle="1" w:styleId="3891">
    <w:name w:val="Char Char3 Char Char Char Char Char Char Char Char"/>
    <w:qFormat/>
    <w:uiPriority w:val="0"/>
    <w:rPr>
      <w:rFonts w:ascii="Calibri" w:hAnsi="Calibri"/>
      <w:sz w:val="24"/>
      <w:szCs w:val="24"/>
    </w:rPr>
  </w:style>
  <w:style w:type="character" w:customStyle="1" w:styleId="3892">
    <w:name w:val="Char Char362"/>
    <w:qFormat/>
    <w:uiPriority w:val="0"/>
    <w:rPr>
      <w:rFonts w:ascii="仿宋_GB2312" w:hAnsi="Arial" w:eastAsia="仿宋_GB2312"/>
      <w:b/>
      <w:bCs/>
      <w:kern w:val="2"/>
      <w:sz w:val="28"/>
      <w:szCs w:val="28"/>
      <w:lang w:val="en-US" w:eastAsia="zh-CN"/>
    </w:rPr>
  </w:style>
  <w:style w:type="character" w:customStyle="1" w:styleId="3893">
    <w:name w:val="Char Char312"/>
    <w:qFormat/>
    <w:uiPriority w:val="0"/>
    <w:rPr>
      <w:rFonts w:eastAsia="宋体"/>
      <w:kern w:val="2"/>
      <w:sz w:val="21"/>
      <w:szCs w:val="24"/>
      <w:lang w:val="en-US" w:eastAsia="zh-CN"/>
    </w:rPr>
  </w:style>
  <w:style w:type="character" w:customStyle="1" w:styleId="3894">
    <w:name w:val="Char Char462"/>
    <w:qFormat/>
    <w:uiPriority w:val="0"/>
    <w:rPr>
      <w:rFonts w:ascii="宋体" w:hAnsi="Courier New"/>
      <w:kern w:val="2"/>
      <w:sz w:val="28"/>
    </w:rPr>
  </w:style>
  <w:style w:type="character" w:customStyle="1" w:styleId="3895">
    <w:name w:val="Char Char452"/>
    <w:qFormat/>
    <w:uiPriority w:val="0"/>
    <w:rPr>
      <w:rFonts w:ascii="宋体" w:hAnsi="Courier New"/>
      <w:color w:val="000000"/>
      <w:kern w:val="2"/>
      <w:sz w:val="21"/>
    </w:rPr>
  </w:style>
  <w:style w:type="character" w:customStyle="1" w:styleId="3896">
    <w:name w:val="Char Char482"/>
    <w:qFormat/>
    <w:uiPriority w:val="0"/>
    <w:rPr>
      <w:kern w:val="2"/>
      <w:sz w:val="21"/>
      <w:szCs w:val="24"/>
      <w:shd w:val="clear" w:color="auto" w:fill="000080"/>
    </w:rPr>
  </w:style>
  <w:style w:type="character" w:customStyle="1" w:styleId="3897">
    <w:name w:val="Char Char472"/>
    <w:qFormat/>
    <w:uiPriority w:val="0"/>
    <w:rPr>
      <w:kern w:val="2"/>
      <w:sz w:val="18"/>
      <w:szCs w:val="18"/>
    </w:rPr>
  </w:style>
  <w:style w:type="character" w:customStyle="1" w:styleId="3898">
    <w:name w:val="行号12"/>
    <w:qFormat/>
    <w:uiPriority w:val="0"/>
  </w:style>
  <w:style w:type="character" w:customStyle="1" w:styleId="3899">
    <w:name w:val="HTML 样本12"/>
    <w:qFormat/>
    <w:uiPriority w:val="0"/>
    <w:rPr>
      <w:rFonts w:ascii="Courier New" w:hAnsi="Courier New" w:cs="Courier New"/>
    </w:rPr>
  </w:style>
  <w:style w:type="character" w:customStyle="1" w:styleId="3900">
    <w:name w:val="HTML 代码12"/>
    <w:qFormat/>
    <w:uiPriority w:val="0"/>
    <w:rPr>
      <w:rFonts w:ascii="Courier New" w:hAnsi="Courier New" w:cs="Courier New"/>
      <w:sz w:val="20"/>
      <w:szCs w:val="20"/>
    </w:rPr>
  </w:style>
  <w:style w:type="character" w:customStyle="1" w:styleId="3901">
    <w:name w:val="行号2"/>
    <w:qFormat/>
    <w:uiPriority w:val="0"/>
  </w:style>
  <w:style w:type="character" w:customStyle="1" w:styleId="3902">
    <w:name w:val="Char Char3 Char Char Char Char Char Char3"/>
    <w:link w:val="3903"/>
    <w:qFormat/>
    <w:uiPriority w:val="0"/>
    <w:rPr>
      <w:rFonts w:ascii="Calibri" w:hAnsi="Calibri"/>
      <w:sz w:val="24"/>
      <w:szCs w:val="24"/>
    </w:rPr>
  </w:style>
  <w:style w:type="paragraph" w:customStyle="1" w:styleId="3903">
    <w:name w:val="Char Char3 Char Char Char Char3"/>
    <w:basedOn w:val="1"/>
    <w:link w:val="3902"/>
    <w:qFormat/>
    <w:uiPriority w:val="0"/>
    <w:pPr>
      <w:spacing w:line="360" w:lineRule="auto"/>
      <w:ind w:firstLine="200" w:firstLineChars="200"/>
    </w:pPr>
    <w:rPr>
      <w:rFonts w:ascii="Calibri" w:hAnsi="Calibri"/>
      <w:kern w:val="0"/>
      <w:sz w:val="24"/>
    </w:rPr>
  </w:style>
  <w:style w:type="character" w:customStyle="1" w:styleId="3904">
    <w:name w:val="a-图件 Char Char"/>
    <w:qFormat/>
    <w:uiPriority w:val="0"/>
    <w:rPr>
      <w:rFonts w:ascii="Times New Roman" w:hAnsi="Times New Roman" w:eastAsia="仿宋" w:cs="Times New Roman"/>
      <w:b/>
      <w:color w:val="000000"/>
      <w:sz w:val="24"/>
      <w:szCs w:val="21"/>
    </w:rPr>
  </w:style>
  <w:style w:type="character" w:customStyle="1" w:styleId="3905">
    <w:name w:val="Char Char143"/>
    <w:qFormat/>
    <w:uiPriority w:val="0"/>
    <w:rPr>
      <w:rFonts w:eastAsia="宋体"/>
      <w:kern w:val="2"/>
      <w:sz w:val="21"/>
      <w:szCs w:val="24"/>
      <w:lang w:val="en-US" w:eastAsia="zh-CN"/>
    </w:rPr>
  </w:style>
  <w:style w:type="character" w:customStyle="1" w:styleId="3906">
    <w:name w:val="Char Char442"/>
    <w:qFormat/>
    <w:uiPriority w:val="0"/>
    <w:rPr>
      <w:rFonts w:ascii="Arial" w:hAnsi="Arial" w:cs="Arial"/>
      <w:b/>
      <w:bCs/>
      <w:kern w:val="2"/>
      <w:sz w:val="32"/>
      <w:szCs w:val="32"/>
    </w:rPr>
  </w:style>
  <w:style w:type="character" w:customStyle="1" w:styleId="3907">
    <w:name w:val="a-表内 Char Char"/>
    <w:qFormat/>
    <w:uiPriority w:val="0"/>
    <w:rPr>
      <w:rFonts w:ascii="Times New Roman" w:hAnsi="Times New Roman" w:eastAsia="仿宋" w:cs="Times New Roman"/>
      <w:color w:val="000000"/>
      <w:szCs w:val="21"/>
    </w:rPr>
  </w:style>
  <w:style w:type="character" w:customStyle="1" w:styleId="3908">
    <w:name w:val="a-表名 Char Char"/>
    <w:qFormat/>
    <w:uiPriority w:val="0"/>
    <w:rPr>
      <w:rFonts w:ascii="Times New Roman" w:hAnsi="Times New Roman" w:eastAsia="仿宋" w:cs="Times New Roman"/>
      <w:b/>
      <w:color w:val="000000"/>
      <w:sz w:val="24"/>
      <w:szCs w:val="21"/>
    </w:rPr>
  </w:style>
  <w:style w:type="character" w:customStyle="1" w:styleId="3909">
    <w:name w:val="a-目录标题 Char Char"/>
    <w:qFormat/>
    <w:uiPriority w:val="0"/>
    <w:rPr>
      <w:rFonts w:ascii="Times New Roman" w:hAnsi="Times New Roman" w:eastAsia="仿宋" w:cs="Times New Roman"/>
      <w:b/>
      <w:color w:val="000000"/>
      <w:sz w:val="28"/>
      <w:szCs w:val="21"/>
    </w:rPr>
  </w:style>
  <w:style w:type="character" w:customStyle="1" w:styleId="3910">
    <w:name w:val="Normal Indent Char Char"/>
    <w:qFormat/>
    <w:uiPriority w:val="0"/>
  </w:style>
  <w:style w:type="character" w:customStyle="1" w:styleId="3911">
    <w:name w:val="HTML 引文2"/>
    <w:qFormat/>
    <w:uiPriority w:val="0"/>
    <w:rPr>
      <w:i/>
      <w:iCs/>
    </w:rPr>
  </w:style>
  <w:style w:type="character" w:customStyle="1" w:styleId="3912">
    <w:name w:val="Char Char392"/>
    <w:qFormat/>
    <w:uiPriority w:val="0"/>
    <w:rPr>
      <w:rFonts w:ascii="Arial" w:hAnsi="Arial" w:eastAsia="黑体"/>
      <w:b/>
      <w:bCs/>
      <w:kern w:val="2"/>
      <w:sz w:val="32"/>
      <w:szCs w:val="32"/>
      <w:lang w:val="en-US" w:eastAsia="zh-CN"/>
    </w:rPr>
  </w:style>
  <w:style w:type="character" w:customStyle="1" w:styleId="3913">
    <w:name w:val="HTML 定义2"/>
    <w:qFormat/>
    <w:uiPriority w:val="0"/>
    <w:rPr>
      <w:i/>
      <w:iCs/>
    </w:rPr>
  </w:style>
  <w:style w:type="character" w:customStyle="1" w:styleId="3914">
    <w:name w:val="Char Char382"/>
    <w:qFormat/>
    <w:uiPriority w:val="0"/>
    <w:rPr>
      <w:rFonts w:ascii="仿宋_GB2312" w:hAnsi="Arial" w:eastAsia="仿宋_GB2312"/>
      <w:bCs/>
      <w:kern w:val="2"/>
      <w:sz w:val="28"/>
      <w:szCs w:val="28"/>
      <w:lang w:val="en-US" w:eastAsia="zh-CN"/>
    </w:rPr>
  </w:style>
  <w:style w:type="character" w:customStyle="1" w:styleId="3915">
    <w:name w:val="Char Char342"/>
    <w:qFormat/>
    <w:uiPriority w:val="0"/>
    <w:rPr>
      <w:rFonts w:ascii="Arial" w:hAnsi="Arial" w:eastAsia="黑体"/>
      <w:b/>
      <w:bCs/>
      <w:kern w:val="2"/>
      <w:sz w:val="24"/>
      <w:szCs w:val="24"/>
      <w:lang w:val="en-US" w:eastAsia="zh-CN"/>
    </w:rPr>
  </w:style>
  <w:style w:type="character" w:customStyle="1" w:styleId="3916">
    <w:name w:val="HTML 键盘12"/>
    <w:qFormat/>
    <w:uiPriority w:val="0"/>
    <w:rPr>
      <w:rFonts w:ascii="Courier New" w:hAnsi="Courier New" w:cs="Courier New"/>
      <w:sz w:val="20"/>
      <w:szCs w:val="20"/>
    </w:rPr>
  </w:style>
  <w:style w:type="character" w:customStyle="1" w:styleId="3917">
    <w:name w:val="Char Char372"/>
    <w:qFormat/>
    <w:uiPriority w:val="0"/>
    <w:rPr>
      <w:rFonts w:ascii="Arial" w:hAnsi="Arial" w:eastAsia="黑体"/>
      <w:b/>
      <w:bCs/>
      <w:kern w:val="2"/>
      <w:sz w:val="28"/>
      <w:szCs w:val="28"/>
      <w:lang w:val="en-US" w:eastAsia="zh-CN"/>
    </w:rPr>
  </w:style>
  <w:style w:type="character" w:customStyle="1" w:styleId="3918">
    <w:name w:val="正文缩进 Char1 Char Char Char2"/>
    <w:qFormat/>
    <w:uiPriority w:val="0"/>
    <w:rPr>
      <w:rFonts w:eastAsia="宋体"/>
      <w:lang w:val="en-US" w:eastAsia="zh-CN"/>
    </w:rPr>
  </w:style>
  <w:style w:type="character" w:customStyle="1" w:styleId="3919">
    <w:name w:val="Char Char272"/>
    <w:qFormat/>
    <w:uiPriority w:val="0"/>
    <w:rPr>
      <w:rFonts w:ascii="Arial" w:hAnsi="Arial" w:eastAsia="黑体"/>
      <w:b/>
      <w:bCs/>
      <w:kern w:val="2"/>
      <w:sz w:val="24"/>
      <w:szCs w:val="24"/>
      <w:lang w:val="en-US" w:eastAsia="zh-CN"/>
    </w:rPr>
  </w:style>
  <w:style w:type="character" w:customStyle="1" w:styleId="3920">
    <w:name w:val="Char Char262"/>
    <w:qFormat/>
    <w:uiPriority w:val="0"/>
    <w:rPr>
      <w:rFonts w:eastAsia="宋体"/>
      <w:b/>
      <w:bCs/>
      <w:kern w:val="2"/>
      <w:sz w:val="24"/>
      <w:szCs w:val="24"/>
      <w:lang w:val="en-US" w:eastAsia="zh-CN"/>
    </w:rPr>
  </w:style>
  <w:style w:type="character" w:customStyle="1" w:styleId="3921">
    <w:name w:val="Char Char302"/>
    <w:qFormat/>
    <w:uiPriority w:val="0"/>
    <w:rPr>
      <w:rFonts w:eastAsia="宋体"/>
      <w:kern w:val="2"/>
      <w:sz w:val="16"/>
      <w:szCs w:val="16"/>
      <w:lang w:val="en-US" w:eastAsia="zh-CN"/>
    </w:rPr>
  </w:style>
  <w:style w:type="character" w:customStyle="1" w:styleId="3922">
    <w:name w:val="Char Char242"/>
    <w:qFormat/>
    <w:uiPriority w:val="0"/>
    <w:rPr>
      <w:rFonts w:ascii="Arial" w:hAnsi="Arial" w:cs="Arial"/>
      <w:b/>
      <w:bCs/>
      <w:kern w:val="28"/>
      <w:sz w:val="32"/>
      <w:szCs w:val="32"/>
    </w:rPr>
  </w:style>
  <w:style w:type="character" w:customStyle="1" w:styleId="3923">
    <w:name w:val="Char Char182"/>
    <w:qFormat/>
    <w:uiPriority w:val="0"/>
    <w:rPr>
      <w:rFonts w:eastAsia="宋体"/>
      <w:kern w:val="2"/>
      <w:sz w:val="21"/>
      <w:szCs w:val="24"/>
      <w:lang w:val="en-US" w:eastAsia="zh-CN"/>
    </w:rPr>
  </w:style>
  <w:style w:type="character" w:customStyle="1" w:styleId="3924">
    <w:name w:val="Char Char352"/>
    <w:qFormat/>
    <w:uiPriority w:val="0"/>
    <w:rPr>
      <w:rFonts w:eastAsia="宋体"/>
      <w:b/>
      <w:bCs/>
      <w:kern w:val="2"/>
      <w:sz w:val="28"/>
      <w:szCs w:val="28"/>
      <w:lang w:val="en-US" w:eastAsia="zh-CN"/>
    </w:rPr>
  </w:style>
  <w:style w:type="character" w:customStyle="1" w:styleId="3925">
    <w:name w:val="Char Char212"/>
    <w:qFormat/>
    <w:uiPriority w:val="0"/>
    <w:rPr>
      <w:kern w:val="2"/>
      <w:sz w:val="21"/>
      <w:szCs w:val="24"/>
    </w:rPr>
  </w:style>
  <w:style w:type="character" w:customStyle="1" w:styleId="3926">
    <w:name w:val="Char Char422"/>
    <w:qFormat/>
    <w:uiPriority w:val="0"/>
    <w:rPr>
      <w:rFonts w:ascii="Courier New" w:hAnsi="Courier New" w:cs="Courier New"/>
      <w:kern w:val="2"/>
    </w:rPr>
  </w:style>
  <w:style w:type="character" w:customStyle="1" w:styleId="3927">
    <w:name w:val="Char1 Char2"/>
    <w:qFormat/>
    <w:uiPriority w:val="0"/>
    <w:rPr>
      <w:szCs w:val="24"/>
    </w:rPr>
  </w:style>
  <w:style w:type="character" w:customStyle="1" w:styleId="3928">
    <w:name w:val="Char Char332"/>
    <w:qFormat/>
    <w:uiPriority w:val="0"/>
    <w:rPr>
      <w:rFonts w:eastAsia="宋体"/>
      <w:b/>
      <w:bCs/>
      <w:kern w:val="2"/>
      <w:sz w:val="24"/>
      <w:szCs w:val="24"/>
      <w:lang w:val="en-US" w:eastAsia="zh-CN"/>
    </w:rPr>
  </w:style>
  <w:style w:type="character" w:customStyle="1" w:styleId="3929">
    <w:name w:val="批注引用12"/>
    <w:qFormat/>
    <w:uiPriority w:val="0"/>
    <w:rPr>
      <w:sz w:val="21"/>
      <w:szCs w:val="21"/>
    </w:rPr>
  </w:style>
  <w:style w:type="character" w:customStyle="1" w:styleId="3930">
    <w:name w:val="HTML 定义12"/>
    <w:qFormat/>
    <w:uiPriority w:val="0"/>
    <w:rPr>
      <w:i/>
      <w:iCs/>
    </w:rPr>
  </w:style>
  <w:style w:type="character" w:customStyle="1" w:styleId="3931">
    <w:name w:val="HTML 缩写12"/>
    <w:qFormat/>
    <w:uiPriority w:val="0"/>
  </w:style>
  <w:style w:type="character" w:customStyle="1" w:styleId="3932">
    <w:name w:val="Char1 Char Char3"/>
    <w:qFormat/>
    <w:uiPriority w:val="0"/>
    <w:rPr>
      <w:kern w:val="2"/>
      <w:sz w:val="21"/>
      <w:szCs w:val="24"/>
    </w:rPr>
  </w:style>
  <w:style w:type="character" w:customStyle="1" w:styleId="3933">
    <w:name w:val="图解 Char Char"/>
    <w:qFormat/>
    <w:uiPriority w:val="0"/>
    <w:rPr>
      <w:rFonts w:ascii="Times New Roman" w:hAnsi="Times New Roman" w:eastAsia="宋体" w:cs="Times New Roman"/>
      <w:sz w:val="18"/>
      <w:szCs w:val="21"/>
      <w:lang w:val="en-US" w:eastAsia="zh-CN"/>
    </w:rPr>
  </w:style>
  <w:style w:type="character" w:customStyle="1" w:styleId="3934">
    <w:name w:val="五级标题 Char Char"/>
    <w:qFormat/>
    <w:uiPriority w:val="0"/>
    <w:rPr>
      <w:rFonts w:ascii="Times New Roman" w:hAnsi="Times New Roman" w:eastAsia="黑体" w:cs="Times New Roman"/>
      <w:b/>
      <w:bCs/>
      <w:sz w:val="24"/>
      <w:szCs w:val="24"/>
      <w:lang w:val="en-US" w:eastAsia="zh-CN"/>
    </w:rPr>
  </w:style>
  <w:style w:type="character" w:customStyle="1" w:styleId="3935">
    <w:name w:val="a-标题5 Char Char"/>
    <w:qFormat/>
    <w:uiPriority w:val="0"/>
    <w:rPr>
      <w:b/>
      <w:bCs/>
      <w:smallCaps/>
      <w:color w:val="000000"/>
      <w:sz w:val="24"/>
      <w:szCs w:val="24"/>
    </w:rPr>
  </w:style>
  <w:style w:type="character" w:customStyle="1" w:styleId="3936">
    <w:name w:val="Char Char691"/>
    <w:qFormat/>
    <w:uiPriority w:val="0"/>
    <w:rPr>
      <w:rFonts w:ascii="Cambria" w:hAnsi="Cambria"/>
      <w:b/>
      <w:bCs/>
      <w:color w:val="000000"/>
      <w:kern w:val="2"/>
      <w:sz w:val="24"/>
      <w:szCs w:val="24"/>
    </w:rPr>
  </w:style>
  <w:style w:type="character" w:customStyle="1" w:styleId="3937">
    <w:name w:val="Char Char641"/>
    <w:qFormat/>
    <w:uiPriority w:val="0"/>
    <w:rPr>
      <w:rFonts w:eastAsia="宋体"/>
      <w:kern w:val="2"/>
      <w:sz w:val="21"/>
      <w:szCs w:val="24"/>
    </w:rPr>
  </w:style>
  <w:style w:type="character" w:customStyle="1" w:styleId="3938">
    <w:name w:val="Char Char731"/>
    <w:qFormat/>
    <w:uiPriority w:val="0"/>
    <w:rPr>
      <w:rFonts w:eastAsia="宋体"/>
      <w:b/>
      <w:bCs/>
      <w:smallCaps/>
      <w:color w:val="000000"/>
      <w:kern w:val="2"/>
      <w:sz w:val="28"/>
      <w:szCs w:val="28"/>
    </w:rPr>
  </w:style>
  <w:style w:type="character" w:customStyle="1" w:styleId="3939">
    <w:name w:val="Char Char711"/>
    <w:qFormat/>
    <w:uiPriority w:val="0"/>
    <w:rPr>
      <w:b/>
      <w:bCs/>
      <w:smallCaps/>
      <w:color w:val="000000"/>
      <w:kern w:val="2"/>
      <w:sz w:val="24"/>
      <w:szCs w:val="24"/>
      <w:lang w:val="en-US" w:eastAsia="zh-CN"/>
    </w:rPr>
  </w:style>
  <w:style w:type="character" w:customStyle="1" w:styleId="3940">
    <w:name w:val="【图片】 Char Char Char Char"/>
    <w:uiPriority w:val="0"/>
    <w:rPr>
      <w:rFonts w:ascii="宋体" w:hAnsi="宋体" w:eastAsia="Times New Roman"/>
      <w:sz w:val="24"/>
      <w:lang w:val="en-US" w:eastAsia="zh-CN"/>
    </w:rPr>
  </w:style>
  <w:style w:type="character" w:customStyle="1" w:styleId="3941">
    <w:name w:val="宁扬 Char Char"/>
    <w:qFormat/>
    <w:uiPriority w:val="0"/>
    <w:rPr>
      <w:rFonts w:ascii="仿宋_GB2312" w:eastAsia="仿宋_GB2312"/>
      <w:sz w:val="28"/>
      <w:szCs w:val="24"/>
    </w:rPr>
  </w:style>
  <w:style w:type="character" w:customStyle="1" w:styleId="3942">
    <w:name w:val="HTML 键盘2"/>
    <w:qFormat/>
    <w:uiPriority w:val="0"/>
    <w:rPr>
      <w:rFonts w:ascii="Courier New" w:hAnsi="Courier New" w:cs="Courier New"/>
      <w:sz w:val="20"/>
      <w:szCs w:val="20"/>
    </w:rPr>
  </w:style>
  <w:style w:type="character" w:customStyle="1" w:styleId="3943">
    <w:name w:val="HTML 打字机2"/>
    <w:qFormat/>
    <w:uiPriority w:val="0"/>
    <w:rPr>
      <w:rFonts w:ascii="Courier New" w:hAnsi="Courier New" w:cs="Courier New"/>
      <w:sz w:val="20"/>
      <w:szCs w:val="20"/>
    </w:rPr>
  </w:style>
  <w:style w:type="paragraph" w:customStyle="1" w:styleId="3944">
    <w:name w:val="Char1 Char Char Char Char Char Char1 Char Char Char3"/>
    <w:basedOn w:val="1"/>
    <w:qFormat/>
    <w:uiPriority w:val="0"/>
    <w:pPr>
      <w:spacing w:line="360" w:lineRule="auto"/>
      <w:ind w:firstLine="200" w:firstLineChars="200"/>
    </w:pPr>
    <w:rPr>
      <w:rFonts w:ascii="宋体" w:hAnsi="宋体" w:cs="宋体"/>
      <w:sz w:val="24"/>
      <w:szCs w:val="28"/>
    </w:rPr>
  </w:style>
  <w:style w:type="paragraph" w:customStyle="1" w:styleId="3945">
    <w:name w:val="Char1 Char Char Char Char Char Char3"/>
    <w:basedOn w:val="1"/>
    <w:qFormat/>
    <w:uiPriority w:val="0"/>
  </w:style>
  <w:style w:type="paragraph" w:customStyle="1" w:styleId="3946">
    <w:name w:val="Char Char1 Char Char Char Char Char Char Char Char Char Char Char Char3"/>
    <w:basedOn w:val="1"/>
    <w:qFormat/>
    <w:uiPriority w:val="0"/>
  </w:style>
  <w:style w:type="paragraph" w:customStyle="1" w:styleId="3947">
    <w:name w:val="Char4 Char Char Char Char Char Char13"/>
    <w:basedOn w:val="1"/>
    <w:qFormat/>
    <w:uiPriority w:val="0"/>
    <w:pPr>
      <w:spacing w:line="360" w:lineRule="auto"/>
      <w:ind w:firstLine="200" w:firstLineChars="200"/>
    </w:pPr>
    <w:rPr>
      <w:rFonts w:ascii="宋体" w:hAnsi="宋体" w:cs="宋体"/>
      <w:sz w:val="24"/>
    </w:rPr>
  </w:style>
  <w:style w:type="paragraph" w:customStyle="1" w:styleId="3948">
    <w:name w:val="Char Char Char Char Char Char2 Char Char Char Char Char Char1 Char3"/>
    <w:basedOn w:val="1"/>
    <w:qFormat/>
    <w:uiPriority w:val="0"/>
    <w:pPr>
      <w:spacing w:before="300" w:after="300" w:line="560" w:lineRule="exact"/>
    </w:pPr>
    <w:rPr>
      <w:rFonts w:eastAsia="黑体"/>
      <w:sz w:val="36"/>
      <w:szCs w:val="36"/>
    </w:rPr>
  </w:style>
  <w:style w:type="paragraph" w:customStyle="1" w:styleId="3949">
    <w:name w:val="Char53"/>
    <w:basedOn w:val="1"/>
    <w:qFormat/>
    <w:uiPriority w:val="0"/>
  </w:style>
  <w:style w:type="paragraph" w:customStyle="1" w:styleId="3950">
    <w:name w:val="Char Char Char Char Char Char2 Char Char Char Char Char Char1 Char Char Char3"/>
    <w:basedOn w:val="1"/>
    <w:qFormat/>
    <w:uiPriority w:val="0"/>
    <w:pPr>
      <w:spacing w:before="300" w:after="300" w:line="560" w:lineRule="exact"/>
    </w:pPr>
    <w:rPr>
      <w:rFonts w:eastAsia="黑体"/>
      <w:sz w:val="36"/>
      <w:szCs w:val="36"/>
    </w:rPr>
  </w:style>
  <w:style w:type="paragraph" w:customStyle="1" w:styleId="3951">
    <w:name w:val="Char Char Char Char Char Char2 Char Char Char Char Char Char13"/>
    <w:basedOn w:val="1"/>
    <w:qFormat/>
    <w:uiPriority w:val="0"/>
    <w:pPr>
      <w:spacing w:before="300" w:after="300" w:line="560" w:lineRule="exact"/>
    </w:pPr>
    <w:rPr>
      <w:rFonts w:eastAsia="黑体"/>
      <w:sz w:val="36"/>
      <w:szCs w:val="36"/>
    </w:rPr>
  </w:style>
  <w:style w:type="paragraph" w:customStyle="1" w:styleId="3952">
    <w:name w:val="Char Char Char Char Char Char Char Char1 Char Char Char Char3"/>
    <w:basedOn w:val="1"/>
    <w:qFormat/>
    <w:uiPriority w:val="0"/>
  </w:style>
  <w:style w:type="paragraph" w:customStyle="1" w:styleId="3953">
    <w:name w:val="Char Char Char Char Char Char Char 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3954">
    <w:name w:val="Char Char Char4"/>
    <w:basedOn w:val="1"/>
    <w:qFormat/>
    <w:uiPriority w:val="0"/>
    <w:pPr>
      <w:spacing w:before="300" w:after="300" w:line="560" w:lineRule="exact"/>
    </w:pPr>
    <w:rPr>
      <w:rFonts w:eastAsia="黑体"/>
      <w:sz w:val="36"/>
      <w:szCs w:val="36"/>
    </w:rPr>
  </w:style>
  <w:style w:type="paragraph" w:customStyle="1" w:styleId="3955">
    <w:name w:val="z-窗体顶端2"/>
    <w:basedOn w:val="1"/>
    <w:next w:val="1"/>
    <w:qFormat/>
    <w:uiPriority w:val="0"/>
    <w:pPr>
      <w:widowControl/>
      <w:pBdr>
        <w:bottom w:val="single" w:color="auto" w:sz="6" w:space="1"/>
      </w:pBdr>
      <w:jc w:val="center"/>
    </w:pPr>
    <w:rPr>
      <w:rFonts w:ascii="Arial" w:hAnsi="Arial"/>
      <w:vanish/>
      <w:sz w:val="16"/>
      <w:szCs w:val="16"/>
    </w:rPr>
  </w:style>
  <w:style w:type="paragraph" w:customStyle="1" w:styleId="3956">
    <w:name w:val="正文文本缩进 32"/>
    <w:basedOn w:val="1"/>
    <w:qFormat/>
    <w:uiPriority w:val="0"/>
    <w:pPr>
      <w:adjustRightInd w:val="0"/>
      <w:spacing w:line="360" w:lineRule="atLeast"/>
      <w:ind w:firstLine="525"/>
      <w:textAlignment w:val="baseline"/>
    </w:pPr>
    <w:rPr>
      <w:rFonts w:ascii="宋体" w:hAnsi="宋体"/>
      <w:kern w:val="0"/>
      <w:sz w:val="24"/>
      <w:szCs w:val="20"/>
    </w:rPr>
  </w:style>
  <w:style w:type="paragraph" w:customStyle="1" w:styleId="3957">
    <w:name w:val="TOC 标题3"/>
    <w:basedOn w:val="3"/>
    <w:next w:val="1"/>
    <w:qFormat/>
    <w:uiPriority w:val="0"/>
    <w:pPr>
      <w:keepNext/>
      <w:keepLines/>
      <w:widowControl/>
      <w:tabs>
        <w:tab w:val="left" w:pos="432"/>
        <w:tab w:val="left" w:pos="786"/>
      </w:tabs>
      <w:adjustRightInd/>
      <w:snapToGrid/>
      <w:spacing w:before="480" w:line="276" w:lineRule="auto"/>
      <w:jc w:val="left"/>
      <w:outlineLvl w:val="9"/>
    </w:pPr>
    <w:rPr>
      <w:rFonts w:ascii="Cambria" w:hAnsi="Cambria"/>
      <w:color w:val="365F91"/>
      <w:kern w:val="0"/>
      <w:sz w:val="28"/>
      <w:szCs w:val="28"/>
    </w:rPr>
  </w:style>
  <w:style w:type="paragraph" w:customStyle="1" w:styleId="3958">
    <w:name w:val="列表接续 52"/>
    <w:basedOn w:val="1"/>
    <w:qFormat/>
    <w:uiPriority w:val="0"/>
    <w:pPr>
      <w:spacing w:after="120"/>
      <w:ind w:left="2100" w:leftChars="1000"/>
    </w:pPr>
  </w:style>
  <w:style w:type="paragraph" w:customStyle="1" w:styleId="3959">
    <w:name w:val="列表编号 32"/>
    <w:basedOn w:val="1"/>
    <w:qFormat/>
    <w:uiPriority w:val="0"/>
    <w:pPr>
      <w:tabs>
        <w:tab w:val="left" w:pos="360"/>
        <w:tab w:val="left" w:pos="1200"/>
      </w:tabs>
      <w:ind w:left="360" w:hanging="360" w:hangingChars="200"/>
    </w:pPr>
  </w:style>
  <w:style w:type="paragraph" w:customStyle="1" w:styleId="3960">
    <w:name w:val="结束语2"/>
    <w:basedOn w:val="1"/>
    <w:qFormat/>
    <w:uiPriority w:val="0"/>
    <w:pPr>
      <w:ind w:left="100" w:leftChars="2100"/>
    </w:pPr>
  </w:style>
  <w:style w:type="paragraph" w:customStyle="1" w:styleId="3961">
    <w:name w:val="纯文本4"/>
    <w:basedOn w:val="1"/>
    <w:qFormat/>
    <w:uiPriority w:val="0"/>
    <w:rPr>
      <w:rFonts w:ascii="宋体" w:hAnsi="Courier New"/>
      <w:sz w:val="28"/>
      <w:szCs w:val="20"/>
    </w:rPr>
  </w:style>
  <w:style w:type="paragraph" w:customStyle="1" w:styleId="3962">
    <w:name w:val="列出段落13"/>
    <w:basedOn w:val="1"/>
    <w:qFormat/>
    <w:uiPriority w:val="0"/>
    <w:pPr>
      <w:widowControl/>
      <w:spacing w:after="200" w:line="276" w:lineRule="auto"/>
      <w:ind w:left="720"/>
      <w:contextualSpacing/>
      <w:jc w:val="left"/>
    </w:pPr>
    <w:rPr>
      <w:rFonts w:ascii="Calibri" w:hAnsi="Calibri"/>
      <w:kern w:val="0"/>
      <w:sz w:val="22"/>
      <w:szCs w:val="22"/>
      <w:lang w:eastAsia="en-US"/>
    </w:rPr>
  </w:style>
  <w:style w:type="paragraph" w:customStyle="1" w:styleId="3963">
    <w:name w:val="签名2"/>
    <w:basedOn w:val="1"/>
    <w:qFormat/>
    <w:uiPriority w:val="0"/>
    <w:pPr>
      <w:ind w:left="100" w:leftChars="2100"/>
    </w:pPr>
  </w:style>
  <w:style w:type="paragraph" w:customStyle="1" w:styleId="3964">
    <w:name w:val="图表目录2"/>
    <w:basedOn w:val="1"/>
    <w:next w:val="1"/>
    <w:qFormat/>
    <w:uiPriority w:val="0"/>
    <w:pPr>
      <w:tabs>
        <w:tab w:val="left" w:pos="510"/>
      </w:tabs>
      <w:adjustRightInd w:val="0"/>
      <w:spacing w:line="240" w:lineRule="atLeast"/>
      <w:jc w:val="left"/>
      <w:textAlignment w:val="baseline"/>
    </w:pPr>
    <w:rPr>
      <w:kern w:val="0"/>
      <w:sz w:val="24"/>
      <w:szCs w:val="20"/>
    </w:rPr>
  </w:style>
  <w:style w:type="paragraph" w:customStyle="1" w:styleId="3965">
    <w:name w:val="收信人地址2"/>
    <w:basedOn w:val="1"/>
    <w:qFormat/>
    <w:uiPriority w:val="0"/>
    <w:pPr>
      <w:snapToGrid w:val="0"/>
      <w:ind w:left="100" w:leftChars="1400"/>
    </w:pPr>
    <w:rPr>
      <w:rFonts w:ascii="Arial" w:hAnsi="Arial" w:cs="Arial"/>
    </w:rPr>
  </w:style>
  <w:style w:type="paragraph" w:customStyle="1" w:styleId="3966">
    <w:name w:val="引文目录标题2"/>
    <w:basedOn w:val="1"/>
    <w:next w:val="1"/>
    <w:qFormat/>
    <w:uiPriority w:val="0"/>
    <w:pPr>
      <w:spacing w:before="120"/>
    </w:pPr>
    <w:rPr>
      <w:rFonts w:ascii="Arial" w:hAnsi="Arial" w:cs="Arial"/>
      <w:sz w:val="24"/>
    </w:rPr>
  </w:style>
  <w:style w:type="paragraph" w:customStyle="1" w:styleId="3967">
    <w:name w:val="宏文本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sz w:val="24"/>
      <w:szCs w:val="24"/>
      <w:lang w:val="en-US" w:eastAsia="zh-CN" w:bidi="ar-SA"/>
    </w:rPr>
  </w:style>
  <w:style w:type="paragraph" w:customStyle="1" w:styleId="3968">
    <w:name w:val="Char Char Char Char6"/>
    <w:basedOn w:val="1"/>
    <w:qFormat/>
    <w:uiPriority w:val="0"/>
  </w:style>
  <w:style w:type="paragraph" w:customStyle="1" w:styleId="3969">
    <w:name w:val="Char16"/>
    <w:basedOn w:val="1"/>
    <w:qFormat/>
    <w:uiPriority w:val="0"/>
  </w:style>
  <w:style w:type="paragraph" w:customStyle="1" w:styleId="3970">
    <w:name w:val="批注主题2"/>
    <w:basedOn w:val="28"/>
    <w:next w:val="28"/>
    <w:qFormat/>
    <w:uiPriority w:val="0"/>
    <w:rPr>
      <w:b/>
      <w:bCs/>
      <w:kern w:val="0"/>
      <w:sz w:val="24"/>
      <w:szCs w:val="20"/>
    </w:rPr>
  </w:style>
  <w:style w:type="paragraph" w:customStyle="1" w:styleId="3971">
    <w:name w:val="寄信人地址2"/>
    <w:basedOn w:val="1"/>
    <w:qFormat/>
    <w:uiPriority w:val="0"/>
    <w:pPr>
      <w:snapToGrid w:val="0"/>
    </w:pPr>
    <w:rPr>
      <w:rFonts w:ascii="Arial" w:hAnsi="Arial" w:cs="Arial"/>
    </w:rPr>
  </w:style>
  <w:style w:type="paragraph" w:customStyle="1" w:styleId="3972">
    <w:name w:val="HTML 地址2"/>
    <w:basedOn w:val="1"/>
    <w:qFormat/>
    <w:uiPriority w:val="0"/>
    <w:rPr>
      <w:i/>
      <w:iCs/>
    </w:rPr>
  </w:style>
  <w:style w:type="paragraph" w:customStyle="1" w:styleId="3973">
    <w:name w:val="索引 52"/>
    <w:basedOn w:val="1"/>
    <w:next w:val="1"/>
    <w:qFormat/>
    <w:uiPriority w:val="0"/>
    <w:pPr>
      <w:ind w:left="800" w:leftChars="800"/>
    </w:pPr>
    <w:rPr>
      <w:rFonts w:ascii="仿宋_GB2312" w:eastAsia="仿宋_GB2312"/>
      <w:kern w:val="30"/>
      <w:sz w:val="30"/>
      <w:szCs w:val="20"/>
    </w:rPr>
  </w:style>
  <w:style w:type="paragraph" w:customStyle="1" w:styleId="3974">
    <w:name w:val="索引 72"/>
    <w:basedOn w:val="1"/>
    <w:next w:val="1"/>
    <w:qFormat/>
    <w:uiPriority w:val="0"/>
    <w:pPr>
      <w:ind w:left="1200" w:leftChars="1200"/>
    </w:pPr>
    <w:rPr>
      <w:rFonts w:ascii="仿宋_GB2312" w:eastAsia="仿宋_GB2312"/>
      <w:kern w:val="30"/>
      <w:sz w:val="30"/>
      <w:szCs w:val="20"/>
    </w:rPr>
  </w:style>
  <w:style w:type="paragraph" w:customStyle="1" w:styleId="3975">
    <w:name w:val="注释标题2"/>
    <w:basedOn w:val="1"/>
    <w:next w:val="1"/>
    <w:qFormat/>
    <w:uiPriority w:val="0"/>
    <w:pPr>
      <w:jc w:val="center"/>
    </w:pPr>
    <w:rPr>
      <w:kern w:val="0"/>
      <w:sz w:val="20"/>
    </w:rPr>
  </w:style>
  <w:style w:type="paragraph" w:customStyle="1" w:styleId="3976">
    <w:name w:val="字元 字元 字元4"/>
    <w:basedOn w:val="1"/>
    <w:qFormat/>
    <w:uiPriority w:val="0"/>
    <w:pPr>
      <w:spacing w:line="360" w:lineRule="auto"/>
      <w:ind w:firstLine="200" w:firstLineChars="200"/>
    </w:pPr>
    <w:rPr>
      <w:rFonts w:ascii="宋体" w:hAnsi="宋体" w:cs="宋体"/>
      <w:sz w:val="24"/>
    </w:rPr>
  </w:style>
  <w:style w:type="paragraph" w:customStyle="1" w:styleId="3977">
    <w:name w:val="列表编号 52"/>
    <w:basedOn w:val="1"/>
    <w:qFormat/>
    <w:uiPriority w:val="0"/>
    <w:pPr>
      <w:tabs>
        <w:tab w:val="left" w:pos="720"/>
        <w:tab w:val="left" w:pos="2040"/>
      </w:tabs>
      <w:ind w:left="360"/>
    </w:pPr>
  </w:style>
  <w:style w:type="paragraph" w:customStyle="1" w:styleId="3978">
    <w:name w:val="HTML 预设格式2"/>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customStyle="1" w:styleId="3979">
    <w:name w:val="列表接续 22"/>
    <w:basedOn w:val="1"/>
    <w:qFormat/>
    <w:uiPriority w:val="0"/>
    <w:pPr>
      <w:spacing w:after="120"/>
      <w:ind w:left="840" w:leftChars="400"/>
    </w:pPr>
  </w:style>
  <w:style w:type="paragraph" w:customStyle="1" w:styleId="3980">
    <w:name w:val="Char Char Char Char Char Char2 Char Char Char Char Char Char1 Char Char Char Char3"/>
    <w:basedOn w:val="1"/>
    <w:qFormat/>
    <w:uiPriority w:val="0"/>
    <w:pPr>
      <w:spacing w:before="300" w:after="300" w:line="560" w:lineRule="exact"/>
    </w:pPr>
    <w:rPr>
      <w:rFonts w:eastAsia="黑体"/>
      <w:sz w:val="36"/>
      <w:szCs w:val="36"/>
    </w:rPr>
  </w:style>
  <w:style w:type="paragraph" w:customStyle="1" w:styleId="3981">
    <w:name w:val="Char Char Char1 Char Char Char Char Char Char Char Char Char Char4"/>
    <w:basedOn w:val="1"/>
    <w:qFormat/>
    <w:uiPriority w:val="0"/>
    <w:pPr>
      <w:widowControl/>
      <w:jc w:val="left"/>
    </w:pPr>
    <w:rPr>
      <w:rFonts w:ascii="宋体" w:hAnsi="宋体" w:cs="宋体"/>
      <w:kern w:val="0"/>
      <w:sz w:val="24"/>
    </w:rPr>
  </w:style>
  <w:style w:type="paragraph" w:customStyle="1" w:styleId="3982">
    <w:name w:val="Char Char Char Char Char3"/>
    <w:basedOn w:val="1"/>
    <w:qFormat/>
    <w:uiPriority w:val="0"/>
  </w:style>
  <w:style w:type="paragraph" w:customStyle="1" w:styleId="3983">
    <w:name w:val="Char Char Char Char Char Char1 Char Char Char Char3"/>
    <w:basedOn w:val="1"/>
    <w:qFormat/>
    <w:uiPriority w:val="0"/>
    <w:pPr>
      <w:spacing w:before="300" w:after="300" w:line="560" w:lineRule="exact"/>
    </w:pPr>
    <w:rPr>
      <w:rFonts w:eastAsia="黑体"/>
      <w:sz w:val="36"/>
      <w:szCs w:val="36"/>
    </w:rPr>
  </w:style>
  <w:style w:type="paragraph" w:customStyle="1" w:styleId="3984">
    <w:name w:val="Char24"/>
    <w:basedOn w:val="1"/>
    <w:qFormat/>
    <w:uiPriority w:val="0"/>
    <w:rPr>
      <w:szCs w:val="21"/>
    </w:rPr>
  </w:style>
  <w:style w:type="paragraph" w:customStyle="1" w:styleId="3985">
    <w:name w:val="Char Char Char Char Char Char Char Char Char Char Char Char Char Char Char Char Char Char Char Char Char Char3"/>
    <w:basedOn w:val="1"/>
    <w:qFormat/>
    <w:uiPriority w:val="0"/>
    <w:pPr>
      <w:spacing w:line="0" w:lineRule="atLeast"/>
    </w:pPr>
  </w:style>
  <w:style w:type="paragraph" w:customStyle="1" w:styleId="3986">
    <w:name w:val="Char Char Char Char Char Char Char Char Char Char Char Char Char3"/>
    <w:basedOn w:val="1"/>
    <w:qFormat/>
    <w:uiPriority w:val="0"/>
    <w:pPr>
      <w:spacing w:line="240" w:lineRule="atLeast"/>
      <w:ind w:left="420" w:firstLine="420"/>
    </w:pPr>
    <w:rPr>
      <w:kern w:val="0"/>
      <w:szCs w:val="21"/>
    </w:rPr>
  </w:style>
  <w:style w:type="paragraph" w:customStyle="1" w:styleId="3987">
    <w:name w:val="Char1 Char Char Char4"/>
    <w:basedOn w:val="1"/>
    <w:qFormat/>
    <w:uiPriority w:val="0"/>
  </w:style>
  <w:style w:type="paragraph" w:customStyle="1" w:styleId="3988">
    <w:name w:val="列表编号 22"/>
    <w:basedOn w:val="1"/>
    <w:qFormat/>
    <w:uiPriority w:val="0"/>
    <w:pPr>
      <w:tabs>
        <w:tab w:val="left" w:pos="780"/>
      </w:tabs>
      <w:ind w:left="1620" w:leftChars="600" w:hanging="360" w:hangingChars="200"/>
    </w:pPr>
  </w:style>
  <w:style w:type="paragraph" w:customStyle="1" w:styleId="3989">
    <w:name w:val="Char Char Char1 Char4"/>
    <w:basedOn w:val="1"/>
    <w:qFormat/>
    <w:uiPriority w:val="0"/>
  </w:style>
  <w:style w:type="paragraph" w:customStyle="1" w:styleId="3990">
    <w:name w:val="Char1 Char Char1 Char Char Char Char Char Char Char3"/>
    <w:basedOn w:val="1"/>
    <w:qFormat/>
    <w:uiPriority w:val="0"/>
  </w:style>
  <w:style w:type="paragraph" w:customStyle="1" w:styleId="3991">
    <w:name w:val="正文首行缩进4"/>
    <w:basedOn w:val="34"/>
    <w:qFormat/>
    <w:uiPriority w:val="0"/>
    <w:pPr>
      <w:adjustRightInd w:val="0"/>
      <w:spacing w:line="312" w:lineRule="atLeast"/>
      <w:ind w:firstLine="420"/>
      <w:textAlignment w:val="baseline"/>
    </w:pPr>
    <w:rPr>
      <w:kern w:val="0"/>
      <w:sz w:val="24"/>
      <w:szCs w:val="20"/>
    </w:rPr>
  </w:style>
  <w:style w:type="paragraph" w:customStyle="1" w:styleId="3992">
    <w:name w:val="Char43"/>
    <w:basedOn w:val="1"/>
    <w:qFormat/>
    <w:uiPriority w:val="0"/>
    <w:pPr>
      <w:widowControl/>
      <w:jc w:val="left"/>
    </w:pPr>
    <w:rPr>
      <w:rFonts w:ascii="宋体" w:hAnsi="宋体" w:cs="宋体"/>
      <w:kern w:val="0"/>
      <w:sz w:val="24"/>
    </w:rPr>
  </w:style>
  <w:style w:type="paragraph" w:customStyle="1" w:styleId="3993">
    <w:name w:val="Char Char1 Char Char Char Char Char Char Char Char Char3"/>
    <w:basedOn w:val="1"/>
    <w:qFormat/>
    <w:uiPriority w:val="0"/>
  </w:style>
  <w:style w:type="paragraph" w:customStyle="1" w:styleId="3994">
    <w:name w:val="Char63"/>
    <w:basedOn w:val="1"/>
    <w:qFormat/>
    <w:uiPriority w:val="0"/>
    <w:pPr>
      <w:spacing w:line="360" w:lineRule="auto"/>
      <w:ind w:firstLine="200" w:firstLineChars="200"/>
    </w:pPr>
    <w:rPr>
      <w:rFonts w:ascii="宋体" w:hAnsi="宋体" w:cs="宋体"/>
      <w:sz w:val="24"/>
    </w:rPr>
  </w:style>
  <w:style w:type="paragraph" w:customStyle="1" w:styleId="3995">
    <w:name w:val="日期13"/>
    <w:basedOn w:val="1"/>
    <w:next w:val="1"/>
    <w:qFormat/>
    <w:uiPriority w:val="0"/>
    <w:pPr>
      <w:adjustRightInd w:val="0"/>
    </w:pPr>
    <w:rPr>
      <w:sz w:val="28"/>
      <w:szCs w:val="20"/>
    </w:rPr>
  </w:style>
  <w:style w:type="paragraph" w:customStyle="1" w:styleId="3996">
    <w:name w:val="Char2 Char Char Char3"/>
    <w:basedOn w:val="1"/>
    <w:qFormat/>
    <w:uiPriority w:val="0"/>
    <w:pPr>
      <w:spacing w:line="360" w:lineRule="auto"/>
      <w:ind w:firstLine="200" w:firstLineChars="200"/>
    </w:pPr>
    <w:rPr>
      <w:rFonts w:cs="宋体"/>
      <w:sz w:val="24"/>
    </w:rPr>
  </w:style>
  <w:style w:type="paragraph" w:customStyle="1" w:styleId="3997">
    <w:name w:val="Char73"/>
    <w:basedOn w:val="1"/>
    <w:qFormat/>
    <w:uiPriority w:val="0"/>
    <w:pPr>
      <w:adjustRightInd w:val="0"/>
      <w:snapToGrid w:val="0"/>
      <w:spacing w:line="360" w:lineRule="auto"/>
      <w:ind w:firstLine="200" w:firstLineChars="200"/>
    </w:pPr>
    <w:rPr>
      <w:rFonts w:ascii="宋体" w:hAnsi="宋体" w:cs="宋体"/>
      <w:sz w:val="24"/>
    </w:rPr>
  </w:style>
  <w:style w:type="paragraph" w:customStyle="1" w:styleId="3998">
    <w:name w:val="Char Char Char1 Char Char1 Char Char Char3"/>
    <w:basedOn w:val="1"/>
    <w:qFormat/>
    <w:uiPriority w:val="0"/>
    <w:pPr>
      <w:spacing w:line="360" w:lineRule="auto"/>
      <w:ind w:firstLine="200" w:firstLineChars="200"/>
    </w:pPr>
    <w:rPr>
      <w:rFonts w:ascii="宋体" w:hAnsi="宋体" w:cs="宋体"/>
      <w:sz w:val="24"/>
    </w:rPr>
  </w:style>
  <w:style w:type="paragraph" w:customStyle="1" w:styleId="3999">
    <w:name w:val="Char83"/>
    <w:basedOn w:val="1"/>
    <w:qFormat/>
    <w:uiPriority w:val="0"/>
    <w:pPr>
      <w:spacing w:line="360" w:lineRule="auto"/>
      <w:ind w:firstLine="200" w:firstLineChars="200"/>
    </w:pPr>
    <w:rPr>
      <w:rFonts w:ascii="宋体" w:hAnsi="宋体" w:cs="宋体"/>
      <w:sz w:val="24"/>
    </w:rPr>
  </w:style>
  <w:style w:type="paragraph" w:customStyle="1" w:styleId="4000">
    <w:name w:val="Char8 Char Char Char3"/>
    <w:basedOn w:val="1"/>
    <w:qFormat/>
    <w:uiPriority w:val="0"/>
    <w:pPr>
      <w:spacing w:line="360" w:lineRule="auto"/>
      <w:ind w:firstLine="200" w:firstLineChars="200"/>
    </w:pPr>
    <w:rPr>
      <w:rFonts w:ascii="宋体" w:hAnsi="宋体" w:cs="宋体"/>
      <w:sz w:val="24"/>
    </w:rPr>
  </w:style>
  <w:style w:type="paragraph" w:customStyle="1" w:styleId="4001">
    <w:name w:val="Char Char Char Char Char Char Char Char Char Char Char Char Char Char Char Char Char Char3"/>
    <w:basedOn w:val="1"/>
    <w:qFormat/>
    <w:uiPriority w:val="0"/>
  </w:style>
  <w:style w:type="paragraph" w:customStyle="1" w:styleId="4002">
    <w:name w:val="Char4 Char Char Char Char Char Char4"/>
    <w:basedOn w:val="1"/>
    <w:qFormat/>
    <w:uiPriority w:val="0"/>
    <w:pPr>
      <w:spacing w:line="360" w:lineRule="auto"/>
    </w:pPr>
    <w:rPr>
      <w:rFonts w:ascii="宋体" w:hAnsi="宋体" w:cs="宋体"/>
      <w:sz w:val="24"/>
    </w:rPr>
  </w:style>
  <w:style w:type="paragraph" w:customStyle="1" w:styleId="4003">
    <w:name w:val="索引 812"/>
    <w:basedOn w:val="1"/>
    <w:next w:val="1"/>
    <w:qFormat/>
    <w:uiPriority w:val="0"/>
    <w:pPr>
      <w:ind w:left="1400" w:leftChars="1400"/>
    </w:pPr>
    <w:rPr>
      <w:rFonts w:ascii="仿宋_GB2312" w:eastAsia="仿宋_GB2312"/>
      <w:kern w:val="30"/>
      <w:sz w:val="30"/>
      <w:szCs w:val="30"/>
    </w:rPr>
  </w:style>
  <w:style w:type="paragraph" w:customStyle="1" w:styleId="4004">
    <w:name w:val="普通(网站)12"/>
    <w:basedOn w:val="1"/>
    <w:qFormat/>
    <w:uiPriority w:val="0"/>
    <w:pPr>
      <w:widowControl/>
      <w:spacing w:before="100" w:beforeAutospacing="1" w:after="100" w:afterAutospacing="1"/>
      <w:jc w:val="left"/>
    </w:pPr>
    <w:rPr>
      <w:rFonts w:ascii="宋体" w:hAnsi="宋体" w:cs="宋体"/>
      <w:kern w:val="0"/>
      <w:sz w:val="24"/>
    </w:rPr>
  </w:style>
  <w:style w:type="paragraph" w:customStyle="1" w:styleId="4005">
    <w:name w:val="正文文本缩进 213"/>
    <w:basedOn w:val="1"/>
    <w:qFormat/>
    <w:uiPriority w:val="0"/>
    <w:pPr>
      <w:adjustRightInd w:val="0"/>
      <w:snapToGrid w:val="0"/>
      <w:spacing w:line="580" w:lineRule="exact"/>
      <w:ind w:firstLine="560" w:firstLineChars="200"/>
    </w:pPr>
    <w:rPr>
      <w:rFonts w:ascii="宋体" w:hAnsi="宋体"/>
      <w:sz w:val="28"/>
      <w:szCs w:val="30"/>
    </w:rPr>
  </w:style>
  <w:style w:type="paragraph" w:customStyle="1" w:styleId="4006">
    <w:name w:val="Char Char23 Char Char Char Char Char Char Char Char Char Char Char Char Char Char Char Char Char Char Char Char Char Char2"/>
    <w:basedOn w:val="1"/>
    <w:qFormat/>
    <w:uiPriority w:val="0"/>
    <w:rPr>
      <w:rFonts w:ascii="宋体" w:hAnsi="宋体" w:cs="宋体"/>
      <w:sz w:val="24"/>
    </w:rPr>
  </w:style>
  <w:style w:type="paragraph" w:customStyle="1" w:styleId="4007">
    <w:name w:val="Char Char293"/>
    <w:basedOn w:val="1"/>
    <w:qFormat/>
    <w:uiPriority w:val="0"/>
    <w:pPr>
      <w:spacing w:line="360" w:lineRule="auto"/>
    </w:pPr>
    <w:rPr>
      <w:sz w:val="24"/>
    </w:rPr>
  </w:style>
  <w:style w:type="paragraph" w:customStyle="1" w:styleId="4008">
    <w:name w:val="正文文本缩进 312"/>
    <w:basedOn w:val="1"/>
    <w:qFormat/>
    <w:uiPriority w:val="0"/>
    <w:pPr>
      <w:adjustRightInd w:val="0"/>
      <w:spacing w:line="360" w:lineRule="atLeast"/>
      <w:ind w:firstLine="525"/>
      <w:textAlignment w:val="baseline"/>
    </w:pPr>
    <w:rPr>
      <w:rFonts w:ascii="宋体" w:hAnsi="宋体"/>
      <w:kern w:val="0"/>
      <w:sz w:val="24"/>
      <w:szCs w:val="20"/>
    </w:rPr>
  </w:style>
  <w:style w:type="paragraph" w:customStyle="1" w:styleId="4009">
    <w:name w:val="列表编号 412"/>
    <w:basedOn w:val="1"/>
    <w:qFormat/>
    <w:uiPriority w:val="0"/>
    <w:pPr>
      <w:tabs>
        <w:tab w:val="left" w:pos="1200"/>
        <w:tab w:val="left" w:pos="1620"/>
      </w:tabs>
      <w:ind w:left="1200" w:leftChars="400" w:hanging="360" w:hangingChars="200"/>
    </w:pPr>
  </w:style>
  <w:style w:type="paragraph" w:customStyle="1" w:styleId="4010">
    <w:name w:val="HTML 地址12"/>
    <w:basedOn w:val="1"/>
    <w:qFormat/>
    <w:uiPriority w:val="0"/>
    <w:rPr>
      <w:i/>
      <w:iCs/>
    </w:rPr>
  </w:style>
  <w:style w:type="paragraph" w:customStyle="1" w:styleId="4011">
    <w:name w:val="HTML 预设格式12"/>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customStyle="1" w:styleId="4012">
    <w:name w:val="Char Char28 Char Char12"/>
    <w:basedOn w:val="1"/>
    <w:qFormat/>
    <w:uiPriority w:val="0"/>
    <w:pPr>
      <w:spacing w:before="300" w:after="300" w:line="560" w:lineRule="exact"/>
    </w:pPr>
    <w:rPr>
      <w:rFonts w:eastAsia="黑体"/>
      <w:sz w:val="36"/>
      <w:szCs w:val="36"/>
    </w:rPr>
  </w:style>
  <w:style w:type="paragraph" w:customStyle="1" w:styleId="4013">
    <w:name w:val="Char Char Char1 Char Char Char Char Char Char Char Char Char Char Char Char Char12"/>
    <w:basedOn w:val="1"/>
    <w:next w:val="1"/>
    <w:qFormat/>
    <w:uiPriority w:val="0"/>
    <w:pPr>
      <w:spacing w:line="360" w:lineRule="auto"/>
      <w:ind w:left="-84" w:leftChars="-30" w:right="-76" w:rightChars="-27" w:firstLine="560" w:firstLineChars="200"/>
      <w:jc w:val="left"/>
    </w:pPr>
    <w:rPr>
      <w:rFonts w:ascii="Arial" w:hAnsi="Arial" w:cs="Arial"/>
      <w:sz w:val="28"/>
      <w:szCs w:val="28"/>
    </w:rPr>
  </w:style>
  <w:style w:type="paragraph" w:customStyle="1" w:styleId="4014">
    <w:name w:val="Char92"/>
    <w:basedOn w:val="1"/>
    <w:qFormat/>
    <w:uiPriority w:val="0"/>
    <w:rPr>
      <w:sz w:val="24"/>
      <w:szCs w:val="20"/>
    </w:rPr>
  </w:style>
  <w:style w:type="paragraph" w:customStyle="1" w:styleId="4015">
    <w:name w:val="索引标题12"/>
    <w:basedOn w:val="1"/>
    <w:qFormat/>
    <w:uiPriority w:val="0"/>
    <w:pPr>
      <w:adjustRightInd w:val="0"/>
      <w:spacing w:line="460" w:lineRule="exact"/>
      <w:ind w:firstLine="510"/>
      <w:jc w:val="left"/>
      <w:textAlignment w:val="baseline"/>
    </w:pPr>
    <w:rPr>
      <w:kern w:val="0"/>
      <w:sz w:val="24"/>
    </w:rPr>
  </w:style>
  <w:style w:type="paragraph" w:customStyle="1" w:styleId="4016">
    <w:name w:val="索引 112"/>
    <w:basedOn w:val="1"/>
    <w:next w:val="1"/>
    <w:qFormat/>
    <w:uiPriority w:val="0"/>
    <w:pPr>
      <w:jc w:val="center"/>
    </w:pPr>
  </w:style>
  <w:style w:type="paragraph" w:customStyle="1" w:styleId="4017">
    <w:name w:val="Char Char23 Char Char2"/>
    <w:basedOn w:val="1"/>
    <w:qFormat/>
    <w:uiPriority w:val="0"/>
    <w:rPr>
      <w:rFonts w:ascii="宋体" w:hAnsi="宋体" w:cs="宋体"/>
      <w:sz w:val="24"/>
    </w:rPr>
  </w:style>
  <w:style w:type="paragraph" w:customStyle="1" w:styleId="4018">
    <w:name w:val="列表 312"/>
    <w:basedOn w:val="1"/>
    <w:qFormat/>
    <w:uiPriority w:val="0"/>
    <w:pPr>
      <w:ind w:left="1260" w:hanging="420"/>
    </w:pPr>
    <w:rPr>
      <w:sz w:val="28"/>
      <w:szCs w:val="20"/>
    </w:rPr>
  </w:style>
  <w:style w:type="paragraph" w:customStyle="1" w:styleId="4019">
    <w:name w:val="索引 912"/>
    <w:basedOn w:val="1"/>
    <w:next w:val="1"/>
    <w:qFormat/>
    <w:uiPriority w:val="0"/>
    <w:pPr>
      <w:ind w:left="1600" w:leftChars="1600"/>
    </w:pPr>
    <w:rPr>
      <w:rFonts w:ascii="仿宋_GB2312" w:eastAsia="仿宋_GB2312"/>
      <w:kern w:val="30"/>
      <w:sz w:val="30"/>
      <w:szCs w:val="30"/>
    </w:rPr>
  </w:style>
  <w:style w:type="paragraph" w:customStyle="1" w:styleId="4020">
    <w:name w:val="列表编号 312"/>
    <w:basedOn w:val="1"/>
    <w:qFormat/>
    <w:uiPriority w:val="0"/>
    <w:pPr>
      <w:tabs>
        <w:tab w:val="left" w:pos="1200"/>
      </w:tabs>
      <w:ind w:left="1200" w:leftChars="400" w:hanging="360" w:hangingChars="200"/>
    </w:pPr>
  </w:style>
  <w:style w:type="paragraph" w:customStyle="1" w:styleId="4021">
    <w:name w:val="图表目录12"/>
    <w:basedOn w:val="1"/>
    <w:next w:val="1"/>
    <w:qFormat/>
    <w:uiPriority w:val="0"/>
    <w:pPr>
      <w:tabs>
        <w:tab w:val="left" w:pos="510"/>
      </w:tabs>
      <w:adjustRightInd w:val="0"/>
      <w:spacing w:line="240" w:lineRule="atLeast"/>
      <w:jc w:val="left"/>
      <w:textAlignment w:val="baseline"/>
    </w:pPr>
    <w:rPr>
      <w:kern w:val="0"/>
      <w:sz w:val="24"/>
      <w:szCs w:val="20"/>
    </w:rPr>
  </w:style>
  <w:style w:type="paragraph" w:customStyle="1" w:styleId="4022">
    <w:name w:val="列表接续 412"/>
    <w:basedOn w:val="1"/>
    <w:qFormat/>
    <w:uiPriority w:val="0"/>
    <w:pPr>
      <w:spacing w:after="120"/>
      <w:ind w:left="1680" w:leftChars="800"/>
    </w:pPr>
  </w:style>
  <w:style w:type="paragraph" w:customStyle="1" w:styleId="4023">
    <w:name w:val="结束语12"/>
    <w:basedOn w:val="1"/>
    <w:qFormat/>
    <w:uiPriority w:val="0"/>
    <w:pPr>
      <w:ind w:left="100" w:leftChars="2100"/>
    </w:pPr>
  </w:style>
  <w:style w:type="paragraph" w:customStyle="1" w:styleId="4024">
    <w:name w:val="引文目录标题12"/>
    <w:basedOn w:val="1"/>
    <w:next w:val="1"/>
    <w:qFormat/>
    <w:uiPriority w:val="0"/>
    <w:pPr>
      <w:spacing w:before="120"/>
    </w:pPr>
    <w:rPr>
      <w:rFonts w:ascii="Arial" w:hAnsi="Arial" w:cs="Arial"/>
      <w:sz w:val="24"/>
    </w:rPr>
  </w:style>
  <w:style w:type="paragraph" w:customStyle="1" w:styleId="4025">
    <w:name w:val="列表编号 512"/>
    <w:basedOn w:val="1"/>
    <w:qFormat/>
    <w:uiPriority w:val="0"/>
    <w:pPr>
      <w:tabs>
        <w:tab w:val="left" w:pos="425"/>
        <w:tab w:val="left" w:pos="2040"/>
      </w:tabs>
      <w:ind w:left="425" w:hanging="425"/>
    </w:pPr>
  </w:style>
  <w:style w:type="paragraph" w:customStyle="1" w:styleId="4026">
    <w:name w:val="正文首行缩进 212"/>
    <w:qFormat/>
    <w:uiPriority w:val="0"/>
    <w:pPr>
      <w:ind w:firstLine="420" w:firstLineChars="200"/>
    </w:pPr>
    <w:rPr>
      <w:rFonts w:ascii="Times New Roman" w:hAnsi="Times New Roman" w:eastAsia="宋体" w:cs="Times New Roman"/>
      <w:lang w:val="en-US" w:eastAsia="zh-CN" w:bidi="ar-SA"/>
    </w:rPr>
  </w:style>
  <w:style w:type="paragraph" w:customStyle="1" w:styleId="4027">
    <w:name w:val="正文文本缩进12"/>
    <w:basedOn w:val="1"/>
    <w:qFormat/>
    <w:uiPriority w:val="0"/>
    <w:pPr>
      <w:spacing w:after="120"/>
      <w:ind w:left="420" w:leftChars="200"/>
    </w:pPr>
  </w:style>
  <w:style w:type="paragraph" w:customStyle="1" w:styleId="4028">
    <w:name w:val="索引 512"/>
    <w:basedOn w:val="1"/>
    <w:next w:val="1"/>
    <w:qFormat/>
    <w:uiPriority w:val="0"/>
    <w:pPr>
      <w:ind w:left="800" w:leftChars="800"/>
    </w:pPr>
    <w:rPr>
      <w:rFonts w:ascii="仿宋_GB2312" w:eastAsia="仿宋_GB2312"/>
      <w:kern w:val="30"/>
      <w:sz w:val="30"/>
      <w:szCs w:val="20"/>
    </w:rPr>
  </w:style>
  <w:style w:type="paragraph" w:customStyle="1" w:styleId="4029">
    <w:name w:val="Char Char23 Char Char Char Char Char Char Char Char Char Char Char Char Char Char Char Char2"/>
    <w:basedOn w:val="1"/>
    <w:qFormat/>
    <w:uiPriority w:val="0"/>
    <w:rPr>
      <w:rFonts w:ascii="宋体" w:hAnsi="宋体" w:cs="宋体"/>
      <w:sz w:val="24"/>
    </w:rPr>
  </w:style>
  <w:style w:type="paragraph" w:customStyle="1" w:styleId="4030">
    <w:name w:val="Char Char23 Char Char Char Char Char Char Char Char2"/>
    <w:basedOn w:val="1"/>
    <w:qFormat/>
    <w:uiPriority w:val="0"/>
    <w:rPr>
      <w:rFonts w:ascii="宋体" w:hAnsi="宋体" w:cs="宋体"/>
      <w:sz w:val="24"/>
    </w:rPr>
  </w:style>
  <w:style w:type="paragraph" w:customStyle="1" w:styleId="4031">
    <w:name w:val="列表 212"/>
    <w:basedOn w:val="1"/>
    <w:qFormat/>
    <w:uiPriority w:val="0"/>
    <w:pPr>
      <w:ind w:left="100" w:leftChars="200" w:hanging="200" w:hangingChars="200"/>
      <w:contextualSpacing/>
    </w:pPr>
    <w:rPr>
      <w:szCs w:val="20"/>
    </w:rPr>
  </w:style>
  <w:style w:type="paragraph" w:customStyle="1" w:styleId="4032">
    <w:name w:val="Char Char18 Char Char Char Char2"/>
    <w:basedOn w:val="1"/>
    <w:qFormat/>
    <w:uiPriority w:val="0"/>
    <w:pPr>
      <w:spacing w:line="420" w:lineRule="exact"/>
      <w:ind w:left="200" w:leftChars="200" w:right="100" w:rightChars="100" w:firstLine="200" w:firstLineChars="200"/>
    </w:pPr>
    <w:rPr>
      <w:rFonts w:ascii="宋体"/>
      <w:sz w:val="28"/>
      <w:szCs w:val="28"/>
    </w:rPr>
  </w:style>
  <w:style w:type="paragraph" w:customStyle="1" w:styleId="4033">
    <w:name w:val="Char Char1 Char Char Char Char2"/>
    <w:basedOn w:val="1"/>
    <w:next w:val="1"/>
    <w:qFormat/>
    <w:uiPriority w:val="0"/>
    <w:pPr>
      <w:spacing w:line="360" w:lineRule="auto"/>
      <w:ind w:firstLine="200" w:firstLineChars="200"/>
      <w:jc w:val="left"/>
    </w:pPr>
    <w:rPr>
      <w:sz w:val="24"/>
    </w:rPr>
  </w:style>
  <w:style w:type="paragraph" w:customStyle="1" w:styleId="4034">
    <w:name w:val="索引 412"/>
    <w:basedOn w:val="1"/>
    <w:next w:val="1"/>
    <w:qFormat/>
    <w:uiPriority w:val="0"/>
    <w:pPr>
      <w:ind w:left="600" w:leftChars="600"/>
    </w:pPr>
    <w:rPr>
      <w:szCs w:val="20"/>
    </w:rPr>
  </w:style>
  <w:style w:type="paragraph" w:customStyle="1" w:styleId="4035">
    <w:name w:val="列表编号 212"/>
    <w:basedOn w:val="1"/>
    <w:qFormat/>
    <w:uiPriority w:val="0"/>
    <w:pPr>
      <w:tabs>
        <w:tab w:val="left" w:pos="780"/>
        <w:tab w:val="left" w:pos="1620"/>
      </w:tabs>
      <w:ind w:left="1620" w:leftChars="600" w:hanging="360" w:hangingChars="200"/>
    </w:pPr>
  </w:style>
  <w:style w:type="paragraph" w:customStyle="1" w:styleId="4036">
    <w:name w:val="收信人地址12"/>
    <w:basedOn w:val="1"/>
    <w:qFormat/>
    <w:uiPriority w:val="0"/>
    <w:pPr>
      <w:snapToGrid w:val="0"/>
      <w:ind w:left="100" w:leftChars="1400"/>
    </w:pPr>
    <w:rPr>
      <w:rFonts w:ascii="Arial" w:hAnsi="Arial" w:cs="Arial"/>
    </w:rPr>
  </w:style>
  <w:style w:type="paragraph" w:customStyle="1" w:styleId="4037">
    <w:name w:val="列表 512"/>
    <w:basedOn w:val="1"/>
    <w:qFormat/>
    <w:uiPriority w:val="0"/>
    <w:pPr>
      <w:ind w:left="100" w:leftChars="800" w:hanging="200" w:hangingChars="200"/>
    </w:pPr>
  </w:style>
  <w:style w:type="paragraph" w:customStyle="1" w:styleId="4038">
    <w:name w:val="签名12"/>
    <w:basedOn w:val="1"/>
    <w:qFormat/>
    <w:uiPriority w:val="0"/>
    <w:pPr>
      <w:ind w:left="100" w:leftChars="2100"/>
    </w:pPr>
  </w:style>
  <w:style w:type="paragraph" w:customStyle="1" w:styleId="4039">
    <w:name w:val="列表32"/>
    <w:basedOn w:val="1"/>
    <w:qFormat/>
    <w:uiPriority w:val="0"/>
    <w:pPr>
      <w:ind w:left="420" w:hanging="420"/>
    </w:pPr>
    <w:rPr>
      <w:szCs w:val="20"/>
    </w:rPr>
  </w:style>
  <w:style w:type="paragraph" w:customStyle="1" w:styleId="4040">
    <w:name w:val="列表接续12"/>
    <w:basedOn w:val="1"/>
    <w:qFormat/>
    <w:uiPriority w:val="0"/>
    <w:pPr>
      <w:spacing w:after="120"/>
      <w:ind w:left="420" w:leftChars="200"/>
    </w:pPr>
  </w:style>
  <w:style w:type="paragraph" w:customStyle="1" w:styleId="4041">
    <w:name w:val="寄信人地址12"/>
    <w:basedOn w:val="1"/>
    <w:qFormat/>
    <w:uiPriority w:val="0"/>
    <w:pPr>
      <w:snapToGrid w:val="0"/>
    </w:pPr>
    <w:rPr>
      <w:rFonts w:ascii="Arial" w:hAnsi="Arial" w:cs="Arial"/>
    </w:rPr>
  </w:style>
  <w:style w:type="paragraph" w:customStyle="1" w:styleId="4042">
    <w:name w:val="索引 612"/>
    <w:basedOn w:val="1"/>
    <w:next w:val="1"/>
    <w:qFormat/>
    <w:uiPriority w:val="0"/>
    <w:pPr>
      <w:ind w:left="1000" w:leftChars="1000"/>
    </w:pPr>
    <w:rPr>
      <w:rFonts w:ascii="仿宋_GB2312" w:eastAsia="仿宋_GB2312"/>
      <w:kern w:val="30"/>
      <w:sz w:val="30"/>
      <w:szCs w:val="20"/>
    </w:rPr>
  </w:style>
  <w:style w:type="paragraph" w:customStyle="1" w:styleId="4043">
    <w:name w:val="Char Char Char1 Char Char Char2"/>
    <w:basedOn w:val="5"/>
    <w:qFormat/>
    <w:uiPriority w:val="0"/>
    <w:pPr>
      <w:tabs>
        <w:tab w:val="left" w:pos="360"/>
        <w:tab w:val="left" w:pos="786"/>
        <w:tab w:val="left" w:pos="900"/>
      </w:tabs>
      <w:snapToGrid w:val="0"/>
      <w:spacing w:before="120" w:after="120" w:line="360" w:lineRule="auto"/>
      <w:ind w:left="542" w:leftChars="-12" w:firstLine="200" w:firstLineChars="200"/>
    </w:pPr>
    <w:rPr>
      <w:rFonts w:ascii="Verdana" w:hAnsi="Verdana"/>
      <w:b w:val="0"/>
      <w:bCs w:val="0"/>
      <w:kern w:val="0"/>
      <w:sz w:val="20"/>
      <w:szCs w:val="24"/>
      <w:lang w:eastAsia="en-US"/>
    </w:rPr>
  </w:style>
  <w:style w:type="paragraph" w:customStyle="1" w:styleId="4044">
    <w:name w:val="Char Char23 Char Char Char Char Char Char Char Char Char Char Char Char Char Char Char Char Char Char2"/>
    <w:basedOn w:val="1"/>
    <w:qFormat/>
    <w:uiPriority w:val="0"/>
    <w:rPr>
      <w:rFonts w:ascii="宋体" w:hAnsi="宋体" w:cs="宋体"/>
      <w:sz w:val="24"/>
    </w:rPr>
  </w:style>
  <w:style w:type="paragraph" w:customStyle="1" w:styleId="4045">
    <w:name w:val="Char Char23 Char Char Char Char Char Char Char Char Char Char Char Char Char Char Char Char Char Char Char Char Char Char Char Char2"/>
    <w:basedOn w:val="1"/>
    <w:qFormat/>
    <w:uiPriority w:val="0"/>
    <w:rPr>
      <w:rFonts w:ascii="宋体" w:hAnsi="宋体" w:cs="宋体"/>
      <w:sz w:val="24"/>
    </w:rPr>
  </w:style>
  <w:style w:type="paragraph" w:customStyle="1" w:styleId="4046">
    <w:name w:val="Char Char Знак Знак2"/>
    <w:basedOn w:val="1"/>
    <w:qFormat/>
    <w:uiPriority w:val="0"/>
    <w:pPr>
      <w:widowControl/>
      <w:spacing w:after="160" w:line="240" w:lineRule="exact"/>
      <w:jc w:val="left"/>
    </w:pPr>
    <w:rPr>
      <w:b/>
      <w:kern w:val="0"/>
      <w:sz w:val="28"/>
      <w:lang w:eastAsia="en-US"/>
    </w:rPr>
  </w:style>
  <w:style w:type="paragraph" w:customStyle="1" w:styleId="4047">
    <w:name w:val="Char Char1 Char Char Char Char Char Char1 Char Char Char Char2"/>
    <w:basedOn w:val="1"/>
    <w:qFormat/>
    <w:uiPriority w:val="0"/>
    <w:rPr>
      <w:szCs w:val="21"/>
    </w:rPr>
  </w:style>
  <w:style w:type="paragraph" w:customStyle="1" w:styleId="4048">
    <w:name w:val="Char Char Char Char Char Char Char Char Char Char Char Char Char Char Char Char Char Char Char2"/>
    <w:basedOn w:val="1"/>
    <w:qFormat/>
    <w:uiPriority w:val="0"/>
  </w:style>
  <w:style w:type="paragraph" w:customStyle="1" w:styleId="4049">
    <w:name w:val="纯文本22"/>
    <w:basedOn w:val="1"/>
    <w:qFormat/>
    <w:uiPriority w:val="0"/>
    <w:rPr>
      <w:rFonts w:ascii="宋体" w:hAnsi="Courier New"/>
      <w:sz w:val="28"/>
      <w:szCs w:val="20"/>
    </w:rPr>
  </w:style>
  <w:style w:type="paragraph" w:customStyle="1" w:styleId="4050">
    <w:name w:val="Char Char1 Char Char Char Char Char Char Char2"/>
    <w:basedOn w:val="1"/>
    <w:qFormat/>
    <w:uiPriority w:val="0"/>
  </w:style>
  <w:style w:type="paragraph" w:customStyle="1" w:styleId="4051">
    <w:name w:val="Char Char Char Char Char Char Char Char Char Char Char Char Char Char Char Char2"/>
    <w:basedOn w:val="1"/>
    <w:qFormat/>
    <w:uiPriority w:val="0"/>
    <w:rPr>
      <w:rFonts w:ascii="宋体" w:hAnsi="宋体" w:cs="宋体"/>
      <w:sz w:val="24"/>
    </w:rPr>
  </w:style>
  <w:style w:type="paragraph" w:customStyle="1" w:styleId="4052">
    <w:name w:val="列表接续 212"/>
    <w:basedOn w:val="1"/>
    <w:qFormat/>
    <w:uiPriority w:val="0"/>
    <w:pPr>
      <w:spacing w:after="120"/>
      <w:ind w:left="840" w:leftChars="400"/>
    </w:pPr>
  </w:style>
  <w:style w:type="paragraph" w:customStyle="1" w:styleId="4053">
    <w:name w:val="正文首行缩进12"/>
    <w:basedOn w:val="34"/>
    <w:qFormat/>
    <w:uiPriority w:val="0"/>
    <w:pPr>
      <w:adjustRightInd w:val="0"/>
      <w:spacing w:line="312" w:lineRule="atLeast"/>
      <w:ind w:firstLine="420"/>
      <w:textAlignment w:val="baseline"/>
    </w:pPr>
    <w:rPr>
      <w:kern w:val="0"/>
      <w:sz w:val="24"/>
      <w:szCs w:val="20"/>
    </w:rPr>
  </w:style>
  <w:style w:type="paragraph" w:customStyle="1" w:styleId="4054">
    <w:name w:val="Char Char232"/>
    <w:basedOn w:val="1"/>
    <w:qFormat/>
    <w:uiPriority w:val="0"/>
    <w:rPr>
      <w:rFonts w:ascii="宋体" w:hAnsi="宋体" w:cs="宋体"/>
      <w:sz w:val="24"/>
    </w:rPr>
  </w:style>
  <w:style w:type="paragraph" w:customStyle="1" w:styleId="4055">
    <w:name w:val="信息标题12"/>
    <w:basedOn w:val="34"/>
    <w:qFormat/>
    <w:uiPriority w:val="0"/>
    <w:pPr>
      <w:keepLines/>
      <w:widowControl/>
      <w:tabs>
        <w:tab w:val="left" w:pos="720"/>
        <w:tab w:val="left" w:pos="4320"/>
        <w:tab w:val="left" w:pos="5040"/>
        <w:tab w:val="right" w:pos="8640"/>
      </w:tabs>
      <w:spacing w:after="40" w:line="440" w:lineRule="atLeast"/>
      <w:ind w:left="720" w:hanging="720"/>
      <w:jc w:val="left"/>
    </w:pPr>
    <w:rPr>
      <w:rFonts w:ascii="Arial" w:hAnsi="Arial"/>
      <w:spacing w:val="-5"/>
      <w:kern w:val="0"/>
      <w:sz w:val="20"/>
      <w:szCs w:val="20"/>
    </w:rPr>
  </w:style>
  <w:style w:type="paragraph" w:customStyle="1" w:styleId="4056">
    <w:name w:val="无间隔12"/>
    <w:qFormat/>
    <w:uiPriority w:val="0"/>
    <w:pPr>
      <w:spacing w:line="360" w:lineRule="auto"/>
    </w:pPr>
    <w:rPr>
      <w:rFonts w:ascii="Calibri" w:hAnsi="Calibri" w:eastAsia="宋体" w:cs="Times New Roman"/>
      <w:sz w:val="22"/>
      <w:lang w:val="en-US" w:eastAsia="zh-CN" w:bidi="ar-SA"/>
    </w:rPr>
  </w:style>
  <w:style w:type="paragraph" w:customStyle="1" w:styleId="4057">
    <w:name w:val="文档结构图12"/>
    <w:basedOn w:val="1"/>
    <w:qFormat/>
    <w:uiPriority w:val="0"/>
    <w:pPr>
      <w:shd w:val="clear" w:color="auto" w:fill="000080"/>
    </w:pPr>
    <w:rPr>
      <w:rFonts w:eastAsia="Times New Roman"/>
      <w:szCs w:val="20"/>
      <w:shd w:val="clear" w:color="auto" w:fill="000080"/>
    </w:rPr>
  </w:style>
  <w:style w:type="paragraph" w:customStyle="1" w:styleId="4058">
    <w:name w:val="注释标题12"/>
    <w:basedOn w:val="1"/>
    <w:next w:val="1"/>
    <w:qFormat/>
    <w:uiPriority w:val="0"/>
    <w:pPr>
      <w:jc w:val="center"/>
    </w:pPr>
    <w:rPr>
      <w:kern w:val="0"/>
      <w:sz w:val="20"/>
    </w:rPr>
  </w:style>
  <w:style w:type="paragraph" w:customStyle="1" w:styleId="4059">
    <w:name w:val="批注主题12"/>
    <w:basedOn w:val="28"/>
    <w:next w:val="28"/>
    <w:qFormat/>
    <w:uiPriority w:val="0"/>
    <w:rPr>
      <w:b/>
      <w:bCs/>
      <w:kern w:val="0"/>
      <w:sz w:val="24"/>
      <w:szCs w:val="20"/>
    </w:rPr>
  </w:style>
  <w:style w:type="paragraph" w:customStyle="1" w:styleId="4060">
    <w:name w:val="TOC 标题12"/>
    <w:basedOn w:val="3"/>
    <w:next w:val="1"/>
    <w:qFormat/>
    <w:uiPriority w:val="0"/>
    <w:pPr>
      <w:keepNext/>
      <w:keepLines/>
      <w:widowControl/>
      <w:tabs>
        <w:tab w:val="left" w:pos="432"/>
        <w:tab w:val="left" w:pos="786"/>
      </w:tabs>
      <w:adjustRightInd/>
      <w:snapToGrid/>
      <w:spacing w:before="480" w:line="276" w:lineRule="auto"/>
      <w:jc w:val="left"/>
      <w:outlineLvl w:val="9"/>
    </w:pPr>
    <w:rPr>
      <w:rFonts w:ascii="Cambria" w:hAnsi="Cambria"/>
      <w:color w:val="365F91"/>
      <w:kern w:val="0"/>
      <w:sz w:val="28"/>
      <w:szCs w:val="28"/>
    </w:rPr>
  </w:style>
  <w:style w:type="paragraph" w:customStyle="1" w:styleId="4061">
    <w:name w:val="正文文本 312"/>
    <w:basedOn w:val="1"/>
    <w:qFormat/>
    <w:uiPriority w:val="0"/>
    <w:pPr>
      <w:adjustRightInd w:val="0"/>
      <w:spacing w:after="120" w:line="460" w:lineRule="exact"/>
      <w:ind w:firstLine="510"/>
      <w:jc w:val="left"/>
      <w:textAlignment w:val="baseline"/>
    </w:pPr>
    <w:rPr>
      <w:kern w:val="0"/>
      <w:sz w:val="16"/>
      <w:szCs w:val="16"/>
    </w:rPr>
  </w:style>
  <w:style w:type="paragraph" w:customStyle="1" w:styleId="4062">
    <w:name w:val="列表接续 312"/>
    <w:basedOn w:val="1"/>
    <w:qFormat/>
    <w:uiPriority w:val="0"/>
    <w:pPr>
      <w:spacing w:after="120"/>
      <w:ind w:left="1260"/>
    </w:pPr>
    <w:rPr>
      <w:sz w:val="28"/>
      <w:szCs w:val="20"/>
    </w:rPr>
  </w:style>
  <w:style w:type="paragraph" w:customStyle="1" w:styleId="4063">
    <w:name w:val="列表 412"/>
    <w:basedOn w:val="1"/>
    <w:qFormat/>
    <w:uiPriority w:val="0"/>
    <w:pPr>
      <w:spacing w:before="46" w:beforeLines="15" w:after="46" w:afterLines="15"/>
      <w:ind w:left="1680" w:hanging="420" w:firstLineChars="200"/>
      <w:jc w:val="left"/>
      <w:textAlignment w:val="baseline"/>
    </w:pPr>
    <w:rPr>
      <w:kern w:val="0"/>
      <w:sz w:val="28"/>
      <w:szCs w:val="20"/>
    </w:rPr>
  </w:style>
  <w:style w:type="paragraph" w:customStyle="1" w:styleId="4064">
    <w:name w:val="修订22"/>
    <w:qFormat/>
    <w:uiPriority w:val="0"/>
    <w:rPr>
      <w:rFonts w:ascii="Times New Roman" w:hAnsi="Times New Roman" w:eastAsia="宋体" w:cs="Times New Roman"/>
      <w:sz w:val="24"/>
      <w:lang w:val="en-US" w:eastAsia="zh-CN" w:bidi="ar-SA"/>
    </w:rPr>
  </w:style>
  <w:style w:type="paragraph" w:customStyle="1" w:styleId="4065">
    <w:name w:val="正文42"/>
    <w:qFormat/>
    <w:uiPriority w:val="0"/>
    <w:pPr>
      <w:widowControl w:val="0"/>
      <w:adjustRightInd w:val="0"/>
      <w:spacing w:line="360" w:lineRule="auto"/>
      <w:jc w:val="center"/>
      <w:textAlignment w:val="baseline"/>
    </w:pPr>
    <w:rPr>
      <w:rFonts w:ascii="Times New Roman" w:hAnsi="Times New Roman" w:eastAsia="仿宋_GB2312" w:cs="Times New Roman"/>
      <w:sz w:val="28"/>
      <w:lang w:val="en-US" w:eastAsia="zh-CN" w:bidi="ar-SA"/>
    </w:rPr>
  </w:style>
  <w:style w:type="paragraph" w:customStyle="1" w:styleId="4066">
    <w:name w:val="文本块12"/>
    <w:basedOn w:val="1"/>
    <w:qFormat/>
    <w:uiPriority w:val="0"/>
    <w:pPr>
      <w:ind w:left="113" w:right="113"/>
      <w:jc w:val="center"/>
    </w:pPr>
    <w:rPr>
      <w:b/>
      <w:bCs/>
      <w:sz w:val="18"/>
    </w:rPr>
  </w:style>
  <w:style w:type="paragraph" w:customStyle="1" w:styleId="4067">
    <w:name w:val="索引 712"/>
    <w:basedOn w:val="1"/>
    <w:next w:val="1"/>
    <w:qFormat/>
    <w:uiPriority w:val="0"/>
    <w:pPr>
      <w:ind w:left="1200" w:leftChars="1200"/>
    </w:pPr>
    <w:rPr>
      <w:rFonts w:ascii="仿宋_GB2312" w:eastAsia="仿宋_GB2312"/>
      <w:kern w:val="30"/>
      <w:sz w:val="30"/>
      <w:szCs w:val="20"/>
    </w:rPr>
  </w:style>
  <w:style w:type="paragraph" w:customStyle="1" w:styleId="4068">
    <w:name w:val="索引 312"/>
    <w:basedOn w:val="1"/>
    <w:next w:val="1"/>
    <w:qFormat/>
    <w:uiPriority w:val="0"/>
    <w:pPr>
      <w:ind w:left="400" w:leftChars="400"/>
    </w:pPr>
    <w:rPr>
      <w:rFonts w:ascii="仿宋_GB2312" w:eastAsia="仿宋_GB2312"/>
      <w:kern w:val="30"/>
      <w:sz w:val="30"/>
      <w:szCs w:val="20"/>
    </w:rPr>
  </w:style>
  <w:style w:type="paragraph" w:customStyle="1" w:styleId="4069">
    <w:name w:val="引文目录12"/>
    <w:basedOn w:val="1"/>
    <w:next w:val="1"/>
    <w:qFormat/>
    <w:uiPriority w:val="0"/>
    <w:pPr>
      <w:ind w:left="420" w:leftChars="200"/>
    </w:pPr>
    <w:rPr>
      <w:szCs w:val="20"/>
    </w:rPr>
  </w:style>
  <w:style w:type="paragraph" w:customStyle="1" w:styleId="4070">
    <w:name w:val="索引 212"/>
    <w:basedOn w:val="1"/>
    <w:next w:val="1"/>
    <w:qFormat/>
    <w:uiPriority w:val="0"/>
    <w:pPr>
      <w:ind w:left="200" w:leftChars="200"/>
    </w:pPr>
    <w:rPr>
      <w:rFonts w:ascii="仿宋_GB2312" w:eastAsia="仿宋_GB2312"/>
      <w:kern w:val="30"/>
      <w:sz w:val="30"/>
      <w:szCs w:val="20"/>
    </w:rPr>
  </w:style>
  <w:style w:type="paragraph" w:customStyle="1" w:styleId="4071">
    <w:name w:val="Char Char23 Char Char Char Char Char Char Char Char Char Char Char Char Char Char Char Char Char Char Char Char2"/>
    <w:basedOn w:val="1"/>
    <w:qFormat/>
    <w:uiPriority w:val="0"/>
    <w:rPr>
      <w:rFonts w:ascii="宋体" w:hAnsi="宋体" w:cs="宋体"/>
      <w:sz w:val="24"/>
    </w:rPr>
  </w:style>
  <w:style w:type="paragraph" w:customStyle="1" w:styleId="4072">
    <w:name w:val="列表接续 512"/>
    <w:basedOn w:val="1"/>
    <w:qFormat/>
    <w:uiPriority w:val="0"/>
    <w:pPr>
      <w:spacing w:after="120"/>
      <w:ind w:left="2100" w:leftChars="1000"/>
    </w:pPr>
  </w:style>
  <w:style w:type="paragraph" w:customStyle="1" w:styleId="4073">
    <w:name w:val="称呼12"/>
    <w:basedOn w:val="1"/>
    <w:next w:val="1"/>
    <w:qFormat/>
    <w:uiPriority w:val="0"/>
  </w:style>
  <w:style w:type="paragraph" w:customStyle="1" w:styleId="4074">
    <w:name w:val="电子邮件签名12"/>
    <w:basedOn w:val="1"/>
    <w:qFormat/>
    <w:uiPriority w:val="0"/>
  </w:style>
  <w:style w:type="paragraph" w:customStyle="1" w:styleId="4075">
    <w:name w:val="宏文本1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sz w:val="24"/>
      <w:szCs w:val="24"/>
      <w:lang w:val="en-US" w:eastAsia="zh-CN" w:bidi="ar-SA"/>
    </w:rPr>
  </w:style>
  <w:style w:type="paragraph" w:customStyle="1" w:styleId="4076">
    <w:name w:val="z-窗体底端12"/>
    <w:basedOn w:val="1"/>
    <w:next w:val="1"/>
    <w:qFormat/>
    <w:uiPriority w:val="0"/>
    <w:pPr>
      <w:widowControl/>
      <w:pBdr>
        <w:top w:val="single" w:color="auto" w:sz="6" w:space="1"/>
      </w:pBdr>
      <w:jc w:val="center"/>
    </w:pPr>
    <w:rPr>
      <w:rFonts w:ascii="Arial" w:hAnsi="Arial"/>
      <w:vanish/>
      <w:sz w:val="16"/>
      <w:szCs w:val="16"/>
    </w:rPr>
  </w:style>
  <w:style w:type="paragraph" w:customStyle="1" w:styleId="4077">
    <w:name w:val="z-窗体顶端12"/>
    <w:basedOn w:val="1"/>
    <w:next w:val="1"/>
    <w:qFormat/>
    <w:uiPriority w:val="0"/>
    <w:pPr>
      <w:widowControl/>
      <w:pBdr>
        <w:bottom w:val="single" w:color="auto" w:sz="6" w:space="1"/>
      </w:pBdr>
      <w:jc w:val="center"/>
    </w:pPr>
    <w:rPr>
      <w:rFonts w:ascii="Arial" w:hAnsi="Arial"/>
      <w:vanish/>
      <w:sz w:val="16"/>
      <w:szCs w:val="16"/>
    </w:rPr>
  </w:style>
  <w:style w:type="paragraph" w:customStyle="1" w:styleId="4078">
    <w:name w:val="Char Char3 Char Char5"/>
    <w:basedOn w:val="1"/>
    <w:qFormat/>
    <w:uiPriority w:val="0"/>
    <w:rPr>
      <w:rFonts w:ascii="Calibri" w:hAnsi="Calibri"/>
      <w:szCs w:val="22"/>
    </w:rPr>
  </w:style>
  <w:style w:type="paragraph" w:customStyle="1" w:styleId="4079">
    <w:name w:val="索引标题2"/>
    <w:basedOn w:val="1"/>
    <w:qFormat/>
    <w:uiPriority w:val="0"/>
    <w:pPr>
      <w:adjustRightInd w:val="0"/>
      <w:spacing w:line="460" w:lineRule="exact"/>
      <w:ind w:firstLine="510"/>
      <w:jc w:val="left"/>
      <w:textAlignment w:val="baseline"/>
    </w:pPr>
    <w:rPr>
      <w:kern w:val="0"/>
      <w:sz w:val="24"/>
    </w:rPr>
  </w:style>
  <w:style w:type="paragraph" w:customStyle="1" w:styleId="4080">
    <w:name w:val="索引 12"/>
    <w:basedOn w:val="1"/>
    <w:next w:val="1"/>
    <w:qFormat/>
    <w:uiPriority w:val="0"/>
    <w:pPr>
      <w:jc w:val="center"/>
    </w:pPr>
  </w:style>
  <w:style w:type="paragraph" w:customStyle="1" w:styleId="4081">
    <w:name w:val="Char Char Char Char Char Char Char Char Char Char Char Char Char Char Char Char Char Char Char Char Char Char Char Char Char Char"/>
    <w:basedOn w:val="1"/>
    <w:qFormat/>
    <w:uiPriority w:val="0"/>
  </w:style>
  <w:style w:type="paragraph" w:customStyle="1" w:styleId="4082">
    <w:name w:val="_Style 1750"/>
    <w:uiPriority w:val="0"/>
    <w:pPr>
      <w:widowControl w:val="0"/>
      <w:jc w:val="both"/>
    </w:pPr>
    <w:rPr>
      <w:rFonts w:ascii="Times New Roman" w:hAnsi="Times New Roman" w:eastAsia="宋体" w:cs="Times New Roman"/>
      <w:szCs w:val="24"/>
      <w:lang w:val="en-US" w:eastAsia="zh-CN" w:bidi="ar-SA"/>
    </w:rPr>
  </w:style>
  <w:style w:type="paragraph" w:customStyle="1" w:styleId="4083">
    <w:name w:val="索引 92"/>
    <w:basedOn w:val="1"/>
    <w:next w:val="1"/>
    <w:qFormat/>
    <w:uiPriority w:val="0"/>
    <w:pPr>
      <w:ind w:left="1600" w:leftChars="1600"/>
    </w:pPr>
    <w:rPr>
      <w:rFonts w:ascii="仿宋_GB2312" w:eastAsia="仿宋_GB2312"/>
      <w:kern w:val="30"/>
      <w:sz w:val="30"/>
      <w:szCs w:val="30"/>
    </w:rPr>
  </w:style>
  <w:style w:type="paragraph" w:customStyle="1" w:styleId="4084">
    <w:name w:val="Char Char Char1 Char Char Char Char Char Char Char Char Char Char Char Char Char Char Char"/>
    <w:basedOn w:val="1"/>
    <w:qFormat/>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76.png"/><Relationship Id="rId98" Type="http://schemas.openxmlformats.org/officeDocument/2006/relationships/image" Target="media/image75.png"/><Relationship Id="rId97" Type="http://schemas.openxmlformats.org/officeDocument/2006/relationships/image" Target="media/image74.jpeg"/><Relationship Id="rId96" Type="http://schemas.openxmlformats.org/officeDocument/2006/relationships/image" Target="media/image73.jpeg"/><Relationship Id="rId95" Type="http://schemas.openxmlformats.org/officeDocument/2006/relationships/image" Target="media/image72.png"/><Relationship Id="rId94" Type="http://schemas.openxmlformats.org/officeDocument/2006/relationships/image" Target="media/image71.png"/><Relationship Id="rId93" Type="http://schemas.openxmlformats.org/officeDocument/2006/relationships/image" Target="media/image70.png"/><Relationship Id="rId92" Type="http://schemas.openxmlformats.org/officeDocument/2006/relationships/image" Target="media/image69.png"/><Relationship Id="rId91" Type="http://schemas.openxmlformats.org/officeDocument/2006/relationships/image" Target="media/image68.png"/><Relationship Id="rId90" Type="http://schemas.openxmlformats.org/officeDocument/2006/relationships/image" Target="media/image67.png"/><Relationship Id="rId9" Type="http://schemas.openxmlformats.org/officeDocument/2006/relationships/theme" Target="theme/theme1.xml"/><Relationship Id="rId89" Type="http://schemas.openxmlformats.org/officeDocument/2006/relationships/image" Target="media/image66.png"/><Relationship Id="rId88" Type="http://schemas.openxmlformats.org/officeDocument/2006/relationships/image" Target="media/image65.png"/><Relationship Id="rId87" Type="http://schemas.openxmlformats.org/officeDocument/2006/relationships/image" Target="media/image64.png"/><Relationship Id="rId86" Type="http://schemas.openxmlformats.org/officeDocument/2006/relationships/image" Target="media/image63.png"/><Relationship Id="rId85" Type="http://schemas.openxmlformats.org/officeDocument/2006/relationships/image" Target="media/image62.png"/><Relationship Id="rId84" Type="http://schemas.openxmlformats.org/officeDocument/2006/relationships/image" Target="media/image61.png"/><Relationship Id="rId83" Type="http://schemas.openxmlformats.org/officeDocument/2006/relationships/image" Target="media/image60.png"/><Relationship Id="rId82" Type="http://schemas.openxmlformats.org/officeDocument/2006/relationships/image" Target="media/image59.png"/><Relationship Id="rId81" Type="http://schemas.openxmlformats.org/officeDocument/2006/relationships/image" Target="media/image58.png"/><Relationship Id="rId80" Type="http://schemas.openxmlformats.org/officeDocument/2006/relationships/image" Target="media/image57.png"/><Relationship Id="rId8" Type="http://schemas.openxmlformats.org/officeDocument/2006/relationships/footer" Target="footer3.xml"/><Relationship Id="rId79" Type="http://schemas.openxmlformats.org/officeDocument/2006/relationships/image" Target="media/image56.png"/><Relationship Id="rId78" Type="http://schemas.openxmlformats.org/officeDocument/2006/relationships/image" Target="media/image55.png"/><Relationship Id="rId77" Type="http://schemas.openxmlformats.org/officeDocument/2006/relationships/image" Target="media/image54.png"/><Relationship Id="rId76" Type="http://schemas.openxmlformats.org/officeDocument/2006/relationships/image" Target="media/image53.png"/><Relationship Id="rId75" Type="http://schemas.openxmlformats.org/officeDocument/2006/relationships/image" Target="media/image52.png"/><Relationship Id="rId74" Type="http://schemas.openxmlformats.org/officeDocument/2006/relationships/image" Target="media/image51.png"/><Relationship Id="rId73" Type="http://schemas.openxmlformats.org/officeDocument/2006/relationships/image" Target="media/image50.png"/><Relationship Id="rId72" Type="http://schemas.openxmlformats.org/officeDocument/2006/relationships/image" Target="media/image49.png"/><Relationship Id="rId71" Type="http://schemas.openxmlformats.org/officeDocument/2006/relationships/image" Target="media/image48.png"/><Relationship Id="rId70" Type="http://schemas.openxmlformats.org/officeDocument/2006/relationships/image" Target="media/image47.png"/><Relationship Id="rId7" Type="http://schemas.openxmlformats.org/officeDocument/2006/relationships/header" Target="header3.xml"/><Relationship Id="rId69" Type="http://schemas.openxmlformats.org/officeDocument/2006/relationships/image" Target="media/image46.png"/><Relationship Id="rId68" Type="http://schemas.openxmlformats.org/officeDocument/2006/relationships/image" Target="media/image45.png"/><Relationship Id="rId67" Type="http://schemas.openxmlformats.org/officeDocument/2006/relationships/image" Target="media/image44.png"/><Relationship Id="rId66" Type="http://schemas.openxmlformats.org/officeDocument/2006/relationships/image" Target="media/image43.png"/><Relationship Id="rId65" Type="http://schemas.openxmlformats.org/officeDocument/2006/relationships/image" Target="media/image42.wmf"/><Relationship Id="rId64" Type="http://schemas.openxmlformats.org/officeDocument/2006/relationships/image" Target="media/image41.wmf"/><Relationship Id="rId63" Type="http://schemas.openxmlformats.org/officeDocument/2006/relationships/image" Target="media/image40.wmf"/><Relationship Id="rId62" Type="http://schemas.openxmlformats.org/officeDocument/2006/relationships/image" Target="media/image39.wmf"/><Relationship Id="rId61" Type="http://schemas.openxmlformats.org/officeDocument/2006/relationships/image" Target="media/image38.png"/><Relationship Id="rId60" Type="http://schemas.openxmlformats.org/officeDocument/2006/relationships/image" Target="media/image37.png"/><Relationship Id="rId6" Type="http://schemas.openxmlformats.org/officeDocument/2006/relationships/footer" Target="footer2.xml"/><Relationship Id="rId59" Type="http://schemas.openxmlformats.org/officeDocument/2006/relationships/image" Target="media/image36.png"/><Relationship Id="rId58" Type="http://schemas.openxmlformats.org/officeDocument/2006/relationships/image" Target="media/image35.png"/><Relationship Id="rId57" Type="http://schemas.openxmlformats.org/officeDocument/2006/relationships/image" Target="media/image34.png"/><Relationship Id="rId56" Type="http://schemas.openxmlformats.org/officeDocument/2006/relationships/image" Target="media/image33.png"/><Relationship Id="rId55" Type="http://schemas.openxmlformats.org/officeDocument/2006/relationships/image" Target="media/image32.png"/><Relationship Id="rId54" Type="http://schemas.openxmlformats.org/officeDocument/2006/relationships/image" Target="media/image31.png"/><Relationship Id="rId53" Type="http://schemas.openxmlformats.org/officeDocument/2006/relationships/image" Target="media/image30.png"/><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2.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footer" Target="footer1.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wmf"/><Relationship Id="rId11" Type="http://schemas.openxmlformats.org/officeDocument/2006/relationships/oleObject" Target="embeddings/oleObject1.bin"/><Relationship Id="rId108" Type="http://schemas.openxmlformats.org/officeDocument/2006/relationships/fontTable" Target="fontTable.xml"/><Relationship Id="rId107" Type="http://schemas.openxmlformats.org/officeDocument/2006/relationships/customXml" Target="../customXml/item2.xml"/><Relationship Id="rId106" Type="http://schemas.openxmlformats.org/officeDocument/2006/relationships/numbering" Target="numbering.xml"/><Relationship Id="rId105" Type="http://schemas.openxmlformats.org/officeDocument/2006/relationships/customXml" Target="../customXml/item1.xml"/><Relationship Id="rId104" Type="http://schemas.openxmlformats.org/officeDocument/2006/relationships/image" Target="media/image81.png"/><Relationship Id="rId103" Type="http://schemas.openxmlformats.org/officeDocument/2006/relationships/image" Target="media/image80.png"/><Relationship Id="rId102" Type="http://schemas.openxmlformats.org/officeDocument/2006/relationships/image" Target="media/image79.png"/><Relationship Id="rId101" Type="http://schemas.openxmlformats.org/officeDocument/2006/relationships/image" Target="media/image78.png"/><Relationship Id="rId100" Type="http://schemas.openxmlformats.org/officeDocument/2006/relationships/image" Target="media/image77.png"/><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52420B-F04A-43F0-BBEC-F567C9C218E7}">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254</Pages>
  <Words>22123</Words>
  <Characters>25452</Characters>
  <Lines>1320</Lines>
  <Paragraphs>371</Paragraphs>
  <TotalTime>3623</TotalTime>
  <ScaleCrop>false</ScaleCrop>
  <LinksUpToDate>false</LinksUpToDate>
  <CharactersWithSpaces>25692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2026-03-09T09:34:00Z</dcterms:created>
  <dc:creator>微软用户</dc:creator>
  <cp:lastModifiedBy>等风</cp:lastModifiedBy>
  <cp:lastPrinted>2026-05-08T05:19:00Z</cp:lastPrinted>
  <dcterms:modified xsi:type="dcterms:W3CDTF">2026-05-14T08:43:10Z</dcterms:modified>
  <cp:revision>310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3C2AF9764129DFD7D0B7B7693A110788_43</vt:lpwstr>
  </property>
  <property fmtid="{D5CDD505-2E9C-101B-9397-08002B2CF9AE}" pid="4" name="KSOTemplateDocerSaveRecord">
    <vt:lpwstr>eyJoZGlkIjoiNDE1YjM3OTVhNDdiNDkzZDkyYTdiMjQzNmVhMGI4OWIiLCJ1c2VySWQiOiI1MTQ5MTEwMzUifQ==</vt:lpwstr>
  </property>
</Properties>
</file>